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1E556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1E93D1AF" w:rsidR="00901E25" w:rsidRDefault="00901E2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1E93D1AF" w:rsidR="00901E25" w:rsidRDefault="00901E2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EAF452" w:rsidR="00901E25" w:rsidRPr="004E2649" w:rsidRDefault="00901E2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D13C5">
                              <w:rPr>
                                <w:rFonts w:asciiTheme="majorHAnsi" w:hAnsiTheme="majorHAnsi" w:cs="Arial"/>
                                <w:b/>
                                <w:bCs/>
                                <w:color w:val="0D0D0D" w:themeColor="text1" w:themeTint="F2"/>
                                <w:sz w:val="36"/>
                                <w:szCs w:val="22"/>
                                <w:lang w:val="es-ES_tradnl"/>
                              </w:rPr>
                              <w:t xml:space="preserve"> 128</w:t>
                            </w:r>
                            <w:r>
                              <w:rPr>
                                <w:rFonts w:asciiTheme="majorHAnsi" w:hAnsiTheme="majorHAnsi" w:cs="Arial"/>
                                <w:b/>
                                <w:bCs/>
                                <w:color w:val="0D0D0D" w:themeColor="text1" w:themeTint="F2"/>
                                <w:sz w:val="36"/>
                                <w:szCs w:val="22"/>
                                <w:lang w:val="es-ES_tradnl"/>
                              </w:rPr>
                              <w:t>/</w:t>
                            </w:r>
                            <w:r w:rsidR="00F124BB">
                              <w:rPr>
                                <w:rFonts w:asciiTheme="majorHAnsi" w:hAnsiTheme="majorHAnsi" w:cs="Arial"/>
                                <w:b/>
                                <w:bCs/>
                                <w:color w:val="0D0D0D" w:themeColor="text1" w:themeTint="F2"/>
                                <w:sz w:val="36"/>
                                <w:szCs w:val="22"/>
                                <w:lang w:val="es-ES_tradnl"/>
                              </w:rPr>
                              <w:t>20</w:t>
                            </w:r>
                          </w:p>
                          <w:p w14:paraId="09C54AB3" w14:textId="0638018C" w:rsidR="00901E25" w:rsidRDefault="00901E2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1697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p>
                          <w:p w14:paraId="70CF6833" w14:textId="169C4B23" w:rsidR="00901E25" w:rsidRPr="0010736F" w:rsidRDefault="00E07C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901E25" w:rsidRPr="0010736F" w:rsidRDefault="00901E2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648C41A" w14:textId="77777777" w:rsidR="0015556D" w:rsidRDefault="001555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SEBASTIÁN DA SILVA RODR</w:t>
                            </w:r>
                            <w:r w:rsidRPr="007544B4">
                              <w:rPr>
                                <w:rFonts w:asciiTheme="majorHAnsi" w:hAnsiTheme="majorHAnsi" w:cs="Arial"/>
                                <w:color w:val="0D0D0D" w:themeColor="text1" w:themeTint="F2"/>
                                <w:szCs w:val="22"/>
                                <w:lang w:val="es-419"/>
                              </w:rPr>
                              <w:t xml:space="preserve">ÍGUEZ </w:t>
                            </w:r>
                            <w:r>
                              <w:rPr>
                                <w:rFonts w:asciiTheme="majorHAnsi" w:hAnsiTheme="majorHAnsi" w:cs="Arial"/>
                                <w:color w:val="0D0D0D" w:themeColor="text1" w:themeTint="F2"/>
                                <w:szCs w:val="22"/>
                                <w:lang w:val="es-ES_tradnl"/>
                              </w:rPr>
                              <w:t xml:space="preserve">Y OTROS </w:t>
                            </w:r>
                          </w:p>
                          <w:p w14:paraId="35068D0D" w14:textId="278DCEF1" w:rsidR="00901E25" w:rsidRPr="0010736F" w:rsidRDefault="00901E2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575DFD52" w14:textId="77777777" w:rsidR="00901E25" w:rsidRPr="00AE5488" w:rsidRDefault="00901E2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1EAF452" w:rsidR="00901E25" w:rsidRPr="004E2649" w:rsidRDefault="00901E2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D13C5">
                        <w:rPr>
                          <w:rFonts w:asciiTheme="majorHAnsi" w:hAnsiTheme="majorHAnsi" w:cs="Arial"/>
                          <w:b/>
                          <w:bCs/>
                          <w:color w:val="0D0D0D" w:themeColor="text1" w:themeTint="F2"/>
                          <w:sz w:val="36"/>
                          <w:szCs w:val="22"/>
                          <w:lang w:val="es-ES_tradnl"/>
                        </w:rPr>
                        <w:t xml:space="preserve"> 128</w:t>
                      </w:r>
                      <w:r>
                        <w:rPr>
                          <w:rFonts w:asciiTheme="majorHAnsi" w:hAnsiTheme="majorHAnsi" w:cs="Arial"/>
                          <w:b/>
                          <w:bCs/>
                          <w:color w:val="0D0D0D" w:themeColor="text1" w:themeTint="F2"/>
                          <w:sz w:val="36"/>
                          <w:szCs w:val="22"/>
                          <w:lang w:val="es-ES_tradnl"/>
                        </w:rPr>
                        <w:t>/</w:t>
                      </w:r>
                      <w:r w:rsidR="00F124BB">
                        <w:rPr>
                          <w:rFonts w:asciiTheme="majorHAnsi" w:hAnsiTheme="majorHAnsi" w:cs="Arial"/>
                          <w:b/>
                          <w:bCs/>
                          <w:color w:val="0D0D0D" w:themeColor="text1" w:themeTint="F2"/>
                          <w:sz w:val="36"/>
                          <w:szCs w:val="22"/>
                          <w:lang w:val="es-ES_tradnl"/>
                        </w:rPr>
                        <w:t>20</w:t>
                      </w:r>
                    </w:p>
                    <w:p w14:paraId="09C54AB3" w14:textId="0638018C" w:rsidR="00901E25" w:rsidRDefault="00901E2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1697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p>
                    <w:p w14:paraId="70CF6833" w14:textId="169C4B23" w:rsidR="00901E25" w:rsidRPr="0010736F" w:rsidRDefault="00E07C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901E25" w:rsidRPr="0010736F" w:rsidRDefault="00901E25" w:rsidP="00997BC5">
                      <w:pPr>
                        <w:spacing w:line="276" w:lineRule="auto"/>
                        <w:rPr>
                          <w:rFonts w:asciiTheme="majorHAnsi" w:hAnsiTheme="majorHAnsi" w:cs="Arial"/>
                          <w:color w:val="0D0D0D" w:themeColor="text1" w:themeTint="F2"/>
                          <w:szCs w:val="22"/>
                          <w:lang w:val="es-ES_tradnl"/>
                        </w:rPr>
                      </w:pPr>
                      <w:bookmarkStart w:id="2" w:name="_ftnref1"/>
                    </w:p>
                    <w:bookmarkEnd w:id="2"/>
                    <w:p w14:paraId="0648C41A" w14:textId="77777777" w:rsidR="0015556D" w:rsidRDefault="001555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SEBASTIÁN DA SILVA RODR</w:t>
                      </w:r>
                      <w:r w:rsidRPr="007544B4">
                        <w:rPr>
                          <w:rFonts w:asciiTheme="majorHAnsi" w:hAnsiTheme="majorHAnsi" w:cs="Arial"/>
                          <w:color w:val="0D0D0D" w:themeColor="text1" w:themeTint="F2"/>
                          <w:szCs w:val="22"/>
                          <w:lang w:val="es-419"/>
                        </w:rPr>
                        <w:t xml:space="preserve">ÍGUEZ </w:t>
                      </w:r>
                      <w:r>
                        <w:rPr>
                          <w:rFonts w:asciiTheme="majorHAnsi" w:hAnsiTheme="majorHAnsi" w:cs="Arial"/>
                          <w:color w:val="0D0D0D" w:themeColor="text1" w:themeTint="F2"/>
                          <w:szCs w:val="22"/>
                          <w:lang w:val="es-ES_tradnl"/>
                        </w:rPr>
                        <w:t>Y OTROS</w:t>
                      </w:r>
                      <w:r>
                        <w:rPr>
                          <w:rFonts w:asciiTheme="majorHAnsi" w:hAnsiTheme="majorHAnsi" w:cs="Arial"/>
                          <w:color w:val="0D0D0D" w:themeColor="text1" w:themeTint="F2"/>
                          <w:szCs w:val="22"/>
                          <w:lang w:val="es-ES_tradnl"/>
                        </w:rPr>
                        <w:t xml:space="preserve"> </w:t>
                      </w:r>
                    </w:p>
                    <w:p w14:paraId="35068D0D" w14:textId="278DCEF1" w:rsidR="00901E25" w:rsidRPr="0010736F" w:rsidRDefault="00901E25" w:rsidP="00997BC5">
                      <w:pPr>
                        <w:spacing w:line="276" w:lineRule="auto"/>
                        <w:rPr>
                          <w:rFonts w:asciiTheme="majorHAnsi" w:hAnsiTheme="majorHAnsi" w:cs="Arial"/>
                          <w:color w:val="0D0D0D" w:themeColor="text1" w:themeTint="F2"/>
                          <w:szCs w:val="22"/>
                          <w:lang w:val="es-ES"/>
                        </w:rPr>
                      </w:pPr>
                      <w:bookmarkStart w:id="3" w:name="_GoBack"/>
                      <w:bookmarkEnd w:id="3"/>
                      <w:r>
                        <w:rPr>
                          <w:rFonts w:asciiTheme="majorHAnsi" w:hAnsiTheme="majorHAnsi" w:cs="Arial"/>
                          <w:color w:val="0D0D0D" w:themeColor="text1" w:themeTint="F2"/>
                          <w:szCs w:val="22"/>
                          <w:lang w:val="es-ES_tradnl"/>
                        </w:rPr>
                        <w:t>URUGUAY</w:t>
                      </w:r>
                    </w:p>
                    <w:p w14:paraId="575DFD52" w14:textId="77777777" w:rsidR="00901E25" w:rsidRPr="00AE5488" w:rsidRDefault="00901E25"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8070F8A" w:rsidR="00901E25" w:rsidRPr="00935F06" w:rsidRDefault="00901E25"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8964A57" w:rsidR="00901E25" w:rsidRPr="00935F06" w:rsidRDefault="008D13C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14:paraId="69373ED2" w14:textId="4FF948E8" w:rsidR="00901E25" w:rsidRPr="00CA32BA" w:rsidRDefault="008D13C5"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abril</w:t>
                            </w:r>
                            <w:r w:rsidR="00901E25" w:rsidRPr="00CA32BA">
                              <w:rPr>
                                <w:rFonts w:asciiTheme="minorHAnsi" w:hAnsiTheme="minorHAnsi"/>
                                <w:color w:val="FFFFFF" w:themeColor="background1"/>
                                <w:sz w:val="22"/>
                                <w:lang w:val="es-VE"/>
                              </w:rPr>
                              <w:t xml:space="preserve"> 20</w:t>
                            </w:r>
                            <w:r w:rsidR="00F124BB">
                              <w:rPr>
                                <w:rFonts w:asciiTheme="minorHAnsi" w:hAnsiTheme="minorHAnsi"/>
                                <w:color w:val="FFFFFF" w:themeColor="background1"/>
                                <w:sz w:val="22"/>
                                <w:lang w:val="es-VE"/>
                              </w:rPr>
                              <w:t>20</w:t>
                            </w:r>
                          </w:p>
                          <w:p w14:paraId="0771DB5B" w14:textId="77777777" w:rsidR="00901E25" w:rsidRPr="00CA32BA" w:rsidRDefault="00901E25" w:rsidP="007A5817">
                            <w:pPr>
                              <w:spacing w:line="276" w:lineRule="auto"/>
                              <w:jc w:val="right"/>
                              <w:rPr>
                                <w:rFonts w:asciiTheme="minorHAnsi" w:hAnsiTheme="minorHAnsi"/>
                                <w:color w:val="FFFFFF" w:themeColor="background1"/>
                                <w:sz w:val="22"/>
                                <w:lang w:val="es-VE"/>
                              </w:rPr>
                            </w:pPr>
                            <w:r w:rsidRPr="00CA32BA">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8070F8A" w:rsidR="00901E25" w:rsidRPr="00935F06" w:rsidRDefault="00901E25"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8964A57" w:rsidR="00901E25" w:rsidRPr="00935F06" w:rsidRDefault="008D13C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14:paraId="69373ED2" w14:textId="4FF948E8" w:rsidR="00901E25" w:rsidRPr="00CA32BA" w:rsidRDefault="008D13C5"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abril</w:t>
                      </w:r>
                      <w:r w:rsidR="00901E25" w:rsidRPr="00CA32BA">
                        <w:rPr>
                          <w:rFonts w:asciiTheme="minorHAnsi" w:hAnsiTheme="minorHAnsi"/>
                          <w:color w:val="FFFFFF" w:themeColor="background1"/>
                          <w:sz w:val="22"/>
                          <w:lang w:val="es-VE"/>
                        </w:rPr>
                        <w:t xml:space="preserve"> 20</w:t>
                      </w:r>
                      <w:r w:rsidR="00F124BB">
                        <w:rPr>
                          <w:rFonts w:asciiTheme="minorHAnsi" w:hAnsiTheme="minorHAnsi"/>
                          <w:color w:val="FFFFFF" w:themeColor="background1"/>
                          <w:sz w:val="22"/>
                          <w:lang w:val="es-VE"/>
                        </w:rPr>
                        <w:t>20</w:t>
                      </w:r>
                    </w:p>
                    <w:p w14:paraId="0771DB5B" w14:textId="77777777" w:rsidR="00901E25" w:rsidRPr="00CA32BA" w:rsidRDefault="00901E25" w:rsidP="007A5817">
                      <w:pPr>
                        <w:spacing w:line="276" w:lineRule="auto"/>
                        <w:jc w:val="right"/>
                        <w:rPr>
                          <w:rFonts w:asciiTheme="minorHAnsi" w:hAnsiTheme="minorHAnsi"/>
                          <w:color w:val="FFFFFF" w:themeColor="background1"/>
                          <w:sz w:val="22"/>
                          <w:lang w:val="es-VE"/>
                        </w:rPr>
                      </w:pPr>
                      <w:r w:rsidRPr="00CA32BA">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7822EBA" w:rsidR="00901E25" w:rsidRPr="00890650" w:rsidRDefault="00901E2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13C5">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8D13C5">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F124BB" w:rsidRPr="00890650">
                              <w:rPr>
                                <w:rFonts w:asciiTheme="majorHAnsi" w:hAnsiTheme="majorHAnsi"/>
                                <w:color w:val="0D0D0D" w:themeColor="text1" w:themeTint="F2"/>
                                <w:sz w:val="18"/>
                                <w:szCs w:val="22"/>
                                <w:lang w:val="es-ES"/>
                              </w:rPr>
                              <w:t>20</w:t>
                            </w:r>
                            <w:r w:rsidR="00F124BB">
                              <w:rPr>
                                <w:rFonts w:asciiTheme="majorHAnsi" w:hAnsiTheme="majorHAnsi"/>
                                <w:color w:val="0D0D0D" w:themeColor="text1" w:themeTint="F2"/>
                                <w:sz w:val="18"/>
                                <w:szCs w:val="22"/>
                                <w:lang w:val="es-ES"/>
                              </w:rPr>
                              <w:t>20</w:t>
                            </w:r>
                            <w:r w:rsidR="00E7065C">
                              <w:rPr>
                                <w:rFonts w:asciiTheme="majorHAnsi" w:hAnsiTheme="majorHAnsi"/>
                                <w:color w:val="0D0D0D" w:themeColor="text1" w:themeTint="F2"/>
                                <w:sz w:val="18"/>
                                <w:szCs w:val="22"/>
                                <w:lang w:val="es-ES"/>
                              </w:rPr>
                              <w:t>.</w:t>
                            </w:r>
                          </w:p>
                          <w:p w14:paraId="4BDF3581" w14:textId="77777777" w:rsidR="00901E25" w:rsidRPr="007A5817" w:rsidRDefault="00901E2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01E25" w:rsidRPr="00167A34" w:rsidRDefault="00901E2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7822EBA" w:rsidR="00901E25" w:rsidRPr="00890650" w:rsidRDefault="00901E2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13C5">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8D13C5">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F124BB" w:rsidRPr="00890650">
                        <w:rPr>
                          <w:rFonts w:asciiTheme="majorHAnsi" w:hAnsiTheme="majorHAnsi"/>
                          <w:color w:val="0D0D0D" w:themeColor="text1" w:themeTint="F2"/>
                          <w:sz w:val="18"/>
                          <w:szCs w:val="22"/>
                          <w:lang w:val="es-ES"/>
                        </w:rPr>
                        <w:t>20</w:t>
                      </w:r>
                      <w:r w:rsidR="00F124BB">
                        <w:rPr>
                          <w:rFonts w:asciiTheme="majorHAnsi" w:hAnsiTheme="majorHAnsi"/>
                          <w:color w:val="0D0D0D" w:themeColor="text1" w:themeTint="F2"/>
                          <w:sz w:val="18"/>
                          <w:szCs w:val="22"/>
                          <w:lang w:val="es-ES"/>
                        </w:rPr>
                        <w:t>20</w:t>
                      </w:r>
                      <w:r w:rsidR="00E7065C">
                        <w:rPr>
                          <w:rFonts w:asciiTheme="majorHAnsi" w:hAnsiTheme="majorHAnsi"/>
                          <w:color w:val="0D0D0D" w:themeColor="text1" w:themeTint="F2"/>
                          <w:sz w:val="18"/>
                          <w:szCs w:val="22"/>
                          <w:lang w:val="es-ES"/>
                        </w:rPr>
                        <w:t>.</w:t>
                      </w:r>
                    </w:p>
                    <w:p w14:paraId="4BDF3581" w14:textId="77777777" w:rsidR="00901E25" w:rsidRPr="007A5817" w:rsidRDefault="00901E2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01E25" w:rsidRPr="00167A34" w:rsidRDefault="00901E2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B74986E" w:rsidR="00901E25" w:rsidRPr="007B05C4" w:rsidRDefault="00901E2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13C5" w:rsidRPr="008D13C5">
                              <w:rPr>
                                <w:rFonts w:asciiTheme="majorHAnsi" w:hAnsiTheme="majorHAnsi"/>
                                <w:color w:val="595959" w:themeColor="text1" w:themeTint="A6"/>
                                <w:sz w:val="18"/>
                                <w:szCs w:val="18"/>
                                <w:lang w:val="pt-BR"/>
                              </w:rPr>
                              <w:t>128</w:t>
                            </w:r>
                            <w:r w:rsidRPr="008D13C5">
                              <w:rPr>
                                <w:rFonts w:asciiTheme="majorHAnsi" w:hAnsiTheme="majorHAnsi"/>
                                <w:color w:val="595959" w:themeColor="text1" w:themeTint="A6"/>
                                <w:sz w:val="18"/>
                                <w:szCs w:val="18"/>
                                <w:lang w:val="pt-BR"/>
                              </w:rPr>
                              <w:t>/</w:t>
                            </w:r>
                            <w:r w:rsidR="008D13C5" w:rsidRPr="008D13C5">
                              <w:rPr>
                                <w:rFonts w:asciiTheme="majorHAnsi" w:hAnsiTheme="majorHAnsi"/>
                                <w:color w:val="595959" w:themeColor="text1" w:themeTint="A6"/>
                                <w:sz w:val="18"/>
                                <w:szCs w:val="18"/>
                                <w:lang w:val="pt-BR"/>
                              </w:rPr>
                              <w:t>20</w:t>
                            </w:r>
                            <w:r w:rsidRPr="008D13C5">
                              <w:rPr>
                                <w:rFonts w:asciiTheme="majorHAnsi" w:hAnsiTheme="majorHAnsi"/>
                                <w:color w:val="595959" w:themeColor="text1" w:themeTint="A6"/>
                                <w:sz w:val="18"/>
                                <w:szCs w:val="18"/>
                                <w:lang w:val="pt-BR"/>
                              </w:rPr>
                              <w:t xml:space="preserve">. </w:t>
                            </w:r>
                            <w:r w:rsidR="00E7065C">
                              <w:rPr>
                                <w:rFonts w:asciiTheme="majorHAnsi" w:hAnsiTheme="majorHAnsi"/>
                                <w:color w:val="595959" w:themeColor="text1" w:themeTint="A6"/>
                                <w:sz w:val="18"/>
                                <w:szCs w:val="18"/>
                                <w:lang w:val="pt-BR"/>
                              </w:rPr>
                              <w:t xml:space="preserve">Petición 1697-11. </w:t>
                            </w:r>
                            <w:r w:rsidRPr="00890650">
                              <w:rPr>
                                <w:rFonts w:asciiTheme="majorHAnsi" w:hAnsiTheme="majorHAnsi"/>
                                <w:color w:val="595959" w:themeColor="text1" w:themeTint="A6"/>
                                <w:sz w:val="18"/>
                                <w:szCs w:val="18"/>
                                <w:lang w:val="es-ES_tradnl"/>
                              </w:rPr>
                              <w:t xml:space="preserve">Admisibilidad. </w:t>
                            </w:r>
                            <w:r w:rsidR="00E07CFC">
                              <w:rPr>
                                <w:rFonts w:asciiTheme="majorHAnsi" w:hAnsiTheme="majorHAnsi"/>
                                <w:color w:val="595959" w:themeColor="text1" w:themeTint="A6"/>
                                <w:sz w:val="18"/>
                                <w:szCs w:val="18"/>
                                <w:lang w:val="es-ES_tradnl"/>
                              </w:rPr>
                              <w:t>Ro</w:t>
                            </w:r>
                            <w:r w:rsidR="00322975">
                              <w:rPr>
                                <w:rFonts w:asciiTheme="majorHAnsi" w:hAnsiTheme="majorHAnsi"/>
                                <w:color w:val="595959" w:themeColor="text1" w:themeTint="A6"/>
                                <w:sz w:val="18"/>
                                <w:szCs w:val="18"/>
                                <w:lang w:val="es-ES_tradnl"/>
                              </w:rPr>
                              <w:t xml:space="preserve">drigo </w:t>
                            </w:r>
                            <w:proofErr w:type="spellStart"/>
                            <w:r w:rsidR="00322975">
                              <w:rPr>
                                <w:rFonts w:asciiTheme="majorHAnsi" w:hAnsiTheme="majorHAnsi"/>
                                <w:color w:val="595959" w:themeColor="text1" w:themeTint="A6"/>
                                <w:sz w:val="18"/>
                                <w:szCs w:val="18"/>
                                <w:lang w:val="es-ES_tradnl"/>
                              </w:rPr>
                              <w:t>Sebasti</w:t>
                            </w:r>
                            <w:r w:rsidR="00322975" w:rsidRPr="00322975">
                              <w:rPr>
                                <w:rFonts w:asciiTheme="majorHAnsi" w:hAnsiTheme="majorHAnsi"/>
                                <w:color w:val="595959" w:themeColor="text1" w:themeTint="A6"/>
                                <w:sz w:val="18"/>
                                <w:szCs w:val="18"/>
                                <w:lang w:val="es-419"/>
                              </w:rPr>
                              <w:t>án</w:t>
                            </w:r>
                            <w:proofErr w:type="spellEnd"/>
                            <w:r w:rsidR="00E07CFC">
                              <w:rPr>
                                <w:rFonts w:asciiTheme="majorHAnsi" w:hAnsiTheme="majorHAnsi"/>
                                <w:color w:val="595959" w:themeColor="text1" w:themeTint="A6"/>
                                <w:sz w:val="18"/>
                                <w:szCs w:val="18"/>
                                <w:lang w:val="es-ES_tradnl"/>
                              </w:rPr>
                              <w:t xml:space="preserve"> Da Silva Rodríguez y</w:t>
                            </w:r>
                            <w:r w:rsidR="00E07CFC" w:rsidRPr="00E07CFC">
                              <w:rPr>
                                <w:rFonts w:asciiTheme="majorHAnsi" w:hAnsiTheme="majorHAnsi"/>
                                <w:color w:val="595959" w:themeColor="text1" w:themeTint="A6"/>
                                <w:sz w:val="18"/>
                                <w:szCs w:val="18"/>
                                <w:lang w:val="es-ES_tradnl"/>
                              </w:rPr>
                              <w:t xml:space="preserve"> </w:t>
                            </w:r>
                            <w:r w:rsidR="00E07CFC">
                              <w:rPr>
                                <w:rFonts w:asciiTheme="majorHAnsi" w:hAnsiTheme="majorHAnsi"/>
                                <w:color w:val="595959" w:themeColor="text1" w:themeTint="A6"/>
                                <w:sz w:val="18"/>
                                <w:szCs w:val="18"/>
                                <w:lang w:val="es-ES_tradnl"/>
                              </w:rPr>
                              <w:t>o</w:t>
                            </w:r>
                            <w:r w:rsidR="00E07CFC" w:rsidRPr="00E07CFC">
                              <w:rPr>
                                <w:rFonts w:asciiTheme="majorHAnsi" w:hAnsiTheme="majorHAnsi"/>
                                <w:color w:val="595959" w:themeColor="text1" w:themeTint="A6"/>
                                <w:sz w:val="18"/>
                                <w:szCs w:val="18"/>
                                <w:lang w:val="es-ES_tradnl"/>
                              </w:rPr>
                              <w:t>tros</w:t>
                            </w:r>
                            <w:r w:rsidRPr="00890650">
                              <w:rPr>
                                <w:rFonts w:asciiTheme="majorHAnsi" w:hAnsiTheme="majorHAnsi"/>
                                <w:color w:val="595959" w:themeColor="text1" w:themeTint="A6"/>
                                <w:sz w:val="18"/>
                                <w:szCs w:val="18"/>
                                <w:lang w:val="es-ES_tradnl"/>
                              </w:rPr>
                              <w:t xml:space="preserve">. </w:t>
                            </w:r>
                            <w:r w:rsidR="00E07CFC">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8D13C5">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B74986E" w:rsidR="00901E25" w:rsidRPr="007B05C4" w:rsidRDefault="00901E2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13C5" w:rsidRPr="008D13C5">
                        <w:rPr>
                          <w:rFonts w:asciiTheme="majorHAnsi" w:hAnsiTheme="majorHAnsi"/>
                          <w:color w:val="595959" w:themeColor="text1" w:themeTint="A6"/>
                          <w:sz w:val="18"/>
                          <w:szCs w:val="18"/>
                          <w:lang w:val="pt-BR"/>
                        </w:rPr>
                        <w:t>128</w:t>
                      </w:r>
                      <w:r w:rsidRPr="008D13C5">
                        <w:rPr>
                          <w:rFonts w:asciiTheme="majorHAnsi" w:hAnsiTheme="majorHAnsi"/>
                          <w:color w:val="595959" w:themeColor="text1" w:themeTint="A6"/>
                          <w:sz w:val="18"/>
                          <w:szCs w:val="18"/>
                          <w:lang w:val="pt-BR"/>
                        </w:rPr>
                        <w:t>/</w:t>
                      </w:r>
                      <w:r w:rsidR="008D13C5" w:rsidRPr="008D13C5">
                        <w:rPr>
                          <w:rFonts w:asciiTheme="majorHAnsi" w:hAnsiTheme="majorHAnsi"/>
                          <w:color w:val="595959" w:themeColor="text1" w:themeTint="A6"/>
                          <w:sz w:val="18"/>
                          <w:szCs w:val="18"/>
                          <w:lang w:val="pt-BR"/>
                        </w:rPr>
                        <w:t>20</w:t>
                      </w:r>
                      <w:r w:rsidRPr="008D13C5">
                        <w:rPr>
                          <w:rFonts w:asciiTheme="majorHAnsi" w:hAnsiTheme="majorHAnsi"/>
                          <w:color w:val="595959" w:themeColor="text1" w:themeTint="A6"/>
                          <w:sz w:val="18"/>
                          <w:szCs w:val="18"/>
                          <w:lang w:val="pt-BR"/>
                        </w:rPr>
                        <w:t xml:space="preserve">. </w:t>
                      </w:r>
                      <w:r w:rsidR="00E7065C">
                        <w:rPr>
                          <w:rFonts w:asciiTheme="majorHAnsi" w:hAnsiTheme="majorHAnsi"/>
                          <w:color w:val="595959" w:themeColor="text1" w:themeTint="A6"/>
                          <w:sz w:val="18"/>
                          <w:szCs w:val="18"/>
                          <w:lang w:val="pt-BR"/>
                        </w:rPr>
                        <w:t xml:space="preserve">Petición 1697-11. </w:t>
                      </w:r>
                      <w:r w:rsidRPr="00890650">
                        <w:rPr>
                          <w:rFonts w:asciiTheme="majorHAnsi" w:hAnsiTheme="majorHAnsi"/>
                          <w:color w:val="595959" w:themeColor="text1" w:themeTint="A6"/>
                          <w:sz w:val="18"/>
                          <w:szCs w:val="18"/>
                          <w:lang w:val="es-ES_tradnl"/>
                        </w:rPr>
                        <w:t xml:space="preserve">Admisibilidad. </w:t>
                      </w:r>
                      <w:r w:rsidR="00E07CFC">
                        <w:rPr>
                          <w:rFonts w:asciiTheme="majorHAnsi" w:hAnsiTheme="majorHAnsi"/>
                          <w:color w:val="595959" w:themeColor="text1" w:themeTint="A6"/>
                          <w:sz w:val="18"/>
                          <w:szCs w:val="18"/>
                          <w:lang w:val="es-ES_tradnl"/>
                        </w:rPr>
                        <w:t>Ro</w:t>
                      </w:r>
                      <w:r w:rsidR="00322975">
                        <w:rPr>
                          <w:rFonts w:asciiTheme="majorHAnsi" w:hAnsiTheme="majorHAnsi"/>
                          <w:color w:val="595959" w:themeColor="text1" w:themeTint="A6"/>
                          <w:sz w:val="18"/>
                          <w:szCs w:val="18"/>
                          <w:lang w:val="es-ES_tradnl"/>
                        </w:rPr>
                        <w:t xml:space="preserve">drigo </w:t>
                      </w:r>
                      <w:proofErr w:type="spellStart"/>
                      <w:r w:rsidR="00322975">
                        <w:rPr>
                          <w:rFonts w:asciiTheme="majorHAnsi" w:hAnsiTheme="majorHAnsi"/>
                          <w:color w:val="595959" w:themeColor="text1" w:themeTint="A6"/>
                          <w:sz w:val="18"/>
                          <w:szCs w:val="18"/>
                          <w:lang w:val="es-ES_tradnl"/>
                        </w:rPr>
                        <w:t>Sebasti</w:t>
                      </w:r>
                      <w:r w:rsidR="00322975" w:rsidRPr="00322975">
                        <w:rPr>
                          <w:rFonts w:asciiTheme="majorHAnsi" w:hAnsiTheme="majorHAnsi"/>
                          <w:color w:val="595959" w:themeColor="text1" w:themeTint="A6"/>
                          <w:sz w:val="18"/>
                          <w:szCs w:val="18"/>
                          <w:lang w:val="es-419"/>
                        </w:rPr>
                        <w:t>án</w:t>
                      </w:r>
                      <w:proofErr w:type="spellEnd"/>
                      <w:r w:rsidR="00E07CFC">
                        <w:rPr>
                          <w:rFonts w:asciiTheme="majorHAnsi" w:hAnsiTheme="majorHAnsi"/>
                          <w:color w:val="595959" w:themeColor="text1" w:themeTint="A6"/>
                          <w:sz w:val="18"/>
                          <w:szCs w:val="18"/>
                          <w:lang w:val="es-ES_tradnl"/>
                        </w:rPr>
                        <w:t xml:space="preserve"> Da Silva Rodríguez y</w:t>
                      </w:r>
                      <w:r w:rsidR="00E07CFC" w:rsidRPr="00E07CFC">
                        <w:rPr>
                          <w:rFonts w:asciiTheme="majorHAnsi" w:hAnsiTheme="majorHAnsi"/>
                          <w:color w:val="595959" w:themeColor="text1" w:themeTint="A6"/>
                          <w:sz w:val="18"/>
                          <w:szCs w:val="18"/>
                          <w:lang w:val="es-ES_tradnl"/>
                        </w:rPr>
                        <w:t xml:space="preserve"> </w:t>
                      </w:r>
                      <w:r w:rsidR="00E07CFC">
                        <w:rPr>
                          <w:rFonts w:asciiTheme="majorHAnsi" w:hAnsiTheme="majorHAnsi"/>
                          <w:color w:val="595959" w:themeColor="text1" w:themeTint="A6"/>
                          <w:sz w:val="18"/>
                          <w:szCs w:val="18"/>
                          <w:lang w:val="es-ES_tradnl"/>
                        </w:rPr>
                        <w:t>o</w:t>
                      </w:r>
                      <w:r w:rsidR="00E07CFC" w:rsidRPr="00E07CFC">
                        <w:rPr>
                          <w:rFonts w:asciiTheme="majorHAnsi" w:hAnsiTheme="majorHAnsi"/>
                          <w:color w:val="595959" w:themeColor="text1" w:themeTint="A6"/>
                          <w:sz w:val="18"/>
                          <w:szCs w:val="18"/>
                          <w:lang w:val="es-ES_tradnl"/>
                        </w:rPr>
                        <w:t>tros</w:t>
                      </w:r>
                      <w:r w:rsidRPr="00890650">
                        <w:rPr>
                          <w:rFonts w:asciiTheme="majorHAnsi" w:hAnsiTheme="majorHAnsi"/>
                          <w:color w:val="595959" w:themeColor="text1" w:themeTint="A6"/>
                          <w:sz w:val="18"/>
                          <w:szCs w:val="18"/>
                          <w:lang w:val="es-ES_tradnl"/>
                        </w:rPr>
                        <w:t xml:space="preserve">. </w:t>
                      </w:r>
                      <w:r w:rsidR="00E07CFC">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8D13C5">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F62DB7C" w:rsidR="00901E25" w:rsidRPr="00D72DC6" w:rsidRDefault="00E7065C" w:rsidP="00F02AD1">
                            <w:pPr>
                              <w:rPr>
                                <w:color w:val="FFFFFF" w:themeColor="background1"/>
                                <w14:textFill>
                                  <w14:noFill/>
                                </w14:textFill>
                              </w:rPr>
                            </w:pPr>
                            <w:r>
                              <w:rPr>
                                <w:noProof/>
                                <w:color w:val="FFFFFF"/>
                              </w:rPr>
                              <w:drawing>
                                <wp:inline distT="0" distB="0" distL="0" distR="0" wp14:anchorId="0E8B29B9" wp14:editId="0BCC537C">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F62DB7C" w:rsidR="00901E25" w:rsidRPr="00D72DC6" w:rsidRDefault="00E7065C" w:rsidP="00F02AD1">
                      <w:pPr>
                        <w:rPr>
                          <w:color w:val="FFFFFF" w:themeColor="background1"/>
                          <w14:textFill>
                            <w14:noFill/>
                          </w14:textFill>
                        </w:rPr>
                      </w:pPr>
                      <w:r>
                        <w:rPr>
                          <w:noProof/>
                          <w:color w:val="FFFFFF"/>
                        </w:rPr>
                        <w:drawing>
                          <wp:inline distT="0" distB="0" distL="0" distR="0" wp14:anchorId="0E8B29B9" wp14:editId="0BCC537C">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901E25" w:rsidRPr="004B7EB6" w:rsidRDefault="00901E2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901E25" w:rsidRPr="004B7EB6" w:rsidRDefault="00901E2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7065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E3BE8" w:rsidRDefault="00D77503" w:rsidP="00901E25">
            <w:pPr>
              <w:jc w:val="center"/>
              <w:rPr>
                <w:rFonts w:ascii="Cambria" w:hAnsi="Cambria"/>
                <w:bCs/>
                <w:color w:val="FFFFFF" w:themeColor="background1"/>
                <w:sz w:val="20"/>
                <w:szCs w:val="19"/>
                <w:lang w:val="es-ES"/>
              </w:rPr>
            </w:pPr>
            <w:r w:rsidRPr="00EE3BE8">
              <w:rPr>
                <w:rFonts w:ascii="Cambria" w:hAnsi="Cambria"/>
                <w:bCs/>
                <w:color w:val="FFFFFF" w:themeColor="background1"/>
                <w:sz w:val="20"/>
                <w:szCs w:val="19"/>
                <w:lang w:val="es-ES"/>
              </w:rPr>
              <w:t>Parte peticionaria</w:t>
            </w:r>
          </w:p>
        </w:tc>
        <w:tc>
          <w:tcPr>
            <w:tcW w:w="6570" w:type="dxa"/>
            <w:vAlign w:val="center"/>
          </w:tcPr>
          <w:p w14:paraId="3C5315D8" w14:textId="02A1E13A" w:rsidR="003239B8" w:rsidRPr="001E328C" w:rsidRDefault="00FC5F11" w:rsidP="00901E25">
            <w:pPr>
              <w:jc w:val="both"/>
              <w:rPr>
                <w:rFonts w:ascii="Cambria" w:hAnsi="Cambria"/>
                <w:bCs/>
                <w:sz w:val="20"/>
                <w:szCs w:val="19"/>
                <w:lang w:val="pt-BR"/>
              </w:rPr>
            </w:pPr>
            <w:r w:rsidRPr="001E328C">
              <w:rPr>
                <w:rFonts w:ascii="Cambria" w:hAnsi="Cambria"/>
                <w:bCs/>
                <w:sz w:val="20"/>
                <w:szCs w:val="19"/>
                <w:lang w:val="pt-BR"/>
              </w:rPr>
              <w:t>Rodrigo Sebastián Da Silva Rodríguez</w:t>
            </w:r>
          </w:p>
        </w:tc>
      </w:tr>
      <w:tr w:rsidR="003239B8" w:rsidRPr="00E7065C"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E3BE8" w:rsidRDefault="000F41CA" w:rsidP="00901E25">
            <w:pPr>
              <w:jc w:val="center"/>
              <w:rPr>
                <w:rFonts w:ascii="Cambria" w:hAnsi="Cambria"/>
                <w:bCs/>
                <w:color w:val="FFFFFF" w:themeColor="background1"/>
                <w:sz w:val="20"/>
                <w:szCs w:val="19"/>
                <w:lang w:val="es-ES"/>
              </w:rPr>
            </w:pPr>
            <w:sdt>
              <w:sdtPr>
                <w:rPr>
                  <w:rFonts w:ascii="Cambria" w:hAnsi="Cambria"/>
                  <w:bCs/>
                  <w:color w:val="FFFFFF" w:themeColor="background1"/>
                  <w:sz w:val="20"/>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E3BE8">
                  <w:rPr>
                    <w:rFonts w:ascii="Cambria" w:hAnsi="Cambria"/>
                    <w:bCs/>
                    <w:color w:val="FFFFFF" w:themeColor="background1"/>
                    <w:sz w:val="20"/>
                    <w:szCs w:val="19"/>
                    <w:lang w:val="es-ES"/>
                  </w:rPr>
                  <w:t>Presunta víctima</w:t>
                </w:r>
              </w:sdtContent>
            </w:sdt>
          </w:p>
        </w:tc>
        <w:tc>
          <w:tcPr>
            <w:tcW w:w="6570" w:type="dxa"/>
            <w:vAlign w:val="center"/>
          </w:tcPr>
          <w:p w14:paraId="4AEBF59E" w14:textId="2C93174E" w:rsidR="003239B8" w:rsidRPr="00EE3BE8" w:rsidRDefault="00FC5F11" w:rsidP="005B6D22">
            <w:pPr>
              <w:jc w:val="both"/>
              <w:rPr>
                <w:rFonts w:ascii="Cambria" w:hAnsi="Cambria"/>
                <w:bCs/>
                <w:sz w:val="20"/>
                <w:szCs w:val="19"/>
                <w:lang w:val="es-VE"/>
              </w:rPr>
            </w:pPr>
            <w:r w:rsidRPr="00EE3BE8">
              <w:rPr>
                <w:rFonts w:ascii="Cambria" w:hAnsi="Cambria"/>
                <w:bCs/>
                <w:sz w:val="20"/>
                <w:szCs w:val="19"/>
                <w:lang w:val="es-ES"/>
              </w:rPr>
              <w:t>Rodrigo Sebastián Da Silva Rodríguez</w:t>
            </w:r>
            <w:r w:rsidR="0049245F">
              <w:rPr>
                <w:rFonts w:ascii="Cambria" w:hAnsi="Cambria"/>
                <w:bCs/>
                <w:sz w:val="20"/>
                <w:szCs w:val="19"/>
                <w:lang w:val="es-ES"/>
              </w:rPr>
              <w:t xml:space="preserve"> y otros</w:t>
            </w:r>
            <w:r w:rsidR="0049245F">
              <w:rPr>
                <w:rStyle w:val="FootnoteReference"/>
                <w:rFonts w:ascii="Cambria" w:hAnsi="Cambria"/>
                <w:bCs/>
                <w:sz w:val="20"/>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E3BE8" w:rsidRDefault="00D77503" w:rsidP="00901E25">
            <w:pPr>
              <w:jc w:val="center"/>
              <w:rPr>
                <w:rFonts w:ascii="Cambria" w:hAnsi="Cambria"/>
                <w:bCs/>
                <w:color w:val="FFFFFF" w:themeColor="background1"/>
                <w:sz w:val="20"/>
                <w:szCs w:val="19"/>
                <w:lang w:val="es-ES"/>
              </w:rPr>
            </w:pPr>
            <w:r w:rsidRPr="00EE3BE8">
              <w:rPr>
                <w:rFonts w:ascii="Cambria" w:hAnsi="Cambria"/>
                <w:bCs/>
                <w:color w:val="FFFFFF" w:themeColor="background1"/>
                <w:sz w:val="20"/>
                <w:szCs w:val="19"/>
                <w:lang w:val="es-ES"/>
              </w:rPr>
              <w:t>Estado denunciado</w:t>
            </w:r>
          </w:p>
        </w:tc>
        <w:tc>
          <w:tcPr>
            <w:tcW w:w="6570" w:type="dxa"/>
            <w:vAlign w:val="center"/>
          </w:tcPr>
          <w:p w14:paraId="274C8A50" w14:textId="669EE54C" w:rsidR="003239B8" w:rsidRPr="00EE3BE8" w:rsidRDefault="00FC5F11" w:rsidP="00901E25">
            <w:pPr>
              <w:jc w:val="both"/>
              <w:rPr>
                <w:rFonts w:ascii="Cambria" w:hAnsi="Cambria"/>
                <w:bCs/>
                <w:sz w:val="20"/>
                <w:szCs w:val="19"/>
                <w:lang w:val="es-ES"/>
              </w:rPr>
            </w:pPr>
            <w:r w:rsidRPr="00EE3BE8">
              <w:rPr>
                <w:rFonts w:ascii="Cambria" w:hAnsi="Cambria"/>
                <w:bCs/>
                <w:sz w:val="20"/>
                <w:szCs w:val="19"/>
                <w:lang w:val="es-ES"/>
              </w:rPr>
              <w:t>Uruguay</w:t>
            </w:r>
          </w:p>
        </w:tc>
      </w:tr>
      <w:tr w:rsidR="00223A29" w:rsidRPr="00E7065C"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E3BE8" w:rsidRDefault="001B3A00" w:rsidP="00E4118C">
            <w:pPr>
              <w:jc w:val="center"/>
              <w:rPr>
                <w:rFonts w:ascii="Cambria" w:hAnsi="Cambria"/>
                <w:bCs/>
                <w:color w:val="FFFFFF" w:themeColor="background1"/>
                <w:sz w:val="20"/>
                <w:szCs w:val="19"/>
                <w:lang w:val="es-ES"/>
              </w:rPr>
            </w:pPr>
            <w:r w:rsidRPr="00EE3BE8">
              <w:rPr>
                <w:rFonts w:ascii="Cambria" w:hAnsi="Cambria"/>
                <w:bCs/>
                <w:color w:val="FFFFFF" w:themeColor="background1"/>
                <w:sz w:val="20"/>
                <w:szCs w:val="19"/>
                <w:lang w:val="es-ES"/>
              </w:rPr>
              <w:t xml:space="preserve">Derechos </w:t>
            </w:r>
            <w:r w:rsidR="00E4118C" w:rsidRPr="00EE3BE8">
              <w:rPr>
                <w:rFonts w:ascii="Cambria" w:hAnsi="Cambria"/>
                <w:bCs/>
                <w:color w:val="FFFFFF" w:themeColor="background1"/>
                <w:sz w:val="20"/>
                <w:szCs w:val="19"/>
                <w:lang w:val="es-ES"/>
              </w:rPr>
              <w:t>invocados</w:t>
            </w:r>
          </w:p>
        </w:tc>
        <w:tc>
          <w:tcPr>
            <w:tcW w:w="6570" w:type="dxa"/>
            <w:vAlign w:val="center"/>
          </w:tcPr>
          <w:p w14:paraId="6DEE1EEB" w14:textId="25728853" w:rsidR="00A70575" w:rsidRPr="00EE3BE8" w:rsidRDefault="00BF514A" w:rsidP="001712DA">
            <w:pPr>
              <w:jc w:val="both"/>
              <w:rPr>
                <w:rFonts w:ascii="Cambria" w:hAnsi="Cambria"/>
                <w:bCs/>
                <w:sz w:val="20"/>
                <w:szCs w:val="19"/>
                <w:lang w:val="es-ES"/>
              </w:rPr>
            </w:pPr>
            <w:r w:rsidRPr="00EE3BE8">
              <w:rPr>
                <w:rFonts w:ascii="Cambria" w:hAnsi="Cambria"/>
                <w:bCs/>
                <w:sz w:val="20"/>
                <w:szCs w:val="19"/>
                <w:lang w:val="es-ES"/>
              </w:rPr>
              <w:t>Artículo</w:t>
            </w:r>
            <w:r w:rsidR="00A66ACA">
              <w:rPr>
                <w:rFonts w:ascii="Cambria" w:hAnsi="Cambria"/>
                <w:bCs/>
                <w:sz w:val="20"/>
                <w:szCs w:val="19"/>
                <w:lang w:val="es-ES"/>
              </w:rPr>
              <w:t>s</w:t>
            </w:r>
            <w:r w:rsidRPr="00EE3BE8">
              <w:rPr>
                <w:rFonts w:ascii="Cambria" w:hAnsi="Cambria"/>
                <w:bCs/>
                <w:sz w:val="20"/>
                <w:szCs w:val="19"/>
                <w:lang w:val="es-ES"/>
              </w:rPr>
              <w:t xml:space="preserve"> </w:t>
            </w:r>
            <w:r w:rsidR="00A70575" w:rsidRPr="00EE3BE8">
              <w:rPr>
                <w:rFonts w:ascii="Cambria" w:hAnsi="Cambria"/>
                <w:bCs/>
                <w:sz w:val="20"/>
                <w:szCs w:val="19"/>
                <w:lang w:val="es-ES"/>
              </w:rPr>
              <w:t xml:space="preserve">23 (derechos políticos), 24 (igualdad ante la ley) y 25 (protección judicial) </w:t>
            </w:r>
            <w:r w:rsidRPr="00EE3BE8">
              <w:rPr>
                <w:rFonts w:ascii="Cambria" w:hAnsi="Cambria"/>
                <w:bCs/>
                <w:sz w:val="20"/>
                <w:szCs w:val="19"/>
                <w:lang w:val="es-ES"/>
              </w:rPr>
              <w:t>de la Convención Americana sobre Derechos Humanos</w:t>
            </w:r>
            <w:r w:rsidRPr="00EE3BE8">
              <w:rPr>
                <w:rStyle w:val="FootnoteReference"/>
                <w:rFonts w:ascii="Cambria" w:hAnsi="Cambria"/>
                <w:bCs/>
                <w:sz w:val="20"/>
                <w:szCs w:val="19"/>
                <w:lang w:val="es-ES"/>
              </w:rPr>
              <w:footnoteReference w:id="3"/>
            </w:r>
            <w:r w:rsidR="00A66ACA">
              <w:rPr>
                <w:rFonts w:ascii="Cambria" w:hAnsi="Cambria"/>
                <w:bCs/>
                <w:sz w:val="20"/>
                <w:szCs w:val="19"/>
                <w:lang w:val="es-ES"/>
              </w:rPr>
              <w:t xml:space="preserve">; </w:t>
            </w:r>
            <w:r w:rsidR="001712DA">
              <w:rPr>
                <w:rFonts w:ascii="Cambria" w:hAnsi="Cambria"/>
                <w:bCs/>
                <w:sz w:val="20"/>
                <w:szCs w:val="19"/>
                <w:lang w:val="es-ES"/>
              </w:rPr>
              <w:t>y a</w:t>
            </w:r>
            <w:r w:rsidR="00A70575" w:rsidRPr="00EE3BE8">
              <w:rPr>
                <w:rFonts w:ascii="Cambria" w:hAnsi="Cambria"/>
                <w:bCs/>
                <w:sz w:val="20"/>
                <w:szCs w:val="19"/>
                <w:lang w:val="es-ES"/>
              </w:rPr>
              <w:t>rtículo</w:t>
            </w:r>
            <w:r w:rsidR="00A66ACA">
              <w:rPr>
                <w:rFonts w:ascii="Cambria" w:hAnsi="Cambria"/>
                <w:bCs/>
                <w:sz w:val="20"/>
                <w:szCs w:val="19"/>
                <w:lang w:val="es-ES"/>
              </w:rPr>
              <w:t>s</w:t>
            </w:r>
            <w:r w:rsidR="00A70575" w:rsidRPr="00EE3BE8">
              <w:rPr>
                <w:rFonts w:ascii="Cambria" w:hAnsi="Cambria"/>
                <w:bCs/>
                <w:sz w:val="20"/>
                <w:szCs w:val="19"/>
                <w:lang w:val="es-ES"/>
              </w:rPr>
              <w:t xml:space="preserve"> II (derecho de igualdad ante la ley), XVII (derecho de reconocimiento de la personalidad jurídica y de los derechos civiles), XX (derecho de sufragio y de participación en el gobierno) y XXXII (deber de sufragio) de la Declaración Americana de los Derechos y Deberes del Hombre</w:t>
            </w:r>
            <w:r w:rsidR="00A70575" w:rsidRPr="00EE3BE8">
              <w:rPr>
                <w:rStyle w:val="FootnoteReference"/>
                <w:rFonts w:ascii="Cambria" w:hAnsi="Cambria"/>
                <w:bCs/>
                <w:sz w:val="20"/>
                <w:szCs w:val="19"/>
                <w:lang w:val="es-ES"/>
              </w:rPr>
              <w:footnoteReference w:id="4"/>
            </w:r>
          </w:p>
        </w:tc>
      </w:tr>
    </w:tbl>
    <w:p w14:paraId="20263696" w14:textId="77777777" w:rsidR="003239B8" w:rsidRPr="00EE3BE8" w:rsidRDefault="003239B8" w:rsidP="007C402A">
      <w:pPr>
        <w:spacing w:before="120" w:after="120"/>
        <w:ind w:firstLine="720"/>
        <w:jc w:val="both"/>
        <w:rPr>
          <w:rFonts w:ascii="Cambria" w:hAnsi="Cambria"/>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r>
      <w:r w:rsidRPr="00EE3BE8">
        <w:rPr>
          <w:rFonts w:ascii="Cambria" w:hAnsi="Cambria"/>
          <w:b/>
          <w:bCs/>
          <w:sz w:val="20"/>
          <w:szCs w:val="20"/>
          <w:lang w:val="es-ES"/>
        </w:rPr>
        <w:t>TRÁMITE ANTE LA CIDH</w:t>
      </w:r>
      <w:r w:rsidR="008E3BFE" w:rsidRPr="00EE3BE8">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E3BE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E3BE8" w:rsidRDefault="000C1C69" w:rsidP="004A6A54">
            <w:pPr>
              <w:jc w:val="center"/>
              <w:rPr>
                <w:rFonts w:ascii="Cambria" w:hAnsi="Cambria"/>
                <w:bCs/>
                <w:color w:val="FFFFFF" w:themeColor="background1"/>
                <w:sz w:val="20"/>
                <w:szCs w:val="20"/>
                <w:lang w:val="es-ES"/>
              </w:rPr>
            </w:pPr>
            <w:r w:rsidRPr="00EE3BE8">
              <w:rPr>
                <w:rFonts w:ascii="Cambria" w:hAnsi="Cambria"/>
                <w:bCs/>
                <w:color w:val="FFFFFF" w:themeColor="background1"/>
                <w:sz w:val="20"/>
                <w:szCs w:val="20"/>
                <w:lang w:val="es-ES"/>
              </w:rPr>
              <w:t>Recepción</w:t>
            </w:r>
            <w:r w:rsidR="00D77503" w:rsidRPr="00EE3BE8">
              <w:rPr>
                <w:rFonts w:ascii="Cambria" w:hAnsi="Cambria"/>
                <w:bCs/>
                <w:color w:val="FFFFFF" w:themeColor="background1"/>
                <w:sz w:val="20"/>
                <w:szCs w:val="20"/>
                <w:lang w:val="es-ES"/>
              </w:rPr>
              <w:t xml:space="preserve"> de la petición</w:t>
            </w:r>
          </w:p>
        </w:tc>
        <w:tc>
          <w:tcPr>
            <w:tcW w:w="6570" w:type="dxa"/>
            <w:vAlign w:val="center"/>
          </w:tcPr>
          <w:p w14:paraId="6E579153" w14:textId="08C68592" w:rsidR="004C2312" w:rsidRPr="00EE3BE8" w:rsidRDefault="00CC7460" w:rsidP="00901E25">
            <w:pPr>
              <w:jc w:val="both"/>
              <w:rPr>
                <w:rFonts w:ascii="Cambria" w:hAnsi="Cambria"/>
                <w:bCs/>
                <w:sz w:val="20"/>
                <w:szCs w:val="20"/>
                <w:lang w:val="es-ES"/>
              </w:rPr>
            </w:pPr>
            <w:r w:rsidRPr="00EE3BE8">
              <w:rPr>
                <w:rFonts w:ascii="Cambria" w:hAnsi="Cambria"/>
                <w:bCs/>
                <w:sz w:val="20"/>
                <w:szCs w:val="20"/>
                <w:lang w:val="es-ES"/>
              </w:rPr>
              <w:t>29 de noviembre de 2011</w:t>
            </w:r>
          </w:p>
        </w:tc>
      </w:tr>
      <w:tr w:rsidR="0070223C" w:rsidRPr="0070223C" w14:paraId="73F2C87F" w14:textId="77777777" w:rsidTr="00954B82">
        <w:tc>
          <w:tcPr>
            <w:tcW w:w="2790" w:type="dxa"/>
            <w:tcBorders>
              <w:top w:val="single" w:sz="6" w:space="0" w:color="auto"/>
              <w:bottom w:val="single" w:sz="6" w:space="0" w:color="auto"/>
            </w:tcBorders>
            <w:shd w:val="clear" w:color="auto" w:fill="386294"/>
            <w:vAlign w:val="center"/>
          </w:tcPr>
          <w:p w14:paraId="5EC8D064" w14:textId="265029CE" w:rsidR="0070223C" w:rsidRPr="0070223C" w:rsidRDefault="0070223C" w:rsidP="004A6A54">
            <w:pPr>
              <w:jc w:val="center"/>
              <w:rPr>
                <w:rFonts w:ascii="Cambria" w:hAnsi="Cambria"/>
                <w:bCs/>
                <w:color w:val="FFFFFF" w:themeColor="background1"/>
                <w:sz w:val="20"/>
                <w:szCs w:val="20"/>
                <w:lang w:val="es-VE"/>
              </w:rPr>
            </w:pPr>
            <w:r>
              <w:rPr>
                <w:rFonts w:ascii="Cambria" w:hAnsi="Cambria"/>
                <w:bCs/>
                <w:color w:val="FFFFFF" w:themeColor="background1"/>
                <w:sz w:val="20"/>
                <w:szCs w:val="20"/>
                <w:lang w:val="es-ES"/>
              </w:rPr>
              <w:t>Información</w:t>
            </w:r>
            <w:r>
              <w:rPr>
                <w:rFonts w:ascii="Cambria" w:hAnsi="Cambria"/>
                <w:bCs/>
                <w:color w:val="FFFFFF" w:themeColor="background1"/>
                <w:sz w:val="20"/>
                <w:szCs w:val="20"/>
                <w:lang w:val="es-VE"/>
              </w:rPr>
              <w:t xml:space="preserve"> adicional durante la etapa inicial</w:t>
            </w:r>
          </w:p>
        </w:tc>
        <w:tc>
          <w:tcPr>
            <w:tcW w:w="6570" w:type="dxa"/>
            <w:vAlign w:val="center"/>
          </w:tcPr>
          <w:p w14:paraId="58EF6B43" w14:textId="1B7B278F" w:rsidR="0070223C" w:rsidRPr="0070223C" w:rsidRDefault="0070223C" w:rsidP="00901E25">
            <w:pPr>
              <w:jc w:val="both"/>
              <w:rPr>
                <w:rFonts w:ascii="Cambria" w:hAnsi="Cambria"/>
                <w:bCs/>
                <w:sz w:val="20"/>
                <w:szCs w:val="20"/>
                <w:lang w:val="es-VE"/>
              </w:rPr>
            </w:pPr>
            <w:r w:rsidRPr="00EE3BE8">
              <w:rPr>
                <w:rFonts w:ascii="Cambria" w:hAnsi="Cambria"/>
                <w:bCs/>
                <w:sz w:val="20"/>
                <w:szCs w:val="20"/>
                <w:lang w:val="es-ES"/>
              </w:rPr>
              <w:t>8 de enero de 201</w:t>
            </w:r>
            <w:r>
              <w:rPr>
                <w:rFonts w:ascii="Cambria" w:hAnsi="Cambria"/>
                <w:bCs/>
                <w:sz w:val="20"/>
                <w:szCs w:val="20"/>
                <w:lang w:val="es-ES"/>
              </w:rPr>
              <w:t>3</w:t>
            </w:r>
          </w:p>
        </w:tc>
      </w:tr>
      <w:tr w:rsidR="004C2312" w:rsidRPr="00EE3BE8"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E3BE8" w:rsidRDefault="004A6A54" w:rsidP="000C1C69">
            <w:pPr>
              <w:jc w:val="center"/>
              <w:rPr>
                <w:rFonts w:ascii="Cambria" w:hAnsi="Cambria"/>
                <w:bCs/>
                <w:color w:val="FFFFFF" w:themeColor="background1"/>
                <w:sz w:val="20"/>
                <w:szCs w:val="20"/>
                <w:lang w:val="es-ES"/>
              </w:rPr>
            </w:pPr>
            <w:r w:rsidRPr="00EE3BE8">
              <w:rPr>
                <w:rFonts w:ascii="Cambria" w:hAnsi="Cambria"/>
                <w:color w:val="FFFFFF" w:themeColor="background1"/>
                <w:sz w:val="20"/>
                <w:szCs w:val="20"/>
                <w:lang w:val="es-ES"/>
              </w:rPr>
              <w:t>N</w:t>
            </w:r>
            <w:r w:rsidR="004C2312" w:rsidRPr="00EE3BE8">
              <w:rPr>
                <w:rFonts w:ascii="Cambria" w:hAnsi="Cambria"/>
                <w:color w:val="FFFFFF" w:themeColor="background1"/>
                <w:sz w:val="20"/>
                <w:szCs w:val="20"/>
                <w:lang w:val="es-ES"/>
              </w:rPr>
              <w:t>otificación de la petición</w:t>
            </w:r>
          </w:p>
        </w:tc>
        <w:tc>
          <w:tcPr>
            <w:tcW w:w="6570" w:type="dxa"/>
            <w:vAlign w:val="center"/>
          </w:tcPr>
          <w:p w14:paraId="1519DA6A" w14:textId="03FBCBD3" w:rsidR="004C2312" w:rsidRPr="00EE3BE8" w:rsidRDefault="00CC7460" w:rsidP="00901E25">
            <w:pPr>
              <w:jc w:val="both"/>
              <w:rPr>
                <w:rFonts w:ascii="Cambria" w:hAnsi="Cambria"/>
                <w:bCs/>
                <w:sz w:val="20"/>
                <w:szCs w:val="20"/>
                <w:lang w:val="es-ES"/>
              </w:rPr>
            </w:pPr>
            <w:r w:rsidRPr="00EE3BE8">
              <w:rPr>
                <w:rFonts w:ascii="Cambria" w:hAnsi="Cambria"/>
                <w:bCs/>
                <w:sz w:val="20"/>
                <w:szCs w:val="20"/>
                <w:lang w:val="es-ES"/>
              </w:rPr>
              <w:t>7 de agosto de 2017</w:t>
            </w:r>
          </w:p>
        </w:tc>
      </w:tr>
      <w:tr w:rsidR="00F06354" w:rsidRPr="00EE3BE8"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E3BE8" w:rsidRDefault="00D77503" w:rsidP="00F06354">
            <w:pPr>
              <w:jc w:val="center"/>
              <w:rPr>
                <w:rFonts w:ascii="Cambria" w:hAnsi="Cambria"/>
                <w:bCs/>
                <w:color w:val="FFFFFF" w:themeColor="background1"/>
                <w:sz w:val="20"/>
                <w:szCs w:val="20"/>
                <w:lang w:val="es-ES"/>
              </w:rPr>
            </w:pPr>
            <w:r w:rsidRPr="00EE3BE8">
              <w:rPr>
                <w:rFonts w:ascii="Cambria" w:hAnsi="Cambria"/>
                <w:color w:val="FFFFFF" w:themeColor="background1"/>
                <w:sz w:val="20"/>
                <w:szCs w:val="20"/>
                <w:lang w:val="es-ES"/>
              </w:rPr>
              <w:t>Primera respuesta del Estado</w:t>
            </w:r>
          </w:p>
        </w:tc>
        <w:tc>
          <w:tcPr>
            <w:tcW w:w="6570" w:type="dxa"/>
            <w:vAlign w:val="center"/>
          </w:tcPr>
          <w:p w14:paraId="1972B99E" w14:textId="42FEDA5A" w:rsidR="00F06354" w:rsidRPr="00EE3BE8" w:rsidRDefault="00CC7460" w:rsidP="00F06354">
            <w:pPr>
              <w:jc w:val="both"/>
              <w:rPr>
                <w:rFonts w:ascii="Cambria" w:hAnsi="Cambria"/>
                <w:bCs/>
                <w:sz w:val="20"/>
                <w:szCs w:val="20"/>
                <w:lang w:val="es-ES"/>
              </w:rPr>
            </w:pPr>
            <w:r w:rsidRPr="00EE3BE8">
              <w:rPr>
                <w:rFonts w:ascii="Cambria" w:hAnsi="Cambria"/>
                <w:bCs/>
                <w:sz w:val="20"/>
                <w:szCs w:val="20"/>
                <w:lang w:val="es-ES"/>
              </w:rPr>
              <w:t>8 de diciembre de 2017</w:t>
            </w:r>
          </w:p>
        </w:tc>
      </w:tr>
      <w:tr w:rsidR="00F06354" w:rsidRPr="00E7065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EE3BE8" w:rsidRDefault="00F06354" w:rsidP="00F06354">
            <w:pPr>
              <w:jc w:val="center"/>
              <w:rPr>
                <w:rFonts w:ascii="Cambria" w:hAnsi="Cambria"/>
                <w:bCs/>
                <w:color w:val="FFFFFF" w:themeColor="background1"/>
                <w:sz w:val="20"/>
                <w:szCs w:val="20"/>
                <w:lang w:val="es-ES"/>
              </w:rPr>
            </w:pPr>
            <w:r w:rsidRPr="00EE3BE8">
              <w:rPr>
                <w:rFonts w:ascii="Cambria" w:hAnsi="Cambria"/>
                <w:bCs/>
                <w:color w:val="FFFFFF" w:themeColor="background1"/>
                <w:sz w:val="20"/>
                <w:szCs w:val="20"/>
                <w:lang w:val="es-ES"/>
              </w:rPr>
              <w:t>Observaciones adicionales de</w:t>
            </w:r>
            <w:r w:rsidR="00D77503" w:rsidRPr="00EE3BE8">
              <w:rPr>
                <w:rFonts w:ascii="Cambria" w:hAnsi="Cambria"/>
                <w:bCs/>
                <w:color w:val="FFFFFF" w:themeColor="background1"/>
                <w:sz w:val="20"/>
                <w:szCs w:val="20"/>
                <w:lang w:val="es-ES"/>
              </w:rPr>
              <w:t xml:space="preserve"> la parte peticionaria</w:t>
            </w:r>
          </w:p>
        </w:tc>
        <w:tc>
          <w:tcPr>
            <w:tcW w:w="6570" w:type="dxa"/>
            <w:vAlign w:val="center"/>
          </w:tcPr>
          <w:p w14:paraId="41D8B862" w14:textId="0A19D132" w:rsidR="00F06354" w:rsidRPr="00EE3BE8" w:rsidRDefault="00FC5F11" w:rsidP="00D77503">
            <w:pPr>
              <w:jc w:val="both"/>
              <w:rPr>
                <w:rFonts w:ascii="Cambria" w:hAnsi="Cambria"/>
                <w:bCs/>
                <w:sz w:val="20"/>
                <w:szCs w:val="20"/>
                <w:lang w:val="es-ES"/>
              </w:rPr>
            </w:pPr>
            <w:r w:rsidRPr="00EE3BE8">
              <w:rPr>
                <w:rFonts w:ascii="Cambria" w:hAnsi="Cambria"/>
                <w:bCs/>
                <w:sz w:val="20"/>
                <w:szCs w:val="20"/>
                <w:lang w:val="es-ES"/>
              </w:rPr>
              <w:t>19 de abril y 1 y 7 de agosto de 2017</w:t>
            </w:r>
          </w:p>
        </w:tc>
      </w:tr>
    </w:tbl>
    <w:p w14:paraId="21DAA666" w14:textId="5065046E" w:rsidR="003239B8" w:rsidRPr="00EE3BE8" w:rsidRDefault="003239B8" w:rsidP="007C402A">
      <w:pPr>
        <w:spacing w:before="120" w:after="120"/>
        <w:ind w:firstLine="720"/>
        <w:jc w:val="both"/>
        <w:rPr>
          <w:rFonts w:ascii="Cambria" w:hAnsi="Cambria"/>
          <w:b/>
          <w:bCs/>
          <w:sz w:val="20"/>
          <w:szCs w:val="20"/>
          <w:lang w:val="es-ES"/>
        </w:rPr>
      </w:pPr>
      <w:r w:rsidRPr="00EE3BE8">
        <w:rPr>
          <w:rFonts w:ascii="Cambria" w:hAnsi="Cambria"/>
          <w:b/>
          <w:bCs/>
          <w:sz w:val="20"/>
          <w:szCs w:val="20"/>
          <w:lang w:val="es-ES"/>
        </w:rPr>
        <w:t xml:space="preserve">III. </w:t>
      </w:r>
      <w:r w:rsidRPr="00EE3BE8">
        <w:rPr>
          <w:rFonts w:ascii="Cambria" w:hAnsi="Cambria"/>
          <w:b/>
          <w:bCs/>
          <w:sz w:val="20"/>
          <w:szCs w:val="20"/>
          <w:lang w:val="es-ES"/>
        </w:rPr>
        <w:tab/>
        <w:t>COMPETENCIA</w:t>
      </w:r>
      <w:r w:rsidR="00EE00E9" w:rsidRPr="00EE3BE8">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EE3BE8"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EE3BE8" w:rsidRDefault="00D77503" w:rsidP="00901E25">
            <w:pPr>
              <w:jc w:val="center"/>
              <w:rPr>
                <w:rFonts w:ascii="Cambria" w:hAnsi="Cambria"/>
                <w:bCs/>
                <w:i/>
                <w:color w:val="FFFFFF" w:themeColor="background1"/>
                <w:sz w:val="20"/>
                <w:szCs w:val="20"/>
                <w:lang w:val="es-ES"/>
              </w:rPr>
            </w:pPr>
            <w:r w:rsidRPr="00EE3BE8">
              <w:rPr>
                <w:rFonts w:ascii="Cambria" w:hAnsi="Cambria"/>
                <w:bCs/>
                <w:i/>
                <w:color w:val="FFFFFF" w:themeColor="background1"/>
                <w:sz w:val="20"/>
                <w:szCs w:val="20"/>
                <w:lang w:val="es-ES"/>
              </w:rPr>
              <w:t>Ratione personae</w:t>
            </w:r>
          </w:p>
        </w:tc>
        <w:tc>
          <w:tcPr>
            <w:tcW w:w="6570" w:type="dxa"/>
            <w:vAlign w:val="center"/>
          </w:tcPr>
          <w:p w14:paraId="7707F3E9" w14:textId="25CE898A" w:rsidR="003239B8" w:rsidRPr="00490048" w:rsidRDefault="00CE031E" w:rsidP="00901E25">
            <w:pPr>
              <w:rPr>
                <w:rFonts w:ascii="Cambria" w:hAnsi="Cambria"/>
                <w:bCs/>
                <w:sz w:val="20"/>
                <w:szCs w:val="20"/>
                <w:lang w:val="es-ES"/>
              </w:rPr>
            </w:pPr>
            <w:r w:rsidRPr="00490048">
              <w:rPr>
                <w:rFonts w:ascii="Cambria" w:hAnsi="Cambria"/>
                <w:bCs/>
                <w:sz w:val="20"/>
                <w:szCs w:val="20"/>
                <w:lang w:val="es-ES"/>
              </w:rPr>
              <w:t>Sí</w:t>
            </w:r>
          </w:p>
        </w:tc>
      </w:tr>
      <w:tr w:rsidR="003239B8" w:rsidRPr="00EE3BE8"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EE3BE8" w:rsidRDefault="003239B8" w:rsidP="00D77503">
            <w:pPr>
              <w:jc w:val="center"/>
              <w:rPr>
                <w:rFonts w:ascii="Cambria" w:hAnsi="Cambria"/>
                <w:bCs/>
                <w:color w:val="FFFFFF" w:themeColor="background1"/>
                <w:sz w:val="20"/>
                <w:szCs w:val="20"/>
                <w:lang w:val="es-ES"/>
              </w:rPr>
            </w:pPr>
            <w:r w:rsidRPr="00EE3BE8">
              <w:rPr>
                <w:rFonts w:ascii="Cambria" w:hAnsi="Cambria"/>
                <w:bCs/>
                <w:i/>
                <w:color w:val="FFFFFF" w:themeColor="background1"/>
                <w:sz w:val="20"/>
                <w:szCs w:val="20"/>
                <w:lang w:val="es-ES"/>
              </w:rPr>
              <w:t>Ratione loci</w:t>
            </w:r>
          </w:p>
        </w:tc>
        <w:tc>
          <w:tcPr>
            <w:tcW w:w="6570" w:type="dxa"/>
            <w:vAlign w:val="center"/>
          </w:tcPr>
          <w:p w14:paraId="12C931CB" w14:textId="149318F7" w:rsidR="003239B8" w:rsidRPr="00490048" w:rsidRDefault="00CE031E" w:rsidP="00901E25">
            <w:pPr>
              <w:rPr>
                <w:rFonts w:ascii="Cambria" w:hAnsi="Cambria"/>
                <w:bCs/>
                <w:sz w:val="20"/>
                <w:szCs w:val="20"/>
                <w:lang w:val="es-ES"/>
              </w:rPr>
            </w:pPr>
            <w:r w:rsidRPr="00490048">
              <w:rPr>
                <w:rFonts w:ascii="Cambria" w:hAnsi="Cambria"/>
                <w:bCs/>
                <w:sz w:val="20"/>
                <w:szCs w:val="20"/>
                <w:lang w:val="es-ES"/>
              </w:rPr>
              <w:t>Sí</w:t>
            </w:r>
          </w:p>
        </w:tc>
      </w:tr>
      <w:tr w:rsidR="003239B8" w:rsidRPr="00EE3BE8"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EE3BE8" w:rsidRDefault="003239B8" w:rsidP="00901E25">
            <w:pPr>
              <w:jc w:val="center"/>
              <w:rPr>
                <w:rFonts w:ascii="Cambria" w:hAnsi="Cambria"/>
                <w:bCs/>
                <w:color w:val="FFFFFF" w:themeColor="background1"/>
                <w:sz w:val="20"/>
                <w:szCs w:val="20"/>
                <w:lang w:val="es-ES"/>
              </w:rPr>
            </w:pPr>
            <w:r w:rsidRPr="00EE3BE8">
              <w:rPr>
                <w:rFonts w:ascii="Cambria" w:hAnsi="Cambria"/>
                <w:bCs/>
                <w:i/>
                <w:color w:val="FFFFFF" w:themeColor="background1"/>
                <w:sz w:val="20"/>
                <w:szCs w:val="20"/>
                <w:lang w:val="es-ES"/>
              </w:rPr>
              <w:t>Ratione temporis</w:t>
            </w:r>
          </w:p>
        </w:tc>
        <w:tc>
          <w:tcPr>
            <w:tcW w:w="6570" w:type="dxa"/>
            <w:vAlign w:val="center"/>
          </w:tcPr>
          <w:p w14:paraId="6F8B059B" w14:textId="71C4A210" w:rsidR="003239B8" w:rsidRPr="00490048" w:rsidRDefault="00CE031E" w:rsidP="00901E25">
            <w:pPr>
              <w:rPr>
                <w:rFonts w:ascii="Cambria" w:hAnsi="Cambria"/>
                <w:bCs/>
                <w:sz w:val="20"/>
                <w:szCs w:val="20"/>
                <w:lang w:val="es-ES"/>
              </w:rPr>
            </w:pPr>
            <w:r w:rsidRPr="00490048">
              <w:rPr>
                <w:rFonts w:ascii="Cambria" w:hAnsi="Cambria"/>
                <w:bCs/>
                <w:sz w:val="20"/>
                <w:szCs w:val="20"/>
                <w:lang w:val="es-ES"/>
              </w:rPr>
              <w:t>Sí</w:t>
            </w:r>
          </w:p>
        </w:tc>
      </w:tr>
      <w:tr w:rsidR="003239B8" w:rsidRPr="00E7065C"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EE3BE8" w:rsidRDefault="003239B8" w:rsidP="00901E25">
            <w:pPr>
              <w:jc w:val="center"/>
              <w:rPr>
                <w:rFonts w:ascii="Cambria" w:hAnsi="Cambria"/>
                <w:bCs/>
                <w:color w:val="FFFFFF" w:themeColor="background1"/>
                <w:sz w:val="20"/>
                <w:szCs w:val="20"/>
                <w:lang w:val="es-ES"/>
              </w:rPr>
            </w:pPr>
            <w:r w:rsidRPr="00EE3BE8">
              <w:rPr>
                <w:rFonts w:ascii="Cambria" w:hAnsi="Cambria"/>
                <w:bCs/>
                <w:i/>
                <w:color w:val="FFFFFF" w:themeColor="background1"/>
                <w:sz w:val="20"/>
                <w:szCs w:val="20"/>
                <w:lang w:val="es-ES"/>
              </w:rPr>
              <w:t>Ratione materia</w:t>
            </w:r>
            <w:r w:rsidR="00EE00E9" w:rsidRPr="00EE3BE8">
              <w:rPr>
                <w:rFonts w:ascii="Cambria" w:hAnsi="Cambria"/>
                <w:bCs/>
                <w:i/>
                <w:color w:val="FFFFFF" w:themeColor="background1"/>
                <w:sz w:val="20"/>
                <w:szCs w:val="20"/>
                <w:lang w:val="es-ES"/>
              </w:rPr>
              <w:t>e</w:t>
            </w:r>
          </w:p>
        </w:tc>
        <w:tc>
          <w:tcPr>
            <w:tcW w:w="6570" w:type="dxa"/>
            <w:vAlign w:val="center"/>
          </w:tcPr>
          <w:p w14:paraId="0C122F44" w14:textId="28CF1B66" w:rsidR="003239B8" w:rsidRPr="00490048" w:rsidRDefault="00CE031E" w:rsidP="00901E25">
            <w:pPr>
              <w:jc w:val="both"/>
              <w:rPr>
                <w:rFonts w:ascii="Cambria" w:hAnsi="Cambria"/>
                <w:bCs/>
                <w:sz w:val="20"/>
                <w:szCs w:val="20"/>
                <w:lang w:val="es-VE"/>
              </w:rPr>
            </w:pPr>
            <w:r w:rsidRPr="00490048">
              <w:rPr>
                <w:rFonts w:ascii="Cambria" w:hAnsi="Cambria"/>
                <w:bCs/>
                <w:sz w:val="20"/>
                <w:szCs w:val="20"/>
                <w:lang w:val="es-ES"/>
              </w:rPr>
              <w:t>Sí</w:t>
            </w:r>
            <w:r w:rsidR="00490048">
              <w:rPr>
                <w:rFonts w:ascii="Cambria" w:hAnsi="Cambria"/>
                <w:bCs/>
                <w:sz w:val="20"/>
                <w:szCs w:val="20"/>
                <w:lang w:val="es-ES"/>
              </w:rPr>
              <w:t xml:space="preserve">, </w:t>
            </w:r>
            <w:r w:rsidR="0049245F" w:rsidRPr="00490048">
              <w:rPr>
                <w:rFonts w:ascii="Cambria" w:hAnsi="Cambria"/>
                <w:bCs/>
                <w:sz w:val="20"/>
                <w:szCs w:val="20"/>
                <w:lang w:val="es-VE"/>
              </w:rPr>
              <w:t xml:space="preserve">Convención Americana (depósito </w:t>
            </w:r>
            <w:r w:rsidR="00490048" w:rsidRPr="00490048">
              <w:rPr>
                <w:rFonts w:ascii="Cambria" w:hAnsi="Cambria"/>
                <w:bCs/>
                <w:sz w:val="20"/>
                <w:szCs w:val="20"/>
                <w:lang w:val="es-VE"/>
              </w:rPr>
              <w:t xml:space="preserve">de instrumento de ratificación </w:t>
            </w:r>
            <w:r w:rsidR="0049245F" w:rsidRPr="00490048">
              <w:rPr>
                <w:rFonts w:ascii="Cambria" w:hAnsi="Cambria"/>
                <w:bCs/>
                <w:sz w:val="20"/>
                <w:szCs w:val="20"/>
                <w:lang w:val="es-VE"/>
              </w:rPr>
              <w:t>realizado el 19 de abril de 1985)</w:t>
            </w:r>
          </w:p>
        </w:tc>
      </w:tr>
    </w:tbl>
    <w:p w14:paraId="4E92C444" w14:textId="63F7FBC1" w:rsidR="003239B8" w:rsidRPr="00EE3BE8" w:rsidRDefault="003239B8" w:rsidP="007C402A">
      <w:pPr>
        <w:spacing w:before="120" w:after="120"/>
        <w:ind w:firstLine="720"/>
        <w:jc w:val="both"/>
        <w:rPr>
          <w:rFonts w:ascii="Cambria" w:hAnsi="Cambria"/>
          <w:b/>
          <w:bCs/>
          <w:sz w:val="20"/>
          <w:szCs w:val="20"/>
          <w:lang w:val="es-ES"/>
        </w:rPr>
      </w:pPr>
      <w:r w:rsidRPr="00EE3BE8">
        <w:rPr>
          <w:rFonts w:ascii="Cambria" w:hAnsi="Cambria"/>
          <w:b/>
          <w:bCs/>
          <w:sz w:val="20"/>
          <w:szCs w:val="20"/>
          <w:lang w:val="es-ES"/>
        </w:rPr>
        <w:t xml:space="preserve">IV. </w:t>
      </w:r>
      <w:r w:rsidRPr="00EE3BE8">
        <w:rPr>
          <w:rFonts w:ascii="Cambria" w:hAnsi="Cambria"/>
          <w:b/>
          <w:bCs/>
          <w:sz w:val="20"/>
          <w:szCs w:val="20"/>
          <w:lang w:val="es-ES"/>
        </w:rPr>
        <w:tab/>
      </w:r>
      <w:r w:rsidR="00EE00E9" w:rsidRPr="00EE3BE8">
        <w:rPr>
          <w:rFonts w:ascii="Cambria" w:hAnsi="Cambria"/>
          <w:b/>
          <w:bCs/>
          <w:sz w:val="20"/>
          <w:szCs w:val="20"/>
          <w:lang w:val="es-ES"/>
        </w:rPr>
        <w:t>DUPLICACIÓN</w:t>
      </w:r>
      <w:r w:rsidR="00EE00E9" w:rsidRPr="00EE3BE8">
        <w:rPr>
          <w:rFonts w:ascii="Cambria" w:hAnsi="Cambria"/>
          <w:b/>
          <w:bCs/>
          <w:color w:val="FFFFFF" w:themeColor="background1"/>
          <w:sz w:val="20"/>
          <w:szCs w:val="20"/>
          <w:lang w:val="es-ES"/>
        </w:rPr>
        <w:t xml:space="preserve"> </w:t>
      </w:r>
      <w:r w:rsidR="00EE00E9" w:rsidRPr="00EE3BE8">
        <w:rPr>
          <w:rFonts w:ascii="Cambria" w:hAnsi="Cambria"/>
          <w:b/>
          <w:bCs/>
          <w:sz w:val="20"/>
          <w:szCs w:val="20"/>
          <w:lang w:val="es-ES"/>
        </w:rPr>
        <w:t>DE PROCEDIMIENTOS Y COSA JUZGADA</w:t>
      </w:r>
      <w:r w:rsidR="00EE00E9" w:rsidRPr="00EE3BE8">
        <w:rPr>
          <w:rFonts w:ascii="Cambria" w:hAnsi="Cambria"/>
          <w:b/>
          <w:bCs/>
          <w:i/>
          <w:sz w:val="20"/>
          <w:szCs w:val="20"/>
          <w:lang w:val="es-ES"/>
        </w:rPr>
        <w:t xml:space="preserve"> </w:t>
      </w:r>
      <w:r w:rsidR="00EE00E9" w:rsidRPr="00EE3BE8">
        <w:rPr>
          <w:rFonts w:ascii="Cambria" w:hAnsi="Cambria"/>
          <w:b/>
          <w:bCs/>
          <w:sz w:val="20"/>
          <w:szCs w:val="20"/>
          <w:lang w:val="es-ES"/>
        </w:rPr>
        <w:t>INTERNACIONAL,</w:t>
      </w:r>
      <w:r w:rsidRPr="00EE3BE8">
        <w:rPr>
          <w:rFonts w:ascii="Cambria" w:hAnsi="Cambria"/>
          <w:b/>
          <w:bCs/>
          <w:sz w:val="20"/>
          <w:szCs w:val="20"/>
          <w:lang w:val="es-ES"/>
        </w:rPr>
        <w:t xml:space="preserve"> CARACTERIZACIÓN, </w:t>
      </w:r>
      <w:r w:rsidRPr="00EE3BE8">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EE3BE8"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E3BE8" w:rsidRDefault="00EE00E9" w:rsidP="00954B82">
            <w:pPr>
              <w:jc w:val="center"/>
              <w:rPr>
                <w:rFonts w:ascii="Cambria" w:hAnsi="Cambria"/>
                <w:bCs/>
                <w:color w:val="FFFFFF" w:themeColor="background1"/>
                <w:sz w:val="20"/>
                <w:szCs w:val="20"/>
                <w:lang w:val="es-ES"/>
              </w:rPr>
            </w:pPr>
            <w:r w:rsidRPr="00EE3BE8">
              <w:rPr>
                <w:rFonts w:ascii="Cambria" w:hAnsi="Cambria"/>
                <w:bCs/>
                <w:color w:val="FFFFFF" w:themeColor="background1"/>
                <w:sz w:val="20"/>
                <w:szCs w:val="20"/>
                <w:lang w:val="es-ES"/>
              </w:rPr>
              <w:t xml:space="preserve">Duplicación </w:t>
            </w:r>
            <w:r w:rsidR="00D77503" w:rsidRPr="00EE3BE8">
              <w:rPr>
                <w:rFonts w:ascii="Cambria" w:hAnsi="Cambria"/>
                <w:bCs/>
                <w:color w:val="FFFFFF" w:themeColor="background1"/>
                <w:sz w:val="20"/>
                <w:szCs w:val="20"/>
                <w:lang w:val="es-ES"/>
              </w:rPr>
              <w:t>y cosa juzgada internacional</w:t>
            </w:r>
          </w:p>
        </w:tc>
        <w:tc>
          <w:tcPr>
            <w:tcW w:w="6570" w:type="dxa"/>
            <w:vAlign w:val="center"/>
          </w:tcPr>
          <w:p w14:paraId="240941E6" w14:textId="27B13B2D" w:rsidR="00EE00E9" w:rsidRPr="00EE3BE8" w:rsidRDefault="00027E05" w:rsidP="00901E25">
            <w:pPr>
              <w:jc w:val="both"/>
              <w:rPr>
                <w:rFonts w:ascii="Cambria" w:hAnsi="Cambria"/>
                <w:bCs/>
                <w:sz w:val="20"/>
                <w:szCs w:val="20"/>
                <w:lang w:val="es-ES"/>
              </w:rPr>
            </w:pPr>
            <w:r w:rsidRPr="00EE3BE8">
              <w:rPr>
                <w:rFonts w:ascii="Cambria" w:hAnsi="Cambria"/>
                <w:bCs/>
                <w:sz w:val="20"/>
                <w:szCs w:val="20"/>
                <w:lang w:val="es-ES"/>
              </w:rPr>
              <w:t>No</w:t>
            </w:r>
          </w:p>
        </w:tc>
      </w:tr>
      <w:tr w:rsidR="003239B8" w:rsidRPr="00E7065C"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EE3BE8" w:rsidRDefault="003239B8" w:rsidP="00954B82">
            <w:pPr>
              <w:jc w:val="center"/>
              <w:rPr>
                <w:rFonts w:ascii="Cambria" w:hAnsi="Cambria"/>
                <w:bCs/>
                <w:i/>
                <w:color w:val="FFFFFF" w:themeColor="background1"/>
                <w:sz w:val="20"/>
                <w:szCs w:val="20"/>
                <w:lang w:val="es-ES"/>
              </w:rPr>
            </w:pPr>
            <w:r w:rsidRPr="00EE3BE8">
              <w:rPr>
                <w:rFonts w:ascii="Cambria" w:hAnsi="Cambria"/>
                <w:bCs/>
                <w:color w:val="FFFFFF" w:themeColor="background1"/>
                <w:sz w:val="20"/>
                <w:szCs w:val="20"/>
                <w:lang w:val="es-ES"/>
              </w:rPr>
              <w:t>Derechos admi</w:t>
            </w:r>
            <w:r w:rsidR="00954B82" w:rsidRPr="00EE3BE8">
              <w:rPr>
                <w:rFonts w:ascii="Cambria" w:hAnsi="Cambria"/>
                <w:bCs/>
                <w:color w:val="FFFFFF" w:themeColor="background1"/>
                <w:sz w:val="20"/>
                <w:szCs w:val="20"/>
                <w:lang w:val="es-ES"/>
              </w:rPr>
              <w:t>tidos</w:t>
            </w:r>
          </w:p>
        </w:tc>
        <w:tc>
          <w:tcPr>
            <w:tcW w:w="6570" w:type="dxa"/>
            <w:vAlign w:val="center"/>
          </w:tcPr>
          <w:p w14:paraId="6310C8F7" w14:textId="52B0E913" w:rsidR="003239B8" w:rsidRPr="00EE3BE8" w:rsidRDefault="00CE031E" w:rsidP="001712DA">
            <w:pPr>
              <w:jc w:val="both"/>
              <w:rPr>
                <w:rFonts w:ascii="Cambria" w:hAnsi="Cambria"/>
                <w:bCs/>
                <w:sz w:val="20"/>
                <w:szCs w:val="20"/>
                <w:lang w:val="es-ES"/>
              </w:rPr>
            </w:pPr>
            <w:r w:rsidRPr="00EE3BE8">
              <w:rPr>
                <w:rFonts w:ascii="Cambria" w:hAnsi="Cambria"/>
                <w:bCs/>
                <w:sz w:val="20"/>
                <w:szCs w:val="20"/>
                <w:lang w:val="es-ES"/>
              </w:rPr>
              <w:t>Artículo 23 (derechos políticos), 24 (igualdad ante la ley) y 25 (protección judicial) en relación al artículo 1</w:t>
            </w:r>
            <w:r w:rsidR="005F4E04">
              <w:rPr>
                <w:rFonts w:ascii="Cambria" w:hAnsi="Cambria"/>
                <w:bCs/>
                <w:sz w:val="20"/>
                <w:szCs w:val="20"/>
                <w:lang w:val="es-ES"/>
              </w:rPr>
              <w:t>.1</w:t>
            </w:r>
            <w:r w:rsidRPr="00EE3BE8">
              <w:rPr>
                <w:rFonts w:ascii="Cambria" w:hAnsi="Cambria"/>
                <w:bCs/>
                <w:sz w:val="20"/>
                <w:szCs w:val="20"/>
                <w:lang w:val="es-ES"/>
              </w:rPr>
              <w:t xml:space="preserve"> </w:t>
            </w:r>
            <w:r w:rsidR="001712DA">
              <w:rPr>
                <w:rFonts w:ascii="Cambria" w:hAnsi="Cambria"/>
                <w:bCs/>
                <w:sz w:val="20"/>
                <w:szCs w:val="20"/>
                <w:lang w:val="es-ES"/>
              </w:rPr>
              <w:t xml:space="preserve">y 2 </w:t>
            </w:r>
            <w:r w:rsidRPr="00EE3BE8">
              <w:rPr>
                <w:rFonts w:ascii="Cambria" w:hAnsi="Cambria"/>
                <w:bCs/>
                <w:sz w:val="20"/>
                <w:szCs w:val="20"/>
                <w:lang w:val="es-ES"/>
              </w:rPr>
              <w:t xml:space="preserve">de la Convención Americana </w:t>
            </w:r>
          </w:p>
        </w:tc>
      </w:tr>
      <w:tr w:rsidR="003239B8" w:rsidRPr="00E7065C"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EE3BE8" w:rsidRDefault="003239B8" w:rsidP="00D77503">
            <w:pPr>
              <w:jc w:val="center"/>
              <w:rPr>
                <w:rFonts w:ascii="Cambria" w:hAnsi="Cambria"/>
                <w:bCs/>
                <w:color w:val="FFFFFF" w:themeColor="background1"/>
                <w:sz w:val="20"/>
                <w:szCs w:val="20"/>
                <w:lang w:val="es-ES"/>
              </w:rPr>
            </w:pPr>
            <w:r w:rsidRPr="00EE3BE8">
              <w:rPr>
                <w:rFonts w:ascii="Cambria" w:hAnsi="Cambria"/>
                <w:bCs/>
                <w:color w:val="FFFFFF" w:themeColor="background1"/>
                <w:sz w:val="20"/>
                <w:szCs w:val="20"/>
                <w:lang w:val="es-ES"/>
              </w:rPr>
              <w:t xml:space="preserve">Agotamiento de recursos </w:t>
            </w:r>
            <w:r w:rsidR="00D77503" w:rsidRPr="00EE3BE8">
              <w:rPr>
                <w:rFonts w:ascii="Cambria" w:hAnsi="Cambria"/>
                <w:bCs/>
                <w:color w:val="FFFFFF" w:themeColor="background1"/>
                <w:sz w:val="20"/>
                <w:szCs w:val="20"/>
                <w:lang w:val="es-ES"/>
              </w:rPr>
              <w:t>o procedencia de una excepción</w:t>
            </w:r>
          </w:p>
        </w:tc>
        <w:tc>
          <w:tcPr>
            <w:tcW w:w="6570" w:type="dxa"/>
            <w:vAlign w:val="center"/>
          </w:tcPr>
          <w:p w14:paraId="69C53E8A" w14:textId="392C20E2" w:rsidR="003239B8" w:rsidRPr="00E07CFC" w:rsidRDefault="00CE031E" w:rsidP="00BB3FBD">
            <w:pPr>
              <w:rPr>
                <w:rFonts w:ascii="Cambria" w:hAnsi="Cambria"/>
                <w:bCs/>
                <w:sz w:val="20"/>
                <w:szCs w:val="20"/>
                <w:lang w:val="es-ES"/>
              </w:rPr>
            </w:pPr>
            <w:r w:rsidRPr="00E07CFC">
              <w:rPr>
                <w:rFonts w:ascii="Cambria" w:hAnsi="Cambria"/>
                <w:bCs/>
                <w:sz w:val="20"/>
                <w:szCs w:val="20"/>
                <w:lang w:val="es-ES"/>
              </w:rPr>
              <w:t>Sí, en los términos de la sección VI</w:t>
            </w:r>
          </w:p>
        </w:tc>
      </w:tr>
      <w:tr w:rsidR="003239B8" w:rsidRPr="00E7065C"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EE3BE8" w:rsidRDefault="00D77503" w:rsidP="00901E25">
            <w:pPr>
              <w:jc w:val="center"/>
              <w:rPr>
                <w:rFonts w:ascii="Cambria" w:hAnsi="Cambria"/>
                <w:bCs/>
                <w:color w:val="FFFFFF" w:themeColor="background1"/>
                <w:sz w:val="20"/>
                <w:szCs w:val="20"/>
                <w:lang w:val="es-ES"/>
              </w:rPr>
            </w:pPr>
            <w:r w:rsidRPr="00EE3BE8">
              <w:rPr>
                <w:rFonts w:ascii="Cambria" w:hAnsi="Cambria"/>
                <w:bCs/>
                <w:color w:val="FFFFFF" w:themeColor="background1"/>
                <w:sz w:val="20"/>
                <w:szCs w:val="20"/>
                <w:lang w:val="es-ES"/>
              </w:rPr>
              <w:t>Presentación dentro de plazo</w:t>
            </w:r>
          </w:p>
        </w:tc>
        <w:tc>
          <w:tcPr>
            <w:tcW w:w="6570" w:type="dxa"/>
            <w:vAlign w:val="center"/>
          </w:tcPr>
          <w:p w14:paraId="4A2A4569" w14:textId="0B1A07B2" w:rsidR="003239B8" w:rsidRPr="00E07CFC" w:rsidRDefault="00CE031E" w:rsidP="00901E25">
            <w:pPr>
              <w:rPr>
                <w:rFonts w:ascii="Cambria" w:hAnsi="Cambria"/>
                <w:bCs/>
                <w:sz w:val="20"/>
                <w:szCs w:val="20"/>
                <w:lang w:val="es-ES"/>
              </w:rPr>
            </w:pPr>
            <w:r w:rsidRPr="00E07CFC">
              <w:rPr>
                <w:rFonts w:ascii="Cambria" w:hAnsi="Cambria"/>
                <w:bCs/>
                <w:sz w:val="20"/>
                <w:szCs w:val="20"/>
                <w:lang w:val="es-ES"/>
              </w:rPr>
              <w:t>Sí, en los términos de la sección VI</w:t>
            </w:r>
          </w:p>
        </w:tc>
      </w:tr>
    </w:tbl>
    <w:p w14:paraId="18E6423B" w14:textId="34BB26CC" w:rsidR="003239B8" w:rsidRPr="008D13C5" w:rsidRDefault="00223A29" w:rsidP="008D13C5">
      <w:pPr>
        <w:spacing w:before="120" w:after="120"/>
        <w:ind w:firstLine="720"/>
        <w:jc w:val="both"/>
        <w:rPr>
          <w:rFonts w:ascii="Cambria" w:hAnsi="Cambria"/>
          <w:b/>
          <w:bCs/>
          <w:sz w:val="20"/>
          <w:szCs w:val="20"/>
          <w:lang w:val="es-ES"/>
        </w:rPr>
      </w:pPr>
      <w:r w:rsidRPr="008D13C5">
        <w:rPr>
          <w:rFonts w:ascii="Cambria" w:hAnsi="Cambria"/>
          <w:b/>
          <w:bCs/>
          <w:sz w:val="20"/>
          <w:szCs w:val="20"/>
          <w:lang w:val="es-ES"/>
        </w:rPr>
        <w:t xml:space="preserve">V. </w:t>
      </w:r>
      <w:r w:rsidRPr="008D13C5">
        <w:rPr>
          <w:rFonts w:ascii="Cambria" w:hAnsi="Cambria"/>
          <w:b/>
          <w:bCs/>
          <w:sz w:val="20"/>
          <w:szCs w:val="20"/>
          <w:lang w:val="es-ES"/>
        </w:rPr>
        <w:tab/>
      </w:r>
      <w:r w:rsidR="0034224A" w:rsidRPr="008D13C5">
        <w:rPr>
          <w:rFonts w:ascii="Cambria" w:hAnsi="Cambria"/>
          <w:b/>
          <w:bCs/>
          <w:sz w:val="20"/>
          <w:szCs w:val="20"/>
          <w:lang w:val="es-ES"/>
        </w:rPr>
        <w:t>RESUMEN DE LOS HECHOS ALEGADOS</w:t>
      </w:r>
    </w:p>
    <w:p w14:paraId="361A10E4" w14:textId="17FB2CAF" w:rsidR="00490048" w:rsidRDefault="00446CFE" w:rsidP="008F3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 xml:space="preserve">Rodrigo Sebastián Da Silva Rodríguez, peticionario y presunta víctima, </w:t>
      </w:r>
      <w:r w:rsidR="00490048">
        <w:rPr>
          <w:rFonts w:ascii="Cambria" w:hAnsi="Cambria"/>
          <w:sz w:val="20"/>
          <w:szCs w:val="20"/>
          <w:lang w:val="es-ES"/>
        </w:rPr>
        <w:t>reclama</w:t>
      </w:r>
      <w:r w:rsidR="00B578B8">
        <w:rPr>
          <w:rFonts w:ascii="Cambria" w:hAnsi="Cambria"/>
          <w:sz w:val="20"/>
          <w:szCs w:val="20"/>
          <w:lang w:val="es-ES"/>
        </w:rPr>
        <w:t xml:space="preserve"> </w:t>
      </w:r>
      <w:r w:rsidR="00490048">
        <w:rPr>
          <w:rFonts w:ascii="Cambria" w:hAnsi="Cambria"/>
          <w:sz w:val="20"/>
          <w:szCs w:val="20"/>
          <w:lang w:val="es-ES"/>
        </w:rPr>
        <w:t xml:space="preserve">la responsabilidad internacional del Estado uruguayo a raíz de la </w:t>
      </w:r>
      <w:r w:rsidR="00B578B8">
        <w:rPr>
          <w:rFonts w:ascii="Cambria" w:hAnsi="Cambria"/>
          <w:sz w:val="20"/>
          <w:szCs w:val="20"/>
          <w:lang w:val="es-ES"/>
        </w:rPr>
        <w:t xml:space="preserve">continua omisión </w:t>
      </w:r>
      <w:r w:rsidR="00490048">
        <w:rPr>
          <w:rFonts w:ascii="Cambria" w:hAnsi="Cambria"/>
          <w:sz w:val="20"/>
          <w:szCs w:val="20"/>
          <w:lang w:val="es-ES"/>
        </w:rPr>
        <w:t xml:space="preserve">por parte del mismo </w:t>
      </w:r>
      <w:r w:rsidR="00B578B8">
        <w:rPr>
          <w:rFonts w:ascii="Cambria" w:hAnsi="Cambria"/>
          <w:sz w:val="20"/>
          <w:szCs w:val="20"/>
          <w:lang w:val="es-ES"/>
        </w:rPr>
        <w:t xml:space="preserve">de instrumentar procedimientos para </w:t>
      </w:r>
      <w:r w:rsidR="00B578B8" w:rsidRPr="00446CFE">
        <w:rPr>
          <w:rFonts w:ascii="Cambria" w:hAnsi="Cambria"/>
          <w:sz w:val="20"/>
          <w:szCs w:val="20"/>
          <w:lang w:val="es-ES"/>
        </w:rPr>
        <w:t xml:space="preserve">habilitar el </w:t>
      </w:r>
      <w:r w:rsidR="005070DB">
        <w:rPr>
          <w:rFonts w:ascii="Cambria" w:hAnsi="Cambria"/>
          <w:sz w:val="20"/>
          <w:szCs w:val="20"/>
          <w:lang w:val="es-ES"/>
        </w:rPr>
        <w:t xml:space="preserve">sufragio de </w:t>
      </w:r>
      <w:r w:rsidR="00A70575">
        <w:rPr>
          <w:rFonts w:ascii="Cambria" w:hAnsi="Cambria"/>
          <w:sz w:val="20"/>
          <w:szCs w:val="20"/>
          <w:lang w:val="es-ES"/>
        </w:rPr>
        <w:t>los ciudadanos uruguayos que residen fuera de la República del Uruguay</w:t>
      </w:r>
      <w:r w:rsidR="00490048">
        <w:rPr>
          <w:rFonts w:ascii="Cambria" w:hAnsi="Cambria"/>
          <w:sz w:val="20"/>
          <w:szCs w:val="20"/>
          <w:lang w:val="es-ES"/>
        </w:rPr>
        <w:t>. En este sentido, el peticionario sostiene</w:t>
      </w:r>
      <w:r w:rsidR="00490048" w:rsidRPr="00CB4838">
        <w:rPr>
          <w:rFonts w:ascii="Cambria" w:hAnsi="Cambria"/>
          <w:sz w:val="20"/>
          <w:szCs w:val="20"/>
          <w:lang w:val="es-ES"/>
        </w:rPr>
        <w:t xml:space="preserve"> que </w:t>
      </w:r>
      <w:r w:rsidR="00490048">
        <w:rPr>
          <w:rFonts w:ascii="Cambria" w:hAnsi="Cambria"/>
          <w:sz w:val="20"/>
          <w:szCs w:val="20"/>
          <w:lang w:val="es-ES"/>
        </w:rPr>
        <w:t xml:space="preserve">dicha </w:t>
      </w:r>
      <w:r w:rsidR="00490048" w:rsidRPr="00CB4838">
        <w:rPr>
          <w:rFonts w:ascii="Cambria" w:hAnsi="Cambria"/>
          <w:sz w:val="20"/>
          <w:szCs w:val="20"/>
          <w:lang w:val="es-ES"/>
        </w:rPr>
        <w:t>omisión constituye una discriminación en perjuicio de los ciudadanos uruguayos en el exterior frente a los residen en el Uruguay que pueden ejercer el derecho y tienen la oportunidad de votar en circuitos cercanos a su lugar de residencia</w:t>
      </w:r>
      <w:r w:rsidR="00490048">
        <w:rPr>
          <w:rFonts w:ascii="Cambria" w:hAnsi="Cambria"/>
          <w:sz w:val="20"/>
          <w:szCs w:val="20"/>
          <w:lang w:val="es-ES"/>
        </w:rPr>
        <w:t>.</w:t>
      </w:r>
    </w:p>
    <w:p w14:paraId="0B116178" w14:textId="77777777" w:rsidR="00490048" w:rsidRDefault="00490048" w:rsidP="0049004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0501F86" w14:textId="3E5FB7AE" w:rsidR="00364813" w:rsidRPr="00490048" w:rsidRDefault="00490048" w:rsidP="004900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El peticionario argumenta</w:t>
      </w:r>
      <w:r w:rsidR="005070DB">
        <w:rPr>
          <w:rFonts w:ascii="Cambria" w:hAnsi="Cambria"/>
          <w:sz w:val="20"/>
          <w:szCs w:val="20"/>
          <w:lang w:val="es-ES"/>
        </w:rPr>
        <w:t xml:space="preserve"> que</w:t>
      </w:r>
      <w:r w:rsidR="00A77AE4">
        <w:rPr>
          <w:rFonts w:ascii="Cambria" w:hAnsi="Cambria"/>
          <w:sz w:val="20"/>
          <w:szCs w:val="20"/>
          <w:lang w:val="es-ES"/>
        </w:rPr>
        <w:t xml:space="preserve"> los uruguayos que viven en el exterior solo tienen el derecho a sufragar si viajan al territorio nacional, por lo cual </w:t>
      </w:r>
      <w:r>
        <w:rPr>
          <w:rFonts w:ascii="Cambria" w:hAnsi="Cambria"/>
          <w:sz w:val="20"/>
          <w:szCs w:val="20"/>
          <w:lang w:val="es-ES"/>
        </w:rPr>
        <w:t xml:space="preserve">sostiene </w:t>
      </w:r>
      <w:r w:rsidR="00A77AE4">
        <w:rPr>
          <w:rFonts w:ascii="Cambria" w:hAnsi="Cambria"/>
          <w:sz w:val="20"/>
          <w:szCs w:val="20"/>
          <w:lang w:val="es-ES"/>
        </w:rPr>
        <w:t>que</w:t>
      </w:r>
      <w:r w:rsidR="005070DB">
        <w:rPr>
          <w:rFonts w:ascii="Cambria" w:hAnsi="Cambria"/>
          <w:sz w:val="20"/>
          <w:szCs w:val="20"/>
          <w:lang w:val="es-ES"/>
        </w:rPr>
        <w:t xml:space="preserve"> la ausencia de un mecanismo </w:t>
      </w:r>
      <w:r w:rsidR="001712DA">
        <w:rPr>
          <w:rFonts w:ascii="Cambria" w:hAnsi="Cambria"/>
          <w:sz w:val="20"/>
          <w:szCs w:val="20"/>
          <w:lang w:val="es-ES"/>
        </w:rPr>
        <w:t xml:space="preserve">para el sufragio </w:t>
      </w:r>
      <w:r w:rsidR="001712DA">
        <w:rPr>
          <w:rFonts w:ascii="Cambria" w:hAnsi="Cambria"/>
          <w:sz w:val="20"/>
          <w:szCs w:val="20"/>
          <w:lang w:val="es-ES"/>
        </w:rPr>
        <w:lastRenderedPageBreak/>
        <w:t xml:space="preserve">en el exterior </w:t>
      </w:r>
      <w:r w:rsidR="005268A7" w:rsidRPr="005268A7">
        <w:rPr>
          <w:rFonts w:ascii="Cambria" w:hAnsi="Cambria"/>
          <w:sz w:val="20"/>
          <w:szCs w:val="20"/>
          <w:lang w:val="es-ES"/>
        </w:rPr>
        <w:t>no solo impacta el derecho de l</w:t>
      </w:r>
      <w:r w:rsidR="005070DB">
        <w:rPr>
          <w:rFonts w:ascii="Cambria" w:hAnsi="Cambria"/>
          <w:sz w:val="20"/>
          <w:szCs w:val="20"/>
          <w:lang w:val="es-ES"/>
        </w:rPr>
        <w:t>a</w:t>
      </w:r>
      <w:r w:rsidR="001712DA">
        <w:rPr>
          <w:rFonts w:ascii="Cambria" w:hAnsi="Cambria"/>
          <w:sz w:val="20"/>
          <w:szCs w:val="20"/>
          <w:lang w:val="es-ES"/>
        </w:rPr>
        <w:t>s</w:t>
      </w:r>
      <w:r w:rsidR="005268A7" w:rsidRPr="005268A7">
        <w:rPr>
          <w:rFonts w:ascii="Cambria" w:hAnsi="Cambria"/>
          <w:sz w:val="20"/>
          <w:szCs w:val="20"/>
          <w:lang w:val="es-ES"/>
        </w:rPr>
        <w:t xml:space="preserve"> </w:t>
      </w:r>
      <w:r w:rsidR="005070DB">
        <w:rPr>
          <w:rFonts w:ascii="Cambria" w:hAnsi="Cambria"/>
          <w:sz w:val="20"/>
          <w:szCs w:val="20"/>
          <w:lang w:val="es-ES"/>
        </w:rPr>
        <w:t xml:space="preserve">personas identificadas </w:t>
      </w:r>
      <w:r w:rsidR="001712DA">
        <w:rPr>
          <w:rFonts w:ascii="Cambria" w:hAnsi="Cambria"/>
          <w:sz w:val="20"/>
          <w:szCs w:val="20"/>
          <w:lang w:val="es-ES"/>
        </w:rPr>
        <w:t xml:space="preserve">como presuntas víctimas </w:t>
      </w:r>
      <w:r w:rsidR="005268A7" w:rsidRPr="005268A7">
        <w:rPr>
          <w:rFonts w:ascii="Cambria" w:hAnsi="Cambria"/>
          <w:sz w:val="20"/>
          <w:szCs w:val="20"/>
          <w:lang w:val="es-ES"/>
        </w:rPr>
        <w:t xml:space="preserve">sino también </w:t>
      </w:r>
      <w:r w:rsidR="001712DA">
        <w:rPr>
          <w:rFonts w:ascii="Cambria" w:hAnsi="Cambria"/>
          <w:sz w:val="20"/>
          <w:szCs w:val="20"/>
          <w:lang w:val="es-ES"/>
        </w:rPr>
        <w:t xml:space="preserve">a </w:t>
      </w:r>
      <w:r w:rsidR="005070DB">
        <w:rPr>
          <w:rFonts w:ascii="Cambria" w:hAnsi="Cambria"/>
          <w:sz w:val="20"/>
          <w:szCs w:val="20"/>
          <w:lang w:val="es-ES"/>
        </w:rPr>
        <w:t>a</w:t>
      </w:r>
      <w:r w:rsidR="005268A7">
        <w:rPr>
          <w:rFonts w:ascii="Cambria" w:hAnsi="Cambria"/>
          <w:sz w:val="20"/>
          <w:szCs w:val="20"/>
          <w:lang w:val="es-ES"/>
        </w:rPr>
        <w:t>proximadamente 800.000 ciudadanos</w:t>
      </w:r>
      <w:r w:rsidR="005070DB">
        <w:rPr>
          <w:rFonts w:ascii="Cambria" w:hAnsi="Cambria"/>
          <w:sz w:val="20"/>
          <w:szCs w:val="20"/>
          <w:lang w:val="es-ES"/>
        </w:rPr>
        <w:t xml:space="preserve">, </w:t>
      </w:r>
      <w:r w:rsidR="005268A7">
        <w:rPr>
          <w:rFonts w:ascii="Cambria" w:hAnsi="Cambria"/>
          <w:sz w:val="20"/>
          <w:szCs w:val="20"/>
          <w:lang w:val="es-ES"/>
        </w:rPr>
        <w:t>17% de la población total de ciudadanos uruguayos</w:t>
      </w:r>
      <w:r w:rsidR="007401E2">
        <w:rPr>
          <w:rFonts w:ascii="Cambria" w:hAnsi="Cambria"/>
          <w:sz w:val="20"/>
          <w:szCs w:val="20"/>
          <w:lang w:val="es-ES"/>
        </w:rPr>
        <w:t xml:space="preserve">. </w:t>
      </w:r>
      <w:r w:rsidR="005031E8">
        <w:rPr>
          <w:rFonts w:ascii="Cambria" w:hAnsi="Cambria"/>
          <w:sz w:val="20"/>
          <w:szCs w:val="20"/>
          <w:lang w:val="es-ES"/>
        </w:rPr>
        <w:t xml:space="preserve">En particular </w:t>
      </w:r>
      <w:r w:rsidR="00364813">
        <w:rPr>
          <w:rFonts w:ascii="Cambria" w:hAnsi="Cambria"/>
          <w:sz w:val="20"/>
          <w:szCs w:val="20"/>
          <w:lang w:val="es-ES"/>
        </w:rPr>
        <w:t xml:space="preserve">el peticionario </w:t>
      </w:r>
      <w:r w:rsidR="005031E8">
        <w:rPr>
          <w:rFonts w:ascii="Cambria" w:hAnsi="Cambria"/>
          <w:sz w:val="20"/>
          <w:szCs w:val="20"/>
          <w:lang w:val="es-ES"/>
        </w:rPr>
        <w:t>refiere qu</w:t>
      </w:r>
      <w:r w:rsidR="00A77AE4">
        <w:rPr>
          <w:rFonts w:ascii="Cambria" w:hAnsi="Cambria"/>
          <w:sz w:val="20"/>
          <w:szCs w:val="20"/>
          <w:lang w:val="es-ES"/>
        </w:rPr>
        <w:t xml:space="preserve">e </w:t>
      </w:r>
      <w:r w:rsidR="00364813">
        <w:rPr>
          <w:rFonts w:ascii="Cambria" w:hAnsi="Cambria"/>
          <w:sz w:val="20"/>
          <w:szCs w:val="20"/>
          <w:lang w:val="es-ES"/>
        </w:rPr>
        <w:t xml:space="preserve">junto </w:t>
      </w:r>
      <w:r w:rsidR="00A77AE4">
        <w:rPr>
          <w:rFonts w:ascii="Cambria" w:hAnsi="Cambria"/>
          <w:sz w:val="20"/>
          <w:szCs w:val="20"/>
          <w:lang w:val="es-ES"/>
        </w:rPr>
        <w:t>las demás presuntas víctimas no han podido participar en las últimas elecciones por falta de recursos económicos, licencia laboral, entre otras razones.</w:t>
      </w:r>
      <w:r>
        <w:rPr>
          <w:rFonts w:ascii="Cambria" w:hAnsi="Cambria"/>
          <w:sz w:val="20"/>
          <w:szCs w:val="20"/>
          <w:lang w:val="es-ES"/>
        </w:rPr>
        <w:t xml:space="preserve"> </w:t>
      </w:r>
      <w:r w:rsidR="007401E2" w:rsidRPr="00490048">
        <w:rPr>
          <w:rFonts w:ascii="Cambria" w:hAnsi="Cambria"/>
          <w:sz w:val="20"/>
          <w:szCs w:val="20"/>
          <w:lang w:val="es-ES"/>
        </w:rPr>
        <w:t xml:space="preserve">Señala que </w:t>
      </w:r>
      <w:r w:rsidR="00A77AE4" w:rsidRPr="00490048">
        <w:rPr>
          <w:rFonts w:ascii="Cambria" w:hAnsi="Cambria"/>
          <w:sz w:val="20"/>
          <w:szCs w:val="20"/>
          <w:lang w:val="es-ES"/>
        </w:rPr>
        <w:t xml:space="preserve">la Constitución </w:t>
      </w:r>
      <w:r w:rsidR="001712DA" w:rsidRPr="00490048">
        <w:rPr>
          <w:rFonts w:ascii="Cambria" w:hAnsi="Cambria"/>
          <w:sz w:val="20"/>
          <w:szCs w:val="20"/>
          <w:lang w:val="es-ES"/>
        </w:rPr>
        <w:t>uruguaya</w:t>
      </w:r>
      <w:r w:rsidR="00715B5A" w:rsidRPr="00490048">
        <w:rPr>
          <w:rFonts w:ascii="Cambria" w:hAnsi="Cambria"/>
          <w:sz w:val="20"/>
          <w:szCs w:val="20"/>
          <w:lang w:val="es-ES"/>
        </w:rPr>
        <w:t xml:space="preserve"> reconoce</w:t>
      </w:r>
      <w:r w:rsidR="00A77AE4" w:rsidRPr="00490048">
        <w:rPr>
          <w:rFonts w:ascii="Cambria" w:hAnsi="Cambria"/>
          <w:sz w:val="20"/>
          <w:szCs w:val="20"/>
          <w:lang w:val="es-ES"/>
        </w:rPr>
        <w:t xml:space="preserve"> el derecho al sufragio a todos sus ciudadanos, </w:t>
      </w:r>
      <w:r w:rsidR="00715B5A" w:rsidRPr="00490048">
        <w:rPr>
          <w:rFonts w:ascii="Cambria" w:hAnsi="Cambria"/>
          <w:sz w:val="20"/>
          <w:szCs w:val="20"/>
          <w:lang w:val="es-ES"/>
        </w:rPr>
        <w:t xml:space="preserve">sin que exista </w:t>
      </w:r>
      <w:r w:rsidR="00A77AE4" w:rsidRPr="00490048">
        <w:rPr>
          <w:rFonts w:ascii="Cambria" w:hAnsi="Cambria"/>
          <w:sz w:val="20"/>
          <w:szCs w:val="20"/>
          <w:lang w:val="es-ES"/>
        </w:rPr>
        <w:t xml:space="preserve">limitación alguna en la </w:t>
      </w:r>
      <w:r w:rsidR="00715B5A" w:rsidRPr="00490048">
        <w:rPr>
          <w:rFonts w:ascii="Cambria" w:hAnsi="Cambria"/>
          <w:sz w:val="20"/>
          <w:szCs w:val="20"/>
          <w:lang w:val="es-ES"/>
        </w:rPr>
        <w:t xml:space="preserve">misma </w:t>
      </w:r>
      <w:r w:rsidR="00E07CFC" w:rsidRPr="00490048">
        <w:rPr>
          <w:rFonts w:ascii="Cambria" w:hAnsi="Cambria"/>
          <w:sz w:val="20"/>
          <w:szCs w:val="20"/>
          <w:lang w:val="es-ES"/>
        </w:rPr>
        <w:t>Constitución o</w:t>
      </w:r>
      <w:r w:rsidR="00A77AE4" w:rsidRPr="00490048">
        <w:rPr>
          <w:rFonts w:ascii="Cambria" w:hAnsi="Cambria"/>
          <w:sz w:val="20"/>
          <w:szCs w:val="20"/>
          <w:lang w:val="es-ES"/>
        </w:rPr>
        <w:t xml:space="preserve"> legislación nacional que restringa este derecho según la residencia de los mismos. </w:t>
      </w:r>
    </w:p>
    <w:p w14:paraId="7CF7D25C" w14:textId="77777777" w:rsidR="00364813" w:rsidRDefault="00364813" w:rsidP="008F3A27">
      <w:pPr>
        <w:pStyle w:val="ListParagraph"/>
        <w:ind w:left="0" w:firstLine="720"/>
        <w:rPr>
          <w:sz w:val="20"/>
          <w:szCs w:val="20"/>
          <w:lang w:val="es-ES"/>
        </w:rPr>
      </w:pPr>
    </w:p>
    <w:p w14:paraId="1CB4337D" w14:textId="3B195BF7" w:rsidR="00715B5A" w:rsidRDefault="002B3CC7" w:rsidP="008F3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 xml:space="preserve"> </w:t>
      </w:r>
      <w:r w:rsidR="00490048">
        <w:rPr>
          <w:rFonts w:ascii="Cambria" w:hAnsi="Cambria"/>
          <w:sz w:val="20"/>
          <w:szCs w:val="20"/>
          <w:lang w:val="es-ES"/>
        </w:rPr>
        <w:t>El peticionario a</w:t>
      </w:r>
      <w:r w:rsidR="00364813">
        <w:rPr>
          <w:rFonts w:ascii="Cambria" w:hAnsi="Cambria"/>
          <w:sz w:val="20"/>
          <w:szCs w:val="20"/>
          <w:lang w:val="es-ES"/>
        </w:rPr>
        <w:t xml:space="preserve">rgumenta </w:t>
      </w:r>
      <w:r>
        <w:rPr>
          <w:rFonts w:ascii="Cambria" w:hAnsi="Cambria"/>
          <w:sz w:val="20"/>
          <w:szCs w:val="20"/>
          <w:lang w:val="es-ES"/>
        </w:rPr>
        <w:t xml:space="preserve">que, </w:t>
      </w:r>
      <w:r w:rsidR="00CB4838">
        <w:rPr>
          <w:rFonts w:ascii="Cambria" w:hAnsi="Cambria"/>
          <w:sz w:val="20"/>
          <w:szCs w:val="20"/>
          <w:lang w:val="es-ES"/>
        </w:rPr>
        <w:t xml:space="preserve">con la pretensión de lograr la presentación y aprobación de un proyecto de ley en esta materia, </w:t>
      </w:r>
      <w:r w:rsidR="009B7BF5" w:rsidRPr="00CB4838">
        <w:rPr>
          <w:rFonts w:ascii="Cambria" w:hAnsi="Cambria"/>
          <w:sz w:val="20"/>
          <w:szCs w:val="20"/>
          <w:lang w:val="es-ES"/>
        </w:rPr>
        <w:t xml:space="preserve">envió una solicitud a todos los senadores y representantes del Congreso, así como al Presidente de la República, </w:t>
      </w:r>
      <w:r w:rsidR="00715B5A">
        <w:rPr>
          <w:rFonts w:ascii="Cambria" w:hAnsi="Cambria"/>
          <w:sz w:val="20"/>
          <w:szCs w:val="20"/>
          <w:lang w:val="es-ES"/>
        </w:rPr>
        <w:t xml:space="preserve">el 27 de septiembre de 2011 </w:t>
      </w:r>
      <w:r w:rsidR="009B7BF5" w:rsidRPr="00CB4838">
        <w:rPr>
          <w:rFonts w:ascii="Cambria" w:hAnsi="Cambria"/>
          <w:sz w:val="20"/>
          <w:szCs w:val="20"/>
          <w:lang w:val="es-ES"/>
        </w:rPr>
        <w:t>sin haber recibido respuesta</w:t>
      </w:r>
      <w:r w:rsidR="00C34E38">
        <w:rPr>
          <w:rFonts w:ascii="Cambria" w:hAnsi="Cambria"/>
          <w:sz w:val="20"/>
          <w:szCs w:val="20"/>
          <w:lang w:val="es-ES"/>
        </w:rPr>
        <w:t xml:space="preserve">. </w:t>
      </w:r>
      <w:r w:rsidR="00715B5A">
        <w:rPr>
          <w:rFonts w:ascii="Cambria" w:hAnsi="Cambria"/>
          <w:sz w:val="20"/>
          <w:szCs w:val="20"/>
          <w:lang w:val="es-ES"/>
        </w:rPr>
        <w:t>Al respecto destaca que declaraciones del entonces Presidente de la República y de algunos senadores han politizado la materia e ignoran que se materializa una violación a la Constitución, a la ley y a tratados internacio</w:t>
      </w:r>
      <w:r w:rsidR="00E07CFC">
        <w:rPr>
          <w:rFonts w:ascii="Cambria" w:hAnsi="Cambria"/>
          <w:sz w:val="20"/>
          <w:szCs w:val="20"/>
          <w:lang w:val="es-ES"/>
        </w:rPr>
        <w:t>nales ratificados por Uruguay.</w:t>
      </w:r>
    </w:p>
    <w:p w14:paraId="2E19177F" w14:textId="77777777" w:rsidR="006378D3" w:rsidRDefault="006378D3" w:rsidP="008F3A27">
      <w:pPr>
        <w:pStyle w:val="ListParagraph"/>
        <w:ind w:left="0" w:firstLine="720"/>
        <w:rPr>
          <w:sz w:val="20"/>
          <w:szCs w:val="20"/>
          <w:lang w:val="es-ES"/>
        </w:rPr>
      </w:pPr>
    </w:p>
    <w:p w14:paraId="4A4E14E6" w14:textId="42650864" w:rsidR="00364813" w:rsidRPr="006378D3" w:rsidRDefault="00490048" w:rsidP="008F3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D</w:t>
      </w:r>
      <w:r w:rsidR="006378D3" w:rsidRPr="006378D3">
        <w:rPr>
          <w:rFonts w:ascii="Cambria" w:hAnsi="Cambria"/>
          <w:sz w:val="20"/>
          <w:szCs w:val="20"/>
          <w:lang w:val="es-ES"/>
        </w:rPr>
        <w:t xml:space="preserve">estaca que en noviembre de 2009 hubo un plebiscito en relación a la implementación del voto territorial a través de una propuesta popular que reformaría la Constitución, sin </w:t>
      </w:r>
      <w:r w:rsidRPr="006378D3">
        <w:rPr>
          <w:rFonts w:ascii="Cambria" w:hAnsi="Cambria"/>
          <w:sz w:val="20"/>
          <w:szCs w:val="20"/>
          <w:lang w:val="es-ES"/>
        </w:rPr>
        <w:t>embargo,</w:t>
      </w:r>
      <w:r w:rsidR="006378D3" w:rsidRPr="006378D3">
        <w:rPr>
          <w:rFonts w:ascii="Cambria" w:hAnsi="Cambria"/>
          <w:sz w:val="20"/>
          <w:szCs w:val="20"/>
          <w:lang w:val="es-ES"/>
        </w:rPr>
        <w:t xml:space="preserve"> anota que éste se llevó a cabo en un proceso irregular y que, en su entender, no es necesario reformar la Constitución en tanto el derecho al voto de los ciudadanos en el extranjero está prescripto en el artículo 77 y lo que faltaría es la instrumentación para que se pueda ejercer el derecho al sufragio. </w:t>
      </w:r>
      <w:r w:rsidR="00715B5A" w:rsidRPr="006378D3">
        <w:rPr>
          <w:rFonts w:ascii="Cambria" w:hAnsi="Cambria"/>
          <w:sz w:val="20"/>
          <w:szCs w:val="20"/>
          <w:lang w:val="es-ES"/>
        </w:rPr>
        <w:t>A</w:t>
      </w:r>
      <w:r w:rsidR="00364813" w:rsidRPr="006378D3">
        <w:rPr>
          <w:rFonts w:ascii="Cambria" w:hAnsi="Cambria"/>
          <w:sz w:val="20"/>
          <w:szCs w:val="20"/>
          <w:lang w:val="es-ES"/>
        </w:rPr>
        <w:t xml:space="preserve">lega la inexistencia de un recurso judicial interno adecuado y efectivo </w:t>
      </w:r>
      <w:r w:rsidR="006378D3" w:rsidRPr="006378D3">
        <w:rPr>
          <w:rFonts w:ascii="Cambria" w:hAnsi="Cambria"/>
          <w:sz w:val="20"/>
          <w:szCs w:val="20"/>
          <w:lang w:val="es-ES"/>
        </w:rPr>
        <w:t xml:space="preserve">al que puedan recurrir </w:t>
      </w:r>
      <w:r w:rsidR="00715B5A" w:rsidRPr="006378D3">
        <w:rPr>
          <w:rFonts w:ascii="Cambria" w:hAnsi="Cambria"/>
          <w:sz w:val="20"/>
          <w:szCs w:val="20"/>
          <w:lang w:val="es-ES"/>
        </w:rPr>
        <w:t xml:space="preserve">y explica además, que bajo el régimen constitucional de separación de poderes, ningún recurso judicial habilita al Poder Judicial a ordenar al Poder Legislativo y/o Ejecutivo a tomar ciertas acciones que están bajo su completo dominio y control, como por ejemplo </w:t>
      </w:r>
      <w:r w:rsidR="00364813" w:rsidRPr="006378D3">
        <w:rPr>
          <w:rFonts w:ascii="Cambria" w:hAnsi="Cambria"/>
          <w:sz w:val="20"/>
          <w:szCs w:val="20"/>
          <w:lang w:val="es-ES"/>
        </w:rPr>
        <w:t>imponerle al Poder Legislativo presentar y aprobar un proyecto de ley para que se instrumente el voto territorial</w:t>
      </w:r>
      <w:r w:rsidR="00715B5A" w:rsidRPr="006378D3">
        <w:rPr>
          <w:rFonts w:ascii="Cambria" w:hAnsi="Cambria"/>
          <w:sz w:val="20"/>
          <w:szCs w:val="20"/>
          <w:lang w:val="es-ES"/>
        </w:rPr>
        <w:t xml:space="preserve">. </w:t>
      </w:r>
      <w:r w:rsidR="006378D3" w:rsidRPr="006378D3">
        <w:rPr>
          <w:rFonts w:ascii="Cambria" w:hAnsi="Cambria"/>
          <w:sz w:val="20"/>
          <w:szCs w:val="20"/>
          <w:lang w:val="es-ES"/>
        </w:rPr>
        <w:t xml:space="preserve">En este sentido </w:t>
      </w:r>
      <w:r w:rsidR="00364813" w:rsidRPr="006378D3">
        <w:rPr>
          <w:rFonts w:ascii="Cambria" w:hAnsi="Cambria"/>
          <w:sz w:val="20"/>
          <w:szCs w:val="20"/>
          <w:lang w:val="es-ES"/>
        </w:rPr>
        <w:t xml:space="preserve">destaca que </w:t>
      </w:r>
      <w:r w:rsidR="00C978A2" w:rsidRPr="006378D3">
        <w:rPr>
          <w:rFonts w:ascii="Cambria" w:hAnsi="Cambria"/>
          <w:sz w:val="20"/>
          <w:szCs w:val="20"/>
          <w:lang w:val="es-ES"/>
        </w:rPr>
        <w:t xml:space="preserve">aplica </w:t>
      </w:r>
      <w:r w:rsidR="00364813" w:rsidRPr="006378D3">
        <w:rPr>
          <w:rFonts w:ascii="Cambria" w:hAnsi="Cambria"/>
          <w:sz w:val="20"/>
          <w:szCs w:val="20"/>
          <w:lang w:val="es-ES"/>
        </w:rPr>
        <w:t>la excepción descrita en el artículo 46(2</w:t>
      </w:r>
      <w:r w:rsidR="00715B5A" w:rsidRPr="006378D3">
        <w:rPr>
          <w:rFonts w:ascii="Cambria" w:hAnsi="Cambria"/>
          <w:sz w:val="20"/>
          <w:szCs w:val="20"/>
          <w:lang w:val="es-ES"/>
        </w:rPr>
        <w:t>) (</w:t>
      </w:r>
      <w:r w:rsidR="00364813" w:rsidRPr="006378D3">
        <w:rPr>
          <w:rFonts w:ascii="Cambria" w:hAnsi="Cambria"/>
          <w:sz w:val="20"/>
          <w:szCs w:val="20"/>
          <w:lang w:val="es-ES"/>
        </w:rPr>
        <w:t xml:space="preserve">a) de la Convención. </w:t>
      </w:r>
    </w:p>
    <w:p w14:paraId="68AC1DA3" w14:textId="77777777" w:rsidR="00364813" w:rsidRDefault="00364813" w:rsidP="008F3A27">
      <w:pPr>
        <w:pStyle w:val="ListParagraph"/>
        <w:ind w:left="0" w:firstLine="720"/>
        <w:rPr>
          <w:sz w:val="20"/>
          <w:szCs w:val="20"/>
          <w:lang w:val="es-ES"/>
        </w:rPr>
      </w:pPr>
    </w:p>
    <w:p w14:paraId="558B2C2A" w14:textId="77777777" w:rsidR="00A44829" w:rsidRDefault="00376506" w:rsidP="008F3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A44829">
        <w:rPr>
          <w:rFonts w:ascii="Cambria" w:hAnsi="Cambria"/>
          <w:sz w:val="20"/>
          <w:szCs w:val="20"/>
          <w:lang w:val="es-ES"/>
        </w:rPr>
        <w:t xml:space="preserve">Por su parte, el Estado </w:t>
      </w:r>
      <w:r w:rsidR="00143609" w:rsidRPr="00A44829">
        <w:rPr>
          <w:rFonts w:ascii="Cambria" w:hAnsi="Cambria"/>
          <w:sz w:val="20"/>
          <w:szCs w:val="20"/>
          <w:lang w:val="es-ES"/>
        </w:rPr>
        <w:t xml:space="preserve">argumenta que los hechos alegados no caracterizan violaciones a los derechos humanos en tanto la instrumentación de facilidades para que los ciudadanos uruguayos en el exterior puedan ejercer su derecho al sufragio constituye una cuestión de derecho, su omisión no puede configurar una violación de la Convención Americana desde que no existe ningún tipo de discriminación ni obligación positiva de prever este tipo de soluciones en la normativa convencional. </w:t>
      </w:r>
      <w:r w:rsidR="008F3A27" w:rsidRPr="00A44829">
        <w:rPr>
          <w:rFonts w:ascii="Cambria" w:hAnsi="Cambria"/>
          <w:sz w:val="20"/>
          <w:szCs w:val="20"/>
          <w:lang w:val="es-ES"/>
        </w:rPr>
        <w:t>A</w:t>
      </w:r>
      <w:r w:rsidR="002B3CC7" w:rsidRPr="00A44829">
        <w:rPr>
          <w:rFonts w:ascii="Cambria" w:hAnsi="Cambria"/>
          <w:sz w:val="20"/>
          <w:szCs w:val="20"/>
          <w:lang w:val="es-ES"/>
        </w:rPr>
        <w:t>rgumenta que, en la actualidad, el ejercicio del derecho al voto está reglamentado por ley en razón de la residencia dentro del territorio nacional sin que su omisión vul</w:t>
      </w:r>
      <w:r w:rsidR="008F3A27" w:rsidRPr="00A44829">
        <w:rPr>
          <w:rFonts w:ascii="Cambria" w:hAnsi="Cambria"/>
          <w:sz w:val="20"/>
          <w:szCs w:val="20"/>
          <w:lang w:val="es-ES"/>
        </w:rPr>
        <w:t xml:space="preserve">nere los derechos relacionados, por lo cual destaca que la legislación nacional “no limita el derecho al voto según la residencia de sus ciudadanos, pero tampoco reglamenta el ejercicio del derecho del voto para los ciudadanos que se encuentren en el exterior”. Asimismo, el Estado </w:t>
      </w:r>
      <w:r w:rsidR="00143609" w:rsidRPr="00A44829">
        <w:rPr>
          <w:rFonts w:ascii="Cambria" w:hAnsi="Cambria"/>
          <w:sz w:val="20"/>
          <w:szCs w:val="20"/>
          <w:lang w:val="es-ES"/>
        </w:rPr>
        <w:t>considera que la mayor parte de la fundamentación que hace la parte peticionaria se fundamenta en la Constitución de la República y no en la Convención Americana o Declaración Americana a pesar que</w:t>
      </w:r>
      <w:r w:rsidR="008F3A27" w:rsidRPr="00A44829">
        <w:rPr>
          <w:rFonts w:ascii="Cambria" w:hAnsi="Cambria"/>
          <w:sz w:val="20"/>
          <w:szCs w:val="20"/>
          <w:lang w:val="es-ES"/>
        </w:rPr>
        <w:t xml:space="preserve"> la legislación interna uruguaya no debería ser objeto de análisis ante esta instancia.</w:t>
      </w:r>
      <w:r w:rsidR="00A44829" w:rsidRPr="00A44829">
        <w:rPr>
          <w:rFonts w:ascii="Cambria" w:hAnsi="Cambria"/>
          <w:sz w:val="20"/>
          <w:szCs w:val="20"/>
          <w:lang w:val="es-ES"/>
        </w:rPr>
        <w:t xml:space="preserve"> </w:t>
      </w:r>
    </w:p>
    <w:p w14:paraId="08DF6FC1" w14:textId="77777777" w:rsidR="00A44829" w:rsidRDefault="00A44829" w:rsidP="00A4482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65EE0A4" w14:textId="572A327B" w:rsidR="00C978A2" w:rsidRPr="00A44829" w:rsidRDefault="008F3A27" w:rsidP="008F3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A44829">
        <w:rPr>
          <w:rFonts w:ascii="Cambria" w:hAnsi="Cambria"/>
          <w:sz w:val="20"/>
          <w:szCs w:val="20"/>
          <w:lang w:val="es-ES"/>
        </w:rPr>
        <w:t>E</w:t>
      </w:r>
      <w:r w:rsidR="00C978A2" w:rsidRPr="00A44829">
        <w:rPr>
          <w:rFonts w:ascii="Cambria" w:hAnsi="Cambria"/>
          <w:sz w:val="20"/>
          <w:szCs w:val="20"/>
          <w:lang w:val="es-ES"/>
        </w:rPr>
        <w:t xml:space="preserve">l Estado </w:t>
      </w:r>
      <w:r w:rsidRPr="00A44829">
        <w:rPr>
          <w:rFonts w:ascii="Cambria" w:hAnsi="Cambria"/>
          <w:sz w:val="20"/>
          <w:szCs w:val="20"/>
          <w:lang w:val="es-ES"/>
        </w:rPr>
        <w:t xml:space="preserve">sostiene </w:t>
      </w:r>
      <w:r w:rsidR="00C978A2" w:rsidRPr="00A44829">
        <w:rPr>
          <w:rFonts w:ascii="Cambria" w:hAnsi="Cambria"/>
          <w:sz w:val="20"/>
          <w:szCs w:val="20"/>
          <w:lang w:val="es-ES"/>
        </w:rPr>
        <w:t>que la petición contiene seri</w:t>
      </w:r>
      <w:r w:rsidRPr="00A44829">
        <w:rPr>
          <w:rFonts w:ascii="Cambria" w:hAnsi="Cambria"/>
          <w:sz w:val="20"/>
          <w:szCs w:val="20"/>
          <w:lang w:val="es-ES"/>
        </w:rPr>
        <w:t>as observaciones en torno a la L</w:t>
      </w:r>
      <w:r w:rsidR="00C978A2" w:rsidRPr="00A44829">
        <w:rPr>
          <w:rFonts w:ascii="Cambria" w:hAnsi="Cambria"/>
          <w:sz w:val="20"/>
          <w:szCs w:val="20"/>
          <w:lang w:val="es-ES"/>
        </w:rPr>
        <w:t>ey No. 13.882 la cual prevé diversas consecuencias para aquellos ciudadanos que no hayan votado en dos elecciones nacionales consecutivas. Al respecto señala que el ordenamiento jurídico nacional prevé el proceso de declaración de inconstitucionalidad de las leyes, el cual observa no ha sido promovido por la parte peticionaria, como la misma lo señala en la petición, y en este sentido el peticionario reconoce que no ha agotado aun los recursos internos. Por último, el Estado agrega que, como otro mecanismo interno pendiente de agotamiento, está la iniciativa ciudadana en materia legislativa prevista en el artículo 79 de la Constitución.</w:t>
      </w:r>
    </w:p>
    <w:p w14:paraId="004CA5D5" w14:textId="77777777" w:rsidR="005D7CDA" w:rsidRPr="00006B74" w:rsidRDefault="005D7CDA" w:rsidP="005D7CD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FE6F5AE" w14:textId="0825E71B" w:rsidR="004C616A" w:rsidRDefault="004C616A" w:rsidP="005D7CDA">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311FA266" w14:textId="77777777" w:rsidR="005D7CDA" w:rsidRPr="00511466" w:rsidRDefault="005D7CDA" w:rsidP="005D7CDA">
      <w:pPr>
        <w:pStyle w:val="ListParagraph"/>
        <w:jc w:val="both"/>
        <w:rPr>
          <w:rFonts w:asciiTheme="majorHAnsi" w:hAnsiTheme="majorHAnsi"/>
          <w:b/>
          <w:bCs/>
          <w:color w:val="auto"/>
          <w:sz w:val="20"/>
          <w:szCs w:val="20"/>
          <w:lang w:val="es-ES"/>
        </w:rPr>
      </w:pPr>
    </w:p>
    <w:p w14:paraId="65A39D1F" w14:textId="5E9FC9E5" w:rsidR="00332FA6" w:rsidRPr="00511466" w:rsidRDefault="001168F7" w:rsidP="00332F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511466">
        <w:rPr>
          <w:rFonts w:ascii="Cambria" w:hAnsi="Cambria"/>
          <w:sz w:val="20"/>
          <w:szCs w:val="20"/>
          <w:lang w:val="es-ES"/>
        </w:rPr>
        <w:t>L</w:t>
      </w:r>
      <w:r w:rsidR="00A44829" w:rsidRPr="00511466">
        <w:rPr>
          <w:rFonts w:ascii="Cambria" w:hAnsi="Cambria"/>
          <w:sz w:val="20"/>
          <w:szCs w:val="20"/>
          <w:lang w:val="es-ES"/>
        </w:rPr>
        <w:t xml:space="preserve">a Comisión </w:t>
      </w:r>
      <w:r w:rsidRPr="00511466">
        <w:rPr>
          <w:rFonts w:ascii="Cambria" w:hAnsi="Cambria"/>
          <w:sz w:val="20"/>
          <w:szCs w:val="20"/>
          <w:lang w:val="es-ES"/>
        </w:rPr>
        <w:t xml:space="preserve">toma </w:t>
      </w:r>
      <w:r w:rsidR="00A44829" w:rsidRPr="00511466">
        <w:rPr>
          <w:rFonts w:ascii="Cambria" w:hAnsi="Cambria"/>
          <w:sz w:val="20"/>
          <w:szCs w:val="20"/>
          <w:lang w:val="es-ES"/>
        </w:rPr>
        <w:t xml:space="preserve">nota </w:t>
      </w:r>
      <w:r w:rsidRPr="00511466">
        <w:rPr>
          <w:rFonts w:ascii="Cambria" w:hAnsi="Cambria"/>
          <w:sz w:val="20"/>
          <w:szCs w:val="20"/>
          <w:lang w:val="es-ES"/>
        </w:rPr>
        <w:t>d</w:t>
      </w:r>
      <w:r w:rsidR="00A44829" w:rsidRPr="00511466">
        <w:rPr>
          <w:rFonts w:ascii="Cambria" w:hAnsi="Cambria"/>
          <w:sz w:val="20"/>
          <w:szCs w:val="20"/>
          <w:lang w:val="es-ES"/>
        </w:rPr>
        <w:t xml:space="preserve">el argumento del Estado en relación a la </w:t>
      </w:r>
      <w:r w:rsidRPr="00511466">
        <w:rPr>
          <w:rFonts w:ascii="Cambria" w:hAnsi="Cambria"/>
          <w:sz w:val="20"/>
          <w:szCs w:val="20"/>
          <w:lang w:val="es-ES"/>
        </w:rPr>
        <w:t xml:space="preserve">falta de agotamiento por las presuntas víctimas del recurso de inconstitucionalidad de las </w:t>
      </w:r>
      <w:r w:rsidR="00EC1372" w:rsidRPr="00511466">
        <w:rPr>
          <w:rFonts w:ascii="Cambria" w:hAnsi="Cambria"/>
          <w:sz w:val="20"/>
          <w:szCs w:val="20"/>
          <w:lang w:val="es-ES"/>
        </w:rPr>
        <w:t>leyes,</w:t>
      </w:r>
      <w:r w:rsidRPr="00511466">
        <w:rPr>
          <w:rFonts w:ascii="Cambria" w:hAnsi="Cambria"/>
          <w:sz w:val="20"/>
          <w:szCs w:val="20"/>
          <w:lang w:val="es-ES"/>
        </w:rPr>
        <w:t xml:space="preserve"> así como la disponibilidad de la iniciativa ciudadana en materia legislativa. </w:t>
      </w:r>
      <w:r w:rsidRPr="00511466">
        <w:rPr>
          <w:rFonts w:ascii="Cambria" w:hAnsi="Cambria" w:cs="Calibri"/>
          <w:sz w:val="20"/>
          <w:szCs w:val="20"/>
          <w:lang w:val="es-ES"/>
        </w:rPr>
        <w:t xml:space="preserve">Con respecto al recurso de inconstitucionalidad, </w:t>
      </w:r>
      <w:r w:rsidR="0062121B" w:rsidRPr="00511466">
        <w:rPr>
          <w:rFonts w:ascii="Cambria" w:hAnsi="Cambria" w:cs="Calibri"/>
          <w:sz w:val="20"/>
          <w:szCs w:val="20"/>
          <w:lang w:val="es-ES"/>
        </w:rPr>
        <w:t xml:space="preserve">observa que </w:t>
      </w:r>
      <w:r w:rsidRPr="00511466">
        <w:rPr>
          <w:rFonts w:ascii="Cambria" w:hAnsi="Cambria"/>
          <w:sz w:val="20"/>
          <w:szCs w:val="20"/>
          <w:lang w:val="es-ES"/>
        </w:rPr>
        <w:t xml:space="preserve">el </w:t>
      </w:r>
      <w:r w:rsidR="00AE725E" w:rsidRPr="00511466">
        <w:rPr>
          <w:rFonts w:ascii="Cambria" w:hAnsi="Cambria"/>
          <w:sz w:val="20"/>
          <w:szCs w:val="20"/>
          <w:lang w:val="es-ES"/>
        </w:rPr>
        <w:t xml:space="preserve">Estado plantea la necesidad de agotar dicho recurso </w:t>
      </w:r>
      <w:r w:rsidR="0070161C" w:rsidRPr="00511466">
        <w:rPr>
          <w:rFonts w:ascii="Cambria" w:hAnsi="Cambria"/>
          <w:sz w:val="20"/>
          <w:szCs w:val="20"/>
          <w:lang w:val="es-ES"/>
        </w:rPr>
        <w:t xml:space="preserve">en relación a los argumentos contextuales presentados por la parte peticionaria sobre de la Ley No. 13.882 y No. 16.021, relativos en particular a los efectos de las mismas </w:t>
      </w:r>
      <w:r w:rsidR="0070161C" w:rsidRPr="00511466">
        <w:rPr>
          <w:rFonts w:ascii="Cambria" w:hAnsi="Cambria"/>
          <w:sz w:val="20"/>
          <w:szCs w:val="20"/>
          <w:lang w:val="es-ES"/>
        </w:rPr>
        <w:lastRenderedPageBreak/>
        <w:t>en el derecho al voto de ciudadanos uruguayos en Uruguay</w:t>
      </w:r>
      <w:r w:rsidR="0070161C" w:rsidRPr="00511466">
        <w:rPr>
          <w:rStyle w:val="FootnoteReference"/>
          <w:rFonts w:ascii="Cambria" w:hAnsi="Cambria"/>
          <w:sz w:val="20"/>
          <w:szCs w:val="20"/>
          <w:lang w:val="es-ES"/>
        </w:rPr>
        <w:footnoteReference w:id="6"/>
      </w:r>
      <w:r w:rsidR="0070161C" w:rsidRPr="00511466">
        <w:rPr>
          <w:rFonts w:ascii="Cambria" w:hAnsi="Cambria"/>
          <w:sz w:val="20"/>
          <w:szCs w:val="20"/>
          <w:lang w:val="es-ES"/>
        </w:rPr>
        <w:t xml:space="preserve">. </w:t>
      </w:r>
      <w:r w:rsidR="00332FA6" w:rsidRPr="00511466">
        <w:rPr>
          <w:rFonts w:ascii="Cambria" w:hAnsi="Cambria" w:cs="Calibri"/>
          <w:sz w:val="20"/>
          <w:szCs w:val="20"/>
          <w:lang w:val="es-ES_tradnl"/>
        </w:rPr>
        <w:t xml:space="preserve">Para efectos de la admisibilidad, la CIDH observa que de acuerdo a la información presentada, el reclamo principal de las presuntas víctimas se relaciona con la </w:t>
      </w:r>
      <w:r w:rsidR="00332FA6" w:rsidRPr="00511466">
        <w:rPr>
          <w:rFonts w:ascii="Cambria" w:hAnsi="Cambria"/>
          <w:sz w:val="20"/>
          <w:szCs w:val="20"/>
          <w:lang w:val="es-ES"/>
        </w:rPr>
        <w:t>omisión por parte del Estado en instrumentar el derecho al voto de los ciudadanos uruguayos que residen en el extranjero</w:t>
      </w:r>
      <w:r w:rsidR="00332FA6" w:rsidRPr="00511466">
        <w:rPr>
          <w:rFonts w:ascii="Cambria" w:hAnsi="Cambria" w:cs="Calibri"/>
          <w:sz w:val="20"/>
          <w:szCs w:val="20"/>
          <w:lang w:val="es-ES_tradnl"/>
        </w:rPr>
        <w:t xml:space="preserve"> y producto de ello, la afectación directa a sus derechos. </w:t>
      </w:r>
    </w:p>
    <w:p w14:paraId="47EF5939" w14:textId="77777777" w:rsidR="00332FA6" w:rsidRPr="00511466" w:rsidRDefault="00332FA6" w:rsidP="00332FA6">
      <w:pPr>
        <w:pStyle w:val="ListParagraph"/>
        <w:rPr>
          <w:color w:val="auto"/>
          <w:sz w:val="20"/>
          <w:szCs w:val="20"/>
          <w:lang w:val="es-ES"/>
        </w:rPr>
      </w:pPr>
    </w:p>
    <w:p w14:paraId="4A196913" w14:textId="52443459" w:rsidR="00AE725E" w:rsidRPr="00511466" w:rsidRDefault="00332FA6" w:rsidP="007016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s="Calibri"/>
          <w:sz w:val="20"/>
          <w:szCs w:val="20"/>
          <w:lang w:val="es-ES"/>
        </w:rPr>
      </w:pPr>
      <w:r w:rsidRPr="00511466">
        <w:rPr>
          <w:rFonts w:ascii="Cambria" w:hAnsi="Cambria"/>
          <w:sz w:val="20"/>
          <w:szCs w:val="20"/>
          <w:lang w:val="es-ES"/>
        </w:rPr>
        <w:t xml:space="preserve">La Comisión observa que el </w:t>
      </w:r>
      <w:r w:rsidR="001168F7" w:rsidRPr="00511466">
        <w:rPr>
          <w:rFonts w:ascii="Cambria" w:hAnsi="Cambria"/>
          <w:sz w:val="20"/>
          <w:szCs w:val="20"/>
          <w:lang w:val="es-ES"/>
        </w:rPr>
        <w:t xml:space="preserve">artículo 259 de la </w:t>
      </w:r>
      <w:r w:rsidR="0062121B" w:rsidRPr="00511466">
        <w:rPr>
          <w:rFonts w:ascii="Cambria" w:hAnsi="Cambria"/>
          <w:sz w:val="20"/>
          <w:szCs w:val="20"/>
          <w:lang w:val="es-ES"/>
        </w:rPr>
        <w:t xml:space="preserve">Constitución uruguaya </w:t>
      </w:r>
      <w:r w:rsidR="001168F7" w:rsidRPr="00511466">
        <w:rPr>
          <w:rFonts w:ascii="Cambria" w:hAnsi="Cambria"/>
          <w:sz w:val="20"/>
          <w:szCs w:val="20"/>
          <w:lang w:val="es-ES"/>
        </w:rPr>
        <w:t>establece que e</w:t>
      </w:r>
      <w:r w:rsidR="00880CBE" w:rsidRPr="00511466">
        <w:rPr>
          <w:rFonts w:ascii="Cambria" w:hAnsi="Cambria"/>
          <w:sz w:val="20"/>
          <w:szCs w:val="20"/>
          <w:lang w:val="es-ES"/>
        </w:rPr>
        <w:t>l fallo de la Suprema Corte de Justicia se referirá exclusivamente al</w:t>
      </w:r>
      <w:r w:rsidR="001168F7" w:rsidRPr="00511466">
        <w:rPr>
          <w:rFonts w:ascii="Cambria" w:hAnsi="Cambria"/>
          <w:sz w:val="20"/>
          <w:szCs w:val="20"/>
          <w:lang w:val="es-ES"/>
        </w:rPr>
        <w:t xml:space="preserve"> </w:t>
      </w:r>
      <w:r w:rsidR="00880CBE" w:rsidRPr="00511466">
        <w:rPr>
          <w:rFonts w:ascii="Cambria" w:hAnsi="Cambria"/>
          <w:sz w:val="20"/>
          <w:szCs w:val="20"/>
          <w:lang w:val="es-ES"/>
        </w:rPr>
        <w:t>caso concreto y sólo tendrá efecto en los procedimientos en que se haya</w:t>
      </w:r>
      <w:r w:rsidR="001168F7" w:rsidRPr="00511466">
        <w:rPr>
          <w:rFonts w:ascii="Cambria" w:hAnsi="Cambria"/>
          <w:sz w:val="20"/>
          <w:szCs w:val="20"/>
          <w:lang w:val="es-ES"/>
        </w:rPr>
        <w:t xml:space="preserve"> </w:t>
      </w:r>
      <w:r w:rsidR="00880CBE" w:rsidRPr="00511466">
        <w:rPr>
          <w:rFonts w:ascii="Cambria" w:hAnsi="Cambria"/>
          <w:sz w:val="20"/>
          <w:szCs w:val="20"/>
          <w:lang w:val="es-ES"/>
        </w:rPr>
        <w:t xml:space="preserve">pronunciado. </w:t>
      </w:r>
      <w:r w:rsidRPr="00511466">
        <w:rPr>
          <w:rFonts w:ascii="Cambria" w:hAnsi="Cambria"/>
          <w:sz w:val="20"/>
          <w:szCs w:val="20"/>
          <w:lang w:val="es-ES"/>
        </w:rPr>
        <w:t>En este sentido considera los efectos de la declaración de inconstitucionalidad solamente tiene efectos para el caso en concreto</w:t>
      </w:r>
      <w:r w:rsidR="00511466" w:rsidRPr="00511466">
        <w:rPr>
          <w:rFonts w:ascii="Cambria" w:hAnsi="Cambria"/>
          <w:sz w:val="20"/>
          <w:szCs w:val="20"/>
          <w:lang w:val="es-ES"/>
        </w:rPr>
        <w:t xml:space="preserve">, es decir no produce efectos </w:t>
      </w:r>
      <w:r w:rsidR="00511466" w:rsidRPr="00511466">
        <w:rPr>
          <w:rFonts w:ascii="Cambria" w:hAnsi="Cambria"/>
          <w:i/>
          <w:sz w:val="20"/>
          <w:szCs w:val="20"/>
          <w:lang w:val="es-ES"/>
        </w:rPr>
        <w:t>erga omnes</w:t>
      </w:r>
      <w:r w:rsidR="00AF3185" w:rsidRPr="00511466">
        <w:rPr>
          <w:rFonts w:ascii="Cambria" w:hAnsi="Cambria"/>
          <w:sz w:val="20"/>
          <w:szCs w:val="20"/>
          <w:lang w:val="es-ES"/>
        </w:rPr>
        <w:t>.</w:t>
      </w:r>
      <w:r w:rsidR="00511466" w:rsidRPr="00511466">
        <w:rPr>
          <w:rFonts w:ascii="Cambria" w:hAnsi="Cambria"/>
          <w:sz w:val="20"/>
          <w:szCs w:val="20"/>
          <w:lang w:val="es-ES"/>
        </w:rPr>
        <w:t xml:space="preserve"> En ese sentido, dado el objeto de la presente petición, la Comisión considera que no resultaba exigible que las presuntas víctimas presentaran una acción de inconstitucionalidad. </w:t>
      </w:r>
      <w:r w:rsidR="00AE725E" w:rsidRPr="00511466">
        <w:rPr>
          <w:rFonts w:ascii="Cambria" w:hAnsi="Cambria" w:cs="Calibri"/>
          <w:sz w:val="20"/>
          <w:szCs w:val="20"/>
          <w:lang w:val="es-ES"/>
        </w:rPr>
        <w:t>Por otra parte, el Estado tampoco ha presentado información respecto de la eficacia del recurso de inconstitucionalidad en otros casos de peticiones individuales, por lo que no ha suministrado información alguna que permita sustentar su idoneidad y eficacia para solucionar el presente asunto ante la jurisdicción interna.  En suma, la acción de inconstitucionalidad no era un recurso interno que los peticionari</w:t>
      </w:r>
      <w:r w:rsidR="0070161C" w:rsidRPr="00511466">
        <w:rPr>
          <w:rFonts w:ascii="Cambria" w:hAnsi="Cambria" w:cs="Calibri"/>
          <w:sz w:val="20"/>
          <w:szCs w:val="20"/>
          <w:lang w:val="es-ES"/>
        </w:rPr>
        <w:t>os tuvieran que agotar para acudir ante</w:t>
      </w:r>
      <w:r w:rsidR="00AE725E" w:rsidRPr="00511466">
        <w:rPr>
          <w:rFonts w:ascii="Cambria" w:hAnsi="Cambria" w:cs="Calibri"/>
          <w:sz w:val="20"/>
          <w:szCs w:val="20"/>
          <w:lang w:val="es-ES"/>
        </w:rPr>
        <w:t xml:space="preserve"> la Comisión Interamericana</w:t>
      </w:r>
      <w:r w:rsidR="00AE725E" w:rsidRPr="00FC2B4A">
        <w:rPr>
          <w:rStyle w:val="FootnoteReference"/>
          <w:rFonts w:ascii="Cambria" w:hAnsi="Cambria" w:cs="Calibri"/>
          <w:sz w:val="20"/>
          <w:szCs w:val="20"/>
          <w:lang w:val="es-ES"/>
        </w:rPr>
        <w:footnoteReference w:id="7"/>
      </w:r>
      <w:r w:rsidR="00AE725E" w:rsidRPr="00511466">
        <w:rPr>
          <w:rFonts w:ascii="Cambria" w:hAnsi="Cambria" w:cs="Calibri"/>
          <w:sz w:val="20"/>
          <w:szCs w:val="20"/>
          <w:lang w:val="es-ES"/>
        </w:rPr>
        <w:t>.</w:t>
      </w:r>
    </w:p>
    <w:p w14:paraId="7D75F843" w14:textId="77777777" w:rsidR="00A44829" w:rsidRDefault="00A44829" w:rsidP="00A4482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7D0C5F8" w14:textId="0C8E090D" w:rsidR="00A44829" w:rsidRPr="00635507" w:rsidRDefault="00A44829" w:rsidP="00A448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sidRPr="008F3A27">
        <w:rPr>
          <w:rFonts w:ascii="Cambria" w:hAnsi="Cambria"/>
          <w:sz w:val="20"/>
          <w:szCs w:val="20"/>
          <w:lang w:val="es-ES"/>
        </w:rPr>
        <w:t xml:space="preserve">Con respecto a la iniciativa ciudadana en materia legislativa, la Comisión verifica que el artículo 79 de la Constitución uruguaya establece un mecanismo para ejercer </w:t>
      </w:r>
      <w:r w:rsidRPr="008F3A27">
        <w:rPr>
          <w:rFonts w:ascii="Cambria" w:hAnsi="Cambria"/>
          <w:sz w:val="20"/>
          <w:szCs w:val="20"/>
          <w:lang w:val="es-VE"/>
        </w:rPr>
        <w:t>el derecho de iniciativa ante el Poder Legislativo</w:t>
      </w:r>
      <w:r w:rsidRPr="008F3A27">
        <w:rPr>
          <w:rStyle w:val="FootnoteReference"/>
          <w:rFonts w:ascii="Cambria" w:hAnsi="Cambria"/>
          <w:sz w:val="20"/>
          <w:szCs w:val="20"/>
          <w:lang w:val="es-VE"/>
        </w:rPr>
        <w:footnoteReference w:id="8"/>
      </w:r>
      <w:r w:rsidRPr="008F3A27">
        <w:rPr>
          <w:rFonts w:ascii="Cambria" w:hAnsi="Cambria"/>
          <w:sz w:val="20"/>
          <w:szCs w:val="20"/>
          <w:lang w:val="es-ES"/>
        </w:rPr>
        <w:t xml:space="preserve">. En particular, la Comisión considera excesivos los requisitos de reunir o coordinar </w:t>
      </w:r>
      <w:r w:rsidRPr="008F3A27">
        <w:rPr>
          <w:rFonts w:ascii="Cambria" w:hAnsi="Cambria"/>
          <w:sz w:val="20"/>
          <w:szCs w:val="20"/>
          <w:lang w:val="es-VE"/>
        </w:rPr>
        <w:t>veinticinco por ciento del total de los inscriptos habilitados para votar, con el fin de presentar una iniciativa ante el Poder Legislativo como recurso idóneo y adecuado a agotar para acudir al sistema interamericano de protección</w:t>
      </w:r>
      <w:r w:rsidRPr="008F3A27">
        <w:rPr>
          <w:rFonts w:ascii="Cambria" w:hAnsi="Cambria"/>
          <w:sz w:val="20"/>
          <w:szCs w:val="20"/>
          <w:lang w:val="es-ES"/>
        </w:rPr>
        <w:t>. Asimismo, de la</w:t>
      </w:r>
      <w:r>
        <w:rPr>
          <w:rFonts w:ascii="Cambria" w:hAnsi="Cambria"/>
          <w:sz w:val="20"/>
          <w:szCs w:val="20"/>
          <w:lang w:val="es-ES"/>
        </w:rPr>
        <w:t xml:space="preserve"> información disponible, la Comisión nota que el </w:t>
      </w:r>
      <w:r w:rsidRPr="00DD44EC">
        <w:rPr>
          <w:rFonts w:ascii="Cambria" w:hAnsi="Cambria"/>
          <w:sz w:val="20"/>
          <w:szCs w:val="20"/>
          <w:lang w:val="es-ES"/>
        </w:rPr>
        <w:t>trámit</w:t>
      </w:r>
      <w:r>
        <w:rPr>
          <w:rFonts w:ascii="Cambria" w:hAnsi="Cambria"/>
          <w:sz w:val="20"/>
          <w:szCs w:val="20"/>
          <w:lang w:val="es-ES"/>
        </w:rPr>
        <w:t xml:space="preserve">e y </w:t>
      </w:r>
      <w:r w:rsidRPr="00DB555C">
        <w:rPr>
          <w:rFonts w:ascii="Cambria" w:hAnsi="Cambria"/>
          <w:sz w:val="20"/>
          <w:szCs w:val="20"/>
          <w:lang w:val="es-VE"/>
        </w:rPr>
        <w:t xml:space="preserve">el modo de procesar </w:t>
      </w:r>
      <w:r>
        <w:rPr>
          <w:rFonts w:ascii="Cambria" w:hAnsi="Cambria"/>
          <w:sz w:val="20"/>
          <w:szCs w:val="20"/>
          <w:lang w:val="es-VE"/>
        </w:rPr>
        <w:t xml:space="preserve">una </w:t>
      </w:r>
      <w:r w:rsidRPr="00DB555C">
        <w:rPr>
          <w:rFonts w:ascii="Cambria" w:hAnsi="Cambria"/>
          <w:sz w:val="20"/>
          <w:szCs w:val="20"/>
          <w:lang w:val="es-VE"/>
        </w:rPr>
        <w:t xml:space="preserve">iniciativa </w:t>
      </w:r>
      <w:r w:rsidRPr="00DD44EC">
        <w:rPr>
          <w:rFonts w:ascii="Cambria" w:hAnsi="Cambria"/>
          <w:sz w:val="20"/>
          <w:szCs w:val="20"/>
          <w:lang w:val="es-ES"/>
        </w:rPr>
        <w:t>carec</w:t>
      </w:r>
      <w:r>
        <w:rPr>
          <w:rFonts w:ascii="Cambria" w:hAnsi="Cambria"/>
          <w:sz w:val="20"/>
          <w:szCs w:val="20"/>
          <w:lang w:val="es-ES"/>
        </w:rPr>
        <w:t xml:space="preserve">e </w:t>
      </w:r>
      <w:r w:rsidRPr="00DD44EC">
        <w:rPr>
          <w:rFonts w:ascii="Cambria" w:hAnsi="Cambria"/>
          <w:sz w:val="20"/>
          <w:szCs w:val="20"/>
          <w:lang w:val="es-ES"/>
        </w:rPr>
        <w:t xml:space="preserve">de reglamentación, por lo cual no cuenta con un procedimiento ni plazos específicos. </w:t>
      </w:r>
      <w:r w:rsidR="00511466">
        <w:rPr>
          <w:rFonts w:ascii="Cambria" w:hAnsi="Cambria"/>
          <w:sz w:val="20"/>
          <w:szCs w:val="20"/>
          <w:lang w:val="es-VE"/>
        </w:rPr>
        <w:t>Por</w:t>
      </w:r>
      <w:r w:rsidRPr="008A0B42">
        <w:rPr>
          <w:rFonts w:ascii="Cambria" w:hAnsi="Cambria"/>
          <w:sz w:val="20"/>
          <w:szCs w:val="20"/>
          <w:lang w:val="es-ES"/>
        </w:rPr>
        <w:t xml:space="preserve"> lo tanto, con base en dicha información, la Comisión considera que no existe en la jurisdicción interna </w:t>
      </w:r>
      <w:r w:rsidRPr="00FC2B4A">
        <w:rPr>
          <w:rFonts w:ascii="Cambria" w:hAnsi="Cambria" w:cs="Calibri"/>
          <w:sz w:val="20"/>
          <w:szCs w:val="20"/>
          <w:lang w:val="es-ES"/>
        </w:rPr>
        <w:t>un debido proceso o recurso idóneo para proteger los derechos que se alegan violados</w:t>
      </w:r>
      <w:r w:rsidRPr="008A0B42">
        <w:rPr>
          <w:rFonts w:ascii="Cambria" w:hAnsi="Cambria"/>
          <w:sz w:val="20"/>
          <w:szCs w:val="20"/>
          <w:lang w:val="es-ES"/>
        </w:rPr>
        <w:t>, por lo cual procede la excepción contenida en el artículo 46.2.a de la Convención</w:t>
      </w:r>
      <w:r>
        <w:rPr>
          <w:rFonts w:ascii="Cambria" w:hAnsi="Cambria"/>
          <w:sz w:val="20"/>
          <w:szCs w:val="20"/>
          <w:lang w:val="es-ES"/>
        </w:rPr>
        <w:t>.</w:t>
      </w:r>
    </w:p>
    <w:p w14:paraId="5E4DC022" w14:textId="77777777" w:rsidR="00A44829" w:rsidRPr="00A44829" w:rsidRDefault="00A44829" w:rsidP="00A4482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19BC7F08" w14:textId="585D7B9E" w:rsidR="00E05BB6" w:rsidRPr="00071134" w:rsidRDefault="00E05BB6" w:rsidP="008F3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71134">
        <w:rPr>
          <w:rFonts w:ascii="Cambria" w:hAnsi="Cambria"/>
          <w:sz w:val="20"/>
          <w:szCs w:val="20"/>
          <w:lang w:val="es-ES_tradnl"/>
        </w:rPr>
        <w:t>Por otra parte, la Comisión considera que la petición fue presentada dentro de un plazo razonable y que debe darse por satisfecho el requisito de admisibilidad referente al plazo de presentación</w:t>
      </w:r>
      <w:r w:rsidR="00071134" w:rsidRPr="00071134">
        <w:rPr>
          <w:rFonts w:ascii="Cambria" w:hAnsi="Cambria"/>
          <w:sz w:val="20"/>
          <w:szCs w:val="20"/>
          <w:lang w:val="es-ES_tradnl"/>
        </w:rPr>
        <w:t xml:space="preserve"> con fundamento en el artículo 32.2 de su Reglamento.</w:t>
      </w:r>
      <w:r w:rsidRPr="00071134">
        <w:rPr>
          <w:rFonts w:ascii="Cambria" w:hAnsi="Cambria"/>
          <w:sz w:val="20"/>
          <w:szCs w:val="20"/>
          <w:lang w:val="es-ES_tradnl"/>
        </w:rPr>
        <w:t xml:space="preserve"> </w:t>
      </w:r>
      <w:r w:rsidRPr="00071134">
        <w:rPr>
          <w:rFonts w:ascii="Cambria" w:hAnsi="Cambria" w:cs="Calibri"/>
          <w:sz w:val="20"/>
          <w:szCs w:val="20"/>
          <w:lang w:val="es-ES_tradnl"/>
        </w:rPr>
        <w:t>Ello, dado que</w:t>
      </w:r>
      <w:r w:rsidR="00AB0DCB" w:rsidRPr="00071134">
        <w:rPr>
          <w:rFonts w:ascii="Cambria" w:hAnsi="Cambria" w:cs="Calibri"/>
          <w:sz w:val="20"/>
          <w:szCs w:val="20"/>
          <w:lang w:val="es-ES_tradnl"/>
        </w:rPr>
        <w:t>,</w:t>
      </w:r>
      <w:r w:rsidR="00071134" w:rsidRPr="00071134">
        <w:rPr>
          <w:rFonts w:ascii="Cambria" w:hAnsi="Cambria"/>
          <w:sz w:val="20"/>
          <w:szCs w:val="20"/>
          <w:lang w:val="es-ES_tradnl"/>
        </w:rPr>
        <w:t xml:space="preserve"> las </w:t>
      </w:r>
      <w:r w:rsidR="00071134" w:rsidRPr="00071134">
        <w:rPr>
          <w:rFonts w:ascii="Cambria" w:hAnsi="Cambria"/>
          <w:sz w:val="20"/>
          <w:szCs w:val="20"/>
          <w:lang w:val="es-VE"/>
        </w:rPr>
        <w:t>violaciones alegadas son supuestamente de carácter continuado</w:t>
      </w:r>
      <w:r w:rsidR="00071134" w:rsidRPr="00071134">
        <w:rPr>
          <w:rFonts w:ascii="Cambria" w:hAnsi="Cambria"/>
          <w:sz w:val="20"/>
          <w:szCs w:val="20"/>
          <w:lang w:val="es-ES_tradnl"/>
        </w:rPr>
        <w:t xml:space="preserve"> </w:t>
      </w:r>
      <w:r w:rsidRPr="00071134">
        <w:rPr>
          <w:rFonts w:ascii="Cambria" w:hAnsi="Cambria" w:cs="Calibri"/>
          <w:sz w:val="20"/>
          <w:szCs w:val="20"/>
          <w:lang w:val="es-ES_tradnl"/>
        </w:rPr>
        <w:t xml:space="preserve">y la petición fue recibida el </w:t>
      </w:r>
      <w:r w:rsidR="00071134" w:rsidRPr="00071134">
        <w:rPr>
          <w:rFonts w:ascii="Cambria" w:hAnsi="Cambria" w:cs="Calibri"/>
          <w:sz w:val="20"/>
          <w:szCs w:val="20"/>
          <w:lang w:val="es-ES_tradnl"/>
        </w:rPr>
        <w:t>29 de noviembre de 2011.</w:t>
      </w:r>
    </w:p>
    <w:p w14:paraId="2FB2F15B" w14:textId="77777777" w:rsidR="00E05BB6" w:rsidRPr="005D7CDA" w:rsidRDefault="00E05BB6" w:rsidP="00E05B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090A929" w14:textId="69BBC5E1" w:rsidR="00F04591" w:rsidRDefault="00F04591" w:rsidP="005D7CDA">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63A33C20" w14:textId="77777777" w:rsidR="00E05BB6" w:rsidRPr="00006B74" w:rsidRDefault="00E05BB6" w:rsidP="005D7CDA">
      <w:pPr>
        <w:pStyle w:val="ListParagraph"/>
        <w:jc w:val="both"/>
        <w:rPr>
          <w:rFonts w:asciiTheme="majorHAnsi" w:hAnsiTheme="majorHAnsi"/>
          <w:b/>
          <w:bCs/>
          <w:sz w:val="20"/>
          <w:szCs w:val="20"/>
          <w:lang w:val="es-ES"/>
        </w:rPr>
      </w:pPr>
    </w:p>
    <w:p w14:paraId="08EEB388" w14:textId="0DE88015" w:rsidR="005F4E04" w:rsidRPr="005F4E04" w:rsidRDefault="00F124BB" w:rsidP="001436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5A6E09">
        <w:rPr>
          <w:rFonts w:ascii="Cambria" w:hAnsi="Cambria"/>
          <w:sz w:val="20"/>
          <w:szCs w:val="20"/>
          <w:lang w:val="es-ES"/>
        </w:rPr>
        <w:t xml:space="preserve">La Comisión observa que la presente petición incluye alegaciones con respecto a </w:t>
      </w:r>
      <w:r w:rsidR="00143609">
        <w:rPr>
          <w:rFonts w:ascii="Cambria" w:hAnsi="Cambria"/>
          <w:sz w:val="20"/>
          <w:szCs w:val="20"/>
          <w:lang w:val="es-VE"/>
        </w:rPr>
        <w:t xml:space="preserve">la imposibilidad </w:t>
      </w:r>
      <w:r w:rsidR="00143609" w:rsidRPr="00143609">
        <w:rPr>
          <w:rFonts w:ascii="Cambria" w:hAnsi="Cambria"/>
          <w:sz w:val="20"/>
          <w:szCs w:val="20"/>
          <w:lang w:val="es-VE"/>
        </w:rPr>
        <w:t xml:space="preserve">de </w:t>
      </w:r>
      <w:r w:rsidR="00143609" w:rsidRPr="00143609">
        <w:rPr>
          <w:rFonts w:ascii="Cambria" w:hAnsi="Cambria"/>
          <w:sz w:val="20"/>
          <w:szCs w:val="20"/>
          <w:lang w:val="es-AR"/>
        </w:rPr>
        <w:t xml:space="preserve">ejercer el voto en el exterior debido </w:t>
      </w:r>
      <w:r w:rsidR="00313F08">
        <w:rPr>
          <w:rFonts w:ascii="Cambria" w:hAnsi="Cambria"/>
          <w:sz w:val="20"/>
          <w:szCs w:val="20"/>
          <w:lang w:val="es-AR"/>
        </w:rPr>
        <w:t xml:space="preserve">al vacío en </w:t>
      </w:r>
      <w:r w:rsidR="00143609" w:rsidRPr="00143609">
        <w:rPr>
          <w:rFonts w:ascii="Cambria" w:hAnsi="Cambria"/>
          <w:sz w:val="20"/>
          <w:szCs w:val="20"/>
          <w:lang w:val="es-AR"/>
        </w:rPr>
        <w:t>la normativa</w:t>
      </w:r>
      <w:r w:rsidR="008E36CD">
        <w:rPr>
          <w:rFonts w:ascii="Cambria" w:hAnsi="Cambria"/>
          <w:sz w:val="20"/>
          <w:szCs w:val="20"/>
          <w:lang w:val="es-AR"/>
        </w:rPr>
        <w:t xml:space="preserve">. </w:t>
      </w:r>
      <w:r w:rsidR="008E36CD" w:rsidRPr="005A6E09">
        <w:rPr>
          <w:rFonts w:ascii="Cambria" w:hAnsi="Cambria"/>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313F08">
        <w:rPr>
          <w:rFonts w:ascii="Cambria" w:hAnsi="Cambria"/>
          <w:sz w:val="20"/>
          <w:szCs w:val="20"/>
          <w:lang w:val="es-VE"/>
        </w:rPr>
        <w:t xml:space="preserve"> </w:t>
      </w:r>
      <w:r w:rsidR="005F4E04" w:rsidRPr="00EE3BE8">
        <w:rPr>
          <w:rFonts w:ascii="Cambria" w:hAnsi="Cambria"/>
          <w:bCs/>
          <w:sz w:val="20"/>
          <w:szCs w:val="19"/>
          <w:lang w:val="es-ES"/>
        </w:rPr>
        <w:t xml:space="preserve">23 (derechos políticos), 24 (igualdad ante la ley) y 25 (protección judicial) </w:t>
      </w:r>
      <w:r w:rsidR="005F4E04" w:rsidRPr="005F4E04">
        <w:rPr>
          <w:rFonts w:ascii="Cambria" w:hAnsi="Cambria"/>
          <w:sz w:val="20"/>
          <w:szCs w:val="20"/>
          <w:lang w:val="es-VE"/>
        </w:rPr>
        <w:t>de la Convención Americana sobre Derechos Humanos en relación con su artículo 1.1 (obligación de respetar los derechos)</w:t>
      </w:r>
      <w:r w:rsidR="00143609">
        <w:rPr>
          <w:rFonts w:ascii="Cambria" w:hAnsi="Cambria"/>
          <w:sz w:val="20"/>
          <w:szCs w:val="20"/>
          <w:lang w:val="es-VE"/>
        </w:rPr>
        <w:t xml:space="preserve"> y 2 (deber de adoptar disposiciones de derecho interno)</w:t>
      </w:r>
      <w:r w:rsidR="005F4E04">
        <w:rPr>
          <w:rFonts w:ascii="Cambria" w:hAnsi="Cambria"/>
          <w:sz w:val="20"/>
          <w:szCs w:val="20"/>
          <w:lang w:val="es-VE"/>
        </w:rPr>
        <w:t xml:space="preserve">. </w:t>
      </w:r>
      <w:r w:rsidR="005F4E04" w:rsidRPr="005F4E04">
        <w:rPr>
          <w:rFonts w:ascii="Cambria" w:hAnsi="Cambria"/>
          <w:sz w:val="20"/>
          <w:szCs w:val="20"/>
          <w:lang w:val="es-VE"/>
        </w:rPr>
        <w:t>La Comisión considera que los reclamos presentados por los peticionarios plantean cuestiones relativas a los derechos de las personas nombradas como presuntas víctimas y las obligaciones correspondientes del Estado que requieren un análisis en la etapa del fond</w:t>
      </w:r>
      <w:r w:rsidR="005F4E04">
        <w:rPr>
          <w:rFonts w:ascii="Cambria" w:hAnsi="Cambria"/>
          <w:sz w:val="20"/>
          <w:szCs w:val="20"/>
          <w:lang w:val="es-VE"/>
        </w:rPr>
        <w:t xml:space="preserve">o. </w:t>
      </w:r>
    </w:p>
    <w:p w14:paraId="486A0E2C" w14:textId="77777777" w:rsidR="005F4E04" w:rsidRDefault="005F4E04" w:rsidP="005F4E04">
      <w:pPr>
        <w:pStyle w:val="ListParagraph"/>
        <w:rPr>
          <w:sz w:val="20"/>
          <w:szCs w:val="20"/>
          <w:lang w:val="es-VE"/>
        </w:rPr>
      </w:pPr>
    </w:p>
    <w:p w14:paraId="73D67CC9" w14:textId="1665BB3C" w:rsidR="005F4E04" w:rsidRPr="00DD44EC" w:rsidRDefault="005F4E04" w:rsidP="00D637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F4E04">
        <w:rPr>
          <w:rFonts w:ascii="Cambria" w:hAnsi="Cambria"/>
          <w:sz w:val="20"/>
          <w:szCs w:val="20"/>
          <w:lang w:val="es-VE"/>
        </w:rPr>
        <w:t xml:space="preserve">En relación con el reclamo sobre la presunta violación a los artículos </w:t>
      </w:r>
      <w:r>
        <w:rPr>
          <w:rFonts w:ascii="Cambria" w:hAnsi="Cambria"/>
          <w:sz w:val="20"/>
          <w:szCs w:val="20"/>
          <w:lang w:val="es-VE"/>
        </w:rPr>
        <w:t xml:space="preserve">de la Declaración Americana </w:t>
      </w:r>
      <w:r w:rsidRPr="005F4E04">
        <w:rPr>
          <w:rFonts w:ascii="Cambria" w:hAnsi="Cambria"/>
          <w:sz w:val="20"/>
          <w:szCs w:val="20"/>
          <w:lang w:val="es-VE"/>
        </w:rPr>
        <w:t>de los Derechos y Deberes del Hombre, la Comisión reitera que una vez que la Convención Americana entra en vigor en relación con un Estado, ésta y no la Declaración pasa a ser la fuente primaria de derecho aplicable por la Comisión, siempre que en la petición se aleguen violaciones de derechos sustancialmente idénticos consagrados en los dos instrumentos como ocurre en el presente asunto.</w:t>
      </w:r>
      <w:r w:rsidR="00D637DA">
        <w:rPr>
          <w:rFonts w:ascii="Cambria" w:hAnsi="Cambria"/>
          <w:sz w:val="20"/>
          <w:szCs w:val="20"/>
          <w:lang w:val="es-VE"/>
        </w:rPr>
        <w:t xml:space="preserve"> En la presente petición se observa que los artículos </w:t>
      </w:r>
      <w:r w:rsidR="00D637DA" w:rsidRPr="00D637DA">
        <w:rPr>
          <w:rFonts w:ascii="Cambria" w:hAnsi="Cambria"/>
          <w:sz w:val="20"/>
          <w:szCs w:val="20"/>
          <w:lang w:val="es-VE"/>
        </w:rPr>
        <w:t>II (derecho de igualdad ante la ley), XVII (derecho de reconocimiento de la personalidad jurídica y de los derechos civiles), XX (derecho de sufragio y de participación en el gobierno) y XXXII (deber de sufragio) de la Declaración Americana</w:t>
      </w:r>
      <w:r w:rsidR="00D637DA">
        <w:rPr>
          <w:rFonts w:ascii="Cambria" w:hAnsi="Cambria"/>
          <w:sz w:val="20"/>
          <w:szCs w:val="20"/>
          <w:lang w:val="es-VE"/>
        </w:rPr>
        <w:t xml:space="preserve"> </w:t>
      </w:r>
      <w:r w:rsidR="00D637DA" w:rsidRPr="00D637DA">
        <w:rPr>
          <w:rFonts w:ascii="Cambria" w:hAnsi="Cambria"/>
          <w:sz w:val="20"/>
          <w:szCs w:val="20"/>
          <w:lang w:val="es-VE"/>
        </w:rPr>
        <w:t>consagran derechos sustancialmente idénticos a aquellos protegidos en la Convención Americana.</w:t>
      </w:r>
      <w:r w:rsidR="00D637DA" w:rsidRPr="00D637DA">
        <w:rPr>
          <w:lang w:val="es-AR"/>
        </w:rPr>
        <w:t xml:space="preserve"> </w:t>
      </w:r>
      <w:r w:rsidR="00D637DA" w:rsidRPr="00D637DA">
        <w:rPr>
          <w:rFonts w:ascii="Cambria" w:hAnsi="Cambria"/>
          <w:sz w:val="20"/>
          <w:szCs w:val="20"/>
          <w:lang w:val="es-VE"/>
        </w:rPr>
        <w:t>En este sentido la Comisión analizará dichos alegatos a la luz de la Convención Americana.</w:t>
      </w:r>
    </w:p>
    <w:p w14:paraId="380DC452" w14:textId="716F6F62" w:rsidR="007A79CB" w:rsidRPr="000B0579" w:rsidRDefault="007A79CB" w:rsidP="005F4E0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9BB41F5" w14:textId="2851F5F9" w:rsidR="003239B8" w:rsidRPr="005F4E0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r>
      <w:r w:rsidR="003239B8" w:rsidRPr="005F4E04">
        <w:rPr>
          <w:rFonts w:asciiTheme="majorHAnsi" w:hAnsiTheme="majorHAnsi"/>
          <w:b/>
          <w:bCs/>
          <w:sz w:val="20"/>
          <w:szCs w:val="20"/>
          <w:lang w:val="es-ES"/>
        </w:rPr>
        <w:t>DECISIÓN</w:t>
      </w:r>
    </w:p>
    <w:p w14:paraId="570DA61C" w14:textId="5FCD9266" w:rsidR="000419AD" w:rsidRPr="00BA49E8" w:rsidRDefault="003239B8" w:rsidP="00BA49E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F4E04">
        <w:rPr>
          <w:rFonts w:asciiTheme="majorHAnsi" w:hAnsiTheme="majorHAnsi"/>
          <w:sz w:val="20"/>
          <w:szCs w:val="20"/>
          <w:lang w:val="es-ES"/>
        </w:rPr>
        <w:t>Declarar admisible la presente petición en relación con</w:t>
      </w:r>
      <w:r w:rsidR="003A6337" w:rsidRPr="005F4E04">
        <w:rPr>
          <w:rFonts w:asciiTheme="majorHAnsi" w:hAnsiTheme="majorHAnsi"/>
          <w:sz w:val="20"/>
          <w:szCs w:val="20"/>
          <w:lang w:val="es-ES"/>
        </w:rPr>
        <w:t xml:space="preserve"> los </w:t>
      </w:r>
      <w:r w:rsidR="003A6337" w:rsidRPr="005F4E04">
        <w:rPr>
          <w:rFonts w:ascii="Cambria" w:hAnsi="Cambria"/>
          <w:bCs/>
          <w:sz w:val="20"/>
          <w:szCs w:val="20"/>
          <w:lang w:val="es-ES"/>
        </w:rPr>
        <w:t xml:space="preserve">artículos </w:t>
      </w:r>
      <w:r w:rsidR="00A66ACA">
        <w:rPr>
          <w:rFonts w:ascii="Cambria" w:hAnsi="Cambria"/>
          <w:bCs/>
          <w:sz w:val="20"/>
          <w:szCs w:val="20"/>
          <w:lang w:val="es-ES"/>
        </w:rPr>
        <w:t>23</w:t>
      </w:r>
      <w:r w:rsidR="005F4E04" w:rsidRPr="005F4E04">
        <w:rPr>
          <w:rFonts w:ascii="Cambria" w:hAnsi="Cambria"/>
          <w:bCs/>
          <w:sz w:val="20"/>
          <w:szCs w:val="20"/>
          <w:lang w:val="es-ES"/>
        </w:rPr>
        <w:t xml:space="preserve">, 24 y 25 en relación al artículo 1.1 </w:t>
      </w:r>
      <w:r w:rsidR="0073506F">
        <w:rPr>
          <w:rFonts w:ascii="Cambria" w:hAnsi="Cambria"/>
          <w:bCs/>
          <w:sz w:val="20"/>
          <w:szCs w:val="20"/>
          <w:lang w:val="es-ES"/>
        </w:rPr>
        <w:t xml:space="preserve">y 2 </w:t>
      </w:r>
      <w:r w:rsidR="005F4E04" w:rsidRPr="005F4E04">
        <w:rPr>
          <w:rFonts w:ascii="Cambria" w:hAnsi="Cambria"/>
          <w:bCs/>
          <w:sz w:val="20"/>
          <w:szCs w:val="20"/>
          <w:lang w:val="es-ES"/>
        </w:rPr>
        <w:t>de la Convención Americana</w:t>
      </w:r>
      <w:r w:rsidR="003A6337" w:rsidRPr="00BA49E8">
        <w:rPr>
          <w:sz w:val="20"/>
          <w:szCs w:val="20"/>
          <w:lang w:val="es-ES"/>
        </w:rPr>
        <w:t>;</w:t>
      </w:r>
      <w:r w:rsidR="004A6A54" w:rsidRPr="00BA49E8">
        <w:rPr>
          <w:sz w:val="20"/>
          <w:szCs w:val="20"/>
          <w:lang w:val="es-ES"/>
        </w:rPr>
        <w:t xml:space="preserve"> y</w:t>
      </w:r>
    </w:p>
    <w:p w14:paraId="7CD4DFBD" w14:textId="44C4D185"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5F4E0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7E9F1E2" w14:textId="1921DC9D" w:rsidR="008D13C5" w:rsidRDefault="008D13C5" w:rsidP="00512D0D">
      <w:pPr>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ab/>
      </w: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sidR="00512D0D">
        <w:rPr>
          <w:rFonts w:asciiTheme="majorHAnsi" w:hAnsiTheme="majorHAnsi" w:cs="Arial"/>
          <w:noProof/>
          <w:spacing w:val="-2"/>
          <w:sz w:val="20"/>
          <w:szCs w:val="20"/>
          <w:lang w:val="es-CL"/>
        </w:rPr>
        <w:t xml:space="preserve">Joel Hernández (en </w:t>
      </w:r>
      <w:r w:rsidR="00E7065C">
        <w:rPr>
          <w:rFonts w:asciiTheme="majorHAnsi" w:hAnsiTheme="majorHAnsi" w:cs="Arial"/>
          <w:noProof/>
          <w:spacing w:val="-2"/>
          <w:sz w:val="20"/>
          <w:szCs w:val="20"/>
          <w:lang w:val="es-CL"/>
        </w:rPr>
        <w:t>disidencia</w:t>
      </w:r>
      <w:r w:rsidR="00512D0D">
        <w:rPr>
          <w:rFonts w:asciiTheme="majorHAnsi" w:hAnsiTheme="majorHAnsi" w:cs="Arial"/>
          <w:noProof/>
          <w:spacing w:val="-2"/>
          <w:sz w:val="20"/>
          <w:szCs w:val="20"/>
          <w:lang w:val="es-CL"/>
        </w:rPr>
        <w:t xml:space="preserve">), Presidente; Antonia Urrejola (en </w:t>
      </w:r>
      <w:r w:rsidR="00E7065C">
        <w:rPr>
          <w:rFonts w:asciiTheme="majorHAnsi" w:hAnsiTheme="majorHAnsi" w:cs="Arial"/>
          <w:noProof/>
          <w:spacing w:val="-2"/>
          <w:sz w:val="20"/>
          <w:szCs w:val="20"/>
          <w:lang w:val="es-CL"/>
        </w:rPr>
        <w:t>disidencia</w:t>
      </w:r>
      <w:r w:rsidR="00512D0D">
        <w:rPr>
          <w:rFonts w:asciiTheme="majorHAnsi" w:hAnsiTheme="majorHAnsi" w:cs="Arial"/>
          <w:noProof/>
          <w:spacing w:val="-2"/>
          <w:sz w:val="20"/>
          <w:szCs w:val="20"/>
          <w:lang w:val="es-CL"/>
        </w:rPr>
        <w:t>), Primera Vicepresidenta; Flávia Piovesan, Segunda Vicepresidenta</w:t>
      </w:r>
      <w:r w:rsidR="00512D0D" w:rsidRPr="00A37B82">
        <w:rPr>
          <w:rFonts w:asciiTheme="majorHAnsi" w:hAnsiTheme="majorHAnsi" w:cs="Arial"/>
          <w:noProof/>
          <w:spacing w:val="-2"/>
          <w:sz w:val="20"/>
          <w:szCs w:val="20"/>
          <w:lang w:val="es-CL"/>
        </w:rPr>
        <w:t>;</w:t>
      </w:r>
      <w:r w:rsidR="00512D0D">
        <w:rPr>
          <w:rFonts w:asciiTheme="majorHAnsi" w:hAnsiTheme="majorHAnsi" w:cs="Arial"/>
          <w:noProof/>
          <w:spacing w:val="-2"/>
          <w:sz w:val="20"/>
          <w:szCs w:val="20"/>
          <w:lang w:val="es-CL"/>
        </w:rPr>
        <w:t xml:space="preserve"> Margarette May Macaulay, </w:t>
      </w:r>
      <w:r w:rsidR="00512D0D" w:rsidRPr="00FE6D56">
        <w:rPr>
          <w:rFonts w:asciiTheme="majorHAnsi" w:hAnsiTheme="majorHAnsi" w:cs="Arial"/>
          <w:noProof/>
          <w:spacing w:val="-2"/>
          <w:sz w:val="20"/>
          <w:szCs w:val="20"/>
          <w:lang w:val="es-CL"/>
        </w:rPr>
        <w:t>Esmeralda E. Arosem</w:t>
      </w:r>
      <w:r w:rsidR="00512D0D">
        <w:rPr>
          <w:rFonts w:asciiTheme="majorHAnsi" w:hAnsiTheme="majorHAnsi" w:cs="Arial"/>
          <w:noProof/>
          <w:spacing w:val="-2"/>
          <w:sz w:val="20"/>
          <w:szCs w:val="20"/>
          <w:lang w:val="es-CL"/>
        </w:rPr>
        <w:t>en</w:t>
      </w:r>
      <w:r w:rsidR="00512D0D" w:rsidRPr="00FE6D56">
        <w:rPr>
          <w:rFonts w:asciiTheme="majorHAnsi" w:hAnsiTheme="majorHAnsi" w:cs="Arial"/>
          <w:noProof/>
          <w:spacing w:val="-2"/>
          <w:sz w:val="20"/>
          <w:szCs w:val="20"/>
          <w:lang w:val="es-CL"/>
        </w:rPr>
        <w:t>a Bernal de Troitiño</w:t>
      </w:r>
      <w:r w:rsidR="00512D0D">
        <w:rPr>
          <w:rFonts w:asciiTheme="majorHAnsi" w:hAnsiTheme="majorHAnsi" w:cs="Arial"/>
          <w:noProof/>
          <w:spacing w:val="-2"/>
          <w:sz w:val="20"/>
          <w:szCs w:val="20"/>
          <w:lang w:val="es-CL"/>
        </w:rPr>
        <w:t xml:space="preserve">, Julissa Mantilla Falcón y Stuardo Ralón Orellana (en </w:t>
      </w:r>
      <w:r w:rsidR="00E7065C">
        <w:rPr>
          <w:rFonts w:asciiTheme="majorHAnsi" w:hAnsiTheme="majorHAnsi" w:cs="Arial"/>
          <w:noProof/>
          <w:spacing w:val="-2"/>
          <w:sz w:val="20"/>
          <w:szCs w:val="20"/>
          <w:lang w:val="es-CL"/>
        </w:rPr>
        <w:t>disidencia</w:t>
      </w:r>
      <w:r w:rsidR="00512D0D">
        <w:rPr>
          <w:rFonts w:asciiTheme="majorHAnsi" w:hAnsiTheme="majorHAnsi" w:cs="Arial"/>
          <w:noProof/>
          <w:spacing w:val="-2"/>
          <w:sz w:val="20"/>
          <w:szCs w:val="20"/>
          <w:lang w:val="es-CL"/>
        </w:rPr>
        <w:t xml:space="preserve">), </w:t>
      </w:r>
      <w:r w:rsidR="00512D0D" w:rsidRPr="00A37B82">
        <w:rPr>
          <w:rFonts w:asciiTheme="majorHAnsi" w:hAnsiTheme="majorHAnsi" w:cs="Arial"/>
          <w:noProof/>
          <w:spacing w:val="-2"/>
          <w:sz w:val="20"/>
          <w:szCs w:val="20"/>
          <w:lang w:val="es-CL"/>
        </w:rPr>
        <w:t>Miembros de la Comisión.</w:t>
      </w:r>
    </w:p>
    <w:p w14:paraId="443AB6F0" w14:textId="77777777" w:rsidR="00512D0D" w:rsidRPr="00A37B82" w:rsidRDefault="00512D0D" w:rsidP="00512D0D">
      <w:pPr>
        <w:jc w:val="both"/>
        <w:rPr>
          <w:rFonts w:asciiTheme="majorHAnsi" w:hAnsiTheme="majorHAnsi" w:cs="Arial"/>
          <w:noProof/>
          <w:spacing w:val="-2"/>
          <w:sz w:val="20"/>
          <w:szCs w:val="20"/>
          <w:lang w:val="es-CL"/>
        </w:rPr>
      </w:pPr>
    </w:p>
    <w:sectPr w:rsidR="00512D0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9A90" w14:textId="77777777" w:rsidR="000F41CA" w:rsidRDefault="000F41CA">
      <w:r>
        <w:separator/>
      </w:r>
    </w:p>
  </w:endnote>
  <w:endnote w:type="continuationSeparator" w:id="0">
    <w:p w14:paraId="0F1CCE21" w14:textId="77777777" w:rsidR="000F41CA" w:rsidRDefault="000F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0177" w14:textId="77777777" w:rsidR="00911613" w:rsidRDefault="00911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990C9F4" w:rsidR="00901E25" w:rsidRPr="00934A2C" w:rsidRDefault="00901E2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1613">
          <w:rPr>
            <w:noProof/>
            <w:sz w:val="16"/>
            <w:szCs w:val="22"/>
          </w:rPr>
          <w:t>3</w:t>
        </w:r>
        <w:r w:rsidRPr="00934A2C">
          <w:rPr>
            <w:noProof/>
            <w:sz w:val="16"/>
            <w:szCs w:val="22"/>
          </w:rPr>
          <w:fldChar w:fldCharType="end"/>
        </w:r>
      </w:p>
    </w:sdtContent>
  </w:sdt>
  <w:p w14:paraId="68530E6A" w14:textId="77777777" w:rsidR="00901E25" w:rsidRDefault="00901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901E25" w:rsidRPr="00934A2C" w:rsidRDefault="00901E25">
    <w:pPr>
      <w:pStyle w:val="Footer"/>
      <w:jc w:val="center"/>
      <w:rPr>
        <w:sz w:val="16"/>
        <w:szCs w:val="22"/>
      </w:rPr>
    </w:pPr>
  </w:p>
  <w:p w14:paraId="49059CE3" w14:textId="77777777" w:rsidR="00901E25" w:rsidRDefault="0090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C26F" w14:textId="77777777" w:rsidR="000F41CA" w:rsidRPr="000F35ED" w:rsidRDefault="000F41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FCB3F2" w14:textId="77777777" w:rsidR="000F41CA" w:rsidRPr="000F35ED" w:rsidRDefault="000F41CA" w:rsidP="000F35ED">
      <w:pPr>
        <w:rPr>
          <w:rFonts w:asciiTheme="majorHAnsi" w:hAnsiTheme="majorHAnsi"/>
          <w:sz w:val="16"/>
          <w:szCs w:val="16"/>
        </w:rPr>
      </w:pPr>
      <w:r w:rsidRPr="000F35ED">
        <w:rPr>
          <w:rFonts w:asciiTheme="majorHAnsi" w:hAnsiTheme="majorHAnsi"/>
          <w:sz w:val="16"/>
          <w:szCs w:val="16"/>
        </w:rPr>
        <w:separator/>
      </w:r>
    </w:p>
    <w:p w14:paraId="68902BF2" w14:textId="77777777" w:rsidR="000F41CA" w:rsidRPr="000F35ED" w:rsidRDefault="000F41C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58A9AE9" w14:textId="77777777" w:rsidR="000F41CA" w:rsidRPr="000F35ED" w:rsidRDefault="000F41C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F29082B" w14:textId="68040DAF" w:rsidR="00901E25" w:rsidRPr="0049245F" w:rsidRDefault="00901E25" w:rsidP="00446CFE">
      <w:pPr>
        <w:pStyle w:val="FootnoteText"/>
        <w:ind w:firstLine="720"/>
        <w:jc w:val="both"/>
        <w:rPr>
          <w:rFonts w:ascii="Cambria" w:hAnsi="Cambria"/>
        </w:rPr>
      </w:pPr>
      <w:r w:rsidRPr="001712DA">
        <w:rPr>
          <w:rStyle w:val="FootnoteReference"/>
          <w:rFonts w:ascii="Cambria" w:hAnsi="Cambria"/>
          <w:sz w:val="16"/>
          <w:lang w:val="es-ES"/>
        </w:rPr>
        <w:footnoteRef/>
      </w:r>
      <w:r w:rsidRPr="0073506F">
        <w:rPr>
          <w:rFonts w:ascii="Cambria" w:hAnsi="Cambria"/>
          <w:sz w:val="16"/>
        </w:rPr>
        <w:t xml:space="preserve"> </w:t>
      </w:r>
      <w:r w:rsidRPr="0073506F">
        <w:rPr>
          <w:rFonts w:ascii="Cambria" w:hAnsi="Cambria"/>
          <w:bCs/>
          <w:sz w:val="16"/>
        </w:rPr>
        <w:t xml:space="preserve">Daniel </w:t>
      </w:r>
      <w:proofErr w:type="spellStart"/>
      <w:r w:rsidRPr="0073506F">
        <w:rPr>
          <w:rFonts w:ascii="Cambria" w:hAnsi="Cambria"/>
          <w:bCs/>
          <w:sz w:val="16"/>
        </w:rPr>
        <w:t>Rowinsky</w:t>
      </w:r>
      <w:proofErr w:type="spellEnd"/>
      <w:r w:rsidRPr="0073506F">
        <w:rPr>
          <w:rFonts w:ascii="Cambria" w:hAnsi="Cambria"/>
          <w:bCs/>
          <w:sz w:val="16"/>
        </w:rPr>
        <w:t xml:space="preserve"> y Jorge </w:t>
      </w:r>
      <w:proofErr w:type="spellStart"/>
      <w:r w:rsidRPr="0073506F">
        <w:rPr>
          <w:rFonts w:ascii="Cambria" w:hAnsi="Cambria"/>
          <w:bCs/>
          <w:sz w:val="16"/>
        </w:rPr>
        <w:t>Rowinsky</w:t>
      </w:r>
      <w:proofErr w:type="spellEnd"/>
      <w:r>
        <w:rPr>
          <w:rFonts w:ascii="Cambria" w:hAnsi="Cambria"/>
          <w:bCs/>
          <w:sz w:val="16"/>
        </w:rPr>
        <w:t>.</w:t>
      </w:r>
    </w:p>
  </w:footnote>
  <w:footnote w:id="3">
    <w:p w14:paraId="215EEB52" w14:textId="3D2F5FA7" w:rsidR="00901E25" w:rsidRPr="00A70575" w:rsidRDefault="00901E25" w:rsidP="00446CFE">
      <w:pPr>
        <w:pStyle w:val="FootnoteText"/>
        <w:ind w:firstLine="720"/>
        <w:jc w:val="both"/>
        <w:rPr>
          <w:rFonts w:ascii="Cambria" w:hAnsi="Cambria"/>
          <w:sz w:val="16"/>
          <w:szCs w:val="16"/>
          <w:lang w:val="es-ES"/>
        </w:rPr>
      </w:pPr>
      <w:r w:rsidRPr="00A70575">
        <w:rPr>
          <w:rStyle w:val="FootnoteReference"/>
          <w:rFonts w:ascii="Cambria" w:hAnsi="Cambria"/>
          <w:sz w:val="16"/>
          <w:szCs w:val="16"/>
        </w:rPr>
        <w:footnoteRef/>
      </w:r>
      <w:r w:rsidRPr="00A70575">
        <w:rPr>
          <w:rFonts w:ascii="Cambria" w:hAnsi="Cambria"/>
          <w:sz w:val="16"/>
          <w:szCs w:val="16"/>
          <w:lang w:val="es-ES"/>
        </w:rPr>
        <w:t xml:space="preserve"> En adelante “la Convención Americana” o “la Convención”.</w:t>
      </w:r>
    </w:p>
  </w:footnote>
  <w:footnote w:id="4">
    <w:p w14:paraId="2304B35C" w14:textId="54915F5B" w:rsidR="00901E25" w:rsidRPr="00A70575" w:rsidRDefault="00901E25" w:rsidP="00446CFE">
      <w:pPr>
        <w:pStyle w:val="FootnoteText"/>
        <w:ind w:firstLine="720"/>
        <w:rPr>
          <w:rFonts w:ascii="Cambria" w:hAnsi="Cambria"/>
          <w:sz w:val="16"/>
          <w:szCs w:val="16"/>
          <w:lang w:val="es-VE"/>
        </w:rPr>
      </w:pPr>
      <w:r w:rsidRPr="00A70575">
        <w:rPr>
          <w:rStyle w:val="FootnoteReference"/>
          <w:rFonts w:ascii="Cambria" w:hAnsi="Cambria"/>
          <w:sz w:val="16"/>
          <w:szCs w:val="16"/>
        </w:rPr>
        <w:footnoteRef/>
      </w:r>
      <w:r w:rsidRPr="00A70575">
        <w:rPr>
          <w:rFonts w:ascii="Cambria" w:hAnsi="Cambria"/>
          <w:sz w:val="16"/>
          <w:szCs w:val="16"/>
          <w:lang w:val="es-VE"/>
        </w:rPr>
        <w:t xml:space="preserve"> En adelante “la Declaración Americana” o “la Declaración”</w:t>
      </w:r>
      <w:r>
        <w:rPr>
          <w:rFonts w:ascii="Cambria" w:hAnsi="Cambria"/>
          <w:sz w:val="16"/>
          <w:szCs w:val="16"/>
          <w:lang w:val="es-VE"/>
        </w:rPr>
        <w:t>.</w:t>
      </w:r>
    </w:p>
  </w:footnote>
  <w:footnote w:id="5">
    <w:p w14:paraId="79F07139" w14:textId="77777777" w:rsidR="00901E25" w:rsidRPr="00DD061E" w:rsidRDefault="00901E25" w:rsidP="00446CFE">
      <w:pPr>
        <w:pStyle w:val="FootnoteText"/>
        <w:ind w:firstLine="720"/>
        <w:jc w:val="both"/>
        <w:rPr>
          <w:rFonts w:ascii="Cambria" w:hAnsi="Cambria"/>
          <w:sz w:val="16"/>
          <w:szCs w:val="16"/>
          <w:lang w:val="es-ES"/>
        </w:rPr>
      </w:pPr>
      <w:r w:rsidRPr="00A70575">
        <w:rPr>
          <w:rStyle w:val="FootnoteReference"/>
          <w:rFonts w:ascii="Cambria" w:hAnsi="Cambria"/>
          <w:sz w:val="16"/>
          <w:szCs w:val="16"/>
        </w:rPr>
        <w:footnoteRef/>
      </w:r>
      <w:r w:rsidRPr="00A70575">
        <w:rPr>
          <w:rFonts w:ascii="Cambria" w:hAnsi="Cambria"/>
          <w:sz w:val="16"/>
          <w:szCs w:val="16"/>
          <w:lang w:val="es-ES"/>
        </w:rPr>
        <w:t xml:space="preserve"> Las observaciones de cada parte fueron debidamente trasladadas a la </w:t>
      </w:r>
      <w:r w:rsidRPr="00DD061E">
        <w:rPr>
          <w:rFonts w:ascii="Cambria" w:hAnsi="Cambria"/>
          <w:sz w:val="16"/>
          <w:szCs w:val="16"/>
          <w:lang w:val="es-ES"/>
        </w:rPr>
        <w:t>parte contraria.</w:t>
      </w:r>
    </w:p>
  </w:footnote>
  <w:footnote w:id="6">
    <w:p w14:paraId="30FBCFB2" w14:textId="41F21ADB" w:rsidR="0070161C" w:rsidRPr="0070161C" w:rsidRDefault="0070161C" w:rsidP="0070161C">
      <w:pPr>
        <w:pStyle w:val="FootnoteText"/>
        <w:ind w:firstLine="720"/>
        <w:jc w:val="both"/>
        <w:rPr>
          <w:rFonts w:ascii="Cambria" w:hAnsi="Cambria"/>
          <w:lang w:val="es-ES"/>
        </w:rPr>
      </w:pPr>
      <w:r w:rsidRPr="00D637DA">
        <w:rPr>
          <w:rStyle w:val="FootnoteReference"/>
          <w:rFonts w:ascii="Cambria" w:hAnsi="Cambria"/>
          <w:color w:val="auto"/>
          <w:sz w:val="16"/>
        </w:rPr>
        <w:footnoteRef/>
      </w:r>
      <w:r w:rsidRPr="00D637DA">
        <w:rPr>
          <w:rFonts w:ascii="Cambria" w:hAnsi="Cambria"/>
          <w:color w:val="auto"/>
          <w:sz w:val="16"/>
          <w:lang w:val="es-ES"/>
        </w:rPr>
        <w:t xml:space="preserve"> </w:t>
      </w:r>
      <w:r w:rsidR="00511466" w:rsidRPr="00D637DA">
        <w:rPr>
          <w:rFonts w:ascii="Cambria" w:hAnsi="Cambria"/>
          <w:color w:val="auto"/>
          <w:sz w:val="16"/>
          <w:lang w:val="es-ES"/>
        </w:rPr>
        <w:t xml:space="preserve">La Comisión observa que </w:t>
      </w:r>
      <w:r w:rsidRPr="00D637DA">
        <w:rPr>
          <w:rFonts w:ascii="Cambria" w:hAnsi="Cambria"/>
          <w:color w:val="auto"/>
          <w:sz w:val="16"/>
          <w:lang w:val="es-ES"/>
        </w:rPr>
        <w:t xml:space="preserve">el peticionario </w:t>
      </w:r>
      <w:r w:rsidR="00511466" w:rsidRPr="00D637DA">
        <w:rPr>
          <w:rFonts w:ascii="Cambria" w:hAnsi="Cambria"/>
          <w:color w:val="auto"/>
          <w:sz w:val="16"/>
          <w:lang w:val="es-ES"/>
        </w:rPr>
        <w:t xml:space="preserve">sostiene en </w:t>
      </w:r>
      <w:r w:rsidR="00FC1D4D" w:rsidRPr="00D637DA">
        <w:rPr>
          <w:rFonts w:ascii="Cambria" w:hAnsi="Cambria"/>
          <w:color w:val="auto"/>
          <w:sz w:val="16"/>
          <w:lang w:val="es-ES"/>
        </w:rPr>
        <w:t xml:space="preserve">escritos presentados durante la tramitación de la petición, </w:t>
      </w:r>
      <w:r w:rsidRPr="00D637DA">
        <w:rPr>
          <w:rFonts w:ascii="Cambria" w:hAnsi="Cambria"/>
          <w:color w:val="auto"/>
          <w:sz w:val="16"/>
          <w:lang w:val="es-ES"/>
        </w:rPr>
        <w:t>comentarios críticos</w:t>
      </w:r>
      <w:r w:rsidR="00FC1D4D" w:rsidRPr="00D637DA">
        <w:rPr>
          <w:rFonts w:ascii="Cambria" w:hAnsi="Cambria"/>
          <w:color w:val="auto"/>
          <w:sz w:val="16"/>
          <w:lang w:val="es-ES"/>
        </w:rPr>
        <w:t xml:space="preserve"> “de manera contextual”, de acuerdo lo expresa el propio peticionario, </w:t>
      </w:r>
      <w:r w:rsidRPr="00D637DA">
        <w:rPr>
          <w:rFonts w:ascii="Cambria" w:hAnsi="Cambria"/>
          <w:color w:val="auto"/>
          <w:sz w:val="16"/>
          <w:lang w:val="es-ES"/>
        </w:rPr>
        <w:t>en contra de la Ley No. 13.882 y No. 16.021, relacionados en particular a los efectos de las mismas en el derecho al voto de ciudadanos uruguayos en Uruguay y sobre su intención de presentar recursos de inconstitucionalidad en contra dichos textos legales y eventualmente, peticiones ante la Comisión</w:t>
      </w:r>
      <w:r w:rsidR="00FC1D4D" w:rsidRPr="00D637DA">
        <w:rPr>
          <w:rFonts w:ascii="Cambria" w:hAnsi="Cambria"/>
          <w:color w:val="auto"/>
          <w:sz w:val="16"/>
          <w:lang w:val="es-ES"/>
        </w:rPr>
        <w:t xml:space="preserve">. </w:t>
      </w:r>
    </w:p>
  </w:footnote>
  <w:footnote w:id="7">
    <w:p w14:paraId="4BE0E441" w14:textId="77777777" w:rsidR="00AE725E" w:rsidRPr="006132CC" w:rsidRDefault="00AE725E" w:rsidP="00AE725E">
      <w:pPr>
        <w:pStyle w:val="FootnoteText"/>
        <w:jc w:val="both"/>
        <w:rPr>
          <w:rFonts w:ascii="Cambria" w:hAnsi="Cambria"/>
          <w:sz w:val="16"/>
          <w:szCs w:val="16"/>
          <w:lang w:val="es-ES"/>
        </w:rPr>
      </w:pPr>
      <w:r w:rsidRPr="006132CC">
        <w:rPr>
          <w:rFonts w:ascii="Cambria" w:hAnsi="Cambria"/>
          <w:sz w:val="16"/>
          <w:szCs w:val="16"/>
          <w:lang w:val="es-PE"/>
        </w:rPr>
        <w:tab/>
      </w:r>
      <w:r w:rsidRPr="006132CC">
        <w:rPr>
          <w:rStyle w:val="FootnoteReference"/>
          <w:rFonts w:ascii="Cambria" w:hAnsi="Cambria"/>
          <w:sz w:val="16"/>
          <w:szCs w:val="16"/>
        </w:rPr>
        <w:footnoteRef/>
      </w:r>
      <w:r w:rsidRPr="006132CC">
        <w:rPr>
          <w:rFonts w:ascii="Cambria" w:hAnsi="Cambria"/>
          <w:sz w:val="16"/>
          <w:szCs w:val="16"/>
          <w:lang w:val="es-PE"/>
        </w:rPr>
        <w:t xml:space="preserve"> CIDH, Informe No. 8/07</w:t>
      </w:r>
      <w:r>
        <w:rPr>
          <w:rFonts w:ascii="Cambria" w:hAnsi="Cambria"/>
          <w:sz w:val="16"/>
          <w:szCs w:val="16"/>
          <w:lang w:val="es-PE"/>
        </w:rPr>
        <w:t>, Petición 1425-04</w:t>
      </w:r>
      <w:r w:rsidRPr="006132CC">
        <w:rPr>
          <w:rFonts w:ascii="Cambria" w:hAnsi="Cambria"/>
          <w:sz w:val="16"/>
          <w:szCs w:val="16"/>
          <w:lang w:val="es-PE"/>
        </w:rPr>
        <w:t xml:space="preserve">. Admisibilidad. </w:t>
      </w:r>
      <w:r w:rsidRPr="006132CC">
        <w:rPr>
          <w:rFonts w:ascii="Cambria" w:hAnsi="Cambria"/>
          <w:sz w:val="16"/>
          <w:szCs w:val="16"/>
          <w:lang w:val="es-ES"/>
        </w:rPr>
        <w:t xml:space="preserve">Hugo Quintana Coello y otros (Magistrados de la Corte Suprema). Ecuador. 27 de febrero de 2007, párr. 29. </w:t>
      </w:r>
    </w:p>
  </w:footnote>
  <w:footnote w:id="8">
    <w:p w14:paraId="0C6AD57C" w14:textId="54463190" w:rsidR="00A44829" w:rsidRPr="00490048" w:rsidRDefault="00A44829" w:rsidP="00A44829">
      <w:pPr>
        <w:pStyle w:val="FootnoteText"/>
        <w:ind w:firstLine="720"/>
        <w:jc w:val="both"/>
        <w:rPr>
          <w:rFonts w:ascii="Cambria" w:hAnsi="Cambria"/>
          <w:sz w:val="16"/>
          <w:lang w:val="es-VE"/>
        </w:rPr>
      </w:pPr>
      <w:r w:rsidRPr="00DB555C">
        <w:rPr>
          <w:rStyle w:val="FootnoteReference"/>
          <w:rFonts w:ascii="Cambria" w:hAnsi="Cambria"/>
          <w:sz w:val="16"/>
        </w:rPr>
        <w:footnoteRef/>
      </w:r>
      <w:r w:rsidRPr="00DB555C">
        <w:rPr>
          <w:rFonts w:ascii="Cambria" w:hAnsi="Cambria"/>
          <w:sz w:val="16"/>
          <w:lang w:val="es-VE"/>
        </w:rPr>
        <w:t xml:space="preserve"> </w:t>
      </w:r>
      <w:bookmarkStart w:id="2" w:name="art79"/>
      <w:r w:rsidRPr="0070161C">
        <w:rPr>
          <w:rFonts w:ascii="Cambria" w:hAnsi="Cambria"/>
          <w:sz w:val="16"/>
          <w:lang w:val="es-VE"/>
        </w:rPr>
        <w:t>Artículo 79</w:t>
      </w:r>
      <w:bookmarkEnd w:id="2"/>
      <w:r w:rsidRPr="0070161C">
        <w:rPr>
          <w:rFonts w:ascii="Cambria" w:hAnsi="Cambria"/>
          <w:sz w:val="16"/>
          <w:lang w:val="es-VE"/>
        </w:rPr>
        <w:t xml:space="preserve"> de la Constitución del Uruguay. -</w:t>
      </w:r>
      <w:r w:rsidRPr="00DB555C">
        <w:rPr>
          <w:rFonts w:ascii="Cambria" w:hAnsi="Cambria"/>
          <w:sz w:val="16"/>
          <w:lang w:val="es-VE"/>
        </w:rPr>
        <w:t xml:space="preserve"> La acumulación de votos para cualquier cargo electivo, con excepción de los de Presidente y Vicepresidente de la República, se hará mediante la utilización del lema del partido político. La ley por el voto de los dos tercios del total de componentes de cada Cámara reglamentará esta disposición.</w:t>
      </w:r>
      <w:r w:rsidR="00490048">
        <w:rPr>
          <w:rFonts w:ascii="Cambria" w:hAnsi="Cambria"/>
          <w:sz w:val="16"/>
          <w:lang w:val="es-VE"/>
        </w:rPr>
        <w:t xml:space="preserve"> </w:t>
      </w:r>
      <w:r w:rsidRPr="00490048">
        <w:rPr>
          <w:rFonts w:ascii="Cambria" w:hAnsi="Cambria"/>
          <w:sz w:val="16"/>
          <w:lang w:val="es-VE"/>
        </w:rPr>
        <w:t>El veinticinco por ciento del total de inscriptos habilitados para votar, podrá interponer, dentro del año de su promulgación, el recurso de referéndum contra las leyes y ejercer el derecho de iniciativa ante el Poder Legislativo. Estos institutos no son aplicables con respecto a las leyes que establezcan tributos. Tampoco caben en los casos en que la iniciativa sea privativa del Poder Ejecutivo. Ambos institutos serán reglamentados por ley, dictada por mayoría absoluta del total de componentes de cada Cámara.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901E25" w:rsidRDefault="00901E25" w:rsidP="00901E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01E25" w:rsidRDefault="00901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901E25" w:rsidRDefault="00901E2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01E25" w:rsidRPr="00EC7D62" w:rsidRDefault="000F41C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6910" w14:textId="77777777" w:rsidR="00911613" w:rsidRDefault="0091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E1F"/>
    <w:rsid w:val="000070D7"/>
    <w:rsid w:val="000104F5"/>
    <w:rsid w:val="00015701"/>
    <w:rsid w:val="0001788C"/>
    <w:rsid w:val="0002186F"/>
    <w:rsid w:val="00027E05"/>
    <w:rsid w:val="000337EF"/>
    <w:rsid w:val="00040C3A"/>
    <w:rsid w:val="000419AD"/>
    <w:rsid w:val="00071134"/>
    <w:rsid w:val="000716C5"/>
    <w:rsid w:val="00075E23"/>
    <w:rsid w:val="0009006E"/>
    <w:rsid w:val="0009344A"/>
    <w:rsid w:val="000A3254"/>
    <w:rsid w:val="000A392E"/>
    <w:rsid w:val="000A575F"/>
    <w:rsid w:val="000B0579"/>
    <w:rsid w:val="000C1C69"/>
    <w:rsid w:val="000D10DB"/>
    <w:rsid w:val="000D28A7"/>
    <w:rsid w:val="000E2789"/>
    <w:rsid w:val="000E5EB5"/>
    <w:rsid w:val="000F35ED"/>
    <w:rsid w:val="000F41CA"/>
    <w:rsid w:val="00107131"/>
    <w:rsid w:val="0010736F"/>
    <w:rsid w:val="00111A8A"/>
    <w:rsid w:val="00113F73"/>
    <w:rsid w:val="001168F7"/>
    <w:rsid w:val="001172EC"/>
    <w:rsid w:val="00121CC2"/>
    <w:rsid w:val="00131D8B"/>
    <w:rsid w:val="00133EE5"/>
    <w:rsid w:val="00136E3D"/>
    <w:rsid w:val="00143609"/>
    <w:rsid w:val="00143EFE"/>
    <w:rsid w:val="001479C0"/>
    <w:rsid w:val="0015330B"/>
    <w:rsid w:val="0015556D"/>
    <w:rsid w:val="00167A34"/>
    <w:rsid w:val="001712DA"/>
    <w:rsid w:val="00177EEF"/>
    <w:rsid w:val="001A7870"/>
    <w:rsid w:val="001B3A00"/>
    <w:rsid w:val="001C1B41"/>
    <w:rsid w:val="001D65EF"/>
    <w:rsid w:val="001E328C"/>
    <w:rsid w:val="001E49E7"/>
    <w:rsid w:val="001F271B"/>
    <w:rsid w:val="001F7201"/>
    <w:rsid w:val="00204931"/>
    <w:rsid w:val="002141CF"/>
    <w:rsid w:val="00223A29"/>
    <w:rsid w:val="002250A3"/>
    <w:rsid w:val="00231294"/>
    <w:rsid w:val="00235217"/>
    <w:rsid w:val="00246D1F"/>
    <w:rsid w:val="00247403"/>
    <w:rsid w:val="00247542"/>
    <w:rsid w:val="00257C6C"/>
    <w:rsid w:val="00266B61"/>
    <w:rsid w:val="0026712A"/>
    <w:rsid w:val="002704DB"/>
    <w:rsid w:val="00277BDA"/>
    <w:rsid w:val="00281618"/>
    <w:rsid w:val="0029575A"/>
    <w:rsid w:val="002A0AAE"/>
    <w:rsid w:val="002A1897"/>
    <w:rsid w:val="002A5820"/>
    <w:rsid w:val="002B3CC7"/>
    <w:rsid w:val="002C3350"/>
    <w:rsid w:val="002D2B26"/>
    <w:rsid w:val="002D5079"/>
    <w:rsid w:val="002D7EA2"/>
    <w:rsid w:val="002E187C"/>
    <w:rsid w:val="002E7512"/>
    <w:rsid w:val="00302733"/>
    <w:rsid w:val="00310C97"/>
    <w:rsid w:val="003121D5"/>
    <w:rsid w:val="00313F08"/>
    <w:rsid w:val="00314078"/>
    <w:rsid w:val="0031535D"/>
    <w:rsid w:val="00322975"/>
    <w:rsid w:val="003239B8"/>
    <w:rsid w:val="0033169F"/>
    <w:rsid w:val="00332FA6"/>
    <w:rsid w:val="0034224A"/>
    <w:rsid w:val="00343438"/>
    <w:rsid w:val="00344977"/>
    <w:rsid w:val="00346C95"/>
    <w:rsid w:val="00351155"/>
    <w:rsid w:val="00356185"/>
    <w:rsid w:val="00360380"/>
    <w:rsid w:val="00363D1D"/>
    <w:rsid w:val="00364813"/>
    <w:rsid w:val="0037519E"/>
    <w:rsid w:val="00376506"/>
    <w:rsid w:val="00386C6C"/>
    <w:rsid w:val="00386CF0"/>
    <w:rsid w:val="003A6337"/>
    <w:rsid w:val="003B4FF6"/>
    <w:rsid w:val="003B70FB"/>
    <w:rsid w:val="003C676B"/>
    <w:rsid w:val="003D0A55"/>
    <w:rsid w:val="003D3BC2"/>
    <w:rsid w:val="003E6CA1"/>
    <w:rsid w:val="004065A8"/>
    <w:rsid w:val="004165C2"/>
    <w:rsid w:val="00427201"/>
    <w:rsid w:val="004304AD"/>
    <w:rsid w:val="00441ECB"/>
    <w:rsid w:val="00445193"/>
    <w:rsid w:val="00446CFE"/>
    <w:rsid w:val="00447CCF"/>
    <w:rsid w:val="004565BA"/>
    <w:rsid w:val="00462C1B"/>
    <w:rsid w:val="00467B7E"/>
    <w:rsid w:val="00473BB4"/>
    <w:rsid w:val="00476211"/>
    <w:rsid w:val="00477592"/>
    <w:rsid w:val="00486F1C"/>
    <w:rsid w:val="00490048"/>
    <w:rsid w:val="0049032F"/>
    <w:rsid w:val="0049245F"/>
    <w:rsid w:val="0049419D"/>
    <w:rsid w:val="004A59CC"/>
    <w:rsid w:val="004A6A54"/>
    <w:rsid w:val="004B3681"/>
    <w:rsid w:val="004C20D2"/>
    <w:rsid w:val="004C2312"/>
    <w:rsid w:val="004C3CFC"/>
    <w:rsid w:val="004C4B62"/>
    <w:rsid w:val="004C54C9"/>
    <w:rsid w:val="004C616A"/>
    <w:rsid w:val="004D4ABA"/>
    <w:rsid w:val="004D6025"/>
    <w:rsid w:val="004E19B1"/>
    <w:rsid w:val="004E2649"/>
    <w:rsid w:val="004F768A"/>
    <w:rsid w:val="00501399"/>
    <w:rsid w:val="00501652"/>
    <w:rsid w:val="005031E8"/>
    <w:rsid w:val="0050633D"/>
    <w:rsid w:val="005070DB"/>
    <w:rsid w:val="00507BC4"/>
    <w:rsid w:val="00511466"/>
    <w:rsid w:val="005128E4"/>
    <w:rsid w:val="00512D0D"/>
    <w:rsid w:val="005133DB"/>
    <w:rsid w:val="00525560"/>
    <w:rsid w:val="005268A7"/>
    <w:rsid w:val="005415E6"/>
    <w:rsid w:val="00544216"/>
    <w:rsid w:val="00544C49"/>
    <w:rsid w:val="005516A1"/>
    <w:rsid w:val="0055417F"/>
    <w:rsid w:val="00563557"/>
    <w:rsid w:val="0057402A"/>
    <w:rsid w:val="00574CB7"/>
    <w:rsid w:val="005771D0"/>
    <w:rsid w:val="0059191A"/>
    <w:rsid w:val="005921FF"/>
    <w:rsid w:val="005A24ED"/>
    <w:rsid w:val="005A6D0E"/>
    <w:rsid w:val="005B37CC"/>
    <w:rsid w:val="005B52B0"/>
    <w:rsid w:val="005B6806"/>
    <w:rsid w:val="005B6D22"/>
    <w:rsid w:val="005C261A"/>
    <w:rsid w:val="005C4225"/>
    <w:rsid w:val="005C7989"/>
    <w:rsid w:val="005D7CDA"/>
    <w:rsid w:val="005E0B65"/>
    <w:rsid w:val="005E11B2"/>
    <w:rsid w:val="005F0DAD"/>
    <w:rsid w:val="005F0F33"/>
    <w:rsid w:val="005F4E04"/>
    <w:rsid w:val="00600DEB"/>
    <w:rsid w:val="0062121B"/>
    <w:rsid w:val="006277DE"/>
    <w:rsid w:val="00627C9F"/>
    <w:rsid w:val="006311E9"/>
    <w:rsid w:val="00632354"/>
    <w:rsid w:val="00635507"/>
    <w:rsid w:val="006378D3"/>
    <w:rsid w:val="00642810"/>
    <w:rsid w:val="00647756"/>
    <w:rsid w:val="006509DA"/>
    <w:rsid w:val="00652333"/>
    <w:rsid w:val="0068009E"/>
    <w:rsid w:val="006819E9"/>
    <w:rsid w:val="00686471"/>
    <w:rsid w:val="00691BBE"/>
    <w:rsid w:val="00692219"/>
    <w:rsid w:val="006A17D2"/>
    <w:rsid w:val="006A73E6"/>
    <w:rsid w:val="006B2D5C"/>
    <w:rsid w:val="006C4EB1"/>
    <w:rsid w:val="006E0166"/>
    <w:rsid w:val="006E33EA"/>
    <w:rsid w:val="006E7B34"/>
    <w:rsid w:val="0070161C"/>
    <w:rsid w:val="0070223C"/>
    <w:rsid w:val="0070697F"/>
    <w:rsid w:val="00715B5A"/>
    <w:rsid w:val="0072199C"/>
    <w:rsid w:val="00722C9F"/>
    <w:rsid w:val="007253B8"/>
    <w:rsid w:val="0073506F"/>
    <w:rsid w:val="0073598C"/>
    <w:rsid w:val="0073741F"/>
    <w:rsid w:val="007401E2"/>
    <w:rsid w:val="0076643F"/>
    <w:rsid w:val="00777F63"/>
    <w:rsid w:val="007852B5"/>
    <w:rsid w:val="007A5817"/>
    <w:rsid w:val="007A79CB"/>
    <w:rsid w:val="007B05C4"/>
    <w:rsid w:val="007B60E9"/>
    <w:rsid w:val="007B6CC3"/>
    <w:rsid w:val="007C3334"/>
    <w:rsid w:val="007C402A"/>
    <w:rsid w:val="007D2B98"/>
    <w:rsid w:val="007D7C02"/>
    <w:rsid w:val="007E21BC"/>
    <w:rsid w:val="007E58FE"/>
    <w:rsid w:val="007E7C82"/>
    <w:rsid w:val="007F588D"/>
    <w:rsid w:val="007F7CF8"/>
    <w:rsid w:val="00802748"/>
    <w:rsid w:val="00803F1C"/>
    <w:rsid w:val="0080600E"/>
    <w:rsid w:val="00817612"/>
    <w:rsid w:val="008338A4"/>
    <w:rsid w:val="00834D49"/>
    <w:rsid w:val="00837C45"/>
    <w:rsid w:val="008411F0"/>
    <w:rsid w:val="00844730"/>
    <w:rsid w:val="008457C2"/>
    <w:rsid w:val="00857A82"/>
    <w:rsid w:val="00871526"/>
    <w:rsid w:val="00873836"/>
    <w:rsid w:val="00880CBE"/>
    <w:rsid w:val="00884851"/>
    <w:rsid w:val="00885737"/>
    <w:rsid w:val="00890650"/>
    <w:rsid w:val="00897E12"/>
    <w:rsid w:val="008A0B42"/>
    <w:rsid w:val="008A0F81"/>
    <w:rsid w:val="008A7E0F"/>
    <w:rsid w:val="008B12F5"/>
    <w:rsid w:val="008B229F"/>
    <w:rsid w:val="008B5932"/>
    <w:rsid w:val="008C5751"/>
    <w:rsid w:val="008D13C5"/>
    <w:rsid w:val="008D768D"/>
    <w:rsid w:val="008E2C3B"/>
    <w:rsid w:val="008E328A"/>
    <w:rsid w:val="008E36CD"/>
    <w:rsid w:val="008E3759"/>
    <w:rsid w:val="008E3BFE"/>
    <w:rsid w:val="008E7900"/>
    <w:rsid w:val="008F1912"/>
    <w:rsid w:val="008F3A27"/>
    <w:rsid w:val="00900BCE"/>
    <w:rsid w:val="00901E25"/>
    <w:rsid w:val="0090270B"/>
    <w:rsid w:val="009041DC"/>
    <w:rsid w:val="00911613"/>
    <w:rsid w:val="00917B5A"/>
    <w:rsid w:val="00920A58"/>
    <w:rsid w:val="00920A8C"/>
    <w:rsid w:val="00934A2C"/>
    <w:rsid w:val="00935F06"/>
    <w:rsid w:val="00937B3A"/>
    <w:rsid w:val="00954B82"/>
    <w:rsid w:val="00961627"/>
    <w:rsid w:val="00962436"/>
    <w:rsid w:val="0096706E"/>
    <w:rsid w:val="00974491"/>
    <w:rsid w:val="00975C4E"/>
    <w:rsid w:val="00981FBA"/>
    <w:rsid w:val="00997BC5"/>
    <w:rsid w:val="009A4F41"/>
    <w:rsid w:val="009B381B"/>
    <w:rsid w:val="009B7BF5"/>
    <w:rsid w:val="009C2FC5"/>
    <w:rsid w:val="009D1753"/>
    <w:rsid w:val="009D6502"/>
    <w:rsid w:val="009D7611"/>
    <w:rsid w:val="009D78A5"/>
    <w:rsid w:val="009E0B61"/>
    <w:rsid w:val="009E53DE"/>
    <w:rsid w:val="009E7C00"/>
    <w:rsid w:val="00A0691C"/>
    <w:rsid w:val="00A11E44"/>
    <w:rsid w:val="00A22397"/>
    <w:rsid w:val="00A328B3"/>
    <w:rsid w:val="00A41E1F"/>
    <w:rsid w:val="00A44829"/>
    <w:rsid w:val="00A50FCF"/>
    <w:rsid w:val="00A528D1"/>
    <w:rsid w:val="00A610CD"/>
    <w:rsid w:val="00A625E0"/>
    <w:rsid w:val="00A66ACA"/>
    <w:rsid w:val="00A70575"/>
    <w:rsid w:val="00A74947"/>
    <w:rsid w:val="00A758AA"/>
    <w:rsid w:val="00A77AE4"/>
    <w:rsid w:val="00AA09A2"/>
    <w:rsid w:val="00AA7996"/>
    <w:rsid w:val="00AB0DCB"/>
    <w:rsid w:val="00AC19CB"/>
    <w:rsid w:val="00AD055E"/>
    <w:rsid w:val="00AD1281"/>
    <w:rsid w:val="00AD1886"/>
    <w:rsid w:val="00AE5488"/>
    <w:rsid w:val="00AE6F91"/>
    <w:rsid w:val="00AE725E"/>
    <w:rsid w:val="00AF3185"/>
    <w:rsid w:val="00AF5571"/>
    <w:rsid w:val="00B06B4E"/>
    <w:rsid w:val="00B07341"/>
    <w:rsid w:val="00B15367"/>
    <w:rsid w:val="00B202B5"/>
    <w:rsid w:val="00B30539"/>
    <w:rsid w:val="00B314DB"/>
    <w:rsid w:val="00B361F2"/>
    <w:rsid w:val="00B3718B"/>
    <w:rsid w:val="00B4632A"/>
    <w:rsid w:val="00B5067D"/>
    <w:rsid w:val="00B530F1"/>
    <w:rsid w:val="00B578B8"/>
    <w:rsid w:val="00B7128B"/>
    <w:rsid w:val="00B736AF"/>
    <w:rsid w:val="00B97355"/>
    <w:rsid w:val="00B97946"/>
    <w:rsid w:val="00BA276C"/>
    <w:rsid w:val="00BA49E8"/>
    <w:rsid w:val="00BA5544"/>
    <w:rsid w:val="00BB306F"/>
    <w:rsid w:val="00BB3FBD"/>
    <w:rsid w:val="00BC5994"/>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4E38"/>
    <w:rsid w:val="00C35A26"/>
    <w:rsid w:val="00C51515"/>
    <w:rsid w:val="00C53910"/>
    <w:rsid w:val="00C5660B"/>
    <w:rsid w:val="00C56854"/>
    <w:rsid w:val="00C5788A"/>
    <w:rsid w:val="00C66B72"/>
    <w:rsid w:val="00C87AC4"/>
    <w:rsid w:val="00C94214"/>
    <w:rsid w:val="00C9567A"/>
    <w:rsid w:val="00C978A2"/>
    <w:rsid w:val="00CA32BA"/>
    <w:rsid w:val="00CA48A3"/>
    <w:rsid w:val="00CB212D"/>
    <w:rsid w:val="00CB2660"/>
    <w:rsid w:val="00CB4838"/>
    <w:rsid w:val="00CC5E90"/>
    <w:rsid w:val="00CC7460"/>
    <w:rsid w:val="00CD046C"/>
    <w:rsid w:val="00CE031E"/>
    <w:rsid w:val="00CE076C"/>
    <w:rsid w:val="00CE5199"/>
    <w:rsid w:val="00CE66D5"/>
    <w:rsid w:val="00CF637A"/>
    <w:rsid w:val="00D059DE"/>
    <w:rsid w:val="00D05ABD"/>
    <w:rsid w:val="00D13FCE"/>
    <w:rsid w:val="00D244B4"/>
    <w:rsid w:val="00D306D1"/>
    <w:rsid w:val="00D30800"/>
    <w:rsid w:val="00D34786"/>
    <w:rsid w:val="00D37BFC"/>
    <w:rsid w:val="00D42822"/>
    <w:rsid w:val="00D47A8E"/>
    <w:rsid w:val="00D52D14"/>
    <w:rsid w:val="00D55256"/>
    <w:rsid w:val="00D637DA"/>
    <w:rsid w:val="00D712D3"/>
    <w:rsid w:val="00D71422"/>
    <w:rsid w:val="00D72DC6"/>
    <w:rsid w:val="00D73F5E"/>
    <w:rsid w:val="00D7558D"/>
    <w:rsid w:val="00D77503"/>
    <w:rsid w:val="00D81D92"/>
    <w:rsid w:val="00D876F9"/>
    <w:rsid w:val="00D877B6"/>
    <w:rsid w:val="00DA7B5F"/>
    <w:rsid w:val="00DB555C"/>
    <w:rsid w:val="00DC11E7"/>
    <w:rsid w:val="00DC7023"/>
    <w:rsid w:val="00DC769A"/>
    <w:rsid w:val="00DD061E"/>
    <w:rsid w:val="00DD3D86"/>
    <w:rsid w:val="00DD44EC"/>
    <w:rsid w:val="00DE12F0"/>
    <w:rsid w:val="00DF1EC4"/>
    <w:rsid w:val="00E01943"/>
    <w:rsid w:val="00E0340B"/>
    <w:rsid w:val="00E04A90"/>
    <w:rsid w:val="00E0551F"/>
    <w:rsid w:val="00E05BB6"/>
    <w:rsid w:val="00E077DF"/>
    <w:rsid w:val="00E07CFC"/>
    <w:rsid w:val="00E219C7"/>
    <w:rsid w:val="00E26CCA"/>
    <w:rsid w:val="00E4118C"/>
    <w:rsid w:val="00E43157"/>
    <w:rsid w:val="00E461CE"/>
    <w:rsid w:val="00E65EE4"/>
    <w:rsid w:val="00E7065C"/>
    <w:rsid w:val="00E720CA"/>
    <w:rsid w:val="00E84EB5"/>
    <w:rsid w:val="00E85662"/>
    <w:rsid w:val="00E8789F"/>
    <w:rsid w:val="00E97B71"/>
    <w:rsid w:val="00EA3D34"/>
    <w:rsid w:val="00EB454D"/>
    <w:rsid w:val="00EC1372"/>
    <w:rsid w:val="00EC72AB"/>
    <w:rsid w:val="00ED2F03"/>
    <w:rsid w:val="00ED549D"/>
    <w:rsid w:val="00ED76BE"/>
    <w:rsid w:val="00ED7F05"/>
    <w:rsid w:val="00EE00E9"/>
    <w:rsid w:val="00EE014D"/>
    <w:rsid w:val="00EE3BE8"/>
    <w:rsid w:val="00EF33B6"/>
    <w:rsid w:val="00EF35AB"/>
    <w:rsid w:val="00EF4C44"/>
    <w:rsid w:val="00EF619B"/>
    <w:rsid w:val="00F00B55"/>
    <w:rsid w:val="00F02AD1"/>
    <w:rsid w:val="00F04591"/>
    <w:rsid w:val="00F06354"/>
    <w:rsid w:val="00F124BB"/>
    <w:rsid w:val="00F253CC"/>
    <w:rsid w:val="00F332EF"/>
    <w:rsid w:val="00F37106"/>
    <w:rsid w:val="00F519CF"/>
    <w:rsid w:val="00F56BA5"/>
    <w:rsid w:val="00F60E22"/>
    <w:rsid w:val="00F63B39"/>
    <w:rsid w:val="00F81395"/>
    <w:rsid w:val="00F81887"/>
    <w:rsid w:val="00F81BB8"/>
    <w:rsid w:val="00F842C1"/>
    <w:rsid w:val="00F917D1"/>
    <w:rsid w:val="00F9342C"/>
    <w:rsid w:val="00F9653B"/>
    <w:rsid w:val="00FA56EA"/>
    <w:rsid w:val="00FB62CF"/>
    <w:rsid w:val="00FC0F4A"/>
    <w:rsid w:val="00FC1D4D"/>
    <w:rsid w:val="00FC3330"/>
    <w:rsid w:val="00FC51EF"/>
    <w:rsid w:val="00FC5F11"/>
    <w:rsid w:val="00FD3C3B"/>
    <w:rsid w:val="00FE07DD"/>
    <w:rsid w:val="00FE6B45"/>
    <w:rsid w:val="00FF1D3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D244B4"/>
  </w:style>
  <w:style w:type="paragraph" w:styleId="HTMLPreformatted">
    <w:name w:val="HTML Preformatted"/>
    <w:basedOn w:val="Normal"/>
    <w:link w:val="HTMLPreformattedChar"/>
    <w:uiPriority w:val="99"/>
    <w:semiHidden/>
    <w:unhideWhenUsed/>
    <w:rsid w:val="00880CB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0CBE"/>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797">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76104385">
      <w:bodyDiv w:val="1"/>
      <w:marLeft w:val="0"/>
      <w:marRight w:val="0"/>
      <w:marTop w:val="0"/>
      <w:marBottom w:val="0"/>
      <w:divBdr>
        <w:top w:val="none" w:sz="0" w:space="0" w:color="auto"/>
        <w:left w:val="none" w:sz="0" w:space="0" w:color="auto"/>
        <w:bottom w:val="none" w:sz="0" w:space="0" w:color="auto"/>
        <w:right w:val="none" w:sz="0" w:space="0" w:color="auto"/>
      </w:divBdr>
    </w:div>
    <w:div w:id="1041438334">
      <w:bodyDiv w:val="1"/>
      <w:marLeft w:val="0"/>
      <w:marRight w:val="0"/>
      <w:marTop w:val="0"/>
      <w:marBottom w:val="0"/>
      <w:divBdr>
        <w:top w:val="none" w:sz="0" w:space="0" w:color="auto"/>
        <w:left w:val="none" w:sz="0" w:space="0" w:color="auto"/>
        <w:bottom w:val="none" w:sz="0" w:space="0" w:color="auto"/>
        <w:right w:val="none" w:sz="0" w:space="0" w:color="auto"/>
      </w:divBdr>
    </w:div>
    <w:div w:id="1047486459">
      <w:bodyDiv w:val="1"/>
      <w:marLeft w:val="0"/>
      <w:marRight w:val="0"/>
      <w:marTop w:val="0"/>
      <w:marBottom w:val="0"/>
      <w:divBdr>
        <w:top w:val="none" w:sz="0" w:space="0" w:color="auto"/>
        <w:left w:val="none" w:sz="0" w:space="0" w:color="auto"/>
        <w:bottom w:val="none" w:sz="0" w:space="0" w:color="auto"/>
        <w:right w:val="none" w:sz="0" w:space="0" w:color="auto"/>
      </w:divBdr>
    </w:div>
    <w:div w:id="152339907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8197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0B187F"/>
    <w:rsid w:val="00183B6F"/>
    <w:rsid w:val="001E766A"/>
    <w:rsid w:val="00200821"/>
    <w:rsid w:val="002834C6"/>
    <w:rsid w:val="00394049"/>
    <w:rsid w:val="00470800"/>
    <w:rsid w:val="004F2DF8"/>
    <w:rsid w:val="00587763"/>
    <w:rsid w:val="006E2B51"/>
    <w:rsid w:val="006E3833"/>
    <w:rsid w:val="00942213"/>
    <w:rsid w:val="0097453C"/>
    <w:rsid w:val="009A261B"/>
    <w:rsid w:val="00AC15A4"/>
    <w:rsid w:val="00AE6CD2"/>
    <w:rsid w:val="00B0336C"/>
    <w:rsid w:val="00B53742"/>
    <w:rsid w:val="00C11833"/>
    <w:rsid w:val="00C56634"/>
    <w:rsid w:val="00D46351"/>
    <w:rsid w:val="00D74958"/>
    <w:rsid w:val="00DE5A8D"/>
    <w:rsid w:val="00E77140"/>
    <w:rsid w:val="00E907ED"/>
    <w:rsid w:val="00EC5ECB"/>
    <w:rsid w:val="00EE732E"/>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C209-AD45-4605-93E9-6C5D1E2A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10993</Characters>
  <Application>Microsoft Office Word</Application>
  <DocSecurity>0</DocSecurity>
  <Lines>219</Lines>
  <Paragraphs>68</Paragraphs>
  <ScaleCrop>false</ScaleCrop>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128/20</dc:title>
  <dc:creator/>
  <cp:lastModifiedBy/>
  <cp:revision>1</cp:revision>
  <dcterms:created xsi:type="dcterms:W3CDTF">2020-07-13T13:41:00Z</dcterms:created>
  <dcterms:modified xsi:type="dcterms:W3CDTF">2020-07-13T13:41:00Z</dcterms:modified>
</cp:coreProperties>
</file>