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40C3A" w:rsidRPr="00E56234" w:rsidRDefault="00D306D1" w:rsidP="00627C9F">
      <w:pPr>
        <w:jc w:val="both"/>
        <w:rPr>
          <w:rFonts w:asciiTheme="majorHAnsi" w:hAnsiTheme="majorHAnsi" w:cs="Univers"/>
          <w:b/>
          <w:bCs/>
          <w:sz w:val="20"/>
          <w:szCs w:val="20"/>
          <w:lang w:val="es-ES_tradnl"/>
        </w:rPr>
      </w:pPr>
      <w:r w:rsidRPr="00E56234">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179A3F0F" wp14:editId="1371D494">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ect w14:anchorId="74E79A1D"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E56234">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10F4F91A" wp14:editId="21050AED">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7DF8" w:rsidRDefault="00DF7DF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DF7DF8" w:rsidRDefault="00DF7DF8" w:rsidP="00AE5488">
                      <w:r>
                        <w:rPr>
                          <w:noProof/>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r w:rsidR="00071174" w:rsidRPr="00E56234">
        <w:rPr>
          <w:rFonts w:asciiTheme="majorHAnsi" w:hAnsiTheme="majorHAnsi" w:cs="Univers"/>
          <w:b/>
          <w:bCs/>
          <w:sz w:val="20"/>
          <w:szCs w:val="20"/>
          <w:lang w:val="es-ES_tradnl"/>
        </w:rPr>
        <w:t xml:space="preserve"> </w:t>
      </w:r>
    </w:p>
    <w:p w:rsidR="00040C3A" w:rsidRPr="00E56234" w:rsidRDefault="00040C3A" w:rsidP="00040C3A">
      <w:pPr>
        <w:tabs>
          <w:tab w:val="center" w:pos="5400"/>
        </w:tabs>
        <w:suppressAutoHyphens/>
        <w:jc w:val="both"/>
        <w:rPr>
          <w:rFonts w:asciiTheme="majorHAnsi" w:hAnsiTheme="majorHAnsi"/>
          <w:sz w:val="20"/>
          <w:szCs w:val="20"/>
          <w:lang w:val="es-ES"/>
        </w:rPr>
      </w:pPr>
    </w:p>
    <w:p w:rsidR="00040C3A" w:rsidRPr="00E56234" w:rsidRDefault="00040C3A" w:rsidP="00040C3A">
      <w:pPr>
        <w:tabs>
          <w:tab w:val="center" w:pos="5400"/>
        </w:tabs>
        <w:suppressAutoHyphens/>
        <w:jc w:val="both"/>
        <w:rPr>
          <w:rFonts w:asciiTheme="majorHAnsi" w:hAnsiTheme="majorHAnsi"/>
          <w:sz w:val="20"/>
          <w:szCs w:val="20"/>
          <w:lang w:val="es-ES"/>
        </w:rPr>
      </w:pPr>
    </w:p>
    <w:p w:rsidR="005128E4" w:rsidRPr="00E56234" w:rsidRDefault="005128E4" w:rsidP="00040C3A">
      <w:pPr>
        <w:tabs>
          <w:tab w:val="center" w:pos="5400"/>
        </w:tabs>
        <w:suppressAutoHyphens/>
        <w:rPr>
          <w:rFonts w:asciiTheme="majorHAnsi" w:hAnsiTheme="majorHAnsi"/>
          <w:sz w:val="20"/>
          <w:szCs w:val="20"/>
          <w:lang w:val="es-ES_tradnl"/>
        </w:rPr>
      </w:pPr>
    </w:p>
    <w:p w:rsidR="005128E4" w:rsidRPr="00E56234" w:rsidRDefault="005128E4" w:rsidP="00040C3A">
      <w:pPr>
        <w:tabs>
          <w:tab w:val="center" w:pos="5400"/>
        </w:tabs>
        <w:suppressAutoHyphens/>
        <w:rPr>
          <w:rFonts w:asciiTheme="majorHAnsi" w:hAnsiTheme="majorHAnsi"/>
          <w:sz w:val="20"/>
          <w:szCs w:val="20"/>
          <w:lang w:val="es-ES_tradnl"/>
        </w:rPr>
      </w:pPr>
    </w:p>
    <w:p w:rsidR="005128E4" w:rsidRPr="00E56234" w:rsidRDefault="005128E4" w:rsidP="00040C3A">
      <w:pPr>
        <w:tabs>
          <w:tab w:val="center" w:pos="5400"/>
        </w:tabs>
        <w:suppressAutoHyphens/>
        <w:rPr>
          <w:rFonts w:asciiTheme="majorHAnsi" w:hAnsiTheme="majorHAnsi"/>
          <w:sz w:val="20"/>
          <w:szCs w:val="20"/>
          <w:lang w:val="es-ES_tradnl"/>
        </w:rPr>
      </w:pPr>
    </w:p>
    <w:p w:rsidR="00040C3A" w:rsidRPr="00E56234" w:rsidRDefault="00040C3A" w:rsidP="005128E4">
      <w:pPr>
        <w:tabs>
          <w:tab w:val="center" w:pos="5400"/>
        </w:tabs>
        <w:suppressAutoHyphens/>
        <w:jc w:val="center"/>
        <w:rPr>
          <w:rFonts w:asciiTheme="majorHAnsi" w:hAnsiTheme="majorHAnsi"/>
          <w:sz w:val="20"/>
          <w:szCs w:val="20"/>
          <w:lang w:val="es-ES_tradnl"/>
        </w:rPr>
      </w:pPr>
    </w:p>
    <w:p w:rsidR="00040C3A" w:rsidRPr="00E56234" w:rsidRDefault="00040C3A" w:rsidP="005128E4">
      <w:pPr>
        <w:tabs>
          <w:tab w:val="center" w:pos="5400"/>
        </w:tabs>
        <w:suppressAutoHyphens/>
        <w:jc w:val="center"/>
        <w:rPr>
          <w:rFonts w:asciiTheme="majorHAnsi" w:hAnsiTheme="majorHAnsi"/>
          <w:sz w:val="20"/>
          <w:szCs w:val="20"/>
          <w:lang w:val="es-ES_tradnl"/>
        </w:rPr>
      </w:pPr>
    </w:p>
    <w:p w:rsidR="005B52B0" w:rsidRPr="00E56234" w:rsidRDefault="005B52B0" w:rsidP="005128E4">
      <w:pPr>
        <w:tabs>
          <w:tab w:val="center" w:pos="5400"/>
        </w:tabs>
        <w:suppressAutoHyphens/>
        <w:jc w:val="center"/>
        <w:rPr>
          <w:rFonts w:asciiTheme="majorHAnsi" w:hAnsiTheme="majorHAnsi"/>
          <w:sz w:val="20"/>
          <w:szCs w:val="20"/>
          <w:lang w:val="es-ES_tradnl"/>
        </w:rPr>
      </w:pPr>
    </w:p>
    <w:p w:rsidR="005B52B0" w:rsidRPr="00E56234" w:rsidRDefault="005B52B0" w:rsidP="005128E4">
      <w:pPr>
        <w:tabs>
          <w:tab w:val="center" w:pos="5400"/>
        </w:tabs>
        <w:suppressAutoHyphens/>
        <w:jc w:val="center"/>
        <w:rPr>
          <w:rFonts w:asciiTheme="majorHAnsi" w:hAnsiTheme="majorHAnsi"/>
          <w:sz w:val="20"/>
          <w:szCs w:val="20"/>
          <w:lang w:val="es-ES_tradnl"/>
        </w:rPr>
      </w:pPr>
    </w:p>
    <w:p w:rsidR="005B52B0" w:rsidRPr="00E56234" w:rsidRDefault="005B52B0" w:rsidP="005128E4">
      <w:pPr>
        <w:tabs>
          <w:tab w:val="center" w:pos="5400"/>
        </w:tabs>
        <w:suppressAutoHyphens/>
        <w:jc w:val="center"/>
        <w:rPr>
          <w:rFonts w:asciiTheme="majorHAnsi" w:hAnsiTheme="majorHAnsi"/>
          <w:sz w:val="20"/>
          <w:szCs w:val="20"/>
          <w:lang w:val="es-ES_tradnl"/>
        </w:rPr>
      </w:pPr>
    </w:p>
    <w:p w:rsidR="00040C3A" w:rsidRPr="00E56234" w:rsidRDefault="00040C3A" w:rsidP="00040C3A">
      <w:pPr>
        <w:tabs>
          <w:tab w:val="center" w:pos="5400"/>
        </w:tabs>
        <w:suppressAutoHyphens/>
        <w:jc w:val="center"/>
        <w:rPr>
          <w:rFonts w:asciiTheme="majorHAnsi" w:hAnsiTheme="majorHAnsi"/>
          <w:sz w:val="20"/>
          <w:szCs w:val="20"/>
          <w:lang w:val="es-ES_tradnl"/>
        </w:rPr>
      </w:pPr>
    </w:p>
    <w:p w:rsidR="00040C3A" w:rsidRPr="00E56234" w:rsidRDefault="00040C3A" w:rsidP="00040C3A">
      <w:pPr>
        <w:tabs>
          <w:tab w:val="center" w:pos="5400"/>
        </w:tabs>
        <w:suppressAutoHyphens/>
        <w:jc w:val="center"/>
        <w:rPr>
          <w:rFonts w:asciiTheme="majorHAnsi" w:hAnsiTheme="majorHAnsi"/>
          <w:sz w:val="20"/>
          <w:szCs w:val="20"/>
          <w:lang w:val="es-ES_tradnl"/>
        </w:rPr>
      </w:pPr>
    </w:p>
    <w:p w:rsidR="00040C3A" w:rsidRPr="00E56234" w:rsidRDefault="003D3BC2" w:rsidP="00040C3A">
      <w:pPr>
        <w:tabs>
          <w:tab w:val="center" w:pos="5400"/>
        </w:tabs>
        <w:suppressAutoHyphens/>
        <w:jc w:val="center"/>
        <w:rPr>
          <w:rFonts w:asciiTheme="majorHAnsi" w:hAnsiTheme="majorHAnsi"/>
          <w:sz w:val="20"/>
          <w:szCs w:val="20"/>
          <w:lang w:val="es-ES_tradnl"/>
        </w:rPr>
      </w:pPr>
      <w:r w:rsidRPr="00E56234">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5980ED94" wp14:editId="42272B8B">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7DF8" w:rsidRPr="004E2649" w:rsidRDefault="00DF7DF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E207F">
                              <w:rPr>
                                <w:rFonts w:asciiTheme="majorHAnsi" w:hAnsiTheme="majorHAnsi" w:cs="Arial"/>
                                <w:b/>
                                <w:bCs/>
                                <w:color w:val="0D0D0D" w:themeColor="text1" w:themeTint="F2"/>
                                <w:sz w:val="36"/>
                                <w:szCs w:val="22"/>
                                <w:lang w:val="es-ES_tradnl"/>
                              </w:rPr>
                              <w:t>253</w:t>
                            </w:r>
                            <w:r>
                              <w:rPr>
                                <w:rFonts w:asciiTheme="majorHAnsi" w:hAnsiTheme="majorHAnsi" w:cs="Arial"/>
                                <w:b/>
                                <w:bCs/>
                                <w:color w:val="0D0D0D" w:themeColor="text1" w:themeTint="F2"/>
                                <w:sz w:val="36"/>
                                <w:szCs w:val="22"/>
                                <w:lang w:val="es-ES_tradnl"/>
                              </w:rPr>
                              <w:t>/20</w:t>
                            </w:r>
                          </w:p>
                          <w:p w:rsidR="00DF7DF8" w:rsidRDefault="00DF7DF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965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rsidR="00DF7DF8" w:rsidRPr="0010736F" w:rsidRDefault="00F846B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DF7DF8" w:rsidRPr="0010736F">
                              <w:rPr>
                                <w:rFonts w:asciiTheme="majorHAnsi" w:hAnsiTheme="majorHAnsi" w:cs="Arial"/>
                                <w:color w:val="0D0D0D" w:themeColor="text1" w:themeTint="F2"/>
                                <w:szCs w:val="22"/>
                                <w:lang w:val="es-ES_tradnl"/>
                              </w:rPr>
                              <w:t xml:space="preserve">ADMISIBILIDAD </w:t>
                            </w:r>
                          </w:p>
                          <w:p w:rsidR="00DF7DF8" w:rsidRPr="0010736F" w:rsidRDefault="00DF7DF8" w:rsidP="00997BC5">
                            <w:pPr>
                              <w:spacing w:line="276" w:lineRule="auto"/>
                              <w:rPr>
                                <w:rFonts w:asciiTheme="majorHAnsi" w:hAnsiTheme="majorHAnsi" w:cs="Arial"/>
                                <w:color w:val="0D0D0D" w:themeColor="text1" w:themeTint="F2"/>
                                <w:szCs w:val="22"/>
                                <w:lang w:val="es-ES_tradnl"/>
                              </w:rPr>
                            </w:pPr>
                            <w:bookmarkStart w:id="1" w:name="_ftnref1"/>
                          </w:p>
                          <w:p w:rsidR="00DF7DF8" w:rsidRPr="0010736F" w:rsidRDefault="00DF7DF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w:t>
                            </w:r>
                            <w:r w:rsidR="005133B5">
                              <w:rPr>
                                <w:rFonts w:asciiTheme="majorHAnsi" w:hAnsiTheme="majorHAnsi" w:cs="Arial"/>
                                <w:color w:val="0D0D0D" w:themeColor="text1" w:themeTint="F2"/>
                                <w:szCs w:val="22"/>
                                <w:lang w:val="es-ES"/>
                              </w:rPr>
                              <w:t>É</w:t>
                            </w:r>
                            <w:r>
                              <w:rPr>
                                <w:rFonts w:asciiTheme="majorHAnsi" w:hAnsiTheme="majorHAnsi" w:cs="Arial"/>
                                <w:color w:val="0D0D0D" w:themeColor="text1" w:themeTint="F2"/>
                                <w:szCs w:val="22"/>
                                <w:lang w:val="es-ES_tradnl"/>
                              </w:rPr>
                              <w:t xml:space="preserve"> PALOMINO CASTREJÓN</w:t>
                            </w:r>
                          </w:p>
                          <w:bookmarkEnd w:id="1"/>
                          <w:p w:rsidR="00DF7DF8" w:rsidRPr="0010736F" w:rsidRDefault="00DF7DF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DF7DF8" w:rsidRPr="00AE5488" w:rsidRDefault="00DF7DF8"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980ED94"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rsidR="00DF7DF8" w:rsidRPr="004E2649" w:rsidRDefault="00DF7DF8"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AE207F">
                        <w:rPr>
                          <w:rFonts w:asciiTheme="majorHAnsi" w:hAnsiTheme="majorHAnsi" w:cs="Arial"/>
                          <w:b/>
                          <w:bCs/>
                          <w:color w:val="0D0D0D" w:themeColor="text1" w:themeTint="F2"/>
                          <w:sz w:val="36"/>
                          <w:szCs w:val="22"/>
                          <w:lang w:val="es-ES_tradnl"/>
                        </w:rPr>
                        <w:t>253</w:t>
                      </w:r>
                      <w:r>
                        <w:rPr>
                          <w:rFonts w:asciiTheme="majorHAnsi" w:hAnsiTheme="majorHAnsi" w:cs="Arial"/>
                          <w:b/>
                          <w:bCs/>
                          <w:color w:val="0D0D0D" w:themeColor="text1" w:themeTint="F2"/>
                          <w:sz w:val="36"/>
                          <w:szCs w:val="22"/>
                          <w:lang w:val="es-ES_tradnl"/>
                        </w:rPr>
                        <w:t>/20</w:t>
                      </w:r>
                    </w:p>
                    <w:p w:rsidR="00DF7DF8" w:rsidRDefault="00DF7DF8"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965</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09</w:t>
                      </w:r>
                      <w:r w:rsidRPr="004E2649">
                        <w:rPr>
                          <w:rFonts w:asciiTheme="majorHAnsi" w:hAnsiTheme="majorHAnsi" w:cs="Arial"/>
                          <w:b/>
                          <w:color w:val="0D0D0D" w:themeColor="text1" w:themeTint="F2"/>
                          <w:sz w:val="36"/>
                          <w:szCs w:val="22"/>
                          <w:lang w:val="es-ES_tradnl"/>
                        </w:rPr>
                        <w:t xml:space="preserve"> </w:t>
                      </w:r>
                    </w:p>
                    <w:p w:rsidR="00DF7DF8" w:rsidRPr="0010736F" w:rsidRDefault="00F846B6"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INFORME DE </w:t>
                      </w:r>
                      <w:r w:rsidR="00DF7DF8" w:rsidRPr="0010736F">
                        <w:rPr>
                          <w:rFonts w:asciiTheme="majorHAnsi" w:hAnsiTheme="majorHAnsi" w:cs="Arial"/>
                          <w:color w:val="0D0D0D" w:themeColor="text1" w:themeTint="F2"/>
                          <w:szCs w:val="22"/>
                          <w:lang w:val="es-ES_tradnl"/>
                        </w:rPr>
                        <w:t xml:space="preserve">ADMISIBILIDAD </w:t>
                      </w:r>
                    </w:p>
                    <w:p w:rsidR="00DF7DF8" w:rsidRPr="0010736F" w:rsidRDefault="00DF7DF8" w:rsidP="00997BC5">
                      <w:pPr>
                        <w:spacing w:line="276" w:lineRule="auto"/>
                        <w:rPr>
                          <w:rFonts w:asciiTheme="majorHAnsi" w:hAnsiTheme="majorHAnsi" w:cs="Arial"/>
                          <w:color w:val="0D0D0D" w:themeColor="text1" w:themeTint="F2"/>
                          <w:szCs w:val="22"/>
                          <w:lang w:val="es-ES_tradnl"/>
                        </w:rPr>
                      </w:pPr>
                      <w:bookmarkStart w:id="1" w:name="_ftnref1"/>
                    </w:p>
                    <w:p w:rsidR="00DF7DF8" w:rsidRPr="0010736F" w:rsidRDefault="00DF7DF8"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JOS</w:t>
                      </w:r>
                      <w:r w:rsidR="005133B5">
                        <w:rPr>
                          <w:rFonts w:asciiTheme="majorHAnsi" w:hAnsiTheme="majorHAnsi" w:cs="Arial"/>
                          <w:color w:val="0D0D0D" w:themeColor="text1" w:themeTint="F2"/>
                          <w:szCs w:val="22"/>
                          <w:lang w:val="es-ES"/>
                        </w:rPr>
                        <w:t>É</w:t>
                      </w:r>
                      <w:r>
                        <w:rPr>
                          <w:rFonts w:asciiTheme="majorHAnsi" w:hAnsiTheme="majorHAnsi" w:cs="Arial"/>
                          <w:color w:val="0D0D0D" w:themeColor="text1" w:themeTint="F2"/>
                          <w:szCs w:val="22"/>
                          <w:lang w:val="es-ES_tradnl"/>
                        </w:rPr>
                        <w:t xml:space="preserve"> PALOMINO CASTREJÓN</w:t>
                      </w:r>
                    </w:p>
                    <w:bookmarkEnd w:id="1"/>
                    <w:p w:rsidR="00DF7DF8" w:rsidRPr="0010736F" w:rsidRDefault="00DF7DF8" w:rsidP="00997BC5">
                      <w:pPr>
                        <w:spacing w:line="276" w:lineRule="auto"/>
                        <w:rPr>
                          <w:rFonts w:asciiTheme="majorHAnsi" w:hAnsiTheme="majorHAnsi" w:cs="Arial"/>
                          <w:color w:val="0D0D0D" w:themeColor="text1" w:themeTint="F2"/>
                          <w:szCs w:val="22"/>
                          <w:lang w:val="es-ES"/>
                        </w:rPr>
                      </w:pPr>
                      <w:r>
                        <w:rPr>
                          <w:rFonts w:asciiTheme="majorHAnsi" w:hAnsiTheme="majorHAnsi" w:cs="Arial"/>
                          <w:color w:val="0D0D0D" w:themeColor="text1" w:themeTint="F2"/>
                          <w:szCs w:val="22"/>
                          <w:lang w:val="es-ES_tradnl"/>
                        </w:rPr>
                        <w:t>MÉXICO</w:t>
                      </w:r>
                    </w:p>
                    <w:p w:rsidR="00DF7DF8" w:rsidRPr="00AE5488" w:rsidRDefault="00DF7DF8" w:rsidP="007A5817">
                      <w:pPr>
                        <w:rPr>
                          <w:color w:val="0D0D0D" w:themeColor="text1" w:themeTint="F2"/>
                          <w:lang w:val="es-ES_tradnl"/>
                        </w:rPr>
                      </w:pPr>
                    </w:p>
                  </w:txbxContent>
                </v:textbox>
              </v:shape>
            </w:pict>
          </mc:Fallback>
        </mc:AlternateContent>
      </w:r>
      <w:r w:rsidR="004E2649" w:rsidRPr="00E56234">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3BE5919" wp14:editId="686CF99C">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7DF8" w:rsidRPr="00AE207F" w:rsidRDefault="00DF7DF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Pr="00AE207F">
                              <w:rPr>
                                <w:rFonts w:asciiTheme="minorHAnsi" w:hAnsiTheme="minorHAnsi"/>
                                <w:color w:val="FFFFFF" w:themeColor="background1"/>
                                <w:sz w:val="22"/>
                                <w:lang w:val="pt-BR"/>
                              </w:rPr>
                              <w:t>.</w:t>
                            </w:r>
                          </w:p>
                          <w:p w:rsidR="00DF7DF8" w:rsidRPr="00AE207F" w:rsidRDefault="00DF7DF8" w:rsidP="007A5817">
                            <w:pPr>
                              <w:spacing w:line="276" w:lineRule="auto"/>
                              <w:jc w:val="right"/>
                              <w:rPr>
                                <w:rFonts w:asciiTheme="minorHAnsi" w:hAnsiTheme="minorHAnsi"/>
                                <w:color w:val="FFFFFF" w:themeColor="background1"/>
                                <w:sz w:val="22"/>
                                <w:lang w:val="pt-BR"/>
                              </w:rPr>
                            </w:pPr>
                            <w:r w:rsidRPr="00AE207F">
                              <w:rPr>
                                <w:rFonts w:asciiTheme="minorHAnsi" w:hAnsiTheme="minorHAnsi"/>
                                <w:color w:val="FFFFFF" w:themeColor="background1"/>
                                <w:sz w:val="22"/>
                                <w:lang w:val="pt-BR"/>
                              </w:rPr>
                              <w:t xml:space="preserve">Doc. </w:t>
                            </w:r>
                            <w:r w:rsidR="00AE207F">
                              <w:rPr>
                                <w:rFonts w:asciiTheme="minorHAnsi" w:hAnsiTheme="minorHAnsi"/>
                                <w:color w:val="FFFFFF" w:themeColor="background1"/>
                                <w:sz w:val="22"/>
                                <w:lang w:val="pt-BR"/>
                              </w:rPr>
                              <w:t>269</w:t>
                            </w:r>
                          </w:p>
                          <w:p w:rsidR="00DF7DF8" w:rsidRPr="00AE207F" w:rsidRDefault="00AE207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septiembre</w:t>
                            </w:r>
                            <w:r w:rsidR="00DF7DF8" w:rsidRPr="00AE207F">
                              <w:rPr>
                                <w:rFonts w:asciiTheme="minorHAnsi" w:hAnsiTheme="minorHAnsi"/>
                                <w:color w:val="FFFFFF" w:themeColor="background1"/>
                                <w:sz w:val="22"/>
                                <w:lang w:val="es-PA"/>
                              </w:rPr>
                              <w:t xml:space="preserve"> 2020</w:t>
                            </w:r>
                          </w:p>
                          <w:p w:rsidR="00DF7DF8" w:rsidRPr="00C25ADB" w:rsidRDefault="00DF7DF8" w:rsidP="007A5817">
                            <w:pPr>
                              <w:spacing w:line="276" w:lineRule="auto"/>
                              <w:jc w:val="right"/>
                              <w:rPr>
                                <w:rFonts w:asciiTheme="minorHAnsi" w:hAnsiTheme="minorHAnsi"/>
                                <w:color w:val="FFFFFF" w:themeColor="background1"/>
                                <w:sz w:val="22"/>
                                <w:lang w:val="es-PA"/>
                              </w:rPr>
                            </w:pPr>
                            <w:r w:rsidRPr="00AE207F">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3BE5919"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rsidR="00DF7DF8" w:rsidRPr="00AE207F" w:rsidRDefault="00DF7DF8"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OEA/Ser.L/V/II</w:t>
                      </w:r>
                      <w:r w:rsidRPr="00AE207F">
                        <w:rPr>
                          <w:rFonts w:asciiTheme="minorHAnsi" w:hAnsiTheme="minorHAnsi"/>
                          <w:color w:val="FFFFFF" w:themeColor="background1"/>
                          <w:sz w:val="22"/>
                          <w:lang w:val="pt-BR"/>
                        </w:rPr>
                        <w:t>.</w:t>
                      </w:r>
                    </w:p>
                    <w:p w:rsidR="00DF7DF8" w:rsidRPr="00AE207F" w:rsidRDefault="00DF7DF8" w:rsidP="007A5817">
                      <w:pPr>
                        <w:spacing w:line="276" w:lineRule="auto"/>
                        <w:jc w:val="right"/>
                        <w:rPr>
                          <w:rFonts w:asciiTheme="minorHAnsi" w:hAnsiTheme="minorHAnsi"/>
                          <w:color w:val="FFFFFF" w:themeColor="background1"/>
                          <w:sz w:val="22"/>
                          <w:lang w:val="pt-BR"/>
                        </w:rPr>
                      </w:pPr>
                      <w:r w:rsidRPr="00AE207F">
                        <w:rPr>
                          <w:rFonts w:asciiTheme="minorHAnsi" w:hAnsiTheme="minorHAnsi"/>
                          <w:color w:val="FFFFFF" w:themeColor="background1"/>
                          <w:sz w:val="22"/>
                          <w:lang w:val="pt-BR"/>
                        </w:rPr>
                        <w:t xml:space="preserve">Doc. </w:t>
                      </w:r>
                      <w:r w:rsidR="00AE207F">
                        <w:rPr>
                          <w:rFonts w:asciiTheme="minorHAnsi" w:hAnsiTheme="minorHAnsi"/>
                          <w:color w:val="FFFFFF" w:themeColor="background1"/>
                          <w:sz w:val="22"/>
                          <w:lang w:val="pt-BR"/>
                        </w:rPr>
                        <w:t>269</w:t>
                      </w:r>
                    </w:p>
                    <w:p w:rsidR="00DF7DF8" w:rsidRPr="00AE207F" w:rsidRDefault="00AE207F" w:rsidP="007A5817">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21 septiembre</w:t>
                      </w:r>
                      <w:r w:rsidR="00DF7DF8" w:rsidRPr="00AE207F">
                        <w:rPr>
                          <w:rFonts w:asciiTheme="minorHAnsi" w:hAnsiTheme="minorHAnsi"/>
                          <w:color w:val="FFFFFF" w:themeColor="background1"/>
                          <w:sz w:val="22"/>
                          <w:lang w:val="es-PA"/>
                        </w:rPr>
                        <w:t xml:space="preserve"> 2020</w:t>
                      </w:r>
                    </w:p>
                    <w:p w:rsidR="00DF7DF8" w:rsidRPr="00C25ADB" w:rsidRDefault="00DF7DF8" w:rsidP="007A5817">
                      <w:pPr>
                        <w:spacing w:line="276" w:lineRule="auto"/>
                        <w:jc w:val="right"/>
                        <w:rPr>
                          <w:rFonts w:asciiTheme="minorHAnsi" w:hAnsiTheme="minorHAnsi"/>
                          <w:color w:val="FFFFFF" w:themeColor="background1"/>
                          <w:sz w:val="22"/>
                          <w:lang w:val="es-PA"/>
                        </w:rPr>
                      </w:pPr>
                      <w:r w:rsidRPr="00AE207F">
                        <w:rPr>
                          <w:rFonts w:asciiTheme="minorHAnsi" w:hAnsiTheme="minorHAnsi"/>
                          <w:color w:val="FFFFFF" w:themeColor="background1"/>
                          <w:sz w:val="22"/>
                          <w:lang w:val="es-PA"/>
                        </w:rPr>
                        <w:t>Original: español</w:t>
                      </w:r>
                    </w:p>
                  </w:txbxContent>
                </v:textbox>
              </v:shape>
            </w:pict>
          </mc:Fallback>
        </mc:AlternateContent>
      </w:r>
    </w:p>
    <w:p w:rsidR="00040C3A" w:rsidRPr="00E56234" w:rsidRDefault="00040C3A" w:rsidP="00040C3A">
      <w:pPr>
        <w:tabs>
          <w:tab w:val="center" w:pos="5400"/>
        </w:tabs>
        <w:suppressAutoHyphens/>
        <w:jc w:val="center"/>
        <w:rPr>
          <w:rFonts w:asciiTheme="majorHAnsi" w:hAnsiTheme="majorHAnsi"/>
          <w:sz w:val="20"/>
          <w:szCs w:val="20"/>
          <w:lang w:val="es-ES_tradnl"/>
        </w:rPr>
      </w:pPr>
    </w:p>
    <w:p w:rsidR="00040C3A" w:rsidRPr="00E56234" w:rsidRDefault="00040C3A" w:rsidP="00040C3A">
      <w:pPr>
        <w:tabs>
          <w:tab w:val="center" w:pos="5400"/>
        </w:tabs>
        <w:suppressAutoHyphens/>
        <w:jc w:val="center"/>
        <w:rPr>
          <w:rFonts w:asciiTheme="majorHAnsi" w:hAnsiTheme="majorHAnsi"/>
          <w:sz w:val="20"/>
          <w:szCs w:val="20"/>
          <w:lang w:val="es-ES_tradnl"/>
        </w:rPr>
      </w:pPr>
    </w:p>
    <w:p w:rsidR="00040C3A" w:rsidRPr="00E56234" w:rsidRDefault="00040C3A" w:rsidP="00040C3A">
      <w:pPr>
        <w:tabs>
          <w:tab w:val="center" w:pos="5400"/>
        </w:tabs>
        <w:suppressAutoHyphens/>
        <w:jc w:val="center"/>
        <w:rPr>
          <w:rFonts w:asciiTheme="majorHAnsi" w:hAnsiTheme="majorHAnsi" w:cs="Arial"/>
          <w:sz w:val="20"/>
          <w:szCs w:val="20"/>
          <w:lang w:val="es-ES_tradnl"/>
        </w:rPr>
      </w:pPr>
    </w:p>
    <w:p w:rsidR="00040C3A" w:rsidRPr="00E56234" w:rsidRDefault="00040C3A" w:rsidP="00040C3A">
      <w:pPr>
        <w:tabs>
          <w:tab w:val="center" w:pos="5400"/>
        </w:tabs>
        <w:suppressAutoHyphens/>
        <w:jc w:val="center"/>
        <w:rPr>
          <w:rFonts w:asciiTheme="majorHAnsi" w:hAnsiTheme="majorHAnsi"/>
          <w:sz w:val="20"/>
          <w:szCs w:val="20"/>
          <w:lang w:val="es-ES_tradnl"/>
        </w:rPr>
      </w:pPr>
    </w:p>
    <w:p w:rsidR="00040C3A" w:rsidRPr="00E56234" w:rsidRDefault="00040C3A" w:rsidP="00040C3A">
      <w:pPr>
        <w:tabs>
          <w:tab w:val="center" w:pos="5400"/>
        </w:tabs>
        <w:suppressAutoHyphens/>
        <w:jc w:val="center"/>
        <w:rPr>
          <w:rFonts w:asciiTheme="majorHAnsi" w:hAnsiTheme="majorHAnsi"/>
          <w:sz w:val="20"/>
          <w:szCs w:val="20"/>
          <w:lang w:val="es-ES_tradnl"/>
        </w:rPr>
      </w:pPr>
    </w:p>
    <w:p w:rsidR="00040C3A" w:rsidRPr="00E56234" w:rsidRDefault="00040C3A" w:rsidP="00040C3A">
      <w:pPr>
        <w:tabs>
          <w:tab w:val="center" w:pos="5400"/>
        </w:tabs>
        <w:suppressAutoHyphens/>
        <w:jc w:val="center"/>
        <w:rPr>
          <w:rFonts w:asciiTheme="majorHAnsi" w:hAnsiTheme="majorHAnsi"/>
          <w:sz w:val="20"/>
          <w:szCs w:val="20"/>
          <w:lang w:val="es-ES_tradnl"/>
        </w:rPr>
      </w:pPr>
    </w:p>
    <w:p w:rsidR="00040C3A" w:rsidRPr="00E56234" w:rsidRDefault="00040C3A" w:rsidP="00040C3A">
      <w:pPr>
        <w:tabs>
          <w:tab w:val="center" w:pos="5400"/>
        </w:tabs>
        <w:suppressAutoHyphens/>
        <w:jc w:val="center"/>
        <w:rPr>
          <w:rFonts w:asciiTheme="majorHAnsi" w:hAnsiTheme="majorHAnsi"/>
          <w:sz w:val="20"/>
          <w:szCs w:val="20"/>
          <w:lang w:val="es-ES_tradnl"/>
        </w:rPr>
      </w:pPr>
    </w:p>
    <w:p w:rsidR="005128E4" w:rsidRPr="00E56234" w:rsidRDefault="005128E4" w:rsidP="00040C3A">
      <w:pPr>
        <w:tabs>
          <w:tab w:val="center" w:pos="5400"/>
        </w:tabs>
        <w:suppressAutoHyphens/>
        <w:jc w:val="center"/>
        <w:rPr>
          <w:rFonts w:asciiTheme="majorHAnsi" w:hAnsiTheme="majorHAnsi"/>
          <w:sz w:val="20"/>
          <w:szCs w:val="20"/>
          <w:lang w:val="es-ES_tradnl"/>
        </w:rPr>
      </w:pPr>
    </w:p>
    <w:p w:rsidR="00040C3A" w:rsidRPr="00E56234" w:rsidRDefault="00040C3A" w:rsidP="00040C3A">
      <w:pPr>
        <w:tabs>
          <w:tab w:val="center" w:pos="5400"/>
        </w:tabs>
        <w:suppressAutoHyphens/>
        <w:jc w:val="center"/>
        <w:rPr>
          <w:rFonts w:asciiTheme="majorHAnsi" w:hAnsiTheme="majorHAnsi"/>
          <w:sz w:val="20"/>
          <w:szCs w:val="20"/>
          <w:lang w:val="es-ES_tradnl"/>
        </w:rPr>
      </w:pPr>
    </w:p>
    <w:p w:rsidR="005128E4" w:rsidRPr="00E56234" w:rsidRDefault="005128E4" w:rsidP="00040C3A">
      <w:pPr>
        <w:tabs>
          <w:tab w:val="center" w:pos="5400"/>
        </w:tabs>
        <w:suppressAutoHyphens/>
        <w:jc w:val="center"/>
        <w:rPr>
          <w:rFonts w:asciiTheme="majorHAnsi" w:hAnsiTheme="majorHAnsi"/>
          <w:sz w:val="20"/>
          <w:szCs w:val="20"/>
          <w:lang w:val="es-ES_tradnl"/>
        </w:rPr>
      </w:pPr>
    </w:p>
    <w:p w:rsidR="005128E4" w:rsidRPr="00E56234" w:rsidRDefault="005128E4" w:rsidP="00040C3A">
      <w:pPr>
        <w:tabs>
          <w:tab w:val="center" w:pos="5400"/>
        </w:tabs>
        <w:suppressAutoHyphens/>
        <w:jc w:val="center"/>
        <w:rPr>
          <w:rFonts w:asciiTheme="majorHAnsi" w:hAnsiTheme="majorHAnsi"/>
          <w:sz w:val="20"/>
          <w:szCs w:val="20"/>
          <w:lang w:val="es-ES_tradnl"/>
        </w:rPr>
      </w:pPr>
    </w:p>
    <w:p w:rsidR="005128E4" w:rsidRPr="00E56234" w:rsidRDefault="005128E4" w:rsidP="00040C3A">
      <w:pPr>
        <w:tabs>
          <w:tab w:val="center" w:pos="5400"/>
        </w:tabs>
        <w:suppressAutoHyphens/>
        <w:jc w:val="center"/>
        <w:rPr>
          <w:rFonts w:asciiTheme="majorHAnsi" w:hAnsiTheme="majorHAnsi"/>
          <w:sz w:val="20"/>
          <w:szCs w:val="20"/>
          <w:lang w:val="es-ES_tradnl"/>
        </w:rPr>
      </w:pPr>
    </w:p>
    <w:p w:rsidR="00040C3A" w:rsidRPr="00E56234" w:rsidRDefault="00040C3A" w:rsidP="00040C3A">
      <w:pPr>
        <w:tabs>
          <w:tab w:val="center" w:pos="5400"/>
        </w:tabs>
        <w:suppressAutoHyphens/>
        <w:jc w:val="center"/>
        <w:rPr>
          <w:rFonts w:asciiTheme="majorHAnsi" w:hAnsiTheme="majorHAnsi"/>
          <w:sz w:val="20"/>
          <w:szCs w:val="20"/>
          <w:lang w:val="es-ES_tradnl"/>
        </w:rPr>
      </w:pPr>
    </w:p>
    <w:p w:rsidR="00040C3A" w:rsidRPr="00E56234" w:rsidRDefault="00040C3A" w:rsidP="00040C3A">
      <w:pPr>
        <w:tabs>
          <w:tab w:val="center" w:pos="5400"/>
        </w:tabs>
        <w:suppressAutoHyphens/>
        <w:jc w:val="center"/>
        <w:rPr>
          <w:rFonts w:asciiTheme="majorHAnsi" w:hAnsiTheme="majorHAnsi"/>
          <w:sz w:val="20"/>
          <w:szCs w:val="20"/>
          <w:lang w:val="es-ES_tradnl"/>
        </w:rPr>
      </w:pPr>
    </w:p>
    <w:p w:rsidR="00A50FCF" w:rsidRPr="00E56234" w:rsidRDefault="00A50FCF" w:rsidP="00040C3A">
      <w:pPr>
        <w:tabs>
          <w:tab w:val="center" w:pos="5400"/>
        </w:tabs>
        <w:suppressAutoHyphens/>
        <w:jc w:val="center"/>
        <w:rPr>
          <w:rFonts w:asciiTheme="majorHAnsi" w:hAnsiTheme="majorHAnsi"/>
          <w:sz w:val="20"/>
          <w:szCs w:val="20"/>
          <w:lang w:val="es-ES_tradnl"/>
        </w:rPr>
      </w:pPr>
    </w:p>
    <w:p w:rsidR="00A50FCF" w:rsidRPr="00E56234" w:rsidRDefault="00A50FCF" w:rsidP="00040C3A">
      <w:pPr>
        <w:tabs>
          <w:tab w:val="center" w:pos="5400"/>
        </w:tabs>
        <w:suppressAutoHyphens/>
        <w:jc w:val="center"/>
        <w:rPr>
          <w:rFonts w:asciiTheme="majorHAnsi" w:hAnsiTheme="majorHAnsi"/>
          <w:sz w:val="20"/>
          <w:szCs w:val="20"/>
          <w:lang w:val="es-ES_tradnl"/>
        </w:rPr>
      </w:pPr>
    </w:p>
    <w:p w:rsidR="00A50FCF" w:rsidRPr="00E56234" w:rsidRDefault="00A50FCF" w:rsidP="00040C3A">
      <w:pPr>
        <w:tabs>
          <w:tab w:val="center" w:pos="5400"/>
        </w:tabs>
        <w:suppressAutoHyphens/>
        <w:jc w:val="center"/>
        <w:rPr>
          <w:rFonts w:asciiTheme="majorHAnsi" w:hAnsiTheme="majorHAnsi"/>
          <w:sz w:val="20"/>
          <w:szCs w:val="20"/>
          <w:lang w:val="es-ES_tradnl"/>
        </w:rPr>
      </w:pPr>
    </w:p>
    <w:p w:rsidR="00A50FCF" w:rsidRPr="00E56234" w:rsidRDefault="00A50FCF" w:rsidP="00040C3A">
      <w:pPr>
        <w:tabs>
          <w:tab w:val="center" w:pos="5400"/>
        </w:tabs>
        <w:suppressAutoHyphens/>
        <w:jc w:val="center"/>
        <w:rPr>
          <w:rFonts w:asciiTheme="majorHAnsi" w:hAnsiTheme="majorHAnsi"/>
          <w:sz w:val="20"/>
          <w:szCs w:val="20"/>
          <w:lang w:val="es-ES_tradnl"/>
        </w:rPr>
      </w:pPr>
    </w:p>
    <w:p w:rsidR="00A50FCF" w:rsidRPr="00E56234" w:rsidRDefault="00A50FCF" w:rsidP="00040C3A">
      <w:pPr>
        <w:tabs>
          <w:tab w:val="center" w:pos="5400"/>
        </w:tabs>
        <w:suppressAutoHyphens/>
        <w:jc w:val="center"/>
        <w:rPr>
          <w:rFonts w:asciiTheme="majorHAnsi" w:hAnsiTheme="majorHAnsi"/>
          <w:sz w:val="20"/>
          <w:szCs w:val="20"/>
          <w:lang w:val="es-ES_tradnl"/>
        </w:rPr>
      </w:pPr>
    </w:p>
    <w:p w:rsidR="00A50FCF" w:rsidRPr="00E56234" w:rsidRDefault="00A50FCF" w:rsidP="00040C3A">
      <w:pPr>
        <w:tabs>
          <w:tab w:val="center" w:pos="5400"/>
        </w:tabs>
        <w:suppressAutoHyphens/>
        <w:jc w:val="center"/>
        <w:rPr>
          <w:rFonts w:asciiTheme="majorHAnsi" w:hAnsiTheme="majorHAnsi"/>
          <w:sz w:val="20"/>
          <w:szCs w:val="20"/>
          <w:lang w:val="es-ES_tradnl"/>
        </w:rPr>
      </w:pPr>
    </w:p>
    <w:p w:rsidR="00A50FCF" w:rsidRPr="00E56234" w:rsidRDefault="00A50FCF" w:rsidP="00040C3A">
      <w:pPr>
        <w:tabs>
          <w:tab w:val="center" w:pos="5400"/>
        </w:tabs>
        <w:suppressAutoHyphens/>
        <w:jc w:val="center"/>
        <w:rPr>
          <w:rFonts w:asciiTheme="majorHAnsi" w:hAnsiTheme="majorHAnsi"/>
          <w:sz w:val="20"/>
          <w:szCs w:val="20"/>
          <w:lang w:val="es-ES_tradnl"/>
        </w:rPr>
      </w:pPr>
    </w:p>
    <w:p w:rsidR="00A50FCF" w:rsidRPr="00E56234" w:rsidRDefault="00A50FCF" w:rsidP="00040C3A">
      <w:pPr>
        <w:tabs>
          <w:tab w:val="center" w:pos="5400"/>
        </w:tabs>
        <w:suppressAutoHyphens/>
        <w:jc w:val="center"/>
        <w:rPr>
          <w:rFonts w:asciiTheme="majorHAnsi" w:hAnsiTheme="majorHAnsi"/>
          <w:sz w:val="20"/>
          <w:szCs w:val="20"/>
          <w:lang w:val="es-ES_tradnl"/>
        </w:rPr>
      </w:pPr>
    </w:p>
    <w:p w:rsidR="00A50FCF" w:rsidRPr="00E56234" w:rsidRDefault="00A50FCF" w:rsidP="00040C3A">
      <w:pPr>
        <w:tabs>
          <w:tab w:val="center" w:pos="5400"/>
        </w:tabs>
        <w:suppressAutoHyphens/>
        <w:jc w:val="center"/>
        <w:rPr>
          <w:rFonts w:asciiTheme="majorHAnsi" w:hAnsiTheme="majorHAnsi"/>
          <w:sz w:val="20"/>
          <w:szCs w:val="20"/>
          <w:lang w:val="es-ES_tradnl"/>
        </w:rPr>
      </w:pPr>
    </w:p>
    <w:p w:rsidR="00A50FCF" w:rsidRPr="00E56234" w:rsidRDefault="00A50FCF" w:rsidP="00040C3A">
      <w:pPr>
        <w:tabs>
          <w:tab w:val="center" w:pos="5400"/>
        </w:tabs>
        <w:suppressAutoHyphens/>
        <w:jc w:val="center"/>
        <w:rPr>
          <w:rFonts w:asciiTheme="majorHAnsi" w:hAnsiTheme="majorHAnsi"/>
          <w:sz w:val="20"/>
          <w:szCs w:val="20"/>
          <w:lang w:val="es-ES_tradnl"/>
        </w:rPr>
      </w:pPr>
    </w:p>
    <w:p w:rsidR="00A50FCF" w:rsidRPr="00E56234" w:rsidRDefault="00A50FCF" w:rsidP="00040C3A">
      <w:pPr>
        <w:tabs>
          <w:tab w:val="center" w:pos="5400"/>
        </w:tabs>
        <w:suppressAutoHyphens/>
        <w:jc w:val="center"/>
        <w:rPr>
          <w:rFonts w:asciiTheme="majorHAnsi" w:hAnsiTheme="majorHAnsi"/>
          <w:sz w:val="20"/>
          <w:szCs w:val="20"/>
          <w:lang w:val="es-ES_tradnl"/>
        </w:rPr>
      </w:pPr>
    </w:p>
    <w:p w:rsidR="00A50FCF" w:rsidRPr="00E56234" w:rsidRDefault="00A50FCF" w:rsidP="00040C3A">
      <w:pPr>
        <w:tabs>
          <w:tab w:val="center" w:pos="5400"/>
        </w:tabs>
        <w:suppressAutoHyphens/>
        <w:jc w:val="center"/>
        <w:rPr>
          <w:rFonts w:asciiTheme="majorHAnsi" w:hAnsiTheme="majorHAnsi"/>
          <w:sz w:val="20"/>
          <w:szCs w:val="20"/>
          <w:lang w:val="es-ES_tradnl"/>
        </w:rPr>
      </w:pPr>
    </w:p>
    <w:p w:rsidR="00A50FCF" w:rsidRPr="00E56234" w:rsidRDefault="00A50FCF" w:rsidP="00040C3A">
      <w:pPr>
        <w:tabs>
          <w:tab w:val="center" w:pos="5400"/>
        </w:tabs>
        <w:suppressAutoHyphens/>
        <w:jc w:val="center"/>
        <w:rPr>
          <w:rFonts w:asciiTheme="majorHAnsi" w:hAnsiTheme="majorHAnsi"/>
          <w:sz w:val="20"/>
          <w:szCs w:val="20"/>
          <w:lang w:val="es-ES_tradnl"/>
        </w:rPr>
      </w:pPr>
    </w:p>
    <w:p w:rsidR="00A50FCF" w:rsidRPr="00E56234" w:rsidRDefault="00A50FCF" w:rsidP="00040C3A">
      <w:pPr>
        <w:tabs>
          <w:tab w:val="center" w:pos="5400"/>
        </w:tabs>
        <w:suppressAutoHyphens/>
        <w:jc w:val="center"/>
        <w:rPr>
          <w:rFonts w:asciiTheme="majorHAnsi" w:hAnsiTheme="majorHAnsi"/>
          <w:sz w:val="20"/>
          <w:szCs w:val="20"/>
          <w:lang w:val="es-ES_tradnl"/>
        </w:rPr>
      </w:pPr>
    </w:p>
    <w:p w:rsidR="00A50FCF" w:rsidRPr="00E56234" w:rsidRDefault="0090270B" w:rsidP="00040C3A">
      <w:pPr>
        <w:tabs>
          <w:tab w:val="center" w:pos="5400"/>
        </w:tabs>
        <w:suppressAutoHyphens/>
        <w:jc w:val="center"/>
        <w:rPr>
          <w:rFonts w:asciiTheme="majorHAnsi" w:hAnsiTheme="majorHAnsi"/>
          <w:sz w:val="20"/>
          <w:szCs w:val="20"/>
          <w:lang w:val="es-ES_tradnl"/>
        </w:rPr>
      </w:pPr>
      <w:r w:rsidRPr="00E56234">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37B0B44F" wp14:editId="1101FDF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7DF8" w:rsidRPr="00890650" w:rsidRDefault="00DF7DF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AE207F">
                              <w:rPr>
                                <w:rFonts w:asciiTheme="majorHAnsi" w:hAnsiTheme="majorHAnsi"/>
                                <w:color w:val="0D0D0D" w:themeColor="text1" w:themeTint="F2"/>
                                <w:sz w:val="18"/>
                                <w:szCs w:val="22"/>
                                <w:lang w:val="es-ES"/>
                              </w:rPr>
                              <w:t xml:space="preserve"> 21 de septiembre de 2020</w:t>
                            </w:r>
                            <w:r w:rsidR="00657645">
                              <w:rPr>
                                <w:rFonts w:asciiTheme="majorHAnsi" w:hAnsiTheme="majorHAnsi"/>
                                <w:color w:val="0D0D0D" w:themeColor="text1" w:themeTint="F2"/>
                                <w:sz w:val="18"/>
                                <w:szCs w:val="22"/>
                                <w:lang w:val="es-ES"/>
                              </w:rPr>
                              <w:t>.</w:t>
                            </w:r>
                          </w:p>
                          <w:p w:rsidR="00DF7DF8" w:rsidRPr="007A5817" w:rsidRDefault="00DF7DF8" w:rsidP="00247403">
                            <w:pPr>
                              <w:tabs>
                                <w:tab w:val="center" w:pos="5400"/>
                              </w:tabs>
                              <w:suppressAutoHyphens/>
                              <w:spacing w:before="60"/>
                              <w:rPr>
                                <w:rFonts w:asciiTheme="minorHAnsi" w:hAnsiTheme="minorHAnsi" w:cs="Univers"/>
                                <w:color w:val="0D0D0D" w:themeColor="text1" w:themeTint="F2"/>
                                <w:sz w:val="20"/>
                                <w:szCs w:val="20"/>
                                <w:lang w:val="es-ES"/>
                              </w:rPr>
                            </w:pPr>
                          </w:p>
                          <w:p w:rsidR="00DF7DF8" w:rsidRPr="00167A34" w:rsidRDefault="00DF7DF8"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B0B44F"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rsidR="00DF7DF8" w:rsidRPr="00890650" w:rsidRDefault="00DF7DF8" w:rsidP="00DD3D86">
                      <w:pPr>
                        <w:tabs>
                          <w:tab w:val="center" w:pos="5400"/>
                        </w:tabs>
                        <w:suppressAutoHyphens/>
                        <w:spacing w:before="60"/>
                        <w:rPr>
                          <w:rFonts w:asciiTheme="majorHAnsi" w:hAnsiTheme="majorHAnsi"/>
                          <w:color w:val="0D0D0D" w:themeColor="text1" w:themeTint="F2"/>
                          <w:sz w:val="18"/>
                          <w:szCs w:val="22"/>
                          <w:lang w:val="es-ES"/>
                        </w:rPr>
                      </w:pPr>
                      <w:r w:rsidRPr="00890650">
                        <w:rPr>
                          <w:rFonts w:asciiTheme="majorHAnsi" w:hAnsiTheme="majorHAnsi"/>
                          <w:color w:val="0D0D0D" w:themeColor="text1" w:themeTint="F2"/>
                          <w:sz w:val="18"/>
                          <w:szCs w:val="22"/>
                          <w:lang w:val="es-ES"/>
                        </w:rPr>
                        <w:t xml:space="preserve">Aprobado </w:t>
                      </w:r>
                      <w:proofErr w:type="spellStart"/>
                      <w:r w:rsidRPr="00890650">
                        <w:rPr>
                          <w:rFonts w:asciiTheme="majorHAnsi" w:hAnsiTheme="majorHAnsi"/>
                          <w:color w:val="0D0D0D" w:themeColor="text1" w:themeTint="F2"/>
                          <w:sz w:val="18"/>
                          <w:szCs w:val="22"/>
                          <w:lang w:val="es-ES"/>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lang w:val="es-ES"/>
                        </w:rPr>
                        <w:t xml:space="preserve"> por la Comisión el</w:t>
                      </w:r>
                      <w:r w:rsidR="00AE207F">
                        <w:rPr>
                          <w:rFonts w:asciiTheme="majorHAnsi" w:hAnsiTheme="majorHAnsi"/>
                          <w:color w:val="0D0D0D" w:themeColor="text1" w:themeTint="F2"/>
                          <w:sz w:val="18"/>
                          <w:szCs w:val="22"/>
                          <w:lang w:val="es-ES"/>
                        </w:rPr>
                        <w:t xml:space="preserve"> 21 de septiembre de 2020</w:t>
                      </w:r>
                      <w:r w:rsidR="00657645">
                        <w:rPr>
                          <w:rFonts w:asciiTheme="majorHAnsi" w:hAnsiTheme="majorHAnsi"/>
                          <w:color w:val="0D0D0D" w:themeColor="text1" w:themeTint="F2"/>
                          <w:sz w:val="18"/>
                          <w:szCs w:val="22"/>
                          <w:lang w:val="es-ES"/>
                        </w:rPr>
                        <w:t>.</w:t>
                      </w:r>
                    </w:p>
                    <w:p w:rsidR="00DF7DF8" w:rsidRPr="007A5817" w:rsidRDefault="00DF7DF8" w:rsidP="00247403">
                      <w:pPr>
                        <w:tabs>
                          <w:tab w:val="center" w:pos="5400"/>
                        </w:tabs>
                        <w:suppressAutoHyphens/>
                        <w:spacing w:before="60"/>
                        <w:rPr>
                          <w:rFonts w:asciiTheme="minorHAnsi" w:hAnsiTheme="minorHAnsi" w:cs="Univers"/>
                          <w:color w:val="0D0D0D" w:themeColor="text1" w:themeTint="F2"/>
                          <w:sz w:val="20"/>
                          <w:szCs w:val="20"/>
                          <w:lang w:val="es-ES"/>
                        </w:rPr>
                      </w:pPr>
                    </w:p>
                    <w:p w:rsidR="00DF7DF8" w:rsidRPr="00167A34" w:rsidRDefault="00DF7DF8"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rsidR="00A50FCF" w:rsidRPr="00E56234" w:rsidRDefault="00A50FCF" w:rsidP="00040C3A">
      <w:pPr>
        <w:tabs>
          <w:tab w:val="center" w:pos="5400"/>
        </w:tabs>
        <w:suppressAutoHyphens/>
        <w:jc w:val="center"/>
        <w:rPr>
          <w:rFonts w:asciiTheme="majorHAnsi" w:hAnsiTheme="majorHAnsi"/>
          <w:sz w:val="20"/>
          <w:szCs w:val="20"/>
          <w:lang w:val="es-ES_tradnl"/>
        </w:rPr>
      </w:pPr>
    </w:p>
    <w:p w:rsidR="00A50FCF" w:rsidRPr="00E56234" w:rsidRDefault="00A50FCF" w:rsidP="00040C3A">
      <w:pPr>
        <w:tabs>
          <w:tab w:val="center" w:pos="5400"/>
        </w:tabs>
        <w:suppressAutoHyphens/>
        <w:jc w:val="center"/>
        <w:rPr>
          <w:rFonts w:asciiTheme="majorHAnsi" w:hAnsiTheme="majorHAnsi"/>
          <w:sz w:val="20"/>
          <w:szCs w:val="20"/>
          <w:lang w:val="es-ES_tradnl"/>
        </w:rPr>
      </w:pPr>
    </w:p>
    <w:p w:rsidR="00A50FCF" w:rsidRPr="00E56234" w:rsidRDefault="00A50FCF" w:rsidP="00040C3A">
      <w:pPr>
        <w:tabs>
          <w:tab w:val="center" w:pos="5400"/>
        </w:tabs>
        <w:suppressAutoHyphens/>
        <w:jc w:val="center"/>
        <w:rPr>
          <w:rFonts w:asciiTheme="majorHAnsi" w:hAnsiTheme="majorHAnsi"/>
          <w:sz w:val="20"/>
          <w:szCs w:val="20"/>
          <w:lang w:val="es-ES_tradnl"/>
        </w:rPr>
      </w:pPr>
    </w:p>
    <w:p w:rsidR="00A50FCF" w:rsidRPr="00E56234" w:rsidRDefault="00A50FCF" w:rsidP="00040C3A">
      <w:pPr>
        <w:tabs>
          <w:tab w:val="center" w:pos="5400"/>
        </w:tabs>
        <w:suppressAutoHyphens/>
        <w:jc w:val="center"/>
        <w:rPr>
          <w:rFonts w:asciiTheme="majorHAnsi" w:hAnsiTheme="majorHAnsi"/>
          <w:sz w:val="20"/>
          <w:szCs w:val="20"/>
          <w:lang w:val="es-ES_tradnl"/>
        </w:rPr>
      </w:pPr>
    </w:p>
    <w:p w:rsidR="00A50FCF" w:rsidRPr="00E56234" w:rsidRDefault="0090270B" w:rsidP="00040C3A">
      <w:pPr>
        <w:tabs>
          <w:tab w:val="center" w:pos="5400"/>
        </w:tabs>
        <w:suppressAutoHyphens/>
        <w:jc w:val="center"/>
        <w:rPr>
          <w:rFonts w:asciiTheme="majorHAnsi" w:hAnsiTheme="majorHAnsi"/>
          <w:sz w:val="20"/>
          <w:szCs w:val="20"/>
          <w:lang w:val="es-ES_tradnl"/>
        </w:rPr>
      </w:pPr>
      <w:r w:rsidRPr="00E56234">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14798ABC" wp14:editId="15CC0E24">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7DF8" w:rsidRPr="007B05C4" w:rsidRDefault="00DF7DF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AE207F">
                              <w:rPr>
                                <w:rFonts w:asciiTheme="majorHAnsi" w:hAnsiTheme="majorHAnsi"/>
                                <w:color w:val="595959" w:themeColor="text1" w:themeTint="A6"/>
                                <w:sz w:val="18"/>
                                <w:szCs w:val="18"/>
                                <w:lang w:val="pt-BR"/>
                              </w:rPr>
                              <w:t xml:space="preserve">. </w:t>
                            </w:r>
                            <w:r w:rsidR="00AE207F" w:rsidRPr="00AE207F">
                              <w:rPr>
                                <w:rFonts w:asciiTheme="majorHAnsi" w:hAnsiTheme="majorHAnsi"/>
                                <w:color w:val="595959" w:themeColor="text1" w:themeTint="A6"/>
                                <w:sz w:val="18"/>
                                <w:szCs w:val="18"/>
                                <w:lang w:val="pt-BR"/>
                              </w:rPr>
                              <w:t>253</w:t>
                            </w:r>
                            <w:r w:rsidRPr="00AE207F">
                              <w:rPr>
                                <w:rFonts w:asciiTheme="majorHAnsi" w:hAnsiTheme="majorHAnsi"/>
                                <w:color w:val="595959" w:themeColor="text1" w:themeTint="A6"/>
                                <w:sz w:val="18"/>
                                <w:szCs w:val="18"/>
                                <w:lang w:val="pt-BR"/>
                              </w:rPr>
                              <w:t>/</w:t>
                            </w:r>
                            <w:r w:rsidR="00AE207F" w:rsidRPr="00AE207F">
                              <w:rPr>
                                <w:rFonts w:asciiTheme="majorHAnsi" w:hAnsiTheme="majorHAnsi"/>
                                <w:color w:val="595959" w:themeColor="text1" w:themeTint="A6"/>
                                <w:sz w:val="18"/>
                                <w:szCs w:val="18"/>
                                <w:lang w:val="pt-BR"/>
                              </w:rPr>
                              <w:t>20</w:t>
                            </w:r>
                            <w:r w:rsidRPr="00AE207F">
                              <w:rPr>
                                <w:rFonts w:asciiTheme="majorHAnsi" w:hAnsiTheme="majorHAnsi"/>
                                <w:color w:val="595959" w:themeColor="text1" w:themeTint="A6"/>
                                <w:sz w:val="18"/>
                                <w:szCs w:val="18"/>
                                <w:lang w:val="pt-BR"/>
                              </w:rPr>
                              <w:t xml:space="preserve">. </w:t>
                            </w:r>
                            <w:proofErr w:type="spellStart"/>
                            <w:r w:rsidRPr="00AE207F">
                              <w:rPr>
                                <w:rFonts w:asciiTheme="majorHAnsi" w:hAnsiTheme="majorHAnsi"/>
                                <w:color w:val="595959" w:themeColor="text1" w:themeTint="A6"/>
                                <w:sz w:val="18"/>
                                <w:szCs w:val="18"/>
                                <w:lang w:val="es-ES_tradnl"/>
                              </w:rPr>
                              <w:t>Petici</w:t>
                            </w:r>
                            <w:r w:rsidRPr="00AE207F">
                              <w:rPr>
                                <w:rFonts w:asciiTheme="majorHAnsi" w:hAnsiTheme="majorHAnsi"/>
                                <w:color w:val="595959" w:themeColor="text1" w:themeTint="A6"/>
                                <w:sz w:val="18"/>
                                <w:szCs w:val="18"/>
                                <w:lang w:val="es-ES"/>
                              </w:rPr>
                              <w:t>ón</w:t>
                            </w:r>
                            <w:proofErr w:type="spellEnd"/>
                            <w:r w:rsidRPr="00AE207F">
                              <w:rPr>
                                <w:rFonts w:asciiTheme="majorHAnsi" w:hAnsiTheme="majorHAnsi"/>
                                <w:color w:val="595959" w:themeColor="text1" w:themeTint="A6"/>
                                <w:sz w:val="18"/>
                                <w:szCs w:val="18"/>
                                <w:lang w:val="es-ES"/>
                              </w:rPr>
                              <w:t xml:space="preserve"> 965-09. </w:t>
                            </w:r>
                            <w:r w:rsidR="005C1DE4" w:rsidRPr="00AE207F">
                              <w:rPr>
                                <w:rFonts w:asciiTheme="majorHAnsi" w:hAnsiTheme="majorHAnsi"/>
                                <w:color w:val="595959" w:themeColor="text1" w:themeTint="A6"/>
                                <w:sz w:val="18"/>
                                <w:szCs w:val="18"/>
                                <w:lang w:val="es-ES"/>
                              </w:rPr>
                              <w:t>A</w:t>
                            </w:r>
                            <w:proofErr w:type="spellStart"/>
                            <w:r w:rsidRPr="00AE207F">
                              <w:rPr>
                                <w:rFonts w:asciiTheme="majorHAnsi" w:hAnsiTheme="majorHAnsi"/>
                                <w:color w:val="595959" w:themeColor="text1" w:themeTint="A6"/>
                                <w:sz w:val="18"/>
                                <w:szCs w:val="18"/>
                                <w:lang w:val="es-ES_tradnl"/>
                              </w:rPr>
                              <w:t>dmisibilidad</w:t>
                            </w:r>
                            <w:proofErr w:type="spellEnd"/>
                            <w:r w:rsidRPr="00AE207F">
                              <w:rPr>
                                <w:rFonts w:asciiTheme="majorHAnsi" w:hAnsiTheme="majorHAnsi"/>
                                <w:color w:val="595959" w:themeColor="text1" w:themeTint="A6"/>
                                <w:sz w:val="18"/>
                                <w:szCs w:val="18"/>
                                <w:lang w:val="es-ES_tradnl"/>
                              </w:rPr>
                              <w:t xml:space="preserve">. José Palomino Castrejón. México. </w:t>
                            </w:r>
                            <w:r w:rsidR="00AE207F">
                              <w:rPr>
                                <w:rFonts w:asciiTheme="majorHAnsi" w:hAnsiTheme="majorHAnsi"/>
                                <w:color w:val="595959" w:themeColor="text1" w:themeTint="A6"/>
                                <w:sz w:val="18"/>
                                <w:szCs w:val="18"/>
                                <w:lang w:val="es-ES"/>
                              </w:rPr>
                              <w:t>21 de septiembre de 2020</w:t>
                            </w:r>
                            <w:r w:rsidRPr="00AE207F">
                              <w:rPr>
                                <w:rFonts w:asciiTheme="majorHAnsi" w:hAnsiTheme="majorHAnsi"/>
                                <w:color w:val="595959" w:themeColor="text1" w:themeTint="A6"/>
                                <w:sz w:val="18"/>
                                <w:szCs w:val="18"/>
                                <w:lang w:val="es-E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4798ABC"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rsidR="00DF7DF8" w:rsidRPr="007B05C4" w:rsidRDefault="00DF7DF8" w:rsidP="00113F73">
                      <w:pPr>
                        <w:spacing w:line="276" w:lineRule="auto"/>
                        <w:rPr>
                          <w:rFonts w:asciiTheme="majorHAnsi" w:hAnsiTheme="majorHAnsi"/>
                          <w:color w:val="595959" w:themeColor="text1" w:themeTint="A6"/>
                          <w:sz w:val="18"/>
                          <w:szCs w:val="18"/>
                          <w:lang w:val="es-ES"/>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w:t>
                      </w:r>
                      <w:r w:rsidRPr="00AE207F">
                        <w:rPr>
                          <w:rFonts w:asciiTheme="majorHAnsi" w:hAnsiTheme="majorHAnsi"/>
                          <w:color w:val="595959" w:themeColor="text1" w:themeTint="A6"/>
                          <w:sz w:val="18"/>
                          <w:szCs w:val="18"/>
                          <w:lang w:val="pt-BR"/>
                        </w:rPr>
                        <w:t xml:space="preserve">. </w:t>
                      </w:r>
                      <w:r w:rsidR="00AE207F" w:rsidRPr="00AE207F">
                        <w:rPr>
                          <w:rFonts w:asciiTheme="majorHAnsi" w:hAnsiTheme="majorHAnsi"/>
                          <w:color w:val="595959" w:themeColor="text1" w:themeTint="A6"/>
                          <w:sz w:val="18"/>
                          <w:szCs w:val="18"/>
                          <w:lang w:val="pt-BR"/>
                        </w:rPr>
                        <w:t>253</w:t>
                      </w:r>
                      <w:r w:rsidRPr="00AE207F">
                        <w:rPr>
                          <w:rFonts w:asciiTheme="majorHAnsi" w:hAnsiTheme="majorHAnsi"/>
                          <w:color w:val="595959" w:themeColor="text1" w:themeTint="A6"/>
                          <w:sz w:val="18"/>
                          <w:szCs w:val="18"/>
                          <w:lang w:val="pt-BR"/>
                        </w:rPr>
                        <w:t>/</w:t>
                      </w:r>
                      <w:r w:rsidR="00AE207F" w:rsidRPr="00AE207F">
                        <w:rPr>
                          <w:rFonts w:asciiTheme="majorHAnsi" w:hAnsiTheme="majorHAnsi"/>
                          <w:color w:val="595959" w:themeColor="text1" w:themeTint="A6"/>
                          <w:sz w:val="18"/>
                          <w:szCs w:val="18"/>
                          <w:lang w:val="pt-BR"/>
                        </w:rPr>
                        <w:t>20</w:t>
                      </w:r>
                      <w:r w:rsidRPr="00AE207F">
                        <w:rPr>
                          <w:rFonts w:asciiTheme="majorHAnsi" w:hAnsiTheme="majorHAnsi"/>
                          <w:color w:val="595959" w:themeColor="text1" w:themeTint="A6"/>
                          <w:sz w:val="18"/>
                          <w:szCs w:val="18"/>
                          <w:lang w:val="pt-BR"/>
                        </w:rPr>
                        <w:t xml:space="preserve">. </w:t>
                      </w:r>
                      <w:r w:rsidRPr="00AE207F">
                        <w:rPr>
                          <w:rFonts w:asciiTheme="majorHAnsi" w:hAnsiTheme="majorHAnsi"/>
                          <w:color w:val="595959" w:themeColor="text1" w:themeTint="A6"/>
                          <w:sz w:val="18"/>
                          <w:szCs w:val="18"/>
                          <w:lang w:val="es-ES_tradnl"/>
                        </w:rPr>
                        <w:t>Petici</w:t>
                      </w:r>
                      <w:r w:rsidRPr="00AE207F">
                        <w:rPr>
                          <w:rFonts w:asciiTheme="majorHAnsi" w:hAnsiTheme="majorHAnsi"/>
                          <w:color w:val="595959" w:themeColor="text1" w:themeTint="A6"/>
                          <w:sz w:val="18"/>
                          <w:szCs w:val="18"/>
                          <w:lang w:val="es-ES"/>
                        </w:rPr>
                        <w:t xml:space="preserve">ón 965-09. </w:t>
                      </w:r>
                      <w:r w:rsidR="005C1DE4" w:rsidRPr="00AE207F">
                        <w:rPr>
                          <w:rFonts w:asciiTheme="majorHAnsi" w:hAnsiTheme="majorHAnsi"/>
                          <w:color w:val="595959" w:themeColor="text1" w:themeTint="A6"/>
                          <w:sz w:val="18"/>
                          <w:szCs w:val="18"/>
                          <w:lang w:val="es-ES"/>
                        </w:rPr>
                        <w:t>A</w:t>
                      </w:r>
                      <w:r w:rsidRPr="00AE207F">
                        <w:rPr>
                          <w:rFonts w:asciiTheme="majorHAnsi" w:hAnsiTheme="majorHAnsi"/>
                          <w:color w:val="595959" w:themeColor="text1" w:themeTint="A6"/>
                          <w:sz w:val="18"/>
                          <w:szCs w:val="18"/>
                          <w:lang w:val="es-ES_tradnl"/>
                        </w:rPr>
                        <w:t xml:space="preserve">dmisibilidad. José Palomino Castrejón. México. </w:t>
                      </w:r>
                      <w:r w:rsidR="00AE207F">
                        <w:rPr>
                          <w:rFonts w:asciiTheme="majorHAnsi" w:hAnsiTheme="majorHAnsi"/>
                          <w:color w:val="595959" w:themeColor="text1" w:themeTint="A6"/>
                          <w:sz w:val="18"/>
                          <w:szCs w:val="18"/>
                          <w:lang w:val="es-ES"/>
                        </w:rPr>
                        <w:t>21 de septiembre de 2020</w:t>
                      </w:r>
                      <w:r w:rsidRPr="00AE207F">
                        <w:rPr>
                          <w:rFonts w:asciiTheme="majorHAnsi" w:hAnsiTheme="majorHAnsi"/>
                          <w:color w:val="595959" w:themeColor="text1" w:themeTint="A6"/>
                          <w:sz w:val="18"/>
                          <w:szCs w:val="18"/>
                          <w:lang w:val="es-ES"/>
                        </w:rPr>
                        <w:t>.</w:t>
                      </w:r>
                    </w:p>
                  </w:txbxContent>
                </v:textbox>
              </v:shape>
            </w:pict>
          </mc:Fallback>
        </mc:AlternateContent>
      </w:r>
    </w:p>
    <w:p w:rsidR="00A50FCF" w:rsidRPr="00E56234" w:rsidRDefault="00A50FCF" w:rsidP="00040C3A">
      <w:pPr>
        <w:tabs>
          <w:tab w:val="center" w:pos="5400"/>
        </w:tabs>
        <w:suppressAutoHyphens/>
        <w:jc w:val="center"/>
        <w:rPr>
          <w:rFonts w:asciiTheme="majorHAnsi" w:hAnsiTheme="majorHAnsi"/>
          <w:sz w:val="20"/>
          <w:szCs w:val="20"/>
          <w:lang w:val="es-ES_tradnl"/>
        </w:rPr>
      </w:pPr>
    </w:p>
    <w:p w:rsidR="0090270B" w:rsidRPr="00E56234" w:rsidRDefault="00D306D1" w:rsidP="005516A1">
      <w:pPr>
        <w:tabs>
          <w:tab w:val="center" w:pos="5400"/>
        </w:tabs>
        <w:suppressAutoHyphens/>
        <w:jc w:val="center"/>
        <w:rPr>
          <w:rFonts w:asciiTheme="majorHAnsi" w:hAnsiTheme="majorHAnsi"/>
          <w:b/>
          <w:sz w:val="20"/>
          <w:szCs w:val="20"/>
          <w:lang w:val="es-ES_tradnl"/>
        </w:rPr>
      </w:pPr>
      <w:r w:rsidRPr="00E56234">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50472543" wp14:editId="546D5F4B">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F7DF8" w:rsidRPr="00D72DC6" w:rsidRDefault="00657645" w:rsidP="00F02AD1">
                            <w:pPr>
                              <w:rPr>
                                <w:color w:val="FFFFFF" w:themeColor="background1"/>
                                <w14:textFill>
                                  <w14:noFill/>
                                </w14:textFill>
                              </w:rPr>
                            </w:pPr>
                            <w:r>
                              <w:rPr>
                                <w:noProof/>
                                <w:color w:val="FFFFFF" w:themeColor="background1"/>
                              </w:rPr>
                              <w:drawing>
                                <wp:inline distT="0" distB="0" distL="0" distR="0" wp14:anchorId="43624622" wp14:editId="2C294DE9">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472543"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" fillcolor="white [3201]" stroked="f" strokeweight=".5pt">
                <v:textbox>
                  <w:txbxContent>
                    <w:p w:rsidR="00DF7DF8" w:rsidRPr="00D72DC6" w:rsidRDefault="00657645" w:rsidP="00F02AD1">
                      <w:pPr>
                        <w:rPr>
                          <w:color w:val="FFFFFF" w:themeColor="background1"/>
                          <w14:textFill>
                            <w14:noFill/>
                          </w14:textFill>
                        </w:rPr>
                      </w:pPr>
                      <w:r>
                        <w:rPr>
                          <w:noProof/>
                          <w:color w:val="FFFFFF" w:themeColor="background1"/>
                        </w:rPr>
                        <w:drawing>
                          <wp:inline distT="0" distB="0" distL="0" distR="0" wp14:anchorId="43624622" wp14:editId="2C294DE9">
                            <wp:extent cx="1824355" cy="469265"/>
                            <wp:effectExtent l="0" t="0" r="4445"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EA-ESP-Main-01.png"/>
                                    <pic:cNvPicPr/>
                                  </pic:nvPicPr>
                                  <pic:blipFill>
                                    <a:blip r:embed="rId10">
                                      <a:extLst>
                                        <a:ext uri="{28A0092B-C50C-407E-A947-70E740481C1C}">
                                          <a14:useLocalDpi xmlns:a14="http://schemas.microsoft.com/office/drawing/2010/main" val="0"/>
                                        </a:ext>
                                      </a:extLst>
                                    </a:blip>
                                    <a:stretch>
                                      <a:fillRect/>
                                    </a:stretch>
                                  </pic:blipFill>
                                  <pic:spPr>
                                    <a:xfrm>
                                      <a:off x="0" y="0"/>
                                      <a:ext cx="1824355" cy="469265"/>
                                    </a:xfrm>
                                    <a:prstGeom prst="rect">
                                      <a:avLst/>
                                    </a:prstGeom>
                                  </pic:spPr>
                                </pic:pic>
                              </a:graphicData>
                            </a:graphic>
                          </wp:inline>
                        </w:drawing>
                      </w:r>
                    </w:p>
                  </w:txbxContent>
                </v:textbox>
              </v:shape>
            </w:pict>
          </mc:Fallback>
        </mc:AlternateContent>
      </w:r>
      <w:r w:rsidRPr="00E56234">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02EDA5EE" wp14:editId="72033B3A">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7DF8" w:rsidRPr="004B7EB6" w:rsidRDefault="00DF7DF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2EDA5E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rsidR="00DF7DF8" w:rsidRPr="004B7EB6" w:rsidRDefault="00DF7DF8"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rsidR="0070697F" w:rsidRPr="00E56234" w:rsidRDefault="004A6A54" w:rsidP="005516A1">
      <w:pPr>
        <w:tabs>
          <w:tab w:val="center" w:pos="5400"/>
        </w:tabs>
        <w:suppressAutoHyphens/>
        <w:jc w:val="center"/>
        <w:rPr>
          <w:rFonts w:asciiTheme="majorHAnsi" w:hAnsiTheme="majorHAnsi"/>
          <w:b/>
          <w:sz w:val="20"/>
          <w:szCs w:val="20"/>
          <w:lang w:val="es-ES_tradnl"/>
        </w:rPr>
        <w:sectPr w:rsidR="0070697F" w:rsidRPr="00E56234" w:rsidSect="00C054DF">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docGrid w:linePitch="326"/>
        </w:sectPr>
      </w:pPr>
      <w:r w:rsidRPr="00E56234">
        <w:rPr>
          <w:rFonts w:asciiTheme="majorHAnsi" w:hAnsiTheme="majorHAnsi"/>
          <w:b/>
          <w:sz w:val="20"/>
          <w:szCs w:val="20"/>
          <w:lang w:val="es-ES_tradnl"/>
        </w:rPr>
        <w:tab/>
      </w:r>
    </w:p>
    <w:p w:rsidR="003239B8" w:rsidRPr="00E56234" w:rsidRDefault="003239B8" w:rsidP="004A6A54">
      <w:pPr>
        <w:spacing w:after="240"/>
        <w:ind w:firstLine="720"/>
        <w:jc w:val="both"/>
        <w:rPr>
          <w:rFonts w:asciiTheme="majorHAnsi" w:hAnsiTheme="majorHAnsi"/>
          <w:b/>
          <w:bCs/>
          <w:sz w:val="20"/>
          <w:szCs w:val="20"/>
          <w:lang w:val="es-ES"/>
        </w:rPr>
      </w:pPr>
      <w:r w:rsidRPr="00E56234">
        <w:rPr>
          <w:rFonts w:asciiTheme="majorHAnsi" w:hAnsiTheme="majorHAnsi"/>
          <w:b/>
          <w:bCs/>
          <w:sz w:val="20"/>
          <w:szCs w:val="20"/>
          <w:lang w:val="es-ES"/>
        </w:rPr>
        <w:lastRenderedPageBreak/>
        <w:t>I.</w:t>
      </w:r>
      <w:r w:rsidRPr="00E56234">
        <w:rPr>
          <w:rFonts w:asciiTheme="majorHAnsi" w:hAnsiTheme="majorHAnsi"/>
          <w:b/>
          <w:bCs/>
          <w:sz w:val="20"/>
          <w:szCs w:val="20"/>
          <w:lang w:val="es-ES"/>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E56234" w:rsidTr="004A6A54">
        <w:tc>
          <w:tcPr>
            <w:tcW w:w="3600" w:type="dxa"/>
            <w:tcBorders>
              <w:top w:val="single" w:sz="4" w:space="0" w:color="auto"/>
              <w:bottom w:val="single" w:sz="6" w:space="0" w:color="auto"/>
            </w:tcBorders>
            <w:shd w:val="clear" w:color="auto" w:fill="386294"/>
            <w:vAlign w:val="center"/>
          </w:tcPr>
          <w:p w:rsidR="003239B8" w:rsidRPr="00E56234" w:rsidRDefault="003239B8" w:rsidP="00DF7DF8">
            <w:pPr>
              <w:jc w:val="center"/>
              <w:rPr>
                <w:rFonts w:asciiTheme="majorHAnsi" w:hAnsiTheme="majorHAnsi"/>
                <w:b/>
                <w:bCs/>
                <w:color w:val="FFFFFF" w:themeColor="background1"/>
                <w:sz w:val="20"/>
                <w:szCs w:val="20"/>
              </w:rPr>
            </w:pPr>
            <w:r w:rsidRPr="00E56234">
              <w:rPr>
                <w:rFonts w:asciiTheme="majorHAnsi" w:hAnsiTheme="majorHAnsi"/>
                <w:b/>
                <w:bCs/>
                <w:color w:val="FFFFFF" w:themeColor="background1"/>
                <w:sz w:val="20"/>
                <w:szCs w:val="20"/>
              </w:rPr>
              <w:t>Parte peticionaria:</w:t>
            </w:r>
          </w:p>
        </w:tc>
        <w:tc>
          <w:tcPr>
            <w:tcW w:w="5760" w:type="dxa"/>
            <w:vAlign w:val="center"/>
          </w:tcPr>
          <w:p w:rsidR="003239B8" w:rsidRPr="00E56234" w:rsidRDefault="00091FBB" w:rsidP="00DF7DF8">
            <w:pPr>
              <w:jc w:val="both"/>
              <w:rPr>
                <w:rFonts w:asciiTheme="majorHAnsi" w:hAnsiTheme="majorHAnsi"/>
                <w:bCs/>
                <w:sz w:val="20"/>
                <w:szCs w:val="20"/>
              </w:rPr>
            </w:pPr>
            <w:r w:rsidRPr="00E56234">
              <w:rPr>
                <w:rFonts w:asciiTheme="majorHAnsi" w:hAnsiTheme="majorHAnsi"/>
                <w:bCs/>
                <w:sz w:val="20"/>
                <w:szCs w:val="20"/>
              </w:rPr>
              <w:t>José Palomino Castrejón</w:t>
            </w:r>
          </w:p>
        </w:tc>
      </w:tr>
      <w:tr w:rsidR="003239B8" w:rsidRPr="00E56234" w:rsidTr="004A6A54">
        <w:tc>
          <w:tcPr>
            <w:tcW w:w="3600" w:type="dxa"/>
            <w:tcBorders>
              <w:top w:val="single" w:sz="6" w:space="0" w:color="auto"/>
              <w:bottom w:val="single" w:sz="6" w:space="0" w:color="auto"/>
            </w:tcBorders>
            <w:shd w:val="clear" w:color="auto" w:fill="386294"/>
            <w:vAlign w:val="center"/>
          </w:tcPr>
          <w:p w:rsidR="003239B8" w:rsidRPr="00E56234" w:rsidRDefault="00BD4862" w:rsidP="00DF7DF8">
            <w:pPr>
              <w:jc w:val="center"/>
              <w:rPr>
                <w:rFonts w:asciiTheme="majorHAnsi" w:hAnsiTheme="majorHAnsi"/>
                <w:b/>
                <w:bCs/>
                <w:color w:val="FFFFFF" w:themeColor="background1"/>
                <w:sz w:val="20"/>
                <w:szCs w:val="20"/>
              </w:rPr>
            </w:pPr>
            <w:sdt>
              <w:sdtPr>
                <w:rPr>
                  <w:rFonts w:asciiTheme="majorHAnsi" w:hAnsiTheme="majorHAnsi"/>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E56234">
                  <w:rPr>
                    <w:rFonts w:asciiTheme="majorHAnsi" w:hAnsiTheme="majorHAnsi"/>
                    <w:b/>
                    <w:bCs/>
                    <w:color w:val="FFFFFF" w:themeColor="background1"/>
                    <w:sz w:val="20"/>
                    <w:szCs w:val="20"/>
                  </w:rPr>
                  <w:t>Presunta víctima</w:t>
                </w:r>
              </w:sdtContent>
            </w:sdt>
            <w:r w:rsidR="003239B8" w:rsidRPr="00E56234">
              <w:rPr>
                <w:rFonts w:asciiTheme="majorHAnsi" w:hAnsiTheme="majorHAnsi"/>
                <w:b/>
                <w:bCs/>
                <w:color w:val="FFFFFF" w:themeColor="background1"/>
                <w:sz w:val="20"/>
                <w:szCs w:val="20"/>
              </w:rPr>
              <w:t>:</w:t>
            </w:r>
          </w:p>
        </w:tc>
        <w:tc>
          <w:tcPr>
            <w:tcW w:w="5760" w:type="dxa"/>
            <w:vAlign w:val="center"/>
          </w:tcPr>
          <w:p w:rsidR="003239B8" w:rsidRPr="00E56234" w:rsidRDefault="0095086B" w:rsidP="00DF7DF8">
            <w:pPr>
              <w:jc w:val="both"/>
              <w:rPr>
                <w:rFonts w:asciiTheme="majorHAnsi" w:hAnsiTheme="majorHAnsi"/>
                <w:bCs/>
                <w:sz w:val="20"/>
                <w:szCs w:val="20"/>
                <w:lang w:val="es-ES"/>
              </w:rPr>
            </w:pPr>
            <w:r w:rsidRPr="00E56234">
              <w:rPr>
                <w:rFonts w:asciiTheme="majorHAnsi" w:hAnsiTheme="majorHAnsi"/>
                <w:bCs/>
                <w:sz w:val="20"/>
                <w:szCs w:val="20"/>
                <w:lang w:val="es-ES"/>
              </w:rPr>
              <w:t>José Palomino Castrejón</w:t>
            </w:r>
          </w:p>
        </w:tc>
      </w:tr>
      <w:tr w:rsidR="003239B8" w:rsidRPr="00E56234" w:rsidTr="004A6A54">
        <w:tc>
          <w:tcPr>
            <w:tcW w:w="3600" w:type="dxa"/>
            <w:tcBorders>
              <w:top w:val="single" w:sz="6" w:space="0" w:color="auto"/>
              <w:bottom w:val="single" w:sz="6" w:space="0" w:color="auto"/>
            </w:tcBorders>
            <w:shd w:val="clear" w:color="auto" w:fill="386294"/>
            <w:vAlign w:val="center"/>
          </w:tcPr>
          <w:p w:rsidR="003239B8" w:rsidRPr="00E56234" w:rsidRDefault="003239B8" w:rsidP="00DF7DF8">
            <w:pPr>
              <w:jc w:val="center"/>
              <w:rPr>
                <w:rFonts w:asciiTheme="majorHAnsi" w:hAnsiTheme="majorHAnsi"/>
                <w:b/>
                <w:bCs/>
                <w:color w:val="FFFFFF" w:themeColor="background1"/>
                <w:sz w:val="20"/>
                <w:szCs w:val="20"/>
              </w:rPr>
            </w:pPr>
            <w:r w:rsidRPr="00E56234">
              <w:rPr>
                <w:rFonts w:asciiTheme="majorHAnsi" w:hAnsiTheme="majorHAnsi"/>
                <w:b/>
                <w:bCs/>
                <w:color w:val="FFFFFF" w:themeColor="background1"/>
                <w:sz w:val="20"/>
                <w:szCs w:val="20"/>
              </w:rPr>
              <w:t>Estado denunciado:</w:t>
            </w:r>
          </w:p>
        </w:tc>
        <w:tc>
          <w:tcPr>
            <w:tcW w:w="5760" w:type="dxa"/>
            <w:vAlign w:val="center"/>
          </w:tcPr>
          <w:p w:rsidR="003239B8" w:rsidRPr="00E56234" w:rsidRDefault="0095086B" w:rsidP="00DF7DF8">
            <w:pPr>
              <w:jc w:val="both"/>
              <w:rPr>
                <w:rFonts w:asciiTheme="majorHAnsi" w:hAnsiTheme="majorHAnsi"/>
                <w:bCs/>
                <w:sz w:val="20"/>
                <w:szCs w:val="20"/>
              </w:rPr>
            </w:pPr>
            <w:r w:rsidRPr="00E56234">
              <w:rPr>
                <w:rFonts w:asciiTheme="majorHAnsi" w:hAnsiTheme="majorHAnsi"/>
                <w:bCs/>
                <w:sz w:val="20"/>
                <w:szCs w:val="20"/>
              </w:rPr>
              <w:t>México</w:t>
            </w:r>
            <w:r w:rsidR="004A6A54" w:rsidRPr="00E56234">
              <w:rPr>
                <w:rStyle w:val="FootnoteReference"/>
                <w:rFonts w:asciiTheme="majorHAnsi" w:hAnsiTheme="majorHAnsi"/>
                <w:bCs/>
                <w:sz w:val="20"/>
                <w:szCs w:val="20"/>
              </w:rPr>
              <w:footnoteReference w:id="2"/>
            </w:r>
          </w:p>
        </w:tc>
      </w:tr>
      <w:tr w:rsidR="00223A29" w:rsidRPr="00657645" w:rsidTr="004A6A54">
        <w:tc>
          <w:tcPr>
            <w:tcW w:w="3600" w:type="dxa"/>
            <w:tcBorders>
              <w:top w:val="single" w:sz="6" w:space="0" w:color="auto"/>
              <w:bottom w:val="single" w:sz="6" w:space="0" w:color="auto"/>
            </w:tcBorders>
            <w:shd w:val="clear" w:color="auto" w:fill="386294"/>
            <w:vAlign w:val="center"/>
          </w:tcPr>
          <w:p w:rsidR="00223A29" w:rsidRPr="00E56234" w:rsidRDefault="001B3A00" w:rsidP="00E4118C">
            <w:pPr>
              <w:jc w:val="center"/>
              <w:rPr>
                <w:rFonts w:asciiTheme="majorHAnsi" w:hAnsiTheme="majorHAnsi"/>
                <w:b/>
                <w:bCs/>
                <w:color w:val="FFFFFF" w:themeColor="background1"/>
                <w:sz w:val="20"/>
                <w:szCs w:val="20"/>
              </w:rPr>
            </w:pPr>
            <w:r w:rsidRPr="00E56234">
              <w:rPr>
                <w:rFonts w:asciiTheme="majorHAnsi" w:hAnsiTheme="majorHAnsi"/>
                <w:b/>
                <w:bCs/>
                <w:color w:val="FFFFFF" w:themeColor="background1"/>
                <w:sz w:val="20"/>
                <w:szCs w:val="20"/>
              </w:rPr>
              <w:t xml:space="preserve">Derechos </w:t>
            </w:r>
            <w:r w:rsidR="00E4118C" w:rsidRPr="00E56234">
              <w:rPr>
                <w:rFonts w:asciiTheme="majorHAnsi" w:hAnsiTheme="majorHAnsi"/>
                <w:b/>
                <w:bCs/>
                <w:color w:val="FFFFFF" w:themeColor="background1"/>
                <w:sz w:val="20"/>
                <w:szCs w:val="20"/>
              </w:rPr>
              <w:t>invocados</w:t>
            </w:r>
            <w:r w:rsidRPr="00E56234">
              <w:rPr>
                <w:rFonts w:asciiTheme="majorHAnsi" w:hAnsiTheme="majorHAnsi"/>
                <w:b/>
                <w:bCs/>
                <w:color w:val="FFFFFF" w:themeColor="background1"/>
                <w:sz w:val="20"/>
                <w:szCs w:val="20"/>
              </w:rPr>
              <w:t>:</w:t>
            </w:r>
          </w:p>
        </w:tc>
        <w:tc>
          <w:tcPr>
            <w:tcW w:w="5760" w:type="dxa"/>
            <w:vAlign w:val="center"/>
          </w:tcPr>
          <w:p w:rsidR="00223A29" w:rsidRPr="00E56234" w:rsidRDefault="0095086B" w:rsidP="005C1DE4">
            <w:pPr>
              <w:jc w:val="both"/>
              <w:rPr>
                <w:rFonts w:asciiTheme="majorHAnsi" w:hAnsiTheme="majorHAnsi"/>
                <w:bCs/>
                <w:sz w:val="20"/>
                <w:szCs w:val="20"/>
                <w:lang w:val="es-US"/>
              </w:rPr>
            </w:pPr>
            <w:r w:rsidRPr="00E56234">
              <w:rPr>
                <w:rFonts w:asciiTheme="majorHAnsi" w:hAnsiTheme="majorHAnsi"/>
                <w:bCs/>
                <w:sz w:val="20"/>
                <w:szCs w:val="20"/>
                <w:lang w:val="es-US"/>
              </w:rPr>
              <w:t>Artículos 8 (garantías judiciales), 9 (</w:t>
            </w:r>
            <w:r w:rsidR="00BE5408" w:rsidRPr="00E56234">
              <w:rPr>
                <w:rFonts w:asciiTheme="majorHAnsi" w:hAnsiTheme="majorHAnsi"/>
                <w:bCs/>
                <w:sz w:val="20"/>
                <w:szCs w:val="20"/>
                <w:lang w:val="es-US"/>
              </w:rPr>
              <w:t>principio de legalidad y de retroactividad)</w:t>
            </w:r>
            <w:r w:rsidRPr="00E56234">
              <w:rPr>
                <w:rFonts w:asciiTheme="majorHAnsi" w:hAnsiTheme="majorHAnsi"/>
                <w:bCs/>
                <w:sz w:val="20"/>
                <w:szCs w:val="20"/>
                <w:lang w:val="es-US"/>
              </w:rPr>
              <w:t>, 10</w:t>
            </w:r>
            <w:r w:rsidR="00BE5408" w:rsidRPr="00E56234">
              <w:rPr>
                <w:rFonts w:asciiTheme="majorHAnsi" w:hAnsiTheme="majorHAnsi"/>
                <w:bCs/>
                <w:sz w:val="20"/>
                <w:szCs w:val="20"/>
                <w:lang w:val="es-US"/>
              </w:rPr>
              <w:t xml:space="preserve"> (derecho a la indemnización)</w:t>
            </w:r>
            <w:r w:rsidRPr="00E56234">
              <w:rPr>
                <w:rFonts w:asciiTheme="majorHAnsi" w:hAnsiTheme="majorHAnsi"/>
                <w:bCs/>
                <w:sz w:val="20"/>
                <w:szCs w:val="20"/>
                <w:lang w:val="es-US"/>
              </w:rPr>
              <w:t xml:space="preserve"> y 25 </w:t>
            </w:r>
            <w:r w:rsidR="00BE5408" w:rsidRPr="00E56234">
              <w:rPr>
                <w:rFonts w:asciiTheme="majorHAnsi" w:hAnsiTheme="majorHAnsi"/>
                <w:bCs/>
                <w:sz w:val="20"/>
                <w:szCs w:val="20"/>
                <w:lang w:val="es-US"/>
              </w:rPr>
              <w:t>(protección judicial) de la Convención Americana sobre Derechos Humanos</w:t>
            </w:r>
            <w:r w:rsidR="00BE5408" w:rsidRPr="00E56234">
              <w:rPr>
                <w:rStyle w:val="FootnoteReference"/>
                <w:rFonts w:asciiTheme="majorHAnsi" w:hAnsiTheme="majorHAnsi"/>
                <w:bCs/>
                <w:sz w:val="20"/>
                <w:szCs w:val="20"/>
                <w:lang w:val="es-US"/>
              </w:rPr>
              <w:footnoteReference w:id="3"/>
            </w:r>
            <w:r w:rsidR="00BE5408" w:rsidRPr="00E56234">
              <w:rPr>
                <w:rFonts w:asciiTheme="majorHAnsi" w:hAnsiTheme="majorHAnsi"/>
                <w:bCs/>
                <w:sz w:val="20"/>
                <w:szCs w:val="20"/>
                <w:lang w:val="es-US"/>
              </w:rPr>
              <w:t xml:space="preserve">,  </w:t>
            </w:r>
            <w:r w:rsidRPr="00E56234">
              <w:rPr>
                <w:rFonts w:asciiTheme="majorHAnsi" w:hAnsiTheme="majorHAnsi"/>
                <w:bCs/>
                <w:sz w:val="20"/>
                <w:szCs w:val="20"/>
                <w:lang w:val="es-US"/>
              </w:rPr>
              <w:t xml:space="preserve">en relación con </w:t>
            </w:r>
            <w:r w:rsidR="00BE5408" w:rsidRPr="00E56234">
              <w:rPr>
                <w:rFonts w:asciiTheme="majorHAnsi" w:hAnsiTheme="majorHAnsi"/>
                <w:bCs/>
                <w:sz w:val="20"/>
                <w:szCs w:val="20"/>
                <w:lang w:val="es-US"/>
              </w:rPr>
              <w:t xml:space="preserve">su </w:t>
            </w:r>
            <w:r w:rsidRPr="00E56234">
              <w:rPr>
                <w:rFonts w:asciiTheme="majorHAnsi" w:hAnsiTheme="majorHAnsi"/>
                <w:bCs/>
                <w:sz w:val="20"/>
                <w:szCs w:val="20"/>
                <w:lang w:val="es-US"/>
              </w:rPr>
              <w:t>art</w:t>
            </w:r>
            <w:r w:rsidR="00BE5408" w:rsidRPr="00E56234">
              <w:rPr>
                <w:rFonts w:asciiTheme="majorHAnsi" w:hAnsiTheme="majorHAnsi"/>
                <w:bCs/>
                <w:sz w:val="20"/>
                <w:szCs w:val="20"/>
                <w:lang w:val="es-US"/>
              </w:rPr>
              <w:t>ículo 1</w:t>
            </w:r>
            <w:r w:rsidR="005133B5">
              <w:rPr>
                <w:rFonts w:asciiTheme="majorHAnsi" w:hAnsiTheme="majorHAnsi"/>
                <w:bCs/>
                <w:sz w:val="20"/>
                <w:szCs w:val="20"/>
                <w:lang w:val="es-US"/>
              </w:rPr>
              <w:t>.1</w:t>
            </w:r>
            <w:r w:rsidR="00BE5408" w:rsidRPr="00E56234">
              <w:rPr>
                <w:rFonts w:asciiTheme="majorHAnsi" w:hAnsiTheme="majorHAnsi"/>
                <w:bCs/>
                <w:sz w:val="20"/>
                <w:szCs w:val="20"/>
                <w:lang w:val="es-US"/>
              </w:rPr>
              <w:t xml:space="preserve"> (obligación de respetar los derechos)</w:t>
            </w:r>
            <w:r w:rsidR="005C1DE4">
              <w:rPr>
                <w:rFonts w:asciiTheme="majorHAnsi" w:hAnsiTheme="majorHAnsi"/>
                <w:bCs/>
                <w:sz w:val="20"/>
                <w:szCs w:val="20"/>
                <w:lang w:val="es-US"/>
              </w:rPr>
              <w:t xml:space="preserve">; </w:t>
            </w:r>
            <w:r w:rsidR="00D17D2D">
              <w:rPr>
                <w:rFonts w:asciiTheme="majorHAnsi" w:hAnsiTheme="majorHAnsi"/>
                <w:bCs/>
                <w:sz w:val="20"/>
                <w:szCs w:val="20"/>
                <w:lang w:val="es-US"/>
              </w:rPr>
              <w:t>y a</w:t>
            </w:r>
            <w:r w:rsidR="005C1DE4">
              <w:rPr>
                <w:rFonts w:asciiTheme="majorHAnsi" w:hAnsiTheme="majorHAnsi"/>
                <w:bCs/>
                <w:sz w:val="20"/>
                <w:szCs w:val="20"/>
                <w:lang w:val="es-US"/>
              </w:rPr>
              <w:t xml:space="preserve">rtículos 4 (no admisión de restricciones), 6 (derecho al trabajo) y 7 (condiciones justas, equitativas y satisfactorias de trabajo) del Protocolo Adicional a la Convención Americana sobre Derechos Humanos </w:t>
            </w:r>
            <w:r w:rsidR="00BE5408" w:rsidRPr="00E56234">
              <w:rPr>
                <w:rFonts w:asciiTheme="majorHAnsi" w:hAnsiTheme="majorHAnsi"/>
                <w:bCs/>
                <w:sz w:val="20"/>
                <w:szCs w:val="20"/>
                <w:lang w:val="es-US"/>
              </w:rPr>
              <w:t xml:space="preserve"> </w:t>
            </w:r>
            <w:r w:rsidR="005C1DE4">
              <w:rPr>
                <w:rFonts w:asciiTheme="majorHAnsi" w:hAnsiTheme="majorHAnsi"/>
                <w:bCs/>
                <w:sz w:val="20"/>
                <w:szCs w:val="20"/>
                <w:lang w:val="es-US"/>
              </w:rPr>
              <w:t xml:space="preserve">en Materia de Derechos Económicos, Sociales y Culturales </w:t>
            </w:r>
            <w:r w:rsidR="005133B5">
              <w:rPr>
                <w:rFonts w:asciiTheme="majorHAnsi" w:hAnsiTheme="majorHAnsi"/>
                <w:bCs/>
                <w:sz w:val="20"/>
                <w:szCs w:val="20"/>
                <w:lang w:val="es-US"/>
              </w:rPr>
              <w:t>(</w:t>
            </w:r>
            <w:r w:rsidR="005C1DE4">
              <w:rPr>
                <w:rFonts w:asciiTheme="majorHAnsi" w:hAnsiTheme="majorHAnsi"/>
                <w:bCs/>
                <w:sz w:val="20"/>
                <w:szCs w:val="20"/>
                <w:lang w:val="es-US"/>
              </w:rPr>
              <w:t>Protocolo de San Salvador</w:t>
            </w:r>
            <w:r w:rsidR="005133B5">
              <w:rPr>
                <w:rFonts w:asciiTheme="majorHAnsi" w:hAnsiTheme="majorHAnsi"/>
                <w:bCs/>
                <w:sz w:val="20"/>
                <w:szCs w:val="20"/>
                <w:lang w:val="es-US"/>
              </w:rPr>
              <w:t>)</w:t>
            </w:r>
            <w:r w:rsidR="005C1DE4">
              <w:rPr>
                <w:rStyle w:val="FootnoteReference"/>
                <w:rFonts w:asciiTheme="majorHAnsi" w:hAnsiTheme="majorHAnsi"/>
                <w:bCs/>
                <w:sz w:val="20"/>
                <w:szCs w:val="20"/>
                <w:lang w:val="es-US"/>
              </w:rPr>
              <w:footnoteReference w:id="4"/>
            </w:r>
          </w:p>
        </w:tc>
      </w:tr>
    </w:tbl>
    <w:p w:rsidR="003239B8" w:rsidRPr="00E56234" w:rsidRDefault="003239B8" w:rsidP="003239B8">
      <w:pPr>
        <w:spacing w:before="240" w:after="240"/>
        <w:ind w:firstLine="720"/>
        <w:jc w:val="both"/>
        <w:rPr>
          <w:rFonts w:asciiTheme="majorHAnsi" w:hAnsiTheme="majorHAnsi"/>
          <w:b/>
          <w:bCs/>
          <w:sz w:val="20"/>
          <w:szCs w:val="20"/>
          <w:lang w:val="es-ES"/>
        </w:rPr>
      </w:pPr>
      <w:r w:rsidRPr="00E56234">
        <w:rPr>
          <w:rFonts w:asciiTheme="majorHAnsi" w:hAnsiTheme="majorHAnsi"/>
          <w:b/>
          <w:bCs/>
          <w:sz w:val="20"/>
          <w:szCs w:val="20"/>
          <w:lang w:val="es-ES"/>
        </w:rPr>
        <w:t>II.</w:t>
      </w:r>
      <w:r w:rsidRPr="00E56234">
        <w:rPr>
          <w:rFonts w:asciiTheme="majorHAnsi" w:hAnsiTheme="majorHAnsi"/>
          <w:b/>
          <w:bCs/>
          <w:sz w:val="20"/>
          <w:szCs w:val="20"/>
          <w:lang w:val="es-ES"/>
        </w:rPr>
        <w:tab/>
        <w:t>TRÁMITE ANTE LA CIDH</w:t>
      </w:r>
      <w:r w:rsidR="008E3BFE" w:rsidRPr="00E56234">
        <w:rPr>
          <w:rStyle w:val="FootnoteReference"/>
          <w:rFonts w:asciiTheme="majorHAnsi" w:hAnsiTheme="majorHAnsi"/>
          <w:b/>
          <w:sz w:val="20"/>
          <w:szCs w:val="20"/>
        </w:rPr>
        <w:footnoteReference w:id="5"/>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E56234" w:rsidTr="004A6A54">
        <w:tc>
          <w:tcPr>
            <w:tcW w:w="3600" w:type="dxa"/>
            <w:tcBorders>
              <w:top w:val="single" w:sz="6" w:space="0" w:color="auto"/>
              <w:bottom w:val="single" w:sz="6" w:space="0" w:color="auto"/>
            </w:tcBorders>
            <w:shd w:val="clear" w:color="auto" w:fill="386294"/>
            <w:vAlign w:val="center"/>
          </w:tcPr>
          <w:p w:rsidR="004C2312" w:rsidRPr="00E56234" w:rsidRDefault="004A6A54" w:rsidP="004A6A54">
            <w:pPr>
              <w:jc w:val="center"/>
              <w:rPr>
                <w:rFonts w:asciiTheme="majorHAnsi" w:hAnsiTheme="majorHAnsi"/>
                <w:b/>
                <w:bCs/>
                <w:color w:val="FFFFFF" w:themeColor="background1"/>
                <w:sz w:val="20"/>
                <w:szCs w:val="20"/>
                <w:lang w:val="es-ES"/>
              </w:rPr>
            </w:pPr>
            <w:r w:rsidRPr="00E56234">
              <w:rPr>
                <w:rFonts w:asciiTheme="majorHAnsi" w:hAnsiTheme="majorHAnsi"/>
                <w:b/>
                <w:bCs/>
                <w:color w:val="FFFFFF" w:themeColor="background1"/>
                <w:sz w:val="20"/>
                <w:szCs w:val="20"/>
                <w:lang w:val="es-ES"/>
              </w:rPr>
              <w:t>P</w:t>
            </w:r>
            <w:r w:rsidR="004C2312" w:rsidRPr="00E56234">
              <w:rPr>
                <w:rFonts w:asciiTheme="majorHAnsi" w:hAnsiTheme="majorHAnsi"/>
                <w:b/>
                <w:bCs/>
                <w:color w:val="FFFFFF" w:themeColor="background1"/>
                <w:sz w:val="20"/>
                <w:szCs w:val="20"/>
                <w:lang w:val="es-ES"/>
              </w:rPr>
              <w:t>resentación de la petición:</w:t>
            </w:r>
          </w:p>
        </w:tc>
        <w:tc>
          <w:tcPr>
            <w:tcW w:w="5760" w:type="dxa"/>
            <w:vAlign w:val="center"/>
          </w:tcPr>
          <w:p w:rsidR="004C2312" w:rsidRPr="00E56234" w:rsidRDefault="00BE5408" w:rsidP="00DF7DF8">
            <w:pPr>
              <w:jc w:val="both"/>
              <w:rPr>
                <w:rFonts w:asciiTheme="majorHAnsi" w:hAnsiTheme="majorHAnsi"/>
                <w:bCs/>
                <w:sz w:val="20"/>
                <w:szCs w:val="20"/>
                <w:lang w:val="es-ES"/>
              </w:rPr>
            </w:pPr>
            <w:r w:rsidRPr="00E56234">
              <w:rPr>
                <w:rFonts w:asciiTheme="majorHAnsi" w:hAnsiTheme="majorHAnsi"/>
                <w:bCs/>
                <w:sz w:val="20"/>
                <w:szCs w:val="20"/>
                <w:lang w:val="es-ES"/>
              </w:rPr>
              <w:t>3 de agosto de 2009</w:t>
            </w:r>
          </w:p>
        </w:tc>
      </w:tr>
      <w:tr w:rsidR="004C2312" w:rsidRPr="00E56234" w:rsidTr="004A6A54">
        <w:tc>
          <w:tcPr>
            <w:tcW w:w="3600" w:type="dxa"/>
            <w:tcBorders>
              <w:top w:val="single" w:sz="6" w:space="0" w:color="auto"/>
              <w:bottom w:val="single" w:sz="6" w:space="0" w:color="auto"/>
            </w:tcBorders>
            <w:shd w:val="clear" w:color="auto" w:fill="386294"/>
            <w:vAlign w:val="center"/>
          </w:tcPr>
          <w:p w:rsidR="004C2312" w:rsidRPr="00E56234" w:rsidRDefault="004A6A54" w:rsidP="004A6A54">
            <w:pPr>
              <w:jc w:val="center"/>
              <w:rPr>
                <w:rFonts w:asciiTheme="majorHAnsi" w:hAnsiTheme="majorHAnsi"/>
                <w:b/>
                <w:bCs/>
                <w:color w:val="FFFFFF" w:themeColor="background1"/>
                <w:sz w:val="20"/>
                <w:szCs w:val="20"/>
                <w:lang w:val="es-ES"/>
              </w:rPr>
            </w:pPr>
            <w:r w:rsidRPr="00E56234">
              <w:rPr>
                <w:rFonts w:asciiTheme="majorHAnsi" w:hAnsiTheme="majorHAnsi"/>
                <w:b/>
                <w:color w:val="FFFFFF" w:themeColor="background1"/>
                <w:sz w:val="20"/>
                <w:szCs w:val="20"/>
                <w:lang w:val="es-ES"/>
              </w:rPr>
              <w:t>N</w:t>
            </w:r>
            <w:r w:rsidR="004C2312" w:rsidRPr="00E56234">
              <w:rPr>
                <w:rFonts w:asciiTheme="majorHAnsi" w:hAnsiTheme="majorHAnsi"/>
                <w:b/>
                <w:color w:val="FFFFFF" w:themeColor="background1"/>
                <w:sz w:val="20"/>
                <w:szCs w:val="20"/>
                <w:lang w:val="es-ES"/>
              </w:rPr>
              <w:t>otificación de la petición al Estado:</w:t>
            </w:r>
          </w:p>
        </w:tc>
        <w:tc>
          <w:tcPr>
            <w:tcW w:w="5760" w:type="dxa"/>
            <w:vAlign w:val="center"/>
          </w:tcPr>
          <w:p w:rsidR="004C2312" w:rsidRPr="00E56234" w:rsidRDefault="00BE5408" w:rsidP="00DF7DF8">
            <w:pPr>
              <w:jc w:val="both"/>
              <w:rPr>
                <w:rFonts w:asciiTheme="majorHAnsi" w:hAnsiTheme="majorHAnsi"/>
                <w:bCs/>
                <w:sz w:val="20"/>
                <w:szCs w:val="20"/>
                <w:lang w:val="es-ES"/>
              </w:rPr>
            </w:pPr>
            <w:r w:rsidRPr="00E56234">
              <w:rPr>
                <w:rFonts w:asciiTheme="majorHAnsi" w:hAnsiTheme="majorHAnsi"/>
                <w:bCs/>
                <w:sz w:val="20"/>
                <w:szCs w:val="20"/>
                <w:lang w:val="es-ES"/>
              </w:rPr>
              <w:t>30 de noviembre de 2016</w:t>
            </w:r>
          </w:p>
        </w:tc>
      </w:tr>
      <w:tr w:rsidR="004C2312" w:rsidRPr="00E56234" w:rsidTr="004A6A54">
        <w:tc>
          <w:tcPr>
            <w:tcW w:w="3600" w:type="dxa"/>
            <w:tcBorders>
              <w:top w:val="single" w:sz="6" w:space="0" w:color="auto"/>
              <w:bottom w:val="single" w:sz="6" w:space="0" w:color="auto"/>
            </w:tcBorders>
            <w:shd w:val="clear" w:color="auto" w:fill="386294"/>
            <w:vAlign w:val="center"/>
          </w:tcPr>
          <w:p w:rsidR="004C2312" w:rsidRPr="00E56234" w:rsidRDefault="004A6A54" w:rsidP="004A6A54">
            <w:pPr>
              <w:jc w:val="center"/>
              <w:rPr>
                <w:rFonts w:asciiTheme="majorHAnsi" w:hAnsiTheme="majorHAnsi"/>
                <w:b/>
                <w:bCs/>
                <w:color w:val="FFFFFF" w:themeColor="background1"/>
                <w:sz w:val="20"/>
                <w:szCs w:val="20"/>
                <w:lang w:val="es-ES"/>
              </w:rPr>
            </w:pPr>
            <w:r w:rsidRPr="00E56234">
              <w:rPr>
                <w:rFonts w:asciiTheme="majorHAnsi" w:hAnsiTheme="majorHAnsi"/>
                <w:b/>
                <w:color w:val="FFFFFF" w:themeColor="background1"/>
                <w:sz w:val="20"/>
                <w:szCs w:val="20"/>
                <w:lang w:val="es-ES"/>
              </w:rPr>
              <w:t>P</w:t>
            </w:r>
            <w:r w:rsidR="004C2312" w:rsidRPr="00E56234">
              <w:rPr>
                <w:rFonts w:asciiTheme="majorHAnsi" w:hAnsiTheme="majorHAnsi"/>
                <w:b/>
                <w:color w:val="FFFFFF" w:themeColor="background1"/>
                <w:sz w:val="20"/>
                <w:szCs w:val="20"/>
                <w:lang w:val="es-ES"/>
              </w:rPr>
              <w:t>rimera respuesta del Estado:</w:t>
            </w:r>
          </w:p>
        </w:tc>
        <w:tc>
          <w:tcPr>
            <w:tcW w:w="5760" w:type="dxa"/>
            <w:vAlign w:val="center"/>
          </w:tcPr>
          <w:p w:rsidR="004C2312" w:rsidRPr="00E56234" w:rsidRDefault="00BE5408" w:rsidP="00DF7DF8">
            <w:pPr>
              <w:jc w:val="both"/>
              <w:rPr>
                <w:rFonts w:asciiTheme="majorHAnsi" w:hAnsiTheme="majorHAnsi"/>
                <w:bCs/>
                <w:sz w:val="20"/>
                <w:szCs w:val="20"/>
                <w:lang w:val="es-ES"/>
              </w:rPr>
            </w:pPr>
            <w:r w:rsidRPr="00E56234">
              <w:rPr>
                <w:rFonts w:asciiTheme="majorHAnsi" w:hAnsiTheme="majorHAnsi"/>
                <w:bCs/>
                <w:sz w:val="20"/>
                <w:szCs w:val="20"/>
                <w:lang w:val="es-ES"/>
              </w:rPr>
              <w:t>16 de junio de 2017</w:t>
            </w:r>
          </w:p>
        </w:tc>
      </w:tr>
      <w:tr w:rsidR="004C2312" w:rsidRPr="00E56234" w:rsidTr="004A6A54">
        <w:tc>
          <w:tcPr>
            <w:tcW w:w="3600" w:type="dxa"/>
            <w:tcBorders>
              <w:top w:val="single" w:sz="6" w:space="0" w:color="auto"/>
              <w:bottom w:val="single" w:sz="6" w:space="0" w:color="auto"/>
            </w:tcBorders>
            <w:shd w:val="clear" w:color="auto" w:fill="386294"/>
            <w:vAlign w:val="center"/>
          </w:tcPr>
          <w:p w:rsidR="004C2312" w:rsidRPr="00E56234" w:rsidRDefault="008E3BFE" w:rsidP="008E3BFE">
            <w:pPr>
              <w:jc w:val="center"/>
              <w:rPr>
                <w:rFonts w:asciiTheme="majorHAnsi" w:hAnsiTheme="majorHAnsi"/>
                <w:b/>
                <w:bCs/>
                <w:color w:val="FFFFFF" w:themeColor="background1"/>
                <w:sz w:val="20"/>
                <w:szCs w:val="20"/>
                <w:lang w:val="es-ES"/>
              </w:rPr>
            </w:pPr>
            <w:r w:rsidRPr="00E56234">
              <w:rPr>
                <w:rFonts w:asciiTheme="majorHAnsi" w:hAnsiTheme="majorHAnsi"/>
                <w:b/>
                <w:bCs/>
                <w:color w:val="FFFFFF" w:themeColor="background1"/>
                <w:sz w:val="20"/>
                <w:szCs w:val="20"/>
                <w:lang w:val="es-ES"/>
              </w:rPr>
              <w:t>Observaciones adicionales de la parte peticionaria:</w:t>
            </w:r>
          </w:p>
        </w:tc>
        <w:tc>
          <w:tcPr>
            <w:tcW w:w="5760" w:type="dxa"/>
            <w:vAlign w:val="center"/>
          </w:tcPr>
          <w:p w:rsidR="004C2312" w:rsidRPr="00E56234" w:rsidRDefault="006179ED" w:rsidP="00DF7DF8">
            <w:pPr>
              <w:jc w:val="both"/>
              <w:rPr>
                <w:rFonts w:asciiTheme="majorHAnsi" w:hAnsiTheme="majorHAnsi"/>
                <w:bCs/>
                <w:sz w:val="20"/>
                <w:szCs w:val="20"/>
                <w:lang w:val="es-ES"/>
              </w:rPr>
            </w:pPr>
            <w:r w:rsidRPr="00E56234">
              <w:rPr>
                <w:rFonts w:asciiTheme="majorHAnsi" w:hAnsiTheme="majorHAnsi"/>
                <w:bCs/>
                <w:sz w:val="20"/>
                <w:szCs w:val="20"/>
                <w:lang w:val="es-ES"/>
              </w:rPr>
              <w:t>11 de enero de 2018</w:t>
            </w:r>
          </w:p>
        </w:tc>
      </w:tr>
    </w:tbl>
    <w:p w:rsidR="003239B8" w:rsidRPr="00E56234" w:rsidRDefault="003239B8" w:rsidP="003239B8">
      <w:pPr>
        <w:spacing w:before="240" w:after="240"/>
        <w:ind w:firstLine="720"/>
        <w:jc w:val="both"/>
        <w:rPr>
          <w:rFonts w:asciiTheme="majorHAnsi" w:hAnsiTheme="majorHAnsi"/>
          <w:b/>
          <w:bCs/>
          <w:sz w:val="20"/>
          <w:szCs w:val="20"/>
          <w:lang w:val="es-ES"/>
        </w:rPr>
      </w:pPr>
      <w:r w:rsidRPr="00E56234">
        <w:rPr>
          <w:rFonts w:asciiTheme="majorHAnsi" w:hAnsiTheme="majorHAnsi"/>
          <w:b/>
          <w:bCs/>
          <w:sz w:val="20"/>
          <w:szCs w:val="20"/>
          <w:lang w:val="es-ES"/>
        </w:rPr>
        <w:t xml:space="preserve">III. </w:t>
      </w:r>
      <w:r w:rsidRPr="00E56234">
        <w:rPr>
          <w:rFonts w:asciiTheme="majorHAnsi" w:hAnsiTheme="majorHAnsi"/>
          <w:b/>
          <w:bCs/>
          <w:sz w:val="20"/>
          <w:szCs w:val="20"/>
          <w:lang w:val="es-ES"/>
        </w:rPr>
        <w:tab/>
        <w:t>COMPETENCIA</w:t>
      </w:r>
      <w:r w:rsidR="00EE00E9" w:rsidRPr="00E56234">
        <w:rPr>
          <w:rFonts w:asciiTheme="majorHAnsi" w:hAnsiTheme="majorHAnsi"/>
          <w:b/>
          <w:bCs/>
          <w:sz w:val="20"/>
          <w:szCs w:val="20"/>
          <w:lang w:val="es-ES"/>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1"/>
        <w:gridCol w:w="5681"/>
      </w:tblGrid>
      <w:tr w:rsidR="003239B8" w:rsidRPr="00E56234" w:rsidTr="004A6A54">
        <w:trPr>
          <w:cantSplit/>
        </w:trPr>
        <w:tc>
          <w:tcPr>
            <w:tcW w:w="3600" w:type="dxa"/>
            <w:tcBorders>
              <w:top w:val="single" w:sz="4" w:space="0" w:color="auto"/>
              <w:bottom w:val="single" w:sz="6" w:space="0" w:color="auto"/>
            </w:tcBorders>
            <w:shd w:val="clear" w:color="auto" w:fill="386294"/>
            <w:vAlign w:val="center"/>
          </w:tcPr>
          <w:p w:rsidR="003239B8" w:rsidRPr="00E56234" w:rsidRDefault="003239B8" w:rsidP="00DF7DF8">
            <w:pPr>
              <w:jc w:val="center"/>
              <w:rPr>
                <w:rFonts w:asciiTheme="majorHAnsi" w:hAnsiTheme="majorHAnsi"/>
                <w:b/>
                <w:bCs/>
                <w:i/>
                <w:color w:val="FFFFFF" w:themeColor="background1"/>
                <w:sz w:val="20"/>
                <w:szCs w:val="20"/>
              </w:rPr>
            </w:pPr>
            <w:r w:rsidRPr="00E56234">
              <w:rPr>
                <w:rFonts w:asciiTheme="majorHAnsi" w:hAnsiTheme="majorHAnsi"/>
                <w:b/>
                <w:bCs/>
                <w:color w:val="FFFFFF" w:themeColor="background1"/>
                <w:sz w:val="20"/>
                <w:szCs w:val="20"/>
              </w:rPr>
              <w:t>Competencia</w:t>
            </w:r>
            <w:r w:rsidRPr="00E56234">
              <w:rPr>
                <w:rFonts w:asciiTheme="majorHAnsi" w:hAnsiTheme="majorHAnsi"/>
                <w:b/>
                <w:bCs/>
                <w:i/>
                <w:color w:val="FFFFFF" w:themeColor="background1"/>
                <w:sz w:val="20"/>
                <w:szCs w:val="20"/>
              </w:rPr>
              <w:t xml:space="preserve"> Ratione personae:</w:t>
            </w:r>
          </w:p>
        </w:tc>
        <w:tc>
          <w:tcPr>
            <w:tcW w:w="5760" w:type="dxa"/>
            <w:vAlign w:val="center"/>
          </w:tcPr>
          <w:p w:rsidR="003239B8" w:rsidRPr="00E56234" w:rsidRDefault="006179ED" w:rsidP="00DF7DF8">
            <w:pPr>
              <w:rPr>
                <w:rFonts w:asciiTheme="majorHAnsi" w:hAnsiTheme="majorHAnsi"/>
                <w:bCs/>
                <w:sz w:val="20"/>
                <w:szCs w:val="20"/>
              </w:rPr>
            </w:pPr>
            <w:r w:rsidRPr="00E56234">
              <w:rPr>
                <w:rFonts w:asciiTheme="majorHAnsi" w:hAnsiTheme="majorHAnsi"/>
                <w:bCs/>
                <w:sz w:val="20"/>
                <w:szCs w:val="20"/>
              </w:rPr>
              <w:t>Sí</w:t>
            </w:r>
          </w:p>
        </w:tc>
      </w:tr>
      <w:tr w:rsidR="003239B8" w:rsidRPr="00E56234" w:rsidTr="004A6A54">
        <w:trPr>
          <w:cantSplit/>
        </w:trPr>
        <w:tc>
          <w:tcPr>
            <w:tcW w:w="3600" w:type="dxa"/>
            <w:tcBorders>
              <w:top w:val="single" w:sz="6" w:space="0" w:color="auto"/>
              <w:bottom w:val="single" w:sz="6" w:space="0" w:color="auto"/>
            </w:tcBorders>
            <w:shd w:val="clear" w:color="auto" w:fill="386294"/>
            <w:vAlign w:val="center"/>
          </w:tcPr>
          <w:p w:rsidR="003239B8" w:rsidRPr="00E56234" w:rsidRDefault="003239B8" w:rsidP="00DF7DF8">
            <w:pPr>
              <w:jc w:val="center"/>
              <w:rPr>
                <w:rFonts w:asciiTheme="majorHAnsi" w:hAnsiTheme="majorHAnsi"/>
                <w:b/>
                <w:bCs/>
                <w:color w:val="FFFFFF" w:themeColor="background1"/>
                <w:sz w:val="20"/>
                <w:szCs w:val="20"/>
              </w:rPr>
            </w:pPr>
            <w:r w:rsidRPr="00E56234">
              <w:rPr>
                <w:rFonts w:asciiTheme="majorHAnsi" w:hAnsiTheme="majorHAnsi"/>
                <w:b/>
                <w:bCs/>
                <w:color w:val="FFFFFF" w:themeColor="background1"/>
                <w:sz w:val="20"/>
                <w:szCs w:val="20"/>
              </w:rPr>
              <w:t>Competencia</w:t>
            </w:r>
            <w:r w:rsidRPr="00E56234">
              <w:rPr>
                <w:rFonts w:asciiTheme="majorHAnsi" w:hAnsiTheme="majorHAnsi"/>
                <w:b/>
                <w:bCs/>
                <w:i/>
                <w:color w:val="FFFFFF" w:themeColor="background1"/>
                <w:sz w:val="20"/>
                <w:szCs w:val="20"/>
              </w:rPr>
              <w:t xml:space="preserve"> Ratione loci</w:t>
            </w:r>
            <w:r w:rsidRPr="00E56234">
              <w:rPr>
                <w:rFonts w:asciiTheme="majorHAnsi" w:hAnsiTheme="majorHAnsi"/>
                <w:b/>
                <w:bCs/>
                <w:color w:val="FFFFFF" w:themeColor="background1"/>
                <w:sz w:val="20"/>
                <w:szCs w:val="20"/>
              </w:rPr>
              <w:t>:</w:t>
            </w:r>
          </w:p>
        </w:tc>
        <w:tc>
          <w:tcPr>
            <w:tcW w:w="5760" w:type="dxa"/>
            <w:vAlign w:val="center"/>
          </w:tcPr>
          <w:p w:rsidR="003239B8" w:rsidRPr="00E56234" w:rsidRDefault="006179ED" w:rsidP="00DF7DF8">
            <w:pPr>
              <w:rPr>
                <w:rFonts w:asciiTheme="majorHAnsi" w:hAnsiTheme="majorHAnsi"/>
                <w:bCs/>
                <w:sz w:val="20"/>
                <w:szCs w:val="20"/>
              </w:rPr>
            </w:pPr>
            <w:r w:rsidRPr="00E56234">
              <w:rPr>
                <w:rFonts w:asciiTheme="majorHAnsi" w:hAnsiTheme="majorHAnsi"/>
                <w:bCs/>
                <w:sz w:val="20"/>
                <w:szCs w:val="20"/>
              </w:rPr>
              <w:t>Sí</w:t>
            </w:r>
          </w:p>
        </w:tc>
      </w:tr>
      <w:tr w:rsidR="003239B8" w:rsidRPr="00E56234" w:rsidTr="004A6A54">
        <w:trPr>
          <w:cantSplit/>
        </w:trPr>
        <w:tc>
          <w:tcPr>
            <w:tcW w:w="3600" w:type="dxa"/>
            <w:tcBorders>
              <w:top w:val="single" w:sz="6" w:space="0" w:color="auto"/>
              <w:bottom w:val="single" w:sz="6" w:space="0" w:color="auto"/>
            </w:tcBorders>
            <w:shd w:val="clear" w:color="auto" w:fill="386294"/>
            <w:vAlign w:val="center"/>
          </w:tcPr>
          <w:p w:rsidR="003239B8" w:rsidRPr="00E56234" w:rsidRDefault="003239B8" w:rsidP="00DF7DF8">
            <w:pPr>
              <w:jc w:val="center"/>
              <w:rPr>
                <w:rFonts w:asciiTheme="majorHAnsi" w:hAnsiTheme="majorHAnsi"/>
                <w:b/>
                <w:bCs/>
                <w:color w:val="FFFFFF" w:themeColor="background1"/>
                <w:sz w:val="20"/>
                <w:szCs w:val="20"/>
              </w:rPr>
            </w:pPr>
            <w:r w:rsidRPr="00E56234">
              <w:rPr>
                <w:rFonts w:asciiTheme="majorHAnsi" w:hAnsiTheme="majorHAnsi"/>
                <w:b/>
                <w:bCs/>
                <w:color w:val="FFFFFF" w:themeColor="background1"/>
                <w:sz w:val="20"/>
                <w:szCs w:val="20"/>
              </w:rPr>
              <w:t>Competencia</w:t>
            </w:r>
            <w:r w:rsidRPr="00E56234">
              <w:rPr>
                <w:rFonts w:asciiTheme="majorHAnsi" w:hAnsiTheme="majorHAnsi"/>
                <w:b/>
                <w:bCs/>
                <w:i/>
                <w:color w:val="FFFFFF" w:themeColor="background1"/>
                <w:sz w:val="20"/>
                <w:szCs w:val="20"/>
              </w:rPr>
              <w:t xml:space="preserve"> Ratione temporis</w:t>
            </w:r>
            <w:r w:rsidRPr="00E56234">
              <w:rPr>
                <w:rFonts w:asciiTheme="majorHAnsi" w:hAnsiTheme="majorHAnsi"/>
                <w:b/>
                <w:bCs/>
                <w:color w:val="FFFFFF" w:themeColor="background1"/>
                <w:sz w:val="20"/>
                <w:szCs w:val="20"/>
              </w:rPr>
              <w:t>:</w:t>
            </w:r>
          </w:p>
        </w:tc>
        <w:tc>
          <w:tcPr>
            <w:tcW w:w="5760" w:type="dxa"/>
            <w:vAlign w:val="center"/>
          </w:tcPr>
          <w:p w:rsidR="003239B8" w:rsidRPr="00E56234" w:rsidRDefault="006179ED" w:rsidP="00DF7DF8">
            <w:pPr>
              <w:rPr>
                <w:rFonts w:asciiTheme="majorHAnsi" w:hAnsiTheme="majorHAnsi"/>
                <w:bCs/>
                <w:sz w:val="20"/>
                <w:szCs w:val="20"/>
              </w:rPr>
            </w:pPr>
            <w:r w:rsidRPr="00E56234">
              <w:rPr>
                <w:rFonts w:asciiTheme="majorHAnsi" w:hAnsiTheme="majorHAnsi"/>
                <w:bCs/>
                <w:sz w:val="20"/>
                <w:szCs w:val="20"/>
              </w:rPr>
              <w:t>Sí</w:t>
            </w:r>
          </w:p>
        </w:tc>
      </w:tr>
      <w:tr w:rsidR="003239B8" w:rsidRPr="00657645" w:rsidTr="004A6A54">
        <w:trPr>
          <w:cantSplit/>
        </w:trPr>
        <w:tc>
          <w:tcPr>
            <w:tcW w:w="3600" w:type="dxa"/>
            <w:tcBorders>
              <w:top w:val="single" w:sz="6" w:space="0" w:color="auto"/>
              <w:bottom w:val="single" w:sz="6" w:space="0" w:color="auto"/>
            </w:tcBorders>
            <w:shd w:val="clear" w:color="auto" w:fill="386294"/>
            <w:vAlign w:val="center"/>
          </w:tcPr>
          <w:p w:rsidR="003239B8" w:rsidRPr="00E56234" w:rsidRDefault="003239B8" w:rsidP="00DF7DF8">
            <w:pPr>
              <w:jc w:val="center"/>
              <w:rPr>
                <w:rFonts w:asciiTheme="majorHAnsi" w:hAnsiTheme="majorHAnsi"/>
                <w:b/>
                <w:bCs/>
                <w:color w:val="FFFFFF" w:themeColor="background1"/>
                <w:sz w:val="20"/>
                <w:szCs w:val="20"/>
              </w:rPr>
            </w:pPr>
            <w:r w:rsidRPr="00E56234">
              <w:rPr>
                <w:rFonts w:asciiTheme="majorHAnsi" w:hAnsiTheme="majorHAnsi"/>
                <w:b/>
                <w:bCs/>
                <w:color w:val="FFFFFF" w:themeColor="background1"/>
                <w:sz w:val="20"/>
                <w:szCs w:val="20"/>
              </w:rPr>
              <w:t>Competencia</w:t>
            </w:r>
            <w:r w:rsidRPr="00E56234">
              <w:rPr>
                <w:rFonts w:asciiTheme="majorHAnsi" w:hAnsiTheme="majorHAnsi"/>
                <w:b/>
                <w:bCs/>
                <w:i/>
                <w:color w:val="FFFFFF" w:themeColor="background1"/>
                <w:sz w:val="20"/>
                <w:szCs w:val="20"/>
              </w:rPr>
              <w:t xml:space="preserve"> Ratione materia</w:t>
            </w:r>
            <w:r w:rsidR="00EE00E9" w:rsidRPr="00E56234">
              <w:rPr>
                <w:rFonts w:asciiTheme="majorHAnsi" w:hAnsiTheme="majorHAnsi"/>
                <w:b/>
                <w:bCs/>
                <w:i/>
                <w:color w:val="FFFFFF" w:themeColor="background1"/>
                <w:sz w:val="20"/>
                <w:szCs w:val="20"/>
              </w:rPr>
              <w:t>e</w:t>
            </w:r>
            <w:r w:rsidRPr="00E56234">
              <w:rPr>
                <w:rFonts w:asciiTheme="majorHAnsi" w:hAnsiTheme="majorHAnsi"/>
                <w:b/>
                <w:bCs/>
                <w:color w:val="FFFFFF" w:themeColor="background1"/>
                <w:sz w:val="20"/>
                <w:szCs w:val="20"/>
              </w:rPr>
              <w:t>:</w:t>
            </w:r>
          </w:p>
        </w:tc>
        <w:tc>
          <w:tcPr>
            <w:tcW w:w="5760" w:type="dxa"/>
            <w:vAlign w:val="center"/>
          </w:tcPr>
          <w:p w:rsidR="003239B8" w:rsidRPr="00E56234" w:rsidRDefault="006179ED" w:rsidP="006179ED">
            <w:pPr>
              <w:jc w:val="both"/>
              <w:rPr>
                <w:rFonts w:asciiTheme="majorHAnsi" w:hAnsiTheme="majorHAnsi"/>
                <w:bCs/>
                <w:sz w:val="20"/>
                <w:szCs w:val="20"/>
                <w:lang w:val="es-ES"/>
              </w:rPr>
            </w:pPr>
            <w:r w:rsidRPr="00E56234">
              <w:rPr>
                <w:rFonts w:asciiTheme="majorHAnsi" w:hAnsiTheme="majorHAnsi"/>
                <w:bCs/>
                <w:sz w:val="20"/>
                <w:szCs w:val="20"/>
                <w:lang w:val="es-ES"/>
              </w:rPr>
              <w:t>Sí, Convención Americana (depósito del instrumento de adhesión el 24 de marzo de 1981)</w:t>
            </w:r>
          </w:p>
        </w:tc>
      </w:tr>
    </w:tbl>
    <w:p w:rsidR="003239B8" w:rsidRPr="00E56234" w:rsidRDefault="003239B8" w:rsidP="003239B8">
      <w:pPr>
        <w:spacing w:before="240" w:after="240"/>
        <w:ind w:firstLine="720"/>
        <w:jc w:val="both"/>
        <w:rPr>
          <w:rFonts w:asciiTheme="majorHAnsi" w:hAnsiTheme="majorHAnsi"/>
          <w:b/>
          <w:bCs/>
          <w:sz w:val="20"/>
          <w:szCs w:val="20"/>
          <w:lang w:val="es-ES"/>
        </w:rPr>
      </w:pPr>
      <w:r w:rsidRPr="00E56234">
        <w:rPr>
          <w:rFonts w:asciiTheme="majorHAnsi" w:hAnsiTheme="majorHAnsi"/>
          <w:b/>
          <w:bCs/>
          <w:sz w:val="20"/>
          <w:szCs w:val="20"/>
          <w:lang w:val="es-ES"/>
        </w:rPr>
        <w:t xml:space="preserve">IV. </w:t>
      </w:r>
      <w:r w:rsidRPr="00E56234">
        <w:rPr>
          <w:rFonts w:asciiTheme="majorHAnsi" w:hAnsiTheme="majorHAnsi"/>
          <w:b/>
          <w:bCs/>
          <w:sz w:val="20"/>
          <w:szCs w:val="20"/>
          <w:lang w:val="es-ES"/>
        </w:rPr>
        <w:tab/>
      </w:r>
      <w:r w:rsidR="00EE00E9" w:rsidRPr="00E56234">
        <w:rPr>
          <w:rFonts w:asciiTheme="majorHAnsi" w:hAnsiTheme="majorHAnsi"/>
          <w:b/>
          <w:bCs/>
          <w:sz w:val="20"/>
          <w:szCs w:val="20"/>
          <w:lang w:val="es-ES"/>
        </w:rPr>
        <w:t>DUPLICACIÓN</w:t>
      </w:r>
      <w:r w:rsidR="00EE00E9" w:rsidRPr="00E56234">
        <w:rPr>
          <w:rFonts w:asciiTheme="majorHAnsi" w:hAnsiTheme="majorHAnsi"/>
          <w:b/>
          <w:bCs/>
          <w:color w:val="FFFFFF" w:themeColor="background1"/>
          <w:sz w:val="20"/>
          <w:szCs w:val="20"/>
          <w:lang w:val="es-ES"/>
        </w:rPr>
        <w:t xml:space="preserve"> </w:t>
      </w:r>
      <w:r w:rsidR="00EE00E9" w:rsidRPr="00E56234">
        <w:rPr>
          <w:rFonts w:asciiTheme="majorHAnsi" w:hAnsiTheme="majorHAnsi"/>
          <w:b/>
          <w:bCs/>
          <w:sz w:val="20"/>
          <w:szCs w:val="20"/>
          <w:lang w:val="es-ES"/>
        </w:rPr>
        <w:t>DE PROCEDIMIENTOS Y COSA JUZGADA</w:t>
      </w:r>
      <w:r w:rsidR="00EE00E9" w:rsidRPr="00E56234">
        <w:rPr>
          <w:rFonts w:asciiTheme="majorHAnsi" w:hAnsiTheme="majorHAnsi"/>
          <w:b/>
          <w:bCs/>
          <w:i/>
          <w:sz w:val="20"/>
          <w:szCs w:val="20"/>
          <w:lang w:val="es-ES"/>
        </w:rPr>
        <w:t xml:space="preserve"> </w:t>
      </w:r>
      <w:r w:rsidR="005133B5" w:rsidRPr="00E56234">
        <w:rPr>
          <w:rFonts w:asciiTheme="majorHAnsi" w:hAnsiTheme="majorHAnsi"/>
          <w:b/>
          <w:bCs/>
          <w:sz w:val="20"/>
          <w:szCs w:val="20"/>
          <w:lang w:val="es-ES"/>
        </w:rPr>
        <w:t>INTERNACIONAL, CARACTERIZACIÓN</w:t>
      </w:r>
      <w:r w:rsidRPr="00E56234">
        <w:rPr>
          <w:rFonts w:asciiTheme="majorHAnsi" w:hAnsiTheme="majorHAnsi"/>
          <w:b/>
          <w:bCs/>
          <w:sz w:val="20"/>
          <w:szCs w:val="20"/>
          <w:lang w:val="es-ES"/>
        </w:rPr>
        <w:t xml:space="preserve">, </w:t>
      </w:r>
      <w:r w:rsidRPr="00E56234">
        <w:rPr>
          <w:rFonts w:asciiTheme="majorHAnsi" w:hAnsiTheme="majorHAnsi"/>
          <w:b/>
          <w:sz w:val="20"/>
          <w:szCs w:val="20"/>
          <w:lang w:val="es-ES"/>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3"/>
        <w:gridCol w:w="5679"/>
      </w:tblGrid>
      <w:tr w:rsidR="00EE00E9" w:rsidRPr="00E56234" w:rsidTr="004A6A54">
        <w:trPr>
          <w:cantSplit/>
        </w:trPr>
        <w:tc>
          <w:tcPr>
            <w:tcW w:w="3600" w:type="dxa"/>
            <w:tcBorders>
              <w:top w:val="single" w:sz="4" w:space="0" w:color="auto"/>
              <w:bottom w:val="single" w:sz="6" w:space="0" w:color="auto"/>
            </w:tcBorders>
            <w:shd w:val="clear" w:color="auto" w:fill="386294"/>
            <w:vAlign w:val="center"/>
          </w:tcPr>
          <w:p w:rsidR="00EE00E9" w:rsidRPr="00E56234" w:rsidRDefault="00EE00E9" w:rsidP="00DF7DF8">
            <w:pPr>
              <w:jc w:val="center"/>
              <w:rPr>
                <w:rFonts w:asciiTheme="majorHAnsi" w:hAnsiTheme="majorHAnsi"/>
                <w:b/>
                <w:bCs/>
                <w:color w:val="FFFFFF" w:themeColor="background1"/>
                <w:sz w:val="20"/>
                <w:szCs w:val="20"/>
                <w:lang w:val="es-ES"/>
              </w:rPr>
            </w:pPr>
            <w:r w:rsidRPr="00E56234">
              <w:rPr>
                <w:rFonts w:asciiTheme="majorHAnsi" w:hAnsiTheme="majorHAnsi"/>
                <w:b/>
                <w:bCs/>
                <w:color w:val="FFFFFF" w:themeColor="background1"/>
                <w:sz w:val="20"/>
                <w:szCs w:val="20"/>
                <w:lang w:val="es-ES"/>
              </w:rPr>
              <w:t>Duplicación de procedimientos y cosa juzgada internacional:</w:t>
            </w:r>
          </w:p>
        </w:tc>
        <w:tc>
          <w:tcPr>
            <w:tcW w:w="5760" w:type="dxa"/>
            <w:vAlign w:val="center"/>
          </w:tcPr>
          <w:p w:rsidR="00EE00E9" w:rsidRPr="00E56234" w:rsidRDefault="006179ED" w:rsidP="00DF7DF8">
            <w:pPr>
              <w:jc w:val="both"/>
              <w:rPr>
                <w:rFonts w:asciiTheme="majorHAnsi" w:hAnsiTheme="majorHAnsi"/>
                <w:bCs/>
                <w:sz w:val="20"/>
                <w:szCs w:val="20"/>
                <w:lang w:val="es-ES"/>
              </w:rPr>
            </w:pPr>
            <w:r w:rsidRPr="00E56234">
              <w:rPr>
                <w:rFonts w:asciiTheme="majorHAnsi" w:hAnsiTheme="majorHAnsi"/>
                <w:bCs/>
                <w:sz w:val="20"/>
                <w:szCs w:val="20"/>
                <w:lang w:val="es-ES"/>
              </w:rPr>
              <w:t>No</w:t>
            </w:r>
          </w:p>
        </w:tc>
      </w:tr>
      <w:tr w:rsidR="003239B8" w:rsidRPr="00657645" w:rsidTr="004A6A54">
        <w:trPr>
          <w:cantSplit/>
        </w:trPr>
        <w:tc>
          <w:tcPr>
            <w:tcW w:w="3600" w:type="dxa"/>
            <w:tcBorders>
              <w:top w:val="single" w:sz="4" w:space="0" w:color="auto"/>
              <w:bottom w:val="single" w:sz="6" w:space="0" w:color="auto"/>
            </w:tcBorders>
            <w:shd w:val="clear" w:color="auto" w:fill="386294"/>
            <w:vAlign w:val="center"/>
          </w:tcPr>
          <w:p w:rsidR="003239B8" w:rsidRPr="00E56234" w:rsidRDefault="003239B8" w:rsidP="00DF7DF8">
            <w:pPr>
              <w:jc w:val="center"/>
              <w:rPr>
                <w:rFonts w:asciiTheme="majorHAnsi" w:hAnsiTheme="majorHAnsi"/>
                <w:b/>
                <w:bCs/>
                <w:i/>
                <w:color w:val="FFFFFF" w:themeColor="background1"/>
                <w:sz w:val="20"/>
                <w:szCs w:val="20"/>
              </w:rPr>
            </w:pPr>
            <w:r w:rsidRPr="00E56234">
              <w:rPr>
                <w:rFonts w:asciiTheme="majorHAnsi" w:hAnsiTheme="majorHAnsi"/>
                <w:b/>
                <w:bCs/>
                <w:color w:val="FFFFFF" w:themeColor="background1"/>
                <w:sz w:val="20"/>
                <w:szCs w:val="20"/>
              </w:rPr>
              <w:t>Derechos declarados admisibles</w:t>
            </w:r>
            <w:r w:rsidRPr="00E56234">
              <w:rPr>
                <w:rFonts w:asciiTheme="majorHAnsi" w:hAnsiTheme="majorHAnsi"/>
                <w:b/>
                <w:bCs/>
                <w:i/>
                <w:color w:val="FFFFFF" w:themeColor="background1"/>
                <w:sz w:val="20"/>
                <w:szCs w:val="20"/>
              </w:rPr>
              <w:t>:</w:t>
            </w:r>
          </w:p>
        </w:tc>
        <w:tc>
          <w:tcPr>
            <w:tcW w:w="5760" w:type="dxa"/>
            <w:vAlign w:val="center"/>
          </w:tcPr>
          <w:p w:rsidR="003239B8" w:rsidRPr="00E56234" w:rsidRDefault="007C6106" w:rsidP="007C6106">
            <w:pPr>
              <w:jc w:val="both"/>
              <w:rPr>
                <w:rFonts w:asciiTheme="majorHAnsi" w:hAnsiTheme="majorHAnsi"/>
                <w:bCs/>
                <w:sz w:val="20"/>
                <w:szCs w:val="20"/>
                <w:lang w:val="es-US"/>
              </w:rPr>
            </w:pPr>
            <w:r w:rsidRPr="002F1417">
              <w:rPr>
                <w:rFonts w:ascii="Cambria" w:hAnsi="Cambria"/>
                <w:bCs/>
                <w:sz w:val="20"/>
                <w:szCs w:val="20"/>
                <w:lang w:val="es-US"/>
              </w:rPr>
              <w:t xml:space="preserve">Artículos 8 (garantías judiciales), </w:t>
            </w:r>
            <w:r>
              <w:rPr>
                <w:rFonts w:ascii="Cambria" w:hAnsi="Cambria"/>
                <w:bCs/>
                <w:sz w:val="20"/>
                <w:szCs w:val="20"/>
                <w:lang w:val="es-US"/>
              </w:rPr>
              <w:t>9 (principio de legalidad y de retroactividad), 23 (derechos políticos),</w:t>
            </w:r>
            <w:r w:rsidRPr="002F1417">
              <w:rPr>
                <w:rFonts w:ascii="Cambria" w:hAnsi="Cambria"/>
                <w:bCs/>
                <w:sz w:val="20"/>
                <w:szCs w:val="20"/>
                <w:lang w:val="es-US"/>
              </w:rPr>
              <w:t xml:space="preserve"> 25 (protección judicial)</w:t>
            </w:r>
            <w:r>
              <w:rPr>
                <w:rFonts w:ascii="Cambria" w:hAnsi="Cambria"/>
                <w:bCs/>
                <w:sz w:val="20"/>
                <w:szCs w:val="20"/>
                <w:lang w:val="es-US"/>
              </w:rPr>
              <w:t xml:space="preserve"> y 26 (derechos económicos, sociales y culturales)</w:t>
            </w:r>
            <w:r w:rsidRPr="002F1417">
              <w:rPr>
                <w:rFonts w:ascii="Cambria" w:hAnsi="Cambria"/>
                <w:bCs/>
                <w:sz w:val="20"/>
                <w:szCs w:val="20"/>
                <w:lang w:val="es-US"/>
              </w:rPr>
              <w:t xml:space="preserve"> de la Convención Americana, en relación con su artículo 1</w:t>
            </w:r>
            <w:r>
              <w:rPr>
                <w:rFonts w:ascii="Cambria" w:hAnsi="Cambria"/>
                <w:bCs/>
                <w:sz w:val="20"/>
                <w:szCs w:val="20"/>
                <w:lang w:val="es-US"/>
              </w:rPr>
              <w:t>.1</w:t>
            </w:r>
            <w:r w:rsidRPr="002F1417">
              <w:rPr>
                <w:rFonts w:ascii="Cambria" w:hAnsi="Cambria"/>
                <w:bCs/>
                <w:sz w:val="20"/>
                <w:szCs w:val="20"/>
                <w:lang w:val="es-US"/>
              </w:rPr>
              <w:t xml:space="preserve"> (obligación de respetar los derechos)</w:t>
            </w:r>
          </w:p>
        </w:tc>
      </w:tr>
      <w:tr w:rsidR="003239B8" w:rsidRPr="00657645" w:rsidTr="004A6A54">
        <w:trPr>
          <w:cantSplit/>
        </w:trPr>
        <w:tc>
          <w:tcPr>
            <w:tcW w:w="3600" w:type="dxa"/>
            <w:tcBorders>
              <w:top w:val="single" w:sz="6" w:space="0" w:color="auto"/>
              <w:bottom w:val="single" w:sz="6" w:space="0" w:color="auto"/>
            </w:tcBorders>
            <w:shd w:val="clear" w:color="auto" w:fill="386294"/>
            <w:vAlign w:val="center"/>
          </w:tcPr>
          <w:p w:rsidR="003239B8" w:rsidRPr="00E56234" w:rsidRDefault="003239B8" w:rsidP="00DF7DF8">
            <w:pPr>
              <w:jc w:val="center"/>
              <w:rPr>
                <w:rFonts w:asciiTheme="majorHAnsi" w:hAnsiTheme="majorHAnsi"/>
                <w:b/>
                <w:bCs/>
                <w:color w:val="FFFFFF" w:themeColor="background1"/>
                <w:sz w:val="20"/>
                <w:szCs w:val="20"/>
                <w:lang w:val="es-ES"/>
              </w:rPr>
            </w:pPr>
            <w:r w:rsidRPr="00E56234">
              <w:rPr>
                <w:rFonts w:asciiTheme="majorHAnsi" w:hAnsiTheme="majorHAnsi"/>
                <w:b/>
                <w:bCs/>
                <w:color w:val="FFFFFF" w:themeColor="background1"/>
                <w:sz w:val="20"/>
                <w:szCs w:val="20"/>
                <w:lang w:val="es-ES"/>
              </w:rPr>
              <w:t>Agotamiento de recursos internos</w:t>
            </w:r>
            <w:r w:rsidR="00EE00E9" w:rsidRPr="00E56234">
              <w:rPr>
                <w:rFonts w:asciiTheme="majorHAnsi" w:hAnsiTheme="majorHAnsi"/>
                <w:b/>
                <w:bCs/>
                <w:color w:val="FFFFFF" w:themeColor="background1"/>
                <w:sz w:val="20"/>
                <w:szCs w:val="20"/>
                <w:lang w:val="es-ES"/>
              </w:rPr>
              <w:t xml:space="preserve"> o procedencia de una excepción</w:t>
            </w:r>
            <w:r w:rsidRPr="00E56234">
              <w:rPr>
                <w:rFonts w:asciiTheme="majorHAnsi" w:hAnsiTheme="majorHAnsi"/>
                <w:b/>
                <w:bCs/>
                <w:color w:val="FFFFFF" w:themeColor="background1"/>
                <w:sz w:val="20"/>
                <w:szCs w:val="20"/>
                <w:lang w:val="es-ES"/>
              </w:rPr>
              <w:t>:</w:t>
            </w:r>
          </w:p>
        </w:tc>
        <w:tc>
          <w:tcPr>
            <w:tcW w:w="5760" w:type="dxa"/>
            <w:vAlign w:val="center"/>
          </w:tcPr>
          <w:p w:rsidR="003239B8" w:rsidRPr="00E56234" w:rsidRDefault="005C1DE4" w:rsidP="00DF7DF8">
            <w:pPr>
              <w:rPr>
                <w:rFonts w:asciiTheme="majorHAnsi" w:hAnsiTheme="majorHAnsi"/>
                <w:bCs/>
                <w:sz w:val="20"/>
                <w:szCs w:val="20"/>
                <w:lang w:val="es-ES"/>
              </w:rPr>
            </w:pPr>
            <w:r>
              <w:rPr>
                <w:rFonts w:asciiTheme="majorHAnsi" w:hAnsiTheme="majorHAnsi"/>
                <w:bCs/>
                <w:sz w:val="20"/>
                <w:szCs w:val="20"/>
                <w:lang w:val="es-ES"/>
              </w:rPr>
              <w:t>Sí, el 10 de febrero de 2009</w:t>
            </w:r>
          </w:p>
        </w:tc>
      </w:tr>
      <w:tr w:rsidR="003239B8" w:rsidRPr="00E56234" w:rsidTr="004A6A54">
        <w:trPr>
          <w:cantSplit/>
        </w:trPr>
        <w:tc>
          <w:tcPr>
            <w:tcW w:w="3600" w:type="dxa"/>
            <w:tcBorders>
              <w:top w:val="single" w:sz="6" w:space="0" w:color="auto"/>
              <w:bottom w:val="single" w:sz="6" w:space="0" w:color="auto"/>
            </w:tcBorders>
            <w:shd w:val="clear" w:color="auto" w:fill="386294"/>
            <w:vAlign w:val="center"/>
          </w:tcPr>
          <w:p w:rsidR="003239B8" w:rsidRPr="00E56234" w:rsidRDefault="003239B8" w:rsidP="00DF7DF8">
            <w:pPr>
              <w:jc w:val="center"/>
              <w:rPr>
                <w:rFonts w:asciiTheme="majorHAnsi" w:hAnsiTheme="majorHAnsi"/>
                <w:b/>
                <w:bCs/>
                <w:color w:val="FFFFFF" w:themeColor="background1"/>
                <w:sz w:val="20"/>
                <w:szCs w:val="20"/>
              </w:rPr>
            </w:pPr>
            <w:proofErr w:type="spellStart"/>
            <w:r w:rsidRPr="00E56234">
              <w:rPr>
                <w:rFonts w:asciiTheme="majorHAnsi" w:hAnsiTheme="majorHAnsi"/>
                <w:b/>
                <w:bCs/>
                <w:color w:val="FFFFFF" w:themeColor="background1"/>
                <w:sz w:val="20"/>
                <w:szCs w:val="20"/>
              </w:rPr>
              <w:t>Presentación</w:t>
            </w:r>
            <w:proofErr w:type="spellEnd"/>
            <w:r w:rsidRPr="00E56234">
              <w:rPr>
                <w:rFonts w:asciiTheme="majorHAnsi" w:hAnsiTheme="majorHAnsi"/>
                <w:b/>
                <w:bCs/>
                <w:color w:val="FFFFFF" w:themeColor="background1"/>
                <w:sz w:val="20"/>
                <w:szCs w:val="20"/>
              </w:rPr>
              <w:t xml:space="preserve"> </w:t>
            </w:r>
            <w:proofErr w:type="spellStart"/>
            <w:r w:rsidRPr="00E56234">
              <w:rPr>
                <w:rFonts w:asciiTheme="majorHAnsi" w:hAnsiTheme="majorHAnsi"/>
                <w:b/>
                <w:bCs/>
                <w:color w:val="FFFFFF" w:themeColor="background1"/>
                <w:sz w:val="20"/>
                <w:szCs w:val="20"/>
              </w:rPr>
              <w:t>dentro</w:t>
            </w:r>
            <w:proofErr w:type="spellEnd"/>
            <w:r w:rsidRPr="00E56234">
              <w:rPr>
                <w:rFonts w:asciiTheme="majorHAnsi" w:hAnsiTheme="majorHAnsi"/>
                <w:b/>
                <w:bCs/>
                <w:color w:val="FFFFFF" w:themeColor="background1"/>
                <w:sz w:val="20"/>
                <w:szCs w:val="20"/>
              </w:rPr>
              <w:t xml:space="preserve"> de </w:t>
            </w:r>
            <w:proofErr w:type="spellStart"/>
            <w:r w:rsidRPr="00E56234">
              <w:rPr>
                <w:rFonts w:asciiTheme="majorHAnsi" w:hAnsiTheme="majorHAnsi"/>
                <w:b/>
                <w:bCs/>
                <w:color w:val="FFFFFF" w:themeColor="background1"/>
                <w:sz w:val="20"/>
                <w:szCs w:val="20"/>
              </w:rPr>
              <w:t>plazo</w:t>
            </w:r>
            <w:proofErr w:type="spellEnd"/>
            <w:r w:rsidRPr="00E56234">
              <w:rPr>
                <w:rFonts w:asciiTheme="majorHAnsi" w:hAnsiTheme="majorHAnsi"/>
                <w:b/>
                <w:bCs/>
                <w:color w:val="FFFFFF" w:themeColor="background1"/>
                <w:sz w:val="20"/>
                <w:szCs w:val="20"/>
              </w:rPr>
              <w:t>:</w:t>
            </w:r>
          </w:p>
        </w:tc>
        <w:tc>
          <w:tcPr>
            <w:tcW w:w="5760" w:type="dxa"/>
            <w:vAlign w:val="center"/>
          </w:tcPr>
          <w:p w:rsidR="003239B8" w:rsidRPr="00E56234" w:rsidRDefault="00DF7DF8" w:rsidP="005C1DE4">
            <w:pPr>
              <w:rPr>
                <w:rFonts w:asciiTheme="majorHAnsi" w:hAnsiTheme="majorHAnsi"/>
                <w:bCs/>
                <w:sz w:val="20"/>
                <w:szCs w:val="20"/>
              </w:rPr>
            </w:pPr>
            <w:r w:rsidRPr="00E56234">
              <w:rPr>
                <w:rFonts w:asciiTheme="majorHAnsi" w:hAnsiTheme="majorHAnsi"/>
                <w:bCs/>
                <w:sz w:val="20"/>
                <w:szCs w:val="20"/>
              </w:rPr>
              <w:t>Sí</w:t>
            </w:r>
            <w:r w:rsidR="005C1DE4">
              <w:rPr>
                <w:rFonts w:asciiTheme="majorHAnsi" w:hAnsiTheme="majorHAnsi"/>
                <w:bCs/>
                <w:sz w:val="20"/>
                <w:szCs w:val="20"/>
              </w:rPr>
              <w:t xml:space="preserve"> </w:t>
            </w:r>
          </w:p>
        </w:tc>
      </w:tr>
    </w:tbl>
    <w:p w:rsidR="00C26CDC" w:rsidRDefault="00C26CDC" w:rsidP="003239B8">
      <w:pPr>
        <w:spacing w:before="240" w:after="240"/>
        <w:ind w:firstLine="720"/>
        <w:jc w:val="both"/>
        <w:rPr>
          <w:rFonts w:asciiTheme="majorHAnsi" w:hAnsiTheme="majorHAnsi"/>
          <w:b/>
          <w:sz w:val="20"/>
          <w:szCs w:val="20"/>
          <w:lang w:val="es-UY"/>
        </w:rPr>
      </w:pPr>
    </w:p>
    <w:p w:rsidR="00D575F8" w:rsidRDefault="00D575F8" w:rsidP="003239B8">
      <w:pPr>
        <w:spacing w:before="240" w:after="240"/>
        <w:ind w:firstLine="720"/>
        <w:jc w:val="both"/>
        <w:rPr>
          <w:rFonts w:asciiTheme="majorHAnsi" w:hAnsiTheme="majorHAnsi"/>
          <w:b/>
          <w:sz w:val="20"/>
          <w:szCs w:val="20"/>
          <w:lang w:val="es-UY"/>
        </w:rPr>
      </w:pPr>
    </w:p>
    <w:p w:rsidR="003239B8" w:rsidRDefault="00223A29" w:rsidP="004104D0">
      <w:pPr>
        <w:ind w:firstLine="720"/>
        <w:jc w:val="both"/>
        <w:rPr>
          <w:rFonts w:asciiTheme="majorHAnsi" w:hAnsiTheme="majorHAnsi"/>
          <w:b/>
          <w:sz w:val="20"/>
          <w:szCs w:val="20"/>
          <w:lang w:val="es-ES_tradnl"/>
        </w:rPr>
      </w:pPr>
      <w:r w:rsidRPr="004104D0">
        <w:rPr>
          <w:rFonts w:asciiTheme="majorHAnsi" w:hAnsiTheme="majorHAnsi"/>
          <w:b/>
          <w:sz w:val="20"/>
          <w:szCs w:val="20"/>
          <w:lang w:val="es-ES_tradnl"/>
        </w:rPr>
        <w:lastRenderedPageBreak/>
        <w:t xml:space="preserve">V. </w:t>
      </w:r>
      <w:r w:rsidRPr="004104D0">
        <w:rPr>
          <w:rFonts w:asciiTheme="majorHAnsi" w:hAnsiTheme="majorHAnsi"/>
          <w:b/>
          <w:sz w:val="20"/>
          <w:szCs w:val="20"/>
          <w:lang w:val="es-ES_tradnl"/>
        </w:rPr>
        <w:tab/>
      </w:r>
      <w:r w:rsidR="003239B8" w:rsidRPr="004104D0">
        <w:rPr>
          <w:rFonts w:asciiTheme="majorHAnsi" w:hAnsiTheme="majorHAnsi"/>
          <w:b/>
          <w:sz w:val="20"/>
          <w:szCs w:val="20"/>
          <w:lang w:val="es-ES_tradnl"/>
        </w:rPr>
        <w:t xml:space="preserve">HECHOS ALEGADOS </w:t>
      </w:r>
    </w:p>
    <w:p w:rsidR="00F3374A" w:rsidRPr="004104D0" w:rsidRDefault="00F3374A" w:rsidP="004104D0">
      <w:pPr>
        <w:ind w:firstLine="720"/>
        <w:jc w:val="both"/>
        <w:rPr>
          <w:rFonts w:asciiTheme="majorHAnsi" w:hAnsiTheme="majorHAnsi"/>
          <w:b/>
          <w:sz w:val="20"/>
          <w:szCs w:val="20"/>
          <w:lang w:val="es-ES_tradnl"/>
        </w:rPr>
      </w:pPr>
    </w:p>
    <w:p w:rsidR="00C26CDC" w:rsidRDefault="00A82B01" w:rsidP="004104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4104D0">
        <w:rPr>
          <w:rFonts w:asciiTheme="majorHAnsi" w:hAnsiTheme="majorHAnsi"/>
          <w:sz w:val="20"/>
          <w:szCs w:val="20"/>
          <w:lang w:val="es-ES_tradnl"/>
        </w:rPr>
        <w:t xml:space="preserve">1. </w:t>
      </w:r>
      <w:r w:rsidR="00945FD1" w:rsidRPr="004104D0">
        <w:rPr>
          <w:rFonts w:asciiTheme="majorHAnsi" w:hAnsiTheme="majorHAnsi"/>
          <w:sz w:val="20"/>
          <w:szCs w:val="20"/>
          <w:lang w:val="es-ES_tradnl"/>
        </w:rPr>
        <w:tab/>
      </w:r>
      <w:r w:rsidR="006179ED" w:rsidRPr="004104D0">
        <w:rPr>
          <w:rFonts w:asciiTheme="majorHAnsi" w:hAnsiTheme="majorHAnsi"/>
          <w:sz w:val="20"/>
          <w:szCs w:val="20"/>
          <w:lang w:val="es-ES_tradnl"/>
        </w:rPr>
        <w:t xml:space="preserve">El peticionario </w:t>
      </w:r>
      <w:r w:rsidR="00C26CDC" w:rsidRPr="004104D0">
        <w:rPr>
          <w:rFonts w:asciiTheme="majorHAnsi" w:hAnsiTheme="majorHAnsi"/>
          <w:sz w:val="20"/>
          <w:szCs w:val="20"/>
          <w:lang w:val="es-ES_tradnl"/>
        </w:rPr>
        <w:t xml:space="preserve">(en adelante también “la presunta víctima”) </w:t>
      </w:r>
      <w:r w:rsidR="006370CB" w:rsidRPr="004104D0">
        <w:rPr>
          <w:rFonts w:asciiTheme="majorHAnsi" w:hAnsiTheme="majorHAnsi"/>
          <w:sz w:val="20"/>
          <w:szCs w:val="20"/>
          <w:lang w:val="es-ES_tradnl"/>
        </w:rPr>
        <w:t xml:space="preserve">alega </w:t>
      </w:r>
      <w:r w:rsidR="006762E5" w:rsidRPr="004104D0">
        <w:rPr>
          <w:rFonts w:asciiTheme="majorHAnsi" w:hAnsiTheme="majorHAnsi"/>
          <w:sz w:val="20"/>
          <w:szCs w:val="20"/>
          <w:lang w:val="es-ES_tradnl"/>
        </w:rPr>
        <w:t xml:space="preserve">que </w:t>
      </w:r>
      <w:r w:rsidR="006179ED" w:rsidRPr="004104D0">
        <w:rPr>
          <w:rFonts w:asciiTheme="majorHAnsi" w:hAnsiTheme="majorHAnsi"/>
          <w:sz w:val="20"/>
          <w:szCs w:val="20"/>
          <w:lang w:val="es-ES_tradnl"/>
        </w:rPr>
        <w:t xml:space="preserve">el Estado vulneró sus derechos </w:t>
      </w:r>
      <w:r w:rsidR="006370CB" w:rsidRPr="004104D0">
        <w:rPr>
          <w:rFonts w:asciiTheme="majorHAnsi" w:hAnsiTheme="majorHAnsi"/>
          <w:sz w:val="20"/>
          <w:szCs w:val="20"/>
          <w:lang w:val="es-ES_tradnl"/>
        </w:rPr>
        <w:t xml:space="preserve">al </w:t>
      </w:r>
      <w:r w:rsidR="005C1DE4" w:rsidRPr="004104D0">
        <w:rPr>
          <w:rFonts w:asciiTheme="majorHAnsi" w:hAnsiTheme="majorHAnsi"/>
          <w:sz w:val="20"/>
          <w:szCs w:val="20"/>
          <w:lang w:val="es-ES_tradnl"/>
        </w:rPr>
        <w:t xml:space="preserve">haberlo removido arbitrariamente del cargo de Magistrado Numerario, </w:t>
      </w:r>
      <w:r w:rsidR="00D36693" w:rsidRPr="004104D0">
        <w:rPr>
          <w:rFonts w:asciiTheme="majorHAnsi" w:hAnsiTheme="majorHAnsi"/>
          <w:sz w:val="20"/>
          <w:szCs w:val="20"/>
          <w:lang w:val="es-ES_tradnl"/>
        </w:rPr>
        <w:t xml:space="preserve">del Tribunal Superior de Justicia del estado de Baja California; </w:t>
      </w:r>
      <w:r w:rsidR="005C1DE4" w:rsidRPr="004104D0">
        <w:rPr>
          <w:rFonts w:asciiTheme="majorHAnsi" w:hAnsiTheme="majorHAnsi"/>
          <w:sz w:val="20"/>
          <w:szCs w:val="20"/>
          <w:lang w:val="es-ES_tradnl"/>
        </w:rPr>
        <w:t xml:space="preserve">y también en virtud de </w:t>
      </w:r>
      <w:r w:rsidR="006150D1" w:rsidRPr="004104D0">
        <w:rPr>
          <w:rFonts w:asciiTheme="majorHAnsi" w:hAnsiTheme="majorHAnsi"/>
          <w:sz w:val="20"/>
          <w:szCs w:val="20"/>
          <w:lang w:val="es-ES_tradnl"/>
        </w:rPr>
        <w:t>ciert</w:t>
      </w:r>
      <w:r w:rsidR="006179ED" w:rsidRPr="004104D0">
        <w:rPr>
          <w:rFonts w:asciiTheme="majorHAnsi" w:hAnsiTheme="majorHAnsi"/>
          <w:sz w:val="20"/>
          <w:szCs w:val="20"/>
          <w:lang w:val="es-ES_tradnl"/>
        </w:rPr>
        <w:t>as decisiones adoptadas por la Suprema Corte de Justicia de la Nación</w:t>
      </w:r>
      <w:r w:rsidR="006150D1" w:rsidRPr="004104D0">
        <w:rPr>
          <w:rFonts w:asciiTheme="majorHAnsi" w:hAnsiTheme="majorHAnsi"/>
          <w:sz w:val="20"/>
          <w:szCs w:val="20"/>
          <w:lang w:val="es-ES_tradnl"/>
        </w:rPr>
        <w:t xml:space="preserve"> </w:t>
      </w:r>
      <w:r w:rsidR="00DE3959" w:rsidRPr="004104D0">
        <w:rPr>
          <w:rFonts w:asciiTheme="majorHAnsi" w:hAnsiTheme="majorHAnsi"/>
          <w:sz w:val="20"/>
          <w:szCs w:val="20"/>
          <w:lang w:val="es-ES_tradnl"/>
        </w:rPr>
        <w:t>en</w:t>
      </w:r>
      <w:r w:rsidR="006150D1" w:rsidRPr="004104D0">
        <w:rPr>
          <w:rFonts w:asciiTheme="majorHAnsi" w:hAnsiTheme="majorHAnsi"/>
          <w:sz w:val="20"/>
          <w:szCs w:val="20"/>
          <w:lang w:val="es-ES_tradnl"/>
        </w:rPr>
        <w:t xml:space="preserve"> los procesos por él iniciados mediante recurso</w:t>
      </w:r>
      <w:r w:rsidR="005C1DE4" w:rsidRPr="004104D0">
        <w:rPr>
          <w:rFonts w:asciiTheme="majorHAnsi" w:hAnsiTheme="majorHAnsi"/>
          <w:sz w:val="20"/>
          <w:szCs w:val="20"/>
          <w:lang w:val="es-ES_tradnl"/>
        </w:rPr>
        <w:t>s</w:t>
      </w:r>
      <w:r w:rsidR="006150D1" w:rsidRPr="004104D0">
        <w:rPr>
          <w:rFonts w:asciiTheme="majorHAnsi" w:hAnsiTheme="majorHAnsi"/>
          <w:sz w:val="20"/>
          <w:szCs w:val="20"/>
          <w:lang w:val="es-ES_tradnl"/>
        </w:rPr>
        <w:t xml:space="preserve"> de queja y de amparo. </w:t>
      </w:r>
    </w:p>
    <w:p w:rsidR="00F3374A" w:rsidRPr="004104D0" w:rsidRDefault="00F3374A" w:rsidP="004104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rsidR="002D60D3" w:rsidRDefault="00C26CDC" w:rsidP="004104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4104D0">
        <w:rPr>
          <w:rFonts w:asciiTheme="majorHAnsi" w:hAnsiTheme="majorHAnsi"/>
          <w:sz w:val="20"/>
          <w:szCs w:val="20"/>
          <w:lang w:val="es-ES_tradnl"/>
        </w:rPr>
        <w:t>2.</w:t>
      </w:r>
      <w:r w:rsidRPr="004104D0">
        <w:rPr>
          <w:rFonts w:asciiTheme="majorHAnsi" w:hAnsiTheme="majorHAnsi"/>
          <w:sz w:val="20"/>
          <w:szCs w:val="20"/>
          <w:lang w:val="es-ES_tradnl"/>
        </w:rPr>
        <w:tab/>
        <w:t>El peticionario narra</w:t>
      </w:r>
      <w:r w:rsidR="00D36693" w:rsidRPr="004104D0">
        <w:rPr>
          <w:rFonts w:asciiTheme="majorHAnsi" w:hAnsiTheme="majorHAnsi"/>
          <w:sz w:val="20"/>
          <w:szCs w:val="20"/>
          <w:lang w:val="es-ES_tradnl"/>
        </w:rPr>
        <w:t xml:space="preserve">, como antecedente y causa de su destitución, que </w:t>
      </w:r>
      <w:r w:rsidR="006150D1" w:rsidRPr="004104D0">
        <w:rPr>
          <w:rFonts w:asciiTheme="majorHAnsi" w:hAnsiTheme="majorHAnsi"/>
          <w:sz w:val="20"/>
          <w:szCs w:val="20"/>
          <w:lang w:val="es-ES_tradnl"/>
        </w:rPr>
        <w:t xml:space="preserve">el </w:t>
      </w:r>
      <w:r w:rsidR="00765153" w:rsidRPr="004104D0">
        <w:rPr>
          <w:rFonts w:asciiTheme="majorHAnsi" w:hAnsiTheme="majorHAnsi"/>
          <w:sz w:val="20"/>
          <w:szCs w:val="20"/>
          <w:lang w:val="es-ES_tradnl"/>
        </w:rPr>
        <w:t>Sr.</w:t>
      </w:r>
      <w:r w:rsidR="006150D1" w:rsidRPr="004104D0">
        <w:rPr>
          <w:rFonts w:asciiTheme="majorHAnsi" w:hAnsiTheme="majorHAnsi"/>
          <w:sz w:val="20"/>
          <w:szCs w:val="20"/>
          <w:lang w:val="es-ES_tradnl"/>
        </w:rPr>
        <w:t xml:space="preserve"> José Jesús Espinoza</w:t>
      </w:r>
      <w:r w:rsidR="00D8340D" w:rsidRPr="004104D0">
        <w:rPr>
          <w:rFonts w:asciiTheme="majorHAnsi" w:hAnsiTheme="majorHAnsi"/>
          <w:sz w:val="20"/>
          <w:szCs w:val="20"/>
          <w:lang w:val="es-ES_tradnl"/>
        </w:rPr>
        <w:t xml:space="preserve">, </w:t>
      </w:r>
      <w:r w:rsidR="00D36693" w:rsidRPr="004104D0">
        <w:rPr>
          <w:rFonts w:asciiTheme="majorHAnsi" w:hAnsiTheme="majorHAnsi"/>
          <w:sz w:val="20"/>
          <w:szCs w:val="20"/>
          <w:lang w:val="es-ES_tradnl"/>
        </w:rPr>
        <w:t>otro ex magistrado numerario</w:t>
      </w:r>
      <w:r w:rsidR="0040066E" w:rsidRPr="004104D0">
        <w:rPr>
          <w:rFonts w:asciiTheme="majorHAnsi" w:hAnsiTheme="majorHAnsi"/>
          <w:sz w:val="20"/>
          <w:szCs w:val="20"/>
          <w:lang w:val="es-ES_tradnl"/>
        </w:rPr>
        <w:t>,</w:t>
      </w:r>
      <w:r w:rsidR="00D36693" w:rsidRPr="004104D0">
        <w:rPr>
          <w:rFonts w:asciiTheme="majorHAnsi" w:hAnsiTheme="majorHAnsi"/>
          <w:sz w:val="20"/>
          <w:szCs w:val="20"/>
          <w:lang w:val="es-ES_tradnl"/>
        </w:rPr>
        <w:t xml:space="preserve"> que </w:t>
      </w:r>
      <w:r w:rsidR="006150D1" w:rsidRPr="004104D0">
        <w:rPr>
          <w:rFonts w:asciiTheme="majorHAnsi" w:hAnsiTheme="majorHAnsi"/>
          <w:sz w:val="20"/>
          <w:szCs w:val="20"/>
          <w:lang w:val="es-ES_tradnl"/>
        </w:rPr>
        <w:t xml:space="preserve">no </w:t>
      </w:r>
      <w:r w:rsidR="00DF7DF8" w:rsidRPr="004104D0">
        <w:rPr>
          <w:rFonts w:asciiTheme="majorHAnsi" w:hAnsiTheme="majorHAnsi"/>
          <w:sz w:val="20"/>
          <w:szCs w:val="20"/>
          <w:lang w:val="es-ES_tradnl"/>
        </w:rPr>
        <w:t xml:space="preserve">había sido </w:t>
      </w:r>
      <w:r w:rsidR="006150D1" w:rsidRPr="004104D0">
        <w:rPr>
          <w:rFonts w:asciiTheme="majorHAnsi" w:hAnsiTheme="majorHAnsi"/>
          <w:sz w:val="20"/>
          <w:szCs w:val="20"/>
          <w:lang w:val="es-ES_tradnl"/>
        </w:rPr>
        <w:t xml:space="preserve">ratificado en </w:t>
      </w:r>
      <w:r w:rsidR="00D36693" w:rsidRPr="004104D0">
        <w:rPr>
          <w:rFonts w:asciiTheme="majorHAnsi" w:hAnsiTheme="majorHAnsi"/>
          <w:sz w:val="20"/>
          <w:szCs w:val="20"/>
          <w:lang w:val="es-ES_tradnl"/>
        </w:rPr>
        <w:t>su</w:t>
      </w:r>
      <w:r w:rsidR="006150D1" w:rsidRPr="004104D0">
        <w:rPr>
          <w:rFonts w:asciiTheme="majorHAnsi" w:hAnsiTheme="majorHAnsi"/>
          <w:sz w:val="20"/>
          <w:szCs w:val="20"/>
          <w:lang w:val="es-ES_tradnl"/>
        </w:rPr>
        <w:t xml:space="preserve"> cargo</w:t>
      </w:r>
      <w:r w:rsidR="0040066E" w:rsidRPr="004104D0">
        <w:rPr>
          <w:rFonts w:asciiTheme="majorHAnsi" w:hAnsiTheme="majorHAnsi"/>
          <w:sz w:val="20"/>
          <w:szCs w:val="20"/>
          <w:lang w:val="es-ES_tradnl"/>
        </w:rPr>
        <w:t>,</w:t>
      </w:r>
      <w:r w:rsidR="006150D1" w:rsidRPr="004104D0">
        <w:rPr>
          <w:rFonts w:asciiTheme="majorHAnsi" w:hAnsiTheme="majorHAnsi"/>
          <w:sz w:val="20"/>
          <w:szCs w:val="20"/>
          <w:lang w:val="es-ES_tradnl"/>
        </w:rPr>
        <w:t xml:space="preserve"> interpuso una acción de amparo</w:t>
      </w:r>
      <w:r w:rsidR="00D8340D" w:rsidRPr="004104D0">
        <w:rPr>
          <w:rFonts w:asciiTheme="majorHAnsi" w:hAnsiTheme="majorHAnsi"/>
          <w:sz w:val="20"/>
          <w:szCs w:val="20"/>
          <w:lang w:val="es-ES_tradnl"/>
        </w:rPr>
        <w:t xml:space="preserve"> </w:t>
      </w:r>
      <w:r w:rsidR="00D36693" w:rsidRPr="004104D0">
        <w:rPr>
          <w:rFonts w:asciiTheme="majorHAnsi" w:hAnsiTheme="majorHAnsi"/>
          <w:sz w:val="20"/>
          <w:szCs w:val="20"/>
          <w:lang w:val="es-ES_tradnl"/>
        </w:rPr>
        <w:t>que</w:t>
      </w:r>
      <w:r w:rsidR="006150D1" w:rsidRPr="004104D0">
        <w:rPr>
          <w:rFonts w:asciiTheme="majorHAnsi" w:hAnsiTheme="majorHAnsi"/>
          <w:sz w:val="20"/>
          <w:szCs w:val="20"/>
          <w:lang w:val="es-ES_tradnl"/>
        </w:rPr>
        <w:t xml:space="preserve"> le fue concedida el 28 de abril de 2004, ordenándose en </w:t>
      </w:r>
      <w:r w:rsidR="00D36693" w:rsidRPr="004104D0">
        <w:rPr>
          <w:rFonts w:asciiTheme="majorHAnsi" w:hAnsiTheme="majorHAnsi"/>
          <w:sz w:val="20"/>
          <w:szCs w:val="20"/>
          <w:lang w:val="es-ES_tradnl"/>
        </w:rPr>
        <w:t>dicha</w:t>
      </w:r>
      <w:r w:rsidR="006150D1" w:rsidRPr="004104D0">
        <w:rPr>
          <w:rFonts w:asciiTheme="majorHAnsi" w:hAnsiTheme="majorHAnsi"/>
          <w:sz w:val="20"/>
          <w:szCs w:val="20"/>
          <w:lang w:val="es-ES_tradnl"/>
        </w:rPr>
        <w:t xml:space="preserve"> sentencia que </w:t>
      </w:r>
      <w:r w:rsidR="00DF7DF8" w:rsidRPr="004104D0">
        <w:rPr>
          <w:rFonts w:asciiTheme="majorHAnsi" w:hAnsiTheme="majorHAnsi"/>
          <w:sz w:val="20"/>
          <w:szCs w:val="20"/>
          <w:lang w:val="es-ES_tradnl"/>
        </w:rPr>
        <w:t xml:space="preserve">el Congreso </w:t>
      </w:r>
      <w:r w:rsidR="00D36693" w:rsidRPr="004104D0">
        <w:rPr>
          <w:rFonts w:asciiTheme="majorHAnsi" w:hAnsiTheme="majorHAnsi"/>
          <w:sz w:val="20"/>
          <w:szCs w:val="20"/>
          <w:lang w:val="es-ES_tradnl"/>
        </w:rPr>
        <w:t xml:space="preserve">estadual </w:t>
      </w:r>
      <w:r w:rsidR="006150D1" w:rsidRPr="004104D0">
        <w:rPr>
          <w:rFonts w:asciiTheme="majorHAnsi" w:hAnsiTheme="majorHAnsi"/>
          <w:sz w:val="20"/>
          <w:szCs w:val="20"/>
          <w:lang w:val="es-ES_tradnl"/>
        </w:rPr>
        <w:t>adoptara una nueva decisión en la que s</w:t>
      </w:r>
      <w:r w:rsidR="00D36693" w:rsidRPr="004104D0">
        <w:rPr>
          <w:rFonts w:asciiTheme="majorHAnsi" w:hAnsiTheme="majorHAnsi"/>
          <w:sz w:val="20"/>
          <w:szCs w:val="20"/>
          <w:lang w:val="es-ES_tradnl"/>
        </w:rPr>
        <w:t>í</w:t>
      </w:r>
      <w:r w:rsidR="006150D1" w:rsidRPr="004104D0">
        <w:rPr>
          <w:rFonts w:asciiTheme="majorHAnsi" w:hAnsiTheme="majorHAnsi"/>
          <w:sz w:val="20"/>
          <w:szCs w:val="20"/>
          <w:lang w:val="es-ES_tradnl"/>
        </w:rPr>
        <w:t xml:space="preserve"> </w:t>
      </w:r>
      <w:r w:rsidR="00D36693" w:rsidRPr="004104D0">
        <w:rPr>
          <w:rFonts w:asciiTheme="majorHAnsi" w:hAnsiTheme="majorHAnsi"/>
          <w:sz w:val="20"/>
          <w:szCs w:val="20"/>
          <w:lang w:val="es-ES_tradnl"/>
        </w:rPr>
        <w:t xml:space="preserve">se </w:t>
      </w:r>
      <w:r w:rsidR="006150D1" w:rsidRPr="004104D0">
        <w:rPr>
          <w:rFonts w:asciiTheme="majorHAnsi" w:hAnsiTheme="majorHAnsi"/>
          <w:sz w:val="20"/>
          <w:szCs w:val="20"/>
          <w:lang w:val="es-ES_tradnl"/>
        </w:rPr>
        <w:t xml:space="preserve">le ratificara en el cargo, lo </w:t>
      </w:r>
      <w:r w:rsidR="000A409D" w:rsidRPr="004104D0">
        <w:rPr>
          <w:rFonts w:asciiTheme="majorHAnsi" w:hAnsiTheme="majorHAnsi"/>
          <w:sz w:val="20"/>
          <w:szCs w:val="20"/>
          <w:lang w:val="es-ES_tradnl"/>
        </w:rPr>
        <w:t>que</w:t>
      </w:r>
      <w:r w:rsidR="006150D1" w:rsidRPr="004104D0">
        <w:rPr>
          <w:rFonts w:asciiTheme="majorHAnsi" w:hAnsiTheme="majorHAnsi"/>
          <w:sz w:val="20"/>
          <w:szCs w:val="20"/>
          <w:lang w:val="es-ES_tradnl"/>
        </w:rPr>
        <w:t xml:space="preserve"> efectivamente hizo </w:t>
      </w:r>
      <w:r w:rsidR="000A409D" w:rsidRPr="004104D0">
        <w:rPr>
          <w:rFonts w:asciiTheme="majorHAnsi" w:hAnsiTheme="majorHAnsi"/>
          <w:sz w:val="20"/>
          <w:szCs w:val="20"/>
          <w:lang w:val="es-ES_tradnl"/>
        </w:rPr>
        <w:t xml:space="preserve">el Congreso </w:t>
      </w:r>
      <w:r w:rsidR="006150D1" w:rsidRPr="004104D0">
        <w:rPr>
          <w:rFonts w:asciiTheme="majorHAnsi" w:hAnsiTheme="majorHAnsi"/>
          <w:sz w:val="20"/>
          <w:szCs w:val="20"/>
          <w:lang w:val="es-ES_tradnl"/>
        </w:rPr>
        <w:t>mediante el Dictamen No. 16</w:t>
      </w:r>
      <w:r w:rsidR="0040066E" w:rsidRPr="004104D0">
        <w:rPr>
          <w:rFonts w:asciiTheme="majorHAnsi" w:hAnsiTheme="majorHAnsi"/>
          <w:sz w:val="20"/>
          <w:szCs w:val="20"/>
          <w:lang w:val="es-ES_tradnl"/>
        </w:rPr>
        <w:t>/05</w:t>
      </w:r>
      <w:r w:rsidR="006150D1" w:rsidRPr="004104D0">
        <w:rPr>
          <w:rFonts w:asciiTheme="majorHAnsi" w:hAnsiTheme="majorHAnsi"/>
          <w:sz w:val="20"/>
          <w:szCs w:val="20"/>
          <w:lang w:val="es-ES_tradnl"/>
        </w:rPr>
        <w:t xml:space="preserve"> del 25 de enero de 2005. </w:t>
      </w:r>
      <w:r w:rsidR="002D60D3" w:rsidRPr="004104D0">
        <w:rPr>
          <w:rFonts w:asciiTheme="majorHAnsi" w:hAnsiTheme="majorHAnsi"/>
          <w:sz w:val="20"/>
          <w:szCs w:val="20"/>
          <w:lang w:val="es-ES_tradnl"/>
        </w:rPr>
        <w:t xml:space="preserve">Así, en virtud de </w:t>
      </w:r>
      <w:r w:rsidR="005E5699" w:rsidRPr="004104D0">
        <w:rPr>
          <w:rFonts w:asciiTheme="majorHAnsi" w:hAnsiTheme="majorHAnsi"/>
          <w:sz w:val="20"/>
          <w:szCs w:val="20"/>
          <w:lang w:val="es-ES_tradnl"/>
        </w:rPr>
        <w:t>esta</w:t>
      </w:r>
      <w:r w:rsidR="002D60D3" w:rsidRPr="004104D0">
        <w:rPr>
          <w:rFonts w:asciiTheme="majorHAnsi" w:hAnsiTheme="majorHAnsi"/>
          <w:sz w:val="20"/>
          <w:szCs w:val="20"/>
          <w:lang w:val="es-ES_tradnl"/>
        </w:rPr>
        <w:t xml:space="preserve"> sentencia de amparo del 28 de abril</w:t>
      </w:r>
      <w:r w:rsidR="005E5699" w:rsidRPr="004104D0">
        <w:rPr>
          <w:rFonts w:asciiTheme="majorHAnsi" w:hAnsiTheme="majorHAnsi"/>
          <w:sz w:val="20"/>
          <w:szCs w:val="20"/>
          <w:lang w:val="es-ES_tradnl"/>
        </w:rPr>
        <w:t xml:space="preserve"> de 2004</w:t>
      </w:r>
      <w:r w:rsidR="002D60D3" w:rsidRPr="004104D0">
        <w:rPr>
          <w:rFonts w:asciiTheme="majorHAnsi" w:hAnsiTheme="majorHAnsi"/>
          <w:sz w:val="20"/>
          <w:szCs w:val="20"/>
          <w:lang w:val="es-ES_tradnl"/>
        </w:rPr>
        <w:t xml:space="preserve">, todos los actos posteriores a la no ratificación del Magistrado Espinoza fueron dejados sin efectos, incluyendo el Dictamen No. 355 </w:t>
      </w:r>
      <w:r w:rsidR="005E5699" w:rsidRPr="004104D0">
        <w:rPr>
          <w:rFonts w:asciiTheme="majorHAnsi" w:hAnsiTheme="majorHAnsi"/>
          <w:sz w:val="20"/>
          <w:szCs w:val="20"/>
          <w:lang w:val="es-ES_tradnl"/>
        </w:rPr>
        <w:t xml:space="preserve">de </w:t>
      </w:r>
      <w:r w:rsidR="00943C9B" w:rsidRPr="004104D0">
        <w:rPr>
          <w:rFonts w:asciiTheme="majorHAnsi" w:hAnsiTheme="majorHAnsi"/>
          <w:sz w:val="20"/>
          <w:szCs w:val="20"/>
          <w:lang w:val="es-ES_tradnl"/>
        </w:rPr>
        <w:t xml:space="preserve">2001 </w:t>
      </w:r>
      <w:r w:rsidR="002D60D3" w:rsidRPr="004104D0">
        <w:rPr>
          <w:rFonts w:asciiTheme="majorHAnsi" w:hAnsiTheme="majorHAnsi"/>
          <w:sz w:val="20"/>
          <w:szCs w:val="20"/>
          <w:lang w:val="es-ES_tradnl"/>
        </w:rPr>
        <w:t xml:space="preserve">que </w:t>
      </w:r>
      <w:r w:rsidR="005E5699" w:rsidRPr="004104D0">
        <w:rPr>
          <w:rFonts w:asciiTheme="majorHAnsi" w:hAnsiTheme="majorHAnsi"/>
          <w:sz w:val="20"/>
          <w:szCs w:val="20"/>
          <w:lang w:val="es-ES_tradnl"/>
        </w:rPr>
        <w:t>había nombrado</w:t>
      </w:r>
      <w:r w:rsidR="002D60D3" w:rsidRPr="004104D0">
        <w:rPr>
          <w:rFonts w:asciiTheme="majorHAnsi" w:hAnsiTheme="majorHAnsi"/>
          <w:sz w:val="20"/>
          <w:szCs w:val="20"/>
          <w:lang w:val="es-ES_tradnl"/>
        </w:rPr>
        <w:t xml:space="preserve"> magistrado numerario al peticionario.</w:t>
      </w:r>
    </w:p>
    <w:p w:rsidR="00F3374A" w:rsidRPr="004104D0" w:rsidRDefault="00F3374A" w:rsidP="004104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rsidR="00AD0E5D" w:rsidRDefault="002D60D3" w:rsidP="004104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4104D0">
        <w:rPr>
          <w:rFonts w:asciiTheme="majorHAnsi" w:hAnsiTheme="majorHAnsi"/>
          <w:sz w:val="20"/>
          <w:szCs w:val="20"/>
          <w:lang w:val="es-ES_tradnl"/>
        </w:rPr>
        <w:t>3.</w:t>
      </w:r>
      <w:r w:rsidRPr="004104D0">
        <w:rPr>
          <w:rFonts w:asciiTheme="majorHAnsi" w:hAnsiTheme="majorHAnsi"/>
          <w:sz w:val="20"/>
          <w:szCs w:val="20"/>
          <w:lang w:val="es-ES_tradnl"/>
        </w:rPr>
        <w:tab/>
        <w:t>Frente a este hecho</w:t>
      </w:r>
      <w:r w:rsidR="00F67E09" w:rsidRPr="004104D0">
        <w:rPr>
          <w:rFonts w:asciiTheme="majorHAnsi" w:hAnsiTheme="majorHAnsi"/>
          <w:sz w:val="20"/>
          <w:szCs w:val="20"/>
          <w:lang w:val="es-ES_tradnl"/>
        </w:rPr>
        <w:t>,</w:t>
      </w:r>
      <w:r w:rsidRPr="004104D0">
        <w:rPr>
          <w:rFonts w:asciiTheme="majorHAnsi" w:hAnsiTheme="majorHAnsi"/>
          <w:sz w:val="20"/>
          <w:szCs w:val="20"/>
          <w:lang w:val="es-ES_tradnl"/>
        </w:rPr>
        <w:t xml:space="preserve"> el peticionario </w:t>
      </w:r>
      <w:r w:rsidR="006150D1" w:rsidRPr="004104D0">
        <w:rPr>
          <w:rFonts w:asciiTheme="majorHAnsi" w:hAnsiTheme="majorHAnsi"/>
          <w:sz w:val="20"/>
          <w:szCs w:val="20"/>
          <w:lang w:val="es-ES_tradnl"/>
        </w:rPr>
        <w:t xml:space="preserve">interpuso </w:t>
      </w:r>
      <w:r w:rsidR="00943C9B" w:rsidRPr="004104D0">
        <w:rPr>
          <w:rFonts w:asciiTheme="majorHAnsi" w:hAnsiTheme="majorHAnsi"/>
          <w:sz w:val="20"/>
          <w:szCs w:val="20"/>
          <w:lang w:val="es-ES_tradnl"/>
        </w:rPr>
        <w:t xml:space="preserve">ante el Juzgado Segundo de Distrito de Baja California </w:t>
      </w:r>
      <w:r w:rsidR="006150D1" w:rsidRPr="004104D0">
        <w:rPr>
          <w:rFonts w:asciiTheme="majorHAnsi" w:hAnsiTheme="majorHAnsi"/>
          <w:sz w:val="20"/>
          <w:szCs w:val="20"/>
          <w:lang w:val="es-ES_tradnl"/>
        </w:rPr>
        <w:t>un recurso de queja</w:t>
      </w:r>
      <w:r w:rsidR="00D8340D" w:rsidRPr="004104D0">
        <w:rPr>
          <w:rFonts w:asciiTheme="majorHAnsi" w:hAnsiTheme="majorHAnsi"/>
          <w:sz w:val="20"/>
          <w:szCs w:val="20"/>
          <w:lang w:val="es-ES_tradnl"/>
        </w:rPr>
        <w:t xml:space="preserve"> </w:t>
      </w:r>
      <w:r w:rsidR="006150D1" w:rsidRPr="004104D0">
        <w:rPr>
          <w:rFonts w:asciiTheme="majorHAnsi" w:hAnsiTheme="majorHAnsi"/>
          <w:sz w:val="20"/>
          <w:szCs w:val="20"/>
          <w:lang w:val="es-ES_tradnl"/>
        </w:rPr>
        <w:t>por exceso en el cumplimiento de la sentencia de amparo</w:t>
      </w:r>
      <w:r w:rsidRPr="004104D0">
        <w:rPr>
          <w:rFonts w:asciiTheme="majorHAnsi" w:hAnsiTheme="majorHAnsi"/>
          <w:sz w:val="20"/>
          <w:szCs w:val="20"/>
          <w:lang w:val="es-ES_tradnl"/>
        </w:rPr>
        <w:t>,</w:t>
      </w:r>
      <w:r w:rsidR="006150D1" w:rsidRPr="004104D0">
        <w:rPr>
          <w:rFonts w:asciiTheme="majorHAnsi" w:hAnsiTheme="majorHAnsi"/>
          <w:sz w:val="20"/>
          <w:szCs w:val="20"/>
          <w:lang w:val="es-ES_tradnl"/>
        </w:rPr>
        <w:t xml:space="preserve"> </w:t>
      </w:r>
      <w:r w:rsidRPr="004104D0">
        <w:rPr>
          <w:rFonts w:asciiTheme="majorHAnsi" w:hAnsiTheme="majorHAnsi"/>
          <w:sz w:val="20"/>
          <w:szCs w:val="20"/>
          <w:lang w:val="es-ES_tradnl"/>
        </w:rPr>
        <w:t>el cual</w:t>
      </w:r>
      <w:r w:rsidR="006150D1" w:rsidRPr="004104D0">
        <w:rPr>
          <w:rFonts w:asciiTheme="majorHAnsi" w:hAnsiTheme="majorHAnsi"/>
          <w:sz w:val="20"/>
          <w:szCs w:val="20"/>
          <w:lang w:val="es-ES_tradnl"/>
        </w:rPr>
        <w:t xml:space="preserve"> fue declarado infundado el 30 de enero de 2006. Subsiguientemente interpuso un nuevo recurso de queja</w:t>
      </w:r>
      <w:r w:rsidR="009973AC" w:rsidRPr="004104D0">
        <w:rPr>
          <w:rFonts w:asciiTheme="majorHAnsi" w:hAnsiTheme="majorHAnsi"/>
          <w:sz w:val="20"/>
          <w:szCs w:val="20"/>
          <w:lang w:val="es-ES_tradnl"/>
        </w:rPr>
        <w:t>, denominado “queja de la queja o requeja”,</w:t>
      </w:r>
      <w:r w:rsidR="00AD0E5D" w:rsidRPr="004104D0">
        <w:rPr>
          <w:rFonts w:asciiTheme="majorHAnsi" w:hAnsiTheme="majorHAnsi"/>
          <w:sz w:val="20"/>
          <w:szCs w:val="20"/>
          <w:lang w:val="es-ES_tradnl"/>
        </w:rPr>
        <w:t xml:space="preserve"> </w:t>
      </w:r>
      <w:r w:rsidR="00943C9B" w:rsidRPr="004104D0">
        <w:rPr>
          <w:rFonts w:asciiTheme="majorHAnsi" w:hAnsiTheme="majorHAnsi"/>
          <w:sz w:val="20"/>
          <w:szCs w:val="20"/>
          <w:lang w:val="es-ES_tradnl"/>
        </w:rPr>
        <w:t>ante el Primer Tribunal Colegiado del Décimo Quinto Circuito</w:t>
      </w:r>
      <w:r w:rsidR="00D8340D" w:rsidRPr="004104D0">
        <w:rPr>
          <w:rFonts w:asciiTheme="majorHAnsi" w:hAnsiTheme="majorHAnsi"/>
          <w:sz w:val="20"/>
          <w:szCs w:val="20"/>
          <w:lang w:val="es-ES_tradnl"/>
        </w:rPr>
        <w:t xml:space="preserve"> </w:t>
      </w:r>
      <w:r w:rsidR="00AD0E5D" w:rsidRPr="004104D0">
        <w:rPr>
          <w:rFonts w:asciiTheme="majorHAnsi" w:hAnsiTheme="majorHAnsi"/>
          <w:sz w:val="20"/>
          <w:szCs w:val="20"/>
          <w:lang w:val="es-ES_tradnl"/>
        </w:rPr>
        <w:t>(</w:t>
      </w:r>
      <w:r w:rsidR="00D8340D" w:rsidRPr="004104D0">
        <w:rPr>
          <w:rFonts w:asciiTheme="majorHAnsi" w:hAnsiTheme="majorHAnsi"/>
          <w:sz w:val="20"/>
          <w:szCs w:val="20"/>
          <w:lang w:val="es-ES_tradnl"/>
        </w:rPr>
        <w:t>No. 14/2006-I</w:t>
      </w:r>
      <w:r w:rsidR="00AD0E5D" w:rsidRPr="004104D0">
        <w:rPr>
          <w:rFonts w:asciiTheme="majorHAnsi" w:hAnsiTheme="majorHAnsi"/>
          <w:sz w:val="20"/>
          <w:szCs w:val="20"/>
          <w:lang w:val="es-ES_tradnl"/>
        </w:rPr>
        <w:t>)</w:t>
      </w:r>
      <w:r w:rsidR="00D8340D" w:rsidRPr="004104D0">
        <w:rPr>
          <w:rFonts w:asciiTheme="majorHAnsi" w:hAnsiTheme="majorHAnsi"/>
          <w:sz w:val="20"/>
          <w:szCs w:val="20"/>
          <w:lang w:val="es-ES_tradnl"/>
        </w:rPr>
        <w:t xml:space="preserve">, el cual </w:t>
      </w:r>
      <w:r w:rsidR="00AD0E5D" w:rsidRPr="004104D0">
        <w:rPr>
          <w:rFonts w:asciiTheme="majorHAnsi" w:hAnsiTheme="majorHAnsi"/>
          <w:sz w:val="20"/>
          <w:szCs w:val="20"/>
          <w:lang w:val="es-ES_tradnl"/>
        </w:rPr>
        <w:t xml:space="preserve">sí </w:t>
      </w:r>
      <w:r w:rsidR="00D8340D" w:rsidRPr="004104D0">
        <w:rPr>
          <w:rFonts w:asciiTheme="majorHAnsi" w:hAnsiTheme="majorHAnsi"/>
          <w:sz w:val="20"/>
          <w:szCs w:val="20"/>
          <w:lang w:val="es-ES_tradnl"/>
        </w:rPr>
        <w:t>fue declarado fundado</w:t>
      </w:r>
      <w:r w:rsidR="00AD0E5D" w:rsidRPr="004104D0">
        <w:rPr>
          <w:rFonts w:asciiTheme="majorHAnsi" w:hAnsiTheme="majorHAnsi"/>
          <w:sz w:val="20"/>
          <w:szCs w:val="20"/>
          <w:lang w:val="es-ES_tradnl"/>
        </w:rPr>
        <w:t xml:space="preserve">, el 22 de marzo de 2006, </w:t>
      </w:r>
      <w:r w:rsidR="0097038F" w:rsidRPr="004104D0">
        <w:rPr>
          <w:rFonts w:asciiTheme="majorHAnsi" w:hAnsiTheme="majorHAnsi"/>
          <w:sz w:val="20"/>
          <w:szCs w:val="20"/>
          <w:lang w:val="es-ES_tradnl"/>
        </w:rPr>
        <w:t>disponiendo</w:t>
      </w:r>
      <w:r w:rsidR="00DD0CCF" w:rsidRPr="004104D0">
        <w:rPr>
          <w:rFonts w:asciiTheme="majorHAnsi" w:hAnsiTheme="majorHAnsi"/>
          <w:sz w:val="20"/>
          <w:szCs w:val="20"/>
          <w:lang w:val="es-ES_tradnl"/>
        </w:rPr>
        <w:t xml:space="preserve"> </w:t>
      </w:r>
      <w:r w:rsidR="00D8340D" w:rsidRPr="004104D0">
        <w:rPr>
          <w:rFonts w:asciiTheme="majorHAnsi" w:hAnsiTheme="majorHAnsi"/>
          <w:sz w:val="20"/>
          <w:szCs w:val="20"/>
          <w:lang w:val="es-ES_tradnl"/>
        </w:rPr>
        <w:t>que se dejara insubsistente el Dictamen No. 16/05</w:t>
      </w:r>
      <w:r w:rsidR="00DF7DF8" w:rsidRPr="004104D0">
        <w:rPr>
          <w:rFonts w:asciiTheme="majorHAnsi" w:hAnsiTheme="majorHAnsi"/>
          <w:sz w:val="20"/>
          <w:szCs w:val="20"/>
          <w:lang w:val="es-ES_tradnl"/>
        </w:rPr>
        <w:t xml:space="preserve"> del Congreso de Baja California</w:t>
      </w:r>
      <w:r w:rsidR="00D8340D" w:rsidRPr="004104D0">
        <w:rPr>
          <w:rFonts w:asciiTheme="majorHAnsi" w:hAnsiTheme="majorHAnsi"/>
          <w:sz w:val="20"/>
          <w:szCs w:val="20"/>
          <w:lang w:val="es-ES_tradnl"/>
        </w:rPr>
        <w:t xml:space="preserve"> y se restableciera </w:t>
      </w:r>
      <w:r w:rsidR="00DF7DF8" w:rsidRPr="004104D0">
        <w:rPr>
          <w:rFonts w:asciiTheme="majorHAnsi" w:hAnsiTheme="majorHAnsi"/>
          <w:sz w:val="20"/>
          <w:szCs w:val="20"/>
          <w:lang w:val="es-ES_tradnl"/>
        </w:rPr>
        <w:t xml:space="preserve">al </w:t>
      </w:r>
      <w:r w:rsidR="00AD0E5D" w:rsidRPr="004104D0">
        <w:rPr>
          <w:rFonts w:asciiTheme="majorHAnsi" w:hAnsiTheme="majorHAnsi"/>
          <w:sz w:val="20"/>
          <w:szCs w:val="20"/>
          <w:lang w:val="es-ES_tradnl"/>
        </w:rPr>
        <w:t>peticionario</w:t>
      </w:r>
      <w:r w:rsidR="00DF7DF8" w:rsidRPr="004104D0">
        <w:rPr>
          <w:rFonts w:asciiTheme="majorHAnsi" w:hAnsiTheme="majorHAnsi"/>
          <w:sz w:val="20"/>
          <w:szCs w:val="20"/>
          <w:lang w:val="es-ES_tradnl"/>
        </w:rPr>
        <w:t xml:space="preserve"> </w:t>
      </w:r>
      <w:r w:rsidR="00D8340D" w:rsidRPr="004104D0">
        <w:rPr>
          <w:rFonts w:asciiTheme="majorHAnsi" w:hAnsiTheme="majorHAnsi"/>
          <w:sz w:val="20"/>
          <w:szCs w:val="20"/>
          <w:lang w:val="es-ES_tradnl"/>
        </w:rPr>
        <w:t>en el cargo de magistrado</w:t>
      </w:r>
      <w:r w:rsidR="00DE3959" w:rsidRPr="004104D0">
        <w:rPr>
          <w:rFonts w:asciiTheme="majorHAnsi" w:hAnsiTheme="majorHAnsi"/>
          <w:sz w:val="20"/>
          <w:szCs w:val="20"/>
          <w:lang w:val="es-ES_tradnl"/>
        </w:rPr>
        <w:t xml:space="preserve"> </w:t>
      </w:r>
      <w:r w:rsidR="00AD0E5D" w:rsidRPr="004104D0">
        <w:rPr>
          <w:rFonts w:asciiTheme="majorHAnsi" w:hAnsiTheme="majorHAnsi"/>
          <w:sz w:val="20"/>
          <w:szCs w:val="20"/>
          <w:lang w:val="es-ES_tradnl"/>
        </w:rPr>
        <w:t>numerario</w:t>
      </w:r>
      <w:r w:rsidR="00D8340D" w:rsidRPr="004104D0">
        <w:rPr>
          <w:rFonts w:asciiTheme="majorHAnsi" w:hAnsiTheme="majorHAnsi"/>
          <w:sz w:val="20"/>
          <w:szCs w:val="20"/>
          <w:lang w:val="es-ES_tradnl"/>
        </w:rPr>
        <w:t>.</w:t>
      </w:r>
      <w:r w:rsidR="00943C9B" w:rsidRPr="004104D0">
        <w:rPr>
          <w:rFonts w:asciiTheme="majorHAnsi" w:hAnsiTheme="majorHAnsi"/>
          <w:sz w:val="20"/>
          <w:szCs w:val="20"/>
          <w:lang w:val="es-ES_tradnl"/>
        </w:rPr>
        <w:t xml:space="preserve"> El Congreso de Baja California emitió </w:t>
      </w:r>
      <w:r w:rsidR="004832FB" w:rsidRPr="004104D0">
        <w:rPr>
          <w:rFonts w:asciiTheme="majorHAnsi" w:hAnsiTheme="majorHAnsi"/>
          <w:sz w:val="20"/>
          <w:szCs w:val="20"/>
          <w:lang w:val="es-ES_tradnl"/>
        </w:rPr>
        <w:t xml:space="preserve">así </w:t>
      </w:r>
      <w:r w:rsidR="00943C9B" w:rsidRPr="004104D0">
        <w:rPr>
          <w:rFonts w:asciiTheme="majorHAnsi" w:hAnsiTheme="majorHAnsi"/>
          <w:sz w:val="20"/>
          <w:szCs w:val="20"/>
          <w:lang w:val="es-ES_tradnl"/>
        </w:rPr>
        <w:t xml:space="preserve">el Decreto No. 349 de 2007, </w:t>
      </w:r>
      <w:r w:rsidR="004832FB" w:rsidRPr="004104D0">
        <w:rPr>
          <w:rFonts w:asciiTheme="majorHAnsi" w:hAnsiTheme="majorHAnsi"/>
          <w:sz w:val="20"/>
          <w:szCs w:val="20"/>
          <w:lang w:val="es-ES_tradnl"/>
        </w:rPr>
        <w:t>que reinstalaba</w:t>
      </w:r>
      <w:r w:rsidR="00943C9B" w:rsidRPr="004104D0">
        <w:rPr>
          <w:rFonts w:asciiTheme="majorHAnsi" w:hAnsiTheme="majorHAnsi"/>
          <w:sz w:val="20"/>
          <w:szCs w:val="20"/>
          <w:lang w:val="es-ES_tradnl"/>
        </w:rPr>
        <w:t xml:space="preserve"> </w:t>
      </w:r>
      <w:r w:rsidR="004832FB" w:rsidRPr="004104D0">
        <w:rPr>
          <w:rFonts w:asciiTheme="majorHAnsi" w:hAnsiTheme="majorHAnsi"/>
          <w:sz w:val="20"/>
          <w:szCs w:val="20"/>
          <w:lang w:val="es-ES_tradnl"/>
        </w:rPr>
        <w:t xml:space="preserve">al </w:t>
      </w:r>
      <w:r w:rsidR="00943C9B" w:rsidRPr="004104D0">
        <w:rPr>
          <w:rFonts w:asciiTheme="majorHAnsi" w:hAnsiTheme="majorHAnsi"/>
          <w:sz w:val="20"/>
          <w:szCs w:val="20"/>
          <w:lang w:val="es-ES_tradnl"/>
        </w:rPr>
        <w:t xml:space="preserve">señor Palomino como </w:t>
      </w:r>
      <w:r w:rsidR="004832FB" w:rsidRPr="004104D0">
        <w:rPr>
          <w:rFonts w:asciiTheme="majorHAnsi" w:hAnsiTheme="majorHAnsi"/>
          <w:sz w:val="20"/>
          <w:szCs w:val="20"/>
          <w:lang w:val="es-ES_tradnl"/>
        </w:rPr>
        <w:t>m</w:t>
      </w:r>
      <w:r w:rsidR="00943C9B" w:rsidRPr="004104D0">
        <w:rPr>
          <w:rFonts w:asciiTheme="majorHAnsi" w:hAnsiTheme="majorHAnsi"/>
          <w:sz w:val="20"/>
          <w:szCs w:val="20"/>
          <w:lang w:val="es-ES_tradnl"/>
        </w:rPr>
        <w:t xml:space="preserve">agistrado </w:t>
      </w:r>
      <w:r w:rsidR="004832FB" w:rsidRPr="004104D0">
        <w:rPr>
          <w:rFonts w:asciiTheme="majorHAnsi" w:hAnsiTheme="majorHAnsi"/>
          <w:sz w:val="20"/>
          <w:szCs w:val="20"/>
          <w:lang w:val="es-ES_tradnl"/>
        </w:rPr>
        <w:t>n</w:t>
      </w:r>
      <w:r w:rsidR="00943C9B" w:rsidRPr="004104D0">
        <w:rPr>
          <w:rFonts w:asciiTheme="majorHAnsi" w:hAnsiTheme="majorHAnsi"/>
          <w:sz w:val="20"/>
          <w:szCs w:val="20"/>
          <w:lang w:val="es-ES_tradnl"/>
        </w:rPr>
        <w:t xml:space="preserve">umerario, </w:t>
      </w:r>
      <w:r w:rsidR="004832FB" w:rsidRPr="004104D0">
        <w:rPr>
          <w:rFonts w:asciiTheme="majorHAnsi" w:hAnsiTheme="majorHAnsi"/>
          <w:sz w:val="20"/>
          <w:szCs w:val="20"/>
          <w:lang w:val="es-ES_tradnl"/>
        </w:rPr>
        <w:t xml:space="preserve">y </w:t>
      </w:r>
      <w:r w:rsidR="0097038F" w:rsidRPr="004104D0">
        <w:rPr>
          <w:rFonts w:asciiTheme="majorHAnsi" w:hAnsiTheme="majorHAnsi"/>
          <w:sz w:val="20"/>
          <w:szCs w:val="20"/>
          <w:lang w:val="es-ES_tradnl"/>
        </w:rPr>
        <w:t>reconocía</w:t>
      </w:r>
      <w:r w:rsidR="00943C9B" w:rsidRPr="004104D0">
        <w:rPr>
          <w:rFonts w:asciiTheme="majorHAnsi" w:hAnsiTheme="majorHAnsi"/>
          <w:sz w:val="20"/>
          <w:szCs w:val="20"/>
          <w:lang w:val="es-ES_tradnl"/>
        </w:rPr>
        <w:t xml:space="preserve"> la restitución de los emolumentos correspondientes a su cargo. S</w:t>
      </w:r>
      <w:r w:rsidR="009973AC" w:rsidRPr="004104D0">
        <w:rPr>
          <w:rFonts w:asciiTheme="majorHAnsi" w:hAnsiTheme="majorHAnsi"/>
          <w:sz w:val="20"/>
          <w:szCs w:val="20"/>
          <w:lang w:val="es-ES_tradnl"/>
        </w:rPr>
        <w:t xml:space="preserve">in embargo, el Congreso solamente cumplió con la reinstalación </w:t>
      </w:r>
      <w:r w:rsidR="004832FB" w:rsidRPr="004104D0">
        <w:rPr>
          <w:rFonts w:asciiTheme="majorHAnsi" w:hAnsiTheme="majorHAnsi"/>
          <w:sz w:val="20"/>
          <w:szCs w:val="20"/>
          <w:lang w:val="es-ES_tradnl"/>
        </w:rPr>
        <w:t>del peticionario en su cargo judicial</w:t>
      </w:r>
      <w:r w:rsidR="009973AC" w:rsidRPr="004104D0">
        <w:rPr>
          <w:rFonts w:asciiTheme="majorHAnsi" w:hAnsiTheme="majorHAnsi"/>
          <w:sz w:val="20"/>
          <w:szCs w:val="20"/>
          <w:lang w:val="es-ES_tradnl"/>
        </w:rPr>
        <w:t xml:space="preserve">, pero no pagó </w:t>
      </w:r>
      <w:r w:rsidR="0097038F" w:rsidRPr="004104D0">
        <w:rPr>
          <w:rFonts w:asciiTheme="majorHAnsi" w:hAnsiTheme="majorHAnsi"/>
          <w:sz w:val="20"/>
          <w:szCs w:val="20"/>
          <w:lang w:val="es-ES_tradnl"/>
        </w:rPr>
        <w:t>los</w:t>
      </w:r>
      <w:r w:rsidR="009973AC" w:rsidRPr="004104D0">
        <w:rPr>
          <w:rFonts w:asciiTheme="majorHAnsi" w:hAnsiTheme="majorHAnsi"/>
          <w:sz w:val="20"/>
          <w:szCs w:val="20"/>
          <w:lang w:val="es-ES_tradnl"/>
        </w:rPr>
        <w:t xml:space="preserve"> emolumentos.</w:t>
      </w:r>
      <w:r w:rsidR="00943C9B" w:rsidRPr="004104D0">
        <w:rPr>
          <w:rFonts w:asciiTheme="majorHAnsi" w:hAnsiTheme="majorHAnsi"/>
          <w:sz w:val="20"/>
          <w:szCs w:val="20"/>
          <w:lang w:val="es-ES_tradnl"/>
        </w:rPr>
        <w:t xml:space="preserve"> </w:t>
      </w:r>
      <w:r w:rsidR="009973AC" w:rsidRPr="004104D0">
        <w:rPr>
          <w:rFonts w:asciiTheme="majorHAnsi" w:hAnsiTheme="majorHAnsi"/>
          <w:sz w:val="20"/>
          <w:szCs w:val="20"/>
          <w:lang w:val="es-ES_tradnl"/>
        </w:rPr>
        <w:t xml:space="preserve">En vista de ello, </w:t>
      </w:r>
      <w:r w:rsidR="00AD0E5D" w:rsidRPr="004104D0">
        <w:rPr>
          <w:rFonts w:asciiTheme="majorHAnsi" w:hAnsiTheme="majorHAnsi"/>
          <w:sz w:val="20"/>
          <w:szCs w:val="20"/>
          <w:lang w:val="es-ES_tradnl"/>
        </w:rPr>
        <w:t>el peticionario planteó</w:t>
      </w:r>
      <w:r w:rsidR="00D8340D" w:rsidRPr="004104D0">
        <w:rPr>
          <w:rFonts w:asciiTheme="majorHAnsi" w:hAnsiTheme="majorHAnsi"/>
          <w:sz w:val="20"/>
          <w:szCs w:val="20"/>
          <w:lang w:val="es-ES_tradnl"/>
        </w:rPr>
        <w:t xml:space="preserve"> un incidente de inejecución de sentencia </w:t>
      </w:r>
      <w:r w:rsidR="00E259C7" w:rsidRPr="004104D0">
        <w:rPr>
          <w:rFonts w:asciiTheme="majorHAnsi" w:hAnsiTheme="majorHAnsi"/>
          <w:sz w:val="20"/>
          <w:szCs w:val="20"/>
          <w:lang w:val="es-ES_tradnl"/>
        </w:rPr>
        <w:t>(No. 47/2007)</w:t>
      </w:r>
      <w:r w:rsidR="009973AC" w:rsidRPr="004104D0">
        <w:rPr>
          <w:rFonts w:asciiTheme="majorHAnsi" w:hAnsiTheme="majorHAnsi"/>
          <w:sz w:val="20"/>
          <w:szCs w:val="20"/>
          <w:lang w:val="es-ES_tradnl"/>
        </w:rPr>
        <w:t xml:space="preserve">, ante el Primer Tribunal Colegiado del Décimo Quinto Circuito, </w:t>
      </w:r>
      <w:r w:rsidR="0097038F" w:rsidRPr="004104D0">
        <w:rPr>
          <w:rFonts w:asciiTheme="majorHAnsi" w:hAnsiTheme="majorHAnsi"/>
          <w:sz w:val="20"/>
          <w:szCs w:val="20"/>
          <w:lang w:val="es-ES_tradnl"/>
        </w:rPr>
        <w:t>que lo remitió</w:t>
      </w:r>
      <w:r w:rsidR="009973AC" w:rsidRPr="004104D0">
        <w:rPr>
          <w:rFonts w:asciiTheme="majorHAnsi" w:hAnsiTheme="majorHAnsi"/>
          <w:sz w:val="20"/>
          <w:szCs w:val="20"/>
          <w:lang w:val="es-ES_tradnl"/>
        </w:rPr>
        <w:t xml:space="preserve"> a la </w:t>
      </w:r>
      <w:r w:rsidR="00D8340D" w:rsidRPr="004104D0">
        <w:rPr>
          <w:rFonts w:asciiTheme="majorHAnsi" w:hAnsiTheme="majorHAnsi"/>
          <w:sz w:val="20"/>
          <w:szCs w:val="20"/>
          <w:lang w:val="es-ES_tradnl"/>
        </w:rPr>
        <w:t>Suprema Corte de Justicia de la Nación</w:t>
      </w:r>
      <w:r w:rsidR="00AD0E5D" w:rsidRPr="004104D0">
        <w:rPr>
          <w:rFonts w:asciiTheme="majorHAnsi" w:hAnsiTheme="majorHAnsi"/>
          <w:sz w:val="20"/>
          <w:szCs w:val="20"/>
          <w:lang w:val="es-ES_tradnl"/>
        </w:rPr>
        <w:t xml:space="preserve">, la cual mediante sentencia del </w:t>
      </w:r>
      <w:r w:rsidR="00D8340D" w:rsidRPr="004104D0">
        <w:rPr>
          <w:rFonts w:asciiTheme="majorHAnsi" w:hAnsiTheme="majorHAnsi"/>
          <w:sz w:val="20"/>
          <w:szCs w:val="20"/>
          <w:lang w:val="es-ES_tradnl"/>
        </w:rPr>
        <w:t>4 de julio de 2007</w:t>
      </w:r>
      <w:r w:rsidR="00AD0E5D" w:rsidRPr="004104D0">
        <w:rPr>
          <w:rFonts w:asciiTheme="majorHAnsi" w:hAnsiTheme="majorHAnsi"/>
          <w:sz w:val="20"/>
          <w:szCs w:val="20"/>
          <w:lang w:val="es-ES_tradnl"/>
        </w:rPr>
        <w:t xml:space="preserve"> dejó</w:t>
      </w:r>
      <w:r w:rsidR="00D8340D" w:rsidRPr="004104D0">
        <w:rPr>
          <w:rFonts w:asciiTheme="majorHAnsi" w:hAnsiTheme="majorHAnsi"/>
          <w:sz w:val="20"/>
          <w:szCs w:val="20"/>
          <w:lang w:val="es-ES_tradnl"/>
        </w:rPr>
        <w:t xml:space="preserve"> sin efectos la sentencia dictada </w:t>
      </w:r>
      <w:r w:rsidR="004832FB" w:rsidRPr="004104D0">
        <w:rPr>
          <w:rFonts w:asciiTheme="majorHAnsi" w:hAnsiTheme="majorHAnsi"/>
          <w:sz w:val="20"/>
          <w:szCs w:val="20"/>
          <w:lang w:val="es-ES_tradnl"/>
        </w:rPr>
        <w:t>d</w:t>
      </w:r>
      <w:r w:rsidR="00DF7DF8" w:rsidRPr="004104D0">
        <w:rPr>
          <w:rFonts w:asciiTheme="majorHAnsi" w:hAnsiTheme="majorHAnsi"/>
          <w:sz w:val="20"/>
          <w:szCs w:val="20"/>
          <w:lang w:val="es-ES_tradnl"/>
        </w:rPr>
        <w:t xml:space="preserve">el 22 de marzo de 2006 </w:t>
      </w:r>
      <w:r w:rsidR="00D8340D" w:rsidRPr="004104D0">
        <w:rPr>
          <w:rFonts w:asciiTheme="majorHAnsi" w:hAnsiTheme="majorHAnsi"/>
          <w:sz w:val="20"/>
          <w:szCs w:val="20"/>
          <w:lang w:val="es-ES_tradnl"/>
        </w:rPr>
        <w:t xml:space="preserve">que ordenaba la restitución </w:t>
      </w:r>
      <w:r w:rsidR="00AD0E5D" w:rsidRPr="004104D0">
        <w:rPr>
          <w:rFonts w:asciiTheme="majorHAnsi" w:hAnsiTheme="majorHAnsi"/>
          <w:sz w:val="20"/>
          <w:szCs w:val="20"/>
          <w:lang w:val="es-ES_tradnl"/>
        </w:rPr>
        <w:t xml:space="preserve">del peticionario en su cargo de </w:t>
      </w:r>
      <w:r w:rsidR="00D8340D" w:rsidRPr="004104D0">
        <w:rPr>
          <w:rFonts w:asciiTheme="majorHAnsi" w:hAnsiTheme="majorHAnsi"/>
          <w:sz w:val="20"/>
          <w:szCs w:val="20"/>
          <w:lang w:val="es-ES_tradnl"/>
        </w:rPr>
        <w:t>magistrado</w:t>
      </w:r>
      <w:r w:rsidR="00AD0E5D" w:rsidRPr="004104D0">
        <w:rPr>
          <w:rFonts w:asciiTheme="majorHAnsi" w:hAnsiTheme="majorHAnsi"/>
          <w:sz w:val="20"/>
          <w:szCs w:val="20"/>
          <w:lang w:val="es-ES_tradnl"/>
        </w:rPr>
        <w:t>.</w:t>
      </w:r>
      <w:r w:rsidR="00D8340D" w:rsidRPr="004104D0">
        <w:rPr>
          <w:rFonts w:asciiTheme="majorHAnsi" w:hAnsiTheme="majorHAnsi"/>
          <w:sz w:val="20"/>
          <w:szCs w:val="20"/>
          <w:lang w:val="es-ES_tradnl"/>
        </w:rPr>
        <w:t xml:space="preserve"> </w:t>
      </w:r>
    </w:p>
    <w:p w:rsidR="00F3374A" w:rsidRPr="004104D0" w:rsidRDefault="00F3374A" w:rsidP="004104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rsidR="00A82B01" w:rsidRDefault="00AD0E5D" w:rsidP="004104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4104D0">
        <w:rPr>
          <w:rFonts w:asciiTheme="majorHAnsi" w:hAnsiTheme="majorHAnsi"/>
          <w:sz w:val="20"/>
          <w:szCs w:val="20"/>
          <w:lang w:val="es-ES_tradnl"/>
        </w:rPr>
        <w:t>4.</w:t>
      </w:r>
      <w:r w:rsidRPr="004104D0">
        <w:rPr>
          <w:rFonts w:asciiTheme="majorHAnsi" w:hAnsiTheme="majorHAnsi"/>
          <w:sz w:val="20"/>
          <w:szCs w:val="20"/>
          <w:lang w:val="es-ES_tradnl"/>
        </w:rPr>
        <w:tab/>
      </w:r>
      <w:r w:rsidR="00B67DB2" w:rsidRPr="004104D0">
        <w:rPr>
          <w:rFonts w:asciiTheme="majorHAnsi" w:hAnsiTheme="majorHAnsi"/>
          <w:sz w:val="20"/>
          <w:szCs w:val="20"/>
          <w:lang w:val="es-ES_tradnl"/>
        </w:rPr>
        <w:t xml:space="preserve">En cumplimiento de esta </w:t>
      </w:r>
      <w:r w:rsidR="00A54A49" w:rsidRPr="004104D0">
        <w:rPr>
          <w:rFonts w:asciiTheme="majorHAnsi" w:hAnsiTheme="majorHAnsi"/>
          <w:sz w:val="20"/>
          <w:szCs w:val="20"/>
          <w:lang w:val="es-ES_tradnl"/>
        </w:rPr>
        <w:t xml:space="preserve">última </w:t>
      </w:r>
      <w:r w:rsidR="00B67DB2" w:rsidRPr="004104D0">
        <w:rPr>
          <w:rFonts w:asciiTheme="majorHAnsi" w:hAnsiTheme="majorHAnsi"/>
          <w:sz w:val="20"/>
          <w:szCs w:val="20"/>
          <w:lang w:val="es-ES_tradnl"/>
        </w:rPr>
        <w:t>decisión el Congreso de Baja California llevó a cabo una serie de actos por medio de los cuales confirmó la destitución del peticionario</w:t>
      </w:r>
      <w:r w:rsidR="00FF3EA2" w:rsidRPr="004104D0">
        <w:rPr>
          <w:rFonts w:asciiTheme="majorHAnsi" w:hAnsiTheme="majorHAnsi"/>
          <w:sz w:val="20"/>
          <w:szCs w:val="20"/>
          <w:lang w:val="es-ES_tradnl"/>
        </w:rPr>
        <w:t xml:space="preserve">, contra estos actos </w:t>
      </w:r>
      <w:r w:rsidR="00A54A49" w:rsidRPr="004104D0">
        <w:rPr>
          <w:rFonts w:asciiTheme="majorHAnsi" w:hAnsiTheme="majorHAnsi"/>
          <w:sz w:val="20"/>
          <w:szCs w:val="20"/>
          <w:lang w:val="es-ES_tradnl"/>
        </w:rPr>
        <w:t>este</w:t>
      </w:r>
      <w:r w:rsidR="00D8340D" w:rsidRPr="004104D0">
        <w:rPr>
          <w:rFonts w:asciiTheme="majorHAnsi" w:hAnsiTheme="majorHAnsi"/>
          <w:sz w:val="20"/>
          <w:szCs w:val="20"/>
          <w:lang w:val="es-ES_tradnl"/>
        </w:rPr>
        <w:t xml:space="preserve"> interpuso una acción de amparo</w:t>
      </w:r>
      <w:r w:rsidR="00DA29CB" w:rsidRPr="004104D0">
        <w:rPr>
          <w:rFonts w:asciiTheme="majorHAnsi" w:hAnsiTheme="majorHAnsi"/>
          <w:sz w:val="20"/>
          <w:szCs w:val="20"/>
          <w:lang w:val="es-ES_tradnl"/>
        </w:rPr>
        <w:t>. E</w:t>
      </w:r>
      <w:r w:rsidR="00D8340D" w:rsidRPr="004104D0">
        <w:rPr>
          <w:rFonts w:asciiTheme="majorHAnsi" w:hAnsiTheme="majorHAnsi"/>
          <w:sz w:val="20"/>
          <w:szCs w:val="20"/>
          <w:lang w:val="es-ES_tradnl"/>
        </w:rPr>
        <w:t xml:space="preserve">ste amparo </w:t>
      </w:r>
      <w:r w:rsidR="00DA29CB" w:rsidRPr="004104D0">
        <w:rPr>
          <w:rFonts w:asciiTheme="majorHAnsi" w:hAnsiTheme="majorHAnsi"/>
          <w:sz w:val="20"/>
          <w:szCs w:val="20"/>
          <w:lang w:val="es-ES_tradnl"/>
        </w:rPr>
        <w:t xml:space="preserve">(No. 536/2007) </w:t>
      </w:r>
      <w:r w:rsidR="00D8340D" w:rsidRPr="004104D0">
        <w:rPr>
          <w:rFonts w:asciiTheme="majorHAnsi" w:hAnsiTheme="majorHAnsi"/>
          <w:sz w:val="20"/>
          <w:szCs w:val="20"/>
          <w:lang w:val="es-ES_tradnl"/>
        </w:rPr>
        <w:t xml:space="preserve">fue negado </w:t>
      </w:r>
      <w:r w:rsidR="00DD0CCF" w:rsidRPr="004104D0">
        <w:rPr>
          <w:rFonts w:asciiTheme="majorHAnsi" w:hAnsiTheme="majorHAnsi"/>
          <w:sz w:val="20"/>
          <w:szCs w:val="20"/>
          <w:lang w:val="es-ES_tradnl"/>
        </w:rPr>
        <w:t>por el Juzgado Décimo Segundo de Distrito de Baja California</w:t>
      </w:r>
      <w:r w:rsidR="00E259C7" w:rsidRPr="004104D0">
        <w:rPr>
          <w:rFonts w:asciiTheme="majorHAnsi" w:hAnsiTheme="majorHAnsi"/>
          <w:sz w:val="20"/>
          <w:szCs w:val="20"/>
          <w:lang w:val="es-ES_tradnl"/>
        </w:rPr>
        <w:t>,</w:t>
      </w:r>
      <w:r w:rsidR="00DD0CCF" w:rsidRPr="004104D0">
        <w:rPr>
          <w:rFonts w:asciiTheme="majorHAnsi" w:hAnsiTheme="majorHAnsi"/>
          <w:sz w:val="20"/>
          <w:szCs w:val="20"/>
          <w:lang w:val="es-ES_tradnl"/>
        </w:rPr>
        <w:t xml:space="preserve"> </w:t>
      </w:r>
      <w:r w:rsidR="000D7364" w:rsidRPr="004104D0">
        <w:rPr>
          <w:rFonts w:asciiTheme="majorHAnsi" w:hAnsiTheme="majorHAnsi"/>
          <w:sz w:val="20"/>
          <w:szCs w:val="20"/>
          <w:lang w:val="es-ES_tradnl"/>
        </w:rPr>
        <w:t>mediante</w:t>
      </w:r>
      <w:r w:rsidR="00DD0CCF" w:rsidRPr="004104D0">
        <w:rPr>
          <w:rFonts w:asciiTheme="majorHAnsi" w:hAnsiTheme="majorHAnsi"/>
          <w:sz w:val="20"/>
          <w:szCs w:val="20"/>
          <w:lang w:val="es-ES_tradnl"/>
        </w:rPr>
        <w:t xml:space="preserve"> sentencia d</w:t>
      </w:r>
      <w:r w:rsidR="00D8340D" w:rsidRPr="004104D0">
        <w:rPr>
          <w:rFonts w:asciiTheme="majorHAnsi" w:hAnsiTheme="majorHAnsi"/>
          <w:sz w:val="20"/>
          <w:szCs w:val="20"/>
          <w:lang w:val="es-ES_tradnl"/>
        </w:rPr>
        <w:t xml:space="preserve">el 29 de febrero de 2008, </w:t>
      </w:r>
      <w:r w:rsidR="000D7364" w:rsidRPr="004104D0">
        <w:rPr>
          <w:rFonts w:asciiTheme="majorHAnsi" w:hAnsiTheme="majorHAnsi"/>
          <w:sz w:val="20"/>
          <w:szCs w:val="20"/>
          <w:lang w:val="es-ES_tradnl"/>
        </w:rPr>
        <w:t xml:space="preserve">sobre la base de que </w:t>
      </w:r>
      <w:r w:rsidR="00D8340D" w:rsidRPr="004104D0">
        <w:rPr>
          <w:rFonts w:asciiTheme="majorHAnsi" w:hAnsiTheme="majorHAnsi"/>
          <w:sz w:val="20"/>
          <w:szCs w:val="20"/>
          <w:lang w:val="es-ES_tradnl"/>
        </w:rPr>
        <w:t xml:space="preserve">los actos demandados </w:t>
      </w:r>
      <w:r w:rsidR="000D7364" w:rsidRPr="004104D0">
        <w:rPr>
          <w:rFonts w:asciiTheme="majorHAnsi" w:hAnsiTheme="majorHAnsi"/>
          <w:sz w:val="20"/>
          <w:szCs w:val="20"/>
          <w:lang w:val="es-ES_tradnl"/>
        </w:rPr>
        <w:t xml:space="preserve">se dieron </w:t>
      </w:r>
      <w:r w:rsidR="00D8340D" w:rsidRPr="004104D0">
        <w:rPr>
          <w:rFonts w:asciiTheme="majorHAnsi" w:hAnsiTheme="majorHAnsi"/>
          <w:sz w:val="20"/>
          <w:szCs w:val="20"/>
          <w:lang w:val="es-ES_tradnl"/>
        </w:rPr>
        <w:t xml:space="preserve">en cumplimiento de una </w:t>
      </w:r>
      <w:r w:rsidR="000D7364" w:rsidRPr="004104D0">
        <w:rPr>
          <w:rFonts w:asciiTheme="majorHAnsi" w:hAnsiTheme="majorHAnsi"/>
          <w:sz w:val="20"/>
          <w:szCs w:val="20"/>
          <w:lang w:val="es-ES_tradnl"/>
        </w:rPr>
        <w:t>decisión</w:t>
      </w:r>
      <w:r w:rsidR="00D8340D" w:rsidRPr="004104D0">
        <w:rPr>
          <w:rFonts w:asciiTheme="majorHAnsi" w:hAnsiTheme="majorHAnsi"/>
          <w:sz w:val="20"/>
          <w:szCs w:val="20"/>
          <w:lang w:val="es-ES_tradnl"/>
        </w:rPr>
        <w:t xml:space="preserve"> de la Suprema Corte de Justicia. </w:t>
      </w:r>
      <w:r w:rsidR="000D7364" w:rsidRPr="004104D0">
        <w:rPr>
          <w:rFonts w:asciiTheme="majorHAnsi" w:hAnsiTheme="majorHAnsi"/>
          <w:sz w:val="20"/>
          <w:szCs w:val="20"/>
          <w:lang w:val="es-ES_tradnl"/>
        </w:rPr>
        <w:t xml:space="preserve">Contra esta decisión el peticionario planteó un recurso de revisión, y </w:t>
      </w:r>
      <w:r w:rsidR="00D8340D" w:rsidRPr="004104D0">
        <w:rPr>
          <w:rFonts w:asciiTheme="majorHAnsi" w:hAnsiTheme="majorHAnsi"/>
          <w:sz w:val="20"/>
          <w:szCs w:val="20"/>
          <w:lang w:val="es-ES_tradnl"/>
        </w:rPr>
        <w:t xml:space="preserve">solicitó a la Suprema Corte de Justicia que ejerciera su facultad de atracción para conocer de </w:t>
      </w:r>
      <w:r w:rsidR="000D7364" w:rsidRPr="004104D0">
        <w:rPr>
          <w:rFonts w:asciiTheme="majorHAnsi" w:hAnsiTheme="majorHAnsi"/>
          <w:sz w:val="20"/>
          <w:szCs w:val="20"/>
          <w:lang w:val="es-ES_tradnl"/>
        </w:rPr>
        <w:t>dicho</w:t>
      </w:r>
      <w:r w:rsidR="00D8340D" w:rsidRPr="004104D0">
        <w:rPr>
          <w:rFonts w:asciiTheme="majorHAnsi" w:hAnsiTheme="majorHAnsi"/>
          <w:sz w:val="20"/>
          <w:szCs w:val="20"/>
          <w:lang w:val="es-ES_tradnl"/>
        </w:rPr>
        <w:t xml:space="preserve"> recurso</w:t>
      </w:r>
      <w:r w:rsidR="000D7364" w:rsidRPr="004104D0">
        <w:rPr>
          <w:rFonts w:asciiTheme="majorHAnsi" w:hAnsiTheme="majorHAnsi"/>
          <w:sz w:val="20"/>
          <w:szCs w:val="20"/>
          <w:lang w:val="es-ES_tradnl"/>
        </w:rPr>
        <w:t>.</w:t>
      </w:r>
      <w:r w:rsidR="00D8340D" w:rsidRPr="004104D0">
        <w:rPr>
          <w:rFonts w:asciiTheme="majorHAnsi" w:hAnsiTheme="majorHAnsi"/>
          <w:sz w:val="20"/>
          <w:szCs w:val="20"/>
          <w:lang w:val="es-ES_tradnl"/>
        </w:rPr>
        <w:t xml:space="preserve"> </w:t>
      </w:r>
      <w:r w:rsidR="000D7364" w:rsidRPr="004104D0">
        <w:rPr>
          <w:rFonts w:asciiTheme="majorHAnsi" w:hAnsiTheme="majorHAnsi"/>
          <w:sz w:val="20"/>
          <w:szCs w:val="20"/>
          <w:lang w:val="es-ES_tradnl"/>
        </w:rPr>
        <w:t>L</w:t>
      </w:r>
      <w:r w:rsidR="00D8340D" w:rsidRPr="004104D0">
        <w:rPr>
          <w:rFonts w:asciiTheme="majorHAnsi" w:hAnsiTheme="majorHAnsi"/>
          <w:sz w:val="20"/>
          <w:szCs w:val="20"/>
          <w:lang w:val="es-ES_tradnl"/>
        </w:rPr>
        <w:t>a Suprema Corte</w:t>
      </w:r>
      <w:r w:rsidR="000D7364" w:rsidRPr="004104D0">
        <w:rPr>
          <w:rFonts w:asciiTheme="majorHAnsi" w:hAnsiTheme="majorHAnsi"/>
          <w:sz w:val="20"/>
          <w:szCs w:val="20"/>
          <w:lang w:val="es-ES_tradnl"/>
        </w:rPr>
        <w:t xml:space="preserve"> de Justicia</w:t>
      </w:r>
      <w:r w:rsidR="00D8340D" w:rsidRPr="004104D0">
        <w:rPr>
          <w:rFonts w:asciiTheme="majorHAnsi" w:hAnsiTheme="majorHAnsi"/>
          <w:sz w:val="20"/>
          <w:szCs w:val="20"/>
          <w:lang w:val="es-ES_tradnl"/>
        </w:rPr>
        <w:t xml:space="preserve"> accedió a </w:t>
      </w:r>
      <w:r w:rsidR="000D7364" w:rsidRPr="004104D0">
        <w:rPr>
          <w:rFonts w:asciiTheme="majorHAnsi" w:hAnsiTheme="majorHAnsi"/>
          <w:sz w:val="20"/>
          <w:szCs w:val="20"/>
          <w:lang w:val="es-ES_tradnl"/>
        </w:rPr>
        <w:t xml:space="preserve">dicha solicitud, dando curso al </w:t>
      </w:r>
      <w:r w:rsidR="00D8340D" w:rsidRPr="004104D0">
        <w:rPr>
          <w:rFonts w:asciiTheme="majorHAnsi" w:hAnsiTheme="majorHAnsi"/>
          <w:sz w:val="20"/>
          <w:szCs w:val="20"/>
          <w:lang w:val="es-ES_tradnl"/>
        </w:rPr>
        <w:t xml:space="preserve">proceso </w:t>
      </w:r>
      <w:r w:rsidR="000D7364" w:rsidRPr="004104D0">
        <w:rPr>
          <w:rFonts w:asciiTheme="majorHAnsi" w:hAnsiTheme="majorHAnsi"/>
          <w:sz w:val="20"/>
          <w:szCs w:val="20"/>
          <w:lang w:val="es-ES_tradnl"/>
        </w:rPr>
        <w:t>de</w:t>
      </w:r>
      <w:r w:rsidR="00D8340D" w:rsidRPr="004104D0">
        <w:rPr>
          <w:rFonts w:asciiTheme="majorHAnsi" w:hAnsiTheme="majorHAnsi"/>
          <w:sz w:val="20"/>
          <w:szCs w:val="20"/>
          <w:lang w:val="es-ES_tradnl"/>
        </w:rPr>
        <w:t xml:space="preserve"> amparo en revisión No. 559/2008</w:t>
      </w:r>
      <w:r w:rsidR="000D7364" w:rsidRPr="004104D0">
        <w:rPr>
          <w:rFonts w:asciiTheme="majorHAnsi" w:hAnsiTheme="majorHAnsi"/>
          <w:sz w:val="20"/>
          <w:szCs w:val="20"/>
          <w:lang w:val="es-ES_tradnl"/>
        </w:rPr>
        <w:t xml:space="preserve">; </w:t>
      </w:r>
      <w:r w:rsidR="00A54A49" w:rsidRPr="004104D0">
        <w:rPr>
          <w:rFonts w:asciiTheme="majorHAnsi" w:hAnsiTheme="majorHAnsi"/>
          <w:sz w:val="20"/>
          <w:szCs w:val="20"/>
          <w:lang w:val="es-ES_tradnl"/>
        </w:rPr>
        <w:t xml:space="preserve">no obstante, </w:t>
      </w:r>
      <w:r w:rsidR="000D7364" w:rsidRPr="004104D0">
        <w:rPr>
          <w:rFonts w:asciiTheme="majorHAnsi" w:hAnsiTheme="majorHAnsi"/>
          <w:sz w:val="20"/>
          <w:szCs w:val="20"/>
          <w:lang w:val="es-ES_tradnl"/>
        </w:rPr>
        <w:t xml:space="preserve">mediante sentencia del </w:t>
      </w:r>
      <w:r w:rsidR="00D8340D" w:rsidRPr="004104D0">
        <w:rPr>
          <w:rFonts w:asciiTheme="majorHAnsi" w:hAnsiTheme="majorHAnsi"/>
          <w:sz w:val="20"/>
          <w:szCs w:val="20"/>
          <w:lang w:val="es-ES_tradnl"/>
        </w:rPr>
        <w:t>29 de octubre de 2008</w:t>
      </w:r>
      <w:r w:rsidR="000D7364" w:rsidRPr="004104D0">
        <w:rPr>
          <w:rFonts w:asciiTheme="majorHAnsi" w:hAnsiTheme="majorHAnsi"/>
          <w:sz w:val="20"/>
          <w:szCs w:val="20"/>
          <w:lang w:val="es-ES_tradnl"/>
        </w:rPr>
        <w:t xml:space="preserve"> esta máxima instancia nacional denegó el recurso </w:t>
      </w:r>
      <w:r w:rsidR="007E0DA1" w:rsidRPr="004104D0">
        <w:rPr>
          <w:rFonts w:asciiTheme="majorHAnsi" w:hAnsiTheme="majorHAnsi"/>
          <w:sz w:val="20"/>
          <w:szCs w:val="20"/>
          <w:lang w:val="es-ES_tradnl"/>
        </w:rPr>
        <w:t>por distintas razones jurídicas de fondo</w:t>
      </w:r>
      <w:r w:rsidR="00D8340D" w:rsidRPr="004104D0">
        <w:rPr>
          <w:rFonts w:asciiTheme="majorHAnsi" w:hAnsiTheme="majorHAnsi"/>
          <w:sz w:val="20"/>
          <w:szCs w:val="20"/>
          <w:lang w:val="es-ES_tradnl"/>
        </w:rPr>
        <w:t>.</w:t>
      </w:r>
    </w:p>
    <w:p w:rsidR="00F3374A" w:rsidRPr="004104D0" w:rsidRDefault="00F3374A" w:rsidP="004104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rsidR="009E3952" w:rsidRDefault="000D7364" w:rsidP="004104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4104D0">
        <w:rPr>
          <w:rFonts w:asciiTheme="majorHAnsi" w:hAnsiTheme="majorHAnsi"/>
          <w:sz w:val="20"/>
          <w:szCs w:val="20"/>
          <w:lang w:val="es-ES_tradnl"/>
        </w:rPr>
        <w:t>5</w:t>
      </w:r>
      <w:r w:rsidR="00A82B01" w:rsidRPr="004104D0">
        <w:rPr>
          <w:rFonts w:asciiTheme="majorHAnsi" w:hAnsiTheme="majorHAnsi"/>
          <w:sz w:val="20"/>
          <w:szCs w:val="20"/>
          <w:lang w:val="es-ES_tradnl"/>
        </w:rPr>
        <w:t xml:space="preserve">. </w:t>
      </w:r>
      <w:r w:rsidRPr="004104D0">
        <w:rPr>
          <w:rFonts w:asciiTheme="majorHAnsi" w:hAnsiTheme="majorHAnsi"/>
          <w:sz w:val="20"/>
          <w:szCs w:val="20"/>
          <w:lang w:val="es-ES_tradnl"/>
        </w:rPr>
        <w:tab/>
        <w:t xml:space="preserve">En suma, el </w:t>
      </w:r>
      <w:r w:rsidR="00D8340D" w:rsidRPr="004104D0">
        <w:rPr>
          <w:rFonts w:asciiTheme="majorHAnsi" w:hAnsiTheme="majorHAnsi"/>
          <w:sz w:val="20"/>
          <w:szCs w:val="20"/>
          <w:lang w:val="es-ES_tradnl"/>
        </w:rPr>
        <w:t xml:space="preserve">peticionario </w:t>
      </w:r>
      <w:r w:rsidRPr="004104D0">
        <w:rPr>
          <w:rFonts w:asciiTheme="majorHAnsi" w:hAnsiTheme="majorHAnsi"/>
          <w:sz w:val="20"/>
          <w:szCs w:val="20"/>
          <w:lang w:val="es-ES_tradnl"/>
        </w:rPr>
        <w:t xml:space="preserve">alega que </w:t>
      </w:r>
      <w:r w:rsidR="006370CB" w:rsidRPr="004104D0">
        <w:rPr>
          <w:rFonts w:asciiTheme="majorHAnsi" w:hAnsiTheme="majorHAnsi"/>
          <w:sz w:val="20"/>
          <w:szCs w:val="20"/>
          <w:lang w:val="es-ES_tradnl"/>
        </w:rPr>
        <w:t xml:space="preserve">la decisión del Congreso de Baja California de </w:t>
      </w:r>
      <w:r w:rsidR="00E259C7" w:rsidRPr="004104D0">
        <w:rPr>
          <w:rFonts w:asciiTheme="majorHAnsi" w:hAnsiTheme="majorHAnsi"/>
          <w:sz w:val="20"/>
          <w:szCs w:val="20"/>
          <w:lang w:val="es-ES_tradnl"/>
        </w:rPr>
        <w:t>removerlo</w:t>
      </w:r>
      <w:r w:rsidR="006370CB" w:rsidRPr="004104D0">
        <w:rPr>
          <w:rFonts w:asciiTheme="majorHAnsi" w:hAnsiTheme="majorHAnsi"/>
          <w:sz w:val="20"/>
          <w:szCs w:val="20"/>
          <w:lang w:val="es-ES_tradnl"/>
        </w:rPr>
        <w:t xml:space="preserve"> del cargo</w:t>
      </w:r>
      <w:r w:rsidRPr="004104D0">
        <w:rPr>
          <w:rFonts w:asciiTheme="majorHAnsi" w:hAnsiTheme="majorHAnsi"/>
          <w:sz w:val="20"/>
          <w:szCs w:val="20"/>
          <w:lang w:val="es-ES_tradnl"/>
        </w:rPr>
        <w:t>,</w:t>
      </w:r>
      <w:r w:rsidR="006370CB" w:rsidRPr="004104D0">
        <w:rPr>
          <w:rFonts w:asciiTheme="majorHAnsi" w:hAnsiTheme="majorHAnsi"/>
          <w:sz w:val="20"/>
          <w:szCs w:val="20"/>
          <w:lang w:val="es-ES_tradnl"/>
        </w:rPr>
        <w:t xml:space="preserve"> </w:t>
      </w:r>
      <w:r w:rsidRPr="004104D0">
        <w:rPr>
          <w:rFonts w:asciiTheme="majorHAnsi" w:hAnsiTheme="majorHAnsi"/>
          <w:sz w:val="20"/>
          <w:szCs w:val="20"/>
          <w:lang w:val="es-ES_tradnl"/>
        </w:rPr>
        <w:t xml:space="preserve">en razón de una sentencia de amparo a favor de un tercero, constituye </w:t>
      </w:r>
      <w:r w:rsidR="006370CB" w:rsidRPr="004104D0">
        <w:rPr>
          <w:rFonts w:asciiTheme="majorHAnsi" w:hAnsiTheme="majorHAnsi"/>
          <w:sz w:val="20"/>
          <w:szCs w:val="20"/>
          <w:lang w:val="es-ES_tradnl"/>
        </w:rPr>
        <w:t>una violación de su derecho al trabajo y a la garantía de estabilidad laboral</w:t>
      </w:r>
      <w:r w:rsidR="003F3C23" w:rsidRPr="004104D0">
        <w:rPr>
          <w:rFonts w:asciiTheme="majorHAnsi" w:hAnsiTheme="majorHAnsi"/>
          <w:sz w:val="20"/>
          <w:szCs w:val="20"/>
          <w:lang w:val="es-ES_tradnl"/>
        </w:rPr>
        <w:t>;</w:t>
      </w:r>
      <w:r w:rsidRPr="004104D0">
        <w:rPr>
          <w:rFonts w:asciiTheme="majorHAnsi" w:hAnsiTheme="majorHAnsi"/>
          <w:sz w:val="20"/>
          <w:szCs w:val="20"/>
          <w:lang w:val="es-ES_tradnl"/>
        </w:rPr>
        <w:t xml:space="preserve"> </w:t>
      </w:r>
      <w:r w:rsidR="003F3C23" w:rsidRPr="004104D0">
        <w:rPr>
          <w:rFonts w:asciiTheme="majorHAnsi" w:hAnsiTheme="majorHAnsi"/>
          <w:sz w:val="20"/>
          <w:szCs w:val="20"/>
          <w:lang w:val="es-ES_tradnl"/>
        </w:rPr>
        <w:t>y que posteriormente</w:t>
      </w:r>
      <w:r w:rsidR="006370CB" w:rsidRPr="004104D0">
        <w:rPr>
          <w:rFonts w:asciiTheme="majorHAnsi" w:hAnsiTheme="majorHAnsi"/>
          <w:sz w:val="20"/>
          <w:szCs w:val="20"/>
          <w:lang w:val="es-ES_tradnl"/>
        </w:rPr>
        <w:t xml:space="preserve"> las autoridades desconocieron las garantías laborales de los artículos 4, 6 y 7 del Protocolo de San Salvador</w:t>
      </w:r>
      <w:r w:rsidR="003F3C23" w:rsidRPr="004104D0">
        <w:rPr>
          <w:rFonts w:asciiTheme="majorHAnsi" w:hAnsiTheme="majorHAnsi"/>
          <w:sz w:val="20"/>
          <w:szCs w:val="20"/>
          <w:lang w:val="es-ES_tradnl"/>
        </w:rPr>
        <w:t xml:space="preserve">. Denuncia </w:t>
      </w:r>
      <w:r w:rsidR="006370CB" w:rsidRPr="004104D0">
        <w:rPr>
          <w:rFonts w:asciiTheme="majorHAnsi" w:hAnsiTheme="majorHAnsi"/>
          <w:sz w:val="20"/>
          <w:szCs w:val="20"/>
          <w:lang w:val="es-ES_tradnl"/>
        </w:rPr>
        <w:t xml:space="preserve">que dichas decisiones se adoptaron en el ámbito de una campaña de desprestigio iniciada en su contra por distintos actores, incluyendo ciertos medios de comunicación </w:t>
      </w:r>
      <w:r w:rsidRPr="004104D0">
        <w:rPr>
          <w:rFonts w:asciiTheme="majorHAnsi" w:hAnsiTheme="majorHAnsi"/>
          <w:sz w:val="20"/>
          <w:szCs w:val="20"/>
          <w:lang w:val="es-ES_tradnl"/>
        </w:rPr>
        <w:t>que habrían afectado</w:t>
      </w:r>
      <w:r w:rsidR="006370CB" w:rsidRPr="004104D0">
        <w:rPr>
          <w:rFonts w:asciiTheme="majorHAnsi" w:hAnsiTheme="majorHAnsi"/>
          <w:sz w:val="20"/>
          <w:szCs w:val="20"/>
          <w:lang w:val="es-ES_tradnl"/>
        </w:rPr>
        <w:t xml:space="preserve"> su derecho a la honra y dignidad</w:t>
      </w:r>
      <w:r w:rsidR="009973AC" w:rsidRPr="004104D0">
        <w:rPr>
          <w:rFonts w:asciiTheme="majorHAnsi" w:hAnsiTheme="majorHAnsi"/>
          <w:sz w:val="20"/>
          <w:szCs w:val="20"/>
          <w:lang w:val="es-ES_tradnl"/>
        </w:rPr>
        <w:t>, y cita en sustento varios artículos de prensa escritos sobre él y otros jueces del</w:t>
      </w:r>
      <w:r w:rsidR="00EF2583" w:rsidRPr="004104D0">
        <w:rPr>
          <w:rFonts w:asciiTheme="majorHAnsi" w:hAnsiTheme="majorHAnsi"/>
          <w:sz w:val="20"/>
          <w:szCs w:val="20"/>
          <w:lang w:val="es-ES_tradnl"/>
        </w:rPr>
        <w:t xml:space="preserve"> mismo</w:t>
      </w:r>
      <w:r w:rsidR="009973AC" w:rsidRPr="004104D0">
        <w:rPr>
          <w:rFonts w:asciiTheme="majorHAnsi" w:hAnsiTheme="majorHAnsi"/>
          <w:sz w:val="20"/>
          <w:szCs w:val="20"/>
          <w:lang w:val="es-ES_tradnl"/>
        </w:rPr>
        <w:t xml:space="preserve"> </w:t>
      </w:r>
      <w:r w:rsidR="004104D0" w:rsidRPr="004104D0">
        <w:rPr>
          <w:rFonts w:asciiTheme="majorHAnsi" w:hAnsiTheme="majorHAnsi"/>
          <w:sz w:val="20"/>
          <w:szCs w:val="20"/>
          <w:lang w:val="es-ES_tradnl"/>
        </w:rPr>
        <w:t>tribunal</w:t>
      </w:r>
      <w:r w:rsidR="009973AC" w:rsidRPr="004104D0">
        <w:rPr>
          <w:rFonts w:asciiTheme="majorHAnsi" w:hAnsiTheme="majorHAnsi"/>
          <w:sz w:val="20"/>
          <w:szCs w:val="20"/>
          <w:lang w:val="es-ES_tradnl"/>
        </w:rPr>
        <w:t>, especialmente durante la época en que fue designado y posteriormente removido, y durante los distintos procesos judiciales arriba descritos</w:t>
      </w:r>
      <w:r w:rsidR="006370CB" w:rsidRPr="004104D0">
        <w:rPr>
          <w:rFonts w:asciiTheme="majorHAnsi" w:hAnsiTheme="majorHAnsi"/>
          <w:sz w:val="20"/>
          <w:szCs w:val="20"/>
          <w:lang w:val="es-ES_tradnl"/>
        </w:rPr>
        <w:t xml:space="preserve">. </w:t>
      </w:r>
    </w:p>
    <w:p w:rsidR="00F3374A" w:rsidRPr="004104D0" w:rsidRDefault="00F3374A" w:rsidP="004104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rsidR="00A82B01" w:rsidRDefault="009E3952" w:rsidP="004104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4104D0">
        <w:rPr>
          <w:rFonts w:asciiTheme="majorHAnsi" w:hAnsiTheme="majorHAnsi"/>
          <w:sz w:val="20"/>
          <w:szCs w:val="20"/>
          <w:lang w:val="es-ES_tradnl"/>
        </w:rPr>
        <w:t xml:space="preserve">6. </w:t>
      </w:r>
      <w:r w:rsidRPr="004104D0">
        <w:rPr>
          <w:rFonts w:asciiTheme="majorHAnsi" w:hAnsiTheme="majorHAnsi"/>
          <w:sz w:val="20"/>
          <w:szCs w:val="20"/>
          <w:lang w:val="es-ES_tradnl"/>
        </w:rPr>
        <w:tab/>
        <w:t>El peticionario aduce</w:t>
      </w:r>
      <w:r w:rsidR="009A560B" w:rsidRPr="004104D0">
        <w:rPr>
          <w:rFonts w:asciiTheme="majorHAnsi" w:hAnsiTheme="majorHAnsi"/>
          <w:sz w:val="20"/>
          <w:szCs w:val="20"/>
          <w:lang w:val="es-ES_tradnl"/>
        </w:rPr>
        <w:t xml:space="preserve"> que las </w:t>
      </w:r>
      <w:r w:rsidR="00D8340D" w:rsidRPr="004104D0">
        <w:rPr>
          <w:rFonts w:asciiTheme="majorHAnsi" w:hAnsiTheme="majorHAnsi"/>
          <w:sz w:val="20"/>
          <w:szCs w:val="20"/>
          <w:lang w:val="es-ES_tradnl"/>
        </w:rPr>
        <w:t xml:space="preserve">decisiones </w:t>
      </w:r>
      <w:r w:rsidR="009A560B" w:rsidRPr="004104D0">
        <w:rPr>
          <w:rFonts w:asciiTheme="majorHAnsi" w:hAnsiTheme="majorHAnsi"/>
          <w:sz w:val="20"/>
          <w:szCs w:val="20"/>
          <w:lang w:val="es-ES_tradnl"/>
        </w:rPr>
        <w:t>de</w:t>
      </w:r>
      <w:r w:rsidR="00D8340D" w:rsidRPr="004104D0">
        <w:rPr>
          <w:rFonts w:asciiTheme="majorHAnsi" w:hAnsiTheme="majorHAnsi"/>
          <w:sz w:val="20"/>
          <w:szCs w:val="20"/>
          <w:lang w:val="es-ES_tradnl"/>
        </w:rPr>
        <w:t xml:space="preserve"> la Suprema Corte de Justicia</w:t>
      </w:r>
      <w:r w:rsidR="008A1B1F" w:rsidRPr="004104D0">
        <w:rPr>
          <w:rFonts w:asciiTheme="majorHAnsi" w:hAnsiTheme="majorHAnsi"/>
          <w:sz w:val="20"/>
          <w:szCs w:val="20"/>
          <w:lang w:val="es-ES_tradnl"/>
        </w:rPr>
        <w:t xml:space="preserve"> </w:t>
      </w:r>
      <w:r w:rsidR="009A560B" w:rsidRPr="004104D0">
        <w:rPr>
          <w:rFonts w:asciiTheme="majorHAnsi" w:hAnsiTheme="majorHAnsi"/>
          <w:sz w:val="20"/>
          <w:szCs w:val="20"/>
          <w:lang w:val="es-ES_tradnl"/>
        </w:rPr>
        <w:t>d</w:t>
      </w:r>
      <w:r w:rsidR="008A1B1F" w:rsidRPr="004104D0">
        <w:rPr>
          <w:rFonts w:asciiTheme="majorHAnsi" w:hAnsiTheme="majorHAnsi"/>
          <w:sz w:val="20"/>
          <w:szCs w:val="20"/>
          <w:lang w:val="es-ES_tradnl"/>
        </w:rPr>
        <w:t xml:space="preserve">el 4 de julio de 2007 </w:t>
      </w:r>
      <w:r w:rsidR="000A67F2" w:rsidRPr="004104D0">
        <w:rPr>
          <w:rFonts w:asciiTheme="majorHAnsi" w:hAnsiTheme="majorHAnsi"/>
          <w:sz w:val="20"/>
          <w:szCs w:val="20"/>
          <w:lang w:val="es-ES_tradnl"/>
        </w:rPr>
        <w:t>(</w:t>
      </w:r>
      <w:r w:rsidR="008A1B1F" w:rsidRPr="004104D0">
        <w:rPr>
          <w:rFonts w:asciiTheme="majorHAnsi" w:hAnsiTheme="majorHAnsi"/>
          <w:sz w:val="20"/>
          <w:szCs w:val="20"/>
          <w:lang w:val="es-ES_tradnl"/>
        </w:rPr>
        <w:t>incidente de inejecución No. 47/2007</w:t>
      </w:r>
      <w:r w:rsidR="000A67F2" w:rsidRPr="004104D0">
        <w:rPr>
          <w:rFonts w:asciiTheme="majorHAnsi" w:hAnsiTheme="majorHAnsi"/>
          <w:sz w:val="20"/>
          <w:szCs w:val="20"/>
          <w:lang w:val="es-ES_tradnl"/>
        </w:rPr>
        <w:t>)</w:t>
      </w:r>
      <w:r w:rsidR="008A1B1F" w:rsidRPr="004104D0">
        <w:rPr>
          <w:rFonts w:asciiTheme="majorHAnsi" w:hAnsiTheme="majorHAnsi"/>
          <w:sz w:val="20"/>
          <w:szCs w:val="20"/>
          <w:lang w:val="es-ES_tradnl"/>
        </w:rPr>
        <w:t xml:space="preserve"> y </w:t>
      </w:r>
      <w:r w:rsidR="009A560B" w:rsidRPr="004104D0">
        <w:rPr>
          <w:rFonts w:asciiTheme="majorHAnsi" w:hAnsiTheme="majorHAnsi"/>
          <w:sz w:val="20"/>
          <w:szCs w:val="20"/>
          <w:lang w:val="es-ES_tradnl"/>
        </w:rPr>
        <w:t>d</w:t>
      </w:r>
      <w:r w:rsidR="008A1B1F" w:rsidRPr="004104D0">
        <w:rPr>
          <w:rFonts w:asciiTheme="majorHAnsi" w:hAnsiTheme="majorHAnsi"/>
          <w:sz w:val="20"/>
          <w:szCs w:val="20"/>
          <w:lang w:val="es-ES_tradnl"/>
        </w:rPr>
        <w:t xml:space="preserve">el 29 de octubre de 2008 </w:t>
      </w:r>
      <w:r w:rsidR="000A67F2" w:rsidRPr="004104D0">
        <w:rPr>
          <w:rFonts w:asciiTheme="majorHAnsi" w:hAnsiTheme="majorHAnsi"/>
          <w:sz w:val="20"/>
          <w:szCs w:val="20"/>
          <w:lang w:val="es-ES_tradnl"/>
        </w:rPr>
        <w:t>(</w:t>
      </w:r>
      <w:r w:rsidR="008A1B1F" w:rsidRPr="004104D0">
        <w:rPr>
          <w:rFonts w:asciiTheme="majorHAnsi" w:hAnsiTheme="majorHAnsi"/>
          <w:sz w:val="20"/>
          <w:szCs w:val="20"/>
          <w:lang w:val="es-ES_tradnl"/>
        </w:rPr>
        <w:t>amparo en revisión No. 559/2008</w:t>
      </w:r>
      <w:r w:rsidR="000A67F2" w:rsidRPr="004104D0">
        <w:rPr>
          <w:rFonts w:asciiTheme="majorHAnsi" w:hAnsiTheme="majorHAnsi"/>
          <w:sz w:val="20"/>
          <w:szCs w:val="20"/>
          <w:lang w:val="es-ES_tradnl"/>
        </w:rPr>
        <w:t>)</w:t>
      </w:r>
      <w:r w:rsidR="009A560B" w:rsidRPr="004104D0">
        <w:rPr>
          <w:rFonts w:asciiTheme="majorHAnsi" w:hAnsiTheme="majorHAnsi"/>
          <w:sz w:val="20"/>
          <w:szCs w:val="20"/>
          <w:lang w:val="es-ES_tradnl"/>
        </w:rPr>
        <w:t xml:space="preserve">, </w:t>
      </w:r>
      <w:r w:rsidRPr="004104D0">
        <w:rPr>
          <w:rFonts w:asciiTheme="majorHAnsi" w:hAnsiTheme="majorHAnsi"/>
          <w:sz w:val="20"/>
          <w:szCs w:val="20"/>
          <w:lang w:val="es-ES_tradnl"/>
        </w:rPr>
        <w:t xml:space="preserve">vulneran una serie de normas legales y constitucionales, </w:t>
      </w:r>
      <w:r w:rsidR="009973AC" w:rsidRPr="004104D0">
        <w:rPr>
          <w:rFonts w:asciiTheme="majorHAnsi" w:hAnsiTheme="majorHAnsi"/>
          <w:sz w:val="20"/>
          <w:szCs w:val="20"/>
          <w:lang w:val="es-ES_tradnl"/>
        </w:rPr>
        <w:t xml:space="preserve">así como </w:t>
      </w:r>
      <w:r w:rsidRPr="004104D0">
        <w:rPr>
          <w:rFonts w:asciiTheme="majorHAnsi" w:hAnsiTheme="majorHAnsi"/>
          <w:sz w:val="20"/>
          <w:szCs w:val="20"/>
          <w:lang w:val="es-ES_tradnl"/>
        </w:rPr>
        <w:t xml:space="preserve">garantías contenidas en la </w:t>
      </w:r>
      <w:r w:rsidR="005C1DE4" w:rsidRPr="004104D0">
        <w:rPr>
          <w:rFonts w:asciiTheme="majorHAnsi" w:hAnsiTheme="majorHAnsi"/>
          <w:sz w:val="20"/>
          <w:szCs w:val="20"/>
          <w:lang w:val="es-ES_tradnl"/>
        </w:rPr>
        <w:t>Convención Americana,</w:t>
      </w:r>
      <w:r w:rsidR="008A1B1F" w:rsidRPr="004104D0">
        <w:rPr>
          <w:rFonts w:asciiTheme="majorHAnsi" w:hAnsiTheme="majorHAnsi"/>
          <w:sz w:val="20"/>
          <w:szCs w:val="20"/>
          <w:lang w:val="es-ES_tradnl"/>
        </w:rPr>
        <w:t xml:space="preserve"> </w:t>
      </w:r>
      <w:r w:rsidRPr="004104D0">
        <w:rPr>
          <w:rFonts w:asciiTheme="majorHAnsi" w:hAnsiTheme="majorHAnsi"/>
          <w:sz w:val="20"/>
          <w:szCs w:val="20"/>
          <w:lang w:val="es-ES_tradnl"/>
        </w:rPr>
        <w:t>sobre la base de los siguientes argumentos:</w:t>
      </w:r>
      <w:r w:rsidR="008A1B1F" w:rsidRPr="004104D0">
        <w:rPr>
          <w:rFonts w:asciiTheme="majorHAnsi" w:hAnsiTheme="majorHAnsi"/>
          <w:sz w:val="20"/>
          <w:szCs w:val="20"/>
          <w:lang w:val="es-ES_tradnl"/>
        </w:rPr>
        <w:t xml:space="preserve"> </w:t>
      </w:r>
      <w:r w:rsidR="007E0DA1" w:rsidRPr="004104D0">
        <w:rPr>
          <w:rFonts w:asciiTheme="majorHAnsi" w:hAnsiTheme="majorHAnsi"/>
          <w:sz w:val="20"/>
          <w:szCs w:val="20"/>
          <w:lang w:val="es-ES_tradnl"/>
        </w:rPr>
        <w:t>(</w:t>
      </w:r>
      <w:r w:rsidRPr="004104D0">
        <w:rPr>
          <w:rFonts w:asciiTheme="majorHAnsi" w:hAnsiTheme="majorHAnsi"/>
          <w:sz w:val="20"/>
          <w:szCs w:val="20"/>
          <w:lang w:val="es-ES_tradnl"/>
        </w:rPr>
        <w:t>a</w:t>
      </w:r>
      <w:r w:rsidR="007E0DA1" w:rsidRPr="004104D0">
        <w:rPr>
          <w:rFonts w:asciiTheme="majorHAnsi" w:hAnsiTheme="majorHAnsi"/>
          <w:sz w:val="20"/>
          <w:szCs w:val="20"/>
          <w:lang w:val="es-ES_tradnl"/>
        </w:rPr>
        <w:t>)</w:t>
      </w:r>
      <w:r w:rsidRPr="004104D0">
        <w:rPr>
          <w:rFonts w:asciiTheme="majorHAnsi" w:hAnsiTheme="majorHAnsi"/>
          <w:sz w:val="20"/>
          <w:szCs w:val="20"/>
          <w:lang w:val="es-ES_tradnl"/>
        </w:rPr>
        <w:t xml:space="preserve"> </w:t>
      </w:r>
      <w:r w:rsidR="008A1B1F" w:rsidRPr="004104D0">
        <w:rPr>
          <w:rFonts w:asciiTheme="majorHAnsi" w:hAnsiTheme="majorHAnsi"/>
          <w:sz w:val="20"/>
          <w:szCs w:val="20"/>
          <w:lang w:val="es-ES_tradnl"/>
        </w:rPr>
        <w:t>exceso en la competencia de la Suprema Corte para conocer del incidente de inejecución de sentencia</w:t>
      </w:r>
      <w:r w:rsidRPr="004104D0">
        <w:rPr>
          <w:rFonts w:asciiTheme="majorHAnsi" w:hAnsiTheme="majorHAnsi"/>
          <w:sz w:val="20"/>
          <w:szCs w:val="20"/>
          <w:lang w:val="es-ES_tradnl"/>
        </w:rPr>
        <w:t>,</w:t>
      </w:r>
      <w:r w:rsidR="007E0DA1" w:rsidRPr="004104D0">
        <w:rPr>
          <w:rFonts w:asciiTheme="majorHAnsi" w:hAnsiTheme="majorHAnsi"/>
          <w:sz w:val="20"/>
          <w:szCs w:val="20"/>
          <w:lang w:val="es-ES_tradnl"/>
        </w:rPr>
        <w:t xml:space="preserve"> </w:t>
      </w:r>
      <w:r w:rsidRPr="004104D0">
        <w:rPr>
          <w:rFonts w:asciiTheme="majorHAnsi" w:hAnsiTheme="majorHAnsi"/>
          <w:sz w:val="20"/>
          <w:szCs w:val="20"/>
          <w:lang w:val="es-ES_tradnl"/>
        </w:rPr>
        <w:t>e</w:t>
      </w:r>
      <w:r w:rsidR="007E0DA1" w:rsidRPr="004104D0">
        <w:rPr>
          <w:rFonts w:asciiTheme="majorHAnsi" w:hAnsiTheme="majorHAnsi"/>
          <w:sz w:val="20"/>
          <w:szCs w:val="20"/>
          <w:lang w:val="es-ES_tradnl"/>
        </w:rPr>
        <w:t xml:space="preserve">n el cual no </w:t>
      </w:r>
      <w:r w:rsidRPr="004104D0">
        <w:rPr>
          <w:rFonts w:asciiTheme="majorHAnsi" w:hAnsiTheme="majorHAnsi"/>
          <w:sz w:val="20"/>
          <w:szCs w:val="20"/>
          <w:lang w:val="es-ES_tradnl"/>
        </w:rPr>
        <w:t xml:space="preserve">habría podido </w:t>
      </w:r>
      <w:r w:rsidR="007E0DA1" w:rsidRPr="004104D0">
        <w:rPr>
          <w:rFonts w:asciiTheme="majorHAnsi" w:hAnsiTheme="majorHAnsi"/>
          <w:sz w:val="20"/>
          <w:szCs w:val="20"/>
          <w:lang w:val="es-ES_tradnl"/>
        </w:rPr>
        <w:t>dejar sin efectos el fallo cuyo cumplimiento se cuestionaba</w:t>
      </w:r>
      <w:r w:rsidR="008A14AA" w:rsidRPr="004104D0">
        <w:rPr>
          <w:rFonts w:asciiTheme="majorHAnsi" w:hAnsiTheme="majorHAnsi"/>
          <w:sz w:val="20"/>
          <w:szCs w:val="20"/>
          <w:lang w:val="es-ES_tradnl"/>
        </w:rPr>
        <w:t>, pues su competencia se limitaba a determinar si su incumplimiento tenía una justificación válida</w:t>
      </w:r>
      <w:r w:rsidRPr="004104D0">
        <w:rPr>
          <w:rFonts w:asciiTheme="majorHAnsi" w:hAnsiTheme="majorHAnsi"/>
          <w:sz w:val="20"/>
          <w:szCs w:val="20"/>
          <w:lang w:val="es-ES_tradnl"/>
        </w:rPr>
        <w:t>;</w:t>
      </w:r>
      <w:r w:rsidR="008A1B1F" w:rsidRPr="004104D0">
        <w:rPr>
          <w:rFonts w:asciiTheme="majorHAnsi" w:hAnsiTheme="majorHAnsi"/>
          <w:sz w:val="20"/>
          <w:szCs w:val="20"/>
          <w:lang w:val="es-ES_tradnl"/>
        </w:rPr>
        <w:t xml:space="preserve"> </w:t>
      </w:r>
      <w:r w:rsidR="007E0DA1" w:rsidRPr="004104D0">
        <w:rPr>
          <w:rFonts w:asciiTheme="majorHAnsi" w:hAnsiTheme="majorHAnsi"/>
          <w:sz w:val="20"/>
          <w:szCs w:val="20"/>
          <w:lang w:val="es-ES_tradnl"/>
        </w:rPr>
        <w:t>(</w:t>
      </w:r>
      <w:r w:rsidRPr="004104D0">
        <w:rPr>
          <w:rFonts w:asciiTheme="majorHAnsi" w:hAnsiTheme="majorHAnsi"/>
          <w:sz w:val="20"/>
          <w:szCs w:val="20"/>
          <w:lang w:val="es-ES_tradnl"/>
        </w:rPr>
        <w:t>b</w:t>
      </w:r>
      <w:r w:rsidR="007E0DA1" w:rsidRPr="004104D0">
        <w:rPr>
          <w:rFonts w:asciiTheme="majorHAnsi" w:hAnsiTheme="majorHAnsi"/>
          <w:sz w:val="20"/>
          <w:szCs w:val="20"/>
          <w:lang w:val="es-ES_tradnl"/>
        </w:rPr>
        <w:t xml:space="preserve">) </w:t>
      </w:r>
      <w:r w:rsidR="008A1B1F" w:rsidRPr="004104D0">
        <w:rPr>
          <w:rFonts w:asciiTheme="majorHAnsi" w:hAnsiTheme="majorHAnsi"/>
          <w:sz w:val="20"/>
          <w:szCs w:val="20"/>
          <w:lang w:val="es-ES_tradnl"/>
        </w:rPr>
        <w:t>desconocimiento de la cosa juzgada que ampararía las decisiones de instancia</w:t>
      </w:r>
      <w:r w:rsidR="007E0DA1" w:rsidRPr="004104D0">
        <w:rPr>
          <w:rFonts w:asciiTheme="majorHAnsi" w:hAnsiTheme="majorHAnsi"/>
          <w:sz w:val="20"/>
          <w:szCs w:val="20"/>
          <w:lang w:val="es-ES_tradnl"/>
        </w:rPr>
        <w:t xml:space="preserve"> que lo </w:t>
      </w:r>
      <w:r w:rsidR="007E0DA1" w:rsidRPr="004104D0">
        <w:rPr>
          <w:rFonts w:asciiTheme="majorHAnsi" w:hAnsiTheme="majorHAnsi"/>
          <w:sz w:val="20"/>
          <w:szCs w:val="20"/>
          <w:lang w:val="es-ES_tradnl"/>
        </w:rPr>
        <w:lastRenderedPageBreak/>
        <w:t>favorecieron</w:t>
      </w:r>
      <w:r w:rsidR="008A1B1F" w:rsidRPr="004104D0">
        <w:rPr>
          <w:rFonts w:asciiTheme="majorHAnsi" w:hAnsiTheme="majorHAnsi"/>
          <w:sz w:val="20"/>
          <w:szCs w:val="20"/>
          <w:lang w:val="es-ES_tradnl"/>
        </w:rPr>
        <w:t>,</w:t>
      </w:r>
      <w:r w:rsidR="008A14AA" w:rsidRPr="004104D0">
        <w:rPr>
          <w:rFonts w:asciiTheme="majorHAnsi" w:hAnsiTheme="majorHAnsi"/>
          <w:sz w:val="20"/>
          <w:szCs w:val="20"/>
          <w:lang w:val="es-ES_tradnl"/>
        </w:rPr>
        <w:t xml:space="preserve"> en particular de la sentencia que fue dejada sin efectos por la Suprema Corte;</w:t>
      </w:r>
      <w:r w:rsidR="008A1B1F" w:rsidRPr="004104D0">
        <w:rPr>
          <w:rFonts w:asciiTheme="majorHAnsi" w:hAnsiTheme="majorHAnsi"/>
          <w:sz w:val="20"/>
          <w:szCs w:val="20"/>
          <w:lang w:val="es-ES_tradnl"/>
        </w:rPr>
        <w:t xml:space="preserve"> </w:t>
      </w:r>
      <w:r w:rsidR="007E0DA1" w:rsidRPr="004104D0">
        <w:rPr>
          <w:rFonts w:asciiTheme="majorHAnsi" w:hAnsiTheme="majorHAnsi"/>
          <w:sz w:val="20"/>
          <w:szCs w:val="20"/>
          <w:lang w:val="es-ES_tradnl"/>
        </w:rPr>
        <w:t>(</w:t>
      </w:r>
      <w:r w:rsidRPr="004104D0">
        <w:rPr>
          <w:rFonts w:asciiTheme="majorHAnsi" w:hAnsiTheme="majorHAnsi"/>
          <w:sz w:val="20"/>
          <w:szCs w:val="20"/>
          <w:lang w:val="es-ES_tradnl"/>
        </w:rPr>
        <w:t>c</w:t>
      </w:r>
      <w:r w:rsidR="007E0DA1" w:rsidRPr="004104D0">
        <w:rPr>
          <w:rFonts w:asciiTheme="majorHAnsi" w:hAnsiTheme="majorHAnsi"/>
          <w:sz w:val="20"/>
          <w:szCs w:val="20"/>
          <w:lang w:val="es-ES_tradnl"/>
        </w:rPr>
        <w:t xml:space="preserve">) </w:t>
      </w:r>
      <w:r w:rsidR="008A1B1F" w:rsidRPr="004104D0">
        <w:rPr>
          <w:rFonts w:asciiTheme="majorHAnsi" w:hAnsiTheme="majorHAnsi"/>
          <w:sz w:val="20"/>
          <w:szCs w:val="20"/>
          <w:lang w:val="es-ES_tradnl"/>
        </w:rPr>
        <w:t>violación del derecho de audiencia</w:t>
      </w:r>
      <w:r w:rsidRPr="004104D0">
        <w:rPr>
          <w:rFonts w:asciiTheme="majorHAnsi" w:hAnsiTheme="majorHAnsi"/>
          <w:sz w:val="20"/>
          <w:szCs w:val="20"/>
          <w:lang w:val="es-ES_tradnl"/>
        </w:rPr>
        <w:t>,</w:t>
      </w:r>
      <w:r w:rsidR="008A1B1F" w:rsidRPr="004104D0">
        <w:rPr>
          <w:rFonts w:asciiTheme="majorHAnsi" w:hAnsiTheme="majorHAnsi"/>
          <w:sz w:val="20"/>
          <w:szCs w:val="20"/>
          <w:lang w:val="es-ES_tradnl"/>
        </w:rPr>
        <w:t xml:space="preserve"> en virtud de la configuración legal del procedimiento</w:t>
      </w:r>
      <w:r w:rsidR="007E0DA1" w:rsidRPr="004104D0">
        <w:rPr>
          <w:rFonts w:asciiTheme="majorHAnsi" w:hAnsiTheme="majorHAnsi"/>
          <w:sz w:val="20"/>
          <w:szCs w:val="20"/>
          <w:lang w:val="es-ES_tradnl"/>
        </w:rPr>
        <w:t xml:space="preserve"> aplicado</w:t>
      </w:r>
      <w:r w:rsidR="008A14AA" w:rsidRPr="004104D0">
        <w:rPr>
          <w:rFonts w:asciiTheme="majorHAnsi" w:hAnsiTheme="majorHAnsi"/>
          <w:sz w:val="20"/>
          <w:szCs w:val="20"/>
          <w:lang w:val="es-ES_tradnl"/>
        </w:rPr>
        <w:t xml:space="preserve"> al incidente de inejecución de la sentencia, en el curso del cual no se prevé la intervención de los afectados;</w:t>
      </w:r>
      <w:r w:rsidR="008A1B1F" w:rsidRPr="004104D0">
        <w:rPr>
          <w:rFonts w:asciiTheme="majorHAnsi" w:hAnsiTheme="majorHAnsi"/>
          <w:sz w:val="20"/>
          <w:szCs w:val="20"/>
          <w:lang w:val="es-ES_tradnl"/>
        </w:rPr>
        <w:t xml:space="preserve"> </w:t>
      </w:r>
      <w:r w:rsidR="008106AE" w:rsidRPr="004104D0">
        <w:rPr>
          <w:rFonts w:asciiTheme="majorHAnsi" w:hAnsiTheme="majorHAnsi"/>
          <w:sz w:val="20"/>
          <w:szCs w:val="20"/>
          <w:lang w:val="es-ES_tradnl"/>
        </w:rPr>
        <w:t xml:space="preserve">y </w:t>
      </w:r>
      <w:r w:rsidR="007E0DA1" w:rsidRPr="004104D0">
        <w:rPr>
          <w:rFonts w:asciiTheme="majorHAnsi" w:hAnsiTheme="majorHAnsi"/>
          <w:sz w:val="20"/>
          <w:szCs w:val="20"/>
          <w:lang w:val="es-ES_tradnl"/>
        </w:rPr>
        <w:t>(</w:t>
      </w:r>
      <w:r w:rsidR="008106AE" w:rsidRPr="004104D0">
        <w:rPr>
          <w:rFonts w:asciiTheme="majorHAnsi" w:hAnsiTheme="majorHAnsi"/>
          <w:sz w:val="20"/>
          <w:szCs w:val="20"/>
          <w:lang w:val="es-ES_tradnl"/>
        </w:rPr>
        <w:t>d</w:t>
      </w:r>
      <w:r w:rsidR="007E0DA1" w:rsidRPr="004104D0">
        <w:rPr>
          <w:rFonts w:asciiTheme="majorHAnsi" w:hAnsiTheme="majorHAnsi"/>
          <w:sz w:val="20"/>
          <w:szCs w:val="20"/>
          <w:lang w:val="es-ES_tradnl"/>
        </w:rPr>
        <w:t xml:space="preserve">) </w:t>
      </w:r>
      <w:r w:rsidR="008106AE" w:rsidRPr="004104D0">
        <w:rPr>
          <w:rFonts w:asciiTheme="majorHAnsi" w:hAnsiTheme="majorHAnsi"/>
          <w:sz w:val="20"/>
          <w:szCs w:val="20"/>
          <w:lang w:val="es-ES_tradnl"/>
        </w:rPr>
        <w:t>a</w:t>
      </w:r>
      <w:r w:rsidR="008A1B1F" w:rsidRPr="004104D0">
        <w:rPr>
          <w:rFonts w:asciiTheme="majorHAnsi" w:hAnsiTheme="majorHAnsi"/>
          <w:sz w:val="20"/>
          <w:szCs w:val="20"/>
          <w:lang w:val="es-ES_tradnl"/>
        </w:rPr>
        <w:t>plicación retroactiva de tesis jurisprudenciales desfavorables a su petición,</w:t>
      </w:r>
      <w:r w:rsidR="008A14AA" w:rsidRPr="004104D0">
        <w:rPr>
          <w:rFonts w:asciiTheme="majorHAnsi" w:hAnsiTheme="majorHAnsi"/>
          <w:sz w:val="20"/>
          <w:szCs w:val="20"/>
          <w:lang w:val="es-ES_tradnl"/>
        </w:rPr>
        <w:t xml:space="preserve"> específicamente, de la sentencia 2ª/J.64/2006, en la causa titulada “Magistrados del Tribunal Superior de Justicia del Estado de Baja California. Alcance de los efectos de la sentencia que les otorgó el amparo”, adoptada un mes después del fallo </w:t>
      </w:r>
      <w:r w:rsidR="00EF2583" w:rsidRPr="004104D0">
        <w:rPr>
          <w:rFonts w:asciiTheme="majorHAnsi" w:hAnsiTheme="majorHAnsi"/>
          <w:sz w:val="20"/>
          <w:szCs w:val="20"/>
          <w:lang w:val="es-ES_tradnl"/>
        </w:rPr>
        <w:t xml:space="preserve">favorable que después fue </w:t>
      </w:r>
      <w:r w:rsidR="008A14AA" w:rsidRPr="004104D0">
        <w:rPr>
          <w:rFonts w:asciiTheme="majorHAnsi" w:hAnsiTheme="majorHAnsi"/>
          <w:sz w:val="20"/>
          <w:szCs w:val="20"/>
          <w:lang w:val="es-ES_tradnl"/>
        </w:rPr>
        <w:t>materia del incidente de inejecución</w:t>
      </w:r>
      <w:r w:rsidR="00EF2583" w:rsidRPr="004104D0">
        <w:rPr>
          <w:rFonts w:asciiTheme="majorHAnsi" w:hAnsiTheme="majorHAnsi"/>
          <w:sz w:val="20"/>
          <w:szCs w:val="20"/>
          <w:lang w:val="es-ES_tradnl"/>
        </w:rPr>
        <w:t>.</w:t>
      </w:r>
      <w:r w:rsidR="008A14AA" w:rsidRPr="004104D0">
        <w:rPr>
          <w:rFonts w:asciiTheme="majorHAnsi" w:hAnsiTheme="majorHAnsi"/>
          <w:sz w:val="20"/>
          <w:szCs w:val="20"/>
          <w:lang w:val="es-ES_tradnl"/>
        </w:rPr>
        <w:t xml:space="preserve"> </w:t>
      </w:r>
      <w:r w:rsidR="008106AE" w:rsidRPr="004104D0">
        <w:rPr>
          <w:rFonts w:asciiTheme="majorHAnsi" w:hAnsiTheme="majorHAnsi"/>
          <w:sz w:val="20"/>
          <w:szCs w:val="20"/>
          <w:lang w:val="es-ES_tradnl"/>
        </w:rPr>
        <w:t>Además de</w:t>
      </w:r>
      <w:r w:rsidR="008A1B1F" w:rsidRPr="004104D0">
        <w:rPr>
          <w:rFonts w:asciiTheme="majorHAnsi" w:hAnsiTheme="majorHAnsi"/>
          <w:sz w:val="20"/>
          <w:szCs w:val="20"/>
          <w:lang w:val="es-ES_tradnl"/>
        </w:rPr>
        <w:t xml:space="preserve"> otras extensas consideraciones</w:t>
      </w:r>
      <w:r w:rsidR="00DD0CCF" w:rsidRPr="004104D0">
        <w:rPr>
          <w:rFonts w:asciiTheme="majorHAnsi" w:hAnsiTheme="majorHAnsi"/>
          <w:sz w:val="20"/>
          <w:szCs w:val="20"/>
          <w:lang w:val="es-ES_tradnl"/>
        </w:rPr>
        <w:t xml:space="preserve"> que apuntan hacia su desacuerdo de fondo con las decisiones judiciales cuestionadas</w:t>
      </w:r>
      <w:r w:rsidR="008A1B1F" w:rsidRPr="004104D0">
        <w:rPr>
          <w:rFonts w:asciiTheme="majorHAnsi" w:hAnsiTheme="majorHAnsi"/>
          <w:sz w:val="20"/>
          <w:szCs w:val="20"/>
          <w:lang w:val="es-ES_tradnl"/>
        </w:rPr>
        <w:t xml:space="preserve">. </w:t>
      </w:r>
    </w:p>
    <w:p w:rsidR="00F3374A" w:rsidRPr="004104D0" w:rsidRDefault="00F3374A" w:rsidP="004104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rsidR="00DD0CCF" w:rsidRDefault="008106AE" w:rsidP="004104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4104D0">
        <w:rPr>
          <w:rFonts w:asciiTheme="majorHAnsi" w:hAnsiTheme="majorHAnsi"/>
          <w:sz w:val="20"/>
          <w:szCs w:val="20"/>
          <w:lang w:val="es-ES_tradnl"/>
        </w:rPr>
        <w:t>7</w:t>
      </w:r>
      <w:r w:rsidR="00A82B01" w:rsidRPr="004104D0">
        <w:rPr>
          <w:rFonts w:asciiTheme="majorHAnsi" w:hAnsiTheme="majorHAnsi"/>
          <w:sz w:val="20"/>
          <w:szCs w:val="20"/>
          <w:lang w:val="es-ES_tradnl"/>
        </w:rPr>
        <w:t xml:space="preserve">. </w:t>
      </w:r>
      <w:r w:rsidRPr="004104D0">
        <w:rPr>
          <w:rFonts w:asciiTheme="majorHAnsi" w:hAnsiTheme="majorHAnsi"/>
          <w:sz w:val="20"/>
          <w:szCs w:val="20"/>
          <w:lang w:val="es-ES_tradnl"/>
        </w:rPr>
        <w:tab/>
      </w:r>
      <w:r w:rsidR="00D31126" w:rsidRPr="004104D0">
        <w:rPr>
          <w:rFonts w:asciiTheme="majorHAnsi" w:hAnsiTheme="majorHAnsi"/>
          <w:sz w:val="20"/>
          <w:szCs w:val="20"/>
          <w:lang w:val="es-ES_tradnl"/>
        </w:rPr>
        <w:t xml:space="preserve">El Estado, </w:t>
      </w:r>
      <w:r w:rsidR="00924DE5" w:rsidRPr="004104D0">
        <w:rPr>
          <w:rFonts w:asciiTheme="majorHAnsi" w:hAnsiTheme="majorHAnsi"/>
          <w:sz w:val="20"/>
          <w:szCs w:val="20"/>
          <w:lang w:val="es-ES_tradnl"/>
        </w:rPr>
        <w:t>por su parte</w:t>
      </w:r>
      <w:r w:rsidR="00D31126" w:rsidRPr="004104D0">
        <w:rPr>
          <w:rFonts w:asciiTheme="majorHAnsi" w:hAnsiTheme="majorHAnsi"/>
          <w:sz w:val="20"/>
          <w:szCs w:val="20"/>
          <w:lang w:val="es-ES_tradnl"/>
        </w:rPr>
        <w:t xml:space="preserve">, afirma que la petición debe ser declarada inadmisible </w:t>
      </w:r>
      <w:r w:rsidR="00924DE5" w:rsidRPr="004104D0">
        <w:rPr>
          <w:rFonts w:asciiTheme="majorHAnsi" w:hAnsiTheme="majorHAnsi"/>
          <w:sz w:val="20"/>
          <w:szCs w:val="20"/>
          <w:lang w:val="es-ES_tradnl"/>
        </w:rPr>
        <w:t>sobre la base de que</w:t>
      </w:r>
      <w:r w:rsidR="00D31126" w:rsidRPr="004104D0">
        <w:rPr>
          <w:rFonts w:asciiTheme="majorHAnsi" w:hAnsiTheme="majorHAnsi"/>
          <w:sz w:val="20"/>
          <w:szCs w:val="20"/>
          <w:lang w:val="es-ES_tradnl"/>
        </w:rPr>
        <w:t xml:space="preserve"> el peticionario ha recurrido a la CIDH como tribunal de cuarta instancia, controvirtiendo decisiones judiciales domésticas </w:t>
      </w:r>
      <w:r w:rsidR="005C1DE4" w:rsidRPr="004104D0">
        <w:rPr>
          <w:rFonts w:asciiTheme="majorHAnsi" w:hAnsiTheme="majorHAnsi"/>
          <w:sz w:val="20"/>
          <w:szCs w:val="20"/>
          <w:lang w:val="es-ES_tradnl"/>
        </w:rPr>
        <w:t xml:space="preserve">válidamente adoptadas </w:t>
      </w:r>
      <w:r w:rsidR="00D31126" w:rsidRPr="004104D0">
        <w:rPr>
          <w:rFonts w:asciiTheme="majorHAnsi" w:hAnsiTheme="majorHAnsi"/>
          <w:sz w:val="20"/>
          <w:szCs w:val="20"/>
          <w:lang w:val="es-ES_tradnl"/>
        </w:rPr>
        <w:t xml:space="preserve">con las cuales está en desacuerdo, sin plantear </w:t>
      </w:r>
      <w:r w:rsidR="00924DE5" w:rsidRPr="004104D0">
        <w:rPr>
          <w:rFonts w:asciiTheme="majorHAnsi" w:hAnsiTheme="majorHAnsi"/>
          <w:sz w:val="20"/>
          <w:szCs w:val="20"/>
          <w:lang w:val="es-ES_tradnl"/>
        </w:rPr>
        <w:t xml:space="preserve">realmente </w:t>
      </w:r>
      <w:r w:rsidR="00D31126" w:rsidRPr="004104D0">
        <w:rPr>
          <w:rFonts w:asciiTheme="majorHAnsi" w:hAnsiTheme="majorHAnsi"/>
          <w:sz w:val="20"/>
          <w:szCs w:val="20"/>
          <w:lang w:val="es-ES_tradnl"/>
        </w:rPr>
        <w:t xml:space="preserve">violaciones de la Convención Americana. </w:t>
      </w:r>
      <w:r w:rsidR="00924DE5" w:rsidRPr="004104D0">
        <w:rPr>
          <w:rFonts w:asciiTheme="majorHAnsi" w:hAnsiTheme="majorHAnsi"/>
          <w:sz w:val="20"/>
          <w:szCs w:val="20"/>
          <w:lang w:val="es-ES_tradnl"/>
        </w:rPr>
        <w:t>M</w:t>
      </w:r>
      <w:r w:rsidR="00E259C7" w:rsidRPr="004104D0">
        <w:rPr>
          <w:rFonts w:asciiTheme="majorHAnsi" w:hAnsiTheme="majorHAnsi"/>
          <w:sz w:val="20"/>
          <w:szCs w:val="20"/>
          <w:lang w:val="es-ES_tradnl"/>
        </w:rPr>
        <w:t>é</w:t>
      </w:r>
      <w:r w:rsidR="00924DE5" w:rsidRPr="004104D0">
        <w:rPr>
          <w:rFonts w:asciiTheme="majorHAnsi" w:hAnsiTheme="majorHAnsi"/>
          <w:sz w:val="20"/>
          <w:szCs w:val="20"/>
          <w:lang w:val="es-ES_tradnl"/>
        </w:rPr>
        <w:t>xico sostiene que el peticionario contó con l</w:t>
      </w:r>
      <w:r w:rsidR="00D31126" w:rsidRPr="004104D0">
        <w:rPr>
          <w:rFonts w:asciiTheme="majorHAnsi" w:hAnsiTheme="majorHAnsi"/>
          <w:sz w:val="20"/>
          <w:szCs w:val="20"/>
          <w:lang w:val="es-ES_tradnl"/>
        </w:rPr>
        <w:t xml:space="preserve">os recursos judiciales que mejor </w:t>
      </w:r>
      <w:r w:rsidR="00924DE5" w:rsidRPr="004104D0">
        <w:rPr>
          <w:rFonts w:asciiTheme="majorHAnsi" w:hAnsiTheme="majorHAnsi"/>
          <w:sz w:val="20"/>
          <w:szCs w:val="20"/>
          <w:lang w:val="es-ES_tradnl"/>
        </w:rPr>
        <w:t>convenían</w:t>
      </w:r>
      <w:r w:rsidR="00D31126" w:rsidRPr="004104D0">
        <w:rPr>
          <w:rFonts w:asciiTheme="majorHAnsi" w:hAnsiTheme="majorHAnsi"/>
          <w:sz w:val="20"/>
          <w:szCs w:val="20"/>
          <w:lang w:val="es-ES_tradnl"/>
        </w:rPr>
        <w:t xml:space="preserve"> a sus intereses, </w:t>
      </w:r>
      <w:r w:rsidR="00924DE5" w:rsidRPr="004104D0">
        <w:rPr>
          <w:rFonts w:asciiTheme="majorHAnsi" w:hAnsiTheme="majorHAnsi"/>
          <w:sz w:val="20"/>
          <w:szCs w:val="20"/>
          <w:lang w:val="es-ES_tradnl"/>
        </w:rPr>
        <w:t xml:space="preserve">y que estos fueron </w:t>
      </w:r>
      <w:r w:rsidR="00D31126" w:rsidRPr="004104D0">
        <w:rPr>
          <w:rFonts w:asciiTheme="majorHAnsi" w:hAnsiTheme="majorHAnsi"/>
          <w:sz w:val="20"/>
          <w:szCs w:val="20"/>
          <w:lang w:val="es-ES_tradnl"/>
        </w:rPr>
        <w:t xml:space="preserve">resueltos fundada y motivadamente en tiempos razonables. </w:t>
      </w:r>
      <w:r w:rsidR="008C1622" w:rsidRPr="004104D0">
        <w:rPr>
          <w:rFonts w:asciiTheme="majorHAnsi" w:hAnsiTheme="majorHAnsi"/>
          <w:sz w:val="20"/>
          <w:szCs w:val="20"/>
          <w:lang w:val="es-ES_tradnl"/>
        </w:rPr>
        <w:t>En este sentido, indica:</w:t>
      </w:r>
      <w:r w:rsidR="00924DE5" w:rsidRPr="004104D0">
        <w:rPr>
          <w:rFonts w:asciiTheme="majorHAnsi" w:hAnsiTheme="majorHAnsi"/>
          <w:sz w:val="20"/>
          <w:szCs w:val="20"/>
          <w:lang w:val="es-ES_tradnl"/>
        </w:rPr>
        <w:t xml:space="preserve"> “</w:t>
      </w:r>
      <w:r w:rsidR="00924DE5" w:rsidRPr="004104D0">
        <w:rPr>
          <w:rFonts w:asciiTheme="majorHAnsi" w:hAnsiTheme="majorHAnsi"/>
          <w:i/>
          <w:iCs/>
          <w:sz w:val="20"/>
          <w:szCs w:val="20"/>
          <w:lang w:val="es-ES_tradnl"/>
        </w:rPr>
        <w:t>u</w:t>
      </w:r>
      <w:r w:rsidR="00D31126" w:rsidRPr="004104D0">
        <w:rPr>
          <w:rFonts w:asciiTheme="majorHAnsi" w:hAnsiTheme="majorHAnsi"/>
          <w:i/>
          <w:iCs/>
          <w:sz w:val="20"/>
          <w:szCs w:val="20"/>
          <w:lang w:val="es-ES_tradnl"/>
        </w:rPr>
        <w:t xml:space="preserve">na vez que agotó los recursos de jurisdicción interna, mismos que fueron resueltos conforme a derecho por los tribunales jurisdiccionales competentes, así como el máximo Tribunal del Estado mexicano </w:t>
      </w:r>
      <w:r w:rsidR="00924DE5" w:rsidRPr="004104D0">
        <w:rPr>
          <w:rFonts w:asciiTheme="majorHAnsi" w:hAnsiTheme="majorHAnsi"/>
          <w:i/>
          <w:iCs/>
          <w:sz w:val="20"/>
          <w:szCs w:val="20"/>
          <w:lang w:val="es-ES_tradnl"/>
        </w:rPr>
        <w:t>[</w:t>
      </w:r>
      <w:r w:rsidR="00D31126" w:rsidRPr="004104D0">
        <w:rPr>
          <w:rFonts w:asciiTheme="majorHAnsi" w:hAnsiTheme="majorHAnsi"/>
          <w:i/>
          <w:iCs/>
          <w:sz w:val="20"/>
          <w:szCs w:val="20"/>
          <w:lang w:val="es-ES_tradnl"/>
        </w:rPr>
        <w:t>…</w:t>
      </w:r>
      <w:r w:rsidR="00924DE5" w:rsidRPr="004104D0">
        <w:rPr>
          <w:rFonts w:asciiTheme="majorHAnsi" w:hAnsiTheme="majorHAnsi"/>
          <w:i/>
          <w:iCs/>
          <w:sz w:val="20"/>
          <w:szCs w:val="20"/>
          <w:lang w:val="es-ES_tradnl"/>
        </w:rPr>
        <w:t>]</w:t>
      </w:r>
      <w:r w:rsidR="00D31126" w:rsidRPr="004104D0">
        <w:rPr>
          <w:rFonts w:asciiTheme="majorHAnsi" w:hAnsiTheme="majorHAnsi"/>
          <w:i/>
          <w:iCs/>
          <w:sz w:val="20"/>
          <w:szCs w:val="20"/>
          <w:lang w:val="es-ES_tradnl"/>
        </w:rPr>
        <w:t xml:space="preserve">, el peticionario solicita la intervención de la CIDH </w:t>
      </w:r>
      <w:r w:rsidR="00C02DFE" w:rsidRPr="004104D0">
        <w:rPr>
          <w:rFonts w:asciiTheme="majorHAnsi" w:hAnsiTheme="majorHAnsi"/>
          <w:i/>
          <w:iCs/>
          <w:sz w:val="20"/>
          <w:szCs w:val="20"/>
          <w:lang w:val="es-ES_tradnl"/>
        </w:rPr>
        <w:t>[…]</w:t>
      </w:r>
      <w:r w:rsidR="00D31126" w:rsidRPr="004104D0">
        <w:rPr>
          <w:rFonts w:asciiTheme="majorHAnsi" w:hAnsiTheme="majorHAnsi"/>
          <w:sz w:val="20"/>
          <w:szCs w:val="20"/>
          <w:lang w:val="es-ES_tradnl"/>
        </w:rPr>
        <w:t>”.</w:t>
      </w:r>
      <w:r w:rsidR="009629BD" w:rsidRPr="004104D0">
        <w:rPr>
          <w:rFonts w:asciiTheme="majorHAnsi" w:hAnsiTheme="majorHAnsi"/>
          <w:sz w:val="20"/>
          <w:szCs w:val="20"/>
          <w:lang w:val="es-ES_tradnl"/>
        </w:rPr>
        <w:t xml:space="preserve"> </w:t>
      </w:r>
      <w:r w:rsidR="008C1622" w:rsidRPr="004104D0">
        <w:rPr>
          <w:rFonts w:asciiTheme="majorHAnsi" w:hAnsiTheme="majorHAnsi"/>
          <w:sz w:val="20"/>
          <w:szCs w:val="20"/>
          <w:lang w:val="es-ES_tradnl"/>
        </w:rPr>
        <w:t>E</w:t>
      </w:r>
      <w:r w:rsidR="009629BD" w:rsidRPr="004104D0">
        <w:rPr>
          <w:rFonts w:asciiTheme="majorHAnsi" w:hAnsiTheme="majorHAnsi"/>
          <w:sz w:val="20"/>
          <w:szCs w:val="20"/>
          <w:lang w:val="es-ES_tradnl"/>
        </w:rPr>
        <w:t xml:space="preserve">l Estado </w:t>
      </w:r>
      <w:r w:rsidR="008C1622" w:rsidRPr="004104D0">
        <w:rPr>
          <w:rFonts w:asciiTheme="majorHAnsi" w:hAnsiTheme="majorHAnsi"/>
          <w:sz w:val="20"/>
          <w:szCs w:val="20"/>
          <w:lang w:val="es-ES_tradnl"/>
        </w:rPr>
        <w:t>subraya</w:t>
      </w:r>
      <w:r w:rsidR="009629BD" w:rsidRPr="004104D0">
        <w:rPr>
          <w:rFonts w:asciiTheme="majorHAnsi" w:hAnsiTheme="majorHAnsi"/>
          <w:sz w:val="20"/>
          <w:szCs w:val="20"/>
          <w:lang w:val="es-ES_tradnl"/>
        </w:rPr>
        <w:t xml:space="preserve"> que </w:t>
      </w:r>
      <w:r w:rsidR="008C1622" w:rsidRPr="004104D0">
        <w:rPr>
          <w:rFonts w:asciiTheme="majorHAnsi" w:hAnsiTheme="majorHAnsi"/>
          <w:sz w:val="20"/>
          <w:szCs w:val="20"/>
          <w:lang w:val="es-ES_tradnl"/>
        </w:rPr>
        <w:t xml:space="preserve">en </w:t>
      </w:r>
      <w:r w:rsidR="009629BD" w:rsidRPr="004104D0">
        <w:rPr>
          <w:rFonts w:asciiTheme="majorHAnsi" w:hAnsiTheme="majorHAnsi"/>
          <w:sz w:val="20"/>
          <w:szCs w:val="20"/>
          <w:lang w:val="es-ES_tradnl"/>
        </w:rPr>
        <w:t xml:space="preserve">la petición no se plantean posibles violaciones de la Convención Americana, </w:t>
      </w:r>
      <w:r w:rsidR="005C1DE4" w:rsidRPr="004104D0">
        <w:rPr>
          <w:rFonts w:asciiTheme="majorHAnsi" w:hAnsiTheme="majorHAnsi"/>
          <w:sz w:val="20"/>
          <w:szCs w:val="20"/>
          <w:lang w:val="es-ES_tradnl"/>
        </w:rPr>
        <w:t xml:space="preserve">dado </w:t>
      </w:r>
      <w:r w:rsidR="009629BD" w:rsidRPr="004104D0">
        <w:rPr>
          <w:rFonts w:asciiTheme="majorHAnsi" w:hAnsiTheme="majorHAnsi"/>
          <w:sz w:val="20"/>
          <w:szCs w:val="20"/>
          <w:lang w:val="es-ES_tradnl"/>
        </w:rPr>
        <w:t xml:space="preserve">que las decisiones judiciales que </w:t>
      </w:r>
      <w:r w:rsidR="005C1DE4" w:rsidRPr="004104D0">
        <w:rPr>
          <w:rFonts w:asciiTheme="majorHAnsi" w:hAnsiTheme="majorHAnsi"/>
          <w:sz w:val="20"/>
          <w:szCs w:val="20"/>
          <w:lang w:val="es-ES_tradnl"/>
        </w:rPr>
        <w:t xml:space="preserve">el peticionario </w:t>
      </w:r>
      <w:r w:rsidR="009629BD" w:rsidRPr="004104D0">
        <w:rPr>
          <w:rFonts w:asciiTheme="majorHAnsi" w:hAnsiTheme="majorHAnsi"/>
          <w:sz w:val="20"/>
          <w:szCs w:val="20"/>
          <w:lang w:val="es-ES_tradnl"/>
        </w:rPr>
        <w:t>controvierte fueron adoptadas con plena aplicación de las normas legales y los precedentes jurisprudenciales pertinentes, con cuy</w:t>
      </w:r>
      <w:r w:rsidR="006370CB" w:rsidRPr="004104D0">
        <w:rPr>
          <w:rFonts w:asciiTheme="majorHAnsi" w:hAnsiTheme="majorHAnsi"/>
          <w:sz w:val="20"/>
          <w:szCs w:val="20"/>
          <w:lang w:val="es-ES_tradnl"/>
        </w:rPr>
        <w:t>o contenido el peticionario estaría meramente</w:t>
      </w:r>
      <w:r w:rsidR="009629BD" w:rsidRPr="004104D0">
        <w:rPr>
          <w:rFonts w:asciiTheme="majorHAnsi" w:hAnsiTheme="majorHAnsi"/>
          <w:sz w:val="20"/>
          <w:szCs w:val="20"/>
          <w:lang w:val="es-ES_tradnl"/>
        </w:rPr>
        <w:t xml:space="preserve"> en desacuerdo.</w:t>
      </w:r>
    </w:p>
    <w:p w:rsidR="00F3374A" w:rsidRPr="004104D0" w:rsidRDefault="00F3374A" w:rsidP="004104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rsidR="003239B8" w:rsidRDefault="003239B8" w:rsidP="004104D0">
      <w:pPr>
        <w:ind w:firstLine="720"/>
        <w:jc w:val="both"/>
        <w:rPr>
          <w:rFonts w:asciiTheme="majorHAnsi" w:eastAsia="Cambria" w:hAnsiTheme="majorHAnsi" w:cs="Cambria"/>
          <w:b/>
          <w:bCs/>
          <w:color w:val="000000"/>
          <w:sz w:val="20"/>
          <w:szCs w:val="20"/>
          <w:u w:color="000000"/>
          <w:lang w:val="es-ES_tradnl" w:eastAsia="es-ES"/>
        </w:rPr>
      </w:pPr>
      <w:r w:rsidRPr="004104D0">
        <w:rPr>
          <w:rFonts w:asciiTheme="majorHAnsi" w:eastAsia="Cambria" w:hAnsiTheme="majorHAnsi" w:cs="Cambria"/>
          <w:b/>
          <w:bCs/>
          <w:color w:val="000000"/>
          <w:sz w:val="20"/>
          <w:szCs w:val="20"/>
          <w:u w:color="000000"/>
          <w:lang w:val="es-ES_tradnl" w:eastAsia="es-ES"/>
        </w:rPr>
        <w:t>VI.</w:t>
      </w:r>
      <w:r w:rsidRPr="004104D0">
        <w:rPr>
          <w:rFonts w:asciiTheme="majorHAnsi" w:eastAsia="Cambria" w:hAnsiTheme="majorHAnsi" w:cs="Cambria"/>
          <w:b/>
          <w:bCs/>
          <w:color w:val="000000"/>
          <w:sz w:val="20"/>
          <w:szCs w:val="20"/>
          <w:u w:color="000000"/>
          <w:lang w:val="es-ES_tradnl" w:eastAsia="es-ES"/>
        </w:rPr>
        <w:tab/>
      </w:r>
      <w:r w:rsidR="004A6A54" w:rsidRPr="004104D0">
        <w:rPr>
          <w:rFonts w:asciiTheme="majorHAnsi" w:hAnsiTheme="majorHAnsi"/>
          <w:b/>
          <w:bCs/>
          <w:sz w:val="20"/>
          <w:szCs w:val="20"/>
          <w:lang w:val="es-ES_tradnl"/>
        </w:rPr>
        <w:t xml:space="preserve">ANÁLISIS DE </w:t>
      </w:r>
      <w:r w:rsidR="00C21FEF" w:rsidRPr="004104D0">
        <w:rPr>
          <w:rFonts w:asciiTheme="majorHAnsi" w:hAnsiTheme="majorHAnsi"/>
          <w:b/>
          <w:sz w:val="20"/>
          <w:szCs w:val="20"/>
          <w:lang w:val="es-ES_tradnl"/>
        </w:rPr>
        <w:t>AGOTAMIENTO DE LOS RECURSOS INTERNOS Y PLAZO DE PRESENTACIÓN</w:t>
      </w:r>
      <w:r w:rsidR="00C21FEF" w:rsidRPr="004104D0">
        <w:rPr>
          <w:rFonts w:asciiTheme="majorHAnsi" w:eastAsia="Cambria" w:hAnsiTheme="majorHAnsi" w:cs="Cambria"/>
          <w:b/>
          <w:bCs/>
          <w:color w:val="000000"/>
          <w:sz w:val="20"/>
          <w:szCs w:val="20"/>
          <w:u w:color="000000"/>
          <w:lang w:val="es-ES_tradnl" w:eastAsia="es-ES"/>
        </w:rPr>
        <w:t xml:space="preserve"> </w:t>
      </w:r>
    </w:p>
    <w:p w:rsidR="00F3374A" w:rsidRPr="004104D0" w:rsidRDefault="00F3374A" w:rsidP="004104D0">
      <w:pPr>
        <w:ind w:firstLine="720"/>
        <w:jc w:val="both"/>
        <w:rPr>
          <w:rFonts w:asciiTheme="majorHAnsi" w:hAnsiTheme="majorHAnsi"/>
          <w:sz w:val="20"/>
          <w:szCs w:val="20"/>
          <w:lang w:val="es-ES_tradnl"/>
        </w:rPr>
      </w:pPr>
    </w:p>
    <w:p w:rsidR="000666B7" w:rsidRDefault="000C0EEF" w:rsidP="004104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4104D0">
        <w:rPr>
          <w:rFonts w:asciiTheme="majorHAnsi" w:hAnsiTheme="majorHAnsi"/>
          <w:sz w:val="20"/>
          <w:szCs w:val="20"/>
          <w:lang w:val="es-ES_tradnl"/>
        </w:rPr>
        <w:t>8</w:t>
      </w:r>
      <w:r w:rsidR="00A82B01" w:rsidRPr="004104D0">
        <w:rPr>
          <w:rFonts w:asciiTheme="majorHAnsi" w:hAnsiTheme="majorHAnsi"/>
          <w:sz w:val="20"/>
          <w:szCs w:val="20"/>
          <w:lang w:val="es-ES_tradnl"/>
        </w:rPr>
        <w:t xml:space="preserve">. </w:t>
      </w:r>
      <w:r w:rsidRPr="004104D0">
        <w:rPr>
          <w:rFonts w:asciiTheme="majorHAnsi" w:hAnsiTheme="majorHAnsi"/>
          <w:sz w:val="20"/>
          <w:szCs w:val="20"/>
          <w:lang w:val="es-ES_tradnl"/>
        </w:rPr>
        <w:tab/>
      </w:r>
      <w:r w:rsidR="000E3D7C" w:rsidRPr="004104D0">
        <w:rPr>
          <w:rFonts w:asciiTheme="majorHAnsi" w:hAnsiTheme="majorHAnsi"/>
          <w:sz w:val="20"/>
          <w:szCs w:val="20"/>
          <w:lang w:val="es-ES_tradnl"/>
        </w:rPr>
        <w:t>Con</w:t>
      </w:r>
      <w:r w:rsidRPr="004104D0">
        <w:rPr>
          <w:rFonts w:asciiTheme="majorHAnsi" w:hAnsiTheme="majorHAnsi"/>
          <w:sz w:val="20"/>
          <w:szCs w:val="20"/>
          <w:lang w:val="es-ES_tradnl"/>
        </w:rPr>
        <w:t xml:space="preserve"> este respecto</w:t>
      </w:r>
      <w:r w:rsidR="000E3D7C" w:rsidRPr="004104D0">
        <w:rPr>
          <w:rFonts w:asciiTheme="majorHAnsi" w:hAnsiTheme="majorHAnsi"/>
          <w:sz w:val="20"/>
          <w:szCs w:val="20"/>
          <w:lang w:val="es-ES_tradnl"/>
        </w:rPr>
        <w:t xml:space="preserve"> a los hechos planteados en el presente caso</w:t>
      </w:r>
      <w:r w:rsidRPr="004104D0">
        <w:rPr>
          <w:rFonts w:asciiTheme="majorHAnsi" w:hAnsiTheme="majorHAnsi"/>
          <w:sz w:val="20"/>
          <w:szCs w:val="20"/>
          <w:lang w:val="es-ES_tradnl"/>
        </w:rPr>
        <w:t xml:space="preserve">, la Comisión Interamericana recuerda que ha decidido recientemente la admisibilidad de otras peticiones presentadas </w:t>
      </w:r>
      <w:r w:rsidR="00E56234" w:rsidRPr="004104D0">
        <w:rPr>
          <w:rFonts w:asciiTheme="majorHAnsi" w:hAnsiTheme="majorHAnsi"/>
          <w:sz w:val="20"/>
          <w:szCs w:val="20"/>
          <w:lang w:val="es-ES_tradnl"/>
        </w:rPr>
        <w:t>por ex</w:t>
      </w:r>
      <w:r w:rsidRPr="004104D0">
        <w:rPr>
          <w:rFonts w:asciiTheme="majorHAnsi" w:hAnsiTheme="majorHAnsi"/>
          <w:sz w:val="20"/>
          <w:szCs w:val="20"/>
          <w:lang w:val="es-ES_tradnl"/>
        </w:rPr>
        <w:t xml:space="preserve"> </w:t>
      </w:r>
      <w:r w:rsidR="00E56234" w:rsidRPr="004104D0">
        <w:rPr>
          <w:rFonts w:asciiTheme="majorHAnsi" w:hAnsiTheme="majorHAnsi"/>
          <w:sz w:val="20"/>
          <w:szCs w:val="20"/>
          <w:lang w:val="es-ES_tradnl"/>
        </w:rPr>
        <w:t xml:space="preserve">magistrados del mismo </w:t>
      </w:r>
      <w:r w:rsidRPr="004104D0">
        <w:rPr>
          <w:rFonts w:asciiTheme="majorHAnsi" w:hAnsiTheme="majorHAnsi"/>
          <w:sz w:val="20"/>
          <w:szCs w:val="20"/>
          <w:lang w:val="es-ES_tradnl"/>
        </w:rPr>
        <w:t>t</w:t>
      </w:r>
      <w:r w:rsidR="00E56234" w:rsidRPr="004104D0">
        <w:rPr>
          <w:rFonts w:asciiTheme="majorHAnsi" w:hAnsiTheme="majorHAnsi"/>
          <w:sz w:val="20"/>
          <w:szCs w:val="20"/>
          <w:lang w:val="es-ES_tradnl"/>
        </w:rPr>
        <w:t>ribunal de Baja California</w:t>
      </w:r>
      <w:r w:rsidRPr="004104D0">
        <w:rPr>
          <w:rFonts w:asciiTheme="majorHAnsi" w:hAnsiTheme="majorHAnsi"/>
          <w:sz w:val="20"/>
          <w:szCs w:val="20"/>
          <w:lang w:val="es-ES_tradnl"/>
        </w:rPr>
        <w:t>,</w:t>
      </w:r>
      <w:r w:rsidR="00E56234" w:rsidRPr="004104D0">
        <w:rPr>
          <w:rFonts w:asciiTheme="majorHAnsi" w:hAnsiTheme="majorHAnsi"/>
          <w:sz w:val="20"/>
          <w:szCs w:val="20"/>
          <w:lang w:val="es-ES_tradnl"/>
        </w:rPr>
        <w:t xml:space="preserve"> afectados por actuaciones</w:t>
      </w:r>
      <w:r w:rsidRPr="004104D0">
        <w:rPr>
          <w:rFonts w:asciiTheme="majorHAnsi" w:hAnsiTheme="majorHAnsi"/>
          <w:sz w:val="20"/>
          <w:szCs w:val="20"/>
          <w:lang w:val="es-ES_tradnl"/>
        </w:rPr>
        <w:t>,</w:t>
      </w:r>
      <w:r w:rsidR="005C1DE4" w:rsidRPr="004104D0">
        <w:rPr>
          <w:rFonts w:asciiTheme="majorHAnsi" w:hAnsiTheme="majorHAnsi"/>
          <w:sz w:val="20"/>
          <w:szCs w:val="20"/>
          <w:lang w:val="es-ES_tradnl"/>
        </w:rPr>
        <w:t xml:space="preserve"> fallos judiciales</w:t>
      </w:r>
      <w:r w:rsidR="00E56234" w:rsidRPr="004104D0">
        <w:rPr>
          <w:rFonts w:asciiTheme="majorHAnsi" w:hAnsiTheme="majorHAnsi"/>
          <w:sz w:val="20"/>
          <w:szCs w:val="20"/>
          <w:lang w:val="es-ES_tradnl"/>
        </w:rPr>
        <w:t xml:space="preserve"> y otras decisiones conexas</w:t>
      </w:r>
      <w:r w:rsidR="00E56234" w:rsidRPr="004104D0">
        <w:rPr>
          <w:rStyle w:val="FootnoteReference"/>
          <w:rFonts w:asciiTheme="majorHAnsi" w:hAnsiTheme="majorHAnsi"/>
          <w:sz w:val="20"/>
          <w:szCs w:val="20"/>
          <w:lang w:val="es-ES_tradnl"/>
        </w:rPr>
        <w:footnoteReference w:id="6"/>
      </w:r>
      <w:r w:rsidRPr="004104D0">
        <w:rPr>
          <w:rFonts w:asciiTheme="majorHAnsi" w:hAnsiTheme="majorHAnsi"/>
          <w:sz w:val="20"/>
          <w:szCs w:val="20"/>
          <w:lang w:val="es-ES_tradnl"/>
        </w:rPr>
        <w:t xml:space="preserve"> adoptadas en el mismo contexto. En congruencia con tales decisiones</w:t>
      </w:r>
      <w:r w:rsidR="00E56234" w:rsidRPr="004104D0">
        <w:rPr>
          <w:rFonts w:asciiTheme="majorHAnsi" w:hAnsiTheme="majorHAnsi"/>
          <w:sz w:val="20"/>
          <w:szCs w:val="20"/>
          <w:lang w:val="es-ES_tradnl"/>
        </w:rPr>
        <w:t>, l</w:t>
      </w:r>
      <w:r w:rsidR="009629BD" w:rsidRPr="004104D0">
        <w:rPr>
          <w:rFonts w:asciiTheme="majorHAnsi" w:hAnsiTheme="majorHAnsi"/>
          <w:sz w:val="20"/>
          <w:szCs w:val="20"/>
          <w:lang w:val="es-ES_tradnl"/>
        </w:rPr>
        <w:t xml:space="preserve">a Comisión considera que </w:t>
      </w:r>
      <w:r w:rsidR="006370CB" w:rsidRPr="004104D0">
        <w:rPr>
          <w:rFonts w:asciiTheme="majorHAnsi" w:hAnsiTheme="majorHAnsi"/>
          <w:sz w:val="20"/>
          <w:szCs w:val="20"/>
          <w:lang w:val="es-ES_tradnl"/>
        </w:rPr>
        <w:t xml:space="preserve">en el presente </w:t>
      </w:r>
      <w:r w:rsidRPr="004104D0">
        <w:rPr>
          <w:rFonts w:asciiTheme="majorHAnsi" w:hAnsiTheme="majorHAnsi"/>
          <w:sz w:val="20"/>
          <w:szCs w:val="20"/>
          <w:lang w:val="es-ES_tradnl"/>
        </w:rPr>
        <w:t xml:space="preserve">caso </w:t>
      </w:r>
      <w:r w:rsidR="009629BD" w:rsidRPr="004104D0">
        <w:rPr>
          <w:rFonts w:asciiTheme="majorHAnsi" w:hAnsiTheme="majorHAnsi"/>
          <w:sz w:val="20"/>
          <w:szCs w:val="20"/>
          <w:lang w:val="es-ES_tradnl"/>
        </w:rPr>
        <w:t xml:space="preserve">los recursos de queja y de amparo eran medios </w:t>
      </w:r>
      <w:r w:rsidR="00E56234" w:rsidRPr="004104D0">
        <w:rPr>
          <w:rFonts w:asciiTheme="majorHAnsi" w:hAnsiTheme="majorHAnsi"/>
          <w:sz w:val="20"/>
          <w:szCs w:val="20"/>
          <w:lang w:val="es-ES_tradnl"/>
        </w:rPr>
        <w:t xml:space="preserve">judiciales </w:t>
      </w:r>
      <w:r w:rsidR="009629BD" w:rsidRPr="004104D0">
        <w:rPr>
          <w:rFonts w:asciiTheme="majorHAnsi" w:hAnsiTheme="majorHAnsi"/>
          <w:sz w:val="20"/>
          <w:szCs w:val="20"/>
          <w:lang w:val="es-ES_tradnl"/>
        </w:rPr>
        <w:t xml:space="preserve">idóneos para ventilar </w:t>
      </w:r>
      <w:r w:rsidR="00E56234" w:rsidRPr="004104D0">
        <w:rPr>
          <w:rFonts w:asciiTheme="majorHAnsi" w:hAnsiTheme="majorHAnsi"/>
          <w:sz w:val="20"/>
          <w:szCs w:val="20"/>
          <w:lang w:val="es-ES_tradnl"/>
        </w:rPr>
        <w:t xml:space="preserve">las </w:t>
      </w:r>
      <w:r w:rsidR="009629BD" w:rsidRPr="004104D0">
        <w:rPr>
          <w:rFonts w:asciiTheme="majorHAnsi" w:hAnsiTheme="majorHAnsi"/>
          <w:sz w:val="20"/>
          <w:szCs w:val="20"/>
          <w:lang w:val="es-ES_tradnl"/>
        </w:rPr>
        <w:t xml:space="preserve">pretensiones </w:t>
      </w:r>
      <w:r w:rsidR="00E56234" w:rsidRPr="004104D0">
        <w:rPr>
          <w:rFonts w:asciiTheme="majorHAnsi" w:hAnsiTheme="majorHAnsi"/>
          <w:sz w:val="20"/>
          <w:szCs w:val="20"/>
          <w:lang w:val="es-ES_tradnl"/>
        </w:rPr>
        <w:t xml:space="preserve">del señor Palomino </w:t>
      </w:r>
      <w:r w:rsidR="009629BD" w:rsidRPr="004104D0">
        <w:rPr>
          <w:rFonts w:asciiTheme="majorHAnsi" w:hAnsiTheme="majorHAnsi"/>
          <w:sz w:val="20"/>
          <w:szCs w:val="20"/>
          <w:lang w:val="es-ES_tradnl"/>
        </w:rPr>
        <w:t xml:space="preserve">ante los tribunales domésticos mexicanos, y que –como </w:t>
      </w:r>
      <w:r w:rsidR="002E1308" w:rsidRPr="004104D0">
        <w:rPr>
          <w:rFonts w:asciiTheme="majorHAnsi" w:hAnsiTheme="majorHAnsi"/>
          <w:sz w:val="20"/>
          <w:szCs w:val="20"/>
          <w:lang w:val="es-ES_tradnl"/>
        </w:rPr>
        <w:t xml:space="preserve">bien </w:t>
      </w:r>
      <w:r w:rsidR="009629BD" w:rsidRPr="004104D0">
        <w:rPr>
          <w:rFonts w:asciiTheme="majorHAnsi" w:hAnsiTheme="majorHAnsi"/>
          <w:sz w:val="20"/>
          <w:szCs w:val="20"/>
          <w:lang w:val="es-ES_tradnl"/>
        </w:rPr>
        <w:t>reconoce el Estado</w:t>
      </w:r>
      <w:r w:rsidRPr="004104D0">
        <w:rPr>
          <w:rFonts w:asciiTheme="majorHAnsi" w:hAnsiTheme="majorHAnsi"/>
          <w:sz w:val="20"/>
          <w:szCs w:val="20"/>
          <w:lang w:val="es-ES_tradnl"/>
        </w:rPr>
        <w:t>–</w:t>
      </w:r>
      <w:r w:rsidR="009629BD" w:rsidRPr="004104D0">
        <w:rPr>
          <w:rFonts w:asciiTheme="majorHAnsi" w:hAnsiTheme="majorHAnsi"/>
          <w:sz w:val="20"/>
          <w:szCs w:val="20"/>
          <w:lang w:val="es-ES_tradnl"/>
        </w:rPr>
        <w:t xml:space="preserve"> dichos </w:t>
      </w:r>
      <w:r w:rsidR="00155F86" w:rsidRPr="004104D0">
        <w:rPr>
          <w:rFonts w:asciiTheme="majorHAnsi" w:hAnsiTheme="majorHAnsi"/>
          <w:sz w:val="20"/>
          <w:szCs w:val="20"/>
          <w:lang w:val="es-ES_tradnl"/>
        </w:rPr>
        <w:t xml:space="preserve">recursos </w:t>
      </w:r>
      <w:r w:rsidR="009629BD" w:rsidRPr="004104D0">
        <w:rPr>
          <w:rFonts w:asciiTheme="majorHAnsi" w:hAnsiTheme="majorHAnsi"/>
          <w:sz w:val="20"/>
          <w:szCs w:val="20"/>
          <w:lang w:val="es-ES_tradnl"/>
        </w:rPr>
        <w:t>fueron agotados</w:t>
      </w:r>
      <w:r w:rsidR="00E56234" w:rsidRPr="004104D0">
        <w:rPr>
          <w:rFonts w:asciiTheme="majorHAnsi" w:hAnsiTheme="majorHAnsi"/>
          <w:sz w:val="20"/>
          <w:szCs w:val="20"/>
          <w:lang w:val="es-ES_tradnl"/>
        </w:rPr>
        <w:t>, habiéndose ejercido</w:t>
      </w:r>
      <w:r w:rsidR="00A82B01" w:rsidRPr="004104D0">
        <w:rPr>
          <w:rFonts w:asciiTheme="majorHAnsi" w:hAnsiTheme="majorHAnsi"/>
          <w:sz w:val="20"/>
          <w:szCs w:val="20"/>
          <w:lang w:val="es-ES_tradnl"/>
        </w:rPr>
        <w:t xml:space="preserve"> en el curso de los mismos</w:t>
      </w:r>
      <w:r w:rsidR="00E56234" w:rsidRPr="004104D0">
        <w:rPr>
          <w:rFonts w:asciiTheme="majorHAnsi" w:hAnsiTheme="majorHAnsi"/>
          <w:sz w:val="20"/>
          <w:szCs w:val="20"/>
          <w:lang w:val="es-ES_tradnl"/>
        </w:rPr>
        <w:t xml:space="preserve"> lo</w:t>
      </w:r>
      <w:r w:rsidR="00A82B01" w:rsidRPr="004104D0">
        <w:rPr>
          <w:rFonts w:asciiTheme="majorHAnsi" w:hAnsiTheme="majorHAnsi"/>
          <w:sz w:val="20"/>
          <w:szCs w:val="20"/>
          <w:lang w:val="es-ES_tradnl"/>
        </w:rPr>
        <w:t xml:space="preserve">s </w:t>
      </w:r>
      <w:r w:rsidR="00E56234" w:rsidRPr="004104D0">
        <w:rPr>
          <w:rFonts w:asciiTheme="majorHAnsi" w:hAnsiTheme="majorHAnsi"/>
          <w:sz w:val="20"/>
          <w:szCs w:val="20"/>
          <w:lang w:val="es-ES_tradnl"/>
        </w:rPr>
        <w:t>distintos medios de defensa previstos en la ley procesal aplicable.</w:t>
      </w:r>
      <w:r w:rsidR="009629BD" w:rsidRPr="004104D0">
        <w:rPr>
          <w:rFonts w:asciiTheme="majorHAnsi" w:hAnsiTheme="majorHAnsi"/>
          <w:sz w:val="20"/>
          <w:szCs w:val="20"/>
          <w:lang w:val="es-ES_tradnl"/>
        </w:rPr>
        <w:t xml:space="preserve"> </w:t>
      </w:r>
      <w:r w:rsidR="002E1308" w:rsidRPr="004104D0">
        <w:rPr>
          <w:rFonts w:asciiTheme="majorHAnsi" w:hAnsiTheme="majorHAnsi"/>
          <w:sz w:val="20"/>
          <w:szCs w:val="20"/>
          <w:lang w:val="es-ES_tradnl"/>
        </w:rPr>
        <w:t>Así, l</w:t>
      </w:r>
      <w:r w:rsidR="009629BD" w:rsidRPr="004104D0">
        <w:rPr>
          <w:rFonts w:asciiTheme="majorHAnsi" w:hAnsiTheme="majorHAnsi"/>
          <w:sz w:val="20"/>
          <w:szCs w:val="20"/>
          <w:lang w:val="es-ES_tradnl"/>
        </w:rPr>
        <w:t>a decisión que puso fin a dichos procesos</w:t>
      </w:r>
      <w:r w:rsidR="007E0DA1" w:rsidRPr="004104D0">
        <w:rPr>
          <w:rFonts w:asciiTheme="majorHAnsi" w:hAnsiTheme="majorHAnsi"/>
          <w:sz w:val="20"/>
          <w:szCs w:val="20"/>
          <w:lang w:val="es-ES_tradnl"/>
        </w:rPr>
        <w:t xml:space="preserve"> </w:t>
      </w:r>
      <w:r w:rsidR="006370CB" w:rsidRPr="004104D0">
        <w:rPr>
          <w:rFonts w:asciiTheme="majorHAnsi" w:hAnsiTheme="majorHAnsi"/>
          <w:sz w:val="20"/>
          <w:szCs w:val="20"/>
          <w:lang w:val="es-ES_tradnl"/>
        </w:rPr>
        <w:t xml:space="preserve">conexos </w:t>
      </w:r>
      <w:r w:rsidR="00E56234" w:rsidRPr="004104D0">
        <w:rPr>
          <w:rFonts w:asciiTheme="majorHAnsi" w:hAnsiTheme="majorHAnsi"/>
          <w:sz w:val="20"/>
          <w:szCs w:val="20"/>
          <w:lang w:val="es-ES_tradnl"/>
        </w:rPr>
        <w:t xml:space="preserve">de queja y de amparo </w:t>
      </w:r>
      <w:r w:rsidR="009629BD" w:rsidRPr="004104D0">
        <w:rPr>
          <w:rFonts w:asciiTheme="majorHAnsi" w:hAnsiTheme="majorHAnsi"/>
          <w:sz w:val="20"/>
          <w:szCs w:val="20"/>
          <w:lang w:val="es-ES_tradnl"/>
        </w:rPr>
        <w:t>fue la resolución de la Suprema Corte de Justicia del 29 de octubre de 2008</w:t>
      </w:r>
      <w:r w:rsidR="000666B7" w:rsidRPr="004104D0">
        <w:rPr>
          <w:rFonts w:asciiTheme="majorHAnsi" w:hAnsiTheme="majorHAnsi"/>
          <w:sz w:val="20"/>
          <w:szCs w:val="20"/>
          <w:lang w:val="es-ES_tradnl"/>
        </w:rPr>
        <w:t xml:space="preserve">; la cual </w:t>
      </w:r>
      <w:r w:rsidR="007E0DA1" w:rsidRPr="004104D0">
        <w:rPr>
          <w:rFonts w:asciiTheme="majorHAnsi" w:hAnsiTheme="majorHAnsi"/>
          <w:sz w:val="20"/>
          <w:szCs w:val="20"/>
          <w:lang w:val="es-ES_tradnl"/>
        </w:rPr>
        <w:t>fue notificada al peticionario, por intermedio del juzgado de primera instancia en el proceso de amparo correspondiente, el 10 de febrero de 2009, según consta en el expediente</w:t>
      </w:r>
      <w:r w:rsidR="000666B7" w:rsidRPr="004104D0">
        <w:rPr>
          <w:rFonts w:asciiTheme="majorHAnsi" w:hAnsiTheme="majorHAnsi"/>
          <w:sz w:val="20"/>
          <w:szCs w:val="20"/>
          <w:lang w:val="es-ES_tradnl"/>
        </w:rPr>
        <w:t>, y sin que esto haya sido cuestionado por el Estado</w:t>
      </w:r>
      <w:r w:rsidR="007E0DA1" w:rsidRPr="004104D0">
        <w:rPr>
          <w:rFonts w:asciiTheme="majorHAnsi" w:hAnsiTheme="majorHAnsi"/>
          <w:sz w:val="20"/>
          <w:szCs w:val="20"/>
          <w:lang w:val="es-ES_tradnl"/>
        </w:rPr>
        <w:t xml:space="preserve">. </w:t>
      </w:r>
    </w:p>
    <w:p w:rsidR="00F3374A" w:rsidRPr="004104D0" w:rsidRDefault="00F3374A" w:rsidP="004104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rsidR="00A82B01" w:rsidRDefault="000666B7" w:rsidP="004104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r w:rsidRPr="004104D0">
        <w:rPr>
          <w:rFonts w:asciiTheme="majorHAnsi" w:hAnsiTheme="majorHAnsi"/>
          <w:sz w:val="20"/>
          <w:szCs w:val="20"/>
          <w:lang w:val="es-ES_tradnl"/>
        </w:rPr>
        <w:t>9.</w:t>
      </w:r>
      <w:r w:rsidRPr="004104D0">
        <w:rPr>
          <w:rFonts w:asciiTheme="majorHAnsi" w:hAnsiTheme="majorHAnsi"/>
          <w:sz w:val="20"/>
          <w:szCs w:val="20"/>
          <w:lang w:val="es-ES_tradnl"/>
        </w:rPr>
        <w:tab/>
        <w:t xml:space="preserve">En atención a estas consideraciones, la Comisión Interamericana concluye que la presente petición cumple con el requisito del agotamiento de los recursos internos establecido en el artículo 46.1.a de la Convención Americana. Además, dado que la petición fue recibida el </w:t>
      </w:r>
      <w:r w:rsidR="007E0DA1" w:rsidRPr="004104D0">
        <w:rPr>
          <w:rFonts w:asciiTheme="majorHAnsi" w:hAnsiTheme="majorHAnsi"/>
          <w:sz w:val="20"/>
          <w:szCs w:val="20"/>
          <w:lang w:val="es-ES_tradnl"/>
        </w:rPr>
        <w:t xml:space="preserve">3 de agosto de 2009, </w:t>
      </w:r>
      <w:r w:rsidRPr="004104D0">
        <w:rPr>
          <w:rFonts w:asciiTheme="majorHAnsi" w:hAnsiTheme="majorHAnsi"/>
          <w:sz w:val="20"/>
          <w:szCs w:val="20"/>
          <w:lang w:val="es-ES_tradnl"/>
        </w:rPr>
        <w:t xml:space="preserve">resulta evidente que la misma cumple con el requisito establecido en el artículo 46.1.b de la Convención. </w:t>
      </w:r>
    </w:p>
    <w:p w:rsidR="00F3374A" w:rsidRPr="004104D0" w:rsidRDefault="00F3374A" w:rsidP="004104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sz w:val="20"/>
          <w:szCs w:val="20"/>
          <w:lang w:val="es-ES_tradnl"/>
        </w:rPr>
      </w:pPr>
    </w:p>
    <w:p w:rsidR="000666B7" w:rsidRDefault="000666B7" w:rsidP="004104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cs="Cambria"/>
          <w:color w:val="000000"/>
          <w:sz w:val="20"/>
          <w:szCs w:val="20"/>
          <w:lang w:val="es-ES_tradnl" w:eastAsia="es-ES"/>
        </w:rPr>
      </w:pPr>
      <w:r w:rsidRPr="004104D0">
        <w:rPr>
          <w:rFonts w:asciiTheme="majorHAnsi" w:hAnsiTheme="majorHAnsi"/>
          <w:sz w:val="20"/>
          <w:szCs w:val="20"/>
          <w:lang w:val="es-ES_tradnl"/>
        </w:rPr>
        <w:t>10</w:t>
      </w:r>
      <w:r w:rsidR="00A82B01" w:rsidRPr="004104D0">
        <w:rPr>
          <w:rFonts w:asciiTheme="majorHAnsi" w:hAnsiTheme="majorHAnsi"/>
          <w:sz w:val="20"/>
          <w:szCs w:val="20"/>
          <w:lang w:val="es-ES_tradnl"/>
        </w:rPr>
        <w:t xml:space="preserve">. </w:t>
      </w:r>
      <w:r w:rsidRPr="004104D0">
        <w:rPr>
          <w:rFonts w:asciiTheme="majorHAnsi" w:hAnsiTheme="majorHAnsi"/>
          <w:sz w:val="20"/>
          <w:szCs w:val="20"/>
          <w:lang w:val="es-ES_tradnl"/>
        </w:rPr>
        <w:tab/>
      </w:r>
      <w:r w:rsidR="00E56234" w:rsidRPr="004104D0">
        <w:rPr>
          <w:rFonts w:asciiTheme="majorHAnsi" w:hAnsiTheme="majorHAnsi" w:cs="Cambria"/>
          <w:color w:val="000000"/>
          <w:sz w:val="20"/>
          <w:szCs w:val="20"/>
          <w:lang w:val="es-ES_tradnl" w:eastAsia="es-ES"/>
        </w:rPr>
        <w:t xml:space="preserve">Por otra parte, la Comisión </w:t>
      </w:r>
      <w:r w:rsidRPr="004104D0">
        <w:rPr>
          <w:rFonts w:asciiTheme="majorHAnsi" w:hAnsiTheme="majorHAnsi" w:cs="Cambria"/>
          <w:color w:val="000000"/>
          <w:sz w:val="20"/>
          <w:szCs w:val="20"/>
          <w:lang w:val="es-ES_tradnl" w:eastAsia="es-ES"/>
        </w:rPr>
        <w:t xml:space="preserve">no observa que se hayan denunciado o intentado otras acciones judiciales por parte del peticionario con respecto a la </w:t>
      </w:r>
      <w:r w:rsidR="00E56234" w:rsidRPr="004104D0">
        <w:rPr>
          <w:rFonts w:asciiTheme="majorHAnsi" w:hAnsiTheme="majorHAnsi" w:cs="Cambria"/>
          <w:color w:val="000000"/>
          <w:sz w:val="20"/>
          <w:szCs w:val="20"/>
          <w:lang w:val="es-ES_tradnl" w:eastAsia="es-ES"/>
        </w:rPr>
        <w:t xml:space="preserve">alegada campaña de desprestigio </w:t>
      </w:r>
      <w:r w:rsidRPr="004104D0">
        <w:rPr>
          <w:rFonts w:asciiTheme="majorHAnsi" w:hAnsiTheme="majorHAnsi" w:cs="Cambria"/>
          <w:color w:val="000000"/>
          <w:sz w:val="20"/>
          <w:szCs w:val="20"/>
          <w:lang w:val="es-ES_tradnl" w:eastAsia="es-ES"/>
        </w:rPr>
        <w:t xml:space="preserve">llevada en su contra a través de los medios de comunicación. </w:t>
      </w:r>
      <w:r w:rsidR="00E56234" w:rsidRPr="004104D0">
        <w:rPr>
          <w:rFonts w:asciiTheme="majorHAnsi" w:hAnsiTheme="majorHAnsi" w:cs="Cambria"/>
          <w:color w:val="000000"/>
          <w:sz w:val="20"/>
          <w:szCs w:val="20"/>
          <w:lang w:val="es-ES_tradnl" w:eastAsia="es-ES"/>
        </w:rPr>
        <w:t>Por lo tanto, la Comisión concluye que respecto de los derechos protegidos por el artículo 11 de la Convención Americana, la petición no cumple con el requisito establecido en el artículo 46.1.a de la Convención</w:t>
      </w:r>
      <w:r w:rsidR="00E56234" w:rsidRPr="004104D0">
        <w:rPr>
          <w:rStyle w:val="FootnoteReference"/>
          <w:rFonts w:asciiTheme="majorHAnsi" w:hAnsiTheme="majorHAnsi" w:cs="Cambria"/>
          <w:color w:val="000000"/>
          <w:sz w:val="20"/>
          <w:szCs w:val="20"/>
          <w:lang w:val="es-ES_tradnl" w:eastAsia="es-ES"/>
        </w:rPr>
        <w:footnoteReference w:id="7"/>
      </w:r>
      <w:r w:rsidRPr="004104D0">
        <w:rPr>
          <w:rFonts w:asciiTheme="majorHAnsi" w:hAnsiTheme="majorHAnsi" w:cs="Cambria"/>
          <w:color w:val="000000"/>
          <w:sz w:val="20"/>
          <w:szCs w:val="20"/>
          <w:lang w:val="es-ES_tradnl" w:eastAsia="es-ES"/>
        </w:rPr>
        <w:t>.</w:t>
      </w:r>
      <w:r w:rsidR="00E56234" w:rsidRPr="004104D0">
        <w:rPr>
          <w:rFonts w:asciiTheme="majorHAnsi" w:hAnsiTheme="majorHAnsi" w:cs="Cambria"/>
          <w:color w:val="000000"/>
          <w:sz w:val="20"/>
          <w:szCs w:val="20"/>
          <w:lang w:val="es-ES_tradnl" w:eastAsia="es-ES"/>
        </w:rPr>
        <w:t xml:space="preserve"> </w:t>
      </w:r>
    </w:p>
    <w:p w:rsidR="00F3374A" w:rsidRPr="004104D0" w:rsidRDefault="00F3374A" w:rsidP="004104D0">
      <w:pPr>
        <w:pBdr>
          <w:top w:val="none" w:sz="0" w:space="0" w:color="auto"/>
          <w:left w:val="none" w:sz="0" w:space="0" w:color="auto"/>
          <w:bottom w:val="none" w:sz="0" w:space="0" w:color="auto"/>
          <w:right w:val="none" w:sz="0" w:space="0" w:color="auto"/>
          <w:between w:val="none" w:sz="0" w:space="0" w:color="auto"/>
          <w:bar w:val="none" w:sz="0" w:color="auto"/>
        </w:pBdr>
        <w:suppressAutoHyphens/>
        <w:ind w:firstLine="720"/>
        <w:jc w:val="both"/>
        <w:rPr>
          <w:rFonts w:asciiTheme="majorHAnsi" w:hAnsiTheme="majorHAnsi" w:cs="Cambria"/>
          <w:color w:val="000000"/>
          <w:sz w:val="20"/>
          <w:szCs w:val="20"/>
          <w:lang w:val="es-ES_tradnl" w:eastAsia="es-ES"/>
        </w:rPr>
      </w:pPr>
    </w:p>
    <w:p w:rsidR="003239B8" w:rsidRDefault="003239B8" w:rsidP="004104D0">
      <w:pPr>
        <w:pStyle w:val="ListParagraph"/>
        <w:jc w:val="both"/>
        <w:rPr>
          <w:rFonts w:asciiTheme="majorHAnsi" w:hAnsiTheme="majorHAnsi"/>
          <w:b/>
          <w:bCs/>
          <w:sz w:val="20"/>
          <w:szCs w:val="20"/>
          <w:lang w:val="es-ES_tradnl"/>
        </w:rPr>
      </w:pPr>
      <w:r w:rsidRPr="004104D0">
        <w:rPr>
          <w:rFonts w:asciiTheme="majorHAnsi" w:hAnsiTheme="majorHAnsi"/>
          <w:b/>
          <w:bCs/>
          <w:sz w:val="20"/>
          <w:szCs w:val="20"/>
          <w:lang w:val="es-ES_tradnl"/>
        </w:rPr>
        <w:t>VII.</w:t>
      </w:r>
      <w:r w:rsidRPr="004104D0">
        <w:rPr>
          <w:rFonts w:asciiTheme="majorHAnsi" w:hAnsiTheme="majorHAnsi"/>
          <w:b/>
          <w:bCs/>
          <w:sz w:val="20"/>
          <w:szCs w:val="20"/>
          <w:lang w:val="es-ES_tradnl"/>
        </w:rPr>
        <w:tab/>
      </w:r>
      <w:r w:rsidR="004A6A54" w:rsidRPr="004104D0">
        <w:rPr>
          <w:rFonts w:asciiTheme="majorHAnsi" w:hAnsiTheme="majorHAnsi"/>
          <w:b/>
          <w:bCs/>
          <w:sz w:val="20"/>
          <w:szCs w:val="20"/>
          <w:lang w:val="es-ES_tradnl"/>
        </w:rPr>
        <w:t xml:space="preserve">ANÁLISIS DE </w:t>
      </w:r>
      <w:r w:rsidR="00C21FEF" w:rsidRPr="004104D0">
        <w:rPr>
          <w:rFonts w:asciiTheme="majorHAnsi" w:hAnsiTheme="majorHAnsi"/>
          <w:b/>
          <w:bCs/>
          <w:sz w:val="20"/>
          <w:szCs w:val="20"/>
          <w:lang w:val="es-ES_tradnl"/>
        </w:rPr>
        <w:t>CARACTERIZACIÓN DE LOS HECHOS ALEGADOS</w:t>
      </w:r>
    </w:p>
    <w:p w:rsidR="00F3374A" w:rsidRPr="004104D0" w:rsidRDefault="00F3374A" w:rsidP="004104D0">
      <w:pPr>
        <w:pStyle w:val="ListParagraph"/>
        <w:jc w:val="both"/>
        <w:rPr>
          <w:rFonts w:asciiTheme="majorHAnsi" w:hAnsiTheme="majorHAnsi"/>
          <w:b/>
          <w:sz w:val="20"/>
          <w:szCs w:val="20"/>
          <w:lang w:val="es-ES_tradnl"/>
        </w:rPr>
      </w:pPr>
    </w:p>
    <w:p w:rsidR="00A82B01" w:rsidRPr="004104D0" w:rsidRDefault="0010499D" w:rsidP="004104D0">
      <w:pPr>
        <w:pStyle w:val="Default"/>
        <w:ind w:firstLine="720"/>
        <w:jc w:val="both"/>
        <w:rPr>
          <w:rFonts w:asciiTheme="majorHAnsi" w:hAnsiTheme="majorHAnsi" w:cs="Calibri"/>
          <w:sz w:val="20"/>
          <w:szCs w:val="20"/>
          <w:lang w:val="es-ES_tradnl"/>
        </w:rPr>
      </w:pPr>
      <w:r w:rsidRPr="004104D0">
        <w:rPr>
          <w:rFonts w:asciiTheme="majorHAnsi" w:hAnsiTheme="majorHAnsi" w:cs="Calibri"/>
          <w:sz w:val="20"/>
          <w:szCs w:val="20"/>
          <w:lang w:val="es-ES_tradnl"/>
        </w:rPr>
        <w:t>11</w:t>
      </w:r>
      <w:r w:rsidR="00A82B01" w:rsidRPr="004104D0">
        <w:rPr>
          <w:rFonts w:asciiTheme="majorHAnsi" w:hAnsiTheme="majorHAnsi" w:cs="Calibri"/>
          <w:sz w:val="20"/>
          <w:szCs w:val="20"/>
          <w:lang w:val="es-ES_tradnl"/>
        </w:rPr>
        <w:t xml:space="preserve">. </w:t>
      </w:r>
      <w:r w:rsidRPr="004104D0">
        <w:rPr>
          <w:rFonts w:asciiTheme="majorHAnsi" w:hAnsiTheme="majorHAnsi" w:cs="Calibri"/>
          <w:sz w:val="20"/>
          <w:szCs w:val="20"/>
          <w:lang w:val="es-ES_tradnl"/>
        </w:rPr>
        <w:tab/>
      </w:r>
      <w:r w:rsidR="00155F86" w:rsidRPr="004104D0">
        <w:rPr>
          <w:rFonts w:asciiTheme="majorHAnsi" w:hAnsiTheme="majorHAnsi" w:cs="Calibri"/>
          <w:sz w:val="20"/>
          <w:szCs w:val="20"/>
          <w:lang w:val="es-ES_tradnl"/>
        </w:rPr>
        <w:t>Con r</w:t>
      </w:r>
      <w:r w:rsidR="007C6106" w:rsidRPr="004104D0">
        <w:rPr>
          <w:rFonts w:asciiTheme="majorHAnsi" w:hAnsiTheme="majorHAnsi" w:cs="Calibri"/>
          <w:sz w:val="20"/>
          <w:szCs w:val="20"/>
          <w:lang w:val="es-ES_tradnl"/>
        </w:rPr>
        <w:t xml:space="preserve">especto a los alegatos del Estado referidos a la </w:t>
      </w:r>
      <w:r w:rsidR="00D92127" w:rsidRPr="004104D0">
        <w:rPr>
          <w:rFonts w:asciiTheme="majorHAnsi" w:hAnsiTheme="majorHAnsi" w:cs="Calibri"/>
          <w:sz w:val="20"/>
          <w:szCs w:val="20"/>
          <w:lang w:val="es-ES_tradnl"/>
        </w:rPr>
        <w:t>llamada “</w:t>
      </w:r>
      <w:r w:rsidR="007C6106" w:rsidRPr="004104D0">
        <w:rPr>
          <w:rFonts w:asciiTheme="majorHAnsi" w:hAnsiTheme="majorHAnsi" w:cs="Calibri"/>
          <w:sz w:val="20"/>
          <w:szCs w:val="20"/>
          <w:lang w:val="es-ES_tradnl"/>
        </w:rPr>
        <w:t>fórmula de</w:t>
      </w:r>
      <w:r w:rsidR="00155F86" w:rsidRPr="004104D0">
        <w:rPr>
          <w:rFonts w:asciiTheme="majorHAnsi" w:hAnsiTheme="majorHAnsi" w:cs="Calibri"/>
          <w:sz w:val="20"/>
          <w:szCs w:val="20"/>
          <w:lang w:val="es-ES_tradnl"/>
        </w:rPr>
        <w:t xml:space="preserve"> la</w:t>
      </w:r>
      <w:r w:rsidR="007C6106" w:rsidRPr="004104D0">
        <w:rPr>
          <w:rFonts w:asciiTheme="majorHAnsi" w:hAnsiTheme="majorHAnsi" w:cs="Calibri"/>
          <w:sz w:val="20"/>
          <w:szCs w:val="20"/>
          <w:lang w:val="es-ES_tradnl"/>
        </w:rPr>
        <w:t xml:space="preserve"> cuarta instancia</w:t>
      </w:r>
      <w:r w:rsidR="00D92127" w:rsidRPr="004104D0">
        <w:rPr>
          <w:rFonts w:asciiTheme="majorHAnsi" w:hAnsiTheme="majorHAnsi" w:cs="Calibri"/>
          <w:sz w:val="20"/>
          <w:szCs w:val="20"/>
          <w:lang w:val="es-ES_tradnl"/>
        </w:rPr>
        <w:t>”</w:t>
      </w:r>
      <w:r w:rsidR="007C6106" w:rsidRPr="004104D0">
        <w:rPr>
          <w:rFonts w:asciiTheme="majorHAnsi" w:hAnsiTheme="majorHAnsi" w:cs="Calibri"/>
          <w:sz w:val="20"/>
          <w:szCs w:val="20"/>
          <w:lang w:val="es-ES_tradnl"/>
        </w:rPr>
        <w:t xml:space="preserve">, la Comisión reitera que dentro del marco de su mandato es competente para declarar admisible una petición </w:t>
      </w:r>
      <w:r w:rsidR="007C6106" w:rsidRPr="004104D0">
        <w:rPr>
          <w:rFonts w:asciiTheme="majorHAnsi" w:hAnsiTheme="majorHAnsi" w:cs="Calibri"/>
          <w:sz w:val="20"/>
          <w:szCs w:val="20"/>
          <w:lang w:val="es-ES_tradnl"/>
        </w:rPr>
        <w:lastRenderedPageBreak/>
        <w:t>cuando ésta se refiere a procesos internos que podrían ser violatorios de derechos garantizados por la Convención Americana.</w:t>
      </w:r>
    </w:p>
    <w:p w:rsidR="00A82B01" w:rsidRPr="004104D0" w:rsidRDefault="00A82B01" w:rsidP="004104D0">
      <w:pPr>
        <w:pStyle w:val="Default"/>
        <w:ind w:firstLine="720"/>
        <w:jc w:val="both"/>
        <w:rPr>
          <w:rFonts w:asciiTheme="majorHAnsi" w:hAnsiTheme="majorHAnsi" w:cs="Calibri"/>
          <w:sz w:val="20"/>
          <w:szCs w:val="20"/>
          <w:lang w:val="es-ES_tradnl"/>
        </w:rPr>
      </w:pPr>
    </w:p>
    <w:p w:rsidR="008D0F85" w:rsidRPr="004104D0" w:rsidRDefault="00845DEF" w:rsidP="004104D0">
      <w:pPr>
        <w:pStyle w:val="Default"/>
        <w:ind w:firstLine="720"/>
        <w:jc w:val="both"/>
        <w:rPr>
          <w:rFonts w:asciiTheme="majorHAnsi" w:hAnsiTheme="majorHAnsi" w:cs="Cambria"/>
          <w:sz w:val="20"/>
          <w:szCs w:val="20"/>
          <w:lang w:val="es-ES_tradnl" w:eastAsia="es-ES"/>
        </w:rPr>
      </w:pPr>
      <w:r w:rsidRPr="004104D0">
        <w:rPr>
          <w:rFonts w:asciiTheme="majorHAnsi" w:hAnsiTheme="majorHAnsi" w:cs="Calibri"/>
          <w:sz w:val="20"/>
          <w:szCs w:val="20"/>
          <w:lang w:val="es-ES_tradnl"/>
        </w:rPr>
        <w:t>12</w:t>
      </w:r>
      <w:r w:rsidR="00A82B01" w:rsidRPr="004104D0">
        <w:rPr>
          <w:rFonts w:asciiTheme="majorHAnsi" w:hAnsiTheme="majorHAnsi" w:cs="Calibri"/>
          <w:sz w:val="20"/>
          <w:szCs w:val="20"/>
          <w:lang w:val="es-ES_tradnl"/>
        </w:rPr>
        <w:t xml:space="preserve">. </w:t>
      </w:r>
      <w:r w:rsidR="00D92127" w:rsidRPr="004104D0">
        <w:rPr>
          <w:rFonts w:asciiTheme="majorHAnsi" w:hAnsiTheme="majorHAnsi" w:cs="Calibri"/>
          <w:sz w:val="20"/>
          <w:szCs w:val="20"/>
          <w:lang w:val="es-ES_tradnl"/>
        </w:rPr>
        <w:tab/>
        <w:t xml:space="preserve">En este sentido, </w:t>
      </w:r>
      <w:r w:rsidR="00F120F2" w:rsidRPr="004104D0">
        <w:rPr>
          <w:rFonts w:asciiTheme="majorHAnsi" w:hAnsiTheme="majorHAnsi" w:cs="Calibri"/>
          <w:sz w:val="20"/>
          <w:szCs w:val="20"/>
          <w:lang w:val="es-ES_tradnl"/>
        </w:rPr>
        <w:t>la Comisión observa que en lo fundamental e</w:t>
      </w:r>
      <w:r w:rsidR="00F120F2" w:rsidRPr="004104D0">
        <w:rPr>
          <w:rFonts w:asciiTheme="majorHAnsi" w:hAnsiTheme="majorHAnsi"/>
          <w:sz w:val="20"/>
          <w:szCs w:val="20"/>
          <w:lang w:val="es-ES_tradnl"/>
        </w:rPr>
        <w:t>l peticionario denuncia ante la CIDH la remoción de su cargo como Magistrado Numerario del Tribunal Superior de Justicia de Baja California, así como las decisiones adoptadas por los jueces que conocieron de los recursos de queja y amparo por él promovidos contra dicha remoción.</w:t>
      </w:r>
      <w:r w:rsidR="008D0F85" w:rsidRPr="004104D0">
        <w:rPr>
          <w:rFonts w:asciiTheme="majorHAnsi" w:hAnsiTheme="majorHAnsi"/>
          <w:sz w:val="20"/>
          <w:szCs w:val="20"/>
          <w:lang w:val="es-ES_tradnl"/>
        </w:rPr>
        <w:t xml:space="preserve"> En soporte de esta pretensión el peticionario plantea, por ejemplo, diversas violaciones a sus derechos a las garantías judiciales; la arbitrariedad en la destitución o revocación de su cargo antes de concluirse su mandato, por vía del supuesto cumplimiento de una decisión de amparo; y la afectación de sus garantías mínimas de estabilidad laboral, reforzada en su caso por ser operador judicial</w:t>
      </w:r>
      <w:r w:rsidR="007C6106" w:rsidRPr="004104D0">
        <w:rPr>
          <w:rStyle w:val="FootnoteReference"/>
          <w:rFonts w:asciiTheme="majorHAnsi" w:hAnsiTheme="majorHAnsi" w:cs="Cambria"/>
          <w:sz w:val="20"/>
          <w:szCs w:val="20"/>
          <w:lang w:val="es-ES_tradnl" w:eastAsia="es-ES"/>
        </w:rPr>
        <w:footnoteReference w:id="8"/>
      </w:r>
      <w:r w:rsidR="008D0F85" w:rsidRPr="004104D0">
        <w:rPr>
          <w:rFonts w:asciiTheme="majorHAnsi" w:hAnsiTheme="majorHAnsi" w:cs="Cambria"/>
          <w:sz w:val="20"/>
          <w:szCs w:val="20"/>
          <w:lang w:val="es-ES_tradnl" w:eastAsia="es-ES"/>
        </w:rPr>
        <w:t xml:space="preserve">. Estos alegatos, aunados a los ya expuestos en la posición del peticionario, </w:t>
      </w:r>
      <w:r w:rsidR="00E56234" w:rsidRPr="004104D0">
        <w:rPr>
          <w:rFonts w:asciiTheme="majorHAnsi" w:hAnsiTheme="majorHAnsi" w:cs="Cambria"/>
          <w:sz w:val="20"/>
          <w:szCs w:val="20"/>
          <w:lang w:val="es-ES_tradnl" w:eastAsia="es-ES"/>
        </w:rPr>
        <w:t xml:space="preserve">podrían </w:t>
      </w:r>
      <w:r w:rsidR="008D0F85" w:rsidRPr="004104D0">
        <w:rPr>
          <w:rFonts w:asciiTheme="majorHAnsi" w:hAnsiTheme="majorHAnsi" w:cs="Cambria"/>
          <w:i/>
          <w:iCs/>
          <w:sz w:val="20"/>
          <w:szCs w:val="20"/>
          <w:lang w:val="es-ES_tradnl" w:eastAsia="es-ES"/>
        </w:rPr>
        <w:t xml:space="preserve">prima facie </w:t>
      </w:r>
      <w:r w:rsidR="008D0F85" w:rsidRPr="004104D0">
        <w:rPr>
          <w:rFonts w:asciiTheme="majorHAnsi" w:hAnsiTheme="majorHAnsi" w:cs="Cambria"/>
          <w:sz w:val="20"/>
          <w:szCs w:val="20"/>
          <w:lang w:val="es-ES_tradnl" w:eastAsia="es-ES"/>
        </w:rPr>
        <w:t>constituir</w:t>
      </w:r>
      <w:r w:rsidR="00E56234" w:rsidRPr="004104D0">
        <w:rPr>
          <w:rFonts w:asciiTheme="majorHAnsi" w:hAnsiTheme="majorHAnsi" w:cs="Cambria"/>
          <w:sz w:val="20"/>
          <w:szCs w:val="20"/>
          <w:lang w:val="es-ES_tradnl" w:eastAsia="es-ES"/>
        </w:rPr>
        <w:t xml:space="preserve"> violaciones a los </w:t>
      </w:r>
      <w:r w:rsidR="008D0F85" w:rsidRPr="004104D0">
        <w:rPr>
          <w:rFonts w:asciiTheme="majorHAnsi" w:hAnsiTheme="majorHAnsi" w:cs="Cambria"/>
          <w:sz w:val="20"/>
          <w:szCs w:val="20"/>
          <w:lang w:val="es-ES_tradnl" w:eastAsia="es-ES"/>
        </w:rPr>
        <w:t xml:space="preserve">derechos protegidos en los </w:t>
      </w:r>
      <w:r w:rsidR="00E56234" w:rsidRPr="004104D0">
        <w:rPr>
          <w:rFonts w:asciiTheme="majorHAnsi" w:hAnsiTheme="majorHAnsi" w:cs="Cambria"/>
          <w:sz w:val="20"/>
          <w:szCs w:val="20"/>
          <w:lang w:val="es-ES_tradnl" w:eastAsia="es-ES"/>
        </w:rPr>
        <w:t>artículos 8 (garantías judiciales), 23 (derechos políticos)</w:t>
      </w:r>
      <w:r w:rsidR="007C6106" w:rsidRPr="004104D0">
        <w:rPr>
          <w:rStyle w:val="FootnoteReference"/>
          <w:rFonts w:asciiTheme="majorHAnsi" w:hAnsiTheme="majorHAnsi" w:cs="Cambria"/>
          <w:sz w:val="20"/>
          <w:szCs w:val="20"/>
          <w:lang w:val="es-ES_tradnl" w:eastAsia="es-ES"/>
        </w:rPr>
        <w:footnoteReference w:id="9"/>
      </w:r>
      <w:r w:rsidR="00E56234" w:rsidRPr="004104D0">
        <w:rPr>
          <w:rFonts w:asciiTheme="majorHAnsi" w:hAnsiTheme="majorHAnsi" w:cs="Cambria"/>
          <w:sz w:val="20"/>
          <w:szCs w:val="20"/>
          <w:lang w:val="es-ES_tradnl" w:eastAsia="es-ES"/>
        </w:rPr>
        <w:t>, 25 (protección judicial) y 26 (derechos económicos sociales y culturales) de la Convención</w:t>
      </w:r>
      <w:r w:rsidR="008D0F85" w:rsidRPr="004104D0">
        <w:rPr>
          <w:rFonts w:asciiTheme="majorHAnsi" w:hAnsiTheme="majorHAnsi" w:cs="Cambria"/>
          <w:sz w:val="20"/>
          <w:szCs w:val="20"/>
          <w:lang w:val="es-ES_tradnl" w:eastAsia="es-ES"/>
        </w:rPr>
        <w:t xml:space="preserve"> Americana</w:t>
      </w:r>
      <w:r w:rsidR="00E56234" w:rsidRPr="004104D0">
        <w:rPr>
          <w:rFonts w:asciiTheme="majorHAnsi" w:hAnsiTheme="majorHAnsi" w:cs="Cambria"/>
          <w:sz w:val="20"/>
          <w:szCs w:val="20"/>
          <w:lang w:val="es-ES_tradnl" w:eastAsia="es-ES"/>
        </w:rPr>
        <w:t>, en conexión con las obligaciones generales previstas en su artículo 1.1</w:t>
      </w:r>
      <w:r w:rsidR="0097038F" w:rsidRPr="004104D0">
        <w:rPr>
          <w:rFonts w:asciiTheme="majorHAnsi" w:hAnsiTheme="majorHAnsi" w:cs="Cambria"/>
          <w:sz w:val="20"/>
          <w:szCs w:val="20"/>
          <w:lang w:val="es-ES_tradnl" w:eastAsia="es-ES"/>
        </w:rPr>
        <w:t xml:space="preserve"> (obligación de respetar los derechos)</w:t>
      </w:r>
      <w:r w:rsidR="00E56234" w:rsidRPr="004104D0">
        <w:rPr>
          <w:rFonts w:asciiTheme="majorHAnsi" w:hAnsiTheme="majorHAnsi" w:cs="Cambria"/>
          <w:sz w:val="20"/>
          <w:szCs w:val="20"/>
          <w:lang w:val="es-ES_tradnl" w:eastAsia="es-ES"/>
        </w:rPr>
        <w:t xml:space="preserve">. </w:t>
      </w:r>
    </w:p>
    <w:p w:rsidR="003E76A5" w:rsidRPr="004104D0" w:rsidRDefault="003E76A5" w:rsidP="004104D0">
      <w:pPr>
        <w:pStyle w:val="Default"/>
        <w:ind w:firstLine="720"/>
        <w:jc w:val="both"/>
        <w:rPr>
          <w:rFonts w:asciiTheme="majorHAnsi" w:hAnsiTheme="majorHAnsi" w:cs="Cambria"/>
          <w:sz w:val="20"/>
          <w:szCs w:val="20"/>
          <w:lang w:val="es-ES_tradnl" w:eastAsia="es-ES"/>
        </w:rPr>
      </w:pPr>
    </w:p>
    <w:p w:rsidR="003E76A5" w:rsidRPr="004104D0" w:rsidRDefault="003E76A5" w:rsidP="004104D0">
      <w:pPr>
        <w:pStyle w:val="Default"/>
        <w:ind w:firstLine="720"/>
        <w:jc w:val="both"/>
        <w:rPr>
          <w:rFonts w:asciiTheme="majorHAnsi" w:hAnsiTheme="majorHAnsi" w:cs="Cambria"/>
          <w:sz w:val="20"/>
          <w:szCs w:val="20"/>
          <w:lang w:val="es-ES_tradnl" w:eastAsia="es-ES"/>
        </w:rPr>
      </w:pPr>
      <w:r w:rsidRPr="004104D0">
        <w:rPr>
          <w:rFonts w:asciiTheme="majorHAnsi" w:hAnsiTheme="majorHAnsi" w:cs="Cambria"/>
          <w:sz w:val="20"/>
          <w:szCs w:val="20"/>
          <w:lang w:val="es-ES_tradnl" w:eastAsia="es-ES"/>
        </w:rPr>
        <w:t>13.</w:t>
      </w:r>
      <w:r w:rsidRPr="004104D0">
        <w:rPr>
          <w:rFonts w:asciiTheme="majorHAnsi" w:hAnsiTheme="majorHAnsi" w:cs="Cambria"/>
          <w:sz w:val="20"/>
          <w:szCs w:val="20"/>
          <w:lang w:val="es-ES_tradnl" w:eastAsia="es-ES"/>
        </w:rPr>
        <w:tab/>
        <w:t xml:space="preserve">En cuanto a la alegada violación del artículo 9 </w:t>
      </w:r>
      <w:r w:rsidR="00586C34" w:rsidRPr="004104D0">
        <w:rPr>
          <w:rFonts w:asciiTheme="majorHAnsi" w:hAnsiTheme="majorHAnsi" w:cs="Cambria"/>
          <w:sz w:val="20"/>
          <w:szCs w:val="20"/>
          <w:lang w:val="es-ES_tradnl" w:eastAsia="es-ES"/>
        </w:rPr>
        <w:t>(</w:t>
      </w:r>
      <w:r w:rsidR="00586C34" w:rsidRPr="004104D0">
        <w:rPr>
          <w:rFonts w:asciiTheme="majorHAnsi" w:hAnsiTheme="majorHAnsi"/>
          <w:bCs/>
          <w:sz w:val="20"/>
          <w:szCs w:val="20"/>
          <w:lang w:val="es-ES_tradnl"/>
        </w:rPr>
        <w:t>principio de legalidad y de retroactividad</w:t>
      </w:r>
      <w:r w:rsidR="00586C34" w:rsidRPr="004104D0">
        <w:rPr>
          <w:rFonts w:asciiTheme="majorHAnsi" w:hAnsiTheme="majorHAnsi" w:cs="Cambria"/>
          <w:sz w:val="20"/>
          <w:szCs w:val="20"/>
          <w:lang w:val="es-ES_tradnl" w:eastAsia="es-ES"/>
        </w:rPr>
        <w:t xml:space="preserve">) </w:t>
      </w:r>
      <w:r w:rsidRPr="004104D0">
        <w:rPr>
          <w:rFonts w:asciiTheme="majorHAnsi" w:hAnsiTheme="majorHAnsi" w:cs="Cambria"/>
          <w:sz w:val="20"/>
          <w:szCs w:val="20"/>
          <w:lang w:val="es-ES_tradnl" w:eastAsia="es-ES"/>
        </w:rPr>
        <w:t>de la Convención Americana, el peticionario ha argumentado que la Suprema Corte dio aplicación retroactiva a una tesis jurisprudencial desfavorable para efectos de dejar insubsistente el fallo que ordenó su restitución al cargo</w:t>
      </w:r>
      <w:r w:rsidR="00586C34" w:rsidRPr="004104D0">
        <w:rPr>
          <w:rFonts w:asciiTheme="majorHAnsi" w:hAnsiTheme="majorHAnsi" w:cs="Cambria"/>
          <w:sz w:val="20"/>
          <w:szCs w:val="20"/>
          <w:lang w:val="es-ES_tradnl" w:eastAsia="es-ES"/>
        </w:rPr>
        <w:t xml:space="preserve">. A este respecto, la Comisión reitera lo expresado en los párrafos precedentes, y añade, en congruencia con aquellos, que esta es una cuestión que por su naturaleza resulta esencialmente propia del análisis que en la etapa de fondo se haga de la presente petición. </w:t>
      </w:r>
    </w:p>
    <w:p w:rsidR="008D0F85" w:rsidRPr="004104D0" w:rsidRDefault="008D0F85" w:rsidP="004104D0">
      <w:pPr>
        <w:pStyle w:val="Default"/>
        <w:ind w:firstLine="720"/>
        <w:jc w:val="both"/>
        <w:rPr>
          <w:rFonts w:asciiTheme="majorHAnsi" w:hAnsiTheme="majorHAnsi" w:cs="Cambria"/>
          <w:sz w:val="20"/>
          <w:szCs w:val="20"/>
          <w:lang w:val="es-ES_tradnl" w:eastAsia="es-ES"/>
        </w:rPr>
      </w:pPr>
    </w:p>
    <w:p w:rsidR="00A82B01" w:rsidRPr="004104D0" w:rsidRDefault="008D0F85" w:rsidP="004104D0">
      <w:pPr>
        <w:pStyle w:val="Default"/>
        <w:ind w:firstLine="720"/>
        <w:jc w:val="both"/>
        <w:rPr>
          <w:rFonts w:asciiTheme="majorHAnsi" w:hAnsiTheme="majorHAnsi"/>
          <w:sz w:val="20"/>
          <w:szCs w:val="20"/>
          <w:lang w:val="es-ES_tradnl"/>
        </w:rPr>
      </w:pPr>
      <w:r w:rsidRPr="004104D0">
        <w:rPr>
          <w:rFonts w:asciiTheme="majorHAnsi" w:hAnsiTheme="majorHAnsi" w:cs="Cambria"/>
          <w:sz w:val="20"/>
          <w:szCs w:val="20"/>
          <w:lang w:val="es-ES_tradnl" w:eastAsia="es-ES"/>
        </w:rPr>
        <w:t>1</w:t>
      </w:r>
      <w:r w:rsidR="00280430" w:rsidRPr="004104D0">
        <w:rPr>
          <w:rFonts w:asciiTheme="majorHAnsi" w:hAnsiTheme="majorHAnsi" w:cs="Cambria"/>
          <w:sz w:val="20"/>
          <w:szCs w:val="20"/>
          <w:lang w:val="es-ES_tradnl" w:eastAsia="es-ES"/>
        </w:rPr>
        <w:t>4</w:t>
      </w:r>
      <w:r w:rsidRPr="004104D0">
        <w:rPr>
          <w:rFonts w:asciiTheme="majorHAnsi" w:hAnsiTheme="majorHAnsi" w:cs="Cambria"/>
          <w:sz w:val="20"/>
          <w:szCs w:val="20"/>
          <w:lang w:val="es-ES_tradnl" w:eastAsia="es-ES"/>
        </w:rPr>
        <w:t>.</w:t>
      </w:r>
      <w:r w:rsidRPr="004104D0">
        <w:rPr>
          <w:rFonts w:asciiTheme="majorHAnsi" w:hAnsiTheme="majorHAnsi" w:cs="Cambria"/>
          <w:sz w:val="20"/>
          <w:szCs w:val="20"/>
          <w:lang w:val="es-ES_tradnl" w:eastAsia="es-ES"/>
        </w:rPr>
        <w:tab/>
      </w:r>
      <w:r w:rsidR="00E56234" w:rsidRPr="004104D0">
        <w:rPr>
          <w:rFonts w:asciiTheme="majorHAnsi" w:hAnsiTheme="majorHAnsi" w:cs="Cambria"/>
          <w:sz w:val="20"/>
          <w:szCs w:val="20"/>
          <w:lang w:val="es-ES_tradnl" w:eastAsia="es-ES"/>
        </w:rPr>
        <w:t>En relación con los alegatos relativos a</w:t>
      </w:r>
      <w:r w:rsidR="006370CB" w:rsidRPr="004104D0">
        <w:rPr>
          <w:rFonts w:asciiTheme="majorHAnsi" w:hAnsiTheme="majorHAnsi" w:cs="Cambria"/>
          <w:sz w:val="20"/>
          <w:szCs w:val="20"/>
          <w:lang w:val="es-ES_tradnl" w:eastAsia="es-ES"/>
        </w:rPr>
        <w:t xml:space="preserve"> </w:t>
      </w:r>
      <w:r w:rsidR="00E56234" w:rsidRPr="004104D0">
        <w:rPr>
          <w:rFonts w:asciiTheme="majorHAnsi" w:hAnsiTheme="majorHAnsi" w:cs="Cambria"/>
          <w:sz w:val="20"/>
          <w:szCs w:val="20"/>
          <w:lang w:val="es-ES_tradnl" w:eastAsia="es-ES"/>
        </w:rPr>
        <w:t>l</w:t>
      </w:r>
      <w:r w:rsidR="006370CB" w:rsidRPr="004104D0">
        <w:rPr>
          <w:rFonts w:asciiTheme="majorHAnsi" w:hAnsiTheme="majorHAnsi" w:cs="Cambria"/>
          <w:sz w:val="20"/>
          <w:szCs w:val="20"/>
          <w:lang w:val="es-ES_tradnl" w:eastAsia="es-ES"/>
        </w:rPr>
        <w:t>os</w:t>
      </w:r>
      <w:r w:rsidR="00E56234" w:rsidRPr="004104D0">
        <w:rPr>
          <w:rFonts w:asciiTheme="majorHAnsi" w:hAnsiTheme="majorHAnsi" w:cs="Cambria"/>
          <w:sz w:val="20"/>
          <w:szCs w:val="20"/>
          <w:lang w:val="es-ES_tradnl" w:eastAsia="es-ES"/>
        </w:rPr>
        <w:t xml:space="preserve"> artículo</w:t>
      </w:r>
      <w:r w:rsidR="006370CB" w:rsidRPr="004104D0">
        <w:rPr>
          <w:rFonts w:asciiTheme="majorHAnsi" w:hAnsiTheme="majorHAnsi" w:cs="Cambria"/>
          <w:sz w:val="20"/>
          <w:szCs w:val="20"/>
          <w:lang w:val="es-ES_tradnl" w:eastAsia="es-ES"/>
        </w:rPr>
        <w:t>s</w:t>
      </w:r>
      <w:r w:rsidR="00E56234" w:rsidRPr="004104D0">
        <w:rPr>
          <w:rFonts w:asciiTheme="majorHAnsi" w:hAnsiTheme="majorHAnsi" w:cs="Cambria"/>
          <w:sz w:val="20"/>
          <w:szCs w:val="20"/>
          <w:lang w:val="es-ES_tradnl" w:eastAsia="es-ES"/>
        </w:rPr>
        <w:t xml:space="preserve"> 4, 6 y 7 del Protocolo de San Salvador, la Comisión nota que la competencia prevista en los términos del artículo 19.6 de dicho tratado para pronunciarse en el contexto de un caso individual se </w:t>
      </w:r>
      <w:r w:rsidR="006370CB" w:rsidRPr="004104D0">
        <w:rPr>
          <w:rFonts w:asciiTheme="majorHAnsi" w:hAnsiTheme="majorHAnsi" w:cs="Cambria"/>
          <w:sz w:val="20"/>
          <w:szCs w:val="20"/>
          <w:lang w:val="es-ES_tradnl" w:eastAsia="es-ES"/>
        </w:rPr>
        <w:t>limita a los artículos 8 y 13. Sin perjuicio de lo anterior, con r</w:t>
      </w:r>
      <w:r w:rsidR="00E56234" w:rsidRPr="004104D0">
        <w:rPr>
          <w:rFonts w:asciiTheme="majorHAnsi" w:hAnsiTheme="majorHAnsi" w:cs="Cambria"/>
          <w:sz w:val="20"/>
          <w:szCs w:val="20"/>
          <w:lang w:val="es-ES_tradnl" w:eastAsia="es-ES"/>
        </w:rPr>
        <w:t xml:space="preserve">especto </w:t>
      </w:r>
      <w:r w:rsidR="006370CB" w:rsidRPr="004104D0">
        <w:rPr>
          <w:rFonts w:asciiTheme="majorHAnsi" w:hAnsiTheme="majorHAnsi" w:cs="Cambria"/>
          <w:sz w:val="20"/>
          <w:szCs w:val="20"/>
          <w:lang w:val="es-ES_tradnl" w:eastAsia="es-ES"/>
        </w:rPr>
        <w:t xml:space="preserve">a </w:t>
      </w:r>
      <w:r w:rsidR="00E56234" w:rsidRPr="004104D0">
        <w:rPr>
          <w:rFonts w:asciiTheme="majorHAnsi" w:hAnsiTheme="majorHAnsi" w:cs="Cambria"/>
          <w:sz w:val="20"/>
          <w:szCs w:val="20"/>
          <w:lang w:val="es-ES_tradnl" w:eastAsia="es-ES"/>
        </w:rPr>
        <w:t>l</w:t>
      </w:r>
      <w:r w:rsidR="006370CB" w:rsidRPr="004104D0">
        <w:rPr>
          <w:rFonts w:asciiTheme="majorHAnsi" w:hAnsiTheme="majorHAnsi" w:cs="Cambria"/>
          <w:sz w:val="20"/>
          <w:szCs w:val="20"/>
          <w:lang w:val="es-ES_tradnl" w:eastAsia="es-ES"/>
        </w:rPr>
        <w:t>os</w:t>
      </w:r>
      <w:r w:rsidR="00E56234" w:rsidRPr="004104D0">
        <w:rPr>
          <w:rFonts w:asciiTheme="majorHAnsi" w:hAnsiTheme="majorHAnsi" w:cs="Cambria"/>
          <w:sz w:val="20"/>
          <w:szCs w:val="20"/>
          <w:lang w:val="es-ES_tradnl" w:eastAsia="es-ES"/>
        </w:rPr>
        <w:t xml:space="preserve"> referido</w:t>
      </w:r>
      <w:r w:rsidR="006370CB" w:rsidRPr="004104D0">
        <w:rPr>
          <w:rFonts w:asciiTheme="majorHAnsi" w:hAnsiTheme="majorHAnsi" w:cs="Cambria"/>
          <w:sz w:val="20"/>
          <w:szCs w:val="20"/>
          <w:lang w:val="es-ES_tradnl" w:eastAsia="es-ES"/>
        </w:rPr>
        <w:t>s</w:t>
      </w:r>
      <w:r w:rsidR="00E56234" w:rsidRPr="004104D0">
        <w:rPr>
          <w:rFonts w:asciiTheme="majorHAnsi" w:hAnsiTheme="majorHAnsi" w:cs="Cambria"/>
          <w:sz w:val="20"/>
          <w:szCs w:val="20"/>
          <w:lang w:val="es-ES_tradnl" w:eastAsia="es-ES"/>
        </w:rPr>
        <w:t xml:space="preserve"> artículo</w:t>
      </w:r>
      <w:r w:rsidR="006370CB" w:rsidRPr="004104D0">
        <w:rPr>
          <w:rFonts w:asciiTheme="majorHAnsi" w:hAnsiTheme="majorHAnsi" w:cs="Cambria"/>
          <w:sz w:val="20"/>
          <w:szCs w:val="20"/>
          <w:lang w:val="es-ES_tradnl" w:eastAsia="es-ES"/>
        </w:rPr>
        <w:t>s 4, 6 y 7</w:t>
      </w:r>
      <w:r w:rsidR="00E56234" w:rsidRPr="004104D0">
        <w:rPr>
          <w:rFonts w:asciiTheme="majorHAnsi" w:hAnsiTheme="majorHAnsi" w:cs="Cambria"/>
          <w:sz w:val="20"/>
          <w:szCs w:val="20"/>
          <w:lang w:val="es-ES_tradnl" w:eastAsia="es-ES"/>
        </w:rPr>
        <w:t>, de conformidad con el artículo 29 de la Convención</w:t>
      </w:r>
      <w:r w:rsidR="006370CB" w:rsidRPr="004104D0">
        <w:rPr>
          <w:rFonts w:asciiTheme="majorHAnsi" w:hAnsiTheme="majorHAnsi" w:cs="Cambria"/>
          <w:sz w:val="20"/>
          <w:szCs w:val="20"/>
          <w:lang w:val="es-ES_tradnl" w:eastAsia="es-ES"/>
        </w:rPr>
        <w:t xml:space="preserve"> Americana</w:t>
      </w:r>
      <w:r w:rsidR="00E56234" w:rsidRPr="004104D0">
        <w:rPr>
          <w:rFonts w:asciiTheme="majorHAnsi" w:hAnsiTheme="majorHAnsi" w:cs="Cambria"/>
          <w:sz w:val="20"/>
          <w:szCs w:val="20"/>
          <w:lang w:val="es-ES_tradnl" w:eastAsia="es-ES"/>
        </w:rPr>
        <w:t>, la Comisión puede considerarlo</w:t>
      </w:r>
      <w:r w:rsidR="006370CB" w:rsidRPr="004104D0">
        <w:rPr>
          <w:rFonts w:asciiTheme="majorHAnsi" w:hAnsiTheme="majorHAnsi" w:cs="Cambria"/>
          <w:sz w:val="20"/>
          <w:szCs w:val="20"/>
          <w:lang w:val="es-ES_tradnl" w:eastAsia="es-ES"/>
        </w:rPr>
        <w:t>s</w:t>
      </w:r>
      <w:r w:rsidR="00E56234" w:rsidRPr="004104D0">
        <w:rPr>
          <w:rFonts w:asciiTheme="majorHAnsi" w:hAnsiTheme="majorHAnsi" w:cs="Cambria"/>
          <w:sz w:val="20"/>
          <w:szCs w:val="20"/>
          <w:lang w:val="es-ES_tradnl" w:eastAsia="es-ES"/>
        </w:rPr>
        <w:t xml:space="preserve"> para </w:t>
      </w:r>
      <w:r w:rsidR="006370CB" w:rsidRPr="004104D0">
        <w:rPr>
          <w:rFonts w:asciiTheme="majorHAnsi" w:hAnsiTheme="majorHAnsi" w:cs="Cambria"/>
          <w:sz w:val="20"/>
          <w:szCs w:val="20"/>
          <w:lang w:val="es-ES_tradnl" w:eastAsia="es-ES"/>
        </w:rPr>
        <w:t xml:space="preserve">efectos de </w:t>
      </w:r>
      <w:r w:rsidR="00E56234" w:rsidRPr="004104D0">
        <w:rPr>
          <w:rFonts w:asciiTheme="majorHAnsi" w:hAnsiTheme="majorHAnsi" w:cs="Cambria"/>
          <w:sz w:val="20"/>
          <w:szCs w:val="20"/>
          <w:lang w:val="es-ES_tradnl" w:eastAsia="es-ES"/>
        </w:rPr>
        <w:t xml:space="preserve">interpretar y aplicar la Convención Americana. </w:t>
      </w:r>
    </w:p>
    <w:p w:rsidR="00A82B01" w:rsidRPr="004104D0" w:rsidRDefault="00A82B01" w:rsidP="004104D0">
      <w:pPr>
        <w:pStyle w:val="Default"/>
        <w:ind w:firstLine="720"/>
        <w:jc w:val="both"/>
        <w:rPr>
          <w:rFonts w:asciiTheme="majorHAnsi" w:hAnsiTheme="majorHAnsi" w:cs="Cambria"/>
          <w:sz w:val="20"/>
          <w:szCs w:val="20"/>
          <w:lang w:val="es-ES_tradnl" w:eastAsia="es-ES"/>
        </w:rPr>
      </w:pPr>
    </w:p>
    <w:p w:rsidR="007C6106" w:rsidRDefault="00280430" w:rsidP="004104D0">
      <w:pPr>
        <w:pStyle w:val="Default"/>
        <w:ind w:firstLine="720"/>
        <w:jc w:val="both"/>
        <w:rPr>
          <w:rFonts w:asciiTheme="majorHAnsi" w:hAnsiTheme="majorHAnsi" w:cs="Cambria"/>
          <w:sz w:val="20"/>
          <w:szCs w:val="20"/>
          <w:lang w:val="es-ES_tradnl" w:eastAsia="es-ES"/>
        </w:rPr>
      </w:pPr>
      <w:r w:rsidRPr="004104D0">
        <w:rPr>
          <w:rFonts w:asciiTheme="majorHAnsi" w:hAnsiTheme="majorHAnsi" w:cs="Cambria"/>
          <w:sz w:val="20"/>
          <w:szCs w:val="20"/>
          <w:lang w:val="es-ES_tradnl" w:eastAsia="es-ES"/>
        </w:rPr>
        <w:t>15</w:t>
      </w:r>
      <w:r w:rsidR="00A82B01" w:rsidRPr="004104D0">
        <w:rPr>
          <w:rFonts w:asciiTheme="majorHAnsi" w:hAnsiTheme="majorHAnsi" w:cs="Cambria"/>
          <w:sz w:val="20"/>
          <w:szCs w:val="20"/>
          <w:lang w:val="es-ES_tradnl" w:eastAsia="es-ES"/>
        </w:rPr>
        <w:t xml:space="preserve">. </w:t>
      </w:r>
      <w:r w:rsidRPr="004104D0">
        <w:rPr>
          <w:rFonts w:asciiTheme="majorHAnsi" w:hAnsiTheme="majorHAnsi" w:cs="Cambria"/>
          <w:sz w:val="20"/>
          <w:szCs w:val="20"/>
          <w:lang w:val="es-ES_tradnl" w:eastAsia="es-ES"/>
        </w:rPr>
        <w:tab/>
      </w:r>
      <w:r w:rsidR="007C6106" w:rsidRPr="004104D0">
        <w:rPr>
          <w:rFonts w:asciiTheme="majorHAnsi" w:hAnsiTheme="majorHAnsi" w:cs="Cambria"/>
          <w:sz w:val="20"/>
          <w:szCs w:val="20"/>
          <w:lang w:val="es-ES_tradnl" w:eastAsia="es-ES"/>
        </w:rPr>
        <w:t>Por otra parte, el peticionario no ha presentado argumentos que tiendan a caracterizar una violación del artículo 10 de la Convención A</w:t>
      </w:r>
      <w:r w:rsidR="00A82B01" w:rsidRPr="004104D0">
        <w:rPr>
          <w:rFonts w:asciiTheme="majorHAnsi" w:hAnsiTheme="majorHAnsi" w:cs="Cambria"/>
          <w:sz w:val="20"/>
          <w:szCs w:val="20"/>
          <w:lang w:val="es-ES_tradnl" w:eastAsia="es-ES"/>
        </w:rPr>
        <w:t>mericana, que se refiere a</w:t>
      </w:r>
      <w:r w:rsidR="007C6106" w:rsidRPr="004104D0">
        <w:rPr>
          <w:rFonts w:asciiTheme="majorHAnsi" w:hAnsiTheme="majorHAnsi" w:cs="Cambria"/>
          <w:sz w:val="20"/>
          <w:szCs w:val="20"/>
          <w:lang w:val="es-ES_tradnl" w:eastAsia="es-ES"/>
        </w:rPr>
        <w:t>l</w:t>
      </w:r>
      <w:r w:rsidR="00A82B01" w:rsidRPr="004104D0">
        <w:rPr>
          <w:rFonts w:asciiTheme="majorHAnsi" w:hAnsiTheme="majorHAnsi" w:cs="Cambria"/>
          <w:sz w:val="20"/>
          <w:szCs w:val="20"/>
          <w:lang w:val="es-ES_tradnl" w:eastAsia="es-ES"/>
        </w:rPr>
        <w:t xml:space="preserve"> derecho a un</w:t>
      </w:r>
      <w:r w:rsidR="007C6106" w:rsidRPr="004104D0">
        <w:rPr>
          <w:rFonts w:asciiTheme="majorHAnsi" w:hAnsiTheme="majorHAnsi" w:cs="Cambria"/>
          <w:sz w:val="20"/>
          <w:szCs w:val="20"/>
          <w:lang w:val="es-ES_tradnl" w:eastAsia="es-ES"/>
        </w:rPr>
        <w:t xml:space="preserve">a indemnización resultante de condenas basadas en error judicial. </w:t>
      </w:r>
    </w:p>
    <w:p w:rsidR="00F3374A" w:rsidRPr="004104D0" w:rsidRDefault="00F3374A" w:rsidP="004104D0">
      <w:pPr>
        <w:pStyle w:val="Default"/>
        <w:ind w:firstLine="720"/>
        <w:jc w:val="both"/>
        <w:rPr>
          <w:rFonts w:asciiTheme="majorHAnsi" w:hAnsiTheme="majorHAnsi" w:cs="Calibri"/>
          <w:sz w:val="20"/>
          <w:szCs w:val="20"/>
          <w:lang w:val="es-ES_tradnl"/>
        </w:rPr>
      </w:pPr>
    </w:p>
    <w:p w:rsidR="003239B8" w:rsidRDefault="003239B8" w:rsidP="004104D0">
      <w:pPr>
        <w:pStyle w:val="ListParagraph"/>
        <w:jc w:val="both"/>
        <w:rPr>
          <w:rFonts w:asciiTheme="majorHAnsi" w:hAnsiTheme="majorHAnsi"/>
          <w:b/>
          <w:bCs/>
          <w:sz w:val="20"/>
          <w:szCs w:val="20"/>
          <w:lang w:val="es-ES_tradnl"/>
        </w:rPr>
      </w:pPr>
      <w:r w:rsidRPr="004104D0">
        <w:rPr>
          <w:rFonts w:asciiTheme="majorHAnsi" w:hAnsiTheme="majorHAnsi"/>
          <w:b/>
          <w:bCs/>
          <w:sz w:val="20"/>
          <w:szCs w:val="20"/>
          <w:lang w:val="es-ES_tradnl"/>
        </w:rPr>
        <w:t xml:space="preserve">VIII. </w:t>
      </w:r>
      <w:r w:rsidRPr="004104D0">
        <w:rPr>
          <w:rFonts w:asciiTheme="majorHAnsi" w:hAnsiTheme="majorHAnsi"/>
          <w:b/>
          <w:bCs/>
          <w:sz w:val="20"/>
          <w:szCs w:val="20"/>
          <w:lang w:val="es-ES_tradnl"/>
        </w:rPr>
        <w:tab/>
        <w:t>DECISIÓN</w:t>
      </w:r>
    </w:p>
    <w:p w:rsidR="00F3374A" w:rsidRPr="004104D0" w:rsidRDefault="00F3374A" w:rsidP="004104D0">
      <w:pPr>
        <w:pStyle w:val="ListParagraph"/>
        <w:jc w:val="both"/>
        <w:rPr>
          <w:rFonts w:asciiTheme="majorHAnsi" w:hAnsiTheme="majorHAnsi"/>
          <w:b/>
          <w:bCs/>
          <w:sz w:val="20"/>
          <w:szCs w:val="20"/>
          <w:lang w:val="es-ES_tradnl"/>
        </w:rPr>
      </w:pPr>
    </w:p>
    <w:p w:rsidR="003239B8" w:rsidRDefault="003239B8" w:rsidP="004104D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104D0">
        <w:rPr>
          <w:rFonts w:asciiTheme="majorHAnsi" w:hAnsiTheme="majorHAnsi"/>
          <w:sz w:val="20"/>
          <w:szCs w:val="20"/>
          <w:lang w:val="es-ES_tradnl"/>
        </w:rPr>
        <w:t xml:space="preserve">Declarar admisible la presente petición en relación con </w:t>
      </w:r>
      <w:r w:rsidR="007C6106" w:rsidRPr="004104D0">
        <w:rPr>
          <w:rFonts w:asciiTheme="majorHAnsi" w:hAnsiTheme="majorHAnsi"/>
          <w:sz w:val="20"/>
          <w:szCs w:val="20"/>
          <w:lang w:val="es-ES_tradnl"/>
        </w:rPr>
        <w:t>los artículos 8, 9, 23, 25 y 26 de la Convención Americana</w:t>
      </w:r>
      <w:r w:rsidR="00A82B01" w:rsidRPr="004104D0">
        <w:rPr>
          <w:rFonts w:asciiTheme="majorHAnsi" w:hAnsiTheme="majorHAnsi"/>
          <w:sz w:val="20"/>
          <w:szCs w:val="20"/>
          <w:lang w:val="es-ES_tradnl"/>
        </w:rPr>
        <w:t>, en relación con su</w:t>
      </w:r>
      <w:r w:rsidR="00280430" w:rsidRPr="004104D0">
        <w:rPr>
          <w:rFonts w:asciiTheme="majorHAnsi" w:hAnsiTheme="majorHAnsi"/>
          <w:sz w:val="20"/>
          <w:szCs w:val="20"/>
          <w:lang w:val="es-ES_tradnl"/>
        </w:rPr>
        <w:t xml:space="preserve"> </w:t>
      </w:r>
      <w:r w:rsidR="00A82B01" w:rsidRPr="004104D0">
        <w:rPr>
          <w:rFonts w:asciiTheme="majorHAnsi" w:hAnsiTheme="majorHAnsi"/>
          <w:sz w:val="20"/>
          <w:szCs w:val="20"/>
          <w:lang w:val="es-ES_tradnl"/>
        </w:rPr>
        <w:t>artículo</w:t>
      </w:r>
      <w:r w:rsidR="003E76A5" w:rsidRPr="004104D0">
        <w:rPr>
          <w:rFonts w:asciiTheme="majorHAnsi" w:hAnsiTheme="majorHAnsi"/>
          <w:sz w:val="20"/>
          <w:szCs w:val="20"/>
          <w:lang w:val="es-ES_tradnl"/>
        </w:rPr>
        <w:t xml:space="preserve"> </w:t>
      </w:r>
      <w:r w:rsidR="00A82B01" w:rsidRPr="004104D0">
        <w:rPr>
          <w:rFonts w:asciiTheme="majorHAnsi" w:hAnsiTheme="majorHAnsi"/>
          <w:sz w:val="20"/>
          <w:szCs w:val="20"/>
          <w:lang w:val="es-ES_tradnl"/>
        </w:rPr>
        <w:t>1.1</w:t>
      </w:r>
      <w:r w:rsidR="00A758AA" w:rsidRPr="004104D0">
        <w:rPr>
          <w:rFonts w:asciiTheme="majorHAnsi" w:hAnsiTheme="majorHAnsi"/>
          <w:sz w:val="20"/>
          <w:szCs w:val="20"/>
          <w:lang w:val="es-ES_tradnl"/>
        </w:rPr>
        <w:t>;</w:t>
      </w:r>
    </w:p>
    <w:p w:rsidR="00F3374A" w:rsidRPr="004104D0" w:rsidRDefault="00F3374A" w:rsidP="00F3374A">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20"/>
        <w:jc w:val="both"/>
        <w:rPr>
          <w:rFonts w:asciiTheme="majorHAnsi" w:hAnsiTheme="majorHAnsi"/>
          <w:sz w:val="20"/>
          <w:szCs w:val="20"/>
          <w:lang w:val="es-ES_tradnl"/>
        </w:rPr>
      </w:pPr>
    </w:p>
    <w:p w:rsidR="000419AD" w:rsidRPr="004104D0" w:rsidRDefault="000419AD" w:rsidP="004104D0">
      <w:pPr>
        <w:pStyle w:val="ListParagraph"/>
        <w:numPr>
          <w:ilvl w:val="0"/>
          <w:numId w:val="55"/>
        </w:numPr>
        <w:jc w:val="both"/>
        <w:rPr>
          <w:rFonts w:asciiTheme="majorHAnsi" w:eastAsia="Arial Unicode MS" w:hAnsiTheme="majorHAnsi" w:cs="Times New Roman"/>
          <w:color w:val="auto"/>
          <w:sz w:val="20"/>
          <w:szCs w:val="20"/>
          <w:lang w:val="es-ES_tradnl" w:eastAsia="en-US"/>
        </w:rPr>
      </w:pPr>
      <w:r w:rsidRPr="004104D0">
        <w:rPr>
          <w:rFonts w:asciiTheme="majorHAnsi" w:eastAsia="Arial Unicode MS" w:hAnsiTheme="majorHAnsi" w:cs="Times New Roman"/>
          <w:color w:val="auto"/>
          <w:sz w:val="20"/>
          <w:szCs w:val="20"/>
          <w:lang w:val="es-ES_tradnl" w:eastAsia="en-US"/>
        </w:rPr>
        <w:t xml:space="preserve">Declarar inadmisible la presente petición en relación con </w:t>
      </w:r>
      <w:r w:rsidR="00280430" w:rsidRPr="004104D0">
        <w:rPr>
          <w:rFonts w:asciiTheme="majorHAnsi" w:eastAsia="Arial Unicode MS" w:hAnsiTheme="majorHAnsi" w:cs="Times New Roman"/>
          <w:color w:val="auto"/>
          <w:sz w:val="20"/>
          <w:szCs w:val="20"/>
          <w:lang w:val="es-ES_tradnl" w:eastAsia="en-US"/>
        </w:rPr>
        <w:t>los</w:t>
      </w:r>
      <w:r w:rsidR="007C6106" w:rsidRPr="004104D0">
        <w:rPr>
          <w:rFonts w:asciiTheme="majorHAnsi" w:eastAsia="Arial Unicode MS" w:hAnsiTheme="majorHAnsi" w:cs="Times New Roman"/>
          <w:color w:val="auto"/>
          <w:sz w:val="20"/>
          <w:szCs w:val="20"/>
          <w:lang w:val="es-ES_tradnl" w:eastAsia="en-US"/>
        </w:rPr>
        <w:t xml:space="preserve"> artículo</w:t>
      </w:r>
      <w:r w:rsidR="00280430" w:rsidRPr="004104D0">
        <w:rPr>
          <w:rFonts w:asciiTheme="majorHAnsi" w:eastAsia="Arial Unicode MS" w:hAnsiTheme="majorHAnsi" w:cs="Times New Roman"/>
          <w:color w:val="auto"/>
          <w:sz w:val="20"/>
          <w:szCs w:val="20"/>
          <w:lang w:val="es-ES_tradnl" w:eastAsia="en-US"/>
        </w:rPr>
        <w:t>s</w:t>
      </w:r>
      <w:r w:rsidR="007C6106" w:rsidRPr="004104D0">
        <w:rPr>
          <w:rFonts w:asciiTheme="majorHAnsi" w:eastAsia="Arial Unicode MS" w:hAnsiTheme="majorHAnsi" w:cs="Times New Roman"/>
          <w:color w:val="auto"/>
          <w:sz w:val="20"/>
          <w:szCs w:val="20"/>
          <w:lang w:val="es-ES_tradnl" w:eastAsia="en-US"/>
        </w:rPr>
        <w:t xml:space="preserve"> 10 </w:t>
      </w:r>
      <w:r w:rsidR="00280430" w:rsidRPr="004104D0">
        <w:rPr>
          <w:rFonts w:asciiTheme="majorHAnsi" w:eastAsia="Arial Unicode MS" w:hAnsiTheme="majorHAnsi" w:cs="Times New Roman"/>
          <w:color w:val="auto"/>
          <w:sz w:val="20"/>
          <w:szCs w:val="20"/>
          <w:lang w:val="es-ES_tradnl" w:eastAsia="en-US"/>
        </w:rPr>
        <w:t xml:space="preserve">y 11 </w:t>
      </w:r>
      <w:r w:rsidR="007C6106" w:rsidRPr="004104D0">
        <w:rPr>
          <w:rFonts w:asciiTheme="majorHAnsi" w:eastAsia="Arial Unicode MS" w:hAnsiTheme="majorHAnsi" w:cs="Times New Roman"/>
          <w:color w:val="auto"/>
          <w:sz w:val="20"/>
          <w:szCs w:val="20"/>
          <w:lang w:val="es-ES_tradnl" w:eastAsia="en-US"/>
        </w:rPr>
        <w:t>de la Convención Americana</w:t>
      </w:r>
      <w:r w:rsidR="00A758AA" w:rsidRPr="004104D0">
        <w:rPr>
          <w:rFonts w:asciiTheme="majorHAnsi" w:eastAsia="Arial Unicode MS" w:hAnsiTheme="majorHAnsi" w:cs="Times New Roman"/>
          <w:color w:val="auto"/>
          <w:sz w:val="20"/>
          <w:szCs w:val="20"/>
          <w:lang w:val="es-ES_tradnl" w:eastAsia="en-US"/>
        </w:rPr>
        <w:t>;</w:t>
      </w:r>
      <w:r w:rsidR="004A6A54" w:rsidRPr="004104D0">
        <w:rPr>
          <w:rFonts w:asciiTheme="majorHAnsi" w:eastAsia="Arial Unicode MS" w:hAnsiTheme="majorHAnsi" w:cs="Times New Roman"/>
          <w:color w:val="auto"/>
          <w:sz w:val="20"/>
          <w:szCs w:val="20"/>
          <w:lang w:val="es-ES_tradnl" w:eastAsia="en-US"/>
        </w:rPr>
        <w:t xml:space="preserve"> y</w:t>
      </w:r>
    </w:p>
    <w:p w:rsidR="000419AD" w:rsidRPr="004104D0" w:rsidRDefault="000419AD" w:rsidP="004104D0">
      <w:pPr>
        <w:pStyle w:val="ListParagraph"/>
        <w:jc w:val="both"/>
        <w:rPr>
          <w:rFonts w:asciiTheme="majorHAnsi" w:eastAsia="Arial Unicode MS" w:hAnsiTheme="majorHAnsi" w:cs="Times New Roman"/>
          <w:color w:val="auto"/>
          <w:sz w:val="20"/>
          <w:szCs w:val="20"/>
          <w:lang w:val="es-ES_tradnl" w:eastAsia="en-US"/>
        </w:rPr>
      </w:pPr>
    </w:p>
    <w:p w:rsidR="008D768D" w:rsidRDefault="004A6A54" w:rsidP="004104D0">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rPr>
          <w:rFonts w:asciiTheme="majorHAnsi" w:hAnsiTheme="majorHAnsi"/>
          <w:sz w:val="20"/>
          <w:szCs w:val="20"/>
          <w:lang w:val="es-ES_tradnl"/>
        </w:rPr>
      </w:pPr>
      <w:r w:rsidRPr="004104D0">
        <w:rPr>
          <w:rFonts w:asciiTheme="majorHAnsi" w:hAnsiTheme="majorHAnsi"/>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rsidR="00AE207F" w:rsidRDefault="00AE207F" w:rsidP="00AE207F">
      <w:pPr>
        <w:pStyle w:val="ListParagraph"/>
        <w:rPr>
          <w:rFonts w:asciiTheme="majorHAnsi" w:hAnsiTheme="majorHAnsi"/>
          <w:sz w:val="20"/>
          <w:szCs w:val="20"/>
          <w:lang w:val="es-ES_tradnl"/>
        </w:rPr>
      </w:pPr>
    </w:p>
    <w:p w:rsidR="00AE207F" w:rsidRPr="00A37B82" w:rsidRDefault="00AE207F" w:rsidP="00657645">
      <w:pPr>
        <w:ind w:firstLine="720"/>
        <w:jc w:val="both"/>
        <w:rPr>
          <w:rFonts w:asciiTheme="majorHAnsi" w:hAnsiTheme="majorHAnsi" w:cs="Arial"/>
          <w:noProof/>
          <w:spacing w:val="-2"/>
          <w:sz w:val="20"/>
          <w:szCs w:val="20"/>
          <w:lang w:val="es-CL"/>
        </w:rPr>
      </w:pPr>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w:t>
      </w:r>
      <w:r>
        <w:rPr>
          <w:rFonts w:asciiTheme="majorHAnsi" w:hAnsiTheme="majorHAnsi" w:cs="Arial"/>
          <w:noProof/>
          <w:spacing w:val="-2"/>
          <w:sz w:val="20"/>
          <w:szCs w:val="20"/>
          <w:lang w:val="es-CL"/>
        </w:rPr>
        <w:t xml:space="preserve"> 21</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septiembre</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2020</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Primera Vicepresidenta;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Margarette May Macaulay,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Julissa Mantilla Falcón,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sectPr w:rsidR="00AE207F" w:rsidRPr="00A37B82"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862" w:rsidRDefault="00BD4862">
      <w:r>
        <w:separator/>
      </w:r>
    </w:p>
  </w:endnote>
  <w:endnote w:type="continuationSeparator" w:id="0">
    <w:p w:rsidR="00BD4862" w:rsidRDefault="00BD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0DC" w:rsidRDefault="002C00D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rsidR="00DF7DF8" w:rsidRPr="00934A2C" w:rsidRDefault="00DF7DF8">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E5DEE">
          <w:rPr>
            <w:noProof/>
            <w:sz w:val="16"/>
            <w:szCs w:val="22"/>
          </w:rPr>
          <w:t>1</w:t>
        </w:r>
        <w:r w:rsidRPr="00934A2C">
          <w:rPr>
            <w:noProof/>
            <w:sz w:val="16"/>
            <w:szCs w:val="22"/>
          </w:rPr>
          <w:fldChar w:fldCharType="end"/>
        </w:r>
      </w:p>
    </w:sdtContent>
  </w:sdt>
  <w:p w:rsidR="00DF7DF8" w:rsidRDefault="00DF7D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DF8" w:rsidRPr="00934A2C" w:rsidRDefault="00DF7DF8">
    <w:pPr>
      <w:pStyle w:val="Footer"/>
      <w:jc w:val="center"/>
      <w:rPr>
        <w:sz w:val="16"/>
        <w:szCs w:val="22"/>
      </w:rPr>
    </w:pPr>
  </w:p>
  <w:p w:rsidR="00DF7DF8" w:rsidRDefault="00DF7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862" w:rsidRPr="000F35ED" w:rsidRDefault="00BD4862">
      <w:pPr>
        <w:rPr>
          <w:rFonts w:asciiTheme="majorHAnsi" w:hAnsiTheme="majorHAnsi"/>
          <w:sz w:val="16"/>
          <w:szCs w:val="16"/>
        </w:rPr>
      </w:pPr>
      <w:r w:rsidRPr="000F35ED">
        <w:rPr>
          <w:rFonts w:asciiTheme="majorHAnsi" w:hAnsiTheme="majorHAnsi"/>
          <w:sz w:val="16"/>
          <w:szCs w:val="16"/>
        </w:rPr>
        <w:separator/>
      </w:r>
    </w:p>
  </w:footnote>
  <w:footnote w:type="continuationSeparator" w:id="0">
    <w:p w:rsidR="00BD4862" w:rsidRPr="000F35ED" w:rsidRDefault="00BD4862" w:rsidP="000F35ED">
      <w:pPr>
        <w:rPr>
          <w:rFonts w:asciiTheme="majorHAnsi" w:hAnsiTheme="majorHAnsi"/>
          <w:sz w:val="16"/>
          <w:szCs w:val="16"/>
        </w:rPr>
      </w:pPr>
      <w:r w:rsidRPr="000F35ED">
        <w:rPr>
          <w:rFonts w:asciiTheme="majorHAnsi" w:hAnsiTheme="majorHAnsi"/>
          <w:sz w:val="16"/>
          <w:szCs w:val="16"/>
        </w:rPr>
        <w:separator/>
      </w:r>
    </w:p>
    <w:p w:rsidR="00BD4862" w:rsidRPr="000F35ED" w:rsidRDefault="00BD4862"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rsidR="00BD4862" w:rsidRPr="000F35ED" w:rsidRDefault="00BD4862"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rsidR="00DF7DF8" w:rsidRPr="00A82B01" w:rsidRDefault="00DF7DF8" w:rsidP="00A82B01">
      <w:pPr>
        <w:pStyle w:val="FootnoteText"/>
        <w:ind w:firstLine="720"/>
        <w:jc w:val="both"/>
        <w:rPr>
          <w:rFonts w:asciiTheme="majorHAnsi" w:hAnsiTheme="majorHAnsi"/>
          <w:sz w:val="16"/>
          <w:szCs w:val="16"/>
          <w:lang w:val="es-ES"/>
        </w:rPr>
      </w:pPr>
      <w:r w:rsidRPr="00A82B01">
        <w:rPr>
          <w:rStyle w:val="FootnoteReference"/>
          <w:rFonts w:asciiTheme="majorHAnsi" w:hAnsiTheme="majorHAnsi"/>
          <w:sz w:val="16"/>
          <w:szCs w:val="16"/>
        </w:rPr>
        <w:footnoteRef/>
      </w:r>
      <w:r w:rsidRPr="00A82B01">
        <w:rPr>
          <w:rFonts w:asciiTheme="majorHAnsi" w:hAnsiTheme="majorHAnsi"/>
          <w:sz w:val="16"/>
          <w:szCs w:val="16"/>
          <w:lang w:val="es-ES"/>
        </w:rPr>
        <w:t xml:space="preserve"> Conforme a lo dispuesto en el artículo 17.2.a del Reglamento de la Comisión, el Comisionado Joel Hernández García, de nacionalidad mexicana, no participó en el debate ni en la decisión del presente asunto.</w:t>
      </w:r>
    </w:p>
  </w:footnote>
  <w:footnote w:id="3">
    <w:p w:rsidR="00DF7DF8" w:rsidRPr="005C1DE4" w:rsidRDefault="00DF7DF8" w:rsidP="00A82B01">
      <w:pPr>
        <w:pStyle w:val="FootnoteText"/>
        <w:ind w:firstLine="720"/>
        <w:jc w:val="both"/>
        <w:rPr>
          <w:rFonts w:ascii="Cambria" w:hAnsi="Cambria"/>
          <w:sz w:val="16"/>
          <w:szCs w:val="16"/>
          <w:lang w:val="es-US"/>
        </w:rPr>
      </w:pPr>
      <w:r w:rsidRPr="00A82B01">
        <w:rPr>
          <w:rStyle w:val="FootnoteReference"/>
          <w:rFonts w:asciiTheme="majorHAnsi" w:hAnsiTheme="majorHAnsi"/>
          <w:sz w:val="16"/>
          <w:szCs w:val="16"/>
        </w:rPr>
        <w:footnoteRef/>
      </w:r>
      <w:r w:rsidRPr="00A82B01">
        <w:rPr>
          <w:rFonts w:asciiTheme="majorHAnsi" w:hAnsiTheme="majorHAnsi"/>
          <w:sz w:val="16"/>
          <w:szCs w:val="16"/>
          <w:lang w:val="es-US"/>
        </w:rPr>
        <w:t xml:space="preserve"> En adelante, “</w:t>
      </w:r>
      <w:r w:rsidR="00945FD1">
        <w:rPr>
          <w:rFonts w:asciiTheme="majorHAnsi" w:hAnsiTheme="majorHAnsi"/>
          <w:sz w:val="16"/>
          <w:szCs w:val="16"/>
          <w:lang w:val="es-US"/>
        </w:rPr>
        <w:t xml:space="preserve">la </w:t>
      </w:r>
      <w:r w:rsidRPr="00A82B01">
        <w:rPr>
          <w:rFonts w:asciiTheme="majorHAnsi" w:hAnsiTheme="majorHAnsi"/>
          <w:sz w:val="16"/>
          <w:szCs w:val="16"/>
          <w:lang w:val="es-US"/>
        </w:rPr>
        <w:t>Convención Americana”.</w:t>
      </w:r>
    </w:p>
  </w:footnote>
  <w:footnote w:id="4">
    <w:p w:rsidR="005C1DE4" w:rsidRPr="005C1DE4" w:rsidRDefault="005C1DE4" w:rsidP="005C1DE4">
      <w:pPr>
        <w:pStyle w:val="FootnoteText"/>
        <w:ind w:firstLine="720"/>
        <w:rPr>
          <w:lang w:val="es-US"/>
        </w:rPr>
      </w:pPr>
      <w:r w:rsidRPr="005C1DE4">
        <w:rPr>
          <w:rStyle w:val="FootnoteReference"/>
          <w:rFonts w:ascii="Cambria" w:hAnsi="Cambria"/>
          <w:sz w:val="16"/>
          <w:szCs w:val="16"/>
        </w:rPr>
        <w:footnoteRef/>
      </w:r>
      <w:r w:rsidRPr="005C1DE4">
        <w:rPr>
          <w:rFonts w:ascii="Cambria" w:hAnsi="Cambria"/>
          <w:sz w:val="16"/>
          <w:szCs w:val="16"/>
          <w:lang w:val="es-US"/>
        </w:rPr>
        <w:t xml:space="preserve"> En adelante, “</w:t>
      </w:r>
      <w:r w:rsidR="00945FD1">
        <w:rPr>
          <w:rFonts w:ascii="Cambria" w:hAnsi="Cambria"/>
          <w:sz w:val="16"/>
          <w:szCs w:val="16"/>
          <w:lang w:val="es-US"/>
        </w:rPr>
        <w:t xml:space="preserve">el </w:t>
      </w:r>
      <w:r w:rsidRPr="005C1DE4">
        <w:rPr>
          <w:rFonts w:ascii="Cambria" w:hAnsi="Cambria"/>
          <w:sz w:val="16"/>
          <w:szCs w:val="16"/>
          <w:lang w:val="es-US"/>
        </w:rPr>
        <w:t>Protocolo de San Salvador”.</w:t>
      </w:r>
    </w:p>
  </w:footnote>
  <w:footnote w:id="5">
    <w:p w:rsidR="00DF7DF8" w:rsidRPr="00A82B01" w:rsidRDefault="00DF7DF8" w:rsidP="00A82B01">
      <w:pPr>
        <w:pStyle w:val="FootnoteText"/>
        <w:ind w:firstLine="720"/>
        <w:jc w:val="both"/>
        <w:rPr>
          <w:rFonts w:asciiTheme="majorHAnsi" w:hAnsiTheme="majorHAnsi"/>
          <w:sz w:val="16"/>
          <w:szCs w:val="16"/>
          <w:lang w:val="es-ES"/>
        </w:rPr>
      </w:pPr>
      <w:r w:rsidRPr="00A82B01">
        <w:rPr>
          <w:rStyle w:val="FootnoteReference"/>
          <w:rFonts w:asciiTheme="majorHAnsi" w:hAnsiTheme="majorHAnsi"/>
          <w:sz w:val="16"/>
          <w:szCs w:val="16"/>
        </w:rPr>
        <w:footnoteRef/>
      </w:r>
      <w:r w:rsidRPr="00A82B01">
        <w:rPr>
          <w:rFonts w:asciiTheme="majorHAnsi" w:hAnsiTheme="majorHAnsi"/>
          <w:sz w:val="16"/>
          <w:szCs w:val="16"/>
          <w:lang w:val="es-ES"/>
        </w:rPr>
        <w:t xml:space="preserve"> Las observaciones de cada parte fueron debidamente trasladadas a la parte contraria.</w:t>
      </w:r>
    </w:p>
  </w:footnote>
  <w:footnote w:id="6">
    <w:p w:rsidR="00E56234" w:rsidRPr="005C1DE4" w:rsidRDefault="00E56234" w:rsidP="00155F86">
      <w:pPr>
        <w:pStyle w:val="Default"/>
        <w:ind w:firstLine="720"/>
        <w:jc w:val="both"/>
        <w:rPr>
          <w:rFonts w:asciiTheme="majorHAnsi" w:eastAsia="Arial Unicode MS" w:hAnsiTheme="majorHAnsi" w:cs="Cambria"/>
          <w:sz w:val="16"/>
          <w:szCs w:val="16"/>
          <w:bdr w:val="nil"/>
          <w:lang w:val="es-US" w:eastAsia="es-ES"/>
        </w:rPr>
      </w:pPr>
      <w:r w:rsidRPr="00A82B01">
        <w:rPr>
          <w:rStyle w:val="FootnoteReference"/>
          <w:rFonts w:asciiTheme="majorHAnsi" w:hAnsiTheme="majorHAnsi"/>
          <w:sz w:val="16"/>
          <w:szCs w:val="16"/>
        </w:rPr>
        <w:footnoteRef/>
      </w:r>
      <w:r w:rsidRPr="005C1DE4">
        <w:rPr>
          <w:rFonts w:asciiTheme="majorHAnsi" w:hAnsiTheme="majorHAnsi"/>
          <w:sz w:val="16"/>
          <w:szCs w:val="16"/>
          <w:lang w:val="es-US"/>
        </w:rPr>
        <w:t xml:space="preserve"> </w:t>
      </w:r>
      <w:r w:rsidRPr="00A82B01">
        <w:rPr>
          <w:rFonts w:asciiTheme="majorHAnsi" w:eastAsia="Arial Unicode MS" w:hAnsiTheme="majorHAnsi" w:cs="Cambria"/>
          <w:sz w:val="16"/>
          <w:szCs w:val="16"/>
          <w:lang w:val="es-US"/>
        </w:rPr>
        <w:t xml:space="preserve">CIDH, Informe No. 73/18. Petición 1350-07. Admisibilidad. José Antonio Pérez </w:t>
      </w:r>
      <w:proofErr w:type="spellStart"/>
      <w:r w:rsidRPr="00A82B01">
        <w:rPr>
          <w:rFonts w:asciiTheme="majorHAnsi" w:eastAsia="Arial Unicode MS" w:hAnsiTheme="majorHAnsi" w:cs="Cambria"/>
          <w:sz w:val="16"/>
          <w:szCs w:val="16"/>
          <w:lang w:val="es-US"/>
        </w:rPr>
        <w:t>Pérez</w:t>
      </w:r>
      <w:proofErr w:type="spellEnd"/>
      <w:r w:rsidRPr="00A82B01">
        <w:rPr>
          <w:rFonts w:asciiTheme="majorHAnsi" w:eastAsia="Arial Unicode MS" w:hAnsiTheme="majorHAnsi" w:cs="Cambria"/>
          <w:sz w:val="16"/>
          <w:szCs w:val="16"/>
          <w:lang w:val="es-US"/>
        </w:rPr>
        <w:t xml:space="preserve">. México. </w:t>
      </w:r>
      <w:r w:rsidRPr="005C1DE4">
        <w:rPr>
          <w:rFonts w:asciiTheme="majorHAnsi" w:eastAsia="Arial Unicode MS" w:hAnsiTheme="majorHAnsi" w:cs="Cambria"/>
          <w:sz w:val="16"/>
          <w:szCs w:val="16"/>
          <w:lang w:val="es-US"/>
        </w:rPr>
        <w:t xml:space="preserve">20 de junio de 2018, </w:t>
      </w:r>
      <w:proofErr w:type="spellStart"/>
      <w:r w:rsidRPr="005C1DE4">
        <w:rPr>
          <w:rFonts w:asciiTheme="majorHAnsi" w:eastAsia="Arial Unicode MS" w:hAnsiTheme="majorHAnsi" w:cs="Cambria"/>
          <w:sz w:val="16"/>
          <w:szCs w:val="16"/>
          <w:lang w:val="es-US"/>
        </w:rPr>
        <w:t>párrs</w:t>
      </w:r>
      <w:proofErr w:type="spellEnd"/>
      <w:r w:rsidRPr="005C1DE4">
        <w:rPr>
          <w:rFonts w:asciiTheme="majorHAnsi" w:eastAsia="Arial Unicode MS" w:hAnsiTheme="majorHAnsi" w:cs="Cambria"/>
          <w:sz w:val="16"/>
          <w:szCs w:val="16"/>
          <w:lang w:val="es-US"/>
        </w:rPr>
        <w:t xml:space="preserve">. 8-10; </w:t>
      </w:r>
      <w:r w:rsidR="000666B7">
        <w:rPr>
          <w:rFonts w:asciiTheme="majorHAnsi" w:eastAsia="Arial Unicode MS" w:hAnsiTheme="majorHAnsi" w:cs="Cambria"/>
          <w:sz w:val="16"/>
          <w:szCs w:val="16"/>
          <w:lang w:val="es-US"/>
        </w:rPr>
        <w:t xml:space="preserve">y </w:t>
      </w:r>
      <w:r w:rsidRPr="00E56234">
        <w:rPr>
          <w:rFonts w:asciiTheme="majorHAnsi" w:hAnsiTheme="majorHAnsi" w:cs="Cambria"/>
          <w:sz w:val="16"/>
          <w:szCs w:val="16"/>
          <w:lang w:val="es-US" w:eastAsia="es-ES"/>
        </w:rPr>
        <w:t xml:space="preserve">CIDH, Informe No. 77/18. Petición 727-09. Fernando Tovar Rodríguez. </w:t>
      </w:r>
      <w:r w:rsidRPr="005C1DE4">
        <w:rPr>
          <w:rFonts w:asciiTheme="majorHAnsi" w:hAnsiTheme="majorHAnsi" w:cs="Cambria"/>
          <w:sz w:val="16"/>
          <w:szCs w:val="16"/>
          <w:lang w:val="es-US" w:eastAsia="es-ES"/>
        </w:rPr>
        <w:t xml:space="preserve">México. </w:t>
      </w:r>
      <w:r w:rsidRPr="005C1DE4">
        <w:rPr>
          <w:rFonts w:asciiTheme="majorHAnsi" w:eastAsia="Arial Unicode MS" w:hAnsiTheme="majorHAnsi" w:cs="Cambria"/>
          <w:sz w:val="16"/>
          <w:szCs w:val="16"/>
          <w:bdr w:val="nil"/>
          <w:lang w:val="es-US" w:eastAsia="es-ES"/>
        </w:rPr>
        <w:t xml:space="preserve">27 de junio de 2018, </w:t>
      </w:r>
      <w:proofErr w:type="spellStart"/>
      <w:r w:rsidRPr="005C1DE4">
        <w:rPr>
          <w:rFonts w:asciiTheme="majorHAnsi" w:eastAsia="Arial Unicode MS" w:hAnsiTheme="majorHAnsi" w:cs="Cambria"/>
          <w:sz w:val="16"/>
          <w:szCs w:val="16"/>
          <w:bdr w:val="nil"/>
          <w:lang w:val="es-US" w:eastAsia="es-ES"/>
        </w:rPr>
        <w:t>párrs</w:t>
      </w:r>
      <w:proofErr w:type="spellEnd"/>
      <w:r w:rsidRPr="005C1DE4">
        <w:rPr>
          <w:rFonts w:asciiTheme="majorHAnsi" w:eastAsia="Arial Unicode MS" w:hAnsiTheme="majorHAnsi" w:cs="Cambria"/>
          <w:sz w:val="16"/>
          <w:szCs w:val="16"/>
          <w:bdr w:val="nil"/>
          <w:lang w:val="es-US" w:eastAsia="es-ES"/>
        </w:rPr>
        <w:t>. 8-10.</w:t>
      </w:r>
    </w:p>
  </w:footnote>
  <w:footnote w:id="7">
    <w:p w:rsidR="00E56234" w:rsidRPr="005C1DE4" w:rsidRDefault="00E56234" w:rsidP="00155F86">
      <w:pPr>
        <w:pStyle w:val="FootnoteText"/>
        <w:ind w:firstLine="720"/>
        <w:jc w:val="both"/>
        <w:rPr>
          <w:rFonts w:asciiTheme="majorHAnsi" w:hAnsiTheme="majorHAnsi"/>
          <w:sz w:val="16"/>
          <w:szCs w:val="16"/>
          <w:lang w:val="es-US"/>
        </w:rPr>
      </w:pPr>
      <w:r w:rsidRPr="00A82B01">
        <w:rPr>
          <w:rStyle w:val="FootnoteReference"/>
          <w:rFonts w:asciiTheme="majorHAnsi" w:hAnsiTheme="majorHAnsi"/>
          <w:sz w:val="16"/>
          <w:szCs w:val="16"/>
        </w:rPr>
        <w:footnoteRef/>
      </w:r>
      <w:r w:rsidRPr="00A82B01">
        <w:rPr>
          <w:rFonts w:asciiTheme="majorHAnsi" w:hAnsiTheme="majorHAnsi"/>
          <w:sz w:val="16"/>
          <w:szCs w:val="16"/>
          <w:lang w:val="es-US"/>
        </w:rPr>
        <w:t xml:space="preserve"> </w:t>
      </w:r>
      <w:r w:rsidRPr="00E56234">
        <w:rPr>
          <w:rFonts w:asciiTheme="majorHAnsi" w:hAnsiTheme="majorHAnsi" w:cs="Cambria"/>
          <w:sz w:val="16"/>
          <w:szCs w:val="16"/>
          <w:lang w:val="es-US"/>
        </w:rPr>
        <w:t xml:space="preserve">CIDH, Informe No. 77/18. Petición 727-09. Fernando Tovar Rodríguez. México. </w:t>
      </w:r>
      <w:r w:rsidRPr="00A82B01">
        <w:rPr>
          <w:rFonts w:asciiTheme="majorHAnsi" w:eastAsia="Arial Unicode MS" w:hAnsiTheme="majorHAnsi" w:cs="Cambria"/>
          <w:sz w:val="16"/>
          <w:szCs w:val="16"/>
          <w:lang w:val="es-US"/>
        </w:rPr>
        <w:t xml:space="preserve">27 de junio de 2018, párr. 9; </w:t>
      </w:r>
      <w:r w:rsidR="000666B7">
        <w:rPr>
          <w:rFonts w:asciiTheme="majorHAnsi" w:eastAsia="Arial Unicode MS" w:hAnsiTheme="majorHAnsi" w:cs="Cambria"/>
          <w:sz w:val="16"/>
          <w:szCs w:val="16"/>
          <w:lang w:val="es-US"/>
        </w:rPr>
        <w:t xml:space="preserve">y </w:t>
      </w:r>
      <w:r w:rsidRPr="00A82B01">
        <w:rPr>
          <w:rFonts w:asciiTheme="majorHAnsi" w:hAnsiTheme="majorHAnsi"/>
          <w:sz w:val="16"/>
          <w:szCs w:val="16"/>
          <w:lang w:val="es-US"/>
        </w:rPr>
        <w:t xml:space="preserve">CIDH, Informe No. 104/17, Petición 1281-07. Admisibilidad. Mirta </w:t>
      </w:r>
      <w:proofErr w:type="spellStart"/>
      <w:r w:rsidRPr="00A82B01">
        <w:rPr>
          <w:rFonts w:asciiTheme="majorHAnsi" w:hAnsiTheme="majorHAnsi"/>
          <w:sz w:val="16"/>
          <w:szCs w:val="16"/>
          <w:lang w:val="es-US"/>
        </w:rPr>
        <w:t>Cármen</w:t>
      </w:r>
      <w:proofErr w:type="spellEnd"/>
      <w:r w:rsidRPr="00A82B01">
        <w:rPr>
          <w:rFonts w:asciiTheme="majorHAnsi" w:hAnsiTheme="majorHAnsi"/>
          <w:sz w:val="16"/>
          <w:szCs w:val="16"/>
          <w:lang w:val="es-US"/>
        </w:rPr>
        <w:t xml:space="preserve"> Torres Nieto. Argentina, 7 de septiembre de 2017, párr. </w:t>
      </w:r>
      <w:r w:rsidRPr="005C1DE4">
        <w:rPr>
          <w:rFonts w:asciiTheme="majorHAnsi" w:hAnsiTheme="majorHAnsi"/>
          <w:sz w:val="16"/>
          <w:szCs w:val="16"/>
          <w:lang w:val="es-US"/>
        </w:rPr>
        <w:t>10.</w:t>
      </w:r>
    </w:p>
  </w:footnote>
  <w:footnote w:id="8">
    <w:p w:rsidR="007C6106" w:rsidRPr="005C1DE4" w:rsidRDefault="007C6106" w:rsidP="00155F86">
      <w:pPr>
        <w:pStyle w:val="FootnoteText"/>
        <w:ind w:firstLine="720"/>
        <w:jc w:val="both"/>
        <w:rPr>
          <w:rFonts w:asciiTheme="majorHAnsi" w:hAnsiTheme="majorHAnsi"/>
          <w:sz w:val="16"/>
          <w:szCs w:val="16"/>
          <w:lang w:val="es-US"/>
        </w:rPr>
      </w:pPr>
      <w:r w:rsidRPr="00A82B01">
        <w:rPr>
          <w:rStyle w:val="FootnoteReference"/>
          <w:rFonts w:asciiTheme="majorHAnsi" w:hAnsiTheme="majorHAnsi"/>
          <w:sz w:val="16"/>
          <w:szCs w:val="16"/>
        </w:rPr>
        <w:footnoteRef/>
      </w:r>
      <w:r w:rsidRPr="00A82B01">
        <w:rPr>
          <w:rFonts w:asciiTheme="majorHAnsi" w:hAnsiTheme="majorHAnsi"/>
          <w:sz w:val="16"/>
          <w:szCs w:val="16"/>
          <w:lang w:val="es-US"/>
        </w:rPr>
        <w:t xml:space="preserve"> CIDH, Informe No. 38/06, Petición 549-06. Admisibilidad. Mercedes </w:t>
      </w:r>
      <w:proofErr w:type="spellStart"/>
      <w:r w:rsidRPr="00A82B01">
        <w:rPr>
          <w:rFonts w:asciiTheme="majorHAnsi" w:hAnsiTheme="majorHAnsi"/>
          <w:sz w:val="16"/>
          <w:szCs w:val="16"/>
          <w:lang w:val="es-US"/>
        </w:rPr>
        <w:t>Chocrón</w:t>
      </w:r>
      <w:proofErr w:type="spellEnd"/>
      <w:r w:rsidRPr="00A82B01">
        <w:rPr>
          <w:rFonts w:asciiTheme="majorHAnsi" w:hAnsiTheme="majorHAnsi"/>
          <w:sz w:val="16"/>
          <w:szCs w:val="16"/>
          <w:lang w:val="es-US"/>
        </w:rPr>
        <w:t xml:space="preserve"> </w:t>
      </w:r>
      <w:proofErr w:type="spellStart"/>
      <w:r w:rsidRPr="00A82B01">
        <w:rPr>
          <w:rFonts w:asciiTheme="majorHAnsi" w:hAnsiTheme="majorHAnsi"/>
          <w:sz w:val="16"/>
          <w:szCs w:val="16"/>
          <w:lang w:val="es-US"/>
        </w:rPr>
        <w:t>Chocrón</w:t>
      </w:r>
      <w:proofErr w:type="spellEnd"/>
      <w:r w:rsidRPr="00A82B01">
        <w:rPr>
          <w:rFonts w:asciiTheme="majorHAnsi" w:hAnsiTheme="majorHAnsi"/>
          <w:sz w:val="16"/>
          <w:szCs w:val="16"/>
          <w:lang w:val="es-US"/>
        </w:rPr>
        <w:t xml:space="preserve">. República Bolivariana </w:t>
      </w:r>
      <w:r w:rsidR="003E76A5">
        <w:rPr>
          <w:rFonts w:asciiTheme="majorHAnsi" w:hAnsiTheme="majorHAnsi"/>
          <w:sz w:val="16"/>
          <w:szCs w:val="16"/>
          <w:lang w:val="es-US"/>
        </w:rPr>
        <w:t>d</w:t>
      </w:r>
      <w:r w:rsidRPr="00A82B01">
        <w:rPr>
          <w:rFonts w:asciiTheme="majorHAnsi" w:hAnsiTheme="majorHAnsi"/>
          <w:sz w:val="16"/>
          <w:szCs w:val="16"/>
          <w:lang w:val="es-US"/>
        </w:rPr>
        <w:t xml:space="preserve">e Venezuela, 15 de marzo de 2006, párr. </w:t>
      </w:r>
      <w:r w:rsidRPr="005C1DE4">
        <w:rPr>
          <w:rFonts w:asciiTheme="majorHAnsi" w:hAnsiTheme="majorHAnsi"/>
          <w:sz w:val="16"/>
          <w:szCs w:val="16"/>
          <w:lang w:val="es-US"/>
        </w:rPr>
        <w:t xml:space="preserve">40.  </w:t>
      </w:r>
    </w:p>
  </w:footnote>
  <w:footnote w:id="9">
    <w:p w:rsidR="007C6106" w:rsidRPr="00A82B01" w:rsidRDefault="007C6106" w:rsidP="00155F86">
      <w:pPr>
        <w:pStyle w:val="FootnoteText"/>
        <w:ind w:firstLine="720"/>
        <w:jc w:val="both"/>
        <w:rPr>
          <w:rFonts w:asciiTheme="majorHAnsi" w:hAnsiTheme="majorHAnsi"/>
          <w:sz w:val="16"/>
          <w:szCs w:val="16"/>
        </w:rPr>
      </w:pPr>
      <w:r w:rsidRPr="00A82B01">
        <w:rPr>
          <w:rStyle w:val="FootnoteReference"/>
          <w:rFonts w:asciiTheme="majorHAnsi" w:hAnsiTheme="majorHAnsi"/>
          <w:sz w:val="16"/>
          <w:szCs w:val="16"/>
        </w:rPr>
        <w:footnoteRef/>
      </w:r>
      <w:r w:rsidRPr="00A82B01">
        <w:rPr>
          <w:rFonts w:asciiTheme="majorHAnsi" w:hAnsiTheme="majorHAnsi"/>
          <w:sz w:val="16"/>
          <w:szCs w:val="16"/>
          <w:lang w:val="es-US"/>
        </w:rPr>
        <w:t xml:space="preserve"> CIDH, Informe No. 60/06, Petición 406-05. Admisibilidad. María Cristina </w:t>
      </w:r>
      <w:proofErr w:type="spellStart"/>
      <w:r w:rsidRPr="00A82B01">
        <w:rPr>
          <w:rFonts w:asciiTheme="majorHAnsi" w:hAnsiTheme="majorHAnsi"/>
          <w:sz w:val="16"/>
          <w:szCs w:val="16"/>
          <w:lang w:val="es-US"/>
        </w:rPr>
        <w:t>Reverón</w:t>
      </w:r>
      <w:proofErr w:type="spellEnd"/>
      <w:r w:rsidRPr="00A82B01">
        <w:rPr>
          <w:rFonts w:asciiTheme="majorHAnsi" w:hAnsiTheme="majorHAnsi"/>
          <w:sz w:val="16"/>
          <w:szCs w:val="16"/>
          <w:lang w:val="es-US"/>
        </w:rPr>
        <w:t xml:space="preserve"> Trujillo. República Bolivariana </w:t>
      </w:r>
      <w:r w:rsidR="003E76A5">
        <w:rPr>
          <w:rFonts w:asciiTheme="majorHAnsi" w:hAnsiTheme="majorHAnsi"/>
          <w:sz w:val="16"/>
          <w:szCs w:val="16"/>
          <w:lang w:val="es-US"/>
        </w:rPr>
        <w:t>d</w:t>
      </w:r>
      <w:r w:rsidRPr="00A82B01">
        <w:rPr>
          <w:rFonts w:asciiTheme="majorHAnsi" w:hAnsiTheme="majorHAnsi"/>
          <w:sz w:val="16"/>
          <w:szCs w:val="16"/>
          <w:lang w:val="es-US"/>
        </w:rPr>
        <w:t xml:space="preserve">e Venezuela, 20 de julio de 2006, párr. </w:t>
      </w:r>
      <w:r w:rsidRPr="00A82B01">
        <w:rPr>
          <w:rFonts w:asciiTheme="majorHAnsi" w:hAnsiTheme="majorHAnsi"/>
          <w:sz w:val="16"/>
          <w:szCs w:val="16"/>
        </w:rPr>
        <w:t xml:space="preserve">32.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DF8" w:rsidRDefault="00DF7DF8" w:rsidP="00DF7DF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rsidR="00DF7DF8" w:rsidRDefault="00DF7D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7DF8" w:rsidRDefault="00DF7DF8" w:rsidP="00A50FCF">
    <w:pPr>
      <w:pStyle w:val="Header"/>
      <w:tabs>
        <w:tab w:val="clear" w:pos="4320"/>
        <w:tab w:val="clear" w:pos="8640"/>
      </w:tabs>
      <w:jc w:val="center"/>
      <w:rPr>
        <w:sz w:val="22"/>
        <w:szCs w:val="22"/>
      </w:rPr>
    </w:pPr>
    <w:r>
      <w:rPr>
        <w:noProof/>
        <w:sz w:val="22"/>
        <w:szCs w:val="22"/>
      </w:rPr>
      <w:drawing>
        <wp:inline distT="0" distB="0" distL="0" distR="0" wp14:anchorId="49B70CC6" wp14:editId="0E71EB96">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rsidR="00DF7DF8" w:rsidRPr="00EC7D62" w:rsidRDefault="00BD4862" w:rsidP="00A50FCF">
    <w:pPr>
      <w:pStyle w:val="Header"/>
      <w:tabs>
        <w:tab w:val="clear" w:pos="4320"/>
        <w:tab w:val="clear" w:pos="8640"/>
      </w:tabs>
      <w:jc w:val="center"/>
      <w:rPr>
        <w:sz w:val="22"/>
        <w:szCs w:val="22"/>
      </w:rPr>
    </w:pPr>
    <w:r>
      <w:rPr>
        <w:noProof/>
        <w:sz w:val="22"/>
        <w:szCs w:val="22"/>
        <w:bdr w:val="nil"/>
      </w:rPr>
      <w:pict w14:anchorId="4367A34C">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00DC" w:rsidRDefault="002C00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7"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0"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9"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0"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7"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8"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7"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38"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1"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2"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5"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48"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9"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4"/>
  </w:num>
  <w:num w:numId="3">
    <w:abstractNumId w:val="52"/>
  </w:num>
  <w:num w:numId="4">
    <w:abstractNumId w:val="19"/>
  </w:num>
  <w:num w:numId="5">
    <w:abstractNumId w:val="46"/>
  </w:num>
  <w:num w:numId="6">
    <w:abstractNumId w:val="26"/>
  </w:num>
  <w:num w:numId="7">
    <w:abstractNumId w:val="5"/>
  </w:num>
  <w:num w:numId="8">
    <w:abstractNumId w:val="15"/>
  </w:num>
  <w:num w:numId="9">
    <w:abstractNumId w:val="41"/>
  </w:num>
  <w:num w:numId="10">
    <w:abstractNumId w:val="0"/>
  </w:num>
  <w:num w:numId="11">
    <w:abstractNumId w:val="36"/>
  </w:num>
  <w:num w:numId="12">
    <w:abstractNumId w:val="37"/>
  </w:num>
  <w:num w:numId="13">
    <w:abstractNumId w:val="43"/>
  </w:num>
  <w:num w:numId="14">
    <w:abstractNumId w:val="1"/>
  </w:num>
  <w:num w:numId="15">
    <w:abstractNumId w:val="2"/>
  </w:num>
  <w:num w:numId="16">
    <w:abstractNumId w:val="6"/>
  </w:num>
  <w:num w:numId="17">
    <w:abstractNumId w:val="7"/>
  </w:num>
  <w:num w:numId="18">
    <w:abstractNumId w:val="8"/>
  </w:num>
  <w:num w:numId="19">
    <w:abstractNumId w:val="9"/>
  </w:num>
  <w:num w:numId="20">
    <w:abstractNumId w:val="10"/>
  </w:num>
  <w:num w:numId="21">
    <w:abstractNumId w:val="11"/>
  </w:num>
  <w:num w:numId="22">
    <w:abstractNumId w:val="12"/>
  </w:num>
  <w:num w:numId="23">
    <w:abstractNumId w:val="13"/>
  </w:num>
  <w:num w:numId="24">
    <w:abstractNumId w:val="14"/>
  </w:num>
  <w:num w:numId="25">
    <w:abstractNumId w:val="16"/>
  </w:num>
  <w:num w:numId="26">
    <w:abstractNumId w:val="17"/>
  </w:num>
  <w:num w:numId="27">
    <w:abstractNumId w:val="20"/>
  </w:num>
  <w:num w:numId="28">
    <w:abstractNumId w:val="21"/>
  </w:num>
  <w:num w:numId="29">
    <w:abstractNumId w:val="22"/>
  </w:num>
  <w:num w:numId="30">
    <w:abstractNumId w:val="24"/>
  </w:num>
  <w:num w:numId="31">
    <w:abstractNumId w:val="27"/>
  </w:num>
  <w:num w:numId="32">
    <w:abstractNumId w:val="28"/>
  </w:num>
  <w:num w:numId="33">
    <w:abstractNumId w:val="29"/>
  </w:num>
  <w:num w:numId="34">
    <w:abstractNumId w:val="30"/>
  </w:num>
  <w:num w:numId="35">
    <w:abstractNumId w:val="31"/>
  </w:num>
  <w:num w:numId="36">
    <w:abstractNumId w:val="32"/>
  </w:num>
  <w:num w:numId="37">
    <w:abstractNumId w:val="33"/>
  </w:num>
  <w:num w:numId="38">
    <w:abstractNumId w:val="34"/>
  </w:num>
  <w:num w:numId="39">
    <w:abstractNumId w:val="38"/>
  </w:num>
  <w:num w:numId="40">
    <w:abstractNumId w:val="39"/>
  </w:num>
  <w:num w:numId="41">
    <w:abstractNumId w:val="45"/>
  </w:num>
  <w:num w:numId="42">
    <w:abstractNumId w:val="47"/>
  </w:num>
  <w:num w:numId="43">
    <w:abstractNumId w:val="48"/>
  </w:num>
  <w:num w:numId="44">
    <w:abstractNumId w:val="50"/>
  </w:num>
  <w:num w:numId="45">
    <w:abstractNumId w:val="51"/>
  </w:num>
  <w:num w:numId="46">
    <w:abstractNumId w:val="53"/>
  </w:num>
  <w:num w:numId="47">
    <w:abstractNumId w:val="54"/>
  </w:num>
  <w:num w:numId="48">
    <w:abstractNumId w:val="55"/>
  </w:num>
  <w:num w:numId="49">
    <w:abstractNumId w:val="56"/>
  </w:num>
  <w:num w:numId="50">
    <w:abstractNumId w:val="57"/>
  </w:num>
  <w:num w:numId="51">
    <w:abstractNumId w:val="18"/>
  </w:num>
  <w:num w:numId="52">
    <w:abstractNumId w:val="40"/>
  </w:num>
  <w:num w:numId="53">
    <w:abstractNumId w:val="49"/>
  </w:num>
  <w:num w:numId="54">
    <w:abstractNumId w:val="44"/>
  </w:num>
  <w:num w:numId="55">
    <w:abstractNumId w:val="42"/>
  </w:num>
  <w:num w:numId="56">
    <w:abstractNumId w:val="25"/>
  </w:num>
  <w:num w:numId="57">
    <w:abstractNumId w:val="23"/>
  </w:num>
  <w:num w:numId="58">
    <w:abstractNumId w:val="3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activeWritingStyle w:appName="MSWord" w:lang="es-US"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AR" w:vendorID="64" w:dllVersion="131078" w:nlCheck="1" w:checkStyle="0"/>
  <w:activeWritingStyle w:appName="MSWord" w:lang="es-ES_tradnl" w:vendorID="64" w:dllVersion="131078" w:nlCheck="1" w:checkStyle="0"/>
  <w:activeWritingStyle w:appName="MSWord" w:lang="es-UY" w:vendorID="64" w:dllVersion="131078" w:nlCheck="1" w:checkStyle="0"/>
  <w:activeWritingStyle w:appName="MSWord" w:lang="es-PA" w:vendorID="64" w:dllVersion="131078" w:nlCheck="1" w:checkStyle="0"/>
  <w:activeWritingStyle w:appName="MSWord" w:lang="es-CL" w:vendorID="64" w:dllVersion="131078" w:nlCheck="1" w:checkStyle="0"/>
  <w:activeWritingStyle w:appName="MSWord" w:lang="es-SV" w:vendorID="64" w:dllVersion="131078"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1788C"/>
    <w:rsid w:val="000337EF"/>
    <w:rsid w:val="000343B8"/>
    <w:rsid w:val="00040C3A"/>
    <w:rsid w:val="000419AD"/>
    <w:rsid w:val="000433C9"/>
    <w:rsid w:val="000666B7"/>
    <w:rsid w:val="00071174"/>
    <w:rsid w:val="000716C5"/>
    <w:rsid w:val="00075E23"/>
    <w:rsid w:val="00091FBB"/>
    <w:rsid w:val="0009344A"/>
    <w:rsid w:val="000A392E"/>
    <w:rsid w:val="000A409D"/>
    <w:rsid w:val="000A575F"/>
    <w:rsid w:val="000A67F2"/>
    <w:rsid w:val="000C0EEF"/>
    <w:rsid w:val="000D05CB"/>
    <w:rsid w:val="000D10DB"/>
    <w:rsid w:val="000D7364"/>
    <w:rsid w:val="000E3D7C"/>
    <w:rsid w:val="000E5EB5"/>
    <w:rsid w:val="000F35ED"/>
    <w:rsid w:val="0010499D"/>
    <w:rsid w:val="00107131"/>
    <w:rsid w:val="0010736F"/>
    <w:rsid w:val="00113F73"/>
    <w:rsid w:val="00121CC2"/>
    <w:rsid w:val="00131425"/>
    <w:rsid w:val="00133EE5"/>
    <w:rsid w:val="00155F86"/>
    <w:rsid w:val="00162D4D"/>
    <w:rsid w:val="00167A34"/>
    <w:rsid w:val="001A520D"/>
    <w:rsid w:val="001A7870"/>
    <w:rsid w:val="001B3A00"/>
    <w:rsid w:val="001C1B41"/>
    <w:rsid w:val="001D65EF"/>
    <w:rsid w:val="001E49E7"/>
    <w:rsid w:val="001E5DEE"/>
    <w:rsid w:val="001F7201"/>
    <w:rsid w:val="00203990"/>
    <w:rsid w:val="00223A29"/>
    <w:rsid w:val="002250A3"/>
    <w:rsid w:val="00235217"/>
    <w:rsid w:val="002406F6"/>
    <w:rsid w:val="00246D1F"/>
    <w:rsid w:val="00247403"/>
    <w:rsid w:val="00247542"/>
    <w:rsid w:val="00266B61"/>
    <w:rsid w:val="0026712A"/>
    <w:rsid w:val="002704DB"/>
    <w:rsid w:val="00280430"/>
    <w:rsid w:val="002A0AAE"/>
    <w:rsid w:val="002A5820"/>
    <w:rsid w:val="002C00DC"/>
    <w:rsid w:val="002D2B26"/>
    <w:rsid w:val="002D5002"/>
    <w:rsid w:val="002D60D3"/>
    <w:rsid w:val="002D7EA2"/>
    <w:rsid w:val="002E1308"/>
    <w:rsid w:val="002E187C"/>
    <w:rsid w:val="00302733"/>
    <w:rsid w:val="00305835"/>
    <w:rsid w:val="00306F33"/>
    <w:rsid w:val="00314078"/>
    <w:rsid w:val="0031535D"/>
    <w:rsid w:val="003239B8"/>
    <w:rsid w:val="0033169F"/>
    <w:rsid w:val="00344977"/>
    <w:rsid w:val="00346C95"/>
    <w:rsid w:val="00356185"/>
    <w:rsid w:val="00360380"/>
    <w:rsid w:val="0037519E"/>
    <w:rsid w:val="00386CF0"/>
    <w:rsid w:val="003B70FB"/>
    <w:rsid w:val="003C676B"/>
    <w:rsid w:val="003D0305"/>
    <w:rsid w:val="003D3BC2"/>
    <w:rsid w:val="003E6CA1"/>
    <w:rsid w:val="003E76A5"/>
    <w:rsid w:val="003F3C23"/>
    <w:rsid w:val="003F5154"/>
    <w:rsid w:val="0040066E"/>
    <w:rsid w:val="00405F9C"/>
    <w:rsid w:val="004065A8"/>
    <w:rsid w:val="004104D0"/>
    <w:rsid w:val="004165C2"/>
    <w:rsid w:val="00441ECB"/>
    <w:rsid w:val="00445193"/>
    <w:rsid w:val="00462C1B"/>
    <w:rsid w:val="00467B7E"/>
    <w:rsid w:val="00473BB4"/>
    <w:rsid w:val="00477592"/>
    <w:rsid w:val="004832FB"/>
    <w:rsid w:val="00486F1C"/>
    <w:rsid w:val="0049419D"/>
    <w:rsid w:val="004A6A54"/>
    <w:rsid w:val="004B421C"/>
    <w:rsid w:val="004C20D2"/>
    <w:rsid w:val="004C2312"/>
    <w:rsid w:val="004C4B62"/>
    <w:rsid w:val="004C54C9"/>
    <w:rsid w:val="004D4ABA"/>
    <w:rsid w:val="004D6025"/>
    <w:rsid w:val="004E2649"/>
    <w:rsid w:val="004F626F"/>
    <w:rsid w:val="00501399"/>
    <w:rsid w:val="005047ED"/>
    <w:rsid w:val="0050633D"/>
    <w:rsid w:val="00507BC4"/>
    <w:rsid w:val="005128E4"/>
    <w:rsid w:val="005133B5"/>
    <w:rsid w:val="005133DB"/>
    <w:rsid w:val="00514504"/>
    <w:rsid w:val="00521E1F"/>
    <w:rsid w:val="00525560"/>
    <w:rsid w:val="00544C49"/>
    <w:rsid w:val="005516A1"/>
    <w:rsid w:val="005559EF"/>
    <w:rsid w:val="00563557"/>
    <w:rsid w:val="0057402A"/>
    <w:rsid w:val="005771D0"/>
    <w:rsid w:val="00586C34"/>
    <w:rsid w:val="0059191A"/>
    <w:rsid w:val="005921FF"/>
    <w:rsid w:val="005A24ED"/>
    <w:rsid w:val="005A6D0E"/>
    <w:rsid w:val="005B52B0"/>
    <w:rsid w:val="005B6806"/>
    <w:rsid w:val="005C1DE4"/>
    <w:rsid w:val="005C4225"/>
    <w:rsid w:val="005E04EA"/>
    <w:rsid w:val="005E5699"/>
    <w:rsid w:val="005F0DAD"/>
    <w:rsid w:val="005F0F33"/>
    <w:rsid w:val="005F5634"/>
    <w:rsid w:val="005F5DE1"/>
    <w:rsid w:val="00600DEB"/>
    <w:rsid w:val="006150D1"/>
    <w:rsid w:val="006158EF"/>
    <w:rsid w:val="006179ED"/>
    <w:rsid w:val="00627C9F"/>
    <w:rsid w:val="006311E9"/>
    <w:rsid w:val="00632354"/>
    <w:rsid w:val="00635421"/>
    <w:rsid w:val="006370CB"/>
    <w:rsid w:val="00642810"/>
    <w:rsid w:val="00652333"/>
    <w:rsid w:val="00657645"/>
    <w:rsid w:val="006762E5"/>
    <w:rsid w:val="0068009E"/>
    <w:rsid w:val="00692219"/>
    <w:rsid w:val="006A17D2"/>
    <w:rsid w:val="006A73E6"/>
    <w:rsid w:val="006B2D5C"/>
    <w:rsid w:val="006C00F7"/>
    <w:rsid w:val="006C0ECF"/>
    <w:rsid w:val="006C4EB1"/>
    <w:rsid w:val="006E0166"/>
    <w:rsid w:val="006E2FFB"/>
    <w:rsid w:val="006E7B34"/>
    <w:rsid w:val="0070697F"/>
    <w:rsid w:val="007103C4"/>
    <w:rsid w:val="0072199C"/>
    <w:rsid w:val="00722C9F"/>
    <w:rsid w:val="007253B8"/>
    <w:rsid w:val="0073741F"/>
    <w:rsid w:val="00765153"/>
    <w:rsid w:val="0076643F"/>
    <w:rsid w:val="00777F63"/>
    <w:rsid w:val="007A5817"/>
    <w:rsid w:val="007B05C4"/>
    <w:rsid w:val="007B60E9"/>
    <w:rsid w:val="007B6CC3"/>
    <w:rsid w:val="007B76D3"/>
    <w:rsid w:val="007C3334"/>
    <w:rsid w:val="007C6106"/>
    <w:rsid w:val="007D2B98"/>
    <w:rsid w:val="007E0DA1"/>
    <w:rsid w:val="007E21BC"/>
    <w:rsid w:val="007E7C82"/>
    <w:rsid w:val="007F2AA1"/>
    <w:rsid w:val="007F588D"/>
    <w:rsid w:val="00803F1C"/>
    <w:rsid w:val="0080600E"/>
    <w:rsid w:val="008106AE"/>
    <w:rsid w:val="00814688"/>
    <w:rsid w:val="00817612"/>
    <w:rsid w:val="008338A4"/>
    <w:rsid w:val="00834D49"/>
    <w:rsid w:val="00837C45"/>
    <w:rsid w:val="00844730"/>
    <w:rsid w:val="008457C2"/>
    <w:rsid w:val="00845DEF"/>
    <w:rsid w:val="00857A82"/>
    <w:rsid w:val="008607E9"/>
    <w:rsid w:val="00865413"/>
    <w:rsid w:val="00873836"/>
    <w:rsid w:val="00885737"/>
    <w:rsid w:val="00887200"/>
    <w:rsid w:val="00890650"/>
    <w:rsid w:val="008944DC"/>
    <w:rsid w:val="00897E12"/>
    <w:rsid w:val="008A14AA"/>
    <w:rsid w:val="008A1B1F"/>
    <w:rsid w:val="008A7E0F"/>
    <w:rsid w:val="008B12F5"/>
    <w:rsid w:val="008B44A7"/>
    <w:rsid w:val="008C1622"/>
    <w:rsid w:val="008C5E2D"/>
    <w:rsid w:val="008D0F85"/>
    <w:rsid w:val="008D768D"/>
    <w:rsid w:val="008E3759"/>
    <w:rsid w:val="008E3BFE"/>
    <w:rsid w:val="008F1912"/>
    <w:rsid w:val="0090270B"/>
    <w:rsid w:val="009041DC"/>
    <w:rsid w:val="00917B5A"/>
    <w:rsid w:val="00920A58"/>
    <w:rsid w:val="00920A8C"/>
    <w:rsid w:val="00924DE5"/>
    <w:rsid w:val="00934A2C"/>
    <w:rsid w:val="00943C9B"/>
    <w:rsid w:val="00945FD1"/>
    <w:rsid w:val="0095086B"/>
    <w:rsid w:val="009629BD"/>
    <w:rsid w:val="0096706E"/>
    <w:rsid w:val="0097038F"/>
    <w:rsid w:val="00974491"/>
    <w:rsid w:val="00975C4E"/>
    <w:rsid w:val="00981FBA"/>
    <w:rsid w:val="009973AC"/>
    <w:rsid w:val="00997BC5"/>
    <w:rsid w:val="009A4F41"/>
    <w:rsid w:val="009A560B"/>
    <w:rsid w:val="009B381B"/>
    <w:rsid w:val="009B7CE5"/>
    <w:rsid w:val="009D1753"/>
    <w:rsid w:val="009D7611"/>
    <w:rsid w:val="009E0B61"/>
    <w:rsid w:val="009E3952"/>
    <w:rsid w:val="009E53DE"/>
    <w:rsid w:val="009F3974"/>
    <w:rsid w:val="00A11212"/>
    <w:rsid w:val="00A11E44"/>
    <w:rsid w:val="00A30100"/>
    <w:rsid w:val="00A328B3"/>
    <w:rsid w:val="00A50FCF"/>
    <w:rsid w:val="00A528D1"/>
    <w:rsid w:val="00A54A49"/>
    <w:rsid w:val="00A610CD"/>
    <w:rsid w:val="00A758AA"/>
    <w:rsid w:val="00A82B01"/>
    <w:rsid w:val="00AA09A2"/>
    <w:rsid w:val="00AA7996"/>
    <w:rsid w:val="00AC19CB"/>
    <w:rsid w:val="00AD06EC"/>
    <w:rsid w:val="00AD0E5D"/>
    <w:rsid w:val="00AE207F"/>
    <w:rsid w:val="00AE5488"/>
    <w:rsid w:val="00AE6F91"/>
    <w:rsid w:val="00AF5571"/>
    <w:rsid w:val="00B07341"/>
    <w:rsid w:val="00B0760C"/>
    <w:rsid w:val="00B30539"/>
    <w:rsid w:val="00B314DB"/>
    <w:rsid w:val="00B361F2"/>
    <w:rsid w:val="00B3718B"/>
    <w:rsid w:val="00B3745F"/>
    <w:rsid w:val="00B4632A"/>
    <w:rsid w:val="00B530F1"/>
    <w:rsid w:val="00B55902"/>
    <w:rsid w:val="00B67DB2"/>
    <w:rsid w:val="00B92C83"/>
    <w:rsid w:val="00B93D7F"/>
    <w:rsid w:val="00BA276C"/>
    <w:rsid w:val="00BB019D"/>
    <w:rsid w:val="00BB306F"/>
    <w:rsid w:val="00BD0FF5"/>
    <w:rsid w:val="00BD4862"/>
    <w:rsid w:val="00BD4B89"/>
    <w:rsid w:val="00BD5922"/>
    <w:rsid w:val="00BE5408"/>
    <w:rsid w:val="00BF02CB"/>
    <w:rsid w:val="00BF6FD8"/>
    <w:rsid w:val="00C02DFE"/>
    <w:rsid w:val="00C03680"/>
    <w:rsid w:val="00C054DF"/>
    <w:rsid w:val="00C21762"/>
    <w:rsid w:val="00C21FEF"/>
    <w:rsid w:val="00C23BA4"/>
    <w:rsid w:val="00C24543"/>
    <w:rsid w:val="00C256A2"/>
    <w:rsid w:val="00C25ADB"/>
    <w:rsid w:val="00C26CDC"/>
    <w:rsid w:val="00C51515"/>
    <w:rsid w:val="00C5660B"/>
    <w:rsid w:val="00C66B72"/>
    <w:rsid w:val="00C75C70"/>
    <w:rsid w:val="00C87AC4"/>
    <w:rsid w:val="00C9567A"/>
    <w:rsid w:val="00CB212D"/>
    <w:rsid w:val="00CB2660"/>
    <w:rsid w:val="00CC5E90"/>
    <w:rsid w:val="00CD046C"/>
    <w:rsid w:val="00CE076C"/>
    <w:rsid w:val="00CE5199"/>
    <w:rsid w:val="00CE66D5"/>
    <w:rsid w:val="00CF637A"/>
    <w:rsid w:val="00D02DCD"/>
    <w:rsid w:val="00D059DE"/>
    <w:rsid w:val="00D05ABD"/>
    <w:rsid w:val="00D13FCE"/>
    <w:rsid w:val="00D17D2D"/>
    <w:rsid w:val="00D306D1"/>
    <w:rsid w:val="00D30800"/>
    <w:rsid w:val="00D31126"/>
    <w:rsid w:val="00D34786"/>
    <w:rsid w:val="00D36693"/>
    <w:rsid w:val="00D37BFC"/>
    <w:rsid w:val="00D47A8E"/>
    <w:rsid w:val="00D52D14"/>
    <w:rsid w:val="00D575F8"/>
    <w:rsid w:val="00D712D3"/>
    <w:rsid w:val="00D71422"/>
    <w:rsid w:val="00D72DC6"/>
    <w:rsid w:val="00D7558D"/>
    <w:rsid w:val="00D81D92"/>
    <w:rsid w:val="00D8340D"/>
    <w:rsid w:val="00D876F9"/>
    <w:rsid w:val="00D87B1D"/>
    <w:rsid w:val="00D92127"/>
    <w:rsid w:val="00DA29CB"/>
    <w:rsid w:val="00DA7B5F"/>
    <w:rsid w:val="00DC11E7"/>
    <w:rsid w:val="00DC24E3"/>
    <w:rsid w:val="00DC7023"/>
    <w:rsid w:val="00DC769A"/>
    <w:rsid w:val="00DD0CCF"/>
    <w:rsid w:val="00DD3D86"/>
    <w:rsid w:val="00DD4AD2"/>
    <w:rsid w:val="00DE2862"/>
    <w:rsid w:val="00DE3959"/>
    <w:rsid w:val="00DF1EC4"/>
    <w:rsid w:val="00DF7DF8"/>
    <w:rsid w:val="00E0340B"/>
    <w:rsid w:val="00E04A90"/>
    <w:rsid w:val="00E0551F"/>
    <w:rsid w:val="00E219C7"/>
    <w:rsid w:val="00E259C7"/>
    <w:rsid w:val="00E4118C"/>
    <w:rsid w:val="00E43157"/>
    <w:rsid w:val="00E461CE"/>
    <w:rsid w:val="00E56234"/>
    <w:rsid w:val="00E573E4"/>
    <w:rsid w:val="00E64C3D"/>
    <w:rsid w:val="00E720CA"/>
    <w:rsid w:val="00E74397"/>
    <w:rsid w:val="00E84EB5"/>
    <w:rsid w:val="00E85662"/>
    <w:rsid w:val="00E8789F"/>
    <w:rsid w:val="00E97B71"/>
    <w:rsid w:val="00EA3D34"/>
    <w:rsid w:val="00EB454D"/>
    <w:rsid w:val="00ED3068"/>
    <w:rsid w:val="00ED549D"/>
    <w:rsid w:val="00ED5E10"/>
    <w:rsid w:val="00ED76BE"/>
    <w:rsid w:val="00EE00E9"/>
    <w:rsid w:val="00EF1AAA"/>
    <w:rsid w:val="00EF2583"/>
    <w:rsid w:val="00EF619B"/>
    <w:rsid w:val="00F00B55"/>
    <w:rsid w:val="00F02AD1"/>
    <w:rsid w:val="00F120F2"/>
    <w:rsid w:val="00F253CC"/>
    <w:rsid w:val="00F3374A"/>
    <w:rsid w:val="00F37106"/>
    <w:rsid w:val="00F44E25"/>
    <w:rsid w:val="00F519CF"/>
    <w:rsid w:val="00F56BA5"/>
    <w:rsid w:val="00F60E22"/>
    <w:rsid w:val="00F67E09"/>
    <w:rsid w:val="00F81395"/>
    <w:rsid w:val="00F81BB8"/>
    <w:rsid w:val="00F846B6"/>
    <w:rsid w:val="00F90C64"/>
    <w:rsid w:val="00F917D1"/>
    <w:rsid w:val="00F9653B"/>
    <w:rsid w:val="00FB62CF"/>
    <w:rsid w:val="00FD3C3B"/>
    <w:rsid w:val="00FE07DD"/>
    <w:rsid w:val="00FE6B45"/>
    <w:rsid w:val="00FF3EA2"/>
    <w:rsid w:val="00FF4B93"/>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200821"/>
    <w:rsid w:val="00240429"/>
    <w:rsid w:val="0025245B"/>
    <w:rsid w:val="002A3923"/>
    <w:rsid w:val="002A61CA"/>
    <w:rsid w:val="00394049"/>
    <w:rsid w:val="003B0C71"/>
    <w:rsid w:val="004B5BBB"/>
    <w:rsid w:val="004F2DF8"/>
    <w:rsid w:val="00517E2A"/>
    <w:rsid w:val="005A543B"/>
    <w:rsid w:val="005B3E7F"/>
    <w:rsid w:val="00682120"/>
    <w:rsid w:val="006F24A1"/>
    <w:rsid w:val="007822FA"/>
    <w:rsid w:val="009A261B"/>
    <w:rsid w:val="00AA2E17"/>
    <w:rsid w:val="00AC15A4"/>
    <w:rsid w:val="00B0336C"/>
    <w:rsid w:val="00B54FB5"/>
    <w:rsid w:val="00CE3DA6"/>
    <w:rsid w:val="00D241E9"/>
    <w:rsid w:val="00D520D3"/>
    <w:rsid w:val="00D7750D"/>
    <w:rsid w:val="00F00D2F"/>
    <w:rsid w:val="00F128DF"/>
    <w:rsid w:val="00F63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 w:type="paragraph" w:customStyle="1" w:styleId="21DEFC7C69DD429EAE7CAA007AFD81FD">
    <w:name w:val="21DEFC7C69DD429EAE7CAA007AFD81FD"/>
    <w:rsid w:val="00B0336C"/>
  </w:style>
  <w:style w:type="paragraph" w:customStyle="1" w:styleId="1D2E0AC97B7243BC97DD8315C55B3821">
    <w:name w:val="1D2E0AC97B7243BC97DD8315C55B3821"/>
    <w:rsid w:val="00B03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1FBBF-CEB9-4FEA-A476-7338A8718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2370</Words>
  <Characters>12540</Characters>
  <Application>Microsoft Office Word</Application>
  <DocSecurity>0</DocSecurity>
  <Lines>250</Lines>
  <Paragraphs>76</Paragraphs>
  <ScaleCrop>false</ScaleCrop>
  <HeadingPairs>
    <vt:vector size="2" baseType="variant">
      <vt:variant>
        <vt:lpstr>Title</vt:lpstr>
      </vt:variant>
      <vt:variant>
        <vt:i4>1</vt:i4>
      </vt:variant>
    </vt:vector>
  </HeadingPairs>
  <TitlesOfParts>
    <vt:vector size="1" baseType="lpstr">
      <vt:lpstr>Informe No. 256/20</vt:lpstr>
    </vt:vector>
  </TitlesOfParts>
  <Company/>
  <LinksUpToDate>false</LinksUpToDate>
  <CharactersWithSpaces>14834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253/20</dc:title>
  <dc:creator/>
  <cp:lastModifiedBy/>
  <cp:revision>1</cp:revision>
  <dcterms:created xsi:type="dcterms:W3CDTF">2020-10-20T14:36:00Z</dcterms:created>
  <dcterms:modified xsi:type="dcterms:W3CDTF">2020-10-20T14:36:00Z</dcterms:modified>
</cp:coreProperties>
</file>