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00722" w:rsidRDefault="009B3FD8">
      <w:pPr>
        <w:pStyle w:val="BodyA"/>
        <w:jc w:val="both"/>
        <w:rPr>
          <w:rFonts w:ascii="Cambria" w:eastAsia="Cambria" w:hAnsi="Cambria" w:cs="Cambria"/>
          <w:b/>
          <w:bCs/>
          <w:sz w:val="22"/>
          <w:szCs w:val="22"/>
        </w:rPr>
      </w:pPr>
      <w:r>
        <w:rPr>
          <w:rFonts w:ascii="Cambria" w:eastAsia="Cambria" w:hAnsi="Cambria" w:cs="Cambria"/>
          <w:noProof/>
          <w:sz w:val="22"/>
          <w:szCs w:val="22"/>
        </w:rPr>
        <mc:AlternateContent>
          <mc:Choice Requires="wps">
            <w:drawing>
              <wp:anchor distT="0" distB="0" distL="0" distR="0" simplePos="0" relativeHeight="251661312" behindDoc="0" locked="0" layoutInCell="1" allowOverlap="1">
                <wp:simplePos x="0" y="0"/>
                <wp:positionH relativeFrom="column">
                  <wp:posOffset>-416115</wp:posOffset>
                </wp:positionH>
                <wp:positionV relativeFrom="line">
                  <wp:posOffset>-439419</wp:posOffset>
                </wp:positionV>
                <wp:extent cx="1543050" cy="909637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id="_x0000_s1026" style="visibility:visible;position:absolute;margin-left:-32.8pt;margin-top:-34.6pt;width:121.5pt;height:716.2pt;z-index:251661312;mso-position-horizontal:absolute;mso-position-horizontal-relative:text;mso-position-vertical:absolute;mso-position-vertical-relative:line;mso-wrap-distance-left:0.0pt;mso-wrap-distance-top:0.0pt;mso-wrap-distance-right:0.0pt;mso-wrap-distance-bottom:0.0pt;">
                <v:fill color="#4A7194"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rFonts w:ascii="Cambria" w:eastAsia="Cambria" w:hAnsi="Cambria" w:cs="Cambria"/>
          <w:noProof/>
          <w:sz w:val="22"/>
          <w:szCs w:val="22"/>
        </w:rPr>
        <mc:AlternateContent>
          <mc:Choice Requires="wps">
            <w:drawing>
              <wp:anchor distT="0" distB="0" distL="0" distR="0" simplePos="0" relativeHeight="251665408" behindDoc="0" locked="0" layoutInCell="1" allowOverlap="1">
                <wp:simplePos x="0" y="0"/>
                <wp:positionH relativeFrom="column">
                  <wp:posOffset>1282063</wp:posOffset>
                </wp:positionH>
                <wp:positionV relativeFrom="line">
                  <wp:posOffset>-424179</wp:posOffset>
                </wp:positionV>
                <wp:extent cx="5248275" cy="902334"/>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5248275" cy="902334"/>
                        </a:xfrm>
                        <a:prstGeom prst="rect">
                          <a:avLst/>
                        </a:prstGeom>
                        <a:noFill/>
                        <a:ln w="12700" cap="flat">
                          <a:noFill/>
                          <a:miter lim="400000"/>
                        </a:ln>
                        <a:effectLst/>
                      </wps:spPr>
                      <wps:txbx>
                        <w:txbxContent>
                          <w:p w:rsidR="00B00722" w:rsidRDefault="00AF43DC">
                            <w:pPr>
                              <w:pStyle w:val="BodyA"/>
                            </w:pPr>
                            <w:r>
                              <w:rPr>
                                <w:noProof/>
                              </w:rPr>
                              <w:drawing>
                                <wp:inline distT="0" distB="0" distL="0" distR="0">
                                  <wp:extent cx="3379470" cy="797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h-es.jpg"/>
                                          <pic:cNvPicPr/>
                                        </pic:nvPicPr>
                                        <pic:blipFill>
                                          <a:blip r:embed="rId7">
                                            <a:extLst>
                                              <a:ext uri="{28A0092B-C50C-407E-A947-70E740481C1C}">
                                                <a14:useLocalDpi xmlns:a14="http://schemas.microsoft.com/office/drawing/2010/main" val="0"/>
                                              </a:ext>
                                            </a:extLst>
                                          </a:blip>
                                          <a:stretch>
                                            <a:fillRect/>
                                          </a:stretch>
                                        </pic:blipFill>
                                        <pic:spPr>
                                          <a:xfrm>
                                            <a:off x="0" y="0"/>
                                            <a:ext cx="3379470" cy="797560"/>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rect id="officeArt object" o:spid="_x0000_s1026" style="position:absolute;left:0;text-align:left;margin-left:100.95pt;margin-top:-33.4pt;width:413.25pt;height:71.05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" filled="f" stroked="f" strokeweight="1pt">
                <v:stroke miterlimit="4"/>
                <v:textbox inset="1.2699mm,1.2699mm,1.2699mm,1.2699mm">
                  <w:txbxContent>
                    <w:p w:rsidR="00B00722" w:rsidRDefault="00AF43DC">
                      <w:pPr>
                        <w:pStyle w:val="BodyA"/>
                      </w:pPr>
                      <w:r>
                        <w:rPr>
                          <w:noProof/>
                        </w:rPr>
                        <w:drawing>
                          <wp:inline distT="0" distB="0" distL="0" distR="0">
                            <wp:extent cx="3379470" cy="797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h-es.jpg"/>
                                    <pic:cNvPicPr/>
                                  </pic:nvPicPr>
                                  <pic:blipFill>
                                    <a:blip r:embed="rId7">
                                      <a:extLst>
                                        <a:ext uri="{28A0092B-C50C-407E-A947-70E740481C1C}">
                                          <a14:useLocalDpi xmlns:a14="http://schemas.microsoft.com/office/drawing/2010/main" val="0"/>
                                        </a:ext>
                                      </a:extLst>
                                    </a:blip>
                                    <a:stretch>
                                      <a:fillRect/>
                                    </a:stretch>
                                  </pic:blipFill>
                                  <pic:spPr>
                                    <a:xfrm>
                                      <a:off x="0" y="0"/>
                                      <a:ext cx="3379470" cy="797560"/>
                                    </a:xfrm>
                                    <a:prstGeom prst="rect">
                                      <a:avLst/>
                                    </a:prstGeom>
                                  </pic:spPr>
                                </pic:pic>
                              </a:graphicData>
                            </a:graphic>
                          </wp:inline>
                        </w:drawing>
                      </w:r>
                    </w:p>
                  </w:txbxContent>
                </v:textbox>
                <w10:wrap anchory="line"/>
              </v:rect>
            </w:pict>
          </mc:Fallback>
        </mc:AlternateContent>
      </w:r>
    </w:p>
    <w:p w:rsidR="00B00722" w:rsidRDefault="00B00722">
      <w:pPr>
        <w:pStyle w:val="BodyA"/>
        <w:tabs>
          <w:tab w:val="center" w:pos="5400"/>
        </w:tabs>
        <w:suppressAutoHyphens/>
        <w:jc w:val="both"/>
        <w:rPr>
          <w:rFonts w:ascii="Cambria" w:eastAsia="Cambria" w:hAnsi="Cambria" w:cs="Cambria"/>
          <w:sz w:val="22"/>
          <w:szCs w:val="22"/>
          <w:lang w:val="es-ES_tradnl"/>
        </w:rPr>
      </w:pPr>
    </w:p>
    <w:p w:rsidR="00B00722" w:rsidRDefault="00B00722">
      <w:pPr>
        <w:pStyle w:val="BodyA"/>
        <w:tabs>
          <w:tab w:val="center" w:pos="5400"/>
        </w:tabs>
        <w:suppressAutoHyphens/>
        <w:jc w:val="both"/>
        <w:rPr>
          <w:rFonts w:ascii="Cambria" w:eastAsia="Cambria" w:hAnsi="Cambria" w:cs="Cambria"/>
          <w:sz w:val="22"/>
          <w:szCs w:val="22"/>
          <w:lang w:val="es-ES_tradnl"/>
        </w:rPr>
      </w:pPr>
    </w:p>
    <w:p w:rsidR="00B00722" w:rsidRDefault="00B00722">
      <w:pPr>
        <w:pStyle w:val="BodyA"/>
        <w:tabs>
          <w:tab w:val="center" w:pos="5400"/>
        </w:tabs>
        <w:suppressAutoHyphens/>
        <w:rPr>
          <w:rFonts w:ascii="Cambria" w:eastAsia="Cambria" w:hAnsi="Cambria" w:cs="Cambria"/>
          <w:sz w:val="22"/>
          <w:szCs w:val="22"/>
          <w:lang w:val="es-ES_tradnl"/>
        </w:rPr>
      </w:pPr>
    </w:p>
    <w:p w:rsidR="00B00722" w:rsidRDefault="00B00722">
      <w:pPr>
        <w:pStyle w:val="BodyA"/>
        <w:tabs>
          <w:tab w:val="center" w:pos="5400"/>
        </w:tabs>
        <w:suppressAutoHyphens/>
        <w:rPr>
          <w:rFonts w:ascii="Cambria" w:eastAsia="Cambria" w:hAnsi="Cambria" w:cs="Cambria"/>
          <w:sz w:val="22"/>
          <w:szCs w:val="22"/>
          <w:lang w:val="es-ES_tradnl"/>
        </w:rPr>
      </w:pPr>
    </w:p>
    <w:p w:rsidR="00B00722" w:rsidRDefault="00B00722">
      <w:pPr>
        <w:pStyle w:val="BodyA"/>
        <w:tabs>
          <w:tab w:val="center" w:pos="5400"/>
        </w:tabs>
        <w:suppressAutoHyphens/>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9B3FD8">
      <w:pPr>
        <w:pStyle w:val="BodyA"/>
        <w:tabs>
          <w:tab w:val="center" w:pos="5400"/>
        </w:tabs>
        <w:suppressAutoHyphens/>
        <w:jc w:val="center"/>
        <w:rPr>
          <w:rFonts w:ascii="Cambria" w:eastAsia="Cambria" w:hAnsi="Cambria" w:cs="Cambria"/>
          <w:sz w:val="22"/>
          <w:szCs w:val="22"/>
        </w:rPr>
      </w:pPr>
      <w:r>
        <w:rPr>
          <w:rFonts w:ascii="Cambria" w:eastAsia="Cambria" w:hAnsi="Cambria" w:cs="Cambria"/>
          <w:noProof/>
          <w:sz w:val="22"/>
          <w:szCs w:val="22"/>
        </w:rPr>
        <mc:AlternateContent>
          <mc:Choice Requires="wps">
            <w:drawing>
              <wp:anchor distT="0" distB="0" distL="0" distR="0" simplePos="0" relativeHeight="251662336" behindDoc="0" locked="0" layoutInCell="1" allowOverlap="1">
                <wp:simplePos x="0" y="0"/>
                <wp:positionH relativeFrom="column">
                  <wp:posOffset>1352550</wp:posOffset>
                </wp:positionH>
                <wp:positionV relativeFrom="line">
                  <wp:posOffset>107315</wp:posOffset>
                </wp:positionV>
                <wp:extent cx="4441190" cy="218122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441190" cy="2181225"/>
                        </a:xfrm>
                        <a:prstGeom prst="rect">
                          <a:avLst/>
                        </a:prstGeom>
                        <a:noFill/>
                        <a:ln w="12700" cap="flat">
                          <a:noFill/>
                          <a:miter lim="400000"/>
                        </a:ln>
                        <a:effectLst/>
                      </wps:spPr>
                      <wps:txbx>
                        <w:txbxContent>
                          <w:p w:rsidR="00B00722" w:rsidRPr="00D059BC" w:rsidRDefault="009B3FD8">
                            <w:pPr>
                              <w:pStyle w:val="BodyA"/>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INFORME No. 124/20</w:t>
                            </w:r>
                          </w:p>
                          <w:p w:rsidR="00B00722" w:rsidRPr="009B3FD8" w:rsidRDefault="009B3FD8">
                            <w:pPr>
                              <w:pStyle w:val="BodyA"/>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PETICIÓN 1524-13</w:t>
                            </w:r>
                          </w:p>
                          <w:p w:rsidR="00B00722" w:rsidRPr="009B3FD8" w:rsidRDefault="009B3FD8">
                            <w:pPr>
                              <w:pStyle w:val="BodyA"/>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 xml:space="preserve">INFORME DE ADMISIBILIDAD </w:t>
                            </w:r>
                          </w:p>
                          <w:p w:rsidR="00B00722" w:rsidRDefault="00B00722">
                            <w:pPr>
                              <w:pStyle w:val="BodyA"/>
                              <w:spacing w:line="276" w:lineRule="auto"/>
                              <w:rPr>
                                <w:rFonts w:ascii="Cambria" w:eastAsia="Cambria" w:hAnsi="Cambria" w:cs="Cambria"/>
                                <w:color w:val="0D0D0D"/>
                                <w:u w:color="0D0D0D"/>
                                <w:lang w:val="es-ES_tradnl"/>
                              </w:rPr>
                            </w:pPr>
                          </w:p>
                          <w:p w:rsidR="009B3FD8" w:rsidRDefault="009B3FD8" w:rsidP="009B3FD8">
                            <w:pPr>
                              <w:pStyle w:val="BodyA"/>
                              <w:spacing w:after="120"/>
                              <w:rPr>
                                <w:rFonts w:ascii="Cambria" w:eastAsia="Cambria" w:hAnsi="Cambria" w:cs="Cambria"/>
                                <w:color w:val="0D0D0D"/>
                                <w:u w:color="0D0D0D"/>
                                <w:lang w:val="es-ES_tradnl"/>
                              </w:rPr>
                            </w:pPr>
                            <w:r>
                              <w:rPr>
                                <w:rFonts w:ascii="Cambria" w:eastAsia="Cambria" w:hAnsi="Cambria" w:cs="Cambria"/>
                                <w:color w:val="0D0D0D"/>
                                <w:u w:color="0D0D0D"/>
                                <w:lang w:val="es-ES_tradnl"/>
                              </w:rPr>
                              <w:t>HAPETE MICHAEL HENRY Y FAMILIA</w:t>
                            </w:r>
                          </w:p>
                          <w:p w:rsidR="00B00722" w:rsidRPr="00D059BC" w:rsidRDefault="009B3FD8" w:rsidP="009B3FD8">
                            <w:pPr>
                              <w:pStyle w:val="BodyA"/>
                              <w:spacing w:after="120"/>
                              <w:rPr>
                                <w:lang w:val="es-419"/>
                              </w:rPr>
                            </w:pPr>
                            <w:r>
                              <w:rPr>
                                <w:rFonts w:ascii="Cambria" w:eastAsia="Cambria" w:hAnsi="Cambria" w:cs="Cambria"/>
                                <w:color w:val="0D0D0D"/>
                                <w:u w:color="0D0D0D"/>
                                <w:lang w:val="es-ES_tradnl"/>
                              </w:rPr>
                              <w:t>JAMAICA</w:t>
                            </w:r>
                          </w:p>
                        </w:txbxContent>
                      </wps:txbx>
                      <wps:bodyPr wrap="square" lIns="45718" tIns="45718" rIns="45718" bIns="45718"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7" style="position:absolute;left:0;text-align:left;margin-left:106.5pt;margin-top:8.45pt;width:349.7pt;height:171.7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" filled="f" stroked="f" strokeweight="1pt">
                <v:stroke miterlimit="4"/>
                <v:textbox inset="1.2699mm,1.2699mm,1.2699mm,1.2699mm">
                  <w:txbxContent>
                    <w:p w:rsidR="00B00722" w:rsidRDefault="009B3FD8">
                      <w:pPr>
                        <w:pStyle w:val="BodyA"/>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lang w:val="es-ES_tradnl"/>
                        </w:rPr>
                        <w:t>INFORME No. 124</w:t>
                      </w:r>
                      <w:r>
                        <w:rPr>
                          <w:rFonts w:ascii="Cambria" w:eastAsia="Cambria" w:hAnsi="Cambria" w:cs="Cambria"/>
                          <w:b/>
                          <w:bCs/>
                          <w:color w:val="0D0D0D"/>
                          <w:sz w:val="36"/>
                          <w:szCs w:val="36"/>
                          <w:u w:color="0D0D0D"/>
                          <w:lang w:val="es-ES_tradnl"/>
                        </w:rPr>
                        <w:t>/20</w:t>
                      </w:r>
                    </w:p>
                    <w:p w:rsidR="00B00722" w:rsidRPr="009B3FD8" w:rsidRDefault="009B3FD8">
                      <w:pPr>
                        <w:pStyle w:val="BodyA"/>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PETICIÓN 1524-13</w:t>
                      </w:r>
                    </w:p>
                    <w:p w:rsidR="00B00722" w:rsidRPr="009B3FD8" w:rsidRDefault="009B3FD8">
                      <w:pPr>
                        <w:pStyle w:val="BodyA"/>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 xml:space="preserve">INFORME DE ADMISIBILIDAD </w:t>
                      </w:r>
                    </w:p>
                    <w:p w:rsidR="00B00722" w:rsidRDefault="00B00722">
                      <w:pPr>
                        <w:pStyle w:val="BodyA"/>
                        <w:spacing w:line="276" w:lineRule="auto"/>
                        <w:rPr>
                          <w:rFonts w:ascii="Cambria" w:eastAsia="Cambria" w:hAnsi="Cambria" w:cs="Cambria"/>
                          <w:color w:val="0D0D0D"/>
                          <w:u w:color="0D0D0D"/>
                          <w:lang w:val="es-ES_tradnl"/>
                        </w:rPr>
                      </w:pPr>
                    </w:p>
                    <w:p w:rsidR="009B3FD8" w:rsidRDefault="009B3FD8" w:rsidP="009B3FD8">
                      <w:pPr>
                        <w:pStyle w:val="BodyA"/>
                        <w:spacing w:after="120"/>
                        <w:rPr>
                          <w:rFonts w:ascii="Cambria" w:eastAsia="Cambria" w:hAnsi="Cambria" w:cs="Cambria"/>
                          <w:color w:val="0D0D0D"/>
                          <w:u w:color="0D0D0D"/>
                          <w:lang w:val="es-ES_tradnl"/>
                        </w:rPr>
                      </w:pPr>
                      <w:r>
                        <w:rPr>
                          <w:rFonts w:ascii="Cambria" w:eastAsia="Cambria" w:hAnsi="Cambria" w:cs="Cambria"/>
                          <w:color w:val="0D0D0D"/>
                          <w:u w:color="0D0D0D"/>
                          <w:lang w:val="es-ES_tradnl"/>
                        </w:rPr>
                        <w:t>HAPETE MICHAEL HENRY Y FAMILIA</w:t>
                      </w:r>
                    </w:p>
                    <w:p w:rsidR="00B00722" w:rsidRDefault="009B3FD8" w:rsidP="009B3FD8">
                      <w:pPr>
                        <w:pStyle w:val="BodyA"/>
                        <w:spacing w:after="120"/>
                      </w:pPr>
                      <w:r>
                        <w:rPr>
                          <w:rFonts w:ascii="Cambria" w:eastAsia="Cambria" w:hAnsi="Cambria" w:cs="Cambria"/>
                          <w:color w:val="0D0D0D"/>
                          <w:u w:color="0D0D0D"/>
                          <w:lang w:val="es-ES_tradnl"/>
                        </w:rPr>
                        <w:t>JAMAICA</w:t>
                      </w: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4384" behindDoc="0" locked="0" layoutInCell="1" allowOverlap="1">
                <wp:simplePos x="0" y="0"/>
                <wp:positionH relativeFrom="column">
                  <wp:posOffset>-342900</wp:posOffset>
                </wp:positionH>
                <wp:positionV relativeFrom="line">
                  <wp:posOffset>164463</wp:posOffset>
                </wp:positionV>
                <wp:extent cx="1390650" cy="1377317"/>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90650" cy="1377317"/>
                        </a:xfrm>
                        <a:prstGeom prst="rect">
                          <a:avLst/>
                        </a:prstGeom>
                        <a:noFill/>
                        <a:ln w="12700" cap="flat">
                          <a:noFill/>
                          <a:miter lim="400000"/>
                        </a:ln>
                        <a:effectLst/>
                      </wps:spPr>
                      <wps:txbx>
                        <w:txbxContent>
                          <w:p w:rsidR="00B00722" w:rsidRPr="009B3FD8" w:rsidRDefault="009B3FD8">
                            <w:pPr>
                              <w:pStyle w:val="BodyA"/>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B00722" w:rsidRPr="009B3FD8" w:rsidRDefault="009B3FD8">
                            <w:pPr>
                              <w:pStyle w:val="BodyA"/>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Doc. 134</w:t>
                            </w:r>
                          </w:p>
                          <w:p w:rsidR="00B00722" w:rsidRDefault="009B3FD8">
                            <w:pPr>
                              <w:pStyle w:val="BodyA"/>
                              <w:spacing w:line="276" w:lineRule="auto"/>
                              <w:jc w:val="right"/>
                              <w:rPr>
                                <w:rFonts w:ascii="Calibri" w:eastAsia="Calibri" w:hAnsi="Calibri" w:cs="Calibri"/>
                                <w:color w:val="FFFFFF"/>
                                <w:sz w:val="22"/>
                                <w:szCs w:val="22"/>
                                <w:u w:color="FFFFFF"/>
                              </w:rPr>
                            </w:pPr>
                            <w:r>
                              <w:rPr>
                                <w:rFonts w:ascii="Calibri" w:eastAsia="Calibri" w:hAnsi="Calibri" w:cs="Calibri"/>
                                <w:color w:val="FFFFFF"/>
                                <w:sz w:val="22"/>
                                <w:szCs w:val="22"/>
                                <w:u w:color="FFFFFF"/>
                                <w:lang w:val="es-ES_tradnl"/>
                              </w:rPr>
                              <w:t>24 abril 2020</w:t>
                            </w:r>
                          </w:p>
                          <w:p w:rsidR="00B00722" w:rsidRDefault="009B3FD8">
                            <w:pPr>
                              <w:pStyle w:val="BodyA"/>
                              <w:spacing w:line="276" w:lineRule="auto"/>
                              <w:jc w:val="right"/>
                            </w:pPr>
                            <w:r>
                              <w:rPr>
                                <w:rFonts w:ascii="Calibri" w:eastAsia="Calibri" w:hAnsi="Calibri" w:cs="Calibri"/>
                                <w:color w:val="FFFFFF"/>
                                <w:sz w:val="22"/>
                                <w:szCs w:val="22"/>
                                <w:u w:color="FFFFFF"/>
                                <w:lang w:val="es-ES_tradnl"/>
                              </w:rPr>
                              <w:t>Original: inglés</w:t>
                            </w:r>
                          </w:p>
                        </w:txbxContent>
                      </wps:txbx>
                      <wps:bodyPr wrap="square" lIns="45718" tIns="45718" rIns="45718" bIns="45718"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8" style="position:absolute;left:0;text-align:left;margin-left:-27pt;margin-top:12.95pt;width:109.5pt;height:108.45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" filled="f" stroked="f" strokeweight="1pt">
                <v:stroke miterlimit="4"/>
                <v:textbox inset="1.2699mm,1.2699mm,1.2699mm,1.2699mm">
                  <w:txbxContent>
                    <w:p w:rsidR="00B00722" w:rsidRPr="009B3FD8" w:rsidRDefault="009B3FD8">
                      <w:pPr>
                        <w:pStyle w:val="BodyA"/>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B00722" w:rsidRPr="009B3FD8" w:rsidRDefault="009B3FD8">
                      <w:pPr>
                        <w:pStyle w:val="BodyA"/>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Doc. 134</w:t>
                      </w:r>
                    </w:p>
                    <w:p w:rsidR="00B00722" w:rsidRDefault="009B3FD8">
                      <w:pPr>
                        <w:pStyle w:val="BodyA"/>
                        <w:spacing w:line="276" w:lineRule="auto"/>
                        <w:jc w:val="right"/>
                        <w:rPr>
                          <w:rFonts w:ascii="Calibri" w:eastAsia="Calibri" w:hAnsi="Calibri" w:cs="Calibri"/>
                          <w:color w:val="FFFFFF"/>
                          <w:sz w:val="22"/>
                          <w:szCs w:val="22"/>
                          <w:u w:color="FFFFFF"/>
                        </w:rPr>
                      </w:pPr>
                      <w:r>
                        <w:rPr>
                          <w:rFonts w:ascii="Calibri" w:eastAsia="Calibri" w:hAnsi="Calibri" w:cs="Calibri"/>
                          <w:color w:val="FFFFFF"/>
                          <w:sz w:val="22"/>
                          <w:szCs w:val="22"/>
                          <w:u w:color="FFFFFF"/>
                          <w:lang w:val="es-ES_tradnl"/>
                        </w:rPr>
                        <w:t>24 abril</w:t>
                      </w:r>
                      <w:r>
                        <w:rPr>
                          <w:rFonts w:ascii="Calibri" w:eastAsia="Calibri" w:hAnsi="Calibri" w:cs="Calibri"/>
                          <w:color w:val="FFFFFF"/>
                          <w:sz w:val="22"/>
                          <w:szCs w:val="22"/>
                          <w:u w:color="FFFFFF"/>
                          <w:lang w:val="es-ES_tradnl"/>
                        </w:rPr>
                        <w:t xml:space="preserve"> 2020</w:t>
                      </w:r>
                    </w:p>
                    <w:p w:rsidR="00B00722" w:rsidRDefault="009B3FD8">
                      <w:pPr>
                        <w:pStyle w:val="BodyA"/>
                        <w:spacing w:line="276" w:lineRule="auto"/>
                        <w:jc w:val="right"/>
                      </w:pPr>
                      <w:r>
                        <w:rPr>
                          <w:rFonts w:ascii="Calibri" w:eastAsia="Calibri" w:hAnsi="Calibri" w:cs="Calibri"/>
                          <w:color w:val="FFFFFF"/>
                          <w:sz w:val="22"/>
                          <w:szCs w:val="22"/>
                          <w:u w:color="FFFFFF"/>
                          <w:lang w:val="es-ES_tradnl"/>
                        </w:rPr>
                        <w:t>Original: inglés</w:t>
                      </w:r>
                    </w:p>
                  </w:txbxContent>
                </v:textbox>
                <w10:wrap anchory="line"/>
              </v:rect>
            </w:pict>
          </mc:Fallback>
        </mc:AlternateContent>
      </w: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22"/>
          <w:szCs w:val="22"/>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9B3FD8">
      <w:pPr>
        <w:pStyle w:val="BodyA"/>
        <w:tabs>
          <w:tab w:val="center" w:pos="5400"/>
        </w:tabs>
        <w:suppressAutoHyphens/>
        <w:jc w:val="center"/>
        <w:rPr>
          <w:rFonts w:ascii="Cambria" w:eastAsia="Cambria" w:hAnsi="Cambria" w:cs="Cambria"/>
          <w:sz w:val="18"/>
          <w:szCs w:val="18"/>
        </w:rPr>
      </w:pPr>
      <w:r>
        <w:rPr>
          <w:rFonts w:ascii="Cambria" w:eastAsia="Cambria" w:hAnsi="Cambria" w:cs="Cambria"/>
          <w:noProof/>
          <w:sz w:val="22"/>
          <w:szCs w:val="22"/>
        </w:rPr>
        <mc:AlternateContent>
          <mc:Choice Requires="wps">
            <w:drawing>
              <wp:anchor distT="0" distB="0" distL="0" distR="0" simplePos="0" relativeHeight="251663360" behindDoc="0" locked="0" layoutInCell="1" allowOverlap="1">
                <wp:simplePos x="0" y="0"/>
                <wp:positionH relativeFrom="column">
                  <wp:posOffset>1341753</wp:posOffset>
                </wp:positionH>
                <wp:positionV relativeFrom="line">
                  <wp:posOffset>22858</wp:posOffset>
                </wp:positionV>
                <wp:extent cx="4933950" cy="691516"/>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933950" cy="691516"/>
                        </a:xfrm>
                        <a:prstGeom prst="rect">
                          <a:avLst/>
                        </a:prstGeom>
                        <a:noFill/>
                        <a:ln w="12700" cap="flat">
                          <a:noFill/>
                          <a:miter lim="400000"/>
                        </a:ln>
                        <a:effectLst/>
                      </wps:spPr>
                      <wps:txbx>
                        <w:txbxContent>
                          <w:p w:rsidR="00B00722" w:rsidRPr="009B3FD8" w:rsidRDefault="009B3FD8">
                            <w:pPr>
                              <w:pStyle w:val="BodyA"/>
                              <w:tabs>
                                <w:tab w:val="center" w:pos="5400"/>
                              </w:tabs>
                              <w:suppressAutoHyphens/>
                              <w:spacing w:before="60"/>
                              <w:rPr>
                                <w:lang w:val="es-419"/>
                              </w:rPr>
                            </w:pPr>
                            <w:r>
                              <w:rPr>
                                <w:rFonts w:ascii="Cambria" w:eastAsia="Cambria" w:hAnsi="Cambria" w:cs="Cambria"/>
                                <w:color w:val="0D0D0D"/>
                                <w:sz w:val="18"/>
                                <w:szCs w:val="18"/>
                                <w:u w:color="0D0D0D"/>
                                <w:lang w:val="es-ES_tradnl"/>
                              </w:rPr>
                              <w:t>Aprobado electrónicamente por la Comisión el 24 de abril de 2020</w:t>
                            </w:r>
                            <w:r w:rsidR="00AF43DC">
                              <w:rPr>
                                <w:rFonts w:ascii="Cambria" w:eastAsia="Cambria" w:hAnsi="Cambria" w:cs="Cambria"/>
                                <w:color w:val="0D0D0D"/>
                                <w:sz w:val="18"/>
                                <w:szCs w:val="18"/>
                                <w:u w:color="0D0D0D"/>
                                <w:lang w:val="es-ES_tradnl"/>
                              </w:rPr>
                              <w:t>.</w:t>
                            </w:r>
                          </w:p>
                        </w:txbxContent>
                      </wps:txbx>
                      <wps:bodyPr wrap="square" lIns="45718" tIns="45718" rIns="45718" bIns="45718" numCol="1" anchor="t">
                        <a:noAutofit/>
                      </wps:bodyPr>
                    </wps:wsp>
                  </a:graphicData>
                </a:graphic>
              </wp:anchor>
            </w:drawing>
          </mc:Choice>
          <mc:Fallback>
            <w:pict>
              <v:rect id="_x0000_s1029" style="position:absolute;left:0;text-align:left;margin-left:105.65pt;margin-top:1.8pt;width:388.5pt;height:54.4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" filled="f" stroked="f" strokeweight="1pt">
                <v:stroke miterlimit="4"/>
                <v:textbox inset="1.2699mm,1.2699mm,1.2699mm,1.2699mm">
                  <w:txbxContent>
                    <w:p w:rsidR="00B00722" w:rsidRPr="009B3FD8" w:rsidRDefault="009B3FD8">
                      <w:pPr>
                        <w:pStyle w:val="BodyA"/>
                        <w:tabs>
                          <w:tab w:val="center" w:pos="5400"/>
                        </w:tabs>
                        <w:suppressAutoHyphens/>
                        <w:spacing w:before="60"/>
                        <w:rPr>
                          <w:lang w:val="es-419"/>
                        </w:rPr>
                      </w:pPr>
                      <w:r>
                        <w:rPr>
                          <w:rFonts w:ascii="Cambria" w:eastAsia="Cambria" w:hAnsi="Cambria" w:cs="Cambria"/>
                          <w:color w:val="0D0D0D"/>
                          <w:sz w:val="18"/>
                          <w:szCs w:val="18"/>
                          <w:u w:color="0D0D0D"/>
                          <w:lang w:val="es-ES_tradnl"/>
                        </w:rPr>
                        <w:t>Aprobado electrónicamente por la Comisión el 24 de abril de 2020</w:t>
                      </w:r>
                      <w:r w:rsidR="00AF43DC">
                        <w:rPr>
                          <w:rFonts w:ascii="Cambria" w:eastAsia="Cambria" w:hAnsi="Cambria" w:cs="Cambria"/>
                          <w:color w:val="0D0D0D"/>
                          <w:sz w:val="18"/>
                          <w:szCs w:val="18"/>
                          <w:u w:color="0D0D0D"/>
                          <w:lang w:val="es-ES_tradnl"/>
                        </w:rPr>
                        <w:t>.</w:t>
                      </w:r>
                    </w:p>
                  </w:txbxContent>
                </v:textbox>
                <w10:wrap anchory="line"/>
              </v:rect>
            </w:pict>
          </mc:Fallback>
        </mc:AlternateContent>
      </w: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9B3FD8">
      <w:pPr>
        <w:pStyle w:val="BodyA"/>
        <w:tabs>
          <w:tab w:val="center" w:pos="5400"/>
        </w:tabs>
        <w:suppressAutoHyphens/>
        <w:jc w:val="center"/>
        <w:rPr>
          <w:rFonts w:ascii="Cambria" w:eastAsia="Cambria" w:hAnsi="Cambria" w:cs="Cambria"/>
          <w:sz w:val="18"/>
          <w:szCs w:val="18"/>
        </w:rPr>
      </w:pPr>
      <w:r>
        <w:rPr>
          <w:rFonts w:ascii="Cambria" w:eastAsia="Cambria" w:hAnsi="Cambria" w:cs="Cambria"/>
          <w:noProof/>
          <w:sz w:val="18"/>
          <w:szCs w:val="18"/>
        </w:rPr>
        <mc:AlternateContent>
          <mc:Choice Requires="wps">
            <w:drawing>
              <wp:anchor distT="0" distB="0" distL="0" distR="0" simplePos="0" relativeHeight="251666432" behindDoc="0" locked="0" layoutInCell="1" allowOverlap="1">
                <wp:simplePos x="0" y="0"/>
                <wp:positionH relativeFrom="column">
                  <wp:posOffset>1333500</wp:posOffset>
                </wp:positionH>
                <wp:positionV relativeFrom="line">
                  <wp:posOffset>5713</wp:posOffset>
                </wp:positionV>
                <wp:extent cx="4943475" cy="65722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943475" cy="657225"/>
                        </a:xfrm>
                        <a:prstGeom prst="rect">
                          <a:avLst/>
                        </a:prstGeom>
                        <a:noFill/>
                        <a:ln w="12700" cap="flat">
                          <a:noFill/>
                          <a:miter lim="400000"/>
                        </a:ln>
                        <a:effectLst/>
                      </wps:spPr>
                      <wps:txbx>
                        <w:txbxContent>
                          <w:p w:rsidR="00B00722" w:rsidRDefault="009B3FD8">
                            <w:pPr>
                              <w:pStyle w:val="BodyA"/>
                              <w:spacing w:line="276" w:lineRule="auto"/>
                            </w:pPr>
                            <w:r>
                              <w:rPr>
                                <w:rFonts w:ascii="Cambria" w:eastAsia="Cambria" w:hAnsi="Cambria" w:cs="Cambria"/>
                                <w:b/>
                                <w:bCs/>
                                <w:color w:val="595959"/>
                                <w:sz w:val="18"/>
                                <w:szCs w:val="18"/>
                                <w:u w:color="595959"/>
                                <w:lang w:val="pt-PT"/>
                              </w:rPr>
                              <w:t>Citar como:</w:t>
                            </w:r>
                            <w:r>
                              <w:rPr>
                                <w:rFonts w:ascii="Cambria" w:eastAsia="Cambria" w:hAnsi="Cambria" w:cs="Cambria"/>
                                <w:color w:val="595959"/>
                                <w:sz w:val="18"/>
                                <w:szCs w:val="18"/>
                                <w:u w:color="595959"/>
                                <w:lang w:val="pt-PT"/>
                              </w:rPr>
                              <w:t xml:space="preserve"> CIDH, Informe No. </w:t>
                            </w:r>
                            <w:r>
                              <w:rPr>
                                <w:rFonts w:ascii="Cambria" w:eastAsia="Cambria" w:hAnsi="Cambria" w:cs="Cambria"/>
                                <w:color w:val="595959"/>
                                <w:sz w:val="18"/>
                                <w:szCs w:val="18"/>
                                <w:u w:color="595959"/>
                                <w:lang w:val="pt-BR"/>
                              </w:rPr>
                              <w:t>124</w:t>
                            </w:r>
                            <w:r w:rsidRPr="009B3FD8">
                              <w:rPr>
                                <w:rFonts w:ascii="Cambria" w:eastAsia="Cambria" w:hAnsi="Cambria" w:cs="Cambria"/>
                                <w:color w:val="595959"/>
                                <w:sz w:val="18"/>
                                <w:szCs w:val="18"/>
                                <w:u w:color="595959"/>
                                <w:lang w:val="pt-BR"/>
                              </w:rPr>
                              <w:t xml:space="preserve">/20. </w:t>
                            </w:r>
                            <w:r w:rsidR="00AF43DC">
                              <w:rPr>
                                <w:rFonts w:ascii="Cambria" w:eastAsia="Cambria" w:hAnsi="Cambria" w:cs="Cambria"/>
                                <w:color w:val="595959"/>
                                <w:sz w:val="18"/>
                                <w:szCs w:val="18"/>
                                <w:u w:color="595959"/>
                                <w:lang w:val="pt-BR"/>
                              </w:rPr>
                              <w:t xml:space="preserve">Petición 1524-13. </w:t>
                            </w:r>
                            <w:r>
                              <w:rPr>
                                <w:rFonts w:ascii="Cambria" w:eastAsia="Cambria" w:hAnsi="Cambria" w:cs="Cambria"/>
                                <w:color w:val="595959"/>
                                <w:sz w:val="18"/>
                                <w:szCs w:val="18"/>
                                <w:u w:color="595959"/>
                                <w:lang w:val="es-ES_tradnl"/>
                              </w:rPr>
                              <w:t xml:space="preserve">Admisibilidad. </w:t>
                            </w:r>
                            <w:proofErr w:type="spellStart"/>
                            <w:r>
                              <w:rPr>
                                <w:rFonts w:ascii="Cambria" w:eastAsia="Cambria" w:hAnsi="Cambria" w:cs="Cambria"/>
                                <w:color w:val="595959"/>
                                <w:sz w:val="18"/>
                                <w:szCs w:val="18"/>
                                <w:u w:color="595959"/>
                                <w:lang w:val="es-ES_tradnl"/>
                              </w:rPr>
                              <w:t>Hapete</w:t>
                            </w:r>
                            <w:proofErr w:type="spellEnd"/>
                            <w:r>
                              <w:rPr>
                                <w:rFonts w:ascii="Cambria" w:eastAsia="Cambria" w:hAnsi="Cambria" w:cs="Cambria"/>
                                <w:color w:val="595959"/>
                                <w:sz w:val="18"/>
                                <w:szCs w:val="18"/>
                                <w:u w:color="595959"/>
                                <w:lang w:val="es-ES_tradnl"/>
                              </w:rPr>
                              <w:t xml:space="preserve"> Michael Henry y familia. Jamaica. 24 de abril de 2020.</w:t>
                            </w:r>
                          </w:p>
                        </w:txbxContent>
                      </wps:txbx>
                      <wps:bodyPr wrap="square" lIns="45718" tIns="45718" rIns="45718" bIns="45718" numCol="1" anchor="t">
                        <a:noAutofit/>
                      </wps:bodyPr>
                    </wps:wsp>
                  </a:graphicData>
                </a:graphic>
              </wp:anchor>
            </w:drawing>
          </mc:Choice>
          <mc:Fallback>
            <w:pict>
              <v:rect id="_x0000_s1030" style="position:absolute;left:0;text-align:left;margin-left:105pt;margin-top:.45pt;width:389.25pt;height:51.75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" filled="f" stroked="f" strokeweight="1pt">
                <v:stroke miterlimit="4"/>
                <v:textbox inset="1.2699mm,1.2699mm,1.2699mm,1.2699mm">
                  <w:txbxContent>
                    <w:p w:rsidR="00B00722" w:rsidRDefault="009B3FD8">
                      <w:pPr>
                        <w:pStyle w:val="BodyA"/>
                        <w:spacing w:line="276" w:lineRule="auto"/>
                      </w:pPr>
                      <w:r>
                        <w:rPr>
                          <w:rFonts w:ascii="Cambria" w:eastAsia="Cambria" w:hAnsi="Cambria" w:cs="Cambria"/>
                          <w:b/>
                          <w:bCs/>
                          <w:color w:val="595959"/>
                          <w:sz w:val="18"/>
                          <w:szCs w:val="18"/>
                          <w:u w:color="595959"/>
                          <w:lang w:val="pt-PT"/>
                        </w:rPr>
                        <w:t>Citar como:</w:t>
                      </w:r>
                      <w:r>
                        <w:rPr>
                          <w:rFonts w:ascii="Cambria" w:eastAsia="Cambria" w:hAnsi="Cambria" w:cs="Cambria"/>
                          <w:color w:val="595959"/>
                          <w:sz w:val="18"/>
                          <w:szCs w:val="18"/>
                          <w:u w:color="595959"/>
                          <w:lang w:val="pt-PT"/>
                        </w:rPr>
                        <w:t xml:space="preserve"> CIDH, Informe No. </w:t>
                      </w:r>
                      <w:r>
                        <w:rPr>
                          <w:rFonts w:ascii="Cambria" w:eastAsia="Cambria" w:hAnsi="Cambria" w:cs="Cambria"/>
                          <w:color w:val="595959"/>
                          <w:sz w:val="18"/>
                          <w:szCs w:val="18"/>
                          <w:u w:color="595959"/>
                          <w:lang w:val="pt-BR"/>
                        </w:rPr>
                        <w:t>124</w:t>
                      </w:r>
                      <w:r w:rsidRPr="009B3FD8">
                        <w:rPr>
                          <w:rFonts w:ascii="Cambria" w:eastAsia="Cambria" w:hAnsi="Cambria" w:cs="Cambria"/>
                          <w:color w:val="595959"/>
                          <w:sz w:val="18"/>
                          <w:szCs w:val="18"/>
                          <w:u w:color="595959"/>
                          <w:lang w:val="pt-BR"/>
                        </w:rPr>
                        <w:t xml:space="preserve">/20. </w:t>
                      </w:r>
                      <w:r w:rsidR="00AF43DC">
                        <w:rPr>
                          <w:rFonts w:ascii="Cambria" w:eastAsia="Cambria" w:hAnsi="Cambria" w:cs="Cambria"/>
                          <w:color w:val="595959"/>
                          <w:sz w:val="18"/>
                          <w:szCs w:val="18"/>
                          <w:u w:color="595959"/>
                          <w:lang w:val="pt-BR"/>
                        </w:rPr>
                        <w:t xml:space="preserve">Petición 1524-13. </w:t>
                      </w:r>
                      <w:r>
                        <w:rPr>
                          <w:rFonts w:ascii="Cambria" w:eastAsia="Cambria" w:hAnsi="Cambria" w:cs="Cambria"/>
                          <w:color w:val="595959"/>
                          <w:sz w:val="18"/>
                          <w:szCs w:val="18"/>
                          <w:u w:color="595959"/>
                          <w:lang w:val="es-ES_tradnl"/>
                        </w:rPr>
                        <w:t xml:space="preserve">Admisibilidad. </w:t>
                      </w:r>
                      <w:proofErr w:type="spellStart"/>
                      <w:r>
                        <w:rPr>
                          <w:rFonts w:ascii="Cambria" w:eastAsia="Cambria" w:hAnsi="Cambria" w:cs="Cambria"/>
                          <w:color w:val="595959"/>
                          <w:sz w:val="18"/>
                          <w:szCs w:val="18"/>
                          <w:u w:color="595959"/>
                          <w:lang w:val="es-ES_tradnl"/>
                        </w:rPr>
                        <w:t>Hapete</w:t>
                      </w:r>
                      <w:proofErr w:type="spellEnd"/>
                      <w:r>
                        <w:rPr>
                          <w:rFonts w:ascii="Cambria" w:eastAsia="Cambria" w:hAnsi="Cambria" w:cs="Cambria"/>
                          <w:color w:val="595959"/>
                          <w:sz w:val="18"/>
                          <w:szCs w:val="18"/>
                          <w:u w:color="595959"/>
                          <w:lang w:val="es-ES_tradnl"/>
                        </w:rPr>
                        <w:t xml:space="preserve"> Michael Henry y familia. Jamaica. 24 de abril de 2020.</w:t>
                      </w:r>
                    </w:p>
                  </w:txbxContent>
                </v:textbox>
                <w10:wrap anchory="line"/>
              </v:rect>
            </w:pict>
          </mc:Fallback>
        </mc:AlternateContent>
      </w:r>
    </w:p>
    <w:p w:rsidR="00B00722" w:rsidRDefault="00B00722">
      <w:pPr>
        <w:pStyle w:val="BodyA"/>
        <w:tabs>
          <w:tab w:val="center" w:pos="5400"/>
        </w:tabs>
        <w:suppressAutoHyphens/>
        <w:jc w:val="center"/>
        <w:rPr>
          <w:rFonts w:ascii="Cambria" w:eastAsia="Cambria" w:hAnsi="Cambria" w:cs="Cambria"/>
          <w:sz w:val="18"/>
          <w:szCs w:val="18"/>
          <w:lang w:val="es-ES_tradnl"/>
        </w:rPr>
      </w:pPr>
    </w:p>
    <w:p w:rsidR="00B00722" w:rsidRDefault="009B3FD8">
      <w:pPr>
        <w:pStyle w:val="BodyA"/>
        <w:tabs>
          <w:tab w:val="center" w:pos="5400"/>
        </w:tabs>
        <w:suppressAutoHyphens/>
        <w:jc w:val="center"/>
        <w:rPr>
          <w:rFonts w:ascii="Cambria" w:eastAsia="Cambria" w:hAnsi="Cambria" w:cs="Cambria"/>
          <w:b/>
          <w:bCs/>
          <w:sz w:val="20"/>
          <w:szCs w:val="20"/>
        </w:rPr>
      </w:pPr>
      <w:r>
        <w:rPr>
          <w:rFonts w:ascii="Cambria" w:eastAsia="Cambria" w:hAnsi="Cambria" w:cs="Cambria"/>
          <w:noProof/>
          <w:sz w:val="22"/>
          <w:szCs w:val="22"/>
        </w:rPr>
        <mc:AlternateContent>
          <mc:Choice Requires="wps">
            <w:drawing>
              <wp:anchor distT="0" distB="0" distL="0" distR="0" simplePos="0" relativeHeight="251660288" behindDoc="0" locked="0" layoutInCell="1" allowOverlap="1">
                <wp:simplePos x="0" y="0"/>
                <wp:positionH relativeFrom="column">
                  <wp:posOffset>-272225</wp:posOffset>
                </wp:positionH>
                <wp:positionV relativeFrom="line">
                  <wp:posOffset>915033</wp:posOffset>
                </wp:positionV>
                <wp:extent cx="1181100" cy="332742"/>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2"/>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w16se="http://schemas.microsoft.com/office/word/2015/wordml/symex" xmlns:cx1="http://schemas.microsoft.com/office/drawing/2015/9/8/chartex" xmlns:cx="http://schemas.microsoft.com/office/drawing/2014/chartex" val="1"/>
                          </a:ext>
                        </a:extLst>
                      </wps:spPr>
                      <wps:txbx>
                        <w:txbxContent>
                          <w:p w:rsidR="00B00722" w:rsidRDefault="009B3FD8">
                            <w:pPr>
                              <w:pStyle w:val="BodyA"/>
                              <w:jc w:val="center"/>
                            </w:pPr>
                            <w:r>
                              <w:rPr>
                                <w:rFonts w:ascii="Calibri" w:eastAsia="Calibri" w:hAnsi="Calibri" w:cs="Calibri"/>
                                <w:b/>
                                <w:bCs/>
                                <w:color w:val="FFFFFF"/>
                                <w:u w:color="FFFFFF"/>
                                <w:lang w:val="pt-PT"/>
                              </w:rPr>
                              <w:t>www.cidh.org</w:t>
                            </w:r>
                          </w:p>
                        </w:txbxContent>
                      </wps:txbx>
                      <wps:bodyPr wrap="square" lIns="45718" tIns="45718" rIns="45718" bIns="45718"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1" style="position:absolute;left:0;text-align:left;margin-left:-21.45pt;margin-top:72.05pt;width:93pt;height:26.2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" filled="f" stroked="f" strokeweight="1pt">
                <v:stroke miterlimit="4"/>
                <v:textbox inset="1.2699mm,1.2699mm,1.2699mm,1.2699mm">
                  <w:txbxContent>
                    <w:p w:rsidR="00B00722" w:rsidRDefault="009B3FD8">
                      <w:pPr>
                        <w:pStyle w:val="BodyA"/>
                        <w:jc w:val="center"/>
                      </w:pPr>
                      <w:r>
                        <w:rPr>
                          <w:rFonts w:ascii="Calibri" w:eastAsia="Calibri" w:hAnsi="Calibri" w:cs="Calibri"/>
                          <w:b/>
                          <w:bCs/>
                          <w:color w:val="FFFFFF"/>
                          <w:u w:color="FFFFFF"/>
                          <w:lang w:val="pt-PT"/>
                        </w:rPr>
                        <w:t>www.cidh.org</w:t>
                      </w:r>
                    </w:p>
                  </w:txbxContent>
                </v:textbox>
                <w10:wrap anchory="line"/>
              </v:rect>
            </w:pict>
          </mc:Fallback>
        </mc:AlternateContent>
      </w:r>
    </w:p>
    <w:p w:rsidR="00B00722" w:rsidRDefault="009B3FD8">
      <w:pPr>
        <w:pStyle w:val="BodyA"/>
        <w:tabs>
          <w:tab w:val="center" w:pos="5400"/>
        </w:tabs>
        <w:suppressAutoHyphens/>
        <w:jc w:val="center"/>
        <w:sectPr w:rsidR="00B00722">
          <w:headerReference w:type="even" r:id="rId8"/>
          <w:headerReference w:type="default" r:id="rId9"/>
          <w:footerReference w:type="even" r:id="rId10"/>
          <w:footerReference w:type="default" r:id="rId11"/>
          <w:headerReference w:type="first" r:id="rId12"/>
          <w:footerReference w:type="first" r:id="rId13"/>
          <w:type w:val="oddPage"/>
          <w:pgSz w:w="12240" w:h="15840"/>
          <w:pgMar w:top="1440" w:right="1440" w:bottom="1440" w:left="1440" w:header="720" w:footer="720" w:gutter="0"/>
          <w:pgNumType w:start="0"/>
          <w:cols w:space="720"/>
          <w:titlePg/>
        </w:sectPr>
      </w:pPr>
      <w:r>
        <w:rPr>
          <w:rFonts w:ascii="Cambria" w:eastAsia="Cambria" w:hAnsi="Cambria" w:cs="Cambria"/>
          <w:noProof/>
          <w:sz w:val="18"/>
          <w:szCs w:val="18"/>
        </w:rPr>
        <mc:AlternateContent>
          <mc:Choice Requires="wps">
            <w:drawing>
              <wp:anchor distT="0" distB="0" distL="0" distR="0" simplePos="0" relativeHeight="251659264" behindDoc="0" locked="0" layoutInCell="1" allowOverlap="1">
                <wp:simplePos x="0" y="0"/>
                <wp:positionH relativeFrom="column">
                  <wp:posOffset>1330658</wp:posOffset>
                </wp:positionH>
                <wp:positionV relativeFrom="line">
                  <wp:posOffset>489651</wp:posOffset>
                </wp:positionV>
                <wp:extent cx="2286000" cy="567055"/>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2286000" cy="567055"/>
                        </a:xfrm>
                        <a:prstGeom prst="rect">
                          <a:avLst/>
                        </a:prstGeom>
                        <a:solidFill>
                          <a:srgbClr val="FFFFFF"/>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id="_x0000_s1033" style="visibility:visible;position:absolute;margin-left:104.8pt;margin-top:38.6pt;width:180.0pt;height:44.6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noProof/>
          <w:color w:val="FFFFFF"/>
          <w:u w:color="FFFFFF"/>
        </w:rPr>
        <w:drawing>
          <wp:anchor distT="57150" distB="57150" distL="57150" distR="57150" simplePos="0" relativeHeight="251667456" behindDoc="0" locked="0" layoutInCell="1" allowOverlap="1">
            <wp:simplePos x="0" y="0"/>
            <wp:positionH relativeFrom="column">
              <wp:posOffset>1466850</wp:posOffset>
            </wp:positionH>
            <wp:positionV relativeFrom="line">
              <wp:posOffset>558165</wp:posOffset>
            </wp:positionV>
            <wp:extent cx="1515601" cy="390950"/>
            <wp:effectExtent l="0" t="0" r="0" b="0"/>
            <wp:wrapSquare wrapText="bothSides" distT="57150" distB="57150" distL="57150" distR="57150"/>
            <wp:docPr id="1073741835" name="officeArt object" descr="C:\Users\mfontana\Documents\Eva Fontana\GRAFICA CIDH\cartas\logos\oea-es.jpg"/>
            <wp:cNvGraphicFramePr/>
            <a:graphic xmlns:a="http://schemas.openxmlformats.org/drawingml/2006/main">
              <a:graphicData uri="http://schemas.openxmlformats.org/drawingml/2006/picture">
                <pic:pic xmlns:pic="http://schemas.openxmlformats.org/drawingml/2006/picture">
                  <pic:nvPicPr>
                    <pic:cNvPr id="1073741835" name="image1.png" descr="C:\Users\mfontana\Documents\Eva Fontana\GRAFICA CIDH\cartas\logos\oea-es.jpg"/>
                    <pic:cNvPicPr>
                      <a:picLocks noChangeAspect="1"/>
                    </pic:cNvPicPr>
                  </pic:nvPicPr>
                  <pic:blipFill>
                    <a:blip r:embed="rId14">
                      <a:extLst/>
                    </a:blip>
                    <a:stretch>
                      <a:fillRect/>
                    </a:stretch>
                  </pic:blipFill>
                  <pic:spPr>
                    <a:xfrm>
                      <a:off x="0" y="0"/>
                      <a:ext cx="1515601" cy="390950"/>
                    </a:xfrm>
                    <a:prstGeom prst="rect">
                      <a:avLst/>
                    </a:prstGeom>
                    <a:ln w="12700" cap="flat">
                      <a:noFill/>
                      <a:miter lim="400000"/>
                    </a:ln>
                    <a:effectLst/>
                  </pic:spPr>
                </pic:pic>
              </a:graphicData>
            </a:graphic>
          </wp:anchor>
        </w:drawing>
      </w:r>
    </w:p>
    <w:p w:rsidR="00B00722" w:rsidRDefault="009B3FD8">
      <w:pPr>
        <w:pStyle w:val="BodyA"/>
        <w:spacing w:after="240"/>
        <w:ind w:firstLine="720"/>
        <w:jc w:val="both"/>
        <w:rPr>
          <w:rFonts w:ascii="Cambria" w:eastAsia="Cambria" w:hAnsi="Cambria" w:cs="Cambria"/>
          <w:b/>
          <w:bCs/>
          <w:sz w:val="20"/>
          <w:szCs w:val="20"/>
        </w:rPr>
      </w:pPr>
      <w:r>
        <w:rPr>
          <w:rFonts w:ascii="Cambria" w:eastAsia="Cambria" w:hAnsi="Cambria" w:cs="Cambria"/>
          <w:b/>
          <w:bCs/>
          <w:sz w:val="20"/>
          <w:szCs w:val="20"/>
          <w:lang w:val="es-ES_tradnl"/>
        </w:rPr>
        <w:lastRenderedPageBreak/>
        <w:t>I.</w:t>
      </w:r>
      <w:r>
        <w:rPr>
          <w:rFonts w:ascii="Cambria" w:eastAsia="Cambria" w:hAnsi="Cambria" w:cs="Cambria"/>
          <w:b/>
          <w:bCs/>
          <w:sz w:val="20"/>
          <w:szCs w:val="20"/>
          <w:lang w:val="es-ES_tradnl"/>
        </w:rPr>
        <w:tab/>
        <w:t xml:space="preserve">DATOS DE LA PETICIÓN </w:t>
      </w:r>
    </w:p>
    <w:tbl>
      <w:tblPr>
        <w:tblW w:w="935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5812"/>
      </w:tblGrid>
      <w:tr w:rsidR="00B00722" w:rsidRPr="00AF43DC">
        <w:trPr>
          <w:trHeight w:val="67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B00722" w:rsidRDefault="009B3FD8">
            <w:pPr>
              <w:pStyle w:val="BodyA"/>
              <w:jc w:val="center"/>
            </w:pPr>
            <w:r>
              <w:rPr>
                <w:rFonts w:ascii="Cambria" w:eastAsia="Cambria" w:hAnsi="Cambria" w:cs="Cambria"/>
                <w:color w:val="FFFFFF"/>
                <w:sz w:val="19"/>
                <w:szCs w:val="19"/>
                <w:u w:color="FFFFFF"/>
                <w:lang w:val="es-ES_tradnl"/>
              </w:rPr>
              <w:t>Parte peticionaria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722" w:rsidRPr="009B3FD8" w:rsidRDefault="009B3FD8">
            <w:pPr>
              <w:pStyle w:val="BodyA"/>
              <w:jc w:val="both"/>
              <w:rPr>
                <w:lang w:val="es-419"/>
              </w:rPr>
            </w:pPr>
            <w:r>
              <w:rPr>
                <w:rFonts w:ascii="Cambria" w:eastAsia="Cambria" w:hAnsi="Cambria" w:cs="Cambria"/>
                <w:sz w:val="20"/>
                <w:szCs w:val="20"/>
                <w:lang w:val="es-ES_tradnl"/>
              </w:rPr>
              <w:t>Jamaiquinos por la Justicia (JFJ) y Clínica Internacional de Derechos Humanos de la Facultad de Derecho de la Universidad George       Washington</w:t>
            </w:r>
          </w:p>
        </w:tc>
      </w:tr>
      <w:tr w:rsidR="00B00722" w:rsidRPr="00AF43DC">
        <w:trPr>
          <w:trHeight w:val="23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B00722" w:rsidRDefault="009B3FD8">
            <w:pPr>
              <w:pStyle w:val="BodyA"/>
              <w:jc w:val="center"/>
            </w:pPr>
            <w:r>
              <w:rPr>
                <w:rFonts w:ascii="Cambria" w:eastAsia="Cambria" w:hAnsi="Cambria" w:cs="Cambria"/>
                <w:color w:val="FFFFFF"/>
                <w:sz w:val="19"/>
                <w:szCs w:val="19"/>
                <w:u w:color="FFFFFF"/>
                <w:lang w:val="es-ES_tradnl"/>
              </w:rPr>
              <w:t>Presunta víctima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722" w:rsidRPr="009B3FD8" w:rsidRDefault="009B3FD8">
            <w:pPr>
              <w:pStyle w:val="BodyA"/>
              <w:jc w:val="both"/>
              <w:rPr>
                <w:lang w:val="es-419"/>
              </w:rPr>
            </w:pP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Michael Henry y familia</w:t>
            </w:r>
          </w:p>
        </w:tc>
      </w:tr>
      <w:tr w:rsidR="00B00722">
        <w:trPr>
          <w:trHeight w:val="23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B00722" w:rsidRDefault="009B3FD8">
            <w:pPr>
              <w:pStyle w:val="BodyA"/>
              <w:jc w:val="center"/>
            </w:pPr>
            <w:r>
              <w:rPr>
                <w:rFonts w:ascii="Cambria" w:eastAsia="Cambria" w:hAnsi="Cambria" w:cs="Cambria"/>
                <w:color w:val="FFFFFF"/>
                <w:sz w:val="19"/>
                <w:szCs w:val="19"/>
                <w:u w:color="FFFFFF"/>
                <w:lang w:val="es-ES_tradnl"/>
              </w:rPr>
              <w:t>Estado denunciado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722" w:rsidRDefault="009B3FD8">
            <w:pPr>
              <w:pStyle w:val="BodyA"/>
              <w:jc w:val="both"/>
            </w:pPr>
            <w:r>
              <w:rPr>
                <w:rFonts w:ascii="Cambria" w:eastAsia="Cambria" w:hAnsi="Cambria" w:cs="Cambria"/>
                <w:sz w:val="20"/>
                <w:szCs w:val="20"/>
              </w:rPr>
              <w:t>Jamaica</w:t>
            </w:r>
            <w:r w:rsidR="00D059BC">
              <w:rPr>
                <w:rStyle w:val="FootnoteReference"/>
                <w:rFonts w:ascii="Cambria" w:eastAsia="Cambria" w:hAnsi="Cambria" w:cs="Cambria"/>
                <w:sz w:val="20"/>
                <w:szCs w:val="20"/>
              </w:rPr>
              <w:footnoteReference w:id="2"/>
            </w:r>
          </w:p>
        </w:tc>
      </w:tr>
      <w:tr w:rsidR="00B00722" w:rsidRPr="00AF43DC">
        <w:trPr>
          <w:trHeight w:val="89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B00722" w:rsidRDefault="009B3FD8">
            <w:pPr>
              <w:pStyle w:val="BodyA"/>
              <w:jc w:val="center"/>
            </w:pPr>
            <w:r>
              <w:rPr>
                <w:rFonts w:ascii="Cambria" w:eastAsia="Cambria" w:hAnsi="Cambria" w:cs="Cambria"/>
                <w:color w:val="FFFFFF"/>
                <w:sz w:val="19"/>
                <w:szCs w:val="19"/>
                <w:u w:color="FFFFFF"/>
                <w:lang w:val="es-ES_tradnl"/>
              </w:rPr>
              <w:t>Derechos invocados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722" w:rsidRPr="009B3FD8" w:rsidRDefault="009B3FD8">
            <w:pPr>
              <w:pStyle w:val="BodyA"/>
              <w:jc w:val="both"/>
              <w:rPr>
                <w:lang w:val="es-419"/>
              </w:rPr>
            </w:pPr>
            <w:r>
              <w:rPr>
                <w:rFonts w:ascii="Cambria" w:eastAsia="Cambria" w:hAnsi="Cambria" w:cs="Cambria"/>
                <w:sz w:val="20"/>
                <w:szCs w:val="20"/>
                <w:lang w:val="es-ES_tradnl"/>
              </w:rPr>
              <w:t>Artículos 4 (vida), 5 (integridad personal), 8 (garantías judiciales), 19 (derechos del niño) y 25 (protección judicial) de la Convención Americana sobre Derechos Humanos, en relación con los artículos 1(1) y 2 del mismo tratado</w:t>
            </w:r>
          </w:p>
        </w:tc>
      </w:tr>
    </w:tbl>
    <w:p w:rsidR="00B00722" w:rsidRPr="009B3FD8" w:rsidRDefault="009B3FD8">
      <w:pPr>
        <w:pStyle w:val="BodyA"/>
        <w:spacing w:before="240" w:after="240"/>
        <w:ind w:firstLine="720"/>
        <w:jc w:val="both"/>
        <w:rPr>
          <w:rFonts w:ascii="Cambria" w:eastAsia="Cambria" w:hAnsi="Cambria" w:cs="Cambria"/>
          <w:b/>
          <w:bCs/>
          <w:sz w:val="20"/>
          <w:szCs w:val="20"/>
          <w:lang w:val="es-419"/>
        </w:rPr>
      </w:pPr>
      <w:r>
        <w:rPr>
          <w:rFonts w:ascii="Cambria" w:eastAsia="Cambria" w:hAnsi="Cambria" w:cs="Cambria"/>
          <w:b/>
          <w:bCs/>
          <w:sz w:val="20"/>
          <w:szCs w:val="20"/>
          <w:lang w:val="es-ES_tradnl"/>
        </w:rPr>
        <w:t>II.</w:t>
      </w:r>
      <w:r>
        <w:rPr>
          <w:rFonts w:ascii="Cambria" w:eastAsia="Cambria" w:hAnsi="Cambria" w:cs="Cambria"/>
          <w:b/>
          <w:bCs/>
          <w:sz w:val="20"/>
          <w:szCs w:val="20"/>
          <w:lang w:val="es-ES_tradnl"/>
        </w:rPr>
        <w:tab/>
        <w:t>TRÁMITE ANTE LA CIDH</w:t>
      </w:r>
      <w:r>
        <w:rPr>
          <w:rFonts w:ascii="Cambria" w:eastAsia="Cambria" w:hAnsi="Cambria" w:cs="Cambria"/>
          <w:b/>
          <w:bCs/>
          <w:sz w:val="20"/>
          <w:szCs w:val="20"/>
          <w:vertAlign w:val="superscript"/>
        </w:rPr>
        <w:footnoteReference w:id="3"/>
      </w:r>
    </w:p>
    <w:tbl>
      <w:tblPr>
        <w:tblW w:w="935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5812"/>
      </w:tblGrid>
      <w:tr w:rsidR="00B00722">
        <w:trPr>
          <w:trHeight w:val="242"/>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B00722" w:rsidRDefault="009B3FD8">
            <w:pPr>
              <w:pStyle w:val="BodyA"/>
              <w:jc w:val="center"/>
            </w:pPr>
            <w:r>
              <w:rPr>
                <w:rFonts w:ascii="Cambria" w:eastAsia="Cambria" w:hAnsi="Cambria" w:cs="Cambria"/>
                <w:color w:val="FFFFFF"/>
                <w:sz w:val="19"/>
                <w:szCs w:val="19"/>
                <w:u w:color="FFFFFF"/>
                <w:lang w:val="es-ES_tradnl"/>
              </w:rPr>
              <w:t>Recepción de la petición</w:t>
            </w:r>
          </w:p>
        </w:tc>
        <w:tc>
          <w:tcPr>
            <w:tcW w:w="5812"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00722" w:rsidRDefault="009B3FD8">
            <w:pPr>
              <w:pStyle w:val="BodyA"/>
              <w:jc w:val="both"/>
            </w:pPr>
            <w:r>
              <w:rPr>
                <w:rFonts w:ascii="Cambria" w:eastAsia="Cambria" w:hAnsi="Cambria" w:cs="Cambria"/>
                <w:sz w:val="20"/>
                <w:szCs w:val="20"/>
                <w:lang w:val="es-ES_tradnl"/>
              </w:rPr>
              <w:t>17 de septiembre de 2013</w:t>
            </w:r>
          </w:p>
        </w:tc>
      </w:tr>
      <w:tr w:rsidR="00B00722">
        <w:trPr>
          <w:trHeight w:val="242"/>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B00722" w:rsidRDefault="009B3FD8">
            <w:pPr>
              <w:pStyle w:val="BodyA"/>
              <w:jc w:val="center"/>
            </w:pPr>
            <w:r>
              <w:rPr>
                <w:rFonts w:ascii="Cambria" w:eastAsia="Cambria" w:hAnsi="Cambria" w:cs="Cambria"/>
                <w:color w:val="FFFFFF"/>
                <w:sz w:val="19"/>
                <w:szCs w:val="19"/>
                <w:u w:color="FFFFFF"/>
                <w:lang w:val="es-ES_tradnl"/>
              </w:rPr>
              <w:t>Notificación de la petición</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00722" w:rsidRDefault="009B3FD8">
            <w:pPr>
              <w:pStyle w:val="BodyA"/>
              <w:jc w:val="both"/>
            </w:pPr>
            <w:r>
              <w:rPr>
                <w:rFonts w:ascii="Cambria" w:eastAsia="Cambria" w:hAnsi="Cambria" w:cs="Cambria"/>
                <w:sz w:val="20"/>
                <w:szCs w:val="20"/>
                <w:lang w:val="es-ES_tradnl"/>
              </w:rPr>
              <w:t>17 de noviembre de 2018</w:t>
            </w:r>
          </w:p>
        </w:tc>
      </w:tr>
      <w:tr w:rsidR="00B00722">
        <w:trPr>
          <w:trHeight w:val="242"/>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B00722" w:rsidRDefault="009B3FD8">
            <w:pPr>
              <w:pStyle w:val="BodyA"/>
              <w:jc w:val="center"/>
            </w:pPr>
            <w:r>
              <w:rPr>
                <w:rFonts w:ascii="Cambria" w:eastAsia="Cambria" w:hAnsi="Cambria" w:cs="Cambria"/>
                <w:color w:val="FFFFFF"/>
                <w:sz w:val="19"/>
                <w:szCs w:val="19"/>
                <w:u w:color="FFFFFF"/>
                <w:lang w:val="es-ES_tradnl"/>
              </w:rPr>
              <w:t>Primera respuesta del Estado</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00722" w:rsidRDefault="009B3FD8">
            <w:pPr>
              <w:pStyle w:val="BodyA"/>
              <w:jc w:val="both"/>
            </w:pPr>
            <w:r>
              <w:rPr>
                <w:rFonts w:ascii="Cambria" w:eastAsia="Cambria" w:hAnsi="Cambria" w:cs="Cambria"/>
                <w:sz w:val="20"/>
                <w:szCs w:val="20"/>
                <w:lang w:val="es-ES_tradnl"/>
              </w:rPr>
              <w:t>22 de agosto de 2019</w:t>
            </w:r>
          </w:p>
        </w:tc>
      </w:tr>
      <w:tr w:rsidR="00B00722">
        <w:trPr>
          <w:trHeight w:val="422"/>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B00722" w:rsidRPr="009B3FD8" w:rsidRDefault="009B3FD8">
            <w:pPr>
              <w:pStyle w:val="BodyA"/>
              <w:jc w:val="center"/>
              <w:rPr>
                <w:rFonts w:ascii="Cambria" w:eastAsia="Cambria" w:hAnsi="Cambria" w:cs="Cambria"/>
                <w:color w:val="FFFFFF"/>
                <w:sz w:val="19"/>
                <w:szCs w:val="19"/>
                <w:u w:color="FFFFFF"/>
                <w:lang w:val="es-419"/>
              </w:rPr>
            </w:pPr>
            <w:r>
              <w:rPr>
                <w:rFonts w:ascii="Cambria" w:eastAsia="Cambria" w:hAnsi="Cambria" w:cs="Cambria"/>
                <w:color w:val="FFFFFF"/>
                <w:sz w:val="19"/>
                <w:szCs w:val="19"/>
                <w:u w:color="FFFFFF"/>
                <w:lang w:val="es-ES_tradnl"/>
              </w:rPr>
              <w:t xml:space="preserve">Observaciones adicionales de la </w:t>
            </w:r>
          </w:p>
          <w:p w:rsidR="00B00722" w:rsidRPr="009B3FD8" w:rsidRDefault="009B3FD8">
            <w:pPr>
              <w:pStyle w:val="BodyA"/>
              <w:jc w:val="center"/>
              <w:rPr>
                <w:lang w:val="es-419"/>
              </w:rPr>
            </w:pPr>
            <w:r>
              <w:rPr>
                <w:rFonts w:ascii="Cambria" w:eastAsia="Cambria" w:hAnsi="Cambria" w:cs="Cambria"/>
                <w:color w:val="FFFFFF"/>
                <w:sz w:val="19"/>
                <w:szCs w:val="19"/>
                <w:u w:color="FFFFFF"/>
                <w:lang w:val="es-ES_tradnl"/>
              </w:rPr>
              <w:t>parte peticionaria</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00722" w:rsidRDefault="009B3FD8">
            <w:pPr>
              <w:pStyle w:val="BodyA"/>
              <w:jc w:val="both"/>
            </w:pPr>
            <w:r>
              <w:rPr>
                <w:rFonts w:ascii="Cambria" w:eastAsia="Cambria" w:hAnsi="Cambria" w:cs="Cambria"/>
                <w:sz w:val="20"/>
                <w:szCs w:val="20"/>
                <w:lang w:val="es-ES_tradnl"/>
              </w:rPr>
              <w:t>14 de diciembre de 2019</w:t>
            </w:r>
          </w:p>
        </w:tc>
      </w:tr>
      <w:tr w:rsidR="00B00722">
        <w:trPr>
          <w:trHeight w:val="242"/>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B00722" w:rsidRDefault="009B3FD8">
            <w:pPr>
              <w:pStyle w:val="BodyA"/>
              <w:jc w:val="center"/>
            </w:pPr>
            <w:r>
              <w:rPr>
                <w:rFonts w:ascii="Cambria" w:eastAsia="Cambria" w:hAnsi="Cambria" w:cs="Cambria"/>
                <w:color w:val="FFFFFF"/>
                <w:sz w:val="19"/>
                <w:szCs w:val="19"/>
                <w:u w:color="FFFFFF"/>
                <w:lang w:val="es-ES_tradnl"/>
              </w:rPr>
              <w:t xml:space="preserve">Advertencia sobre posible archivo </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00722" w:rsidRDefault="009B3FD8">
            <w:pPr>
              <w:pStyle w:val="BodyA"/>
              <w:jc w:val="both"/>
            </w:pPr>
            <w:r>
              <w:rPr>
                <w:rFonts w:ascii="Cambria" w:eastAsia="Cambria" w:hAnsi="Cambria" w:cs="Cambria"/>
                <w:sz w:val="20"/>
                <w:szCs w:val="20"/>
                <w:lang w:val="es-ES_tradnl"/>
              </w:rPr>
              <w:t>24 de mayo de 2017</w:t>
            </w:r>
          </w:p>
        </w:tc>
      </w:tr>
      <w:tr w:rsidR="00B00722">
        <w:trPr>
          <w:trHeight w:val="422"/>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B00722" w:rsidRPr="009B3FD8" w:rsidRDefault="009B3FD8">
            <w:pPr>
              <w:pStyle w:val="BodyA"/>
              <w:jc w:val="center"/>
              <w:rPr>
                <w:lang w:val="es-419"/>
              </w:rPr>
            </w:pPr>
            <w:r>
              <w:rPr>
                <w:rFonts w:ascii="Cambria" w:eastAsia="Cambria" w:hAnsi="Cambria" w:cs="Cambria"/>
                <w:color w:val="FFFFFF"/>
                <w:sz w:val="19"/>
                <w:szCs w:val="19"/>
                <w:u w:color="FFFFFF"/>
                <w:lang w:val="es-ES_tradnl"/>
              </w:rPr>
              <w:t>Respuesta de la parte peticionaria ante advertencia sobre posible archivo</w:t>
            </w:r>
          </w:p>
        </w:tc>
        <w:tc>
          <w:tcPr>
            <w:tcW w:w="5812"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B00722" w:rsidRDefault="009B3FD8">
            <w:pPr>
              <w:pStyle w:val="BodyA"/>
              <w:jc w:val="both"/>
            </w:pPr>
            <w:r>
              <w:rPr>
                <w:rFonts w:ascii="Cambria" w:eastAsia="Cambria" w:hAnsi="Cambria" w:cs="Cambria"/>
                <w:sz w:val="20"/>
                <w:szCs w:val="20"/>
                <w:lang w:val="es-ES_tradnl"/>
              </w:rPr>
              <w:t>1 de junio de 2017</w:t>
            </w:r>
          </w:p>
        </w:tc>
      </w:tr>
    </w:tbl>
    <w:p w:rsidR="00B00722" w:rsidRDefault="009B3FD8">
      <w:pPr>
        <w:pStyle w:val="BodyA"/>
        <w:tabs>
          <w:tab w:val="left" w:pos="720"/>
          <w:tab w:val="left" w:pos="1440"/>
          <w:tab w:val="left" w:pos="2160"/>
          <w:tab w:val="left" w:pos="2880"/>
          <w:tab w:val="left" w:pos="4500"/>
        </w:tabs>
        <w:spacing w:before="240" w:after="240"/>
        <w:ind w:firstLine="720"/>
        <w:jc w:val="both"/>
        <w:rPr>
          <w:rFonts w:ascii="Cambria" w:eastAsia="Cambria" w:hAnsi="Cambria" w:cs="Cambria"/>
          <w:b/>
          <w:bCs/>
          <w:sz w:val="20"/>
          <w:szCs w:val="20"/>
        </w:rPr>
      </w:pPr>
      <w:r>
        <w:rPr>
          <w:rFonts w:ascii="Cambria" w:eastAsia="Cambria" w:hAnsi="Cambria" w:cs="Cambria"/>
          <w:b/>
          <w:bCs/>
          <w:sz w:val="20"/>
          <w:szCs w:val="20"/>
          <w:lang w:val="es-ES_tradnl"/>
        </w:rPr>
        <w:t xml:space="preserve">III. </w:t>
      </w:r>
      <w:r>
        <w:rPr>
          <w:rFonts w:ascii="Cambria" w:eastAsia="Cambria" w:hAnsi="Cambria" w:cs="Cambria"/>
          <w:b/>
          <w:bCs/>
          <w:sz w:val="20"/>
          <w:szCs w:val="20"/>
          <w:lang w:val="es-ES_tradnl"/>
        </w:rPr>
        <w:tab/>
        <w:t xml:space="preserve">COMPETENCIA </w:t>
      </w:r>
    </w:p>
    <w:tbl>
      <w:tblPr>
        <w:tblW w:w="93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5760"/>
      </w:tblGrid>
      <w:tr w:rsidR="00B00722">
        <w:trPr>
          <w:trHeight w:val="234"/>
        </w:trPr>
        <w:tc>
          <w:tcPr>
            <w:tcW w:w="3600" w:type="dxa"/>
            <w:tcBorders>
              <w:top w:val="single" w:sz="4"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B00722" w:rsidRDefault="009B3FD8">
            <w:pPr>
              <w:pStyle w:val="BodyA"/>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personae</w:t>
            </w:r>
            <w:proofErr w:type="spellEnd"/>
          </w:p>
        </w:tc>
        <w:tc>
          <w:tcPr>
            <w:tcW w:w="576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00722" w:rsidRDefault="009B3FD8">
            <w:pPr>
              <w:pStyle w:val="BodyA"/>
            </w:pPr>
            <w:proofErr w:type="spellStart"/>
            <w:r>
              <w:rPr>
                <w:rFonts w:ascii="Cambria" w:eastAsia="Cambria" w:hAnsi="Cambria" w:cs="Cambria"/>
                <w:sz w:val="20"/>
                <w:szCs w:val="20"/>
              </w:rPr>
              <w:t>Sí</w:t>
            </w:r>
            <w:proofErr w:type="spellEnd"/>
          </w:p>
        </w:tc>
      </w:tr>
      <w:tr w:rsidR="00B00722">
        <w:trPr>
          <w:trHeight w:val="242"/>
        </w:trPr>
        <w:tc>
          <w:tcPr>
            <w:tcW w:w="3600"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B00722" w:rsidRDefault="009B3FD8">
            <w:pPr>
              <w:pStyle w:val="BodyA"/>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loci</w:t>
            </w:r>
            <w:proofErr w:type="spellEnd"/>
          </w:p>
        </w:tc>
        <w:tc>
          <w:tcPr>
            <w:tcW w:w="576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00722" w:rsidRDefault="009B3FD8">
            <w:pPr>
              <w:pStyle w:val="BodyA"/>
            </w:pPr>
            <w:proofErr w:type="spellStart"/>
            <w:r>
              <w:rPr>
                <w:rFonts w:ascii="Cambria" w:eastAsia="Cambria" w:hAnsi="Cambria" w:cs="Cambria"/>
                <w:sz w:val="20"/>
                <w:szCs w:val="20"/>
              </w:rPr>
              <w:t>Sí</w:t>
            </w:r>
            <w:proofErr w:type="spellEnd"/>
          </w:p>
        </w:tc>
      </w:tr>
      <w:tr w:rsidR="00B00722">
        <w:trPr>
          <w:trHeight w:val="242"/>
        </w:trPr>
        <w:tc>
          <w:tcPr>
            <w:tcW w:w="3600"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B00722" w:rsidRDefault="009B3FD8">
            <w:pPr>
              <w:pStyle w:val="BodyA"/>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temporis</w:t>
            </w:r>
            <w:proofErr w:type="spellEnd"/>
          </w:p>
        </w:tc>
        <w:tc>
          <w:tcPr>
            <w:tcW w:w="576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00722" w:rsidRDefault="009B3FD8">
            <w:pPr>
              <w:pStyle w:val="BodyA"/>
            </w:pPr>
            <w:proofErr w:type="spellStart"/>
            <w:r>
              <w:rPr>
                <w:rFonts w:ascii="Cambria" w:eastAsia="Cambria" w:hAnsi="Cambria" w:cs="Cambria"/>
                <w:sz w:val="20"/>
                <w:szCs w:val="20"/>
              </w:rPr>
              <w:t>Sí</w:t>
            </w:r>
            <w:proofErr w:type="spellEnd"/>
          </w:p>
        </w:tc>
      </w:tr>
      <w:tr w:rsidR="00B00722" w:rsidRPr="00AF43DC">
        <w:trPr>
          <w:trHeight w:val="462"/>
        </w:trPr>
        <w:tc>
          <w:tcPr>
            <w:tcW w:w="3600"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B00722" w:rsidRDefault="009B3FD8">
            <w:pPr>
              <w:pStyle w:val="BodyA"/>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materiae</w:t>
            </w:r>
            <w:proofErr w:type="spellEnd"/>
          </w:p>
        </w:tc>
        <w:tc>
          <w:tcPr>
            <w:tcW w:w="576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B00722" w:rsidRPr="009B3FD8" w:rsidRDefault="009B3FD8">
            <w:pPr>
              <w:pStyle w:val="BodyA"/>
              <w:jc w:val="both"/>
              <w:rPr>
                <w:lang w:val="es-419"/>
              </w:rPr>
            </w:pPr>
            <w:r>
              <w:rPr>
                <w:rFonts w:ascii="Cambria" w:eastAsia="Cambria" w:hAnsi="Cambria" w:cs="Cambria"/>
                <w:sz w:val="20"/>
                <w:szCs w:val="20"/>
                <w:lang w:val="es-ES_tradnl"/>
              </w:rPr>
              <w:t>Sí, Convención Americana (instrumento de ratificación depositado el 7 de agosto de 1978)</w:t>
            </w:r>
          </w:p>
        </w:tc>
      </w:tr>
    </w:tbl>
    <w:p w:rsidR="00B00722" w:rsidRPr="009B3FD8" w:rsidRDefault="009B3FD8">
      <w:pPr>
        <w:pStyle w:val="BodyA"/>
        <w:spacing w:before="240" w:after="240"/>
        <w:ind w:firstLine="720"/>
        <w:jc w:val="both"/>
        <w:rPr>
          <w:rFonts w:ascii="Cambria" w:eastAsia="Cambria" w:hAnsi="Cambria" w:cs="Cambria"/>
          <w:b/>
          <w:bCs/>
          <w:sz w:val="20"/>
          <w:szCs w:val="20"/>
          <w:lang w:val="es-ES_tradnl"/>
        </w:rPr>
      </w:pPr>
      <w:r>
        <w:rPr>
          <w:rFonts w:ascii="Cambria" w:eastAsia="Cambria" w:hAnsi="Cambria" w:cs="Cambria"/>
          <w:b/>
          <w:bCs/>
          <w:sz w:val="20"/>
          <w:szCs w:val="20"/>
          <w:lang w:val="es-ES_tradnl"/>
        </w:rPr>
        <w:t xml:space="preserve">IV. </w:t>
      </w:r>
      <w:r>
        <w:rPr>
          <w:rFonts w:ascii="Cambria" w:eastAsia="Cambria" w:hAnsi="Cambria" w:cs="Cambria"/>
          <w:b/>
          <w:bCs/>
          <w:sz w:val="20"/>
          <w:szCs w:val="20"/>
          <w:lang w:val="es-ES_tradnl"/>
        </w:rPr>
        <w:tab/>
        <w:t>DUPLICACIÓN</w:t>
      </w:r>
      <w:r>
        <w:rPr>
          <w:rFonts w:ascii="Cambria" w:eastAsia="Cambria" w:hAnsi="Cambria" w:cs="Cambria"/>
          <w:b/>
          <w:bCs/>
          <w:color w:val="FFFFFF"/>
          <w:sz w:val="20"/>
          <w:szCs w:val="20"/>
          <w:u w:color="FFFFFF"/>
          <w:lang w:val="es-ES_tradnl"/>
        </w:rPr>
        <w:t xml:space="preserve"> </w:t>
      </w:r>
      <w:r>
        <w:rPr>
          <w:rFonts w:ascii="Cambria" w:eastAsia="Cambria" w:hAnsi="Cambria" w:cs="Cambria"/>
          <w:b/>
          <w:bCs/>
          <w:sz w:val="20"/>
          <w:szCs w:val="20"/>
          <w:lang w:val="es-ES_tradnl"/>
        </w:rPr>
        <w:t>DE PROCEDIMIENTOS Y COSA JUZGADA</w:t>
      </w:r>
      <w:r>
        <w:rPr>
          <w:rFonts w:ascii="Cambria" w:eastAsia="Cambria" w:hAnsi="Cambria" w:cs="Cambria"/>
          <w:b/>
          <w:bCs/>
          <w:i/>
          <w:iCs/>
          <w:sz w:val="20"/>
          <w:szCs w:val="20"/>
          <w:lang w:val="es-ES_tradnl"/>
        </w:rPr>
        <w:t xml:space="preserve"> </w:t>
      </w:r>
      <w:r>
        <w:rPr>
          <w:rFonts w:ascii="Cambria" w:eastAsia="Cambria" w:hAnsi="Cambria" w:cs="Cambria"/>
          <w:b/>
          <w:bCs/>
          <w:sz w:val="20"/>
          <w:szCs w:val="20"/>
          <w:lang w:val="es-ES_tradnl"/>
        </w:rPr>
        <w:t>INTERNACIONAL,                                       CARACTERIZACIÓN, AGOTAMIENTO DE LOS RECURSOS INTERNOS Y PLAZO DE PRESENTACIÓN</w:t>
      </w:r>
    </w:p>
    <w:tbl>
      <w:tblPr>
        <w:tblW w:w="93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5760"/>
      </w:tblGrid>
      <w:tr w:rsidR="00B00722">
        <w:trPr>
          <w:trHeight w:val="41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B00722" w:rsidRPr="009B3FD8" w:rsidRDefault="009B3FD8">
            <w:pPr>
              <w:pStyle w:val="BodyA"/>
              <w:jc w:val="center"/>
              <w:rPr>
                <w:rFonts w:ascii="Cambria" w:eastAsia="Cambria" w:hAnsi="Cambria" w:cs="Cambria"/>
                <w:color w:val="FFFFFF"/>
                <w:sz w:val="19"/>
                <w:szCs w:val="19"/>
                <w:u w:color="FFFFFF"/>
                <w:lang w:val="es-419"/>
              </w:rPr>
            </w:pPr>
            <w:r>
              <w:rPr>
                <w:rFonts w:ascii="Cambria" w:eastAsia="Cambria" w:hAnsi="Cambria" w:cs="Cambria"/>
                <w:color w:val="FFFFFF"/>
                <w:sz w:val="19"/>
                <w:szCs w:val="19"/>
                <w:u w:color="FFFFFF"/>
                <w:lang w:val="es-ES_tradnl"/>
              </w:rPr>
              <w:t xml:space="preserve">Duplicación y cosa juzgada </w:t>
            </w:r>
          </w:p>
          <w:p w:rsidR="00B00722" w:rsidRPr="009B3FD8" w:rsidRDefault="009B3FD8">
            <w:pPr>
              <w:pStyle w:val="BodyA"/>
              <w:jc w:val="center"/>
              <w:rPr>
                <w:lang w:val="es-419"/>
              </w:rPr>
            </w:pPr>
            <w:r>
              <w:rPr>
                <w:rFonts w:ascii="Cambria" w:eastAsia="Cambria" w:hAnsi="Cambria" w:cs="Cambria"/>
                <w:color w:val="FFFFFF"/>
                <w:sz w:val="19"/>
                <w:szCs w:val="19"/>
                <w:u w:color="FFFFFF"/>
                <w:lang w:val="es-ES_tradnl"/>
              </w:rPr>
              <w:t>Internacional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722" w:rsidRDefault="009B3FD8">
            <w:pPr>
              <w:pStyle w:val="BodyA"/>
              <w:jc w:val="both"/>
            </w:pPr>
            <w:r>
              <w:rPr>
                <w:rFonts w:ascii="Cambria" w:eastAsia="Cambria" w:hAnsi="Cambria" w:cs="Cambria"/>
                <w:sz w:val="20"/>
                <w:szCs w:val="20"/>
                <w:lang w:val="es-ES_tradnl"/>
              </w:rPr>
              <w:t>No</w:t>
            </w:r>
          </w:p>
        </w:tc>
      </w:tr>
      <w:tr w:rsidR="00B00722" w:rsidRPr="00AF43DC">
        <w:trPr>
          <w:trHeight w:val="67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B00722" w:rsidRDefault="009B3FD8">
            <w:pPr>
              <w:pStyle w:val="BodyA"/>
              <w:jc w:val="center"/>
            </w:pPr>
            <w:r>
              <w:rPr>
                <w:rFonts w:ascii="Cambria" w:eastAsia="Cambria" w:hAnsi="Cambria" w:cs="Cambria"/>
                <w:color w:val="FFFFFF"/>
                <w:sz w:val="19"/>
                <w:szCs w:val="19"/>
                <w:u w:color="FFFFFF"/>
                <w:lang w:val="es-ES_tradnl"/>
              </w:rPr>
              <w:t>Derechos admitidos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722" w:rsidRPr="009B3FD8" w:rsidRDefault="009B3FD8">
            <w:pPr>
              <w:pStyle w:val="BodyA"/>
              <w:jc w:val="both"/>
              <w:rPr>
                <w:lang w:val="es-419"/>
              </w:rPr>
            </w:pPr>
            <w:r>
              <w:rPr>
                <w:rFonts w:ascii="Cambria" w:eastAsia="Cambria" w:hAnsi="Cambria" w:cs="Cambria"/>
                <w:sz w:val="20"/>
                <w:szCs w:val="20"/>
                <w:lang w:val="es-ES_tradnl"/>
              </w:rPr>
              <w:t>Artículos 4 (vida), 5 (integridad personal), 8 (garantías judiciales), 19 (derechos del niño) y 25 (protección judicial), en relación con los artículos 1(1) y 2, de la Convención Americana</w:t>
            </w:r>
          </w:p>
        </w:tc>
      </w:tr>
      <w:tr w:rsidR="00B00722" w:rsidRPr="00AF43DC">
        <w:trPr>
          <w:trHeight w:val="41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B00722" w:rsidRPr="009B3FD8" w:rsidRDefault="009B3FD8">
            <w:pPr>
              <w:pStyle w:val="BodyA"/>
              <w:jc w:val="center"/>
              <w:rPr>
                <w:rFonts w:ascii="Cambria" w:eastAsia="Cambria" w:hAnsi="Cambria" w:cs="Cambria"/>
                <w:color w:val="FFFFFF"/>
                <w:sz w:val="19"/>
                <w:szCs w:val="19"/>
                <w:u w:color="FFFFFF"/>
                <w:lang w:val="es-419"/>
              </w:rPr>
            </w:pPr>
            <w:r>
              <w:rPr>
                <w:rFonts w:ascii="Cambria" w:eastAsia="Cambria" w:hAnsi="Cambria" w:cs="Cambria"/>
                <w:color w:val="FFFFFF"/>
                <w:sz w:val="19"/>
                <w:szCs w:val="19"/>
                <w:u w:color="FFFFFF"/>
                <w:lang w:val="es-ES_tradnl"/>
              </w:rPr>
              <w:lastRenderedPageBreak/>
              <w:t xml:space="preserve">Agotamiento de recursos </w:t>
            </w:r>
          </w:p>
          <w:p w:rsidR="00B00722" w:rsidRPr="009B3FD8" w:rsidRDefault="009B3FD8">
            <w:pPr>
              <w:pStyle w:val="BodyA"/>
              <w:jc w:val="center"/>
              <w:rPr>
                <w:lang w:val="es-419"/>
              </w:rPr>
            </w:pPr>
            <w:r>
              <w:rPr>
                <w:rFonts w:ascii="Cambria" w:eastAsia="Cambria" w:hAnsi="Cambria" w:cs="Cambria"/>
                <w:color w:val="FFFFFF"/>
                <w:sz w:val="19"/>
                <w:szCs w:val="19"/>
                <w:u w:color="FFFFFF"/>
                <w:lang w:val="es-ES_tradnl"/>
              </w:rPr>
              <w:t>o procedencia de una excepción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722" w:rsidRPr="009B3FD8" w:rsidRDefault="009B3FD8">
            <w:pPr>
              <w:pStyle w:val="BodyA"/>
              <w:rPr>
                <w:lang w:val="es-419"/>
              </w:rPr>
            </w:pPr>
            <w:r>
              <w:rPr>
                <w:rFonts w:ascii="Cambria" w:eastAsia="Cambria" w:hAnsi="Cambria" w:cs="Cambria"/>
                <w:sz w:val="20"/>
                <w:szCs w:val="20"/>
                <w:lang w:val="es-ES_tradnl"/>
              </w:rPr>
              <w:t>Sí, en los términos de la sección VI</w:t>
            </w:r>
          </w:p>
        </w:tc>
      </w:tr>
      <w:tr w:rsidR="00B00722" w:rsidRPr="00AF43DC">
        <w:trPr>
          <w:trHeight w:val="23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B00722" w:rsidRDefault="009B3FD8">
            <w:pPr>
              <w:pStyle w:val="BodyA"/>
              <w:jc w:val="center"/>
            </w:pPr>
            <w:r>
              <w:rPr>
                <w:rFonts w:ascii="Cambria" w:eastAsia="Cambria" w:hAnsi="Cambria" w:cs="Cambria"/>
                <w:color w:val="FFFFFF"/>
                <w:sz w:val="19"/>
                <w:szCs w:val="19"/>
                <w:u w:color="FFFFFF"/>
                <w:lang w:val="es-ES_tradnl"/>
              </w:rPr>
              <w:t>Presentación dentro de plazo</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722" w:rsidRPr="009B3FD8" w:rsidRDefault="009B3FD8">
            <w:pPr>
              <w:pStyle w:val="BodyA"/>
              <w:rPr>
                <w:lang w:val="es-419"/>
              </w:rPr>
            </w:pPr>
            <w:r>
              <w:rPr>
                <w:rFonts w:ascii="Cambria" w:eastAsia="Cambria" w:hAnsi="Cambria" w:cs="Cambria"/>
                <w:sz w:val="20"/>
                <w:szCs w:val="20"/>
                <w:lang w:val="es-ES_tradnl"/>
              </w:rPr>
              <w:t>Sí, en los términos de la sección VI</w:t>
            </w:r>
          </w:p>
        </w:tc>
      </w:tr>
    </w:tbl>
    <w:p w:rsidR="00B00722" w:rsidRPr="009B3FD8" w:rsidRDefault="009B3FD8">
      <w:pPr>
        <w:pStyle w:val="BodyA"/>
        <w:spacing w:before="240" w:after="240"/>
        <w:ind w:firstLine="720"/>
        <w:jc w:val="both"/>
        <w:rPr>
          <w:rFonts w:ascii="Cambria" w:eastAsia="Cambria" w:hAnsi="Cambria" w:cs="Cambria"/>
          <w:b/>
          <w:bCs/>
          <w:sz w:val="20"/>
          <w:szCs w:val="20"/>
          <w:lang w:val="es-419"/>
        </w:rPr>
      </w:pPr>
      <w:r>
        <w:rPr>
          <w:rFonts w:ascii="Cambria" w:eastAsia="Cambria" w:hAnsi="Cambria" w:cs="Cambria"/>
          <w:b/>
          <w:bCs/>
          <w:sz w:val="20"/>
          <w:szCs w:val="20"/>
          <w:lang w:val="es-ES_tradnl"/>
        </w:rPr>
        <w:t xml:space="preserve">V. </w:t>
      </w:r>
      <w:r>
        <w:rPr>
          <w:rFonts w:ascii="Cambria" w:eastAsia="Cambria" w:hAnsi="Cambria" w:cs="Cambria"/>
          <w:b/>
          <w:bCs/>
          <w:sz w:val="20"/>
          <w:szCs w:val="20"/>
          <w:lang w:val="es-ES_tradnl"/>
        </w:rPr>
        <w:tab/>
        <w:t xml:space="preserve">RESUMEN DE LOS HECHOS ALEGADOS </w:t>
      </w:r>
    </w:p>
    <w:p w:rsidR="00B00722" w:rsidRDefault="009B3FD8" w:rsidP="009B3FD8">
      <w:pPr>
        <w:pStyle w:val="BodyA"/>
        <w:numPr>
          <w:ilvl w:val="0"/>
          <w:numId w:val="2"/>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En la presente petición se alega que a)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Michael Henry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fue víctima de un disparo de arma de fuego ilícito de un agente de policía en abril de 1998 (cuatro días después falleció como consecuencia de las heridas) y b) el Estado no ha responsabilizado al agente de policía por sus actos ilícitos.</w:t>
      </w:r>
    </w:p>
    <w:p w:rsidR="00B00722" w:rsidRDefault="009B3FD8" w:rsidP="009B3FD8">
      <w:pPr>
        <w:pStyle w:val="BodyA"/>
        <w:numPr>
          <w:ilvl w:val="0"/>
          <w:numId w:val="2"/>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A modo de contexto, los peticionarios alegan lo siguiente: a) el 22 de abril de 1998,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(17) se encontraba en el Estado Nacional mirando un partido de fútbol entre los equipos </w:t>
      </w:r>
      <w:proofErr w:type="spellStart"/>
      <w:r w:rsidRPr="009B3FD8">
        <w:rPr>
          <w:rFonts w:ascii="Cambria" w:eastAsia="Cambria" w:hAnsi="Cambria" w:cs="Cambria"/>
          <w:sz w:val="20"/>
          <w:szCs w:val="20"/>
          <w:lang w:val="es-ES_tradnl"/>
        </w:rPr>
        <w:t>Arnett</w:t>
      </w:r>
      <w:proofErr w:type="spellEnd"/>
      <w:r w:rsidRPr="009B3FD8">
        <w:rPr>
          <w:rFonts w:ascii="Cambria" w:eastAsia="Cambria" w:hAnsi="Cambria" w:cs="Cambria"/>
          <w:sz w:val="20"/>
          <w:szCs w:val="20"/>
          <w:lang w:val="es-ES_tradnl"/>
        </w:rPr>
        <w:t xml:space="preserve"> </w:t>
      </w:r>
      <w:proofErr w:type="spellStart"/>
      <w:r w:rsidRPr="009B3FD8">
        <w:rPr>
          <w:rFonts w:ascii="Cambria" w:eastAsia="Cambria" w:hAnsi="Cambria" w:cs="Cambria"/>
          <w:sz w:val="20"/>
          <w:szCs w:val="20"/>
          <w:lang w:val="es-ES_tradnl"/>
        </w:rPr>
        <w:t>Gardens</w:t>
      </w:r>
      <w:proofErr w:type="spellEnd"/>
      <w:r w:rsidRPr="009B3FD8">
        <w:rPr>
          <w:rFonts w:ascii="Cambria" w:eastAsia="Cambria" w:hAnsi="Cambria" w:cs="Cambria"/>
          <w:sz w:val="20"/>
          <w:szCs w:val="20"/>
          <w:lang w:val="es-ES_tradnl"/>
        </w:rPr>
        <w:t xml:space="preserve"> </w:t>
      </w:r>
      <w:proofErr w:type="spellStart"/>
      <w:r w:rsidRPr="009B3FD8">
        <w:rPr>
          <w:rFonts w:ascii="Cambria" w:eastAsia="Cambria" w:hAnsi="Cambria" w:cs="Cambria"/>
          <w:sz w:val="20"/>
          <w:szCs w:val="20"/>
          <w:lang w:val="es-ES_tradnl"/>
        </w:rPr>
        <w:t>Football</w:t>
      </w:r>
      <w:proofErr w:type="spellEnd"/>
      <w:r w:rsidRPr="009B3FD8">
        <w:rPr>
          <w:rFonts w:ascii="Cambria" w:eastAsia="Cambria" w:hAnsi="Cambria" w:cs="Cambria"/>
          <w:sz w:val="20"/>
          <w:szCs w:val="20"/>
          <w:lang w:val="es-ES_tradnl"/>
        </w:rPr>
        <w:t xml:space="preserve"> Club</w:t>
      </w:r>
      <w:r>
        <w:rPr>
          <w:rFonts w:ascii="Cambria" w:eastAsia="Cambria" w:hAnsi="Cambria" w:cs="Cambria"/>
          <w:sz w:val="20"/>
          <w:szCs w:val="20"/>
          <w:lang w:val="es-ES_tradnl"/>
        </w:rPr>
        <w:t xml:space="preserve"> y </w:t>
      </w:r>
      <w:r w:rsidRPr="009B3FD8">
        <w:rPr>
          <w:rFonts w:ascii="Cambria" w:eastAsia="Cambria" w:hAnsi="Cambria" w:cs="Cambria"/>
          <w:sz w:val="20"/>
          <w:szCs w:val="20"/>
          <w:lang w:val="es-ES_tradnl"/>
        </w:rPr>
        <w:t xml:space="preserve">Seba </w:t>
      </w:r>
      <w:proofErr w:type="spellStart"/>
      <w:r w:rsidRPr="009B3FD8">
        <w:rPr>
          <w:rFonts w:ascii="Cambria" w:eastAsia="Cambria" w:hAnsi="Cambria" w:cs="Cambria"/>
          <w:sz w:val="20"/>
          <w:szCs w:val="20"/>
          <w:lang w:val="es-ES_tradnl"/>
        </w:rPr>
        <w:t>United</w:t>
      </w:r>
      <w:proofErr w:type="spellEnd"/>
      <w:r w:rsidRPr="009B3FD8">
        <w:rPr>
          <w:rFonts w:ascii="Cambria" w:eastAsia="Cambria" w:hAnsi="Cambria" w:cs="Cambria"/>
          <w:sz w:val="20"/>
          <w:szCs w:val="20"/>
          <w:lang w:val="es-ES_tradnl"/>
        </w:rPr>
        <w:t xml:space="preserve"> of </w:t>
      </w:r>
      <w:proofErr w:type="spellStart"/>
      <w:r w:rsidRPr="009B3FD8">
        <w:rPr>
          <w:rFonts w:ascii="Cambria" w:eastAsia="Cambria" w:hAnsi="Cambria" w:cs="Cambria"/>
          <w:sz w:val="20"/>
          <w:szCs w:val="20"/>
          <w:lang w:val="es-ES_tradnl"/>
        </w:rPr>
        <w:t>Montego</w:t>
      </w:r>
      <w:proofErr w:type="spellEnd"/>
      <w:r w:rsidRPr="009B3FD8">
        <w:rPr>
          <w:rFonts w:ascii="Cambria" w:eastAsia="Cambria" w:hAnsi="Cambria" w:cs="Cambria"/>
          <w:sz w:val="20"/>
          <w:szCs w:val="20"/>
          <w:lang w:val="es-ES_tradnl"/>
        </w:rPr>
        <w:t xml:space="preserve"> </w:t>
      </w:r>
      <w:proofErr w:type="spellStart"/>
      <w:r w:rsidRPr="009B3FD8">
        <w:rPr>
          <w:rFonts w:ascii="Cambria" w:eastAsia="Cambria" w:hAnsi="Cambria" w:cs="Cambria"/>
          <w:sz w:val="20"/>
          <w:szCs w:val="20"/>
          <w:lang w:val="es-ES_tradnl"/>
        </w:rPr>
        <w:t>Bay</w:t>
      </w:r>
      <w:proofErr w:type="spellEnd"/>
      <w:r>
        <w:rPr>
          <w:rFonts w:ascii="Cambria" w:eastAsia="Cambria" w:hAnsi="Cambria" w:cs="Cambria"/>
          <w:sz w:val="20"/>
          <w:szCs w:val="20"/>
          <w:lang w:val="es-ES_tradnl"/>
        </w:rPr>
        <w:t xml:space="preserve">; b) había cientos de espectadores en aquel partido de fútbol, entre ellos, varios miembros de la Fuerza Policial de Jamaica (en adelante “JFC”) uniformados y otros de civil; c) uno de los agentes presentes era el Detective Cabo Calvin Lewis (en adelante “Detective Lewis”), que estaba de civil, y d)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recibió un disparo de arma del Detective Lewis y el 26 de abril de 1998 murió como consecuencia de las heridas. Los peticionarios aducen que las versiones de la policía y de los testigos civiles difieren en cuanto a los hechos que resultaron en el disparo al señor Henry. Por un lado, el Detective Lewis (y otros agentes de la JCF) asevera que cuando vio al señor Henry intentando armar un cigarro de marihuana, a) el Detective Lewis se acercó al señor Henry y le ordenó que dejara de hacerlo; b)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desobedeció la orden, y el Detective Lewis intentó arrestar al señor Henry; c) el Detective Lewis alega que luego se vio rodeado por varios fanáticos de </w:t>
      </w:r>
      <w:proofErr w:type="spellStart"/>
      <w:r w:rsidRPr="009B3FD8">
        <w:rPr>
          <w:rFonts w:ascii="Cambria" w:eastAsia="Cambria" w:hAnsi="Cambria" w:cs="Cambria"/>
          <w:sz w:val="20"/>
          <w:szCs w:val="20"/>
          <w:lang w:val="es-ES_tradnl"/>
        </w:rPr>
        <w:t>Arnett</w:t>
      </w:r>
      <w:proofErr w:type="spellEnd"/>
      <w:r w:rsidRPr="009B3FD8">
        <w:rPr>
          <w:rFonts w:ascii="Cambria" w:eastAsia="Cambria" w:hAnsi="Cambria" w:cs="Cambria"/>
          <w:sz w:val="20"/>
          <w:szCs w:val="20"/>
          <w:lang w:val="es-ES_tradnl"/>
        </w:rPr>
        <w:t xml:space="preserve"> </w:t>
      </w:r>
      <w:proofErr w:type="spellStart"/>
      <w:r w:rsidRPr="009B3FD8">
        <w:rPr>
          <w:rFonts w:ascii="Cambria" w:eastAsia="Cambria" w:hAnsi="Cambria" w:cs="Cambria"/>
          <w:sz w:val="20"/>
          <w:szCs w:val="20"/>
          <w:lang w:val="es-ES_tradnl"/>
        </w:rPr>
        <w:t>Gardens</w:t>
      </w:r>
      <w:proofErr w:type="spellEnd"/>
      <w:r>
        <w:rPr>
          <w:rFonts w:ascii="Cambria" w:eastAsia="Cambria" w:hAnsi="Cambria" w:cs="Cambria"/>
          <w:sz w:val="20"/>
          <w:szCs w:val="20"/>
          <w:lang w:val="es-ES_tradnl"/>
        </w:rPr>
        <w:t xml:space="preserve"> que comenzaron a interrumpirlo y a agredirlo físicamente; d) cuando el Detective Lewis desenvainó su pistola de 9 mm, hubo un forcejeo entre este y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durante el cual se disparó el arma y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recibió el impacto de bala.</w:t>
      </w:r>
    </w:p>
    <w:p w:rsidR="00B00722" w:rsidRDefault="009B3FD8" w:rsidP="009B3FD8">
      <w:pPr>
        <w:pStyle w:val="BodyA"/>
        <w:numPr>
          <w:ilvl w:val="0"/>
          <w:numId w:val="2"/>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Por otro lado, citan a cuatro testigos civiles que afirman que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no representaba una amenaza para el Detective cuando fue baleado. Según uno de los testigos (el director del equipo </w:t>
      </w:r>
      <w:proofErr w:type="spellStart"/>
      <w:r w:rsidRPr="009B3FD8">
        <w:rPr>
          <w:rFonts w:ascii="Cambria" w:eastAsia="Cambria" w:hAnsi="Cambria" w:cs="Cambria"/>
          <w:sz w:val="20"/>
          <w:szCs w:val="20"/>
          <w:lang w:val="es-ES_tradnl"/>
        </w:rPr>
        <w:t>Arnett</w:t>
      </w:r>
      <w:proofErr w:type="spellEnd"/>
      <w:r w:rsidRPr="009B3FD8">
        <w:rPr>
          <w:rFonts w:ascii="Cambria" w:eastAsia="Cambria" w:hAnsi="Cambria" w:cs="Cambria"/>
          <w:sz w:val="20"/>
          <w:szCs w:val="20"/>
          <w:lang w:val="es-ES_tradnl"/>
        </w:rPr>
        <w:t xml:space="preserve"> </w:t>
      </w:r>
      <w:proofErr w:type="spellStart"/>
      <w:r w:rsidRPr="009B3FD8">
        <w:rPr>
          <w:rFonts w:ascii="Cambria" w:eastAsia="Cambria" w:hAnsi="Cambria" w:cs="Cambria"/>
          <w:sz w:val="20"/>
          <w:szCs w:val="20"/>
          <w:lang w:val="es-ES_tradnl"/>
        </w:rPr>
        <w:t>Gardens</w:t>
      </w:r>
      <w:proofErr w:type="spellEnd"/>
      <w:r>
        <w:rPr>
          <w:rFonts w:ascii="Cambria" w:eastAsia="Cambria" w:hAnsi="Cambria" w:cs="Cambria"/>
          <w:sz w:val="20"/>
          <w:szCs w:val="20"/>
          <w:lang w:val="es-ES_tradnl"/>
        </w:rPr>
        <w:t xml:space="preserve">), él vio cuando el Detective Lewis hizo un disparo hacia una multitud que terminó impactando en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Según los peticionarios, los otros tres testigos señalan que el Detective Lewis agarró al señor Henry de la camiseta y le disparó de cerca y sin causa justa. Otro de los testigos afirma que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no tenía un cigarro de marihuana cuando el Detective Lewis le disparó.</w:t>
      </w:r>
    </w:p>
    <w:p w:rsidR="00B00722" w:rsidRDefault="009B3FD8" w:rsidP="009B3FD8">
      <w:pPr>
        <w:pStyle w:val="BodyA"/>
        <w:numPr>
          <w:ilvl w:val="0"/>
          <w:numId w:val="2"/>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Los peticionarios denuncian que hubo largas demoras (de hasta 15 año</w:t>
      </w:r>
      <w:r w:rsidRPr="009B3FD8">
        <w:rPr>
          <w:rFonts w:ascii="Cambria" w:eastAsia="Cambria" w:hAnsi="Cambria" w:cs="Cambria"/>
          <w:sz w:val="20"/>
          <w:szCs w:val="20"/>
          <w:lang w:val="es-ES_tradnl"/>
        </w:rPr>
        <w:t>s</w:t>
      </w:r>
      <w:r>
        <w:rPr>
          <w:rFonts w:ascii="Cambria" w:eastAsia="Cambria" w:hAnsi="Cambria" w:cs="Cambria"/>
          <w:sz w:val="20"/>
          <w:szCs w:val="20"/>
          <w:lang w:val="es-ES_tradnl"/>
        </w:rPr>
        <w:t>) al igual que deficiencias graves en los procesos de instrucción/judicial iniciados a raíz del deceso d</w:t>
      </w:r>
      <w:r w:rsidRPr="009B3FD8">
        <w:rPr>
          <w:rFonts w:ascii="Cambria" w:eastAsia="Cambria" w:hAnsi="Cambria" w:cs="Cambria"/>
          <w:sz w:val="20"/>
          <w:szCs w:val="20"/>
          <w:lang w:val="es-ES_tradnl"/>
        </w:rPr>
        <w:t xml:space="preserve">e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En este sentido, los peticionarios alegan que a) no fue hasta dos años después del deceso d</w:t>
      </w:r>
      <w:r w:rsidRPr="009B3FD8">
        <w:rPr>
          <w:rFonts w:ascii="Cambria" w:eastAsia="Cambria" w:hAnsi="Cambria" w:cs="Cambria"/>
          <w:sz w:val="20"/>
          <w:szCs w:val="20"/>
          <w:lang w:val="es-ES_tradnl"/>
        </w:rPr>
        <w:t xml:space="preserve">e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que se abrió una investigación en el Juzgado de Instrucción; b) esta nunca se concluyó porque el Juez de Instrucción se había jubilado o había sido trasladado; c) en 2005 se abrió un segundo proceso de instrucción que terminó siendo declarado juicio nulo porque los jueces dejaron de asistir a raíz de numerosas demoras; d) en 2008 se abrió un tercer juicio de instrucción y este concluyó (en febrero de 2010) con el veredicto de que el Detective Lewis era penalmente responsable por la muerte d</w:t>
      </w:r>
      <w:r w:rsidRPr="009B3FD8">
        <w:rPr>
          <w:rFonts w:ascii="Cambria" w:eastAsia="Cambria" w:hAnsi="Cambria" w:cs="Cambria"/>
          <w:sz w:val="20"/>
          <w:szCs w:val="20"/>
          <w:lang w:val="es-ES_tradnl"/>
        </w:rPr>
        <w:t xml:space="preserve">e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por lo que el Detective Lewis fue acusado formalmente en la vía penal en marzo de 2010. Según la petición, la Dirección de Fiscalías Públicas (en adelante “ODPP”) se declaró competente para procesar al Detective Lewis. Los peticionarios aducen que este juicio no se realizó hasta marzo de 2013 y que este concluyó con la absolución del Detective Lewis el 18 de marzo de 2013.</w:t>
      </w:r>
    </w:p>
    <w:p w:rsidR="00B00722" w:rsidRDefault="009B3FD8" w:rsidP="009B3FD8">
      <w:pPr>
        <w:pStyle w:val="BodyA"/>
        <w:numPr>
          <w:ilvl w:val="0"/>
          <w:numId w:val="2"/>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Según los peticionarios, esta absolución en gran parte se debió a que la ODPP no condujo de forma adecuada la investigación ni las diligencias previas al juicio. En este sentido, los peticionarios resaltan que, pese a la gran cantidad de testigos del momento del disparo, la ODPP solo citó a dos testigos, ambos de los cuales terminaron retractándose. Los peticionarios asimismo aseveran que la ODPP no utilizó las pruebas recabadas en la última investigación judicial con las que se había determinado la responsabilidad penal del Detective Lewis. Ante la falta de otras pruebas empleadas por la ODPP, los peticionarios alegan que el tribunal de primera instancia ordenó al jurado dictar un veredicto de no culpable. Aducen que la absolución del Detective Lewis representa el agotamiento de los recursos internos.</w:t>
      </w:r>
      <w:r w:rsidRPr="009B3FD8">
        <w:rPr>
          <w:rFonts w:ascii="Cambria" w:eastAsia="Cambria" w:hAnsi="Cambria" w:cs="Cambria"/>
          <w:sz w:val="20"/>
          <w:szCs w:val="20"/>
          <w:lang w:val="es-ES_tradnl"/>
        </w:rPr>
        <w:t xml:space="preserve"> </w:t>
      </w:r>
      <w:r>
        <w:rPr>
          <w:rFonts w:ascii="Cambria" w:eastAsia="Cambria" w:hAnsi="Cambria" w:cs="Cambria"/>
          <w:sz w:val="20"/>
          <w:szCs w:val="20"/>
          <w:lang w:val="es-ES_tradnl"/>
        </w:rPr>
        <w:t xml:space="preserve">Añaden que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tenía tan solo 17 años cuando murió y que se vio particularmente expuesto a actos de violencia y abuso policial a raíz de una </w:t>
      </w:r>
      <w:r>
        <w:rPr>
          <w:rFonts w:ascii="Cambria" w:eastAsia="Cambria" w:hAnsi="Cambria" w:cs="Cambria"/>
          <w:sz w:val="20"/>
          <w:szCs w:val="20"/>
          <w:lang w:val="es-ES_tradnl"/>
        </w:rPr>
        <w:lastRenderedPageBreak/>
        <w:t>discapacidad que sufría y por la que requería cuidado y protección especial. Asimismo, alegan que la ejecución arbitraria d</w:t>
      </w:r>
      <w:r w:rsidRPr="009B3FD8">
        <w:rPr>
          <w:rFonts w:ascii="Cambria" w:eastAsia="Cambria" w:hAnsi="Cambria" w:cs="Cambria"/>
          <w:sz w:val="20"/>
          <w:szCs w:val="20"/>
          <w:lang w:val="es-ES_tradnl"/>
        </w:rPr>
        <w:t xml:space="preserve">e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junto con la presunta falta del Estado de realizar una investigación penal eficaz, también ha dado lugar a violaciones de los derechos de los familiares sobrevivientes d</w:t>
      </w:r>
      <w:r w:rsidRPr="009B3FD8">
        <w:rPr>
          <w:rFonts w:ascii="Cambria" w:eastAsia="Cambria" w:hAnsi="Cambria" w:cs="Cambria"/>
          <w:sz w:val="20"/>
          <w:szCs w:val="20"/>
          <w:lang w:val="es-ES_tradnl"/>
        </w:rPr>
        <w:t xml:space="preserve">e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(su padre, George Henry, y su madre, Lilian Johnson).</w:t>
      </w:r>
    </w:p>
    <w:p w:rsidR="00B00722" w:rsidRDefault="009B3FD8" w:rsidP="009B3FD8">
      <w:pPr>
        <w:pStyle w:val="BodyA"/>
        <w:numPr>
          <w:ilvl w:val="0"/>
          <w:numId w:val="2"/>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Los peticionarios repudian la observación del Estado y enfatizan que a) las demandas civiles a las que se refiere el Estado (indemnización) no son adecuadas ni efectivas, en especial en casos donde se alegan violaciones de derechos humanos que se consideran delitos penales y b) el Estado tenía la obligación de realizar una investigación penal eficaz; no obstante, en este caso la investigación del Estado fue de una deficiencia palmaria en todos los aspectos.</w:t>
      </w:r>
    </w:p>
    <w:p w:rsidR="00B00722" w:rsidRDefault="009B3FD8" w:rsidP="009B3FD8">
      <w:pPr>
        <w:pStyle w:val="BodyA"/>
        <w:numPr>
          <w:ilvl w:val="0"/>
          <w:numId w:val="2"/>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Por su parte, el Estado considera que la presente petición es inadmisible por los siguientes motivos: a) los peticionarios no agotaron los recursos internos y b) el Estado sí llevó a cabo una investigación y un juicio en la vía penal por la muerte d</w:t>
      </w:r>
      <w:r w:rsidRPr="009B3FD8">
        <w:rPr>
          <w:rFonts w:ascii="Cambria" w:eastAsia="Cambria" w:hAnsi="Cambria" w:cs="Cambria"/>
          <w:sz w:val="20"/>
          <w:szCs w:val="20"/>
          <w:lang w:val="es-ES_tradnl"/>
        </w:rPr>
        <w:t xml:space="preserve">e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por lo que indica que los alegatos de los peticionarios resultan manifiestamente infundados. En cuanto al agotamiento de los recursos internos, el Estado sostiene que los peticionarios podrían haber interpuesto una acción civil para obtener una indemnización, pero que no lo hicieron. Resalta que este recurso, además de estar disponible a los peticionarios, es eficaz para reparar los hechos alegados en la petición. Asimismo, aduce que las acciones civiles deben presentarse independientemente de si se alegue o no que el Estado no promovió el proceso penal de forma adecuada. En relación con la investigación penal, el Estado afirma que sí cumplió con su deber de investigar y procesar. Sostiene que, pese a que los peticionarios alegan demoras, la investigación penal permitió procesar a un responsable y, por lo tanto, no puede considerarse, </w:t>
      </w:r>
      <w:r w:rsidRPr="009B3FD8">
        <w:rPr>
          <w:rFonts w:ascii="Cambria" w:eastAsia="Cambria" w:hAnsi="Cambria" w:cs="Cambria"/>
          <w:sz w:val="20"/>
          <w:szCs w:val="20"/>
          <w:lang w:val="es-ES_tradnl"/>
        </w:rPr>
        <w:t>prima facie</w:t>
      </w:r>
      <w:r>
        <w:rPr>
          <w:rFonts w:ascii="Cambria" w:eastAsia="Cambria" w:hAnsi="Cambria" w:cs="Cambria"/>
          <w:sz w:val="20"/>
          <w:szCs w:val="20"/>
          <w:lang w:val="es-ES_tradnl"/>
        </w:rPr>
        <w:t xml:space="preserve">, ineficaz. En relación con el procesamiento en sí, el Estado señala que las autoridades fiscales “gozan de amplia discrecionalidad para determinar cuál es la prueba más confiable o creíble para presentar en el juicio” y que “el mero desacuerdo con esas decisiones adoptadas por una autoridad fiscal no puede, por sí mismo, implicar que haya un error grave o un defecto manifiesto y serio”. Agrega que el mero hecho de que el juicio concluyera en una absolución no constituye una razón válida para concluir </w:t>
      </w:r>
      <w:r w:rsidRPr="009B3FD8">
        <w:rPr>
          <w:rFonts w:ascii="Cambria" w:eastAsia="Cambria" w:hAnsi="Cambria" w:cs="Cambria"/>
          <w:sz w:val="20"/>
          <w:szCs w:val="20"/>
          <w:lang w:val="es-ES_tradnl"/>
        </w:rPr>
        <w:t>prima facie</w:t>
      </w:r>
      <w:r>
        <w:rPr>
          <w:rFonts w:ascii="Cambria" w:eastAsia="Cambria" w:hAnsi="Cambria" w:cs="Cambria"/>
          <w:sz w:val="20"/>
          <w:szCs w:val="20"/>
          <w:lang w:val="es-ES_tradnl"/>
        </w:rPr>
        <w:t xml:space="preserve"> que el Estado no realizó una investigación o un procesamiento de forma eficaz.</w:t>
      </w:r>
    </w:p>
    <w:p w:rsidR="00B00722" w:rsidRPr="009B3FD8" w:rsidRDefault="009B3FD8">
      <w:pPr>
        <w:pStyle w:val="BodyA"/>
        <w:spacing w:before="240" w:after="240"/>
        <w:ind w:firstLine="720"/>
        <w:jc w:val="both"/>
        <w:rPr>
          <w:rFonts w:ascii="Cambria" w:eastAsia="Cambria" w:hAnsi="Cambria" w:cs="Cambria"/>
          <w:sz w:val="20"/>
          <w:szCs w:val="20"/>
          <w:lang w:val="es-419"/>
        </w:rPr>
      </w:pPr>
      <w:r>
        <w:rPr>
          <w:rFonts w:ascii="Cambria" w:eastAsia="Cambria" w:hAnsi="Cambria" w:cs="Cambria"/>
          <w:b/>
          <w:bCs/>
          <w:sz w:val="20"/>
          <w:szCs w:val="20"/>
          <w:lang w:val="es-ES_tradnl"/>
        </w:rPr>
        <w:t>VI.</w:t>
      </w:r>
      <w:r>
        <w:rPr>
          <w:rFonts w:ascii="Cambria" w:eastAsia="Cambria" w:hAnsi="Cambria" w:cs="Cambria"/>
          <w:b/>
          <w:bCs/>
          <w:sz w:val="20"/>
          <w:szCs w:val="20"/>
          <w:lang w:val="es-ES_tradnl"/>
        </w:rPr>
        <w:tab/>
        <w:t xml:space="preserve">AGOTAMIENTO DE LOS RECURSOS INTERNOS Y PLAZO DE PRESENTACIÓN </w:t>
      </w:r>
    </w:p>
    <w:p w:rsidR="00B00722" w:rsidRDefault="009B3FD8" w:rsidP="009B3FD8">
      <w:pPr>
        <w:pStyle w:val="BodyA"/>
        <w:numPr>
          <w:ilvl w:val="0"/>
          <w:numId w:val="2"/>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Las partes controvierten sobre el agotamiento de los recursos internos pues los peticionarios afirman que estos fueron agotados con la absolución del Detective Lewis el 18 de marzo de 2013, mientras que el Estado asevera que los peticionarios no agotaron los recursos civiles disponibles para obtener una indemnización.</w:t>
      </w:r>
    </w:p>
    <w:p w:rsidR="00B00722" w:rsidRDefault="009B3FD8" w:rsidP="009B3FD8">
      <w:pPr>
        <w:pStyle w:val="BodyA"/>
        <w:numPr>
          <w:ilvl w:val="0"/>
          <w:numId w:val="2"/>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En cuanto al argumento del Estado sobre la falta de agotamiento de la reparación civil, la Comisión reitera que, en situaciones como la presente, para acudir al sistema interamericano no se requiere agotar la acción civil, pues esta no repararía el reclamo principal de la petición sobre la presunta ejecución arbitraria d</w:t>
      </w:r>
      <w:r w:rsidRPr="009B3FD8">
        <w:rPr>
          <w:rFonts w:ascii="Cambria" w:eastAsia="Cambria" w:hAnsi="Cambria" w:cs="Cambria"/>
          <w:sz w:val="20"/>
          <w:szCs w:val="20"/>
          <w:lang w:val="es-ES_tradnl"/>
        </w:rPr>
        <w:t xml:space="preserve">e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seguida por la falta de diligencia debida en investigar, procesar y sancionar a los responsables, así como la demora en investigar. La Comisión reitera que, según los estándares internacionales aplicables a casos como el presente, en los que se alegan graves violaciones de los derechos humanos, como el homicidio, el recurso adecuado y eficaz es precisamente el inicio y desarrollo de una investigación penal eficaz cuyo objetivo sea esclarecer los hechos, y si corresponde, individualizar y procesar a los responsables.</w:t>
      </w:r>
    </w:p>
    <w:p w:rsidR="00B00722" w:rsidRDefault="009B3FD8" w:rsidP="009B3FD8">
      <w:pPr>
        <w:pStyle w:val="BodyA"/>
        <w:numPr>
          <w:ilvl w:val="0"/>
          <w:numId w:val="2"/>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En este caso, y a los fines del análisis de admisibilidad, la Comisión nota que los peticionarios agotaron todos los recursos disponibles en la legislación interna y que, en consecuencia, la petición cumple el requisito del artículo 46(1</w:t>
      </w:r>
      <w:proofErr w:type="gramStart"/>
      <w:r>
        <w:rPr>
          <w:rFonts w:ascii="Cambria" w:eastAsia="Cambria" w:hAnsi="Cambria" w:cs="Cambria"/>
          <w:sz w:val="20"/>
          <w:szCs w:val="20"/>
          <w:lang w:val="es-ES_tradnl"/>
        </w:rPr>
        <w:t>)(</w:t>
      </w:r>
      <w:proofErr w:type="gramEnd"/>
      <w:r>
        <w:rPr>
          <w:rFonts w:ascii="Cambria" w:eastAsia="Cambria" w:hAnsi="Cambria" w:cs="Cambria"/>
          <w:sz w:val="20"/>
          <w:szCs w:val="20"/>
          <w:lang w:val="es-ES_tradnl"/>
        </w:rPr>
        <w:t>a) de la Convención. En lo que respecta al plazo de presentación, la Comisión nota que la petición fue presentada el 17 de septiembre de 2013 y, por ende, dentro de los seis meses posteriores a la notificación de la sentencia firme (del 18 de marzo de 2013) que agotó los recursos internos. Así, la petición cumple el requisito del artículo 46(1</w:t>
      </w:r>
      <w:proofErr w:type="gramStart"/>
      <w:r>
        <w:rPr>
          <w:rFonts w:ascii="Cambria" w:eastAsia="Cambria" w:hAnsi="Cambria" w:cs="Cambria"/>
          <w:sz w:val="20"/>
          <w:szCs w:val="20"/>
          <w:lang w:val="es-ES_tradnl"/>
        </w:rPr>
        <w:t>)(</w:t>
      </w:r>
      <w:proofErr w:type="gramEnd"/>
      <w:r>
        <w:rPr>
          <w:rFonts w:ascii="Cambria" w:eastAsia="Cambria" w:hAnsi="Cambria" w:cs="Cambria"/>
          <w:sz w:val="20"/>
          <w:szCs w:val="20"/>
          <w:lang w:val="es-ES_tradnl"/>
        </w:rPr>
        <w:t>b) de la Convención.</w:t>
      </w:r>
    </w:p>
    <w:p w:rsidR="009B3FD8" w:rsidRDefault="009B3FD8">
      <w:pPr>
        <w:rPr>
          <w:rFonts w:ascii="Cambria" w:eastAsia="Cambria" w:hAnsi="Cambria" w:cs="Cambria"/>
          <w:b/>
          <w:bCs/>
          <w:color w:val="000000"/>
          <w:sz w:val="20"/>
          <w:szCs w:val="20"/>
          <w:u w:color="000000"/>
          <w:lang w:val="es-ES_tradnl"/>
        </w:rPr>
      </w:pPr>
      <w:r>
        <w:rPr>
          <w:b/>
          <w:bCs/>
          <w:sz w:val="20"/>
          <w:szCs w:val="20"/>
          <w:lang w:val="es-ES_tradnl"/>
        </w:rPr>
        <w:br w:type="page"/>
      </w:r>
    </w:p>
    <w:p w:rsidR="00B00722" w:rsidRDefault="009B3FD8">
      <w:pPr>
        <w:pStyle w:val="ListParagraph"/>
        <w:spacing w:before="240" w:after="240"/>
        <w:jc w:val="both"/>
        <w:rPr>
          <w:b/>
          <w:bCs/>
          <w:sz w:val="20"/>
          <w:szCs w:val="20"/>
          <w:lang w:val="es-ES_tradnl"/>
        </w:rPr>
      </w:pPr>
      <w:r>
        <w:rPr>
          <w:b/>
          <w:bCs/>
          <w:sz w:val="20"/>
          <w:szCs w:val="20"/>
          <w:lang w:val="es-ES_tradnl"/>
        </w:rPr>
        <w:lastRenderedPageBreak/>
        <w:t>VII.</w:t>
      </w:r>
      <w:r>
        <w:rPr>
          <w:b/>
          <w:bCs/>
          <w:sz w:val="20"/>
          <w:szCs w:val="20"/>
          <w:lang w:val="es-ES_tradnl"/>
        </w:rPr>
        <w:tab/>
        <w:t>CARACTERIZACIÓN</w:t>
      </w:r>
    </w:p>
    <w:p w:rsidR="00B00722" w:rsidRDefault="009B3FD8" w:rsidP="009B3FD8">
      <w:pPr>
        <w:pStyle w:val="BodyA"/>
        <w:numPr>
          <w:ilvl w:val="0"/>
          <w:numId w:val="2"/>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 La Comisión nota que la petición incluye alegatos de a) la ejecución arbitraria </w:t>
      </w:r>
      <w:proofErr w:type="spellStart"/>
      <w:r>
        <w:rPr>
          <w:rFonts w:ascii="Cambria" w:eastAsia="Cambria" w:hAnsi="Cambria" w:cs="Cambria"/>
          <w:sz w:val="20"/>
          <w:szCs w:val="20"/>
          <w:lang w:val="es-ES_tradnl"/>
        </w:rPr>
        <w:t>d</w:t>
      </w:r>
      <w:r w:rsidRPr="009B3FD8">
        <w:rPr>
          <w:rFonts w:ascii="Cambria" w:eastAsia="Cambria" w:hAnsi="Cambria" w:cs="Cambria"/>
          <w:sz w:val="20"/>
          <w:szCs w:val="20"/>
          <w:lang w:val="es-ES_tradnl"/>
        </w:rPr>
        <w:t>e</w:t>
      </w:r>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b) largas demoras (de hasta 15 año</w:t>
      </w:r>
      <w:r w:rsidRPr="009B3FD8">
        <w:rPr>
          <w:rFonts w:ascii="Cambria" w:eastAsia="Cambria" w:hAnsi="Cambria" w:cs="Cambria"/>
          <w:sz w:val="20"/>
          <w:szCs w:val="20"/>
          <w:lang w:val="es-ES_tradnl"/>
        </w:rPr>
        <w:t>s</w:t>
      </w:r>
      <w:r>
        <w:rPr>
          <w:rFonts w:ascii="Cambria" w:eastAsia="Cambria" w:hAnsi="Cambria" w:cs="Cambria"/>
          <w:sz w:val="20"/>
          <w:szCs w:val="20"/>
          <w:lang w:val="es-ES_tradnl"/>
        </w:rPr>
        <w:t xml:space="preserve">) al igual que deficiencias graves en los procesos de instrucción/judicial iniciados por el deceso </w:t>
      </w:r>
      <w:proofErr w:type="spellStart"/>
      <w:r>
        <w:rPr>
          <w:rFonts w:ascii="Cambria" w:eastAsia="Cambria" w:hAnsi="Cambria" w:cs="Cambria"/>
          <w:sz w:val="20"/>
          <w:szCs w:val="20"/>
          <w:lang w:val="es-ES_tradnl"/>
        </w:rPr>
        <w:t>dHapete</w:t>
      </w:r>
      <w:proofErr w:type="spellEnd"/>
      <w:r>
        <w:rPr>
          <w:rFonts w:ascii="Cambria" w:eastAsia="Cambria" w:hAnsi="Cambria" w:cs="Cambria"/>
          <w:sz w:val="20"/>
          <w:szCs w:val="20"/>
          <w:lang w:val="es-ES_tradnl"/>
        </w:rPr>
        <w:t>. El Estado no controvierte sobre el tiempo transcurrido entre la muerte d</w:t>
      </w:r>
      <w:r w:rsidRPr="009B3FD8">
        <w:rPr>
          <w:rFonts w:ascii="Cambria" w:eastAsia="Cambria" w:hAnsi="Cambria" w:cs="Cambria"/>
          <w:sz w:val="20"/>
          <w:szCs w:val="20"/>
          <w:lang w:val="es-ES_tradnl"/>
        </w:rPr>
        <w:t xml:space="preserve">e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y la finalización del juicio penal, así como tampoco discute o justifica las demoras en la investigación judicial. El Estado tampoco discute la afirmación de los peticionarios sobre la exclusión de varios testigos en el juicio al Detective Lewis. En este sentido, el Estado insiste que el fiscal tenía autoridad para determinar a discreción cuáles testigos convocar (o no convocar). Si bien la Comisión comprende esta discrecionalidad, le preocupa el hecho de que la decisión del fiscal de no convocar a testigos relevantes podría haber socavado, </w:t>
      </w:r>
      <w:r w:rsidRPr="009B3FD8">
        <w:rPr>
          <w:rFonts w:ascii="Cambria" w:eastAsia="Cambria" w:hAnsi="Cambria" w:cs="Cambria"/>
          <w:sz w:val="20"/>
          <w:szCs w:val="20"/>
          <w:lang w:val="es-ES_tradnl"/>
        </w:rPr>
        <w:t>prima facie</w:t>
      </w:r>
      <w:r>
        <w:rPr>
          <w:rFonts w:ascii="Cambria" w:eastAsia="Cambria" w:hAnsi="Cambria" w:cs="Cambria"/>
          <w:sz w:val="20"/>
          <w:szCs w:val="20"/>
          <w:lang w:val="es-ES_tradnl"/>
        </w:rPr>
        <w:t xml:space="preserve">, el derecho al debido proceso, en detrimento </w:t>
      </w:r>
      <w:proofErr w:type="spellStart"/>
      <w:r>
        <w:rPr>
          <w:rFonts w:ascii="Cambria" w:eastAsia="Cambria" w:hAnsi="Cambria" w:cs="Cambria"/>
          <w:sz w:val="20"/>
          <w:szCs w:val="20"/>
          <w:lang w:val="es-ES_tradnl"/>
        </w:rPr>
        <w:t>d</w:t>
      </w:r>
      <w:r w:rsidRPr="009B3FD8">
        <w:rPr>
          <w:rFonts w:ascii="Cambria" w:eastAsia="Cambria" w:hAnsi="Cambria" w:cs="Cambria"/>
          <w:sz w:val="20"/>
          <w:szCs w:val="20"/>
          <w:lang w:val="es-ES_tradnl"/>
        </w:rPr>
        <w:t>e</w:t>
      </w:r>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y sus familiares. De modo similar, la Comisión considera que las demoras en la investigación penal también podrían haber dado lugar a violaciones similares de la Convención Americana.</w:t>
      </w:r>
    </w:p>
    <w:p w:rsidR="00B00722" w:rsidRDefault="009B3FD8" w:rsidP="009B3FD8">
      <w:pPr>
        <w:pStyle w:val="BodyA"/>
        <w:numPr>
          <w:ilvl w:val="0"/>
          <w:numId w:val="2"/>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En vista de los elementos de hecho y de derecho expuestos por las partes y la naturaleza del asunto puesto bajo su conocimiento, la CIDH considera que los alegatos de la presunta ejecución extrajudicial, las demoras en la investigación, la exclusión de prueba relevante en el juicio y la presunta falta del Estado de adoptar medidas para proteger los derechos d</w:t>
      </w:r>
      <w:r w:rsidRPr="009B3FD8">
        <w:rPr>
          <w:rFonts w:ascii="Cambria" w:eastAsia="Cambria" w:hAnsi="Cambria" w:cs="Cambria"/>
          <w:sz w:val="20"/>
          <w:szCs w:val="20"/>
          <w:lang w:val="es-ES_tradnl"/>
        </w:rPr>
        <w:t xml:space="preserve">e </w:t>
      </w:r>
      <w:proofErr w:type="spellStart"/>
      <w:r>
        <w:rPr>
          <w:rFonts w:ascii="Cambria" w:eastAsia="Cambria" w:hAnsi="Cambria" w:cs="Cambria"/>
          <w:sz w:val="20"/>
          <w:szCs w:val="20"/>
          <w:lang w:val="es-ES_tradnl"/>
        </w:rPr>
        <w:t>Hapete</w:t>
      </w:r>
      <w:proofErr w:type="spellEnd"/>
      <w:r>
        <w:rPr>
          <w:rFonts w:ascii="Cambria" w:eastAsia="Cambria" w:hAnsi="Cambria" w:cs="Cambria"/>
          <w:sz w:val="20"/>
          <w:szCs w:val="20"/>
          <w:lang w:val="es-ES_tradnl"/>
        </w:rPr>
        <w:t xml:space="preserve"> en su calidad de menor de edad no son manifiestamente infundados sino que requieren un análisis de fondo, pues si se corroboran como ciertos, todos podrían configurar violaciones de los derechos consagrados en los artículos 4 (vida), 5 (integridad personal), 8 (garantías judiciales), 19 (derechos del niño) y 25 (protección judicial) de la Convención, en relación con los artículos 1(1) (obligación de respetar los derechos) y 2 (deber de adoptar disposiciones de derecho interno) del mismo tratado.</w:t>
      </w:r>
    </w:p>
    <w:p w:rsidR="00B00722" w:rsidRDefault="009B3FD8">
      <w:pPr>
        <w:pStyle w:val="ListParagraph"/>
        <w:spacing w:before="240" w:after="240"/>
        <w:jc w:val="both"/>
        <w:rPr>
          <w:b/>
          <w:bCs/>
          <w:sz w:val="20"/>
          <w:szCs w:val="20"/>
          <w:lang w:val="es-ES_tradnl"/>
        </w:rPr>
      </w:pPr>
      <w:r>
        <w:rPr>
          <w:b/>
          <w:bCs/>
          <w:sz w:val="20"/>
          <w:szCs w:val="20"/>
          <w:lang w:val="es-ES_tradnl"/>
        </w:rPr>
        <w:t xml:space="preserve">VIII. </w:t>
      </w:r>
      <w:r>
        <w:rPr>
          <w:b/>
          <w:bCs/>
          <w:sz w:val="20"/>
          <w:szCs w:val="20"/>
          <w:lang w:val="es-ES_tradnl"/>
        </w:rPr>
        <w:tab/>
        <w:t>DECISIÓN</w:t>
      </w:r>
    </w:p>
    <w:p w:rsidR="00B00722" w:rsidRDefault="009B3FD8" w:rsidP="00FF1436">
      <w:pPr>
        <w:pStyle w:val="BodyA"/>
        <w:numPr>
          <w:ilvl w:val="0"/>
          <w:numId w:val="5"/>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Declarar admisible la presente petición en relación con los artículos 4, 5, 8, 19 y 25 de la Convención Americana en concordancia con sus artículos 1(1) y 2;</w:t>
      </w:r>
    </w:p>
    <w:p w:rsidR="00B00722" w:rsidRDefault="009B3FD8" w:rsidP="009B3FD8">
      <w:pPr>
        <w:pStyle w:val="BodyA"/>
        <w:numPr>
          <w:ilvl w:val="0"/>
          <w:numId w:val="5"/>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rsidR="009B3FD8" w:rsidRDefault="009B3FD8" w:rsidP="009B3FD8">
      <w:pPr>
        <w:pStyle w:val="BodyA"/>
        <w:tabs>
          <w:tab w:val="left" w:pos="0"/>
        </w:tabs>
        <w:suppressAutoHyphens/>
        <w:spacing w:after="240"/>
        <w:jc w:val="both"/>
        <w:rPr>
          <w:rFonts w:ascii="Cambria" w:eastAsia="Cambria" w:hAnsi="Cambria" w:cs="Cambria"/>
          <w:sz w:val="20"/>
          <w:szCs w:val="20"/>
          <w:lang w:val="es-ES_tradnl"/>
        </w:rPr>
      </w:pPr>
      <w:r>
        <w:rPr>
          <w:rFonts w:ascii="Cambria" w:eastAsia="Cambria" w:hAnsi="Cambria" w:cs="Cambria"/>
          <w:sz w:val="20"/>
          <w:szCs w:val="20"/>
          <w:lang w:val="es-ES_tradnl"/>
        </w:rPr>
        <w:tab/>
      </w:r>
      <w:r w:rsidRPr="009B3FD8">
        <w:rPr>
          <w:rFonts w:ascii="Cambria" w:eastAsia="Cambria" w:hAnsi="Cambria" w:cs="Cambria"/>
          <w:sz w:val="20"/>
          <w:szCs w:val="20"/>
          <w:lang w:val="es-ES_tradnl"/>
        </w:rPr>
        <w:t xml:space="preserve">Aprobado por la Comisión Interamericana de Derechos Humanos a los </w:t>
      </w:r>
      <w:r>
        <w:rPr>
          <w:rFonts w:ascii="Cambria" w:eastAsia="Cambria" w:hAnsi="Cambria" w:cs="Cambria"/>
          <w:sz w:val="20"/>
          <w:szCs w:val="20"/>
          <w:lang w:val="es-ES_tradnl"/>
        </w:rPr>
        <w:t>24</w:t>
      </w:r>
      <w:r w:rsidRPr="009B3FD8">
        <w:rPr>
          <w:rFonts w:ascii="Cambria" w:eastAsia="Cambria" w:hAnsi="Cambria" w:cs="Cambria"/>
          <w:sz w:val="20"/>
          <w:szCs w:val="20"/>
          <w:lang w:val="es-ES_tradnl"/>
        </w:rPr>
        <w:t xml:space="preserve"> días del mes de </w:t>
      </w:r>
      <w:r>
        <w:rPr>
          <w:rFonts w:ascii="Cambria" w:eastAsia="Cambria" w:hAnsi="Cambria" w:cs="Cambria"/>
          <w:sz w:val="20"/>
          <w:szCs w:val="20"/>
          <w:lang w:val="es-ES_tradnl"/>
        </w:rPr>
        <w:t>abril</w:t>
      </w:r>
      <w:r w:rsidRPr="009B3FD8">
        <w:rPr>
          <w:rFonts w:ascii="Cambria" w:eastAsia="Cambria" w:hAnsi="Cambria" w:cs="Cambria"/>
          <w:sz w:val="20"/>
          <w:szCs w:val="20"/>
          <w:lang w:val="es-ES_tradnl"/>
        </w:rPr>
        <w:t xml:space="preserve"> de 2020.  (Firmado): Joel Hernández, Presidente; Antonia Urrejola, Primera Vicepresidenta; </w:t>
      </w:r>
      <w:proofErr w:type="spellStart"/>
      <w:r w:rsidRPr="009B3FD8">
        <w:rPr>
          <w:rFonts w:ascii="Cambria" w:eastAsia="Cambria" w:hAnsi="Cambria" w:cs="Cambria"/>
          <w:sz w:val="20"/>
          <w:szCs w:val="20"/>
          <w:lang w:val="es-ES_tradnl"/>
        </w:rPr>
        <w:t>Flávia</w:t>
      </w:r>
      <w:proofErr w:type="spellEnd"/>
      <w:r w:rsidRPr="009B3FD8">
        <w:rPr>
          <w:rFonts w:ascii="Cambria" w:eastAsia="Cambria" w:hAnsi="Cambria" w:cs="Cambria"/>
          <w:sz w:val="20"/>
          <w:szCs w:val="20"/>
          <w:lang w:val="es-ES_tradnl"/>
        </w:rPr>
        <w:t xml:space="preserve"> </w:t>
      </w:r>
      <w:proofErr w:type="spellStart"/>
      <w:r w:rsidRPr="009B3FD8">
        <w:rPr>
          <w:rFonts w:ascii="Cambria" w:eastAsia="Cambria" w:hAnsi="Cambria" w:cs="Cambria"/>
          <w:sz w:val="20"/>
          <w:szCs w:val="20"/>
          <w:lang w:val="es-ES_tradnl"/>
        </w:rPr>
        <w:t>Piovesan</w:t>
      </w:r>
      <w:proofErr w:type="spellEnd"/>
      <w:r w:rsidRPr="009B3FD8">
        <w:rPr>
          <w:rFonts w:ascii="Cambria" w:eastAsia="Cambria" w:hAnsi="Cambria" w:cs="Cambria"/>
          <w:sz w:val="20"/>
          <w:szCs w:val="20"/>
          <w:lang w:val="es-ES_tradnl"/>
        </w:rPr>
        <w:t xml:space="preserve">, Segunda Vicepresidenta; Esmeralda E. Arosemena Bernal de </w:t>
      </w:r>
      <w:proofErr w:type="spellStart"/>
      <w:r w:rsidRPr="009B3FD8">
        <w:rPr>
          <w:rFonts w:ascii="Cambria" w:eastAsia="Cambria" w:hAnsi="Cambria" w:cs="Cambria"/>
          <w:sz w:val="20"/>
          <w:szCs w:val="20"/>
          <w:lang w:val="es-ES_tradnl"/>
        </w:rPr>
        <w:t>Troitiño</w:t>
      </w:r>
      <w:proofErr w:type="spellEnd"/>
      <w:r w:rsidRPr="009B3FD8">
        <w:rPr>
          <w:rFonts w:ascii="Cambria" w:eastAsia="Cambria" w:hAnsi="Cambria" w:cs="Cambria"/>
          <w:sz w:val="20"/>
          <w:szCs w:val="20"/>
          <w:lang w:val="es-ES_tradnl"/>
        </w:rPr>
        <w:t xml:space="preserve">, Julissa Mantilla Falcón y </w:t>
      </w:r>
      <w:proofErr w:type="spellStart"/>
      <w:r w:rsidRPr="009B3FD8">
        <w:rPr>
          <w:rFonts w:ascii="Cambria" w:eastAsia="Cambria" w:hAnsi="Cambria" w:cs="Cambria"/>
          <w:sz w:val="20"/>
          <w:szCs w:val="20"/>
          <w:lang w:val="es-ES_tradnl"/>
        </w:rPr>
        <w:t>Stuardo</w:t>
      </w:r>
      <w:proofErr w:type="spellEnd"/>
      <w:r w:rsidRPr="009B3FD8">
        <w:rPr>
          <w:rFonts w:ascii="Cambria" w:eastAsia="Cambria" w:hAnsi="Cambria" w:cs="Cambria"/>
          <w:sz w:val="20"/>
          <w:szCs w:val="20"/>
          <w:lang w:val="es-ES_tradnl"/>
        </w:rPr>
        <w:t xml:space="preserve"> </w:t>
      </w:r>
      <w:proofErr w:type="spellStart"/>
      <w:r w:rsidRPr="009B3FD8">
        <w:rPr>
          <w:rFonts w:ascii="Cambria" w:eastAsia="Cambria" w:hAnsi="Cambria" w:cs="Cambria"/>
          <w:sz w:val="20"/>
          <w:szCs w:val="20"/>
          <w:lang w:val="es-ES_tradnl"/>
        </w:rPr>
        <w:t>Ralón</w:t>
      </w:r>
      <w:proofErr w:type="spellEnd"/>
      <w:r w:rsidRPr="009B3FD8">
        <w:rPr>
          <w:rFonts w:ascii="Cambria" w:eastAsia="Cambria" w:hAnsi="Cambria" w:cs="Cambria"/>
          <w:sz w:val="20"/>
          <w:szCs w:val="20"/>
          <w:lang w:val="es-ES_tradnl"/>
        </w:rPr>
        <w:t xml:space="preserve"> Orellana, Miembros de la Comisión.</w:t>
      </w:r>
    </w:p>
    <w:sectPr w:rsidR="009B3FD8">
      <w:type w:val="oddPag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EAA" w:rsidRDefault="006C6EAA">
      <w:r>
        <w:separator/>
      </w:r>
    </w:p>
  </w:endnote>
  <w:endnote w:type="continuationSeparator" w:id="0">
    <w:p w:rsidR="006C6EAA" w:rsidRDefault="006C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F5" w:rsidRDefault="009E3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22" w:rsidRDefault="009B3FD8">
    <w:pPr>
      <w:pStyle w:val="Footer"/>
      <w:jc w:val="center"/>
    </w:pPr>
    <w:r>
      <w:rPr>
        <w:sz w:val="16"/>
        <w:szCs w:val="16"/>
      </w:rPr>
      <w:fldChar w:fldCharType="begin"/>
    </w:r>
    <w:r>
      <w:rPr>
        <w:sz w:val="16"/>
        <w:szCs w:val="16"/>
      </w:rPr>
      <w:instrText xml:space="preserve"> PAGE </w:instrText>
    </w:r>
    <w:r>
      <w:rPr>
        <w:sz w:val="16"/>
        <w:szCs w:val="16"/>
      </w:rPr>
      <w:fldChar w:fldCharType="separate"/>
    </w:r>
    <w:r w:rsidR="009E3EF5">
      <w:rPr>
        <w:noProof/>
        <w:sz w:val="16"/>
        <w:szCs w:val="16"/>
      </w:rPr>
      <w:t>3</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22" w:rsidRDefault="00B0072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EAA" w:rsidRDefault="006C6EAA">
      <w:r>
        <w:separator/>
      </w:r>
    </w:p>
  </w:footnote>
  <w:footnote w:type="continuationSeparator" w:id="0">
    <w:p w:rsidR="006C6EAA" w:rsidRDefault="006C6EAA">
      <w:r>
        <w:continuationSeparator/>
      </w:r>
    </w:p>
  </w:footnote>
  <w:footnote w:type="continuationNotice" w:id="1">
    <w:p w:rsidR="006C6EAA" w:rsidRDefault="006C6EAA"/>
  </w:footnote>
  <w:footnote w:id="2">
    <w:p w:rsidR="00D059BC" w:rsidRPr="00D059BC" w:rsidRDefault="00D059BC">
      <w:pPr>
        <w:pStyle w:val="FootnoteText"/>
        <w:rPr>
          <w:lang w:val="es-419"/>
        </w:rPr>
      </w:pPr>
      <w:r>
        <w:tab/>
      </w:r>
      <w:r>
        <w:rPr>
          <w:rStyle w:val="FootnoteReference"/>
        </w:rPr>
        <w:footnoteRef/>
      </w:r>
      <w:r w:rsidRPr="00D059BC">
        <w:rPr>
          <w:rFonts w:ascii="Cambria" w:hAnsi="Cambria"/>
          <w:color w:val="auto"/>
          <w:sz w:val="16"/>
          <w:szCs w:val="16"/>
          <w:lang w:val="es-ES"/>
        </w:rPr>
        <w:t xml:space="preserve"> </w:t>
      </w:r>
      <w:r w:rsidRPr="00E54B56">
        <w:rPr>
          <w:rFonts w:ascii="Cambria" w:hAnsi="Cambria"/>
          <w:color w:val="auto"/>
          <w:sz w:val="16"/>
          <w:szCs w:val="16"/>
          <w:lang w:val="es-ES"/>
        </w:rPr>
        <w:t>Conforme a lo dispuesto en el artículo 17.2.a del Reglament</w:t>
      </w:r>
      <w:r>
        <w:rPr>
          <w:rFonts w:ascii="Cambria" w:hAnsi="Cambria"/>
          <w:color w:val="auto"/>
          <w:sz w:val="16"/>
          <w:szCs w:val="16"/>
          <w:lang w:val="es-ES"/>
        </w:rPr>
        <w:t>o de la Comisión, la Comisionada</w:t>
      </w:r>
      <w:r w:rsidRPr="00E54B56">
        <w:rPr>
          <w:rFonts w:ascii="Cambria" w:hAnsi="Cambria"/>
          <w:color w:val="auto"/>
          <w:sz w:val="16"/>
          <w:szCs w:val="16"/>
          <w:lang w:val="es-ES"/>
        </w:rPr>
        <w:t xml:space="preserve"> </w:t>
      </w:r>
      <w:r w:rsidRPr="00D059BC">
        <w:rPr>
          <w:rFonts w:ascii="Cambria" w:hAnsi="Cambria"/>
          <w:sz w:val="16"/>
          <w:szCs w:val="16"/>
          <w:lang w:val="es-419"/>
        </w:rPr>
        <w:t>Margarette May Macaulay</w:t>
      </w:r>
      <w:r w:rsidRPr="00E54B56">
        <w:rPr>
          <w:rFonts w:ascii="Cambria" w:hAnsi="Cambria"/>
          <w:color w:val="auto"/>
          <w:sz w:val="16"/>
          <w:szCs w:val="16"/>
          <w:lang w:val="es-ES"/>
        </w:rPr>
        <w:t xml:space="preserve">, de nacionalidad </w:t>
      </w:r>
      <w:r>
        <w:rPr>
          <w:rFonts w:ascii="Cambria" w:hAnsi="Cambria"/>
          <w:color w:val="auto"/>
          <w:sz w:val="16"/>
          <w:szCs w:val="16"/>
          <w:lang w:val="es-ES"/>
        </w:rPr>
        <w:t>jamai</w:t>
      </w:r>
      <w:r w:rsidRPr="00E54B56">
        <w:rPr>
          <w:rFonts w:ascii="Cambria" w:hAnsi="Cambria"/>
          <w:color w:val="auto"/>
          <w:sz w:val="16"/>
          <w:szCs w:val="16"/>
          <w:lang w:val="es-ES"/>
        </w:rPr>
        <w:t>cana, no participó en el debate ni en la decisión del presente asunto.</w:t>
      </w:r>
      <w:r w:rsidRPr="00D059BC">
        <w:rPr>
          <w:lang w:val="es-419"/>
        </w:rPr>
        <w:t xml:space="preserve"> </w:t>
      </w:r>
    </w:p>
  </w:footnote>
  <w:footnote w:id="3">
    <w:p w:rsidR="00B00722" w:rsidRPr="009B3FD8" w:rsidRDefault="009B3FD8">
      <w:pPr>
        <w:pStyle w:val="FootnoteText"/>
        <w:ind w:firstLine="709"/>
        <w:jc w:val="both"/>
        <w:rPr>
          <w:lang w:val="es-419"/>
        </w:rPr>
      </w:pPr>
      <w:r w:rsidRPr="009B3FD8">
        <w:rPr>
          <w:rFonts w:ascii="Cambria" w:eastAsia="Cambria" w:hAnsi="Cambria" w:cs="Cambria"/>
          <w:bCs/>
          <w:vertAlign w:val="superscript"/>
          <w:lang w:val="es-ES_tradnl"/>
        </w:rPr>
        <w:footnoteRef/>
      </w:r>
      <w:r>
        <w:rPr>
          <w:rFonts w:ascii="Cambria" w:eastAsia="Cambria" w:hAnsi="Cambria" w:cs="Cambria"/>
          <w:sz w:val="16"/>
          <w:szCs w:val="16"/>
          <w:lang w:val="es-ES_tradnl"/>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F5" w:rsidRDefault="009E3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22" w:rsidRDefault="009B3FD8">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0" b="0"/>
          <wp:docPr id="1073741825" name="officeArt object"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1073741825" name="image1.jpeg" descr="C:\Users\mfontana\Documents\Eva Fontana\GRAFICA CIDH\cartas\logos\cidh-peq.jpg"/>
                  <pic:cNvPicPr>
                    <a:picLocks noChangeAspect="1"/>
                  </pic:cNvPicPr>
                </pic:nvPicPr>
                <pic:blipFill>
                  <a:blip r:embed="rId1">
                    <a:extLst/>
                  </a:blip>
                  <a:stretch>
                    <a:fillRect/>
                  </a:stretch>
                </pic:blipFill>
                <pic:spPr>
                  <a:xfrm>
                    <a:off x="0" y="0"/>
                    <a:ext cx="1972237" cy="104775"/>
                  </a:xfrm>
                  <a:prstGeom prst="rect">
                    <a:avLst/>
                  </a:prstGeom>
                  <a:ln w="12700" cap="flat">
                    <a:noFill/>
                    <a:miter lim="400000"/>
                  </a:ln>
                  <a:effectLst/>
                </pic:spPr>
              </pic:pic>
            </a:graphicData>
          </a:graphic>
        </wp:inline>
      </w:drawing>
    </w:r>
  </w:p>
  <w:p w:rsidR="00B00722" w:rsidRDefault="009B3FD8">
    <w:pPr>
      <w:pStyle w:val="Header"/>
      <w:tabs>
        <w:tab w:val="clear" w:pos="4320"/>
        <w:tab w:val="clear" w:pos="8640"/>
      </w:tabs>
      <w:jc w:val="center"/>
    </w:pPr>
    <w:r>
      <w:rPr>
        <w:noProof/>
        <w:sz w:val="22"/>
        <w:szCs w:val="22"/>
      </w:rPr>
      <mc:AlternateContent>
        <mc:Choice Requires="wps">
          <w:drawing>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4"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22" w:rsidRDefault="00B0072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15DE1"/>
    <w:multiLevelType w:val="hybridMultilevel"/>
    <w:tmpl w:val="93A21B00"/>
    <w:lvl w:ilvl="0" w:tplc="3D1E16C0">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2C46610">
      <w:start w:val="1"/>
      <w:numFmt w:val="lowerLetter"/>
      <w:lvlText w:val="%2."/>
      <w:lvlJc w:val="left"/>
      <w:pPr>
        <w:tabs>
          <w:tab w:val="left" w:pos="720"/>
          <w:tab w:val="left" w:pos="144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28EF89A">
      <w:start w:val="1"/>
      <w:numFmt w:val="lowerRoman"/>
      <w:lvlText w:val="%3."/>
      <w:lvlJc w:val="left"/>
      <w:pPr>
        <w:tabs>
          <w:tab w:val="left" w:pos="720"/>
          <w:tab w:val="left" w:pos="144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9888EE">
      <w:start w:val="1"/>
      <w:numFmt w:val="decimal"/>
      <w:lvlText w:val="%4."/>
      <w:lvlJc w:val="left"/>
      <w:pPr>
        <w:tabs>
          <w:tab w:val="left" w:pos="720"/>
          <w:tab w:val="left" w:pos="144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994526C">
      <w:start w:val="1"/>
      <w:numFmt w:val="lowerLetter"/>
      <w:lvlText w:val="%5."/>
      <w:lvlJc w:val="left"/>
      <w:pPr>
        <w:tabs>
          <w:tab w:val="left" w:pos="720"/>
          <w:tab w:val="left" w:pos="144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17A0A2A">
      <w:start w:val="1"/>
      <w:numFmt w:val="lowerRoman"/>
      <w:lvlText w:val="%6."/>
      <w:lvlJc w:val="left"/>
      <w:pPr>
        <w:tabs>
          <w:tab w:val="left" w:pos="720"/>
          <w:tab w:val="left" w:pos="144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F3883E2">
      <w:start w:val="1"/>
      <w:numFmt w:val="decimal"/>
      <w:lvlText w:val="%7."/>
      <w:lvlJc w:val="left"/>
      <w:pPr>
        <w:tabs>
          <w:tab w:val="left" w:pos="720"/>
          <w:tab w:val="left" w:pos="144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D1ACE68">
      <w:start w:val="1"/>
      <w:numFmt w:val="lowerLetter"/>
      <w:lvlText w:val="%8."/>
      <w:lvlJc w:val="left"/>
      <w:pPr>
        <w:tabs>
          <w:tab w:val="left" w:pos="720"/>
          <w:tab w:val="left" w:pos="144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26017D8">
      <w:start w:val="1"/>
      <w:numFmt w:val="lowerRoman"/>
      <w:lvlText w:val="%9."/>
      <w:lvlJc w:val="left"/>
      <w:pPr>
        <w:tabs>
          <w:tab w:val="left" w:pos="720"/>
          <w:tab w:val="left" w:pos="144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7C926A3"/>
    <w:multiLevelType w:val="hybridMultilevel"/>
    <w:tmpl w:val="D07E24C2"/>
    <w:styleLink w:val="ImportedStyle2"/>
    <w:lvl w:ilvl="0" w:tplc="99B8D6F0">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1AA1AE0">
      <w:start w:val="1"/>
      <w:numFmt w:val="lowerLetter"/>
      <w:lvlText w:val="%2."/>
      <w:lvlJc w:val="left"/>
      <w:pPr>
        <w:tabs>
          <w:tab w:val="left" w:pos="720"/>
          <w:tab w:val="left" w:pos="144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9B6D316">
      <w:start w:val="1"/>
      <w:numFmt w:val="lowerRoman"/>
      <w:lvlText w:val="%3."/>
      <w:lvlJc w:val="left"/>
      <w:pPr>
        <w:tabs>
          <w:tab w:val="left" w:pos="720"/>
          <w:tab w:val="left" w:pos="144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19A3070">
      <w:start w:val="1"/>
      <w:numFmt w:val="decimal"/>
      <w:lvlText w:val="%4."/>
      <w:lvlJc w:val="left"/>
      <w:pPr>
        <w:tabs>
          <w:tab w:val="left" w:pos="720"/>
          <w:tab w:val="left" w:pos="144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300BBCC">
      <w:start w:val="1"/>
      <w:numFmt w:val="lowerLetter"/>
      <w:lvlText w:val="%5."/>
      <w:lvlJc w:val="left"/>
      <w:pPr>
        <w:tabs>
          <w:tab w:val="left" w:pos="720"/>
          <w:tab w:val="left" w:pos="144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D47C08">
      <w:start w:val="1"/>
      <w:numFmt w:val="lowerRoman"/>
      <w:lvlText w:val="%6."/>
      <w:lvlJc w:val="left"/>
      <w:pPr>
        <w:tabs>
          <w:tab w:val="left" w:pos="720"/>
          <w:tab w:val="left" w:pos="144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42292A6">
      <w:start w:val="1"/>
      <w:numFmt w:val="decimal"/>
      <w:lvlText w:val="%7."/>
      <w:lvlJc w:val="left"/>
      <w:pPr>
        <w:tabs>
          <w:tab w:val="left" w:pos="720"/>
          <w:tab w:val="left" w:pos="144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9627088">
      <w:start w:val="1"/>
      <w:numFmt w:val="lowerLetter"/>
      <w:lvlText w:val="%8."/>
      <w:lvlJc w:val="left"/>
      <w:pPr>
        <w:tabs>
          <w:tab w:val="left" w:pos="720"/>
          <w:tab w:val="left" w:pos="144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B3A490A">
      <w:start w:val="1"/>
      <w:numFmt w:val="lowerRoman"/>
      <w:lvlText w:val="%9."/>
      <w:lvlJc w:val="left"/>
      <w:pPr>
        <w:tabs>
          <w:tab w:val="left" w:pos="720"/>
          <w:tab w:val="left" w:pos="144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A4D6C6B"/>
    <w:multiLevelType w:val="hybridMultilevel"/>
    <w:tmpl w:val="BDA8811E"/>
    <w:numStyleLink w:val="ImportedStyle3"/>
  </w:abstractNum>
  <w:abstractNum w:abstractNumId="3" w15:restartNumberingAfterBreak="0">
    <w:nsid w:val="536A48EF"/>
    <w:multiLevelType w:val="hybridMultilevel"/>
    <w:tmpl w:val="D07E24C2"/>
    <w:numStyleLink w:val="ImportedStyle2"/>
  </w:abstractNum>
  <w:abstractNum w:abstractNumId="4" w15:restartNumberingAfterBreak="0">
    <w:nsid w:val="67FF7067"/>
    <w:multiLevelType w:val="hybridMultilevel"/>
    <w:tmpl w:val="BDA8811E"/>
    <w:styleLink w:val="ImportedStyle3"/>
    <w:lvl w:ilvl="0" w:tplc="E1F63124">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4F84448">
      <w:start w:val="1"/>
      <w:numFmt w:val="lowerLetter"/>
      <w:lvlText w:val="%2."/>
      <w:lvlJc w:val="left"/>
      <w:pPr>
        <w:tabs>
          <w:tab w:val="left" w:pos="720"/>
          <w:tab w:val="left" w:pos="144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7ECD5B4">
      <w:start w:val="1"/>
      <w:numFmt w:val="lowerRoman"/>
      <w:lvlText w:val="%3."/>
      <w:lvlJc w:val="left"/>
      <w:pPr>
        <w:tabs>
          <w:tab w:val="left" w:pos="720"/>
          <w:tab w:val="left" w:pos="144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8D6FBF0">
      <w:start w:val="1"/>
      <w:numFmt w:val="decimal"/>
      <w:lvlText w:val="%4."/>
      <w:lvlJc w:val="left"/>
      <w:pPr>
        <w:tabs>
          <w:tab w:val="left" w:pos="720"/>
          <w:tab w:val="left" w:pos="144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90E924A">
      <w:start w:val="1"/>
      <w:numFmt w:val="lowerLetter"/>
      <w:lvlText w:val="%5."/>
      <w:lvlJc w:val="left"/>
      <w:pPr>
        <w:tabs>
          <w:tab w:val="left" w:pos="720"/>
          <w:tab w:val="left" w:pos="144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044F7E">
      <w:start w:val="1"/>
      <w:numFmt w:val="lowerRoman"/>
      <w:lvlText w:val="%6."/>
      <w:lvlJc w:val="left"/>
      <w:pPr>
        <w:tabs>
          <w:tab w:val="left" w:pos="720"/>
          <w:tab w:val="left" w:pos="144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7CCE99E">
      <w:start w:val="1"/>
      <w:numFmt w:val="decimal"/>
      <w:lvlText w:val="%7."/>
      <w:lvlJc w:val="left"/>
      <w:pPr>
        <w:tabs>
          <w:tab w:val="left" w:pos="720"/>
          <w:tab w:val="left" w:pos="144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22CCD72">
      <w:start w:val="1"/>
      <w:numFmt w:val="lowerLetter"/>
      <w:lvlText w:val="%8."/>
      <w:lvlJc w:val="left"/>
      <w:pPr>
        <w:tabs>
          <w:tab w:val="left" w:pos="720"/>
          <w:tab w:val="left" w:pos="144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9B25B2E">
      <w:start w:val="1"/>
      <w:numFmt w:val="lowerRoman"/>
      <w:lvlText w:val="%9."/>
      <w:lvlJc w:val="left"/>
      <w:pPr>
        <w:tabs>
          <w:tab w:val="left" w:pos="720"/>
          <w:tab w:val="left" w:pos="144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22"/>
    <w:rsid w:val="006C6EAA"/>
    <w:rsid w:val="009B3FD8"/>
    <w:rsid w:val="009C706F"/>
    <w:rsid w:val="009E3EF5"/>
    <w:rsid w:val="00AF43DC"/>
    <w:rsid w:val="00B00722"/>
    <w:rsid w:val="00B81890"/>
    <w:rsid w:val="00D059BC"/>
    <w:rsid w:val="00FF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Arial" w:hAnsi="Arial" w:cs="Arial Unicode MS"/>
      <w:color w:val="000000"/>
      <w:sz w:val="24"/>
      <w:szCs w:val="24"/>
      <w:u w:color="000000"/>
    </w:rPr>
  </w:style>
  <w:style w:type="paragraph" w:styleId="Footer">
    <w:name w:val="footer"/>
    <w:pPr>
      <w:tabs>
        <w:tab w:val="center" w:pos="4513"/>
        <w:tab w:val="right" w:pos="9026"/>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paragraph" w:styleId="FootnoteText">
    <w:name w:val="footnote text"/>
    <w:rPr>
      <w:rFonts w:ascii="Calibri" w:eastAsia="Calibri" w:hAnsi="Calibri" w:cs="Calibri"/>
      <w:color w:val="000000"/>
      <w:u w:color="000000"/>
    </w:rPr>
  </w:style>
  <w:style w:type="numbering" w:customStyle="1" w:styleId="ImportedStyle2">
    <w:name w:val="Imported Style 2"/>
    <w:pPr>
      <w:numPr>
        <w:numId w:val="1"/>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3">
    <w:name w:val="Imported Style 3"/>
    <w:pPr>
      <w:numPr>
        <w:numId w:val="3"/>
      </w:numPr>
    </w:pPr>
  </w:style>
  <w:style w:type="character" w:styleId="FootnoteReference">
    <w:name w:val="footnote reference"/>
    <w:basedOn w:val="DefaultParagraphFont"/>
    <w:uiPriority w:val="99"/>
    <w:semiHidden/>
    <w:unhideWhenUsed/>
    <w:rsid w:val="00D05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1997</Words>
  <Characters>11388</Characters>
  <Application>Microsoft Office Word</Application>
  <DocSecurity>0</DocSecurity>
  <Lines>94</Lines>
  <Paragraphs>26</Paragraphs>
  <ScaleCrop>false</ScaleCrop>
  <Company/>
  <LinksUpToDate>false</LinksUpToDate>
  <CharactersWithSpaces>13359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124/20</dc:title>
  <cp:lastModifiedBy/>
  <cp:revision>1</cp:revision>
  <dcterms:created xsi:type="dcterms:W3CDTF">2020-07-10T14:34:00Z</dcterms:created>
  <dcterms:modified xsi:type="dcterms:W3CDTF">2020-07-10T14:34:00Z</dcterms:modified>
</cp:coreProperties>
</file>