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00722" w:rsidRDefault="009B3FD8">
      <w:pPr>
        <w:pStyle w:val="BodyA"/>
        <w:jc w:val="both"/>
        <w:rPr>
          <w:rFonts w:ascii="Cambria" w:eastAsia="Cambria" w:hAnsi="Cambria" w:cs="Cambria"/>
          <w:b/>
          <w:bCs/>
          <w:sz w:val="22"/>
          <w:szCs w:val="22"/>
        </w:rPr>
      </w:pPr>
      <w:r>
        <w:rPr>
          <w:rFonts w:ascii="Cambria" w:eastAsia="Cambria" w:hAnsi="Cambria" w:cs="Cambria"/>
          <w:noProof/>
          <w:sz w:val="22"/>
          <w:szCs w:val="22"/>
        </w:rPr>
        <mc:AlternateContent>
          <mc:Choice Requires="wps">
            <w:drawing>
              <wp:anchor distT="0" distB="0" distL="0" distR="0" simplePos="0" relativeHeight="251661312" behindDoc="0" locked="0" layoutInCell="1" allowOverlap="1">
                <wp:simplePos x="0" y="0"/>
                <wp:positionH relativeFrom="column">
                  <wp:posOffset>-416115</wp:posOffset>
                </wp:positionH>
                <wp:positionV relativeFrom="line">
                  <wp:posOffset>-439419</wp:posOffset>
                </wp:positionV>
                <wp:extent cx="1543050" cy="909637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id="_x0000_s1026" style="visibility:visible;position:absolute;margin-left:-32.8pt;margin-top:-34.6pt;width:121.5pt;height:716.2pt;z-index:251661312;mso-position-horizontal:absolute;mso-position-horizontal-relative:text;mso-position-vertical:absolute;mso-position-vertical-relative:line;mso-wrap-distance-left:0.0pt;mso-wrap-distance-top:0.0pt;mso-wrap-distance-right:0.0pt;mso-wrap-distance-bottom:0.0pt;">
                <v:fill color="#4A7194"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rFonts w:ascii="Cambria" w:eastAsia="Cambria" w:hAnsi="Cambria" w:cs="Cambria"/>
          <w:noProof/>
          <w:sz w:val="22"/>
          <w:szCs w:val="22"/>
        </w:rPr>
        <mc:AlternateContent>
          <mc:Choice Requires="wps">
            <w:drawing>
              <wp:anchor distT="0" distB="0" distL="0" distR="0" simplePos="0" relativeHeight="251665408" behindDoc="0" locked="0" layoutInCell="1" allowOverlap="1">
                <wp:simplePos x="0" y="0"/>
                <wp:positionH relativeFrom="column">
                  <wp:posOffset>1282063</wp:posOffset>
                </wp:positionH>
                <wp:positionV relativeFrom="line">
                  <wp:posOffset>-424179</wp:posOffset>
                </wp:positionV>
                <wp:extent cx="5248275" cy="902334"/>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5248275" cy="902334"/>
                        </a:xfrm>
                        <a:prstGeom prst="rect">
                          <a:avLst/>
                        </a:prstGeom>
                        <a:noFill/>
                        <a:ln w="12700" cap="flat">
                          <a:noFill/>
                          <a:miter lim="400000"/>
                        </a:ln>
                        <a:effectLst/>
                      </wps:spPr>
                      <wps:txbx>
                        <w:txbxContent>
                          <w:p w:rsidR="00B00722" w:rsidRDefault="00AF43DC">
                            <w:pPr>
                              <w:pStyle w:val="BodyA"/>
                            </w:pPr>
                            <w:r>
                              <w:rPr>
                                <w:noProof/>
                              </w:rPr>
                              <w:drawing>
                                <wp:inline distT="0" distB="0" distL="0" distR="0">
                                  <wp:extent cx="3379470" cy="797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dh-es.jpg"/>
                                          <pic:cNvPicPr/>
                                        </pic:nvPicPr>
                                        <pic:blipFill>
                                          <a:blip r:embed="rId7">
                                            <a:extLst>
                                              <a:ext uri="{28A0092B-C50C-407E-A947-70E740481C1C}">
                                                <a14:useLocalDpi xmlns:a14="http://schemas.microsoft.com/office/drawing/2010/main" val="0"/>
                                              </a:ext>
                                            </a:extLst>
                                          </a:blip>
                                          <a:stretch>
                                            <a:fillRect/>
                                          </a:stretch>
                                        </pic:blipFill>
                                        <pic:spPr>
                                          <a:xfrm>
                                            <a:off x="0" y="0"/>
                                            <a:ext cx="3379470" cy="797560"/>
                                          </a:xfrm>
                                          <a:prstGeom prst="rect">
                                            <a:avLst/>
                                          </a:prstGeom>
                                        </pic:spPr>
                                      </pic:pic>
                                    </a:graphicData>
                                  </a:graphic>
                                </wp:inline>
                              </w:drawing>
                            </w:r>
                          </w:p>
                        </w:txbxContent>
                      </wps:txbx>
                      <wps:bodyPr wrap="square" lIns="45718" tIns="45718" rIns="45718" bIns="45718" numCol="1" anchor="t">
                        <a:noAutofit/>
                      </wps:bodyPr>
                    </wps:wsp>
                  </a:graphicData>
                </a:graphic>
              </wp:anchor>
            </w:drawing>
          </mc:Choice>
          <mc:Fallback>
            <w:pict>
              <v:rect id="officeArt object" o:spid="_x0000_s1026" style="position:absolute;left:0;text-align:left;margin-left:100.95pt;margin-top:-33.4pt;width:413.25pt;height:71.05pt;z-index:2516654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G92wEAAKQDAAAOAAAAZHJzL2Uyb0RvYy54bWysU9uO0zAQfUfiHyy/01yakhI1Xa1YLUJC&#10;sNLCBziO3Rj5hu026d8zdrLdCN4QfXA9tufMnDMnh7tJSXRhzgujW1xscoyYpqYX+tTiH98f3+0x&#10;8oHonkijWYuvzOO749s3h9E2rDSDkT1zCEC0b0bb4iEE22SZpwNTxG+MZRouuXGKBAjdKesdGQFd&#10;yazM8/fZaFxvnaHMezh9mC/xMeFzzmj4xrlnAckWQ28hrS6tXVyz44E0J0fsIOjSBvmHLhQRGore&#10;oB5IIOjsxF9QSlBnvOFhQ43KDOeCssQB2BT5H2yeB2JZ4gLieHuTyf8/WPr18uSQ6GF2eb2tq2Jf&#10;wsQ0UTCrubt7F5DpfoKSUazR+gZynu2TWyIP28h84k7Ff8hCUxL4ehOYTQFRONyV1b6sdxhRuPuQ&#10;l9ttFUGz12zrfPjEjEJx02IXy0ZUcvniw/z05Uk81uZRSAnnpJEajcCirHOYMyXgJS7JnLx6pUQA&#10;v0mhWlzl8bfUlzpisOSYpVKkOpOLuzB108K4M/0VRBvBNS32v87EMYzkZw1jqXZ1AfqFdeDWQbcO&#10;9Fl9NGDMAiOi6WDAly8N35+D4SIxjtXnkqBUDMAKSbPFttFr6zi9ev24jr8BAAD//wMAUEsDBBQA&#10;BgAIAAAAIQAeBzr+4AAAAAsBAAAPAAAAZHJzL2Rvd25yZXYueG1sTI9BTsMwEEX3SNzBGiR2rd0U&#10;QghxKoToCokqaQ8wjYc4Iraj2GkDp8ddleVonv5/v9jMpmcnGn3nrITVUgAj2zjV2VbCYb9dZMB8&#10;QKuwd5Yk/JCHTXl7U2Cu3NlWdKpDy2KI9TlK0CEMOee+0WTQL91ANv6+3GgwxHNsuRrxHMNNzxMh&#10;Um6ws7FB40BvmprvejIS3g9u97Fdf/5me+9w0qba1WMl5f3d/PoCLNAcrjBc9KM6lNHp6CarPOsl&#10;JGL1HFEJizSNGy6ESLIHYEcJT49r4GXB/28o/wAAAP//AwBQSwECLQAUAAYACAAAACEAtoM4kv4A&#10;AADhAQAAEwAAAAAAAAAAAAAAAAAAAAAAW0NvbnRlbnRfVHlwZXNdLnhtbFBLAQItABQABgAIAAAA&#10;IQA4/SH/1gAAAJQBAAALAAAAAAAAAAAAAAAAAC8BAABfcmVscy8ucmVsc1BLAQItABQABgAIAAAA&#10;IQDcyTG92wEAAKQDAAAOAAAAAAAAAAAAAAAAAC4CAABkcnMvZTJvRG9jLnhtbFBLAQItABQABgAI&#10;AAAAIQAeBzr+4AAAAAsBAAAPAAAAAAAAAAAAAAAAADUEAABkcnMvZG93bnJldi54bWxQSwUGAAAA&#10;AAQABADzAAAAQgUAAAAA&#10;" filled="f" stroked="f" strokeweight="1pt">
                <v:stroke miterlimit="4"/>
                <v:textbox inset="1.2699mm,1.2699mm,1.2699mm,1.2699mm">
                  <w:txbxContent>
                    <w:p w:rsidR="00B00722" w:rsidRDefault="00AF43DC">
                      <w:pPr>
                        <w:pStyle w:val="BodyA"/>
                      </w:pPr>
                      <w:r>
                        <w:rPr>
                          <w:noProof/>
                        </w:rPr>
                        <w:drawing>
                          <wp:inline distT="0" distB="0" distL="0" distR="0">
                            <wp:extent cx="3379470" cy="797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dh-es.jpg"/>
                                    <pic:cNvPicPr/>
                                  </pic:nvPicPr>
                                  <pic:blipFill>
                                    <a:blip r:embed="rId7">
                                      <a:extLst>
                                        <a:ext uri="{28A0092B-C50C-407E-A947-70E740481C1C}">
                                          <a14:useLocalDpi xmlns:a14="http://schemas.microsoft.com/office/drawing/2010/main" val="0"/>
                                        </a:ext>
                                      </a:extLst>
                                    </a:blip>
                                    <a:stretch>
                                      <a:fillRect/>
                                    </a:stretch>
                                  </pic:blipFill>
                                  <pic:spPr>
                                    <a:xfrm>
                                      <a:off x="0" y="0"/>
                                      <a:ext cx="3379470" cy="797560"/>
                                    </a:xfrm>
                                    <a:prstGeom prst="rect">
                                      <a:avLst/>
                                    </a:prstGeom>
                                  </pic:spPr>
                                </pic:pic>
                              </a:graphicData>
                            </a:graphic>
                          </wp:inline>
                        </w:drawing>
                      </w:r>
                    </w:p>
                  </w:txbxContent>
                </v:textbox>
                <w10:wrap anchory="line"/>
              </v:rect>
            </w:pict>
          </mc:Fallback>
        </mc:AlternateContent>
      </w:r>
    </w:p>
    <w:p w:rsidR="00B00722" w:rsidRDefault="00B00722">
      <w:pPr>
        <w:pStyle w:val="BodyA"/>
        <w:tabs>
          <w:tab w:val="center" w:pos="5400"/>
        </w:tabs>
        <w:suppressAutoHyphens/>
        <w:jc w:val="both"/>
        <w:rPr>
          <w:rFonts w:ascii="Cambria" w:eastAsia="Cambria" w:hAnsi="Cambria" w:cs="Cambria"/>
          <w:sz w:val="22"/>
          <w:szCs w:val="22"/>
          <w:lang w:val="es-ES_tradnl"/>
        </w:rPr>
      </w:pPr>
    </w:p>
    <w:p w:rsidR="00B00722" w:rsidRDefault="00B00722">
      <w:pPr>
        <w:pStyle w:val="BodyA"/>
        <w:tabs>
          <w:tab w:val="center" w:pos="5400"/>
        </w:tabs>
        <w:suppressAutoHyphens/>
        <w:jc w:val="both"/>
        <w:rPr>
          <w:rFonts w:ascii="Cambria" w:eastAsia="Cambria" w:hAnsi="Cambria" w:cs="Cambria"/>
          <w:sz w:val="22"/>
          <w:szCs w:val="22"/>
          <w:lang w:val="es-ES_tradnl"/>
        </w:rPr>
      </w:pPr>
    </w:p>
    <w:p w:rsidR="00B00722" w:rsidRDefault="00B00722">
      <w:pPr>
        <w:pStyle w:val="BodyA"/>
        <w:tabs>
          <w:tab w:val="center" w:pos="5400"/>
        </w:tabs>
        <w:suppressAutoHyphens/>
        <w:rPr>
          <w:rFonts w:ascii="Cambria" w:eastAsia="Cambria" w:hAnsi="Cambria" w:cs="Cambria"/>
          <w:sz w:val="22"/>
          <w:szCs w:val="22"/>
          <w:lang w:val="es-ES_tradnl"/>
        </w:rPr>
      </w:pPr>
    </w:p>
    <w:p w:rsidR="00B00722" w:rsidRDefault="00B00722">
      <w:pPr>
        <w:pStyle w:val="BodyA"/>
        <w:tabs>
          <w:tab w:val="center" w:pos="5400"/>
        </w:tabs>
        <w:suppressAutoHyphens/>
        <w:rPr>
          <w:rFonts w:ascii="Cambria" w:eastAsia="Cambria" w:hAnsi="Cambria" w:cs="Cambria"/>
          <w:sz w:val="22"/>
          <w:szCs w:val="22"/>
          <w:lang w:val="es-ES_tradnl"/>
        </w:rPr>
      </w:pPr>
    </w:p>
    <w:p w:rsidR="00B00722" w:rsidRDefault="00B00722">
      <w:pPr>
        <w:pStyle w:val="BodyA"/>
        <w:tabs>
          <w:tab w:val="center" w:pos="5400"/>
        </w:tabs>
        <w:suppressAutoHyphens/>
        <w:rPr>
          <w:rFonts w:ascii="Cambria" w:eastAsia="Cambria" w:hAnsi="Cambria" w:cs="Cambria"/>
          <w:sz w:val="22"/>
          <w:szCs w:val="22"/>
          <w:lang w:val="es-ES_tradnl"/>
        </w:rPr>
      </w:pPr>
    </w:p>
    <w:p w:rsidR="00B00722" w:rsidRDefault="00B00722">
      <w:pPr>
        <w:pStyle w:val="BodyA"/>
        <w:tabs>
          <w:tab w:val="center" w:pos="5400"/>
        </w:tabs>
        <w:suppressAutoHyphens/>
        <w:jc w:val="center"/>
        <w:rPr>
          <w:rFonts w:ascii="Cambria" w:eastAsia="Cambria" w:hAnsi="Cambria" w:cs="Cambria"/>
          <w:sz w:val="22"/>
          <w:szCs w:val="22"/>
          <w:lang w:val="es-ES_tradnl"/>
        </w:rPr>
      </w:pPr>
    </w:p>
    <w:p w:rsidR="00B00722" w:rsidRDefault="00B00722">
      <w:pPr>
        <w:pStyle w:val="BodyA"/>
        <w:tabs>
          <w:tab w:val="center" w:pos="5400"/>
        </w:tabs>
        <w:suppressAutoHyphens/>
        <w:jc w:val="center"/>
        <w:rPr>
          <w:rFonts w:ascii="Cambria" w:eastAsia="Cambria" w:hAnsi="Cambria" w:cs="Cambria"/>
          <w:sz w:val="22"/>
          <w:szCs w:val="22"/>
          <w:lang w:val="es-ES_tradnl"/>
        </w:rPr>
      </w:pPr>
    </w:p>
    <w:p w:rsidR="00B00722" w:rsidRDefault="00B00722">
      <w:pPr>
        <w:pStyle w:val="BodyA"/>
        <w:tabs>
          <w:tab w:val="center" w:pos="5400"/>
        </w:tabs>
        <w:suppressAutoHyphens/>
        <w:jc w:val="center"/>
        <w:rPr>
          <w:rFonts w:ascii="Cambria" w:eastAsia="Cambria" w:hAnsi="Cambria" w:cs="Cambria"/>
          <w:sz w:val="22"/>
          <w:szCs w:val="22"/>
          <w:lang w:val="es-ES_tradnl"/>
        </w:rPr>
      </w:pPr>
    </w:p>
    <w:p w:rsidR="00B00722" w:rsidRDefault="00B00722">
      <w:pPr>
        <w:pStyle w:val="BodyA"/>
        <w:tabs>
          <w:tab w:val="center" w:pos="5400"/>
        </w:tabs>
        <w:suppressAutoHyphens/>
        <w:jc w:val="center"/>
        <w:rPr>
          <w:rFonts w:ascii="Cambria" w:eastAsia="Cambria" w:hAnsi="Cambria" w:cs="Cambria"/>
          <w:sz w:val="22"/>
          <w:szCs w:val="22"/>
          <w:lang w:val="es-ES_tradnl"/>
        </w:rPr>
      </w:pPr>
    </w:p>
    <w:p w:rsidR="00B00722" w:rsidRDefault="00B00722">
      <w:pPr>
        <w:pStyle w:val="BodyA"/>
        <w:tabs>
          <w:tab w:val="center" w:pos="5400"/>
        </w:tabs>
        <w:suppressAutoHyphens/>
        <w:jc w:val="center"/>
        <w:rPr>
          <w:rFonts w:ascii="Cambria" w:eastAsia="Cambria" w:hAnsi="Cambria" w:cs="Cambria"/>
          <w:sz w:val="22"/>
          <w:szCs w:val="22"/>
          <w:lang w:val="es-ES_tradnl"/>
        </w:rPr>
      </w:pPr>
    </w:p>
    <w:p w:rsidR="00B00722" w:rsidRDefault="00B00722">
      <w:pPr>
        <w:pStyle w:val="BodyA"/>
        <w:tabs>
          <w:tab w:val="center" w:pos="5400"/>
        </w:tabs>
        <w:suppressAutoHyphens/>
        <w:jc w:val="center"/>
        <w:rPr>
          <w:rFonts w:ascii="Cambria" w:eastAsia="Cambria" w:hAnsi="Cambria" w:cs="Cambria"/>
          <w:sz w:val="22"/>
          <w:szCs w:val="22"/>
          <w:lang w:val="es-ES_tradnl"/>
        </w:rPr>
      </w:pPr>
    </w:p>
    <w:p w:rsidR="00B00722" w:rsidRDefault="00B00722">
      <w:pPr>
        <w:pStyle w:val="BodyA"/>
        <w:tabs>
          <w:tab w:val="center" w:pos="5400"/>
        </w:tabs>
        <w:suppressAutoHyphens/>
        <w:jc w:val="center"/>
        <w:rPr>
          <w:rFonts w:ascii="Cambria" w:eastAsia="Cambria" w:hAnsi="Cambria" w:cs="Cambria"/>
          <w:sz w:val="22"/>
          <w:szCs w:val="22"/>
          <w:lang w:val="es-ES_tradnl"/>
        </w:rPr>
      </w:pPr>
    </w:p>
    <w:p w:rsidR="00B00722" w:rsidRDefault="009B3FD8">
      <w:pPr>
        <w:pStyle w:val="BodyA"/>
        <w:tabs>
          <w:tab w:val="center" w:pos="5400"/>
        </w:tabs>
        <w:suppressAutoHyphens/>
        <w:jc w:val="center"/>
        <w:rPr>
          <w:rFonts w:ascii="Cambria" w:eastAsia="Cambria" w:hAnsi="Cambria" w:cs="Cambria"/>
          <w:sz w:val="22"/>
          <w:szCs w:val="22"/>
        </w:rPr>
      </w:pPr>
      <w:r>
        <w:rPr>
          <w:rFonts w:ascii="Cambria" w:eastAsia="Cambria" w:hAnsi="Cambria" w:cs="Cambria"/>
          <w:noProof/>
          <w:sz w:val="22"/>
          <w:szCs w:val="22"/>
        </w:rPr>
        <mc:AlternateContent>
          <mc:Choice Requires="wps">
            <w:drawing>
              <wp:anchor distT="0" distB="0" distL="0" distR="0" simplePos="0" relativeHeight="251662336" behindDoc="0" locked="0" layoutInCell="1" allowOverlap="1">
                <wp:simplePos x="0" y="0"/>
                <wp:positionH relativeFrom="column">
                  <wp:posOffset>1352550</wp:posOffset>
                </wp:positionH>
                <wp:positionV relativeFrom="line">
                  <wp:posOffset>107315</wp:posOffset>
                </wp:positionV>
                <wp:extent cx="4441190" cy="2181225"/>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4441190" cy="2181225"/>
                        </a:xfrm>
                        <a:prstGeom prst="rect">
                          <a:avLst/>
                        </a:prstGeom>
                        <a:noFill/>
                        <a:ln w="12700" cap="flat">
                          <a:noFill/>
                          <a:miter lim="400000"/>
                        </a:ln>
                        <a:effectLst/>
                      </wps:spPr>
                      <wps:txbx>
                        <w:txbxContent>
                          <w:p w:rsidR="00B00722" w:rsidRPr="00D059BC" w:rsidRDefault="009B3FD8">
                            <w:pPr>
                              <w:pStyle w:val="BodyA"/>
                              <w:spacing w:line="276" w:lineRule="auto"/>
                              <w:rPr>
                                <w:rFonts w:ascii="Cambria" w:eastAsia="Cambria" w:hAnsi="Cambria" w:cs="Cambria"/>
                                <w:b/>
                                <w:bCs/>
                                <w:color w:val="0D0D0D"/>
                                <w:sz w:val="36"/>
                                <w:szCs w:val="36"/>
                                <w:u w:color="0D0D0D"/>
                                <w:lang w:val="es-419"/>
                              </w:rPr>
                            </w:pPr>
                            <w:r>
                              <w:rPr>
                                <w:rFonts w:ascii="Cambria" w:eastAsia="Cambria" w:hAnsi="Cambria" w:cs="Cambria"/>
                                <w:b/>
                                <w:bCs/>
                                <w:color w:val="0D0D0D"/>
                                <w:sz w:val="36"/>
                                <w:szCs w:val="36"/>
                                <w:u w:color="0D0D0D"/>
                                <w:lang w:val="es-ES_tradnl"/>
                              </w:rPr>
                              <w:t>INFORME No. 124/20</w:t>
                            </w:r>
                          </w:p>
                          <w:p w:rsidR="00B00722" w:rsidRPr="009B3FD8" w:rsidRDefault="009B3FD8">
                            <w:pPr>
                              <w:pStyle w:val="BodyA"/>
                              <w:spacing w:line="276" w:lineRule="auto"/>
                              <w:rPr>
                                <w:rFonts w:ascii="Cambria" w:eastAsia="Cambria" w:hAnsi="Cambria" w:cs="Cambria"/>
                                <w:b/>
                                <w:bCs/>
                                <w:color w:val="0D0D0D"/>
                                <w:sz w:val="36"/>
                                <w:szCs w:val="36"/>
                                <w:u w:color="0D0D0D"/>
                                <w:lang w:val="es-419"/>
                              </w:rPr>
                            </w:pPr>
                            <w:r>
                              <w:rPr>
                                <w:rFonts w:ascii="Cambria" w:eastAsia="Cambria" w:hAnsi="Cambria" w:cs="Cambria"/>
                                <w:b/>
                                <w:bCs/>
                                <w:color w:val="0D0D0D"/>
                                <w:sz w:val="36"/>
                                <w:szCs w:val="36"/>
                                <w:u w:color="0D0D0D"/>
                                <w:lang w:val="es-ES_tradnl"/>
                              </w:rPr>
                              <w:t>PETICIÓN 1524-13</w:t>
                            </w:r>
                          </w:p>
                          <w:p w:rsidR="00B00722" w:rsidRPr="009B3FD8" w:rsidRDefault="009B3FD8">
                            <w:pPr>
                              <w:pStyle w:val="BodyA"/>
                              <w:spacing w:line="276" w:lineRule="auto"/>
                              <w:rPr>
                                <w:rFonts w:ascii="Cambria" w:eastAsia="Cambria" w:hAnsi="Cambria" w:cs="Cambria"/>
                                <w:color w:val="0D0D0D"/>
                                <w:u w:color="0D0D0D"/>
                                <w:lang w:val="es-419"/>
                              </w:rPr>
                            </w:pPr>
                            <w:r>
                              <w:rPr>
                                <w:rFonts w:ascii="Cambria" w:eastAsia="Cambria" w:hAnsi="Cambria" w:cs="Cambria"/>
                                <w:color w:val="0D0D0D"/>
                                <w:u w:color="0D0D0D"/>
                                <w:lang w:val="es-ES_tradnl"/>
                              </w:rPr>
                              <w:t xml:space="preserve">INFORME DE ADMISIBILIDAD </w:t>
                            </w:r>
                          </w:p>
                          <w:p w:rsidR="00B00722" w:rsidRDefault="00B00722">
                            <w:pPr>
                              <w:pStyle w:val="BodyA"/>
                              <w:spacing w:line="276" w:lineRule="auto"/>
                              <w:rPr>
                                <w:rFonts w:ascii="Cambria" w:eastAsia="Cambria" w:hAnsi="Cambria" w:cs="Cambria"/>
                                <w:color w:val="0D0D0D"/>
                                <w:u w:color="0D0D0D"/>
                                <w:lang w:val="es-ES_tradnl"/>
                              </w:rPr>
                            </w:pPr>
                          </w:p>
                          <w:p w:rsidR="009B3FD8" w:rsidRDefault="009B3FD8" w:rsidP="009B3FD8">
                            <w:pPr>
                              <w:pStyle w:val="BodyA"/>
                              <w:spacing w:after="120"/>
                              <w:rPr>
                                <w:rFonts w:ascii="Cambria" w:eastAsia="Cambria" w:hAnsi="Cambria" w:cs="Cambria"/>
                                <w:color w:val="0D0D0D"/>
                                <w:u w:color="0D0D0D"/>
                                <w:lang w:val="es-ES_tradnl"/>
                              </w:rPr>
                            </w:pPr>
                            <w:r>
                              <w:rPr>
                                <w:rFonts w:ascii="Cambria" w:eastAsia="Cambria" w:hAnsi="Cambria" w:cs="Cambria"/>
                                <w:color w:val="0D0D0D"/>
                                <w:u w:color="0D0D0D"/>
                                <w:lang w:val="es-ES_tradnl"/>
                              </w:rPr>
                              <w:t>HAPETE MICHAEL HENRY Y FAMILIA</w:t>
                            </w:r>
                          </w:p>
                          <w:p w:rsidR="00B00722" w:rsidRPr="00D059BC" w:rsidRDefault="009B3FD8" w:rsidP="009B3FD8">
                            <w:pPr>
                              <w:pStyle w:val="BodyA"/>
                              <w:spacing w:after="120"/>
                              <w:rPr>
                                <w:lang w:val="es-419"/>
                              </w:rPr>
                            </w:pPr>
                            <w:r>
                              <w:rPr>
                                <w:rFonts w:ascii="Cambria" w:eastAsia="Cambria" w:hAnsi="Cambria" w:cs="Cambria"/>
                                <w:color w:val="0D0D0D"/>
                                <w:u w:color="0D0D0D"/>
                                <w:lang w:val="es-ES_tradnl"/>
                              </w:rPr>
                              <w:t>JAMAICA</w:t>
                            </w:r>
                          </w:p>
                        </w:txbxContent>
                      </wps:txbx>
                      <wps:bodyPr wrap="square" lIns="45718" tIns="45718" rIns="45718" bIns="45718"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27" style="position:absolute;left:0;text-align:left;margin-left:106.5pt;margin-top:8.45pt;width:349.7pt;height:171.7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Ywx3gEAAKwDAAAOAAAAZHJzL2Uyb0RvYy54bWysU9uO2yAQfa/Uf0C8N77U22StOKtVV1tV&#10;qtqVtvsBGENMBQwFEjt/38F2slH3rWoeCDMMZ+Ycjrd3o9HkKHxQYBtarHJKhOXQKbtv6MvPxw8b&#10;SkJktmMarGjoSQR6t3v/bju4WpTQg+6EJwhiQz24hvYxujrLAu+FYWEFTlg8lOANixj6fdZ5NiC6&#10;0VmZ55+yAXznPHARAmYf5kO6m/ClFDz+kDKISHRDcbY4rX5a27Rmuy2r9565XvFlDPYPUximLDa9&#10;QD2wyMjBqzdQRnEPAWRccTAZSKm4mDggmyL/i81zz5yYuKA4wV1kCv8Pln8/PnmiOny7fP1xXRWb&#10;8pYSywy+1TzdvY8E2l+oZBJrcKHGO8/uyS9RwG1iPkpv0j/eIuMk8OkisBgj4ZisqqoobvEdOJ6V&#10;xaYoy5uEmr1edz7ELwIMSZuG+tQ3wbLjtxDn0nNJSlt4VFpjntXakgFplOs8NWBoJqnZfPmqyqiI&#10;htPK4DR5+i39tU0YYrLM0ilxndmlXRzbcRbqrEML3QnFG9A9DQ2/D8wLSvRXi89T3awLdH68Dvx1&#10;0F4H9mA+Axq0oIRZ3gP68zz3/SGCVBPxNMTcEgVLAVpikm6xb/LcdTxVvX5kuz8AAAD//wMAUEsD&#10;BBQABgAIAAAAIQCNHjiU3wAAAAoBAAAPAAAAZHJzL2Rvd25yZXYueG1sTI/NTsMwEITvSLyDtUjc&#10;qPNTRW0ap0KInpCokvYB3HiJI+J1ZDtt4OkxJziOZjTzTbVfzMiu6PxgSUC6SoAhdVYN1As4nw5P&#10;G2A+SFJytIQCvtDDvr6/q2Sp7I0avLahZ7GEfCkF6BCmknPfaTTSr+yEFL0P64wMUbqeKydvsdyM&#10;PEuSghs5UFzQcsIXjd1nOxsBr2d7fDvk79+bk7dy1qY5tq4R4vFhed4BC7iEvzD84kd0qCPTxc6k&#10;PBsFZGkev4RoFFtgMbBNszWwi4C8SNbA64r/v1D/AAAA//8DAFBLAQItABQABgAIAAAAIQC2gziS&#10;/gAAAOEBAAATAAAAAAAAAAAAAAAAAAAAAABbQ29udGVudF9UeXBlc10ueG1sUEsBAi0AFAAGAAgA&#10;AAAhADj9If/WAAAAlAEAAAsAAAAAAAAAAAAAAAAALwEAAF9yZWxzLy5yZWxzUEsBAi0AFAAGAAgA&#10;AAAhAKH1jDHeAQAArAMAAA4AAAAAAAAAAAAAAAAALgIAAGRycy9lMm9Eb2MueG1sUEsBAi0AFAAG&#10;AAgAAAAhAI0eOJTfAAAACgEAAA8AAAAAAAAAAAAAAAAAOAQAAGRycy9kb3ducmV2LnhtbFBLBQYA&#10;AAAABAAEAPMAAABEBQAAAAA=&#10;" filled="f" stroked="f" strokeweight="1pt">
                <v:stroke miterlimit="4"/>
                <v:textbox inset="1.2699mm,1.2699mm,1.2699mm,1.2699mm">
                  <w:txbxContent>
                    <w:p w:rsidR="00B00722" w:rsidRDefault="009B3FD8">
                      <w:pPr>
                        <w:pStyle w:val="BodyA"/>
                        <w:spacing w:line="276" w:lineRule="auto"/>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lang w:val="es-ES_tradnl"/>
                        </w:rPr>
                        <w:t>INFORME No. 124</w:t>
                      </w:r>
                      <w:r>
                        <w:rPr>
                          <w:rFonts w:ascii="Cambria" w:eastAsia="Cambria" w:hAnsi="Cambria" w:cs="Cambria"/>
                          <w:b/>
                          <w:bCs/>
                          <w:color w:val="0D0D0D"/>
                          <w:sz w:val="36"/>
                          <w:szCs w:val="36"/>
                          <w:u w:color="0D0D0D"/>
                          <w:lang w:val="es-ES_tradnl"/>
                        </w:rPr>
                        <w:t>/20</w:t>
                      </w:r>
                    </w:p>
                    <w:p w:rsidR="00B00722" w:rsidRPr="009B3FD8" w:rsidRDefault="009B3FD8">
                      <w:pPr>
                        <w:pStyle w:val="BodyA"/>
                        <w:spacing w:line="276" w:lineRule="auto"/>
                        <w:rPr>
                          <w:rFonts w:ascii="Cambria" w:eastAsia="Cambria" w:hAnsi="Cambria" w:cs="Cambria"/>
                          <w:b/>
                          <w:bCs/>
                          <w:color w:val="0D0D0D"/>
                          <w:sz w:val="36"/>
                          <w:szCs w:val="36"/>
                          <w:u w:color="0D0D0D"/>
                          <w:lang w:val="es-419"/>
                        </w:rPr>
                      </w:pPr>
                      <w:r>
                        <w:rPr>
                          <w:rFonts w:ascii="Cambria" w:eastAsia="Cambria" w:hAnsi="Cambria" w:cs="Cambria"/>
                          <w:b/>
                          <w:bCs/>
                          <w:color w:val="0D0D0D"/>
                          <w:sz w:val="36"/>
                          <w:szCs w:val="36"/>
                          <w:u w:color="0D0D0D"/>
                          <w:lang w:val="es-ES_tradnl"/>
                        </w:rPr>
                        <w:t>PETICIÓN 1524-13</w:t>
                      </w:r>
                    </w:p>
                    <w:p w:rsidR="00B00722" w:rsidRPr="009B3FD8" w:rsidRDefault="009B3FD8">
                      <w:pPr>
                        <w:pStyle w:val="BodyA"/>
                        <w:spacing w:line="276" w:lineRule="auto"/>
                        <w:rPr>
                          <w:rFonts w:ascii="Cambria" w:eastAsia="Cambria" w:hAnsi="Cambria" w:cs="Cambria"/>
                          <w:color w:val="0D0D0D"/>
                          <w:u w:color="0D0D0D"/>
                          <w:lang w:val="es-419"/>
                        </w:rPr>
                      </w:pPr>
                      <w:r>
                        <w:rPr>
                          <w:rFonts w:ascii="Cambria" w:eastAsia="Cambria" w:hAnsi="Cambria" w:cs="Cambria"/>
                          <w:color w:val="0D0D0D"/>
                          <w:u w:color="0D0D0D"/>
                          <w:lang w:val="es-ES_tradnl"/>
                        </w:rPr>
                        <w:t xml:space="preserve">INFORME DE ADMISIBILIDAD </w:t>
                      </w:r>
                    </w:p>
                    <w:p w:rsidR="00B00722" w:rsidRDefault="00B00722">
                      <w:pPr>
                        <w:pStyle w:val="BodyA"/>
                        <w:spacing w:line="276" w:lineRule="auto"/>
                        <w:rPr>
                          <w:rFonts w:ascii="Cambria" w:eastAsia="Cambria" w:hAnsi="Cambria" w:cs="Cambria"/>
                          <w:color w:val="0D0D0D"/>
                          <w:u w:color="0D0D0D"/>
                          <w:lang w:val="es-ES_tradnl"/>
                        </w:rPr>
                      </w:pPr>
                    </w:p>
                    <w:p w:rsidR="009B3FD8" w:rsidRDefault="009B3FD8" w:rsidP="009B3FD8">
                      <w:pPr>
                        <w:pStyle w:val="BodyA"/>
                        <w:spacing w:after="120"/>
                        <w:rPr>
                          <w:rFonts w:ascii="Cambria" w:eastAsia="Cambria" w:hAnsi="Cambria" w:cs="Cambria"/>
                          <w:color w:val="0D0D0D"/>
                          <w:u w:color="0D0D0D"/>
                          <w:lang w:val="es-ES_tradnl"/>
                        </w:rPr>
                      </w:pPr>
                      <w:r>
                        <w:rPr>
                          <w:rFonts w:ascii="Cambria" w:eastAsia="Cambria" w:hAnsi="Cambria" w:cs="Cambria"/>
                          <w:color w:val="0D0D0D"/>
                          <w:u w:color="0D0D0D"/>
                          <w:lang w:val="es-ES_tradnl"/>
                        </w:rPr>
                        <w:t>HAPETE MICHAEL HENRY Y FAMILIA</w:t>
                      </w:r>
                    </w:p>
                    <w:p w:rsidR="00B00722" w:rsidRDefault="009B3FD8" w:rsidP="009B3FD8">
                      <w:pPr>
                        <w:pStyle w:val="BodyA"/>
                        <w:spacing w:after="120"/>
                      </w:pPr>
                      <w:r>
                        <w:rPr>
                          <w:rFonts w:ascii="Cambria" w:eastAsia="Cambria" w:hAnsi="Cambria" w:cs="Cambria"/>
                          <w:color w:val="0D0D0D"/>
                          <w:u w:color="0D0D0D"/>
                          <w:lang w:val="es-ES_tradnl"/>
                        </w:rPr>
                        <w:t>JAMAICA</w:t>
                      </w:r>
                    </w:p>
                  </w:txbxContent>
                </v:textbox>
                <w10:wrap anchory="line"/>
              </v:rect>
            </w:pict>
          </mc:Fallback>
        </mc:AlternateContent>
      </w:r>
      <w:r>
        <w:rPr>
          <w:rFonts w:ascii="Cambria" w:eastAsia="Cambria" w:hAnsi="Cambria" w:cs="Cambria"/>
          <w:noProof/>
          <w:sz w:val="22"/>
          <w:szCs w:val="22"/>
        </w:rPr>
        <mc:AlternateContent>
          <mc:Choice Requires="wps">
            <w:drawing>
              <wp:anchor distT="0" distB="0" distL="0" distR="0" simplePos="0" relativeHeight="251664384" behindDoc="0" locked="0" layoutInCell="1" allowOverlap="1">
                <wp:simplePos x="0" y="0"/>
                <wp:positionH relativeFrom="column">
                  <wp:posOffset>-342900</wp:posOffset>
                </wp:positionH>
                <wp:positionV relativeFrom="line">
                  <wp:posOffset>164463</wp:posOffset>
                </wp:positionV>
                <wp:extent cx="1390650" cy="1377317"/>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1390650" cy="1377317"/>
                        </a:xfrm>
                        <a:prstGeom prst="rect">
                          <a:avLst/>
                        </a:prstGeom>
                        <a:noFill/>
                        <a:ln w="12700" cap="flat">
                          <a:noFill/>
                          <a:miter lim="400000"/>
                        </a:ln>
                        <a:effectLst/>
                      </wps:spPr>
                      <wps:txbx>
                        <w:txbxContent>
                          <w:p w:rsidR="00B00722" w:rsidRPr="009B3FD8" w:rsidRDefault="009B3FD8">
                            <w:pPr>
                              <w:pStyle w:val="BodyA"/>
                              <w:spacing w:line="276" w:lineRule="auto"/>
                              <w:jc w:val="right"/>
                              <w:rPr>
                                <w:rFonts w:ascii="Calibri" w:eastAsia="Calibri" w:hAnsi="Calibri" w:cs="Calibri"/>
                                <w:color w:val="FFFFFF"/>
                                <w:sz w:val="22"/>
                                <w:szCs w:val="22"/>
                                <w:u w:color="FFFFFF"/>
                                <w:lang w:val="pt-BR"/>
                              </w:rPr>
                            </w:pPr>
                            <w:r>
                              <w:rPr>
                                <w:rFonts w:ascii="Calibri" w:eastAsia="Calibri" w:hAnsi="Calibri" w:cs="Calibri"/>
                                <w:color w:val="FFFFFF"/>
                                <w:sz w:val="22"/>
                                <w:szCs w:val="22"/>
                                <w:u w:color="FFFFFF"/>
                                <w:lang w:val="pt-PT"/>
                              </w:rPr>
                              <w:t>OEA/Ser.L/V/II.</w:t>
                            </w:r>
                          </w:p>
                          <w:p w:rsidR="00B00722" w:rsidRPr="009B3FD8" w:rsidRDefault="009B3FD8">
                            <w:pPr>
                              <w:pStyle w:val="BodyA"/>
                              <w:spacing w:line="276" w:lineRule="auto"/>
                              <w:jc w:val="right"/>
                              <w:rPr>
                                <w:rFonts w:ascii="Calibri" w:eastAsia="Calibri" w:hAnsi="Calibri" w:cs="Calibri"/>
                                <w:color w:val="FFFFFF"/>
                                <w:sz w:val="22"/>
                                <w:szCs w:val="22"/>
                                <w:u w:color="FFFFFF"/>
                                <w:lang w:val="pt-BR"/>
                              </w:rPr>
                            </w:pPr>
                            <w:r>
                              <w:rPr>
                                <w:rFonts w:ascii="Calibri" w:eastAsia="Calibri" w:hAnsi="Calibri" w:cs="Calibri"/>
                                <w:color w:val="FFFFFF"/>
                                <w:sz w:val="22"/>
                                <w:szCs w:val="22"/>
                                <w:u w:color="FFFFFF"/>
                                <w:lang w:val="pt-PT"/>
                              </w:rPr>
                              <w:t>Doc. 134</w:t>
                            </w:r>
                          </w:p>
                          <w:p w:rsidR="00B00722" w:rsidRDefault="009B3FD8">
                            <w:pPr>
                              <w:pStyle w:val="BodyA"/>
                              <w:spacing w:line="276" w:lineRule="auto"/>
                              <w:jc w:val="right"/>
                              <w:rPr>
                                <w:rFonts w:ascii="Calibri" w:eastAsia="Calibri" w:hAnsi="Calibri" w:cs="Calibri"/>
                                <w:color w:val="FFFFFF"/>
                                <w:sz w:val="22"/>
                                <w:szCs w:val="22"/>
                                <w:u w:color="FFFFFF"/>
                              </w:rPr>
                            </w:pPr>
                            <w:r>
                              <w:rPr>
                                <w:rFonts w:ascii="Calibri" w:eastAsia="Calibri" w:hAnsi="Calibri" w:cs="Calibri"/>
                                <w:color w:val="FFFFFF"/>
                                <w:sz w:val="22"/>
                                <w:szCs w:val="22"/>
                                <w:u w:color="FFFFFF"/>
                                <w:lang w:val="es-ES_tradnl"/>
                              </w:rPr>
                              <w:t>24 abril 2020</w:t>
                            </w:r>
                          </w:p>
                          <w:p w:rsidR="00B00722" w:rsidRDefault="009B3FD8">
                            <w:pPr>
                              <w:pStyle w:val="BodyA"/>
                              <w:spacing w:line="276" w:lineRule="auto"/>
                              <w:jc w:val="right"/>
                            </w:pPr>
                            <w:r>
                              <w:rPr>
                                <w:rFonts w:ascii="Calibri" w:eastAsia="Calibri" w:hAnsi="Calibri" w:cs="Calibri"/>
                                <w:color w:val="FFFFFF"/>
                                <w:sz w:val="22"/>
                                <w:szCs w:val="22"/>
                                <w:u w:color="FFFFFF"/>
                                <w:lang w:val="es-ES_tradnl"/>
                              </w:rPr>
                              <w:t>Original: inglés</w:t>
                            </w:r>
                          </w:p>
                        </w:txbxContent>
                      </wps:txbx>
                      <wps:bodyPr wrap="square" lIns="45718" tIns="45718" rIns="45718" bIns="45718"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28" style="position:absolute;left:0;text-align:left;margin-left:-27pt;margin-top:12.95pt;width:109.5pt;height:108.45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X4E3gEAAKwDAAAOAAAAZHJzL2Uyb0RvYy54bWysU8GO2yAQvVfqPyDuje0ku95acVarrraq&#10;VLUr7fYDCIaYChgKJHb+vgN2slF7q5oDYQbmzbzH8+Z+NJochQ8KbEurRUmJsBw6Zfct/fH69OGO&#10;khCZ7ZgGK1p6EoHeb9+/2wyuEUvoQXfCEwSxoRlcS/sYXVMUgffCsLAAJyweSvCGRQz9vug8GxDd&#10;6GJZlrfFAL5zHrgIAbOP0yHdZnwpBY/fpQwiEt1SnC3m1ed1l9Ziu2HN3jPXKz6Pwf5hCsOUxaYX&#10;qEcWGTl49ReUUdxDABkXHEwBUiouMgdkU5V/sHnpmROZC4oT3EWm8P9g+bfjsyeqw7cr61W9ru5W&#10;KJNlBt9qmu7BRwK7n6hkEmtwocGaF/fs5yjgNjEfpTfpH6vImAU+XQQWYyQck9XqY3l7gw04nlWr&#10;ul5VdUIt3sqdD/GzAEPSpqU+9U2w7Pg1xOnq+UpKW3hSWmOeNdqSAVGXdZkaMDST1GwqvrplVETD&#10;aWVaui7Tb+6vbcIQ2TJzp8R1Ypd2cdyNWajlWYcddCcUb0D3tDT8OjAvKNFfLD7P+qau0PnxOvDX&#10;we46sAfzCdCgFSXM8h7Qn+e5Hw4RpMrE0xBTSxQsBWiJLN1s3+S56zjfevvItr8BAAD//wMAUEsD&#10;BBQABgAIAAAAIQCk24PU3wAAAAoBAAAPAAAAZHJzL2Rvd25yZXYueG1sTI/BTsMwEETvSPyDtUjc&#10;WofQVCHEqRCip0pUSfsB29jEEbEd2U4b+vVsT3Dc2dHMm3Izm4GdlQ+9swKelgkwZVsne9sJOB62&#10;ixxYiGglDs4qAT8qwKa6vyuxkO5ia3VuYscoxIYCBegYx4Lz0GplMCzdqCz9vpw3GOn0HZceLxRu&#10;Bp4myZob7C01aBzVu1btdzMZAR9Ht99tnz+v+SE4nLSp942vhXh8mN9egUU1xz8z3PAJHSpiOrnJ&#10;ysAGAYtsRVuigDR7AXYzrDMSTiSs0hx4VfL/E6pfAAAA//8DAFBLAQItABQABgAIAAAAIQC2gziS&#10;/gAAAOEBAAATAAAAAAAAAAAAAAAAAAAAAABbQ29udGVudF9UeXBlc10ueG1sUEsBAi0AFAAGAAgA&#10;AAAhADj9If/WAAAAlAEAAAsAAAAAAAAAAAAAAAAALwEAAF9yZWxzLy5yZWxzUEsBAi0AFAAGAAgA&#10;AAAhAHTtfgTeAQAArAMAAA4AAAAAAAAAAAAAAAAALgIAAGRycy9lMm9Eb2MueG1sUEsBAi0AFAAG&#10;AAgAAAAhAKTbg9TfAAAACgEAAA8AAAAAAAAAAAAAAAAAOAQAAGRycy9kb3ducmV2LnhtbFBLBQYA&#10;AAAABAAEAPMAAABEBQAAAAA=&#10;" filled="f" stroked="f" strokeweight="1pt">
                <v:stroke miterlimit="4"/>
                <v:textbox inset="1.2699mm,1.2699mm,1.2699mm,1.2699mm">
                  <w:txbxContent>
                    <w:p w:rsidR="00B00722" w:rsidRPr="009B3FD8" w:rsidRDefault="009B3FD8">
                      <w:pPr>
                        <w:pStyle w:val="BodyA"/>
                        <w:spacing w:line="276" w:lineRule="auto"/>
                        <w:jc w:val="right"/>
                        <w:rPr>
                          <w:rFonts w:ascii="Calibri" w:eastAsia="Calibri" w:hAnsi="Calibri" w:cs="Calibri"/>
                          <w:color w:val="FFFFFF"/>
                          <w:sz w:val="22"/>
                          <w:szCs w:val="22"/>
                          <w:u w:color="FFFFFF"/>
                          <w:lang w:val="pt-BR"/>
                        </w:rPr>
                      </w:pPr>
                      <w:r>
                        <w:rPr>
                          <w:rFonts w:ascii="Calibri" w:eastAsia="Calibri" w:hAnsi="Calibri" w:cs="Calibri"/>
                          <w:color w:val="FFFFFF"/>
                          <w:sz w:val="22"/>
                          <w:szCs w:val="22"/>
                          <w:u w:color="FFFFFF"/>
                          <w:lang w:val="pt-PT"/>
                        </w:rPr>
                        <w:t>OEA/Ser.L/V/II.</w:t>
                      </w:r>
                    </w:p>
                    <w:p w:rsidR="00B00722" w:rsidRPr="009B3FD8" w:rsidRDefault="009B3FD8">
                      <w:pPr>
                        <w:pStyle w:val="BodyA"/>
                        <w:spacing w:line="276" w:lineRule="auto"/>
                        <w:jc w:val="right"/>
                        <w:rPr>
                          <w:rFonts w:ascii="Calibri" w:eastAsia="Calibri" w:hAnsi="Calibri" w:cs="Calibri"/>
                          <w:color w:val="FFFFFF"/>
                          <w:sz w:val="22"/>
                          <w:szCs w:val="22"/>
                          <w:u w:color="FFFFFF"/>
                          <w:lang w:val="pt-BR"/>
                        </w:rPr>
                      </w:pPr>
                      <w:r>
                        <w:rPr>
                          <w:rFonts w:ascii="Calibri" w:eastAsia="Calibri" w:hAnsi="Calibri" w:cs="Calibri"/>
                          <w:color w:val="FFFFFF"/>
                          <w:sz w:val="22"/>
                          <w:szCs w:val="22"/>
                          <w:u w:color="FFFFFF"/>
                          <w:lang w:val="pt-PT"/>
                        </w:rPr>
                        <w:t>Doc. 134</w:t>
                      </w:r>
                    </w:p>
                    <w:p w:rsidR="00B00722" w:rsidRDefault="009B3FD8">
                      <w:pPr>
                        <w:pStyle w:val="BodyA"/>
                        <w:spacing w:line="276" w:lineRule="auto"/>
                        <w:jc w:val="right"/>
                        <w:rPr>
                          <w:rFonts w:ascii="Calibri" w:eastAsia="Calibri" w:hAnsi="Calibri" w:cs="Calibri"/>
                          <w:color w:val="FFFFFF"/>
                          <w:sz w:val="22"/>
                          <w:szCs w:val="22"/>
                          <w:u w:color="FFFFFF"/>
                        </w:rPr>
                      </w:pPr>
                      <w:r>
                        <w:rPr>
                          <w:rFonts w:ascii="Calibri" w:eastAsia="Calibri" w:hAnsi="Calibri" w:cs="Calibri"/>
                          <w:color w:val="FFFFFF"/>
                          <w:sz w:val="22"/>
                          <w:szCs w:val="22"/>
                          <w:u w:color="FFFFFF"/>
                          <w:lang w:val="es-ES_tradnl"/>
                        </w:rPr>
                        <w:t>24 abril</w:t>
                      </w:r>
                      <w:r>
                        <w:rPr>
                          <w:rFonts w:ascii="Calibri" w:eastAsia="Calibri" w:hAnsi="Calibri" w:cs="Calibri"/>
                          <w:color w:val="FFFFFF"/>
                          <w:sz w:val="22"/>
                          <w:szCs w:val="22"/>
                          <w:u w:color="FFFFFF"/>
                          <w:lang w:val="es-ES_tradnl"/>
                        </w:rPr>
                        <w:t xml:space="preserve"> 2020</w:t>
                      </w:r>
                    </w:p>
                    <w:p w:rsidR="00B00722" w:rsidRDefault="009B3FD8">
                      <w:pPr>
                        <w:pStyle w:val="BodyA"/>
                        <w:spacing w:line="276" w:lineRule="auto"/>
                        <w:jc w:val="right"/>
                      </w:pPr>
                      <w:r>
                        <w:rPr>
                          <w:rFonts w:ascii="Calibri" w:eastAsia="Calibri" w:hAnsi="Calibri" w:cs="Calibri"/>
                          <w:color w:val="FFFFFF"/>
                          <w:sz w:val="22"/>
                          <w:szCs w:val="22"/>
                          <w:u w:color="FFFFFF"/>
                          <w:lang w:val="es-ES_tradnl"/>
                        </w:rPr>
                        <w:t>Original: inglés</w:t>
                      </w:r>
                    </w:p>
                  </w:txbxContent>
                </v:textbox>
                <w10:wrap anchory="line"/>
              </v:rect>
            </w:pict>
          </mc:Fallback>
        </mc:AlternateContent>
      </w:r>
    </w:p>
    <w:p w:rsidR="00B00722" w:rsidRDefault="00B00722">
      <w:pPr>
        <w:pStyle w:val="BodyA"/>
        <w:tabs>
          <w:tab w:val="center" w:pos="5400"/>
        </w:tabs>
        <w:suppressAutoHyphens/>
        <w:jc w:val="center"/>
        <w:rPr>
          <w:rFonts w:ascii="Cambria" w:eastAsia="Cambria" w:hAnsi="Cambria" w:cs="Cambria"/>
          <w:sz w:val="22"/>
          <w:szCs w:val="22"/>
          <w:lang w:val="es-ES_tradnl"/>
        </w:rPr>
      </w:pPr>
    </w:p>
    <w:p w:rsidR="00B00722" w:rsidRDefault="00B00722">
      <w:pPr>
        <w:pStyle w:val="BodyA"/>
        <w:tabs>
          <w:tab w:val="center" w:pos="5400"/>
        </w:tabs>
        <w:suppressAutoHyphens/>
        <w:jc w:val="center"/>
        <w:rPr>
          <w:rFonts w:ascii="Cambria" w:eastAsia="Cambria" w:hAnsi="Cambria" w:cs="Cambria"/>
          <w:sz w:val="22"/>
          <w:szCs w:val="22"/>
          <w:lang w:val="es-ES_tradnl"/>
        </w:rPr>
      </w:pPr>
    </w:p>
    <w:p w:rsidR="00B00722" w:rsidRDefault="00B00722">
      <w:pPr>
        <w:pStyle w:val="BodyA"/>
        <w:tabs>
          <w:tab w:val="center" w:pos="5400"/>
        </w:tabs>
        <w:suppressAutoHyphens/>
        <w:jc w:val="center"/>
        <w:rPr>
          <w:rFonts w:ascii="Cambria" w:eastAsia="Cambria" w:hAnsi="Cambria" w:cs="Cambria"/>
          <w:sz w:val="22"/>
          <w:szCs w:val="22"/>
          <w:lang w:val="es-ES_tradnl"/>
        </w:rPr>
      </w:pPr>
    </w:p>
    <w:p w:rsidR="00B00722" w:rsidRDefault="00B00722">
      <w:pPr>
        <w:pStyle w:val="BodyA"/>
        <w:tabs>
          <w:tab w:val="center" w:pos="5400"/>
        </w:tabs>
        <w:suppressAutoHyphens/>
        <w:jc w:val="center"/>
        <w:rPr>
          <w:rFonts w:ascii="Cambria" w:eastAsia="Cambria" w:hAnsi="Cambria" w:cs="Cambria"/>
          <w:sz w:val="22"/>
          <w:szCs w:val="22"/>
          <w:lang w:val="es-ES_tradnl"/>
        </w:rPr>
      </w:pPr>
    </w:p>
    <w:p w:rsidR="00B00722" w:rsidRDefault="00B00722">
      <w:pPr>
        <w:pStyle w:val="BodyA"/>
        <w:tabs>
          <w:tab w:val="center" w:pos="5400"/>
        </w:tabs>
        <w:suppressAutoHyphens/>
        <w:jc w:val="center"/>
        <w:rPr>
          <w:rFonts w:ascii="Cambria" w:eastAsia="Cambria" w:hAnsi="Cambria" w:cs="Cambria"/>
          <w:sz w:val="22"/>
          <w:szCs w:val="22"/>
          <w:lang w:val="es-ES_tradnl"/>
        </w:rPr>
      </w:pPr>
    </w:p>
    <w:p w:rsidR="00B00722" w:rsidRDefault="00B00722">
      <w:pPr>
        <w:pStyle w:val="BodyA"/>
        <w:tabs>
          <w:tab w:val="center" w:pos="5400"/>
        </w:tabs>
        <w:suppressAutoHyphens/>
        <w:jc w:val="center"/>
        <w:rPr>
          <w:rFonts w:ascii="Cambria" w:eastAsia="Cambria" w:hAnsi="Cambria" w:cs="Cambria"/>
          <w:sz w:val="22"/>
          <w:szCs w:val="22"/>
          <w:lang w:val="es-ES_tradnl"/>
        </w:rPr>
      </w:pPr>
    </w:p>
    <w:p w:rsidR="00B00722" w:rsidRDefault="00B00722">
      <w:pPr>
        <w:pStyle w:val="BodyA"/>
        <w:tabs>
          <w:tab w:val="center" w:pos="5400"/>
        </w:tabs>
        <w:suppressAutoHyphens/>
        <w:jc w:val="center"/>
        <w:rPr>
          <w:rFonts w:ascii="Cambria" w:eastAsia="Cambria" w:hAnsi="Cambria" w:cs="Cambria"/>
          <w:sz w:val="22"/>
          <w:szCs w:val="22"/>
          <w:lang w:val="es-ES_tradnl"/>
        </w:rPr>
      </w:pPr>
    </w:p>
    <w:p w:rsidR="00B00722" w:rsidRDefault="00B00722">
      <w:pPr>
        <w:pStyle w:val="BodyA"/>
        <w:tabs>
          <w:tab w:val="center" w:pos="5400"/>
        </w:tabs>
        <w:suppressAutoHyphens/>
        <w:jc w:val="center"/>
        <w:rPr>
          <w:rFonts w:ascii="Cambria" w:eastAsia="Cambria" w:hAnsi="Cambria" w:cs="Cambria"/>
          <w:sz w:val="22"/>
          <w:szCs w:val="22"/>
          <w:lang w:val="es-ES_tradnl"/>
        </w:rPr>
      </w:pPr>
    </w:p>
    <w:p w:rsidR="00B00722" w:rsidRDefault="00B00722">
      <w:pPr>
        <w:pStyle w:val="BodyA"/>
        <w:tabs>
          <w:tab w:val="center" w:pos="5400"/>
        </w:tabs>
        <w:suppressAutoHyphens/>
        <w:jc w:val="center"/>
        <w:rPr>
          <w:rFonts w:ascii="Cambria" w:eastAsia="Cambria" w:hAnsi="Cambria" w:cs="Cambria"/>
          <w:sz w:val="22"/>
          <w:szCs w:val="22"/>
          <w:lang w:val="es-ES_tradnl"/>
        </w:rPr>
      </w:pPr>
    </w:p>
    <w:p w:rsidR="00B00722" w:rsidRDefault="00B00722">
      <w:pPr>
        <w:pStyle w:val="BodyA"/>
        <w:tabs>
          <w:tab w:val="center" w:pos="5400"/>
        </w:tabs>
        <w:suppressAutoHyphens/>
        <w:jc w:val="center"/>
        <w:rPr>
          <w:rFonts w:ascii="Cambria" w:eastAsia="Cambria" w:hAnsi="Cambria" w:cs="Cambria"/>
          <w:sz w:val="22"/>
          <w:szCs w:val="22"/>
          <w:lang w:val="es-ES_tradnl"/>
        </w:rPr>
      </w:pPr>
    </w:p>
    <w:p w:rsidR="00B00722" w:rsidRDefault="00B00722">
      <w:pPr>
        <w:pStyle w:val="BodyA"/>
        <w:tabs>
          <w:tab w:val="center" w:pos="5400"/>
        </w:tabs>
        <w:suppressAutoHyphens/>
        <w:jc w:val="center"/>
        <w:rPr>
          <w:rFonts w:ascii="Cambria" w:eastAsia="Cambria" w:hAnsi="Cambria" w:cs="Cambria"/>
          <w:sz w:val="22"/>
          <w:szCs w:val="22"/>
          <w:lang w:val="es-ES_tradnl"/>
        </w:rPr>
      </w:pPr>
    </w:p>
    <w:p w:rsidR="00B00722" w:rsidRDefault="00B00722">
      <w:pPr>
        <w:pStyle w:val="BodyA"/>
        <w:tabs>
          <w:tab w:val="center" w:pos="5400"/>
        </w:tabs>
        <w:suppressAutoHyphens/>
        <w:jc w:val="center"/>
        <w:rPr>
          <w:rFonts w:ascii="Cambria" w:eastAsia="Cambria" w:hAnsi="Cambria" w:cs="Cambria"/>
          <w:sz w:val="22"/>
          <w:szCs w:val="22"/>
          <w:lang w:val="es-ES_tradnl"/>
        </w:rPr>
      </w:pPr>
    </w:p>
    <w:p w:rsidR="00B00722" w:rsidRDefault="00B00722">
      <w:pPr>
        <w:pStyle w:val="BodyA"/>
        <w:tabs>
          <w:tab w:val="center" w:pos="5400"/>
        </w:tabs>
        <w:suppressAutoHyphens/>
        <w:jc w:val="center"/>
        <w:rPr>
          <w:rFonts w:ascii="Cambria" w:eastAsia="Cambria" w:hAnsi="Cambria" w:cs="Cambria"/>
          <w:sz w:val="22"/>
          <w:szCs w:val="22"/>
          <w:lang w:val="es-ES_tradnl"/>
        </w:rPr>
      </w:pPr>
    </w:p>
    <w:p w:rsidR="00B00722" w:rsidRDefault="00B00722">
      <w:pPr>
        <w:pStyle w:val="BodyA"/>
        <w:tabs>
          <w:tab w:val="center" w:pos="5400"/>
        </w:tabs>
        <w:suppressAutoHyphens/>
        <w:jc w:val="center"/>
        <w:rPr>
          <w:rFonts w:ascii="Cambria" w:eastAsia="Cambria" w:hAnsi="Cambria" w:cs="Cambria"/>
          <w:sz w:val="22"/>
          <w:szCs w:val="22"/>
          <w:lang w:val="es-ES_tradnl"/>
        </w:rPr>
      </w:pPr>
    </w:p>
    <w:p w:rsidR="00B00722" w:rsidRDefault="00B00722">
      <w:pPr>
        <w:pStyle w:val="BodyA"/>
        <w:tabs>
          <w:tab w:val="center" w:pos="5400"/>
        </w:tabs>
        <w:suppressAutoHyphens/>
        <w:jc w:val="center"/>
        <w:rPr>
          <w:rFonts w:ascii="Cambria" w:eastAsia="Cambria" w:hAnsi="Cambria" w:cs="Cambria"/>
          <w:sz w:val="18"/>
          <w:szCs w:val="18"/>
          <w:lang w:val="es-ES_tradnl"/>
        </w:rPr>
      </w:pPr>
    </w:p>
    <w:p w:rsidR="00B00722" w:rsidRDefault="00B00722">
      <w:pPr>
        <w:pStyle w:val="BodyA"/>
        <w:tabs>
          <w:tab w:val="center" w:pos="5400"/>
        </w:tabs>
        <w:suppressAutoHyphens/>
        <w:jc w:val="center"/>
        <w:rPr>
          <w:rFonts w:ascii="Cambria" w:eastAsia="Cambria" w:hAnsi="Cambria" w:cs="Cambria"/>
          <w:sz w:val="18"/>
          <w:szCs w:val="18"/>
          <w:lang w:val="es-ES_tradnl"/>
        </w:rPr>
      </w:pPr>
    </w:p>
    <w:p w:rsidR="00B00722" w:rsidRDefault="00B00722">
      <w:pPr>
        <w:pStyle w:val="BodyA"/>
        <w:tabs>
          <w:tab w:val="center" w:pos="5400"/>
        </w:tabs>
        <w:suppressAutoHyphens/>
        <w:jc w:val="center"/>
        <w:rPr>
          <w:rFonts w:ascii="Cambria" w:eastAsia="Cambria" w:hAnsi="Cambria" w:cs="Cambria"/>
          <w:sz w:val="18"/>
          <w:szCs w:val="18"/>
          <w:lang w:val="es-ES_tradnl"/>
        </w:rPr>
      </w:pPr>
    </w:p>
    <w:p w:rsidR="00B00722" w:rsidRDefault="00B00722">
      <w:pPr>
        <w:pStyle w:val="BodyA"/>
        <w:tabs>
          <w:tab w:val="center" w:pos="5400"/>
        </w:tabs>
        <w:suppressAutoHyphens/>
        <w:jc w:val="center"/>
        <w:rPr>
          <w:rFonts w:ascii="Cambria" w:eastAsia="Cambria" w:hAnsi="Cambria" w:cs="Cambria"/>
          <w:sz w:val="18"/>
          <w:szCs w:val="18"/>
          <w:lang w:val="es-ES_tradnl"/>
        </w:rPr>
      </w:pPr>
    </w:p>
    <w:p w:rsidR="00B00722" w:rsidRDefault="00B00722">
      <w:pPr>
        <w:pStyle w:val="BodyA"/>
        <w:tabs>
          <w:tab w:val="center" w:pos="5400"/>
        </w:tabs>
        <w:suppressAutoHyphens/>
        <w:jc w:val="center"/>
        <w:rPr>
          <w:rFonts w:ascii="Cambria" w:eastAsia="Cambria" w:hAnsi="Cambria" w:cs="Cambria"/>
          <w:sz w:val="18"/>
          <w:szCs w:val="18"/>
          <w:lang w:val="es-ES_tradnl"/>
        </w:rPr>
      </w:pPr>
    </w:p>
    <w:p w:rsidR="00B00722" w:rsidRDefault="00B00722">
      <w:pPr>
        <w:pStyle w:val="BodyA"/>
        <w:tabs>
          <w:tab w:val="center" w:pos="5400"/>
        </w:tabs>
        <w:suppressAutoHyphens/>
        <w:jc w:val="center"/>
        <w:rPr>
          <w:rFonts w:ascii="Cambria" w:eastAsia="Cambria" w:hAnsi="Cambria" w:cs="Cambria"/>
          <w:sz w:val="18"/>
          <w:szCs w:val="18"/>
          <w:lang w:val="es-ES_tradnl"/>
        </w:rPr>
      </w:pPr>
    </w:p>
    <w:p w:rsidR="00B00722" w:rsidRDefault="00B00722">
      <w:pPr>
        <w:pStyle w:val="BodyA"/>
        <w:tabs>
          <w:tab w:val="center" w:pos="5400"/>
        </w:tabs>
        <w:suppressAutoHyphens/>
        <w:jc w:val="center"/>
        <w:rPr>
          <w:rFonts w:ascii="Cambria" w:eastAsia="Cambria" w:hAnsi="Cambria" w:cs="Cambria"/>
          <w:sz w:val="18"/>
          <w:szCs w:val="18"/>
          <w:lang w:val="es-ES_tradnl"/>
        </w:rPr>
      </w:pPr>
    </w:p>
    <w:p w:rsidR="00B00722" w:rsidRDefault="00B00722">
      <w:pPr>
        <w:pStyle w:val="BodyA"/>
        <w:tabs>
          <w:tab w:val="center" w:pos="5400"/>
        </w:tabs>
        <w:suppressAutoHyphens/>
        <w:jc w:val="center"/>
        <w:rPr>
          <w:rFonts w:ascii="Cambria" w:eastAsia="Cambria" w:hAnsi="Cambria" w:cs="Cambria"/>
          <w:sz w:val="18"/>
          <w:szCs w:val="18"/>
          <w:lang w:val="es-ES_tradnl"/>
        </w:rPr>
      </w:pPr>
    </w:p>
    <w:p w:rsidR="00B00722" w:rsidRDefault="00B00722">
      <w:pPr>
        <w:pStyle w:val="BodyA"/>
        <w:tabs>
          <w:tab w:val="center" w:pos="5400"/>
        </w:tabs>
        <w:suppressAutoHyphens/>
        <w:jc w:val="center"/>
        <w:rPr>
          <w:rFonts w:ascii="Cambria" w:eastAsia="Cambria" w:hAnsi="Cambria" w:cs="Cambria"/>
          <w:sz w:val="18"/>
          <w:szCs w:val="18"/>
          <w:lang w:val="es-ES_tradnl"/>
        </w:rPr>
      </w:pPr>
    </w:p>
    <w:p w:rsidR="00B00722" w:rsidRDefault="00B00722">
      <w:pPr>
        <w:pStyle w:val="BodyA"/>
        <w:tabs>
          <w:tab w:val="center" w:pos="5400"/>
        </w:tabs>
        <w:suppressAutoHyphens/>
        <w:jc w:val="center"/>
        <w:rPr>
          <w:rFonts w:ascii="Cambria" w:eastAsia="Cambria" w:hAnsi="Cambria" w:cs="Cambria"/>
          <w:sz w:val="18"/>
          <w:szCs w:val="18"/>
          <w:lang w:val="es-ES_tradnl"/>
        </w:rPr>
      </w:pPr>
    </w:p>
    <w:p w:rsidR="00B00722" w:rsidRDefault="00B00722">
      <w:pPr>
        <w:pStyle w:val="BodyA"/>
        <w:tabs>
          <w:tab w:val="center" w:pos="5400"/>
        </w:tabs>
        <w:suppressAutoHyphens/>
        <w:jc w:val="center"/>
        <w:rPr>
          <w:rFonts w:ascii="Cambria" w:eastAsia="Cambria" w:hAnsi="Cambria" w:cs="Cambria"/>
          <w:sz w:val="18"/>
          <w:szCs w:val="18"/>
          <w:lang w:val="es-ES_tradnl"/>
        </w:rPr>
      </w:pPr>
    </w:p>
    <w:p w:rsidR="00B00722" w:rsidRDefault="00B00722">
      <w:pPr>
        <w:pStyle w:val="BodyA"/>
        <w:tabs>
          <w:tab w:val="center" w:pos="5400"/>
        </w:tabs>
        <w:suppressAutoHyphens/>
        <w:jc w:val="center"/>
        <w:rPr>
          <w:rFonts w:ascii="Cambria" w:eastAsia="Cambria" w:hAnsi="Cambria" w:cs="Cambria"/>
          <w:sz w:val="18"/>
          <w:szCs w:val="18"/>
          <w:lang w:val="es-ES_tradnl"/>
        </w:rPr>
      </w:pPr>
    </w:p>
    <w:p w:rsidR="00B00722" w:rsidRDefault="00B00722">
      <w:pPr>
        <w:pStyle w:val="BodyA"/>
        <w:tabs>
          <w:tab w:val="center" w:pos="5400"/>
        </w:tabs>
        <w:suppressAutoHyphens/>
        <w:jc w:val="center"/>
        <w:rPr>
          <w:rFonts w:ascii="Cambria" w:eastAsia="Cambria" w:hAnsi="Cambria" w:cs="Cambria"/>
          <w:sz w:val="18"/>
          <w:szCs w:val="18"/>
          <w:lang w:val="es-ES_tradnl"/>
        </w:rPr>
      </w:pPr>
    </w:p>
    <w:p w:rsidR="00B00722" w:rsidRDefault="00B00722">
      <w:pPr>
        <w:pStyle w:val="BodyA"/>
        <w:tabs>
          <w:tab w:val="center" w:pos="5400"/>
        </w:tabs>
        <w:suppressAutoHyphens/>
        <w:jc w:val="center"/>
        <w:rPr>
          <w:rFonts w:ascii="Cambria" w:eastAsia="Cambria" w:hAnsi="Cambria" w:cs="Cambria"/>
          <w:sz w:val="18"/>
          <w:szCs w:val="18"/>
          <w:lang w:val="es-ES_tradnl"/>
        </w:rPr>
      </w:pPr>
    </w:p>
    <w:p w:rsidR="00B00722" w:rsidRDefault="009B3FD8">
      <w:pPr>
        <w:pStyle w:val="BodyA"/>
        <w:tabs>
          <w:tab w:val="center" w:pos="5400"/>
        </w:tabs>
        <w:suppressAutoHyphens/>
        <w:jc w:val="center"/>
        <w:rPr>
          <w:rFonts w:ascii="Cambria" w:eastAsia="Cambria" w:hAnsi="Cambria" w:cs="Cambria"/>
          <w:sz w:val="18"/>
          <w:szCs w:val="18"/>
        </w:rPr>
      </w:pPr>
      <w:r>
        <w:rPr>
          <w:rFonts w:ascii="Cambria" w:eastAsia="Cambria" w:hAnsi="Cambria" w:cs="Cambria"/>
          <w:noProof/>
          <w:sz w:val="22"/>
          <w:szCs w:val="22"/>
        </w:rPr>
        <mc:AlternateContent>
          <mc:Choice Requires="wps">
            <w:drawing>
              <wp:anchor distT="0" distB="0" distL="0" distR="0" simplePos="0" relativeHeight="251663360" behindDoc="0" locked="0" layoutInCell="1" allowOverlap="1">
                <wp:simplePos x="0" y="0"/>
                <wp:positionH relativeFrom="column">
                  <wp:posOffset>1341753</wp:posOffset>
                </wp:positionH>
                <wp:positionV relativeFrom="line">
                  <wp:posOffset>22858</wp:posOffset>
                </wp:positionV>
                <wp:extent cx="4933950" cy="691516"/>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4933950" cy="691516"/>
                        </a:xfrm>
                        <a:prstGeom prst="rect">
                          <a:avLst/>
                        </a:prstGeom>
                        <a:noFill/>
                        <a:ln w="12700" cap="flat">
                          <a:noFill/>
                          <a:miter lim="400000"/>
                        </a:ln>
                        <a:effectLst/>
                      </wps:spPr>
                      <wps:txbx>
                        <w:txbxContent>
                          <w:p w:rsidR="00B00722" w:rsidRPr="009B3FD8" w:rsidRDefault="009B3FD8">
                            <w:pPr>
                              <w:pStyle w:val="BodyA"/>
                              <w:tabs>
                                <w:tab w:val="center" w:pos="5400"/>
                              </w:tabs>
                              <w:suppressAutoHyphens/>
                              <w:spacing w:before="60"/>
                              <w:rPr>
                                <w:lang w:val="es-419"/>
                              </w:rPr>
                            </w:pPr>
                            <w:r>
                              <w:rPr>
                                <w:rFonts w:ascii="Cambria" w:eastAsia="Cambria" w:hAnsi="Cambria" w:cs="Cambria"/>
                                <w:color w:val="0D0D0D"/>
                                <w:sz w:val="18"/>
                                <w:szCs w:val="18"/>
                                <w:u w:color="0D0D0D"/>
                                <w:lang w:val="es-ES_tradnl"/>
                              </w:rPr>
                              <w:t>Aprobado electrónicamente por la Comisión el 24 de abril de 2020</w:t>
                            </w:r>
                            <w:r w:rsidR="00AF43DC">
                              <w:rPr>
                                <w:rFonts w:ascii="Cambria" w:eastAsia="Cambria" w:hAnsi="Cambria" w:cs="Cambria"/>
                                <w:color w:val="0D0D0D"/>
                                <w:sz w:val="18"/>
                                <w:szCs w:val="18"/>
                                <w:u w:color="0D0D0D"/>
                                <w:lang w:val="es-ES_tradnl"/>
                              </w:rPr>
                              <w:t>.</w:t>
                            </w:r>
                          </w:p>
                        </w:txbxContent>
                      </wps:txbx>
                      <wps:bodyPr wrap="square" lIns="45718" tIns="45718" rIns="45718" bIns="45718" numCol="1" anchor="t">
                        <a:noAutofit/>
                      </wps:bodyPr>
                    </wps:wsp>
                  </a:graphicData>
                </a:graphic>
              </wp:anchor>
            </w:drawing>
          </mc:Choice>
          <mc:Fallback>
            <w:pict>
              <v:rect id="_x0000_s1029" style="position:absolute;left:0;text-align:left;margin-left:105.65pt;margin-top:1.8pt;width:388.5pt;height:54.45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Rb73gEAAKsDAAAOAAAAZHJzL2Uyb0RvYy54bWysU8tu2zAQvBfoPxC8x5IsP2LBchA0SFGg&#10;aAOk/QCKIi0GfJWkLfnvu6RkR2hvRX2gucvl7M5wtH8YlERn5rwwusbFIseIaWpaoY81/vnj+e4e&#10;Ix+Ibok0mtX4wjx+OHz8sO9txZamM7JlDgGI9lVva9yFYKss87RjiviFsUzDITdOkQChO2atIz2g&#10;K5kt83yT9ca11hnKvIfs03iIDwmfc0bDd849C0jWGGYLaXVpbeKaHfakOjpiO0GnMcg/TKGI0ND0&#10;BvVEAkEnJ/6CUoI64w0PC2pUZjgXlCUOwKbI/2Dz2hHLEhcQx9ubTP7/wdJv5xeHRAtvl2/L7aq4&#10;LwuMNFHwVuN0jy4g07yBklGs3voK7rzaFzdFHraR+cCdiv9wCw1J4MtNYDYERCG52pXlbg3vQOFs&#10;syvWxSaCZu+3rfPhMzMKxU2NXWwbUcn5qw9j6bUkprV5FlJCnlRSox5YLLd5xCfgJS7JeHlWpUQA&#10;v0mhYJg8/qb+UkcMlhwzdYpUR3JxF4ZmSDqVVxka015Aux7MU2P/60Qcw0h+0fA6q/W2AOOHeeDm&#10;QTMP9El9MuBPEJ5o2hmw53Xux1MwXCTicYixJQgWA3BEkm5yb7TcPE5V79/Y4TcAAAD//wMAUEsD&#10;BBQABgAIAAAAIQDlDsLC3QAAAAkBAAAPAAAAZHJzL2Rvd25yZXYueG1sTI/LTsMwEEX3SPyDNZXY&#10;UechqjTEqRCiKySqpP2AaWziqLEd2U4b+HqGFSyv7tGdM9VuMSO7Kh8GZwWk6wSYsp2Tg+0FnI77&#10;xwJYiGgljs4qAV8qwK6+v6uwlO5mG3VtY89oxIYSBegYp5Lz0GllMKzdpCx1n84bjBR9z6XHG42b&#10;kWdJsuEGB0sXNE7qVavu0s5GwNvJHd73+cd3cQwOZ22aQ+sbIR5Wy8szsKiW+AfDrz6pQ01OZzdb&#10;GdgoIEvTnFAB+QYY9duioHwmMM2egNcV//9B/QMAAP//AwBQSwECLQAUAAYACAAAACEAtoM4kv4A&#10;AADhAQAAEwAAAAAAAAAAAAAAAAAAAAAAW0NvbnRlbnRfVHlwZXNdLnhtbFBLAQItABQABgAIAAAA&#10;IQA4/SH/1gAAAJQBAAALAAAAAAAAAAAAAAAAAC8BAABfcmVscy8ucmVsc1BLAQItABQABgAIAAAA&#10;IQAsjRb73gEAAKsDAAAOAAAAAAAAAAAAAAAAAC4CAABkcnMvZTJvRG9jLnhtbFBLAQItABQABgAI&#10;AAAAIQDlDsLC3QAAAAkBAAAPAAAAAAAAAAAAAAAAADgEAABkcnMvZG93bnJldi54bWxQSwUGAAAA&#10;AAQABADzAAAAQgUAAAAA&#10;" filled="f" stroked="f" strokeweight="1pt">
                <v:stroke miterlimit="4"/>
                <v:textbox inset="1.2699mm,1.2699mm,1.2699mm,1.2699mm">
                  <w:txbxContent>
                    <w:p w:rsidR="00B00722" w:rsidRPr="009B3FD8" w:rsidRDefault="009B3FD8">
                      <w:pPr>
                        <w:pStyle w:val="BodyA"/>
                        <w:tabs>
                          <w:tab w:val="center" w:pos="5400"/>
                        </w:tabs>
                        <w:suppressAutoHyphens/>
                        <w:spacing w:before="60"/>
                        <w:rPr>
                          <w:lang w:val="es-419"/>
                        </w:rPr>
                      </w:pPr>
                      <w:r>
                        <w:rPr>
                          <w:rFonts w:ascii="Cambria" w:eastAsia="Cambria" w:hAnsi="Cambria" w:cs="Cambria"/>
                          <w:color w:val="0D0D0D"/>
                          <w:sz w:val="18"/>
                          <w:szCs w:val="18"/>
                          <w:u w:color="0D0D0D"/>
                          <w:lang w:val="es-ES_tradnl"/>
                        </w:rPr>
                        <w:t>Aprobado electrónicamente por la Comisión el 24 de abril de 2020</w:t>
                      </w:r>
                      <w:r w:rsidR="00AF43DC">
                        <w:rPr>
                          <w:rFonts w:ascii="Cambria" w:eastAsia="Cambria" w:hAnsi="Cambria" w:cs="Cambria"/>
                          <w:color w:val="0D0D0D"/>
                          <w:sz w:val="18"/>
                          <w:szCs w:val="18"/>
                          <w:u w:color="0D0D0D"/>
                          <w:lang w:val="es-ES_tradnl"/>
                        </w:rPr>
                        <w:t>.</w:t>
                      </w:r>
                    </w:p>
                  </w:txbxContent>
                </v:textbox>
                <w10:wrap anchory="line"/>
              </v:rect>
            </w:pict>
          </mc:Fallback>
        </mc:AlternateContent>
      </w:r>
    </w:p>
    <w:p w:rsidR="00B00722" w:rsidRDefault="00B00722">
      <w:pPr>
        <w:pStyle w:val="BodyA"/>
        <w:tabs>
          <w:tab w:val="center" w:pos="5400"/>
        </w:tabs>
        <w:suppressAutoHyphens/>
        <w:jc w:val="center"/>
        <w:rPr>
          <w:rFonts w:ascii="Cambria" w:eastAsia="Cambria" w:hAnsi="Cambria" w:cs="Cambria"/>
          <w:sz w:val="18"/>
          <w:szCs w:val="18"/>
          <w:lang w:val="es-ES_tradnl"/>
        </w:rPr>
      </w:pPr>
    </w:p>
    <w:p w:rsidR="00B00722" w:rsidRDefault="00B00722">
      <w:pPr>
        <w:pStyle w:val="BodyA"/>
        <w:tabs>
          <w:tab w:val="center" w:pos="5400"/>
        </w:tabs>
        <w:suppressAutoHyphens/>
        <w:jc w:val="center"/>
        <w:rPr>
          <w:rFonts w:ascii="Cambria" w:eastAsia="Cambria" w:hAnsi="Cambria" w:cs="Cambria"/>
          <w:sz w:val="18"/>
          <w:szCs w:val="18"/>
          <w:lang w:val="es-ES_tradnl"/>
        </w:rPr>
      </w:pPr>
    </w:p>
    <w:p w:rsidR="00B00722" w:rsidRDefault="00B00722">
      <w:pPr>
        <w:pStyle w:val="BodyA"/>
        <w:tabs>
          <w:tab w:val="center" w:pos="5400"/>
        </w:tabs>
        <w:suppressAutoHyphens/>
        <w:jc w:val="center"/>
        <w:rPr>
          <w:rFonts w:ascii="Cambria" w:eastAsia="Cambria" w:hAnsi="Cambria" w:cs="Cambria"/>
          <w:sz w:val="18"/>
          <w:szCs w:val="18"/>
          <w:lang w:val="es-ES_tradnl"/>
        </w:rPr>
      </w:pPr>
    </w:p>
    <w:p w:rsidR="00B00722" w:rsidRDefault="00B00722">
      <w:pPr>
        <w:pStyle w:val="BodyA"/>
        <w:tabs>
          <w:tab w:val="center" w:pos="5400"/>
        </w:tabs>
        <w:suppressAutoHyphens/>
        <w:jc w:val="center"/>
        <w:rPr>
          <w:rFonts w:ascii="Cambria" w:eastAsia="Cambria" w:hAnsi="Cambria" w:cs="Cambria"/>
          <w:sz w:val="18"/>
          <w:szCs w:val="18"/>
          <w:lang w:val="es-ES_tradnl"/>
        </w:rPr>
      </w:pPr>
    </w:p>
    <w:p w:rsidR="00B00722" w:rsidRDefault="009B3FD8">
      <w:pPr>
        <w:pStyle w:val="BodyA"/>
        <w:tabs>
          <w:tab w:val="center" w:pos="5400"/>
        </w:tabs>
        <w:suppressAutoHyphens/>
        <w:jc w:val="center"/>
        <w:rPr>
          <w:rFonts w:ascii="Cambria" w:eastAsia="Cambria" w:hAnsi="Cambria" w:cs="Cambria"/>
          <w:sz w:val="18"/>
          <w:szCs w:val="18"/>
        </w:rPr>
      </w:pPr>
      <w:r>
        <w:rPr>
          <w:rFonts w:ascii="Cambria" w:eastAsia="Cambria" w:hAnsi="Cambria" w:cs="Cambria"/>
          <w:noProof/>
          <w:sz w:val="18"/>
          <w:szCs w:val="18"/>
        </w:rPr>
        <mc:AlternateContent>
          <mc:Choice Requires="wps">
            <w:drawing>
              <wp:anchor distT="0" distB="0" distL="0" distR="0" simplePos="0" relativeHeight="251666432" behindDoc="0" locked="0" layoutInCell="1" allowOverlap="1">
                <wp:simplePos x="0" y="0"/>
                <wp:positionH relativeFrom="column">
                  <wp:posOffset>1333500</wp:posOffset>
                </wp:positionH>
                <wp:positionV relativeFrom="line">
                  <wp:posOffset>5713</wp:posOffset>
                </wp:positionV>
                <wp:extent cx="4943475" cy="657225"/>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4943475" cy="657225"/>
                        </a:xfrm>
                        <a:prstGeom prst="rect">
                          <a:avLst/>
                        </a:prstGeom>
                        <a:noFill/>
                        <a:ln w="12700" cap="flat">
                          <a:noFill/>
                          <a:miter lim="400000"/>
                        </a:ln>
                        <a:effectLst/>
                      </wps:spPr>
                      <wps:txbx>
                        <w:txbxContent>
                          <w:p w:rsidR="00B00722" w:rsidRDefault="009B3FD8">
                            <w:pPr>
                              <w:pStyle w:val="BodyA"/>
                              <w:spacing w:line="276" w:lineRule="auto"/>
                            </w:pPr>
                            <w:r>
                              <w:rPr>
                                <w:rFonts w:ascii="Cambria" w:eastAsia="Cambria" w:hAnsi="Cambria" w:cs="Cambria"/>
                                <w:b/>
                                <w:bCs/>
                                <w:color w:val="595959"/>
                                <w:sz w:val="18"/>
                                <w:szCs w:val="18"/>
                                <w:u w:color="595959"/>
                                <w:lang w:val="pt-PT"/>
                              </w:rPr>
                              <w:t>Citar como:</w:t>
                            </w:r>
                            <w:r>
                              <w:rPr>
                                <w:rFonts w:ascii="Cambria" w:eastAsia="Cambria" w:hAnsi="Cambria" w:cs="Cambria"/>
                                <w:color w:val="595959"/>
                                <w:sz w:val="18"/>
                                <w:szCs w:val="18"/>
                                <w:u w:color="595959"/>
                                <w:lang w:val="pt-PT"/>
                              </w:rPr>
                              <w:t xml:space="preserve"> CIDH, Informe No. </w:t>
                            </w:r>
                            <w:r>
                              <w:rPr>
                                <w:rFonts w:ascii="Cambria" w:eastAsia="Cambria" w:hAnsi="Cambria" w:cs="Cambria"/>
                                <w:color w:val="595959"/>
                                <w:sz w:val="18"/>
                                <w:szCs w:val="18"/>
                                <w:u w:color="595959"/>
                                <w:lang w:val="pt-BR"/>
                              </w:rPr>
                              <w:t>124</w:t>
                            </w:r>
                            <w:r w:rsidRPr="009B3FD8">
                              <w:rPr>
                                <w:rFonts w:ascii="Cambria" w:eastAsia="Cambria" w:hAnsi="Cambria" w:cs="Cambria"/>
                                <w:color w:val="595959"/>
                                <w:sz w:val="18"/>
                                <w:szCs w:val="18"/>
                                <w:u w:color="595959"/>
                                <w:lang w:val="pt-BR"/>
                              </w:rPr>
                              <w:t xml:space="preserve">/20. </w:t>
                            </w:r>
                            <w:r w:rsidR="00AF43DC">
                              <w:rPr>
                                <w:rFonts w:ascii="Cambria" w:eastAsia="Cambria" w:hAnsi="Cambria" w:cs="Cambria"/>
                                <w:color w:val="595959"/>
                                <w:sz w:val="18"/>
                                <w:szCs w:val="18"/>
                                <w:u w:color="595959"/>
                                <w:lang w:val="pt-BR"/>
                              </w:rPr>
                              <w:t xml:space="preserve">Petición 1524-13. </w:t>
                            </w:r>
                            <w:r>
                              <w:rPr>
                                <w:rFonts w:ascii="Cambria" w:eastAsia="Cambria" w:hAnsi="Cambria" w:cs="Cambria"/>
                                <w:color w:val="595959"/>
                                <w:sz w:val="18"/>
                                <w:szCs w:val="18"/>
                                <w:u w:color="595959"/>
                                <w:lang w:val="es-ES_tradnl"/>
                              </w:rPr>
                              <w:t xml:space="preserve">Admisibilidad. </w:t>
                            </w:r>
                            <w:proofErr w:type="spellStart"/>
                            <w:r>
                              <w:rPr>
                                <w:rFonts w:ascii="Cambria" w:eastAsia="Cambria" w:hAnsi="Cambria" w:cs="Cambria"/>
                                <w:color w:val="595959"/>
                                <w:sz w:val="18"/>
                                <w:szCs w:val="18"/>
                                <w:u w:color="595959"/>
                                <w:lang w:val="es-ES_tradnl"/>
                              </w:rPr>
                              <w:t>Hapete</w:t>
                            </w:r>
                            <w:proofErr w:type="spellEnd"/>
                            <w:r>
                              <w:rPr>
                                <w:rFonts w:ascii="Cambria" w:eastAsia="Cambria" w:hAnsi="Cambria" w:cs="Cambria"/>
                                <w:color w:val="595959"/>
                                <w:sz w:val="18"/>
                                <w:szCs w:val="18"/>
                                <w:u w:color="595959"/>
                                <w:lang w:val="es-ES_tradnl"/>
                              </w:rPr>
                              <w:t xml:space="preserve"> Michael Henry y familia. Jamaica. 24 de abril de 2020.</w:t>
                            </w:r>
                          </w:p>
                        </w:txbxContent>
                      </wps:txbx>
                      <wps:bodyPr wrap="square" lIns="45718" tIns="45718" rIns="45718" bIns="45718" numCol="1" anchor="t">
                        <a:noAutofit/>
                      </wps:bodyPr>
                    </wps:wsp>
                  </a:graphicData>
                </a:graphic>
              </wp:anchor>
            </w:drawing>
          </mc:Choice>
          <mc:Fallback>
            <w:pict>
              <v:rect id="_x0000_s1030" style="position:absolute;left:0;text-align:left;margin-left:105pt;margin-top:.45pt;width:389.25pt;height:51.75pt;z-index:2516664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vVa3wEAAKsDAAAOAAAAZHJzL2Uyb0RvYy54bWysU8tu2zAQvBfoPxC813pYjhLBchA0SFGg&#10;aAMk/QCKIi0WfJWkLfnvu6Rkx2hvQX2gucvl7M5wtL2flERH5rwwusXFKseIaWp6ofct/vn69OkW&#10;Ix+I7ok0mrX4xDy+3338sB1tw0ozGNkzhwBE+2a0LR5CsE2WeTowRfzKWKbhkBunSIDQ7bPekRHQ&#10;lczKPL/JRuN66wxl3kP2cT7Eu4TPOaPhB+eeBSRbDLOFtLq0dnHNdlvS7B2xg6DLGOQdUygiNDS9&#10;QD2SQNDBiX+glKDOeMPDihqVGc4FZYkDsCnyv9i8DMSyxAXE8fYik/9/sPT78dkh0cPb5fW6rorb&#10;dYmRJgreap7uwQVkul+gZBRrtL6BOy/22S2Rh21kPnGn4j/cQlMS+HQRmE0BUUhWd9W6qjcYUTi7&#10;2dRluYmg2dtt63z4woxCcdNiF9tGVHL85sNcei6JaW2ehJSQJ43UaAQWZZ3DO1MCXuKSzJevqpQI&#10;4DcpFAyTx9/SX+qIwZJjlk6R6kwu7sLUTUmn6ixDZ/oTaDeCeVrsfx+IYxjJrxpep9rUBRg/XAfu&#10;OuiuA31Qnw34s8CIaDoYsOd57odDMFwk4nGIuSUIFgNwRJJucW+03HWcqt6+sd0fAAAA//8DAFBL&#10;AwQUAAYACAAAACEAcl1jJt0AAAAIAQAADwAAAGRycy9kb3ducmV2LnhtbEyPwU7DMBBE70j8g7VI&#10;3KjTUlAa4lQI0RMSVdJ+wDZe4oh4HdlOG/h6zAmOoxnNvCm3sx3EmXzoHStYLjIQxK3TPXcKjofd&#10;XQ4iRGSNg2NS8EUBttX1VYmFdheu6dzETqQSDgUqMDGOhZShNWQxLNxInLwP5y3GJH0ntcdLKreD&#10;XGXZo7TYc1owONKLofazmayC16Pbv+3u37/zQ3A4GVvvG18rdXszPz+BiDTHvzD84id0qBLTyU2s&#10;gxgUrJZZ+hIVbEAke5PnDyBOKZet1yCrUv4/UP0AAAD//wMAUEsBAi0AFAAGAAgAAAAhALaDOJL+&#10;AAAA4QEAABMAAAAAAAAAAAAAAAAAAAAAAFtDb250ZW50X1R5cGVzXS54bWxQSwECLQAUAAYACAAA&#10;ACEAOP0h/9YAAACUAQAACwAAAAAAAAAAAAAAAAAvAQAAX3JlbHMvLnJlbHNQSwECLQAUAAYACAAA&#10;ACEApPL1Wt8BAACrAwAADgAAAAAAAAAAAAAAAAAuAgAAZHJzL2Uyb0RvYy54bWxQSwECLQAUAAYA&#10;CAAAACEAcl1jJt0AAAAIAQAADwAAAAAAAAAAAAAAAAA5BAAAZHJzL2Rvd25yZXYueG1sUEsFBgAA&#10;AAAEAAQA8wAAAEMFAAAAAA==&#10;" filled="f" stroked="f" strokeweight="1pt">
                <v:stroke miterlimit="4"/>
                <v:textbox inset="1.2699mm,1.2699mm,1.2699mm,1.2699mm">
                  <w:txbxContent>
                    <w:p w:rsidR="00B00722" w:rsidRDefault="009B3FD8">
                      <w:pPr>
                        <w:pStyle w:val="BodyA"/>
                        <w:spacing w:line="276" w:lineRule="auto"/>
                      </w:pPr>
                      <w:r>
                        <w:rPr>
                          <w:rFonts w:ascii="Cambria" w:eastAsia="Cambria" w:hAnsi="Cambria" w:cs="Cambria"/>
                          <w:b/>
                          <w:bCs/>
                          <w:color w:val="595959"/>
                          <w:sz w:val="18"/>
                          <w:szCs w:val="18"/>
                          <w:u w:color="595959"/>
                          <w:lang w:val="pt-PT"/>
                        </w:rPr>
                        <w:t>Citar como:</w:t>
                      </w:r>
                      <w:r>
                        <w:rPr>
                          <w:rFonts w:ascii="Cambria" w:eastAsia="Cambria" w:hAnsi="Cambria" w:cs="Cambria"/>
                          <w:color w:val="595959"/>
                          <w:sz w:val="18"/>
                          <w:szCs w:val="18"/>
                          <w:u w:color="595959"/>
                          <w:lang w:val="pt-PT"/>
                        </w:rPr>
                        <w:t xml:space="preserve"> CIDH, Informe No. </w:t>
                      </w:r>
                      <w:r>
                        <w:rPr>
                          <w:rFonts w:ascii="Cambria" w:eastAsia="Cambria" w:hAnsi="Cambria" w:cs="Cambria"/>
                          <w:color w:val="595959"/>
                          <w:sz w:val="18"/>
                          <w:szCs w:val="18"/>
                          <w:u w:color="595959"/>
                          <w:lang w:val="pt-BR"/>
                        </w:rPr>
                        <w:t>124</w:t>
                      </w:r>
                      <w:r w:rsidRPr="009B3FD8">
                        <w:rPr>
                          <w:rFonts w:ascii="Cambria" w:eastAsia="Cambria" w:hAnsi="Cambria" w:cs="Cambria"/>
                          <w:color w:val="595959"/>
                          <w:sz w:val="18"/>
                          <w:szCs w:val="18"/>
                          <w:u w:color="595959"/>
                          <w:lang w:val="pt-BR"/>
                        </w:rPr>
                        <w:t xml:space="preserve">/20. </w:t>
                      </w:r>
                      <w:r w:rsidR="00AF43DC">
                        <w:rPr>
                          <w:rFonts w:ascii="Cambria" w:eastAsia="Cambria" w:hAnsi="Cambria" w:cs="Cambria"/>
                          <w:color w:val="595959"/>
                          <w:sz w:val="18"/>
                          <w:szCs w:val="18"/>
                          <w:u w:color="595959"/>
                          <w:lang w:val="pt-BR"/>
                        </w:rPr>
                        <w:t xml:space="preserve">Petición 1524-13. </w:t>
                      </w:r>
                      <w:r>
                        <w:rPr>
                          <w:rFonts w:ascii="Cambria" w:eastAsia="Cambria" w:hAnsi="Cambria" w:cs="Cambria"/>
                          <w:color w:val="595959"/>
                          <w:sz w:val="18"/>
                          <w:szCs w:val="18"/>
                          <w:u w:color="595959"/>
                          <w:lang w:val="es-ES_tradnl"/>
                        </w:rPr>
                        <w:t xml:space="preserve">Admisibilidad. </w:t>
                      </w:r>
                      <w:proofErr w:type="spellStart"/>
                      <w:r>
                        <w:rPr>
                          <w:rFonts w:ascii="Cambria" w:eastAsia="Cambria" w:hAnsi="Cambria" w:cs="Cambria"/>
                          <w:color w:val="595959"/>
                          <w:sz w:val="18"/>
                          <w:szCs w:val="18"/>
                          <w:u w:color="595959"/>
                          <w:lang w:val="es-ES_tradnl"/>
                        </w:rPr>
                        <w:t>Hapete</w:t>
                      </w:r>
                      <w:proofErr w:type="spellEnd"/>
                      <w:r>
                        <w:rPr>
                          <w:rFonts w:ascii="Cambria" w:eastAsia="Cambria" w:hAnsi="Cambria" w:cs="Cambria"/>
                          <w:color w:val="595959"/>
                          <w:sz w:val="18"/>
                          <w:szCs w:val="18"/>
                          <w:u w:color="595959"/>
                          <w:lang w:val="es-ES_tradnl"/>
                        </w:rPr>
                        <w:t xml:space="preserve"> Michael Henry y familia. Jamaica. 24 de abril de 2020.</w:t>
                      </w:r>
                    </w:p>
                  </w:txbxContent>
                </v:textbox>
                <w10:wrap anchory="line"/>
              </v:rect>
            </w:pict>
          </mc:Fallback>
        </mc:AlternateContent>
      </w:r>
    </w:p>
    <w:p w:rsidR="00B00722" w:rsidRDefault="00B00722">
      <w:pPr>
        <w:pStyle w:val="BodyA"/>
        <w:tabs>
          <w:tab w:val="center" w:pos="5400"/>
        </w:tabs>
        <w:suppressAutoHyphens/>
        <w:jc w:val="center"/>
        <w:rPr>
          <w:rFonts w:ascii="Cambria" w:eastAsia="Cambria" w:hAnsi="Cambria" w:cs="Cambria"/>
          <w:sz w:val="18"/>
          <w:szCs w:val="18"/>
          <w:lang w:val="es-ES_tradnl"/>
        </w:rPr>
      </w:pPr>
    </w:p>
    <w:p w:rsidR="00B00722" w:rsidRDefault="009B3FD8">
      <w:pPr>
        <w:pStyle w:val="BodyA"/>
        <w:tabs>
          <w:tab w:val="center" w:pos="5400"/>
        </w:tabs>
        <w:suppressAutoHyphens/>
        <w:jc w:val="center"/>
        <w:rPr>
          <w:rFonts w:ascii="Cambria" w:eastAsia="Cambria" w:hAnsi="Cambria" w:cs="Cambria"/>
          <w:b/>
          <w:bCs/>
          <w:sz w:val="20"/>
          <w:szCs w:val="20"/>
        </w:rPr>
      </w:pPr>
      <w:r>
        <w:rPr>
          <w:rFonts w:ascii="Cambria" w:eastAsia="Cambria" w:hAnsi="Cambria" w:cs="Cambria"/>
          <w:noProof/>
          <w:sz w:val="22"/>
          <w:szCs w:val="22"/>
        </w:rPr>
        <mc:AlternateContent>
          <mc:Choice Requires="wps">
            <w:drawing>
              <wp:anchor distT="0" distB="0" distL="0" distR="0" simplePos="0" relativeHeight="251660288" behindDoc="0" locked="0" layoutInCell="1" allowOverlap="1">
                <wp:simplePos x="0" y="0"/>
                <wp:positionH relativeFrom="column">
                  <wp:posOffset>-272225</wp:posOffset>
                </wp:positionH>
                <wp:positionV relativeFrom="line">
                  <wp:posOffset>915033</wp:posOffset>
                </wp:positionV>
                <wp:extent cx="1181100" cy="332742"/>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1181100" cy="332742"/>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xmlns:w16se="http://schemas.microsoft.com/office/word/2015/wordml/symex" xmlns:cx1="http://schemas.microsoft.com/office/drawing/2015/9/8/chartex" xmlns:cx="http://schemas.microsoft.com/office/drawing/2014/chartex" val="1"/>
                          </a:ext>
                        </a:extLst>
                      </wps:spPr>
                      <wps:txbx>
                        <w:txbxContent>
                          <w:p w:rsidR="00B00722" w:rsidRDefault="009B3FD8">
                            <w:pPr>
                              <w:pStyle w:val="BodyA"/>
                              <w:jc w:val="center"/>
                            </w:pPr>
                            <w:r>
                              <w:rPr>
                                <w:rFonts w:ascii="Calibri" w:eastAsia="Calibri" w:hAnsi="Calibri" w:cs="Calibri"/>
                                <w:b/>
                                <w:bCs/>
                                <w:color w:val="FFFFFF"/>
                                <w:u w:color="FFFFFF"/>
                                <w:lang w:val="pt-PT"/>
                              </w:rPr>
                              <w:t>www.cidh.org</w:t>
                            </w:r>
                          </w:p>
                        </w:txbxContent>
                      </wps:txbx>
                      <wps:bodyPr wrap="square" lIns="45718" tIns="45718" rIns="45718" bIns="45718"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31" style="position:absolute;left:0;text-align:left;margin-left:-21.45pt;margin-top:72.05pt;width:93pt;height:26.2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kYDgIAAPUDAAAOAAAAZHJzL2Uyb0RvYy54bWysU9tu2zAMfR+wfxD0nvgSp06NOIWXIMOA&#10;YS3Q7QMUWY416OJJSuxg2L+PknPD+lbMDzJJkYfkIbV8GqRAR2Ys16rEyTTGiCmqa672Jf7xfTtZ&#10;YGQdUTURWrESn5jFT6uPH5Z9V7BUt1rUzCAAUbbouxK3znVFFFnaMknsVHdMwWWjjSQOVLOPakN6&#10;QJciSuP4Ieq1qTujKbMWrJvxEq8CftMw6p6bxjKHRImhNhdOE86dP6PVkhR7Q7qW03MZ5B1VSMIV&#10;JL1CbYgj6GD4GyjJqdFWN25KtYx003DKQg/QTRL/081rSzoWegFybHelyf4/WPrt+GIQr2F2cT7L&#10;s2Qxm2GkiIRZjdVVxiG9+wlMerL6zhYQ89q9mLNmQfSdD42R/g9RaAgEn64Es8EhCsYkWSRJDHOg&#10;cDebpXmWetDoFt0Z6z4zLZEXSmx8Wo9Kjl+tG10vLt6s9JYLAXZSCIV6yJDmAZ/ALjWCjMF3XpI7&#10;2DfBZYmz2H/n/EJ5DBY2ZswE2uBADHaoP0zz93qep1U+f5w8VPNkkiXxYlJVcTrZbKu4irPt+jH7&#10;9OeMeYmPPGkjTV5yw24IjM+9n7fsdH2CKfSwhiW2vw7EMIzEFwVzzuZ5Ak/I3SvmXtndK+og1xo2&#10;PcGIKNpqWPQLA9XB6YYHCm8pgXqvwG6FIZzfgV/eez143V7r6i8AAAD//wMAUEsDBBQABgAIAAAA&#10;IQB0diIx3wAAAAsBAAAPAAAAZHJzL2Rvd25yZXYueG1sTI/BTsMwEETvSPyDtUjcWqdtqNoQp0KI&#10;npCokvYDtrGJI+J1FDtt4OvZnuA2q3mancl3k+vExQyh9aRgMU9AGKq9bqlRcDruZxsQISJp7DwZ&#10;Bd8mwK64v8sx0/5KpblUsREcQiFDBTbGPpMy1NY4DHPfG2Lv0w8OI59DI/WAVw53nVwmyVo6bIk/&#10;WOzNqzX1VzU6BW8nf3jfrz5+NsfgcbSuPFRDqdTjw/TyDCKaKf7BcKvP1aHgTmc/kg6iUzBLl1tG&#10;2UjTBYgbka5YnFls108gi1z+31D8AgAA//8DAFBLAQItABQABgAIAAAAIQC2gziS/gAAAOEBAAAT&#10;AAAAAAAAAAAAAAAAAAAAAABbQ29udGVudF9UeXBlc10ueG1sUEsBAi0AFAAGAAgAAAAhADj9If/W&#10;AAAAlAEAAAsAAAAAAAAAAAAAAAAALwEAAF9yZWxzLy5yZWxzUEsBAi0AFAAGAAgAAAAhAB4CaRgO&#10;AgAA9QMAAA4AAAAAAAAAAAAAAAAALgIAAGRycy9lMm9Eb2MueG1sUEsBAi0AFAAGAAgAAAAhAHR2&#10;IjHfAAAACwEAAA8AAAAAAAAAAAAAAAAAaAQAAGRycy9kb3ducmV2LnhtbFBLBQYAAAAABAAEAPMA&#10;AAB0BQAAAAA=&#10;" filled="f" stroked="f" strokeweight="1pt">
                <v:stroke miterlimit="4"/>
                <v:textbox inset="1.2699mm,1.2699mm,1.2699mm,1.2699mm">
                  <w:txbxContent>
                    <w:p w:rsidR="00B00722" w:rsidRDefault="009B3FD8">
                      <w:pPr>
                        <w:pStyle w:val="BodyA"/>
                        <w:jc w:val="center"/>
                      </w:pPr>
                      <w:r>
                        <w:rPr>
                          <w:rFonts w:ascii="Calibri" w:eastAsia="Calibri" w:hAnsi="Calibri" w:cs="Calibri"/>
                          <w:b/>
                          <w:bCs/>
                          <w:color w:val="FFFFFF"/>
                          <w:u w:color="FFFFFF"/>
                          <w:lang w:val="pt-PT"/>
                        </w:rPr>
                        <w:t>www.cidh.org</w:t>
                      </w:r>
                    </w:p>
                  </w:txbxContent>
                </v:textbox>
                <w10:wrap anchory="line"/>
              </v:rect>
            </w:pict>
          </mc:Fallback>
        </mc:AlternateContent>
      </w:r>
    </w:p>
    <w:p w:rsidR="00B00722" w:rsidRDefault="009B3FD8">
      <w:pPr>
        <w:pStyle w:val="BodyA"/>
        <w:tabs>
          <w:tab w:val="center" w:pos="5400"/>
        </w:tabs>
        <w:suppressAutoHyphens/>
        <w:jc w:val="center"/>
        <w:sectPr w:rsidR="00B00722">
          <w:headerReference w:type="even" r:id="rId8"/>
          <w:headerReference w:type="default" r:id="rId9"/>
          <w:footerReference w:type="even" r:id="rId10"/>
          <w:footerReference w:type="default" r:id="rId11"/>
          <w:headerReference w:type="first" r:id="rId12"/>
          <w:footerReference w:type="first" r:id="rId13"/>
          <w:type w:val="oddPage"/>
          <w:pgSz w:w="12240" w:h="15840"/>
          <w:pgMar w:top="1440" w:right="1440" w:bottom="1440" w:left="1440" w:header="720" w:footer="720" w:gutter="0"/>
          <w:pgNumType w:start="0"/>
          <w:cols w:space="720"/>
          <w:titlePg/>
        </w:sectPr>
      </w:pPr>
      <w:r>
        <w:rPr>
          <w:rFonts w:ascii="Cambria" w:eastAsia="Cambria" w:hAnsi="Cambria" w:cs="Cambria"/>
          <w:noProof/>
          <w:sz w:val="18"/>
          <w:szCs w:val="18"/>
        </w:rPr>
        <mc:AlternateContent>
          <mc:Choice Requires="wps">
            <w:drawing>
              <wp:anchor distT="0" distB="0" distL="0" distR="0" simplePos="0" relativeHeight="251659264" behindDoc="0" locked="0" layoutInCell="1" allowOverlap="1">
                <wp:simplePos x="0" y="0"/>
                <wp:positionH relativeFrom="column">
                  <wp:posOffset>1330658</wp:posOffset>
                </wp:positionH>
                <wp:positionV relativeFrom="line">
                  <wp:posOffset>489651</wp:posOffset>
                </wp:positionV>
                <wp:extent cx="2286000" cy="567055"/>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2286000" cy="567055"/>
                        </a:xfrm>
                        <a:prstGeom prst="rect">
                          <a:avLst/>
                        </a:prstGeom>
                        <a:solidFill>
                          <a:srgbClr val="FFFFFF"/>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id="_x0000_s1033" style="visibility:visible;position:absolute;margin-left:104.8pt;margin-top:38.6pt;width:180.0pt;height:44.6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color w:val="FFFFFF"/>
          <w:u w:color="FFFFFF"/>
        </w:rPr>
        <w:drawing>
          <wp:anchor distT="57150" distB="57150" distL="57150" distR="57150" simplePos="0" relativeHeight="251667456" behindDoc="0" locked="0" layoutInCell="1" allowOverlap="1">
            <wp:simplePos x="0" y="0"/>
            <wp:positionH relativeFrom="column">
              <wp:posOffset>1466850</wp:posOffset>
            </wp:positionH>
            <wp:positionV relativeFrom="line">
              <wp:posOffset>558165</wp:posOffset>
            </wp:positionV>
            <wp:extent cx="1515601" cy="390950"/>
            <wp:effectExtent l="0" t="0" r="0" b="0"/>
            <wp:wrapSquare wrapText="bothSides" distT="57150" distB="57150" distL="57150" distR="57150"/>
            <wp:docPr id="1073741835" name="officeArt object" descr="C:\Users\mfontana\Documents\Eva Fontana\GRAFICA CIDH\cartas\logos\oea-es.jpg"/>
            <wp:cNvGraphicFramePr/>
            <a:graphic xmlns:a="http://schemas.openxmlformats.org/drawingml/2006/main">
              <a:graphicData uri="http://schemas.openxmlformats.org/drawingml/2006/picture">
                <pic:pic xmlns:pic="http://schemas.openxmlformats.org/drawingml/2006/picture">
                  <pic:nvPicPr>
                    <pic:cNvPr id="1073741835" name="image1.png" descr="C:\Users\mfontana\Documents\Eva Fontana\GRAFICA CIDH\cartas\logos\oea-es.jpg"/>
                    <pic:cNvPicPr>
                      <a:picLocks noChangeAspect="1"/>
                    </pic:cNvPicPr>
                  </pic:nvPicPr>
                  <pic:blipFill>
                    <a:blip r:embed="rId14">
                      <a:extLst/>
                    </a:blip>
                    <a:stretch>
                      <a:fillRect/>
                    </a:stretch>
                  </pic:blipFill>
                  <pic:spPr>
                    <a:xfrm>
                      <a:off x="0" y="0"/>
                      <a:ext cx="1515601" cy="390950"/>
                    </a:xfrm>
                    <a:prstGeom prst="rect">
                      <a:avLst/>
                    </a:prstGeom>
                    <a:ln w="12700" cap="flat">
                      <a:noFill/>
                      <a:miter lim="400000"/>
                    </a:ln>
                    <a:effectLst/>
                  </pic:spPr>
                </pic:pic>
              </a:graphicData>
            </a:graphic>
          </wp:anchor>
        </w:drawing>
      </w:r>
    </w:p>
    <w:p w:rsidR="00B00722" w:rsidRDefault="009B3FD8">
      <w:pPr>
        <w:pStyle w:val="BodyA"/>
        <w:spacing w:after="240"/>
        <w:ind w:firstLine="720"/>
        <w:jc w:val="both"/>
        <w:rPr>
          <w:rFonts w:ascii="Cambria" w:eastAsia="Cambria" w:hAnsi="Cambria" w:cs="Cambria"/>
          <w:b/>
          <w:bCs/>
          <w:sz w:val="20"/>
          <w:szCs w:val="20"/>
        </w:rPr>
      </w:pPr>
      <w:r>
        <w:rPr>
          <w:rFonts w:ascii="Cambria" w:eastAsia="Cambria" w:hAnsi="Cambria" w:cs="Cambria"/>
          <w:b/>
          <w:bCs/>
          <w:sz w:val="20"/>
          <w:szCs w:val="20"/>
          <w:lang w:val="es-ES_tradnl"/>
        </w:rPr>
        <w:lastRenderedPageBreak/>
        <w:t>I.</w:t>
      </w:r>
      <w:r>
        <w:rPr>
          <w:rFonts w:ascii="Cambria" w:eastAsia="Cambria" w:hAnsi="Cambria" w:cs="Cambria"/>
          <w:b/>
          <w:bCs/>
          <w:sz w:val="20"/>
          <w:szCs w:val="20"/>
          <w:lang w:val="es-ES_tradnl"/>
        </w:rPr>
        <w:tab/>
        <w:t xml:space="preserve">DATOS DE LA PETICIÓN </w:t>
      </w:r>
    </w:p>
    <w:tbl>
      <w:tblPr>
        <w:tblW w:w="93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44"/>
        <w:gridCol w:w="5812"/>
      </w:tblGrid>
      <w:tr w:rsidR="00B00722" w:rsidRPr="00AF43DC">
        <w:trPr>
          <w:trHeight w:val="672"/>
        </w:trPr>
        <w:tc>
          <w:tcPr>
            <w:tcW w:w="3544"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B00722" w:rsidRDefault="009B3FD8">
            <w:pPr>
              <w:pStyle w:val="BodyA"/>
              <w:jc w:val="center"/>
            </w:pPr>
            <w:r>
              <w:rPr>
                <w:rFonts w:ascii="Cambria" w:eastAsia="Cambria" w:hAnsi="Cambria" w:cs="Cambria"/>
                <w:color w:val="FFFFFF"/>
                <w:sz w:val="19"/>
                <w:szCs w:val="19"/>
                <w:u w:color="FFFFFF"/>
                <w:lang w:val="es-ES_tradnl"/>
              </w:rPr>
              <w:t>Parte peticionaria</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722" w:rsidRPr="009B3FD8" w:rsidRDefault="009B3FD8">
            <w:pPr>
              <w:pStyle w:val="BodyA"/>
              <w:jc w:val="both"/>
              <w:rPr>
                <w:lang w:val="es-419"/>
              </w:rPr>
            </w:pPr>
            <w:r>
              <w:rPr>
                <w:rFonts w:ascii="Cambria" w:eastAsia="Cambria" w:hAnsi="Cambria" w:cs="Cambria"/>
                <w:sz w:val="20"/>
                <w:szCs w:val="20"/>
                <w:lang w:val="es-ES_tradnl"/>
              </w:rPr>
              <w:t>Jamaiquinos por la Justicia (JFJ) y Clínica Internacional de Derechos Humanos de la Facultad de Derecho de la Universidad George       Washington</w:t>
            </w:r>
          </w:p>
        </w:tc>
      </w:tr>
      <w:tr w:rsidR="00B00722" w:rsidRPr="00AF43DC">
        <w:trPr>
          <w:trHeight w:val="232"/>
        </w:trPr>
        <w:tc>
          <w:tcPr>
            <w:tcW w:w="3544"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B00722" w:rsidRDefault="009B3FD8">
            <w:pPr>
              <w:pStyle w:val="BodyA"/>
              <w:jc w:val="center"/>
            </w:pPr>
            <w:r>
              <w:rPr>
                <w:rFonts w:ascii="Cambria" w:eastAsia="Cambria" w:hAnsi="Cambria" w:cs="Cambria"/>
                <w:color w:val="FFFFFF"/>
                <w:sz w:val="19"/>
                <w:szCs w:val="19"/>
                <w:u w:color="FFFFFF"/>
                <w:lang w:val="es-ES_tradnl"/>
              </w:rPr>
              <w:t>Presunta víctima</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722" w:rsidRPr="009B3FD8" w:rsidRDefault="009B3FD8">
            <w:pPr>
              <w:pStyle w:val="BodyA"/>
              <w:jc w:val="both"/>
              <w:rPr>
                <w:lang w:val="es-419"/>
              </w:rPr>
            </w:pPr>
            <w:proofErr w:type="spellStart"/>
            <w:r>
              <w:rPr>
                <w:rFonts w:ascii="Cambria" w:eastAsia="Cambria" w:hAnsi="Cambria" w:cs="Cambria"/>
                <w:sz w:val="20"/>
                <w:szCs w:val="20"/>
                <w:lang w:val="es-ES_tradnl"/>
              </w:rPr>
              <w:t>Hapete</w:t>
            </w:r>
            <w:proofErr w:type="spellEnd"/>
            <w:r>
              <w:rPr>
                <w:rFonts w:ascii="Cambria" w:eastAsia="Cambria" w:hAnsi="Cambria" w:cs="Cambria"/>
                <w:sz w:val="20"/>
                <w:szCs w:val="20"/>
                <w:lang w:val="es-ES_tradnl"/>
              </w:rPr>
              <w:t xml:space="preserve"> Michael Henry y familia</w:t>
            </w:r>
          </w:p>
        </w:tc>
      </w:tr>
      <w:tr w:rsidR="00B00722">
        <w:trPr>
          <w:trHeight w:val="232"/>
        </w:trPr>
        <w:tc>
          <w:tcPr>
            <w:tcW w:w="3544"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B00722" w:rsidRDefault="009B3FD8">
            <w:pPr>
              <w:pStyle w:val="BodyA"/>
              <w:jc w:val="center"/>
            </w:pPr>
            <w:r>
              <w:rPr>
                <w:rFonts w:ascii="Cambria" w:eastAsia="Cambria" w:hAnsi="Cambria" w:cs="Cambria"/>
                <w:color w:val="FFFFFF"/>
                <w:sz w:val="19"/>
                <w:szCs w:val="19"/>
                <w:u w:color="FFFFFF"/>
                <w:lang w:val="es-ES_tradnl"/>
              </w:rPr>
              <w:t>Estado denunciado</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722" w:rsidRDefault="009B3FD8">
            <w:pPr>
              <w:pStyle w:val="BodyA"/>
              <w:jc w:val="both"/>
            </w:pPr>
            <w:r>
              <w:rPr>
                <w:rFonts w:ascii="Cambria" w:eastAsia="Cambria" w:hAnsi="Cambria" w:cs="Cambria"/>
                <w:sz w:val="20"/>
                <w:szCs w:val="20"/>
              </w:rPr>
              <w:t>Jamaica</w:t>
            </w:r>
            <w:r w:rsidR="00D059BC">
              <w:rPr>
                <w:rStyle w:val="FootnoteReference"/>
                <w:rFonts w:ascii="Cambria" w:eastAsia="Cambria" w:hAnsi="Cambria" w:cs="Cambria"/>
                <w:sz w:val="20"/>
                <w:szCs w:val="20"/>
              </w:rPr>
              <w:footnoteReference w:id="2"/>
            </w:r>
          </w:p>
        </w:tc>
      </w:tr>
      <w:tr w:rsidR="00B00722" w:rsidRPr="00AF43DC">
        <w:trPr>
          <w:trHeight w:val="892"/>
        </w:trPr>
        <w:tc>
          <w:tcPr>
            <w:tcW w:w="3544"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B00722" w:rsidRDefault="009B3FD8">
            <w:pPr>
              <w:pStyle w:val="BodyA"/>
              <w:jc w:val="center"/>
            </w:pPr>
            <w:r>
              <w:rPr>
                <w:rFonts w:ascii="Cambria" w:eastAsia="Cambria" w:hAnsi="Cambria" w:cs="Cambria"/>
                <w:color w:val="FFFFFF"/>
                <w:sz w:val="19"/>
                <w:szCs w:val="19"/>
                <w:u w:color="FFFFFF"/>
                <w:lang w:val="es-ES_tradnl"/>
              </w:rPr>
              <w:t>Derechos invocados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722" w:rsidRPr="009B3FD8" w:rsidRDefault="009B3FD8">
            <w:pPr>
              <w:pStyle w:val="BodyA"/>
              <w:jc w:val="both"/>
              <w:rPr>
                <w:lang w:val="es-419"/>
              </w:rPr>
            </w:pPr>
            <w:r>
              <w:rPr>
                <w:rFonts w:ascii="Cambria" w:eastAsia="Cambria" w:hAnsi="Cambria" w:cs="Cambria"/>
                <w:sz w:val="20"/>
                <w:szCs w:val="20"/>
                <w:lang w:val="es-ES_tradnl"/>
              </w:rPr>
              <w:t>Artículos 4 (vida), 5 (integridad personal), 8 (garantías judiciales), 19 (derechos del niño) y 25 (protección judicial) de la Convención Americana sobre Derechos Humanos, en relación con los artículos 1(1) y 2 del mismo tratado</w:t>
            </w:r>
          </w:p>
        </w:tc>
      </w:tr>
    </w:tbl>
    <w:p w:rsidR="00B00722" w:rsidRPr="009B3FD8" w:rsidRDefault="009B3FD8">
      <w:pPr>
        <w:pStyle w:val="BodyA"/>
        <w:spacing w:before="240" w:after="240"/>
        <w:ind w:firstLine="720"/>
        <w:jc w:val="both"/>
        <w:rPr>
          <w:rFonts w:ascii="Cambria" w:eastAsia="Cambria" w:hAnsi="Cambria" w:cs="Cambria"/>
          <w:b/>
          <w:bCs/>
          <w:sz w:val="20"/>
          <w:szCs w:val="20"/>
          <w:lang w:val="es-419"/>
        </w:rPr>
      </w:pPr>
      <w:r>
        <w:rPr>
          <w:rFonts w:ascii="Cambria" w:eastAsia="Cambria" w:hAnsi="Cambria" w:cs="Cambria"/>
          <w:b/>
          <w:bCs/>
          <w:sz w:val="20"/>
          <w:szCs w:val="20"/>
          <w:lang w:val="es-ES_tradnl"/>
        </w:rPr>
        <w:t>II.</w:t>
      </w:r>
      <w:r>
        <w:rPr>
          <w:rFonts w:ascii="Cambria" w:eastAsia="Cambria" w:hAnsi="Cambria" w:cs="Cambria"/>
          <w:b/>
          <w:bCs/>
          <w:sz w:val="20"/>
          <w:szCs w:val="20"/>
          <w:lang w:val="es-ES_tradnl"/>
        </w:rPr>
        <w:tab/>
        <w:t>TRÁMITE ANTE LA CIDH</w:t>
      </w:r>
      <w:r>
        <w:rPr>
          <w:rFonts w:ascii="Cambria" w:eastAsia="Cambria" w:hAnsi="Cambria" w:cs="Cambria"/>
          <w:b/>
          <w:bCs/>
          <w:sz w:val="20"/>
          <w:szCs w:val="20"/>
          <w:vertAlign w:val="superscript"/>
        </w:rPr>
        <w:footnoteReference w:id="3"/>
      </w:r>
    </w:p>
    <w:tbl>
      <w:tblPr>
        <w:tblW w:w="93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44"/>
        <w:gridCol w:w="5812"/>
      </w:tblGrid>
      <w:tr w:rsidR="00B00722">
        <w:trPr>
          <w:trHeight w:val="242"/>
        </w:trPr>
        <w:tc>
          <w:tcPr>
            <w:tcW w:w="3544"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B00722" w:rsidRDefault="009B3FD8">
            <w:pPr>
              <w:pStyle w:val="BodyA"/>
              <w:jc w:val="center"/>
            </w:pPr>
            <w:r>
              <w:rPr>
                <w:rFonts w:ascii="Cambria" w:eastAsia="Cambria" w:hAnsi="Cambria" w:cs="Cambria"/>
                <w:color w:val="FFFFFF"/>
                <w:sz w:val="19"/>
                <w:szCs w:val="19"/>
                <w:u w:color="FFFFFF"/>
                <w:lang w:val="es-ES_tradnl"/>
              </w:rPr>
              <w:t>Recepción de la petición</w:t>
            </w:r>
          </w:p>
        </w:tc>
        <w:tc>
          <w:tcPr>
            <w:tcW w:w="5812"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B00722" w:rsidRDefault="009B3FD8">
            <w:pPr>
              <w:pStyle w:val="BodyA"/>
              <w:jc w:val="both"/>
            </w:pPr>
            <w:r>
              <w:rPr>
                <w:rFonts w:ascii="Cambria" w:eastAsia="Cambria" w:hAnsi="Cambria" w:cs="Cambria"/>
                <w:sz w:val="20"/>
                <w:szCs w:val="20"/>
                <w:lang w:val="es-ES_tradnl"/>
              </w:rPr>
              <w:t>17 de septiembre de 2013</w:t>
            </w:r>
          </w:p>
        </w:tc>
      </w:tr>
      <w:tr w:rsidR="00B00722">
        <w:trPr>
          <w:trHeight w:val="242"/>
        </w:trPr>
        <w:tc>
          <w:tcPr>
            <w:tcW w:w="3544"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B00722" w:rsidRDefault="009B3FD8">
            <w:pPr>
              <w:pStyle w:val="BodyA"/>
              <w:jc w:val="center"/>
            </w:pPr>
            <w:r>
              <w:rPr>
                <w:rFonts w:ascii="Cambria" w:eastAsia="Cambria" w:hAnsi="Cambria" w:cs="Cambria"/>
                <w:color w:val="FFFFFF"/>
                <w:sz w:val="19"/>
                <w:szCs w:val="19"/>
                <w:u w:color="FFFFFF"/>
                <w:lang w:val="es-ES_tradnl"/>
              </w:rPr>
              <w:t>Notificación de la petición</w:t>
            </w:r>
          </w:p>
        </w:tc>
        <w:tc>
          <w:tcPr>
            <w:tcW w:w="581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B00722" w:rsidRDefault="009B3FD8">
            <w:pPr>
              <w:pStyle w:val="BodyA"/>
              <w:jc w:val="both"/>
            </w:pPr>
            <w:r>
              <w:rPr>
                <w:rFonts w:ascii="Cambria" w:eastAsia="Cambria" w:hAnsi="Cambria" w:cs="Cambria"/>
                <w:sz w:val="20"/>
                <w:szCs w:val="20"/>
                <w:lang w:val="es-ES_tradnl"/>
              </w:rPr>
              <w:t>17 de noviembre de 2018</w:t>
            </w:r>
          </w:p>
        </w:tc>
      </w:tr>
      <w:tr w:rsidR="00B00722">
        <w:trPr>
          <w:trHeight w:val="242"/>
        </w:trPr>
        <w:tc>
          <w:tcPr>
            <w:tcW w:w="3544"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B00722" w:rsidRDefault="009B3FD8">
            <w:pPr>
              <w:pStyle w:val="BodyA"/>
              <w:jc w:val="center"/>
            </w:pPr>
            <w:r>
              <w:rPr>
                <w:rFonts w:ascii="Cambria" w:eastAsia="Cambria" w:hAnsi="Cambria" w:cs="Cambria"/>
                <w:color w:val="FFFFFF"/>
                <w:sz w:val="19"/>
                <w:szCs w:val="19"/>
                <w:u w:color="FFFFFF"/>
                <w:lang w:val="es-ES_tradnl"/>
              </w:rPr>
              <w:t>Primera respuesta del Estado</w:t>
            </w:r>
          </w:p>
        </w:tc>
        <w:tc>
          <w:tcPr>
            <w:tcW w:w="581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B00722" w:rsidRDefault="009B3FD8">
            <w:pPr>
              <w:pStyle w:val="BodyA"/>
              <w:jc w:val="both"/>
            </w:pPr>
            <w:r>
              <w:rPr>
                <w:rFonts w:ascii="Cambria" w:eastAsia="Cambria" w:hAnsi="Cambria" w:cs="Cambria"/>
                <w:sz w:val="20"/>
                <w:szCs w:val="20"/>
                <w:lang w:val="es-ES_tradnl"/>
              </w:rPr>
              <w:t>22 de agosto de 2019</w:t>
            </w:r>
          </w:p>
        </w:tc>
      </w:tr>
      <w:tr w:rsidR="00B00722">
        <w:trPr>
          <w:trHeight w:val="422"/>
        </w:trPr>
        <w:tc>
          <w:tcPr>
            <w:tcW w:w="3544"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B00722" w:rsidRPr="009B3FD8" w:rsidRDefault="009B3FD8">
            <w:pPr>
              <w:pStyle w:val="BodyA"/>
              <w:jc w:val="center"/>
              <w:rPr>
                <w:rFonts w:ascii="Cambria" w:eastAsia="Cambria" w:hAnsi="Cambria" w:cs="Cambria"/>
                <w:color w:val="FFFFFF"/>
                <w:sz w:val="19"/>
                <w:szCs w:val="19"/>
                <w:u w:color="FFFFFF"/>
                <w:lang w:val="es-419"/>
              </w:rPr>
            </w:pPr>
            <w:r>
              <w:rPr>
                <w:rFonts w:ascii="Cambria" w:eastAsia="Cambria" w:hAnsi="Cambria" w:cs="Cambria"/>
                <w:color w:val="FFFFFF"/>
                <w:sz w:val="19"/>
                <w:szCs w:val="19"/>
                <w:u w:color="FFFFFF"/>
                <w:lang w:val="es-ES_tradnl"/>
              </w:rPr>
              <w:t xml:space="preserve">Observaciones adicionales de la </w:t>
            </w:r>
          </w:p>
          <w:p w:rsidR="00B00722" w:rsidRPr="009B3FD8" w:rsidRDefault="009B3FD8">
            <w:pPr>
              <w:pStyle w:val="BodyA"/>
              <w:jc w:val="center"/>
              <w:rPr>
                <w:lang w:val="es-419"/>
              </w:rPr>
            </w:pPr>
            <w:r>
              <w:rPr>
                <w:rFonts w:ascii="Cambria" w:eastAsia="Cambria" w:hAnsi="Cambria" w:cs="Cambria"/>
                <w:color w:val="FFFFFF"/>
                <w:sz w:val="19"/>
                <w:szCs w:val="19"/>
                <w:u w:color="FFFFFF"/>
                <w:lang w:val="es-ES_tradnl"/>
              </w:rPr>
              <w:t>parte peticionaria</w:t>
            </w:r>
          </w:p>
        </w:tc>
        <w:tc>
          <w:tcPr>
            <w:tcW w:w="581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B00722" w:rsidRDefault="009B3FD8">
            <w:pPr>
              <w:pStyle w:val="BodyA"/>
              <w:jc w:val="both"/>
            </w:pPr>
            <w:r>
              <w:rPr>
                <w:rFonts w:ascii="Cambria" w:eastAsia="Cambria" w:hAnsi="Cambria" w:cs="Cambria"/>
                <w:sz w:val="20"/>
                <w:szCs w:val="20"/>
                <w:lang w:val="es-ES_tradnl"/>
              </w:rPr>
              <w:t>14 de diciembre de 2019</w:t>
            </w:r>
          </w:p>
        </w:tc>
      </w:tr>
      <w:tr w:rsidR="00B00722">
        <w:trPr>
          <w:trHeight w:val="242"/>
        </w:trPr>
        <w:tc>
          <w:tcPr>
            <w:tcW w:w="3544"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B00722" w:rsidRDefault="009B3FD8">
            <w:pPr>
              <w:pStyle w:val="BodyA"/>
              <w:jc w:val="center"/>
            </w:pPr>
            <w:r>
              <w:rPr>
                <w:rFonts w:ascii="Cambria" w:eastAsia="Cambria" w:hAnsi="Cambria" w:cs="Cambria"/>
                <w:color w:val="FFFFFF"/>
                <w:sz w:val="19"/>
                <w:szCs w:val="19"/>
                <w:u w:color="FFFFFF"/>
                <w:lang w:val="es-ES_tradnl"/>
              </w:rPr>
              <w:t xml:space="preserve">Advertencia sobre posible archivo </w:t>
            </w:r>
          </w:p>
        </w:tc>
        <w:tc>
          <w:tcPr>
            <w:tcW w:w="581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B00722" w:rsidRDefault="009B3FD8">
            <w:pPr>
              <w:pStyle w:val="BodyA"/>
              <w:jc w:val="both"/>
            </w:pPr>
            <w:r>
              <w:rPr>
                <w:rFonts w:ascii="Cambria" w:eastAsia="Cambria" w:hAnsi="Cambria" w:cs="Cambria"/>
                <w:sz w:val="20"/>
                <w:szCs w:val="20"/>
                <w:lang w:val="es-ES_tradnl"/>
              </w:rPr>
              <w:t>24 de mayo de 2017</w:t>
            </w:r>
          </w:p>
        </w:tc>
      </w:tr>
      <w:tr w:rsidR="00B00722">
        <w:trPr>
          <w:trHeight w:val="422"/>
        </w:trPr>
        <w:tc>
          <w:tcPr>
            <w:tcW w:w="3544"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B00722" w:rsidRPr="009B3FD8" w:rsidRDefault="009B3FD8">
            <w:pPr>
              <w:pStyle w:val="BodyA"/>
              <w:jc w:val="center"/>
              <w:rPr>
                <w:lang w:val="es-419"/>
              </w:rPr>
            </w:pPr>
            <w:r>
              <w:rPr>
                <w:rFonts w:ascii="Cambria" w:eastAsia="Cambria" w:hAnsi="Cambria" w:cs="Cambria"/>
                <w:color w:val="FFFFFF"/>
                <w:sz w:val="19"/>
                <w:szCs w:val="19"/>
                <w:u w:color="FFFFFF"/>
                <w:lang w:val="es-ES_tradnl"/>
              </w:rPr>
              <w:t>Respuesta de la parte peticionaria ante advertencia sobre posible archivo</w:t>
            </w:r>
          </w:p>
        </w:tc>
        <w:tc>
          <w:tcPr>
            <w:tcW w:w="5812"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B00722" w:rsidRDefault="009B3FD8">
            <w:pPr>
              <w:pStyle w:val="BodyA"/>
              <w:jc w:val="both"/>
            </w:pPr>
            <w:r>
              <w:rPr>
                <w:rFonts w:ascii="Cambria" w:eastAsia="Cambria" w:hAnsi="Cambria" w:cs="Cambria"/>
                <w:sz w:val="20"/>
                <w:szCs w:val="20"/>
                <w:lang w:val="es-ES_tradnl"/>
              </w:rPr>
              <w:t>1 de junio de 2017</w:t>
            </w:r>
          </w:p>
        </w:tc>
      </w:tr>
    </w:tbl>
    <w:p w:rsidR="00B00722" w:rsidRDefault="009B3FD8">
      <w:pPr>
        <w:pStyle w:val="BodyA"/>
        <w:tabs>
          <w:tab w:val="left" w:pos="720"/>
          <w:tab w:val="left" w:pos="1440"/>
          <w:tab w:val="left" w:pos="2160"/>
          <w:tab w:val="left" w:pos="2880"/>
          <w:tab w:val="left" w:pos="4500"/>
        </w:tabs>
        <w:spacing w:before="240" w:after="240"/>
        <w:ind w:firstLine="720"/>
        <w:jc w:val="both"/>
        <w:rPr>
          <w:rFonts w:ascii="Cambria" w:eastAsia="Cambria" w:hAnsi="Cambria" w:cs="Cambria"/>
          <w:b/>
          <w:bCs/>
          <w:sz w:val="20"/>
          <w:szCs w:val="20"/>
        </w:rPr>
      </w:pPr>
      <w:r>
        <w:rPr>
          <w:rFonts w:ascii="Cambria" w:eastAsia="Cambria" w:hAnsi="Cambria" w:cs="Cambria"/>
          <w:b/>
          <w:bCs/>
          <w:sz w:val="20"/>
          <w:szCs w:val="20"/>
          <w:lang w:val="es-ES_tradnl"/>
        </w:rPr>
        <w:t xml:space="preserve">III. </w:t>
      </w:r>
      <w:r>
        <w:rPr>
          <w:rFonts w:ascii="Cambria" w:eastAsia="Cambria" w:hAnsi="Cambria" w:cs="Cambria"/>
          <w:b/>
          <w:bCs/>
          <w:sz w:val="20"/>
          <w:szCs w:val="20"/>
          <w:lang w:val="es-ES_tradnl"/>
        </w:rPr>
        <w:tab/>
        <w:t xml:space="preserve">COMPETENCIA </w:t>
      </w:r>
    </w:p>
    <w:tbl>
      <w:tblPr>
        <w:tblW w:w="93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0"/>
        <w:gridCol w:w="5760"/>
      </w:tblGrid>
      <w:tr w:rsidR="00B00722">
        <w:trPr>
          <w:trHeight w:val="234"/>
        </w:trPr>
        <w:tc>
          <w:tcPr>
            <w:tcW w:w="3600" w:type="dxa"/>
            <w:tcBorders>
              <w:top w:val="single" w:sz="4"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B00722" w:rsidRDefault="009B3FD8">
            <w:pPr>
              <w:pStyle w:val="BodyA"/>
              <w:jc w:val="center"/>
            </w:pPr>
            <w:proofErr w:type="spellStart"/>
            <w:r>
              <w:rPr>
                <w:rFonts w:ascii="Cambria" w:eastAsia="Cambria" w:hAnsi="Cambria" w:cs="Cambria"/>
                <w:i/>
                <w:iCs/>
                <w:color w:val="FFFFFF"/>
                <w:sz w:val="19"/>
                <w:szCs w:val="19"/>
                <w:u w:color="FFFFFF"/>
                <w:lang w:val="es-ES_tradnl"/>
              </w:rPr>
              <w:t>Ratione</w:t>
            </w:r>
            <w:proofErr w:type="spellEnd"/>
            <w:r>
              <w:rPr>
                <w:rFonts w:ascii="Cambria" w:eastAsia="Cambria" w:hAnsi="Cambria" w:cs="Cambria"/>
                <w:i/>
                <w:iCs/>
                <w:color w:val="FFFFFF"/>
                <w:sz w:val="19"/>
                <w:szCs w:val="19"/>
                <w:u w:color="FFFFFF"/>
                <w:lang w:val="es-ES_tradnl"/>
              </w:rPr>
              <w:t xml:space="preserve"> </w:t>
            </w:r>
            <w:proofErr w:type="spellStart"/>
            <w:r>
              <w:rPr>
                <w:rFonts w:ascii="Cambria" w:eastAsia="Cambria" w:hAnsi="Cambria" w:cs="Cambria"/>
                <w:i/>
                <w:iCs/>
                <w:color w:val="FFFFFF"/>
                <w:sz w:val="19"/>
                <w:szCs w:val="19"/>
                <w:u w:color="FFFFFF"/>
                <w:lang w:val="es-ES_tradnl"/>
              </w:rPr>
              <w:t>personae</w:t>
            </w:r>
            <w:proofErr w:type="spellEnd"/>
          </w:p>
        </w:tc>
        <w:tc>
          <w:tcPr>
            <w:tcW w:w="5760"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B00722" w:rsidRDefault="009B3FD8">
            <w:pPr>
              <w:pStyle w:val="BodyA"/>
            </w:pPr>
            <w:proofErr w:type="spellStart"/>
            <w:r>
              <w:rPr>
                <w:rFonts w:ascii="Cambria" w:eastAsia="Cambria" w:hAnsi="Cambria" w:cs="Cambria"/>
                <w:sz w:val="20"/>
                <w:szCs w:val="20"/>
              </w:rPr>
              <w:t>Sí</w:t>
            </w:r>
            <w:proofErr w:type="spellEnd"/>
          </w:p>
        </w:tc>
      </w:tr>
      <w:tr w:rsidR="00B00722">
        <w:trPr>
          <w:trHeight w:val="242"/>
        </w:trPr>
        <w:tc>
          <w:tcPr>
            <w:tcW w:w="3600"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B00722" w:rsidRDefault="009B3FD8">
            <w:pPr>
              <w:pStyle w:val="BodyA"/>
              <w:jc w:val="center"/>
            </w:pPr>
            <w:proofErr w:type="spellStart"/>
            <w:r>
              <w:rPr>
                <w:rFonts w:ascii="Cambria" w:eastAsia="Cambria" w:hAnsi="Cambria" w:cs="Cambria"/>
                <w:i/>
                <w:iCs/>
                <w:color w:val="FFFFFF"/>
                <w:sz w:val="19"/>
                <w:szCs w:val="19"/>
                <w:u w:color="FFFFFF"/>
                <w:lang w:val="es-ES_tradnl"/>
              </w:rPr>
              <w:t>Ratione</w:t>
            </w:r>
            <w:proofErr w:type="spellEnd"/>
            <w:r>
              <w:rPr>
                <w:rFonts w:ascii="Cambria" w:eastAsia="Cambria" w:hAnsi="Cambria" w:cs="Cambria"/>
                <w:i/>
                <w:iCs/>
                <w:color w:val="FFFFFF"/>
                <w:sz w:val="19"/>
                <w:szCs w:val="19"/>
                <w:u w:color="FFFFFF"/>
                <w:lang w:val="es-ES_tradnl"/>
              </w:rPr>
              <w:t xml:space="preserve"> </w:t>
            </w:r>
            <w:proofErr w:type="spellStart"/>
            <w:r>
              <w:rPr>
                <w:rFonts w:ascii="Cambria" w:eastAsia="Cambria" w:hAnsi="Cambria" w:cs="Cambria"/>
                <w:i/>
                <w:iCs/>
                <w:color w:val="FFFFFF"/>
                <w:sz w:val="19"/>
                <w:szCs w:val="19"/>
                <w:u w:color="FFFFFF"/>
                <w:lang w:val="es-ES_tradnl"/>
              </w:rPr>
              <w:t>loci</w:t>
            </w:r>
            <w:proofErr w:type="spellEnd"/>
          </w:p>
        </w:tc>
        <w:tc>
          <w:tcPr>
            <w:tcW w:w="576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B00722" w:rsidRDefault="009B3FD8">
            <w:pPr>
              <w:pStyle w:val="BodyA"/>
            </w:pPr>
            <w:proofErr w:type="spellStart"/>
            <w:r>
              <w:rPr>
                <w:rFonts w:ascii="Cambria" w:eastAsia="Cambria" w:hAnsi="Cambria" w:cs="Cambria"/>
                <w:sz w:val="20"/>
                <w:szCs w:val="20"/>
              </w:rPr>
              <w:t>Sí</w:t>
            </w:r>
            <w:proofErr w:type="spellEnd"/>
          </w:p>
        </w:tc>
      </w:tr>
      <w:tr w:rsidR="00B00722">
        <w:trPr>
          <w:trHeight w:val="242"/>
        </w:trPr>
        <w:tc>
          <w:tcPr>
            <w:tcW w:w="3600"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B00722" w:rsidRDefault="009B3FD8">
            <w:pPr>
              <w:pStyle w:val="BodyA"/>
              <w:jc w:val="center"/>
            </w:pPr>
            <w:proofErr w:type="spellStart"/>
            <w:r>
              <w:rPr>
                <w:rFonts w:ascii="Cambria" w:eastAsia="Cambria" w:hAnsi="Cambria" w:cs="Cambria"/>
                <w:i/>
                <w:iCs/>
                <w:color w:val="FFFFFF"/>
                <w:sz w:val="19"/>
                <w:szCs w:val="19"/>
                <w:u w:color="FFFFFF"/>
                <w:lang w:val="es-ES_tradnl"/>
              </w:rPr>
              <w:t>Ratione</w:t>
            </w:r>
            <w:proofErr w:type="spellEnd"/>
            <w:r>
              <w:rPr>
                <w:rFonts w:ascii="Cambria" w:eastAsia="Cambria" w:hAnsi="Cambria" w:cs="Cambria"/>
                <w:i/>
                <w:iCs/>
                <w:color w:val="FFFFFF"/>
                <w:sz w:val="19"/>
                <w:szCs w:val="19"/>
                <w:u w:color="FFFFFF"/>
                <w:lang w:val="es-ES_tradnl"/>
              </w:rPr>
              <w:t xml:space="preserve"> </w:t>
            </w:r>
            <w:proofErr w:type="spellStart"/>
            <w:r>
              <w:rPr>
                <w:rFonts w:ascii="Cambria" w:eastAsia="Cambria" w:hAnsi="Cambria" w:cs="Cambria"/>
                <w:i/>
                <w:iCs/>
                <w:color w:val="FFFFFF"/>
                <w:sz w:val="19"/>
                <w:szCs w:val="19"/>
                <w:u w:color="FFFFFF"/>
                <w:lang w:val="es-ES_tradnl"/>
              </w:rPr>
              <w:t>temporis</w:t>
            </w:r>
            <w:proofErr w:type="spellEnd"/>
          </w:p>
        </w:tc>
        <w:tc>
          <w:tcPr>
            <w:tcW w:w="576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B00722" w:rsidRDefault="009B3FD8">
            <w:pPr>
              <w:pStyle w:val="BodyA"/>
            </w:pPr>
            <w:proofErr w:type="spellStart"/>
            <w:r>
              <w:rPr>
                <w:rFonts w:ascii="Cambria" w:eastAsia="Cambria" w:hAnsi="Cambria" w:cs="Cambria"/>
                <w:sz w:val="20"/>
                <w:szCs w:val="20"/>
              </w:rPr>
              <w:t>Sí</w:t>
            </w:r>
            <w:proofErr w:type="spellEnd"/>
          </w:p>
        </w:tc>
      </w:tr>
      <w:tr w:rsidR="00B00722" w:rsidRPr="00AF43DC">
        <w:trPr>
          <w:trHeight w:val="462"/>
        </w:trPr>
        <w:tc>
          <w:tcPr>
            <w:tcW w:w="3600"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B00722" w:rsidRDefault="009B3FD8">
            <w:pPr>
              <w:pStyle w:val="BodyA"/>
              <w:jc w:val="center"/>
            </w:pPr>
            <w:proofErr w:type="spellStart"/>
            <w:r>
              <w:rPr>
                <w:rFonts w:ascii="Cambria" w:eastAsia="Cambria" w:hAnsi="Cambria" w:cs="Cambria"/>
                <w:i/>
                <w:iCs/>
                <w:color w:val="FFFFFF"/>
                <w:sz w:val="19"/>
                <w:szCs w:val="19"/>
                <w:u w:color="FFFFFF"/>
                <w:lang w:val="es-ES_tradnl"/>
              </w:rPr>
              <w:t>Ratione</w:t>
            </w:r>
            <w:proofErr w:type="spellEnd"/>
            <w:r>
              <w:rPr>
                <w:rFonts w:ascii="Cambria" w:eastAsia="Cambria" w:hAnsi="Cambria" w:cs="Cambria"/>
                <w:i/>
                <w:iCs/>
                <w:color w:val="FFFFFF"/>
                <w:sz w:val="19"/>
                <w:szCs w:val="19"/>
                <w:u w:color="FFFFFF"/>
                <w:lang w:val="es-ES_tradnl"/>
              </w:rPr>
              <w:t xml:space="preserve"> </w:t>
            </w:r>
            <w:proofErr w:type="spellStart"/>
            <w:r>
              <w:rPr>
                <w:rFonts w:ascii="Cambria" w:eastAsia="Cambria" w:hAnsi="Cambria" w:cs="Cambria"/>
                <w:i/>
                <w:iCs/>
                <w:color w:val="FFFFFF"/>
                <w:sz w:val="19"/>
                <w:szCs w:val="19"/>
                <w:u w:color="FFFFFF"/>
                <w:lang w:val="es-ES_tradnl"/>
              </w:rPr>
              <w:t>materiae</w:t>
            </w:r>
            <w:proofErr w:type="spellEnd"/>
          </w:p>
        </w:tc>
        <w:tc>
          <w:tcPr>
            <w:tcW w:w="5760"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B00722" w:rsidRPr="009B3FD8" w:rsidRDefault="009B3FD8">
            <w:pPr>
              <w:pStyle w:val="BodyA"/>
              <w:jc w:val="both"/>
              <w:rPr>
                <w:lang w:val="es-419"/>
              </w:rPr>
            </w:pPr>
            <w:r>
              <w:rPr>
                <w:rFonts w:ascii="Cambria" w:eastAsia="Cambria" w:hAnsi="Cambria" w:cs="Cambria"/>
                <w:sz w:val="20"/>
                <w:szCs w:val="20"/>
                <w:lang w:val="es-ES_tradnl"/>
              </w:rPr>
              <w:t>Sí, Convención Americana (instrumento de ratificación depositado el 7 de agosto de 1978)</w:t>
            </w:r>
          </w:p>
        </w:tc>
      </w:tr>
    </w:tbl>
    <w:p w:rsidR="00B00722" w:rsidRPr="009B3FD8" w:rsidRDefault="009B3FD8">
      <w:pPr>
        <w:pStyle w:val="BodyA"/>
        <w:spacing w:before="240" w:after="240"/>
        <w:ind w:firstLine="720"/>
        <w:jc w:val="both"/>
        <w:rPr>
          <w:rFonts w:ascii="Cambria" w:eastAsia="Cambria" w:hAnsi="Cambria" w:cs="Cambria"/>
          <w:b/>
          <w:bCs/>
          <w:sz w:val="20"/>
          <w:szCs w:val="20"/>
          <w:lang w:val="es-ES_tradnl"/>
        </w:rPr>
      </w:pPr>
      <w:r>
        <w:rPr>
          <w:rFonts w:ascii="Cambria" w:eastAsia="Cambria" w:hAnsi="Cambria" w:cs="Cambria"/>
          <w:b/>
          <w:bCs/>
          <w:sz w:val="20"/>
          <w:szCs w:val="20"/>
          <w:lang w:val="es-ES_tradnl"/>
        </w:rPr>
        <w:t xml:space="preserve">IV. </w:t>
      </w:r>
      <w:r>
        <w:rPr>
          <w:rFonts w:ascii="Cambria" w:eastAsia="Cambria" w:hAnsi="Cambria" w:cs="Cambria"/>
          <w:b/>
          <w:bCs/>
          <w:sz w:val="20"/>
          <w:szCs w:val="20"/>
          <w:lang w:val="es-ES_tradnl"/>
        </w:rPr>
        <w:tab/>
        <w:t>DUPLICACIÓN</w:t>
      </w:r>
      <w:r>
        <w:rPr>
          <w:rFonts w:ascii="Cambria" w:eastAsia="Cambria" w:hAnsi="Cambria" w:cs="Cambria"/>
          <w:b/>
          <w:bCs/>
          <w:color w:val="FFFFFF"/>
          <w:sz w:val="20"/>
          <w:szCs w:val="20"/>
          <w:u w:color="FFFFFF"/>
          <w:lang w:val="es-ES_tradnl"/>
        </w:rPr>
        <w:t xml:space="preserve"> </w:t>
      </w:r>
      <w:r>
        <w:rPr>
          <w:rFonts w:ascii="Cambria" w:eastAsia="Cambria" w:hAnsi="Cambria" w:cs="Cambria"/>
          <w:b/>
          <w:bCs/>
          <w:sz w:val="20"/>
          <w:szCs w:val="20"/>
          <w:lang w:val="es-ES_tradnl"/>
        </w:rPr>
        <w:t>DE PROCEDIMIENTOS Y COSA JUZGADA</w:t>
      </w:r>
      <w:r>
        <w:rPr>
          <w:rFonts w:ascii="Cambria" w:eastAsia="Cambria" w:hAnsi="Cambria" w:cs="Cambria"/>
          <w:b/>
          <w:bCs/>
          <w:i/>
          <w:iCs/>
          <w:sz w:val="20"/>
          <w:szCs w:val="20"/>
          <w:lang w:val="es-ES_tradnl"/>
        </w:rPr>
        <w:t xml:space="preserve"> </w:t>
      </w:r>
      <w:r>
        <w:rPr>
          <w:rFonts w:ascii="Cambria" w:eastAsia="Cambria" w:hAnsi="Cambria" w:cs="Cambria"/>
          <w:b/>
          <w:bCs/>
          <w:sz w:val="20"/>
          <w:szCs w:val="20"/>
          <w:lang w:val="es-ES_tradnl"/>
        </w:rPr>
        <w:t>INTERNACIONAL,                                       CARACTERIZACIÓN, AGOTAMIENTO DE LOS RECURSOS INTERNOS Y PLAZO DE PRESENTACIÓN</w:t>
      </w:r>
    </w:p>
    <w:tbl>
      <w:tblPr>
        <w:tblW w:w="93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0"/>
        <w:gridCol w:w="5760"/>
      </w:tblGrid>
      <w:tr w:rsidR="00B00722">
        <w:trPr>
          <w:trHeight w:val="412"/>
        </w:trPr>
        <w:tc>
          <w:tcPr>
            <w:tcW w:w="3600"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B00722" w:rsidRPr="009B3FD8" w:rsidRDefault="009B3FD8">
            <w:pPr>
              <w:pStyle w:val="BodyA"/>
              <w:jc w:val="center"/>
              <w:rPr>
                <w:rFonts w:ascii="Cambria" w:eastAsia="Cambria" w:hAnsi="Cambria" w:cs="Cambria"/>
                <w:color w:val="FFFFFF"/>
                <w:sz w:val="19"/>
                <w:szCs w:val="19"/>
                <w:u w:color="FFFFFF"/>
                <w:lang w:val="es-419"/>
              </w:rPr>
            </w:pPr>
            <w:r>
              <w:rPr>
                <w:rFonts w:ascii="Cambria" w:eastAsia="Cambria" w:hAnsi="Cambria" w:cs="Cambria"/>
                <w:color w:val="FFFFFF"/>
                <w:sz w:val="19"/>
                <w:szCs w:val="19"/>
                <w:u w:color="FFFFFF"/>
                <w:lang w:val="es-ES_tradnl"/>
              </w:rPr>
              <w:t xml:space="preserve">Duplicación y cosa juzgada </w:t>
            </w:r>
          </w:p>
          <w:p w:rsidR="00B00722" w:rsidRPr="009B3FD8" w:rsidRDefault="009B3FD8">
            <w:pPr>
              <w:pStyle w:val="BodyA"/>
              <w:jc w:val="center"/>
              <w:rPr>
                <w:lang w:val="es-419"/>
              </w:rPr>
            </w:pPr>
            <w:r>
              <w:rPr>
                <w:rFonts w:ascii="Cambria" w:eastAsia="Cambria" w:hAnsi="Cambria" w:cs="Cambria"/>
                <w:color w:val="FFFFFF"/>
                <w:sz w:val="19"/>
                <w:szCs w:val="19"/>
                <w:u w:color="FFFFFF"/>
                <w:lang w:val="es-ES_tradnl"/>
              </w:rPr>
              <w:t>Internacional</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722" w:rsidRDefault="009B3FD8">
            <w:pPr>
              <w:pStyle w:val="BodyA"/>
              <w:jc w:val="both"/>
            </w:pPr>
            <w:r>
              <w:rPr>
                <w:rFonts w:ascii="Cambria" w:eastAsia="Cambria" w:hAnsi="Cambria" w:cs="Cambria"/>
                <w:sz w:val="20"/>
                <w:szCs w:val="20"/>
                <w:lang w:val="es-ES_tradnl"/>
              </w:rPr>
              <w:t>No</w:t>
            </w:r>
          </w:p>
        </w:tc>
      </w:tr>
      <w:tr w:rsidR="00B00722" w:rsidRPr="00AF43DC">
        <w:trPr>
          <w:trHeight w:val="672"/>
        </w:trPr>
        <w:tc>
          <w:tcPr>
            <w:tcW w:w="3600"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B00722" w:rsidRDefault="009B3FD8">
            <w:pPr>
              <w:pStyle w:val="BodyA"/>
              <w:jc w:val="center"/>
            </w:pPr>
            <w:r>
              <w:rPr>
                <w:rFonts w:ascii="Cambria" w:eastAsia="Cambria" w:hAnsi="Cambria" w:cs="Cambria"/>
                <w:color w:val="FFFFFF"/>
                <w:sz w:val="19"/>
                <w:szCs w:val="19"/>
                <w:u w:color="FFFFFF"/>
                <w:lang w:val="es-ES_tradnl"/>
              </w:rPr>
              <w:t>Derechos admitidos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722" w:rsidRPr="009B3FD8" w:rsidRDefault="009B3FD8">
            <w:pPr>
              <w:pStyle w:val="BodyA"/>
              <w:jc w:val="both"/>
              <w:rPr>
                <w:lang w:val="es-419"/>
              </w:rPr>
            </w:pPr>
            <w:r>
              <w:rPr>
                <w:rFonts w:ascii="Cambria" w:eastAsia="Cambria" w:hAnsi="Cambria" w:cs="Cambria"/>
                <w:sz w:val="20"/>
                <w:szCs w:val="20"/>
                <w:lang w:val="es-ES_tradnl"/>
              </w:rPr>
              <w:t>Artículos 4 (vida), 5 (integridad personal), 8 (garantías judiciales), 19 (derechos del niño) y 25 (protección judicial), en relación con los artículos 1(1) y 2, de la Convención Americana</w:t>
            </w:r>
          </w:p>
        </w:tc>
      </w:tr>
      <w:tr w:rsidR="00B00722" w:rsidRPr="00AF43DC">
        <w:trPr>
          <w:trHeight w:val="412"/>
        </w:trPr>
        <w:tc>
          <w:tcPr>
            <w:tcW w:w="3600"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B00722" w:rsidRPr="009B3FD8" w:rsidRDefault="009B3FD8">
            <w:pPr>
              <w:pStyle w:val="BodyA"/>
              <w:jc w:val="center"/>
              <w:rPr>
                <w:rFonts w:ascii="Cambria" w:eastAsia="Cambria" w:hAnsi="Cambria" w:cs="Cambria"/>
                <w:color w:val="FFFFFF"/>
                <w:sz w:val="19"/>
                <w:szCs w:val="19"/>
                <w:u w:color="FFFFFF"/>
                <w:lang w:val="es-419"/>
              </w:rPr>
            </w:pPr>
            <w:r>
              <w:rPr>
                <w:rFonts w:ascii="Cambria" w:eastAsia="Cambria" w:hAnsi="Cambria" w:cs="Cambria"/>
                <w:color w:val="FFFFFF"/>
                <w:sz w:val="19"/>
                <w:szCs w:val="19"/>
                <w:u w:color="FFFFFF"/>
                <w:lang w:val="es-ES_tradnl"/>
              </w:rPr>
              <w:lastRenderedPageBreak/>
              <w:t xml:space="preserve">Agotamiento de recursos </w:t>
            </w:r>
          </w:p>
          <w:p w:rsidR="00B00722" w:rsidRPr="009B3FD8" w:rsidRDefault="009B3FD8">
            <w:pPr>
              <w:pStyle w:val="BodyA"/>
              <w:jc w:val="center"/>
              <w:rPr>
                <w:lang w:val="es-419"/>
              </w:rPr>
            </w:pPr>
            <w:r>
              <w:rPr>
                <w:rFonts w:ascii="Cambria" w:eastAsia="Cambria" w:hAnsi="Cambria" w:cs="Cambria"/>
                <w:color w:val="FFFFFF"/>
                <w:sz w:val="19"/>
                <w:szCs w:val="19"/>
                <w:u w:color="FFFFFF"/>
                <w:lang w:val="es-ES_tradnl"/>
              </w:rPr>
              <w:t>o procedencia de una excepción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722" w:rsidRPr="009B3FD8" w:rsidRDefault="009B3FD8">
            <w:pPr>
              <w:pStyle w:val="BodyA"/>
              <w:rPr>
                <w:lang w:val="es-419"/>
              </w:rPr>
            </w:pPr>
            <w:r>
              <w:rPr>
                <w:rFonts w:ascii="Cambria" w:eastAsia="Cambria" w:hAnsi="Cambria" w:cs="Cambria"/>
                <w:sz w:val="20"/>
                <w:szCs w:val="20"/>
                <w:lang w:val="es-ES_tradnl"/>
              </w:rPr>
              <w:t>Sí, en los términos de la sección VI</w:t>
            </w:r>
          </w:p>
        </w:tc>
      </w:tr>
      <w:tr w:rsidR="00B00722" w:rsidRPr="00AF43DC">
        <w:trPr>
          <w:trHeight w:val="232"/>
        </w:trPr>
        <w:tc>
          <w:tcPr>
            <w:tcW w:w="3600"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B00722" w:rsidRDefault="009B3FD8">
            <w:pPr>
              <w:pStyle w:val="BodyA"/>
              <w:jc w:val="center"/>
            </w:pPr>
            <w:r>
              <w:rPr>
                <w:rFonts w:ascii="Cambria" w:eastAsia="Cambria" w:hAnsi="Cambria" w:cs="Cambria"/>
                <w:color w:val="FFFFFF"/>
                <w:sz w:val="19"/>
                <w:szCs w:val="19"/>
                <w:u w:color="FFFFFF"/>
                <w:lang w:val="es-ES_tradnl"/>
              </w:rPr>
              <w:t>Presentación dentro de plazo</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722" w:rsidRPr="009B3FD8" w:rsidRDefault="009B3FD8">
            <w:pPr>
              <w:pStyle w:val="BodyA"/>
              <w:rPr>
                <w:lang w:val="es-419"/>
              </w:rPr>
            </w:pPr>
            <w:r>
              <w:rPr>
                <w:rFonts w:ascii="Cambria" w:eastAsia="Cambria" w:hAnsi="Cambria" w:cs="Cambria"/>
                <w:sz w:val="20"/>
                <w:szCs w:val="20"/>
                <w:lang w:val="es-ES_tradnl"/>
              </w:rPr>
              <w:t>Sí, en los términos de la sección VI</w:t>
            </w:r>
          </w:p>
        </w:tc>
      </w:tr>
    </w:tbl>
    <w:p w:rsidR="00B00722" w:rsidRPr="009B3FD8" w:rsidRDefault="009B3FD8">
      <w:pPr>
        <w:pStyle w:val="BodyA"/>
        <w:spacing w:before="240" w:after="240"/>
        <w:ind w:firstLine="720"/>
        <w:jc w:val="both"/>
        <w:rPr>
          <w:rFonts w:ascii="Cambria" w:eastAsia="Cambria" w:hAnsi="Cambria" w:cs="Cambria"/>
          <w:b/>
          <w:bCs/>
          <w:sz w:val="20"/>
          <w:szCs w:val="20"/>
          <w:lang w:val="es-419"/>
        </w:rPr>
      </w:pPr>
      <w:r>
        <w:rPr>
          <w:rFonts w:ascii="Cambria" w:eastAsia="Cambria" w:hAnsi="Cambria" w:cs="Cambria"/>
          <w:b/>
          <w:bCs/>
          <w:sz w:val="20"/>
          <w:szCs w:val="20"/>
          <w:lang w:val="es-ES_tradnl"/>
        </w:rPr>
        <w:t xml:space="preserve">V. </w:t>
      </w:r>
      <w:r>
        <w:rPr>
          <w:rFonts w:ascii="Cambria" w:eastAsia="Cambria" w:hAnsi="Cambria" w:cs="Cambria"/>
          <w:b/>
          <w:bCs/>
          <w:sz w:val="20"/>
          <w:szCs w:val="20"/>
          <w:lang w:val="es-ES_tradnl"/>
        </w:rPr>
        <w:tab/>
        <w:t xml:space="preserve">RESUMEN DE LOS HECHOS ALEGADOS </w:t>
      </w:r>
    </w:p>
    <w:p w:rsidR="00B00722" w:rsidRDefault="009B3FD8" w:rsidP="009B3FD8">
      <w:pPr>
        <w:pStyle w:val="BodyA"/>
        <w:numPr>
          <w:ilvl w:val="0"/>
          <w:numId w:val="2"/>
        </w:numPr>
        <w:tabs>
          <w:tab w:val="left" w:pos="0"/>
        </w:tabs>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 xml:space="preserve">En la presente petición se alega que a) </w:t>
      </w:r>
      <w:proofErr w:type="spellStart"/>
      <w:r>
        <w:rPr>
          <w:rFonts w:ascii="Cambria" w:eastAsia="Cambria" w:hAnsi="Cambria" w:cs="Cambria"/>
          <w:sz w:val="20"/>
          <w:szCs w:val="20"/>
          <w:lang w:val="es-ES_tradnl"/>
        </w:rPr>
        <w:t>Hapete</w:t>
      </w:r>
      <w:proofErr w:type="spellEnd"/>
      <w:r>
        <w:rPr>
          <w:rFonts w:ascii="Cambria" w:eastAsia="Cambria" w:hAnsi="Cambria" w:cs="Cambria"/>
          <w:sz w:val="20"/>
          <w:szCs w:val="20"/>
          <w:lang w:val="es-ES_tradnl"/>
        </w:rPr>
        <w:t xml:space="preserve"> Michael Henry (“</w:t>
      </w:r>
      <w:proofErr w:type="spellStart"/>
      <w:r>
        <w:rPr>
          <w:rFonts w:ascii="Cambria" w:eastAsia="Cambria" w:hAnsi="Cambria" w:cs="Cambria"/>
          <w:sz w:val="20"/>
          <w:szCs w:val="20"/>
          <w:lang w:val="es-ES_tradnl"/>
        </w:rPr>
        <w:t>Hapete</w:t>
      </w:r>
      <w:proofErr w:type="spellEnd"/>
      <w:r>
        <w:rPr>
          <w:rFonts w:ascii="Cambria" w:eastAsia="Cambria" w:hAnsi="Cambria" w:cs="Cambria"/>
          <w:sz w:val="20"/>
          <w:szCs w:val="20"/>
          <w:lang w:val="es-ES_tradnl"/>
        </w:rPr>
        <w:t>”) fue víctima de un disparo de arma de fuego ilícito de un agente de policía en abril de 1998 (cuatro días después falleció como consecuencia de las heridas) y b) el Estado no ha responsabilizado al agente de policía por sus actos ilícitos.</w:t>
      </w:r>
    </w:p>
    <w:p w:rsidR="00B00722" w:rsidRDefault="009B3FD8" w:rsidP="009B3FD8">
      <w:pPr>
        <w:pStyle w:val="BodyA"/>
        <w:numPr>
          <w:ilvl w:val="0"/>
          <w:numId w:val="2"/>
        </w:numPr>
        <w:tabs>
          <w:tab w:val="left" w:pos="0"/>
        </w:tabs>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 xml:space="preserve">A modo de contexto, los peticionarios alegan lo siguiente: a) el 22 de abril de 1998, </w:t>
      </w:r>
      <w:proofErr w:type="spellStart"/>
      <w:r>
        <w:rPr>
          <w:rFonts w:ascii="Cambria" w:eastAsia="Cambria" w:hAnsi="Cambria" w:cs="Cambria"/>
          <w:sz w:val="20"/>
          <w:szCs w:val="20"/>
          <w:lang w:val="es-ES_tradnl"/>
        </w:rPr>
        <w:t>Hapete</w:t>
      </w:r>
      <w:proofErr w:type="spellEnd"/>
      <w:r>
        <w:rPr>
          <w:rFonts w:ascii="Cambria" w:eastAsia="Cambria" w:hAnsi="Cambria" w:cs="Cambria"/>
          <w:sz w:val="20"/>
          <w:szCs w:val="20"/>
          <w:lang w:val="es-ES_tradnl"/>
        </w:rPr>
        <w:t xml:space="preserve"> (17) se encontraba en el Estado Nacional mirando un partido de fútbol entre los equipos </w:t>
      </w:r>
      <w:proofErr w:type="spellStart"/>
      <w:r w:rsidRPr="009B3FD8">
        <w:rPr>
          <w:rFonts w:ascii="Cambria" w:eastAsia="Cambria" w:hAnsi="Cambria" w:cs="Cambria"/>
          <w:sz w:val="20"/>
          <w:szCs w:val="20"/>
          <w:lang w:val="es-ES_tradnl"/>
        </w:rPr>
        <w:t>Arnett</w:t>
      </w:r>
      <w:proofErr w:type="spellEnd"/>
      <w:r w:rsidRPr="009B3FD8">
        <w:rPr>
          <w:rFonts w:ascii="Cambria" w:eastAsia="Cambria" w:hAnsi="Cambria" w:cs="Cambria"/>
          <w:sz w:val="20"/>
          <w:szCs w:val="20"/>
          <w:lang w:val="es-ES_tradnl"/>
        </w:rPr>
        <w:t xml:space="preserve"> </w:t>
      </w:r>
      <w:proofErr w:type="spellStart"/>
      <w:r w:rsidRPr="009B3FD8">
        <w:rPr>
          <w:rFonts w:ascii="Cambria" w:eastAsia="Cambria" w:hAnsi="Cambria" w:cs="Cambria"/>
          <w:sz w:val="20"/>
          <w:szCs w:val="20"/>
          <w:lang w:val="es-ES_tradnl"/>
        </w:rPr>
        <w:t>Gardens</w:t>
      </w:r>
      <w:proofErr w:type="spellEnd"/>
      <w:r w:rsidRPr="009B3FD8">
        <w:rPr>
          <w:rFonts w:ascii="Cambria" w:eastAsia="Cambria" w:hAnsi="Cambria" w:cs="Cambria"/>
          <w:sz w:val="20"/>
          <w:szCs w:val="20"/>
          <w:lang w:val="es-ES_tradnl"/>
        </w:rPr>
        <w:t xml:space="preserve"> </w:t>
      </w:r>
      <w:proofErr w:type="spellStart"/>
      <w:r w:rsidRPr="009B3FD8">
        <w:rPr>
          <w:rFonts w:ascii="Cambria" w:eastAsia="Cambria" w:hAnsi="Cambria" w:cs="Cambria"/>
          <w:sz w:val="20"/>
          <w:szCs w:val="20"/>
          <w:lang w:val="es-ES_tradnl"/>
        </w:rPr>
        <w:t>Football</w:t>
      </w:r>
      <w:proofErr w:type="spellEnd"/>
      <w:r w:rsidRPr="009B3FD8">
        <w:rPr>
          <w:rFonts w:ascii="Cambria" w:eastAsia="Cambria" w:hAnsi="Cambria" w:cs="Cambria"/>
          <w:sz w:val="20"/>
          <w:szCs w:val="20"/>
          <w:lang w:val="es-ES_tradnl"/>
        </w:rPr>
        <w:t xml:space="preserve"> Club</w:t>
      </w:r>
      <w:r>
        <w:rPr>
          <w:rFonts w:ascii="Cambria" w:eastAsia="Cambria" w:hAnsi="Cambria" w:cs="Cambria"/>
          <w:sz w:val="20"/>
          <w:szCs w:val="20"/>
          <w:lang w:val="es-ES_tradnl"/>
        </w:rPr>
        <w:t xml:space="preserve"> y </w:t>
      </w:r>
      <w:r w:rsidRPr="009B3FD8">
        <w:rPr>
          <w:rFonts w:ascii="Cambria" w:eastAsia="Cambria" w:hAnsi="Cambria" w:cs="Cambria"/>
          <w:sz w:val="20"/>
          <w:szCs w:val="20"/>
          <w:lang w:val="es-ES_tradnl"/>
        </w:rPr>
        <w:t xml:space="preserve">Seba </w:t>
      </w:r>
      <w:proofErr w:type="spellStart"/>
      <w:r w:rsidRPr="009B3FD8">
        <w:rPr>
          <w:rFonts w:ascii="Cambria" w:eastAsia="Cambria" w:hAnsi="Cambria" w:cs="Cambria"/>
          <w:sz w:val="20"/>
          <w:szCs w:val="20"/>
          <w:lang w:val="es-ES_tradnl"/>
        </w:rPr>
        <w:t>United</w:t>
      </w:r>
      <w:proofErr w:type="spellEnd"/>
      <w:r w:rsidRPr="009B3FD8">
        <w:rPr>
          <w:rFonts w:ascii="Cambria" w:eastAsia="Cambria" w:hAnsi="Cambria" w:cs="Cambria"/>
          <w:sz w:val="20"/>
          <w:szCs w:val="20"/>
          <w:lang w:val="es-ES_tradnl"/>
        </w:rPr>
        <w:t xml:space="preserve"> of </w:t>
      </w:r>
      <w:proofErr w:type="spellStart"/>
      <w:r w:rsidRPr="009B3FD8">
        <w:rPr>
          <w:rFonts w:ascii="Cambria" w:eastAsia="Cambria" w:hAnsi="Cambria" w:cs="Cambria"/>
          <w:sz w:val="20"/>
          <w:szCs w:val="20"/>
          <w:lang w:val="es-ES_tradnl"/>
        </w:rPr>
        <w:t>Montego</w:t>
      </w:r>
      <w:proofErr w:type="spellEnd"/>
      <w:r w:rsidRPr="009B3FD8">
        <w:rPr>
          <w:rFonts w:ascii="Cambria" w:eastAsia="Cambria" w:hAnsi="Cambria" w:cs="Cambria"/>
          <w:sz w:val="20"/>
          <w:szCs w:val="20"/>
          <w:lang w:val="es-ES_tradnl"/>
        </w:rPr>
        <w:t xml:space="preserve"> </w:t>
      </w:r>
      <w:proofErr w:type="spellStart"/>
      <w:r w:rsidRPr="009B3FD8">
        <w:rPr>
          <w:rFonts w:ascii="Cambria" w:eastAsia="Cambria" w:hAnsi="Cambria" w:cs="Cambria"/>
          <w:sz w:val="20"/>
          <w:szCs w:val="20"/>
          <w:lang w:val="es-ES_tradnl"/>
        </w:rPr>
        <w:t>Bay</w:t>
      </w:r>
      <w:proofErr w:type="spellEnd"/>
      <w:r>
        <w:rPr>
          <w:rFonts w:ascii="Cambria" w:eastAsia="Cambria" w:hAnsi="Cambria" w:cs="Cambria"/>
          <w:sz w:val="20"/>
          <w:szCs w:val="20"/>
          <w:lang w:val="es-ES_tradnl"/>
        </w:rPr>
        <w:t xml:space="preserve">; b) había cientos de espectadores en aquel partido de fútbol, entre ellos, varios miembros de la Fuerza Policial de Jamaica (en adelante “JFC”) uniformados y otros de civil; c) uno de los agentes presentes era el Detective Cabo Calvin Lewis (en adelante “Detective Lewis”), que estaba de civil, y d) </w:t>
      </w:r>
      <w:proofErr w:type="spellStart"/>
      <w:r>
        <w:rPr>
          <w:rFonts w:ascii="Cambria" w:eastAsia="Cambria" w:hAnsi="Cambria" w:cs="Cambria"/>
          <w:sz w:val="20"/>
          <w:szCs w:val="20"/>
          <w:lang w:val="es-ES_tradnl"/>
        </w:rPr>
        <w:t>Hapete</w:t>
      </w:r>
      <w:proofErr w:type="spellEnd"/>
      <w:r>
        <w:rPr>
          <w:rFonts w:ascii="Cambria" w:eastAsia="Cambria" w:hAnsi="Cambria" w:cs="Cambria"/>
          <w:sz w:val="20"/>
          <w:szCs w:val="20"/>
          <w:lang w:val="es-ES_tradnl"/>
        </w:rPr>
        <w:t xml:space="preserve"> recibió un disparo de arma del Detective Lewis y el 26 de abril de 1998 murió como consecuencia de las heridas. Los peticionarios aducen que las versiones de la policía y de los testigos civiles difieren en cuanto a los hechos que resultaron en el disparo al señor Henry. Por un lado, el Detective Lewis (y otros agentes de la JCF) asevera que cuando vio al señor Henry intentando armar un cigarro de marihuana, a) el Detective Lewis se acercó al señor Henry y le ordenó que dejara de hacerlo; b) </w:t>
      </w:r>
      <w:proofErr w:type="spellStart"/>
      <w:r>
        <w:rPr>
          <w:rFonts w:ascii="Cambria" w:eastAsia="Cambria" w:hAnsi="Cambria" w:cs="Cambria"/>
          <w:sz w:val="20"/>
          <w:szCs w:val="20"/>
          <w:lang w:val="es-ES_tradnl"/>
        </w:rPr>
        <w:t>Hapete</w:t>
      </w:r>
      <w:proofErr w:type="spellEnd"/>
      <w:r>
        <w:rPr>
          <w:rFonts w:ascii="Cambria" w:eastAsia="Cambria" w:hAnsi="Cambria" w:cs="Cambria"/>
          <w:sz w:val="20"/>
          <w:szCs w:val="20"/>
          <w:lang w:val="es-ES_tradnl"/>
        </w:rPr>
        <w:t xml:space="preserve"> desobedeció la orden, y el Detective Lewis intentó arrestar al señor Henry; c) el Detective Lewis alega que luego se vio rodeado por varios fanáticos de </w:t>
      </w:r>
      <w:proofErr w:type="spellStart"/>
      <w:r w:rsidRPr="009B3FD8">
        <w:rPr>
          <w:rFonts w:ascii="Cambria" w:eastAsia="Cambria" w:hAnsi="Cambria" w:cs="Cambria"/>
          <w:sz w:val="20"/>
          <w:szCs w:val="20"/>
          <w:lang w:val="es-ES_tradnl"/>
        </w:rPr>
        <w:t>Arnett</w:t>
      </w:r>
      <w:proofErr w:type="spellEnd"/>
      <w:r w:rsidRPr="009B3FD8">
        <w:rPr>
          <w:rFonts w:ascii="Cambria" w:eastAsia="Cambria" w:hAnsi="Cambria" w:cs="Cambria"/>
          <w:sz w:val="20"/>
          <w:szCs w:val="20"/>
          <w:lang w:val="es-ES_tradnl"/>
        </w:rPr>
        <w:t xml:space="preserve"> </w:t>
      </w:r>
      <w:proofErr w:type="spellStart"/>
      <w:r w:rsidRPr="009B3FD8">
        <w:rPr>
          <w:rFonts w:ascii="Cambria" w:eastAsia="Cambria" w:hAnsi="Cambria" w:cs="Cambria"/>
          <w:sz w:val="20"/>
          <w:szCs w:val="20"/>
          <w:lang w:val="es-ES_tradnl"/>
        </w:rPr>
        <w:t>Gardens</w:t>
      </w:r>
      <w:proofErr w:type="spellEnd"/>
      <w:r>
        <w:rPr>
          <w:rFonts w:ascii="Cambria" w:eastAsia="Cambria" w:hAnsi="Cambria" w:cs="Cambria"/>
          <w:sz w:val="20"/>
          <w:szCs w:val="20"/>
          <w:lang w:val="es-ES_tradnl"/>
        </w:rPr>
        <w:t xml:space="preserve"> que comenzaron a interrumpirlo y a agredirlo físicamente; d) cuando el Detective Lewis desenvainó su pistola de 9 mm, hubo un forcejeo entre este y </w:t>
      </w:r>
      <w:proofErr w:type="spellStart"/>
      <w:r>
        <w:rPr>
          <w:rFonts w:ascii="Cambria" w:eastAsia="Cambria" w:hAnsi="Cambria" w:cs="Cambria"/>
          <w:sz w:val="20"/>
          <w:szCs w:val="20"/>
          <w:lang w:val="es-ES_tradnl"/>
        </w:rPr>
        <w:t>Hapete</w:t>
      </w:r>
      <w:proofErr w:type="spellEnd"/>
      <w:r>
        <w:rPr>
          <w:rFonts w:ascii="Cambria" w:eastAsia="Cambria" w:hAnsi="Cambria" w:cs="Cambria"/>
          <w:sz w:val="20"/>
          <w:szCs w:val="20"/>
          <w:lang w:val="es-ES_tradnl"/>
        </w:rPr>
        <w:t xml:space="preserve"> durante el cual se disparó el arma y </w:t>
      </w:r>
      <w:proofErr w:type="spellStart"/>
      <w:r>
        <w:rPr>
          <w:rFonts w:ascii="Cambria" w:eastAsia="Cambria" w:hAnsi="Cambria" w:cs="Cambria"/>
          <w:sz w:val="20"/>
          <w:szCs w:val="20"/>
          <w:lang w:val="es-ES_tradnl"/>
        </w:rPr>
        <w:t>Hapete</w:t>
      </w:r>
      <w:proofErr w:type="spellEnd"/>
      <w:r>
        <w:rPr>
          <w:rFonts w:ascii="Cambria" w:eastAsia="Cambria" w:hAnsi="Cambria" w:cs="Cambria"/>
          <w:sz w:val="20"/>
          <w:szCs w:val="20"/>
          <w:lang w:val="es-ES_tradnl"/>
        </w:rPr>
        <w:t xml:space="preserve"> recibió el impacto de bala.</w:t>
      </w:r>
    </w:p>
    <w:p w:rsidR="00B00722" w:rsidRDefault="009B3FD8" w:rsidP="009B3FD8">
      <w:pPr>
        <w:pStyle w:val="BodyA"/>
        <w:numPr>
          <w:ilvl w:val="0"/>
          <w:numId w:val="2"/>
        </w:numPr>
        <w:tabs>
          <w:tab w:val="left" w:pos="0"/>
        </w:tabs>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 xml:space="preserve">Por otro lado, citan a cuatro testigos civiles que afirman que </w:t>
      </w:r>
      <w:proofErr w:type="spellStart"/>
      <w:r>
        <w:rPr>
          <w:rFonts w:ascii="Cambria" w:eastAsia="Cambria" w:hAnsi="Cambria" w:cs="Cambria"/>
          <w:sz w:val="20"/>
          <w:szCs w:val="20"/>
          <w:lang w:val="es-ES_tradnl"/>
        </w:rPr>
        <w:t>Hapete</w:t>
      </w:r>
      <w:proofErr w:type="spellEnd"/>
      <w:r>
        <w:rPr>
          <w:rFonts w:ascii="Cambria" w:eastAsia="Cambria" w:hAnsi="Cambria" w:cs="Cambria"/>
          <w:sz w:val="20"/>
          <w:szCs w:val="20"/>
          <w:lang w:val="es-ES_tradnl"/>
        </w:rPr>
        <w:t xml:space="preserve"> no representaba una amenaza para el Detective cuando fue baleado. Según uno de los testigos (el director del equipo </w:t>
      </w:r>
      <w:proofErr w:type="spellStart"/>
      <w:r w:rsidRPr="009B3FD8">
        <w:rPr>
          <w:rFonts w:ascii="Cambria" w:eastAsia="Cambria" w:hAnsi="Cambria" w:cs="Cambria"/>
          <w:sz w:val="20"/>
          <w:szCs w:val="20"/>
          <w:lang w:val="es-ES_tradnl"/>
        </w:rPr>
        <w:t>Arnett</w:t>
      </w:r>
      <w:proofErr w:type="spellEnd"/>
      <w:r w:rsidRPr="009B3FD8">
        <w:rPr>
          <w:rFonts w:ascii="Cambria" w:eastAsia="Cambria" w:hAnsi="Cambria" w:cs="Cambria"/>
          <w:sz w:val="20"/>
          <w:szCs w:val="20"/>
          <w:lang w:val="es-ES_tradnl"/>
        </w:rPr>
        <w:t xml:space="preserve"> </w:t>
      </w:r>
      <w:proofErr w:type="spellStart"/>
      <w:r w:rsidRPr="009B3FD8">
        <w:rPr>
          <w:rFonts w:ascii="Cambria" w:eastAsia="Cambria" w:hAnsi="Cambria" w:cs="Cambria"/>
          <w:sz w:val="20"/>
          <w:szCs w:val="20"/>
          <w:lang w:val="es-ES_tradnl"/>
        </w:rPr>
        <w:t>Gardens</w:t>
      </w:r>
      <w:proofErr w:type="spellEnd"/>
      <w:r>
        <w:rPr>
          <w:rFonts w:ascii="Cambria" w:eastAsia="Cambria" w:hAnsi="Cambria" w:cs="Cambria"/>
          <w:sz w:val="20"/>
          <w:szCs w:val="20"/>
          <w:lang w:val="es-ES_tradnl"/>
        </w:rPr>
        <w:t xml:space="preserve">), él vio cuando el Detective Lewis hizo un disparo hacia una multitud que terminó impactando en </w:t>
      </w:r>
      <w:proofErr w:type="spellStart"/>
      <w:r>
        <w:rPr>
          <w:rFonts w:ascii="Cambria" w:eastAsia="Cambria" w:hAnsi="Cambria" w:cs="Cambria"/>
          <w:sz w:val="20"/>
          <w:szCs w:val="20"/>
          <w:lang w:val="es-ES_tradnl"/>
        </w:rPr>
        <w:t>Hapete</w:t>
      </w:r>
      <w:proofErr w:type="spellEnd"/>
      <w:r>
        <w:rPr>
          <w:rFonts w:ascii="Cambria" w:eastAsia="Cambria" w:hAnsi="Cambria" w:cs="Cambria"/>
          <w:sz w:val="20"/>
          <w:szCs w:val="20"/>
          <w:lang w:val="es-ES_tradnl"/>
        </w:rPr>
        <w:t xml:space="preserve">. Según los peticionarios, los otros tres testigos señalan que el Detective Lewis agarró al señor Henry de la camiseta y le disparó de cerca y sin causa justa. Otro de los testigos afirma que </w:t>
      </w:r>
      <w:proofErr w:type="spellStart"/>
      <w:r>
        <w:rPr>
          <w:rFonts w:ascii="Cambria" w:eastAsia="Cambria" w:hAnsi="Cambria" w:cs="Cambria"/>
          <w:sz w:val="20"/>
          <w:szCs w:val="20"/>
          <w:lang w:val="es-ES_tradnl"/>
        </w:rPr>
        <w:t>Hapete</w:t>
      </w:r>
      <w:proofErr w:type="spellEnd"/>
      <w:r>
        <w:rPr>
          <w:rFonts w:ascii="Cambria" w:eastAsia="Cambria" w:hAnsi="Cambria" w:cs="Cambria"/>
          <w:sz w:val="20"/>
          <w:szCs w:val="20"/>
          <w:lang w:val="es-ES_tradnl"/>
        </w:rPr>
        <w:t xml:space="preserve"> no tenía un cigarro de marihuana cuando el Detective Lewis le disparó.</w:t>
      </w:r>
    </w:p>
    <w:p w:rsidR="00B00722" w:rsidRDefault="009B3FD8" w:rsidP="009B3FD8">
      <w:pPr>
        <w:pStyle w:val="BodyA"/>
        <w:numPr>
          <w:ilvl w:val="0"/>
          <w:numId w:val="2"/>
        </w:numPr>
        <w:tabs>
          <w:tab w:val="left" w:pos="0"/>
        </w:tabs>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Los peticionarios denuncian que hubo largas demoras (de hasta 15 año</w:t>
      </w:r>
      <w:r w:rsidRPr="009B3FD8">
        <w:rPr>
          <w:rFonts w:ascii="Cambria" w:eastAsia="Cambria" w:hAnsi="Cambria" w:cs="Cambria"/>
          <w:sz w:val="20"/>
          <w:szCs w:val="20"/>
          <w:lang w:val="es-ES_tradnl"/>
        </w:rPr>
        <w:t>s</w:t>
      </w:r>
      <w:r>
        <w:rPr>
          <w:rFonts w:ascii="Cambria" w:eastAsia="Cambria" w:hAnsi="Cambria" w:cs="Cambria"/>
          <w:sz w:val="20"/>
          <w:szCs w:val="20"/>
          <w:lang w:val="es-ES_tradnl"/>
        </w:rPr>
        <w:t>) al igual que deficiencias graves en los procesos de instrucción/judicial iniciados a raíz del deceso d</w:t>
      </w:r>
      <w:r w:rsidRPr="009B3FD8">
        <w:rPr>
          <w:rFonts w:ascii="Cambria" w:eastAsia="Cambria" w:hAnsi="Cambria" w:cs="Cambria"/>
          <w:sz w:val="20"/>
          <w:szCs w:val="20"/>
          <w:lang w:val="es-ES_tradnl"/>
        </w:rPr>
        <w:t xml:space="preserve">e </w:t>
      </w:r>
      <w:proofErr w:type="spellStart"/>
      <w:r>
        <w:rPr>
          <w:rFonts w:ascii="Cambria" w:eastAsia="Cambria" w:hAnsi="Cambria" w:cs="Cambria"/>
          <w:sz w:val="20"/>
          <w:szCs w:val="20"/>
          <w:lang w:val="es-ES_tradnl"/>
        </w:rPr>
        <w:t>Hapete</w:t>
      </w:r>
      <w:proofErr w:type="spellEnd"/>
      <w:r>
        <w:rPr>
          <w:rFonts w:ascii="Cambria" w:eastAsia="Cambria" w:hAnsi="Cambria" w:cs="Cambria"/>
          <w:sz w:val="20"/>
          <w:szCs w:val="20"/>
          <w:lang w:val="es-ES_tradnl"/>
        </w:rPr>
        <w:t>. En este sentido, los peticionarios alegan que a) no fue hasta dos años después del deceso d</w:t>
      </w:r>
      <w:r w:rsidRPr="009B3FD8">
        <w:rPr>
          <w:rFonts w:ascii="Cambria" w:eastAsia="Cambria" w:hAnsi="Cambria" w:cs="Cambria"/>
          <w:sz w:val="20"/>
          <w:szCs w:val="20"/>
          <w:lang w:val="es-ES_tradnl"/>
        </w:rPr>
        <w:t xml:space="preserve">e </w:t>
      </w:r>
      <w:proofErr w:type="spellStart"/>
      <w:r>
        <w:rPr>
          <w:rFonts w:ascii="Cambria" w:eastAsia="Cambria" w:hAnsi="Cambria" w:cs="Cambria"/>
          <w:sz w:val="20"/>
          <w:szCs w:val="20"/>
          <w:lang w:val="es-ES_tradnl"/>
        </w:rPr>
        <w:t>Hapete</w:t>
      </w:r>
      <w:proofErr w:type="spellEnd"/>
      <w:r>
        <w:rPr>
          <w:rFonts w:ascii="Cambria" w:eastAsia="Cambria" w:hAnsi="Cambria" w:cs="Cambria"/>
          <w:sz w:val="20"/>
          <w:szCs w:val="20"/>
          <w:lang w:val="es-ES_tradnl"/>
        </w:rPr>
        <w:t xml:space="preserve"> que se abrió una investigación en el Juzgado de Instrucción; b) esta nunca se concluyó porque el Juez de Instrucción se había jubilado o había sido trasladado; c) en 2005 se abrió un segundo proceso de instrucción que terminó siendo declarado juicio nulo porque los jueces dejaron de asistir a raíz de numerosas demoras; d) en 2008 se abrió un tercer juicio de instrucción y este concluyó (en febrero de 2010) con el veredicto de que el Detective Lewis era penalmente responsable por la muerte d</w:t>
      </w:r>
      <w:r w:rsidRPr="009B3FD8">
        <w:rPr>
          <w:rFonts w:ascii="Cambria" w:eastAsia="Cambria" w:hAnsi="Cambria" w:cs="Cambria"/>
          <w:sz w:val="20"/>
          <w:szCs w:val="20"/>
          <w:lang w:val="es-ES_tradnl"/>
        </w:rPr>
        <w:t xml:space="preserve">e </w:t>
      </w:r>
      <w:proofErr w:type="spellStart"/>
      <w:r>
        <w:rPr>
          <w:rFonts w:ascii="Cambria" w:eastAsia="Cambria" w:hAnsi="Cambria" w:cs="Cambria"/>
          <w:sz w:val="20"/>
          <w:szCs w:val="20"/>
          <w:lang w:val="es-ES_tradnl"/>
        </w:rPr>
        <w:t>Hapete</w:t>
      </w:r>
      <w:proofErr w:type="spellEnd"/>
      <w:r>
        <w:rPr>
          <w:rFonts w:ascii="Cambria" w:eastAsia="Cambria" w:hAnsi="Cambria" w:cs="Cambria"/>
          <w:sz w:val="20"/>
          <w:szCs w:val="20"/>
          <w:lang w:val="es-ES_tradnl"/>
        </w:rPr>
        <w:t>, por lo que el Detective Lewis fue acusado formalmente en la vía penal en marzo de 2010. Según la petición, la Dirección de Fiscalías Públicas (en adelante “ODPP”) se declaró competente para procesar al Detective Lewis. Los peticionarios aducen que este juicio no se realizó hasta marzo de 2013 y que este concluyó con la absolución del Detective Lewis el 18 de marzo de 2013.</w:t>
      </w:r>
    </w:p>
    <w:p w:rsidR="00B00722" w:rsidRDefault="009B3FD8" w:rsidP="009B3FD8">
      <w:pPr>
        <w:pStyle w:val="BodyA"/>
        <w:numPr>
          <w:ilvl w:val="0"/>
          <w:numId w:val="2"/>
        </w:numPr>
        <w:tabs>
          <w:tab w:val="left" w:pos="0"/>
        </w:tabs>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Según los peticionarios, esta absolución en gran parte se debió a que la ODPP no condujo de forma adecuada la investigación ni las diligencias previas al juicio. En este sentido, los peticionarios resaltan que, pese a la gran cantidad de testigos del momento del disparo, la ODPP solo citó a dos testigos, ambos de los cuales terminaron retractándose. Los peticionarios asimismo aseveran que la ODPP no utilizó las pruebas recabadas en la última investigación judicial con las que se había determinado la responsabilidad penal del Detective Lewis. Ante la falta de otras pruebas empleadas por la ODPP, los peticionarios alegan que el tribunal de primera instancia ordenó al jurado dictar un veredicto de no culpable. Aducen que la absolución del Detective Lewis representa el agotamiento de los recursos internos.</w:t>
      </w:r>
      <w:r w:rsidRPr="009B3FD8">
        <w:rPr>
          <w:rFonts w:ascii="Cambria" w:eastAsia="Cambria" w:hAnsi="Cambria" w:cs="Cambria"/>
          <w:sz w:val="20"/>
          <w:szCs w:val="20"/>
          <w:lang w:val="es-ES_tradnl"/>
        </w:rPr>
        <w:t xml:space="preserve"> </w:t>
      </w:r>
      <w:r>
        <w:rPr>
          <w:rFonts w:ascii="Cambria" w:eastAsia="Cambria" w:hAnsi="Cambria" w:cs="Cambria"/>
          <w:sz w:val="20"/>
          <w:szCs w:val="20"/>
          <w:lang w:val="es-ES_tradnl"/>
        </w:rPr>
        <w:t xml:space="preserve">Añaden que </w:t>
      </w:r>
      <w:proofErr w:type="spellStart"/>
      <w:r>
        <w:rPr>
          <w:rFonts w:ascii="Cambria" w:eastAsia="Cambria" w:hAnsi="Cambria" w:cs="Cambria"/>
          <w:sz w:val="20"/>
          <w:szCs w:val="20"/>
          <w:lang w:val="es-ES_tradnl"/>
        </w:rPr>
        <w:t>Hapete</w:t>
      </w:r>
      <w:proofErr w:type="spellEnd"/>
      <w:r>
        <w:rPr>
          <w:rFonts w:ascii="Cambria" w:eastAsia="Cambria" w:hAnsi="Cambria" w:cs="Cambria"/>
          <w:sz w:val="20"/>
          <w:szCs w:val="20"/>
          <w:lang w:val="es-ES_tradnl"/>
        </w:rPr>
        <w:t xml:space="preserve"> tenía tan solo 17 años cuando murió y que se vio particularmente expuesto a actos de violencia y abuso policial a raíz de una </w:t>
      </w:r>
      <w:r>
        <w:rPr>
          <w:rFonts w:ascii="Cambria" w:eastAsia="Cambria" w:hAnsi="Cambria" w:cs="Cambria"/>
          <w:sz w:val="20"/>
          <w:szCs w:val="20"/>
          <w:lang w:val="es-ES_tradnl"/>
        </w:rPr>
        <w:lastRenderedPageBreak/>
        <w:t>discapacidad que sufría y por la que requería cuidado y protección especial. Asimismo, alegan que la ejecución arbitraria d</w:t>
      </w:r>
      <w:r w:rsidRPr="009B3FD8">
        <w:rPr>
          <w:rFonts w:ascii="Cambria" w:eastAsia="Cambria" w:hAnsi="Cambria" w:cs="Cambria"/>
          <w:sz w:val="20"/>
          <w:szCs w:val="20"/>
          <w:lang w:val="es-ES_tradnl"/>
        </w:rPr>
        <w:t xml:space="preserve">e </w:t>
      </w:r>
      <w:proofErr w:type="spellStart"/>
      <w:r>
        <w:rPr>
          <w:rFonts w:ascii="Cambria" w:eastAsia="Cambria" w:hAnsi="Cambria" w:cs="Cambria"/>
          <w:sz w:val="20"/>
          <w:szCs w:val="20"/>
          <w:lang w:val="es-ES_tradnl"/>
        </w:rPr>
        <w:t>Hapete</w:t>
      </w:r>
      <w:proofErr w:type="spellEnd"/>
      <w:r>
        <w:rPr>
          <w:rFonts w:ascii="Cambria" w:eastAsia="Cambria" w:hAnsi="Cambria" w:cs="Cambria"/>
          <w:sz w:val="20"/>
          <w:szCs w:val="20"/>
          <w:lang w:val="es-ES_tradnl"/>
        </w:rPr>
        <w:t>, junto con la presunta falta del Estado de realizar una investigación penal eficaz, también ha dado lugar a violaciones de los derechos de los familiares sobrevivientes d</w:t>
      </w:r>
      <w:r w:rsidRPr="009B3FD8">
        <w:rPr>
          <w:rFonts w:ascii="Cambria" w:eastAsia="Cambria" w:hAnsi="Cambria" w:cs="Cambria"/>
          <w:sz w:val="20"/>
          <w:szCs w:val="20"/>
          <w:lang w:val="es-ES_tradnl"/>
        </w:rPr>
        <w:t xml:space="preserve">e </w:t>
      </w:r>
      <w:proofErr w:type="spellStart"/>
      <w:r>
        <w:rPr>
          <w:rFonts w:ascii="Cambria" w:eastAsia="Cambria" w:hAnsi="Cambria" w:cs="Cambria"/>
          <w:sz w:val="20"/>
          <w:szCs w:val="20"/>
          <w:lang w:val="es-ES_tradnl"/>
        </w:rPr>
        <w:t>Hapete</w:t>
      </w:r>
      <w:proofErr w:type="spellEnd"/>
      <w:r>
        <w:rPr>
          <w:rFonts w:ascii="Cambria" w:eastAsia="Cambria" w:hAnsi="Cambria" w:cs="Cambria"/>
          <w:sz w:val="20"/>
          <w:szCs w:val="20"/>
          <w:lang w:val="es-ES_tradnl"/>
        </w:rPr>
        <w:t xml:space="preserve"> (su padre, George Henry, y su madre, Lilian Johnson).</w:t>
      </w:r>
    </w:p>
    <w:p w:rsidR="00B00722" w:rsidRDefault="009B3FD8" w:rsidP="009B3FD8">
      <w:pPr>
        <w:pStyle w:val="BodyA"/>
        <w:numPr>
          <w:ilvl w:val="0"/>
          <w:numId w:val="2"/>
        </w:numPr>
        <w:tabs>
          <w:tab w:val="left" w:pos="0"/>
        </w:tabs>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Los peticionarios repudian la observación del Estado y enfatizan que a) las demandas civiles a las que se refiere el Estado (indemnización) no son adecuadas ni efectivas, en especial en casos donde se alegan violaciones de derechos humanos que se consideran delitos penales y b) el Estado tenía la obligación de realizar una investigación penal eficaz; no obstante, en este caso la investigación del Estado fue de una deficiencia palmaria en todos los aspectos.</w:t>
      </w:r>
    </w:p>
    <w:p w:rsidR="00B00722" w:rsidRDefault="009B3FD8" w:rsidP="009B3FD8">
      <w:pPr>
        <w:pStyle w:val="BodyA"/>
        <w:numPr>
          <w:ilvl w:val="0"/>
          <w:numId w:val="2"/>
        </w:numPr>
        <w:tabs>
          <w:tab w:val="left" w:pos="0"/>
        </w:tabs>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Por su parte, el Estado considera que la presente petición es inadmisible por los siguientes motivos: a) los peticionarios no agotaron los recursos internos y b) el Estado sí llevó a cabo una investigación y un juicio en la vía penal por la muerte d</w:t>
      </w:r>
      <w:r w:rsidRPr="009B3FD8">
        <w:rPr>
          <w:rFonts w:ascii="Cambria" w:eastAsia="Cambria" w:hAnsi="Cambria" w:cs="Cambria"/>
          <w:sz w:val="20"/>
          <w:szCs w:val="20"/>
          <w:lang w:val="es-ES_tradnl"/>
        </w:rPr>
        <w:t xml:space="preserve">e </w:t>
      </w:r>
      <w:proofErr w:type="spellStart"/>
      <w:r>
        <w:rPr>
          <w:rFonts w:ascii="Cambria" w:eastAsia="Cambria" w:hAnsi="Cambria" w:cs="Cambria"/>
          <w:sz w:val="20"/>
          <w:szCs w:val="20"/>
          <w:lang w:val="es-ES_tradnl"/>
        </w:rPr>
        <w:t>Hapete</w:t>
      </w:r>
      <w:proofErr w:type="spellEnd"/>
      <w:r>
        <w:rPr>
          <w:rFonts w:ascii="Cambria" w:eastAsia="Cambria" w:hAnsi="Cambria" w:cs="Cambria"/>
          <w:sz w:val="20"/>
          <w:szCs w:val="20"/>
          <w:lang w:val="es-ES_tradnl"/>
        </w:rPr>
        <w:t xml:space="preserve">, por lo que indica que los alegatos de los peticionarios resultan manifiestamente infundados. En cuanto al agotamiento de los recursos internos, el Estado sostiene que los peticionarios podrían haber interpuesto una acción civil para obtener una indemnización, pero que no lo hicieron. Resalta que este recurso, además de estar disponible a los peticionarios, es eficaz para reparar los hechos alegados en la petición. Asimismo, aduce que las acciones civiles deben presentarse independientemente de si se alegue o no que el Estado no promovió el proceso penal de forma adecuada. En relación con la investigación penal, el Estado afirma que sí cumplió con su deber de investigar y procesar. Sostiene que, pese a que los peticionarios alegan demoras, la investigación penal permitió procesar a un responsable y, por lo tanto, no puede considerarse, </w:t>
      </w:r>
      <w:r w:rsidRPr="009B3FD8">
        <w:rPr>
          <w:rFonts w:ascii="Cambria" w:eastAsia="Cambria" w:hAnsi="Cambria" w:cs="Cambria"/>
          <w:sz w:val="20"/>
          <w:szCs w:val="20"/>
          <w:lang w:val="es-ES_tradnl"/>
        </w:rPr>
        <w:t>prima facie</w:t>
      </w:r>
      <w:r>
        <w:rPr>
          <w:rFonts w:ascii="Cambria" w:eastAsia="Cambria" w:hAnsi="Cambria" w:cs="Cambria"/>
          <w:sz w:val="20"/>
          <w:szCs w:val="20"/>
          <w:lang w:val="es-ES_tradnl"/>
        </w:rPr>
        <w:t xml:space="preserve">, ineficaz. En relación con el procesamiento en sí, el Estado señala que las autoridades fiscales “gozan de amplia discrecionalidad para determinar cuál es la prueba más confiable o creíble para presentar en el juicio” y que “el mero desacuerdo con esas decisiones adoptadas por una autoridad fiscal no puede, por sí mismo, implicar que haya un error grave o un defecto manifiesto y serio”. Agrega que el mero hecho de que el juicio concluyera en una absolución no constituye una razón válida para concluir </w:t>
      </w:r>
      <w:r w:rsidRPr="009B3FD8">
        <w:rPr>
          <w:rFonts w:ascii="Cambria" w:eastAsia="Cambria" w:hAnsi="Cambria" w:cs="Cambria"/>
          <w:sz w:val="20"/>
          <w:szCs w:val="20"/>
          <w:lang w:val="es-ES_tradnl"/>
        </w:rPr>
        <w:t>prima facie</w:t>
      </w:r>
      <w:r>
        <w:rPr>
          <w:rFonts w:ascii="Cambria" w:eastAsia="Cambria" w:hAnsi="Cambria" w:cs="Cambria"/>
          <w:sz w:val="20"/>
          <w:szCs w:val="20"/>
          <w:lang w:val="es-ES_tradnl"/>
        </w:rPr>
        <w:t xml:space="preserve"> que el Estado no realizó una investigación o un procesamiento de forma eficaz.</w:t>
      </w:r>
    </w:p>
    <w:p w:rsidR="00B00722" w:rsidRPr="009B3FD8" w:rsidRDefault="009B3FD8">
      <w:pPr>
        <w:pStyle w:val="BodyA"/>
        <w:spacing w:before="240" w:after="240"/>
        <w:ind w:firstLine="720"/>
        <w:jc w:val="both"/>
        <w:rPr>
          <w:rFonts w:ascii="Cambria" w:eastAsia="Cambria" w:hAnsi="Cambria" w:cs="Cambria"/>
          <w:sz w:val="20"/>
          <w:szCs w:val="20"/>
          <w:lang w:val="es-419"/>
        </w:rPr>
      </w:pPr>
      <w:r>
        <w:rPr>
          <w:rFonts w:ascii="Cambria" w:eastAsia="Cambria" w:hAnsi="Cambria" w:cs="Cambria"/>
          <w:b/>
          <w:bCs/>
          <w:sz w:val="20"/>
          <w:szCs w:val="20"/>
          <w:lang w:val="es-ES_tradnl"/>
        </w:rPr>
        <w:t>VI.</w:t>
      </w:r>
      <w:r>
        <w:rPr>
          <w:rFonts w:ascii="Cambria" w:eastAsia="Cambria" w:hAnsi="Cambria" w:cs="Cambria"/>
          <w:b/>
          <w:bCs/>
          <w:sz w:val="20"/>
          <w:szCs w:val="20"/>
          <w:lang w:val="es-ES_tradnl"/>
        </w:rPr>
        <w:tab/>
        <w:t xml:space="preserve">AGOTAMIENTO DE LOS RECURSOS INTERNOS Y PLAZO DE PRESENTACIÓN </w:t>
      </w:r>
    </w:p>
    <w:p w:rsidR="00B00722" w:rsidRDefault="009B3FD8" w:rsidP="009B3FD8">
      <w:pPr>
        <w:pStyle w:val="BodyA"/>
        <w:numPr>
          <w:ilvl w:val="0"/>
          <w:numId w:val="2"/>
        </w:numPr>
        <w:tabs>
          <w:tab w:val="left" w:pos="0"/>
        </w:tabs>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Las partes controvierten sobre el agotamiento de los recursos internos pues los peticionarios afirman que estos fueron agotados con la absolución del Detective Lewis el 18 de marzo de 2013, mientras que el Estado asevera que los peticionarios no agotaron los recursos civiles disponibles para obtener una indemnización.</w:t>
      </w:r>
    </w:p>
    <w:p w:rsidR="00B00722" w:rsidRDefault="009B3FD8" w:rsidP="009B3FD8">
      <w:pPr>
        <w:pStyle w:val="BodyA"/>
        <w:numPr>
          <w:ilvl w:val="0"/>
          <w:numId w:val="2"/>
        </w:numPr>
        <w:tabs>
          <w:tab w:val="left" w:pos="0"/>
        </w:tabs>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En cuanto al argumento del Estado sobre la falta de agotamiento de la reparación civil, la Comisión reitera que, en situaciones como la presente, para acudir al sistema interamericano no se requiere agotar la acción civil, pues esta no repararía el reclamo principal de la petición sobre la presunta ejecución arbitraria d</w:t>
      </w:r>
      <w:r w:rsidRPr="009B3FD8">
        <w:rPr>
          <w:rFonts w:ascii="Cambria" w:eastAsia="Cambria" w:hAnsi="Cambria" w:cs="Cambria"/>
          <w:sz w:val="20"/>
          <w:szCs w:val="20"/>
          <w:lang w:val="es-ES_tradnl"/>
        </w:rPr>
        <w:t xml:space="preserve">e </w:t>
      </w:r>
      <w:proofErr w:type="spellStart"/>
      <w:r>
        <w:rPr>
          <w:rFonts w:ascii="Cambria" w:eastAsia="Cambria" w:hAnsi="Cambria" w:cs="Cambria"/>
          <w:sz w:val="20"/>
          <w:szCs w:val="20"/>
          <w:lang w:val="es-ES_tradnl"/>
        </w:rPr>
        <w:t>Hapete</w:t>
      </w:r>
      <w:proofErr w:type="spellEnd"/>
      <w:r>
        <w:rPr>
          <w:rFonts w:ascii="Cambria" w:eastAsia="Cambria" w:hAnsi="Cambria" w:cs="Cambria"/>
          <w:sz w:val="20"/>
          <w:szCs w:val="20"/>
          <w:lang w:val="es-ES_tradnl"/>
        </w:rPr>
        <w:t xml:space="preserve"> seguida por la falta de diligencia debida en investigar, procesar y sancionar a los responsables, así como la demora en investigar. La Comisión reitera que, según los estándares internacionales aplicables a casos como el presente, en los que se alegan graves violaciones de los derechos humanos, como el homicidio, el recurso adecuado y eficaz es precisamente el inicio y desarrollo de una investigación penal eficaz cuyo objetivo sea esclarecer los hechos, y si corresponde, individualizar y procesar a los responsables.</w:t>
      </w:r>
    </w:p>
    <w:p w:rsidR="00B00722" w:rsidRDefault="009B3FD8" w:rsidP="009B3FD8">
      <w:pPr>
        <w:pStyle w:val="BodyA"/>
        <w:numPr>
          <w:ilvl w:val="0"/>
          <w:numId w:val="2"/>
        </w:numPr>
        <w:tabs>
          <w:tab w:val="left" w:pos="0"/>
        </w:tabs>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En este caso, y a los fines del análisis de admisibilidad, la Comisión nota que los peticionarios agotaron todos los recursos disponibles en la legislación interna y que, en consecuencia, la petición cumple el requisito del artículo 46(1</w:t>
      </w:r>
      <w:proofErr w:type="gramStart"/>
      <w:r>
        <w:rPr>
          <w:rFonts w:ascii="Cambria" w:eastAsia="Cambria" w:hAnsi="Cambria" w:cs="Cambria"/>
          <w:sz w:val="20"/>
          <w:szCs w:val="20"/>
          <w:lang w:val="es-ES_tradnl"/>
        </w:rPr>
        <w:t>)(</w:t>
      </w:r>
      <w:proofErr w:type="gramEnd"/>
      <w:r>
        <w:rPr>
          <w:rFonts w:ascii="Cambria" w:eastAsia="Cambria" w:hAnsi="Cambria" w:cs="Cambria"/>
          <w:sz w:val="20"/>
          <w:szCs w:val="20"/>
          <w:lang w:val="es-ES_tradnl"/>
        </w:rPr>
        <w:t>a) de la Convención. En lo que respecta al plazo de presentación, la Comisión nota que la petición fue presentada el 17 de septiembre de 2013 y, por ende, dentro de los seis meses posteriores a la notificación de la sentencia firme (del 18 de marzo de 2013) que agotó los recursos internos. Así, la petición cumple el requisito del artículo 46(1</w:t>
      </w:r>
      <w:proofErr w:type="gramStart"/>
      <w:r>
        <w:rPr>
          <w:rFonts w:ascii="Cambria" w:eastAsia="Cambria" w:hAnsi="Cambria" w:cs="Cambria"/>
          <w:sz w:val="20"/>
          <w:szCs w:val="20"/>
          <w:lang w:val="es-ES_tradnl"/>
        </w:rPr>
        <w:t>)(</w:t>
      </w:r>
      <w:proofErr w:type="gramEnd"/>
      <w:r>
        <w:rPr>
          <w:rFonts w:ascii="Cambria" w:eastAsia="Cambria" w:hAnsi="Cambria" w:cs="Cambria"/>
          <w:sz w:val="20"/>
          <w:szCs w:val="20"/>
          <w:lang w:val="es-ES_tradnl"/>
        </w:rPr>
        <w:t>b) de la Convención.</w:t>
      </w:r>
    </w:p>
    <w:p w:rsidR="009B3FD8" w:rsidRDefault="009B3FD8">
      <w:pPr>
        <w:rPr>
          <w:rFonts w:ascii="Cambria" w:eastAsia="Cambria" w:hAnsi="Cambria" w:cs="Cambria"/>
          <w:b/>
          <w:bCs/>
          <w:color w:val="000000"/>
          <w:sz w:val="20"/>
          <w:szCs w:val="20"/>
          <w:u w:color="000000"/>
          <w:lang w:val="es-ES_tradnl"/>
        </w:rPr>
      </w:pPr>
      <w:r>
        <w:rPr>
          <w:b/>
          <w:bCs/>
          <w:sz w:val="20"/>
          <w:szCs w:val="20"/>
          <w:lang w:val="es-ES_tradnl"/>
        </w:rPr>
        <w:br w:type="page"/>
      </w:r>
    </w:p>
    <w:p w:rsidR="00B00722" w:rsidRDefault="009B3FD8">
      <w:pPr>
        <w:pStyle w:val="ListParagraph"/>
        <w:spacing w:before="240" w:after="240"/>
        <w:jc w:val="both"/>
        <w:rPr>
          <w:b/>
          <w:bCs/>
          <w:sz w:val="20"/>
          <w:szCs w:val="20"/>
          <w:lang w:val="es-ES_tradnl"/>
        </w:rPr>
      </w:pPr>
      <w:r>
        <w:rPr>
          <w:b/>
          <w:bCs/>
          <w:sz w:val="20"/>
          <w:szCs w:val="20"/>
          <w:lang w:val="es-ES_tradnl"/>
        </w:rPr>
        <w:lastRenderedPageBreak/>
        <w:t>VII.</w:t>
      </w:r>
      <w:r>
        <w:rPr>
          <w:b/>
          <w:bCs/>
          <w:sz w:val="20"/>
          <w:szCs w:val="20"/>
          <w:lang w:val="es-ES_tradnl"/>
        </w:rPr>
        <w:tab/>
        <w:t>CARACTERIZACIÓN</w:t>
      </w:r>
    </w:p>
    <w:p w:rsidR="00B00722" w:rsidRDefault="009B3FD8" w:rsidP="009B3FD8">
      <w:pPr>
        <w:pStyle w:val="BodyA"/>
        <w:numPr>
          <w:ilvl w:val="0"/>
          <w:numId w:val="2"/>
        </w:numPr>
        <w:tabs>
          <w:tab w:val="left" w:pos="0"/>
        </w:tabs>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 xml:space="preserve"> La Comisión nota que la petición incluye alegatos de a) la ejecución arbitraria </w:t>
      </w:r>
      <w:proofErr w:type="spellStart"/>
      <w:r>
        <w:rPr>
          <w:rFonts w:ascii="Cambria" w:eastAsia="Cambria" w:hAnsi="Cambria" w:cs="Cambria"/>
          <w:sz w:val="20"/>
          <w:szCs w:val="20"/>
          <w:lang w:val="es-ES_tradnl"/>
        </w:rPr>
        <w:t>d</w:t>
      </w:r>
      <w:r w:rsidRPr="009B3FD8">
        <w:rPr>
          <w:rFonts w:ascii="Cambria" w:eastAsia="Cambria" w:hAnsi="Cambria" w:cs="Cambria"/>
          <w:sz w:val="20"/>
          <w:szCs w:val="20"/>
          <w:lang w:val="es-ES_tradnl"/>
        </w:rPr>
        <w:t>e</w:t>
      </w:r>
      <w:r>
        <w:rPr>
          <w:rFonts w:ascii="Cambria" w:eastAsia="Cambria" w:hAnsi="Cambria" w:cs="Cambria"/>
          <w:sz w:val="20"/>
          <w:szCs w:val="20"/>
          <w:lang w:val="es-ES_tradnl"/>
        </w:rPr>
        <w:t>Hapete</w:t>
      </w:r>
      <w:proofErr w:type="spellEnd"/>
      <w:r>
        <w:rPr>
          <w:rFonts w:ascii="Cambria" w:eastAsia="Cambria" w:hAnsi="Cambria" w:cs="Cambria"/>
          <w:sz w:val="20"/>
          <w:szCs w:val="20"/>
          <w:lang w:val="es-ES_tradnl"/>
        </w:rPr>
        <w:t>, b) largas demoras (de hasta 15 año</w:t>
      </w:r>
      <w:r w:rsidRPr="009B3FD8">
        <w:rPr>
          <w:rFonts w:ascii="Cambria" w:eastAsia="Cambria" w:hAnsi="Cambria" w:cs="Cambria"/>
          <w:sz w:val="20"/>
          <w:szCs w:val="20"/>
          <w:lang w:val="es-ES_tradnl"/>
        </w:rPr>
        <w:t>s</w:t>
      </w:r>
      <w:r>
        <w:rPr>
          <w:rFonts w:ascii="Cambria" w:eastAsia="Cambria" w:hAnsi="Cambria" w:cs="Cambria"/>
          <w:sz w:val="20"/>
          <w:szCs w:val="20"/>
          <w:lang w:val="es-ES_tradnl"/>
        </w:rPr>
        <w:t xml:space="preserve">) al igual que deficiencias graves en los procesos de instrucción/judicial iniciados por el deceso </w:t>
      </w:r>
      <w:proofErr w:type="spellStart"/>
      <w:r>
        <w:rPr>
          <w:rFonts w:ascii="Cambria" w:eastAsia="Cambria" w:hAnsi="Cambria" w:cs="Cambria"/>
          <w:sz w:val="20"/>
          <w:szCs w:val="20"/>
          <w:lang w:val="es-ES_tradnl"/>
        </w:rPr>
        <w:t>dHapete</w:t>
      </w:r>
      <w:proofErr w:type="spellEnd"/>
      <w:r>
        <w:rPr>
          <w:rFonts w:ascii="Cambria" w:eastAsia="Cambria" w:hAnsi="Cambria" w:cs="Cambria"/>
          <w:sz w:val="20"/>
          <w:szCs w:val="20"/>
          <w:lang w:val="es-ES_tradnl"/>
        </w:rPr>
        <w:t>. El Estado no controvierte sobre el tiempo transcurrido entre la muerte d</w:t>
      </w:r>
      <w:r w:rsidRPr="009B3FD8">
        <w:rPr>
          <w:rFonts w:ascii="Cambria" w:eastAsia="Cambria" w:hAnsi="Cambria" w:cs="Cambria"/>
          <w:sz w:val="20"/>
          <w:szCs w:val="20"/>
          <w:lang w:val="es-ES_tradnl"/>
        </w:rPr>
        <w:t xml:space="preserve">e </w:t>
      </w:r>
      <w:proofErr w:type="spellStart"/>
      <w:r>
        <w:rPr>
          <w:rFonts w:ascii="Cambria" w:eastAsia="Cambria" w:hAnsi="Cambria" w:cs="Cambria"/>
          <w:sz w:val="20"/>
          <w:szCs w:val="20"/>
          <w:lang w:val="es-ES_tradnl"/>
        </w:rPr>
        <w:t>Hapete</w:t>
      </w:r>
      <w:proofErr w:type="spellEnd"/>
      <w:r>
        <w:rPr>
          <w:rFonts w:ascii="Cambria" w:eastAsia="Cambria" w:hAnsi="Cambria" w:cs="Cambria"/>
          <w:sz w:val="20"/>
          <w:szCs w:val="20"/>
          <w:lang w:val="es-ES_tradnl"/>
        </w:rPr>
        <w:t xml:space="preserve"> y la finalización del juicio penal, así como tampoco discute o justifica las demoras en la investigación judicial. El Estado tampoco discute la afirmación de los peticionarios sobre la exclusión de varios testigos en el juicio al Detective Lewis. En este sentido, el Estado insiste que el fiscal tenía autoridad para determinar a discreción cuáles testigos convocar (o no convocar). Si bien la Comisión comprende esta discrecionalidad, le preocupa el hecho de que la decisión del fiscal de no convocar a testigos relevantes podría haber socavado, </w:t>
      </w:r>
      <w:r w:rsidRPr="009B3FD8">
        <w:rPr>
          <w:rFonts w:ascii="Cambria" w:eastAsia="Cambria" w:hAnsi="Cambria" w:cs="Cambria"/>
          <w:sz w:val="20"/>
          <w:szCs w:val="20"/>
          <w:lang w:val="es-ES_tradnl"/>
        </w:rPr>
        <w:t>prima facie</w:t>
      </w:r>
      <w:r>
        <w:rPr>
          <w:rFonts w:ascii="Cambria" w:eastAsia="Cambria" w:hAnsi="Cambria" w:cs="Cambria"/>
          <w:sz w:val="20"/>
          <w:szCs w:val="20"/>
          <w:lang w:val="es-ES_tradnl"/>
        </w:rPr>
        <w:t xml:space="preserve">, el derecho al debido proceso, en detrimento </w:t>
      </w:r>
      <w:proofErr w:type="spellStart"/>
      <w:r>
        <w:rPr>
          <w:rFonts w:ascii="Cambria" w:eastAsia="Cambria" w:hAnsi="Cambria" w:cs="Cambria"/>
          <w:sz w:val="20"/>
          <w:szCs w:val="20"/>
          <w:lang w:val="es-ES_tradnl"/>
        </w:rPr>
        <w:t>d</w:t>
      </w:r>
      <w:r w:rsidRPr="009B3FD8">
        <w:rPr>
          <w:rFonts w:ascii="Cambria" w:eastAsia="Cambria" w:hAnsi="Cambria" w:cs="Cambria"/>
          <w:sz w:val="20"/>
          <w:szCs w:val="20"/>
          <w:lang w:val="es-ES_tradnl"/>
        </w:rPr>
        <w:t>e</w:t>
      </w:r>
      <w:r>
        <w:rPr>
          <w:rFonts w:ascii="Cambria" w:eastAsia="Cambria" w:hAnsi="Cambria" w:cs="Cambria"/>
          <w:sz w:val="20"/>
          <w:szCs w:val="20"/>
          <w:lang w:val="es-ES_tradnl"/>
        </w:rPr>
        <w:t>Hapete</w:t>
      </w:r>
      <w:proofErr w:type="spellEnd"/>
      <w:r>
        <w:rPr>
          <w:rFonts w:ascii="Cambria" w:eastAsia="Cambria" w:hAnsi="Cambria" w:cs="Cambria"/>
          <w:sz w:val="20"/>
          <w:szCs w:val="20"/>
          <w:lang w:val="es-ES_tradnl"/>
        </w:rPr>
        <w:t xml:space="preserve"> y sus familiares. De modo similar, la Comisión considera que las demoras en la investigación penal también podrían haber dado lugar a violaciones similares de la Convención Americana.</w:t>
      </w:r>
    </w:p>
    <w:p w:rsidR="00B00722" w:rsidRDefault="009B3FD8" w:rsidP="009B3FD8">
      <w:pPr>
        <w:pStyle w:val="BodyA"/>
        <w:numPr>
          <w:ilvl w:val="0"/>
          <w:numId w:val="2"/>
        </w:numPr>
        <w:tabs>
          <w:tab w:val="left" w:pos="0"/>
        </w:tabs>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En vista de los elementos de hecho y de derecho expuestos por las partes y la naturaleza del asunto puesto bajo su conocimiento, la CIDH considera que los alegatos de la presunta ejecución extrajudicial, las demoras en la investigación, la exclusión de prueba relevante en el juicio y la presunta falta del Estado de adoptar medidas para proteger los derechos d</w:t>
      </w:r>
      <w:r w:rsidRPr="009B3FD8">
        <w:rPr>
          <w:rFonts w:ascii="Cambria" w:eastAsia="Cambria" w:hAnsi="Cambria" w:cs="Cambria"/>
          <w:sz w:val="20"/>
          <w:szCs w:val="20"/>
          <w:lang w:val="es-ES_tradnl"/>
        </w:rPr>
        <w:t xml:space="preserve">e </w:t>
      </w:r>
      <w:proofErr w:type="spellStart"/>
      <w:r>
        <w:rPr>
          <w:rFonts w:ascii="Cambria" w:eastAsia="Cambria" w:hAnsi="Cambria" w:cs="Cambria"/>
          <w:sz w:val="20"/>
          <w:szCs w:val="20"/>
          <w:lang w:val="es-ES_tradnl"/>
        </w:rPr>
        <w:t>Hapete</w:t>
      </w:r>
      <w:proofErr w:type="spellEnd"/>
      <w:r>
        <w:rPr>
          <w:rFonts w:ascii="Cambria" w:eastAsia="Cambria" w:hAnsi="Cambria" w:cs="Cambria"/>
          <w:sz w:val="20"/>
          <w:szCs w:val="20"/>
          <w:lang w:val="es-ES_tradnl"/>
        </w:rPr>
        <w:t xml:space="preserve"> en su calidad de menor de edad no son manifiestamente infundados sino que requieren un análisis de fondo, pues si se corroboran como ciertos, todos podrían configurar violaciones de los derechos consagrados en los artículos 4 (vida), 5 (integridad personal), 8 (garantías judiciales), 19 (derechos del niño) y 25 (protección judicial) de la Convención, en relación con los artículos 1(1) (obligación de respetar los derechos) y 2 (deber de adoptar disposiciones de derecho interno) del mismo tratado.</w:t>
      </w:r>
    </w:p>
    <w:p w:rsidR="00B00722" w:rsidRDefault="009B3FD8">
      <w:pPr>
        <w:pStyle w:val="ListParagraph"/>
        <w:spacing w:before="240" w:after="240"/>
        <w:jc w:val="both"/>
        <w:rPr>
          <w:b/>
          <w:bCs/>
          <w:sz w:val="20"/>
          <w:szCs w:val="20"/>
          <w:lang w:val="es-ES_tradnl"/>
        </w:rPr>
      </w:pPr>
      <w:r>
        <w:rPr>
          <w:b/>
          <w:bCs/>
          <w:sz w:val="20"/>
          <w:szCs w:val="20"/>
          <w:lang w:val="es-ES_tradnl"/>
        </w:rPr>
        <w:t xml:space="preserve">VIII. </w:t>
      </w:r>
      <w:r>
        <w:rPr>
          <w:b/>
          <w:bCs/>
          <w:sz w:val="20"/>
          <w:szCs w:val="20"/>
          <w:lang w:val="es-ES_tradnl"/>
        </w:rPr>
        <w:tab/>
        <w:t>DECISIÓN</w:t>
      </w:r>
    </w:p>
    <w:p w:rsidR="00B00722" w:rsidRDefault="009B3FD8" w:rsidP="00FF1436">
      <w:pPr>
        <w:pStyle w:val="BodyA"/>
        <w:numPr>
          <w:ilvl w:val="0"/>
          <w:numId w:val="5"/>
        </w:numPr>
        <w:tabs>
          <w:tab w:val="left" w:pos="0"/>
        </w:tabs>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Declarar admisible la presente petición en relación con los artículos 4, 5, 8, 19 y 25 de la Convención Americana en concordancia con sus artículos 1(1) y 2;</w:t>
      </w:r>
    </w:p>
    <w:p w:rsidR="00B00722" w:rsidRDefault="009B3FD8" w:rsidP="009B3FD8">
      <w:pPr>
        <w:pStyle w:val="BodyA"/>
        <w:numPr>
          <w:ilvl w:val="0"/>
          <w:numId w:val="5"/>
        </w:numPr>
        <w:tabs>
          <w:tab w:val="left" w:pos="0"/>
        </w:tabs>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rsidR="009B3FD8" w:rsidRDefault="009B3FD8" w:rsidP="009B3FD8">
      <w:pPr>
        <w:pStyle w:val="BodyA"/>
        <w:tabs>
          <w:tab w:val="left" w:pos="0"/>
        </w:tabs>
        <w:suppressAutoHyphens/>
        <w:spacing w:after="240"/>
        <w:jc w:val="both"/>
        <w:rPr>
          <w:rFonts w:ascii="Cambria" w:eastAsia="Cambria" w:hAnsi="Cambria" w:cs="Cambria"/>
          <w:sz w:val="20"/>
          <w:szCs w:val="20"/>
          <w:lang w:val="es-ES_tradnl"/>
        </w:rPr>
      </w:pPr>
      <w:r>
        <w:rPr>
          <w:rFonts w:ascii="Cambria" w:eastAsia="Cambria" w:hAnsi="Cambria" w:cs="Cambria"/>
          <w:sz w:val="20"/>
          <w:szCs w:val="20"/>
          <w:lang w:val="es-ES_tradnl"/>
        </w:rPr>
        <w:tab/>
      </w:r>
      <w:r w:rsidRPr="009B3FD8">
        <w:rPr>
          <w:rFonts w:ascii="Cambria" w:eastAsia="Cambria" w:hAnsi="Cambria" w:cs="Cambria"/>
          <w:sz w:val="20"/>
          <w:szCs w:val="20"/>
          <w:lang w:val="es-ES_tradnl"/>
        </w:rPr>
        <w:t xml:space="preserve">Aprobado por la Comisión Interamericana de Derechos Humanos a los </w:t>
      </w:r>
      <w:r>
        <w:rPr>
          <w:rFonts w:ascii="Cambria" w:eastAsia="Cambria" w:hAnsi="Cambria" w:cs="Cambria"/>
          <w:sz w:val="20"/>
          <w:szCs w:val="20"/>
          <w:lang w:val="es-ES_tradnl"/>
        </w:rPr>
        <w:t>24</w:t>
      </w:r>
      <w:r w:rsidRPr="009B3FD8">
        <w:rPr>
          <w:rFonts w:ascii="Cambria" w:eastAsia="Cambria" w:hAnsi="Cambria" w:cs="Cambria"/>
          <w:sz w:val="20"/>
          <w:szCs w:val="20"/>
          <w:lang w:val="es-ES_tradnl"/>
        </w:rPr>
        <w:t xml:space="preserve"> días del mes de </w:t>
      </w:r>
      <w:r>
        <w:rPr>
          <w:rFonts w:ascii="Cambria" w:eastAsia="Cambria" w:hAnsi="Cambria" w:cs="Cambria"/>
          <w:sz w:val="20"/>
          <w:szCs w:val="20"/>
          <w:lang w:val="es-ES_tradnl"/>
        </w:rPr>
        <w:t>abril</w:t>
      </w:r>
      <w:r w:rsidRPr="009B3FD8">
        <w:rPr>
          <w:rFonts w:ascii="Cambria" w:eastAsia="Cambria" w:hAnsi="Cambria" w:cs="Cambria"/>
          <w:sz w:val="20"/>
          <w:szCs w:val="20"/>
          <w:lang w:val="es-ES_tradnl"/>
        </w:rPr>
        <w:t xml:space="preserve"> de 2020.  (Firmado): Joel Hernández, Presidente; Antonia Urrejola, Primera Vicepresidenta; </w:t>
      </w:r>
      <w:proofErr w:type="spellStart"/>
      <w:r w:rsidRPr="009B3FD8">
        <w:rPr>
          <w:rFonts w:ascii="Cambria" w:eastAsia="Cambria" w:hAnsi="Cambria" w:cs="Cambria"/>
          <w:sz w:val="20"/>
          <w:szCs w:val="20"/>
          <w:lang w:val="es-ES_tradnl"/>
        </w:rPr>
        <w:t>Flávia</w:t>
      </w:r>
      <w:proofErr w:type="spellEnd"/>
      <w:r w:rsidRPr="009B3FD8">
        <w:rPr>
          <w:rFonts w:ascii="Cambria" w:eastAsia="Cambria" w:hAnsi="Cambria" w:cs="Cambria"/>
          <w:sz w:val="20"/>
          <w:szCs w:val="20"/>
          <w:lang w:val="es-ES_tradnl"/>
        </w:rPr>
        <w:t xml:space="preserve"> </w:t>
      </w:r>
      <w:proofErr w:type="spellStart"/>
      <w:r w:rsidRPr="009B3FD8">
        <w:rPr>
          <w:rFonts w:ascii="Cambria" w:eastAsia="Cambria" w:hAnsi="Cambria" w:cs="Cambria"/>
          <w:sz w:val="20"/>
          <w:szCs w:val="20"/>
          <w:lang w:val="es-ES_tradnl"/>
        </w:rPr>
        <w:t>Piovesan</w:t>
      </w:r>
      <w:proofErr w:type="spellEnd"/>
      <w:r w:rsidRPr="009B3FD8">
        <w:rPr>
          <w:rFonts w:ascii="Cambria" w:eastAsia="Cambria" w:hAnsi="Cambria" w:cs="Cambria"/>
          <w:sz w:val="20"/>
          <w:szCs w:val="20"/>
          <w:lang w:val="es-ES_tradnl"/>
        </w:rPr>
        <w:t xml:space="preserve">, Segunda Vicepresidenta; Esmeralda E. Arosemena Bernal de </w:t>
      </w:r>
      <w:proofErr w:type="spellStart"/>
      <w:r w:rsidRPr="009B3FD8">
        <w:rPr>
          <w:rFonts w:ascii="Cambria" w:eastAsia="Cambria" w:hAnsi="Cambria" w:cs="Cambria"/>
          <w:sz w:val="20"/>
          <w:szCs w:val="20"/>
          <w:lang w:val="es-ES_tradnl"/>
        </w:rPr>
        <w:t>Troitiño</w:t>
      </w:r>
      <w:proofErr w:type="spellEnd"/>
      <w:r w:rsidRPr="009B3FD8">
        <w:rPr>
          <w:rFonts w:ascii="Cambria" w:eastAsia="Cambria" w:hAnsi="Cambria" w:cs="Cambria"/>
          <w:sz w:val="20"/>
          <w:szCs w:val="20"/>
          <w:lang w:val="es-ES_tradnl"/>
        </w:rPr>
        <w:t xml:space="preserve">, Julissa Mantilla Falcón y </w:t>
      </w:r>
      <w:proofErr w:type="spellStart"/>
      <w:r w:rsidRPr="009B3FD8">
        <w:rPr>
          <w:rFonts w:ascii="Cambria" w:eastAsia="Cambria" w:hAnsi="Cambria" w:cs="Cambria"/>
          <w:sz w:val="20"/>
          <w:szCs w:val="20"/>
          <w:lang w:val="es-ES_tradnl"/>
        </w:rPr>
        <w:t>Stuardo</w:t>
      </w:r>
      <w:proofErr w:type="spellEnd"/>
      <w:r w:rsidRPr="009B3FD8">
        <w:rPr>
          <w:rFonts w:ascii="Cambria" w:eastAsia="Cambria" w:hAnsi="Cambria" w:cs="Cambria"/>
          <w:sz w:val="20"/>
          <w:szCs w:val="20"/>
          <w:lang w:val="es-ES_tradnl"/>
        </w:rPr>
        <w:t xml:space="preserve"> </w:t>
      </w:r>
      <w:proofErr w:type="spellStart"/>
      <w:r w:rsidRPr="009B3FD8">
        <w:rPr>
          <w:rFonts w:ascii="Cambria" w:eastAsia="Cambria" w:hAnsi="Cambria" w:cs="Cambria"/>
          <w:sz w:val="20"/>
          <w:szCs w:val="20"/>
          <w:lang w:val="es-ES_tradnl"/>
        </w:rPr>
        <w:t>Ralón</w:t>
      </w:r>
      <w:proofErr w:type="spellEnd"/>
      <w:r w:rsidRPr="009B3FD8">
        <w:rPr>
          <w:rFonts w:ascii="Cambria" w:eastAsia="Cambria" w:hAnsi="Cambria" w:cs="Cambria"/>
          <w:sz w:val="20"/>
          <w:szCs w:val="20"/>
          <w:lang w:val="es-ES_tradnl"/>
        </w:rPr>
        <w:t xml:space="preserve"> Orellana, Miembros de la Comisión.</w:t>
      </w:r>
    </w:p>
    <w:sectPr w:rsidR="009B3FD8">
      <w:type w:val="oddPag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EAA" w:rsidRDefault="006C6EAA">
      <w:r>
        <w:separator/>
      </w:r>
    </w:p>
  </w:endnote>
  <w:endnote w:type="continuationSeparator" w:id="0">
    <w:p w:rsidR="006C6EAA" w:rsidRDefault="006C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EF5" w:rsidRDefault="009E3E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722" w:rsidRDefault="009B3FD8">
    <w:pPr>
      <w:pStyle w:val="Footer"/>
      <w:jc w:val="center"/>
    </w:pPr>
    <w:r>
      <w:rPr>
        <w:sz w:val="16"/>
        <w:szCs w:val="16"/>
      </w:rPr>
      <w:fldChar w:fldCharType="begin"/>
    </w:r>
    <w:r>
      <w:rPr>
        <w:sz w:val="16"/>
        <w:szCs w:val="16"/>
      </w:rPr>
      <w:instrText xml:space="preserve"> PAGE </w:instrText>
    </w:r>
    <w:r>
      <w:rPr>
        <w:sz w:val="16"/>
        <w:szCs w:val="16"/>
      </w:rPr>
      <w:fldChar w:fldCharType="separate"/>
    </w:r>
    <w:r w:rsidR="009E3EF5">
      <w:rPr>
        <w:noProof/>
        <w:sz w:val="16"/>
        <w:szCs w:val="16"/>
      </w:rPr>
      <w:t>3</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722" w:rsidRDefault="00B0072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EAA" w:rsidRDefault="006C6EAA">
      <w:r>
        <w:separator/>
      </w:r>
    </w:p>
  </w:footnote>
  <w:footnote w:type="continuationSeparator" w:id="0">
    <w:p w:rsidR="006C6EAA" w:rsidRDefault="006C6EAA">
      <w:r>
        <w:continuationSeparator/>
      </w:r>
    </w:p>
  </w:footnote>
  <w:footnote w:type="continuationNotice" w:id="1">
    <w:p w:rsidR="006C6EAA" w:rsidRDefault="006C6EAA"/>
  </w:footnote>
  <w:footnote w:id="2">
    <w:p w:rsidR="00D059BC" w:rsidRPr="00D059BC" w:rsidRDefault="00D059BC">
      <w:pPr>
        <w:pStyle w:val="FootnoteText"/>
        <w:rPr>
          <w:lang w:val="es-419"/>
        </w:rPr>
      </w:pPr>
      <w:r>
        <w:tab/>
      </w:r>
      <w:r>
        <w:rPr>
          <w:rStyle w:val="FootnoteReference"/>
        </w:rPr>
        <w:footnoteRef/>
      </w:r>
      <w:r w:rsidRPr="00D059BC">
        <w:rPr>
          <w:rFonts w:ascii="Cambria" w:hAnsi="Cambria"/>
          <w:color w:val="auto"/>
          <w:sz w:val="16"/>
          <w:szCs w:val="16"/>
          <w:lang w:val="es-ES"/>
        </w:rPr>
        <w:t xml:space="preserve"> </w:t>
      </w:r>
      <w:r w:rsidRPr="00E54B56">
        <w:rPr>
          <w:rFonts w:ascii="Cambria" w:hAnsi="Cambria"/>
          <w:color w:val="auto"/>
          <w:sz w:val="16"/>
          <w:szCs w:val="16"/>
          <w:lang w:val="es-ES"/>
        </w:rPr>
        <w:t>Conforme a lo dispuesto en el artículo 17.2.a del Reglament</w:t>
      </w:r>
      <w:r>
        <w:rPr>
          <w:rFonts w:ascii="Cambria" w:hAnsi="Cambria"/>
          <w:color w:val="auto"/>
          <w:sz w:val="16"/>
          <w:szCs w:val="16"/>
          <w:lang w:val="es-ES"/>
        </w:rPr>
        <w:t>o de la Comisión, la Comisionada</w:t>
      </w:r>
      <w:r w:rsidRPr="00E54B56">
        <w:rPr>
          <w:rFonts w:ascii="Cambria" w:hAnsi="Cambria"/>
          <w:color w:val="auto"/>
          <w:sz w:val="16"/>
          <w:szCs w:val="16"/>
          <w:lang w:val="es-ES"/>
        </w:rPr>
        <w:t xml:space="preserve"> </w:t>
      </w:r>
      <w:r w:rsidRPr="00D059BC">
        <w:rPr>
          <w:rFonts w:ascii="Cambria" w:hAnsi="Cambria"/>
          <w:sz w:val="16"/>
          <w:szCs w:val="16"/>
          <w:lang w:val="es-419"/>
        </w:rPr>
        <w:t>Margarette May Macaulay</w:t>
      </w:r>
      <w:r w:rsidRPr="00E54B56">
        <w:rPr>
          <w:rFonts w:ascii="Cambria" w:hAnsi="Cambria"/>
          <w:color w:val="auto"/>
          <w:sz w:val="16"/>
          <w:szCs w:val="16"/>
          <w:lang w:val="es-ES"/>
        </w:rPr>
        <w:t xml:space="preserve">, de nacionalidad </w:t>
      </w:r>
      <w:r>
        <w:rPr>
          <w:rFonts w:ascii="Cambria" w:hAnsi="Cambria"/>
          <w:color w:val="auto"/>
          <w:sz w:val="16"/>
          <w:szCs w:val="16"/>
          <w:lang w:val="es-ES"/>
        </w:rPr>
        <w:t>jamai</w:t>
      </w:r>
      <w:r w:rsidRPr="00E54B56">
        <w:rPr>
          <w:rFonts w:ascii="Cambria" w:hAnsi="Cambria"/>
          <w:color w:val="auto"/>
          <w:sz w:val="16"/>
          <w:szCs w:val="16"/>
          <w:lang w:val="es-ES"/>
        </w:rPr>
        <w:t>cana, no participó en el debate ni en la decisión del presente asunto.</w:t>
      </w:r>
      <w:r w:rsidRPr="00D059BC">
        <w:rPr>
          <w:lang w:val="es-419"/>
        </w:rPr>
        <w:t xml:space="preserve"> </w:t>
      </w:r>
    </w:p>
  </w:footnote>
  <w:footnote w:id="3">
    <w:p w:rsidR="00B00722" w:rsidRPr="009B3FD8" w:rsidRDefault="009B3FD8">
      <w:pPr>
        <w:pStyle w:val="FootnoteText"/>
        <w:ind w:firstLine="709"/>
        <w:jc w:val="both"/>
        <w:rPr>
          <w:lang w:val="es-419"/>
        </w:rPr>
      </w:pPr>
      <w:r w:rsidRPr="009B3FD8">
        <w:rPr>
          <w:rFonts w:ascii="Cambria" w:eastAsia="Cambria" w:hAnsi="Cambria" w:cs="Cambria"/>
          <w:bCs/>
          <w:vertAlign w:val="superscript"/>
          <w:lang w:val="es-ES_tradnl"/>
        </w:rPr>
        <w:footnoteRef/>
      </w:r>
      <w:r>
        <w:rPr>
          <w:rFonts w:ascii="Cambria" w:eastAsia="Cambria" w:hAnsi="Cambria" w:cs="Cambria"/>
          <w:sz w:val="16"/>
          <w:szCs w:val="16"/>
          <w:lang w:val="es-ES_tradnl"/>
        </w:rPr>
        <w:t xml:space="preserve"> 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EF5" w:rsidRDefault="009E3E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722" w:rsidRDefault="009B3FD8">
    <w:pPr>
      <w:pStyle w:val="Header"/>
      <w:tabs>
        <w:tab w:val="clear" w:pos="4320"/>
        <w:tab w:val="clear" w:pos="8640"/>
      </w:tabs>
      <w:jc w:val="center"/>
      <w:rPr>
        <w:sz w:val="22"/>
        <w:szCs w:val="22"/>
      </w:rPr>
    </w:pPr>
    <w:r>
      <w:rPr>
        <w:noProof/>
        <w:sz w:val="22"/>
        <w:szCs w:val="22"/>
      </w:rPr>
      <w:drawing>
        <wp:inline distT="0" distB="0" distL="0" distR="0">
          <wp:extent cx="1972237" cy="104775"/>
          <wp:effectExtent l="0" t="0" r="0" b="0"/>
          <wp:docPr id="1073741825" name="officeArt object" descr="C:\Users\mfontana\Documents\Eva Fontana\GRAFICA CIDH\cartas\logos\cidh-peq.jpg"/>
          <wp:cNvGraphicFramePr/>
          <a:graphic xmlns:a="http://schemas.openxmlformats.org/drawingml/2006/main">
            <a:graphicData uri="http://schemas.openxmlformats.org/drawingml/2006/picture">
              <pic:pic xmlns:pic="http://schemas.openxmlformats.org/drawingml/2006/picture">
                <pic:nvPicPr>
                  <pic:cNvPr id="1073741825" name="image1.jpeg" descr="C:\Users\mfontana\Documents\Eva Fontana\GRAFICA CIDH\cartas\logos\cidh-peq.jpg"/>
                  <pic:cNvPicPr>
                    <a:picLocks noChangeAspect="1"/>
                  </pic:cNvPicPr>
                </pic:nvPicPr>
                <pic:blipFill>
                  <a:blip r:embed="rId1">
                    <a:extLst/>
                  </a:blip>
                  <a:stretch>
                    <a:fillRect/>
                  </a:stretch>
                </pic:blipFill>
                <pic:spPr>
                  <a:xfrm>
                    <a:off x="0" y="0"/>
                    <a:ext cx="1972237" cy="104775"/>
                  </a:xfrm>
                  <a:prstGeom prst="rect">
                    <a:avLst/>
                  </a:prstGeom>
                  <a:ln w="12700" cap="flat">
                    <a:noFill/>
                    <a:miter lim="400000"/>
                  </a:ln>
                  <a:effectLst/>
                </pic:spPr>
              </pic:pic>
            </a:graphicData>
          </a:graphic>
        </wp:inline>
      </w:drawing>
    </w:r>
  </w:p>
  <w:p w:rsidR="00B00722" w:rsidRDefault="009B3FD8">
    <w:pPr>
      <w:pStyle w:val="Header"/>
      <w:tabs>
        <w:tab w:val="clear" w:pos="4320"/>
        <w:tab w:val="clear" w:pos="8640"/>
      </w:tabs>
      <w:jc w:val="center"/>
    </w:pPr>
    <w:r>
      <w:rPr>
        <w:noProof/>
        <w:sz w:val="22"/>
        <w:szCs w:val="22"/>
      </w:rPr>
      <mc:AlternateContent>
        <mc:Choice Requires="wps">
          <w:drawing>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e="http://schemas.microsoft.com/office/word/2015/wordml/symex" xmlns:cx1="http://schemas.microsoft.com/office/drawing/2015/9/8/chartex" xmlns:cx="http://schemas.microsoft.com/office/drawing/2014/chartex">
          <w:pict>
            <v:rect id="_x0000_s1034"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722" w:rsidRDefault="00B0072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5DE1"/>
    <w:multiLevelType w:val="hybridMultilevel"/>
    <w:tmpl w:val="93A21B00"/>
    <w:lvl w:ilvl="0" w:tplc="3D1E16C0">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2C46610">
      <w:start w:val="1"/>
      <w:numFmt w:val="lowerLetter"/>
      <w:lvlText w:val="%2."/>
      <w:lvlJc w:val="left"/>
      <w:pPr>
        <w:tabs>
          <w:tab w:val="left" w:pos="720"/>
          <w:tab w:val="left" w:pos="1440"/>
          <w:tab w:val="num" w:pos="2160"/>
        </w:tabs>
        <w:ind w:left="14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28EF89A">
      <w:start w:val="1"/>
      <w:numFmt w:val="lowerRoman"/>
      <w:lvlText w:val="%3."/>
      <w:lvlJc w:val="left"/>
      <w:pPr>
        <w:tabs>
          <w:tab w:val="left" w:pos="720"/>
          <w:tab w:val="left" w:pos="1440"/>
          <w:tab w:val="num" w:pos="2880"/>
        </w:tabs>
        <w:ind w:left="21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9888EE">
      <w:start w:val="1"/>
      <w:numFmt w:val="decimal"/>
      <w:lvlText w:val="%4."/>
      <w:lvlJc w:val="left"/>
      <w:pPr>
        <w:tabs>
          <w:tab w:val="left" w:pos="720"/>
          <w:tab w:val="left" w:pos="1440"/>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994526C">
      <w:start w:val="1"/>
      <w:numFmt w:val="lowerLetter"/>
      <w:lvlText w:val="%5."/>
      <w:lvlJc w:val="left"/>
      <w:pPr>
        <w:tabs>
          <w:tab w:val="left" w:pos="720"/>
          <w:tab w:val="left" w:pos="1440"/>
          <w:tab w:val="num" w:pos="4320"/>
        </w:tabs>
        <w:ind w:left="360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17A0A2A">
      <w:start w:val="1"/>
      <w:numFmt w:val="lowerRoman"/>
      <w:lvlText w:val="%6."/>
      <w:lvlJc w:val="left"/>
      <w:pPr>
        <w:tabs>
          <w:tab w:val="left" w:pos="720"/>
          <w:tab w:val="left" w:pos="1440"/>
          <w:tab w:val="num" w:pos="5040"/>
        </w:tabs>
        <w:ind w:left="432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F3883E2">
      <w:start w:val="1"/>
      <w:numFmt w:val="decimal"/>
      <w:lvlText w:val="%7."/>
      <w:lvlJc w:val="left"/>
      <w:pPr>
        <w:tabs>
          <w:tab w:val="left" w:pos="720"/>
          <w:tab w:val="left" w:pos="1440"/>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D1ACE68">
      <w:start w:val="1"/>
      <w:numFmt w:val="lowerLetter"/>
      <w:lvlText w:val="%8."/>
      <w:lvlJc w:val="left"/>
      <w:pPr>
        <w:tabs>
          <w:tab w:val="left" w:pos="720"/>
          <w:tab w:val="left" w:pos="1440"/>
          <w:tab w:val="num" w:pos="6480"/>
        </w:tabs>
        <w:ind w:left="57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26017D8">
      <w:start w:val="1"/>
      <w:numFmt w:val="lowerRoman"/>
      <w:lvlText w:val="%9."/>
      <w:lvlJc w:val="left"/>
      <w:pPr>
        <w:tabs>
          <w:tab w:val="left" w:pos="720"/>
          <w:tab w:val="left" w:pos="1440"/>
          <w:tab w:val="num" w:pos="7200"/>
        </w:tabs>
        <w:ind w:left="648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7C926A3"/>
    <w:multiLevelType w:val="hybridMultilevel"/>
    <w:tmpl w:val="D07E24C2"/>
    <w:styleLink w:val="ImportedStyle2"/>
    <w:lvl w:ilvl="0" w:tplc="99B8D6F0">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1AA1AE0">
      <w:start w:val="1"/>
      <w:numFmt w:val="lowerLetter"/>
      <w:lvlText w:val="%2."/>
      <w:lvlJc w:val="left"/>
      <w:pPr>
        <w:tabs>
          <w:tab w:val="left" w:pos="720"/>
          <w:tab w:val="left" w:pos="1440"/>
          <w:tab w:val="num" w:pos="2160"/>
        </w:tabs>
        <w:ind w:left="14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9B6D316">
      <w:start w:val="1"/>
      <w:numFmt w:val="lowerRoman"/>
      <w:lvlText w:val="%3."/>
      <w:lvlJc w:val="left"/>
      <w:pPr>
        <w:tabs>
          <w:tab w:val="left" w:pos="720"/>
          <w:tab w:val="left" w:pos="1440"/>
          <w:tab w:val="num" w:pos="2880"/>
        </w:tabs>
        <w:ind w:left="21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19A3070">
      <w:start w:val="1"/>
      <w:numFmt w:val="decimal"/>
      <w:lvlText w:val="%4."/>
      <w:lvlJc w:val="left"/>
      <w:pPr>
        <w:tabs>
          <w:tab w:val="left" w:pos="720"/>
          <w:tab w:val="left" w:pos="1440"/>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300BBCC">
      <w:start w:val="1"/>
      <w:numFmt w:val="lowerLetter"/>
      <w:lvlText w:val="%5."/>
      <w:lvlJc w:val="left"/>
      <w:pPr>
        <w:tabs>
          <w:tab w:val="left" w:pos="720"/>
          <w:tab w:val="left" w:pos="1440"/>
          <w:tab w:val="num" w:pos="4320"/>
        </w:tabs>
        <w:ind w:left="360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D47C08">
      <w:start w:val="1"/>
      <w:numFmt w:val="lowerRoman"/>
      <w:lvlText w:val="%6."/>
      <w:lvlJc w:val="left"/>
      <w:pPr>
        <w:tabs>
          <w:tab w:val="left" w:pos="720"/>
          <w:tab w:val="left" w:pos="1440"/>
          <w:tab w:val="num" w:pos="5040"/>
        </w:tabs>
        <w:ind w:left="432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42292A6">
      <w:start w:val="1"/>
      <w:numFmt w:val="decimal"/>
      <w:lvlText w:val="%7."/>
      <w:lvlJc w:val="left"/>
      <w:pPr>
        <w:tabs>
          <w:tab w:val="left" w:pos="720"/>
          <w:tab w:val="left" w:pos="1440"/>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9627088">
      <w:start w:val="1"/>
      <w:numFmt w:val="lowerLetter"/>
      <w:lvlText w:val="%8."/>
      <w:lvlJc w:val="left"/>
      <w:pPr>
        <w:tabs>
          <w:tab w:val="left" w:pos="720"/>
          <w:tab w:val="left" w:pos="1440"/>
          <w:tab w:val="num" w:pos="6480"/>
        </w:tabs>
        <w:ind w:left="57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B3A490A">
      <w:start w:val="1"/>
      <w:numFmt w:val="lowerRoman"/>
      <w:lvlText w:val="%9."/>
      <w:lvlJc w:val="left"/>
      <w:pPr>
        <w:tabs>
          <w:tab w:val="left" w:pos="720"/>
          <w:tab w:val="left" w:pos="1440"/>
          <w:tab w:val="num" w:pos="7200"/>
        </w:tabs>
        <w:ind w:left="648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3A4D6C6B"/>
    <w:multiLevelType w:val="hybridMultilevel"/>
    <w:tmpl w:val="BDA8811E"/>
    <w:numStyleLink w:val="ImportedStyle3"/>
  </w:abstractNum>
  <w:abstractNum w:abstractNumId="3" w15:restartNumberingAfterBreak="0">
    <w:nsid w:val="536A48EF"/>
    <w:multiLevelType w:val="hybridMultilevel"/>
    <w:tmpl w:val="D07E24C2"/>
    <w:numStyleLink w:val="ImportedStyle2"/>
  </w:abstractNum>
  <w:abstractNum w:abstractNumId="4" w15:restartNumberingAfterBreak="0">
    <w:nsid w:val="67FF7067"/>
    <w:multiLevelType w:val="hybridMultilevel"/>
    <w:tmpl w:val="BDA8811E"/>
    <w:styleLink w:val="ImportedStyle3"/>
    <w:lvl w:ilvl="0" w:tplc="E1F63124">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4F84448">
      <w:start w:val="1"/>
      <w:numFmt w:val="lowerLetter"/>
      <w:lvlText w:val="%2."/>
      <w:lvlJc w:val="left"/>
      <w:pPr>
        <w:tabs>
          <w:tab w:val="left" w:pos="720"/>
          <w:tab w:val="left" w:pos="1440"/>
          <w:tab w:val="num" w:pos="2160"/>
        </w:tabs>
        <w:ind w:left="14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7ECD5B4">
      <w:start w:val="1"/>
      <w:numFmt w:val="lowerRoman"/>
      <w:lvlText w:val="%3."/>
      <w:lvlJc w:val="left"/>
      <w:pPr>
        <w:tabs>
          <w:tab w:val="left" w:pos="720"/>
          <w:tab w:val="left" w:pos="1440"/>
          <w:tab w:val="num" w:pos="2880"/>
        </w:tabs>
        <w:ind w:left="21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8D6FBF0">
      <w:start w:val="1"/>
      <w:numFmt w:val="decimal"/>
      <w:lvlText w:val="%4."/>
      <w:lvlJc w:val="left"/>
      <w:pPr>
        <w:tabs>
          <w:tab w:val="left" w:pos="720"/>
          <w:tab w:val="left" w:pos="1440"/>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90E924A">
      <w:start w:val="1"/>
      <w:numFmt w:val="lowerLetter"/>
      <w:lvlText w:val="%5."/>
      <w:lvlJc w:val="left"/>
      <w:pPr>
        <w:tabs>
          <w:tab w:val="left" w:pos="720"/>
          <w:tab w:val="left" w:pos="1440"/>
          <w:tab w:val="num" w:pos="4320"/>
        </w:tabs>
        <w:ind w:left="360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044F7E">
      <w:start w:val="1"/>
      <w:numFmt w:val="lowerRoman"/>
      <w:lvlText w:val="%6."/>
      <w:lvlJc w:val="left"/>
      <w:pPr>
        <w:tabs>
          <w:tab w:val="left" w:pos="720"/>
          <w:tab w:val="left" w:pos="1440"/>
          <w:tab w:val="num" w:pos="5040"/>
        </w:tabs>
        <w:ind w:left="432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7CCE99E">
      <w:start w:val="1"/>
      <w:numFmt w:val="decimal"/>
      <w:lvlText w:val="%7."/>
      <w:lvlJc w:val="left"/>
      <w:pPr>
        <w:tabs>
          <w:tab w:val="left" w:pos="720"/>
          <w:tab w:val="left" w:pos="1440"/>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22CCD72">
      <w:start w:val="1"/>
      <w:numFmt w:val="lowerLetter"/>
      <w:lvlText w:val="%8."/>
      <w:lvlJc w:val="left"/>
      <w:pPr>
        <w:tabs>
          <w:tab w:val="left" w:pos="720"/>
          <w:tab w:val="left" w:pos="1440"/>
          <w:tab w:val="num" w:pos="6480"/>
        </w:tabs>
        <w:ind w:left="57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9B25B2E">
      <w:start w:val="1"/>
      <w:numFmt w:val="lowerRoman"/>
      <w:lvlText w:val="%9."/>
      <w:lvlJc w:val="left"/>
      <w:pPr>
        <w:tabs>
          <w:tab w:val="left" w:pos="720"/>
          <w:tab w:val="left" w:pos="1440"/>
          <w:tab w:val="num" w:pos="7200"/>
        </w:tabs>
        <w:ind w:left="648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autoHyphenation/>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22"/>
    <w:rsid w:val="006C6EAA"/>
    <w:rsid w:val="009B3FD8"/>
    <w:rsid w:val="009C706F"/>
    <w:rsid w:val="009E3EF5"/>
    <w:rsid w:val="00AF43DC"/>
    <w:rsid w:val="00B00722"/>
    <w:rsid w:val="00B81890"/>
    <w:rsid w:val="00D059BC"/>
    <w:rsid w:val="00FF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pPr>
    <w:rPr>
      <w:rFonts w:ascii="Arial" w:hAnsi="Arial" w:cs="Arial Unicode MS"/>
      <w:color w:val="000000"/>
      <w:sz w:val="24"/>
      <w:szCs w:val="24"/>
      <w:u w:color="000000"/>
    </w:rPr>
  </w:style>
  <w:style w:type="paragraph" w:styleId="Footer">
    <w:name w:val="footer"/>
    <w:pPr>
      <w:tabs>
        <w:tab w:val="center" w:pos="4513"/>
        <w:tab w:val="right" w:pos="9026"/>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paragraph" w:styleId="FootnoteText">
    <w:name w:val="footnote text"/>
    <w:rPr>
      <w:rFonts w:ascii="Calibri" w:eastAsia="Calibri" w:hAnsi="Calibri" w:cs="Calibri"/>
      <w:color w:val="000000"/>
      <w:u w:color="000000"/>
    </w:rPr>
  </w:style>
  <w:style w:type="numbering" w:customStyle="1" w:styleId="ImportedStyle2">
    <w:name w:val="Imported Style 2"/>
    <w:pPr>
      <w:numPr>
        <w:numId w:val="1"/>
      </w:numPr>
    </w:p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3">
    <w:name w:val="Imported Style 3"/>
    <w:pPr>
      <w:numPr>
        <w:numId w:val="3"/>
      </w:numPr>
    </w:pPr>
  </w:style>
  <w:style w:type="character" w:styleId="FootnoteReference">
    <w:name w:val="footnote reference"/>
    <w:basedOn w:val="DefaultParagraphFont"/>
    <w:uiPriority w:val="99"/>
    <w:semiHidden/>
    <w:unhideWhenUsed/>
    <w:rsid w:val="00D059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1997</Words>
  <Characters>11388</Characters>
  <Application>Microsoft Office Word</Application>
  <DocSecurity>0</DocSecurity>
  <Lines>94</Lines>
  <Paragraphs>26</Paragraphs>
  <ScaleCrop>false</ScaleCrop>
  <Company/>
  <LinksUpToDate>false</LinksUpToDate>
  <CharactersWithSpaces>13359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124/20</dc:title>
  <cp:lastModifiedBy/>
  <cp:revision>1</cp:revision>
  <dcterms:created xsi:type="dcterms:W3CDTF">2020-07-10T14:34:00Z</dcterms:created>
  <dcterms:modified xsi:type="dcterms:W3CDTF">2020-07-10T14:34:00Z</dcterms:modified>
</cp:coreProperties>
</file>