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1CA29"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98651E6" wp14:editId="1100DC4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1B5907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90FE6C3" wp14:editId="2214A5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0FDB" w14:textId="77777777" w:rsidR="0099258D" w:rsidRDefault="0099258D" w:rsidP="00AE5488">
                            <w:r>
                              <w:rPr>
                                <w:noProof/>
                              </w:rPr>
                              <w:drawing>
                                <wp:inline distT="0" distB="0" distL="0" distR="0" wp14:anchorId="17285CD9" wp14:editId="027EA2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0FE6C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D840FDB" w14:textId="77777777" w:rsidR="0099258D" w:rsidRDefault="0099258D" w:rsidP="00AE5488">
                      <w:r>
                        <w:rPr>
                          <w:noProof/>
                        </w:rPr>
                        <w:drawing>
                          <wp:inline distT="0" distB="0" distL="0" distR="0" wp14:anchorId="17285CD9" wp14:editId="027EA2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2A545C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9720C8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75763D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E9E4D4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0787A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EB795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D99F0F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55BF0E9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D9EF02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56EC37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4E26F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38BCB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5ABEE01"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D1FDC7B" wp14:editId="1A5A0E6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D02E" w14:textId="18CFDDE1"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E7753">
                              <w:rPr>
                                <w:rFonts w:asciiTheme="majorHAnsi" w:hAnsiTheme="majorHAnsi" w:cs="Arial"/>
                                <w:b/>
                                <w:bCs/>
                                <w:color w:val="0D0D0D" w:themeColor="text1" w:themeTint="F2"/>
                                <w:sz w:val="36"/>
                                <w:szCs w:val="22"/>
                                <w:lang w:val="es-ES_tradnl"/>
                              </w:rPr>
                              <w:t xml:space="preserve"> </w:t>
                            </w:r>
                            <w:r w:rsidR="00BD0293">
                              <w:rPr>
                                <w:rFonts w:asciiTheme="majorHAnsi" w:hAnsiTheme="majorHAnsi" w:cs="Arial"/>
                                <w:b/>
                                <w:bCs/>
                                <w:color w:val="0D0D0D" w:themeColor="text1" w:themeTint="F2"/>
                                <w:sz w:val="36"/>
                                <w:szCs w:val="22"/>
                                <w:lang w:val="es-ES_tradnl"/>
                              </w:rPr>
                              <w:t>96</w:t>
                            </w:r>
                            <w:r w:rsidR="002E7753">
                              <w:rPr>
                                <w:rFonts w:asciiTheme="majorHAnsi" w:hAnsiTheme="majorHAnsi" w:cs="Arial"/>
                                <w:b/>
                                <w:bCs/>
                                <w:color w:val="0D0D0D" w:themeColor="text1" w:themeTint="F2"/>
                                <w:sz w:val="36"/>
                                <w:szCs w:val="22"/>
                                <w:lang w:val="es-ES_tradnl"/>
                              </w:rPr>
                              <w:t>/20</w:t>
                            </w:r>
                          </w:p>
                          <w:p w14:paraId="370F1FB8" w14:textId="1B734F8C"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3317D">
                              <w:rPr>
                                <w:rFonts w:asciiTheme="majorHAnsi" w:hAnsiTheme="majorHAnsi" w:cs="Arial"/>
                                <w:b/>
                                <w:color w:val="0D0D0D" w:themeColor="text1" w:themeTint="F2"/>
                                <w:sz w:val="36"/>
                                <w:szCs w:val="22"/>
                                <w:lang w:val="es-ES_tradnl"/>
                              </w:rPr>
                              <w:t>1030-10</w:t>
                            </w:r>
                          </w:p>
                          <w:p w14:paraId="5A40B9B9"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0021E3EC"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p w14:paraId="2F3195EC" w14:textId="6054C8E5" w:rsidR="0099258D" w:rsidRPr="0010736F" w:rsidRDefault="00B331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SHAUN DUNCAN</w:t>
                            </w:r>
                          </w:p>
                          <w:bookmarkEnd w:id="1"/>
                          <w:p w14:paraId="1C5159A0" w14:textId="59C81453" w:rsidR="0099258D" w:rsidRPr="0010736F" w:rsidRDefault="00B331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JAMAICA</w:t>
                            </w:r>
                          </w:p>
                          <w:p w14:paraId="77E81DA6"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1FDC7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10D02E" w14:textId="18CFDDE1"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E7753">
                        <w:rPr>
                          <w:rFonts w:asciiTheme="majorHAnsi" w:hAnsiTheme="majorHAnsi" w:cs="Arial"/>
                          <w:b/>
                          <w:bCs/>
                          <w:color w:val="0D0D0D" w:themeColor="text1" w:themeTint="F2"/>
                          <w:sz w:val="36"/>
                          <w:szCs w:val="22"/>
                          <w:lang w:val="es-ES_tradnl"/>
                        </w:rPr>
                        <w:t xml:space="preserve"> </w:t>
                      </w:r>
                      <w:r w:rsidR="00BD0293">
                        <w:rPr>
                          <w:rFonts w:asciiTheme="majorHAnsi" w:hAnsiTheme="majorHAnsi" w:cs="Arial"/>
                          <w:b/>
                          <w:bCs/>
                          <w:color w:val="0D0D0D" w:themeColor="text1" w:themeTint="F2"/>
                          <w:sz w:val="36"/>
                          <w:szCs w:val="22"/>
                          <w:lang w:val="es-ES_tradnl"/>
                        </w:rPr>
                        <w:t>96</w:t>
                      </w:r>
                      <w:r w:rsidR="002E7753">
                        <w:rPr>
                          <w:rFonts w:asciiTheme="majorHAnsi" w:hAnsiTheme="majorHAnsi" w:cs="Arial"/>
                          <w:b/>
                          <w:bCs/>
                          <w:color w:val="0D0D0D" w:themeColor="text1" w:themeTint="F2"/>
                          <w:sz w:val="36"/>
                          <w:szCs w:val="22"/>
                          <w:lang w:val="es-ES_tradnl"/>
                        </w:rPr>
                        <w:t>/20</w:t>
                      </w:r>
                    </w:p>
                    <w:p w14:paraId="370F1FB8" w14:textId="1B734F8C"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3317D">
                        <w:rPr>
                          <w:rFonts w:asciiTheme="majorHAnsi" w:hAnsiTheme="majorHAnsi" w:cs="Arial"/>
                          <w:b/>
                          <w:color w:val="0D0D0D" w:themeColor="text1" w:themeTint="F2"/>
                          <w:sz w:val="36"/>
                          <w:szCs w:val="22"/>
                          <w:lang w:val="es-ES_tradnl"/>
                        </w:rPr>
                        <w:t>1030-10</w:t>
                      </w:r>
                    </w:p>
                    <w:p w14:paraId="5A40B9B9"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0021E3EC"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p w14:paraId="2F3195EC" w14:textId="6054C8E5" w:rsidR="0099258D" w:rsidRPr="0010736F" w:rsidRDefault="00B331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SHAUN DUNCAN</w:t>
                      </w:r>
                    </w:p>
                    <w:bookmarkEnd w:id="1"/>
                    <w:p w14:paraId="1C5159A0" w14:textId="59C81453" w:rsidR="0099258D" w:rsidRPr="0010736F" w:rsidRDefault="00B331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JAMAICA</w:t>
                      </w:r>
                    </w:p>
                    <w:p w14:paraId="77E81DA6"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E6AC2F" wp14:editId="2B682DB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B9C65" w14:textId="32A6EBEB" w:rsidR="0099258D" w:rsidRPr="004E2649" w:rsidRDefault="00BD029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34B91AD" w14:textId="1BFEDD29" w:rsidR="0099258D" w:rsidRPr="004E2649" w:rsidRDefault="00BD029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106</w:t>
                            </w:r>
                          </w:p>
                          <w:p w14:paraId="35208286" w14:textId="6DC0FD09" w:rsidR="0099258D" w:rsidRPr="007160BD" w:rsidRDefault="00BD029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26 febrero</w:t>
                            </w:r>
                            <w:r w:rsidR="002E7753">
                              <w:rPr>
                                <w:rFonts w:asciiTheme="minorHAnsi" w:hAnsiTheme="minorHAnsi"/>
                                <w:color w:val="FFFFFF" w:themeColor="background1"/>
                                <w:sz w:val="22"/>
                                <w:lang w:val="es-US"/>
                              </w:rPr>
                              <w:t xml:space="preserve"> 2020</w:t>
                            </w:r>
                          </w:p>
                          <w:p w14:paraId="3B3C1F14" w14:textId="04669E28"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Original</w:t>
                            </w:r>
                            <w:r w:rsidR="00B3317D">
                              <w:rPr>
                                <w:rFonts w:asciiTheme="minorHAnsi" w:hAnsiTheme="minorHAnsi"/>
                                <w:color w:val="FFFFFF" w:themeColor="background1"/>
                                <w:sz w:val="22"/>
                                <w:lang w:val="es-US"/>
                              </w:rPr>
                              <w:t>: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E6AC2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91B9C65" w14:textId="32A6EBEB" w:rsidR="0099258D" w:rsidRPr="004E2649" w:rsidRDefault="00BD029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34B91AD" w14:textId="1BFEDD29" w:rsidR="0099258D" w:rsidRPr="004E2649" w:rsidRDefault="00BD029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106</w:t>
                      </w:r>
                    </w:p>
                    <w:p w14:paraId="35208286" w14:textId="6DC0FD09" w:rsidR="0099258D" w:rsidRPr="007160BD" w:rsidRDefault="00BD029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26 febrero</w:t>
                      </w:r>
                      <w:r w:rsidR="002E7753">
                        <w:rPr>
                          <w:rFonts w:asciiTheme="minorHAnsi" w:hAnsiTheme="minorHAnsi"/>
                          <w:color w:val="FFFFFF" w:themeColor="background1"/>
                          <w:sz w:val="22"/>
                          <w:lang w:val="es-US"/>
                        </w:rPr>
                        <w:t xml:space="preserve"> 2020</w:t>
                      </w:r>
                    </w:p>
                    <w:p w14:paraId="3B3C1F14" w14:textId="04669E28"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Original</w:t>
                      </w:r>
                      <w:r w:rsidR="00B3317D">
                        <w:rPr>
                          <w:rFonts w:asciiTheme="minorHAnsi" w:hAnsiTheme="minorHAnsi"/>
                          <w:color w:val="FFFFFF" w:themeColor="background1"/>
                          <w:sz w:val="22"/>
                          <w:lang w:val="es-US"/>
                        </w:rPr>
                        <w:t>: inglés</w:t>
                      </w:r>
                    </w:p>
                  </w:txbxContent>
                </v:textbox>
              </v:shape>
            </w:pict>
          </mc:Fallback>
        </mc:AlternateContent>
      </w:r>
    </w:p>
    <w:p w14:paraId="4FD661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56DF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B71A8A"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C81D1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4F5C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AE49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4377F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5E46B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CC1B1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394E0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732D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4A1672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EFE95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C150F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4BC6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1A8E7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D76E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C746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F4E67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3B58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BD04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5328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455B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E025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1C26D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0A67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24691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DF442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45A47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6AF7B02" wp14:editId="250EE34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174A7" w14:textId="524FDD43"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BD0293">
                              <w:rPr>
                                <w:rFonts w:asciiTheme="majorHAnsi" w:hAnsiTheme="majorHAnsi"/>
                                <w:color w:val="0D0D0D" w:themeColor="text1" w:themeTint="F2"/>
                                <w:sz w:val="18"/>
                                <w:szCs w:val="22"/>
                                <w:lang w:val="es-ES"/>
                              </w:rPr>
                              <w:t xml:space="preserve"> por la Comisión el 26</w:t>
                            </w:r>
                            <w:r w:rsidRPr="00890650">
                              <w:rPr>
                                <w:rFonts w:asciiTheme="majorHAnsi" w:hAnsiTheme="majorHAnsi"/>
                                <w:color w:val="0D0D0D" w:themeColor="text1" w:themeTint="F2"/>
                                <w:sz w:val="18"/>
                                <w:szCs w:val="22"/>
                                <w:lang w:val="es-ES"/>
                              </w:rPr>
                              <w:t xml:space="preserve"> de </w:t>
                            </w:r>
                            <w:r w:rsidR="00BD0293">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2E7753">
                              <w:rPr>
                                <w:rFonts w:asciiTheme="majorHAnsi" w:hAnsiTheme="majorHAnsi"/>
                                <w:color w:val="0D0D0D" w:themeColor="text1" w:themeTint="F2"/>
                                <w:sz w:val="18"/>
                                <w:szCs w:val="22"/>
                                <w:lang w:val="es-ES"/>
                              </w:rPr>
                              <w:t>de 2020</w:t>
                            </w:r>
                            <w:r w:rsidR="00BE2A3E">
                              <w:rPr>
                                <w:rFonts w:asciiTheme="majorHAnsi" w:hAnsiTheme="majorHAnsi"/>
                                <w:color w:val="0D0D0D" w:themeColor="text1" w:themeTint="F2"/>
                                <w:sz w:val="18"/>
                                <w:szCs w:val="22"/>
                                <w:lang w:val="es-ES"/>
                              </w:rPr>
                              <w:t>.</w:t>
                            </w:r>
                          </w:p>
                          <w:p w14:paraId="38B4E5C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0EE035ED"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7B0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01174A7" w14:textId="524FDD43"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BD0293">
                        <w:rPr>
                          <w:rFonts w:asciiTheme="majorHAnsi" w:hAnsiTheme="majorHAnsi"/>
                          <w:color w:val="0D0D0D" w:themeColor="text1" w:themeTint="F2"/>
                          <w:sz w:val="18"/>
                          <w:szCs w:val="22"/>
                          <w:lang w:val="es-ES"/>
                        </w:rPr>
                        <w:t xml:space="preserve"> por la Comisión el 26</w:t>
                      </w:r>
                      <w:r w:rsidRPr="00890650">
                        <w:rPr>
                          <w:rFonts w:asciiTheme="majorHAnsi" w:hAnsiTheme="majorHAnsi"/>
                          <w:color w:val="0D0D0D" w:themeColor="text1" w:themeTint="F2"/>
                          <w:sz w:val="18"/>
                          <w:szCs w:val="22"/>
                          <w:lang w:val="es-ES"/>
                        </w:rPr>
                        <w:t xml:space="preserve"> de </w:t>
                      </w:r>
                      <w:r w:rsidR="00BD0293">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2E7753">
                        <w:rPr>
                          <w:rFonts w:asciiTheme="majorHAnsi" w:hAnsiTheme="majorHAnsi"/>
                          <w:color w:val="0D0D0D" w:themeColor="text1" w:themeTint="F2"/>
                          <w:sz w:val="18"/>
                          <w:szCs w:val="22"/>
                          <w:lang w:val="es-ES"/>
                        </w:rPr>
                        <w:t>de 2020</w:t>
                      </w:r>
                      <w:r w:rsidR="00BE2A3E">
                        <w:rPr>
                          <w:rFonts w:asciiTheme="majorHAnsi" w:hAnsiTheme="majorHAnsi"/>
                          <w:color w:val="0D0D0D" w:themeColor="text1" w:themeTint="F2"/>
                          <w:sz w:val="18"/>
                          <w:szCs w:val="22"/>
                          <w:lang w:val="es-ES"/>
                        </w:rPr>
                        <w:t>.</w:t>
                      </w:r>
                    </w:p>
                    <w:p w14:paraId="38B4E5C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0EE035ED"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EC35A7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71B2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E78E0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4119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8D9D4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731F5AE" wp14:editId="62AAFAB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49777" w14:textId="49559152"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0293" w:rsidRPr="00BD0293">
                              <w:rPr>
                                <w:rFonts w:asciiTheme="majorHAnsi" w:hAnsiTheme="majorHAnsi"/>
                                <w:color w:val="595959" w:themeColor="text1" w:themeTint="A6"/>
                                <w:sz w:val="18"/>
                                <w:szCs w:val="18"/>
                                <w:lang w:val="pt-BR"/>
                              </w:rPr>
                              <w:t>96</w:t>
                            </w:r>
                            <w:r w:rsidR="00C725B5" w:rsidRPr="00BD0293">
                              <w:rPr>
                                <w:rFonts w:asciiTheme="majorHAnsi" w:hAnsiTheme="majorHAnsi"/>
                                <w:color w:val="595959" w:themeColor="text1" w:themeTint="A6"/>
                                <w:sz w:val="18"/>
                                <w:szCs w:val="18"/>
                                <w:lang w:val="pt-BR"/>
                              </w:rPr>
                              <w:t>/</w:t>
                            </w:r>
                            <w:r w:rsidR="002E7753" w:rsidRPr="00BD0293">
                              <w:rPr>
                                <w:rFonts w:asciiTheme="majorHAnsi" w:hAnsiTheme="majorHAnsi"/>
                                <w:color w:val="595959" w:themeColor="text1" w:themeTint="A6"/>
                                <w:sz w:val="18"/>
                                <w:szCs w:val="18"/>
                                <w:lang w:val="pt-BR"/>
                              </w:rPr>
                              <w:t>20</w:t>
                            </w:r>
                            <w:r w:rsidRPr="00BD0293">
                              <w:rPr>
                                <w:rFonts w:asciiTheme="majorHAnsi" w:hAnsiTheme="majorHAnsi"/>
                                <w:color w:val="595959" w:themeColor="text1" w:themeTint="A6"/>
                                <w:sz w:val="18"/>
                                <w:szCs w:val="18"/>
                                <w:lang w:val="pt-BR"/>
                              </w:rPr>
                              <w:t xml:space="preserve">. </w:t>
                            </w:r>
                            <w:r w:rsidR="004B6924">
                              <w:rPr>
                                <w:rFonts w:asciiTheme="majorHAnsi" w:hAnsiTheme="majorHAnsi"/>
                                <w:color w:val="595959" w:themeColor="text1" w:themeTint="A6"/>
                                <w:sz w:val="18"/>
                                <w:szCs w:val="18"/>
                                <w:lang w:val="es-ES_tradnl"/>
                              </w:rPr>
                              <w:t xml:space="preserve">Petición 1030-10. </w:t>
                            </w:r>
                            <w:r w:rsidRPr="00890650">
                              <w:rPr>
                                <w:rFonts w:asciiTheme="majorHAnsi" w:hAnsiTheme="majorHAnsi"/>
                                <w:color w:val="595959" w:themeColor="text1" w:themeTint="A6"/>
                                <w:sz w:val="18"/>
                                <w:szCs w:val="18"/>
                                <w:lang w:val="es-ES_tradnl"/>
                              </w:rPr>
                              <w:t xml:space="preserve">Admisibilidad. </w:t>
                            </w:r>
                            <w:proofErr w:type="spellStart"/>
                            <w:r w:rsidR="004B6924">
                              <w:rPr>
                                <w:rFonts w:asciiTheme="majorHAnsi" w:hAnsiTheme="majorHAnsi"/>
                                <w:color w:val="595959" w:themeColor="text1" w:themeTint="A6"/>
                                <w:sz w:val="18"/>
                                <w:szCs w:val="18"/>
                                <w:lang w:val="es-ES_tradnl"/>
                              </w:rPr>
                              <w:t>Shaun</w:t>
                            </w:r>
                            <w:proofErr w:type="spellEnd"/>
                            <w:r w:rsidR="004B6924">
                              <w:rPr>
                                <w:rFonts w:asciiTheme="majorHAnsi" w:hAnsiTheme="majorHAnsi"/>
                                <w:color w:val="595959" w:themeColor="text1" w:themeTint="A6"/>
                                <w:sz w:val="18"/>
                                <w:szCs w:val="18"/>
                                <w:lang w:val="es-ES_tradnl"/>
                              </w:rPr>
                              <w:t xml:space="preserve"> Duncan</w:t>
                            </w:r>
                            <w:r w:rsidRPr="00890650">
                              <w:rPr>
                                <w:rFonts w:asciiTheme="majorHAnsi" w:hAnsiTheme="majorHAnsi"/>
                                <w:color w:val="595959" w:themeColor="text1" w:themeTint="A6"/>
                                <w:sz w:val="18"/>
                                <w:szCs w:val="18"/>
                                <w:lang w:val="es-ES_tradnl"/>
                              </w:rPr>
                              <w:t xml:space="preserve">. </w:t>
                            </w:r>
                            <w:r w:rsidR="004B6924">
                              <w:rPr>
                                <w:rFonts w:asciiTheme="majorHAnsi" w:hAnsiTheme="majorHAnsi"/>
                                <w:color w:val="595959" w:themeColor="text1" w:themeTint="A6"/>
                                <w:sz w:val="18"/>
                                <w:szCs w:val="18"/>
                                <w:lang w:val="es-ES_tradnl"/>
                              </w:rPr>
                              <w:t>Jamaica</w:t>
                            </w:r>
                            <w:r w:rsidR="00BD0293">
                              <w:rPr>
                                <w:rFonts w:asciiTheme="majorHAnsi" w:hAnsiTheme="majorHAnsi"/>
                                <w:color w:val="595959" w:themeColor="text1" w:themeTint="A6"/>
                                <w:sz w:val="18"/>
                                <w:szCs w:val="18"/>
                                <w:lang w:val="es-ES_tradnl"/>
                              </w:rPr>
                              <w:t>. 22 de febrero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31F5A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6349777" w14:textId="49559152"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0293" w:rsidRPr="00BD0293">
                        <w:rPr>
                          <w:rFonts w:asciiTheme="majorHAnsi" w:hAnsiTheme="majorHAnsi"/>
                          <w:color w:val="595959" w:themeColor="text1" w:themeTint="A6"/>
                          <w:sz w:val="18"/>
                          <w:szCs w:val="18"/>
                          <w:lang w:val="pt-BR"/>
                        </w:rPr>
                        <w:t>96</w:t>
                      </w:r>
                      <w:r w:rsidR="00C725B5" w:rsidRPr="00BD0293">
                        <w:rPr>
                          <w:rFonts w:asciiTheme="majorHAnsi" w:hAnsiTheme="majorHAnsi"/>
                          <w:color w:val="595959" w:themeColor="text1" w:themeTint="A6"/>
                          <w:sz w:val="18"/>
                          <w:szCs w:val="18"/>
                          <w:lang w:val="pt-BR"/>
                        </w:rPr>
                        <w:t>/</w:t>
                      </w:r>
                      <w:r w:rsidR="002E7753" w:rsidRPr="00BD0293">
                        <w:rPr>
                          <w:rFonts w:asciiTheme="majorHAnsi" w:hAnsiTheme="majorHAnsi"/>
                          <w:color w:val="595959" w:themeColor="text1" w:themeTint="A6"/>
                          <w:sz w:val="18"/>
                          <w:szCs w:val="18"/>
                          <w:lang w:val="pt-BR"/>
                        </w:rPr>
                        <w:t>20</w:t>
                      </w:r>
                      <w:r w:rsidRPr="00BD0293">
                        <w:rPr>
                          <w:rFonts w:asciiTheme="majorHAnsi" w:hAnsiTheme="majorHAnsi"/>
                          <w:color w:val="595959" w:themeColor="text1" w:themeTint="A6"/>
                          <w:sz w:val="18"/>
                          <w:szCs w:val="18"/>
                          <w:lang w:val="pt-BR"/>
                        </w:rPr>
                        <w:t xml:space="preserve">. </w:t>
                      </w:r>
                      <w:r w:rsidR="004B6924">
                        <w:rPr>
                          <w:rFonts w:asciiTheme="majorHAnsi" w:hAnsiTheme="majorHAnsi"/>
                          <w:color w:val="595959" w:themeColor="text1" w:themeTint="A6"/>
                          <w:sz w:val="18"/>
                          <w:szCs w:val="18"/>
                          <w:lang w:val="es-ES_tradnl"/>
                        </w:rPr>
                        <w:t xml:space="preserve">Petición 1030-10. </w:t>
                      </w:r>
                      <w:r w:rsidRPr="00890650">
                        <w:rPr>
                          <w:rFonts w:asciiTheme="majorHAnsi" w:hAnsiTheme="majorHAnsi"/>
                          <w:color w:val="595959" w:themeColor="text1" w:themeTint="A6"/>
                          <w:sz w:val="18"/>
                          <w:szCs w:val="18"/>
                          <w:lang w:val="es-ES_tradnl"/>
                        </w:rPr>
                        <w:t xml:space="preserve">Admisibilidad. </w:t>
                      </w:r>
                      <w:r w:rsidR="004B6924">
                        <w:rPr>
                          <w:rFonts w:asciiTheme="majorHAnsi" w:hAnsiTheme="majorHAnsi"/>
                          <w:color w:val="595959" w:themeColor="text1" w:themeTint="A6"/>
                          <w:sz w:val="18"/>
                          <w:szCs w:val="18"/>
                          <w:lang w:val="es-ES_tradnl"/>
                        </w:rPr>
                        <w:t>Shaun Duncan</w:t>
                      </w:r>
                      <w:r w:rsidRPr="00890650">
                        <w:rPr>
                          <w:rFonts w:asciiTheme="majorHAnsi" w:hAnsiTheme="majorHAnsi"/>
                          <w:color w:val="595959" w:themeColor="text1" w:themeTint="A6"/>
                          <w:sz w:val="18"/>
                          <w:szCs w:val="18"/>
                          <w:lang w:val="es-ES_tradnl"/>
                        </w:rPr>
                        <w:t xml:space="preserve">. </w:t>
                      </w:r>
                      <w:r w:rsidR="004B6924">
                        <w:rPr>
                          <w:rFonts w:asciiTheme="majorHAnsi" w:hAnsiTheme="majorHAnsi"/>
                          <w:color w:val="595959" w:themeColor="text1" w:themeTint="A6"/>
                          <w:sz w:val="18"/>
                          <w:szCs w:val="18"/>
                          <w:lang w:val="es-ES_tradnl"/>
                        </w:rPr>
                        <w:t>Jamaica</w:t>
                      </w:r>
                      <w:r w:rsidR="00BD0293">
                        <w:rPr>
                          <w:rFonts w:asciiTheme="majorHAnsi" w:hAnsiTheme="majorHAnsi"/>
                          <w:color w:val="595959" w:themeColor="text1" w:themeTint="A6"/>
                          <w:sz w:val="18"/>
                          <w:szCs w:val="18"/>
                          <w:lang w:val="es-ES_tradnl"/>
                        </w:rPr>
                        <w:t>. 22 de febrero de 2020.</w:t>
                      </w:r>
                    </w:p>
                  </w:txbxContent>
                </v:textbox>
              </v:shape>
            </w:pict>
          </mc:Fallback>
        </mc:AlternateContent>
      </w:r>
    </w:p>
    <w:p w14:paraId="38D86F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4913EE"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461048A" wp14:editId="28F7F59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6769E" w14:textId="02F1FEA0" w:rsidR="0099258D" w:rsidRPr="00D72DC6" w:rsidRDefault="00BE2A3E" w:rsidP="00F02AD1">
                            <w:pPr>
                              <w:rPr>
                                <w:color w:val="FFFFFF" w:themeColor="background1"/>
                                <w14:textFill>
                                  <w14:noFill/>
                                </w14:textFill>
                              </w:rPr>
                            </w:pPr>
                            <w:r>
                              <w:rPr>
                                <w:noProof/>
                              </w:rPr>
                              <w:drawing>
                                <wp:inline distT="0" distB="0" distL="0" distR="0" wp14:anchorId="18C1F973" wp14:editId="648B6288">
                                  <wp:extent cx="1515745" cy="391160"/>
                                  <wp:effectExtent l="0" t="0" r="8255" b="8890"/>
                                  <wp:docPr id="2" name="Picture 15"/>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1048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316769E" w14:textId="02F1FEA0" w:rsidR="0099258D" w:rsidRPr="00D72DC6" w:rsidRDefault="00BE2A3E" w:rsidP="00F02AD1">
                      <w:pPr>
                        <w:rPr>
                          <w:color w:val="FFFFFF" w:themeColor="background1"/>
                          <w14:textFill>
                            <w14:noFill/>
                          </w14:textFill>
                        </w:rPr>
                      </w:pPr>
                      <w:r>
                        <w:rPr>
                          <w:noProof/>
                        </w:rPr>
                        <w:drawing>
                          <wp:inline distT="0" distB="0" distL="0" distR="0" wp14:anchorId="18C1F973" wp14:editId="648B6288">
                            <wp:extent cx="1515745" cy="391160"/>
                            <wp:effectExtent l="0" t="0" r="8255" b="8890"/>
                            <wp:docPr id="2" name="Picture 15"/>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95FC1F" wp14:editId="53F60FA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6489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95FC1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1C6489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8E81B5"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7E12B3F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E25F59" w:rsidRPr="0043228C" w14:paraId="0FC16EE5" w14:textId="77777777" w:rsidTr="00711C21">
        <w:tc>
          <w:tcPr>
            <w:tcW w:w="3544" w:type="dxa"/>
            <w:tcBorders>
              <w:top w:val="single" w:sz="4" w:space="0" w:color="auto"/>
              <w:bottom w:val="single" w:sz="6" w:space="0" w:color="auto"/>
            </w:tcBorders>
            <w:shd w:val="clear" w:color="auto" w:fill="386294"/>
            <w:vAlign w:val="center"/>
          </w:tcPr>
          <w:p w14:paraId="2E8F52A4"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812" w:type="dxa"/>
          </w:tcPr>
          <w:p w14:paraId="4B6228BB" w14:textId="6C86A8E5" w:rsidR="00E25F59" w:rsidRPr="007569B2" w:rsidRDefault="007569B2" w:rsidP="0099258D">
            <w:pPr>
              <w:jc w:val="both"/>
              <w:rPr>
                <w:rFonts w:ascii="Cambria" w:hAnsi="Cambria"/>
                <w:bCs/>
                <w:sz w:val="20"/>
                <w:szCs w:val="20"/>
                <w:lang w:val="es-ES"/>
              </w:rPr>
            </w:pPr>
            <w:r w:rsidRPr="007569B2">
              <w:rPr>
                <w:rFonts w:ascii="Cambria" w:hAnsi="Cambria"/>
                <w:bCs/>
                <w:sz w:val="20"/>
                <w:szCs w:val="20"/>
                <w:lang w:val="es-ES"/>
              </w:rPr>
              <w:t>Jamaiquinos por la Justicia (J</w:t>
            </w:r>
            <w:r>
              <w:rPr>
                <w:rFonts w:ascii="Cambria" w:hAnsi="Cambria"/>
                <w:bCs/>
                <w:sz w:val="20"/>
                <w:szCs w:val="20"/>
                <w:lang w:val="es-ES"/>
              </w:rPr>
              <w:t xml:space="preserve">FJ) y </w:t>
            </w:r>
            <w:r w:rsidRPr="007569B2">
              <w:rPr>
                <w:rFonts w:ascii="Cambria" w:hAnsi="Cambria"/>
                <w:bCs/>
                <w:sz w:val="20"/>
                <w:szCs w:val="20"/>
                <w:lang w:val="es-ES"/>
              </w:rPr>
              <w:t xml:space="preserve">Clínica Internacional de Derechos Humanos de la </w:t>
            </w:r>
            <w:r>
              <w:rPr>
                <w:rFonts w:ascii="Cambria" w:hAnsi="Cambria"/>
                <w:bCs/>
                <w:sz w:val="20"/>
                <w:szCs w:val="20"/>
                <w:lang w:val="es-ES"/>
              </w:rPr>
              <w:t xml:space="preserve">Facultad de Derecho de la </w:t>
            </w:r>
            <w:r w:rsidRPr="007569B2">
              <w:rPr>
                <w:rFonts w:ascii="Cambria" w:hAnsi="Cambria"/>
                <w:bCs/>
                <w:sz w:val="20"/>
                <w:szCs w:val="20"/>
                <w:lang w:val="es-ES"/>
              </w:rPr>
              <w:t>Universidad George Washington</w:t>
            </w:r>
            <w:r>
              <w:rPr>
                <w:rFonts w:ascii="Cambria" w:hAnsi="Cambria"/>
                <w:bCs/>
                <w:sz w:val="20"/>
                <w:szCs w:val="20"/>
                <w:lang w:val="es-ES"/>
              </w:rPr>
              <w:t xml:space="preserve"> (IHRC)</w:t>
            </w:r>
          </w:p>
        </w:tc>
      </w:tr>
      <w:tr w:rsidR="00E25F59" w:rsidRPr="00171A7E" w14:paraId="478AB5BB" w14:textId="77777777" w:rsidTr="00711C21">
        <w:tc>
          <w:tcPr>
            <w:tcW w:w="3544" w:type="dxa"/>
            <w:tcBorders>
              <w:top w:val="single" w:sz="6" w:space="0" w:color="auto"/>
              <w:bottom w:val="single" w:sz="6" w:space="0" w:color="auto"/>
            </w:tcBorders>
            <w:shd w:val="clear" w:color="auto" w:fill="386294"/>
            <w:vAlign w:val="center"/>
          </w:tcPr>
          <w:p w14:paraId="0AC7FC52" w14:textId="77777777" w:rsidR="00E25F59" w:rsidRPr="00706824" w:rsidRDefault="004F43A1" w:rsidP="009925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065DD10ECF64A568B1C669E7B23DD9E"/>
                </w:placeholder>
                <w:dropDownList>
                  <w:listItem w:value="Choose an item."/>
                  <w:listItem w:displayText="Presunta víctima" w:value="Presunta víctima"/>
                  <w:listItem w:displayText="Presuntas víctimas" w:value="Presuntas víctimas"/>
                </w:dropDownList>
              </w:sdtPr>
              <w:sdtEndPr/>
              <w:sdtContent>
                <w:r w:rsidR="00E25F59">
                  <w:rPr>
                    <w:rFonts w:ascii="Cambria" w:hAnsi="Cambria"/>
                    <w:b/>
                    <w:bCs/>
                    <w:color w:val="FFFFFF" w:themeColor="background1"/>
                    <w:sz w:val="20"/>
                    <w:szCs w:val="20"/>
                  </w:rPr>
                  <w:t>Presunta víctima</w:t>
                </w:r>
              </w:sdtContent>
            </w:sdt>
            <w:r w:rsidR="00E25F59" w:rsidRPr="00706824">
              <w:rPr>
                <w:rFonts w:ascii="Cambria" w:hAnsi="Cambria"/>
                <w:b/>
                <w:bCs/>
                <w:color w:val="FFFFFF" w:themeColor="background1"/>
                <w:sz w:val="20"/>
                <w:szCs w:val="20"/>
              </w:rPr>
              <w:t>:</w:t>
            </w:r>
          </w:p>
        </w:tc>
        <w:tc>
          <w:tcPr>
            <w:tcW w:w="5812" w:type="dxa"/>
          </w:tcPr>
          <w:p w14:paraId="352780F3" w14:textId="669F2933" w:rsidR="00E25F59" w:rsidRDefault="002D3BFC" w:rsidP="0099258D">
            <w:pPr>
              <w:jc w:val="both"/>
              <w:rPr>
                <w:rFonts w:ascii="Cambria" w:hAnsi="Cambria"/>
                <w:bCs/>
                <w:sz w:val="20"/>
                <w:szCs w:val="20"/>
              </w:rPr>
            </w:pPr>
            <w:r>
              <w:rPr>
                <w:rFonts w:ascii="Cambria" w:hAnsi="Cambria"/>
                <w:bCs/>
                <w:sz w:val="20"/>
                <w:szCs w:val="20"/>
              </w:rPr>
              <w:t>Shaun Duncan</w:t>
            </w:r>
          </w:p>
        </w:tc>
      </w:tr>
      <w:tr w:rsidR="00E25F59" w14:paraId="38985941" w14:textId="77777777" w:rsidTr="00711C21">
        <w:tc>
          <w:tcPr>
            <w:tcW w:w="3544" w:type="dxa"/>
            <w:tcBorders>
              <w:top w:val="single" w:sz="6" w:space="0" w:color="auto"/>
              <w:bottom w:val="single" w:sz="6" w:space="0" w:color="auto"/>
            </w:tcBorders>
            <w:shd w:val="clear" w:color="auto" w:fill="386294"/>
            <w:vAlign w:val="center"/>
          </w:tcPr>
          <w:p w14:paraId="2F6A9D67"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812" w:type="dxa"/>
          </w:tcPr>
          <w:p w14:paraId="2825436C" w14:textId="0537152E" w:rsidR="00E25F59" w:rsidRDefault="002D3BFC" w:rsidP="0099258D">
            <w:pPr>
              <w:jc w:val="both"/>
              <w:rPr>
                <w:rFonts w:ascii="Cambria" w:hAnsi="Cambria"/>
                <w:bCs/>
                <w:sz w:val="20"/>
                <w:szCs w:val="20"/>
              </w:rPr>
            </w:pPr>
            <w:r>
              <w:rPr>
                <w:rFonts w:ascii="Cambria" w:hAnsi="Cambria"/>
                <w:bCs/>
                <w:sz w:val="20"/>
                <w:szCs w:val="20"/>
              </w:rPr>
              <w:t>Jamaica</w:t>
            </w:r>
            <w:r>
              <w:rPr>
                <w:rStyle w:val="FootnoteReference"/>
                <w:rFonts w:ascii="Cambria" w:hAnsi="Cambria"/>
                <w:bCs/>
                <w:sz w:val="20"/>
                <w:szCs w:val="20"/>
              </w:rPr>
              <w:footnoteReference w:id="2"/>
            </w:r>
          </w:p>
        </w:tc>
      </w:tr>
      <w:tr w:rsidR="00E25F59" w:rsidRPr="0043228C" w14:paraId="63BE7185" w14:textId="77777777" w:rsidTr="00711C21">
        <w:tc>
          <w:tcPr>
            <w:tcW w:w="3544" w:type="dxa"/>
            <w:tcBorders>
              <w:top w:val="single" w:sz="6" w:space="0" w:color="auto"/>
              <w:bottom w:val="single" w:sz="6" w:space="0" w:color="auto"/>
            </w:tcBorders>
            <w:shd w:val="clear" w:color="auto" w:fill="386294"/>
            <w:vAlign w:val="center"/>
          </w:tcPr>
          <w:p w14:paraId="47A4F658" w14:textId="77777777" w:rsidR="00E25F59" w:rsidRPr="00706824" w:rsidRDefault="00E25F59"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812" w:type="dxa"/>
          </w:tcPr>
          <w:p w14:paraId="1E8B5EBE" w14:textId="4F6F50A4" w:rsidR="00E25F59" w:rsidRDefault="007569B2" w:rsidP="008F22E7">
            <w:pPr>
              <w:jc w:val="both"/>
              <w:rPr>
                <w:rFonts w:ascii="Cambria" w:hAnsi="Cambria"/>
                <w:bCs/>
                <w:sz w:val="20"/>
                <w:szCs w:val="20"/>
                <w:lang w:val="es-PA"/>
              </w:rPr>
            </w:pPr>
            <w:r>
              <w:rPr>
                <w:rFonts w:ascii="Cambria" w:hAnsi="Cambria"/>
                <w:bCs/>
                <w:sz w:val="20"/>
                <w:szCs w:val="20"/>
                <w:lang w:val="es-PA"/>
              </w:rPr>
              <w:t>Artículos 7 (libertad</w:t>
            </w:r>
            <w:r w:rsidR="00F925CD">
              <w:rPr>
                <w:rFonts w:ascii="Cambria" w:hAnsi="Cambria"/>
                <w:bCs/>
                <w:sz w:val="20"/>
                <w:szCs w:val="20"/>
                <w:lang w:val="es-PA"/>
              </w:rPr>
              <w:t xml:space="preserve"> personal</w:t>
            </w:r>
            <w:r>
              <w:rPr>
                <w:rFonts w:ascii="Cambria" w:hAnsi="Cambria"/>
                <w:bCs/>
                <w:sz w:val="20"/>
                <w:szCs w:val="20"/>
                <w:lang w:val="es-PA"/>
              </w:rPr>
              <w:t>), 8 (garantías judiciales), 21 (propiedad privada) y 25 (protección judicial) en relación con los artículos 1(1) (obligación de respetar los derechos) y 2 (deber de adoptar</w:t>
            </w:r>
            <w:r w:rsidR="00F925CD">
              <w:rPr>
                <w:rFonts w:ascii="Cambria" w:hAnsi="Cambria"/>
                <w:bCs/>
                <w:sz w:val="20"/>
                <w:szCs w:val="20"/>
                <w:lang w:val="es-PA"/>
              </w:rPr>
              <w:t xml:space="preserve"> disposiciones de derecho interno) de la Convención Americana sobre Derechos Humanos</w:t>
            </w:r>
            <w:r w:rsidR="00F925CD">
              <w:rPr>
                <w:rStyle w:val="FootnoteReference"/>
                <w:rFonts w:ascii="Cambria" w:hAnsi="Cambria"/>
                <w:bCs/>
                <w:sz w:val="20"/>
                <w:szCs w:val="20"/>
                <w:lang w:val="es-PA"/>
              </w:rPr>
              <w:footnoteReference w:id="3"/>
            </w:r>
          </w:p>
        </w:tc>
      </w:tr>
    </w:tbl>
    <w:p w14:paraId="1C15D4A2"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60625" w14:paraId="6A0373F6" w14:textId="77777777" w:rsidTr="004A6A54">
        <w:tc>
          <w:tcPr>
            <w:tcW w:w="3600" w:type="dxa"/>
            <w:tcBorders>
              <w:top w:val="single" w:sz="6" w:space="0" w:color="auto"/>
              <w:bottom w:val="single" w:sz="6" w:space="0" w:color="auto"/>
            </w:tcBorders>
            <w:shd w:val="clear" w:color="auto" w:fill="386294"/>
            <w:vAlign w:val="center"/>
          </w:tcPr>
          <w:p w14:paraId="0C8B121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4E428C0B" w14:textId="03D18B0A" w:rsidR="004C2312" w:rsidRPr="003239B8" w:rsidRDefault="00B627EC" w:rsidP="0099258D">
            <w:pPr>
              <w:jc w:val="both"/>
              <w:rPr>
                <w:rFonts w:ascii="Cambria" w:hAnsi="Cambria"/>
                <w:bCs/>
                <w:sz w:val="20"/>
                <w:szCs w:val="20"/>
                <w:lang w:val="es-ES"/>
              </w:rPr>
            </w:pPr>
            <w:r>
              <w:rPr>
                <w:rFonts w:ascii="Cambria" w:hAnsi="Cambria"/>
                <w:bCs/>
                <w:sz w:val="20"/>
                <w:szCs w:val="20"/>
                <w:lang w:val="es-ES"/>
              </w:rPr>
              <w:t>16 de julio de 2010</w:t>
            </w:r>
          </w:p>
        </w:tc>
      </w:tr>
      <w:tr w:rsidR="001E49E7" w:rsidRPr="0043228C" w14:paraId="675C1812" w14:textId="77777777" w:rsidTr="004A6A54">
        <w:tc>
          <w:tcPr>
            <w:tcW w:w="3600" w:type="dxa"/>
            <w:tcBorders>
              <w:top w:val="single" w:sz="6" w:space="0" w:color="auto"/>
              <w:bottom w:val="single" w:sz="6" w:space="0" w:color="auto"/>
            </w:tcBorders>
            <w:shd w:val="clear" w:color="auto" w:fill="386294"/>
            <w:vAlign w:val="center"/>
          </w:tcPr>
          <w:p w14:paraId="218488C6"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747FD6B0" w14:textId="6FC35BAB" w:rsidR="001E49E7" w:rsidRPr="00B627EC" w:rsidRDefault="00B627EC" w:rsidP="00B627EC">
            <w:pPr>
              <w:jc w:val="both"/>
              <w:rPr>
                <w:rFonts w:ascii="Cambria" w:hAnsi="Cambria"/>
                <w:sz w:val="20"/>
                <w:szCs w:val="20"/>
                <w:lang w:val="es-AR"/>
              </w:rPr>
            </w:pPr>
            <w:r>
              <w:rPr>
                <w:rFonts w:ascii="Cambria" w:hAnsi="Cambria"/>
                <w:sz w:val="20"/>
                <w:szCs w:val="20"/>
                <w:lang w:val="es-AR"/>
              </w:rPr>
              <w:t xml:space="preserve">17 de diciembre de 2010, 26 de julio de 2011; 16 de marzo, </w:t>
            </w:r>
            <w:r w:rsidR="003A490E">
              <w:rPr>
                <w:rFonts w:ascii="Cambria" w:hAnsi="Cambria"/>
                <w:sz w:val="20"/>
                <w:szCs w:val="20"/>
                <w:lang w:val="es-AR"/>
              </w:rPr>
              <w:br/>
            </w:r>
            <w:r>
              <w:rPr>
                <w:rFonts w:ascii="Cambria" w:hAnsi="Cambria"/>
                <w:sz w:val="20"/>
                <w:szCs w:val="20"/>
                <w:lang w:val="es-AR"/>
              </w:rPr>
              <w:t>31 de agosto y 15 de octubre de 2012</w:t>
            </w:r>
          </w:p>
        </w:tc>
      </w:tr>
      <w:tr w:rsidR="004C2312" w:rsidRPr="00B3317D" w14:paraId="2B9965A9" w14:textId="77777777" w:rsidTr="004A6A54">
        <w:tc>
          <w:tcPr>
            <w:tcW w:w="3600" w:type="dxa"/>
            <w:tcBorders>
              <w:top w:val="single" w:sz="6" w:space="0" w:color="auto"/>
              <w:bottom w:val="single" w:sz="6" w:space="0" w:color="auto"/>
            </w:tcBorders>
            <w:shd w:val="clear" w:color="auto" w:fill="386294"/>
            <w:vAlign w:val="center"/>
          </w:tcPr>
          <w:p w14:paraId="5314476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C0309BD" w14:textId="7069CCA0" w:rsidR="004C2312" w:rsidRPr="00B627EC" w:rsidRDefault="00B627EC" w:rsidP="0099258D">
            <w:pPr>
              <w:jc w:val="both"/>
              <w:rPr>
                <w:rFonts w:ascii="Cambria" w:hAnsi="Cambria"/>
                <w:sz w:val="20"/>
                <w:szCs w:val="20"/>
                <w:lang w:val="es-ES"/>
              </w:rPr>
            </w:pPr>
            <w:r>
              <w:rPr>
                <w:rFonts w:ascii="Cambria" w:hAnsi="Cambria"/>
                <w:sz w:val="20"/>
                <w:szCs w:val="20"/>
                <w:lang w:val="es-ES"/>
              </w:rPr>
              <w:t>13 de noviembre de 2013</w:t>
            </w:r>
          </w:p>
        </w:tc>
      </w:tr>
      <w:tr w:rsidR="004C2312" w:rsidRPr="004A6A54" w14:paraId="143EF311" w14:textId="77777777" w:rsidTr="004A6A54">
        <w:tc>
          <w:tcPr>
            <w:tcW w:w="3600" w:type="dxa"/>
            <w:tcBorders>
              <w:top w:val="single" w:sz="6" w:space="0" w:color="auto"/>
              <w:bottom w:val="single" w:sz="6" w:space="0" w:color="auto"/>
            </w:tcBorders>
            <w:shd w:val="clear" w:color="auto" w:fill="386294"/>
            <w:vAlign w:val="center"/>
          </w:tcPr>
          <w:p w14:paraId="36DDE19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7924CFA5" w14:textId="5266BBEA" w:rsidR="004C2312" w:rsidRPr="00B627EC" w:rsidRDefault="00B627EC" w:rsidP="00E2743A">
            <w:pPr>
              <w:jc w:val="both"/>
              <w:rPr>
                <w:rFonts w:ascii="Cambria" w:hAnsi="Cambria"/>
                <w:sz w:val="20"/>
                <w:szCs w:val="20"/>
                <w:lang w:val="es-ES"/>
              </w:rPr>
            </w:pPr>
            <w:r>
              <w:rPr>
                <w:rFonts w:ascii="Cambria" w:hAnsi="Cambria"/>
                <w:sz w:val="20"/>
                <w:szCs w:val="20"/>
                <w:lang w:val="es-ES"/>
              </w:rPr>
              <w:t>24 de febrero de 2014</w:t>
            </w:r>
          </w:p>
        </w:tc>
      </w:tr>
      <w:tr w:rsidR="004C2312" w:rsidRPr="00B3317D" w14:paraId="7745591F" w14:textId="77777777" w:rsidTr="004A6A54">
        <w:tc>
          <w:tcPr>
            <w:tcW w:w="3600" w:type="dxa"/>
            <w:tcBorders>
              <w:top w:val="single" w:sz="6" w:space="0" w:color="auto"/>
              <w:bottom w:val="single" w:sz="6" w:space="0" w:color="auto"/>
            </w:tcBorders>
            <w:shd w:val="clear" w:color="auto" w:fill="386294"/>
            <w:vAlign w:val="center"/>
          </w:tcPr>
          <w:p w14:paraId="4DFF8C0C"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FAC7D07" w14:textId="464D2E31" w:rsidR="00B627EC" w:rsidRPr="00B627EC" w:rsidRDefault="00B627EC" w:rsidP="0099258D">
            <w:pPr>
              <w:jc w:val="both"/>
              <w:rPr>
                <w:rFonts w:ascii="Cambria" w:hAnsi="Cambria"/>
                <w:sz w:val="20"/>
                <w:szCs w:val="20"/>
                <w:lang w:val="es-ES"/>
              </w:rPr>
            </w:pPr>
            <w:r>
              <w:rPr>
                <w:rFonts w:ascii="Cambria" w:hAnsi="Cambria"/>
                <w:sz w:val="20"/>
                <w:szCs w:val="20"/>
                <w:lang w:val="es-ES"/>
              </w:rPr>
              <w:t>29 de noviembre de 2018</w:t>
            </w:r>
          </w:p>
        </w:tc>
      </w:tr>
      <w:tr w:rsidR="00B627EC" w:rsidRPr="00B3317D" w14:paraId="3558EAF9" w14:textId="77777777" w:rsidTr="004A6A54">
        <w:tc>
          <w:tcPr>
            <w:tcW w:w="3600" w:type="dxa"/>
            <w:tcBorders>
              <w:top w:val="single" w:sz="6" w:space="0" w:color="auto"/>
              <w:bottom w:val="single" w:sz="6" w:space="0" w:color="auto"/>
            </w:tcBorders>
            <w:shd w:val="clear" w:color="auto" w:fill="386294"/>
            <w:vAlign w:val="center"/>
          </w:tcPr>
          <w:p w14:paraId="285A1587" w14:textId="420316C3" w:rsidR="00B627EC" w:rsidRDefault="00B627EC"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22F8942B" w14:textId="78C90F59" w:rsidR="00B627EC" w:rsidRDefault="00B627EC" w:rsidP="0099258D">
            <w:pPr>
              <w:jc w:val="both"/>
              <w:rPr>
                <w:rFonts w:ascii="Cambria" w:hAnsi="Cambria"/>
                <w:sz w:val="20"/>
                <w:szCs w:val="20"/>
                <w:lang w:val="es-ES"/>
              </w:rPr>
            </w:pPr>
            <w:r>
              <w:rPr>
                <w:rFonts w:ascii="Cambria" w:hAnsi="Cambria"/>
                <w:sz w:val="20"/>
                <w:szCs w:val="20"/>
                <w:lang w:val="es-ES"/>
              </w:rPr>
              <w:t>30 de enero de 2019</w:t>
            </w:r>
          </w:p>
        </w:tc>
      </w:tr>
      <w:tr w:rsidR="00B627EC" w:rsidRPr="00B3317D" w14:paraId="0137C7E2" w14:textId="77777777" w:rsidTr="004A6A54">
        <w:tc>
          <w:tcPr>
            <w:tcW w:w="3600" w:type="dxa"/>
            <w:tcBorders>
              <w:top w:val="single" w:sz="6" w:space="0" w:color="auto"/>
              <w:bottom w:val="single" w:sz="6" w:space="0" w:color="auto"/>
            </w:tcBorders>
            <w:shd w:val="clear" w:color="auto" w:fill="386294"/>
            <w:vAlign w:val="center"/>
          </w:tcPr>
          <w:p w14:paraId="0601AB76" w14:textId="36BC258C" w:rsidR="00B627EC" w:rsidRDefault="00B627EC"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Advertencia sobre posible archivo de la petición:</w:t>
            </w:r>
          </w:p>
        </w:tc>
        <w:tc>
          <w:tcPr>
            <w:tcW w:w="5760" w:type="dxa"/>
            <w:vAlign w:val="center"/>
          </w:tcPr>
          <w:p w14:paraId="091B8E89" w14:textId="442D7AA2" w:rsidR="00B627EC" w:rsidRDefault="00B627EC" w:rsidP="0099258D">
            <w:pPr>
              <w:jc w:val="both"/>
              <w:rPr>
                <w:rFonts w:ascii="Cambria" w:hAnsi="Cambria"/>
                <w:sz w:val="20"/>
                <w:szCs w:val="20"/>
                <w:lang w:val="es-ES"/>
              </w:rPr>
            </w:pPr>
            <w:r>
              <w:rPr>
                <w:rFonts w:ascii="Cambria" w:hAnsi="Cambria"/>
                <w:sz w:val="20"/>
                <w:szCs w:val="20"/>
                <w:lang w:val="es-ES"/>
              </w:rPr>
              <w:t>8 de junio de 2018</w:t>
            </w:r>
          </w:p>
        </w:tc>
      </w:tr>
      <w:tr w:rsidR="00B627EC" w:rsidRPr="00B3317D" w14:paraId="2CBAC202" w14:textId="77777777" w:rsidTr="004A6A54">
        <w:tc>
          <w:tcPr>
            <w:tcW w:w="3600" w:type="dxa"/>
            <w:tcBorders>
              <w:top w:val="single" w:sz="6" w:space="0" w:color="auto"/>
              <w:bottom w:val="single" w:sz="6" w:space="0" w:color="auto"/>
            </w:tcBorders>
            <w:shd w:val="clear" w:color="auto" w:fill="386294"/>
            <w:vAlign w:val="center"/>
          </w:tcPr>
          <w:p w14:paraId="0DBE29CC" w14:textId="4D31E061" w:rsidR="00B627EC" w:rsidRDefault="00B627EC"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Respuesta ante advertencia sobre posible archivo:</w:t>
            </w:r>
          </w:p>
        </w:tc>
        <w:tc>
          <w:tcPr>
            <w:tcW w:w="5760" w:type="dxa"/>
            <w:vAlign w:val="center"/>
          </w:tcPr>
          <w:p w14:paraId="535631A1" w14:textId="11C76BF5" w:rsidR="00B627EC" w:rsidRDefault="00B627EC" w:rsidP="0099258D">
            <w:pPr>
              <w:jc w:val="both"/>
              <w:rPr>
                <w:rFonts w:ascii="Cambria" w:hAnsi="Cambria"/>
                <w:sz w:val="20"/>
                <w:szCs w:val="20"/>
                <w:lang w:val="es-ES"/>
              </w:rPr>
            </w:pPr>
            <w:r>
              <w:rPr>
                <w:rFonts w:ascii="Cambria" w:hAnsi="Cambria"/>
                <w:sz w:val="20"/>
                <w:szCs w:val="20"/>
                <w:lang w:val="es-ES"/>
              </w:rPr>
              <w:t>13 de julio de 2018</w:t>
            </w:r>
          </w:p>
        </w:tc>
      </w:tr>
    </w:tbl>
    <w:p w14:paraId="3A78E37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DC7E9AE" w14:textId="77777777" w:rsidTr="004A6A54">
        <w:trPr>
          <w:cantSplit/>
        </w:trPr>
        <w:tc>
          <w:tcPr>
            <w:tcW w:w="3600" w:type="dxa"/>
            <w:tcBorders>
              <w:top w:val="single" w:sz="4" w:space="0" w:color="auto"/>
              <w:bottom w:val="single" w:sz="6" w:space="0" w:color="auto"/>
            </w:tcBorders>
            <w:shd w:val="clear" w:color="auto" w:fill="386294"/>
            <w:vAlign w:val="center"/>
          </w:tcPr>
          <w:p w14:paraId="4ABB009B" w14:textId="77777777" w:rsidR="003239B8" w:rsidRPr="00496195" w:rsidRDefault="003239B8" w:rsidP="0099258D">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031312E1" w14:textId="2DF5534C" w:rsidR="003239B8" w:rsidRPr="00DA671F" w:rsidRDefault="003A490E" w:rsidP="0099258D">
            <w:pPr>
              <w:rPr>
                <w:rFonts w:asciiTheme="majorHAnsi" w:hAnsiTheme="majorHAnsi"/>
                <w:bCs/>
                <w:sz w:val="20"/>
                <w:szCs w:val="20"/>
              </w:rPr>
            </w:pPr>
            <w:r>
              <w:rPr>
                <w:rFonts w:asciiTheme="majorHAnsi" w:hAnsiTheme="majorHAnsi"/>
                <w:bCs/>
                <w:sz w:val="20"/>
                <w:szCs w:val="20"/>
              </w:rPr>
              <w:t>Sí</w:t>
            </w:r>
          </w:p>
        </w:tc>
      </w:tr>
      <w:tr w:rsidR="003239B8" w:rsidRPr="00540F17" w14:paraId="0A8736C0" w14:textId="77777777" w:rsidTr="004A6A54">
        <w:trPr>
          <w:cantSplit/>
        </w:trPr>
        <w:tc>
          <w:tcPr>
            <w:tcW w:w="3600" w:type="dxa"/>
            <w:tcBorders>
              <w:top w:val="single" w:sz="6" w:space="0" w:color="auto"/>
              <w:bottom w:val="single" w:sz="6" w:space="0" w:color="auto"/>
            </w:tcBorders>
            <w:shd w:val="clear" w:color="auto" w:fill="386294"/>
            <w:vAlign w:val="center"/>
          </w:tcPr>
          <w:p w14:paraId="495C6492"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788B13E5" w14:textId="2B1C15C1" w:rsidR="003239B8" w:rsidRPr="00DA671F" w:rsidRDefault="003A490E" w:rsidP="0099258D">
            <w:pPr>
              <w:rPr>
                <w:rFonts w:asciiTheme="majorHAnsi" w:hAnsiTheme="majorHAnsi"/>
                <w:bCs/>
                <w:sz w:val="20"/>
                <w:szCs w:val="20"/>
              </w:rPr>
            </w:pPr>
            <w:r>
              <w:rPr>
                <w:rFonts w:asciiTheme="majorHAnsi" w:hAnsiTheme="majorHAnsi"/>
                <w:bCs/>
                <w:sz w:val="20"/>
                <w:szCs w:val="20"/>
              </w:rPr>
              <w:t>Sí</w:t>
            </w:r>
          </w:p>
        </w:tc>
      </w:tr>
      <w:tr w:rsidR="003239B8" w:rsidRPr="00540F17" w14:paraId="0BD6C302" w14:textId="77777777" w:rsidTr="004A6A54">
        <w:trPr>
          <w:cantSplit/>
        </w:trPr>
        <w:tc>
          <w:tcPr>
            <w:tcW w:w="3600" w:type="dxa"/>
            <w:tcBorders>
              <w:top w:val="single" w:sz="6" w:space="0" w:color="auto"/>
              <w:bottom w:val="single" w:sz="6" w:space="0" w:color="auto"/>
            </w:tcBorders>
            <w:shd w:val="clear" w:color="auto" w:fill="386294"/>
            <w:vAlign w:val="center"/>
          </w:tcPr>
          <w:p w14:paraId="004C0F4A"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00F32B74" w14:textId="6B51DA02" w:rsidR="003239B8" w:rsidRPr="00DA671F" w:rsidRDefault="003A490E" w:rsidP="0099258D">
            <w:pPr>
              <w:rPr>
                <w:rFonts w:asciiTheme="majorHAnsi" w:hAnsiTheme="majorHAnsi"/>
                <w:bCs/>
                <w:sz w:val="20"/>
                <w:szCs w:val="20"/>
              </w:rPr>
            </w:pPr>
            <w:r>
              <w:rPr>
                <w:rFonts w:asciiTheme="majorHAnsi" w:hAnsiTheme="majorHAnsi"/>
                <w:bCs/>
                <w:sz w:val="20"/>
                <w:szCs w:val="20"/>
              </w:rPr>
              <w:t>Sí</w:t>
            </w:r>
          </w:p>
        </w:tc>
      </w:tr>
      <w:tr w:rsidR="003239B8" w:rsidRPr="0043228C" w14:paraId="2FCB9EEE" w14:textId="77777777" w:rsidTr="004A6A54">
        <w:trPr>
          <w:cantSplit/>
        </w:trPr>
        <w:tc>
          <w:tcPr>
            <w:tcW w:w="3600" w:type="dxa"/>
            <w:tcBorders>
              <w:top w:val="single" w:sz="6" w:space="0" w:color="auto"/>
              <w:bottom w:val="single" w:sz="6" w:space="0" w:color="auto"/>
            </w:tcBorders>
            <w:shd w:val="clear" w:color="auto" w:fill="386294"/>
            <w:vAlign w:val="center"/>
          </w:tcPr>
          <w:p w14:paraId="4903D89D"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3399D6A1" w14:textId="3DAA73D0" w:rsidR="003239B8" w:rsidRPr="004C2312" w:rsidRDefault="003A490E" w:rsidP="00711C21">
            <w:pPr>
              <w:jc w:val="both"/>
              <w:rPr>
                <w:rFonts w:ascii="Cambria" w:hAnsi="Cambria"/>
                <w:bCs/>
                <w:sz w:val="20"/>
                <w:szCs w:val="20"/>
                <w:lang w:val="es-ES"/>
              </w:rPr>
            </w:pPr>
            <w:r>
              <w:rPr>
                <w:rFonts w:ascii="Cambria" w:hAnsi="Cambria"/>
                <w:bCs/>
                <w:sz w:val="20"/>
                <w:szCs w:val="20"/>
                <w:lang w:val="es-ES"/>
              </w:rPr>
              <w:t>Sí, Convención Americana (instrumento de ratificación depositado el 7 de agosto 1978)</w:t>
            </w:r>
          </w:p>
        </w:tc>
      </w:tr>
    </w:tbl>
    <w:p w14:paraId="319CCC08" w14:textId="391F770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D3F68" w14:paraId="6A52652F" w14:textId="77777777" w:rsidTr="004A6A54">
        <w:trPr>
          <w:cantSplit/>
        </w:trPr>
        <w:tc>
          <w:tcPr>
            <w:tcW w:w="3600" w:type="dxa"/>
            <w:tcBorders>
              <w:top w:val="single" w:sz="4" w:space="0" w:color="auto"/>
              <w:bottom w:val="single" w:sz="6" w:space="0" w:color="auto"/>
            </w:tcBorders>
            <w:shd w:val="clear" w:color="auto" w:fill="386294"/>
            <w:vAlign w:val="center"/>
          </w:tcPr>
          <w:p w14:paraId="674C11E4" w14:textId="77777777" w:rsidR="00EE00E9" w:rsidRPr="00BD3F68" w:rsidRDefault="00EE00E9" w:rsidP="0099258D">
            <w:pPr>
              <w:jc w:val="center"/>
              <w:rPr>
                <w:rFonts w:asciiTheme="majorHAnsi" w:hAnsiTheme="majorHAnsi"/>
                <w:b/>
                <w:bCs/>
                <w:color w:val="FFFFFF" w:themeColor="background1"/>
                <w:sz w:val="20"/>
                <w:szCs w:val="20"/>
                <w:lang w:val="es-ES"/>
              </w:rPr>
            </w:pPr>
            <w:r w:rsidRPr="00BD3F6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C574080" w14:textId="0E322405" w:rsidR="00EE00E9" w:rsidRPr="00BD3F68" w:rsidRDefault="003A490E" w:rsidP="0099258D">
            <w:pPr>
              <w:jc w:val="both"/>
              <w:rPr>
                <w:rFonts w:asciiTheme="majorHAnsi" w:hAnsiTheme="majorHAnsi"/>
                <w:bCs/>
                <w:sz w:val="20"/>
                <w:szCs w:val="20"/>
                <w:lang w:val="es-ES"/>
              </w:rPr>
            </w:pPr>
            <w:r w:rsidRPr="00BD3F68">
              <w:rPr>
                <w:rFonts w:asciiTheme="majorHAnsi" w:hAnsiTheme="majorHAnsi"/>
                <w:bCs/>
                <w:sz w:val="20"/>
                <w:szCs w:val="20"/>
                <w:lang w:val="es-ES"/>
              </w:rPr>
              <w:t>No</w:t>
            </w:r>
          </w:p>
        </w:tc>
      </w:tr>
      <w:tr w:rsidR="003239B8" w:rsidRPr="0043228C" w14:paraId="5BC63B83" w14:textId="77777777" w:rsidTr="004A6A54">
        <w:trPr>
          <w:cantSplit/>
        </w:trPr>
        <w:tc>
          <w:tcPr>
            <w:tcW w:w="3600" w:type="dxa"/>
            <w:tcBorders>
              <w:top w:val="single" w:sz="4" w:space="0" w:color="auto"/>
              <w:bottom w:val="single" w:sz="6" w:space="0" w:color="auto"/>
            </w:tcBorders>
            <w:shd w:val="clear" w:color="auto" w:fill="386294"/>
            <w:vAlign w:val="center"/>
          </w:tcPr>
          <w:p w14:paraId="7600B17C" w14:textId="77777777" w:rsidR="003239B8" w:rsidRPr="00BD3F68" w:rsidRDefault="003239B8" w:rsidP="0099258D">
            <w:pPr>
              <w:jc w:val="center"/>
              <w:rPr>
                <w:rFonts w:asciiTheme="majorHAnsi" w:hAnsiTheme="majorHAnsi"/>
                <w:b/>
                <w:bCs/>
                <w:i/>
                <w:color w:val="FFFFFF" w:themeColor="background1"/>
                <w:sz w:val="20"/>
                <w:szCs w:val="20"/>
              </w:rPr>
            </w:pPr>
            <w:r w:rsidRPr="00BD3F68">
              <w:rPr>
                <w:rFonts w:asciiTheme="majorHAnsi" w:hAnsiTheme="majorHAnsi"/>
                <w:b/>
                <w:bCs/>
                <w:color w:val="FFFFFF" w:themeColor="background1"/>
                <w:sz w:val="20"/>
                <w:szCs w:val="20"/>
              </w:rPr>
              <w:t>Derechos declarados admisibles</w:t>
            </w:r>
            <w:r w:rsidRPr="00BD3F68">
              <w:rPr>
                <w:rFonts w:asciiTheme="majorHAnsi" w:hAnsiTheme="majorHAnsi"/>
                <w:b/>
                <w:bCs/>
                <w:i/>
                <w:color w:val="FFFFFF" w:themeColor="background1"/>
                <w:sz w:val="20"/>
                <w:szCs w:val="20"/>
              </w:rPr>
              <w:t>:</w:t>
            </w:r>
          </w:p>
        </w:tc>
        <w:tc>
          <w:tcPr>
            <w:tcW w:w="5760" w:type="dxa"/>
            <w:vAlign w:val="center"/>
          </w:tcPr>
          <w:p w14:paraId="13A5D417" w14:textId="67A92EEF" w:rsidR="003239B8" w:rsidRPr="00BD3F68" w:rsidRDefault="003A490E" w:rsidP="0099258D">
            <w:pPr>
              <w:jc w:val="both"/>
              <w:rPr>
                <w:rFonts w:asciiTheme="majorHAnsi" w:hAnsiTheme="majorHAnsi"/>
                <w:bCs/>
                <w:sz w:val="20"/>
                <w:szCs w:val="20"/>
                <w:lang w:val="es-PA"/>
              </w:rPr>
            </w:pPr>
            <w:r w:rsidRPr="00BD3F68">
              <w:rPr>
                <w:rFonts w:asciiTheme="majorHAnsi" w:hAnsiTheme="majorHAnsi"/>
                <w:bCs/>
                <w:sz w:val="20"/>
                <w:szCs w:val="20"/>
                <w:lang w:val="es-PA"/>
              </w:rPr>
              <w:t>Artículos 7 (libertad personal), 8 (garantías judiciales), 21 (propiedad privada) y 25 (protección judicial) en relación con los artículos 1(1) (obligación de respetar los derechos) y 2 (deber de adoptar disposiciones de derecho interno) de la Convención Americana</w:t>
            </w:r>
          </w:p>
        </w:tc>
      </w:tr>
      <w:tr w:rsidR="003239B8" w:rsidRPr="00BD3F68" w14:paraId="72A3649C" w14:textId="77777777" w:rsidTr="004A6A54">
        <w:trPr>
          <w:cantSplit/>
        </w:trPr>
        <w:tc>
          <w:tcPr>
            <w:tcW w:w="3600" w:type="dxa"/>
            <w:tcBorders>
              <w:top w:val="single" w:sz="6" w:space="0" w:color="auto"/>
              <w:bottom w:val="single" w:sz="6" w:space="0" w:color="auto"/>
            </w:tcBorders>
            <w:shd w:val="clear" w:color="auto" w:fill="386294"/>
            <w:vAlign w:val="center"/>
          </w:tcPr>
          <w:p w14:paraId="5EE60387" w14:textId="77777777" w:rsidR="003239B8" w:rsidRPr="00BD3F68" w:rsidRDefault="003239B8" w:rsidP="0099258D">
            <w:pPr>
              <w:jc w:val="center"/>
              <w:rPr>
                <w:rFonts w:asciiTheme="majorHAnsi" w:hAnsiTheme="majorHAnsi"/>
                <w:b/>
                <w:bCs/>
                <w:color w:val="FFFFFF" w:themeColor="background1"/>
                <w:sz w:val="20"/>
                <w:szCs w:val="20"/>
                <w:lang w:val="es-ES"/>
              </w:rPr>
            </w:pPr>
            <w:r w:rsidRPr="00BD3F68">
              <w:rPr>
                <w:rFonts w:asciiTheme="majorHAnsi" w:hAnsiTheme="majorHAnsi"/>
                <w:b/>
                <w:bCs/>
                <w:color w:val="FFFFFF" w:themeColor="background1"/>
                <w:sz w:val="20"/>
                <w:szCs w:val="20"/>
                <w:lang w:val="es-ES"/>
              </w:rPr>
              <w:t>Agotamiento de recursos internos</w:t>
            </w:r>
            <w:r w:rsidR="00EE00E9" w:rsidRPr="00BD3F68">
              <w:rPr>
                <w:rFonts w:asciiTheme="majorHAnsi" w:hAnsiTheme="majorHAnsi"/>
                <w:b/>
                <w:bCs/>
                <w:color w:val="FFFFFF" w:themeColor="background1"/>
                <w:sz w:val="20"/>
                <w:szCs w:val="20"/>
                <w:lang w:val="es-ES"/>
              </w:rPr>
              <w:t xml:space="preserve"> o procedencia de una excepción</w:t>
            </w:r>
            <w:r w:rsidRPr="00BD3F68">
              <w:rPr>
                <w:rFonts w:asciiTheme="majorHAnsi" w:hAnsiTheme="majorHAnsi"/>
                <w:b/>
                <w:bCs/>
                <w:color w:val="FFFFFF" w:themeColor="background1"/>
                <w:sz w:val="20"/>
                <w:szCs w:val="20"/>
                <w:lang w:val="es-ES"/>
              </w:rPr>
              <w:t>:</w:t>
            </w:r>
          </w:p>
        </w:tc>
        <w:tc>
          <w:tcPr>
            <w:tcW w:w="5760" w:type="dxa"/>
            <w:vAlign w:val="center"/>
          </w:tcPr>
          <w:p w14:paraId="3922444F" w14:textId="57A388D3" w:rsidR="003239B8" w:rsidRPr="00BD3F68" w:rsidRDefault="003A490E" w:rsidP="0099258D">
            <w:pPr>
              <w:rPr>
                <w:rFonts w:asciiTheme="majorHAnsi" w:hAnsiTheme="majorHAnsi"/>
                <w:bCs/>
                <w:sz w:val="20"/>
                <w:szCs w:val="20"/>
                <w:lang w:val="es-ES"/>
              </w:rPr>
            </w:pPr>
            <w:r w:rsidRPr="00BD3F68">
              <w:rPr>
                <w:rFonts w:asciiTheme="majorHAnsi" w:hAnsiTheme="majorHAnsi"/>
                <w:bCs/>
                <w:sz w:val="20"/>
                <w:szCs w:val="20"/>
                <w:lang w:val="es-ES"/>
              </w:rPr>
              <w:t>Sí</w:t>
            </w:r>
          </w:p>
        </w:tc>
      </w:tr>
      <w:tr w:rsidR="003239B8" w:rsidRPr="00BD3F68" w14:paraId="12F73260" w14:textId="77777777" w:rsidTr="004A6A54">
        <w:trPr>
          <w:cantSplit/>
        </w:trPr>
        <w:tc>
          <w:tcPr>
            <w:tcW w:w="3600" w:type="dxa"/>
            <w:tcBorders>
              <w:top w:val="single" w:sz="6" w:space="0" w:color="auto"/>
              <w:bottom w:val="single" w:sz="6" w:space="0" w:color="auto"/>
            </w:tcBorders>
            <w:shd w:val="clear" w:color="auto" w:fill="386294"/>
            <w:vAlign w:val="center"/>
          </w:tcPr>
          <w:p w14:paraId="0157B3AE" w14:textId="77777777" w:rsidR="003239B8" w:rsidRPr="00BD3F68" w:rsidRDefault="003239B8" w:rsidP="0099258D">
            <w:pPr>
              <w:jc w:val="center"/>
              <w:rPr>
                <w:rFonts w:asciiTheme="majorHAnsi" w:hAnsiTheme="majorHAnsi"/>
                <w:b/>
                <w:bCs/>
                <w:color w:val="FFFFFF" w:themeColor="background1"/>
                <w:sz w:val="20"/>
                <w:szCs w:val="20"/>
                <w:lang w:val="es-PA"/>
              </w:rPr>
            </w:pPr>
            <w:r w:rsidRPr="00BD3F68">
              <w:rPr>
                <w:rFonts w:asciiTheme="majorHAnsi" w:hAnsiTheme="majorHAnsi"/>
                <w:b/>
                <w:bCs/>
                <w:color w:val="FFFFFF" w:themeColor="background1"/>
                <w:sz w:val="20"/>
                <w:szCs w:val="20"/>
                <w:lang w:val="es-PA"/>
              </w:rPr>
              <w:lastRenderedPageBreak/>
              <w:t>Presentación dentro de plazo:</w:t>
            </w:r>
          </w:p>
        </w:tc>
        <w:tc>
          <w:tcPr>
            <w:tcW w:w="5760" w:type="dxa"/>
            <w:vAlign w:val="center"/>
          </w:tcPr>
          <w:p w14:paraId="1C94C932" w14:textId="1AB94759" w:rsidR="003239B8" w:rsidRPr="00BD3F68" w:rsidRDefault="003A490E" w:rsidP="0099258D">
            <w:pPr>
              <w:rPr>
                <w:rFonts w:asciiTheme="majorHAnsi" w:hAnsiTheme="majorHAnsi"/>
                <w:bCs/>
                <w:sz w:val="20"/>
                <w:szCs w:val="20"/>
                <w:lang w:val="es-PA"/>
              </w:rPr>
            </w:pPr>
            <w:r w:rsidRPr="00BD3F68">
              <w:rPr>
                <w:rFonts w:asciiTheme="majorHAnsi" w:hAnsiTheme="majorHAnsi"/>
                <w:bCs/>
                <w:sz w:val="20"/>
                <w:szCs w:val="20"/>
                <w:lang w:val="es-PA"/>
              </w:rPr>
              <w:t>Sí</w:t>
            </w:r>
          </w:p>
        </w:tc>
      </w:tr>
    </w:tbl>
    <w:p w14:paraId="30543620"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0567D0C" w14:textId="2A9CCAC7" w:rsidR="00120547" w:rsidRPr="00120547" w:rsidRDefault="00120547"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s="Courier New"/>
          <w:color w:val="222222"/>
          <w:sz w:val="20"/>
          <w:szCs w:val="20"/>
          <w:bdr w:val="none" w:sz="0" w:space="0" w:color="auto"/>
          <w:lang w:val="es-ES"/>
        </w:rPr>
      </w:pPr>
      <w:r>
        <w:rPr>
          <w:rFonts w:asciiTheme="majorHAnsi" w:eastAsia="Times New Roman" w:hAnsiTheme="majorHAnsi" w:cs="Courier New"/>
          <w:color w:val="222222"/>
          <w:sz w:val="20"/>
          <w:szCs w:val="20"/>
          <w:bdr w:val="none" w:sz="0" w:space="0" w:color="auto"/>
          <w:lang w:val="es"/>
        </w:rPr>
        <w:t xml:space="preserve">Los peticionarios </w:t>
      </w:r>
      <w:r w:rsidR="007F4878">
        <w:rPr>
          <w:rFonts w:asciiTheme="majorHAnsi" w:eastAsia="Times New Roman" w:hAnsiTheme="majorHAnsi" w:cs="Courier New"/>
          <w:color w:val="222222"/>
          <w:sz w:val="20"/>
          <w:szCs w:val="20"/>
          <w:bdr w:val="none" w:sz="0" w:space="0" w:color="auto"/>
          <w:lang w:val="es"/>
        </w:rPr>
        <w:t>denuncian</w:t>
      </w:r>
      <w:r>
        <w:rPr>
          <w:rFonts w:asciiTheme="majorHAnsi" w:eastAsia="Times New Roman" w:hAnsiTheme="majorHAnsi" w:cs="Courier New"/>
          <w:color w:val="222222"/>
          <w:sz w:val="20"/>
          <w:szCs w:val="20"/>
          <w:bdr w:val="none" w:sz="0" w:space="0" w:color="auto"/>
          <w:lang w:val="es"/>
        </w:rPr>
        <w:t xml:space="preserve"> que desde 2008, Shaun Duncan (en adelante “la presunta víctima” o “el señor Duncan” </w:t>
      </w:r>
      <w:r w:rsidR="00DD0FB2">
        <w:rPr>
          <w:rFonts w:asciiTheme="majorHAnsi" w:eastAsia="Times New Roman" w:hAnsiTheme="majorHAnsi" w:cs="Courier New"/>
          <w:color w:val="222222"/>
          <w:sz w:val="20"/>
          <w:szCs w:val="20"/>
          <w:bdr w:val="none" w:sz="0" w:space="0" w:color="auto"/>
          <w:lang w:val="es"/>
        </w:rPr>
        <w:t>en cinco ocasiones ha sido</w:t>
      </w:r>
      <w:r>
        <w:rPr>
          <w:rFonts w:asciiTheme="majorHAnsi" w:eastAsia="Times New Roman" w:hAnsiTheme="majorHAnsi" w:cs="Courier New"/>
          <w:color w:val="222222"/>
          <w:sz w:val="20"/>
          <w:szCs w:val="20"/>
          <w:bdr w:val="none" w:sz="0" w:space="0" w:color="auto"/>
          <w:lang w:val="es"/>
        </w:rPr>
        <w:t xml:space="preserve"> víctima de arrestos y detenciones arbitrarias por parte de agentes de la Fuerza de Policía de Jamaica (JCF). </w:t>
      </w:r>
      <w:r w:rsidR="007A43B2">
        <w:rPr>
          <w:rFonts w:asciiTheme="majorHAnsi" w:eastAsia="Times New Roman" w:hAnsiTheme="majorHAnsi" w:cs="Courier New"/>
          <w:color w:val="222222"/>
          <w:sz w:val="20"/>
          <w:szCs w:val="20"/>
          <w:bdr w:val="none" w:sz="0" w:space="0" w:color="auto"/>
          <w:lang w:val="es"/>
        </w:rPr>
        <w:t>Señalan</w:t>
      </w:r>
      <w:r>
        <w:rPr>
          <w:rFonts w:asciiTheme="majorHAnsi" w:eastAsia="Times New Roman" w:hAnsiTheme="majorHAnsi" w:cs="Courier New"/>
          <w:color w:val="222222"/>
          <w:sz w:val="20"/>
          <w:szCs w:val="20"/>
          <w:bdr w:val="none" w:sz="0" w:space="0" w:color="auto"/>
          <w:lang w:val="es"/>
        </w:rPr>
        <w:t xml:space="preserve"> que (1) el 16 de mayo de 2008 el señor Duncan fue arrestado </w:t>
      </w:r>
      <w:r>
        <w:rPr>
          <w:rFonts w:asciiTheme="majorHAnsi" w:eastAsia="Times New Roman" w:hAnsiTheme="majorHAnsi" w:cs="Courier New"/>
          <w:sz w:val="20"/>
          <w:szCs w:val="20"/>
          <w:bdr w:val="none" w:sz="0" w:space="0" w:color="auto"/>
          <w:lang w:val="es"/>
        </w:rPr>
        <w:t>(presuntamente por su semejanza a un hombre vinculado a un robo) s</w:t>
      </w:r>
      <w:r>
        <w:rPr>
          <w:rFonts w:asciiTheme="majorHAnsi" w:eastAsia="Times New Roman" w:hAnsiTheme="majorHAnsi" w:cs="Courier New"/>
          <w:color w:val="222222"/>
          <w:sz w:val="20"/>
          <w:szCs w:val="20"/>
          <w:bdr w:val="none" w:sz="0" w:space="0" w:color="auto"/>
          <w:lang w:val="es"/>
        </w:rPr>
        <w:t xml:space="preserve">in </w:t>
      </w:r>
      <w:r w:rsidR="005F7301">
        <w:rPr>
          <w:rFonts w:asciiTheme="majorHAnsi" w:eastAsia="Times New Roman" w:hAnsiTheme="majorHAnsi" w:cs="Courier New"/>
          <w:color w:val="222222"/>
          <w:sz w:val="20"/>
          <w:szCs w:val="20"/>
          <w:bdr w:val="none" w:sz="0" w:space="0" w:color="auto"/>
          <w:lang w:val="es"/>
        </w:rPr>
        <w:t>acusación previa</w:t>
      </w:r>
      <w:r>
        <w:rPr>
          <w:rFonts w:asciiTheme="majorHAnsi" w:eastAsia="Times New Roman" w:hAnsiTheme="majorHAnsi" w:cs="Courier New"/>
          <w:color w:val="222222"/>
          <w:sz w:val="20"/>
          <w:szCs w:val="20"/>
          <w:bdr w:val="none" w:sz="0" w:space="0" w:color="auto"/>
          <w:lang w:val="es"/>
        </w:rPr>
        <w:t xml:space="preserve"> o</w:t>
      </w:r>
      <w:r w:rsidR="00B6315E">
        <w:rPr>
          <w:rFonts w:asciiTheme="majorHAnsi" w:eastAsia="Times New Roman" w:hAnsiTheme="majorHAnsi" w:cs="Courier New"/>
          <w:color w:val="222222"/>
          <w:sz w:val="20"/>
          <w:szCs w:val="20"/>
          <w:bdr w:val="none" w:sz="0" w:space="0" w:color="auto"/>
          <w:lang w:val="es"/>
        </w:rPr>
        <w:t xml:space="preserve"> </w:t>
      </w:r>
      <w:r w:rsidR="005F7301">
        <w:rPr>
          <w:rFonts w:asciiTheme="majorHAnsi" w:eastAsia="Times New Roman" w:hAnsiTheme="majorHAnsi" w:cs="Courier New"/>
          <w:color w:val="222222"/>
          <w:sz w:val="20"/>
          <w:szCs w:val="20"/>
          <w:bdr w:val="none" w:sz="0" w:space="0" w:color="auto"/>
          <w:lang w:val="es"/>
        </w:rPr>
        <w:t>citación</w:t>
      </w:r>
      <w:r>
        <w:rPr>
          <w:rFonts w:asciiTheme="majorHAnsi" w:eastAsia="Times New Roman" w:hAnsiTheme="majorHAnsi" w:cs="Courier New"/>
          <w:color w:val="222222"/>
          <w:sz w:val="20"/>
          <w:szCs w:val="20"/>
          <w:bdr w:val="none" w:sz="0" w:space="0" w:color="auto"/>
          <w:lang w:val="es"/>
        </w:rPr>
        <w:t xml:space="preserve"> ante funcionario judicial</w:t>
      </w:r>
      <w:r w:rsidR="005F7301">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y</w:t>
      </w:r>
      <w:r w:rsidR="00B6315E">
        <w:rPr>
          <w:rFonts w:asciiTheme="majorHAnsi" w:eastAsia="Times New Roman" w:hAnsiTheme="majorHAnsi" w:cs="Courier New"/>
          <w:color w:val="222222"/>
          <w:sz w:val="20"/>
          <w:szCs w:val="20"/>
          <w:bdr w:val="none" w:sz="0" w:space="0" w:color="auto"/>
          <w:lang w:val="es"/>
        </w:rPr>
        <w:t xml:space="preserve"> detenido</w:t>
      </w:r>
      <w:r w:rsidR="001A46A0">
        <w:rPr>
          <w:rFonts w:asciiTheme="majorHAnsi" w:eastAsia="Times New Roman" w:hAnsiTheme="majorHAnsi" w:cs="Courier New"/>
          <w:color w:val="222222"/>
          <w:sz w:val="20"/>
          <w:szCs w:val="20"/>
          <w:bdr w:val="none" w:sz="0" w:space="0" w:color="auto"/>
          <w:lang w:val="es"/>
        </w:rPr>
        <w:t xml:space="preserve"> en </w:t>
      </w:r>
      <w:r w:rsidRPr="001A46A0">
        <w:rPr>
          <w:rFonts w:asciiTheme="majorHAnsi" w:eastAsia="Times New Roman" w:hAnsiTheme="majorHAnsi" w:cs="Courier New"/>
          <w:color w:val="222222"/>
          <w:sz w:val="20"/>
          <w:szCs w:val="20"/>
          <w:bdr w:val="none" w:sz="0" w:space="0" w:color="auto"/>
          <w:lang w:val="es"/>
        </w:rPr>
        <w:t>espera</w:t>
      </w:r>
      <w:r>
        <w:rPr>
          <w:rFonts w:asciiTheme="majorHAnsi" w:eastAsia="Times New Roman" w:hAnsiTheme="majorHAnsi" w:cs="Courier New"/>
          <w:color w:val="222222"/>
          <w:sz w:val="20"/>
          <w:szCs w:val="20"/>
          <w:bdr w:val="none" w:sz="0" w:space="0" w:color="auto"/>
          <w:lang w:val="es"/>
        </w:rPr>
        <w:t xml:space="preserve"> de una rueda de reconocimiento que jamás se realizó; </w:t>
      </w:r>
      <w:r w:rsidR="005B2DB8">
        <w:rPr>
          <w:rFonts w:asciiTheme="majorHAnsi" w:eastAsia="Times New Roman" w:hAnsiTheme="majorHAnsi" w:cs="Courier New"/>
          <w:color w:val="222222"/>
          <w:sz w:val="20"/>
          <w:szCs w:val="20"/>
          <w:bdr w:val="none" w:sz="0" w:space="0" w:color="auto"/>
          <w:lang w:val="es"/>
        </w:rPr>
        <w:t>fue</w:t>
      </w:r>
      <w:r>
        <w:rPr>
          <w:rFonts w:asciiTheme="majorHAnsi" w:eastAsia="Times New Roman" w:hAnsiTheme="majorHAnsi" w:cs="Courier New"/>
          <w:color w:val="222222"/>
          <w:sz w:val="20"/>
          <w:szCs w:val="20"/>
          <w:bdr w:val="none" w:sz="0" w:space="0" w:color="auto"/>
          <w:lang w:val="es"/>
        </w:rPr>
        <w:t xml:space="preserve"> libera</w:t>
      </w:r>
      <w:r w:rsidR="005B2DB8">
        <w:rPr>
          <w:rFonts w:asciiTheme="majorHAnsi" w:eastAsia="Times New Roman" w:hAnsiTheme="majorHAnsi" w:cs="Courier New"/>
          <w:color w:val="222222"/>
          <w:sz w:val="20"/>
          <w:szCs w:val="20"/>
          <w:bdr w:val="none" w:sz="0" w:space="0" w:color="auto"/>
          <w:lang w:val="es"/>
        </w:rPr>
        <w:t>do</w:t>
      </w:r>
      <w:r>
        <w:rPr>
          <w:rFonts w:asciiTheme="majorHAnsi" w:eastAsia="Times New Roman" w:hAnsiTheme="majorHAnsi" w:cs="Courier New"/>
          <w:color w:val="222222"/>
          <w:sz w:val="20"/>
          <w:szCs w:val="20"/>
          <w:bdr w:val="none" w:sz="0" w:space="0" w:color="auto"/>
          <w:lang w:val="es"/>
        </w:rPr>
        <w:t xml:space="preserve"> el 6 de junio de 2008; (2) el 14 de abril de 2009</w:t>
      </w:r>
      <w:r w:rsidR="003E023E">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el domicilio del señor Duncan fue allanado con una orden no certificada; parte de sus bienes personales, entre ellos su vehículo, fueron secuestrados y el señor Duncan fue arrestado y </w:t>
      </w:r>
      <w:r w:rsidRPr="003E023E">
        <w:rPr>
          <w:rFonts w:asciiTheme="majorHAnsi" w:eastAsia="Times New Roman" w:hAnsiTheme="majorHAnsi" w:cs="Courier New"/>
          <w:color w:val="222222"/>
          <w:sz w:val="20"/>
          <w:szCs w:val="20"/>
          <w:bdr w:val="none" w:sz="0" w:space="0" w:color="auto"/>
          <w:lang w:val="es"/>
        </w:rPr>
        <w:t>detenido sin</w:t>
      </w:r>
      <w:r w:rsidR="003E023E" w:rsidRPr="003E023E">
        <w:rPr>
          <w:rFonts w:asciiTheme="majorHAnsi" w:eastAsia="Times New Roman" w:hAnsiTheme="majorHAnsi" w:cs="Courier New"/>
          <w:color w:val="222222"/>
          <w:sz w:val="20"/>
          <w:szCs w:val="20"/>
          <w:bdr w:val="none" w:sz="0" w:space="0" w:color="auto"/>
          <w:lang w:val="es"/>
        </w:rPr>
        <w:t xml:space="preserve"> acusación</w:t>
      </w:r>
      <w:r w:rsidR="003E023E">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w:t>
      </w:r>
      <w:r w:rsidR="005B2DB8">
        <w:rPr>
          <w:rFonts w:asciiTheme="majorHAnsi" w:eastAsia="Times New Roman" w:hAnsiTheme="majorHAnsi" w:cs="Courier New"/>
          <w:color w:val="222222"/>
          <w:sz w:val="20"/>
          <w:szCs w:val="20"/>
          <w:bdr w:val="none" w:sz="0" w:space="0" w:color="auto"/>
          <w:lang w:val="es"/>
        </w:rPr>
        <w:t>en</w:t>
      </w:r>
      <w:r>
        <w:rPr>
          <w:rFonts w:asciiTheme="majorHAnsi" w:eastAsia="Times New Roman" w:hAnsiTheme="majorHAnsi" w:cs="Courier New"/>
          <w:color w:val="222222"/>
          <w:sz w:val="20"/>
          <w:szCs w:val="20"/>
          <w:bdr w:val="none" w:sz="0" w:space="0" w:color="auto"/>
          <w:lang w:val="es"/>
        </w:rPr>
        <w:t xml:space="preserve"> espera de una rueda de reconocimiento que no se </w:t>
      </w:r>
      <w:r w:rsidR="005B2DB8">
        <w:rPr>
          <w:rFonts w:asciiTheme="majorHAnsi" w:eastAsia="Times New Roman" w:hAnsiTheme="majorHAnsi" w:cs="Courier New"/>
          <w:color w:val="222222"/>
          <w:sz w:val="20"/>
          <w:szCs w:val="20"/>
          <w:bdr w:val="none" w:sz="0" w:space="0" w:color="auto"/>
          <w:lang w:val="es"/>
        </w:rPr>
        <w:t>realizó</w:t>
      </w:r>
      <w:r>
        <w:rPr>
          <w:rFonts w:asciiTheme="majorHAnsi" w:eastAsia="Times New Roman" w:hAnsiTheme="majorHAnsi" w:cs="Courier New"/>
          <w:color w:val="222222"/>
          <w:sz w:val="20"/>
          <w:szCs w:val="20"/>
          <w:bdr w:val="none" w:sz="0" w:space="0" w:color="auto"/>
          <w:lang w:val="es"/>
        </w:rPr>
        <w:t xml:space="preserve">. </w:t>
      </w:r>
      <w:r w:rsidR="003E023E">
        <w:rPr>
          <w:rFonts w:asciiTheme="majorHAnsi" w:eastAsia="Times New Roman" w:hAnsiTheme="majorHAnsi" w:cs="Courier New"/>
          <w:color w:val="222222"/>
          <w:sz w:val="20"/>
          <w:szCs w:val="20"/>
          <w:bdr w:val="none" w:sz="0" w:space="0" w:color="auto"/>
          <w:lang w:val="es"/>
        </w:rPr>
        <w:t>Indican que</w:t>
      </w:r>
      <w:r>
        <w:rPr>
          <w:rFonts w:asciiTheme="majorHAnsi" w:eastAsia="Times New Roman" w:hAnsiTheme="majorHAnsi" w:cs="Courier New"/>
          <w:color w:val="222222"/>
          <w:sz w:val="20"/>
          <w:szCs w:val="20"/>
          <w:bdr w:val="none" w:sz="0" w:space="0" w:color="auto"/>
          <w:lang w:val="es"/>
        </w:rPr>
        <w:t xml:space="preserve"> </w:t>
      </w:r>
      <w:r w:rsidR="005B2DB8">
        <w:rPr>
          <w:rFonts w:asciiTheme="majorHAnsi" w:eastAsia="Times New Roman" w:hAnsiTheme="majorHAnsi" w:cs="Courier New"/>
          <w:color w:val="222222"/>
          <w:sz w:val="20"/>
          <w:szCs w:val="20"/>
          <w:bdr w:val="none" w:sz="0" w:space="0" w:color="auto"/>
          <w:lang w:val="es"/>
        </w:rPr>
        <w:t>recuperó su</w:t>
      </w:r>
      <w:r>
        <w:rPr>
          <w:rFonts w:asciiTheme="majorHAnsi" w:eastAsia="Times New Roman" w:hAnsiTheme="majorHAnsi" w:cs="Courier New"/>
          <w:color w:val="222222"/>
          <w:sz w:val="20"/>
          <w:szCs w:val="20"/>
          <w:bdr w:val="none" w:sz="0" w:space="0" w:color="auto"/>
          <w:lang w:val="es"/>
        </w:rPr>
        <w:t xml:space="preserve"> libertad el 2 de mayo de 2009 y sus bienes personales</w:t>
      </w:r>
      <w:r w:rsidR="00BC7312">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incluido su vehículo</w:t>
      </w:r>
      <w:r w:rsidR="00BC7312">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los recuperó hacia julio de 2009; (3) el 2 de agosto de 2009</w:t>
      </w:r>
      <w:r w:rsidR="00BC7312">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el señor Duncan fue arrestado y </w:t>
      </w:r>
      <w:r w:rsidR="00BC7312">
        <w:rPr>
          <w:rFonts w:asciiTheme="majorHAnsi" w:eastAsia="Times New Roman" w:hAnsiTheme="majorHAnsi" w:cs="Courier New"/>
          <w:color w:val="222222"/>
          <w:sz w:val="20"/>
          <w:szCs w:val="20"/>
          <w:bdr w:val="none" w:sz="0" w:space="0" w:color="auto"/>
          <w:lang w:val="es"/>
        </w:rPr>
        <w:t>sus</w:t>
      </w:r>
      <w:r>
        <w:rPr>
          <w:rFonts w:asciiTheme="majorHAnsi" w:eastAsia="Times New Roman" w:hAnsiTheme="majorHAnsi" w:cs="Courier New"/>
          <w:color w:val="222222"/>
          <w:sz w:val="20"/>
          <w:szCs w:val="20"/>
          <w:bdr w:val="none" w:sz="0" w:space="0" w:color="auto"/>
          <w:lang w:val="es"/>
        </w:rPr>
        <w:t xml:space="preserve"> elementos personales vinculados a su profesión</w:t>
      </w:r>
      <w:r w:rsidR="00BC7312">
        <w:rPr>
          <w:rFonts w:asciiTheme="majorHAnsi" w:eastAsia="Times New Roman" w:hAnsiTheme="majorHAnsi" w:cs="Courier New"/>
          <w:color w:val="222222"/>
          <w:sz w:val="20"/>
          <w:szCs w:val="20"/>
          <w:bdr w:val="none" w:sz="0" w:space="0" w:color="auto"/>
          <w:lang w:val="es"/>
        </w:rPr>
        <w:t xml:space="preserve"> fueron secuestrados</w:t>
      </w:r>
      <w:r>
        <w:rPr>
          <w:rFonts w:asciiTheme="majorHAnsi" w:eastAsia="Times New Roman" w:hAnsiTheme="majorHAnsi" w:cs="Courier New"/>
          <w:color w:val="222222"/>
          <w:sz w:val="20"/>
          <w:szCs w:val="20"/>
          <w:bdr w:val="none" w:sz="0" w:space="0" w:color="auto"/>
          <w:lang w:val="es"/>
        </w:rPr>
        <w:t xml:space="preserve">, los que no había recuperado hasta la fecha de presentación de su petición. </w:t>
      </w:r>
      <w:r w:rsidR="005B2DB8">
        <w:rPr>
          <w:rFonts w:asciiTheme="majorHAnsi" w:eastAsia="Times New Roman" w:hAnsiTheme="majorHAnsi" w:cs="Courier New"/>
          <w:color w:val="222222"/>
          <w:sz w:val="20"/>
          <w:szCs w:val="20"/>
          <w:bdr w:val="none" w:sz="0" w:space="0" w:color="auto"/>
          <w:lang w:val="es"/>
        </w:rPr>
        <w:t xml:space="preserve">Los peticionarios </w:t>
      </w:r>
      <w:r w:rsidR="00BC7312">
        <w:rPr>
          <w:rFonts w:asciiTheme="majorHAnsi" w:eastAsia="Times New Roman" w:hAnsiTheme="majorHAnsi" w:cs="Courier New"/>
          <w:color w:val="222222"/>
          <w:sz w:val="20"/>
          <w:szCs w:val="20"/>
          <w:bdr w:val="none" w:sz="0" w:space="0" w:color="auto"/>
          <w:lang w:val="es"/>
        </w:rPr>
        <w:t>señalan</w:t>
      </w:r>
      <w:r>
        <w:rPr>
          <w:rFonts w:asciiTheme="majorHAnsi" w:eastAsia="Times New Roman" w:hAnsiTheme="majorHAnsi" w:cs="Courier New"/>
          <w:color w:val="222222"/>
          <w:sz w:val="20"/>
          <w:szCs w:val="20"/>
          <w:bdr w:val="none" w:sz="0" w:space="0" w:color="auto"/>
          <w:lang w:val="es"/>
        </w:rPr>
        <w:t xml:space="preserve"> que el 7 de agosto de 2009, </w:t>
      </w:r>
      <w:r w:rsidR="00E8412A">
        <w:rPr>
          <w:rFonts w:asciiTheme="majorHAnsi" w:eastAsia="Times New Roman" w:hAnsiTheme="majorHAnsi" w:cs="Courier New"/>
          <w:color w:val="222222"/>
          <w:sz w:val="20"/>
          <w:szCs w:val="20"/>
          <w:bdr w:val="none" w:sz="0" w:space="0" w:color="auto"/>
          <w:lang w:val="es"/>
        </w:rPr>
        <w:t xml:space="preserve">ante un juez de primera instancia, </w:t>
      </w:r>
      <w:r>
        <w:rPr>
          <w:rFonts w:asciiTheme="majorHAnsi" w:eastAsia="Times New Roman" w:hAnsiTheme="majorHAnsi" w:cs="Courier New"/>
          <w:color w:val="222222"/>
          <w:sz w:val="20"/>
          <w:szCs w:val="20"/>
          <w:bdr w:val="none" w:sz="0" w:space="0" w:color="auto"/>
          <w:lang w:val="es"/>
        </w:rPr>
        <w:t xml:space="preserve">le informaron </w:t>
      </w:r>
      <w:r w:rsidR="00E8412A">
        <w:rPr>
          <w:rFonts w:asciiTheme="majorHAnsi" w:eastAsia="Times New Roman" w:hAnsiTheme="majorHAnsi" w:cs="Courier New"/>
          <w:color w:val="222222"/>
          <w:sz w:val="20"/>
          <w:szCs w:val="20"/>
          <w:bdr w:val="none" w:sz="0" w:space="0" w:color="auto"/>
          <w:lang w:val="es"/>
        </w:rPr>
        <w:t>que estaba acusado de los delitos de</w:t>
      </w:r>
      <w:r>
        <w:rPr>
          <w:rFonts w:asciiTheme="majorHAnsi" w:eastAsia="Times New Roman" w:hAnsiTheme="majorHAnsi" w:cs="Courier New"/>
          <w:color w:val="222222"/>
          <w:sz w:val="20"/>
          <w:szCs w:val="20"/>
          <w:bdr w:val="none" w:sz="0" w:space="0" w:color="auto"/>
          <w:lang w:val="es"/>
        </w:rPr>
        <w:t xml:space="preserve"> posesión ilícita de bienes y receptación de bienes robados. </w:t>
      </w:r>
      <w:r w:rsidR="00E614C1">
        <w:rPr>
          <w:rFonts w:asciiTheme="majorHAnsi" w:eastAsia="Times New Roman" w:hAnsiTheme="majorHAnsi" w:cs="Courier New"/>
          <w:color w:val="222222"/>
          <w:sz w:val="20"/>
          <w:szCs w:val="20"/>
          <w:bdr w:val="none" w:sz="0" w:space="0" w:color="auto"/>
          <w:lang w:val="es"/>
        </w:rPr>
        <w:t>Alegan que estuvo</w:t>
      </w:r>
      <w:r>
        <w:rPr>
          <w:rFonts w:asciiTheme="majorHAnsi" w:eastAsia="Times New Roman" w:hAnsiTheme="majorHAnsi" w:cs="Courier New"/>
          <w:color w:val="222222"/>
          <w:sz w:val="20"/>
          <w:szCs w:val="20"/>
          <w:bdr w:val="none" w:sz="0" w:space="0" w:color="auto"/>
          <w:lang w:val="es"/>
        </w:rPr>
        <w:t xml:space="preserve"> detenido hasta el 2 de septiembre de 2009, fecha en que se le otorgó</w:t>
      </w:r>
      <w:r w:rsidR="00E0193B">
        <w:rPr>
          <w:rFonts w:asciiTheme="majorHAnsi" w:eastAsia="Times New Roman" w:hAnsiTheme="majorHAnsi" w:cs="Courier New"/>
          <w:color w:val="222222"/>
          <w:sz w:val="20"/>
          <w:szCs w:val="20"/>
          <w:bdr w:val="none" w:sz="0" w:space="0" w:color="auto"/>
          <w:lang w:val="es"/>
        </w:rPr>
        <w:t xml:space="preserve"> la</w:t>
      </w:r>
      <w:r>
        <w:rPr>
          <w:rFonts w:asciiTheme="majorHAnsi" w:eastAsia="Times New Roman" w:hAnsiTheme="majorHAnsi" w:cs="Courier New"/>
          <w:color w:val="222222"/>
          <w:sz w:val="20"/>
          <w:szCs w:val="20"/>
          <w:bdr w:val="none" w:sz="0" w:space="0" w:color="auto"/>
          <w:lang w:val="es"/>
        </w:rPr>
        <w:t xml:space="preserve"> libertad bajo fianza; (4) el 3 de mayo de 2010, cuando </w:t>
      </w:r>
      <w:r w:rsidR="00E0193B">
        <w:rPr>
          <w:rFonts w:asciiTheme="majorHAnsi" w:eastAsia="Times New Roman" w:hAnsiTheme="majorHAnsi" w:cs="Courier New"/>
          <w:color w:val="222222"/>
          <w:sz w:val="20"/>
          <w:szCs w:val="20"/>
          <w:bdr w:val="none" w:sz="0" w:space="0" w:color="auto"/>
          <w:lang w:val="es"/>
        </w:rPr>
        <w:t>el señor Duncan se</w:t>
      </w:r>
      <w:r>
        <w:rPr>
          <w:rFonts w:asciiTheme="majorHAnsi" w:eastAsia="Times New Roman" w:hAnsiTheme="majorHAnsi" w:cs="Courier New"/>
          <w:color w:val="222222"/>
          <w:sz w:val="20"/>
          <w:szCs w:val="20"/>
          <w:bdr w:val="none" w:sz="0" w:space="0" w:color="auto"/>
          <w:lang w:val="es"/>
        </w:rPr>
        <w:t xml:space="preserve"> </w:t>
      </w:r>
      <w:r w:rsidR="00E0193B">
        <w:rPr>
          <w:rFonts w:asciiTheme="majorHAnsi" w:eastAsia="Times New Roman" w:hAnsiTheme="majorHAnsi" w:cs="Courier New"/>
          <w:color w:val="222222"/>
          <w:sz w:val="20"/>
          <w:szCs w:val="20"/>
          <w:bdr w:val="none" w:sz="0" w:space="0" w:color="auto"/>
          <w:lang w:val="es"/>
        </w:rPr>
        <w:t>presentó</w:t>
      </w:r>
      <w:r>
        <w:rPr>
          <w:rFonts w:asciiTheme="majorHAnsi" w:eastAsia="Times New Roman" w:hAnsiTheme="majorHAnsi" w:cs="Courier New"/>
          <w:color w:val="222222"/>
          <w:sz w:val="20"/>
          <w:szCs w:val="20"/>
          <w:bdr w:val="none" w:sz="0" w:space="0" w:color="auto"/>
          <w:lang w:val="es"/>
        </w:rPr>
        <w:t xml:space="preserve"> </w:t>
      </w:r>
      <w:r w:rsidR="00E0193B">
        <w:rPr>
          <w:rFonts w:asciiTheme="majorHAnsi" w:eastAsia="Times New Roman" w:hAnsiTheme="majorHAnsi" w:cs="Courier New"/>
          <w:color w:val="222222"/>
          <w:sz w:val="20"/>
          <w:szCs w:val="20"/>
          <w:bdr w:val="none" w:sz="0" w:space="0" w:color="auto"/>
          <w:lang w:val="es"/>
        </w:rPr>
        <w:t>en</w:t>
      </w:r>
      <w:r>
        <w:rPr>
          <w:rFonts w:asciiTheme="majorHAnsi" w:eastAsia="Times New Roman" w:hAnsiTheme="majorHAnsi" w:cs="Courier New"/>
          <w:color w:val="222222"/>
          <w:sz w:val="20"/>
          <w:szCs w:val="20"/>
          <w:bdr w:val="none" w:sz="0" w:space="0" w:color="auto"/>
          <w:lang w:val="es"/>
        </w:rPr>
        <w:t xml:space="preserve"> la comisaría, </w:t>
      </w:r>
      <w:r w:rsidR="00E0193B">
        <w:rPr>
          <w:rFonts w:asciiTheme="majorHAnsi" w:eastAsia="Times New Roman" w:hAnsiTheme="majorHAnsi" w:cs="Courier New"/>
          <w:color w:val="222222"/>
          <w:sz w:val="20"/>
          <w:szCs w:val="20"/>
          <w:bdr w:val="none" w:sz="0" w:space="0" w:color="auto"/>
          <w:lang w:val="es"/>
        </w:rPr>
        <w:t>le secuestraron</w:t>
      </w:r>
      <w:r>
        <w:rPr>
          <w:rFonts w:asciiTheme="majorHAnsi" w:eastAsia="Times New Roman" w:hAnsiTheme="majorHAnsi" w:cs="Courier New"/>
          <w:color w:val="222222"/>
          <w:sz w:val="20"/>
          <w:szCs w:val="20"/>
          <w:bdr w:val="none" w:sz="0" w:space="0" w:color="auto"/>
          <w:lang w:val="es"/>
        </w:rPr>
        <w:t xml:space="preserve"> </w:t>
      </w:r>
      <w:r w:rsidR="00E0193B">
        <w:rPr>
          <w:rFonts w:asciiTheme="majorHAnsi" w:eastAsia="Times New Roman" w:hAnsiTheme="majorHAnsi" w:cs="Courier New"/>
          <w:color w:val="222222"/>
          <w:sz w:val="20"/>
          <w:szCs w:val="20"/>
          <w:bdr w:val="none" w:sz="0" w:space="0" w:color="auto"/>
          <w:lang w:val="es"/>
        </w:rPr>
        <w:t xml:space="preserve">su </w:t>
      </w:r>
      <w:r>
        <w:rPr>
          <w:rFonts w:asciiTheme="majorHAnsi" w:eastAsia="Times New Roman" w:hAnsiTheme="majorHAnsi" w:cs="Courier New"/>
          <w:color w:val="222222"/>
          <w:sz w:val="20"/>
          <w:szCs w:val="20"/>
          <w:bdr w:val="none" w:sz="0" w:space="0" w:color="auto"/>
          <w:lang w:val="es"/>
        </w:rPr>
        <w:t>ordenador portátil</w:t>
      </w:r>
      <w:r w:rsidR="00E0193B">
        <w:rPr>
          <w:rFonts w:asciiTheme="majorHAnsi" w:eastAsia="Times New Roman" w:hAnsiTheme="majorHAnsi" w:cs="Courier New"/>
          <w:color w:val="222222"/>
          <w:sz w:val="20"/>
          <w:szCs w:val="20"/>
          <w:bdr w:val="none" w:sz="0" w:space="0" w:color="auto"/>
          <w:lang w:val="es"/>
        </w:rPr>
        <w:t>,</w:t>
      </w:r>
      <w:r>
        <w:rPr>
          <w:rFonts w:asciiTheme="majorHAnsi" w:eastAsia="Times New Roman" w:hAnsiTheme="majorHAnsi" w:cs="Courier New"/>
          <w:color w:val="222222"/>
          <w:sz w:val="20"/>
          <w:szCs w:val="20"/>
          <w:bdr w:val="none" w:sz="0" w:space="0" w:color="auto"/>
          <w:lang w:val="es"/>
        </w:rPr>
        <w:t xml:space="preserve"> y el agente policial que </w:t>
      </w:r>
      <w:r>
        <w:rPr>
          <w:rFonts w:asciiTheme="majorHAnsi" w:eastAsia="Times New Roman" w:hAnsiTheme="majorHAnsi" w:cs="Courier New"/>
          <w:sz w:val="20"/>
          <w:szCs w:val="20"/>
          <w:bdr w:val="none" w:sz="0" w:space="0" w:color="auto"/>
          <w:lang w:val="es"/>
        </w:rPr>
        <w:t>lo interrogó,</w:t>
      </w:r>
      <w:r w:rsidR="00E0193B">
        <w:rPr>
          <w:rFonts w:asciiTheme="majorHAnsi" w:eastAsia="Times New Roman" w:hAnsiTheme="majorHAnsi" w:cs="Courier New"/>
          <w:sz w:val="20"/>
          <w:szCs w:val="20"/>
          <w:bdr w:val="none" w:sz="0" w:space="0" w:color="auto"/>
          <w:lang w:val="es"/>
        </w:rPr>
        <w:t xml:space="preserve"> </w:t>
      </w:r>
      <w:r>
        <w:rPr>
          <w:rFonts w:asciiTheme="majorHAnsi" w:eastAsia="Times New Roman" w:hAnsiTheme="majorHAnsi" w:cs="Courier New"/>
          <w:sz w:val="20"/>
          <w:szCs w:val="20"/>
          <w:bdr w:val="none" w:sz="0" w:space="0" w:color="auto"/>
          <w:lang w:val="es"/>
        </w:rPr>
        <w:t>obligó al señor Duncan a ingresar a su oficina y a ponerse de rodillas</w:t>
      </w:r>
      <w:r w:rsidR="00E0193B">
        <w:rPr>
          <w:rFonts w:asciiTheme="majorHAnsi" w:eastAsia="Times New Roman" w:hAnsiTheme="majorHAnsi" w:cs="Courier New"/>
          <w:sz w:val="20"/>
          <w:szCs w:val="20"/>
          <w:bdr w:val="none" w:sz="0" w:space="0" w:color="auto"/>
          <w:lang w:val="es"/>
        </w:rPr>
        <w:t>; allí</w:t>
      </w:r>
      <w:r>
        <w:rPr>
          <w:rFonts w:asciiTheme="majorHAnsi" w:eastAsia="Times New Roman" w:hAnsiTheme="majorHAnsi" w:cs="Courier New"/>
          <w:sz w:val="20"/>
          <w:szCs w:val="20"/>
          <w:bdr w:val="none" w:sz="0" w:space="0" w:color="auto"/>
          <w:lang w:val="es"/>
        </w:rPr>
        <w:t xml:space="preserve"> lo esposó y retorció las esposas para forzarlo a revelar su domicilio actual</w:t>
      </w:r>
      <w:r>
        <w:rPr>
          <w:rStyle w:val="FootnoteReference"/>
          <w:rFonts w:asciiTheme="majorHAnsi" w:eastAsia="Times New Roman" w:hAnsiTheme="majorHAnsi"/>
          <w:sz w:val="20"/>
          <w:szCs w:val="20"/>
          <w:bdr w:val="none" w:sz="0" w:space="0" w:color="auto"/>
          <w:lang w:val="es"/>
        </w:rPr>
        <w:footnoteReference w:id="5"/>
      </w:r>
      <w:r>
        <w:rPr>
          <w:rFonts w:asciiTheme="majorHAnsi" w:eastAsia="Times New Roman" w:hAnsiTheme="majorHAnsi" w:cs="Courier New"/>
          <w:sz w:val="20"/>
          <w:szCs w:val="20"/>
          <w:bdr w:val="none" w:sz="0" w:space="0" w:color="auto"/>
          <w:lang w:val="es"/>
        </w:rPr>
        <w:t xml:space="preserve">. </w:t>
      </w:r>
      <w:r w:rsidR="00E0193B">
        <w:rPr>
          <w:rFonts w:asciiTheme="majorHAnsi" w:eastAsia="Times New Roman" w:hAnsiTheme="majorHAnsi" w:cs="Courier New"/>
          <w:sz w:val="20"/>
          <w:szCs w:val="20"/>
          <w:bdr w:val="none" w:sz="0" w:space="0" w:color="auto"/>
          <w:lang w:val="es"/>
        </w:rPr>
        <w:t xml:space="preserve">Los peticionarios </w:t>
      </w:r>
      <w:r w:rsidR="00C966EC">
        <w:rPr>
          <w:rFonts w:asciiTheme="majorHAnsi" w:eastAsia="Times New Roman" w:hAnsiTheme="majorHAnsi" w:cs="Courier New"/>
          <w:color w:val="222222"/>
          <w:sz w:val="20"/>
          <w:szCs w:val="20"/>
          <w:bdr w:val="none" w:sz="0" w:space="0" w:color="auto"/>
          <w:lang w:val="es"/>
        </w:rPr>
        <w:t>señalan</w:t>
      </w:r>
      <w:r>
        <w:rPr>
          <w:rFonts w:asciiTheme="majorHAnsi" w:eastAsia="Times New Roman" w:hAnsiTheme="majorHAnsi" w:cs="Courier New"/>
          <w:color w:val="222222"/>
          <w:sz w:val="20"/>
          <w:szCs w:val="20"/>
          <w:bdr w:val="none" w:sz="0" w:space="0" w:color="auto"/>
          <w:lang w:val="es"/>
        </w:rPr>
        <w:t xml:space="preserve"> que </w:t>
      </w:r>
      <w:r w:rsidR="00E0193B">
        <w:rPr>
          <w:rFonts w:asciiTheme="majorHAnsi" w:eastAsia="Times New Roman" w:hAnsiTheme="majorHAnsi" w:cs="Courier New"/>
          <w:color w:val="222222"/>
          <w:sz w:val="20"/>
          <w:szCs w:val="20"/>
          <w:bdr w:val="none" w:sz="0" w:space="0" w:color="auto"/>
          <w:lang w:val="es"/>
        </w:rPr>
        <w:t xml:space="preserve">el señor Duncan </w:t>
      </w:r>
      <w:r>
        <w:rPr>
          <w:rFonts w:asciiTheme="majorHAnsi" w:eastAsia="Times New Roman" w:hAnsiTheme="majorHAnsi" w:cs="Courier New"/>
          <w:color w:val="222222"/>
          <w:sz w:val="20"/>
          <w:szCs w:val="20"/>
          <w:bdr w:val="none" w:sz="0" w:space="0" w:color="auto"/>
          <w:lang w:val="es"/>
        </w:rPr>
        <w:t xml:space="preserve">permaneció detenido hasta el 6 de mayo de 2010 </w:t>
      </w:r>
      <w:r w:rsidRPr="00C966EC">
        <w:rPr>
          <w:rFonts w:asciiTheme="majorHAnsi" w:eastAsia="Times New Roman" w:hAnsiTheme="majorHAnsi" w:cs="Courier New"/>
          <w:color w:val="222222"/>
          <w:sz w:val="20"/>
          <w:szCs w:val="20"/>
          <w:bdr w:val="none" w:sz="0" w:space="0" w:color="auto"/>
          <w:lang w:val="es"/>
        </w:rPr>
        <w:t xml:space="preserve">sin </w:t>
      </w:r>
      <w:r w:rsidR="00C966EC">
        <w:rPr>
          <w:rFonts w:asciiTheme="majorHAnsi" w:eastAsia="Times New Roman" w:hAnsiTheme="majorHAnsi" w:cs="Courier New"/>
          <w:color w:val="222222"/>
          <w:sz w:val="20"/>
          <w:szCs w:val="20"/>
          <w:bdr w:val="none" w:sz="0" w:space="0" w:color="auto"/>
          <w:lang w:val="es"/>
        </w:rPr>
        <w:t>que existieran acusaciones en su contra</w:t>
      </w:r>
      <w:r>
        <w:rPr>
          <w:rFonts w:asciiTheme="majorHAnsi" w:eastAsia="Times New Roman" w:hAnsiTheme="majorHAnsi" w:cs="Courier New"/>
          <w:color w:val="222222"/>
          <w:sz w:val="20"/>
          <w:szCs w:val="20"/>
          <w:bdr w:val="none" w:sz="0" w:space="0" w:color="auto"/>
          <w:lang w:val="es"/>
        </w:rPr>
        <w:t xml:space="preserve">; (5) el 9 de octubre de 2011, el señor Duncan fue nuevamente arrestado y detenido. Las acusaciones de receptación de bienes robados </w:t>
      </w:r>
      <w:r w:rsidR="00F52CF4">
        <w:rPr>
          <w:rFonts w:asciiTheme="majorHAnsi" w:eastAsia="Times New Roman" w:hAnsiTheme="majorHAnsi" w:cs="Courier New"/>
          <w:color w:val="222222"/>
          <w:sz w:val="20"/>
          <w:szCs w:val="20"/>
          <w:bdr w:val="none" w:sz="0" w:space="0" w:color="auto"/>
          <w:lang w:val="es"/>
        </w:rPr>
        <w:t>presentadas</w:t>
      </w:r>
      <w:r>
        <w:rPr>
          <w:rFonts w:asciiTheme="majorHAnsi" w:eastAsia="Times New Roman" w:hAnsiTheme="majorHAnsi" w:cs="Courier New"/>
          <w:color w:val="222222"/>
          <w:sz w:val="20"/>
          <w:szCs w:val="20"/>
          <w:bdr w:val="none" w:sz="0" w:space="0" w:color="auto"/>
          <w:lang w:val="es"/>
        </w:rPr>
        <w:t xml:space="preserve"> en su contra finalmente </w:t>
      </w:r>
      <w:r w:rsidR="00F52CF4">
        <w:rPr>
          <w:rFonts w:asciiTheme="majorHAnsi" w:eastAsia="Times New Roman" w:hAnsiTheme="majorHAnsi" w:cs="Courier New"/>
          <w:color w:val="222222"/>
          <w:sz w:val="20"/>
          <w:szCs w:val="20"/>
          <w:bdr w:val="none" w:sz="0" w:space="0" w:color="auto"/>
          <w:lang w:val="es"/>
        </w:rPr>
        <w:t xml:space="preserve">fueron </w:t>
      </w:r>
      <w:r>
        <w:rPr>
          <w:rFonts w:asciiTheme="majorHAnsi" w:eastAsia="Times New Roman" w:hAnsiTheme="majorHAnsi" w:cs="Courier New"/>
          <w:color w:val="222222"/>
          <w:sz w:val="20"/>
          <w:szCs w:val="20"/>
          <w:bdr w:val="none" w:sz="0" w:space="0" w:color="auto"/>
          <w:lang w:val="es"/>
        </w:rPr>
        <w:t xml:space="preserve">desestimadas el 26 de octubre de 2011, pero la acusación </w:t>
      </w:r>
      <w:r w:rsidR="00F52CF4">
        <w:rPr>
          <w:rFonts w:asciiTheme="majorHAnsi" w:eastAsia="Times New Roman" w:hAnsiTheme="majorHAnsi" w:cs="Courier New"/>
          <w:color w:val="222222"/>
          <w:sz w:val="20"/>
          <w:szCs w:val="20"/>
          <w:bdr w:val="none" w:sz="0" w:space="0" w:color="auto"/>
          <w:lang w:val="es"/>
        </w:rPr>
        <w:t>de</w:t>
      </w:r>
      <w:r>
        <w:rPr>
          <w:rFonts w:asciiTheme="majorHAnsi" w:eastAsia="Times New Roman" w:hAnsiTheme="majorHAnsi" w:cs="Courier New"/>
          <w:color w:val="222222"/>
          <w:sz w:val="20"/>
          <w:szCs w:val="20"/>
          <w:bdr w:val="none" w:sz="0" w:space="0" w:color="auto"/>
          <w:lang w:val="es"/>
        </w:rPr>
        <w:t xml:space="preserve"> posesión de herramienta de allanamiento de morada contin</w:t>
      </w:r>
      <w:r w:rsidR="00AE3F60">
        <w:rPr>
          <w:rFonts w:asciiTheme="majorHAnsi" w:eastAsia="Times New Roman" w:hAnsiTheme="majorHAnsi" w:cs="Courier New"/>
          <w:color w:val="222222"/>
          <w:sz w:val="20"/>
          <w:szCs w:val="20"/>
          <w:bdr w:val="none" w:sz="0" w:space="0" w:color="auto"/>
          <w:lang w:val="es"/>
        </w:rPr>
        <w:t>uó</w:t>
      </w:r>
      <w:r>
        <w:rPr>
          <w:rFonts w:asciiTheme="majorHAnsi" w:eastAsia="Times New Roman" w:hAnsiTheme="majorHAnsi" w:cs="Courier New"/>
          <w:color w:val="222222"/>
          <w:sz w:val="20"/>
          <w:szCs w:val="20"/>
          <w:bdr w:val="none" w:sz="0" w:space="0" w:color="auto"/>
          <w:lang w:val="es"/>
        </w:rPr>
        <w:t xml:space="preserve"> vigente independientemente de toda acusación de robo.</w:t>
      </w:r>
    </w:p>
    <w:p w14:paraId="21080CCE" w14:textId="2785BA46" w:rsidR="00120547" w:rsidRPr="002E7753" w:rsidRDefault="00120547"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s="Courier New"/>
          <w:color w:val="222222"/>
          <w:sz w:val="20"/>
          <w:szCs w:val="20"/>
          <w:bdr w:val="none" w:sz="0" w:space="0" w:color="auto"/>
          <w:lang w:val="es-ES"/>
        </w:rPr>
      </w:pPr>
      <w:r>
        <w:rPr>
          <w:rFonts w:asciiTheme="majorHAnsi" w:hAnsiTheme="majorHAnsi"/>
          <w:color w:val="222222"/>
          <w:sz w:val="20"/>
          <w:szCs w:val="20"/>
          <w:bdr w:val="none" w:sz="0" w:space="0" w:color="auto"/>
          <w:lang w:val="es"/>
        </w:rPr>
        <w:t xml:space="preserve">Alegan que el señor Duncan denunciar a la Fuerza de Policía por los dos primeros arrestos </w:t>
      </w:r>
      <w:r w:rsidR="00F52CF4">
        <w:rPr>
          <w:rFonts w:asciiTheme="majorHAnsi" w:hAnsiTheme="majorHAnsi"/>
          <w:color w:val="222222"/>
          <w:sz w:val="20"/>
          <w:szCs w:val="20"/>
          <w:bdr w:val="none" w:sz="0" w:space="0" w:color="auto"/>
          <w:lang w:val="es"/>
        </w:rPr>
        <w:t>presentando</w:t>
      </w:r>
      <w:r>
        <w:rPr>
          <w:rFonts w:asciiTheme="majorHAnsi" w:hAnsiTheme="majorHAnsi"/>
          <w:color w:val="222222"/>
          <w:sz w:val="20"/>
          <w:szCs w:val="20"/>
          <w:bdr w:val="none" w:sz="0" w:space="0" w:color="auto"/>
          <w:lang w:val="es"/>
        </w:rPr>
        <w:t xml:space="preserve"> una acción civil y denuncias ante la </w:t>
      </w:r>
      <w:r>
        <w:rPr>
          <w:rFonts w:asciiTheme="majorHAnsi" w:hAnsiTheme="majorHAnsi"/>
          <w:sz w:val="20"/>
          <w:szCs w:val="20"/>
          <w:lang w:val="es"/>
        </w:rPr>
        <w:t xml:space="preserve">Dirección de Denuncias Públicas de la Policía (PPCA), tras lo cual la policía </w:t>
      </w:r>
      <w:r w:rsidR="002E7753">
        <w:rPr>
          <w:rFonts w:asciiTheme="majorHAnsi" w:hAnsiTheme="majorHAnsi"/>
          <w:sz w:val="20"/>
          <w:szCs w:val="20"/>
          <w:lang w:val="es"/>
        </w:rPr>
        <w:t>le reprimió</w:t>
      </w:r>
      <w:r>
        <w:rPr>
          <w:rFonts w:asciiTheme="majorHAnsi" w:hAnsiTheme="majorHAnsi"/>
          <w:sz w:val="20"/>
          <w:szCs w:val="20"/>
          <w:lang w:val="es"/>
        </w:rPr>
        <w:t xml:space="preserve"> mediante mayores actos de hostigamiento y posteriores arrestos</w:t>
      </w:r>
      <w:r>
        <w:rPr>
          <w:rStyle w:val="FootnoteReference"/>
          <w:rFonts w:asciiTheme="majorHAnsi" w:hAnsiTheme="majorHAnsi"/>
          <w:sz w:val="20"/>
          <w:szCs w:val="20"/>
          <w:lang w:val="es"/>
        </w:rPr>
        <w:footnoteReference w:id="6"/>
      </w:r>
      <w:r>
        <w:rPr>
          <w:rFonts w:asciiTheme="majorHAnsi" w:hAnsiTheme="majorHAnsi"/>
          <w:sz w:val="20"/>
          <w:szCs w:val="20"/>
          <w:lang w:val="es"/>
        </w:rPr>
        <w:t xml:space="preserve">. </w:t>
      </w:r>
      <w:r w:rsidR="00AC6C13">
        <w:rPr>
          <w:rFonts w:asciiTheme="majorHAnsi" w:hAnsiTheme="majorHAnsi"/>
          <w:sz w:val="20"/>
          <w:szCs w:val="20"/>
          <w:lang w:val="es"/>
        </w:rPr>
        <w:t>Denuncian</w:t>
      </w:r>
      <w:r>
        <w:rPr>
          <w:rFonts w:asciiTheme="majorHAnsi" w:hAnsiTheme="majorHAnsi"/>
          <w:sz w:val="20"/>
          <w:szCs w:val="20"/>
          <w:lang w:val="es"/>
        </w:rPr>
        <w:t xml:space="preserve"> </w:t>
      </w:r>
      <w:r>
        <w:rPr>
          <w:rFonts w:asciiTheme="majorHAnsi" w:hAnsiTheme="majorHAnsi"/>
          <w:color w:val="222222"/>
          <w:sz w:val="20"/>
          <w:szCs w:val="20"/>
          <w:bdr w:val="none" w:sz="0" w:space="0" w:color="auto"/>
          <w:lang w:val="es"/>
        </w:rPr>
        <w:t>que</w:t>
      </w:r>
      <w:r w:rsidR="000816EF">
        <w:rPr>
          <w:rFonts w:asciiTheme="majorHAnsi" w:hAnsiTheme="majorHAnsi"/>
          <w:color w:val="222222"/>
          <w:sz w:val="20"/>
          <w:szCs w:val="20"/>
          <w:bdr w:val="none" w:sz="0" w:space="0" w:color="auto"/>
          <w:lang w:val="es"/>
        </w:rPr>
        <w:t>,</w:t>
      </w:r>
      <w:r>
        <w:rPr>
          <w:rFonts w:asciiTheme="majorHAnsi" w:hAnsiTheme="majorHAnsi"/>
          <w:color w:val="222222"/>
          <w:sz w:val="20"/>
          <w:szCs w:val="20"/>
          <w:bdr w:val="none" w:sz="0" w:space="0" w:color="auto"/>
          <w:lang w:val="es"/>
        </w:rPr>
        <w:t xml:space="preserve"> </w:t>
      </w:r>
      <w:r w:rsidR="00AC6C13">
        <w:rPr>
          <w:rFonts w:asciiTheme="majorHAnsi" w:hAnsiTheme="majorHAnsi"/>
          <w:color w:val="222222"/>
          <w:sz w:val="20"/>
          <w:szCs w:val="20"/>
          <w:bdr w:val="none" w:sz="0" w:space="0" w:color="auto"/>
          <w:lang w:val="es"/>
        </w:rPr>
        <w:t>a raíz de</w:t>
      </w:r>
      <w:r>
        <w:rPr>
          <w:rFonts w:asciiTheme="majorHAnsi" w:hAnsiTheme="majorHAnsi"/>
          <w:color w:val="222222"/>
          <w:sz w:val="20"/>
          <w:szCs w:val="20"/>
          <w:bdr w:val="none" w:sz="0" w:space="0" w:color="auto"/>
          <w:lang w:val="es"/>
        </w:rPr>
        <w:t xml:space="preserve"> los constantes hostigamientos, el señor Duncan a</w:t>
      </w:r>
      <w:r w:rsidR="00AC6C13">
        <w:rPr>
          <w:rFonts w:asciiTheme="majorHAnsi" w:hAnsiTheme="majorHAnsi"/>
          <w:color w:val="222222"/>
          <w:sz w:val="20"/>
          <w:szCs w:val="20"/>
          <w:bdr w:val="none" w:sz="0" w:space="0" w:color="auto"/>
          <w:lang w:val="es"/>
        </w:rPr>
        <w:t>ctualmente</w:t>
      </w:r>
      <w:r>
        <w:rPr>
          <w:rFonts w:asciiTheme="majorHAnsi" w:hAnsiTheme="majorHAnsi"/>
          <w:color w:val="222222"/>
          <w:sz w:val="20"/>
          <w:szCs w:val="20"/>
          <w:bdr w:val="none" w:sz="0" w:space="0" w:color="auto"/>
          <w:lang w:val="es"/>
        </w:rPr>
        <w:t xml:space="preserve"> teme por su vida y </w:t>
      </w:r>
      <w:r w:rsidR="00EC2A3E">
        <w:rPr>
          <w:rFonts w:asciiTheme="majorHAnsi" w:hAnsiTheme="majorHAnsi"/>
          <w:color w:val="222222"/>
          <w:sz w:val="20"/>
          <w:szCs w:val="20"/>
          <w:bdr w:val="none" w:sz="0" w:space="0" w:color="auto"/>
          <w:lang w:val="es"/>
        </w:rPr>
        <w:t xml:space="preserve">su </w:t>
      </w:r>
      <w:r>
        <w:rPr>
          <w:rFonts w:asciiTheme="majorHAnsi" w:hAnsiTheme="majorHAnsi"/>
          <w:color w:val="222222"/>
          <w:sz w:val="20"/>
          <w:szCs w:val="20"/>
          <w:bdr w:val="none" w:sz="0" w:space="0" w:color="auto"/>
          <w:lang w:val="es"/>
        </w:rPr>
        <w:t xml:space="preserve">seguridad y que los repetidos arrestos y detenciones </w:t>
      </w:r>
      <w:r w:rsidR="00AC6C13">
        <w:rPr>
          <w:rFonts w:asciiTheme="majorHAnsi" w:hAnsiTheme="majorHAnsi"/>
          <w:color w:val="222222"/>
          <w:sz w:val="20"/>
          <w:szCs w:val="20"/>
          <w:bdr w:val="none" w:sz="0" w:space="0" w:color="auto"/>
          <w:lang w:val="es"/>
        </w:rPr>
        <w:t>ilegales</w:t>
      </w:r>
      <w:r>
        <w:rPr>
          <w:rFonts w:asciiTheme="majorHAnsi" w:hAnsiTheme="majorHAnsi"/>
          <w:color w:val="222222"/>
          <w:sz w:val="20"/>
          <w:szCs w:val="20"/>
          <w:bdr w:val="none" w:sz="0" w:space="0" w:color="auto"/>
          <w:lang w:val="es"/>
        </w:rPr>
        <w:t xml:space="preserve"> han perjudicado su </w:t>
      </w:r>
      <w:r w:rsidR="002E7753">
        <w:rPr>
          <w:rFonts w:asciiTheme="majorHAnsi" w:hAnsiTheme="majorHAnsi"/>
          <w:color w:val="222222"/>
          <w:sz w:val="20"/>
          <w:szCs w:val="20"/>
          <w:bdr w:val="none" w:sz="0" w:space="0" w:color="auto"/>
          <w:lang w:val="es"/>
        </w:rPr>
        <w:t>actividad económica y le</w:t>
      </w:r>
      <w:r>
        <w:rPr>
          <w:rFonts w:asciiTheme="majorHAnsi" w:hAnsiTheme="majorHAnsi"/>
          <w:color w:val="222222"/>
          <w:sz w:val="20"/>
          <w:szCs w:val="20"/>
          <w:bdr w:val="none" w:sz="0" w:space="0" w:color="auto"/>
          <w:lang w:val="es"/>
        </w:rPr>
        <w:t xml:space="preserve"> </w:t>
      </w:r>
      <w:r w:rsidR="002E7753">
        <w:rPr>
          <w:rFonts w:asciiTheme="majorHAnsi" w:hAnsiTheme="majorHAnsi"/>
          <w:color w:val="222222"/>
          <w:sz w:val="20"/>
          <w:szCs w:val="20"/>
          <w:bdr w:val="none" w:sz="0" w:space="0" w:color="auto"/>
          <w:lang w:val="es"/>
        </w:rPr>
        <w:t>han</w:t>
      </w:r>
      <w:r>
        <w:rPr>
          <w:rFonts w:asciiTheme="majorHAnsi" w:hAnsiTheme="majorHAnsi"/>
          <w:color w:val="222222"/>
          <w:sz w:val="20"/>
          <w:szCs w:val="20"/>
          <w:bdr w:val="none" w:sz="0" w:space="0" w:color="auto"/>
          <w:lang w:val="es"/>
        </w:rPr>
        <w:t xml:space="preserve"> impedido sostener a su familia. </w:t>
      </w:r>
      <w:r>
        <w:rPr>
          <w:rFonts w:asciiTheme="majorHAnsi" w:hAnsiTheme="majorHAnsi"/>
          <w:sz w:val="20"/>
          <w:szCs w:val="20"/>
          <w:bdr w:val="none" w:sz="0" w:space="0" w:color="auto"/>
          <w:lang w:val="es"/>
        </w:rPr>
        <w:t>A</w:t>
      </w:r>
      <w:r w:rsidR="008D2391">
        <w:rPr>
          <w:rFonts w:asciiTheme="majorHAnsi" w:hAnsiTheme="majorHAnsi"/>
          <w:sz w:val="20"/>
          <w:szCs w:val="20"/>
          <w:bdr w:val="none" w:sz="0" w:space="0" w:color="auto"/>
          <w:lang w:val="es"/>
        </w:rPr>
        <w:t>gregan</w:t>
      </w:r>
      <w:r>
        <w:rPr>
          <w:rFonts w:asciiTheme="majorHAnsi" w:hAnsiTheme="majorHAnsi"/>
          <w:sz w:val="20"/>
          <w:szCs w:val="20"/>
          <w:bdr w:val="none" w:sz="0" w:space="0" w:color="auto"/>
          <w:lang w:val="es"/>
        </w:rPr>
        <w:t xml:space="preserve"> que </w:t>
      </w:r>
      <w:r w:rsidR="000816EF">
        <w:rPr>
          <w:rFonts w:asciiTheme="majorHAnsi" w:hAnsiTheme="majorHAnsi"/>
          <w:sz w:val="20"/>
          <w:szCs w:val="20"/>
          <w:bdr w:val="none" w:sz="0" w:space="0" w:color="auto"/>
          <w:lang w:val="es"/>
        </w:rPr>
        <w:t xml:space="preserve">el señor Duncan ha sido perjudicado en su </w:t>
      </w:r>
      <w:r>
        <w:rPr>
          <w:rFonts w:asciiTheme="majorHAnsi" w:hAnsiTheme="majorHAnsi"/>
          <w:sz w:val="20"/>
          <w:szCs w:val="20"/>
          <w:bdr w:val="none" w:sz="0" w:space="0" w:color="auto"/>
          <w:lang w:val="es"/>
        </w:rPr>
        <w:t>derecho de circulación ya que, al temer por su vida, la presunta víctima ha estado viviendo en lugares</w:t>
      </w:r>
      <w:r w:rsidR="000816EF">
        <w:rPr>
          <w:rFonts w:asciiTheme="majorHAnsi" w:hAnsiTheme="majorHAnsi"/>
          <w:sz w:val="20"/>
          <w:szCs w:val="20"/>
          <w:bdr w:val="none" w:sz="0" w:space="0" w:color="auto"/>
          <w:lang w:val="es"/>
        </w:rPr>
        <w:t xml:space="preserve"> diferentes</w:t>
      </w:r>
      <w:r w:rsidR="004C78C9">
        <w:rPr>
          <w:rFonts w:asciiTheme="majorHAnsi" w:hAnsiTheme="majorHAnsi"/>
          <w:sz w:val="20"/>
          <w:szCs w:val="20"/>
          <w:bdr w:val="none" w:sz="0" w:space="0" w:color="auto"/>
          <w:lang w:val="es"/>
        </w:rPr>
        <w:t>,</w:t>
      </w:r>
      <w:r>
        <w:rPr>
          <w:rFonts w:asciiTheme="majorHAnsi" w:hAnsiTheme="majorHAnsi"/>
          <w:sz w:val="20"/>
          <w:szCs w:val="20"/>
          <w:bdr w:val="none" w:sz="0" w:space="0" w:color="auto"/>
          <w:lang w:val="es"/>
        </w:rPr>
        <w:t xml:space="preserve"> pues se siente inseguro viviendo en un domicilio permanente. </w:t>
      </w:r>
      <w:r w:rsidR="008D2391">
        <w:rPr>
          <w:rFonts w:asciiTheme="majorHAnsi" w:hAnsiTheme="majorHAnsi"/>
          <w:sz w:val="20"/>
          <w:szCs w:val="20"/>
          <w:bdr w:val="none" w:sz="0" w:space="0" w:color="auto"/>
          <w:lang w:val="es"/>
        </w:rPr>
        <w:t>Señalan</w:t>
      </w:r>
      <w:r>
        <w:rPr>
          <w:rFonts w:asciiTheme="majorHAnsi" w:hAnsiTheme="majorHAnsi"/>
          <w:sz w:val="20"/>
          <w:szCs w:val="20"/>
          <w:bdr w:val="none" w:sz="0" w:space="0" w:color="auto"/>
          <w:lang w:val="es"/>
        </w:rPr>
        <w:t xml:space="preserve"> </w:t>
      </w:r>
      <w:r w:rsidR="008D2391">
        <w:rPr>
          <w:rFonts w:asciiTheme="majorHAnsi" w:hAnsiTheme="majorHAnsi"/>
          <w:sz w:val="20"/>
          <w:szCs w:val="20"/>
          <w:bdr w:val="none" w:sz="0" w:space="0" w:color="auto"/>
          <w:lang w:val="es"/>
        </w:rPr>
        <w:t xml:space="preserve">también </w:t>
      </w:r>
      <w:r>
        <w:rPr>
          <w:rFonts w:asciiTheme="majorHAnsi" w:hAnsiTheme="majorHAnsi"/>
          <w:sz w:val="20"/>
          <w:szCs w:val="20"/>
          <w:bdr w:val="none" w:sz="0" w:space="0" w:color="auto"/>
          <w:lang w:val="es"/>
        </w:rPr>
        <w:t xml:space="preserve">que el obrar de la policía ha impedido </w:t>
      </w:r>
      <w:r w:rsidR="004C78C9">
        <w:rPr>
          <w:rFonts w:asciiTheme="majorHAnsi" w:hAnsiTheme="majorHAnsi"/>
          <w:sz w:val="20"/>
          <w:szCs w:val="20"/>
          <w:bdr w:val="none" w:sz="0" w:space="0" w:color="auto"/>
          <w:lang w:val="es"/>
        </w:rPr>
        <w:t>que</w:t>
      </w:r>
      <w:r>
        <w:rPr>
          <w:rFonts w:asciiTheme="majorHAnsi" w:hAnsiTheme="majorHAnsi"/>
          <w:sz w:val="20"/>
          <w:szCs w:val="20"/>
          <w:bdr w:val="none" w:sz="0" w:space="0" w:color="auto"/>
          <w:lang w:val="es"/>
        </w:rPr>
        <w:t xml:space="preserve"> </w:t>
      </w:r>
      <w:r w:rsidR="004C78C9">
        <w:rPr>
          <w:rFonts w:asciiTheme="majorHAnsi" w:hAnsiTheme="majorHAnsi"/>
          <w:sz w:val="20"/>
          <w:szCs w:val="20"/>
          <w:bdr w:val="none" w:sz="0" w:space="0" w:color="auto"/>
          <w:lang w:val="es"/>
        </w:rPr>
        <w:t>la presunta víctima</w:t>
      </w:r>
      <w:r>
        <w:rPr>
          <w:rFonts w:asciiTheme="majorHAnsi" w:hAnsiTheme="majorHAnsi"/>
          <w:sz w:val="20"/>
          <w:szCs w:val="20"/>
          <w:bdr w:val="none" w:sz="0" w:space="0" w:color="auto"/>
          <w:lang w:val="es"/>
        </w:rPr>
        <w:t xml:space="preserve"> cons</w:t>
      </w:r>
      <w:r w:rsidR="004C78C9">
        <w:rPr>
          <w:rFonts w:asciiTheme="majorHAnsi" w:hAnsiTheme="majorHAnsi"/>
          <w:sz w:val="20"/>
          <w:szCs w:val="20"/>
          <w:bdr w:val="none" w:sz="0" w:space="0" w:color="auto"/>
          <w:lang w:val="es"/>
        </w:rPr>
        <w:t>iga</w:t>
      </w:r>
      <w:r>
        <w:rPr>
          <w:rFonts w:asciiTheme="majorHAnsi" w:hAnsiTheme="majorHAnsi"/>
          <w:sz w:val="20"/>
          <w:szCs w:val="20"/>
          <w:bdr w:val="none" w:sz="0" w:space="0" w:color="auto"/>
          <w:lang w:val="es"/>
        </w:rPr>
        <w:t xml:space="preserve"> un empleo de tiempo completo</w:t>
      </w:r>
      <w:r w:rsidR="004C78C9">
        <w:rPr>
          <w:rFonts w:asciiTheme="majorHAnsi" w:hAnsiTheme="majorHAnsi"/>
          <w:sz w:val="20"/>
          <w:szCs w:val="20"/>
          <w:bdr w:val="none" w:sz="0" w:space="0" w:color="auto"/>
          <w:lang w:val="es"/>
        </w:rPr>
        <w:t>,</w:t>
      </w:r>
      <w:r>
        <w:rPr>
          <w:rFonts w:asciiTheme="majorHAnsi" w:hAnsiTheme="majorHAnsi"/>
          <w:sz w:val="20"/>
          <w:szCs w:val="20"/>
          <w:bdr w:val="none" w:sz="0" w:space="0" w:color="auto"/>
          <w:lang w:val="es"/>
        </w:rPr>
        <w:t xml:space="preserve"> dado que muchos de los empleos que </w:t>
      </w:r>
      <w:r w:rsidR="004C78C9">
        <w:rPr>
          <w:rFonts w:asciiTheme="majorHAnsi" w:hAnsiTheme="majorHAnsi"/>
          <w:sz w:val="20"/>
          <w:szCs w:val="20"/>
          <w:bdr w:val="none" w:sz="0" w:space="0" w:color="auto"/>
          <w:lang w:val="es"/>
        </w:rPr>
        <w:t xml:space="preserve">ésta </w:t>
      </w:r>
      <w:r>
        <w:rPr>
          <w:rFonts w:asciiTheme="majorHAnsi" w:hAnsiTheme="majorHAnsi"/>
          <w:sz w:val="20"/>
          <w:szCs w:val="20"/>
          <w:bdr w:val="none" w:sz="0" w:space="0" w:color="auto"/>
          <w:lang w:val="es"/>
        </w:rPr>
        <w:t xml:space="preserve">quisiera realizar se encuentran en áreas de la isla donde los </w:t>
      </w:r>
      <w:r w:rsidR="00D04DE3">
        <w:rPr>
          <w:rFonts w:asciiTheme="majorHAnsi" w:hAnsiTheme="majorHAnsi"/>
          <w:sz w:val="20"/>
          <w:szCs w:val="20"/>
          <w:bdr w:val="none" w:sz="0" w:space="0" w:color="auto"/>
          <w:lang w:val="es"/>
        </w:rPr>
        <w:t>agentes</w:t>
      </w:r>
      <w:r>
        <w:rPr>
          <w:rFonts w:asciiTheme="majorHAnsi" w:hAnsiTheme="majorHAnsi"/>
          <w:sz w:val="20"/>
          <w:szCs w:val="20"/>
          <w:bdr w:val="none" w:sz="0" w:space="0" w:color="auto"/>
          <w:lang w:val="es"/>
        </w:rPr>
        <w:t xml:space="preserve"> de la JCF han amenazado su seguridad. La petición indica que las acciones de la JCF contra el señor Duncan son parte de </w:t>
      </w:r>
      <w:r w:rsidR="004C78C9">
        <w:rPr>
          <w:rFonts w:asciiTheme="majorHAnsi" w:hAnsiTheme="majorHAnsi"/>
          <w:sz w:val="20"/>
          <w:szCs w:val="20"/>
          <w:bdr w:val="none" w:sz="0" w:space="0" w:color="auto"/>
          <w:lang w:val="es"/>
        </w:rPr>
        <w:t xml:space="preserve">una serie de </w:t>
      </w:r>
      <w:r>
        <w:rPr>
          <w:rFonts w:asciiTheme="majorHAnsi" w:hAnsiTheme="majorHAnsi"/>
          <w:sz w:val="20"/>
          <w:szCs w:val="20"/>
          <w:bdr w:val="none" w:sz="0" w:space="0" w:color="auto"/>
          <w:lang w:val="es"/>
        </w:rPr>
        <w:t>prácticas de intimidación y</w:t>
      </w:r>
      <w:r w:rsidR="004C78C9">
        <w:rPr>
          <w:rFonts w:asciiTheme="majorHAnsi" w:hAnsiTheme="majorHAnsi"/>
          <w:sz w:val="20"/>
          <w:szCs w:val="20"/>
          <w:bdr w:val="none" w:sz="0" w:space="0" w:color="auto"/>
          <w:lang w:val="es"/>
        </w:rPr>
        <w:t xml:space="preserve"> de</w:t>
      </w:r>
      <w:r>
        <w:rPr>
          <w:rFonts w:asciiTheme="majorHAnsi" w:hAnsiTheme="majorHAnsi"/>
          <w:sz w:val="20"/>
          <w:szCs w:val="20"/>
          <w:bdr w:val="none" w:sz="0" w:space="0" w:color="auto"/>
          <w:lang w:val="es"/>
        </w:rPr>
        <w:t xml:space="preserve"> abuso de poder policial comunes en Jamaica que han sido ampliamente documentadas y </w:t>
      </w:r>
      <w:r w:rsidR="004C78C9">
        <w:rPr>
          <w:rFonts w:asciiTheme="majorHAnsi" w:hAnsiTheme="majorHAnsi"/>
          <w:sz w:val="20"/>
          <w:szCs w:val="20"/>
          <w:bdr w:val="none" w:sz="0" w:space="0" w:color="auto"/>
          <w:lang w:val="es"/>
        </w:rPr>
        <w:t xml:space="preserve">que </w:t>
      </w:r>
      <w:r>
        <w:rPr>
          <w:rFonts w:asciiTheme="majorHAnsi" w:hAnsiTheme="majorHAnsi"/>
          <w:sz w:val="20"/>
          <w:szCs w:val="20"/>
          <w:bdr w:val="none" w:sz="0" w:space="0" w:color="auto"/>
          <w:lang w:val="es"/>
        </w:rPr>
        <w:t xml:space="preserve">son </w:t>
      </w:r>
      <w:r w:rsidR="00175977">
        <w:rPr>
          <w:rFonts w:asciiTheme="majorHAnsi" w:hAnsiTheme="majorHAnsi"/>
          <w:sz w:val="20"/>
          <w:szCs w:val="20"/>
          <w:bdr w:val="none" w:sz="0" w:space="0" w:color="auto"/>
          <w:lang w:val="es"/>
        </w:rPr>
        <w:t>efecto</w:t>
      </w:r>
      <w:r>
        <w:rPr>
          <w:rFonts w:asciiTheme="majorHAnsi" w:hAnsiTheme="majorHAnsi"/>
          <w:sz w:val="20"/>
          <w:szCs w:val="20"/>
          <w:bdr w:val="none" w:sz="0" w:space="0" w:color="auto"/>
          <w:lang w:val="es"/>
        </w:rPr>
        <w:t xml:space="preserve"> de </w:t>
      </w:r>
      <w:r w:rsidR="004C78C9">
        <w:rPr>
          <w:rFonts w:asciiTheme="majorHAnsi" w:hAnsiTheme="majorHAnsi"/>
          <w:sz w:val="20"/>
          <w:szCs w:val="20"/>
          <w:bdr w:val="none" w:sz="0" w:space="0" w:color="auto"/>
          <w:lang w:val="es"/>
        </w:rPr>
        <w:t>una</w:t>
      </w:r>
      <w:r>
        <w:rPr>
          <w:rFonts w:asciiTheme="majorHAnsi" w:hAnsiTheme="majorHAnsi"/>
          <w:sz w:val="20"/>
          <w:szCs w:val="20"/>
          <w:bdr w:val="none" w:sz="0" w:space="0" w:color="auto"/>
          <w:lang w:val="es"/>
        </w:rPr>
        <w:t xml:space="preserve"> falta generalizada de </w:t>
      </w:r>
      <w:r w:rsidR="004C78C9">
        <w:rPr>
          <w:rFonts w:asciiTheme="majorHAnsi" w:hAnsiTheme="majorHAnsi"/>
          <w:sz w:val="20"/>
          <w:szCs w:val="20"/>
          <w:bdr w:val="none" w:sz="0" w:space="0" w:color="auto"/>
          <w:lang w:val="es"/>
        </w:rPr>
        <w:t>control judicial</w:t>
      </w:r>
      <w:r>
        <w:rPr>
          <w:rFonts w:asciiTheme="majorHAnsi" w:hAnsiTheme="majorHAnsi"/>
          <w:sz w:val="20"/>
          <w:szCs w:val="20"/>
          <w:bdr w:val="none" w:sz="0" w:space="0" w:color="auto"/>
          <w:lang w:val="es"/>
        </w:rPr>
        <w:t xml:space="preserve"> </w:t>
      </w:r>
      <w:r w:rsidR="004C78C9">
        <w:rPr>
          <w:rFonts w:asciiTheme="majorHAnsi" w:hAnsiTheme="majorHAnsi"/>
          <w:sz w:val="20"/>
          <w:szCs w:val="20"/>
          <w:bdr w:val="none" w:sz="0" w:space="0" w:color="auto"/>
          <w:lang w:val="es"/>
        </w:rPr>
        <w:t xml:space="preserve">adecuado </w:t>
      </w:r>
      <w:r>
        <w:rPr>
          <w:rFonts w:asciiTheme="majorHAnsi" w:hAnsiTheme="majorHAnsi"/>
          <w:sz w:val="20"/>
          <w:szCs w:val="20"/>
          <w:bdr w:val="none" w:sz="0" w:space="0" w:color="auto"/>
          <w:lang w:val="es"/>
        </w:rPr>
        <w:t>que</w:t>
      </w:r>
      <w:r w:rsidR="0067004F">
        <w:rPr>
          <w:rFonts w:asciiTheme="majorHAnsi" w:hAnsiTheme="majorHAnsi"/>
          <w:sz w:val="20"/>
          <w:szCs w:val="20"/>
          <w:bdr w:val="none" w:sz="0" w:space="0" w:color="auto"/>
          <w:lang w:val="es"/>
        </w:rPr>
        <w:t>, a su vez,</w:t>
      </w:r>
      <w:r>
        <w:rPr>
          <w:rFonts w:asciiTheme="majorHAnsi" w:hAnsiTheme="majorHAnsi"/>
          <w:sz w:val="20"/>
          <w:szCs w:val="20"/>
          <w:bdr w:val="none" w:sz="0" w:space="0" w:color="auto"/>
          <w:lang w:val="es"/>
        </w:rPr>
        <w:t xml:space="preserve"> permite que los abusos policiales queden impunes.</w:t>
      </w:r>
    </w:p>
    <w:p w14:paraId="4BA3EFA6" w14:textId="185B66A6" w:rsidR="002E7753" w:rsidRPr="00120547" w:rsidRDefault="002E7753" w:rsidP="002E77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ES"/>
        </w:rPr>
      </w:pPr>
      <w:r>
        <w:rPr>
          <w:rFonts w:ascii="Cambria" w:hAnsi="Cambria"/>
          <w:sz w:val="20"/>
          <w:szCs w:val="20"/>
          <w:lang w:val="es-ES"/>
        </w:rPr>
        <w:t>S</w:t>
      </w:r>
      <w:r>
        <w:rPr>
          <w:rFonts w:ascii="Cambria" w:hAnsi="Cambria"/>
          <w:sz w:val="20"/>
          <w:szCs w:val="20"/>
          <w:lang w:val="es"/>
        </w:rPr>
        <w:t xml:space="preserve">eñalan que el señor Duncan </w:t>
      </w:r>
      <w:r>
        <w:rPr>
          <w:rFonts w:asciiTheme="majorHAnsi" w:hAnsiTheme="majorHAnsi"/>
          <w:sz w:val="20"/>
          <w:szCs w:val="20"/>
          <w:lang w:val="es"/>
        </w:rPr>
        <w:t>contactó y acudió a Jamaiquinos por la Justicia (JFJ) el 18 de julio de 2008. Además, afirman que el 22 de abril de 2009 se presentó una demanda civil ante la Corte Suprema contra tres oficiales de policía responsables del arresto y detención arbitraria del señor Duncan. El señor Duncan alega que denunció sus primeros dos arrestos y detenciones ante la Dirección de Denuncias Públicas de la Policía (PPCA) el 13 de mayo de 2009. No obstante, los peticionarios argumentan que la PPCA generalmente es considerada ineficaz para controlar e impedir situaciones de abuso policial debido a la falta de recursos, la falta de autoridad para tomar declaración a testigos o sospechosos y la falta de medios para proteger la vida y la integridad física de los denunciantes durante las averiguaciones.</w:t>
      </w:r>
    </w:p>
    <w:p w14:paraId="5047E586" w14:textId="5DA4AE7A" w:rsidR="002E7753" w:rsidRPr="00120547" w:rsidRDefault="002E7753"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s="Courier New"/>
          <w:color w:val="222222"/>
          <w:sz w:val="20"/>
          <w:szCs w:val="20"/>
          <w:bdr w:val="none" w:sz="0" w:space="0" w:color="auto"/>
          <w:lang w:val="es-ES"/>
        </w:rPr>
      </w:pPr>
      <w:r>
        <w:rPr>
          <w:rFonts w:asciiTheme="majorHAnsi" w:hAnsiTheme="majorHAnsi"/>
          <w:color w:val="222222"/>
          <w:sz w:val="20"/>
          <w:szCs w:val="20"/>
          <w:bdr w:val="none" w:sz="0" w:space="0" w:color="auto"/>
          <w:lang w:val="es-ES"/>
        </w:rPr>
        <w:lastRenderedPageBreak/>
        <w:t>S</w:t>
      </w:r>
      <w:r>
        <w:rPr>
          <w:rFonts w:asciiTheme="majorHAnsi" w:hAnsiTheme="majorHAnsi"/>
          <w:color w:val="222222"/>
          <w:sz w:val="20"/>
          <w:szCs w:val="20"/>
          <w:bdr w:val="none" w:sz="0" w:space="0" w:color="auto"/>
          <w:lang w:val="es"/>
        </w:rPr>
        <w:t>ostienen que Jamaica no dispone de un sistema adecuado que garantice una evaluación de oficio de todas las detenciones. Señalan que, en la práctica, los agentes de la JCF realizan una evaluación inicial de legalidad de los arrestos policiales y que los jueces de primera instancia suelen deferir a la justificación policial de que existen averiguaciones en curso y, así, autorizan la detención prolongada de sospechosos no sin acusaciones pendientes</w:t>
      </w:r>
      <w:r>
        <w:rPr>
          <w:rStyle w:val="FootnoteReference"/>
          <w:rFonts w:asciiTheme="majorHAnsi" w:eastAsia="Times New Roman" w:hAnsiTheme="majorHAnsi"/>
          <w:color w:val="222222"/>
          <w:sz w:val="20"/>
          <w:szCs w:val="20"/>
          <w:bdr w:val="none" w:sz="0" w:space="0" w:color="auto"/>
          <w:lang w:val="es"/>
        </w:rPr>
        <w:footnoteReference w:id="7"/>
      </w:r>
      <w:r>
        <w:rPr>
          <w:rFonts w:asciiTheme="majorHAnsi" w:hAnsiTheme="majorHAnsi"/>
          <w:color w:val="222222"/>
          <w:sz w:val="20"/>
          <w:szCs w:val="20"/>
          <w:bdr w:val="none" w:sz="0" w:space="0" w:color="auto"/>
          <w:lang w:val="es"/>
        </w:rPr>
        <w:t>. Los peticionarios también alegan</w:t>
      </w:r>
      <w:r>
        <w:rPr>
          <w:rFonts w:asciiTheme="majorHAnsi" w:hAnsiTheme="majorHAnsi"/>
          <w:sz w:val="20"/>
          <w:szCs w:val="20"/>
          <w:lang w:val="es"/>
        </w:rPr>
        <w:t xml:space="preserve"> que al señor Duncan se le impidió acceder a los recursos judiciales internos cuando en </w:t>
      </w:r>
      <w:r>
        <w:rPr>
          <w:rFonts w:asciiTheme="majorHAnsi" w:hAnsiTheme="majorHAnsi"/>
          <w:color w:val="222222"/>
          <w:sz w:val="20"/>
          <w:szCs w:val="20"/>
          <w:bdr w:val="none" w:sz="0" w:space="0" w:color="auto"/>
          <w:lang w:val="es"/>
        </w:rPr>
        <w:t xml:space="preserve">repetidas oportunidades </w:t>
      </w:r>
      <w:r w:rsidRPr="00C7399A">
        <w:rPr>
          <w:rFonts w:asciiTheme="majorHAnsi" w:hAnsiTheme="majorHAnsi"/>
          <w:color w:val="222222"/>
          <w:sz w:val="20"/>
          <w:szCs w:val="20"/>
          <w:bdr w:val="none" w:sz="0" w:space="0" w:color="auto"/>
          <w:lang w:val="es"/>
        </w:rPr>
        <w:t>se le negó el acceso</w:t>
      </w:r>
      <w:r>
        <w:rPr>
          <w:rFonts w:asciiTheme="majorHAnsi" w:hAnsiTheme="majorHAnsi"/>
          <w:color w:val="222222"/>
          <w:sz w:val="20"/>
          <w:szCs w:val="20"/>
          <w:bdr w:val="none" w:sz="0" w:space="0" w:color="auto"/>
          <w:lang w:val="es"/>
        </w:rPr>
        <w:t xml:space="preserve"> oportuno</w:t>
      </w:r>
      <w:r>
        <w:rPr>
          <w:rStyle w:val="FootnoteReference"/>
          <w:rFonts w:asciiTheme="majorHAnsi" w:eastAsia="Times New Roman" w:hAnsiTheme="majorHAnsi"/>
          <w:color w:val="222222"/>
          <w:sz w:val="20"/>
          <w:szCs w:val="20"/>
          <w:bdr w:val="none" w:sz="0" w:space="0" w:color="auto"/>
          <w:lang w:val="es"/>
        </w:rPr>
        <w:footnoteReference w:id="8"/>
      </w:r>
      <w:r>
        <w:rPr>
          <w:rFonts w:asciiTheme="majorHAnsi" w:hAnsiTheme="majorHAnsi"/>
          <w:color w:val="222222"/>
          <w:sz w:val="20"/>
          <w:szCs w:val="20"/>
          <w:bdr w:val="none" w:sz="0" w:space="0" w:color="auto"/>
          <w:lang w:val="es"/>
        </w:rPr>
        <w:t xml:space="preserve"> a un asesor legal durante sus detenciones</w:t>
      </w:r>
      <w:r>
        <w:rPr>
          <w:rFonts w:asciiTheme="majorHAnsi" w:hAnsiTheme="majorHAnsi"/>
          <w:sz w:val="20"/>
          <w:szCs w:val="20"/>
          <w:lang w:val="es"/>
        </w:rPr>
        <w:t xml:space="preserve"> y cuando presuntamente se lo privó de asistencia legal debido al monto de los honorarios; </w:t>
      </w:r>
      <w:r>
        <w:rPr>
          <w:rFonts w:asciiTheme="majorHAnsi" w:hAnsiTheme="majorHAnsi"/>
          <w:color w:val="222222"/>
          <w:sz w:val="20"/>
          <w:szCs w:val="20"/>
          <w:bdr w:val="none" w:sz="0" w:space="0" w:color="auto"/>
          <w:lang w:val="es"/>
        </w:rPr>
        <w:t xml:space="preserve">y que en efecto </w:t>
      </w:r>
      <w:r w:rsidRPr="00714D04">
        <w:rPr>
          <w:rFonts w:asciiTheme="majorHAnsi" w:hAnsiTheme="majorHAnsi"/>
          <w:color w:val="222222"/>
          <w:sz w:val="20"/>
          <w:szCs w:val="20"/>
          <w:bdr w:val="none" w:sz="0" w:space="0" w:color="auto"/>
          <w:lang w:val="es"/>
        </w:rPr>
        <w:t>se le negó el recurso de</w:t>
      </w:r>
      <w:r>
        <w:rPr>
          <w:rFonts w:asciiTheme="majorHAnsi" w:hAnsiTheme="majorHAnsi"/>
          <w:color w:val="222222"/>
          <w:sz w:val="20"/>
          <w:szCs w:val="20"/>
          <w:bdr w:val="none" w:sz="0" w:space="0" w:color="auto"/>
          <w:lang w:val="es"/>
        </w:rPr>
        <w:t xml:space="preserve"> </w:t>
      </w:r>
      <w:r w:rsidRPr="008F581B">
        <w:rPr>
          <w:rFonts w:asciiTheme="majorHAnsi" w:hAnsiTheme="majorHAnsi"/>
          <w:i/>
          <w:iCs/>
          <w:color w:val="222222"/>
          <w:sz w:val="20"/>
          <w:szCs w:val="20"/>
          <w:bdr w:val="none" w:sz="0" w:space="0" w:color="auto"/>
          <w:lang w:val="es"/>
        </w:rPr>
        <w:t>habeas corpus</w:t>
      </w:r>
      <w:r w:rsidRPr="00714D04">
        <w:rPr>
          <w:rFonts w:asciiTheme="majorHAnsi" w:hAnsiTheme="majorHAnsi"/>
          <w:color w:val="222222"/>
          <w:sz w:val="20"/>
          <w:szCs w:val="20"/>
          <w:bdr w:val="none" w:sz="0" w:space="0" w:color="auto"/>
          <w:lang w:val="es"/>
        </w:rPr>
        <w:t>,</w:t>
      </w:r>
      <w:r>
        <w:rPr>
          <w:rFonts w:asciiTheme="majorHAnsi" w:hAnsiTheme="majorHAnsi"/>
          <w:color w:val="222222"/>
          <w:sz w:val="20"/>
          <w:szCs w:val="20"/>
          <w:bdr w:val="none" w:sz="0" w:space="0" w:color="auto"/>
          <w:lang w:val="es"/>
        </w:rPr>
        <w:t xml:space="preserve"> que requiere la asistencia de un abogado</w:t>
      </w:r>
      <w:r>
        <w:rPr>
          <w:rStyle w:val="FootnoteReference"/>
          <w:rFonts w:asciiTheme="majorHAnsi" w:eastAsia="Times New Roman" w:hAnsiTheme="majorHAnsi"/>
          <w:color w:val="222222"/>
          <w:sz w:val="20"/>
          <w:szCs w:val="20"/>
          <w:bdr w:val="none" w:sz="0" w:space="0" w:color="auto"/>
          <w:lang w:val="es"/>
        </w:rPr>
        <w:footnoteReference w:id="9"/>
      </w:r>
      <w:r>
        <w:rPr>
          <w:rFonts w:asciiTheme="majorHAnsi" w:hAnsiTheme="majorHAnsi"/>
          <w:sz w:val="20"/>
          <w:szCs w:val="20"/>
          <w:lang w:val="es"/>
        </w:rPr>
        <w:t>.</w:t>
      </w:r>
      <w:r>
        <w:rPr>
          <w:rFonts w:asciiTheme="majorHAnsi" w:hAnsiTheme="majorHAnsi"/>
          <w:color w:val="222222"/>
          <w:sz w:val="20"/>
          <w:szCs w:val="20"/>
          <w:bdr w:val="none" w:sz="0" w:space="0" w:color="auto"/>
          <w:lang w:val="es"/>
        </w:rPr>
        <w:t xml:space="preserve"> Alegan que, pese a la disponibilidad de recursos constitucionales o civiles </w:t>
      </w:r>
      <w:r w:rsidRPr="008F581B">
        <w:rPr>
          <w:rFonts w:asciiTheme="majorHAnsi" w:hAnsiTheme="majorHAnsi"/>
          <w:i/>
          <w:iCs/>
          <w:color w:val="222222"/>
          <w:sz w:val="20"/>
          <w:szCs w:val="20"/>
          <w:bdr w:val="none" w:sz="0" w:space="0" w:color="auto"/>
          <w:lang w:val="es"/>
        </w:rPr>
        <w:t>ex post</w:t>
      </w:r>
      <w:r>
        <w:rPr>
          <w:rFonts w:asciiTheme="majorHAnsi" w:hAnsiTheme="majorHAnsi"/>
          <w:color w:val="222222"/>
          <w:sz w:val="20"/>
          <w:szCs w:val="20"/>
          <w:bdr w:val="none" w:sz="0" w:space="0" w:color="auto"/>
          <w:lang w:val="es"/>
        </w:rPr>
        <w:t>, la evaluación oportuna de los arrestos policiales ilegales por parte de un “tribunal competente” o bien el control judicial eficaz de las detenciones (sin acusación previa), realizados con el fin de determinar la legalidad de los arrestos y detenciones policiales, son los únicos recursos que proceden ante situaciones de arresto arbitrario.</w:t>
      </w:r>
      <w:r>
        <w:rPr>
          <w:rFonts w:asciiTheme="majorHAnsi" w:hAnsiTheme="majorHAnsi"/>
          <w:sz w:val="20"/>
          <w:szCs w:val="20"/>
          <w:lang w:val="es"/>
        </w:rPr>
        <w:t xml:space="preserve"> Alegan que, en este sentido, el señor Duncan no pudo agotar los recursos internos, dado que las leyes de Jamaica no contemplan el debido proceso legal </w:t>
      </w:r>
      <w:r w:rsidRPr="009C74A1">
        <w:rPr>
          <w:rFonts w:asciiTheme="majorHAnsi" w:hAnsiTheme="majorHAnsi"/>
          <w:sz w:val="20"/>
          <w:szCs w:val="20"/>
          <w:lang w:val="es"/>
        </w:rPr>
        <w:t>para</w:t>
      </w:r>
      <w:r>
        <w:rPr>
          <w:rFonts w:asciiTheme="majorHAnsi" w:hAnsiTheme="majorHAnsi"/>
          <w:sz w:val="20"/>
          <w:szCs w:val="20"/>
          <w:lang w:val="es"/>
        </w:rPr>
        <w:t xml:space="preserve"> salvaguardar el derecho a la libertad y la seguridad personales</w:t>
      </w:r>
    </w:p>
    <w:p w14:paraId="4CDFED56" w14:textId="2F622203" w:rsidR="00120547" w:rsidRPr="002E7753" w:rsidRDefault="00120547"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Pr>
          <w:rFonts w:ascii="Cambria" w:hAnsi="Cambria"/>
          <w:sz w:val="20"/>
          <w:szCs w:val="20"/>
          <w:lang w:val="es"/>
        </w:rPr>
        <w:t xml:space="preserve">Por su parte, el Estado </w:t>
      </w:r>
      <w:r w:rsidR="004A1192">
        <w:rPr>
          <w:rFonts w:ascii="Cambria" w:hAnsi="Cambria"/>
          <w:sz w:val="20"/>
          <w:szCs w:val="20"/>
          <w:lang w:val="es"/>
        </w:rPr>
        <w:t>sostiene</w:t>
      </w:r>
      <w:r>
        <w:rPr>
          <w:rFonts w:ascii="Cambria" w:hAnsi="Cambria"/>
          <w:sz w:val="20"/>
          <w:szCs w:val="20"/>
          <w:lang w:val="es"/>
        </w:rPr>
        <w:t xml:space="preserve"> que las investigaciones </w:t>
      </w:r>
      <w:r w:rsidR="002D718C">
        <w:rPr>
          <w:rFonts w:ascii="Cambria" w:hAnsi="Cambria"/>
          <w:sz w:val="20"/>
          <w:szCs w:val="20"/>
          <w:lang w:val="es"/>
        </w:rPr>
        <w:t>efectuadas por</w:t>
      </w:r>
      <w:r>
        <w:rPr>
          <w:rFonts w:ascii="Cambria" w:hAnsi="Cambria"/>
          <w:sz w:val="20"/>
          <w:szCs w:val="20"/>
          <w:lang w:val="es"/>
        </w:rPr>
        <w:t xml:space="preserve"> los organismos competentes </w:t>
      </w:r>
      <w:r w:rsidR="002D718C">
        <w:rPr>
          <w:rFonts w:ascii="Cambria" w:hAnsi="Cambria"/>
          <w:sz w:val="20"/>
          <w:szCs w:val="20"/>
          <w:lang w:val="es"/>
        </w:rPr>
        <w:t>sobre</w:t>
      </w:r>
      <w:r>
        <w:rPr>
          <w:rFonts w:ascii="Cambria" w:hAnsi="Cambria"/>
          <w:sz w:val="20"/>
          <w:szCs w:val="20"/>
          <w:lang w:val="es"/>
        </w:rPr>
        <w:t xml:space="preserve"> los alegatos de los peticionarios no identificaron amenazas o abusos por parte de miembros de la JCF y que la JCF ha declarado que sus investigaciones determinaron la ausencia de intentos, deliberados o colaborativos, de ataque o amenaza ilícitos o maliciosos contra la presunta víctima. </w:t>
      </w:r>
      <w:r w:rsidR="0073408A">
        <w:rPr>
          <w:rFonts w:ascii="Cambria" w:hAnsi="Cambria"/>
          <w:sz w:val="20"/>
          <w:szCs w:val="20"/>
          <w:lang w:val="es"/>
        </w:rPr>
        <w:t>D</w:t>
      </w:r>
      <w:r>
        <w:rPr>
          <w:rFonts w:ascii="Cambria" w:hAnsi="Cambria"/>
          <w:sz w:val="20"/>
          <w:szCs w:val="20"/>
          <w:lang w:val="es"/>
        </w:rPr>
        <w:t xml:space="preserve">estaca </w:t>
      </w:r>
      <w:r w:rsidR="0073408A">
        <w:rPr>
          <w:rFonts w:ascii="Cambria" w:hAnsi="Cambria"/>
          <w:sz w:val="20"/>
          <w:szCs w:val="20"/>
          <w:lang w:val="es"/>
        </w:rPr>
        <w:t xml:space="preserve">también </w:t>
      </w:r>
      <w:r>
        <w:rPr>
          <w:rFonts w:ascii="Cambria" w:hAnsi="Cambria"/>
          <w:sz w:val="20"/>
          <w:szCs w:val="20"/>
          <w:lang w:val="es"/>
        </w:rPr>
        <w:t xml:space="preserve">que los agentes de la JCF mencionados en la petición tienen una reputación ejemplar </w:t>
      </w:r>
      <w:r w:rsidR="00476880">
        <w:rPr>
          <w:rFonts w:ascii="Cambria" w:hAnsi="Cambria"/>
          <w:sz w:val="20"/>
          <w:szCs w:val="20"/>
          <w:lang w:val="es"/>
        </w:rPr>
        <w:t xml:space="preserve">y </w:t>
      </w:r>
      <w:r w:rsidR="00FB7F0E">
        <w:rPr>
          <w:rFonts w:ascii="Cambria" w:hAnsi="Cambria"/>
          <w:sz w:val="20"/>
          <w:szCs w:val="20"/>
          <w:lang w:val="es"/>
        </w:rPr>
        <w:t xml:space="preserve">que </w:t>
      </w:r>
      <w:r w:rsidR="00806E8A">
        <w:rPr>
          <w:rFonts w:ascii="Cambria" w:hAnsi="Cambria"/>
          <w:sz w:val="20"/>
          <w:szCs w:val="20"/>
          <w:lang w:val="es"/>
        </w:rPr>
        <w:t xml:space="preserve">todo </w:t>
      </w:r>
      <w:r w:rsidR="00476880">
        <w:rPr>
          <w:rFonts w:ascii="Cambria" w:hAnsi="Cambria"/>
          <w:sz w:val="20"/>
          <w:szCs w:val="20"/>
          <w:lang w:val="es"/>
        </w:rPr>
        <w:t>su</w:t>
      </w:r>
      <w:r w:rsidR="00D01C68">
        <w:rPr>
          <w:rFonts w:ascii="Cambria" w:hAnsi="Cambria"/>
          <w:sz w:val="20"/>
          <w:szCs w:val="20"/>
          <w:lang w:val="es"/>
        </w:rPr>
        <w:t xml:space="preserve"> accion</w:t>
      </w:r>
      <w:r w:rsidR="00476880">
        <w:rPr>
          <w:rFonts w:ascii="Cambria" w:hAnsi="Cambria"/>
          <w:sz w:val="20"/>
          <w:szCs w:val="20"/>
          <w:lang w:val="es"/>
        </w:rPr>
        <w:t>ar</w:t>
      </w:r>
      <w:r>
        <w:rPr>
          <w:rFonts w:ascii="Cambria" w:hAnsi="Cambria"/>
          <w:sz w:val="20"/>
          <w:szCs w:val="20"/>
          <w:lang w:val="es"/>
        </w:rPr>
        <w:t xml:space="preserve"> fue lícit</w:t>
      </w:r>
      <w:r w:rsidR="00476880">
        <w:rPr>
          <w:rFonts w:ascii="Cambria" w:hAnsi="Cambria"/>
          <w:sz w:val="20"/>
          <w:szCs w:val="20"/>
          <w:lang w:val="es"/>
        </w:rPr>
        <w:t>o</w:t>
      </w:r>
      <w:r>
        <w:rPr>
          <w:rFonts w:ascii="Cambria" w:hAnsi="Cambria"/>
          <w:sz w:val="20"/>
          <w:szCs w:val="20"/>
          <w:lang w:val="es"/>
        </w:rPr>
        <w:t xml:space="preserve"> y basad</w:t>
      </w:r>
      <w:r w:rsidR="00476880">
        <w:rPr>
          <w:rFonts w:ascii="Cambria" w:hAnsi="Cambria"/>
          <w:sz w:val="20"/>
          <w:szCs w:val="20"/>
          <w:lang w:val="es"/>
        </w:rPr>
        <w:t>o</w:t>
      </w:r>
      <w:r>
        <w:rPr>
          <w:rFonts w:ascii="Cambria" w:hAnsi="Cambria"/>
          <w:sz w:val="20"/>
          <w:szCs w:val="20"/>
          <w:lang w:val="es"/>
        </w:rPr>
        <w:t xml:space="preserve"> en la convicción seria y motivada de que la presunta víctima estaba vinculada a la actividad delictiva.</w:t>
      </w:r>
    </w:p>
    <w:p w14:paraId="0C54724D" w14:textId="393FB511" w:rsidR="002E7753" w:rsidRPr="00120547" w:rsidRDefault="00D433AF" w:rsidP="002E77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A</w:t>
      </w:r>
      <w:r w:rsidR="002E7753">
        <w:rPr>
          <w:rFonts w:asciiTheme="majorHAnsi" w:hAnsiTheme="majorHAnsi"/>
          <w:sz w:val="20"/>
          <w:szCs w:val="20"/>
          <w:lang w:val="es"/>
        </w:rPr>
        <w:t xml:space="preserve">firma que desde el 7 de septiembre de 2010 todas las acusaciones contra el señor Duncan quedaron desestimadas. Indica, además, que para la fecha de presentación de la petición había recursos en trámite, ya que las partes habían sido enviadas a un proceso de mediación y el asunto sometido a negociación. Agrega que cada alegato de arresto y detención ilegal daría lugar a una denuncia de detención ilegal por separado, debido a las circunstancias de hecho de cada caso; señala que, sin embargo, la presunta víctima interpuso una demanda sólo respecto de su primer arresto, por lo que no puede alegar el agotamiento de los recursos internos. Sostiene que como el señor Duncan ya no se encuentra detenido, los recursos disponibles para obtener reparación por los supuestos abusos son aquellos considerados relevantes para el análisis del agotamiento. </w:t>
      </w:r>
      <w:r w:rsidR="002E7753">
        <w:rPr>
          <w:rFonts w:ascii="Cambria" w:hAnsi="Cambria"/>
          <w:sz w:val="20"/>
          <w:szCs w:val="20"/>
          <w:lang w:val="es"/>
        </w:rPr>
        <w:t xml:space="preserve">Además, </w:t>
      </w:r>
      <w:r w:rsidR="002E7753">
        <w:rPr>
          <w:rFonts w:asciiTheme="majorHAnsi" w:hAnsiTheme="majorHAnsi"/>
          <w:sz w:val="20"/>
          <w:szCs w:val="20"/>
          <w:lang w:val="es"/>
        </w:rPr>
        <w:t xml:space="preserve">el Estado afirma que existen múltiples recursos adecuados y eficaces que el señor Duncan no utilizó para apelar su detención, por ejemplo, el de </w:t>
      </w:r>
      <w:r w:rsidR="002E7753" w:rsidRPr="00D222FB">
        <w:rPr>
          <w:rFonts w:asciiTheme="majorHAnsi" w:hAnsiTheme="majorHAnsi"/>
          <w:i/>
          <w:iCs/>
          <w:sz w:val="20"/>
          <w:szCs w:val="20"/>
          <w:lang w:val="es"/>
        </w:rPr>
        <w:t>habeas corpus</w:t>
      </w:r>
      <w:r w:rsidR="002E7753">
        <w:rPr>
          <w:rFonts w:asciiTheme="majorHAnsi" w:hAnsiTheme="majorHAnsi"/>
          <w:sz w:val="20"/>
          <w:szCs w:val="20"/>
          <w:lang w:val="es"/>
        </w:rPr>
        <w:t>. Desmiente la alegada negación de acceso a la asistencia legal para interponer dicho recurso al señalar que habitualmente se asignan abogados a quienes no cuentan con los medios económicos necesarios. También indica que las leyes garantizan el debido proceso legal para la protección de derechos presuntamente violados en virtud</w:t>
      </w:r>
      <w:r w:rsidR="002E7753" w:rsidRPr="00144335">
        <w:rPr>
          <w:rFonts w:asciiTheme="majorHAnsi" w:hAnsiTheme="majorHAnsi"/>
          <w:sz w:val="20"/>
          <w:szCs w:val="20"/>
          <w:lang w:val="es"/>
        </w:rPr>
        <w:t xml:space="preserve"> de</w:t>
      </w:r>
      <w:r w:rsidR="002E7753">
        <w:rPr>
          <w:rFonts w:asciiTheme="majorHAnsi" w:hAnsiTheme="majorHAnsi"/>
          <w:sz w:val="20"/>
          <w:szCs w:val="20"/>
          <w:lang w:val="es"/>
        </w:rPr>
        <w:t xml:space="preserve"> la Constitución, a través de demandas ante la Corte Suprema y de agravios constitucionales de conformidad con la Carta de Derechos y Libertades Fundamentales de Jamaica.</w:t>
      </w:r>
    </w:p>
    <w:p w14:paraId="62BF9791" w14:textId="7A78832F" w:rsidR="002E7753" w:rsidRPr="00D433AF" w:rsidRDefault="00D433AF" w:rsidP="00D433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
        </w:rPr>
        <w:t xml:space="preserve">Por último, el Estado señala que, puesto que la acción civil que el señor Duncan presentó ante la Corte Suprema aún está en trámite, el Estado no ha tenido la oportunidad de otorgar la indemnización reclamada antes de responder la presente petición ante la Comisión. </w:t>
      </w:r>
      <w:r>
        <w:rPr>
          <w:rFonts w:ascii="Cambria" w:hAnsi="Cambria"/>
          <w:sz w:val="20"/>
          <w:szCs w:val="20"/>
          <w:lang w:val="es"/>
        </w:rPr>
        <w:t xml:space="preserve">El </w:t>
      </w:r>
      <w:r>
        <w:rPr>
          <w:rFonts w:asciiTheme="majorHAnsi" w:hAnsiTheme="majorHAnsi"/>
          <w:sz w:val="20"/>
          <w:szCs w:val="20"/>
          <w:lang w:val="es"/>
        </w:rPr>
        <w:t xml:space="preserve">Estado aduce que el peticionario no agotó el recurso interno de </w:t>
      </w:r>
      <w:r w:rsidRPr="00D222FB">
        <w:rPr>
          <w:rFonts w:asciiTheme="majorHAnsi" w:hAnsiTheme="majorHAnsi"/>
          <w:i/>
          <w:iCs/>
          <w:sz w:val="20"/>
          <w:szCs w:val="20"/>
          <w:lang w:val="es"/>
        </w:rPr>
        <w:t>habeas corpus</w:t>
      </w:r>
      <w:r>
        <w:rPr>
          <w:rFonts w:asciiTheme="majorHAnsi" w:hAnsiTheme="majorHAnsi"/>
          <w:sz w:val="20"/>
          <w:szCs w:val="20"/>
          <w:lang w:val="es"/>
        </w:rPr>
        <w:t>. Además, señala que, debido a la falta de agotamiento de los recursos internos, el peticionario no presentó su petición dentro de los parámetros del artículo 46(1)(b) de la Convención Americana.</w:t>
      </w:r>
    </w:p>
    <w:p w14:paraId="5B4C1FDA" w14:textId="77777777" w:rsidR="00BD0293" w:rsidRDefault="00BD0293">
      <w:pPr>
        <w:rPr>
          <w:rFonts w:asciiTheme="majorHAnsi" w:hAnsiTheme="majorHAnsi"/>
          <w:b/>
          <w:bCs/>
          <w:color w:val="000000"/>
          <w:sz w:val="20"/>
          <w:szCs w:val="20"/>
          <w:u w:color="000000"/>
          <w:lang w:val="es"/>
        </w:rPr>
      </w:pPr>
      <w:r>
        <w:rPr>
          <w:rFonts w:asciiTheme="majorHAnsi" w:hAnsiTheme="majorHAnsi"/>
          <w:b/>
          <w:bCs/>
          <w:color w:val="000000"/>
          <w:sz w:val="20"/>
          <w:szCs w:val="20"/>
          <w:u w:color="000000"/>
          <w:lang w:val="es"/>
        </w:rPr>
        <w:br w:type="page"/>
      </w:r>
    </w:p>
    <w:p w14:paraId="45A0E66A" w14:textId="3AEAC31E" w:rsidR="00120547" w:rsidRPr="00120547" w:rsidRDefault="00120547" w:rsidP="004A4E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
        </w:rPr>
      </w:pPr>
      <w:r>
        <w:rPr>
          <w:rFonts w:asciiTheme="majorHAnsi" w:hAnsiTheme="majorHAnsi"/>
          <w:b/>
          <w:bCs/>
          <w:color w:val="000000"/>
          <w:sz w:val="20"/>
          <w:szCs w:val="20"/>
          <w:u w:color="000000"/>
          <w:lang w:val="es"/>
        </w:rPr>
        <w:lastRenderedPageBreak/>
        <w:t>VI.</w:t>
      </w:r>
      <w:r>
        <w:rPr>
          <w:rFonts w:asciiTheme="majorHAnsi" w:hAnsiTheme="majorHAnsi"/>
          <w:b/>
          <w:bCs/>
          <w:color w:val="000000"/>
          <w:sz w:val="20"/>
          <w:szCs w:val="20"/>
          <w:u w:color="000000"/>
          <w:lang w:val="es"/>
        </w:rPr>
        <w:tab/>
      </w:r>
      <w:r>
        <w:rPr>
          <w:rFonts w:asciiTheme="majorHAnsi" w:hAnsiTheme="majorHAnsi"/>
          <w:b/>
          <w:bCs/>
          <w:sz w:val="20"/>
          <w:szCs w:val="20"/>
          <w:lang w:val="es"/>
        </w:rPr>
        <w:t>ANÁLISIS DE AGOTAMIENTO DE LOS RECURSOS INTERNOS Y PLAZO DE PRESENTACIÓN</w:t>
      </w:r>
      <w:r>
        <w:rPr>
          <w:rFonts w:asciiTheme="majorHAnsi" w:hAnsiTheme="majorHAnsi"/>
          <w:b/>
          <w:bCs/>
          <w:color w:val="000000"/>
          <w:sz w:val="20"/>
          <w:szCs w:val="20"/>
          <w:u w:color="000000"/>
          <w:lang w:val="es"/>
        </w:rPr>
        <w:t xml:space="preserve"> </w:t>
      </w:r>
    </w:p>
    <w:p w14:paraId="49CB5087" w14:textId="539485D2" w:rsidR="00120547" w:rsidRPr="00120547" w:rsidRDefault="00D433AF"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s="Courier New"/>
          <w:color w:val="222222"/>
          <w:sz w:val="20"/>
          <w:szCs w:val="20"/>
          <w:bdr w:val="none" w:sz="0" w:space="0" w:color="auto"/>
          <w:lang w:val="es-ES"/>
        </w:rPr>
      </w:pPr>
      <w:r>
        <w:rPr>
          <w:rFonts w:asciiTheme="majorHAnsi" w:eastAsia="Times New Roman" w:hAnsiTheme="majorHAnsi" w:cs="Courier New"/>
          <w:color w:val="222222"/>
          <w:sz w:val="20"/>
          <w:szCs w:val="20"/>
          <w:bdr w:val="none" w:sz="0" w:space="0" w:color="auto"/>
          <w:lang w:val="es-ES"/>
        </w:rPr>
        <w:t xml:space="preserve">La Comisión observa que la parte peticionaria ha sostenido que el señor Duncan no fue impedido de agotar los recursos internos porque el sistema Jamaiquino no provee recursos adecuados para la protección de los derechos a la libertad personal y a la seguridad. También toma nota que el Estado ha indicado que el señor Duncan no ha agotado los recursos internos porque sólo interpuso una denuncia por detención ilegal en relación con su primer arresto, no intentó el recurso de habeas corpus, no agotó los recursos disponibles para obtener reparación por el alegado abuso, y no ha interpuesto los recursos constitucionales a su disposición. </w:t>
      </w:r>
    </w:p>
    <w:p w14:paraId="6ED48C0C" w14:textId="28BE7361" w:rsidR="00120547" w:rsidRPr="00120547" w:rsidRDefault="00120547"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
        </w:rPr>
        <w:t xml:space="preserve">La Comisión observa que, según la información que obra en el expediente, la justicia aún no se ha pronunciado sobre la demanda civil referida al primero de los supuestos arrestos arbitrarios del señor Duncan pese a que han </w:t>
      </w:r>
      <w:r w:rsidR="00734CEE">
        <w:rPr>
          <w:rFonts w:asciiTheme="majorHAnsi" w:hAnsiTheme="majorHAnsi"/>
          <w:sz w:val="20"/>
          <w:szCs w:val="20"/>
          <w:lang w:val="es"/>
        </w:rPr>
        <w:t>transcurrido</w:t>
      </w:r>
      <w:r>
        <w:rPr>
          <w:rFonts w:asciiTheme="majorHAnsi" w:hAnsiTheme="majorHAnsi"/>
          <w:sz w:val="20"/>
          <w:szCs w:val="20"/>
          <w:lang w:val="es"/>
        </w:rPr>
        <w:t xml:space="preserve"> más de 10 años desde su presentación. Si bien es cierto que el señor Duncan no interpuso ningún recurso para reclamar indemnizaciones </w:t>
      </w:r>
      <w:r w:rsidR="004A632D">
        <w:rPr>
          <w:rFonts w:asciiTheme="majorHAnsi" w:hAnsiTheme="majorHAnsi"/>
          <w:sz w:val="20"/>
          <w:szCs w:val="20"/>
          <w:lang w:val="es"/>
        </w:rPr>
        <w:t>respecto de</w:t>
      </w:r>
      <w:r>
        <w:rPr>
          <w:rFonts w:asciiTheme="majorHAnsi" w:hAnsiTheme="majorHAnsi"/>
          <w:sz w:val="20"/>
          <w:szCs w:val="20"/>
          <w:lang w:val="es"/>
        </w:rPr>
        <w:t xml:space="preserve"> las demás </w:t>
      </w:r>
      <w:r w:rsidRPr="00AA427B">
        <w:rPr>
          <w:rFonts w:asciiTheme="majorHAnsi" w:hAnsiTheme="majorHAnsi"/>
          <w:sz w:val="20"/>
          <w:szCs w:val="20"/>
          <w:lang w:val="es"/>
        </w:rPr>
        <w:t>supuestas</w:t>
      </w:r>
      <w:r>
        <w:rPr>
          <w:rFonts w:asciiTheme="majorHAnsi" w:hAnsiTheme="majorHAnsi"/>
          <w:sz w:val="20"/>
          <w:szCs w:val="20"/>
          <w:lang w:val="es"/>
        </w:rPr>
        <w:t xml:space="preserve"> detenciones</w:t>
      </w:r>
      <w:r>
        <w:rPr>
          <w:rFonts w:asciiTheme="majorHAnsi" w:hAnsiTheme="majorHAnsi"/>
          <w:color w:val="222222"/>
          <w:sz w:val="20"/>
          <w:szCs w:val="20"/>
          <w:bdr w:val="none" w:sz="0" w:space="0" w:color="auto"/>
          <w:lang w:val="es"/>
        </w:rPr>
        <w:t xml:space="preserve">, </w:t>
      </w:r>
      <w:r w:rsidR="001C6802">
        <w:rPr>
          <w:rFonts w:asciiTheme="majorHAnsi" w:hAnsiTheme="majorHAnsi"/>
          <w:color w:val="222222"/>
          <w:sz w:val="20"/>
          <w:szCs w:val="20"/>
          <w:bdr w:val="none" w:sz="0" w:space="0" w:color="auto"/>
          <w:lang w:val="es"/>
        </w:rPr>
        <w:t>como consecuencia de</w:t>
      </w:r>
      <w:r>
        <w:rPr>
          <w:rFonts w:asciiTheme="majorHAnsi" w:hAnsiTheme="majorHAnsi"/>
          <w:color w:val="222222"/>
          <w:sz w:val="20"/>
          <w:szCs w:val="20"/>
          <w:bdr w:val="none" w:sz="0" w:space="0" w:color="auto"/>
          <w:lang w:val="es"/>
        </w:rPr>
        <w:t xml:space="preserve"> la demora en la resolución de la demanda que sí presentó y al hecho de que el Estado no ha presentado ninguna información que sugiera que toda demanda que el señor Duncan presente respecto de las demás detenciones podría resolverse en un plazo más corto, la </w:t>
      </w:r>
      <w:r>
        <w:rPr>
          <w:rFonts w:asciiTheme="majorHAnsi" w:hAnsiTheme="majorHAnsi"/>
          <w:sz w:val="20"/>
          <w:szCs w:val="20"/>
          <w:lang w:val="es"/>
        </w:rPr>
        <w:t xml:space="preserve">Comisión considera (sin prejuzgar sobre los méritos) que en esta petición </w:t>
      </w:r>
      <w:r>
        <w:rPr>
          <w:rFonts w:asciiTheme="majorHAnsi" w:hAnsiTheme="majorHAnsi"/>
          <w:color w:val="222222"/>
          <w:sz w:val="20"/>
          <w:szCs w:val="20"/>
          <w:bdr w:val="none" w:sz="0" w:space="0" w:color="auto"/>
          <w:lang w:val="es"/>
        </w:rPr>
        <w:t>corresponde aplicar la excepción prevista en el artículo 46(2)(c) de la Convención Americana</w:t>
      </w:r>
      <w:r>
        <w:rPr>
          <w:rFonts w:asciiTheme="majorHAnsi" w:hAnsiTheme="majorHAnsi"/>
          <w:sz w:val="20"/>
          <w:szCs w:val="20"/>
          <w:lang w:val="es"/>
        </w:rPr>
        <w:t xml:space="preserve">. Además, dado que la </w:t>
      </w:r>
      <w:r>
        <w:rPr>
          <w:rFonts w:ascii="Cambria" w:hAnsi="Cambria"/>
          <w:sz w:val="20"/>
          <w:szCs w:val="20"/>
          <w:lang w:val="es"/>
        </w:rPr>
        <w:t xml:space="preserve">petición fue presentada el 16 de julio de 2010, dos meses </w:t>
      </w:r>
      <w:r w:rsidR="00237693">
        <w:rPr>
          <w:rFonts w:ascii="Cambria" w:hAnsi="Cambria"/>
          <w:sz w:val="20"/>
          <w:szCs w:val="20"/>
          <w:lang w:val="es"/>
        </w:rPr>
        <w:t>después</w:t>
      </w:r>
      <w:r>
        <w:rPr>
          <w:rFonts w:ascii="Cambria" w:hAnsi="Cambria"/>
          <w:sz w:val="20"/>
          <w:szCs w:val="20"/>
          <w:lang w:val="es"/>
        </w:rPr>
        <w:t xml:space="preserve"> de la cuarta detención (</w:t>
      </w:r>
      <w:r w:rsidR="001C6802">
        <w:rPr>
          <w:rFonts w:ascii="Cambria" w:hAnsi="Cambria"/>
          <w:sz w:val="20"/>
          <w:szCs w:val="20"/>
          <w:lang w:val="es"/>
        </w:rPr>
        <w:t xml:space="preserve">ocurrida el </w:t>
      </w:r>
      <w:r>
        <w:rPr>
          <w:rFonts w:ascii="Cambria" w:hAnsi="Cambria"/>
          <w:sz w:val="20"/>
          <w:szCs w:val="20"/>
          <w:lang w:val="es"/>
        </w:rPr>
        <w:t xml:space="preserve">3 de mayo de 2010), la Comisión estima que </w:t>
      </w:r>
      <w:r w:rsidR="004A632D">
        <w:rPr>
          <w:rFonts w:ascii="Cambria" w:hAnsi="Cambria"/>
          <w:sz w:val="20"/>
          <w:szCs w:val="20"/>
          <w:lang w:val="es"/>
        </w:rPr>
        <w:t>esta</w:t>
      </w:r>
      <w:r>
        <w:rPr>
          <w:rFonts w:ascii="Cambria" w:hAnsi="Cambria"/>
          <w:sz w:val="20"/>
          <w:szCs w:val="20"/>
          <w:lang w:val="es"/>
        </w:rPr>
        <w:t xml:space="preserve"> petición </w:t>
      </w:r>
      <w:r>
        <w:rPr>
          <w:rFonts w:asciiTheme="majorHAnsi" w:hAnsiTheme="majorHAnsi"/>
          <w:sz w:val="20"/>
          <w:szCs w:val="20"/>
          <w:lang w:val="es"/>
        </w:rPr>
        <w:t>fue presentada dentro de un plazo razonable según el artículo 32(2) de su Reglamento.</w:t>
      </w:r>
    </w:p>
    <w:p w14:paraId="6B0DA1F7" w14:textId="77777777" w:rsidR="00120547" w:rsidRPr="00120547" w:rsidRDefault="00120547" w:rsidP="00120547">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
        </w:rPr>
        <w:t>VII.</w:t>
      </w:r>
      <w:r>
        <w:rPr>
          <w:rFonts w:asciiTheme="majorHAnsi" w:hAnsiTheme="majorHAnsi"/>
          <w:b/>
          <w:bCs/>
          <w:sz w:val="20"/>
          <w:szCs w:val="20"/>
          <w:lang w:val="es"/>
        </w:rPr>
        <w:tab/>
        <w:t>ANÁLISIS DE CARACTERIZACIÓN DE LOS HECHOS ALEGADOS</w:t>
      </w:r>
    </w:p>
    <w:p w14:paraId="250E727B" w14:textId="757E70B4" w:rsidR="00D433AF" w:rsidRDefault="00D433AF"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 Comisión observa que la presente petición incluye alegaciones con respecto a que el señor Duncan fue detenido arbitrariamente en múltiple ocasiones; a que éste fue víctima de abusos físicos por parte de agentes estatales; que el Estado no ha investigación adecuadamente las alegaciones de abuso policial; que el señor Duncan no tuvo acceso a una efectiva protección judicial durante su detención; y que ha habido una demora injustificada en la resolución de la acción civil interpuesta por el señor Duncan.</w:t>
      </w:r>
    </w:p>
    <w:p w14:paraId="4F9227DE" w14:textId="02155739" w:rsidR="00D433AF" w:rsidRPr="00D433AF" w:rsidRDefault="00D433AF"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433AF">
        <w:rPr>
          <w:rFonts w:asciiTheme="majorHAnsi" w:hAnsiTheme="majorHAnsi"/>
          <w:sz w:val="20"/>
          <w:szCs w:val="20"/>
          <w:lang w:val="es"/>
        </w:rPr>
        <w:t>En este sentido, la Comisión reitera que ya ha establecido que, tratándose de casos como el presente, que involucran posibles violaciones a los derechos humanos</w:t>
      </w:r>
      <w:r w:rsidR="00725F7E">
        <w:rPr>
          <w:rFonts w:asciiTheme="majorHAnsi" w:hAnsiTheme="majorHAnsi"/>
          <w:sz w:val="20"/>
          <w:szCs w:val="20"/>
          <w:lang w:val="es"/>
        </w:rPr>
        <w:t xml:space="preserve"> </w:t>
      </w:r>
      <w:r w:rsidRPr="00D433AF">
        <w:rPr>
          <w:rFonts w:asciiTheme="majorHAnsi" w:hAnsiTheme="majorHAnsi"/>
          <w:sz w:val="20"/>
          <w:szCs w:val="20"/>
          <w:lang w:val="es"/>
        </w:rPr>
        <w:t>perseguibles de oficio, y más aún cuando agentes del Estado podrían estar implicados en los hechos alegados, el Estado tiene la obligación de investigarlos. Esta carga debe ser asumida por el Estado como un deber jurídico propio, y no como una gestión de intereses de particulares o que dependa de la iniciativa de éstos o de su aportación de pruebas</w:t>
      </w:r>
      <w:r w:rsidR="00725F7E">
        <w:rPr>
          <w:rStyle w:val="FootnoteReference"/>
          <w:rFonts w:asciiTheme="majorHAnsi" w:hAnsiTheme="majorHAnsi"/>
          <w:sz w:val="20"/>
          <w:szCs w:val="20"/>
          <w:lang w:val="es"/>
        </w:rPr>
        <w:footnoteReference w:id="10"/>
      </w:r>
      <w:r w:rsidRPr="00D433AF">
        <w:rPr>
          <w:rFonts w:asciiTheme="majorHAnsi" w:hAnsiTheme="majorHAnsi"/>
          <w:sz w:val="20"/>
          <w:szCs w:val="20"/>
          <w:lang w:val="es"/>
        </w:rPr>
        <w:t>.</w:t>
      </w:r>
    </w:p>
    <w:p w14:paraId="050B7972" w14:textId="724EA430" w:rsidR="00120547" w:rsidRPr="004A632D" w:rsidRDefault="00725F7E" w:rsidP="00120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120547" w:rsidRPr="004A632D">
        <w:rPr>
          <w:rFonts w:asciiTheme="majorHAnsi" w:hAnsiTheme="majorHAnsi"/>
          <w:sz w:val="20"/>
          <w:szCs w:val="20"/>
          <w:lang w:val="es"/>
        </w:rPr>
        <w:t>5 (integridad personal), 7 (libertad personal), 8 (garantías judiciales), 21 (propiedad privada) y 25 (protección judicial) de la Convención Americana, en relación con sus artículos 1(1) (obligación de respetar los derechos) y 2 (deber de adoptar disposiciones de derecho interno), en perjuicio del señor Duncan.</w:t>
      </w:r>
    </w:p>
    <w:p w14:paraId="243EAF81" w14:textId="77777777" w:rsidR="00120547" w:rsidRPr="000B6B7A" w:rsidRDefault="00120547" w:rsidP="00120547">
      <w:pPr>
        <w:pStyle w:val="ListParagraph"/>
        <w:spacing w:before="240" w:after="240"/>
        <w:jc w:val="both"/>
        <w:rPr>
          <w:rFonts w:asciiTheme="majorHAnsi" w:hAnsiTheme="majorHAnsi"/>
          <w:b/>
          <w:bCs/>
          <w:sz w:val="20"/>
          <w:szCs w:val="20"/>
        </w:rPr>
      </w:pPr>
      <w:r>
        <w:rPr>
          <w:rFonts w:asciiTheme="majorHAnsi" w:hAnsiTheme="majorHAnsi"/>
          <w:b/>
          <w:bCs/>
          <w:sz w:val="20"/>
          <w:szCs w:val="20"/>
          <w:lang w:val="es"/>
        </w:rPr>
        <w:t xml:space="preserve">VIII. </w:t>
      </w:r>
      <w:r>
        <w:rPr>
          <w:rFonts w:asciiTheme="majorHAnsi" w:hAnsiTheme="majorHAnsi"/>
          <w:b/>
          <w:bCs/>
          <w:sz w:val="20"/>
          <w:szCs w:val="20"/>
          <w:lang w:val="es"/>
        </w:rPr>
        <w:tab/>
        <w:t>DECISIÓN</w:t>
      </w:r>
    </w:p>
    <w:p w14:paraId="13DFBE55" w14:textId="04C6457E" w:rsidR="00120547" w:rsidRPr="004E7A02" w:rsidRDefault="00120547" w:rsidP="004E7A0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4E7A02">
        <w:rPr>
          <w:rFonts w:asciiTheme="majorHAnsi" w:hAnsiTheme="majorHAnsi"/>
          <w:sz w:val="20"/>
          <w:szCs w:val="20"/>
          <w:lang w:val="es"/>
        </w:rPr>
        <w:t xml:space="preserve">Declarar admisible la presente petición en relación con los </w:t>
      </w:r>
      <w:r w:rsidRPr="004E7A02">
        <w:rPr>
          <w:sz w:val="20"/>
          <w:szCs w:val="20"/>
          <w:lang w:val="es"/>
        </w:rPr>
        <w:t>artículos 5, 7, 8, 21 y 25 de la Convención Americana</w:t>
      </w:r>
      <w:r w:rsidR="004E7A02" w:rsidRPr="004E7A02">
        <w:rPr>
          <w:sz w:val="20"/>
          <w:szCs w:val="20"/>
          <w:lang w:val="es"/>
        </w:rPr>
        <w:t xml:space="preserve"> </w:t>
      </w:r>
      <w:r w:rsidRPr="004E7A02">
        <w:rPr>
          <w:rFonts w:asciiTheme="majorHAnsi" w:hAnsiTheme="majorHAnsi"/>
          <w:sz w:val="20"/>
          <w:szCs w:val="20"/>
          <w:lang w:val="es"/>
        </w:rPr>
        <w:t>en concordancia con sus artículos 1(1) y 2;</w:t>
      </w:r>
      <w:r w:rsidRPr="004E7A02">
        <w:rPr>
          <w:sz w:val="20"/>
          <w:szCs w:val="20"/>
          <w:lang w:val="es"/>
        </w:rPr>
        <w:t xml:space="preserve"> y</w:t>
      </w:r>
      <w:r w:rsidR="005422B7">
        <w:rPr>
          <w:sz w:val="20"/>
          <w:szCs w:val="20"/>
          <w:lang w:val="es"/>
        </w:rPr>
        <w:t xml:space="preserve"> </w:t>
      </w:r>
    </w:p>
    <w:p w14:paraId="2E890A9C" w14:textId="70B32C41" w:rsidR="003239B8" w:rsidRPr="00BD0293" w:rsidRDefault="00120547" w:rsidP="0072383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BD0293">
        <w:rPr>
          <w:rFonts w:asciiTheme="majorHAnsi" w:hAnsiTheme="majorHAnsi"/>
          <w:sz w:val="20"/>
          <w:szCs w:val="20"/>
          <w:lang w:val="es"/>
        </w:rPr>
        <w:lastRenderedPageBreak/>
        <w:t>Notificar a las partes la presente decisión; continuar con el análisis del fondo de la cuestión; y publicar esta decisión e incluirla en su Informe Anual a la Asamblea General de la Organización de los Estados Americanos.</w:t>
      </w:r>
      <w:r w:rsidR="005422B7" w:rsidRPr="00BD0293">
        <w:rPr>
          <w:rFonts w:asciiTheme="majorHAnsi" w:hAnsiTheme="majorHAnsi"/>
          <w:sz w:val="20"/>
          <w:szCs w:val="20"/>
          <w:lang w:val="es"/>
        </w:rPr>
        <w:t xml:space="preserve"> </w:t>
      </w:r>
    </w:p>
    <w:p w14:paraId="4A2831E1" w14:textId="3E07B6D9" w:rsidR="00BD0293" w:rsidRPr="00A37B82" w:rsidRDefault="00BD0293" w:rsidP="00BD029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4B59A46" w14:textId="77777777" w:rsidR="00BD0293" w:rsidRPr="00725F7E" w:rsidRDefault="00BD0293" w:rsidP="00BD029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rFonts w:asciiTheme="majorHAnsi" w:hAnsiTheme="majorHAnsi"/>
          <w:sz w:val="20"/>
          <w:szCs w:val="20"/>
          <w:lang w:val="es-ES"/>
        </w:rPr>
      </w:pPr>
    </w:p>
    <w:sectPr w:rsidR="00BD0293" w:rsidRPr="00725F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98896" w14:textId="77777777" w:rsidR="004F43A1" w:rsidRDefault="004F43A1">
      <w:r>
        <w:separator/>
      </w:r>
    </w:p>
  </w:endnote>
  <w:endnote w:type="continuationSeparator" w:id="0">
    <w:p w14:paraId="0F653184" w14:textId="77777777" w:rsidR="004F43A1" w:rsidRDefault="004F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9CA0" w14:textId="77777777" w:rsidR="0043228C" w:rsidRDefault="00432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B10BCC8" w14:textId="0F857E0A"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3228C">
          <w:rPr>
            <w:noProof/>
            <w:sz w:val="16"/>
            <w:szCs w:val="22"/>
          </w:rPr>
          <w:t>1</w:t>
        </w:r>
        <w:r w:rsidRPr="00934A2C">
          <w:rPr>
            <w:noProof/>
            <w:sz w:val="16"/>
            <w:szCs w:val="22"/>
          </w:rPr>
          <w:fldChar w:fldCharType="end"/>
        </w:r>
      </w:p>
    </w:sdtContent>
  </w:sdt>
  <w:p w14:paraId="7C272323"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C6C2" w14:textId="77777777" w:rsidR="0099258D" w:rsidRPr="00934A2C" w:rsidRDefault="0099258D">
    <w:pPr>
      <w:pStyle w:val="Footer"/>
      <w:jc w:val="center"/>
      <w:rPr>
        <w:sz w:val="16"/>
        <w:szCs w:val="22"/>
      </w:rPr>
    </w:pPr>
  </w:p>
  <w:p w14:paraId="2435C26A"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5B6C6" w14:textId="77777777" w:rsidR="004F43A1" w:rsidRPr="000F35ED" w:rsidRDefault="004F43A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01D9E0" w14:textId="77777777" w:rsidR="004F43A1" w:rsidRPr="000F35ED" w:rsidRDefault="004F43A1" w:rsidP="000F35ED">
      <w:pPr>
        <w:rPr>
          <w:rFonts w:asciiTheme="majorHAnsi" w:hAnsiTheme="majorHAnsi"/>
          <w:sz w:val="16"/>
          <w:szCs w:val="16"/>
        </w:rPr>
      </w:pPr>
      <w:r w:rsidRPr="000F35ED">
        <w:rPr>
          <w:rFonts w:asciiTheme="majorHAnsi" w:hAnsiTheme="majorHAnsi"/>
          <w:sz w:val="16"/>
          <w:szCs w:val="16"/>
        </w:rPr>
        <w:separator/>
      </w:r>
    </w:p>
    <w:p w14:paraId="42105964" w14:textId="77777777" w:rsidR="004F43A1" w:rsidRPr="000F35ED" w:rsidRDefault="004F43A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738E51" w14:textId="77777777" w:rsidR="004F43A1" w:rsidRPr="000F35ED" w:rsidRDefault="004F43A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D344254" w14:textId="4FABF331" w:rsidR="002D3BFC" w:rsidRPr="003A490E" w:rsidRDefault="002D3BFC" w:rsidP="003A490E">
      <w:pPr>
        <w:pStyle w:val="FootnoteText"/>
        <w:ind w:firstLine="709"/>
        <w:jc w:val="both"/>
        <w:rPr>
          <w:rFonts w:asciiTheme="majorHAnsi" w:hAnsiTheme="majorHAnsi"/>
          <w:sz w:val="16"/>
          <w:szCs w:val="16"/>
          <w:lang w:val="es-ES"/>
        </w:rPr>
      </w:pPr>
      <w:r w:rsidRPr="003A490E">
        <w:rPr>
          <w:rStyle w:val="FootnoteReference"/>
          <w:rFonts w:asciiTheme="majorHAnsi" w:hAnsiTheme="majorHAnsi"/>
          <w:sz w:val="16"/>
          <w:szCs w:val="16"/>
        </w:rPr>
        <w:footnoteRef/>
      </w:r>
      <w:r w:rsidRPr="003A490E">
        <w:rPr>
          <w:rFonts w:asciiTheme="majorHAnsi" w:hAnsiTheme="majorHAnsi"/>
          <w:sz w:val="16"/>
          <w:szCs w:val="16"/>
          <w:lang w:val="es-ES"/>
        </w:rPr>
        <w:t xml:space="preserve"> </w:t>
      </w:r>
      <w:r w:rsidR="003A490E" w:rsidRPr="003A490E">
        <w:rPr>
          <w:rFonts w:asciiTheme="majorHAnsi" w:hAnsiTheme="majorHAnsi"/>
          <w:sz w:val="16"/>
          <w:szCs w:val="16"/>
          <w:lang w:val="es-ES"/>
        </w:rPr>
        <w:t>De conformidad con el artículo 17(2</w:t>
      </w:r>
      <w:proofErr w:type="gramStart"/>
      <w:r w:rsidR="003A490E" w:rsidRPr="003A490E">
        <w:rPr>
          <w:rFonts w:asciiTheme="majorHAnsi" w:hAnsiTheme="majorHAnsi"/>
          <w:sz w:val="16"/>
          <w:szCs w:val="16"/>
          <w:lang w:val="es-ES"/>
        </w:rPr>
        <w:t>)(</w:t>
      </w:r>
      <w:proofErr w:type="gramEnd"/>
      <w:r w:rsidR="003A490E" w:rsidRPr="003A490E">
        <w:rPr>
          <w:rFonts w:asciiTheme="majorHAnsi" w:hAnsiTheme="majorHAnsi"/>
          <w:sz w:val="16"/>
          <w:szCs w:val="16"/>
          <w:lang w:val="es-ES"/>
        </w:rPr>
        <w:t>a) del Reglamento de la Comisión, la Comisionada Margarette May Macaulay, de nacionalidad jamaiquina, no participó en el debate ni en la decisión de este asunto.</w:t>
      </w:r>
    </w:p>
  </w:footnote>
  <w:footnote w:id="3">
    <w:p w14:paraId="34D74E13" w14:textId="096F0BEB" w:rsidR="00F925CD" w:rsidRPr="003A490E" w:rsidRDefault="00F925CD" w:rsidP="003A490E">
      <w:pPr>
        <w:pStyle w:val="FootnoteText"/>
        <w:ind w:firstLine="709"/>
        <w:jc w:val="both"/>
        <w:rPr>
          <w:rFonts w:asciiTheme="majorHAnsi" w:hAnsiTheme="majorHAnsi"/>
          <w:sz w:val="16"/>
          <w:szCs w:val="16"/>
          <w:lang w:val="es-ES"/>
        </w:rPr>
      </w:pPr>
      <w:r w:rsidRPr="003A490E">
        <w:rPr>
          <w:rStyle w:val="FootnoteReference"/>
          <w:rFonts w:asciiTheme="majorHAnsi" w:hAnsiTheme="majorHAnsi"/>
          <w:sz w:val="16"/>
          <w:szCs w:val="16"/>
        </w:rPr>
        <w:footnoteRef/>
      </w:r>
      <w:r w:rsidRPr="003A490E">
        <w:rPr>
          <w:rFonts w:asciiTheme="majorHAnsi" w:hAnsiTheme="majorHAnsi"/>
          <w:sz w:val="16"/>
          <w:szCs w:val="16"/>
          <w:lang w:val="es-ES"/>
        </w:rPr>
        <w:t xml:space="preserve"> </w:t>
      </w:r>
      <w:r w:rsidR="003A490E" w:rsidRPr="003A490E">
        <w:rPr>
          <w:rFonts w:asciiTheme="majorHAnsi" w:hAnsiTheme="majorHAnsi"/>
          <w:sz w:val="16"/>
          <w:szCs w:val="16"/>
          <w:lang w:val="es-ES"/>
        </w:rPr>
        <w:t>En adelante, “Convención Americana”.</w:t>
      </w:r>
    </w:p>
  </w:footnote>
  <w:footnote w:id="4">
    <w:p w14:paraId="0FB0B8E3" w14:textId="77777777" w:rsidR="0099258D" w:rsidRPr="003A490E" w:rsidRDefault="0099258D" w:rsidP="003A490E">
      <w:pPr>
        <w:pStyle w:val="FootnoteText"/>
        <w:spacing w:after="120"/>
        <w:ind w:firstLine="709"/>
        <w:jc w:val="both"/>
        <w:rPr>
          <w:rFonts w:asciiTheme="majorHAnsi" w:hAnsiTheme="majorHAnsi"/>
          <w:sz w:val="16"/>
          <w:szCs w:val="16"/>
          <w:lang w:val="es-ES"/>
        </w:rPr>
      </w:pPr>
      <w:r w:rsidRPr="003A490E">
        <w:rPr>
          <w:rStyle w:val="FootnoteReference"/>
          <w:rFonts w:asciiTheme="majorHAnsi" w:hAnsiTheme="majorHAnsi"/>
          <w:sz w:val="16"/>
          <w:szCs w:val="16"/>
        </w:rPr>
        <w:footnoteRef/>
      </w:r>
      <w:r w:rsidRPr="003A490E">
        <w:rPr>
          <w:rFonts w:asciiTheme="majorHAnsi" w:hAnsiTheme="majorHAnsi"/>
          <w:sz w:val="16"/>
          <w:szCs w:val="16"/>
          <w:lang w:val="es-ES"/>
        </w:rPr>
        <w:t xml:space="preserve"> Las observaciones de cada parte fueron debidamente trasladadas a la parte contraria.</w:t>
      </w:r>
    </w:p>
  </w:footnote>
  <w:footnote w:id="5">
    <w:p w14:paraId="4970EA1F" w14:textId="4D3C0545" w:rsidR="00120547" w:rsidRPr="00120547" w:rsidRDefault="00120547" w:rsidP="00120547">
      <w:pPr>
        <w:pStyle w:val="FootnoteText"/>
        <w:ind w:firstLine="720"/>
        <w:jc w:val="both"/>
        <w:rPr>
          <w:rFonts w:asciiTheme="majorHAnsi" w:hAnsiTheme="majorHAnsi"/>
          <w:sz w:val="16"/>
          <w:szCs w:val="16"/>
          <w:lang w:val="es-ES"/>
        </w:rPr>
      </w:pPr>
      <w:r>
        <w:rPr>
          <w:rStyle w:val="FootnoteReference"/>
          <w:rFonts w:asciiTheme="majorHAnsi" w:hAnsiTheme="majorHAnsi"/>
          <w:color w:val="auto"/>
          <w:sz w:val="16"/>
          <w:szCs w:val="16"/>
          <w:lang w:val="es"/>
        </w:rPr>
        <w:footnoteRef/>
      </w:r>
      <w:r>
        <w:rPr>
          <w:rFonts w:asciiTheme="majorHAnsi" w:hAnsiTheme="majorHAnsi"/>
          <w:color w:val="auto"/>
          <w:sz w:val="16"/>
          <w:szCs w:val="16"/>
          <w:lang w:val="es"/>
        </w:rPr>
        <w:t xml:space="preserve"> Según los peticionarios, el señor Duncan temía revelar su dirección actual </w:t>
      </w:r>
      <w:r w:rsidR="00E90426">
        <w:rPr>
          <w:rFonts w:asciiTheme="majorHAnsi" w:hAnsiTheme="majorHAnsi"/>
          <w:color w:val="auto"/>
          <w:sz w:val="16"/>
          <w:szCs w:val="16"/>
          <w:lang w:val="es"/>
        </w:rPr>
        <w:t xml:space="preserve">a la policía </w:t>
      </w:r>
      <w:r>
        <w:rPr>
          <w:rFonts w:asciiTheme="majorHAnsi" w:hAnsiTheme="majorHAnsi"/>
          <w:color w:val="auto"/>
          <w:sz w:val="16"/>
          <w:szCs w:val="16"/>
          <w:lang w:val="es"/>
        </w:rPr>
        <w:t>debido a los hostigamientos e intimidaciones que había sufrido.</w:t>
      </w:r>
    </w:p>
  </w:footnote>
  <w:footnote w:id="6">
    <w:p w14:paraId="0BD28AFF" w14:textId="7DDBD208" w:rsidR="00120547" w:rsidRPr="00120547" w:rsidRDefault="00120547" w:rsidP="00120547">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Sostienen que el hostigamiento a personas que los denuncian es un patrón de conducta generalizado </w:t>
      </w:r>
      <w:r w:rsidR="00AC6C13">
        <w:rPr>
          <w:rFonts w:asciiTheme="majorHAnsi" w:hAnsiTheme="majorHAnsi"/>
          <w:sz w:val="16"/>
          <w:szCs w:val="16"/>
          <w:lang w:val="es"/>
        </w:rPr>
        <w:t>en</w:t>
      </w:r>
      <w:r>
        <w:rPr>
          <w:rFonts w:asciiTheme="majorHAnsi" w:hAnsiTheme="majorHAnsi"/>
          <w:sz w:val="16"/>
          <w:szCs w:val="16"/>
          <w:lang w:val="es"/>
        </w:rPr>
        <w:t xml:space="preserve"> los miembros de la Fuerza Policial de Jamaica y cita algunos ejemplos de otros casos en los que se alegan situaciones idénticas.</w:t>
      </w:r>
    </w:p>
  </w:footnote>
  <w:footnote w:id="7">
    <w:p w14:paraId="6133C10C" w14:textId="77777777" w:rsidR="002E7753" w:rsidRPr="00120547" w:rsidRDefault="002E7753" w:rsidP="002E7753">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Sostienen, además, que el sistema es inadecuado pues permite que la legalidad de los arrestos policiales sea analizada por los jueces de paz, quienes no son funcionarios judiciales ni abogados </w:t>
      </w:r>
      <w:r w:rsidRPr="00AB106C">
        <w:rPr>
          <w:rFonts w:asciiTheme="majorHAnsi" w:hAnsiTheme="majorHAnsi"/>
          <w:i/>
          <w:iCs/>
          <w:sz w:val="16"/>
          <w:szCs w:val="16"/>
          <w:lang w:val="es"/>
        </w:rPr>
        <w:t>per se</w:t>
      </w:r>
      <w:r>
        <w:rPr>
          <w:rFonts w:asciiTheme="majorHAnsi" w:hAnsiTheme="majorHAnsi"/>
          <w:sz w:val="16"/>
          <w:szCs w:val="16"/>
          <w:lang w:val="es"/>
        </w:rPr>
        <w:t xml:space="preserve"> y quienes no tienen independencia de la fuerza policial local, ya que cuentan con ella a los fines de su autoridad de aplicación.</w:t>
      </w:r>
    </w:p>
  </w:footnote>
  <w:footnote w:id="8">
    <w:p w14:paraId="1981CF31" w14:textId="77777777" w:rsidR="002E7753" w:rsidRPr="00120547" w:rsidRDefault="002E7753" w:rsidP="002E7753">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Alegan que el sistema jamaiquino es inadecuado porque no garantiza el derecho a la defensa sino solamente el derecho a </w:t>
      </w:r>
      <w:r>
        <w:rPr>
          <w:rFonts w:asciiTheme="majorHAnsi" w:hAnsiTheme="majorHAnsi"/>
          <w:i/>
          <w:iCs/>
          <w:sz w:val="16"/>
          <w:szCs w:val="16"/>
          <w:lang w:val="es"/>
        </w:rPr>
        <w:t>contratar</w:t>
      </w:r>
      <w:r>
        <w:rPr>
          <w:rFonts w:asciiTheme="majorHAnsi" w:hAnsiTheme="majorHAnsi"/>
          <w:sz w:val="16"/>
          <w:szCs w:val="16"/>
          <w:lang w:val="es"/>
        </w:rPr>
        <w:t xml:space="preserve"> un abogado, lo que constituye un acto de discriminación hacia los más vulnerables en términos económicos puesto que las autoridades de detención suelen no informar a los detenidos de su derecho a la defensa y a un sistema de asistencia legal con capacidad insuficiente para ofrecer defensores en todos los casos.</w:t>
      </w:r>
    </w:p>
  </w:footnote>
  <w:footnote w:id="9">
    <w:p w14:paraId="23F63882" w14:textId="77777777" w:rsidR="002E7753" w:rsidRPr="00120547" w:rsidRDefault="002E7753" w:rsidP="002E7753">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Sostienen que aun cuando teóricamente se puede interponer un </w:t>
      </w:r>
      <w:r w:rsidRPr="00D222FB">
        <w:rPr>
          <w:rFonts w:asciiTheme="majorHAnsi" w:hAnsiTheme="majorHAnsi"/>
          <w:i/>
          <w:iCs/>
          <w:sz w:val="16"/>
          <w:szCs w:val="16"/>
          <w:lang w:val="es"/>
        </w:rPr>
        <w:t>habeas corpus</w:t>
      </w:r>
      <w:r>
        <w:rPr>
          <w:rFonts w:asciiTheme="majorHAnsi" w:hAnsiTheme="majorHAnsi"/>
          <w:sz w:val="16"/>
          <w:szCs w:val="16"/>
          <w:lang w:val="es"/>
        </w:rPr>
        <w:t xml:space="preserve"> </w:t>
      </w:r>
      <w:r w:rsidRPr="00D222FB">
        <w:rPr>
          <w:rFonts w:asciiTheme="majorHAnsi" w:hAnsiTheme="majorHAnsi"/>
          <w:i/>
          <w:iCs/>
          <w:sz w:val="16"/>
          <w:szCs w:val="16"/>
          <w:lang w:val="es"/>
        </w:rPr>
        <w:t>pro se</w:t>
      </w:r>
      <w:r>
        <w:rPr>
          <w:rFonts w:asciiTheme="majorHAnsi" w:hAnsiTheme="majorHAnsi"/>
          <w:sz w:val="16"/>
          <w:szCs w:val="16"/>
          <w:lang w:val="es"/>
        </w:rPr>
        <w:t>, en la práctica, rara vez esto es posible.</w:t>
      </w:r>
    </w:p>
  </w:footnote>
  <w:footnote w:id="10">
    <w:p w14:paraId="07BFCBD9" w14:textId="547C0AA8" w:rsidR="00725F7E" w:rsidRPr="00725F7E" w:rsidRDefault="00725F7E" w:rsidP="00725F7E">
      <w:pPr>
        <w:pStyle w:val="FootnoteText"/>
        <w:ind w:firstLine="720"/>
        <w:jc w:val="both"/>
        <w:rPr>
          <w:rFonts w:asciiTheme="majorHAnsi" w:hAnsiTheme="majorHAnsi"/>
          <w:sz w:val="16"/>
          <w:szCs w:val="16"/>
          <w:lang w:val="es-PA"/>
        </w:rPr>
      </w:pPr>
      <w:r w:rsidRPr="00725F7E">
        <w:rPr>
          <w:rStyle w:val="FootnoteReference"/>
          <w:rFonts w:asciiTheme="majorHAnsi" w:hAnsiTheme="majorHAnsi"/>
          <w:sz w:val="16"/>
          <w:szCs w:val="16"/>
        </w:rPr>
        <w:footnoteRef/>
      </w:r>
      <w:r w:rsidRPr="00725F7E">
        <w:rPr>
          <w:rFonts w:asciiTheme="majorHAnsi" w:hAnsiTheme="majorHAnsi"/>
          <w:sz w:val="16"/>
          <w:szCs w:val="16"/>
          <w:lang w:val="es-PA"/>
        </w:rPr>
        <w:t xml:space="preserve"> </w:t>
      </w:r>
      <w:r w:rsidRPr="00725F7E">
        <w:rPr>
          <w:rFonts w:asciiTheme="majorHAnsi" w:hAnsiTheme="majorHAnsi"/>
          <w:color w:val="auto"/>
          <w:sz w:val="16"/>
          <w:szCs w:val="16"/>
          <w:lang w:val="es"/>
        </w:rPr>
        <w:t>Ver CIDH, Informe N</w:t>
      </w:r>
      <w:proofErr w:type="gramStart"/>
      <w:r w:rsidRPr="00725F7E">
        <w:rPr>
          <w:rFonts w:asciiTheme="majorHAnsi" w:hAnsiTheme="majorHAnsi"/>
          <w:color w:val="auto"/>
          <w:sz w:val="16"/>
          <w:szCs w:val="16"/>
          <w:lang w:val="es"/>
        </w:rPr>
        <w:t>.º</w:t>
      </w:r>
      <w:proofErr w:type="gramEnd"/>
      <w:r w:rsidRPr="00725F7E">
        <w:rPr>
          <w:rFonts w:asciiTheme="majorHAnsi" w:hAnsiTheme="majorHAnsi"/>
          <w:color w:val="auto"/>
          <w:sz w:val="16"/>
          <w:szCs w:val="16"/>
          <w:lang w:val="es"/>
        </w:rPr>
        <w:t xml:space="preserve"> 159/17, Petición 712-08. Admisibilidad. Sebastián </w:t>
      </w:r>
      <w:proofErr w:type="spellStart"/>
      <w:r w:rsidRPr="00725F7E">
        <w:rPr>
          <w:rFonts w:asciiTheme="majorHAnsi" w:hAnsiTheme="majorHAnsi"/>
          <w:color w:val="auto"/>
          <w:sz w:val="16"/>
          <w:szCs w:val="16"/>
          <w:lang w:val="es"/>
        </w:rPr>
        <w:t>Larroza</w:t>
      </w:r>
      <w:proofErr w:type="spellEnd"/>
      <w:r w:rsidRPr="00725F7E">
        <w:rPr>
          <w:rFonts w:asciiTheme="majorHAnsi" w:hAnsiTheme="majorHAnsi"/>
          <w:color w:val="auto"/>
          <w:sz w:val="16"/>
          <w:szCs w:val="16"/>
          <w:lang w:val="es"/>
        </w:rPr>
        <w:t xml:space="preserve"> Velázquez y familia. Paraguay. 30 de noviembre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3E393"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7E3240"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E50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3E74D680" wp14:editId="2355C31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78F6DE1" w14:textId="77777777" w:rsidR="0099258D" w:rsidRPr="00EC7D62" w:rsidRDefault="004F43A1" w:rsidP="00A50FCF">
    <w:pPr>
      <w:pStyle w:val="Header"/>
      <w:tabs>
        <w:tab w:val="clear" w:pos="4320"/>
        <w:tab w:val="clear" w:pos="8640"/>
      </w:tabs>
      <w:jc w:val="center"/>
      <w:rPr>
        <w:sz w:val="22"/>
        <w:szCs w:val="22"/>
      </w:rPr>
    </w:pPr>
    <w:r>
      <w:rPr>
        <w:sz w:val="22"/>
        <w:szCs w:val="22"/>
      </w:rPr>
      <w:pict w14:anchorId="2C2B2ED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BA1A" w14:textId="77777777" w:rsidR="0043228C" w:rsidRDefault="00432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9EACF32"/>
    <w:lvl w:ilvl="0" w:tplc="6D70E538">
      <w:start w:val="1"/>
      <w:numFmt w:val="decimal"/>
      <w:lvlText w:val="%1."/>
      <w:lvlJc w:val="left"/>
      <w:pPr>
        <w:tabs>
          <w:tab w:val="num" w:pos="720"/>
        </w:tabs>
        <w:ind w:left="0" w:firstLine="720"/>
      </w:pPr>
      <w:rPr>
        <w:rFonts w:hint="default"/>
        <w:b w:val="0"/>
        <w:i w:val="0"/>
        <w:i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8D6F77"/>
    <w:multiLevelType w:val="hybridMultilevel"/>
    <w:tmpl w:val="CF1AA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1EF"/>
    <w:rsid w:val="000140D5"/>
    <w:rsid w:val="0001560F"/>
    <w:rsid w:val="0001788C"/>
    <w:rsid w:val="000337EF"/>
    <w:rsid w:val="00040C3A"/>
    <w:rsid w:val="000419AD"/>
    <w:rsid w:val="00046260"/>
    <w:rsid w:val="00050465"/>
    <w:rsid w:val="0005250F"/>
    <w:rsid w:val="000716C5"/>
    <w:rsid w:val="00075E23"/>
    <w:rsid w:val="000816EF"/>
    <w:rsid w:val="0009344A"/>
    <w:rsid w:val="000A392E"/>
    <w:rsid w:val="000A575F"/>
    <w:rsid w:val="000A785C"/>
    <w:rsid w:val="000C0F58"/>
    <w:rsid w:val="000C521D"/>
    <w:rsid w:val="000C5F6A"/>
    <w:rsid w:val="000D10DB"/>
    <w:rsid w:val="000E3903"/>
    <w:rsid w:val="000E5EB5"/>
    <w:rsid w:val="000F35ED"/>
    <w:rsid w:val="00101995"/>
    <w:rsid w:val="001025F7"/>
    <w:rsid w:val="00107131"/>
    <w:rsid w:val="0010736F"/>
    <w:rsid w:val="001136CF"/>
    <w:rsid w:val="00113F73"/>
    <w:rsid w:val="001179D3"/>
    <w:rsid w:val="00120547"/>
    <w:rsid w:val="00121CC2"/>
    <w:rsid w:val="00133EE5"/>
    <w:rsid w:val="0013619C"/>
    <w:rsid w:val="00144335"/>
    <w:rsid w:val="00144BE6"/>
    <w:rsid w:val="00157768"/>
    <w:rsid w:val="00167A34"/>
    <w:rsid w:val="00171A7E"/>
    <w:rsid w:val="00175977"/>
    <w:rsid w:val="001970A2"/>
    <w:rsid w:val="001A0571"/>
    <w:rsid w:val="001A46A0"/>
    <w:rsid w:val="001A7870"/>
    <w:rsid w:val="001B31B5"/>
    <w:rsid w:val="001B3A00"/>
    <w:rsid w:val="001C1B41"/>
    <w:rsid w:val="001C6802"/>
    <w:rsid w:val="001D13D2"/>
    <w:rsid w:val="001D65EF"/>
    <w:rsid w:val="001E49E7"/>
    <w:rsid w:val="001F7201"/>
    <w:rsid w:val="001F76DC"/>
    <w:rsid w:val="002031A3"/>
    <w:rsid w:val="00207299"/>
    <w:rsid w:val="00210EC0"/>
    <w:rsid w:val="0021484C"/>
    <w:rsid w:val="00217C73"/>
    <w:rsid w:val="00223A29"/>
    <w:rsid w:val="00224902"/>
    <w:rsid w:val="002250A3"/>
    <w:rsid w:val="00231998"/>
    <w:rsid w:val="00235217"/>
    <w:rsid w:val="00237693"/>
    <w:rsid w:val="00242B93"/>
    <w:rsid w:val="00244268"/>
    <w:rsid w:val="0024549B"/>
    <w:rsid w:val="00246D1F"/>
    <w:rsid w:val="00247403"/>
    <w:rsid w:val="00247542"/>
    <w:rsid w:val="00266B61"/>
    <w:rsid w:val="0026712A"/>
    <w:rsid w:val="002704DB"/>
    <w:rsid w:val="0027188A"/>
    <w:rsid w:val="002A0AAE"/>
    <w:rsid w:val="002A5820"/>
    <w:rsid w:val="002B0C4E"/>
    <w:rsid w:val="002B37B1"/>
    <w:rsid w:val="002D2B26"/>
    <w:rsid w:val="002D3BFC"/>
    <w:rsid w:val="002D5DFD"/>
    <w:rsid w:val="002D718C"/>
    <w:rsid w:val="002D7CAE"/>
    <w:rsid w:val="002D7EA2"/>
    <w:rsid w:val="002E187C"/>
    <w:rsid w:val="002E7753"/>
    <w:rsid w:val="00302733"/>
    <w:rsid w:val="00312CCC"/>
    <w:rsid w:val="00314078"/>
    <w:rsid w:val="0031535D"/>
    <w:rsid w:val="003239B8"/>
    <w:rsid w:val="0032427A"/>
    <w:rsid w:val="0033169F"/>
    <w:rsid w:val="00335E12"/>
    <w:rsid w:val="00337F78"/>
    <w:rsid w:val="00344977"/>
    <w:rsid w:val="00344E02"/>
    <w:rsid w:val="00346C95"/>
    <w:rsid w:val="00354248"/>
    <w:rsid w:val="00356185"/>
    <w:rsid w:val="00360380"/>
    <w:rsid w:val="00364C3F"/>
    <w:rsid w:val="00370BFD"/>
    <w:rsid w:val="0037311C"/>
    <w:rsid w:val="00374E78"/>
    <w:rsid w:val="0037519E"/>
    <w:rsid w:val="00380585"/>
    <w:rsid w:val="0038168A"/>
    <w:rsid w:val="0038296C"/>
    <w:rsid w:val="0038518C"/>
    <w:rsid w:val="00386CF0"/>
    <w:rsid w:val="003A490E"/>
    <w:rsid w:val="003A7451"/>
    <w:rsid w:val="003B2204"/>
    <w:rsid w:val="003B6B4F"/>
    <w:rsid w:val="003B70FB"/>
    <w:rsid w:val="003B76EB"/>
    <w:rsid w:val="003C093F"/>
    <w:rsid w:val="003C268E"/>
    <w:rsid w:val="003C676B"/>
    <w:rsid w:val="003D3BC2"/>
    <w:rsid w:val="003E023E"/>
    <w:rsid w:val="003E05E8"/>
    <w:rsid w:val="003E2C82"/>
    <w:rsid w:val="003E6CA1"/>
    <w:rsid w:val="003F0C01"/>
    <w:rsid w:val="004065A8"/>
    <w:rsid w:val="004165C2"/>
    <w:rsid w:val="0043228C"/>
    <w:rsid w:val="00432366"/>
    <w:rsid w:val="00440B44"/>
    <w:rsid w:val="00441ECB"/>
    <w:rsid w:val="00445193"/>
    <w:rsid w:val="00447897"/>
    <w:rsid w:val="00447BBF"/>
    <w:rsid w:val="00454503"/>
    <w:rsid w:val="00462C1B"/>
    <w:rsid w:val="00467B7E"/>
    <w:rsid w:val="00473BB4"/>
    <w:rsid w:val="00473EB3"/>
    <w:rsid w:val="00476880"/>
    <w:rsid w:val="00477592"/>
    <w:rsid w:val="00486F1C"/>
    <w:rsid w:val="004924C9"/>
    <w:rsid w:val="0049419D"/>
    <w:rsid w:val="004A1192"/>
    <w:rsid w:val="004A4321"/>
    <w:rsid w:val="004A4E16"/>
    <w:rsid w:val="004A632D"/>
    <w:rsid w:val="004A6A54"/>
    <w:rsid w:val="004B6924"/>
    <w:rsid w:val="004C20D2"/>
    <w:rsid w:val="004C2312"/>
    <w:rsid w:val="004C4B62"/>
    <w:rsid w:val="004C54C9"/>
    <w:rsid w:val="004C78C9"/>
    <w:rsid w:val="004D4ABA"/>
    <w:rsid w:val="004D6025"/>
    <w:rsid w:val="004D78C1"/>
    <w:rsid w:val="004D7A5F"/>
    <w:rsid w:val="004E1619"/>
    <w:rsid w:val="004E2649"/>
    <w:rsid w:val="004E7A02"/>
    <w:rsid w:val="004F43A1"/>
    <w:rsid w:val="00501399"/>
    <w:rsid w:val="0050633D"/>
    <w:rsid w:val="00507951"/>
    <w:rsid w:val="00507BC4"/>
    <w:rsid w:val="005128E4"/>
    <w:rsid w:val="005133DB"/>
    <w:rsid w:val="0051652D"/>
    <w:rsid w:val="00522B29"/>
    <w:rsid w:val="00525560"/>
    <w:rsid w:val="00537ED8"/>
    <w:rsid w:val="005422B7"/>
    <w:rsid w:val="00544C49"/>
    <w:rsid w:val="00544E91"/>
    <w:rsid w:val="00547814"/>
    <w:rsid w:val="005516A1"/>
    <w:rsid w:val="00563557"/>
    <w:rsid w:val="00566CB8"/>
    <w:rsid w:val="0057402A"/>
    <w:rsid w:val="005771D0"/>
    <w:rsid w:val="00585D5F"/>
    <w:rsid w:val="00590296"/>
    <w:rsid w:val="005911F9"/>
    <w:rsid w:val="0059191A"/>
    <w:rsid w:val="005921FF"/>
    <w:rsid w:val="0059369B"/>
    <w:rsid w:val="0059761D"/>
    <w:rsid w:val="005A24ED"/>
    <w:rsid w:val="005A28CC"/>
    <w:rsid w:val="005A6D0E"/>
    <w:rsid w:val="005B226B"/>
    <w:rsid w:val="005B2DB8"/>
    <w:rsid w:val="005B38F1"/>
    <w:rsid w:val="005B52B0"/>
    <w:rsid w:val="005B6806"/>
    <w:rsid w:val="005C0010"/>
    <w:rsid w:val="005C4225"/>
    <w:rsid w:val="005C5CCF"/>
    <w:rsid w:val="005E5869"/>
    <w:rsid w:val="005F0DAD"/>
    <w:rsid w:val="005F0F33"/>
    <w:rsid w:val="005F7301"/>
    <w:rsid w:val="00600DEB"/>
    <w:rsid w:val="0060356B"/>
    <w:rsid w:val="00606CDA"/>
    <w:rsid w:val="00613C8A"/>
    <w:rsid w:val="006218E4"/>
    <w:rsid w:val="00622697"/>
    <w:rsid w:val="00623C62"/>
    <w:rsid w:val="00627C9F"/>
    <w:rsid w:val="00627DA9"/>
    <w:rsid w:val="006311E9"/>
    <w:rsid w:val="00632291"/>
    <w:rsid w:val="00632354"/>
    <w:rsid w:val="00636287"/>
    <w:rsid w:val="00642810"/>
    <w:rsid w:val="00652333"/>
    <w:rsid w:val="00663E46"/>
    <w:rsid w:val="0067004F"/>
    <w:rsid w:val="006731B9"/>
    <w:rsid w:val="0068009E"/>
    <w:rsid w:val="00682C39"/>
    <w:rsid w:val="00692219"/>
    <w:rsid w:val="006A17D2"/>
    <w:rsid w:val="006A3251"/>
    <w:rsid w:val="006A73E6"/>
    <w:rsid w:val="006B2D5C"/>
    <w:rsid w:val="006C4EB1"/>
    <w:rsid w:val="006C5546"/>
    <w:rsid w:val="006D421B"/>
    <w:rsid w:val="006E0166"/>
    <w:rsid w:val="006E0C5E"/>
    <w:rsid w:val="006E2CC0"/>
    <w:rsid w:val="006E7B34"/>
    <w:rsid w:val="006F00E7"/>
    <w:rsid w:val="006F084F"/>
    <w:rsid w:val="006F1C9E"/>
    <w:rsid w:val="00706149"/>
    <w:rsid w:val="007067C6"/>
    <w:rsid w:val="0070697F"/>
    <w:rsid w:val="00710CE8"/>
    <w:rsid w:val="00711C21"/>
    <w:rsid w:val="00714D04"/>
    <w:rsid w:val="007160BD"/>
    <w:rsid w:val="007218F1"/>
    <w:rsid w:val="0072199C"/>
    <w:rsid w:val="00722C9F"/>
    <w:rsid w:val="007253B8"/>
    <w:rsid w:val="00725F7E"/>
    <w:rsid w:val="0072718A"/>
    <w:rsid w:val="0073408A"/>
    <w:rsid w:val="00734CEE"/>
    <w:rsid w:val="0073741F"/>
    <w:rsid w:val="00742890"/>
    <w:rsid w:val="00742E25"/>
    <w:rsid w:val="00742F03"/>
    <w:rsid w:val="007569B2"/>
    <w:rsid w:val="00756F85"/>
    <w:rsid w:val="0076643F"/>
    <w:rsid w:val="00777F63"/>
    <w:rsid w:val="0078681C"/>
    <w:rsid w:val="007A0CDE"/>
    <w:rsid w:val="007A43B2"/>
    <w:rsid w:val="007A5817"/>
    <w:rsid w:val="007B05C4"/>
    <w:rsid w:val="007B60E9"/>
    <w:rsid w:val="007B6300"/>
    <w:rsid w:val="007B6CC3"/>
    <w:rsid w:val="007C3334"/>
    <w:rsid w:val="007D2B98"/>
    <w:rsid w:val="007D48DE"/>
    <w:rsid w:val="007E21BC"/>
    <w:rsid w:val="007E7C82"/>
    <w:rsid w:val="007F203C"/>
    <w:rsid w:val="007F4878"/>
    <w:rsid w:val="007F588D"/>
    <w:rsid w:val="00803F1C"/>
    <w:rsid w:val="0080600E"/>
    <w:rsid w:val="0080687A"/>
    <w:rsid w:val="00806E8A"/>
    <w:rsid w:val="00817612"/>
    <w:rsid w:val="008338A4"/>
    <w:rsid w:val="00834D49"/>
    <w:rsid w:val="00837C45"/>
    <w:rsid w:val="00844097"/>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C6594"/>
    <w:rsid w:val="008D00AC"/>
    <w:rsid w:val="008D2391"/>
    <w:rsid w:val="008D768D"/>
    <w:rsid w:val="008E3759"/>
    <w:rsid w:val="008E3BFE"/>
    <w:rsid w:val="008F1912"/>
    <w:rsid w:val="008F22E7"/>
    <w:rsid w:val="008F581B"/>
    <w:rsid w:val="008F6C72"/>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381B"/>
    <w:rsid w:val="009C42F3"/>
    <w:rsid w:val="009C74A1"/>
    <w:rsid w:val="009D1753"/>
    <w:rsid w:val="009D7611"/>
    <w:rsid w:val="009E0490"/>
    <w:rsid w:val="009E0B61"/>
    <w:rsid w:val="009E53DE"/>
    <w:rsid w:val="00A11E44"/>
    <w:rsid w:val="00A1365F"/>
    <w:rsid w:val="00A218EF"/>
    <w:rsid w:val="00A24333"/>
    <w:rsid w:val="00A328B3"/>
    <w:rsid w:val="00A3717F"/>
    <w:rsid w:val="00A50FCF"/>
    <w:rsid w:val="00A528D1"/>
    <w:rsid w:val="00A610CD"/>
    <w:rsid w:val="00A62F1B"/>
    <w:rsid w:val="00A65E58"/>
    <w:rsid w:val="00A758AA"/>
    <w:rsid w:val="00A957F6"/>
    <w:rsid w:val="00AA09A2"/>
    <w:rsid w:val="00AA427B"/>
    <w:rsid w:val="00AA7996"/>
    <w:rsid w:val="00AB106C"/>
    <w:rsid w:val="00AC19CB"/>
    <w:rsid w:val="00AC6C13"/>
    <w:rsid w:val="00AE33F9"/>
    <w:rsid w:val="00AE3F60"/>
    <w:rsid w:val="00AE5488"/>
    <w:rsid w:val="00AE6F91"/>
    <w:rsid w:val="00AE7900"/>
    <w:rsid w:val="00AF5571"/>
    <w:rsid w:val="00B04DC0"/>
    <w:rsid w:val="00B07341"/>
    <w:rsid w:val="00B165FF"/>
    <w:rsid w:val="00B30539"/>
    <w:rsid w:val="00B314DB"/>
    <w:rsid w:val="00B3317D"/>
    <w:rsid w:val="00B361F2"/>
    <w:rsid w:val="00B3718B"/>
    <w:rsid w:val="00B44E2A"/>
    <w:rsid w:val="00B4632A"/>
    <w:rsid w:val="00B46C68"/>
    <w:rsid w:val="00B530F1"/>
    <w:rsid w:val="00B532AA"/>
    <w:rsid w:val="00B60C16"/>
    <w:rsid w:val="00B627EC"/>
    <w:rsid w:val="00B6315E"/>
    <w:rsid w:val="00B643B4"/>
    <w:rsid w:val="00B73438"/>
    <w:rsid w:val="00B84D22"/>
    <w:rsid w:val="00BA276C"/>
    <w:rsid w:val="00BB306F"/>
    <w:rsid w:val="00BC1EE3"/>
    <w:rsid w:val="00BC7312"/>
    <w:rsid w:val="00BD0293"/>
    <w:rsid w:val="00BD3F68"/>
    <w:rsid w:val="00BD4B89"/>
    <w:rsid w:val="00BD5460"/>
    <w:rsid w:val="00BD5922"/>
    <w:rsid w:val="00BE2A3E"/>
    <w:rsid w:val="00BF02CB"/>
    <w:rsid w:val="00BF6FD8"/>
    <w:rsid w:val="00C03133"/>
    <w:rsid w:val="00C03680"/>
    <w:rsid w:val="00C05296"/>
    <w:rsid w:val="00C054DF"/>
    <w:rsid w:val="00C21762"/>
    <w:rsid w:val="00C21FEF"/>
    <w:rsid w:val="00C225C4"/>
    <w:rsid w:val="00C22BFE"/>
    <w:rsid w:val="00C24543"/>
    <w:rsid w:val="00C256A2"/>
    <w:rsid w:val="00C26D0A"/>
    <w:rsid w:val="00C450AE"/>
    <w:rsid w:val="00C51515"/>
    <w:rsid w:val="00C53201"/>
    <w:rsid w:val="00C5660B"/>
    <w:rsid w:val="00C61A34"/>
    <w:rsid w:val="00C66B72"/>
    <w:rsid w:val="00C725B5"/>
    <w:rsid w:val="00C7399A"/>
    <w:rsid w:val="00C74927"/>
    <w:rsid w:val="00C765B7"/>
    <w:rsid w:val="00C76649"/>
    <w:rsid w:val="00C87AC4"/>
    <w:rsid w:val="00C9567A"/>
    <w:rsid w:val="00C966EC"/>
    <w:rsid w:val="00CB212D"/>
    <w:rsid w:val="00CB2660"/>
    <w:rsid w:val="00CB2D9B"/>
    <w:rsid w:val="00CB2E5A"/>
    <w:rsid w:val="00CC09CB"/>
    <w:rsid w:val="00CC0AD2"/>
    <w:rsid w:val="00CC5E90"/>
    <w:rsid w:val="00CD046C"/>
    <w:rsid w:val="00CE076C"/>
    <w:rsid w:val="00CE5199"/>
    <w:rsid w:val="00CE66D5"/>
    <w:rsid w:val="00CF0031"/>
    <w:rsid w:val="00CF637A"/>
    <w:rsid w:val="00D01C68"/>
    <w:rsid w:val="00D04DE3"/>
    <w:rsid w:val="00D059DE"/>
    <w:rsid w:val="00D05ABD"/>
    <w:rsid w:val="00D13FCE"/>
    <w:rsid w:val="00D14F60"/>
    <w:rsid w:val="00D222FB"/>
    <w:rsid w:val="00D306D1"/>
    <w:rsid w:val="00D30800"/>
    <w:rsid w:val="00D34786"/>
    <w:rsid w:val="00D35777"/>
    <w:rsid w:val="00D37BFC"/>
    <w:rsid w:val="00D433AF"/>
    <w:rsid w:val="00D4529C"/>
    <w:rsid w:val="00D45905"/>
    <w:rsid w:val="00D47A8E"/>
    <w:rsid w:val="00D52D14"/>
    <w:rsid w:val="00D64F28"/>
    <w:rsid w:val="00D712D3"/>
    <w:rsid w:val="00D71422"/>
    <w:rsid w:val="00D72DC6"/>
    <w:rsid w:val="00D7558D"/>
    <w:rsid w:val="00D807B6"/>
    <w:rsid w:val="00D81471"/>
    <w:rsid w:val="00D81D92"/>
    <w:rsid w:val="00D876F1"/>
    <w:rsid w:val="00D876F9"/>
    <w:rsid w:val="00DA2715"/>
    <w:rsid w:val="00DA671F"/>
    <w:rsid w:val="00DA7B5F"/>
    <w:rsid w:val="00DB42D0"/>
    <w:rsid w:val="00DB5D50"/>
    <w:rsid w:val="00DB7F22"/>
    <w:rsid w:val="00DC11E7"/>
    <w:rsid w:val="00DC7023"/>
    <w:rsid w:val="00DC769A"/>
    <w:rsid w:val="00DD0FB2"/>
    <w:rsid w:val="00DD26CE"/>
    <w:rsid w:val="00DD3D86"/>
    <w:rsid w:val="00DE02AB"/>
    <w:rsid w:val="00DF1EC4"/>
    <w:rsid w:val="00E0193B"/>
    <w:rsid w:val="00E0340B"/>
    <w:rsid w:val="00E04A90"/>
    <w:rsid w:val="00E0551F"/>
    <w:rsid w:val="00E069A1"/>
    <w:rsid w:val="00E219C7"/>
    <w:rsid w:val="00E25F59"/>
    <w:rsid w:val="00E2743A"/>
    <w:rsid w:val="00E40B74"/>
    <w:rsid w:val="00E4118C"/>
    <w:rsid w:val="00E43157"/>
    <w:rsid w:val="00E44035"/>
    <w:rsid w:val="00E461CE"/>
    <w:rsid w:val="00E47256"/>
    <w:rsid w:val="00E50BE8"/>
    <w:rsid w:val="00E53803"/>
    <w:rsid w:val="00E614C1"/>
    <w:rsid w:val="00E6386B"/>
    <w:rsid w:val="00E655F4"/>
    <w:rsid w:val="00E720CA"/>
    <w:rsid w:val="00E75E2E"/>
    <w:rsid w:val="00E8412A"/>
    <w:rsid w:val="00E841C3"/>
    <w:rsid w:val="00E84EB5"/>
    <w:rsid w:val="00E85662"/>
    <w:rsid w:val="00E8734F"/>
    <w:rsid w:val="00E8789F"/>
    <w:rsid w:val="00E90426"/>
    <w:rsid w:val="00E91F8C"/>
    <w:rsid w:val="00E95163"/>
    <w:rsid w:val="00E97B71"/>
    <w:rsid w:val="00EA3D34"/>
    <w:rsid w:val="00EB454D"/>
    <w:rsid w:val="00EC2A3E"/>
    <w:rsid w:val="00EC33A0"/>
    <w:rsid w:val="00EC3C2F"/>
    <w:rsid w:val="00EC59D6"/>
    <w:rsid w:val="00ED0C98"/>
    <w:rsid w:val="00ED549D"/>
    <w:rsid w:val="00ED76BE"/>
    <w:rsid w:val="00EE00E9"/>
    <w:rsid w:val="00EE28EE"/>
    <w:rsid w:val="00EF619B"/>
    <w:rsid w:val="00F00B55"/>
    <w:rsid w:val="00F02AD1"/>
    <w:rsid w:val="00F02C97"/>
    <w:rsid w:val="00F205C2"/>
    <w:rsid w:val="00F211A4"/>
    <w:rsid w:val="00F253CC"/>
    <w:rsid w:val="00F30954"/>
    <w:rsid w:val="00F34AFF"/>
    <w:rsid w:val="00F37106"/>
    <w:rsid w:val="00F519CF"/>
    <w:rsid w:val="00F52CF4"/>
    <w:rsid w:val="00F55B4E"/>
    <w:rsid w:val="00F56253"/>
    <w:rsid w:val="00F56BA5"/>
    <w:rsid w:val="00F60E22"/>
    <w:rsid w:val="00F717C2"/>
    <w:rsid w:val="00F730D3"/>
    <w:rsid w:val="00F81395"/>
    <w:rsid w:val="00F81BB8"/>
    <w:rsid w:val="00F917D1"/>
    <w:rsid w:val="00F925CD"/>
    <w:rsid w:val="00F957E3"/>
    <w:rsid w:val="00F9653B"/>
    <w:rsid w:val="00FA6650"/>
    <w:rsid w:val="00FB62CF"/>
    <w:rsid w:val="00FB6DCD"/>
    <w:rsid w:val="00FB7F0E"/>
    <w:rsid w:val="00FC6B0D"/>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3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5DD10ECF64A568B1C669E7B23DD9E"/>
        <w:category>
          <w:name w:val="General"/>
          <w:gallery w:val="placeholder"/>
        </w:category>
        <w:types>
          <w:type w:val="bbPlcHdr"/>
        </w:types>
        <w:behaviors>
          <w:behavior w:val="content"/>
        </w:behaviors>
        <w:guid w:val="{060ACD25-2D7C-4934-B73B-232CCAFB8316}"/>
      </w:docPartPr>
      <w:docPartBody>
        <w:p w:rsidR="008A05C1" w:rsidRDefault="00233774" w:rsidP="00233774">
          <w:pPr>
            <w:pStyle w:val="E065DD10ECF64A568B1C669E7B23D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94049"/>
    <w:rsid w:val="0046255D"/>
    <w:rsid w:val="0047474E"/>
    <w:rsid w:val="004F2DF8"/>
    <w:rsid w:val="005F1A2F"/>
    <w:rsid w:val="0060264A"/>
    <w:rsid w:val="007200C3"/>
    <w:rsid w:val="0073427B"/>
    <w:rsid w:val="00735639"/>
    <w:rsid w:val="00782223"/>
    <w:rsid w:val="008A05C1"/>
    <w:rsid w:val="009A261B"/>
    <w:rsid w:val="00A56429"/>
    <w:rsid w:val="00AC0348"/>
    <w:rsid w:val="00AC15A4"/>
    <w:rsid w:val="00B0336C"/>
    <w:rsid w:val="00D223B1"/>
    <w:rsid w:val="00D435D1"/>
    <w:rsid w:val="00DE7283"/>
    <w:rsid w:val="00E114B9"/>
    <w:rsid w:val="00E2776A"/>
    <w:rsid w:val="00F00D2F"/>
    <w:rsid w:val="00F128DF"/>
    <w:rsid w:val="00FD1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77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0FE3-AFE0-4892-8DDF-E07E2D8A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12655</Characters>
  <Application>Microsoft Office Word</Application>
  <DocSecurity>0</DocSecurity>
  <Lines>243</Lines>
  <Paragraphs>77</Paragraphs>
  <ScaleCrop>false</ScaleCrop>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96/20</dc:title>
  <dc:creator/>
  <cp:lastModifiedBy/>
  <cp:revision>1</cp:revision>
  <dcterms:created xsi:type="dcterms:W3CDTF">2020-06-24T18:33:00Z</dcterms:created>
  <dcterms:modified xsi:type="dcterms:W3CDTF">2020-06-24T18:33:00Z</dcterms:modified>
</cp:coreProperties>
</file>