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047DDD" w:rsidRDefault="00D306D1" w:rsidP="00627C9F">
      <w:pPr>
        <w:jc w:val="both"/>
        <w:rPr>
          <w:rFonts w:asciiTheme="majorHAnsi" w:hAnsiTheme="majorHAnsi" w:cs="Univers"/>
          <w:b/>
          <w:bCs/>
          <w:sz w:val="22"/>
          <w:szCs w:val="22"/>
          <w:lang w:val="es-ES"/>
        </w:rPr>
      </w:pPr>
      <w:r w:rsidRPr="00047DD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1FE36A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47DD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1800E9" w:rsidRDefault="001800E9"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1800E9" w:rsidRDefault="001800E9"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47DDD"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47DDD"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47DDD" w:rsidRDefault="005128E4" w:rsidP="00040C3A">
      <w:pPr>
        <w:tabs>
          <w:tab w:val="center" w:pos="5400"/>
        </w:tabs>
        <w:suppressAutoHyphens/>
        <w:rPr>
          <w:rFonts w:asciiTheme="majorHAnsi" w:hAnsiTheme="majorHAnsi"/>
          <w:sz w:val="22"/>
          <w:szCs w:val="22"/>
          <w:lang w:val="es-ES"/>
        </w:rPr>
      </w:pPr>
    </w:p>
    <w:p w14:paraId="12A36B24" w14:textId="77777777" w:rsidR="005128E4" w:rsidRPr="00047DDD" w:rsidRDefault="005128E4" w:rsidP="00040C3A">
      <w:pPr>
        <w:tabs>
          <w:tab w:val="center" w:pos="5400"/>
        </w:tabs>
        <w:suppressAutoHyphens/>
        <w:rPr>
          <w:rFonts w:asciiTheme="majorHAnsi" w:hAnsiTheme="majorHAnsi"/>
          <w:sz w:val="22"/>
          <w:szCs w:val="22"/>
          <w:lang w:val="es-ES"/>
        </w:rPr>
      </w:pPr>
    </w:p>
    <w:p w14:paraId="2252093D" w14:textId="77777777" w:rsidR="005128E4" w:rsidRPr="00047DDD" w:rsidRDefault="005128E4" w:rsidP="00040C3A">
      <w:pPr>
        <w:tabs>
          <w:tab w:val="center" w:pos="5400"/>
        </w:tabs>
        <w:suppressAutoHyphens/>
        <w:rPr>
          <w:rFonts w:asciiTheme="majorHAnsi" w:hAnsiTheme="majorHAnsi"/>
          <w:sz w:val="22"/>
          <w:szCs w:val="22"/>
          <w:lang w:val="es-ES"/>
        </w:rPr>
      </w:pPr>
    </w:p>
    <w:p w14:paraId="403935BD" w14:textId="77777777" w:rsidR="00040C3A" w:rsidRPr="00047DDD"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47DDD"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47DDD"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47DDD"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47DDD"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47DDD"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47DDD"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47DDD" w:rsidRDefault="003D3BC2" w:rsidP="00040C3A">
      <w:pPr>
        <w:tabs>
          <w:tab w:val="center" w:pos="5400"/>
        </w:tabs>
        <w:suppressAutoHyphens/>
        <w:jc w:val="center"/>
        <w:rPr>
          <w:rFonts w:asciiTheme="majorHAnsi" w:hAnsiTheme="majorHAnsi"/>
          <w:sz w:val="22"/>
          <w:szCs w:val="22"/>
          <w:lang w:val="es-ES"/>
        </w:rPr>
      </w:pPr>
      <w:r w:rsidRPr="00047DD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41F80" w14:textId="77777777" w:rsidR="000436D4" w:rsidRPr="004E2649" w:rsidRDefault="000436D4" w:rsidP="000436D4">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343/20</w:t>
                            </w:r>
                          </w:p>
                          <w:p w14:paraId="08B92EF2" w14:textId="77777777" w:rsidR="000436D4" w:rsidRDefault="000436D4" w:rsidP="000436D4">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350-07</w:t>
                            </w:r>
                            <w:r w:rsidRPr="004E2649">
                              <w:rPr>
                                <w:rFonts w:asciiTheme="majorHAnsi" w:hAnsiTheme="majorHAnsi" w:cs="Arial"/>
                                <w:b/>
                                <w:color w:val="0D0D0D" w:themeColor="text1" w:themeTint="F2"/>
                                <w:sz w:val="36"/>
                                <w:szCs w:val="22"/>
                                <w:lang w:val="es-ES_tradnl"/>
                              </w:rPr>
                              <w:t xml:space="preserve"> </w:t>
                            </w:r>
                          </w:p>
                          <w:p w14:paraId="434AAB4B" w14:textId="77777777" w:rsidR="000436D4" w:rsidRPr="0010736F" w:rsidRDefault="000436D4" w:rsidP="000436D4">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229A2AA0" w14:textId="77777777" w:rsidR="000436D4" w:rsidRPr="0010736F" w:rsidRDefault="000436D4" w:rsidP="000436D4">
                            <w:pPr>
                              <w:spacing w:line="276" w:lineRule="auto"/>
                              <w:rPr>
                                <w:rFonts w:asciiTheme="majorHAnsi" w:hAnsiTheme="majorHAnsi" w:cs="Arial"/>
                                <w:color w:val="0D0D0D" w:themeColor="text1" w:themeTint="F2"/>
                                <w:szCs w:val="22"/>
                                <w:lang w:val="es-ES_tradnl"/>
                              </w:rPr>
                            </w:pPr>
                            <w:bookmarkStart w:id="1" w:name="_ftnref1"/>
                          </w:p>
                          <w:p w14:paraId="0F61EF74" w14:textId="77777777" w:rsidR="000436D4" w:rsidRPr="004E5467" w:rsidRDefault="000436D4" w:rsidP="000436D4">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MIEMBROS DE UNES COLOMBIA</w:t>
                            </w:r>
                          </w:p>
                          <w:bookmarkEnd w:id="1"/>
                          <w:p w14:paraId="3B2BF8E0" w14:textId="77777777" w:rsidR="000436D4" w:rsidRPr="0010736F" w:rsidRDefault="000436D4" w:rsidP="000436D4">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1800E9" w:rsidRPr="00AE5488" w:rsidRDefault="001800E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5841F80" w14:textId="77777777" w:rsidR="000436D4" w:rsidRPr="004E2649" w:rsidRDefault="000436D4" w:rsidP="000436D4">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343/20</w:t>
                      </w:r>
                    </w:p>
                    <w:p w14:paraId="08B92EF2" w14:textId="77777777" w:rsidR="000436D4" w:rsidRDefault="000436D4" w:rsidP="000436D4">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350-07</w:t>
                      </w:r>
                      <w:r w:rsidRPr="004E2649">
                        <w:rPr>
                          <w:rFonts w:asciiTheme="majorHAnsi" w:hAnsiTheme="majorHAnsi" w:cs="Arial"/>
                          <w:b/>
                          <w:color w:val="0D0D0D" w:themeColor="text1" w:themeTint="F2"/>
                          <w:sz w:val="36"/>
                          <w:szCs w:val="22"/>
                          <w:lang w:val="es-ES_tradnl"/>
                        </w:rPr>
                        <w:t xml:space="preserve"> </w:t>
                      </w:r>
                    </w:p>
                    <w:p w14:paraId="434AAB4B" w14:textId="77777777" w:rsidR="000436D4" w:rsidRPr="0010736F" w:rsidRDefault="000436D4" w:rsidP="000436D4">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229A2AA0" w14:textId="77777777" w:rsidR="000436D4" w:rsidRPr="0010736F" w:rsidRDefault="000436D4" w:rsidP="000436D4">
                      <w:pPr>
                        <w:spacing w:line="276" w:lineRule="auto"/>
                        <w:rPr>
                          <w:rFonts w:asciiTheme="majorHAnsi" w:hAnsiTheme="majorHAnsi" w:cs="Arial"/>
                          <w:color w:val="0D0D0D" w:themeColor="text1" w:themeTint="F2"/>
                          <w:szCs w:val="22"/>
                          <w:lang w:val="es-ES_tradnl"/>
                        </w:rPr>
                      </w:pPr>
                      <w:bookmarkStart w:id="1" w:name="_ftnref1"/>
                    </w:p>
                    <w:p w14:paraId="0F61EF74" w14:textId="77777777" w:rsidR="000436D4" w:rsidRPr="004E5467" w:rsidRDefault="000436D4" w:rsidP="000436D4">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MIEMBROS DE UNES COLOMBIA</w:t>
                      </w:r>
                    </w:p>
                    <w:bookmarkEnd w:id="1"/>
                    <w:p w14:paraId="3B2BF8E0" w14:textId="77777777" w:rsidR="000436D4" w:rsidRPr="0010736F" w:rsidRDefault="000436D4" w:rsidP="000436D4">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1800E9" w:rsidRPr="00AE5488" w:rsidRDefault="001800E9" w:rsidP="007A5817">
                      <w:pPr>
                        <w:rPr>
                          <w:color w:val="0D0D0D" w:themeColor="text1" w:themeTint="F2"/>
                          <w:lang w:val="es-ES_tradnl"/>
                        </w:rPr>
                      </w:pPr>
                    </w:p>
                  </w:txbxContent>
                </v:textbox>
              </v:shape>
            </w:pict>
          </mc:Fallback>
        </mc:AlternateContent>
      </w:r>
      <w:r w:rsidR="004E2649" w:rsidRPr="00047DD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AD527" w14:textId="77777777" w:rsidR="000436D4" w:rsidRPr="00935F06" w:rsidRDefault="000436D4" w:rsidP="000436D4">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25FF590" w14:textId="77777777" w:rsidR="000436D4" w:rsidRPr="00935F06" w:rsidRDefault="000436D4" w:rsidP="000436D4">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361</w:t>
                            </w:r>
                          </w:p>
                          <w:p w14:paraId="565C5839" w14:textId="77777777" w:rsidR="000436D4" w:rsidRPr="001B4C00" w:rsidRDefault="000436D4" w:rsidP="000436D4">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noviembre 2020</w:t>
                            </w:r>
                          </w:p>
                          <w:p w14:paraId="2FB1646A" w14:textId="77777777" w:rsidR="000436D4" w:rsidRPr="001B4C00" w:rsidRDefault="000436D4" w:rsidP="000436D4">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p w14:paraId="0771DB5B" w14:textId="418E4A72" w:rsidR="001800E9" w:rsidRPr="001B4C00" w:rsidRDefault="001800E9" w:rsidP="007A5817">
                            <w:pPr>
                              <w:spacing w:line="276" w:lineRule="auto"/>
                              <w:jc w:val="right"/>
                              <w:rPr>
                                <w:rFonts w:asciiTheme="minorHAnsi" w:hAnsiTheme="minorHAnsi"/>
                                <w:color w:val="FFFFFF" w:themeColor="background1"/>
                                <w:sz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ACAD527" w14:textId="77777777" w:rsidR="000436D4" w:rsidRPr="00935F06" w:rsidRDefault="000436D4" w:rsidP="000436D4">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25FF590" w14:textId="77777777" w:rsidR="000436D4" w:rsidRPr="00935F06" w:rsidRDefault="000436D4" w:rsidP="000436D4">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361</w:t>
                      </w:r>
                    </w:p>
                    <w:p w14:paraId="565C5839" w14:textId="77777777" w:rsidR="000436D4" w:rsidRPr="001B4C00" w:rsidRDefault="000436D4" w:rsidP="000436D4">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 noviembre 2020</w:t>
                      </w:r>
                    </w:p>
                    <w:p w14:paraId="2FB1646A" w14:textId="77777777" w:rsidR="000436D4" w:rsidRPr="001B4C00" w:rsidRDefault="000436D4" w:rsidP="000436D4">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p w14:paraId="0771DB5B" w14:textId="418E4A72" w:rsidR="001800E9" w:rsidRPr="001B4C00" w:rsidRDefault="001800E9" w:rsidP="007A5817">
                      <w:pPr>
                        <w:spacing w:line="276" w:lineRule="auto"/>
                        <w:jc w:val="right"/>
                        <w:rPr>
                          <w:rFonts w:asciiTheme="minorHAnsi" w:hAnsiTheme="minorHAnsi"/>
                          <w:color w:val="FFFFFF" w:themeColor="background1"/>
                          <w:sz w:val="22"/>
                          <w:lang w:val="es-ES"/>
                        </w:rPr>
                      </w:pPr>
                    </w:p>
                  </w:txbxContent>
                </v:textbox>
              </v:shape>
            </w:pict>
          </mc:Fallback>
        </mc:AlternateContent>
      </w:r>
    </w:p>
    <w:p w14:paraId="155B0536" w14:textId="77777777" w:rsidR="00040C3A" w:rsidRPr="00047DDD"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47DDD"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47DDD"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47DDD"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47DDD"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47DDD"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47DDD"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47DDD"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47DDD"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47DDD"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47DDD"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47DDD"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47DDD"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47DDD"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47DDD"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47DDD"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47DDD"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47DDD"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47DDD"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47DDD"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47DDD"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47DDD"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47DDD"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47DDD"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47DDD"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47DDD"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47DDD"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47DDD"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47DDD" w:rsidRDefault="0090270B" w:rsidP="00040C3A">
      <w:pPr>
        <w:tabs>
          <w:tab w:val="center" w:pos="5400"/>
        </w:tabs>
        <w:suppressAutoHyphens/>
        <w:jc w:val="center"/>
        <w:rPr>
          <w:rFonts w:asciiTheme="majorHAnsi" w:hAnsiTheme="majorHAnsi"/>
          <w:sz w:val="18"/>
          <w:szCs w:val="22"/>
          <w:lang w:val="es-ES"/>
        </w:rPr>
      </w:pPr>
      <w:r w:rsidRPr="00047DD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199651C" w:rsidR="001800E9" w:rsidRPr="00890650" w:rsidRDefault="000436D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noviembre de 2020</w:t>
                            </w:r>
                            <w:r w:rsidR="00E55F3C">
                              <w:rPr>
                                <w:rFonts w:asciiTheme="majorHAnsi" w:hAnsiTheme="majorHAnsi"/>
                                <w:color w:val="0D0D0D" w:themeColor="text1" w:themeTint="F2"/>
                                <w:sz w:val="18"/>
                                <w:szCs w:val="22"/>
                                <w:lang w:val="es-ES"/>
                              </w:rPr>
                              <w:t>.</w:t>
                            </w:r>
                          </w:p>
                          <w:p w14:paraId="4BDF3581" w14:textId="77777777" w:rsidR="001800E9" w:rsidRPr="007A5817" w:rsidRDefault="001800E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1800E9" w:rsidRPr="00167A34" w:rsidRDefault="001800E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199651C" w:rsidR="001800E9" w:rsidRPr="00890650" w:rsidRDefault="000436D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24</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noviembre de 2020</w:t>
                      </w:r>
                      <w:r w:rsidR="00E55F3C">
                        <w:rPr>
                          <w:rFonts w:asciiTheme="majorHAnsi" w:hAnsiTheme="majorHAnsi"/>
                          <w:color w:val="0D0D0D" w:themeColor="text1" w:themeTint="F2"/>
                          <w:sz w:val="18"/>
                          <w:szCs w:val="22"/>
                          <w:lang w:val="es-ES"/>
                        </w:rPr>
                        <w:t>.</w:t>
                      </w:r>
                    </w:p>
                    <w:p w14:paraId="4BDF3581" w14:textId="77777777" w:rsidR="001800E9" w:rsidRPr="007A5817" w:rsidRDefault="001800E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1800E9" w:rsidRPr="00167A34" w:rsidRDefault="001800E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47DDD"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47DDD"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47DDD"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47DDD"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47DDD" w:rsidRDefault="0090270B" w:rsidP="00040C3A">
      <w:pPr>
        <w:tabs>
          <w:tab w:val="center" w:pos="5400"/>
        </w:tabs>
        <w:suppressAutoHyphens/>
        <w:jc w:val="center"/>
        <w:rPr>
          <w:rFonts w:asciiTheme="majorHAnsi" w:hAnsiTheme="majorHAnsi"/>
          <w:sz w:val="18"/>
          <w:szCs w:val="22"/>
          <w:lang w:val="es-ES"/>
        </w:rPr>
      </w:pPr>
      <w:r w:rsidRPr="00047DD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DAABD" w14:textId="1756B247" w:rsidR="000436D4" w:rsidRPr="007B05C4" w:rsidRDefault="000436D4" w:rsidP="000436D4">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343/20</w:t>
                            </w:r>
                            <w:r w:rsidRPr="00161278">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 xml:space="preserve"> </w:t>
                            </w:r>
                            <w:r w:rsidRPr="00A37E45">
                              <w:rPr>
                                <w:rFonts w:asciiTheme="majorHAnsi" w:hAnsiTheme="majorHAnsi"/>
                                <w:color w:val="595959" w:themeColor="text1" w:themeTint="A6"/>
                                <w:sz w:val="18"/>
                                <w:szCs w:val="18"/>
                                <w:lang w:val="es-419"/>
                              </w:rPr>
                              <w:t>P</w:t>
                            </w:r>
                            <w:r w:rsidR="00E55F3C">
                              <w:rPr>
                                <w:rFonts w:asciiTheme="majorHAnsi" w:hAnsiTheme="majorHAnsi"/>
                                <w:color w:val="595959" w:themeColor="text1" w:themeTint="A6"/>
                                <w:sz w:val="18"/>
                                <w:szCs w:val="18"/>
                                <w:lang w:val="es-419"/>
                              </w:rPr>
                              <w:t xml:space="preserve">etición </w:t>
                            </w:r>
                            <w:r w:rsidRPr="00A37E45">
                              <w:rPr>
                                <w:rFonts w:asciiTheme="majorHAnsi" w:hAnsiTheme="majorHAnsi"/>
                                <w:color w:val="595959" w:themeColor="text1" w:themeTint="A6"/>
                                <w:sz w:val="18"/>
                                <w:szCs w:val="18"/>
                                <w:lang w:val="es-419"/>
                              </w:rPr>
                              <w:t xml:space="preserve">350-07. </w:t>
                            </w:r>
                            <w:proofErr w:type="spellStart"/>
                            <w:r>
                              <w:rPr>
                                <w:rFonts w:asciiTheme="majorHAnsi" w:hAnsiTheme="majorHAnsi"/>
                                <w:color w:val="595959" w:themeColor="text1" w:themeTint="A6"/>
                                <w:sz w:val="18"/>
                                <w:szCs w:val="18"/>
                                <w:lang w:val="es-US"/>
                              </w:rPr>
                              <w:t>Ina</w:t>
                            </w:r>
                            <w:r>
                              <w:rPr>
                                <w:rFonts w:asciiTheme="majorHAnsi" w:hAnsiTheme="majorHAnsi"/>
                                <w:color w:val="595959" w:themeColor="text1" w:themeTint="A6"/>
                                <w:sz w:val="18"/>
                                <w:szCs w:val="18"/>
                                <w:lang w:val="es-ES_tradnl"/>
                              </w:rPr>
                              <w:t>dmisibilidad</w:t>
                            </w:r>
                            <w:proofErr w:type="spellEnd"/>
                            <w:r>
                              <w:rPr>
                                <w:rFonts w:asciiTheme="majorHAnsi" w:hAnsiTheme="majorHAnsi"/>
                                <w:color w:val="595959" w:themeColor="text1" w:themeTint="A6"/>
                                <w:sz w:val="18"/>
                                <w:szCs w:val="18"/>
                                <w:lang w:val="es-ES_tradnl"/>
                              </w:rPr>
                              <w:t>. Miembros de UNES Colombia. Colombia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24 de noviembre de 2020</w:t>
                            </w:r>
                            <w:r w:rsidRPr="007B05C4">
                              <w:rPr>
                                <w:rFonts w:asciiTheme="majorHAnsi" w:hAnsiTheme="majorHAnsi"/>
                                <w:color w:val="595959" w:themeColor="text1" w:themeTint="A6"/>
                                <w:sz w:val="18"/>
                                <w:szCs w:val="18"/>
                                <w:lang w:val="es-ES"/>
                              </w:rPr>
                              <w:t>.</w:t>
                            </w:r>
                          </w:p>
                          <w:p w14:paraId="0D1B22CF" w14:textId="640D5834" w:rsidR="001800E9" w:rsidRPr="007B05C4" w:rsidRDefault="001800E9"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EFDAABD" w14:textId="1756B247" w:rsidR="000436D4" w:rsidRPr="007B05C4" w:rsidRDefault="000436D4" w:rsidP="000436D4">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343/20</w:t>
                      </w:r>
                      <w:r w:rsidRPr="00161278">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 xml:space="preserve"> </w:t>
                      </w:r>
                      <w:r w:rsidRPr="00A37E45">
                        <w:rPr>
                          <w:rFonts w:asciiTheme="majorHAnsi" w:hAnsiTheme="majorHAnsi"/>
                          <w:color w:val="595959" w:themeColor="text1" w:themeTint="A6"/>
                          <w:sz w:val="18"/>
                          <w:szCs w:val="18"/>
                          <w:lang w:val="es-419"/>
                        </w:rPr>
                        <w:t>P</w:t>
                      </w:r>
                      <w:r w:rsidR="00E55F3C">
                        <w:rPr>
                          <w:rFonts w:asciiTheme="majorHAnsi" w:hAnsiTheme="majorHAnsi"/>
                          <w:color w:val="595959" w:themeColor="text1" w:themeTint="A6"/>
                          <w:sz w:val="18"/>
                          <w:szCs w:val="18"/>
                          <w:lang w:val="es-419"/>
                        </w:rPr>
                        <w:t xml:space="preserve">etición </w:t>
                      </w:r>
                      <w:r w:rsidRPr="00A37E45">
                        <w:rPr>
                          <w:rFonts w:asciiTheme="majorHAnsi" w:hAnsiTheme="majorHAnsi"/>
                          <w:color w:val="595959" w:themeColor="text1" w:themeTint="A6"/>
                          <w:sz w:val="18"/>
                          <w:szCs w:val="18"/>
                          <w:lang w:val="es-419"/>
                        </w:rPr>
                        <w:t xml:space="preserve">350-07. </w:t>
                      </w:r>
                      <w:proofErr w:type="spellStart"/>
                      <w:r>
                        <w:rPr>
                          <w:rFonts w:asciiTheme="majorHAnsi" w:hAnsiTheme="majorHAnsi"/>
                          <w:color w:val="595959" w:themeColor="text1" w:themeTint="A6"/>
                          <w:sz w:val="18"/>
                          <w:szCs w:val="18"/>
                          <w:lang w:val="es-US"/>
                        </w:rPr>
                        <w:t>Ina</w:t>
                      </w:r>
                      <w:r>
                        <w:rPr>
                          <w:rFonts w:asciiTheme="majorHAnsi" w:hAnsiTheme="majorHAnsi"/>
                          <w:color w:val="595959" w:themeColor="text1" w:themeTint="A6"/>
                          <w:sz w:val="18"/>
                          <w:szCs w:val="18"/>
                          <w:lang w:val="es-ES_tradnl"/>
                        </w:rPr>
                        <w:t>dmisibilidad</w:t>
                      </w:r>
                      <w:proofErr w:type="spellEnd"/>
                      <w:r>
                        <w:rPr>
                          <w:rFonts w:asciiTheme="majorHAnsi" w:hAnsiTheme="majorHAnsi"/>
                          <w:color w:val="595959" w:themeColor="text1" w:themeTint="A6"/>
                          <w:sz w:val="18"/>
                          <w:szCs w:val="18"/>
                          <w:lang w:val="es-ES_tradnl"/>
                        </w:rPr>
                        <w:t>. Miembros de UNES Colombia. Colombia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24 de noviembre de 2020</w:t>
                      </w:r>
                      <w:r w:rsidRPr="007B05C4">
                        <w:rPr>
                          <w:rFonts w:asciiTheme="majorHAnsi" w:hAnsiTheme="majorHAnsi"/>
                          <w:color w:val="595959" w:themeColor="text1" w:themeTint="A6"/>
                          <w:sz w:val="18"/>
                          <w:szCs w:val="18"/>
                          <w:lang w:val="es-ES"/>
                        </w:rPr>
                        <w:t>.</w:t>
                      </w:r>
                    </w:p>
                    <w:p w14:paraId="0D1B22CF" w14:textId="640D5834" w:rsidR="001800E9" w:rsidRPr="007B05C4" w:rsidRDefault="001800E9"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196A49DE" w14:textId="77777777" w:rsidR="00A50FCF" w:rsidRPr="00047DDD"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47DDD" w:rsidRDefault="00D306D1" w:rsidP="005516A1">
      <w:pPr>
        <w:tabs>
          <w:tab w:val="center" w:pos="5400"/>
        </w:tabs>
        <w:suppressAutoHyphens/>
        <w:jc w:val="center"/>
        <w:rPr>
          <w:rFonts w:asciiTheme="majorHAnsi" w:hAnsiTheme="majorHAnsi"/>
          <w:b/>
          <w:sz w:val="20"/>
          <w:lang w:val="es-ES"/>
        </w:rPr>
      </w:pPr>
      <w:r w:rsidRPr="00047DD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1800E9" w:rsidRPr="00D72DC6" w:rsidRDefault="001800E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3867F28A">
                                  <wp:extent cx="1801585" cy="46345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17705" cy="467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1800E9" w:rsidRPr="00D72DC6" w:rsidRDefault="001800E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3867F28A">
                            <wp:extent cx="1801585" cy="46345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17705" cy="467604"/>
                                    </a:xfrm>
                                    <a:prstGeom prst="rect">
                                      <a:avLst/>
                                    </a:prstGeom>
                                    <a:noFill/>
                                    <a:ln>
                                      <a:noFill/>
                                    </a:ln>
                                  </pic:spPr>
                                </pic:pic>
                              </a:graphicData>
                            </a:graphic>
                          </wp:inline>
                        </w:drawing>
                      </w:r>
                    </w:p>
                  </w:txbxContent>
                </v:textbox>
              </v:shape>
            </w:pict>
          </mc:Fallback>
        </mc:AlternateContent>
      </w:r>
      <w:r w:rsidRPr="00047DD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1800E9" w:rsidRPr="004B7EB6" w:rsidRDefault="001800E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1800E9" w:rsidRPr="004B7EB6" w:rsidRDefault="001800E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47DDD" w:rsidRDefault="004A6A54" w:rsidP="005516A1">
      <w:pPr>
        <w:tabs>
          <w:tab w:val="center" w:pos="5400"/>
        </w:tabs>
        <w:suppressAutoHyphens/>
        <w:jc w:val="center"/>
        <w:rPr>
          <w:rFonts w:asciiTheme="majorHAnsi" w:hAnsiTheme="majorHAnsi"/>
          <w:b/>
          <w:sz w:val="20"/>
          <w:lang w:val="es-ES"/>
        </w:rPr>
        <w:sectPr w:rsidR="0070697F" w:rsidRPr="00047DDD"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047DDD">
        <w:rPr>
          <w:rFonts w:asciiTheme="majorHAnsi" w:hAnsiTheme="majorHAnsi"/>
          <w:b/>
          <w:sz w:val="20"/>
          <w:lang w:val="es-ES"/>
        </w:rPr>
        <w:tab/>
      </w:r>
    </w:p>
    <w:p w14:paraId="376DDC8B" w14:textId="77777777" w:rsidR="003239B8" w:rsidRPr="00047DDD" w:rsidRDefault="003239B8" w:rsidP="007C402A">
      <w:pPr>
        <w:spacing w:after="120"/>
        <w:ind w:firstLine="720"/>
        <w:jc w:val="both"/>
        <w:rPr>
          <w:rFonts w:asciiTheme="majorHAnsi" w:hAnsiTheme="majorHAnsi"/>
          <w:b/>
          <w:bCs/>
          <w:sz w:val="20"/>
          <w:szCs w:val="20"/>
          <w:lang w:val="es-ES"/>
        </w:rPr>
      </w:pPr>
      <w:r w:rsidRPr="00047DDD">
        <w:rPr>
          <w:rFonts w:asciiTheme="majorHAnsi" w:hAnsiTheme="majorHAnsi"/>
          <w:b/>
          <w:bCs/>
          <w:sz w:val="20"/>
          <w:szCs w:val="20"/>
          <w:lang w:val="es-ES"/>
        </w:rPr>
        <w:lastRenderedPageBreak/>
        <w:t>I.</w:t>
      </w:r>
      <w:r w:rsidRPr="00047DD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47DDD"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E55F3C" w:rsidRDefault="00D77503" w:rsidP="00D43661">
            <w:pPr>
              <w:jc w:val="center"/>
              <w:rPr>
                <w:rFonts w:ascii="Cambria" w:hAnsi="Cambria"/>
                <w:bCs/>
                <w:color w:val="FFFFFF" w:themeColor="background1"/>
                <w:sz w:val="20"/>
                <w:szCs w:val="20"/>
                <w:lang w:val="es-ES"/>
              </w:rPr>
            </w:pPr>
            <w:r w:rsidRPr="00E55F3C">
              <w:rPr>
                <w:rFonts w:ascii="Cambria" w:hAnsi="Cambria"/>
                <w:bCs/>
                <w:color w:val="FFFFFF" w:themeColor="background1"/>
                <w:sz w:val="20"/>
                <w:szCs w:val="20"/>
                <w:lang w:val="es-ES"/>
              </w:rPr>
              <w:t>Parte peticionaria</w:t>
            </w:r>
          </w:p>
        </w:tc>
        <w:tc>
          <w:tcPr>
            <w:tcW w:w="6570" w:type="dxa"/>
            <w:vAlign w:val="center"/>
          </w:tcPr>
          <w:p w14:paraId="3C5315D8" w14:textId="20081508" w:rsidR="003239B8" w:rsidRPr="00E55F3C" w:rsidRDefault="00764304" w:rsidP="00D43661">
            <w:pPr>
              <w:jc w:val="both"/>
              <w:rPr>
                <w:rFonts w:ascii="Cambria" w:hAnsi="Cambria"/>
                <w:bCs/>
                <w:sz w:val="20"/>
                <w:szCs w:val="20"/>
                <w:lang w:val="es-ES"/>
              </w:rPr>
            </w:pPr>
            <w:r w:rsidRPr="00E55F3C">
              <w:rPr>
                <w:rFonts w:ascii="Cambria" w:hAnsi="Cambria"/>
                <w:bCs/>
                <w:sz w:val="20"/>
                <w:szCs w:val="20"/>
                <w:lang w:val="es-ES"/>
              </w:rPr>
              <w:t>UNES Colombia</w:t>
            </w:r>
          </w:p>
        </w:tc>
      </w:tr>
      <w:tr w:rsidR="003239B8" w:rsidRPr="00047DDD"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E55F3C" w:rsidRDefault="002355A9" w:rsidP="00D43661">
            <w:pPr>
              <w:jc w:val="center"/>
              <w:rPr>
                <w:rFonts w:ascii="Cambria" w:hAnsi="Cambria"/>
                <w:bCs/>
                <w:color w:val="FFFFFF" w:themeColor="background1"/>
                <w:sz w:val="20"/>
                <w:szCs w:val="20"/>
                <w:lang w:val="es-ES"/>
              </w:rPr>
            </w:pPr>
            <w:r w:rsidRPr="00E55F3C">
              <w:rPr>
                <w:rFonts w:ascii="Cambria" w:hAnsi="Cambria"/>
                <w:bCs/>
                <w:color w:val="FFFFFF" w:themeColor="background1"/>
                <w:sz w:val="20"/>
                <w:szCs w:val="20"/>
                <w:lang w:val="es-ES"/>
              </w:rPr>
              <w:t>Presunta víctima</w:t>
            </w:r>
          </w:p>
        </w:tc>
        <w:tc>
          <w:tcPr>
            <w:tcW w:w="6570" w:type="dxa"/>
            <w:vAlign w:val="center"/>
          </w:tcPr>
          <w:p w14:paraId="4AEBF59E" w14:textId="6330E14C" w:rsidR="003239B8" w:rsidRPr="00E55F3C" w:rsidRDefault="00764304" w:rsidP="00226222">
            <w:pPr>
              <w:jc w:val="both"/>
              <w:rPr>
                <w:rFonts w:ascii="Cambria" w:hAnsi="Cambria"/>
                <w:bCs/>
                <w:sz w:val="20"/>
                <w:szCs w:val="20"/>
              </w:rPr>
            </w:pPr>
            <w:r w:rsidRPr="00E55F3C">
              <w:rPr>
                <w:rFonts w:ascii="Cambria" w:hAnsi="Cambria"/>
                <w:bCs/>
                <w:sz w:val="20"/>
                <w:szCs w:val="20"/>
                <w:lang w:val="es-ES"/>
              </w:rPr>
              <w:t>Miembros de UNES Colombia</w:t>
            </w:r>
            <w:r w:rsidRPr="00E55F3C">
              <w:rPr>
                <w:rStyle w:val="FootnoteReference"/>
                <w:rFonts w:ascii="Cambria" w:hAnsi="Cambria"/>
                <w:bCs/>
                <w:sz w:val="20"/>
                <w:szCs w:val="20"/>
                <w:lang w:val="es-ES"/>
              </w:rPr>
              <w:footnoteReference w:id="2"/>
            </w:r>
          </w:p>
        </w:tc>
      </w:tr>
      <w:tr w:rsidR="003239B8" w:rsidRPr="00047DDD"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E55F3C" w:rsidRDefault="00D77503" w:rsidP="00D43661">
            <w:pPr>
              <w:jc w:val="center"/>
              <w:rPr>
                <w:rFonts w:ascii="Cambria" w:hAnsi="Cambria"/>
                <w:bCs/>
                <w:color w:val="FFFFFF" w:themeColor="background1"/>
                <w:sz w:val="20"/>
                <w:szCs w:val="20"/>
                <w:lang w:val="es-ES"/>
              </w:rPr>
            </w:pPr>
            <w:r w:rsidRPr="00E55F3C">
              <w:rPr>
                <w:rFonts w:ascii="Cambria" w:hAnsi="Cambria"/>
                <w:bCs/>
                <w:color w:val="FFFFFF" w:themeColor="background1"/>
                <w:sz w:val="20"/>
                <w:szCs w:val="20"/>
                <w:lang w:val="es-ES"/>
              </w:rPr>
              <w:t>Estado denunciado</w:t>
            </w:r>
          </w:p>
        </w:tc>
        <w:tc>
          <w:tcPr>
            <w:tcW w:w="6570" w:type="dxa"/>
            <w:vAlign w:val="center"/>
          </w:tcPr>
          <w:p w14:paraId="274C8A50" w14:textId="71844B0E" w:rsidR="003239B8" w:rsidRPr="00E55F3C" w:rsidRDefault="00F11FBB" w:rsidP="00425533">
            <w:pPr>
              <w:jc w:val="both"/>
              <w:rPr>
                <w:rFonts w:ascii="Cambria" w:hAnsi="Cambria"/>
                <w:bCs/>
                <w:sz w:val="20"/>
                <w:szCs w:val="20"/>
                <w:lang w:val="es-ES"/>
              </w:rPr>
            </w:pPr>
            <w:r w:rsidRPr="00E55F3C">
              <w:rPr>
                <w:rFonts w:ascii="Cambria" w:hAnsi="Cambria"/>
                <w:bCs/>
                <w:sz w:val="20"/>
                <w:szCs w:val="20"/>
                <w:lang w:val="es-ES"/>
              </w:rPr>
              <w:t>Colombia</w:t>
            </w:r>
          </w:p>
        </w:tc>
      </w:tr>
      <w:tr w:rsidR="00D24AD4" w:rsidRPr="00E55F3C"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E55F3C" w:rsidRDefault="001B3A00" w:rsidP="00E4118C">
            <w:pPr>
              <w:jc w:val="center"/>
              <w:rPr>
                <w:rFonts w:ascii="Cambria" w:hAnsi="Cambria"/>
                <w:bCs/>
                <w:color w:val="FFFFFF" w:themeColor="background1"/>
                <w:sz w:val="20"/>
                <w:szCs w:val="20"/>
                <w:lang w:val="es-ES"/>
              </w:rPr>
            </w:pPr>
            <w:r w:rsidRPr="00E55F3C">
              <w:rPr>
                <w:rFonts w:ascii="Cambria" w:hAnsi="Cambria"/>
                <w:bCs/>
                <w:color w:val="FFFFFF" w:themeColor="background1"/>
                <w:sz w:val="20"/>
                <w:szCs w:val="20"/>
                <w:lang w:val="es-ES"/>
              </w:rPr>
              <w:t xml:space="preserve">Derechos </w:t>
            </w:r>
            <w:r w:rsidR="00E4118C" w:rsidRPr="00E55F3C">
              <w:rPr>
                <w:rFonts w:ascii="Cambria" w:hAnsi="Cambria"/>
                <w:bCs/>
                <w:color w:val="FFFFFF" w:themeColor="background1"/>
                <w:sz w:val="20"/>
                <w:szCs w:val="20"/>
                <w:lang w:val="es-ES"/>
              </w:rPr>
              <w:t>invocados</w:t>
            </w:r>
          </w:p>
        </w:tc>
        <w:tc>
          <w:tcPr>
            <w:tcW w:w="6570" w:type="dxa"/>
            <w:vAlign w:val="center"/>
          </w:tcPr>
          <w:p w14:paraId="6DEE1EEB" w14:textId="6F85B9BC" w:rsidR="00223A29" w:rsidRPr="00E55F3C" w:rsidRDefault="00190317" w:rsidP="00DD1CC3">
            <w:pPr>
              <w:jc w:val="both"/>
              <w:rPr>
                <w:rFonts w:ascii="Cambria" w:hAnsi="Cambria"/>
                <w:bCs/>
                <w:sz w:val="20"/>
                <w:szCs w:val="20"/>
                <w:lang w:val="es-PA"/>
              </w:rPr>
            </w:pPr>
            <w:r w:rsidRPr="00E55F3C">
              <w:rPr>
                <w:rFonts w:ascii="Cambria" w:hAnsi="Cambria"/>
                <w:bCs/>
                <w:sz w:val="20"/>
                <w:szCs w:val="20"/>
                <w:lang w:val="es-ES"/>
              </w:rPr>
              <w:t>Art</w:t>
            </w:r>
            <w:r w:rsidRPr="00E55F3C">
              <w:rPr>
                <w:rFonts w:ascii="Cambria" w:hAnsi="Cambria"/>
                <w:bCs/>
                <w:sz w:val="20"/>
                <w:szCs w:val="20"/>
                <w:lang w:val="es-PA"/>
              </w:rPr>
              <w:t>í</w:t>
            </w:r>
            <w:r w:rsidR="00DD1CC3" w:rsidRPr="00E55F3C">
              <w:rPr>
                <w:rFonts w:ascii="Cambria" w:hAnsi="Cambria"/>
                <w:bCs/>
                <w:sz w:val="20"/>
                <w:szCs w:val="20"/>
                <w:lang w:val="es-PA"/>
              </w:rPr>
              <w:t xml:space="preserve">culos 8 (garantías judiciales) </w:t>
            </w:r>
            <w:r w:rsidRPr="00E55F3C">
              <w:rPr>
                <w:rFonts w:ascii="Cambria" w:hAnsi="Cambria"/>
                <w:bCs/>
                <w:sz w:val="20"/>
                <w:szCs w:val="20"/>
                <w:lang w:val="es-PA"/>
              </w:rPr>
              <w:t>de la Convención Americana Sobre Derechos Humanos</w:t>
            </w:r>
            <w:r w:rsidRPr="00E55F3C">
              <w:rPr>
                <w:rStyle w:val="FootnoteReference"/>
                <w:rFonts w:ascii="Cambria" w:hAnsi="Cambria"/>
                <w:bCs/>
                <w:sz w:val="20"/>
                <w:szCs w:val="20"/>
                <w:lang w:val="es-PA"/>
              </w:rPr>
              <w:footnoteReference w:id="3"/>
            </w:r>
            <w:r w:rsidR="00F371C8" w:rsidRPr="00E55F3C">
              <w:rPr>
                <w:rFonts w:ascii="Cambria" w:hAnsi="Cambria"/>
                <w:bCs/>
                <w:sz w:val="20"/>
                <w:szCs w:val="20"/>
                <w:lang w:val="es-PA"/>
              </w:rPr>
              <w:t xml:space="preserve">); Artículos </w:t>
            </w:r>
            <w:r w:rsidR="00DD1CC3" w:rsidRPr="00E55F3C">
              <w:rPr>
                <w:rFonts w:ascii="Cambria" w:hAnsi="Cambria"/>
                <w:bCs/>
                <w:sz w:val="20"/>
                <w:szCs w:val="20"/>
                <w:lang w:val="es-PA"/>
              </w:rPr>
              <w:t>II (igualdad ante la ley</w:t>
            </w:r>
            <w:r w:rsidR="00F371C8" w:rsidRPr="00E55F3C">
              <w:rPr>
                <w:rFonts w:ascii="Cambria" w:hAnsi="Cambria"/>
                <w:bCs/>
                <w:sz w:val="20"/>
                <w:szCs w:val="20"/>
                <w:lang w:val="es-PA"/>
              </w:rPr>
              <w:t>)</w:t>
            </w:r>
            <w:r w:rsidR="00DD1CC3" w:rsidRPr="00E55F3C">
              <w:rPr>
                <w:rFonts w:ascii="Cambria" w:hAnsi="Cambria"/>
                <w:bCs/>
                <w:sz w:val="20"/>
                <w:szCs w:val="20"/>
                <w:lang w:val="es-PA"/>
              </w:rPr>
              <w:t xml:space="preserve"> y XXIII (propiedad)</w:t>
            </w:r>
            <w:r w:rsidR="00F371C8" w:rsidRPr="00E55F3C">
              <w:rPr>
                <w:rFonts w:ascii="Cambria" w:hAnsi="Cambria"/>
                <w:bCs/>
                <w:sz w:val="20"/>
                <w:szCs w:val="20"/>
                <w:lang w:val="es-PA"/>
              </w:rPr>
              <w:t xml:space="preserve"> de la Declaración Americana de Derechos y Deberes del Hombre</w:t>
            </w:r>
            <w:r w:rsidR="00F371C8" w:rsidRPr="00E55F3C">
              <w:rPr>
                <w:rStyle w:val="FootnoteReference"/>
                <w:rFonts w:ascii="Cambria" w:hAnsi="Cambria"/>
                <w:bCs/>
                <w:sz w:val="20"/>
                <w:szCs w:val="20"/>
                <w:lang w:val="es-PA"/>
              </w:rPr>
              <w:footnoteReference w:id="4"/>
            </w:r>
            <w:r w:rsidR="00F371C8" w:rsidRPr="00E55F3C">
              <w:rPr>
                <w:rFonts w:ascii="Cambria" w:hAnsi="Cambria"/>
                <w:bCs/>
                <w:sz w:val="20"/>
                <w:szCs w:val="20"/>
                <w:lang w:val="es-PA"/>
              </w:rPr>
              <w:t xml:space="preserve">; Artículos </w:t>
            </w:r>
            <w:r w:rsidR="00DD1CC3" w:rsidRPr="00E55F3C">
              <w:rPr>
                <w:rFonts w:ascii="Cambria" w:hAnsi="Cambria"/>
                <w:bCs/>
                <w:sz w:val="20"/>
                <w:szCs w:val="20"/>
                <w:lang w:val="es-PA"/>
              </w:rPr>
              <w:t xml:space="preserve">3 (no discriminación) </w:t>
            </w:r>
            <w:r w:rsidR="00BC6593" w:rsidRPr="00E55F3C">
              <w:rPr>
                <w:rFonts w:ascii="Cambria" w:hAnsi="Cambria"/>
                <w:bCs/>
                <w:sz w:val="20"/>
                <w:szCs w:val="20"/>
                <w:lang w:val="es-PA"/>
              </w:rPr>
              <w:t xml:space="preserve">y </w:t>
            </w:r>
            <w:r w:rsidR="00DD1CC3" w:rsidRPr="00E55F3C">
              <w:rPr>
                <w:rFonts w:ascii="Cambria" w:hAnsi="Cambria"/>
                <w:bCs/>
                <w:sz w:val="20"/>
                <w:szCs w:val="20"/>
                <w:lang w:val="es-PA"/>
              </w:rPr>
              <w:t>7 (condiciones justas, equitativas y satisfactorias de trabajo)</w:t>
            </w:r>
            <w:r w:rsidR="00BC6593" w:rsidRPr="00E55F3C">
              <w:rPr>
                <w:rFonts w:ascii="Cambria" w:hAnsi="Cambria"/>
                <w:bCs/>
                <w:sz w:val="20"/>
                <w:szCs w:val="20"/>
                <w:lang w:val="es-PA"/>
              </w:rPr>
              <w:t xml:space="preserve"> del Protocolo Adicional a la Convención Americana Sobre Derechos Humanos en Materia de Derechos Económicos, Sociales y Culturales “Protocolo de San Salvador”</w:t>
            </w:r>
            <w:r w:rsidR="00BC6593" w:rsidRPr="00E55F3C">
              <w:rPr>
                <w:rStyle w:val="FootnoteReference"/>
                <w:rFonts w:ascii="Cambria" w:hAnsi="Cambria"/>
                <w:bCs/>
                <w:sz w:val="20"/>
                <w:szCs w:val="20"/>
                <w:lang w:val="es-PA"/>
              </w:rPr>
              <w:footnoteReference w:id="5"/>
            </w:r>
            <w:r w:rsidR="00BC6593" w:rsidRPr="00E55F3C">
              <w:rPr>
                <w:rFonts w:ascii="Cambria" w:hAnsi="Cambria"/>
                <w:bCs/>
                <w:sz w:val="20"/>
                <w:szCs w:val="20"/>
                <w:lang w:val="es-PA"/>
              </w:rPr>
              <w:t>; y otros instrumentos internacionales</w:t>
            </w:r>
            <w:r w:rsidR="00BC6593" w:rsidRPr="00E55F3C">
              <w:rPr>
                <w:rStyle w:val="FootnoteReference"/>
                <w:rFonts w:ascii="Cambria" w:hAnsi="Cambria"/>
                <w:bCs/>
                <w:sz w:val="20"/>
                <w:szCs w:val="20"/>
                <w:lang w:val="es-PA"/>
              </w:rPr>
              <w:footnoteReference w:id="6"/>
            </w:r>
            <w:r w:rsidR="00BC6593" w:rsidRPr="00E55F3C">
              <w:rPr>
                <w:rFonts w:ascii="Cambria" w:hAnsi="Cambria"/>
                <w:bCs/>
                <w:sz w:val="20"/>
                <w:szCs w:val="20"/>
                <w:lang w:val="es-PA"/>
              </w:rPr>
              <w:t>.</w:t>
            </w:r>
          </w:p>
        </w:tc>
      </w:tr>
    </w:tbl>
    <w:p w14:paraId="20263696" w14:textId="77777777" w:rsidR="003239B8" w:rsidRPr="00047DDD" w:rsidRDefault="003239B8" w:rsidP="007C402A">
      <w:pPr>
        <w:spacing w:before="120" w:after="120"/>
        <w:ind w:firstLine="720"/>
        <w:jc w:val="both"/>
        <w:rPr>
          <w:rFonts w:asciiTheme="majorHAnsi" w:hAnsiTheme="majorHAnsi"/>
          <w:b/>
          <w:bCs/>
          <w:sz w:val="20"/>
          <w:szCs w:val="20"/>
          <w:lang w:val="es-ES"/>
        </w:rPr>
      </w:pPr>
      <w:r w:rsidRPr="00047DDD">
        <w:rPr>
          <w:rFonts w:asciiTheme="majorHAnsi" w:hAnsiTheme="majorHAnsi"/>
          <w:b/>
          <w:bCs/>
          <w:sz w:val="20"/>
          <w:szCs w:val="20"/>
          <w:lang w:val="es-ES"/>
        </w:rPr>
        <w:t>II.</w:t>
      </w:r>
      <w:r w:rsidRPr="00047DDD">
        <w:rPr>
          <w:rFonts w:asciiTheme="majorHAnsi" w:hAnsiTheme="majorHAnsi"/>
          <w:b/>
          <w:bCs/>
          <w:sz w:val="20"/>
          <w:szCs w:val="20"/>
          <w:lang w:val="es-ES"/>
        </w:rPr>
        <w:tab/>
        <w:t>TRÁMITE ANTE LA CIDH</w:t>
      </w:r>
      <w:r w:rsidR="008E3BFE" w:rsidRPr="00047DDD">
        <w:rPr>
          <w:rStyle w:val="FootnoteReference"/>
          <w:rFonts w:ascii="Cambria" w:hAnsi="Cambria"/>
          <w:b/>
          <w:sz w:val="20"/>
          <w:szCs w:val="20"/>
          <w:lang w:val="es-ES"/>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47DDD"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E55F3C" w:rsidRDefault="000C1C69" w:rsidP="004A6A54">
            <w:pPr>
              <w:jc w:val="center"/>
              <w:rPr>
                <w:rFonts w:ascii="Cambria" w:hAnsi="Cambria"/>
                <w:bCs/>
                <w:color w:val="FFFFFF" w:themeColor="background1"/>
                <w:sz w:val="20"/>
                <w:szCs w:val="20"/>
                <w:lang w:val="es-ES"/>
              </w:rPr>
            </w:pPr>
            <w:r w:rsidRPr="00E55F3C">
              <w:rPr>
                <w:rFonts w:ascii="Cambria" w:hAnsi="Cambria"/>
                <w:bCs/>
                <w:color w:val="FFFFFF" w:themeColor="background1"/>
                <w:sz w:val="20"/>
                <w:szCs w:val="20"/>
                <w:lang w:val="es-ES"/>
              </w:rPr>
              <w:t>Recepción</w:t>
            </w:r>
            <w:r w:rsidR="00D77503" w:rsidRPr="00E55F3C">
              <w:rPr>
                <w:rFonts w:ascii="Cambria" w:hAnsi="Cambria"/>
                <w:bCs/>
                <w:color w:val="FFFFFF" w:themeColor="background1"/>
                <w:sz w:val="20"/>
                <w:szCs w:val="20"/>
                <w:lang w:val="es-ES"/>
              </w:rPr>
              <w:t xml:space="preserve"> de la petición</w:t>
            </w:r>
          </w:p>
        </w:tc>
        <w:tc>
          <w:tcPr>
            <w:tcW w:w="6570" w:type="dxa"/>
            <w:vAlign w:val="center"/>
          </w:tcPr>
          <w:p w14:paraId="6E579153" w14:textId="447EAF33" w:rsidR="004C2312" w:rsidRPr="00E55F3C" w:rsidRDefault="00DD1CC3" w:rsidP="00D43661">
            <w:pPr>
              <w:jc w:val="both"/>
              <w:rPr>
                <w:rFonts w:ascii="Cambria" w:hAnsi="Cambria"/>
                <w:bCs/>
                <w:sz w:val="20"/>
                <w:szCs w:val="20"/>
                <w:lang w:val="es-ES"/>
              </w:rPr>
            </w:pPr>
            <w:r w:rsidRPr="00E55F3C">
              <w:rPr>
                <w:rFonts w:ascii="Cambria" w:hAnsi="Cambria"/>
                <w:bCs/>
                <w:sz w:val="20"/>
                <w:szCs w:val="20"/>
                <w:lang w:val="es-ES"/>
              </w:rPr>
              <w:t>23 de marzo de 2007</w:t>
            </w:r>
          </w:p>
        </w:tc>
      </w:tr>
      <w:tr w:rsidR="00DD1CC3" w:rsidRPr="00E55F3C" w14:paraId="51CE0099" w14:textId="77777777" w:rsidTr="00954B82">
        <w:tc>
          <w:tcPr>
            <w:tcW w:w="2790" w:type="dxa"/>
            <w:tcBorders>
              <w:top w:val="single" w:sz="6" w:space="0" w:color="auto"/>
              <w:bottom w:val="single" w:sz="6" w:space="0" w:color="auto"/>
            </w:tcBorders>
            <w:shd w:val="clear" w:color="auto" w:fill="386294"/>
            <w:vAlign w:val="center"/>
          </w:tcPr>
          <w:p w14:paraId="32B52F68" w14:textId="12F24CB6" w:rsidR="00DD1CC3" w:rsidRPr="00E55F3C" w:rsidRDefault="00DD1CC3" w:rsidP="004A6A54">
            <w:pPr>
              <w:jc w:val="center"/>
              <w:rPr>
                <w:rFonts w:ascii="Cambria" w:hAnsi="Cambria"/>
                <w:bCs/>
                <w:color w:val="FFFFFF" w:themeColor="background1"/>
                <w:sz w:val="20"/>
                <w:szCs w:val="20"/>
                <w:lang w:val="es-ES"/>
              </w:rPr>
            </w:pPr>
            <w:r w:rsidRPr="00E55F3C">
              <w:rPr>
                <w:rFonts w:ascii="Cambria" w:hAnsi="Cambria"/>
                <w:bCs/>
                <w:color w:val="FFFFFF"/>
                <w:sz w:val="20"/>
                <w:szCs w:val="20"/>
                <w:lang w:val="es-ES"/>
              </w:rPr>
              <w:t>Información adicional recibida durante la etapa de estudio:</w:t>
            </w:r>
          </w:p>
        </w:tc>
        <w:tc>
          <w:tcPr>
            <w:tcW w:w="6570" w:type="dxa"/>
            <w:vAlign w:val="center"/>
          </w:tcPr>
          <w:p w14:paraId="6BE881F2" w14:textId="51E26830" w:rsidR="00DD1CC3" w:rsidRPr="00E55F3C" w:rsidRDefault="00DD1CC3" w:rsidP="00D43661">
            <w:pPr>
              <w:jc w:val="both"/>
              <w:rPr>
                <w:rFonts w:ascii="Cambria" w:hAnsi="Cambria"/>
                <w:bCs/>
                <w:sz w:val="20"/>
                <w:szCs w:val="20"/>
                <w:lang w:val="es-ES"/>
              </w:rPr>
            </w:pPr>
            <w:r w:rsidRPr="00E55F3C">
              <w:rPr>
                <w:rFonts w:ascii="Cambria" w:hAnsi="Cambria"/>
                <w:bCs/>
                <w:sz w:val="20"/>
                <w:szCs w:val="20"/>
                <w:lang w:val="es-ES"/>
              </w:rPr>
              <w:t xml:space="preserve">9, </w:t>
            </w:r>
            <w:r w:rsidR="00E575C1" w:rsidRPr="00E55F3C">
              <w:rPr>
                <w:rFonts w:ascii="Cambria" w:hAnsi="Cambria"/>
                <w:bCs/>
                <w:sz w:val="20"/>
                <w:szCs w:val="20"/>
                <w:lang w:val="es-ES"/>
              </w:rPr>
              <w:t>14,</w:t>
            </w:r>
            <w:r w:rsidRPr="00E55F3C">
              <w:rPr>
                <w:rFonts w:ascii="Cambria" w:hAnsi="Cambria"/>
                <w:bCs/>
                <w:sz w:val="20"/>
                <w:szCs w:val="20"/>
                <w:lang w:val="es-ES"/>
              </w:rPr>
              <w:t xml:space="preserve"> 21, 28</w:t>
            </w:r>
            <w:r w:rsidR="00C94A36" w:rsidRPr="00E55F3C">
              <w:rPr>
                <w:rFonts w:ascii="Cambria" w:hAnsi="Cambria"/>
                <w:bCs/>
                <w:sz w:val="20"/>
                <w:szCs w:val="20"/>
                <w:lang w:val="es-ES"/>
              </w:rPr>
              <w:t xml:space="preserve"> y 29 de abril, 4, 6 </w:t>
            </w:r>
            <w:r w:rsidR="00233BC7" w:rsidRPr="00E55F3C">
              <w:rPr>
                <w:rFonts w:ascii="Cambria" w:hAnsi="Cambria"/>
                <w:bCs/>
                <w:sz w:val="20"/>
                <w:szCs w:val="20"/>
                <w:lang w:val="es-ES"/>
              </w:rPr>
              <w:t xml:space="preserve">11, 17 </w:t>
            </w:r>
            <w:r w:rsidR="00C94A36" w:rsidRPr="00E55F3C">
              <w:rPr>
                <w:rFonts w:ascii="Cambria" w:hAnsi="Cambria"/>
                <w:bCs/>
                <w:sz w:val="20"/>
                <w:szCs w:val="20"/>
                <w:lang w:val="es-ES"/>
              </w:rPr>
              <w:t>de mayo</w:t>
            </w:r>
            <w:r w:rsidR="00233BC7" w:rsidRPr="00E55F3C">
              <w:rPr>
                <w:rFonts w:ascii="Cambria" w:hAnsi="Cambria"/>
                <w:bCs/>
                <w:sz w:val="20"/>
                <w:szCs w:val="20"/>
                <w:lang w:val="es-ES"/>
              </w:rPr>
              <w:t>, 1, 7, 11, 16, 22 y 29 de junio. 16 de julio, 13 de agosto, 13 de octubre, 27 de octubre,</w:t>
            </w:r>
            <w:r w:rsidR="0097746F" w:rsidRPr="00E55F3C">
              <w:rPr>
                <w:rFonts w:ascii="Cambria" w:hAnsi="Cambria"/>
                <w:bCs/>
                <w:sz w:val="20"/>
                <w:szCs w:val="20"/>
                <w:lang w:val="es-ES"/>
              </w:rPr>
              <w:t xml:space="preserve"> </w:t>
            </w:r>
            <w:r w:rsidR="00233BC7" w:rsidRPr="00E55F3C">
              <w:rPr>
                <w:rFonts w:ascii="Cambria" w:hAnsi="Cambria"/>
                <w:bCs/>
                <w:sz w:val="20"/>
                <w:szCs w:val="20"/>
                <w:lang w:val="es-ES"/>
              </w:rPr>
              <w:t>19</w:t>
            </w:r>
            <w:r w:rsidR="0097746F" w:rsidRPr="00E55F3C">
              <w:rPr>
                <w:rFonts w:ascii="Cambria" w:hAnsi="Cambria"/>
                <w:bCs/>
                <w:sz w:val="20"/>
                <w:szCs w:val="20"/>
                <w:lang w:val="es-ES"/>
              </w:rPr>
              <w:t xml:space="preserve"> y 23</w:t>
            </w:r>
            <w:r w:rsidR="00233BC7" w:rsidRPr="00E55F3C">
              <w:rPr>
                <w:rFonts w:ascii="Cambria" w:hAnsi="Cambria"/>
                <w:bCs/>
                <w:sz w:val="20"/>
                <w:szCs w:val="20"/>
                <w:lang w:val="es-ES"/>
              </w:rPr>
              <w:t xml:space="preserve"> de noviembre</w:t>
            </w:r>
            <w:r w:rsidR="0097746F" w:rsidRPr="00E55F3C">
              <w:rPr>
                <w:rFonts w:ascii="Cambria" w:hAnsi="Cambria"/>
                <w:bCs/>
                <w:sz w:val="20"/>
                <w:szCs w:val="20"/>
                <w:lang w:val="es-ES"/>
              </w:rPr>
              <w:t xml:space="preserve"> de 2010; 3 de febrero </w:t>
            </w:r>
            <w:r w:rsidR="005563FD" w:rsidRPr="00E55F3C">
              <w:rPr>
                <w:rFonts w:ascii="Cambria" w:hAnsi="Cambria"/>
                <w:bCs/>
                <w:sz w:val="20"/>
                <w:szCs w:val="20"/>
                <w:lang w:val="es-ES"/>
              </w:rPr>
              <w:t xml:space="preserve">y 11 </w:t>
            </w:r>
            <w:r w:rsidR="0097746F" w:rsidRPr="00E55F3C">
              <w:rPr>
                <w:rFonts w:ascii="Cambria" w:hAnsi="Cambria"/>
                <w:bCs/>
                <w:sz w:val="20"/>
                <w:szCs w:val="20"/>
                <w:lang w:val="es-ES"/>
              </w:rPr>
              <w:t>de</w:t>
            </w:r>
            <w:r w:rsidR="005563FD" w:rsidRPr="00E55F3C">
              <w:rPr>
                <w:rFonts w:ascii="Cambria" w:hAnsi="Cambria"/>
                <w:bCs/>
                <w:sz w:val="20"/>
                <w:szCs w:val="20"/>
                <w:lang w:val="es-ES"/>
              </w:rPr>
              <w:t xml:space="preserve"> mayo</w:t>
            </w:r>
            <w:r w:rsidR="0097746F" w:rsidRPr="00E55F3C">
              <w:rPr>
                <w:rFonts w:ascii="Cambria" w:hAnsi="Cambria"/>
                <w:bCs/>
                <w:sz w:val="20"/>
                <w:szCs w:val="20"/>
                <w:lang w:val="es-ES"/>
              </w:rPr>
              <w:t xml:space="preserve"> 2011</w:t>
            </w:r>
            <w:r w:rsidR="00FF3BB8" w:rsidRPr="00E55F3C">
              <w:rPr>
                <w:rFonts w:ascii="Cambria" w:hAnsi="Cambria"/>
                <w:bCs/>
                <w:sz w:val="20"/>
                <w:szCs w:val="20"/>
                <w:lang w:val="es-ES"/>
              </w:rPr>
              <w:t xml:space="preserve">; 10 de octubre de 2012; 8 de marzo de 2014; </w:t>
            </w:r>
          </w:p>
        </w:tc>
      </w:tr>
      <w:tr w:rsidR="004C2312" w:rsidRPr="00047DDD"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E55F3C" w:rsidRDefault="004A6A54" w:rsidP="000C1C69">
            <w:pPr>
              <w:jc w:val="center"/>
              <w:rPr>
                <w:rFonts w:ascii="Cambria" w:hAnsi="Cambria"/>
                <w:bCs/>
                <w:color w:val="FFFFFF" w:themeColor="background1"/>
                <w:sz w:val="20"/>
                <w:szCs w:val="20"/>
                <w:lang w:val="es-ES"/>
              </w:rPr>
            </w:pPr>
            <w:r w:rsidRPr="00E55F3C">
              <w:rPr>
                <w:rFonts w:ascii="Cambria" w:hAnsi="Cambria"/>
                <w:color w:val="FFFFFF" w:themeColor="background1"/>
                <w:sz w:val="20"/>
                <w:szCs w:val="20"/>
                <w:lang w:val="es-ES"/>
              </w:rPr>
              <w:t>N</w:t>
            </w:r>
            <w:r w:rsidR="004C2312" w:rsidRPr="00E55F3C">
              <w:rPr>
                <w:rFonts w:ascii="Cambria" w:hAnsi="Cambria"/>
                <w:color w:val="FFFFFF" w:themeColor="background1"/>
                <w:sz w:val="20"/>
                <w:szCs w:val="20"/>
                <w:lang w:val="es-ES"/>
              </w:rPr>
              <w:t>otificación de la petición</w:t>
            </w:r>
          </w:p>
        </w:tc>
        <w:tc>
          <w:tcPr>
            <w:tcW w:w="6570" w:type="dxa"/>
            <w:vAlign w:val="center"/>
          </w:tcPr>
          <w:p w14:paraId="1519DA6A" w14:textId="7F463446" w:rsidR="004C2312" w:rsidRPr="00E55F3C" w:rsidRDefault="00154BD7" w:rsidP="00D43661">
            <w:pPr>
              <w:jc w:val="both"/>
              <w:rPr>
                <w:rFonts w:ascii="Cambria" w:hAnsi="Cambria"/>
                <w:bCs/>
                <w:sz w:val="20"/>
                <w:szCs w:val="20"/>
                <w:lang w:val="es-ES"/>
              </w:rPr>
            </w:pPr>
            <w:r w:rsidRPr="00E55F3C">
              <w:rPr>
                <w:rFonts w:ascii="Cambria" w:hAnsi="Cambria"/>
                <w:bCs/>
                <w:sz w:val="20"/>
                <w:szCs w:val="20"/>
                <w:lang w:val="es-ES"/>
              </w:rPr>
              <w:t>12 de marzo de 2018</w:t>
            </w:r>
          </w:p>
        </w:tc>
      </w:tr>
      <w:tr w:rsidR="00F06354" w:rsidRPr="00047DDD"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E55F3C" w:rsidRDefault="00D77503" w:rsidP="00F06354">
            <w:pPr>
              <w:jc w:val="center"/>
              <w:rPr>
                <w:rFonts w:ascii="Cambria" w:hAnsi="Cambria"/>
                <w:bCs/>
                <w:color w:val="FFFFFF" w:themeColor="background1"/>
                <w:sz w:val="20"/>
                <w:szCs w:val="20"/>
                <w:lang w:val="es-ES"/>
              </w:rPr>
            </w:pPr>
            <w:r w:rsidRPr="00E55F3C">
              <w:rPr>
                <w:rFonts w:ascii="Cambria" w:hAnsi="Cambria"/>
                <w:color w:val="FFFFFF" w:themeColor="background1"/>
                <w:sz w:val="20"/>
                <w:szCs w:val="20"/>
                <w:lang w:val="es-ES"/>
              </w:rPr>
              <w:t>Primera respuesta del Estado</w:t>
            </w:r>
          </w:p>
        </w:tc>
        <w:tc>
          <w:tcPr>
            <w:tcW w:w="6570" w:type="dxa"/>
            <w:vAlign w:val="center"/>
          </w:tcPr>
          <w:p w14:paraId="1972B99E" w14:textId="19A587A8" w:rsidR="00F06354" w:rsidRPr="00E55F3C" w:rsidRDefault="00FF3BB8" w:rsidP="00F06354">
            <w:pPr>
              <w:jc w:val="both"/>
              <w:rPr>
                <w:rFonts w:ascii="Cambria" w:hAnsi="Cambria"/>
                <w:bCs/>
                <w:sz w:val="20"/>
                <w:szCs w:val="20"/>
                <w:lang w:val="es-ES"/>
              </w:rPr>
            </w:pPr>
            <w:r w:rsidRPr="00E55F3C">
              <w:rPr>
                <w:rFonts w:ascii="Cambria" w:hAnsi="Cambria"/>
                <w:bCs/>
                <w:sz w:val="20"/>
                <w:szCs w:val="20"/>
                <w:lang w:val="es-ES"/>
              </w:rPr>
              <w:t>13 de septiembre de 2018</w:t>
            </w:r>
          </w:p>
        </w:tc>
      </w:tr>
      <w:tr w:rsidR="00F06354" w:rsidRPr="00047DDD"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E55F3C" w:rsidRDefault="00F06354" w:rsidP="00F06354">
            <w:pPr>
              <w:jc w:val="center"/>
              <w:rPr>
                <w:rFonts w:ascii="Cambria" w:hAnsi="Cambria"/>
                <w:bCs/>
                <w:color w:val="FFFFFF" w:themeColor="background1"/>
                <w:sz w:val="20"/>
                <w:szCs w:val="20"/>
                <w:lang w:val="es-ES"/>
              </w:rPr>
            </w:pPr>
            <w:r w:rsidRPr="00E55F3C">
              <w:rPr>
                <w:rFonts w:ascii="Cambria" w:hAnsi="Cambria"/>
                <w:bCs/>
                <w:color w:val="FFFFFF" w:themeColor="background1"/>
                <w:sz w:val="20"/>
                <w:szCs w:val="20"/>
                <w:lang w:val="es-ES"/>
              </w:rPr>
              <w:t>Observaciones adicionales de</w:t>
            </w:r>
            <w:r w:rsidR="00D77503" w:rsidRPr="00E55F3C">
              <w:rPr>
                <w:rFonts w:ascii="Cambria" w:hAnsi="Cambria"/>
                <w:bCs/>
                <w:color w:val="FFFFFF" w:themeColor="background1"/>
                <w:sz w:val="20"/>
                <w:szCs w:val="20"/>
                <w:lang w:val="es-ES"/>
              </w:rPr>
              <w:t xml:space="preserve"> la parte peticionaria</w:t>
            </w:r>
          </w:p>
        </w:tc>
        <w:tc>
          <w:tcPr>
            <w:tcW w:w="6570" w:type="dxa"/>
            <w:vAlign w:val="center"/>
          </w:tcPr>
          <w:p w14:paraId="41D8B862" w14:textId="304D6C8B" w:rsidR="00F06354" w:rsidRPr="00E55F3C" w:rsidRDefault="00FF3BB8" w:rsidP="00BC0968">
            <w:pPr>
              <w:jc w:val="both"/>
              <w:rPr>
                <w:rFonts w:ascii="Cambria" w:hAnsi="Cambria"/>
                <w:bCs/>
                <w:sz w:val="20"/>
                <w:szCs w:val="20"/>
                <w:lang w:val="es-ES"/>
              </w:rPr>
            </w:pPr>
            <w:r w:rsidRPr="00E55F3C">
              <w:rPr>
                <w:rFonts w:ascii="Cambria" w:hAnsi="Cambria"/>
                <w:bCs/>
                <w:sz w:val="20"/>
                <w:szCs w:val="20"/>
                <w:lang w:val="es-ES"/>
              </w:rPr>
              <w:t>30 de abril de 2019</w:t>
            </w:r>
          </w:p>
        </w:tc>
      </w:tr>
      <w:tr w:rsidR="00FF3BB8" w:rsidRPr="00E55F3C" w14:paraId="2CD7A5CE" w14:textId="77777777" w:rsidTr="00954B82">
        <w:tc>
          <w:tcPr>
            <w:tcW w:w="2790" w:type="dxa"/>
            <w:tcBorders>
              <w:top w:val="single" w:sz="6" w:space="0" w:color="auto"/>
              <w:bottom w:val="single" w:sz="6" w:space="0" w:color="auto"/>
            </w:tcBorders>
            <w:shd w:val="clear" w:color="auto" w:fill="386294"/>
            <w:vAlign w:val="center"/>
          </w:tcPr>
          <w:p w14:paraId="23902A8C" w14:textId="02A9ADC5" w:rsidR="00FF3BB8" w:rsidRPr="00E55F3C" w:rsidRDefault="00FF3BB8" w:rsidP="00F06354">
            <w:pPr>
              <w:jc w:val="center"/>
              <w:rPr>
                <w:rFonts w:ascii="Cambria" w:hAnsi="Cambria"/>
                <w:bCs/>
                <w:color w:val="FFFFFF" w:themeColor="background1"/>
                <w:sz w:val="20"/>
                <w:szCs w:val="20"/>
                <w:lang w:val="es-ES"/>
              </w:rPr>
            </w:pPr>
            <w:r w:rsidRPr="00E55F3C">
              <w:rPr>
                <w:rFonts w:ascii="Cambria" w:hAnsi="Cambria"/>
                <w:bCs/>
                <w:color w:val="FFFFFF" w:themeColor="background1"/>
                <w:sz w:val="20"/>
                <w:szCs w:val="20"/>
                <w:lang w:val="es-ES"/>
              </w:rPr>
              <w:t xml:space="preserve">Observaciones adicionales del Estado: </w:t>
            </w:r>
          </w:p>
        </w:tc>
        <w:tc>
          <w:tcPr>
            <w:tcW w:w="6570" w:type="dxa"/>
            <w:vAlign w:val="center"/>
          </w:tcPr>
          <w:p w14:paraId="6CBD14E6" w14:textId="50168863" w:rsidR="00FF3BB8" w:rsidRPr="00E55F3C" w:rsidRDefault="00FF3BB8" w:rsidP="00BC0968">
            <w:pPr>
              <w:jc w:val="both"/>
              <w:rPr>
                <w:rFonts w:ascii="Cambria" w:hAnsi="Cambria"/>
                <w:bCs/>
                <w:sz w:val="20"/>
                <w:szCs w:val="20"/>
                <w:lang w:val="es-ES"/>
              </w:rPr>
            </w:pPr>
            <w:r w:rsidRPr="00E55F3C">
              <w:rPr>
                <w:rFonts w:ascii="Cambria" w:hAnsi="Cambria"/>
                <w:bCs/>
                <w:sz w:val="20"/>
                <w:szCs w:val="20"/>
                <w:lang w:val="es-ES"/>
              </w:rPr>
              <w:t>20 de diciembre de 2019 y 12 de mayo de 2020</w:t>
            </w:r>
          </w:p>
        </w:tc>
      </w:tr>
    </w:tbl>
    <w:p w14:paraId="21DAA666" w14:textId="5065046E" w:rsidR="003239B8" w:rsidRPr="00047DDD" w:rsidRDefault="003239B8" w:rsidP="007C402A">
      <w:pPr>
        <w:spacing w:before="120" w:after="120"/>
        <w:ind w:firstLine="720"/>
        <w:jc w:val="both"/>
        <w:rPr>
          <w:rFonts w:asciiTheme="majorHAnsi" w:hAnsiTheme="majorHAnsi"/>
          <w:b/>
          <w:bCs/>
          <w:sz w:val="20"/>
          <w:szCs w:val="20"/>
          <w:lang w:val="es-ES"/>
        </w:rPr>
      </w:pPr>
      <w:r w:rsidRPr="00047DDD">
        <w:rPr>
          <w:rFonts w:asciiTheme="majorHAnsi" w:hAnsiTheme="majorHAnsi"/>
          <w:b/>
          <w:bCs/>
          <w:sz w:val="20"/>
          <w:szCs w:val="20"/>
          <w:lang w:val="es-ES"/>
        </w:rPr>
        <w:t xml:space="preserve">III. </w:t>
      </w:r>
      <w:r w:rsidRPr="00047DDD">
        <w:rPr>
          <w:rFonts w:asciiTheme="majorHAnsi" w:hAnsiTheme="majorHAnsi"/>
          <w:b/>
          <w:bCs/>
          <w:sz w:val="20"/>
          <w:szCs w:val="20"/>
          <w:lang w:val="es-ES"/>
        </w:rPr>
        <w:tab/>
        <w:t>COMPETENCIA</w:t>
      </w:r>
      <w:r w:rsidR="00EE00E9" w:rsidRPr="00047DDD">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047DDD"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E55F3C" w:rsidRDefault="00D77503" w:rsidP="00D43661">
            <w:pPr>
              <w:jc w:val="center"/>
              <w:rPr>
                <w:rFonts w:ascii="Cambria" w:hAnsi="Cambria"/>
                <w:bCs/>
                <w:i/>
                <w:color w:val="FFFFFF" w:themeColor="background1"/>
                <w:sz w:val="20"/>
                <w:szCs w:val="20"/>
                <w:lang w:val="es-ES"/>
              </w:rPr>
            </w:pPr>
            <w:r w:rsidRPr="00E55F3C">
              <w:rPr>
                <w:rFonts w:ascii="Cambria" w:hAnsi="Cambria"/>
                <w:bCs/>
                <w:i/>
                <w:color w:val="FFFFFF" w:themeColor="background1"/>
                <w:sz w:val="20"/>
                <w:szCs w:val="20"/>
                <w:lang w:val="es-ES"/>
              </w:rPr>
              <w:t>Ratione personae</w:t>
            </w:r>
          </w:p>
        </w:tc>
        <w:tc>
          <w:tcPr>
            <w:tcW w:w="6570" w:type="dxa"/>
            <w:vAlign w:val="center"/>
          </w:tcPr>
          <w:p w14:paraId="7707F3E9" w14:textId="30DD0FA8" w:rsidR="003239B8" w:rsidRPr="00E55F3C" w:rsidRDefault="00161278" w:rsidP="00D43661">
            <w:pPr>
              <w:rPr>
                <w:rFonts w:ascii="Cambria" w:hAnsi="Cambria"/>
                <w:bCs/>
                <w:sz w:val="20"/>
                <w:szCs w:val="20"/>
                <w:lang w:val="es-ES"/>
              </w:rPr>
            </w:pPr>
            <w:r w:rsidRPr="00E55F3C">
              <w:rPr>
                <w:rFonts w:ascii="Cambria" w:hAnsi="Cambria"/>
                <w:bCs/>
                <w:sz w:val="20"/>
                <w:szCs w:val="20"/>
                <w:lang w:val="es-ES"/>
              </w:rPr>
              <w:t>Sí</w:t>
            </w:r>
          </w:p>
        </w:tc>
      </w:tr>
      <w:tr w:rsidR="003239B8" w:rsidRPr="00047DDD"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E55F3C" w:rsidRDefault="003239B8" w:rsidP="00D77503">
            <w:pPr>
              <w:jc w:val="center"/>
              <w:rPr>
                <w:rFonts w:ascii="Cambria" w:hAnsi="Cambria"/>
                <w:bCs/>
                <w:color w:val="FFFFFF" w:themeColor="background1"/>
                <w:sz w:val="20"/>
                <w:szCs w:val="20"/>
                <w:lang w:val="es-ES"/>
              </w:rPr>
            </w:pPr>
            <w:r w:rsidRPr="00E55F3C">
              <w:rPr>
                <w:rFonts w:ascii="Cambria" w:hAnsi="Cambria"/>
                <w:bCs/>
                <w:i/>
                <w:color w:val="FFFFFF" w:themeColor="background1"/>
                <w:sz w:val="20"/>
                <w:szCs w:val="20"/>
                <w:lang w:val="es-ES"/>
              </w:rPr>
              <w:t>Ratione loci</w:t>
            </w:r>
          </w:p>
        </w:tc>
        <w:tc>
          <w:tcPr>
            <w:tcW w:w="6570" w:type="dxa"/>
            <w:vAlign w:val="center"/>
          </w:tcPr>
          <w:p w14:paraId="12C931CB" w14:textId="07637622" w:rsidR="003239B8" w:rsidRPr="00E55F3C" w:rsidRDefault="00161278" w:rsidP="00D43661">
            <w:pPr>
              <w:rPr>
                <w:rFonts w:ascii="Cambria" w:hAnsi="Cambria"/>
                <w:bCs/>
                <w:sz w:val="20"/>
                <w:szCs w:val="20"/>
                <w:lang w:val="es-ES"/>
              </w:rPr>
            </w:pPr>
            <w:r w:rsidRPr="00E55F3C">
              <w:rPr>
                <w:rFonts w:ascii="Cambria" w:hAnsi="Cambria"/>
                <w:bCs/>
                <w:sz w:val="20"/>
                <w:szCs w:val="20"/>
                <w:lang w:val="es-ES"/>
              </w:rPr>
              <w:t>Sí</w:t>
            </w:r>
          </w:p>
        </w:tc>
      </w:tr>
      <w:tr w:rsidR="003239B8" w:rsidRPr="00047DDD"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E55F3C" w:rsidRDefault="003239B8" w:rsidP="00D43661">
            <w:pPr>
              <w:jc w:val="center"/>
              <w:rPr>
                <w:rFonts w:ascii="Cambria" w:hAnsi="Cambria"/>
                <w:bCs/>
                <w:color w:val="FFFFFF" w:themeColor="background1"/>
                <w:sz w:val="20"/>
                <w:szCs w:val="20"/>
                <w:lang w:val="es-ES"/>
              </w:rPr>
            </w:pPr>
            <w:r w:rsidRPr="00E55F3C">
              <w:rPr>
                <w:rFonts w:ascii="Cambria" w:hAnsi="Cambria"/>
                <w:bCs/>
                <w:i/>
                <w:color w:val="FFFFFF" w:themeColor="background1"/>
                <w:sz w:val="20"/>
                <w:szCs w:val="20"/>
                <w:lang w:val="es-ES"/>
              </w:rPr>
              <w:t>Ratione temporis</w:t>
            </w:r>
          </w:p>
        </w:tc>
        <w:tc>
          <w:tcPr>
            <w:tcW w:w="6570" w:type="dxa"/>
            <w:vAlign w:val="center"/>
          </w:tcPr>
          <w:p w14:paraId="6F8B059B" w14:textId="63ACCA21" w:rsidR="003239B8" w:rsidRPr="00E55F3C" w:rsidRDefault="00161278" w:rsidP="00D43661">
            <w:pPr>
              <w:rPr>
                <w:rFonts w:ascii="Cambria" w:hAnsi="Cambria"/>
                <w:bCs/>
                <w:sz w:val="20"/>
                <w:szCs w:val="20"/>
                <w:lang w:val="es-ES"/>
              </w:rPr>
            </w:pPr>
            <w:r w:rsidRPr="00E55F3C">
              <w:rPr>
                <w:rFonts w:ascii="Cambria" w:hAnsi="Cambria"/>
                <w:bCs/>
                <w:sz w:val="20"/>
                <w:szCs w:val="20"/>
                <w:lang w:val="es-ES"/>
              </w:rPr>
              <w:t>Sí</w:t>
            </w:r>
          </w:p>
        </w:tc>
      </w:tr>
      <w:tr w:rsidR="003239B8" w:rsidRPr="00047DDD"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E55F3C" w:rsidRDefault="003239B8" w:rsidP="00D43661">
            <w:pPr>
              <w:jc w:val="center"/>
              <w:rPr>
                <w:rFonts w:ascii="Cambria" w:hAnsi="Cambria"/>
                <w:bCs/>
                <w:color w:val="FFFFFF" w:themeColor="background1"/>
                <w:sz w:val="20"/>
                <w:szCs w:val="20"/>
                <w:lang w:val="es-ES"/>
              </w:rPr>
            </w:pPr>
            <w:r w:rsidRPr="00E55F3C">
              <w:rPr>
                <w:rFonts w:ascii="Cambria" w:hAnsi="Cambria"/>
                <w:bCs/>
                <w:i/>
                <w:color w:val="FFFFFF" w:themeColor="background1"/>
                <w:sz w:val="20"/>
                <w:szCs w:val="20"/>
                <w:lang w:val="es-ES"/>
              </w:rPr>
              <w:t>Ratione materia</w:t>
            </w:r>
            <w:r w:rsidR="00EE00E9" w:rsidRPr="00E55F3C">
              <w:rPr>
                <w:rFonts w:ascii="Cambria" w:hAnsi="Cambria"/>
                <w:bCs/>
                <w:i/>
                <w:color w:val="FFFFFF" w:themeColor="background1"/>
                <w:sz w:val="20"/>
                <w:szCs w:val="20"/>
                <w:lang w:val="es-ES"/>
              </w:rPr>
              <w:t>e</w:t>
            </w:r>
          </w:p>
        </w:tc>
        <w:tc>
          <w:tcPr>
            <w:tcW w:w="6570" w:type="dxa"/>
            <w:vAlign w:val="center"/>
          </w:tcPr>
          <w:p w14:paraId="63A62A88" w14:textId="77777777" w:rsidR="00911B3F" w:rsidRPr="00E55F3C" w:rsidRDefault="00911B3F" w:rsidP="00911B3F">
            <w:pPr>
              <w:jc w:val="both"/>
              <w:rPr>
                <w:rFonts w:asciiTheme="majorHAnsi" w:hAnsiTheme="majorHAnsi"/>
                <w:bCs/>
                <w:sz w:val="20"/>
                <w:szCs w:val="20"/>
                <w:lang w:val="es-ES"/>
              </w:rPr>
            </w:pPr>
            <w:r w:rsidRPr="00E55F3C">
              <w:rPr>
                <w:rFonts w:asciiTheme="majorHAnsi" w:hAnsiTheme="majorHAnsi"/>
                <w:bCs/>
                <w:sz w:val="20"/>
                <w:szCs w:val="20"/>
                <w:lang w:val="es-ES"/>
              </w:rPr>
              <w:t>Sí, Convención Americana (depósito del instrumento realizado el</w:t>
            </w:r>
          </w:p>
          <w:p w14:paraId="0C122F44" w14:textId="78BA88B5" w:rsidR="003239B8" w:rsidRPr="00E55F3C" w:rsidRDefault="00911B3F" w:rsidP="00911B3F">
            <w:pPr>
              <w:jc w:val="both"/>
              <w:rPr>
                <w:rFonts w:ascii="Cambria" w:hAnsi="Cambria"/>
                <w:bCs/>
                <w:sz w:val="20"/>
                <w:szCs w:val="20"/>
                <w:lang w:val="es-ES"/>
              </w:rPr>
            </w:pPr>
            <w:r w:rsidRPr="00E55F3C">
              <w:rPr>
                <w:rFonts w:asciiTheme="majorHAnsi" w:hAnsiTheme="majorHAnsi"/>
                <w:bCs/>
                <w:sz w:val="20"/>
                <w:szCs w:val="20"/>
                <w:lang w:val="es-ES"/>
              </w:rPr>
              <w:t>31 de julio de 1973)</w:t>
            </w:r>
          </w:p>
        </w:tc>
      </w:tr>
    </w:tbl>
    <w:p w14:paraId="4E92C444" w14:textId="678BB513" w:rsidR="003239B8" w:rsidRPr="00047DDD" w:rsidRDefault="003239B8" w:rsidP="007C402A">
      <w:pPr>
        <w:spacing w:before="120" w:after="120"/>
        <w:ind w:firstLine="720"/>
        <w:jc w:val="both"/>
        <w:rPr>
          <w:rFonts w:asciiTheme="majorHAnsi" w:hAnsiTheme="majorHAnsi"/>
          <w:b/>
          <w:bCs/>
          <w:sz w:val="20"/>
          <w:szCs w:val="20"/>
          <w:lang w:val="es-ES"/>
        </w:rPr>
      </w:pPr>
      <w:r w:rsidRPr="00047DDD">
        <w:rPr>
          <w:rFonts w:asciiTheme="majorHAnsi" w:hAnsiTheme="majorHAnsi"/>
          <w:b/>
          <w:bCs/>
          <w:sz w:val="20"/>
          <w:szCs w:val="20"/>
          <w:lang w:val="es-ES"/>
        </w:rPr>
        <w:t xml:space="preserve">IV. </w:t>
      </w:r>
      <w:r w:rsidRPr="00047DDD">
        <w:rPr>
          <w:rFonts w:asciiTheme="majorHAnsi" w:hAnsiTheme="majorHAnsi"/>
          <w:b/>
          <w:bCs/>
          <w:sz w:val="20"/>
          <w:szCs w:val="20"/>
          <w:lang w:val="es-ES"/>
        </w:rPr>
        <w:tab/>
      </w:r>
      <w:r w:rsidR="00EE00E9" w:rsidRPr="00047DDD">
        <w:rPr>
          <w:rFonts w:asciiTheme="majorHAnsi" w:hAnsiTheme="majorHAnsi"/>
          <w:b/>
          <w:bCs/>
          <w:sz w:val="20"/>
          <w:szCs w:val="20"/>
          <w:lang w:val="es-ES"/>
        </w:rPr>
        <w:t>DUPLICACIÓN</w:t>
      </w:r>
      <w:r w:rsidR="00EE00E9" w:rsidRPr="00047DDD">
        <w:rPr>
          <w:rFonts w:asciiTheme="majorHAnsi" w:hAnsiTheme="majorHAnsi"/>
          <w:b/>
          <w:bCs/>
          <w:color w:val="FFFFFF" w:themeColor="background1"/>
          <w:sz w:val="20"/>
          <w:szCs w:val="20"/>
          <w:lang w:val="es-ES"/>
        </w:rPr>
        <w:t xml:space="preserve"> </w:t>
      </w:r>
      <w:r w:rsidR="00EE00E9" w:rsidRPr="00047DDD">
        <w:rPr>
          <w:rFonts w:asciiTheme="majorHAnsi" w:hAnsiTheme="majorHAnsi"/>
          <w:b/>
          <w:bCs/>
          <w:sz w:val="20"/>
          <w:szCs w:val="20"/>
          <w:lang w:val="es-ES"/>
        </w:rPr>
        <w:t>DE PROCEDIMIENTOS Y COSA JUZGADA</w:t>
      </w:r>
      <w:r w:rsidR="00EE00E9" w:rsidRPr="00047DDD">
        <w:rPr>
          <w:rFonts w:asciiTheme="majorHAnsi" w:hAnsiTheme="majorHAnsi"/>
          <w:b/>
          <w:bCs/>
          <w:i/>
          <w:sz w:val="20"/>
          <w:szCs w:val="20"/>
          <w:lang w:val="es-ES"/>
        </w:rPr>
        <w:t xml:space="preserve"> </w:t>
      </w:r>
      <w:r w:rsidR="00E575C1" w:rsidRPr="00047DDD">
        <w:rPr>
          <w:rFonts w:asciiTheme="majorHAnsi" w:hAnsiTheme="majorHAnsi"/>
          <w:b/>
          <w:bCs/>
          <w:sz w:val="20"/>
          <w:szCs w:val="20"/>
          <w:lang w:val="es-ES"/>
        </w:rPr>
        <w:t>INTERNACIONAL</w:t>
      </w:r>
      <w:r w:rsidR="00E575C1">
        <w:rPr>
          <w:rFonts w:asciiTheme="majorHAnsi" w:hAnsiTheme="majorHAnsi"/>
          <w:b/>
          <w:bCs/>
          <w:sz w:val="20"/>
          <w:szCs w:val="20"/>
          <w:lang w:val="es-ES"/>
        </w:rPr>
        <w:t>,</w:t>
      </w:r>
      <w:r w:rsidR="00E575C1" w:rsidRPr="00047DDD">
        <w:rPr>
          <w:rFonts w:asciiTheme="majorHAnsi" w:hAnsiTheme="majorHAnsi"/>
          <w:b/>
          <w:bCs/>
          <w:sz w:val="20"/>
          <w:szCs w:val="20"/>
          <w:lang w:val="es-ES"/>
        </w:rPr>
        <w:t xml:space="preserve"> CARACTERIZACIÓN</w:t>
      </w:r>
      <w:r w:rsidRPr="00047DDD">
        <w:rPr>
          <w:rFonts w:asciiTheme="majorHAnsi" w:hAnsiTheme="majorHAnsi"/>
          <w:b/>
          <w:bCs/>
          <w:sz w:val="20"/>
          <w:szCs w:val="20"/>
          <w:lang w:val="es-ES"/>
        </w:rPr>
        <w:t xml:space="preserve">, </w:t>
      </w:r>
      <w:r w:rsidRPr="00047DDD">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047DDD" w14:paraId="1231C988" w14:textId="77777777" w:rsidTr="00B5134D">
        <w:trPr>
          <w:cantSplit/>
        </w:trPr>
        <w:tc>
          <w:tcPr>
            <w:tcW w:w="2764" w:type="dxa"/>
            <w:tcBorders>
              <w:top w:val="single" w:sz="4" w:space="0" w:color="auto"/>
              <w:bottom w:val="single" w:sz="6" w:space="0" w:color="auto"/>
            </w:tcBorders>
            <w:shd w:val="clear" w:color="auto" w:fill="386294"/>
            <w:vAlign w:val="center"/>
          </w:tcPr>
          <w:p w14:paraId="6F8031F4" w14:textId="03D8D2D1" w:rsidR="00EE00E9" w:rsidRPr="00E55F3C" w:rsidRDefault="00EE00E9" w:rsidP="00954B82">
            <w:pPr>
              <w:jc w:val="center"/>
              <w:rPr>
                <w:rFonts w:ascii="Cambria" w:hAnsi="Cambria"/>
                <w:bCs/>
                <w:color w:val="FFFFFF" w:themeColor="background1"/>
                <w:sz w:val="20"/>
                <w:szCs w:val="20"/>
                <w:lang w:val="es-ES"/>
              </w:rPr>
            </w:pPr>
            <w:r w:rsidRPr="00E55F3C">
              <w:rPr>
                <w:rFonts w:ascii="Cambria" w:hAnsi="Cambria"/>
                <w:bCs/>
                <w:color w:val="FFFFFF" w:themeColor="background1"/>
                <w:sz w:val="20"/>
                <w:szCs w:val="20"/>
                <w:lang w:val="es-ES"/>
              </w:rPr>
              <w:t xml:space="preserve">Duplicación </w:t>
            </w:r>
            <w:r w:rsidR="00D77503" w:rsidRPr="00E55F3C">
              <w:rPr>
                <w:rFonts w:ascii="Cambria" w:hAnsi="Cambria"/>
                <w:bCs/>
                <w:color w:val="FFFFFF" w:themeColor="background1"/>
                <w:sz w:val="20"/>
                <w:szCs w:val="20"/>
                <w:lang w:val="es-ES"/>
              </w:rPr>
              <w:t>y cosa juzgada internacional</w:t>
            </w:r>
          </w:p>
        </w:tc>
        <w:tc>
          <w:tcPr>
            <w:tcW w:w="6478" w:type="dxa"/>
            <w:vAlign w:val="center"/>
          </w:tcPr>
          <w:p w14:paraId="240941E6" w14:textId="135A8243" w:rsidR="00EE00E9" w:rsidRPr="00E55F3C" w:rsidRDefault="00BB3402" w:rsidP="00D43661">
            <w:pPr>
              <w:jc w:val="both"/>
              <w:rPr>
                <w:rFonts w:ascii="Cambria" w:hAnsi="Cambria"/>
                <w:bCs/>
                <w:sz w:val="20"/>
                <w:szCs w:val="20"/>
                <w:lang w:val="es-ES"/>
              </w:rPr>
            </w:pPr>
            <w:r w:rsidRPr="00E55F3C">
              <w:rPr>
                <w:rFonts w:ascii="Cambria" w:hAnsi="Cambria"/>
                <w:bCs/>
                <w:sz w:val="20"/>
                <w:szCs w:val="20"/>
                <w:lang w:val="es-ES"/>
              </w:rPr>
              <w:t>No</w:t>
            </w:r>
          </w:p>
        </w:tc>
      </w:tr>
      <w:tr w:rsidR="00B5134D" w:rsidRPr="00047DDD" w14:paraId="15FAA7D1" w14:textId="77777777" w:rsidTr="00B5134D">
        <w:trPr>
          <w:cantSplit/>
        </w:trPr>
        <w:tc>
          <w:tcPr>
            <w:tcW w:w="2764" w:type="dxa"/>
            <w:tcBorders>
              <w:top w:val="single" w:sz="4" w:space="0" w:color="auto"/>
              <w:bottom w:val="single" w:sz="6" w:space="0" w:color="auto"/>
            </w:tcBorders>
            <w:shd w:val="clear" w:color="auto" w:fill="386294"/>
            <w:vAlign w:val="center"/>
          </w:tcPr>
          <w:p w14:paraId="1B0D29FF" w14:textId="4FE01870" w:rsidR="00B5134D" w:rsidRPr="00E55F3C" w:rsidRDefault="00B5134D" w:rsidP="00B5134D">
            <w:pPr>
              <w:jc w:val="center"/>
              <w:rPr>
                <w:rFonts w:ascii="Cambria" w:hAnsi="Cambria"/>
                <w:bCs/>
                <w:i/>
                <w:color w:val="FFFFFF" w:themeColor="background1"/>
                <w:sz w:val="20"/>
                <w:szCs w:val="20"/>
                <w:lang w:val="es-ES"/>
              </w:rPr>
            </w:pPr>
            <w:r w:rsidRPr="00E55F3C">
              <w:rPr>
                <w:rFonts w:ascii="Cambria" w:hAnsi="Cambria"/>
                <w:bCs/>
                <w:color w:val="FFFFFF" w:themeColor="background1"/>
                <w:sz w:val="20"/>
                <w:szCs w:val="20"/>
                <w:lang w:val="es-ES"/>
              </w:rPr>
              <w:t>Derechos admitidos</w:t>
            </w:r>
          </w:p>
        </w:tc>
        <w:tc>
          <w:tcPr>
            <w:tcW w:w="6478" w:type="dxa"/>
            <w:vAlign w:val="center"/>
          </w:tcPr>
          <w:p w14:paraId="6310C8F7" w14:textId="64F118E3" w:rsidR="00B5134D" w:rsidRPr="00E55F3C" w:rsidRDefault="00B5134D" w:rsidP="00B5134D">
            <w:pPr>
              <w:jc w:val="both"/>
              <w:rPr>
                <w:rFonts w:ascii="Cambria" w:hAnsi="Cambria"/>
                <w:bCs/>
                <w:sz w:val="20"/>
                <w:szCs w:val="20"/>
                <w:lang w:val="es-PA"/>
              </w:rPr>
            </w:pPr>
            <w:r w:rsidRPr="00E55F3C">
              <w:rPr>
                <w:rFonts w:ascii="Cambria" w:hAnsi="Cambria"/>
                <w:bCs/>
                <w:sz w:val="20"/>
                <w:szCs w:val="20"/>
                <w:lang w:val="es-ES"/>
              </w:rPr>
              <w:t>Ninguno</w:t>
            </w:r>
          </w:p>
        </w:tc>
      </w:tr>
      <w:tr w:rsidR="00B5134D" w:rsidRPr="00E55F3C" w14:paraId="4EFD141E" w14:textId="77777777" w:rsidTr="00B5134D">
        <w:trPr>
          <w:cantSplit/>
        </w:trPr>
        <w:tc>
          <w:tcPr>
            <w:tcW w:w="2764" w:type="dxa"/>
            <w:tcBorders>
              <w:top w:val="single" w:sz="6" w:space="0" w:color="auto"/>
              <w:bottom w:val="single" w:sz="6" w:space="0" w:color="auto"/>
            </w:tcBorders>
            <w:shd w:val="clear" w:color="auto" w:fill="386294"/>
            <w:vAlign w:val="center"/>
          </w:tcPr>
          <w:p w14:paraId="4C04A89C" w14:textId="058482B9" w:rsidR="00B5134D" w:rsidRPr="00E55F3C" w:rsidRDefault="00B5134D" w:rsidP="00B5134D">
            <w:pPr>
              <w:jc w:val="center"/>
              <w:rPr>
                <w:rFonts w:ascii="Cambria" w:hAnsi="Cambria"/>
                <w:bCs/>
                <w:color w:val="FFFFFF" w:themeColor="background1"/>
                <w:sz w:val="20"/>
                <w:szCs w:val="20"/>
                <w:lang w:val="es-ES"/>
              </w:rPr>
            </w:pPr>
            <w:r w:rsidRPr="00E55F3C">
              <w:rPr>
                <w:rFonts w:ascii="Cambria" w:hAnsi="Cambria"/>
                <w:bCs/>
                <w:color w:val="FFFFFF" w:themeColor="background1"/>
                <w:sz w:val="20"/>
                <w:szCs w:val="20"/>
                <w:lang w:val="es-ES"/>
              </w:rPr>
              <w:t>Agotamiento de recursos o procedencia de una excepción</w:t>
            </w:r>
          </w:p>
        </w:tc>
        <w:tc>
          <w:tcPr>
            <w:tcW w:w="6478" w:type="dxa"/>
            <w:vAlign w:val="center"/>
          </w:tcPr>
          <w:p w14:paraId="69C53E8A" w14:textId="2DB545AF" w:rsidR="00B5134D" w:rsidRPr="00E55F3C" w:rsidRDefault="00B5134D" w:rsidP="00B5134D">
            <w:pPr>
              <w:rPr>
                <w:rFonts w:ascii="Cambria" w:hAnsi="Cambria"/>
                <w:bCs/>
                <w:sz w:val="20"/>
                <w:szCs w:val="20"/>
                <w:lang w:val="es-ES"/>
              </w:rPr>
            </w:pPr>
            <w:r w:rsidRPr="00E55F3C">
              <w:rPr>
                <w:rFonts w:ascii="Cambria" w:hAnsi="Cambria"/>
                <w:bCs/>
                <w:sz w:val="20"/>
                <w:szCs w:val="20"/>
                <w:lang w:val="es-ES"/>
              </w:rPr>
              <w:t>Sí, en los términos de la Sección VI</w:t>
            </w:r>
          </w:p>
        </w:tc>
      </w:tr>
      <w:tr w:rsidR="00B5134D" w:rsidRPr="00047DDD" w14:paraId="52B5BA17" w14:textId="77777777" w:rsidTr="00B5134D">
        <w:trPr>
          <w:cantSplit/>
        </w:trPr>
        <w:tc>
          <w:tcPr>
            <w:tcW w:w="2764" w:type="dxa"/>
            <w:tcBorders>
              <w:top w:val="single" w:sz="6" w:space="0" w:color="auto"/>
              <w:bottom w:val="single" w:sz="6" w:space="0" w:color="auto"/>
            </w:tcBorders>
            <w:shd w:val="clear" w:color="auto" w:fill="386294"/>
            <w:vAlign w:val="center"/>
          </w:tcPr>
          <w:p w14:paraId="5DF99086" w14:textId="392A0ECF" w:rsidR="00B5134D" w:rsidRPr="00E55F3C" w:rsidRDefault="00B5134D" w:rsidP="00B5134D">
            <w:pPr>
              <w:jc w:val="center"/>
              <w:rPr>
                <w:rFonts w:ascii="Cambria" w:hAnsi="Cambria"/>
                <w:bCs/>
                <w:color w:val="FFFFFF" w:themeColor="background1"/>
                <w:sz w:val="20"/>
                <w:szCs w:val="20"/>
                <w:lang w:val="es-ES"/>
              </w:rPr>
            </w:pPr>
            <w:r w:rsidRPr="00E55F3C">
              <w:rPr>
                <w:rFonts w:ascii="Cambria" w:hAnsi="Cambria"/>
                <w:bCs/>
                <w:color w:val="FFFFFF" w:themeColor="background1"/>
                <w:sz w:val="20"/>
                <w:szCs w:val="20"/>
                <w:lang w:val="es-ES"/>
              </w:rPr>
              <w:t>Presentación dentro de plazo</w:t>
            </w:r>
          </w:p>
        </w:tc>
        <w:tc>
          <w:tcPr>
            <w:tcW w:w="6478" w:type="dxa"/>
            <w:vAlign w:val="center"/>
          </w:tcPr>
          <w:p w14:paraId="4A2A4569" w14:textId="51237B25" w:rsidR="00B5134D" w:rsidRPr="00E55F3C" w:rsidRDefault="00B5134D" w:rsidP="00B5134D">
            <w:pPr>
              <w:rPr>
                <w:rFonts w:ascii="Cambria" w:hAnsi="Cambria"/>
                <w:bCs/>
                <w:sz w:val="20"/>
                <w:szCs w:val="20"/>
                <w:lang w:val="es-ES"/>
              </w:rPr>
            </w:pPr>
            <w:r w:rsidRPr="00E55F3C">
              <w:rPr>
                <w:rFonts w:ascii="Cambria" w:hAnsi="Cambria"/>
                <w:bCs/>
                <w:sz w:val="20"/>
                <w:szCs w:val="20"/>
                <w:lang w:val="es-ES"/>
              </w:rPr>
              <w:t>Sí, 23 de marzo de 2007</w:t>
            </w:r>
          </w:p>
        </w:tc>
      </w:tr>
    </w:tbl>
    <w:p w14:paraId="18E6423B" w14:textId="5FDE25B0" w:rsidR="003239B8" w:rsidRPr="00047DDD" w:rsidRDefault="00223A29" w:rsidP="00010B62">
      <w:pPr>
        <w:spacing w:before="120" w:after="120"/>
        <w:ind w:firstLine="720"/>
        <w:jc w:val="both"/>
        <w:rPr>
          <w:rFonts w:asciiTheme="majorHAnsi" w:hAnsiTheme="majorHAnsi"/>
          <w:b/>
          <w:sz w:val="20"/>
          <w:szCs w:val="20"/>
          <w:lang w:val="es-ES"/>
        </w:rPr>
      </w:pPr>
      <w:r w:rsidRPr="00047DDD">
        <w:rPr>
          <w:rFonts w:asciiTheme="majorHAnsi" w:hAnsiTheme="majorHAnsi"/>
          <w:b/>
          <w:sz w:val="20"/>
          <w:szCs w:val="20"/>
          <w:lang w:val="es-ES"/>
        </w:rPr>
        <w:t xml:space="preserve">V. </w:t>
      </w:r>
      <w:r w:rsidRPr="00047DDD">
        <w:rPr>
          <w:rFonts w:asciiTheme="majorHAnsi" w:hAnsiTheme="majorHAnsi"/>
          <w:b/>
          <w:sz w:val="20"/>
          <w:szCs w:val="20"/>
          <w:lang w:val="es-ES"/>
        </w:rPr>
        <w:tab/>
      </w:r>
      <w:r w:rsidR="0034224A" w:rsidRPr="00047DDD">
        <w:rPr>
          <w:rFonts w:asciiTheme="majorHAnsi" w:hAnsiTheme="majorHAnsi"/>
          <w:b/>
          <w:sz w:val="20"/>
          <w:szCs w:val="20"/>
          <w:lang w:val="es-ES"/>
        </w:rPr>
        <w:t>RESUMEN DE LOS HECHOS ALEGADOS</w:t>
      </w:r>
    </w:p>
    <w:p w14:paraId="6CE5AA3A" w14:textId="77777777" w:rsidR="00665D9B" w:rsidRPr="00273381" w:rsidRDefault="00665D9B" w:rsidP="00665D9B">
      <w:pPr>
        <w:numPr>
          <w:ilvl w:val="0"/>
          <w:numId w:val="55"/>
        </w:numPr>
        <w:suppressAutoHyphens/>
        <w:spacing w:after="120"/>
        <w:jc w:val="both"/>
        <w:rPr>
          <w:rFonts w:asciiTheme="majorHAnsi" w:hAnsiTheme="majorHAnsi"/>
          <w:b/>
          <w:bCs/>
          <w:sz w:val="20"/>
          <w:szCs w:val="20"/>
          <w:lang w:val="es-ES"/>
        </w:rPr>
      </w:pPr>
      <w:r w:rsidRPr="00273381">
        <w:rPr>
          <w:rFonts w:ascii="Cambria" w:hAnsi="Cambria"/>
          <w:sz w:val="20"/>
          <w:szCs w:val="20"/>
          <w:lang w:val="es-ES"/>
        </w:rPr>
        <w:t xml:space="preserve">La Unión de Servidores Públicos de los Distritos y Municipio de Colombia (UNES Colombia) (en adelante “la parte peticionaria”) denuncia presuntas violaciones a los derechos humanos de las personas que fueron fundadoras y adherentes de tres sindicatos (en adelante “las presuntas víctimas”) quienes alega </w:t>
      </w:r>
      <w:r w:rsidRPr="00273381">
        <w:rPr>
          <w:rFonts w:ascii="Cambria" w:hAnsi="Cambria"/>
          <w:sz w:val="20"/>
          <w:szCs w:val="20"/>
          <w:lang w:val="es-ES"/>
        </w:rPr>
        <w:lastRenderedPageBreak/>
        <w:t>fueron destituidas de sus trabajos en entidades estatales, pese a estar amparadas por fueros sindicales y sin que se solicitara previamente el levantamiento judicial de su fuero como lo exigía la ley laboral doméstica. En adición, denuncia que las autoridades judiciales domésticas no emitieron pronunciamientos de fondo con respe</w:t>
      </w:r>
      <w:r>
        <w:rPr>
          <w:rFonts w:ascii="Cambria" w:hAnsi="Cambria"/>
          <w:sz w:val="20"/>
          <w:szCs w:val="20"/>
          <w:lang w:val="es-ES"/>
        </w:rPr>
        <w:t>c</w:t>
      </w:r>
      <w:r w:rsidRPr="00273381">
        <w:rPr>
          <w:rFonts w:ascii="Cambria" w:hAnsi="Cambria"/>
          <w:sz w:val="20"/>
          <w:szCs w:val="20"/>
          <w:lang w:val="es-ES"/>
        </w:rPr>
        <w:t>to a acciones de tutela interpuestas por las presuntas víctimas</w:t>
      </w:r>
      <w:r>
        <w:rPr>
          <w:rFonts w:ascii="Cambria" w:hAnsi="Cambria"/>
          <w:sz w:val="20"/>
          <w:szCs w:val="20"/>
          <w:lang w:val="es-ES"/>
        </w:rPr>
        <w:t>,</w:t>
      </w:r>
      <w:r w:rsidRPr="00273381">
        <w:rPr>
          <w:rFonts w:ascii="Cambria" w:hAnsi="Cambria"/>
          <w:sz w:val="20"/>
          <w:szCs w:val="20"/>
          <w:lang w:val="es-ES"/>
        </w:rPr>
        <w:t xml:space="preserve"> que buscaban el amparo de su derecho a la igualdad y el cumplimiento de una recomendación de la Organización Internacional del Trabajo (en adelante “OIT”).</w:t>
      </w:r>
    </w:p>
    <w:p w14:paraId="41C05753" w14:textId="77777777" w:rsidR="00665D9B" w:rsidRPr="00273381" w:rsidRDefault="00665D9B" w:rsidP="00665D9B">
      <w:pPr>
        <w:numPr>
          <w:ilvl w:val="0"/>
          <w:numId w:val="55"/>
        </w:numPr>
        <w:suppressAutoHyphens/>
        <w:spacing w:after="120"/>
        <w:jc w:val="both"/>
        <w:rPr>
          <w:rFonts w:asciiTheme="majorHAnsi" w:hAnsiTheme="majorHAnsi"/>
          <w:bCs/>
          <w:sz w:val="20"/>
          <w:szCs w:val="20"/>
          <w:lang w:val="es-ES"/>
        </w:rPr>
      </w:pPr>
      <w:r w:rsidRPr="00273381">
        <w:rPr>
          <w:rFonts w:asciiTheme="majorHAnsi" w:hAnsiTheme="majorHAnsi"/>
          <w:bCs/>
          <w:sz w:val="20"/>
          <w:szCs w:val="20"/>
          <w:lang w:val="es-ES"/>
        </w:rPr>
        <w:t xml:space="preserve">La parte peticionaria relata que en febrero de 2001 se fundó el sindicato SINTRAPASED para representar a trabajadores de servicios generales (celadores y aseadoras) de la </w:t>
      </w:r>
      <w:r>
        <w:rPr>
          <w:rFonts w:asciiTheme="majorHAnsi" w:hAnsiTheme="majorHAnsi"/>
          <w:bCs/>
          <w:sz w:val="20"/>
          <w:szCs w:val="20"/>
          <w:lang w:val="es-ES"/>
        </w:rPr>
        <w:t>S</w:t>
      </w:r>
      <w:r w:rsidRPr="00273381">
        <w:rPr>
          <w:rFonts w:asciiTheme="majorHAnsi" w:hAnsiTheme="majorHAnsi"/>
          <w:bCs/>
          <w:sz w:val="20"/>
          <w:szCs w:val="20"/>
          <w:lang w:val="es-ES"/>
        </w:rPr>
        <w:t>ecretaría de Educación de Bogotá</w:t>
      </w:r>
      <w:r>
        <w:rPr>
          <w:rFonts w:asciiTheme="majorHAnsi" w:hAnsiTheme="majorHAnsi"/>
          <w:bCs/>
          <w:sz w:val="20"/>
          <w:szCs w:val="20"/>
          <w:lang w:val="es-ES"/>
        </w:rPr>
        <w:t>;</w:t>
      </w:r>
      <w:r w:rsidRPr="00273381">
        <w:rPr>
          <w:rFonts w:asciiTheme="majorHAnsi" w:hAnsiTheme="majorHAnsi"/>
          <w:bCs/>
          <w:sz w:val="20"/>
          <w:szCs w:val="20"/>
          <w:lang w:val="es-ES"/>
        </w:rPr>
        <w:t xml:space="preserve"> que el mismo mes se fundó SINTACATASTRO para representar a quienes trabajaban en el Departamento Administrativo de </w:t>
      </w:r>
      <w:r>
        <w:rPr>
          <w:rFonts w:asciiTheme="majorHAnsi" w:hAnsiTheme="majorHAnsi"/>
          <w:bCs/>
          <w:sz w:val="20"/>
          <w:szCs w:val="20"/>
          <w:lang w:val="es-ES"/>
        </w:rPr>
        <w:t>C</w:t>
      </w:r>
      <w:r w:rsidRPr="00273381">
        <w:rPr>
          <w:rFonts w:asciiTheme="majorHAnsi" w:hAnsiTheme="majorHAnsi"/>
          <w:bCs/>
          <w:sz w:val="20"/>
          <w:szCs w:val="20"/>
          <w:lang w:val="es-ES"/>
        </w:rPr>
        <w:t>atastro</w:t>
      </w:r>
      <w:r>
        <w:rPr>
          <w:rFonts w:asciiTheme="majorHAnsi" w:hAnsiTheme="majorHAnsi"/>
          <w:bCs/>
          <w:sz w:val="20"/>
          <w:szCs w:val="20"/>
          <w:lang w:val="es-ES"/>
        </w:rPr>
        <w:t>;</w:t>
      </w:r>
      <w:r w:rsidRPr="00273381">
        <w:rPr>
          <w:rFonts w:asciiTheme="majorHAnsi" w:hAnsiTheme="majorHAnsi"/>
          <w:bCs/>
          <w:sz w:val="20"/>
          <w:szCs w:val="20"/>
          <w:lang w:val="es-ES"/>
        </w:rPr>
        <w:t xml:space="preserve"> y que en marzo de 2001 se fundó ASOHACENDARIOS para representar trabajadores de la Secretaría Distrital de Hacienda. Indica que las presuntas víctimas fueron fundadoras y adherentes de estos sindicatos. Explica que el 27 de febrero de 2001, la Alcaldía Mayor de Bogotá expidió el Decreto 155 mediante el cual suprimió todos los empleos de servicios generales, incluyendo los de los dirigentes sindicales de SINTRAPASED SINTACATASTRO y ASOHACENDARIOS. Denuncia que la Alcaldía incumplió la ley laboral doméstica al no solicitar la autorización del juez laboral antes de suprimir los empleos de personas que se encontraban amparadas por </w:t>
      </w:r>
      <w:r>
        <w:rPr>
          <w:rFonts w:asciiTheme="majorHAnsi" w:hAnsiTheme="majorHAnsi"/>
          <w:bCs/>
          <w:sz w:val="20"/>
          <w:szCs w:val="20"/>
          <w:lang w:val="es-ES"/>
        </w:rPr>
        <w:t xml:space="preserve">el </w:t>
      </w:r>
      <w:r w:rsidRPr="00273381">
        <w:rPr>
          <w:rFonts w:asciiTheme="majorHAnsi" w:hAnsiTheme="majorHAnsi"/>
          <w:bCs/>
          <w:sz w:val="20"/>
          <w:szCs w:val="20"/>
          <w:lang w:val="es-ES"/>
        </w:rPr>
        <w:t>fuero sindical.</w:t>
      </w:r>
    </w:p>
    <w:p w14:paraId="0AE2E67E" w14:textId="2AF98CFA" w:rsidR="00665D9B" w:rsidRPr="00273381" w:rsidRDefault="00665D9B" w:rsidP="00665D9B">
      <w:pPr>
        <w:numPr>
          <w:ilvl w:val="0"/>
          <w:numId w:val="55"/>
        </w:numPr>
        <w:suppressAutoHyphens/>
        <w:spacing w:after="120"/>
        <w:jc w:val="both"/>
        <w:rPr>
          <w:rFonts w:asciiTheme="majorHAnsi" w:hAnsiTheme="majorHAnsi"/>
          <w:bCs/>
          <w:sz w:val="20"/>
          <w:szCs w:val="20"/>
          <w:lang w:val="es-ES"/>
        </w:rPr>
      </w:pPr>
      <w:r w:rsidRPr="00273381">
        <w:rPr>
          <w:rFonts w:asciiTheme="majorHAnsi" w:hAnsiTheme="majorHAnsi"/>
          <w:bCs/>
          <w:sz w:val="20"/>
          <w:szCs w:val="20"/>
          <w:lang w:val="es-ES"/>
        </w:rPr>
        <w:t>Señala que el 11 de abril de 2001 la Alcaldía emitió una circular en la que dispuso que “cuando los servidores públicos que ocupan los cargos suprimidos se encuentran bajo situaciones jurídicas que hagan imposible su retiro efectivo del servicio, este se producirá cuando cesen los efectos de tales situaciones”, así como que “</w:t>
      </w:r>
      <w:r>
        <w:rPr>
          <w:rFonts w:asciiTheme="majorHAnsi" w:hAnsiTheme="majorHAnsi"/>
          <w:bCs/>
          <w:sz w:val="20"/>
          <w:szCs w:val="20"/>
          <w:lang w:val="es-ES"/>
        </w:rPr>
        <w:t>d</w:t>
      </w:r>
      <w:r w:rsidRPr="00273381">
        <w:rPr>
          <w:rFonts w:asciiTheme="majorHAnsi" w:hAnsiTheme="majorHAnsi"/>
          <w:bCs/>
          <w:sz w:val="20"/>
          <w:szCs w:val="20"/>
          <w:lang w:val="es-ES"/>
        </w:rPr>
        <w:t>entro de las situaciones jurídicas que imposibilitan el retiro del servicio, una vez suprimido el cargo, se encuentran las derivadas de las protecciones constitucionales, legales y jurisprudenciales al derecho de asociación”. Sostiene que estas disposiciones no implican que se haya respetado el fuero sindical porque la Alcaldía no podía, a su propia conveniencia, sustituir su obligación de acudir al juez laboral de forma previa a la supresión de los cargos de personas aforadas con el pago de meses de salario. Denuncia además que la referida circular fue solo aplicada a algunos dirigentes. Añade que las personas afectadas acudieron a la justicia laboral</w:t>
      </w:r>
      <w:r>
        <w:rPr>
          <w:rFonts w:asciiTheme="majorHAnsi" w:hAnsiTheme="majorHAnsi"/>
          <w:bCs/>
          <w:sz w:val="20"/>
          <w:szCs w:val="20"/>
          <w:lang w:val="es-ES"/>
        </w:rPr>
        <w:t>,</w:t>
      </w:r>
      <w:r w:rsidRPr="00273381">
        <w:rPr>
          <w:rFonts w:asciiTheme="majorHAnsi" w:hAnsiTheme="majorHAnsi"/>
          <w:bCs/>
          <w:sz w:val="20"/>
          <w:szCs w:val="20"/>
          <w:lang w:val="es-ES"/>
        </w:rPr>
        <w:t xml:space="preserve"> </w:t>
      </w:r>
      <w:r>
        <w:rPr>
          <w:rFonts w:asciiTheme="majorHAnsi" w:hAnsiTheme="majorHAnsi"/>
          <w:bCs/>
          <w:sz w:val="20"/>
          <w:szCs w:val="20"/>
          <w:lang w:val="es-ES"/>
        </w:rPr>
        <w:t xml:space="preserve">pero que todos los </w:t>
      </w:r>
      <w:r w:rsidRPr="00273381">
        <w:rPr>
          <w:rFonts w:asciiTheme="majorHAnsi" w:hAnsiTheme="majorHAnsi"/>
          <w:bCs/>
          <w:sz w:val="20"/>
          <w:szCs w:val="20"/>
          <w:lang w:val="es-ES"/>
        </w:rPr>
        <w:t>proceso</w:t>
      </w:r>
      <w:r>
        <w:rPr>
          <w:rFonts w:asciiTheme="majorHAnsi" w:hAnsiTheme="majorHAnsi"/>
          <w:bCs/>
          <w:sz w:val="20"/>
          <w:szCs w:val="20"/>
          <w:lang w:val="es-ES"/>
        </w:rPr>
        <w:t>s</w:t>
      </w:r>
      <w:r w:rsidRPr="00273381">
        <w:rPr>
          <w:rFonts w:asciiTheme="majorHAnsi" w:hAnsiTheme="majorHAnsi"/>
          <w:bCs/>
          <w:sz w:val="20"/>
          <w:szCs w:val="20"/>
          <w:lang w:val="es-ES"/>
        </w:rPr>
        <w:t xml:space="preserve"> de reintegro</w:t>
      </w:r>
      <w:r>
        <w:rPr>
          <w:rFonts w:asciiTheme="majorHAnsi" w:hAnsiTheme="majorHAnsi"/>
          <w:bCs/>
          <w:sz w:val="20"/>
          <w:szCs w:val="20"/>
          <w:lang w:val="es-ES"/>
        </w:rPr>
        <w:t xml:space="preserve"> tuvieron decisiones adversas</w:t>
      </w:r>
      <w:r w:rsidRPr="00273381">
        <w:rPr>
          <w:rFonts w:asciiTheme="majorHAnsi" w:hAnsiTheme="majorHAnsi"/>
          <w:bCs/>
          <w:sz w:val="20"/>
          <w:szCs w:val="20"/>
          <w:lang w:val="es-ES"/>
        </w:rPr>
        <w:t xml:space="preserve"> </w:t>
      </w:r>
      <w:r>
        <w:rPr>
          <w:rFonts w:asciiTheme="majorHAnsi" w:hAnsiTheme="majorHAnsi"/>
          <w:bCs/>
          <w:sz w:val="20"/>
          <w:szCs w:val="20"/>
          <w:lang w:val="es-ES"/>
        </w:rPr>
        <w:t xml:space="preserve">a </w:t>
      </w:r>
      <w:r w:rsidRPr="00273381">
        <w:rPr>
          <w:rFonts w:asciiTheme="majorHAnsi" w:hAnsiTheme="majorHAnsi"/>
          <w:bCs/>
          <w:sz w:val="20"/>
          <w:szCs w:val="20"/>
          <w:lang w:val="es-ES"/>
        </w:rPr>
        <w:t>los trabajadores en primera y segunda instancia</w:t>
      </w:r>
      <w:r>
        <w:rPr>
          <w:rFonts w:asciiTheme="majorHAnsi" w:hAnsiTheme="majorHAnsi"/>
          <w:bCs/>
          <w:sz w:val="20"/>
          <w:szCs w:val="20"/>
          <w:lang w:val="es-ES"/>
        </w:rPr>
        <w:t>,</w:t>
      </w:r>
      <w:r w:rsidRPr="00273381">
        <w:rPr>
          <w:rFonts w:asciiTheme="majorHAnsi" w:hAnsiTheme="majorHAnsi"/>
          <w:bCs/>
          <w:sz w:val="20"/>
          <w:szCs w:val="20"/>
          <w:lang w:val="es-ES"/>
        </w:rPr>
        <w:t xml:space="preserve"> en contra </w:t>
      </w:r>
      <w:r>
        <w:rPr>
          <w:rFonts w:asciiTheme="majorHAnsi" w:hAnsiTheme="majorHAnsi"/>
          <w:bCs/>
          <w:sz w:val="20"/>
          <w:szCs w:val="20"/>
          <w:lang w:val="es-ES"/>
        </w:rPr>
        <w:t>de</w:t>
      </w:r>
      <w:r w:rsidRPr="00273381">
        <w:rPr>
          <w:rFonts w:asciiTheme="majorHAnsi" w:hAnsiTheme="majorHAnsi"/>
          <w:bCs/>
          <w:sz w:val="20"/>
          <w:szCs w:val="20"/>
          <w:lang w:val="es-ES"/>
        </w:rPr>
        <w:t xml:space="preserve"> los pronunciamientos de la Sala de Casación Laboral y la Corte Constitucional</w:t>
      </w:r>
      <w:r>
        <w:rPr>
          <w:rFonts w:asciiTheme="majorHAnsi" w:hAnsiTheme="majorHAnsi"/>
          <w:bCs/>
          <w:sz w:val="20"/>
          <w:szCs w:val="20"/>
          <w:lang w:val="es-ES"/>
        </w:rPr>
        <w:t>;</w:t>
      </w:r>
      <w:r w:rsidRPr="00273381">
        <w:rPr>
          <w:rFonts w:asciiTheme="majorHAnsi" w:hAnsiTheme="majorHAnsi"/>
          <w:bCs/>
          <w:sz w:val="20"/>
          <w:szCs w:val="20"/>
          <w:lang w:val="es-ES"/>
        </w:rPr>
        <w:t xml:space="preserve"> </w:t>
      </w:r>
      <w:r>
        <w:rPr>
          <w:rFonts w:asciiTheme="majorHAnsi" w:hAnsiTheme="majorHAnsi"/>
          <w:bCs/>
          <w:sz w:val="20"/>
          <w:szCs w:val="20"/>
          <w:lang w:val="es-ES"/>
        </w:rPr>
        <w:t>s</w:t>
      </w:r>
      <w:r w:rsidRPr="00273381">
        <w:rPr>
          <w:rFonts w:asciiTheme="majorHAnsi" w:hAnsiTheme="majorHAnsi"/>
          <w:bCs/>
          <w:sz w:val="20"/>
          <w:szCs w:val="20"/>
          <w:lang w:val="es-ES"/>
        </w:rPr>
        <w:t xml:space="preserve">ostiene que Colombia </w:t>
      </w:r>
      <w:r>
        <w:rPr>
          <w:rFonts w:asciiTheme="majorHAnsi" w:hAnsiTheme="majorHAnsi"/>
          <w:bCs/>
          <w:sz w:val="20"/>
          <w:szCs w:val="20"/>
          <w:lang w:val="es-ES"/>
        </w:rPr>
        <w:t>carece de</w:t>
      </w:r>
      <w:r w:rsidRPr="00273381">
        <w:rPr>
          <w:rFonts w:asciiTheme="majorHAnsi" w:hAnsiTheme="majorHAnsi"/>
          <w:bCs/>
          <w:sz w:val="20"/>
          <w:szCs w:val="20"/>
          <w:lang w:val="es-ES"/>
        </w:rPr>
        <w:t xml:space="preserve"> instrumentos legales para el control constitucional de </w:t>
      </w:r>
      <w:r>
        <w:rPr>
          <w:rFonts w:asciiTheme="majorHAnsi" w:hAnsiTheme="majorHAnsi"/>
          <w:bCs/>
          <w:sz w:val="20"/>
          <w:szCs w:val="20"/>
          <w:lang w:val="es-ES"/>
        </w:rPr>
        <w:t>tales</w:t>
      </w:r>
      <w:r w:rsidRPr="00273381">
        <w:rPr>
          <w:rFonts w:asciiTheme="majorHAnsi" w:hAnsiTheme="majorHAnsi"/>
          <w:bCs/>
          <w:sz w:val="20"/>
          <w:szCs w:val="20"/>
          <w:lang w:val="es-ES"/>
        </w:rPr>
        <w:t xml:space="preserve"> sentencias</w:t>
      </w:r>
      <w:r>
        <w:rPr>
          <w:rFonts w:asciiTheme="majorHAnsi" w:hAnsiTheme="majorHAnsi"/>
          <w:bCs/>
          <w:sz w:val="20"/>
          <w:szCs w:val="20"/>
          <w:lang w:val="es-ES"/>
        </w:rPr>
        <w:t>,</w:t>
      </w:r>
      <w:r w:rsidRPr="00273381">
        <w:rPr>
          <w:rFonts w:asciiTheme="majorHAnsi" w:hAnsiTheme="majorHAnsi"/>
          <w:bCs/>
          <w:sz w:val="20"/>
          <w:szCs w:val="20"/>
          <w:lang w:val="es-ES"/>
        </w:rPr>
        <w:t xml:space="preserve"> </w:t>
      </w:r>
      <w:r>
        <w:rPr>
          <w:rFonts w:asciiTheme="majorHAnsi" w:hAnsiTheme="majorHAnsi"/>
          <w:bCs/>
          <w:sz w:val="20"/>
          <w:szCs w:val="20"/>
          <w:lang w:val="es-ES"/>
        </w:rPr>
        <w:t xml:space="preserve"> La parte peticionaria a</w:t>
      </w:r>
      <w:r w:rsidRPr="00273381">
        <w:rPr>
          <w:rFonts w:asciiTheme="majorHAnsi" w:hAnsiTheme="majorHAnsi"/>
          <w:bCs/>
          <w:sz w:val="20"/>
          <w:szCs w:val="20"/>
          <w:lang w:val="es-ES"/>
        </w:rPr>
        <w:t xml:space="preserve">porta copia de algunas sentencias de la justicia laboral relativas a adherentes de SINTRAPASED en las que se observa que los tribunales consideraron que las personas demandantes no estaban amparadas por el fuero sindical por adhesión al momento de su desvinculación porque el decreto que suprimió sus cargos se emitió en fecha anterior a que </w:t>
      </w:r>
      <w:r>
        <w:rPr>
          <w:rFonts w:asciiTheme="majorHAnsi" w:hAnsiTheme="majorHAnsi"/>
          <w:bCs/>
          <w:sz w:val="20"/>
          <w:szCs w:val="20"/>
          <w:lang w:val="es-ES"/>
        </w:rPr>
        <w:t>dicho sindicato</w:t>
      </w:r>
      <w:r w:rsidRPr="00273381">
        <w:rPr>
          <w:rFonts w:asciiTheme="majorHAnsi" w:hAnsiTheme="majorHAnsi"/>
          <w:bCs/>
          <w:sz w:val="20"/>
          <w:szCs w:val="20"/>
          <w:lang w:val="es-ES"/>
        </w:rPr>
        <w:t xml:space="preserve"> notificara </w:t>
      </w:r>
      <w:r>
        <w:rPr>
          <w:rFonts w:asciiTheme="majorHAnsi" w:hAnsiTheme="majorHAnsi"/>
          <w:bCs/>
          <w:sz w:val="20"/>
          <w:szCs w:val="20"/>
          <w:lang w:val="es-ES"/>
        </w:rPr>
        <w:t xml:space="preserve">a </w:t>
      </w:r>
      <w:r w:rsidRPr="00273381">
        <w:rPr>
          <w:rFonts w:asciiTheme="majorHAnsi" w:hAnsiTheme="majorHAnsi"/>
          <w:bCs/>
          <w:sz w:val="20"/>
          <w:szCs w:val="20"/>
          <w:lang w:val="es-ES"/>
        </w:rPr>
        <w:t>la entidad demandada la inscripción de los socios adherentes a la fundación de</w:t>
      </w:r>
      <w:r>
        <w:rPr>
          <w:rFonts w:asciiTheme="majorHAnsi" w:hAnsiTheme="majorHAnsi"/>
          <w:bCs/>
          <w:sz w:val="20"/>
          <w:szCs w:val="20"/>
          <w:lang w:val="es-ES"/>
        </w:rPr>
        <w:t xml:space="preserve"> aquél</w:t>
      </w:r>
      <w:r w:rsidRPr="00273381">
        <w:rPr>
          <w:rFonts w:asciiTheme="majorHAnsi" w:hAnsiTheme="majorHAnsi"/>
          <w:bCs/>
          <w:sz w:val="20"/>
          <w:szCs w:val="20"/>
          <w:lang w:val="es-ES"/>
        </w:rPr>
        <w:t xml:space="preserve">. En estas sentencias también se observa que los tribunales rechazaron los argumentos presentados por las personas demandantes en el sentido de que el fuero les debía amparar por razón de que sus despidos no les habían sido todavía notificados individualmente al momento en que se afiliaron al sindicato. </w:t>
      </w:r>
    </w:p>
    <w:p w14:paraId="3DB1335C" w14:textId="771055A9" w:rsidR="00665D9B" w:rsidRPr="00273381" w:rsidRDefault="00665D9B" w:rsidP="00665D9B">
      <w:pPr>
        <w:numPr>
          <w:ilvl w:val="0"/>
          <w:numId w:val="55"/>
        </w:numPr>
        <w:suppressAutoHyphens/>
        <w:spacing w:after="120"/>
        <w:jc w:val="both"/>
        <w:rPr>
          <w:rFonts w:asciiTheme="majorHAnsi" w:hAnsiTheme="majorHAnsi"/>
          <w:bCs/>
          <w:sz w:val="20"/>
          <w:szCs w:val="20"/>
          <w:lang w:val="es-ES"/>
        </w:rPr>
      </w:pPr>
      <w:r>
        <w:rPr>
          <w:rFonts w:asciiTheme="majorHAnsi" w:hAnsiTheme="majorHAnsi"/>
          <w:bCs/>
          <w:sz w:val="20"/>
          <w:szCs w:val="20"/>
          <w:lang w:val="es-ES"/>
        </w:rPr>
        <w:t xml:space="preserve">La parte peticionaria alega asimismo </w:t>
      </w:r>
      <w:r w:rsidRPr="00273381">
        <w:rPr>
          <w:rFonts w:asciiTheme="majorHAnsi" w:hAnsiTheme="majorHAnsi"/>
          <w:bCs/>
          <w:sz w:val="20"/>
          <w:szCs w:val="20"/>
          <w:lang w:val="es-ES"/>
        </w:rPr>
        <w:t xml:space="preserve">que los dirigentes sindicales despedidos  </w:t>
      </w:r>
      <w:r>
        <w:rPr>
          <w:rFonts w:asciiTheme="majorHAnsi" w:hAnsiTheme="majorHAnsi"/>
          <w:bCs/>
          <w:sz w:val="20"/>
          <w:szCs w:val="20"/>
          <w:lang w:val="es-ES"/>
        </w:rPr>
        <w:t xml:space="preserve">plantearon una denuncia </w:t>
      </w:r>
      <w:r w:rsidRPr="00273381">
        <w:rPr>
          <w:rFonts w:asciiTheme="majorHAnsi" w:hAnsiTheme="majorHAnsi"/>
          <w:bCs/>
          <w:sz w:val="20"/>
          <w:szCs w:val="20"/>
          <w:lang w:val="es-ES"/>
        </w:rPr>
        <w:t>la OIT</w:t>
      </w:r>
      <w:r>
        <w:rPr>
          <w:rFonts w:asciiTheme="majorHAnsi" w:hAnsiTheme="majorHAnsi"/>
          <w:bCs/>
          <w:sz w:val="20"/>
          <w:szCs w:val="20"/>
          <w:lang w:val="es-ES"/>
        </w:rPr>
        <w:t xml:space="preserve"> registrada bajo el número 2151.</w:t>
      </w:r>
      <w:r w:rsidRPr="00273381">
        <w:rPr>
          <w:rFonts w:asciiTheme="majorHAnsi" w:hAnsiTheme="majorHAnsi"/>
          <w:bCs/>
          <w:sz w:val="20"/>
          <w:szCs w:val="20"/>
          <w:lang w:val="es-ES"/>
        </w:rPr>
        <w:t xml:space="preserve"> </w:t>
      </w:r>
      <w:r>
        <w:rPr>
          <w:rFonts w:asciiTheme="majorHAnsi" w:hAnsiTheme="majorHAnsi"/>
          <w:bCs/>
          <w:sz w:val="20"/>
          <w:szCs w:val="20"/>
          <w:lang w:val="es-ES"/>
        </w:rPr>
        <w:t>El</w:t>
      </w:r>
      <w:r w:rsidRPr="00273381">
        <w:rPr>
          <w:rFonts w:asciiTheme="majorHAnsi" w:hAnsiTheme="majorHAnsi"/>
          <w:bCs/>
          <w:sz w:val="20"/>
          <w:szCs w:val="20"/>
          <w:lang w:val="es-ES"/>
        </w:rPr>
        <w:t xml:space="preserve"> 30 de marzo de 2003</w:t>
      </w:r>
      <w:r>
        <w:rPr>
          <w:rFonts w:asciiTheme="majorHAnsi" w:hAnsiTheme="majorHAnsi"/>
          <w:bCs/>
          <w:sz w:val="20"/>
          <w:szCs w:val="20"/>
          <w:lang w:val="es-ES"/>
        </w:rPr>
        <w:t>,</w:t>
      </w:r>
      <w:r w:rsidRPr="00273381">
        <w:rPr>
          <w:rFonts w:asciiTheme="majorHAnsi" w:hAnsiTheme="majorHAnsi"/>
          <w:bCs/>
          <w:sz w:val="20"/>
          <w:szCs w:val="20"/>
          <w:lang w:val="es-ES"/>
        </w:rPr>
        <w:t xml:space="preserve"> el Consejo de Administración de la OIT emitió una recomendación al Estado Colombiano </w:t>
      </w:r>
      <w:r>
        <w:rPr>
          <w:rFonts w:asciiTheme="majorHAnsi" w:hAnsiTheme="majorHAnsi"/>
          <w:bCs/>
          <w:sz w:val="20"/>
          <w:szCs w:val="20"/>
          <w:lang w:val="es-ES"/>
        </w:rPr>
        <w:t xml:space="preserve">en la que lo instaba </w:t>
      </w:r>
      <w:r w:rsidRPr="00273381">
        <w:rPr>
          <w:rFonts w:asciiTheme="majorHAnsi" w:hAnsiTheme="majorHAnsi"/>
          <w:bCs/>
          <w:sz w:val="20"/>
          <w:szCs w:val="20"/>
          <w:lang w:val="es-ES"/>
        </w:rPr>
        <w:t xml:space="preserve">a “que investigue si en las entidades públicas implicadas en el presente caso se ha llevado a cabo el levantamiento judicial del fuero sindical de los dirigentes sindicales (obligatorio en la legislación) y, si no es el caso, que tome medidas para reintegrarlos en sus puestos de trabajo sin pérdida de salarios y, si ello no fuera posible, indemnizarlos de manera completa”. Indica que las presuntas víctimas ejercieron su derecho de petición para solicitar a la Alcaldía que cumpliera con lo recomendado por la OIT, </w:t>
      </w:r>
      <w:r>
        <w:rPr>
          <w:rFonts w:asciiTheme="majorHAnsi" w:hAnsiTheme="majorHAnsi"/>
          <w:bCs/>
          <w:sz w:val="20"/>
          <w:szCs w:val="20"/>
          <w:lang w:val="es-ES"/>
        </w:rPr>
        <w:t>pero que aquella</w:t>
      </w:r>
      <w:r w:rsidRPr="00273381">
        <w:rPr>
          <w:rFonts w:asciiTheme="majorHAnsi" w:hAnsiTheme="majorHAnsi"/>
          <w:bCs/>
          <w:sz w:val="20"/>
          <w:szCs w:val="20"/>
          <w:lang w:val="es-ES"/>
        </w:rPr>
        <w:t xml:space="preserve"> se rehusó </w:t>
      </w:r>
      <w:r>
        <w:rPr>
          <w:rFonts w:asciiTheme="majorHAnsi" w:hAnsiTheme="majorHAnsi"/>
          <w:bCs/>
          <w:sz w:val="20"/>
          <w:szCs w:val="20"/>
          <w:lang w:val="es-ES"/>
        </w:rPr>
        <w:t xml:space="preserve">por considerar </w:t>
      </w:r>
      <w:r w:rsidRPr="00273381">
        <w:rPr>
          <w:rFonts w:asciiTheme="majorHAnsi" w:hAnsiTheme="majorHAnsi"/>
          <w:bCs/>
          <w:sz w:val="20"/>
          <w:szCs w:val="20"/>
          <w:lang w:val="es-ES"/>
        </w:rPr>
        <w:t xml:space="preserve">que los pronunciamientos de la OIT “no poseen entidad jurídica suficiente para ser catalogados como mandatos legales ni judiciales y mucho menos como fuente de derecho”.  Alega </w:t>
      </w:r>
      <w:r w:rsidR="00E847C9" w:rsidRPr="00273381">
        <w:rPr>
          <w:rFonts w:asciiTheme="majorHAnsi" w:hAnsiTheme="majorHAnsi"/>
          <w:bCs/>
          <w:sz w:val="20"/>
          <w:szCs w:val="20"/>
          <w:lang w:val="es-ES"/>
        </w:rPr>
        <w:t>que la</w:t>
      </w:r>
      <w:r w:rsidRPr="00273381">
        <w:rPr>
          <w:rFonts w:asciiTheme="majorHAnsi" w:hAnsiTheme="majorHAnsi"/>
          <w:bCs/>
          <w:sz w:val="20"/>
          <w:szCs w:val="20"/>
          <w:lang w:val="es-ES"/>
        </w:rPr>
        <w:t xml:space="preserve"> Alcaldía desconoció el precedente constitucional emitido el 10 de agosto de 1999 por el cual “las recomendaciones de los órganos de control y vigilancia de la OIT, no pueden ser ignoradas: cuando resultan de actuaciones del Estado contrarias a los tratados internacionales aludidos en el artículo 93 superior, aunque no sean vinculantes directamente, generan una triple obligación en cabeza de los Estados: deben 1)</w:t>
      </w:r>
      <w:r w:rsidR="00E847C9">
        <w:rPr>
          <w:rFonts w:asciiTheme="majorHAnsi" w:hAnsiTheme="majorHAnsi"/>
          <w:bCs/>
          <w:sz w:val="20"/>
          <w:szCs w:val="20"/>
          <w:lang w:val="es-ES"/>
        </w:rPr>
        <w:t xml:space="preserve"> </w:t>
      </w:r>
      <w:r w:rsidRPr="00273381">
        <w:rPr>
          <w:rFonts w:asciiTheme="majorHAnsi" w:hAnsiTheme="majorHAnsi"/>
          <w:bCs/>
          <w:sz w:val="20"/>
          <w:szCs w:val="20"/>
          <w:lang w:val="es-ES"/>
        </w:rPr>
        <w:t xml:space="preserve">ser acogidas y aplicadas por las autoridades administrativas…”. </w:t>
      </w:r>
    </w:p>
    <w:p w14:paraId="3290461C" w14:textId="77777777" w:rsidR="00E847C9" w:rsidRPr="00273381" w:rsidRDefault="00E847C9" w:rsidP="00E847C9">
      <w:pPr>
        <w:numPr>
          <w:ilvl w:val="0"/>
          <w:numId w:val="55"/>
        </w:numPr>
        <w:suppressAutoHyphens/>
        <w:spacing w:after="120"/>
        <w:jc w:val="both"/>
        <w:rPr>
          <w:rFonts w:asciiTheme="majorHAnsi" w:hAnsiTheme="majorHAnsi"/>
          <w:bCs/>
          <w:sz w:val="20"/>
          <w:szCs w:val="20"/>
          <w:lang w:val="es-ES"/>
        </w:rPr>
      </w:pPr>
      <w:r>
        <w:rPr>
          <w:rFonts w:asciiTheme="majorHAnsi" w:hAnsiTheme="majorHAnsi"/>
          <w:bCs/>
          <w:sz w:val="20"/>
          <w:szCs w:val="20"/>
          <w:lang w:val="es-ES"/>
        </w:rPr>
        <w:t xml:space="preserve">Con fundamento </w:t>
      </w:r>
      <w:r w:rsidRPr="00273381">
        <w:rPr>
          <w:rFonts w:asciiTheme="majorHAnsi" w:hAnsiTheme="majorHAnsi"/>
          <w:bCs/>
          <w:sz w:val="20"/>
          <w:szCs w:val="20"/>
          <w:lang w:val="es-ES"/>
        </w:rPr>
        <w:t xml:space="preserve">en el </w:t>
      </w:r>
      <w:r>
        <w:rPr>
          <w:rFonts w:asciiTheme="majorHAnsi" w:hAnsiTheme="majorHAnsi"/>
          <w:bCs/>
          <w:sz w:val="20"/>
          <w:szCs w:val="20"/>
          <w:lang w:val="es-ES"/>
        </w:rPr>
        <w:t xml:space="preserve">referido </w:t>
      </w:r>
      <w:r w:rsidRPr="00273381">
        <w:rPr>
          <w:rFonts w:asciiTheme="majorHAnsi" w:hAnsiTheme="majorHAnsi"/>
          <w:bCs/>
          <w:sz w:val="20"/>
          <w:szCs w:val="20"/>
          <w:lang w:val="es-ES"/>
        </w:rPr>
        <w:t xml:space="preserve">precedente constitucional, </w:t>
      </w:r>
      <w:r>
        <w:rPr>
          <w:rFonts w:asciiTheme="majorHAnsi" w:hAnsiTheme="majorHAnsi"/>
          <w:bCs/>
          <w:sz w:val="20"/>
          <w:szCs w:val="20"/>
          <w:lang w:val="es-ES"/>
        </w:rPr>
        <w:t xml:space="preserve">unas cien personas </w:t>
      </w:r>
      <w:r w:rsidRPr="00273381">
        <w:rPr>
          <w:rFonts w:asciiTheme="majorHAnsi" w:hAnsiTheme="majorHAnsi"/>
          <w:bCs/>
          <w:sz w:val="20"/>
          <w:szCs w:val="20"/>
          <w:lang w:val="es-ES"/>
        </w:rPr>
        <w:t>interpusieron acciones de tutela para lograr el cumplimiento de la recomendación hecha por la OIT</w:t>
      </w:r>
      <w:r>
        <w:rPr>
          <w:rFonts w:asciiTheme="majorHAnsi" w:hAnsiTheme="majorHAnsi"/>
          <w:bCs/>
          <w:sz w:val="20"/>
          <w:szCs w:val="20"/>
          <w:lang w:val="es-ES"/>
        </w:rPr>
        <w:t>.</w:t>
      </w:r>
      <w:r w:rsidRPr="00273381">
        <w:rPr>
          <w:rFonts w:asciiTheme="majorHAnsi" w:hAnsiTheme="majorHAnsi"/>
          <w:bCs/>
          <w:sz w:val="20"/>
          <w:szCs w:val="20"/>
          <w:lang w:val="es-ES"/>
        </w:rPr>
        <w:t xml:space="preserve"> </w:t>
      </w:r>
      <w:r w:rsidRPr="008F1899">
        <w:rPr>
          <w:rFonts w:asciiTheme="majorHAnsi" w:hAnsiTheme="majorHAnsi"/>
          <w:bCs/>
          <w:sz w:val="20"/>
          <w:szCs w:val="20"/>
          <w:lang w:val="es-ES"/>
        </w:rPr>
        <w:t>El Juzgado 22 de Circuito de Bogotá ordenó el reintegro de cuatro personas</w:t>
      </w:r>
      <w:r w:rsidRPr="00273381">
        <w:rPr>
          <w:rFonts w:asciiTheme="majorHAnsi" w:hAnsiTheme="majorHAnsi"/>
          <w:bCs/>
          <w:sz w:val="20"/>
          <w:szCs w:val="20"/>
          <w:lang w:val="es-ES"/>
        </w:rPr>
        <w:t xml:space="preserve"> que habían sido destituidas sin previa autorización judicial </w:t>
      </w:r>
      <w:r>
        <w:rPr>
          <w:rFonts w:asciiTheme="majorHAnsi" w:hAnsiTheme="majorHAnsi"/>
          <w:bCs/>
          <w:sz w:val="20"/>
          <w:szCs w:val="20"/>
          <w:lang w:val="es-ES"/>
        </w:rPr>
        <w:lastRenderedPageBreak/>
        <w:t xml:space="preserve">que </w:t>
      </w:r>
      <w:r w:rsidRPr="00273381">
        <w:rPr>
          <w:rFonts w:asciiTheme="majorHAnsi" w:hAnsiTheme="majorHAnsi"/>
          <w:bCs/>
          <w:sz w:val="20"/>
          <w:szCs w:val="20"/>
          <w:lang w:val="es-ES"/>
        </w:rPr>
        <w:t>esta</w:t>
      </w:r>
      <w:r>
        <w:rPr>
          <w:rFonts w:asciiTheme="majorHAnsi" w:hAnsiTheme="majorHAnsi"/>
          <w:bCs/>
          <w:sz w:val="20"/>
          <w:szCs w:val="20"/>
          <w:lang w:val="es-ES"/>
        </w:rPr>
        <w:t>ban</w:t>
      </w:r>
      <w:r w:rsidRPr="00273381">
        <w:rPr>
          <w:rFonts w:asciiTheme="majorHAnsi" w:hAnsiTheme="majorHAnsi"/>
          <w:bCs/>
          <w:sz w:val="20"/>
          <w:szCs w:val="20"/>
          <w:lang w:val="es-ES"/>
        </w:rPr>
        <w:t xml:space="preserve"> amparadas por fuero en su condición de fundadores o adherentes de SINTRAPASED. </w:t>
      </w:r>
      <w:r>
        <w:rPr>
          <w:rFonts w:asciiTheme="majorHAnsi" w:hAnsiTheme="majorHAnsi"/>
          <w:bCs/>
          <w:sz w:val="20"/>
          <w:szCs w:val="20"/>
          <w:lang w:val="es-ES"/>
        </w:rPr>
        <w:t xml:space="preserve">Según la parte peticionaria, </w:t>
      </w:r>
      <w:r w:rsidRPr="00273381">
        <w:rPr>
          <w:rFonts w:asciiTheme="majorHAnsi" w:hAnsiTheme="majorHAnsi"/>
          <w:bCs/>
          <w:sz w:val="20"/>
          <w:szCs w:val="20"/>
          <w:lang w:val="es-ES"/>
        </w:rPr>
        <w:t>la Alcaldía buscó castigar a estas cuatro personas por haber obtenido una sentencia favorable</w:t>
      </w:r>
      <w:r>
        <w:rPr>
          <w:rFonts w:asciiTheme="majorHAnsi" w:hAnsiTheme="majorHAnsi"/>
          <w:bCs/>
          <w:sz w:val="20"/>
          <w:szCs w:val="20"/>
          <w:lang w:val="es-ES"/>
        </w:rPr>
        <w:t>,</w:t>
      </w:r>
      <w:r w:rsidRPr="00273381">
        <w:rPr>
          <w:rFonts w:asciiTheme="majorHAnsi" w:hAnsiTheme="majorHAnsi"/>
          <w:bCs/>
          <w:sz w:val="20"/>
          <w:szCs w:val="20"/>
          <w:lang w:val="es-ES"/>
        </w:rPr>
        <w:t xml:space="preserve"> </w:t>
      </w:r>
      <w:r>
        <w:rPr>
          <w:rFonts w:asciiTheme="majorHAnsi" w:hAnsiTheme="majorHAnsi"/>
          <w:bCs/>
          <w:sz w:val="20"/>
          <w:szCs w:val="20"/>
          <w:lang w:val="es-ES"/>
        </w:rPr>
        <w:t xml:space="preserve">por lo que les </w:t>
      </w:r>
      <w:r w:rsidRPr="00273381">
        <w:rPr>
          <w:rFonts w:asciiTheme="majorHAnsi" w:hAnsiTheme="majorHAnsi"/>
          <w:bCs/>
          <w:sz w:val="20"/>
          <w:szCs w:val="20"/>
          <w:lang w:val="es-ES"/>
        </w:rPr>
        <w:t>persigui</w:t>
      </w:r>
      <w:r>
        <w:rPr>
          <w:rFonts w:asciiTheme="majorHAnsi" w:hAnsiTheme="majorHAnsi"/>
          <w:bCs/>
          <w:sz w:val="20"/>
          <w:szCs w:val="20"/>
          <w:lang w:val="es-ES"/>
        </w:rPr>
        <w:t>ó</w:t>
      </w:r>
      <w:r w:rsidRPr="00273381">
        <w:rPr>
          <w:rFonts w:asciiTheme="majorHAnsi" w:hAnsiTheme="majorHAnsi"/>
          <w:bCs/>
          <w:sz w:val="20"/>
          <w:szCs w:val="20"/>
          <w:lang w:val="es-ES"/>
        </w:rPr>
        <w:t xml:space="preserve"> penalmente </w:t>
      </w:r>
      <w:r>
        <w:rPr>
          <w:rFonts w:asciiTheme="majorHAnsi" w:hAnsiTheme="majorHAnsi"/>
          <w:bCs/>
          <w:sz w:val="20"/>
          <w:szCs w:val="20"/>
          <w:lang w:val="es-ES"/>
        </w:rPr>
        <w:t xml:space="preserve">con la acusación </w:t>
      </w:r>
      <w:r w:rsidRPr="00273381">
        <w:rPr>
          <w:rFonts w:asciiTheme="majorHAnsi" w:hAnsiTheme="majorHAnsi"/>
          <w:bCs/>
          <w:sz w:val="20"/>
          <w:szCs w:val="20"/>
          <w:lang w:val="es-ES"/>
        </w:rPr>
        <w:t>de fraude procesal</w:t>
      </w:r>
      <w:r>
        <w:rPr>
          <w:rFonts w:asciiTheme="majorHAnsi" w:hAnsiTheme="majorHAnsi"/>
          <w:bCs/>
          <w:sz w:val="20"/>
          <w:szCs w:val="20"/>
          <w:lang w:val="es-ES"/>
        </w:rPr>
        <w:t>;</w:t>
      </w:r>
      <w:r w:rsidRPr="00273381">
        <w:rPr>
          <w:rFonts w:asciiTheme="majorHAnsi" w:hAnsiTheme="majorHAnsi"/>
          <w:bCs/>
          <w:sz w:val="20"/>
          <w:szCs w:val="20"/>
          <w:lang w:val="es-ES"/>
        </w:rPr>
        <w:t xml:space="preserve"> </w:t>
      </w:r>
      <w:r>
        <w:rPr>
          <w:rFonts w:asciiTheme="majorHAnsi" w:hAnsiTheme="majorHAnsi"/>
          <w:bCs/>
          <w:sz w:val="20"/>
          <w:szCs w:val="20"/>
          <w:lang w:val="es-ES"/>
        </w:rPr>
        <w:t xml:space="preserve">con tal motivo, sostiene que </w:t>
      </w:r>
      <w:r w:rsidRPr="00273381">
        <w:rPr>
          <w:rFonts w:asciiTheme="majorHAnsi" w:hAnsiTheme="majorHAnsi"/>
          <w:bCs/>
          <w:sz w:val="20"/>
          <w:szCs w:val="20"/>
          <w:lang w:val="es-ES"/>
        </w:rPr>
        <w:t>las presuntas víctimas sintier</w:t>
      </w:r>
      <w:r>
        <w:rPr>
          <w:rFonts w:asciiTheme="majorHAnsi" w:hAnsiTheme="majorHAnsi"/>
          <w:bCs/>
          <w:sz w:val="20"/>
          <w:szCs w:val="20"/>
          <w:lang w:val="es-ES"/>
        </w:rPr>
        <w:t>on</w:t>
      </w:r>
      <w:r w:rsidRPr="00273381">
        <w:rPr>
          <w:rFonts w:asciiTheme="majorHAnsi" w:hAnsiTheme="majorHAnsi"/>
          <w:bCs/>
          <w:sz w:val="20"/>
          <w:szCs w:val="20"/>
          <w:lang w:val="es-ES"/>
        </w:rPr>
        <w:t xml:space="preserve"> temor de ser denunciadas penalmente de continuar litigando. </w:t>
      </w:r>
    </w:p>
    <w:p w14:paraId="36D2689E" w14:textId="77DF234D" w:rsidR="00665D9B" w:rsidRPr="00273381" w:rsidRDefault="00665D9B" w:rsidP="00665D9B">
      <w:pPr>
        <w:numPr>
          <w:ilvl w:val="0"/>
          <w:numId w:val="55"/>
        </w:numPr>
        <w:suppressAutoHyphens/>
        <w:spacing w:after="120"/>
        <w:jc w:val="both"/>
        <w:rPr>
          <w:rFonts w:asciiTheme="majorHAnsi" w:hAnsiTheme="majorHAnsi"/>
          <w:bCs/>
          <w:sz w:val="20"/>
          <w:szCs w:val="20"/>
          <w:lang w:val="es-ES"/>
        </w:rPr>
      </w:pPr>
      <w:r w:rsidRPr="00273381">
        <w:rPr>
          <w:rFonts w:asciiTheme="majorHAnsi" w:hAnsiTheme="majorHAnsi"/>
          <w:bCs/>
          <w:sz w:val="20"/>
          <w:szCs w:val="20"/>
          <w:lang w:val="es-ES"/>
        </w:rPr>
        <w:t>Indica que tras proferirse el fallo del juez 22</w:t>
      </w:r>
      <w:r>
        <w:rPr>
          <w:rFonts w:asciiTheme="majorHAnsi" w:hAnsiTheme="majorHAnsi"/>
          <w:bCs/>
          <w:sz w:val="20"/>
          <w:szCs w:val="20"/>
          <w:lang w:val="es-ES"/>
        </w:rPr>
        <w:t>,</w:t>
      </w:r>
      <w:r w:rsidRPr="00273381">
        <w:rPr>
          <w:rFonts w:asciiTheme="majorHAnsi" w:hAnsiTheme="majorHAnsi"/>
          <w:bCs/>
          <w:sz w:val="20"/>
          <w:szCs w:val="20"/>
          <w:lang w:val="es-ES"/>
        </w:rPr>
        <w:t xml:space="preserve"> las presuntas víctimas se presentaron nuevamente ante el juez constitucional para solicitar que los efectos de la sentencia que ordenó los cuatro reintegros se hicieran extensivos de forma “inter-comunis”</w:t>
      </w:r>
      <w:r>
        <w:rPr>
          <w:rFonts w:asciiTheme="majorHAnsi" w:hAnsiTheme="majorHAnsi"/>
          <w:bCs/>
          <w:sz w:val="20"/>
          <w:szCs w:val="20"/>
          <w:lang w:val="es-ES"/>
        </w:rPr>
        <w:t>,</w:t>
      </w:r>
      <w:r w:rsidRPr="00273381">
        <w:rPr>
          <w:rFonts w:asciiTheme="majorHAnsi" w:hAnsiTheme="majorHAnsi"/>
          <w:bCs/>
          <w:sz w:val="20"/>
          <w:szCs w:val="20"/>
          <w:lang w:val="es-ES"/>
        </w:rPr>
        <w:t xml:space="preserve"> pues sería violatorio del derecho a la igualdad ante la ley no conceder el mismo reintegro a las </w:t>
      </w:r>
      <w:r>
        <w:rPr>
          <w:rFonts w:asciiTheme="majorHAnsi" w:hAnsiTheme="majorHAnsi"/>
          <w:bCs/>
          <w:sz w:val="20"/>
          <w:szCs w:val="20"/>
          <w:lang w:val="es-ES"/>
        </w:rPr>
        <w:t>demás</w:t>
      </w:r>
      <w:r w:rsidRPr="00273381">
        <w:rPr>
          <w:rFonts w:asciiTheme="majorHAnsi" w:hAnsiTheme="majorHAnsi"/>
          <w:bCs/>
          <w:sz w:val="20"/>
          <w:szCs w:val="20"/>
          <w:lang w:val="es-ES"/>
        </w:rPr>
        <w:t xml:space="preserve"> personas cuyas relaciones laborales fueron terminadas en idénticas circunstancias. Señala que todas las tutelas fueron negadas en primera </w:t>
      </w:r>
      <w:r>
        <w:rPr>
          <w:rFonts w:asciiTheme="majorHAnsi" w:hAnsiTheme="majorHAnsi"/>
          <w:bCs/>
          <w:sz w:val="20"/>
          <w:szCs w:val="20"/>
          <w:lang w:val="es-ES"/>
        </w:rPr>
        <w:t xml:space="preserve">y </w:t>
      </w:r>
      <w:r w:rsidRPr="00273381">
        <w:rPr>
          <w:rFonts w:asciiTheme="majorHAnsi" w:hAnsiTheme="majorHAnsi"/>
          <w:bCs/>
          <w:sz w:val="20"/>
          <w:szCs w:val="20"/>
          <w:lang w:val="es-ES"/>
        </w:rPr>
        <w:t>segunda instancia</w:t>
      </w:r>
      <w:r>
        <w:rPr>
          <w:rFonts w:asciiTheme="majorHAnsi" w:hAnsiTheme="majorHAnsi"/>
          <w:bCs/>
          <w:sz w:val="20"/>
          <w:szCs w:val="20"/>
          <w:lang w:val="es-ES"/>
        </w:rPr>
        <w:t>,</w:t>
      </w:r>
      <w:r w:rsidRPr="00273381">
        <w:rPr>
          <w:rFonts w:asciiTheme="majorHAnsi" w:hAnsiTheme="majorHAnsi"/>
          <w:bCs/>
          <w:sz w:val="20"/>
          <w:szCs w:val="20"/>
          <w:lang w:val="es-ES"/>
        </w:rPr>
        <w:t xml:space="preserve"> y </w:t>
      </w:r>
      <w:r>
        <w:rPr>
          <w:rFonts w:asciiTheme="majorHAnsi" w:hAnsiTheme="majorHAnsi"/>
          <w:bCs/>
          <w:sz w:val="20"/>
          <w:szCs w:val="20"/>
          <w:lang w:val="es-ES"/>
        </w:rPr>
        <w:t xml:space="preserve">en </w:t>
      </w:r>
      <w:r w:rsidRPr="00273381">
        <w:rPr>
          <w:rFonts w:asciiTheme="majorHAnsi" w:hAnsiTheme="majorHAnsi"/>
          <w:bCs/>
          <w:sz w:val="20"/>
          <w:szCs w:val="20"/>
          <w:lang w:val="es-ES"/>
        </w:rPr>
        <w:t>sede de revisión en la Corte Constitucional</w:t>
      </w:r>
      <w:r>
        <w:rPr>
          <w:rFonts w:asciiTheme="majorHAnsi" w:hAnsiTheme="majorHAnsi"/>
          <w:bCs/>
          <w:sz w:val="20"/>
          <w:szCs w:val="20"/>
          <w:lang w:val="es-ES"/>
        </w:rPr>
        <w:t>;</w:t>
      </w:r>
      <w:r w:rsidRPr="00273381">
        <w:rPr>
          <w:rFonts w:asciiTheme="majorHAnsi" w:hAnsiTheme="majorHAnsi"/>
          <w:bCs/>
          <w:sz w:val="20"/>
          <w:szCs w:val="20"/>
          <w:lang w:val="es-ES"/>
        </w:rPr>
        <w:t xml:space="preserve"> su archivo </w:t>
      </w:r>
      <w:r>
        <w:rPr>
          <w:rFonts w:asciiTheme="majorHAnsi" w:hAnsiTheme="majorHAnsi"/>
          <w:bCs/>
          <w:sz w:val="20"/>
          <w:szCs w:val="20"/>
          <w:lang w:val="es-ES"/>
        </w:rPr>
        <w:t xml:space="preserve">fue decretado </w:t>
      </w:r>
      <w:r w:rsidRPr="00273381">
        <w:rPr>
          <w:rFonts w:asciiTheme="majorHAnsi" w:hAnsiTheme="majorHAnsi"/>
          <w:bCs/>
          <w:sz w:val="20"/>
          <w:szCs w:val="20"/>
          <w:lang w:val="es-ES"/>
        </w:rPr>
        <w:t>en septiembre, octubre y noviembre de 2006</w:t>
      </w:r>
      <w:r>
        <w:rPr>
          <w:rFonts w:asciiTheme="majorHAnsi" w:hAnsiTheme="majorHAnsi"/>
          <w:bCs/>
          <w:sz w:val="20"/>
          <w:szCs w:val="20"/>
          <w:lang w:val="es-ES"/>
        </w:rPr>
        <w:t>, respectivamente</w:t>
      </w:r>
      <w:r w:rsidRPr="00273381">
        <w:rPr>
          <w:rFonts w:asciiTheme="majorHAnsi" w:hAnsiTheme="majorHAnsi"/>
          <w:bCs/>
          <w:sz w:val="20"/>
          <w:szCs w:val="20"/>
          <w:lang w:val="es-ES"/>
        </w:rPr>
        <w:t xml:space="preserve">. </w:t>
      </w:r>
      <w:r>
        <w:rPr>
          <w:rFonts w:asciiTheme="majorHAnsi" w:hAnsiTheme="majorHAnsi"/>
          <w:bCs/>
          <w:sz w:val="20"/>
          <w:szCs w:val="20"/>
          <w:lang w:val="es-ES"/>
        </w:rPr>
        <w:t>La parte peticionaria a</w:t>
      </w:r>
      <w:r w:rsidRPr="00273381">
        <w:rPr>
          <w:rFonts w:asciiTheme="majorHAnsi" w:hAnsiTheme="majorHAnsi"/>
          <w:bCs/>
          <w:sz w:val="20"/>
          <w:szCs w:val="20"/>
          <w:lang w:val="es-ES"/>
        </w:rPr>
        <w:t xml:space="preserve">porta </w:t>
      </w:r>
      <w:r>
        <w:rPr>
          <w:rFonts w:asciiTheme="majorHAnsi" w:hAnsiTheme="majorHAnsi"/>
          <w:bCs/>
          <w:sz w:val="20"/>
          <w:szCs w:val="20"/>
          <w:lang w:val="es-ES"/>
        </w:rPr>
        <w:t xml:space="preserve">varias </w:t>
      </w:r>
      <w:r w:rsidRPr="00273381">
        <w:rPr>
          <w:rFonts w:asciiTheme="majorHAnsi" w:hAnsiTheme="majorHAnsi"/>
          <w:bCs/>
          <w:sz w:val="20"/>
          <w:szCs w:val="20"/>
          <w:lang w:val="es-ES"/>
        </w:rPr>
        <w:t xml:space="preserve">sentencias en las que se observa que los tribunales rechazaron las acciones por razones tales como que el efecto “inter-comunis” </w:t>
      </w:r>
      <w:r>
        <w:rPr>
          <w:rFonts w:asciiTheme="majorHAnsi" w:hAnsiTheme="majorHAnsi"/>
          <w:bCs/>
          <w:sz w:val="20"/>
          <w:szCs w:val="20"/>
          <w:lang w:val="es-ES"/>
        </w:rPr>
        <w:t xml:space="preserve">sólo </w:t>
      </w:r>
      <w:r w:rsidRPr="00273381">
        <w:rPr>
          <w:rFonts w:asciiTheme="majorHAnsi" w:hAnsiTheme="majorHAnsi"/>
          <w:bCs/>
          <w:sz w:val="20"/>
          <w:szCs w:val="20"/>
          <w:lang w:val="es-ES"/>
        </w:rPr>
        <w:t>podía ser concedido por la Corte Constitucional en sus sentencias de revisión</w:t>
      </w:r>
      <w:r>
        <w:rPr>
          <w:rFonts w:asciiTheme="majorHAnsi" w:hAnsiTheme="majorHAnsi"/>
          <w:bCs/>
          <w:sz w:val="20"/>
          <w:szCs w:val="20"/>
          <w:lang w:val="es-ES"/>
        </w:rPr>
        <w:t>;</w:t>
      </w:r>
      <w:r w:rsidRPr="00273381">
        <w:rPr>
          <w:rFonts w:asciiTheme="majorHAnsi" w:hAnsiTheme="majorHAnsi"/>
          <w:bCs/>
          <w:sz w:val="20"/>
          <w:szCs w:val="20"/>
          <w:lang w:val="es-ES"/>
        </w:rPr>
        <w:t xml:space="preserve"> que lo</w:t>
      </w:r>
      <w:r w:rsidR="00BB1C31">
        <w:rPr>
          <w:rFonts w:asciiTheme="majorHAnsi" w:hAnsiTheme="majorHAnsi"/>
          <w:bCs/>
          <w:sz w:val="20"/>
          <w:szCs w:val="20"/>
          <w:lang w:val="es-ES"/>
        </w:rPr>
        <w:t>s demandantes no habían acreditado</w:t>
      </w:r>
      <w:r w:rsidRPr="00273381">
        <w:rPr>
          <w:rFonts w:asciiTheme="majorHAnsi" w:hAnsiTheme="majorHAnsi"/>
          <w:bCs/>
          <w:sz w:val="20"/>
          <w:szCs w:val="20"/>
          <w:lang w:val="es-ES"/>
        </w:rPr>
        <w:t xml:space="preserve"> haber agotado los mecanismos ordinarios previstos en el ordenamiento colombiano para reclamar por violaciones al fuero sindical</w:t>
      </w:r>
      <w:r>
        <w:rPr>
          <w:rFonts w:asciiTheme="majorHAnsi" w:hAnsiTheme="majorHAnsi"/>
          <w:bCs/>
          <w:sz w:val="20"/>
          <w:szCs w:val="20"/>
          <w:lang w:val="es-ES"/>
        </w:rPr>
        <w:t>;</w:t>
      </w:r>
      <w:r w:rsidRPr="00273381">
        <w:rPr>
          <w:rFonts w:asciiTheme="majorHAnsi" w:hAnsiTheme="majorHAnsi"/>
          <w:bCs/>
          <w:sz w:val="20"/>
          <w:szCs w:val="20"/>
          <w:lang w:val="es-ES"/>
        </w:rPr>
        <w:t xml:space="preserve"> y que las acciones carecían de inmediatez por razón del tiempo transcurrido entre </w:t>
      </w:r>
      <w:r>
        <w:rPr>
          <w:rFonts w:asciiTheme="majorHAnsi" w:hAnsiTheme="majorHAnsi"/>
          <w:bCs/>
          <w:sz w:val="20"/>
          <w:szCs w:val="20"/>
          <w:lang w:val="es-ES"/>
        </w:rPr>
        <w:t>la</w:t>
      </w:r>
      <w:r w:rsidRPr="00273381">
        <w:rPr>
          <w:rFonts w:asciiTheme="majorHAnsi" w:hAnsiTheme="majorHAnsi"/>
          <w:bCs/>
          <w:sz w:val="20"/>
          <w:szCs w:val="20"/>
          <w:lang w:val="es-ES"/>
        </w:rPr>
        <w:t xml:space="preserve"> terminación de las relaciones laborales y </w:t>
      </w:r>
      <w:r>
        <w:rPr>
          <w:rFonts w:asciiTheme="majorHAnsi" w:hAnsiTheme="majorHAnsi"/>
          <w:bCs/>
          <w:sz w:val="20"/>
          <w:szCs w:val="20"/>
          <w:lang w:val="es-ES"/>
        </w:rPr>
        <w:t>la</w:t>
      </w:r>
      <w:r w:rsidRPr="00273381">
        <w:rPr>
          <w:rFonts w:asciiTheme="majorHAnsi" w:hAnsiTheme="majorHAnsi"/>
          <w:bCs/>
          <w:sz w:val="20"/>
          <w:szCs w:val="20"/>
          <w:lang w:val="es-ES"/>
        </w:rPr>
        <w:t xml:space="preserve"> presentación de las acciones de tutela.</w:t>
      </w:r>
    </w:p>
    <w:p w14:paraId="41044772" w14:textId="52A04AFD" w:rsidR="00665D9B" w:rsidRPr="00273381" w:rsidRDefault="00665D9B" w:rsidP="00665D9B">
      <w:pPr>
        <w:numPr>
          <w:ilvl w:val="0"/>
          <w:numId w:val="55"/>
        </w:numPr>
        <w:suppressAutoHyphens/>
        <w:spacing w:after="120"/>
        <w:jc w:val="both"/>
        <w:rPr>
          <w:rFonts w:asciiTheme="majorHAnsi" w:hAnsiTheme="majorHAnsi"/>
          <w:bCs/>
          <w:sz w:val="20"/>
          <w:szCs w:val="20"/>
          <w:lang w:val="es-ES"/>
        </w:rPr>
      </w:pPr>
      <w:r>
        <w:rPr>
          <w:rFonts w:asciiTheme="majorHAnsi" w:hAnsiTheme="majorHAnsi"/>
          <w:bCs/>
          <w:sz w:val="20"/>
          <w:szCs w:val="20"/>
          <w:lang w:val="es-ES"/>
        </w:rPr>
        <w:t>La parte peticionaria a</w:t>
      </w:r>
      <w:r w:rsidRPr="00273381">
        <w:rPr>
          <w:rFonts w:asciiTheme="majorHAnsi" w:hAnsiTheme="majorHAnsi"/>
          <w:bCs/>
          <w:sz w:val="20"/>
          <w:szCs w:val="20"/>
          <w:lang w:val="es-ES"/>
        </w:rPr>
        <w:t xml:space="preserve">grega que la Secretaría Distrital de Educación de Bogotá adelantó un proceso de levantamiento de fuero sindical contra las cuatro personas que habían sido reintegradas, </w:t>
      </w:r>
      <w:r w:rsidR="005408AF">
        <w:rPr>
          <w:rFonts w:asciiTheme="majorHAnsi" w:hAnsiTheme="majorHAnsi"/>
          <w:bCs/>
          <w:sz w:val="20"/>
          <w:szCs w:val="20"/>
          <w:lang w:val="es-ES"/>
        </w:rPr>
        <w:t xml:space="preserve">y </w:t>
      </w:r>
      <w:r w:rsidR="005408AF" w:rsidRPr="00273381">
        <w:rPr>
          <w:rFonts w:asciiTheme="majorHAnsi" w:hAnsiTheme="majorHAnsi"/>
          <w:bCs/>
          <w:sz w:val="20"/>
          <w:szCs w:val="20"/>
          <w:lang w:val="es-ES"/>
        </w:rPr>
        <w:t>que</w:t>
      </w:r>
      <w:r w:rsidRPr="00273381">
        <w:rPr>
          <w:rFonts w:asciiTheme="majorHAnsi" w:hAnsiTheme="majorHAnsi"/>
          <w:bCs/>
          <w:sz w:val="20"/>
          <w:szCs w:val="20"/>
          <w:lang w:val="es-ES"/>
        </w:rPr>
        <w:t xml:space="preserve"> el 19 de abril de 2010 se emiti</w:t>
      </w:r>
      <w:r>
        <w:rPr>
          <w:rFonts w:asciiTheme="majorHAnsi" w:hAnsiTheme="majorHAnsi"/>
          <w:bCs/>
          <w:sz w:val="20"/>
          <w:szCs w:val="20"/>
          <w:lang w:val="es-ES"/>
        </w:rPr>
        <w:t>ó una</w:t>
      </w:r>
      <w:r w:rsidRPr="00273381">
        <w:rPr>
          <w:rFonts w:asciiTheme="majorHAnsi" w:hAnsiTheme="majorHAnsi"/>
          <w:bCs/>
          <w:sz w:val="20"/>
          <w:szCs w:val="20"/>
          <w:lang w:val="es-ES"/>
        </w:rPr>
        <w:t xml:space="preserve"> sentencia contraria a las pretensiones de la Secretaría. Sin embargo, el 10 de noviembre de 2011 la Sala Laboral del Tribunal Superior de Bogotá determinó que estas personas </w:t>
      </w:r>
      <w:r>
        <w:rPr>
          <w:rFonts w:asciiTheme="majorHAnsi" w:hAnsiTheme="majorHAnsi"/>
          <w:bCs/>
          <w:sz w:val="20"/>
          <w:szCs w:val="20"/>
          <w:lang w:val="es-ES"/>
        </w:rPr>
        <w:t>sólo</w:t>
      </w:r>
      <w:r w:rsidRPr="00273381">
        <w:rPr>
          <w:rFonts w:asciiTheme="majorHAnsi" w:hAnsiTheme="majorHAnsi"/>
          <w:bCs/>
          <w:sz w:val="20"/>
          <w:szCs w:val="20"/>
          <w:lang w:val="es-ES"/>
        </w:rPr>
        <w:t xml:space="preserve"> gozaron </w:t>
      </w:r>
      <w:r>
        <w:rPr>
          <w:rFonts w:asciiTheme="majorHAnsi" w:hAnsiTheme="majorHAnsi"/>
          <w:bCs/>
          <w:sz w:val="20"/>
          <w:szCs w:val="20"/>
          <w:lang w:val="es-ES"/>
        </w:rPr>
        <w:t>de</w:t>
      </w:r>
      <w:r w:rsidRPr="00273381">
        <w:rPr>
          <w:rFonts w:asciiTheme="majorHAnsi" w:hAnsiTheme="majorHAnsi"/>
          <w:bCs/>
          <w:sz w:val="20"/>
          <w:szCs w:val="20"/>
          <w:lang w:val="es-ES"/>
        </w:rPr>
        <w:t xml:space="preserve"> fuero sindical hasta el 18 de agosto de 2001, por lo que no estaban amparadas por </w:t>
      </w:r>
      <w:r>
        <w:rPr>
          <w:rFonts w:asciiTheme="majorHAnsi" w:hAnsiTheme="majorHAnsi"/>
          <w:bCs/>
          <w:sz w:val="20"/>
          <w:szCs w:val="20"/>
          <w:lang w:val="es-ES"/>
        </w:rPr>
        <w:t xml:space="preserve">dicho </w:t>
      </w:r>
      <w:r w:rsidRPr="00273381">
        <w:rPr>
          <w:rFonts w:asciiTheme="majorHAnsi" w:hAnsiTheme="majorHAnsi"/>
          <w:bCs/>
          <w:sz w:val="20"/>
          <w:szCs w:val="20"/>
          <w:lang w:val="es-ES"/>
        </w:rPr>
        <w:t xml:space="preserve">fuero al momento de </w:t>
      </w:r>
      <w:r w:rsidR="005408AF">
        <w:rPr>
          <w:rFonts w:asciiTheme="majorHAnsi" w:hAnsiTheme="majorHAnsi"/>
          <w:bCs/>
          <w:sz w:val="20"/>
          <w:szCs w:val="20"/>
          <w:lang w:val="es-ES"/>
        </w:rPr>
        <w:t xml:space="preserve">dicha </w:t>
      </w:r>
      <w:r w:rsidR="005408AF" w:rsidRPr="00273381">
        <w:rPr>
          <w:rFonts w:asciiTheme="majorHAnsi" w:hAnsiTheme="majorHAnsi"/>
          <w:bCs/>
          <w:sz w:val="20"/>
          <w:szCs w:val="20"/>
          <w:lang w:val="es-ES"/>
        </w:rPr>
        <w:t>sentencia</w:t>
      </w:r>
      <w:r w:rsidRPr="00273381">
        <w:rPr>
          <w:rFonts w:asciiTheme="majorHAnsi" w:hAnsiTheme="majorHAnsi"/>
          <w:bCs/>
          <w:sz w:val="20"/>
          <w:szCs w:val="20"/>
          <w:lang w:val="es-ES"/>
        </w:rPr>
        <w:t>. También indica</w:t>
      </w:r>
      <w:r>
        <w:rPr>
          <w:rFonts w:asciiTheme="majorHAnsi" w:hAnsiTheme="majorHAnsi"/>
          <w:bCs/>
          <w:sz w:val="20"/>
          <w:szCs w:val="20"/>
          <w:lang w:val="es-ES"/>
        </w:rPr>
        <w:t xml:space="preserve"> la parte peticionaria </w:t>
      </w:r>
      <w:r w:rsidRPr="00273381">
        <w:rPr>
          <w:rFonts w:asciiTheme="majorHAnsi" w:hAnsiTheme="majorHAnsi"/>
          <w:bCs/>
          <w:sz w:val="20"/>
          <w:szCs w:val="20"/>
          <w:lang w:val="es-ES"/>
        </w:rPr>
        <w:t>que en el segundo semestre del 2014 el juzgado segundo penal de descongestión de Bogotá absolvió del supuesto delito de fraude procesal a las cuatro personas reintegradas.</w:t>
      </w:r>
    </w:p>
    <w:p w14:paraId="5C35B648" w14:textId="71732131" w:rsidR="00665D9B" w:rsidRPr="00273381" w:rsidRDefault="00665D9B" w:rsidP="00665D9B">
      <w:pPr>
        <w:numPr>
          <w:ilvl w:val="0"/>
          <w:numId w:val="55"/>
        </w:numPr>
        <w:suppressAutoHyphens/>
        <w:spacing w:after="120"/>
        <w:jc w:val="both"/>
        <w:rPr>
          <w:rFonts w:asciiTheme="majorHAnsi" w:hAnsiTheme="majorHAnsi"/>
          <w:bCs/>
          <w:sz w:val="20"/>
          <w:szCs w:val="20"/>
          <w:lang w:val="es-ES"/>
        </w:rPr>
      </w:pPr>
      <w:r w:rsidRPr="00273381">
        <w:rPr>
          <w:rFonts w:asciiTheme="majorHAnsi" w:hAnsiTheme="majorHAnsi"/>
          <w:bCs/>
          <w:sz w:val="20"/>
          <w:szCs w:val="20"/>
          <w:lang w:val="es-ES"/>
        </w:rPr>
        <w:t>El Estado, por su parte, considera que los cargos presentados en la petición resultan manifiestamente infundados, por lo que debe ser inadmitida con fundamento en el artículo 47(c) de la Convención Americana</w:t>
      </w:r>
      <w:r w:rsidR="005408AF" w:rsidRPr="00273381">
        <w:rPr>
          <w:rStyle w:val="FootnoteReference"/>
          <w:rFonts w:asciiTheme="majorHAnsi" w:hAnsiTheme="majorHAnsi"/>
          <w:bCs/>
          <w:sz w:val="20"/>
          <w:szCs w:val="20"/>
          <w:lang w:val="es-ES"/>
        </w:rPr>
        <w:footnoteReference w:id="8"/>
      </w:r>
      <w:r w:rsidRPr="00273381">
        <w:rPr>
          <w:rFonts w:asciiTheme="majorHAnsi" w:hAnsiTheme="majorHAnsi"/>
          <w:bCs/>
          <w:sz w:val="20"/>
          <w:szCs w:val="20"/>
          <w:lang w:val="es-ES"/>
        </w:rPr>
        <w:t xml:space="preserve">. Señala que la petición únicamente realiza afirmaciones genéricas, pero no indica las situaciones específicas que fundamentan tales alegaciones respecto de cada una de las presuntas víctimas. Agrega que la parte peticionaria se limita a indicar que se agotaron distintos recursos a nivel interno y cuestionar las decisiones adoptadas en ellos, sin </w:t>
      </w:r>
      <w:r>
        <w:rPr>
          <w:rFonts w:asciiTheme="majorHAnsi" w:hAnsiTheme="majorHAnsi"/>
          <w:bCs/>
          <w:sz w:val="20"/>
          <w:szCs w:val="20"/>
          <w:lang w:val="es-ES"/>
        </w:rPr>
        <w:t>señalar</w:t>
      </w:r>
      <w:r w:rsidRPr="00273381">
        <w:rPr>
          <w:rFonts w:asciiTheme="majorHAnsi" w:hAnsiTheme="majorHAnsi"/>
          <w:bCs/>
          <w:sz w:val="20"/>
          <w:szCs w:val="20"/>
          <w:lang w:val="es-ES"/>
        </w:rPr>
        <w:t xml:space="preserve"> los defectos que conducen a que las providencias en cuestión result</w:t>
      </w:r>
      <w:r>
        <w:rPr>
          <w:rFonts w:asciiTheme="majorHAnsi" w:hAnsiTheme="majorHAnsi"/>
          <w:bCs/>
          <w:sz w:val="20"/>
          <w:szCs w:val="20"/>
          <w:lang w:val="es-ES"/>
        </w:rPr>
        <w:t>en</w:t>
      </w:r>
      <w:r w:rsidRPr="00273381">
        <w:rPr>
          <w:rFonts w:asciiTheme="majorHAnsi" w:hAnsiTheme="majorHAnsi"/>
          <w:bCs/>
          <w:sz w:val="20"/>
          <w:szCs w:val="20"/>
          <w:lang w:val="es-ES"/>
        </w:rPr>
        <w:t xml:space="preserve"> contrarias a las garantías convencionales. </w:t>
      </w:r>
      <w:r>
        <w:rPr>
          <w:rFonts w:asciiTheme="majorHAnsi" w:hAnsiTheme="majorHAnsi"/>
          <w:bCs/>
          <w:sz w:val="20"/>
          <w:szCs w:val="20"/>
          <w:lang w:val="es-ES"/>
        </w:rPr>
        <w:t xml:space="preserve">Nota que </w:t>
      </w:r>
      <w:r w:rsidRPr="00273381">
        <w:rPr>
          <w:rFonts w:asciiTheme="majorHAnsi" w:hAnsiTheme="majorHAnsi"/>
          <w:bCs/>
          <w:sz w:val="20"/>
          <w:szCs w:val="20"/>
          <w:lang w:val="es-ES"/>
        </w:rPr>
        <w:t xml:space="preserve">la parte peticionaria ha aportado una gran cantidad de documentos, </w:t>
      </w:r>
      <w:r>
        <w:rPr>
          <w:rFonts w:asciiTheme="majorHAnsi" w:hAnsiTheme="majorHAnsi"/>
          <w:bCs/>
          <w:sz w:val="20"/>
          <w:szCs w:val="20"/>
          <w:lang w:val="es-ES"/>
        </w:rPr>
        <w:t>pero que omite</w:t>
      </w:r>
      <w:r w:rsidRPr="00273381">
        <w:rPr>
          <w:rFonts w:asciiTheme="majorHAnsi" w:hAnsiTheme="majorHAnsi"/>
          <w:bCs/>
          <w:sz w:val="20"/>
          <w:szCs w:val="20"/>
          <w:lang w:val="es-ES"/>
        </w:rPr>
        <w:t xml:space="preserve"> explicar cómo dichos elementos evidencia</w:t>
      </w:r>
      <w:r>
        <w:rPr>
          <w:rFonts w:asciiTheme="majorHAnsi" w:hAnsiTheme="majorHAnsi"/>
          <w:bCs/>
          <w:sz w:val="20"/>
          <w:szCs w:val="20"/>
          <w:lang w:val="es-ES"/>
        </w:rPr>
        <w:t>n</w:t>
      </w:r>
      <w:r w:rsidRPr="00273381">
        <w:rPr>
          <w:rFonts w:asciiTheme="majorHAnsi" w:hAnsiTheme="majorHAnsi"/>
          <w:bCs/>
          <w:sz w:val="20"/>
          <w:szCs w:val="20"/>
          <w:lang w:val="es-ES"/>
        </w:rPr>
        <w:t xml:space="preserve"> supuestas vulneraciones </w:t>
      </w:r>
      <w:r>
        <w:rPr>
          <w:rFonts w:asciiTheme="majorHAnsi" w:hAnsiTheme="majorHAnsi"/>
          <w:bCs/>
          <w:sz w:val="20"/>
          <w:szCs w:val="20"/>
          <w:lang w:val="es-ES"/>
        </w:rPr>
        <w:t xml:space="preserve">respecto </w:t>
      </w:r>
      <w:r w:rsidRPr="00273381">
        <w:rPr>
          <w:rFonts w:asciiTheme="majorHAnsi" w:hAnsiTheme="majorHAnsi"/>
          <w:bCs/>
          <w:sz w:val="20"/>
          <w:szCs w:val="20"/>
          <w:lang w:val="es-ES"/>
        </w:rPr>
        <w:t xml:space="preserve">a cada una de las personas supuestamente afectadas. Añade que la parte peticionaria tampoco especifica la situación administrativa que determinó la desvinculación de cada sujeto ni los recursos que fueron agotados respecto de dicha actuación </w:t>
      </w:r>
    </w:p>
    <w:p w14:paraId="139EC824" w14:textId="0CC97868" w:rsidR="00665D9B" w:rsidRPr="00273381" w:rsidRDefault="00665D9B" w:rsidP="00665D9B">
      <w:pPr>
        <w:numPr>
          <w:ilvl w:val="0"/>
          <w:numId w:val="55"/>
        </w:numPr>
        <w:suppressAutoHyphens/>
        <w:spacing w:after="120"/>
        <w:jc w:val="both"/>
        <w:rPr>
          <w:rFonts w:asciiTheme="majorHAnsi" w:hAnsiTheme="majorHAnsi"/>
          <w:bCs/>
          <w:sz w:val="20"/>
          <w:szCs w:val="20"/>
          <w:lang w:val="es-ES"/>
        </w:rPr>
      </w:pPr>
      <w:r w:rsidRPr="00273381">
        <w:rPr>
          <w:rFonts w:asciiTheme="majorHAnsi" w:hAnsiTheme="majorHAnsi"/>
          <w:bCs/>
          <w:sz w:val="20"/>
          <w:szCs w:val="20"/>
          <w:lang w:val="es-ES"/>
        </w:rPr>
        <w:t xml:space="preserve">Explica </w:t>
      </w:r>
      <w:r w:rsidR="00C05B17">
        <w:rPr>
          <w:rFonts w:asciiTheme="majorHAnsi" w:hAnsiTheme="majorHAnsi"/>
          <w:bCs/>
          <w:sz w:val="20"/>
          <w:szCs w:val="20"/>
          <w:lang w:val="es-ES"/>
        </w:rPr>
        <w:t xml:space="preserve">el Estado </w:t>
      </w:r>
      <w:r w:rsidRPr="00273381">
        <w:rPr>
          <w:rFonts w:asciiTheme="majorHAnsi" w:hAnsiTheme="majorHAnsi"/>
          <w:bCs/>
          <w:sz w:val="20"/>
          <w:szCs w:val="20"/>
          <w:lang w:val="es-ES"/>
        </w:rPr>
        <w:t xml:space="preserve">que </w:t>
      </w:r>
      <w:r>
        <w:rPr>
          <w:rFonts w:asciiTheme="majorHAnsi" w:hAnsiTheme="majorHAnsi"/>
          <w:bCs/>
          <w:sz w:val="20"/>
          <w:szCs w:val="20"/>
          <w:lang w:val="es-ES"/>
        </w:rPr>
        <w:t>el</w:t>
      </w:r>
      <w:r w:rsidRPr="00273381">
        <w:rPr>
          <w:rFonts w:asciiTheme="majorHAnsi" w:hAnsiTheme="majorHAnsi"/>
          <w:bCs/>
          <w:sz w:val="20"/>
          <w:szCs w:val="20"/>
          <w:lang w:val="es-ES"/>
        </w:rPr>
        <w:t xml:space="preserve"> proceso de modernización que llevó a la supresión de los cargos de las presuntas víctimas se realizó conforme a la normativa vigente en el momento y estuvo precedida de un estudio técnico que corroboró su necesidad. Agrega que la denunciada modificación de la planta permitió racionaliza</w:t>
      </w:r>
      <w:r>
        <w:rPr>
          <w:rFonts w:asciiTheme="majorHAnsi" w:hAnsiTheme="majorHAnsi"/>
          <w:bCs/>
          <w:sz w:val="20"/>
          <w:szCs w:val="20"/>
          <w:lang w:val="es-ES"/>
        </w:rPr>
        <w:t>r</w:t>
      </w:r>
      <w:r w:rsidRPr="00273381">
        <w:rPr>
          <w:rFonts w:asciiTheme="majorHAnsi" w:hAnsiTheme="majorHAnsi"/>
          <w:bCs/>
          <w:sz w:val="20"/>
          <w:szCs w:val="20"/>
          <w:lang w:val="es-ES"/>
        </w:rPr>
        <w:t xml:space="preserve"> el presupuesto y contar con empresas privadas que se concentran en la prestación de servicios de aseo y vigilancia. Destaca además que la Corte Constitucional de Colombia determinó en 1997 que “</w:t>
      </w:r>
      <w:r>
        <w:rPr>
          <w:rFonts w:asciiTheme="majorHAnsi" w:hAnsiTheme="majorHAnsi"/>
          <w:bCs/>
          <w:sz w:val="20"/>
          <w:szCs w:val="20"/>
          <w:lang w:val="es-ES"/>
        </w:rPr>
        <w:t>la</w:t>
      </w:r>
      <w:r w:rsidRPr="00273381">
        <w:rPr>
          <w:rFonts w:asciiTheme="majorHAnsi" w:hAnsiTheme="majorHAnsi"/>
          <w:bCs/>
          <w:sz w:val="20"/>
          <w:szCs w:val="20"/>
          <w:lang w:val="es-ES"/>
        </w:rPr>
        <w:t xml:space="preserve"> reforma de las entidades y organismos sólo será procedente si, conforme a los mandatos constitucionales, se ajusta a las funciones asignadas a los poderes públicos y no vulnera los derechos fundamentales de los ciudadanos, en especial, los derechos laborales de los servidores públicos”. Sostiene</w:t>
      </w:r>
      <w:r>
        <w:rPr>
          <w:rFonts w:asciiTheme="majorHAnsi" w:hAnsiTheme="majorHAnsi"/>
          <w:bCs/>
          <w:sz w:val="20"/>
          <w:szCs w:val="20"/>
          <w:lang w:val="es-ES"/>
        </w:rPr>
        <w:t xml:space="preserve"> el Estado</w:t>
      </w:r>
      <w:r w:rsidRPr="00273381">
        <w:rPr>
          <w:rFonts w:asciiTheme="majorHAnsi" w:hAnsiTheme="majorHAnsi"/>
          <w:bCs/>
          <w:sz w:val="20"/>
          <w:szCs w:val="20"/>
          <w:lang w:val="es-ES"/>
        </w:rPr>
        <w:t xml:space="preserve"> que durante este proceso se adoptaron las medidas necesarias para salvaguardar la protección de los derechos a la maternidad, asociación y sindicalización</w:t>
      </w:r>
      <w:r>
        <w:rPr>
          <w:rFonts w:asciiTheme="majorHAnsi" w:hAnsiTheme="majorHAnsi"/>
          <w:bCs/>
          <w:sz w:val="20"/>
          <w:szCs w:val="20"/>
          <w:lang w:val="es-ES"/>
        </w:rPr>
        <w:t>, motivo por el cual</w:t>
      </w:r>
      <w:r w:rsidRPr="00273381">
        <w:rPr>
          <w:rFonts w:asciiTheme="majorHAnsi" w:hAnsiTheme="majorHAnsi"/>
          <w:bCs/>
          <w:sz w:val="20"/>
          <w:szCs w:val="20"/>
          <w:lang w:val="es-ES"/>
        </w:rPr>
        <w:t xml:space="preserve"> los retiros de personas que gozaran de fuero por estas razones no se </w:t>
      </w:r>
      <w:r>
        <w:rPr>
          <w:rFonts w:asciiTheme="majorHAnsi" w:hAnsiTheme="majorHAnsi"/>
          <w:bCs/>
          <w:sz w:val="20"/>
          <w:szCs w:val="20"/>
          <w:lang w:val="es-ES"/>
        </w:rPr>
        <w:t>hicieron</w:t>
      </w:r>
      <w:r w:rsidRPr="00273381">
        <w:rPr>
          <w:rFonts w:asciiTheme="majorHAnsi" w:hAnsiTheme="majorHAnsi"/>
          <w:bCs/>
          <w:sz w:val="20"/>
          <w:szCs w:val="20"/>
          <w:lang w:val="es-ES"/>
        </w:rPr>
        <w:t xml:space="preserve"> efectivos sino hasta que cesase dicha situación jurídica. </w:t>
      </w:r>
    </w:p>
    <w:p w14:paraId="4D70DAB4" w14:textId="5ED130EF" w:rsidR="00665D9B" w:rsidRPr="00273381" w:rsidRDefault="00C05B17" w:rsidP="00665D9B">
      <w:pPr>
        <w:numPr>
          <w:ilvl w:val="0"/>
          <w:numId w:val="55"/>
        </w:numPr>
        <w:suppressAutoHyphens/>
        <w:spacing w:after="120"/>
        <w:jc w:val="both"/>
        <w:rPr>
          <w:rFonts w:asciiTheme="majorHAnsi" w:hAnsiTheme="majorHAnsi"/>
          <w:bCs/>
          <w:sz w:val="20"/>
          <w:szCs w:val="20"/>
          <w:lang w:val="es-ES"/>
        </w:rPr>
      </w:pPr>
      <w:r>
        <w:rPr>
          <w:rFonts w:asciiTheme="majorHAnsi" w:hAnsiTheme="majorHAnsi"/>
          <w:bCs/>
          <w:sz w:val="20"/>
          <w:szCs w:val="20"/>
          <w:lang w:val="es-ES"/>
        </w:rPr>
        <w:t xml:space="preserve">El Estado indica por otra parte </w:t>
      </w:r>
      <w:r w:rsidRPr="00273381">
        <w:rPr>
          <w:rFonts w:asciiTheme="majorHAnsi" w:hAnsiTheme="majorHAnsi"/>
          <w:bCs/>
          <w:sz w:val="20"/>
          <w:szCs w:val="20"/>
          <w:lang w:val="es-ES"/>
        </w:rPr>
        <w:t xml:space="preserve">que </w:t>
      </w:r>
      <w:r>
        <w:rPr>
          <w:rFonts w:asciiTheme="majorHAnsi" w:hAnsiTheme="majorHAnsi"/>
          <w:bCs/>
          <w:sz w:val="20"/>
          <w:szCs w:val="20"/>
          <w:lang w:val="es-ES"/>
        </w:rPr>
        <w:t>las recomendaciones de la OIT fueron</w:t>
      </w:r>
      <w:r w:rsidRPr="00273381">
        <w:rPr>
          <w:rFonts w:asciiTheme="majorHAnsi" w:hAnsiTheme="majorHAnsi"/>
          <w:bCs/>
          <w:sz w:val="20"/>
          <w:szCs w:val="20"/>
          <w:lang w:val="es-ES"/>
        </w:rPr>
        <w:t xml:space="preserve"> de naturaleza dinámica </w:t>
      </w:r>
      <w:r>
        <w:rPr>
          <w:rFonts w:asciiTheme="majorHAnsi" w:hAnsiTheme="majorHAnsi"/>
          <w:bCs/>
          <w:sz w:val="20"/>
          <w:szCs w:val="20"/>
          <w:lang w:val="es-ES"/>
        </w:rPr>
        <w:t xml:space="preserve">y </w:t>
      </w:r>
      <w:r w:rsidRPr="00273381">
        <w:rPr>
          <w:rFonts w:asciiTheme="majorHAnsi" w:hAnsiTheme="majorHAnsi"/>
          <w:bCs/>
          <w:sz w:val="20"/>
          <w:szCs w:val="20"/>
          <w:lang w:val="es-ES"/>
        </w:rPr>
        <w:t>queda</w:t>
      </w:r>
      <w:r>
        <w:rPr>
          <w:rFonts w:asciiTheme="majorHAnsi" w:hAnsiTheme="majorHAnsi"/>
          <w:bCs/>
          <w:sz w:val="20"/>
          <w:szCs w:val="20"/>
          <w:lang w:val="es-ES"/>
        </w:rPr>
        <w:t>ron</w:t>
      </w:r>
      <w:r w:rsidRPr="00273381">
        <w:rPr>
          <w:rFonts w:asciiTheme="majorHAnsi" w:hAnsiTheme="majorHAnsi"/>
          <w:bCs/>
          <w:sz w:val="20"/>
          <w:szCs w:val="20"/>
          <w:lang w:val="es-ES"/>
        </w:rPr>
        <w:t xml:space="preserve"> eventualmente limitadas a los casos de tres sindicatos que no corresponden a los </w:t>
      </w:r>
      <w:r>
        <w:rPr>
          <w:rFonts w:asciiTheme="majorHAnsi" w:hAnsiTheme="majorHAnsi"/>
          <w:bCs/>
          <w:sz w:val="20"/>
          <w:szCs w:val="20"/>
          <w:lang w:val="es-ES"/>
        </w:rPr>
        <w:t>de</w:t>
      </w:r>
      <w:r w:rsidRPr="00273381">
        <w:rPr>
          <w:rFonts w:asciiTheme="majorHAnsi" w:hAnsiTheme="majorHAnsi"/>
          <w:bCs/>
          <w:sz w:val="20"/>
          <w:szCs w:val="20"/>
          <w:lang w:val="es-ES"/>
        </w:rPr>
        <w:t xml:space="preserve"> las presuntas víctimas. Destaca</w:t>
      </w:r>
      <w:r w:rsidR="00665D9B" w:rsidRPr="00273381">
        <w:rPr>
          <w:rFonts w:asciiTheme="majorHAnsi" w:hAnsiTheme="majorHAnsi"/>
          <w:bCs/>
          <w:sz w:val="20"/>
          <w:szCs w:val="20"/>
          <w:lang w:val="es-ES"/>
        </w:rPr>
        <w:t xml:space="preserve"> que el Comité de Libertad Sindical de la OIT realizó 10 reuniones de seguimiento </w:t>
      </w:r>
      <w:r w:rsidR="00665D9B" w:rsidRPr="00273381">
        <w:rPr>
          <w:rFonts w:asciiTheme="majorHAnsi" w:hAnsiTheme="majorHAnsi"/>
          <w:bCs/>
          <w:sz w:val="20"/>
          <w:szCs w:val="20"/>
          <w:lang w:val="es-ES"/>
        </w:rPr>
        <w:lastRenderedPageBreak/>
        <w:t xml:space="preserve">entre 2003 y 2007 en las que no se volvió a hacer mención de posibles vulneraciones a los derechos de quienes trabajaban para la Secretaría de Educación, </w:t>
      </w:r>
      <w:r w:rsidR="00665D9B">
        <w:rPr>
          <w:rFonts w:asciiTheme="majorHAnsi" w:hAnsiTheme="majorHAnsi"/>
          <w:bCs/>
          <w:sz w:val="20"/>
          <w:szCs w:val="20"/>
          <w:lang w:val="es-ES"/>
        </w:rPr>
        <w:t>y que cerró</w:t>
      </w:r>
      <w:r w:rsidR="00665D9B" w:rsidRPr="00273381">
        <w:rPr>
          <w:rFonts w:asciiTheme="majorHAnsi" w:hAnsiTheme="majorHAnsi"/>
          <w:bCs/>
          <w:sz w:val="20"/>
          <w:szCs w:val="20"/>
          <w:lang w:val="es-ES"/>
        </w:rPr>
        <w:t xml:space="preserve"> totalmente el caso con respecto a este punto. Resalta además que el Comité concluyó con respecto al </w:t>
      </w:r>
      <w:r w:rsidR="00665D9B">
        <w:rPr>
          <w:rFonts w:asciiTheme="majorHAnsi" w:hAnsiTheme="majorHAnsi"/>
          <w:bCs/>
          <w:sz w:val="20"/>
          <w:szCs w:val="20"/>
          <w:lang w:val="es-ES"/>
        </w:rPr>
        <w:t>C</w:t>
      </w:r>
      <w:r w:rsidR="00665D9B" w:rsidRPr="00273381">
        <w:rPr>
          <w:rFonts w:asciiTheme="majorHAnsi" w:hAnsiTheme="majorHAnsi"/>
          <w:bCs/>
          <w:sz w:val="20"/>
          <w:szCs w:val="20"/>
          <w:lang w:val="es-ES"/>
        </w:rPr>
        <w:t xml:space="preserve">aso 2151 que “el número de instituciones públicas afectadas por reestructuraciones muestra que se trata de medidas generales, asimismo tales medidas afectaron a sindicalistas pero también al conjunto de los trabajadores. Con las informaciones de que dispone el Comité, no se encuentra en condiciones de determinar si los procesos de reestructuración han tenido exclusivamente objetivos de racionalización o si, al amparo de ellos, se han realizado actos de discriminación antisindical. De la documentación enviada surge, sin embargo, que existen en la legislación recursos judiciales contra las medidas que hayan afectado a sindicalistas”. </w:t>
      </w:r>
    </w:p>
    <w:p w14:paraId="7D830C1F" w14:textId="77777777" w:rsidR="00665D9B" w:rsidRPr="00273381" w:rsidRDefault="00665D9B" w:rsidP="00665D9B">
      <w:pPr>
        <w:numPr>
          <w:ilvl w:val="0"/>
          <w:numId w:val="55"/>
        </w:numPr>
        <w:suppressAutoHyphens/>
        <w:spacing w:after="120"/>
        <w:jc w:val="both"/>
        <w:rPr>
          <w:rFonts w:asciiTheme="majorHAnsi" w:hAnsiTheme="majorHAnsi"/>
          <w:bCs/>
          <w:sz w:val="20"/>
          <w:szCs w:val="20"/>
          <w:lang w:val="es-ES"/>
        </w:rPr>
      </w:pPr>
      <w:r>
        <w:rPr>
          <w:rFonts w:asciiTheme="majorHAnsi" w:hAnsiTheme="majorHAnsi"/>
          <w:bCs/>
          <w:sz w:val="20"/>
          <w:szCs w:val="20"/>
          <w:lang w:val="es-ES"/>
        </w:rPr>
        <w:t>E</w:t>
      </w:r>
      <w:r w:rsidRPr="00273381">
        <w:rPr>
          <w:rFonts w:asciiTheme="majorHAnsi" w:hAnsiTheme="majorHAnsi"/>
          <w:bCs/>
          <w:sz w:val="20"/>
          <w:szCs w:val="20"/>
          <w:lang w:val="es-ES"/>
        </w:rPr>
        <w:t xml:space="preserve">xplica </w:t>
      </w:r>
      <w:r>
        <w:rPr>
          <w:rFonts w:asciiTheme="majorHAnsi" w:hAnsiTheme="majorHAnsi"/>
          <w:bCs/>
          <w:sz w:val="20"/>
          <w:szCs w:val="20"/>
          <w:lang w:val="es-ES"/>
        </w:rPr>
        <w:t xml:space="preserve">adicionalmente </w:t>
      </w:r>
      <w:r w:rsidRPr="00273381">
        <w:rPr>
          <w:rFonts w:asciiTheme="majorHAnsi" w:hAnsiTheme="majorHAnsi"/>
          <w:bCs/>
          <w:sz w:val="20"/>
          <w:szCs w:val="20"/>
          <w:lang w:val="es-ES"/>
        </w:rPr>
        <w:t xml:space="preserve">que las cuatro personas inicialmente reincorporadas demandaron la supuesta violación de su fuero judicial ante la justicia laboral ordinaria, </w:t>
      </w:r>
      <w:r>
        <w:rPr>
          <w:rFonts w:asciiTheme="majorHAnsi" w:hAnsiTheme="majorHAnsi"/>
          <w:bCs/>
          <w:sz w:val="20"/>
          <w:szCs w:val="20"/>
          <w:lang w:val="es-ES"/>
        </w:rPr>
        <w:t>que</w:t>
      </w:r>
      <w:r w:rsidRPr="00273381">
        <w:rPr>
          <w:rFonts w:asciiTheme="majorHAnsi" w:hAnsiTheme="majorHAnsi"/>
          <w:bCs/>
          <w:sz w:val="20"/>
          <w:szCs w:val="20"/>
          <w:lang w:val="es-ES"/>
        </w:rPr>
        <w:t xml:space="preserve"> se pronunció definitivamente en contra de sus pretensiones. Señala que posteriormente interpusieron una acción de tutela que fue rechazada en primera instancia, pero concedida en segunda instancia el 7 de febrero de 2005. Aporta copia del referido fallo en el que se observa que el Tribunal otorgó la tutela puesto que la </w:t>
      </w:r>
      <w:r>
        <w:rPr>
          <w:rFonts w:asciiTheme="majorHAnsi" w:hAnsiTheme="majorHAnsi"/>
          <w:bCs/>
          <w:sz w:val="20"/>
          <w:szCs w:val="20"/>
          <w:lang w:val="es-ES"/>
        </w:rPr>
        <w:t>a</w:t>
      </w:r>
      <w:r w:rsidRPr="00273381">
        <w:rPr>
          <w:rFonts w:asciiTheme="majorHAnsi" w:hAnsiTheme="majorHAnsi"/>
          <w:bCs/>
          <w:sz w:val="20"/>
          <w:szCs w:val="20"/>
          <w:lang w:val="es-ES"/>
        </w:rPr>
        <w:t>dministración distrital no había presentado elementos para controvertir que las cuatro personas conta</w:t>
      </w:r>
      <w:r>
        <w:rPr>
          <w:rFonts w:asciiTheme="majorHAnsi" w:hAnsiTheme="majorHAnsi"/>
          <w:bCs/>
          <w:sz w:val="20"/>
          <w:szCs w:val="20"/>
          <w:lang w:val="es-ES"/>
        </w:rPr>
        <w:t>ran</w:t>
      </w:r>
      <w:r w:rsidRPr="00273381">
        <w:rPr>
          <w:rFonts w:asciiTheme="majorHAnsi" w:hAnsiTheme="majorHAnsi"/>
          <w:bCs/>
          <w:sz w:val="20"/>
          <w:szCs w:val="20"/>
          <w:lang w:val="es-ES"/>
        </w:rPr>
        <w:t xml:space="preserve"> con fuero por ser fundadores de SINTRAPASED</w:t>
      </w:r>
      <w:r>
        <w:rPr>
          <w:rFonts w:asciiTheme="majorHAnsi" w:hAnsiTheme="majorHAnsi"/>
          <w:bCs/>
          <w:sz w:val="20"/>
          <w:szCs w:val="20"/>
          <w:lang w:val="es-ES"/>
        </w:rPr>
        <w:t>,</w:t>
      </w:r>
      <w:r w:rsidRPr="00273381">
        <w:rPr>
          <w:rFonts w:asciiTheme="majorHAnsi" w:hAnsiTheme="majorHAnsi"/>
          <w:bCs/>
          <w:sz w:val="20"/>
          <w:szCs w:val="20"/>
          <w:lang w:val="es-ES"/>
        </w:rPr>
        <w:t xml:space="preserve"> y que habían sido despedidas sin la requerida autorización judicial. El Estado explica que para obtener esta sentencia favorable las personas demandantes omitieron informar que la justicia laboral ya se había pronunciado sobre el mismo tema. Indica que una vez </w:t>
      </w:r>
      <w:r>
        <w:rPr>
          <w:rFonts w:asciiTheme="majorHAnsi" w:hAnsiTheme="majorHAnsi"/>
          <w:bCs/>
          <w:sz w:val="20"/>
          <w:szCs w:val="20"/>
          <w:lang w:val="es-ES"/>
        </w:rPr>
        <w:t xml:space="preserve">que </w:t>
      </w:r>
      <w:r w:rsidRPr="00273381">
        <w:rPr>
          <w:rFonts w:asciiTheme="majorHAnsi" w:hAnsiTheme="majorHAnsi"/>
          <w:bCs/>
          <w:sz w:val="20"/>
          <w:szCs w:val="20"/>
          <w:lang w:val="es-ES"/>
        </w:rPr>
        <w:t>el juzgado que emitió la sentencia favorable de tutela fue informado de la existencia de las sentencias de la justicia laboral</w:t>
      </w:r>
      <w:r>
        <w:rPr>
          <w:rFonts w:asciiTheme="majorHAnsi" w:hAnsiTheme="majorHAnsi"/>
          <w:bCs/>
          <w:sz w:val="20"/>
          <w:szCs w:val="20"/>
          <w:lang w:val="es-ES"/>
        </w:rPr>
        <w:t>,</w:t>
      </w:r>
      <w:r w:rsidRPr="00273381">
        <w:rPr>
          <w:rFonts w:asciiTheme="majorHAnsi" w:hAnsiTheme="majorHAnsi"/>
          <w:bCs/>
          <w:sz w:val="20"/>
          <w:szCs w:val="20"/>
          <w:lang w:val="es-ES"/>
        </w:rPr>
        <w:t xml:space="preserve"> compulsó copias a la Fiscalía</w:t>
      </w:r>
      <w:r>
        <w:rPr>
          <w:rFonts w:asciiTheme="majorHAnsi" w:hAnsiTheme="majorHAnsi"/>
          <w:bCs/>
          <w:sz w:val="20"/>
          <w:szCs w:val="20"/>
          <w:lang w:val="es-ES"/>
        </w:rPr>
        <w:t>;</w:t>
      </w:r>
      <w:r w:rsidRPr="00273381">
        <w:rPr>
          <w:rFonts w:asciiTheme="majorHAnsi" w:hAnsiTheme="majorHAnsi"/>
          <w:bCs/>
          <w:sz w:val="20"/>
          <w:szCs w:val="20"/>
          <w:lang w:val="es-ES"/>
        </w:rPr>
        <w:t xml:space="preserve"> </w:t>
      </w:r>
      <w:r>
        <w:rPr>
          <w:rFonts w:asciiTheme="majorHAnsi" w:hAnsiTheme="majorHAnsi"/>
          <w:bCs/>
          <w:sz w:val="20"/>
          <w:szCs w:val="20"/>
          <w:lang w:val="es-ES"/>
        </w:rPr>
        <w:t xml:space="preserve">y que fue </w:t>
      </w:r>
      <w:r w:rsidRPr="00273381">
        <w:rPr>
          <w:rFonts w:asciiTheme="majorHAnsi" w:hAnsiTheme="majorHAnsi"/>
          <w:bCs/>
          <w:sz w:val="20"/>
          <w:szCs w:val="20"/>
          <w:lang w:val="es-ES"/>
        </w:rPr>
        <w:t xml:space="preserve">esta la razón por la que se inició un proceso por fraude procesal contra </w:t>
      </w:r>
      <w:r>
        <w:rPr>
          <w:rFonts w:asciiTheme="majorHAnsi" w:hAnsiTheme="majorHAnsi"/>
          <w:bCs/>
          <w:sz w:val="20"/>
          <w:szCs w:val="20"/>
          <w:lang w:val="es-ES"/>
        </w:rPr>
        <w:t>dichas</w:t>
      </w:r>
      <w:r w:rsidRPr="00273381">
        <w:rPr>
          <w:rFonts w:asciiTheme="majorHAnsi" w:hAnsiTheme="majorHAnsi"/>
          <w:bCs/>
          <w:sz w:val="20"/>
          <w:szCs w:val="20"/>
          <w:lang w:val="es-ES"/>
        </w:rPr>
        <w:t xml:space="preserve"> personas. Destaca que la sentencia favorable a estas personas fue cumplida pese al proceso penal</w:t>
      </w:r>
      <w:r>
        <w:rPr>
          <w:rFonts w:asciiTheme="majorHAnsi" w:hAnsiTheme="majorHAnsi"/>
          <w:bCs/>
          <w:sz w:val="20"/>
          <w:szCs w:val="20"/>
          <w:lang w:val="es-ES"/>
        </w:rPr>
        <w:t>,</w:t>
      </w:r>
      <w:r w:rsidRPr="00273381">
        <w:rPr>
          <w:rFonts w:asciiTheme="majorHAnsi" w:hAnsiTheme="majorHAnsi"/>
          <w:bCs/>
          <w:sz w:val="20"/>
          <w:szCs w:val="20"/>
          <w:lang w:val="es-ES"/>
        </w:rPr>
        <w:t xml:space="preserve"> </w:t>
      </w:r>
      <w:r>
        <w:rPr>
          <w:rFonts w:asciiTheme="majorHAnsi" w:hAnsiTheme="majorHAnsi"/>
          <w:bCs/>
          <w:sz w:val="20"/>
          <w:szCs w:val="20"/>
          <w:lang w:val="es-ES"/>
        </w:rPr>
        <w:t>por lo que fueron</w:t>
      </w:r>
      <w:r w:rsidRPr="00273381">
        <w:rPr>
          <w:rFonts w:asciiTheme="majorHAnsi" w:hAnsiTheme="majorHAnsi"/>
          <w:bCs/>
          <w:sz w:val="20"/>
          <w:szCs w:val="20"/>
          <w:lang w:val="es-ES"/>
        </w:rPr>
        <w:t xml:space="preserve"> reintegr</w:t>
      </w:r>
      <w:r>
        <w:rPr>
          <w:rFonts w:asciiTheme="majorHAnsi" w:hAnsiTheme="majorHAnsi"/>
          <w:bCs/>
          <w:sz w:val="20"/>
          <w:szCs w:val="20"/>
          <w:lang w:val="es-ES"/>
        </w:rPr>
        <w:t>adas;</w:t>
      </w:r>
      <w:r w:rsidRPr="00273381">
        <w:rPr>
          <w:rFonts w:asciiTheme="majorHAnsi" w:hAnsiTheme="majorHAnsi"/>
          <w:bCs/>
          <w:sz w:val="20"/>
          <w:szCs w:val="20"/>
          <w:lang w:val="es-ES"/>
        </w:rPr>
        <w:t xml:space="preserve"> </w:t>
      </w:r>
      <w:r>
        <w:rPr>
          <w:rFonts w:asciiTheme="majorHAnsi" w:hAnsiTheme="majorHAnsi"/>
          <w:bCs/>
          <w:sz w:val="20"/>
          <w:szCs w:val="20"/>
          <w:lang w:val="es-ES"/>
        </w:rPr>
        <w:t>más adelante se instauró</w:t>
      </w:r>
      <w:r w:rsidRPr="00273381">
        <w:rPr>
          <w:rFonts w:asciiTheme="majorHAnsi" w:hAnsiTheme="majorHAnsi"/>
          <w:bCs/>
          <w:sz w:val="20"/>
          <w:szCs w:val="20"/>
          <w:lang w:val="es-ES"/>
        </w:rPr>
        <w:t xml:space="preserve"> un nuevo proceso para retirarles su fuero sindical antes de desvincularlas. </w:t>
      </w:r>
    </w:p>
    <w:p w14:paraId="2774EE36" w14:textId="77777777" w:rsidR="00665D9B" w:rsidRPr="00273381" w:rsidRDefault="00665D9B" w:rsidP="00665D9B">
      <w:pPr>
        <w:numPr>
          <w:ilvl w:val="0"/>
          <w:numId w:val="55"/>
        </w:numPr>
        <w:suppressAutoHyphens/>
        <w:spacing w:after="120"/>
        <w:jc w:val="both"/>
        <w:rPr>
          <w:rFonts w:asciiTheme="majorHAnsi" w:hAnsiTheme="majorHAnsi"/>
          <w:bCs/>
          <w:sz w:val="20"/>
          <w:szCs w:val="20"/>
          <w:lang w:val="es-ES"/>
        </w:rPr>
      </w:pPr>
      <w:r w:rsidRPr="00273381">
        <w:rPr>
          <w:rFonts w:asciiTheme="majorHAnsi" w:hAnsiTheme="majorHAnsi"/>
          <w:bCs/>
          <w:sz w:val="20"/>
          <w:szCs w:val="20"/>
          <w:lang w:val="es-ES"/>
        </w:rPr>
        <w:t xml:space="preserve">El Estado también manifiesta que la Comisión carece de competencia </w:t>
      </w:r>
      <w:r w:rsidRPr="004A017F">
        <w:rPr>
          <w:rFonts w:asciiTheme="majorHAnsi" w:hAnsiTheme="majorHAnsi"/>
          <w:bCs/>
          <w:i/>
          <w:sz w:val="20"/>
          <w:szCs w:val="20"/>
          <w:lang w:val="es-ES"/>
        </w:rPr>
        <w:t>ratione materiae</w:t>
      </w:r>
      <w:r w:rsidRPr="00273381">
        <w:rPr>
          <w:rFonts w:asciiTheme="majorHAnsi" w:hAnsiTheme="majorHAnsi"/>
          <w:bCs/>
          <w:sz w:val="20"/>
          <w:szCs w:val="20"/>
          <w:lang w:val="es-ES"/>
        </w:rPr>
        <w:t xml:space="preserve"> para conocer la petición</w:t>
      </w:r>
      <w:r>
        <w:rPr>
          <w:rFonts w:asciiTheme="majorHAnsi" w:hAnsiTheme="majorHAnsi"/>
          <w:bCs/>
          <w:sz w:val="20"/>
          <w:szCs w:val="20"/>
          <w:lang w:val="es-ES"/>
        </w:rPr>
        <w:t>,</w:t>
      </w:r>
      <w:r w:rsidRPr="00273381">
        <w:rPr>
          <w:rFonts w:asciiTheme="majorHAnsi" w:hAnsiTheme="majorHAnsi"/>
          <w:bCs/>
          <w:sz w:val="20"/>
          <w:szCs w:val="20"/>
          <w:lang w:val="es-ES"/>
        </w:rPr>
        <w:t xml:space="preserve"> pues </w:t>
      </w:r>
      <w:r>
        <w:rPr>
          <w:rFonts w:asciiTheme="majorHAnsi" w:hAnsiTheme="majorHAnsi"/>
          <w:bCs/>
          <w:sz w:val="20"/>
          <w:szCs w:val="20"/>
          <w:lang w:val="es-ES"/>
        </w:rPr>
        <w:t xml:space="preserve">en </w:t>
      </w:r>
      <w:r w:rsidRPr="00273381">
        <w:rPr>
          <w:rFonts w:asciiTheme="majorHAnsi" w:hAnsiTheme="majorHAnsi"/>
          <w:bCs/>
          <w:sz w:val="20"/>
          <w:szCs w:val="20"/>
          <w:lang w:val="es-ES"/>
        </w:rPr>
        <w:t xml:space="preserve">esta </w:t>
      </w:r>
      <w:r>
        <w:rPr>
          <w:rFonts w:asciiTheme="majorHAnsi" w:hAnsiTheme="majorHAnsi"/>
          <w:bCs/>
          <w:sz w:val="20"/>
          <w:szCs w:val="20"/>
          <w:lang w:val="es-ES"/>
        </w:rPr>
        <w:t xml:space="preserve">se </w:t>
      </w:r>
      <w:r w:rsidRPr="00273381">
        <w:rPr>
          <w:rFonts w:asciiTheme="majorHAnsi" w:hAnsiTheme="majorHAnsi"/>
          <w:bCs/>
          <w:sz w:val="20"/>
          <w:szCs w:val="20"/>
          <w:lang w:val="es-ES"/>
        </w:rPr>
        <w:t>alega</w:t>
      </w:r>
      <w:r>
        <w:rPr>
          <w:rFonts w:asciiTheme="majorHAnsi" w:hAnsiTheme="majorHAnsi"/>
          <w:bCs/>
          <w:sz w:val="20"/>
          <w:szCs w:val="20"/>
          <w:lang w:val="es-ES"/>
        </w:rPr>
        <w:t>n</w:t>
      </w:r>
      <w:r w:rsidRPr="00273381">
        <w:rPr>
          <w:rFonts w:asciiTheme="majorHAnsi" w:hAnsiTheme="majorHAnsi"/>
          <w:bCs/>
          <w:sz w:val="20"/>
          <w:szCs w:val="20"/>
          <w:lang w:val="es-ES"/>
        </w:rPr>
        <w:t xml:space="preserve"> violaciones </w:t>
      </w:r>
      <w:r>
        <w:rPr>
          <w:rFonts w:asciiTheme="majorHAnsi" w:hAnsiTheme="majorHAnsi"/>
          <w:bCs/>
          <w:sz w:val="20"/>
          <w:szCs w:val="20"/>
          <w:lang w:val="es-ES"/>
        </w:rPr>
        <w:t>de</w:t>
      </w:r>
      <w:r w:rsidRPr="00273381">
        <w:rPr>
          <w:rFonts w:asciiTheme="majorHAnsi" w:hAnsiTheme="majorHAnsi"/>
          <w:bCs/>
          <w:sz w:val="20"/>
          <w:szCs w:val="20"/>
          <w:lang w:val="es-ES"/>
        </w:rPr>
        <w:t xml:space="preserve"> instrumentos </w:t>
      </w:r>
      <w:r>
        <w:rPr>
          <w:rFonts w:asciiTheme="majorHAnsi" w:hAnsiTheme="majorHAnsi"/>
          <w:bCs/>
          <w:sz w:val="20"/>
          <w:szCs w:val="20"/>
          <w:lang w:val="es-ES"/>
        </w:rPr>
        <w:t xml:space="preserve">que no forman parte </w:t>
      </w:r>
      <w:r w:rsidRPr="00273381">
        <w:rPr>
          <w:rFonts w:asciiTheme="majorHAnsi" w:hAnsiTheme="majorHAnsi"/>
          <w:bCs/>
          <w:sz w:val="20"/>
          <w:szCs w:val="20"/>
          <w:lang w:val="es-ES"/>
        </w:rPr>
        <w:t xml:space="preserve">del </w:t>
      </w:r>
      <w:r>
        <w:rPr>
          <w:rFonts w:asciiTheme="majorHAnsi" w:hAnsiTheme="majorHAnsi"/>
          <w:bCs/>
          <w:sz w:val="20"/>
          <w:szCs w:val="20"/>
          <w:lang w:val="es-ES"/>
        </w:rPr>
        <w:t>s</w:t>
      </w:r>
      <w:r w:rsidRPr="00273381">
        <w:rPr>
          <w:rFonts w:asciiTheme="majorHAnsi" w:hAnsiTheme="majorHAnsi"/>
          <w:bCs/>
          <w:sz w:val="20"/>
          <w:szCs w:val="20"/>
          <w:lang w:val="es-ES"/>
        </w:rPr>
        <w:t xml:space="preserve">istema </w:t>
      </w:r>
      <w:r>
        <w:rPr>
          <w:rFonts w:asciiTheme="majorHAnsi" w:hAnsiTheme="majorHAnsi"/>
          <w:bCs/>
          <w:sz w:val="20"/>
          <w:szCs w:val="20"/>
          <w:lang w:val="es-ES"/>
        </w:rPr>
        <w:t>i</w:t>
      </w:r>
      <w:r w:rsidRPr="00273381">
        <w:rPr>
          <w:rFonts w:asciiTheme="majorHAnsi" w:hAnsiTheme="majorHAnsi"/>
          <w:bCs/>
          <w:sz w:val="20"/>
          <w:szCs w:val="20"/>
          <w:lang w:val="es-ES"/>
        </w:rPr>
        <w:t>nteramericano</w:t>
      </w:r>
      <w:r>
        <w:rPr>
          <w:rFonts w:asciiTheme="majorHAnsi" w:hAnsiTheme="majorHAnsi"/>
          <w:bCs/>
          <w:sz w:val="20"/>
          <w:szCs w:val="20"/>
          <w:lang w:val="es-ES"/>
        </w:rPr>
        <w:t>,</w:t>
      </w:r>
      <w:r w:rsidRPr="00273381">
        <w:rPr>
          <w:rFonts w:asciiTheme="majorHAnsi" w:hAnsiTheme="majorHAnsi"/>
          <w:bCs/>
          <w:sz w:val="20"/>
          <w:szCs w:val="20"/>
          <w:lang w:val="es-ES"/>
        </w:rPr>
        <w:t xml:space="preserve"> tales como el Convenio 87 de la OIT y la Declaración Universal de los Derechos Humanos</w:t>
      </w:r>
      <w:r>
        <w:rPr>
          <w:rFonts w:asciiTheme="majorHAnsi" w:hAnsiTheme="majorHAnsi"/>
          <w:bCs/>
          <w:sz w:val="20"/>
          <w:szCs w:val="20"/>
          <w:lang w:val="es-ES"/>
        </w:rPr>
        <w:t xml:space="preserve">. Sostiene igualmente que se invoca la violación de </w:t>
      </w:r>
      <w:r w:rsidRPr="00273381">
        <w:rPr>
          <w:rFonts w:asciiTheme="majorHAnsi" w:hAnsiTheme="majorHAnsi"/>
          <w:bCs/>
          <w:sz w:val="20"/>
          <w:szCs w:val="20"/>
          <w:lang w:val="es-ES"/>
        </w:rPr>
        <w:t xml:space="preserve">artículos del Protocolo de San Salvador que no pueden ser objeto del sistema de peticiones individuales, y </w:t>
      </w:r>
      <w:r>
        <w:rPr>
          <w:rFonts w:asciiTheme="majorHAnsi" w:hAnsiTheme="majorHAnsi"/>
          <w:bCs/>
          <w:sz w:val="20"/>
          <w:szCs w:val="20"/>
          <w:lang w:val="es-ES"/>
        </w:rPr>
        <w:t xml:space="preserve">de </w:t>
      </w:r>
      <w:r w:rsidRPr="00273381">
        <w:rPr>
          <w:rFonts w:asciiTheme="majorHAnsi" w:hAnsiTheme="majorHAnsi"/>
          <w:bCs/>
          <w:sz w:val="20"/>
          <w:szCs w:val="20"/>
          <w:lang w:val="es-ES"/>
        </w:rPr>
        <w:t>la Declaración Americana que no puede ser aplicada a Colombia</w:t>
      </w:r>
      <w:r>
        <w:rPr>
          <w:rFonts w:asciiTheme="majorHAnsi" w:hAnsiTheme="majorHAnsi"/>
          <w:bCs/>
          <w:sz w:val="20"/>
          <w:szCs w:val="20"/>
          <w:lang w:val="es-ES"/>
        </w:rPr>
        <w:t>,</w:t>
      </w:r>
      <w:r w:rsidRPr="00273381">
        <w:rPr>
          <w:rFonts w:asciiTheme="majorHAnsi" w:hAnsiTheme="majorHAnsi"/>
          <w:bCs/>
          <w:sz w:val="20"/>
          <w:szCs w:val="20"/>
          <w:lang w:val="es-ES"/>
        </w:rPr>
        <w:t xml:space="preserve"> </w:t>
      </w:r>
      <w:r>
        <w:rPr>
          <w:rFonts w:asciiTheme="majorHAnsi" w:hAnsiTheme="majorHAnsi"/>
          <w:bCs/>
          <w:sz w:val="20"/>
          <w:szCs w:val="20"/>
          <w:lang w:val="es-ES"/>
        </w:rPr>
        <w:t>pues</w:t>
      </w:r>
      <w:r w:rsidRPr="00273381">
        <w:rPr>
          <w:rFonts w:asciiTheme="majorHAnsi" w:hAnsiTheme="majorHAnsi"/>
          <w:bCs/>
          <w:sz w:val="20"/>
          <w:szCs w:val="20"/>
          <w:lang w:val="es-ES"/>
        </w:rPr>
        <w:t xml:space="preserve"> ha ratificado la Convención Americana. </w:t>
      </w:r>
    </w:p>
    <w:p w14:paraId="3FE6F5AE" w14:textId="014E07DF" w:rsidR="004C616A" w:rsidRPr="00047DDD" w:rsidRDefault="004C616A" w:rsidP="005408AF">
      <w:pPr>
        <w:suppressAutoHyphens/>
        <w:spacing w:after="120"/>
        <w:ind w:left="1440" w:hanging="720"/>
        <w:jc w:val="both"/>
        <w:rPr>
          <w:rFonts w:asciiTheme="majorHAnsi" w:hAnsiTheme="majorHAnsi"/>
          <w:b/>
          <w:bCs/>
          <w:sz w:val="20"/>
          <w:szCs w:val="20"/>
          <w:lang w:val="es-ES"/>
        </w:rPr>
      </w:pPr>
      <w:r w:rsidRPr="00047DDD">
        <w:rPr>
          <w:rFonts w:asciiTheme="majorHAnsi" w:hAnsiTheme="majorHAnsi"/>
          <w:b/>
          <w:bCs/>
          <w:sz w:val="20"/>
          <w:szCs w:val="20"/>
          <w:lang w:val="es-ES"/>
        </w:rPr>
        <w:t xml:space="preserve">VI. </w:t>
      </w:r>
      <w:r w:rsidRPr="00047DDD">
        <w:rPr>
          <w:rFonts w:asciiTheme="majorHAnsi" w:hAnsiTheme="majorHAnsi"/>
          <w:b/>
          <w:bCs/>
          <w:sz w:val="20"/>
          <w:szCs w:val="20"/>
          <w:lang w:val="es-ES"/>
        </w:rPr>
        <w:tab/>
        <w:t>AGOTAMIENTO DE LOS RECURSOS INTERNOS Y PLAZO DE PRESENTACIÓN</w:t>
      </w:r>
    </w:p>
    <w:p w14:paraId="65D2C782" w14:textId="77777777" w:rsidR="00665D9B" w:rsidRPr="00273381" w:rsidRDefault="00665D9B" w:rsidP="00665D9B">
      <w:pPr>
        <w:numPr>
          <w:ilvl w:val="0"/>
          <w:numId w:val="55"/>
        </w:numPr>
        <w:suppressAutoHyphens/>
        <w:spacing w:after="120"/>
        <w:jc w:val="both"/>
        <w:rPr>
          <w:rFonts w:asciiTheme="majorHAnsi" w:hAnsiTheme="majorHAnsi"/>
          <w:b/>
          <w:bCs/>
          <w:sz w:val="20"/>
          <w:szCs w:val="20"/>
          <w:lang w:val="es-ES"/>
        </w:rPr>
      </w:pPr>
      <w:r w:rsidRPr="00273381">
        <w:rPr>
          <w:rFonts w:ascii="Cambria" w:hAnsi="Cambria"/>
          <w:sz w:val="20"/>
          <w:szCs w:val="20"/>
          <w:lang w:val="es-ES"/>
        </w:rPr>
        <w:t xml:space="preserve">La Comisión observa que la parte peticionaria no ha aportado información individualizada </w:t>
      </w:r>
      <w:r>
        <w:rPr>
          <w:rFonts w:ascii="Cambria" w:hAnsi="Cambria"/>
          <w:sz w:val="20"/>
          <w:szCs w:val="20"/>
          <w:lang w:val="es-ES"/>
        </w:rPr>
        <w:t xml:space="preserve">ni </w:t>
      </w:r>
      <w:r w:rsidRPr="00273381">
        <w:rPr>
          <w:rFonts w:ascii="Cambria" w:hAnsi="Cambria"/>
          <w:sz w:val="20"/>
          <w:szCs w:val="20"/>
          <w:lang w:val="es-ES"/>
        </w:rPr>
        <w:t>completa con respecto a todos los recursos agotados por cada presunta víctima</w:t>
      </w:r>
      <w:r>
        <w:rPr>
          <w:rFonts w:ascii="Cambria" w:hAnsi="Cambria"/>
          <w:sz w:val="20"/>
          <w:szCs w:val="20"/>
          <w:lang w:val="es-ES"/>
        </w:rPr>
        <w:t>;</w:t>
      </w:r>
      <w:r w:rsidRPr="00273381">
        <w:rPr>
          <w:rFonts w:ascii="Cambria" w:hAnsi="Cambria"/>
          <w:sz w:val="20"/>
          <w:szCs w:val="20"/>
          <w:lang w:val="es-ES"/>
        </w:rPr>
        <w:t xml:space="preserve"> </w:t>
      </w:r>
      <w:r>
        <w:rPr>
          <w:rFonts w:ascii="Cambria" w:hAnsi="Cambria"/>
          <w:sz w:val="20"/>
          <w:szCs w:val="20"/>
          <w:lang w:val="es-ES"/>
        </w:rPr>
        <w:t>sin embargo,</w:t>
      </w:r>
      <w:r w:rsidRPr="00273381">
        <w:rPr>
          <w:rFonts w:ascii="Cambria" w:hAnsi="Cambria"/>
          <w:sz w:val="20"/>
          <w:szCs w:val="20"/>
          <w:lang w:val="es-ES"/>
        </w:rPr>
        <w:t xml:space="preserve"> ha manifestado que las últimas decisiones en todos los casos serían las que decretaron el archivo de las acciones de tutela interpuesta por las presuntas víctimas </w:t>
      </w:r>
      <w:r>
        <w:rPr>
          <w:rFonts w:ascii="Cambria" w:hAnsi="Cambria"/>
          <w:sz w:val="20"/>
          <w:szCs w:val="20"/>
          <w:lang w:val="es-ES"/>
        </w:rPr>
        <w:t xml:space="preserve">con la </w:t>
      </w:r>
      <w:r w:rsidRPr="00273381">
        <w:rPr>
          <w:rFonts w:ascii="Cambria" w:hAnsi="Cambria"/>
          <w:sz w:val="20"/>
          <w:szCs w:val="20"/>
          <w:lang w:val="es-ES"/>
        </w:rPr>
        <w:t>solicit</w:t>
      </w:r>
      <w:r>
        <w:rPr>
          <w:rFonts w:ascii="Cambria" w:hAnsi="Cambria"/>
          <w:sz w:val="20"/>
          <w:szCs w:val="20"/>
          <w:lang w:val="es-ES"/>
        </w:rPr>
        <w:t xml:space="preserve">ud de </w:t>
      </w:r>
      <w:r w:rsidRPr="00273381">
        <w:rPr>
          <w:rFonts w:ascii="Cambria" w:hAnsi="Cambria"/>
          <w:sz w:val="20"/>
          <w:szCs w:val="20"/>
          <w:lang w:val="es-ES"/>
        </w:rPr>
        <w:t xml:space="preserve">que los efectos de la sentencia que ordenó el reintegro de cuatro personas se hicieran extensivos de forma inter-comunis. </w:t>
      </w:r>
      <w:r>
        <w:rPr>
          <w:rFonts w:ascii="Cambria" w:hAnsi="Cambria"/>
          <w:sz w:val="20"/>
          <w:szCs w:val="20"/>
          <w:lang w:val="es-ES"/>
        </w:rPr>
        <w:t>Por</w:t>
      </w:r>
      <w:r w:rsidRPr="00273381">
        <w:rPr>
          <w:rFonts w:ascii="Cambria" w:hAnsi="Cambria"/>
          <w:sz w:val="20"/>
          <w:szCs w:val="20"/>
          <w:lang w:val="es-ES"/>
        </w:rPr>
        <w:t xml:space="preserve"> su parte, </w:t>
      </w:r>
      <w:r>
        <w:rPr>
          <w:rFonts w:ascii="Cambria" w:hAnsi="Cambria"/>
          <w:sz w:val="20"/>
          <w:szCs w:val="20"/>
          <w:lang w:val="es-ES"/>
        </w:rPr>
        <w:t>e</w:t>
      </w:r>
      <w:r w:rsidRPr="00273381">
        <w:rPr>
          <w:rFonts w:ascii="Cambria" w:hAnsi="Cambria"/>
          <w:sz w:val="20"/>
          <w:szCs w:val="20"/>
          <w:lang w:val="es-ES"/>
        </w:rPr>
        <w:t>l Estado no ha presentado observaciones con respecto a</w:t>
      </w:r>
      <w:r>
        <w:rPr>
          <w:rFonts w:ascii="Cambria" w:hAnsi="Cambria"/>
          <w:sz w:val="20"/>
          <w:szCs w:val="20"/>
          <w:lang w:val="es-ES"/>
        </w:rPr>
        <w:t>l cumplimiento</w:t>
      </w:r>
      <w:r w:rsidRPr="00273381">
        <w:rPr>
          <w:rFonts w:ascii="Cambria" w:hAnsi="Cambria"/>
          <w:sz w:val="20"/>
          <w:szCs w:val="20"/>
          <w:lang w:val="es-ES"/>
        </w:rPr>
        <w:t xml:space="preserve"> </w:t>
      </w:r>
      <w:r>
        <w:rPr>
          <w:rFonts w:ascii="Cambria" w:hAnsi="Cambria"/>
          <w:sz w:val="20"/>
          <w:szCs w:val="20"/>
          <w:lang w:val="es-ES"/>
        </w:rPr>
        <w:t xml:space="preserve">de </w:t>
      </w:r>
      <w:r w:rsidRPr="00273381">
        <w:rPr>
          <w:rFonts w:ascii="Cambria" w:hAnsi="Cambria"/>
          <w:sz w:val="20"/>
          <w:szCs w:val="20"/>
          <w:lang w:val="es-ES"/>
        </w:rPr>
        <w:t>los requisitos de agotamiento de los recursos internos y presentación dentro de plazo</w:t>
      </w:r>
      <w:r>
        <w:rPr>
          <w:rFonts w:ascii="Cambria" w:hAnsi="Cambria"/>
          <w:sz w:val="20"/>
          <w:szCs w:val="20"/>
          <w:lang w:val="es-ES"/>
        </w:rPr>
        <w:t>,</w:t>
      </w:r>
      <w:r w:rsidRPr="00273381">
        <w:rPr>
          <w:rFonts w:ascii="Cambria" w:hAnsi="Cambria"/>
          <w:sz w:val="20"/>
          <w:szCs w:val="20"/>
          <w:lang w:val="es-ES"/>
        </w:rPr>
        <w:t xml:space="preserve"> pero ha resaltado que la parte peticionaria no ha proporcionado información detallada sobre los recursos que en cada caso se habrían interpuesto contra las actuaciones administrativas que determinaron la desvinculación de cada presunta víctima.</w:t>
      </w:r>
    </w:p>
    <w:p w14:paraId="328489C6" w14:textId="676729F3" w:rsidR="00373DC5" w:rsidRPr="00047DDD" w:rsidRDefault="00665D9B" w:rsidP="00CD2FFF">
      <w:pPr>
        <w:numPr>
          <w:ilvl w:val="0"/>
          <w:numId w:val="55"/>
        </w:numPr>
        <w:suppressAutoHyphens/>
        <w:spacing w:after="120"/>
        <w:jc w:val="both"/>
        <w:rPr>
          <w:rFonts w:asciiTheme="majorHAnsi" w:hAnsiTheme="majorHAnsi"/>
          <w:b/>
          <w:bCs/>
          <w:sz w:val="20"/>
          <w:szCs w:val="20"/>
          <w:lang w:val="es-ES"/>
        </w:rPr>
      </w:pPr>
      <w:r>
        <w:rPr>
          <w:rFonts w:asciiTheme="majorHAnsi" w:hAnsiTheme="majorHAnsi"/>
          <w:sz w:val="20"/>
          <w:szCs w:val="20"/>
          <w:lang w:val="es-ES"/>
        </w:rPr>
        <w:t>El</w:t>
      </w:r>
      <w:r w:rsidR="00501FCD" w:rsidRPr="00047DDD">
        <w:rPr>
          <w:rFonts w:asciiTheme="majorHAnsi" w:hAnsiTheme="majorHAnsi"/>
          <w:sz w:val="20"/>
          <w:szCs w:val="20"/>
          <w:lang w:val="es-ES"/>
        </w:rPr>
        <w:t xml:space="preserve"> artículo 28.8 de</w:t>
      </w:r>
      <w:r>
        <w:rPr>
          <w:rFonts w:asciiTheme="majorHAnsi" w:hAnsiTheme="majorHAnsi"/>
          <w:sz w:val="20"/>
          <w:szCs w:val="20"/>
          <w:lang w:val="es-ES"/>
        </w:rPr>
        <w:t>l</w:t>
      </w:r>
      <w:r w:rsidR="00501FCD" w:rsidRPr="00047DDD">
        <w:rPr>
          <w:rFonts w:asciiTheme="majorHAnsi" w:hAnsiTheme="majorHAnsi"/>
          <w:sz w:val="20"/>
          <w:szCs w:val="20"/>
          <w:lang w:val="es-ES"/>
        </w:rPr>
        <w:t xml:space="preserve"> </w:t>
      </w:r>
      <w:r>
        <w:rPr>
          <w:rFonts w:asciiTheme="majorHAnsi" w:hAnsiTheme="majorHAnsi"/>
          <w:sz w:val="20"/>
          <w:szCs w:val="20"/>
          <w:lang w:val="es-ES"/>
        </w:rPr>
        <w:t>R</w:t>
      </w:r>
      <w:r w:rsidR="00501FCD" w:rsidRPr="00047DDD">
        <w:rPr>
          <w:rFonts w:asciiTheme="majorHAnsi" w:hAnsiTheme="majorHAnsi"/>
          <w:sz w:val="20"/>
          <w:szCs w:val="20"/>
          <w:lang w:val="es-ES"/>
        </w:rPr>
        <w:t xml:space="preserve">eglamento </w:t>
      </w:r>
      <w:r>
        <w:rPr>
          <w:rFonts w:asciiTheme="majorHAnsi" w:hAnsiTheme="majorHAnsi"/>
          <w:sz w:val="20"/>
          <w:szCs w:val="20"/>
          <w:lang w:val="es-ES"/>
        </w:rPr>
        <w:t>de la CIDH establece como</w:t>
      </w:r>
      <w:r w:rsidR="00501FCD" w:rsidRPr="00047DDD">
        <w:rPr>
          <w:rFonts w:asciiTheme="majorHAnsi" w:hAnsiTheme="majorHAnsi"/>
          <w:sz w:val="20"/>
          <w:szCs w:val="20"/>
          <w:lang w:val="es-ES"/>
        </w:rPr>
        <w:t xml:space="preserve"> requisito para la consideración de peticiones que la parte peticionaria informe sobre “</w:t>
      </w:r>
      <w:r w:rsidRPr="00047DDD">
        <w:rPr>
          <w:rFonts w:asciiTheme="majorHAnsi" w:hAnsiTheme="majorHAnsi" w:cs="Tahoma"/>
          <w:sz w:val="20"/>
          <w:szCs w:val="20"/>
          <w:shd w:val="clear" w:color="auto" w:fill="FFFFFF"/>
          <w:lang w:val="es-PA"/>
        </w:rPr>
        <w:t>las</w:t>
      </w:r>
      <w:r w:rsidR="00501FCD" w:rsidRPr="00047DDD">
        <w:rPr>
          <w:rFonts w:asciiTheme="majorHAnsi" w:hAnsiTheme="majorHAnsi" w:cs="Tahoma"/>
          <w:sz w:val="20"/>
          <w:szCs w:val="20"/>
          <w:shd w:val="clear" w:color="auto" w:fill="FFFFFF"/>
          <w:lang w:val="es-PA"/>
        </w:rPr>
        <w:t xml:space="preserve"> gestiones emprendidas para agotar los recursos de la jurisdicción interna o la imposibilidad de hacerlo”</w:t>
      </w:r>
      <w:r w:rsidR="00501FCD" w:rsidRPr="00047DDD">
        <w:rPr>
          <w:rFonts w:asciiTheme="majorHAnsi" w:hAnsiTheme="majorHAnsi"/>
          <w:sz w:val="20"/>
          <w:szCs w:val="20"/>
          <w:lang w:val="es-ES"/>
        </w:rPr>
        <w:t xml:space="preserve">. En el presente </w:t>
      </w:r>
      <w:r>
        <w:rPr>
          <w:rFonts w:asciiTheme="majorHAnsi" w:hAnsiTheme="majorHAnsi"/>
          <w:sz w:val="20"/>
          <w:szCs w:val="20"/>
          <w:lang w:val="es-ES"/>
        </w:rPr>
        <w:t>asunto</w:t>
      </w:r>
      <w:r w:rsidR="00501FCD" w:rsidRPr="00047DDD">
        <w:rPr>
          <w:rFonts w:asciiTheme="majorHAnsi" w:hAnsiTheme="majorHAnsi"/>
          <w:sz w:val="20"/>
          <w:szCs w:val="20"/>
          <w:lang w:val="es-ES"/>
        </w:rPr>
        <w:t>, la parte petic</w:t>
      </w:r>
      <w:r w:rsidR="001D1844" w:rsidRPr="00047DDD">
        <w:rPr>
          <w:rFonts w:asciiTheme="majorHAnsi" w:hAnsiTheme="majorHAnsi"/>
          <w:sz w:val="20"/>
          <w:szCs w:val="20"/>
          <w:lang w:val="es-ES"/>
        </w:rPr>
        <w:t xml:space="preserve">ionaria no ha presentado información completa sobre los recursos agotados por cada presunta víctima para impugnar la terminación de su empleo. </w:t>
      </w:r>
      <w:r w:rsidR="00E575C1">
        <w:rPr>
          <w:rFonts w:asciiTheme="majorHAnsi" w:hAnsiTheme="majorHAnsi"/>
          <w:sz w:val="20"/>
          <w:szCs w:val="20"/>
          <w:lang w:val="es-ES"/>
        </w:rPr>
        <w:t>Adicionalmente</w:t>
      </w:r>
      <w:r w:rsidR="00373DC5" w:rsidRPr="00047DDD">
        <w:rPr>
          <w:rFonts w:asciiTheme="majorHAnsi" w:hAnsiTheme="majorHAnsi"/>
          <w:sz w:val="20"/>
          <w:szCs w:val="20"/>
          <w:lang w:val="es-ES"/>
        </w:rPr>
        <w:t>, la Comisión observa que las sentencias de la justicia laboral cuyas copias han sido aportadas por la parte peticionaria fueron emitidas más de 6 meses antes de la presentación de la petición.  La Comisi</w:t>
      </w:r>
      <w:r w:rsidR="00196DCE" w:rsidRPr="00047DDD">
        <w:rPr>
          <w:rFonts w:asciiTheme="majorHAnsi" w:hAnsiTheme="majorHAnsi"/>
          <w:sz w:val="20"/>
          <w:szCs w:val="20"/>
          <w:lang w:val="es-ES"/>
        </w:rPr>
        <w:t>ón considera que los procesos ante la justicia laboral constituían los recursos ordinarios que las presuntas víctimas debían agotar con respecto a la terminación de su relación laboral y, por ende, que las sentencias de cierre de esta jurisdicción constituye</w:t>
      </w:r>
      <w:r>
        <w:rPr>
          <w:rFonts w:asciiTheme="majorHAnsi" w:hAnsiTheme="majorHAnsi"/>
          <w:sz w:val="20"/>
          <w:szCs w:val="20"/>
          <w:lang w:val="es-ES"/>
        </w:rPr>
        <w:t>n</w:t>
      </w:r>
      <w:r w:rsidR="00196DCE" w:rsidRPr="00047DDD">
        <w:rPr>
          <w:rFonts w:asciiTheme="majorHAnsi" w:hAnsiTheme="majorHAnsi"/>
          <w:sz w:val="20"/>
          <w:szCs w:val="20"/>
          <w:lang w:val="es-ES"/>
        </w:rPr>
        <w:t xml:space="preserve"> </w:t>
      </w:r>
      <w:r>
        <w:rPr>
          <w:rFonts w:asciiTheme="majorHAnsi" w:hAnsiTheme="majorHAnsi"/>
          <w:sz w:val="20"/>
          <w:szCs w:val="20"/>
          <w:lang w:val="es-ES"/>
        </w:rPr>
        <w:t xml:space="preserve">las </w:t>
      </w:r>
      <w:r w:rsidR="00196DCE" w:rsidRPr="00047DDD">
        <w:rPr>
          <w:rFonts w:asciiTheme="majorHAnsi" w:hAnsiTheme="majorHAnsi"/>
          <w:sz w:val="20"/>
          <w:szCs w:val="20"/>
          <w:lang w:val="es-ES"/>
        </w:rPr>
        <w:t xml:space="preserve">decisiones definitivas con respecto a este reclamo. A juicio de la Comisión, </w:t>
      </w:r>
      <w:r w:rsidR="00373DC5" w:rsidRPr="00047DDD">
        <w:rPr>
          <w:rFonts w:asciiTheme="majorHAnsi" w:hAnsiTheme="majorHAnsi"/>
          <w:sz w:val="20"/>
          <w:szCs w:val="20"/>
          <w:lang w:val="es-ES"/>
        </w:rPr>
        <w:t xml:space="preserve">las acciones posteriores interpuestas para reclamar el </w:t>
      </w:r>
      <w:r w:rsidR="00196DCE" w:rsidRPr="00047DDD">
        <w:rPr>
          <w:rFonts w:asciiTheme="majorHAnsi" w:hAnsiTheme="majorHAnsi"/>
          <w:sz w:val="20"/>
          <w:szCs w:val="20"/>
          <w:lang w:val="es-ES"/>
        </w:rPr>
        <w:t xml:space="preserve">cumplimiento de una recomendación de la OIT y la tutela del derecho a la igualdad </w:t>
      </w:r>
      <w:r>
        <w:rPr>
          <w:rFonts w:asciiTheme="majorHAnsi" w:hAnsiTheme="majorHAnsi"/>
          <w:sz w:val="20"/>
          <w:szCs w:val="20"/>
          <w:lang w:val="es-ES"/>
        </w:rPr>
        <w:t xml:space="preserve">ante la ley tenían un objeto distinto, y por tal motivo </w:t>
      </w:r>
      <w:r w:rsidR="00196DCE" w:rsidRPr="00047DDD">
        <w:rPr>
          <w:rFonts w:asciiTheme="majorHAnsi" w:hAnsiTheme="majorHAnsi"/>
          <w:sz w:val="20"/>
          <w:szCs w:val="20"/>
          <w:lang w:val="es-ES"/>
        </w:rPr>
        <w:t>no pueden considerarse parte de una continuidad procesal ni recursos extraordinarios interpuestos contra estas decisiones. Por estas razones, la Comisión estima que el extremo de la petici</w:t>
      </w:r>
      <w:r w:rsidR="00B10955" w:rsidRPr="00047DDD">
        <w:rPr>
          <w:rFonts w:asciiTheme="majorHAnsi" w:hAnsiTheme="majorHAnsi"/>
          <w:sz w:val="20"/>
          <w:szCs w:val="20"/>
          <w:lang w:val="es-ES"/>
        </w:rPr>
        <w:t xml:space="preserve">ón referente a la desvinculación laboral de las presentes víctimas resulta inadmisible con fundamento en el artículo 46.1(b) de </w:t>
      </w:r>
      <w:r w:rsidR="00B10955" w:rsidRPr="00047DDD">
        <w:rPr>
          <w:rFonts w:asciiTheme="majorHAnsi" w:hAnsiTheme="majorHAnsi"/>
          <w:sz w:val="20"/>
          <w:szCs w:val="20"/>
          <w:lang w:val="es-ES"/>
        </w:rPr>
        <w:lastRenderedPageBreak/>
        <w:t xml:space="preserve">la </w:t>
      </w:r>
      <w:r w:rsidR="00B409C3">
        <w:rPr>
          <w:rFonts w:asciiTheme="majorHAnsi" w:hAnsiTheme="majorHAnsi"/>
          <w:sz w:val="20"/>
          <w:szCs w:val="20"/>
          <w:lang w:val="es-ES"/>
        </w:rPr>
        <w:t>Convención Americana</w:t>
      </w:r>
      <w:r w:rsidR="00B10955" w:rsidRPr="00047DDD">
        <w:rPr>
          <w:rFonts w:asciiTheme="majorHAnsi" w:hAnsiTheme="majorHAnsi"/>
          <w:sz w:val="20"/>
          <w:szCs w:val="20"/>
          <w:lang w:val="es-ES"/>
        </w:rPr>
        <w:t xml:space="preserve"> con respecto a aquellas víctimas cuyo agotamiento de la jurisdicción laboral se ha corroborado</w:t>
      </w:r>
      <w:r w:rsidR="00B409C3">
        <w:rPr>
          <w:rFonts w:asciiTheme="majorHAnsi" w:hAnsiTheme="majorHAnsi"/>
          <w:sz w:val="20"/>
          <w:szCs w:val="20"/>
          <w:lang w:val="es-ES"/>
        </w:rPr>
        <w:t>;</w:t>
      </w:r>
      <w:r w:rsidR="00B10955" w:rsidRPr="00047DDD">
        <w:rPr>
          <w:rFonts w:asciiTheme="majorHAnsi" w:hAnsiTheme="majorHAnsi"/>
          <w:sz w:val="20"/>
          <w:szCs w:val="20"/>
          <w:lang w:val="es-ES"/>
        </w:rPr>
        <w:t xml:space="preserve"> y con fundamento en el artículo 46.1(a) en el caso de las demás. </w:t>
      </w:r>
    </w:p>
    <w:p w14:paraId="06D1D6EC" w14:textId="38E7D14F" w:rsidR="00AA3690" w:rsidRPr="00047DDD" w:rsidRDefault="00B10955" w:rsidP="00CD2FFF">
      <w:pPr>
        <w:numPr>
          <w:ilvl w:val="0"/>
          <w:numId w:val="55"/>
        </w:numPr>
        <w:suppressAutoHyphens/>
        <w:spacing w:after="120"/>
        <w:jc w:val="both"/>
        <w:rPr>
          <w:rFonts w:asciiTheme="majorHAnsi" w:hAnsiTheme="majorHAnsi"/>
          <w:b/>
          <w:bCs/>
          <w:sz w:val="20"/>
          <w:szCs w:val="20"/>
          <w:lang w:val="es-ES"/>
        </w:rPr>
      </w:pPr>
      <w:r w:rsidRPr="00047DDD">
        <w:rPr>
          <w:rFonts w:asciiTheme="majorHAnsi" w:hAnsiTheme="majorHAnsi"/>
          <w:sz w:val="20"/>
          <w:szCs w:val="20"/>
          <w:lang w:val="es-ES"/>
        </w:rPr>
        <w:t>Por otr</w:t>
      </w:r>
      <w:r w:rsidR="00B409C3">
        <w:rPr>
          <w:rFonts w:asciiTheme="majorHAnsi" w:hAnsiTheme="majorHAnsi"/>
          <w:sz w:val="20"/>
          <w:szCs w:val="20"/>
          <w:lang w:val="es-ES"/>
        </w:rPr>
        <w:t>o lado</w:t>
      </w:r>
      <w:r w:rsidR="001D1844" w:rsidRPr="00047DDD">
        <w:rPr>
          <w:rFonts w:asciiTheme="majorHAnsi" w:hAnsiTheme="majorHAnsi"/>
          <w:sz w:val="20"/>
          <w:szCs w:val="20"/>
          <w:lang w:val="es-ES"/>
        </w:rPr>
        <w:t>,</w:t>
      </w:r>
      <w:r w:rsidRPr="00047DDD">
        <w:rPr>
          <w:rFonts w:asciiTheme="majorHAnsi" w:hAnsiTheme="majorHAnsi"/>
          <w:sz w:val="20"/>
          <w:szCs w:val="20"/>
          <w:lang w:val="es-ES"/>
        </w:rPr>
        <w:t xml:space="preserve"> la parte peticionaria</w:t>
      </w:r>
      <w:r w:rsidR="001D1844" w:rsidRPr="00047DDD">
        <w:rPr>
          <w:rFonts w:asciiTheme="majorHAnsi" w:hAnsiTheme="majorHAnsi"/>
          <w:sz w:val="20"/>
          <w:szCs w:val="20"/>
          <w:lang w:val="es-ES"/>
        </w:rPr>
        <w:t xml:space="preserve"> ha presentado </w:t>
      </w:r>
      <w:r w:rsidR="00B409C3">
        <w:rPr>
          <w:rFonts w:asciiTheme="majorHAnsi" w:hAnsiTheme="majorHAnsi"/>
          <w:sz w:val="20"/>
          <w:szCs w:val="20"/>
          <w:lang w:val="es-ES"/>
        </w:rPr>
        <w:t>varias</w:t>
      </w:r>
      <w:r w:rsidR="001D1844" w:rsidRPr="00047DDD">
        <w:rPr>
          <w:rFonts w:asciiTheme="majorHAnsi" w:hAnsiTheme="majorHAnsi"/>
          <w:sz w:val="20"/>
          <w:szCs w:val="20"/>
          <w:lang w:val="es-ES"/>
        </w:rPr>
        <w:t xml:space="preserve"> sentencias de tutela que demuestran un criterio uniforme de los tribunales domésticos en rechazo de </w:t>
      </w:r>
      <w:r w:rsidR="00B409C3">
        <w:rPr>
          <w:rFonts w:asciiTheme="majorHAnsi" w:hAnsiTheme="majorHAnsi"/>
          <w:sz w:val="20"/>
          <w:szCs w:val="20"/>
          <w:lang w:val="es-ES"/>
        </w:rPr>
        <w:t>los reclamos</w:t>
      </w:r>
      <w:r w:rsidR="001D1844" w:rsidRPr="00047DDD">
        <w:rPr>
          <w:rFonts w:asciiTheme="majorHAnsi" w:hAnsiTheme="majorHAnsi"/>
          <w:sz w:val="20"/>
          <w:szCs w:val="20"/>
          <w:lang w:val="es-ES"/>
        </w:rPr>
        <w:t xml:space="preserve"> de las presuntas víctimas con respecto a la presunta violación de su derecho a la igualdad ante la ley y el supuesto incumplimiento de una recomendación de la </w:t>
      </w:r>
      <w:r w:rsidR="004E6834" w:rsidRPr="00047DDD">
        <w:rPr>
          <w:rFonts w:asciiTheme="majorHAnsi" w:hAnsiTheme="majorHAnsi"/>
          <w:sz w:val="20"/>
          <w:szCs w:val="20"/>
          <w:lang w:val="es-ES"/>
        </w:rPr>
        <w:t>OIT.</w:t>
      </w:r>
      <w:r w:rsidR="00AA3690" w:rsidRPr="00047DDD">
        <w:rPr>
          <w:rFonts w:asciiTheme="majorHAnsi" w:hAnsiTheme="majorHAnsi"/>
          <w:sz w:val="20"/>
          <w:szCs w:val="20"/>
          <w:lang w:val="es-ES"/>
        </w:rPr>
        <w:t xml:space="preserve"> La Comisión considera que las acciones de tutela constituían un recurso apropiado para que las presuntas víctimas plantearan </w:t>
      </w:r>
      <w:r w:rsidR="00B409C3">
        <w:rPr>
          <w:rFonts w:asciiTheme="majorHAnsi" w:hAnsiTheme="majorHAnsi"/>
          <w:sz w:val="20"/>
          <w:szCs w:val="20"/>
          <w:lang w:val="es-ES"/>
        </w:rPr>
        <w:t xml:space="preserve">estos dos </w:t>
      </w:r>
      <w:r w:rsidR="00AA3690" w:rsidRPr="00047DDD">
        <w:rPr>
          <w:rFonts w:asciiTheme="majorHAnsi" w:hAnsiTheme="majorHAnsi"/>
          <w:sz w:val="20"/>
          <w:szCs w:val="20"/>
          <w:lang w:val="es-ES"/>
        </w:rPr>
        <w:t>reclam</w:t>
      </w:r>
      <w:r w:rsidR="00B409C3">
        <w:rPr>
          <w:rFonts w:asciiTheme="majorHAnsi" w:hAnsiTheme="majorHAnsi"/>
          <w:sz w:val="20"/>
          <w:szCs w:val="20"/>
          <w:lang w:val="es-ES"/>
        </w:rPr>
        <w:t>os en el ámbito interno</w:t>
      </w:r>
      <w:r w:rsidR="00AA3690" w:rsidRPr="00047DDD">
        <w:rPr>
          <w:rFonts w:asciiTheme="majorHAnsi" w:hAnsiTheme="majorHAnsi"/>
          <w:sz w:val="20"/>
          <w:szCs w:val="20"/>
          <w:lang w:val="es-ES"/>
        </w:rPr>
        <w:t xml:space="preserve">. </w:t>
      </w:r>
      <w:r w:rsidR="00BE014F" w:rsidRPr="00047DDD">
        <w:rPr>
          <w:rFonts w:asciiTheme="majorHAnsi" w:hAnsiTheme="majorHAnsi"/>
          <w:sz w:val="20"/>
          <w:szCs w:val="20"/>
          <w:lang w:val="es-ES"/>
        </w:rPr>
        <w:t xml:space="preserve"> El </w:t>
      </w:r>
      <w:r w:rsidR="00B409C3">
        <w:rPr>
          <w:rFonts w:asciiTheme="majorHAnsi" w:hAnsiTheme="majorHAnsi"/>
          <w:sz w:val="20"/>
          <w:szCs w:val="20"/>
          <w:lang w:val="es-ES"/>
        </w:rPr>
        <w:t>E</w:t>
      </w:r>
      <w:r w:rsidR="00BE014F" w:rsidRPr="00047DDD">
        <w:rPr>
          <w:rFonts w:asciiTheme="majorHAnsi" w:hAnsiTheme="majorHAnsi"/>
          <w:sz w:val="20"/>
          <w:szCs w:val="20"/>
          <w:lang w:val="es-ES"/>
        </w:rPr>
        <w:t>stado no ha indicado</w:t>
      </w:r>
      <w:r w:rsidR="00B409C3">
        <w:rPr>
          <w:rFonts w:asciiTheme="majorHAnsi" w:hAnsiTheme="majorHAnsi"/>
          <w:sz w:val="20"/>
          <w:szCs w:val="20"/>
          <w:lang w:val="es-ES"/>
        </w:rPr>
        <w:t>,</w:t>
      </w:r>
      <w:r w:rsidR="00BE014F" w:rsidRPr="00047DDD">
        <w:rPr>
          <w:rFonts w:asciiTheme="majorHAnsi" w:hAnsiTheme="majorHAnsi"/>
          <w:sz w:val="20"/>
          <w:szCs w:val="20"/>
          <w:lang w:val="es-ES"/>
        </w:rPr>
        <w:t xml:space="preserve"> ni surge del expediente</w:t>
      </w:r>
      <w:r w:rsidR="00B409C3">
        <w:rPr>
          <w:rFonts w:asciiTheme="majorHAnsi" w:hAnsiTheme="majorHAnsi"/>
          <w:sz w:val="20"/>
          <w:szCs w:val="20"/>
          <w:lang w:val="es-ES"/>
        </w:rPr>
        <w:t>,</w:t>
      </w:r>
      <w:r w:rsidR="00BE014F" w:rsidRPr="00047DDD">
        <w:rPr>
          <w:rFonts w:asciiTheme="majorHAnsi" w:hAnsiTheme="majorHAnsi"/>
          <w:sz w:val="20"/>
          <w:szCs w:val="20"/>
          <w:lang w:val="es-ES"/>
        </w:rPr>
        <w:t xml:space="preserve"> que </w:t>
      </w:r>
      <w:r w:rsidR="005408AF">
        <w:rPr>
          <w:rFonts w:asciiTheme="majorHAnsi" w:hAnsiTheme="majorHAnsi"/>
          <w:sz w:val="20"/>
          <w:szCs w:val="20"/>
          <w:lang w:val="es-ES"/>
        </w:rPr>
        <w:t>hubiera</w:t>
      </w:r>
      <w:r w:rsidR="00BE014F" w:rsidRPr="00047DDD">
        <w:rPr>
          <w:rFonts w:asciiTheme="majorHAnsi" w:hAnsiTheme="majorHAnsi"/>
          <w:sz w:val="20"/>
          <w:szCs w:val="20"/>
          <w:lang w:val="es-ES"/>
        </w:rPr>
        <w:t xml:space="preserve"> recursos adicionales no agotados que </w:t>
      </w:r>
      <w:r w:rsidR="00B409C3">
        <w:rPr>
          <w:rFonts w:asciiTheme="majorHAnsi" w:hAnsiTheme="majorHAnsi"/>
          <w:sz w:val="20"/>
          <w:szCs w:val="20"/>
          <w:lang w:val="es-ES"/>
        </w:rPr>
        <w:t>podrían</w:t>
      </w:r>
      <w:r w:rsidR="00BE014F" w:rsidRPr="00047DDD">
        <w:rPr>
          <w:rFonts w:asciiTheme="majorHAnsi" w:hAnsiTheme="majorHAnsi"/>
          <w:sz w:val="20"/>
          <w:szCs w:val="20"/>
          <w:lang w:val="es-ES"/>
        </w:rPr>
        <w:t xml:space="preserve"> haber permitido a las presuntas víctimas continuar planteando </w:t>
      </w:r>
      <w:r w:rsidR="00B409C3">
        <w:rPr>
          <w:rFonts w:asciiTheme="majorHAnsi" w:hAnsiTheme="majorHAnsi"/>
          <w:sz w:val="20"/>
          <w:szCs w:val="20"/>
          <w:lang w:val="es-ES"/>
        </w:rPr>
        <w:t>tales</w:t>
      </w:r>
      <w:r w:rsidR="00BE014F" w:rsidRPr="00047DDD">
        <w:rPr>
          <w:rFonts w:asciiTheme="majorHAnsi" w:hAnsiTheme="majorHAnsi"/>
          <w:sz w:val="20"/>
          <w:szCs w:val="20"/>
          <w:lang w:val="es-ES"/>
        </w:rPr>
        <w:t xml:space="preserve"> reclamos en el ámbito interno. </w:t>
      </w:r>
      <w:r w:rsidR="00AA3690" w:rsidRPr="00047DDD">
        <w:rPr>
          <w:rFonts w:asciiTheme="majorHAnsi" w:hAnsiTheme="majorHAnsi"/>
          <w:sz w:val="20"/>
          <w:szCs w:val="20"/>
          <w:lang w:val="es-ES"/>
        </w:rPr>
        <w:t>Por estas razones, la Comisión considera que la parte de la petición que se re</w:t>
      </w:r>
      <w:r w:rsidR="00BE014F" w:rsidRPr="00047DDD">
        <w:rPr>
          <w:rFonts w:asciiTheme="majorHAnsi" w:hAnsiTheme="majorHAnsi"/>
          <w:sz w:val="20"/>
          <w:szCs w:val="20"/>
          <w:lang w:val="es-ES"/>
        </w:rPr>
        <w:t xml:space="preserve">fiere a estos dos reclamos cumple con los requisitos del artículo 46.1(a) en el caso de las presuntas víctimas cuyo agotamiento de la acción de tutela se encuentra verificado en expediente. </w:t>
      </w:r>
      <w:r w:rsidR="00BE014F" w:rsidRPr="00047DDD">
        <w:rPr>
          <w:rFonts w:asciiTheme="majorHAnsi" w:hAnsiTheme="majorHAnsi"/>
          <w:bCs/>
          <w:sz w:val="20"/>
          <w:szCs w:val="20"/>
          <w:lang w:val="es-ES"/>
        </w:rPr>
        <w:t xml:space="preserve">Dado que el Estado no ha controvertido </w:t>
      </w:r>
      <w:r w:rsidR="00B409C3">
        <w:rPr>
          <w:rFonts w:asciiTheme="majorHAnsi" w:hAnsiTheme="majorHAnsi"/>
          <w:bCs/>
          <w:sz w:val="20"/>
          <w:szCs w:val="20"/>
          <w:lang w:val="es-ES"/>
        </w:rPr>
        <w:t xml:space="preserve">lo afirmado por la parte peticionaria en el sentido </w:t>
      </w:r>
      <w:r w:rsidR="00BE014F" w:rsidRPr="00047DDD">
        <w:rPr>
          <w:rFonts w:asciiTheme="majorHAnsi" w:hAnsiTheme="majorHAnsi"/>
          <w:bCs/>
          <w:sz w:val="20"/>
          <w:szCs w:val="20"/>
          <w:lang w:val="es-ES"/>
        </w:rPr>
        <w:t>que las referidas acciones de tutela habrían sido definitivamente archivadas en septiembre, octubre y noviembre de 2006</w:t>
      </w:r>
      <w:r w:rsidR="00B409C3">
        <w:rPr>
          <w:rFonts w:asciiTheme="majorHAnsi" w:hAnsiTheme="majorHAnsi"/>
          <w:bCs/>
          <w:sz w:val="20"/>
          <w:szCs w:val="20"/>
          <w:lang w:val="es-ES"/>
        </w:rPr>
        <w:t>, respectivamente;</w:t>
      </w:r>
      <w:r w:rsidR="00BE014F" w:rsidRPr="00047DDD">
        <w:rPr>
          <w:rFonts w:asciiTheme="majorHAnsi" w:hAnsiTheme="majorHAnsi"/>
          <w:bCs/>
          <w:sz w:val="20"/>
          <w:szCs w:val="20"/>
          <w:lang w:val="es-ES"/>
        </w:rPr>
        <w:t xml:space="preserve"> y </w:t>
      </w:r>
      <w:r w:rsidR="00B409C3">
        <w:rPr>
          <w:rFonts w:asciiTheme="majorHAnsi" w:hAnsiTheme="majorHAnsi"/>
          <w:bCs/>
          <w:sz w:val="20"/>
          <w:szCs w:val="20"/>
          <w:lang w:val="es-ES"/>
        </w:rPr>
        <w:t xml:space="preserve">que </w:t>
      </w:r>
      <w:r w:rsidR="00BE014F" w:rsidRPr="00047DDD">
        <w:rPr>
          <w:rFonts w:asciiTheme="majorHAnsi" w:hAnsiTheme="majorHAnsi"/>
          <w:bCs/>
          <w:sz w:val="20"/>
          <w:szCs w:val="20"/>
          <w:lang w:val="es-ES"/>
        </w:rPr>
        <w:t xml:space="preserve">la petición </w:t>
      </w:r>
      <w:r w:rsidR="00B409C3">
        <w:rPr>
          <w:rFonts w:asciiTheme="majorHAnsi" w:hAnsiTheme="majorHAnsi"/>
          <w:bCs/>
          <w:sz w:val="20"/>
          <w:szCs w:val="20"/>
          <w:lang w:val="es-ES"/>
        </w:rPr>
        <w:t xml:space="preserve">fue </w:t>
      </w:r>
      <w:r w:rsidR="00BE014F" w:rsidRPr="00047DDD">
        <w:rPr>
          <w:rFonts w:asciiTheme="majorHAnsi" w:hAnsiTheme="majorHAnsi"/>
          <w:bCs/>
          <w:sz w:val="20"/>
          <w:szCs w:val="20"/>
          <w:lang w:val="es-ES"/>
        </w:rPr>
        <w:t xml:space="preserve">presentada el </w:t>
      </w:r>
      <w:r w:rsidR="00BE014F" w:rsidRPr="00047DDD">
        <w:rPr>
          <w:rFonts w:ascii="Cambria" w:hAnsi="Cambria"/>
          <w:bCs/>
          <w:sz w:val="19"/>
          <w:szCs w:val="19"/>
          <w:lang w:val="es-ES"/>
        </w:rPr>
        <w:t xml:space="preserve">23 de marzo de 2007, la Comisión estima que con respecto a </w:t>
      </w:r>
      <w:r w:rsidR="00B409C3">
        <w:rPr>
          <w:rFonts w:ascii="Cambria" w:hAnsi="Cambria"/>
          <w:bCs/>
          <w:sz w:val="19"/>
          <w:szCs w:val="19"/>
          <w:lang w:val="es-ES"/>
        </w:rPr>
        <w:t>dichas</w:t>
      </w:r>
      <w:r w:rsidR="00BE014F" w:rsidRPr="00047DDD">
        <w:rPr>
          <w:rFonts w:ascii="Cambria" w:hAnsi="Cambria"/>
          <w:bCs/>
          <w:sz w:val="19"/>
          <w:szCs w:val="19"/>
          <w:lang w:val="es-ES"/>
        </w:rPr>
        <w:t xml:space="preserve"> personas la parte de </w:t>
      </w:r>
      <w:r w:rsidR="00B409C3">
        <w:rPr>
          <w:rFonts w:ascii="Cambria" w:hAnsi="Cambria"/>
          <w:bCs/>
          <w:sz w:val="19"/>
          <w:szCs w:val="19"/>
          <w:lang w:val="es-ES"/>
        </w:rPr>
        <w:t>la</w:t>
      </w:r>
      <w:r w:rsidR="00BE014F" w:rsidRPr="00047DDD">
        <w:rPr>
          <w:rFonts w:ascii="Cambria" w:hAnsi="Cambria"/>
          <w:bCs/>
          <w:sz w:val="19"/>
          <w:szCs w:val="19"/>
          <w:lang w:val="es-ES"/>
        </w:rPr>
        <w:t xml:space="preserve"> petición referente a estos dos reclamos también cumple con los requisitos del artículo 46.1(b) de la Convención. Americana</w:t>
      </w:r>
      <w:r w:rsidR="00B409C3">
        <w:rPr>
          <w:rFonts w:ascii="Cambria" w:hAnsi="Cambria"/>
          <w:bCs/>
          <w:sz w:val="19"/>
          <w:szCs w:val="19"/>
          <w:lang w:val="es-ES"/>
        </w:rPr>
        <w:t>.</w:t>
      </w:r>
    </w:p>
    <w:p w14:paraId="3DA5F926" w14:textId="3E530F82" w:rsidR="00CD2FFF" w:rsidRPr="00047DDD" w:rsidRDefault="004E6834" w:rsidP="00CD2FFF">
      <w:pPr>
        <w:numPr>
          <w:ilvl w:val="0"/>
          <w:numId w:val="55"/>
        </w:numPr>
        <w:suppressAutoHyphens/>
        <w:spacing w:after="120"/>
        <w:jc w:val="both"/>
        <w:rPr>
          <w:rFonts w:asciiTheme="majorHAnsi" w:hAnsiTheme="majorHAnsi"/>
          <w:b/>
          <w:bCs/>
          <w:sz w:val="20"/>
          <w:szCs w:val="20"/>
          <w:lang w:val="es-ES"/>
        </w:rPr>
      </w:pPr>
      <w:r w:rsidRPr="00047DDD">
        <w:rPr>
          <w:rFonts w:asciiTheme="majorHAnsi" w:hAnsiTheme="majorHAnsi"/>
          <w:sz w:val="20"/>
          <w:szCs w:val="20"/>
          <w:lang w:val="es-ES"/>
        </w:rPr>
        <w:t xml:space="preserve"> </w:t>
      </w:r>
      <w:r w:rsidR="00BE014F" w:rsidRPr="00047DDD">
        <w:rPr>
          <w:rFonts w:asciiTheme="majorHAnsi" w:hAnsiTheme="majorHAnsi"/>
          <w:sz w:val="20"/>
          <w:szCs w:val="20"/>
          <w:lang w:val="es-ES"/>
        </w:rPr>
        <w:t xml:space="preserve">En el caso de las presuntas víctimas cuyo agotamiento de la acción de tutela no se encuentra verificado, </w:t>
      </w:r>
      <w:r w:rsidR="00B409C3">
        <w:rPr>
          <w:rFonts w:asciiTheme="majorHAnsi" w:hAnsiTheme="majorHAnsi"/>
          <w:sz w:val="20"/>
          <w:szCs w:val="20"/>
          <w:lang w:val="es-ES"/>
        </w:rPr>
        <w:t>l</w:t>
      </w:r>
      <w:r w:rsidR="00BE014F" w:rsidRPr="00047DDD">
        <w:rPr>
          <w:rFonts w:asciiTheme="majorHAnsi" w:hAnsiTheme="majorHAnsi"/>
          <w:sz w:val="20"/>
          <w:szCs w:val="20"/>
          <w:lang w:val="es-ES"/>
        </w:rPr>
        <w:t>a Comisión ha d</w:t>
      </w:r>
      <w:r w:rsidR="004A34D7" w:rsidRPr="00047DDD">
        <w:rPr>
          <w:rFonts w:asciiTheme="majorHAnsi" w:hAnsiTheme="majorHAnsi"/>
          <w:sz w:val="20"/>
          <w:szCs w:val="20"/>
          <w:lang w:val="es-ES"/>
        </w:rPr>
        <w:t xml:space="preserve">eterminado </w:t>
      </w:r>
      <w:r w:rsidR="00B409C3">
        <w:rPr>
          <w:rFonts w:asciiTheme="majorHAnsi" w:hAnsiTheme="majorHAnsi"/>
          <w:sz w:val="20"/>
          <w:szCs w:val="20"/>
          <w:lang w:val="es-ES"/>
        </w:rPr>
        <w:t xml:space="preserve">anteriormente </w:t>
      </w:r>
      <w:r w:rsidR="004A34D7" w:rsidRPr="00047DDD">
        <w:rPr>
          <w:rFonts w:asciiTheme="majorHAnsi" w:hAnsiTheme="majorHAnsi"/>
          <w:sz w:val="20"/>
          <w:szCs w:val="20"/>
          <w:lang w:val="es-ES"/>
        </w:rPr>
        <w:t xml:space="preserve">que cuando </w:t>
      </w:r>
      <w:r w:rsidR="00B409C3">
        <w:rPr>
          <w:rFonts w:asciiTheme="majorHAnsi" w:hAnsiTheme="majorHAnsi"/>
          <w:sz w:val="20"/>
          <w:szCs w:val="20"/>
          <w:lang w:val="es-ES"/>
        </w:rPr>
        <w:t>hay</w:t>
      </w:r>
      <w:r w:rsidR="004A34D7" w:rsidRPr="00047DDD">
        <w:rPr>
          <w:rFonts w:asciiTheme="majorHAnsi" w:hAnsiTheme="majorHAnsi"/>
          <w:sz w:val="20"/>
          <w:szCs w:val="20"/>
          <w:lang w:val="es-ES"/>
        </w:rPr>
        <w:t xml:space="preserve"> jurisprudencia constante y reiterada por parte de los tribunales domésticos respecto al tema objeto de una petición</w:t>
      </w:r>
      <w:r w:rsidR="00B409C3">
        <w:rPr>
          <w:rFonts w:asciiTheme="majorHAnsi" w:hAnsiTheme="majorHAnsi"/>
          <w:sz w:val="20"/>
          <w:szCs w:val="20"/>
          <w:lang w:val="es-ES"/>
        </w:rPr>
        <w:t>,</w:t>
      </w:r>
      <w:r w:rsidR="004A34D7" w:rsidRPr="00047DDD">
        <w:rPr>
          <w:rFonts w:asciiTheme="majorHAnsi" w:hAnsiTheme="majorHAnsi"/>
          <w:sz w:val="20"/>
          <w:szCs w:val="20"/>
          <w:lang w:val="es-ES"/>
        </w:rPr>
        <w:t xml:space="preserve"> no es exigible que todas las presuntas víctimas planteen el mismo reclamo ante la jurisdicción interna cuando los recursos no tienen posibilidades razonables de éxito y el Estado ya “</w:t>
      </w:r>
      <w:r w:rsidR="004A34D7" w:rsidRPr="00047DDD">
        <w:rPr>
          <w:rFonts w:asciiTheme="majorHAnsi" w:hAnsiTheme="majorHAnsi"/>
          <w:sz w:val="20"/>
          <w:szCs w:val="20"/>
          <w:lang w:val="es-ES_tradnl"/>
        </w:rPr>
        <w:t>ha tenido amplias oportunidades para conocer las cuestiones alegadas en la [sic] petición así como diversas ocasiones para remediar, de considerarlo pertinente, la situación alegada por las presuntas víctimas”.</w:t>
      </w:r>
      <w:r w:rsidR="00134CD0" w:rsidRPr="00047DDD">
        <w:rPr>
          <w:rStyle w:val="FootnoteReference"/>
          <w:rFonts w:asciiTheme="majorHAnsi" w:hAnsiTheme="majorHAnsi"/>
          <w:sz w:val="20"/>
          <w:szCs w:val="20"/>
          <w:lang w:val="es-ES"/>
        </w:rPr>
        <w:footnoteReference w:id="9"/>
      </w:r>
      <w:r w:rsidR="004A34D7" w:rsidRPr="00047DDD">
        <w:rPr>
          <w:rFonts w:asciiTheme="majorHAnsi" w:hAnsiTheme="majorHAnsi"/>
          <w:sz w:val="20"/>
          <w:szCs w:val="20"/>
          <w:lang w:val="es-ES"/>
        </w:rPr>
        <w:t xml:space="preserve"> </w:t>
      </w:r>
      <w:r w:rsidR="00134CD0" w:rsidRPr="00047DDD">
        <w:rPr>
          <w:rFonts w:asciiTheme="majorHAnsi" w:hAnsiTheme="majorHAnsi"/>
          <w:sz w:val="20"/>
          <w:szCs w:val="20"/>
          <w:lang w:val="es-ES"/>
        </w:rPr>
        <w:t xml:space="preserve">Por </w:t>
      </w:r>
      <w:r w:rsidR="00B409C3">
        <w:rPr>
          <w:rFonts w:asciiTheme="majorHAnsi" w:hAnsiTheme="majorHAnsi"/>
          <w:sz w:val="20"/>
          <w:szCs w:val="20"/>
          <w:lang w:val="es-ES"/>
        </w:rPr>
        <w:t>ello</w:t>
      </w:r>
      <w:r w:rsidR="00134CD0" w:rsidRPr="00047DDD">
        <w:rPr>
          <w:rFonts w:asciiTheme="majorHAnsi" w:hAnsiTheme="majorHAnsi"/>
          <w:sz w:val="20"/>
          <w:szCs w:val="20"/>
          <w:lang w:val="es-ES"/>
        </w:rPr>
        <w:t>, la Comisión considera que</w:t>
      </w:r>
      <w:r w:rsidR="00B409C3" w:rsidRPr="00B409C3">
        <w:rPr>
          <w:rFonts w:asciiTheme="majorHAnsi" w:hAnsiTheme="majorHAnsi"/>
          <w:sz w:val="20"/>
          <w:szCs w:val="20"/>
          <w:lang w:val="es-ES"/>
        </w:rPr>
        <w:t xml:space="preserve"> </w:t>
      </w:r>
      <w:r w:rsidR="00B409C3" w:rsidRPr="00047DDD">
        <w:rPr>
          <w:rFonts w:asciiTheme="majorHAnsi" w:hAnsiTheme="majorHAnsi"/>
          <w:sz w:val="20"/>
          <w:szCs w:val="20"/>
          <w:lang w:val="es-ES"/>
        </w:rPr>
        <w:t>resulta aplicable</w:t>
      </w:r>
      <w:r w:rsidR="00134CD0" w:rsidRPr="00047DDD">
        <w:rPr>
          <w:rFonts w:asciiTheme="majorHAnsi" w:hAnsiTheme="majorHAnsi"/>
          <w:sz w:val="20"/>
          <w:szCs w:val="20"/>
          <w:lang w:val="es-ES"/>
        </w:rPr>
        <w:t xml:space="preserve"> con respecto a </w:t>
      </w:r>
      <w:r w:rsidR="004A34D7" w:rsidRPr="00047DDD">
        <w:rPr>
          <w:rFonts w:asciiTheme="majorHAnsi" w:hAnsiTheme="majorHAnsi"/>
          <w:sz w:val="20"/>
          <w:szCs w:val="20"/>
          <w:lang w:val="es-ES"/>
        </w:rPr>
        <w:t>estas presuntas víctima</w:t>
      </w:r>
      <w:r w:rsidR="00B409C3">
        <w:rPr>
          <w:rFonts w:asciiTheme="majorHAnsi" w:hAnsiTheme="majorHAnsi"/>
          <w:sz w:val="20"/>
          <w:szCs w:val="20"/>
          <w:lang w:val="es-ES"/>
        </w:rPr>
        <w:t>s</w:t>
      </w:r>
      <w:r w:rsidR="004A34D7" w:rsidRPr="00047DDD">
        <w:rPr>
          <w:rFonts w:asciiTheme="majorHAnsi" w:hAnsiTheme="majorHAnsi"/>
          <w:sz w:val="20"/>
          <w:szCs w:val="20"/>
          <w:lang w:val="es-ES"/>
        </w:rPr>
        <w:t xml:space="preserve"> la excepción al requisito de los agotamiento internos contemplada en el artículo 46.2(a) de la Convención Americana</w:t>
      </w:r>
      <w:r w:rsidR="00B409C3">
        <w:rPr>
          <w:rFonts w:asciiTheme="majorHAnsi" w:hAnsiTheme="majorHAnsi"/>
          <w:sz w:val="20"/>
          <w:szCs w:val="20"/>
          <w:lang w:val="es-ES"/>
        </w:rPr>
        <w:t>,</w:t>
      </w:r>
      <w:r w:rsidR="004A34D7" w:rsidRPr="00047DDD">
        <w:rPr>
          <w:rFonts w:asciiTheme="majorHAnsi" w:hAnsiTheme="majorHAnsi"/>
          <w:sz w:val="20"/>
          <w:szCs w:val="20"/>
          <w:lang w:val="es-ES"/>
        </w:rPr>
        <w:t xml:space="preserve"> pues resulta evidente que el recurso aplicable no tendría posibilidades razonables de éxito ante la jurisprudencia reiterada de los tribunales domésticos sobre la materia. D</w:t>
      </w:r>
      <w:r w:rsidR="00A443E6" w:rsidRPr="00047DDD">
        <w:rPr>
          <w:rFonts w:asciiTheme="majorHAnsi" w:hAnsiTheme="majorHAnsi"/>
          <w:sz w:val="20"/>
          <w:szCs w:val="20"/>
          <w:lang w:val="es-ES"/>
        </w:rPr>
        <w:t xml:space="preserve">e igual manera, </w:t>
      </w:r>
      <w:r w:rsidR="00B409C3">
        <w:rPr>
          <w:rFonts w:asciiTheme="majorHAnsi" w:hAnsiTheme="majorHAnsi"/>
          <w:sz w:val="20"/>
          <w:szCs w:val="20"/>
          <w:lang w:val="es-ES"/>
        </w:rPr>
        <w:t xml:space="preserve">en consideración de </w:t>
      </w:r>
      <w:r w:rsidR="00A443E6" w:rsidRPr="00047DDD">
        <w:rPr>
          <w:rFonts w:asciiTheme="majorHAnsi" w:hAnsiTheme="majorHAnsi"/>
          <w:sz w:val="20"/>
          <w:szCs w:val="20"/>
          <w:lang w:val="es-ES"/>
        </w:rPr>
        <w:t xml:space="preserve">la naturaleza y las circunstancias del caso y las fechas de las sentencias de tutela que constan en expediente, la Comisión concluye que la petición fue presentada dentro de plazo razonable en los términos del artículo 32.2 de su </w:t>
      </w:r>
      <w:r w:rsidR="00B409C3">
        <w:rPr>
          <w:rFonts w:asciiTheme="majorHAnsi" w:hAnsiTheme="majorHAnsi"/>
          <w:sz w:val="20"/>
          <w:szCs w:val="20"/>
          <w:lang w:val="es-ES"/>
        </w:rPr>
        <w:t>R</w:t>
      </w:r>
      <w:r w:rsidR="00A443E6" w:rsidRPr="00047DDD">
        <w:rPr>
          <w:rFonts w:asciiTheme="majorHAnsi" w:hAnsiTheme="majorHAnsi"/>
          <w:sz w:val="20"/>
          <w:szCs w:val="20"/>
          <w:lang w:val="es-ES"/>
        </w:rPr>
        <w:t>eglamento, con respecto a estas personas y en relación a los reclamos referentes a la presunta violación a la igualdad ante la ley e incumplimiento de una recomendación de la OIT.</w:t>
      </w:r>
    </w:p>
    <w:p w14:paraId="7090A929" w14:textId="6638D73D" w:rsidR="00F04591" w:rsidRPr="00047DDD" w:rsidRDefault="00F04591" w:rsidP="00A929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47DDD">
        <w:rPr>
          <w:rFonts w:asciiTheme="majorHAnsi" w:hAnsiTheme="majorHAnsi"/>
          <w:b/>
          <w:bCs/>
          <w:sz w:val="20"/>
          <w:szCs w:val="20"/>
          <w:lang w:val="es-ES"/>
        </w:rPr>
        <w:t>V</w:t>
      </w:r>
      <w:r w:rsidR="000E2789" w:rsidRPr="00047DDD">
        <w:rPr>
          <w:rFonts w:asciiTheme="majorHAnsi" w:hAnsiTheme="majorHAnsi"/>
          <w:b/>
          <w:bCs/>
          <w:sz w:val="20"/>
          <w:szCs w:val="20"/>
          <w:lang w:val="es-ES"/>
        </w:rPr>
        <w:t>I</w:t>
      </w:r>
      <w:r w:rsidRPr="00047DDD">
        <w:rPr>
          <w:rFonts w:asciiTheme="majorHAnsi" w:hAnsiTheme="majorHAnsi"/>
          <w:b/>
          <w:bCs/>
          <w:sz w:val="20"/>
          <w:szCs w:val="20"/>
          <w:lang w:val="es-ES"/>
        </w:rPr>
        <w:t xml:space="preserve">I. </w:t>
      </w:r>
      <w:r w:rsidRPr="00047DDD">
        <w:rPr>
          <w:rFonts w:asciiTheme="majorHAnsi" w:hAnsiTheme="majorHAnsi"/>
          <w:b/>
          <w:bCs/>
          <w:sz w:val="20"/>
          <w:szCs w:val="20"/>
          <w:lang w:val="es-ES"/>
        </w:rPr>
        <w:tab/>
        <w:t>CARACTERIZACIÓN</w:t>
      </w:r>
    </w:p>
    <w:p w14:paraId="6E3DE906" w14:textId="015590F0" w:rsidR="003E2134" w:rsidRPr="00047DDD" w:rsidRDefault="005408AF" w:rsidP="003E213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AR"/>
        </w:rPr>
      </w:pPr>
      <w:r>
        <w:rPr>
          <w:sz w:val="20"/>
          <w:szCs w:val="20"/>
          <w:lang w:val="es-AR"/>
        </w:rPr>
        <w:t xml:space="preserve">En cuanto a los alegatos </w:t>
      </w:r>
      <w:r w:rsidR="00A443E6" w:rsidRPr="00047DDD">
        <w:rPr>
          <w:sz w:val="20"/>
          <w:szCs w:val="20"/>
          <w:lang w:val="es-AR"/>
        </w:rPr>
        <w:t>que resulta</w:t>
      </w:r>
      <w:r>
        <w:rPr>
          <w:sz w:val="20"/>
          <w:szCs w:val="20"/>
          <w:lang w:val="es-AR"/>
        </w:rPr>
        <w:t>n</w:t>
      </w:r>
      <w:r w:rsidR="00A443E6" w:rsidRPr="00047DDD">
        <w:rPr>
          <w:sz w:val="20"/>
          <w:szCs w:val="20"/>
          <w:lang w:val="es-AR"/>
        </w:rPr>
        <w:t xml:space="preserve"> admisible</w:t>
      </w:r>
      <w:r>
        <w:rPr>
          <w:sz w:val="20"/>
          <w:szCs w:val="20"/>
          <w:lang w:val="es-AR"/>
        </w:rPr>
        <w:t>s</w:t>
      </w:r>
      <w:r w:rsidR="00A443E6" w:rsidRPr="00047DDD">
        <w:rPr>
          <w:sz w:val="20"/>
          <w:szCs w:val="20"/>
          <w:lang w:val="es-AR"/>
        </w:rPr>
        <w:t xml:space="preserve"> conforme a la sección VI de</w:t>
      </w:r>
      <w:r>
        <w:rPr>
          <w:sz w:val="20"/>
          <w:szCs w:val="20"/>
          <w:lang w:val="es-AR"/>
        </w:rPr>
        <w:t>l presente</w:t>
      </w:r>
      <w:r w:rsidR="00A443E6" w:rsidRPr="00047DDD">
        <w:rPr>
          <w:sz w:val="20"/>
          <w:szCs w:val="20"/>
          <w:lang w:val="es-AR"/>
        </w:rPr>
        <w:t xml:space="preserve"> informe,</w:t>
      </w:r>
      <w:r w:rsidR="00E46AF9" w:rsidRPr="00047DDD">
        <w:rPr>
          <w:sz w:val="20"/>
          <w:szCs w:val="20"/>
          <w:lang w:val="es-AR"/>
        </w:rPr>
        <w:t xml:space="preserve"> la </w:t>
      </w:r>
      <w:r w:rsidR="00B409C3">
        <w:rPr>
          <w:sz w:val="20"/>
          <w:szCs w:val="20"/>
          <w:lang w:val="es-AR"/>
        </w:rPr>
        <w:t xml:space="preserve">parte peticionaria </w:t>
      </w:r>
      <w:r>
        <w:rPr>
          <w:sz w:val="20"/>
          <w:szCs w:val="20"/>
          <w:lang w:val="es-AR"/>
        </w:rPr>
        <w:t xml:space="preserve">sostiene </w:t>
      </w:r>
      <w:r w:rsidR="00E46AF9" w:rsidRPr="00047DDD">
        <w:rPr>
          <w:sz w:val="20"/>
          <w:szCs w:val="20"/>
          <w:lang w:val="es-AR"/>
        </w:rPr>
        <w:t xml:space="preserve">que </w:t>
      </w:r>
      <w:r w:rsidR="00CD2FFF" w:rsidRPr="00047DDD">
        <w:rPr>
          <w:sz w:val="20"/>
          <w:szCs w:val="20"/>
          <w:lang w:val="es-AR"/>
        </w:rPr>
        <w:t xml:space="preserve">las presuntas víctimas no </w:t>
      </w:r>
      <w:r>
        <w:rPr>
          <w:sz w:val="20"/>
          <w:szCs w:val="20"/>
          <w:lang w:val="es-AR"/>
        </w:rPr>
        <w:t xml:space="preserve">fueron </w:t>
      </w:r>
      <w:r w:rsidR="00CD2FFF" w:rsidRPr="00047DDD">
        <w:rPr>
          <w:sz w:val="20"/>
          <w:szCs w:val="20"/>
          <w:lang w:val="es-AR"/>
        </w:rPr>
        <w:t>reintegr</w:t>
      </w:r>
      <w:r>
        <w:rPr>
          <w:sz w:val="20"/>
          <w:szCs w:val="20"/>
          <w:lang w:val="es-AR"/>
        </w:rPr>
        <w:t>adas</w:t>
      </w:r>
      <w:r w:rsidR="00CD2FFF" w:rsidRPr="00047DDD">
        <w:rPr>
          <w:sz w:val="20"/>
          <w:szCs w:val="20"/>
          <w:lang w:val="es-AR"/>
        </w:rPr>
        <w:t xml:space="preserve"> a sus empleos pese a que </w:t>
      </w:r>
      <w:r w:rsidR="00B409C3">
        <w:rPr>
          <w:sz w:val="20"/>
          <w:szCs w:val="20"/>
          <w:lang w:val="es-AR"/>
        </w:rPr>
        <w:t xml:space="preserve">había sido concedido </w:t>
      </w:r>
      <w:r w:rsidR="00CD2FFF" w:rsidRPr="00047DDD">
        <w:rPr>
          <w:sz w:val="20"/>
          <w:szCs w:val="20"/>
          <w:lang w:val="es-AR"/>
        </w:rPr>
        <w:t>por orden judicial a otras cuatro personas destituidas en idénticas circunstancias; y que los tribunales domésticos se negaron a requerir el cumplimiento de una recomendación de la OIT pese a que un precedente de la Corte Constitucional los obligaba a hacerlo.</w:t>
      </w:r>
    </w:p>
    <w:p w14:paraId="7B4C83AE" w14:textId="06818895" w:rsidR="002659AC" w:rsidRPr="00047DDD" w:rsidRDefault="00CD2FFF" w:rsidP="002659A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color w:val="000000" w:themeColor="text1"/>
          <w:sz w:val="20"/>
          <w:szCs w:val="20"/>
          <w:lang w:val="es-AR"/>
        </w:rPr>
      </w:pPr>
      <w:r w:rsidRPr="00047DDD">
        <w:rPr>
          <w:sz w:val="20"/>
          <w:szCs w:val="20"/>
          <w:lang w:val="es-ES_tradnl"/>
        </w:rPr>
        <w:t xml:space="preserve"> </w:t>
      </w:r>
      <w:r w:rsidR="00B409C3">
        <w:rPr>
          <w:sz w:val="20"/>
          <w:szCs w:val="20"/>
          <w:lang w:val="es-ES_tradnl"/>
        </w:rPr>
        <w:t xml:space="preserve">A </w:t>
      </w:r>
      <w:r w:rsidRPr="00047DDD">
        <w:rPr>
          <w:sz w:val="20"/>
          <w:szCs w:val="20"/>
          <w:lang w:val="es-ES_tradnl"/>
        </w:rPr>
        <w:t>efectos de la admisibilidad,</w:t>
      </w:r>
      <w:r w:rsidR="00B409C3">
        <w:rPr>
          <w:sz w:val="20"/>
          <w:szCs w:val="20"/>
          <w:lang w:val="es-ES_tradnl"/>
        </w:rPr>
        <w:t xml:space="preserve"> la Comisión</w:t>
      </w:r>
      <w:r w:rsidRPr="00047DDD">
        <w:rPr>
          <w:sz w:val="20"/>
          <w:szCs w:val="20"/>
          <w:lang w:val="es-ES_tradnl"/>
        </w:rPr>
        <w:t xml:space="preserve"> debe decidir si los hechos alegados pueden caracterizar una violación de derechos, según lo estipulado en el artículo 47(b) de la Convención Americana</w:t>
      </w:r>
      <w:r w:rsidR="00B409C3">
        <w:rPr>
          <w:sz w:val="20"/>
          <w:szCs w:val="20"/>
          <w:lang w:val="es-ES_tradnl"/>
        </w:rPr>
        <w:t>;</w:t>
      </w:r>
      <w:r w:rsidRPr="00047DDD">
        <w:rPr>
          <w:sz w:val="20"/>
          <w:szCs w:val="20"/>
          <w:lang w:val="es-ES_tradnl"/>
        </w:rPr>
        <w:t xml:space="preserve"> o si la petición es “manifiestamente infundada” o es “evidente su total improcedencia”, conforme al inciso (c) de dicho artículo. El criterio de evaluación de esos requisitos difiere del que se utiliza para pronunciarse sobre el fondo de un</w:t>
      </w:r>
      <w:r w:rsidR="00B409C3">
        <w:rPr>
          <w:sz w:val="20"/>
          <w:szCs w:val="20"/>
          <w:lang w:val="es-ES_tradnl"/>
        </w:rPr>
        <w:t xml:space="preserve"> caso</w:t>
      </w:r>
      <w:r w:rsidRPr="00047DDD">
        <w:rPr>
          <w:sz w:val="20"/>
          <w:szCs w:val="20"/>
          <w:lang w:val="es-ES_tradnl"/>
        </w:rPr>
        <w:t>. Asimismo, dentro del marco de su mandato es competente para declarar admisible una petición cuando ésta se refiere a procesos internos que podrían ser violatorios de derechos garantizados por la Convención Americana.</w:t>
      </w:r>
      <w:r w:rsidR="006A5F7E" w:rsidRPr="00047DDD">
        <w:rPr>
          <w:sz w:val="20"/>
          <w:szCs w:val="20"/>
          <w:lang w:val="es-ES_tradnl"/>
        </w:rPr>
        <w:t xml:space="preserve"> La Comisión también ha determinado que es competente </w:t>
      </w:r>
      <w:r w:rsidR="006A5F7E" w:rsidRPr="00047DDD">
        <w:rPr>
          <w:rFonts w:cs="Calibri"/>
          <w:sz w:val="20"/>
          <w:szCs w:val="20"/>
          <w:lang w:val="es-ES_tradnl"/>
        </w:rPr>
        <w:t xml:space="preserve">para declarar admisible una petición y fallar sobre </w:t>
      </w:r>
      <w:r w:rsidR="00B409C3">
        <w:rPr>
          <w:rFonts w:cs="Calibri"/>
          <w:sz w:val="20"/>
          <w:szCs w:val="20"/>
          <w:lang w:val="es-ES_tradnl"/>
        </w:rPr>
        <w:t>el fondo</w:t>
      </w:r>
      <w:r w:rsidR="006A5F7E" w:rsidRPr="00047DDD">
        <w:rPr>
          <w:rFonts w:cs="Calibri"/>
          <w:sz w:val="20"/>
          <w:szCs w:val="20"/>
          <w:lang w:val="es-ES_tradnl"/>
        </w:rPr>
        <w:t xml:space="preserve"> cuando la sentencia impugnada puede, materialmente, afectar cualquier derecho garantizado por la Convención Americana</w:t>
      </w:r>
      <w:r w:rsidR="006A5F7E" w:rsidRPr="00047DDD">
        <w:rPr>
          <w:rStyle w:val="FootnoteReference"/>
          <w:rFonts w:cs="Calibri"/>
          <w:sz w:val="20"/>
          <w:szCs w:val="20"/>
        </w:rPr>
        <w:footnoteReference w:id="10"/>
      </w:r>
      <w:r w:rsidR="006A5F7E" w:rsidRPr="00047DDD">
        <w:rPr>
          <w:rFonts w:cs="Calibri"/>
          <w:sz w:val="20"/>
          <w:szCs w:val="20"/>
          <w:lang w:val="es-ES_tradnl"/>
        </w:rPr>
        <w:t xml:space="preserve">. </w:t>
      </w:r>
      <w:r w:rsidRPr="00047DDD">
        <w:rPr>
          <w:sz w:val="20"/>
          <w:szCs w:val="20"/>
          <w:lang w:val="es-ES_tradnl"/>
        </w:rPr>
        <w:t xml:space="preserve"> Es decir que, de acuerdo con las normas convencionales citadas, en concordancia con el artículo 34 de su Reglamento, el análisis de admisibilidad se centra en la </w:t>
      </w:r>
      <w:r w:rsidRPr="00047DDD">
        <w:rPr>
          <w:sz w:val="20"/>
          <w:szCs w:val="20"/>
          <w:lang w:val="es-ES_tradnl"/>
        </w:rPr>
        <w:lastRenderedPageBreak/>
        <w:t xml:space="preserve">verificación de tales requisitos, </w:t>
      </w:r>
      <w:r w:rsidR="00B409C3">
        <w:rPr>
          <w:sz w:val="20"/>
          <w:szCs w:val="20"/>
          <w:lang w:val="es-ES_tradnl"/>
        </w:rPr>
        <w:t>que</w:t>
      </w:r>
      <w:r w:rsidRPr="00047DDD">
        <w:rPr>
          <w:sz w:val="20"/>
          <w:szCs w:val="20"/>
          <w:lang w:val="es-ES_tradnl"/>
        </w:rPr>
        <w:t xml:space="preserve"> se refieren a la </w:t>
      </w:r>
      <w:r w:rsidR="00B409C3">
        <w:rPr>
          <w:sz w:val="20"/>
          <w:szCs w:val="20"/>
          <w:lang w:val="es-ES_tradnl"/>
        </w:rPr>
        <w:t>presencia</w:t>
      </w:r>
      <w:r w:rsidRPr="00047DDD">
        <w:rPr>
          <w:sz w:val="20"/>
          <w:szCs w:val="20"/>
          <w:lang w:val="es-ES_tradnl"/>
        </w:rPr>
        <w:t xml:space="preserve"> de elementos que, de ser ciertos, podrían constituir </w:t>
      </w:r>
      <w:r w:rsidRPr="00B54710">
        <w:rPr>
          <w:i/>
          <w:sz w:val="20"/>
          <w:szCs w:val="20"/>
          <w:lang w:val="es-ES_tradnl"/>
        </w:rPr>
        <w:t>prima facie</w:t>
      </w:r>
      <w:r w:rsidRPr="00047DDD">
        <w:rPr>
          <w:sz w:val="20"/>
          <w:szCs w:val="20"/>
          <w:lang w:val="es-ES_tradnl"/>
        </w:rPr>
        <w:t xml:space="preserve"> violaciones a la Convención Americana”.</w:t>
      </w:r>
      <w:r w:rsidRPr="00047DDD">
        <w:rPr>
          <w:rStyle w:val="FootnoteReference"/>
          <w:rFonts w:cs="Calibri"/>
          <w:sz w:val="20"/>
          <w:szCs w:val="20"/>
          <w:lang w:val="es-ES_tradnl"/>
        </w:rPr>
        <w:footnoteReference w:id="11"/>
      </w:r>
    </w:p>
    <w:p w14:paraId="6EA0733D" w14:textId="38E71B9E" w:rsidR="002659AC" w:rsidRPr="00047DDD" w:rsidRDefault="006A5F7E" w:rsidP="002659A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47DDD">
        <w:rPr>
          <w:rFonts w:asciiTheme="majorHAnsi" w:hAnsiTheme="majorHAnsi"/>
          <w:sz w:val="20"/>
          <w:szCs w:val="20"/>
          <w:lang w:val="es-AR"/>
        </w:rPr>
        <w:t xml:space="preserve">En el presente </w:t>
      </w:r>
      <w:r w:rsidR="00B409C3">
        <w:rPr>
          <w:rFonts w:asciiTheme="majorHAnsi" w:hAnsiTheme="majorHAnsi"/>
          <w:sz w:val="20"/>
          <w:szCs w:val="20"/>
          <w:lang w:val="es-AR"/>
        </w:rPr>
        <w:t>asunto,</w:t>
      </w:r>
      <w:r w:rsidRPr="00047DDD">
        <w:rPr>
          <w:rFonts w:asciiTheme="majorHAnsi" w:hAnsiTheme="majorHAnsi"/>
          <w:sz w:val="20"/>
          <w:szCs w:val="20"/>
          <w:lang w:val="es-AR"/>
        </w:rPr>
        <w:t xml:space="preserve"> la parte peticionaria se ha limitado a exponer las razones por las que considera que las sentencias que rechazaron las acciones de tutela interpuestas por las presuntas víctimas serían contrarias a un precedente emitido por la Corte Constitucional</w:t>
      </w:r>
      <w:r w:rsidR="00F16836" w:rsidRPr="00047DDD">
        <w:rPr>
          <w:rFonts w:asciiTheme="majorHAnsi" w:hAnsiTheme="majorHAnsi"/>
          <w:sz w:val="20"/>
          <w:szCs w:val="20"/>
          <w:lang w:val="es-AR"/>
        </w:rPr>
        <w:t xml:space="preserve">. Sin embargo, la parte peticionaria </w:t>
      </w:r>
      <w:r w:rsidR="002659AC" w:rsidRPr="00047DDD">
        <w:rPr>
          <w:rFonts w:asciiTheme="majorHAnsi" w:hAnsiTheme="majorHAnsi"/>
          <w:sz w:val="20"/>
          <w:szCs w:val="20"/>
          <w:lang w:val="es-AR"/>
        </w:rPr>
        <w:t xml:space="preserve">no ha aportado ni surgen del expediente elementos o sustento que permitan a la Comisión considerar </w:t>
      </w:r>
      <w:r w:rsidR="002659AC" w:rsidRPr="00047DDD">
        <w:rPr>
          <w:rFonts w:asciiTheme="majorHAnsi" w:hAnsiTheme="majorHAnsi"/>
          <w:i/>
          <w:sz w:val="20"/>
          <w:szCs w:val="20"/>
          <w:lang w:val="es-AR"/>
        </w:rPr>
        <w:t>prima facie</w:t>
      </w:r>
      <w:r w:rsidR="002659AC" w:rsidRPr="00047DDD">
        <w:rPr>
          <w:rFonts w:asciiTheme="majorHAnsi" w:hAnsiTheme="majorHAnsi"/>
          <w:sz w:val="20"/>
          <w:szCs w:val="20"/>
          <w:lang w:val="es-AR"/>
        </w:rPr>
        <w:t xml:space="preserve"> la posibilidad de que estas sentencias hayan sido </w:t>
      </w:r>
      <w:r w:rsidR="002659AC" w:rsidRPr="00047DDD">
        <w:rPr>
          <w:rFonts w:asciiTheme="majorHAnsi" w:hAnsiTheme="majorHAnsi"/>
          <w:i/>
          <w:sz w:val="20"/>
          <w:szCs w:val="20"/>
          <w:lang w:val="es-AR"/>
        </w:rPr>
        <w:t>per se</w:t>
      </w:r>
      <w:r w:rsidR="00F16836" w:rsidRPr="00047DDD">
        <w:rPr>
          <w:rFonts w:asciiTheme="majorHAnsi" w:hAnsiTheme="majorHAnsi"/>
          <w:sz w:val="20"/>
          <w:szCs w:val="20"/>
          <w:lang w:val="es-PA"/>
        </w:rPr>
        <w:t xml:space="preserve"> arbitrarias o discriminatorias,</w:t>
      </w:r>
      <w:r w:rsidR="002659AC" w:rsidRPr="00047DDD">
        <w:rPr>
          <w:rFonts w:asciiTheme="majorHAnsi" w:hAnsiTheme="majorHAnsi"/>
          <w:sz w:val="20"/>
          <w:szCs w:val="20"/>
          <w:lang w:val="es-PA"/>
        </w:rPr>
        <w:t xml:space="preserve"> emitidas en violación al debido proceso o producto de </w:t>
      </w:r>
      <w:r w:rsidR="00A3457A">
        <w:rPr>
          <w:rFonts w:asciiTheme="majorHAnsi" w:hAnsiTheme="majorHAnsi"/>
          <w:sz w:val="20"/>
          <w:szCs w:val="20"/>
          <w:lang w:val="es-PA"/>
        </w:rPr>
        <w:t>alguna</w:t>
      </w:r>
      <w:r w:rsidR="002659AC" w:rsidRPr="00047DDD">
        <w:rPr>
          <w:rFonts w:asciiTheme="majorHAnsi" w:hAnsiTheme="majorHAnsi"/>
          <w:sz w:val="20"/>
          <w:szCs w:val="20"/>
          <w:lang w:val="es-PA"/>
        </w:rPr>
        <w:t xml:space="preserve"> de</w:t>
      </w:r>
      <w:r w:rsidR="00A3457A">
        <w:rPr>
          <w:rFonts w:asciiTheme="majorHAnsi" w:hAnsiTheme="majorHAnsi"/>
          <w:sz w:val="20"/>
          <w:szCs w:val="20"/>
          <w:lang w:val="es-PA"/>
        </w:rPr>
        <w:t>s</w:t>
      </w:r>
      <w:r w:rsidR="002659AC" w:rsidRPr="00047DDD">
        <w:rPr>
          <w:rFonts w:asciiTheme="majorHAnsi" w:hAnsiTheme="majorHAnsi"/>
          <w:sz w:val="20"/>
          <w:szCs w:val="20"/>
          <w:lang w:val="es-PA"/>
        </w:rPr>
        <w:t>viación de poder. Tampoco ha presentado ni surgen del expediente argumentos o sustento que indi</w:t>
      </w:r>
      <w:r w:rsidR="00A3457A">
        <w:rPr>
          <w:rFonts w:asciiTheme="majorHAnsi" w:hAnsiTheme="majorHAnsi"/>
          <w:sz w:val="20"/>
          <w:szCs w:val="20"/>
          <w:lang w:val="es-PA"/>
        </w:rPr>
        <w:t>quen</w:t>
      </w:r>
      <w:r w:rsidR="002659AC" w:rsidRPr="00047DDD">
        <w:rPr>
          <w:rFonts w:asciiTheme="majorHAnsi" w:hAnsiTheme="majorHAnsi"/>
          <w:sz w:val="20"/>
          <w:szCs w:val="20"/>
          <w:lang w:val="es-PA"/>
        </w:rPr>
        <w:t xml:space="preserve"> </w:t>
      </w:r>
      <w:r w:rsidR="002659AC" w:rsidRPr="00047DDD">
        <w:rPr>
          <w:rFonts w:asciiTheme="majorHAnsi" w:hAnsiTheme="majorHAnsi"/>
          <w:i/>
          <w:sz w:val="20"/>
          <w:szCs w:val="20"/>
          <w:lang w:val="es-PA"/>
        </w:rPr>
        <w:t>prima facie</w:t>
      </w:r>
      <w:r w:rsidR="002659AC" w:rsidRPr="00047DDD">
        <w:rPr>
          <w:rFonts w:asciiTheme="majorHAnsi" w:hAnsiTheme="majorHAnsi"/>
          <w:sz w:val="20"/>
          <w:szCs w:val="20"/>
          <w:lang w:val="es-PA"/>
        </w:rPr>
        <w:t xml:space="preserve"> que estas sentencias sean </w:t>
      </w:r>
      <w:r w:rsidR="002659AC" w:rsidRPr="00047DDD">
        <w:rPr>
          <w:rFonts w:asciiTheme="majorHAnsi" w:hAnsiTheme="majorHAnsi"/>
          <w:i/>
          <w:sz w:val="20"/>
          <w:szCs w:val="20"/>
          <w:lang w:val="es-PA"/>
        </w:rPr>
        <w:t>per se</w:t>
      </w:r>
      <w:r w:rsidR="002659AC" w:rsidRPr="00047DDD">
        <w:rPr>
          <w:rFonts w:asciiTheme="majorHAnsi" w:hAnsiTheme="majorHAnsi"/>
          <w:sz w:val="20"/>
          <w:szCs w:val="20"/>
          <w:lang w:val="es-PA"/>
        </w:rPr>
        <w:t xml:space="preserve"> materialmente violatorias de la Convención Americana o </w:t>
      </w:r>
      <w:r w:rsidR="00A3457A">
        <w:rPr>
          <w:rFonts w:asciiTheme="majorHAnsi" w:hAnsiTheme="majorHAnsi"/>
          <w:sz w:val="20"/>
          <w:szCs w:val="20"/>
          <w:lang w:val="es-PA"/>
        </w:rPr>
        <w:t xml:space="preserve">de </w:t>
      </w:r>
      <w:r w:rsidR="002659AC" w:rsidRPr="00047DDD">
        <w:rPr>
          <w:rFonts w:asciiTheme="majorHAnsi" w:hAnsiTheme="majorHAnsi"/>
          <w:sz w:val="20"/>
          <w:szCs w:val="20"/>
          <w:lang w:val="es-PA"/>
        </w:rPr>
        <w:t xml:space="preserve">cualquier otro instrumento </w:t>
      </w:r>
      <w:r w:rsidR="00A3457A">
        <w:rPr>
          <w:rFonts w:asciiTheme="majorHAnsi" w:hAnsiTheme="majorHAnsi"/>
          <w:sz w:val="20"/>
          <w:szCs w:val="20"/>
          <w:lang w:val="es-PA"/>
        </w:rPr>
        <w:t xml:space="preserve">de su </w:t>
      </w:r>
      <w:r w:rsidR="002659AC" w:rsidRPr="00047DDD">
        <w:rPr>
          <w:rFonts w:asciiTheme="majorHAnsi" w:hAnsiTheme="majorHAnsi"/>
          <w:sz w:val="20"/>
          <w:szCs w:val="20"/>
          <w:lang w:val="es-PA"/>
        </w:rPr>
        <w:t>competencia</w:t>
      </w:r>
      <w:r w:rsidR="00A3457A">
        <w:rPr>
          <w:rFonts w:asciiTheme="majorHAnsi" w:hAnsiTheme="majorHAnsi"/>
          <w:sz w:val="20"/>
          <w:szCs w:val="20"/>
          <w:lang w:val="es-PA"/>
        </w:rPr>
        <w:t>.</w:t>
      </w:r>
      <w:r w:rsidR="00F16836" w:rsidRPr="00047DDD">
        <w:rPr>
          <w:rFonts w:asciiTheme="majorHAnsi" w:hAnsiTheme="majorHAnsi"/>
          <w:sz w:val="20"/>
          <w:szCs w:val="20"/>
          <w:lang w:val="es-PA"/>
        </w:rPr>
        <w:t xml:space="preserve"> </w:t>
      </w:r>
      <w:r w:rsidR="00A3457A">
        <w:rPr>
          <w:rFonts w:asciiTheme="majorHAnsi" w:hAnsiTheme="majorHAnsi"/>
          <w:sz w:val="20"/>
          <w:szCs w:val="20"/>
          <w:lang w:val="es-PA"/>
        </w:rPr>
        <w:t xml:space="preserve">No es suficiente para tal efecto </w:t>
      </w:r>
      <w:r w:rsidR="00F16836" w:rsidRPr="00047DDD">
        <w:rPr>
          <w:rFonts w:asciiTheme="majorHAnsi" w:hAnsiTheme="majorHAnsi"/>
          <w:sz w:val="20"/>
          <w:szCs w:val="20"/>
          <w:lang w:val="es-PA"/>
        </w:rPr>
        <w:t>que las decisiones sean, a juicio de la parte peticionaria, contrarias a un precedente de un tribunal superior</w:t>
      </w:r>
      <w:r w:rsidR="002659AC" w:rsidRPr="00047DDD">
        <w:rPr>
          <w:rFonts w:asciiTheme="majorHAnsi" w:hAnsiTheme="majorHAnsi"/>
          <w:sz w:val="20"/>
          <w:szCs w:val="20"/>
          <w:lang w:val="es-PA"/>
        </w:rPr>
        <w:t xml:space="preserve">. Respecto a la </w:t>
      </w:r>
      <w:r w:rsidR="00A3457A">
        <w:rPr>
          <w:rFonts w:asciiTheme="majorHAnsi" w:hAnsiTheme="majorHAnsi"/>
          <w:sz w:val="20"/>
          <w:szCs w:val="20"/>
          <w:lang w:val="es-PA"/>
        </w:rPr>
        <w:t>supuesta</w:t>
      </w:r>
      <w:r w:rsidR="002659AC" w:rsidRPr="00047DDD">
        <w:rPr>
          <w:rFonts w:asciiTheme="majorHAnsi" w:hAnsiTheme="majorHAnsi"/>
          <w:sz w:val="20"/>
          <w:szCs w:val="20"/>
          <w:lang w:val="es-PA"/>
        </w:rPr>
        <w:t xml:space="preserve"> falta de tutela efectiva </w:t>
      </w:r>
      <w:r w:rsidR="00A3457A">
        <w:rPr>
          <w:rFonts w:asciiTheme="majorHAnsi" w:hAnsiTheme="majorHAnsi"/>
          <w:sz w:val="20"/>
          <w:szCs w:val="20"/>
          <w:lang w:val="es-PA"/>
        </w:rPr>
        <w:t>del</w:t>
      </w:r>
      <w:r w:rsidR="002659AC" w:rsidRPr="00047DDD">
        <w:rPr>
          <w:rFonts w:asciiTheme="majorHAnsi" w:hAnsiTheme="majorHAnsi"/>
          <w:sz w:val="20"/>
          <w:szCs w:val="20"/>
          <w:lang w:val="es-PA"/>
        </w:rPr>
        <w:t xml:space="preserve"> derecho a la igualdad</w:t>
      </w:r>
      <w:r w:rsidR="00A3457A">
        <w:rPr>
          <w:rFonts w:asciiTheme="majorHAnsi" w:hAnsiTheme="majorHAnsi"/>
          <w:sz w:val="20"/>
          <w:szCs w:val="20"/>
          <w:lang w:val="es-PA"/>
        </w:rPr>
        <w:t xml:space="preserve"> ante la ley</w:t>
      </w:r>
      <w:r w:rsidR="002659AC" w:rsidRPr="00047DDD">
        <w:rPr>
          <w:rFonts w:asciiTheme="majorHAnsi" w:hAnsiTheme="majorHAnsi"/>
          <w:sz w:val="20"/>
          <w:szCs w:val="20"/>
          <w:lang w:val="es-PA"/>
        </w:rPr>
        <w:t>, la Comisión</w:t>
      </w:r>
      <w:r w:rsidR="00111D3B" w:rsidRPr="00047DDD">
        <w:rPr>
          <w:rFonts w:asciiTheme="majorHAnsi" w:hAnsiTheme="majorHAnsi"/>
          <w:sz w:val="20"/>
          <w:szCs w:val="20"/>
          <w:lang w:val="es-PA"/>
        </w:rPr>
        <w:t xml:space="preserve"> observa que lo denunciado por las presuntas víctimas es que se emitió un fallo diferente en un caso que consideraban idéntico al suyo y que los tribunales se rehusaron a hacer extensivos a ellas los efectos de ese fallo. La Comisión considera que la mera referencia a estos hechos resulta insuficiente para </w:t>
      </w:r>
      <w:r w:rsidR="00A3457A">
        <w:rPr>
          <w:rFonts w:asciiTheme="majorHAnsi" w:hAnsiTheme="majorHAnsi"/>
          <w:sz w:val="20"/>
          <w:szCs w:val="20"/>
          <w:lang w:val="es-PA"/>
        </w:rPr>
        <w:t>establecer</w:t>
      </w:r>
      <w:r w:rsidR="00111D3B" w:rsidRPr="00047DDD">
        <w:rPr>
          <w:rFonts w:asciiTheme="majorHAnsi" w:hAnsiTheme="majorHAnsi"/>
          <w:sz w:val="20"/>
          <w:szCs w:val="20"/>
          <w:lang w:val="es-PA"/>
        </w:rPr>
        <w:t xml:space="preserve"> </w:t>
      </w:r>
      <w:r w:rsidR="00111D3B" w:rsidRPr="00047DDD">
        <w:rPr>
          <w:rFonts w:asciiTheme="majorHAnsi" w:hAnsiTheme="majorHAnsi"/>
          <w:i/>
          <w:sz w:val="20"/>
          <w:szCs w:val="20"/>
          <w:lang w:val="es-PA"/>
        </w:rPr>
        <w:t>prima facie</w:t>
      </w:r>
      <w:r w:rsidR="002659AC" w:rsidRPr="00047DDD">
        <w:rPr>
          <w:rFonts w:asciiTheme="majorHAnsi" w:hAnsiTheme="majorHAnsi"/>
          <w:sz w:val="20"/>
          <w:szCs w:val="20"/>
          <w:lang w:val="es-PA"/>
        </w:rPr>
        <w:t xml:space="preserve"> </w:t>
      </w:r>
      <w:r w:rsidR="00111D3B" w:rsidRPr="00047DDD">
        <w:rPr>
          <w:rFonts w:asciiTheme="majorHAnsi" w:hAnsiTheme="majorHAnsi"/>
          <w:sz w:val="20"/>
          <w:szCs w:val="20"/>
          <w:lang w:val="es-PA"/>
        </w:rPr>
        <w:t xml:space="preserve">la posible violación de derechos contemplados en la Convención Americana u otros instrumentos de su competencia. En este sentido, la Comisión </w:t>
      </w:r>
      <w:r w:rsidR="002659AC" w:rsidRPr="00047DDD">
        <w:rPr>
          <w:rFonts w:asciiTheme="majorHAnsi" w:hAnsiTheme="majorHAnsi"/>
          <w:sz w:val="20"/>
          <w:szCs w:val="20"/>
          <w:lang w:val="es-PA"/>
        </w:rPr>
        <w:t xml:space="preserve">ha señalado </w:t>
      </w:r>
      <w:r w:rsidR="00A3457A">
        <w:rPr>
          <w:rFonts w:asciiTheme="majorHAnsi" w:hAnsiTheme="majorHAnsi"/>
          <w:sz w:val="20"/>
          <w:szCs w:val="20"/>
          <w:lang w:val="es-PA"/>
        </w:rPr>
        <w:t xml:space="preserve">anteriormente que </w:t>
      </w:r>
      <w:r w:rsidR="00111D3B" w:rsidRPr="00047DDD">
        <w:rPr>
          <w:rFonts w:asciiTheme="majorHAnsi" w:hAnsiTheme="majorHAnsi"/>
          <w:sz w:val="20"/>
          <w:szCs w:val="20"/>
          <w:lang w:val="es-PA"/>
        </w:rPr>
        <w:t>el derecho a la igualdad ante la ley</w:t>
      </w:r>
      <w:r w:rsidR="002659AC" w:rsidRPr="00047DDD">
        <w:rPr>
          <w:rFonts w:asciiTheme="majorHAnsi" w:hAnsiTheme="majorHAnsi"/>
          <w:sz w:val="20"/>
          <w:szCs w:val="20"/>
          <w:lang w:val="es-PA"/>
        </w:rPr>
        <w:t xml:space="preserve"> “</w:t>
      </w:r>
      <w:r w:rsidR="002659AC" w:rsidRPr="00047DDD">
        <w:rPr>
          <w:rFonts w:ascii="Cambria" w:hAnsi="Cambria" w:cs="Calibri"/>
          <w:sz w:val="20"/>
          <w:szCs w:val="20"/>
          <w:lang w:val="es-ES_tradnl"/>
        </w:rPr>
        <w:t>no puede asimilarse al derecho a un igual resultado de los procedimientos judiciales referentes a la misma materia</w:t>
      </w:r>
      <w:r w:rsidR="008053FE" w:rsidRPr="00047DDD">
        <w:rPr>
          <w:rFonts w:ascii="Cambria" w:hAnsi="Cambria" w:cs="Calibri"/>
          <w:sz w:val="20"/>
          <w:szCs w:val="20"/>
          <w:lang w:val="es-ES_tradnl"/>
        </w:rPr>
        <w:t>”</w:t>
      </w:r>
      <w:r w:rsidR="008053FE" w:rsidRPr="00047DDD">
        <w:rPr>
          <w:rStyle w:val="FootnoteReference"/>
          <w:rFonts w:ascii="Cambria" w:hAnsi="Cambria" w:cs="Calibri"/>
          <w:sz w:val="20"/>
          <w:szCs w:val="20"/>
          <w:lang w:val="es-ES_tradnl"/>
        </w:rPr>
        <w:footnoteReference w:id="12"/>
      </w:r>
      <w:r w:rsidR="008053FE" w:rsidRPr="00047DDD">
        <w:rPr>
          <w:rFonts w:ascii="Cambria" w:hAnsi="Cambria" w:cs="Calibri"/>
          <w:sz w:val="20"/>
          <w:szCs w:val="20"/>
          <w:lang w:val="es-ES_tradnl"/>
        </w:rPr>
        <w:t xml:space="preserve"> y que “la mera invocación de otros fallos sobre la misma materia con resultados diferentes, no es suficiente para caracterizar </w:t>
      </w:r>
      <w:r w:rsidR="008053FE" w:rsidRPr="00047DDD">
        <w:rPr>
          <w:rFonts w:ascii="Cambria" w:hAnsi="Cambria" w:cs="Calibri"/>
          <w:i/>
          <w:sz w:val="20"/>
          <w:szCs w:val="20"/>
          <w:lang w:val="es-ES_tradnl"/>
        </w:rPr>
        <w:t>prima facie</w:t>
      </w:r>
      <w:r w:rsidR="008053FE" w:rsidRPr="00047DDD">
        <w:rPr>
          <w:rFonts w:ascii="Cambria" w:hAnsi="Cambria" w:cs="Calibri"/>
          <w:sz w:val="20"/>
          <w:szCs w:val="20"/>
          <w:lang w:val="es-ES_tradnl"/>
        </w:rPr>
        <w:t xml:space="preserve"> una posible violación del artículo 24 de la Convención”</w:t>
      </w:r>
      <w:r w:rsidR="008053FE" w:rsidRPr="00047DDD">
        <w:rPr>
          <w:rStyle w:val="FootnoteReference"/>
          <w:rFonts w:ascii="Cambria" w:hAnsi="Cambria" w:cs="Calibri"/>
          <w:sz w:val="20"/>
          <w:szCs w:val="20"/>
          <w:lang w:val="es-ES_tradnl"/>
        </w:rPr>
        <w:footnoteReference w:id="13"/>
      </w:r>
      <w:r w:rsidR="008053FE" w:rsidRPr="00047DDD">
        <w:rPr>
          <w:rFonts w:ascii="Cambria" w:hAnsi="Cambria" w:cs="Calibri"/>
          <w:sz w:val="20"/>
          <w:szCs w:val="20"/>
          <w:lang w:val="es-ES_tradnl"/>
        </w:rPr>
        <w:t>.</w:t>
      </w:r>
    </w:p>
    <w:p w14:paraId="5839F8E9" w14:textId="6524EFFD" w:rsidR="00CD2FFF" w:rsidRPr="00047DDD" w:rsidRDefault="00F16836" w:rsidP="003E213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AR"/>
        </w:rPr>
      </w:pPr>
      <w:r w:rsidRPr="00047DDD">
        <w:rPr>
          <w:sz w:val="20"/>
          <w:szCs w:val="20"/>
          <w:lang w:val="es-AR"/>
        </w:rPr>
        <w:t>Por las razones expuestas, la Comisión concluye que la presente petición resulta inadmisible conforme al artículo 47(b) de la Convención Americana</w:t>
      </w:r>
      <w:r w:rsidR="00A3457A">
        <w:rPr>
          <w:sz w:val="20"/>
          <w:szCs w:val="20"/>
          <w:lang w:val="es-AR"/>
        </w:rPr>
        <w:t>,</w:t>
      </w:r>
      <w:r w:rsidRPr="00047DDD">
        <w:rPr>
          <w:sz w:val="20"/>
          <w:szCs w:val="20"/>
          <w:lang w:val="es-AR"/>
        </w:rPr>
        <w:t xml:space="preserve"> porque los hechos expuestos en ella no caracterizan </w:t>
      </w:r>
      <w:r w:rsidRPr="00047DDD">
        <w:rPr>
          <w:i/>
          <w:sz w:val="20"/>
          <w:szCs w:val="20"/>
          <w:lang w:val="es-AR"/>
        </w:rPr>
        <w:t xml:space="preserve">prima facie </w:t>
      </w:r>
      <w:r w:rsidRPr="00047DDD">
        <w:rPr>
          <w:sz w:val="20"/>
          <w:szCs w:val="20"/>
          <w:lang w:val="es-AR"/>
        </w:rPr>
        <w:t xml:space="preserve">posibles violaciones </w:t>
      </w:r>
      <w:r w:rsidR="00A3457A">
        <w:rPr>
          <w:sz w:val="20"/>
          <w:szCs w:val="20"/>
          <w:lang w:val="es-AR"/>
        </w:rPr>
        <w:t>de dicho instrumento</w:t>
      </w:r>
      <w:r w:rsidRPr="00047DDD">
        <w:rPr>
          <w:sz w:val="20"/>
          <w:szCs w:val="20"/>
          <w:lang w:val="es-AR"/>
        </w:rPr>
        <w:t xml:space="preserve"> ni </w:t>
      </w:r>
      <w:r w:rsidR="00A3457A">
        <w:rPr>
          <w:sz w:val="20"/>
          <w:szCs w:val="20"/>
          <w:lang w:val="es-AR"/>
        </w:rPr>
        <w:t xml:space="preserve">de algún </w:t>
      </w:r>
      <w:r w:rsidRPr="00047DDD">
        <w:rPr>
          <w:sz w:val="20"/>
          <w:szCs w:val="20"/>
          <w:lang w:val="es-AR"/>
        </w:rPr>
        <w:t xml:space="preserve">otro instrumento sobre </w:t>
      </w:r>
      <w:r w:rsidR="00A3457A">
        <w:rPr>
          <w:sz w:val="20"/>
          <w:szCs w:val="20"/>
          <w:lang w:val="es-AR"/>
        </w:rPr>
        <w:t>el que tiene</w:t>
      </w:r>
      <w:r w:rsidRPr="00047DDD">
        <w:rPr>
          <w:sz w:val="20"/>
          <w:szCs w:val="20"/>
          <w:lang w:val="es-AR"/>
        </w:rPr>
        <w:t xml:space="preserve"> tiene competencia. </w:t>
      </w:r>
    </w:p>
    <w:p w14:paraId="012EA870" w14:textId="23AAEF77" w:rsidR="00111D3B" w:rsidRPr="00047DDD" w:rsidRDefault="00111D3B" w:rsidP="003E213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AR"/>
        </w:rPr>
      </w:pPr>
      <w:r w:rsidRPr="00047DDD">
        <w:rPr>
          <w:sz w:val="20"/>
          <w:szCs w:val="20"/>
          <w:lang w:val="es-AR"/>
        </w:rPr>
        <w:t xml:space="preserve">En cuanto a las </w:t>
      </w:r>
      <w:r w:rsidR="00A3457A">
        <w:rPr>
          <w:sz w:val="20"/>
          <w:szCs w:val="20"/>
          <w:lang w:val="es-AR"/>
        </w:rPr>
        <w:t>presuntas</w:t>
      </w:r>
      <w:r w:rsidRPr="00047DDD">
        <w:rPr>
          <w:sz w:val="20"/>
          <w:szCs w:val="20"/>
          <w:lang w:val="es-AR"/>
        </w:rPr>
        <w:t xml:space="preserve"> violaciones </w:t>
      </w:r>
      <w:r w:rsidR="00A3457A">
        <w:rPr>
          <w:sz w:val="20"/>
          <w:szCs w:val="20"/>
          <w:lang w:val="es-AR"/>
        </w:rPr>
        <w:t>del</w:t>
      </w:r>
      <w:r w:rsidRPr="00047DDD">
        <w:rPr>
          <w:sz w:val="20"/>
          <w:szCs w:val="20"/>
          <w:lang w:val="es-AR"/>
        </w:rPr>
        <w:t xml:space="preserve"> Convenio No. 87 de la OIT, la Declaración Universal de los Derechos Humanos y los artículos 3 y 7 del Protocolo de San Salvador, la Comisi</w:t>
      </w:r>
      <w:r w:rsidR="00FD375B" w:rsidRPr="00047DDD">
        <w:rPr>
          <w:sz w:val="20"/>
          <w:szCs w:val="20"/>
          <w:lang w:val="es-AR"/>
        </w:rPr>
        <w:t xml:space="preserve">ón carece de competencia </w:t>
      </w:r>
      <w:r w:rsidR="00FD375B" w:rsidRPr="00047DDD">
        <w:rPr>
          <w:i/>
          <w:sz w:val="20"/>
          <w:szCs w:val="20"/>
          <w:lang w:val="es-AR"/>
        </w:rPr>
        <w:t>ratione materiae</w:t>
      </w:r>
      <w:r w:rsidR="00FD375B" w:rsidRPr="00047DDD">
        <w:rPr>
          <w:sz w:val="20"/>
          <w:szCs w:val="20"/>
          <w:lang w:val="es-AR"/>
        </w:rPr>
        <w:t xml:space="preserve"> para pronunciarse al respecto</w:t>
      </w:r>
      <w:r w:rsidR="00A3457A">
        <w:rPr>
          <w:sz w:val="20"/>
          <w:szCs w:val="20"/>
          <w:lang w:val="es-AR"/>
        </w:rPr>
        <w:t xml:space="preserve">. Sin perjuicio de lo anterior, </w:t>
      </w:r>
      <w:r w:rsidR="00FD375B" w:rsidRPr="00047DDD">
        <w:rPr>
          <w:sz w:val="20"/>
          <w:szCs w:val="20"/>
          <w:lang w:val="es-AR"/>
        </w:rPr>
        <w:t xml:space="preserve">en virtud del artículo 29 de la Convención Americana, </w:t>
      </w:r>
      <w:r w:rsidR="00A3457A">
        <w:rPr>
          <w:sz w:val="20"/>
          <w:szCs w:val="20"/>
          <w:lang w:val="es-AR"/>
        </w:rPr>
        <w:t xml:space="preserve">la CIDH podría </w:t>
      </w:r>
      <w:r w:rsidR="00FD375B" w:rsidRPr="00047DDD">
        <w:rPr>
          <w:sz w:val="20"/>
          <w:szCs w:val="20"/>
          <w:lang w:val="es-AR"/>
        </w:rPr>
        <w:t xml:space="preserve">tomar en cuenta </w:t>
      </w:r>
      <w:r w:rsidR="00A3457A">
        <w:rPr>
          <w:sz w:val="20"/>
          <w:szCs w:val="20"/>
          <w:lang w:val="es-AR"/>
        </w:rPr>
        <w:t xml:space="preserve">tales disposiciones </w:t>
      </w:r>
      <w:r w:rsidR="00FD375B" w:rsidRPr="00047DDD">
        <w:rPr>
          <w:sz w:val="20"/>
          <w:szCs w:val="20"/>
          <w:lang w:val="es-AR"/>
        </w:rPr>
        <w:t xml:space="preserve">para interpretar y aplicar la Convención Americana y otros instrumentos aplicables. </w:t>
      </w:r>
    </w:p>
    <w:p w14:paraId="29BB41F5" w14:textId="45F3FA1F" w:rsidR="003239B8" w:rsidRPr="00047DDD" w:rsidRDefault="00EC72AB" w:rsidP="00B92D4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047DDD">
        <w:rPr>
          <w:rFonts w:asciiTheme="majorHAnsi" w:hAnsiTheme="majorHAnsi"/>
          <w:b/>
          <w:bCs/>
          <w:sz w:val="20"/>
          <w:szCs w:val="20"/>
          <w:lang w:val="es-ES"/>
        </w:rPr>
        <w:t>VI</w:t>
      </w:r>
      <w:r w:rsidR="00F04591" w:rsidRPr="00047DDD">
        <w:rPr>
          <w:rFonts w:asciiTheme="majorHAnsi" w:hAnsiTheme="majorHAnsi"/>
          <w:b/>
          <w:bCs/>
          <w:sz w:val="20"/>
          <w:szCs w:val="20"/>
          <w:lang w:val="es-ES"/>
        </w:rPr>
        <w:t>II</w:t>
      </w:r>
      <w:r w:rsidR="003239B8" w:rsidRPr="00047DDD">
        <w:rPr>
          <w:rFonts w:asciiTheme="majorHAnsi" w:hAnsiTheme="majorHAnsi"/>
          <w:b/>
          <w:bCs/>
          <w:sz w:val="20"/>
          <w:szCs w:val="20"/>
          <w:lang w:val="es-ES"/>
        </w:rPr>
        <w:t xml:space="preserve">. </w:t>
      </w:r>
      <w:r w:rsidR="003239B8" w:rsidRPr="00047DDD">
        <w:rPr>
          <w:rFonts w:asciiTheme="majorHAnsi" w:hAnsiTheme="majorHAnsi"/>
          <w:b/>
          <w:bCs/>
          <w:sz w:val="20"/>
          <w:szCs w:val="20"/>
          <w:lang w:val="es-ES"/>
        </w:rPr>
        <w:tab/>
        <w:t>DECISIÓN</w:t>
      </w:r>
    </w:p>
    <w:p w14:paraId="164EF7A0" w14:textId="001AE12B" w:rsidR="003E2134" w:rsidRPr="00047DDD" w:rsidRDefault="003239B8" w:rsidP="00945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047DDD">
        <w:rPr>
          <w:rFonts w:asciiTheme="majorHAnsi" w:hAnsiTheme="majorHAnsi"/>
          <w:sz w:val="20"/>
          <w:szCs w:val="20"/>
          <w:lang w:val="es-ES"/>
        </w:rPr>
        <w:t xml:space="preserve">Declarar </w:t>
      </w:r>
      <w:r w:rsidR="00FD375B" w:rsidRPr="00047DDD">
        <w:rPr>
          <w:rFonts w:asciiTheme="majorHAnsi" w:hAnsiTheme="majorHAnsi"/>
          <w:sz w:val="20"/>
          <w:szCs w:val="20"/>
          <w:lang w:val="es-ES"/>
        </w:rPr>
        <w:t xml:space="preserve">inadmisible la presente petición con fundamento en </w:t>
      </w:r>
      <w:r w:rsidR="008D2288" w:rsidRPr="00047DDD">
        <w:rPr>
          <w:rFonts w:asciiTheme="majorHAnsi" w:hAnsiTheme="majorHAnsi"/>
          <w:sz w:val="20"/>
          <w:szCs w:val="20"/>
          <w:lang w:val="es-ES"/>
        </w:rPr>
        <w:t>los</w:t>
      </w:r>
      <w:r w:rsidR="00FD375B" w:rsidRPr="00047DDD">
        <w:rPr>
          <w:rFonts w:asciiTheme="majorHAnsi" w:hAnsiTheme="majorHAnsi"/>
          <w:sz w:val="20"/>
          <w:szCs w:val="20"/>
          <w:lang w:val="es-ES"/>
        </w:rPr>
        <w:t xml:space="preserve"> artículo</w:t>
      </w:r>
      <w:r w:rsidR="008D2288" w:rsidRPr="00047DDD">
        <w:rPr>
          <w:rFonts w:asciiTheme="majorHAnsi" w:hAnsiTheme="majorHAnsi"/>
          <w:sz w:val="20"/>
          <w:szCs w:val="20"/>
          <w:lang w:val="es-ES"/>
        </w:rPr>
        <w:t>s 46.1(a) y (b) y</w:t>
      </w:r>
      <w:r w:rsidR="00FD375B" w:rsidRPr="00047DDD">
        <w:rPr>
          <w:rFonts w:asciiTheme="majorHAnsi" w:hAnsiTheme="majorHAnsi"/>
          <w:sz w:val="20"/>
          <w:szCs w:val="20"/>
          <w:lang w:val="es-ES"/>
        </w:rPr>
        <w:t xml:space="preserve"> 47</w:t>
      </w:r>
      <w:r w:rsidR="008D2288" w:rsidRPr="00047DDD">
        <w:rPr>
          <w:rFonts w:asciiTheme="majorHAnsi" w:hAnsiTheme="majorHAnsi"/>
          <w:sz w:val="20"/>
          <w:szCs w:val="20"/>
          <w:lang w:val="es-ES"/>
        </w:rPr>
        <w:t xml:space="preserve">(a) y </w:t>
      </w:r>
      <w:r w:rsidR="00FD375B" w:rsidRPr="00047DDD">
        <w:rPr>
          <w:rFonts w:asciiTheme="majorHAnsi" w:hAnsiTheme="majorHAnsi"/>
          <w:sz w:val="20"/>
          <w:szCs w:val="20"/>
          <w:lang w:val="es-ES"/>
        </w:rPr>
        <w:t>(b) de la Convención Americana</w:t>
      </w:r>
      <w:r w:rsidR="00BC01FE">
        <w:rPr>
          <w:rFonts w:asciiTheme="majorHAnsi" w:hAnsiTheme="majorHAnsi"/>
          <w:sz w:val="20"/>
          <w:szCs w:val="20"/>
          <w:lang w:val="es-ES"/>
        </w:rPr>
        <w:t>.</w:t>
      </w:r>
    </w:p>
    <w:p w14:paraId="4157390F" w14:textId="1B1101DB" w:rsidR="00D93A90" w:rsidRPr="000436D4"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ES"/>
        </w:rPr>
      </w:pPr>
      <w:r w:rsidRPr="00047DDD">
        <w:rPr>
          <w:rFonts w:asciiTheme="majorHAnsi" w:hAnsiTheme="majorHAnsi"/>
          <w:sz w:val="20"/>
          <w:szCs w:val="20"/>
          <w:lang w:val="es-ES"/>
        </w:rPr>
        <w:t>Notificar a las partes la presente de</w:t>
      </w:r>
      <w:r w:rsidR="00FA5DB1" w:rsidRPr="00047DDD">
        <w:rPr>
          <w:rFonts w:asciiTheme="majorHAnsi" w:hAnsiTheme="majorHAnsi"/>
          <w:sz w:val="20"/>
          <w:szCs w:val="20"/>
          <w:lang w:val="es-ES"/>
        </w:rPr>
        <w:t xml:space="preserve">cisión; </w:t>
      </w:r>
      <w:r w:rsidRPr="00047DDD">
        <w:rPr>
          <w:rFonts w:asciiTheme="majorHAnsi" w:hAnsiTheme="majorHAnsi"/>
          <w:sz w:val="20"/>
          <w:szCs w:val="20"/>
          <w:lang w:val="es-ES"/>
        </w:rPr>
        <w:t>y publicar esta decisión e incluirla en su Informe Anual a la Asamblea General de la Organización de los Estados Americanos.</w:t>
      </w:r>
    </w:p>
    <w:p w14:paraId="51AEEEF8" w14:textId="27B47746" w:rsidR="000436D4" w:rsidRPr="00E55F3C" w:rsidRDefault="000436D4" w:rsidP="00E55F3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p>
    <w:p w14:paraId="7680F5F6" w14:textId="77777777" w:rsidR="000436D4" w:rsidRPr="00E55F3C" w:rsidRDefault="000436D4" w:rsidP="000436D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color w:val="FF0000"/>
          <w:sz w:val="20"/>
          <w:szCs w:val="20"/>
          <w:lang w:val="es-CL"/>
        </w:rPr>
      </w:pPr>
    </w:p>
    <w:sectPr w:rsidR="000436D4" w:rsidRPr="00E55F3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295F1" w14:textId="77777777" w:rsidR="00CC48A0" w:rsidRDefault="00CC48A0">
      <w:r>
        <w:separator/>
      </w:r>
    </w:p>
  </w:endnote>
  <w:endnote w:type="continuationSeparator" w:id="0">
    <w:p w14:paraId="0D8EF2B2" w14:textId="77777777" w:rsidR="00CC48A0" w:rsidRDefault="00CC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B5D3A" w14:textId="77777777" w:rsidR="001C7C76" w:rsidRDefault="001C7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15A2A957" w:rsidR="001800E9" w:rsidRPr="00934A2C" w:rsidRDefault="001800E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C7C76">
          <w:rPr>
            <w:noProof/>
            <w:sz w:val="16"/>
            <w:szCs w:val="22"/>
          </w:rPr>
          <w:t>3</w:t>
        </w:r>
        <w:r w:rsidRPr="00934A2C">
          <w:rPr>
            <w:noProof/>
            <w:sz w:val="16"/>
            <w:szCs w:val="22"/>
          </w:rPr>
          <w:fldChar w:fldCharType="end"/>
        </w:r>
      </w:p>
    </w:sdtContent>
  </w:sdt>
  <w:p w14:paraId="68530E6A" w14:textId="77777777" w:rsidR="001800E9" w:rsidRDefault="001800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1800E9" w:rsidRPr="00934A2C" w:rsidRDefault="001800E9">
    <w:pPr>
      <w:pStyle w:val="Footer"/>
      <w:jc w:val="center"/>
      <w:rPr>
        <w:sz w:val="16"/>
        <w:szCs w:val="22"/>
      </w:rPr>
    </w:pPr>
  </w:p>
  <w:p w14:paraId="49059CE3" w14:textId="77777777" w:rsidR="001800E9" w:rsidRDefault="00180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A68C0" w14:textId="77777777" w:rsidR="00CC48A0" w:rsidRPr="000F35ED" w:rsidRDefault="00CC48A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015E7FD" w14:textId="77777777" w:rsidR="00CC48A0" w:rsidRPr="000F35ED" w:rsidRDefault="00CC48A0" w:rsidP="000F35ED">
      <w:pPr>
        <w:rPr>
          <w:rFonts w:asciiTheme="majorHAnsi" w:hAnsiTheme="majorHAnsi"/>
          <w:sz w:val="16"/>
          <w:szCs w:val="16"/>
        </w:rPr>
      </w:pPr>
      <w:r w:rsidRPr="000F35ED">
        <w:rPr>
          <w:rFonts w:asciiTheme="majorHAnsi" w:hAnsiTheme="majorHAnsi"/>
          <w:sz w:val="16"/>
          <w:szCs w:val="16"/>
        </w:rPr>
        <w:separator/>
      </w:r>
    </w:p>
    <w:p w14:paraId="23719C2B" w14:textId="77777777" w:rsidR="00CC48A0" w:rsidRPr="000F35ED" w:rsidRDefault="00CC48A0"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523ECBD" w14:textId="77777777" w:rsidR="00CC48A0" w:rsidRPr="000F35ED" w:rsidRDefault="00CC48A0"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54019D7" w14:textId="265B5784" w:rsidR="001800E9" w:rsidRPr="00764304" w:rsidRDefault="00665D9B" w:rsidP="00764304">
      <w:pPr>
        <w:pStyle w:val="FootnoteText"/>
        <w:ind w:firstLine="720"/>
        <w:jc w:val="both"/>
        <w:rPr>
          <w:rFonts w:asciiTheme="majorHAnsi" w:hAnsiTheme="majorHAnsi"/>
          <w:lang w:val="es-PA"/>
        </w:rPr>
      </w:pPr>
      <w:r>
        <w:rPr>
          <w:rStyle w:val="FootnoteReference"/>
        </w:rPr>
        <w:footnoteRef/>
      </w:r>
      <w:r w:rsidRPr="00764304">
        <w:rPr>
          <w:lang w:val="es-PA"/>
        </w:rPr>
        <w:t xml:space="preserve"> </w:t>
      </w:r>
      <w:r w:rsidR="00126098">
        <w:rPr>
          <w:rFonts w:asciiTheme="majorHAnsi" w:hAnsiTheme="majorHAnsi"/>
          <w:sz w:val="16"/>
          <w:szCs w:val="16"/>
          <w:lang w:val="es-PA"/>
        </w:rPr>
        <w:t>La parte peticionaria ha aportado varias listas de presuntas víctimas las que se adjuntan a este informe</w:t>
      </w:r>
    </w:p>
  </w:footnote>
  <w:footnote w:id="3">
    <w:p w14:paraId="0AA7E2FE" w14:textId="6091A11E" w:rsidR="001800E9" w:rsidRPr="00567B31" w:rsidRDefault="001800E9" w:rsidP="00F371C8">
      <w:pPr>
        <w:pStyle w:val="FootnoteText"/>
        <w:ind w:firstLine="720"/>
        <w:jc w:val="both"/>
        <w:rPr>
          <w:rFonts w:asciiTheme="majorHAnsi" w:hAnsiTheme="majorHAnsi"/>
          <w:sz w:val="16"/>
          <w:szCs w:val="16"/>
          <w:lang w:val="es-PA"/>
        </w:rPr>
      </w:pPr>
      <w:r w:rsidRPr="00567B31">
        <w:rPr>
          <w:rStyle w:val="FootnoteReference"/>
          <w:rFonts w:asciiTheme="majorHAnsi" w:hAnsiTheme="majorHAnsi"/>
          <w:sz w:val="16"/>
          <w:szCs w:val="16"/>
        </w:rPr>
        <w:footnoteRef/>
      </w:r>
      <w:r w:rsidRPr="00567B31">
        <w:rPr>
          <w:rFonts w:asciiTheme="majorHAnsi" w:hAnsiTheme="majorHAnsi"/>
          <w:sz w:val="16"/>
          <w:szCs w:val="16"/>
          <w:lang w:val="es-PA"/>
        </w:rPr>
        <w:t xml:space="preserve"> En adelante “la Convención Americana”</w:t>
      </w:r>
    </w:p>
  </w:footnote>
  <w:footnote w:id="4">
    <w:p w14:paraId="2F01E6A9" w14:textId="21A67CA9" w:rsidR="001800E9" w:rsidRPr="00567B31" w:rsidRDefault="001800E9" w:rsidP="00F371C8">
      <w:pPr>
        <w:pStyle w:val="FootnoteText"/>
        <w:ind w:firstLine="720"/>
        <w:jc w:val="both"/>
        <w:rPr>
          <w:rFonts w:asciiTheme="majorHAnsi" w:hAnsiTheme="majorHAnsi"/>
          <w:sz w:val="16"/>
          <w:szCs w:val="16"/>
          <w:lang w:val="es-PA"/>
        </w:rPr>
      </w:pPr>
      <w:r w:rsidRPr="00567B31">
        <w:rPr>
          <w:rStyle w:val="FootnoteReference"/>
          <w:rFonts w:asciiTheme="majorHAnsi" w:hAnsiTheme="majorHAnsi"/>
          <w:sz w:val="16"/>
          <w:szCs w:val="16"/>
        </w:rPr>
        <w:footnoteRef/>
      </w:r>
      <w:r w:rsidRPr="00567B31">
        <w:rPr>
          <w:rFonts w:asciiTheme="majorHAnsi" w:hAnsiTheme="majorHAnsi"/>
          <w:sz w:val="16"/>
          <w:szCs w:val="16"/>
          <w:lang w:val="es-PA"/>
        </w:rPr>
        <w:t xml:space="preserve"> En adelante “la Declaración Americana”</w:t>
      </w:r>
    </w:p>
  </w:footnote>
  <w:footnote w:id="5">
    <w:p w14:paraId="652478D1" w14:textId="134D09C0" w:rsidR="001800E9" w:rsidRPr="00567B31" w:rsidRDefault="001800E9" w:rsidP="00BC6593">
      <w:pPr>
        <w:pStyle w:val="FootnoteText"/>
        <w:ind w:firstLine="720"/>
        <w:jc w:val="both"/>
        <w:rPr>
          <w:rFonts w:asciiTheme="majorHAnsi" w:hAnsiTheme="majorHAnsi"/>
          <w:sz w:val="16"/>
          <w:szCs w:val="16"/>
          <w:lang w:val="es-PA"/>
        </w:rPr>
      </w:pPr>
      <w:r w:rsidRPr="00567B31">
        <w:rPr>
          <w:rStyle w:val="FootnoteReference"/>
          <w:rFonts w:asciiTheme="majorHAnsi" w:hAnsiTheme="majorHAnsi"/>
          <w:sz w:val="16"/>
          <w:szCs w:val="16"/>
        </w:rPr>
        <w:footnoteRef/>
      </w:r>
      <w:r w:rsidRPr="00567B31">
        <w:rPr>
          <w:rFonts w:asciiTheme="majorHAnsi" w:hAnsiTheme="majorHAnsi"/>
          <w:sz w:val="16"/>
          <w:szCs w:val="16"/>
          <w:lang w:val="es-PA"/>
        </w:rPr>
        <w:t xml:space="preserve"> En adelante “el Protocolo de San Salvador” </w:t>
      </w:r>
    </w:p>
  </w:footnote>
  <w:footnote w:id="6">
    <w:p w14:paraId="0D480FD3" w14:textId="1F83774B" w:rsidR="001800E9" w:rsidRPr="00567B31" w:rsidRDefault="001800E9" w:rsidP="00BC6593">
      <w:pPr>
        <w:pStyle w:val="FootnoteText"/>
        <w:ind w:firstLine="720"/>
        <w:jc w:val="both"/>
        <w:rPr>
          <w:rFonts w:asciiTheme="majorHAnsi" w:hAnsiTheme="majorHAnsi"/>
          <w:sz w:val="16"/>
          <w:szCs w:val="16"/>
          <w:lang w:val="es-PA"/>
        </w:rPr>
      </w:pPr>
      <w:r w:rsidRPr="00567B31">
        <w:rPr>
          <w:rStyle w:val="FootnoteReference"/>
          <w:rFonts w:asciiTheme="majorHAnsi" w:hAnsiTheme="majorHAnsi"/>
          <w:sz w:val="16"/>
          <w:szCs w:val="16"/>
        </w:rPr>
        <w:footnoteRef/>
      </w:r>
      <w:r w:rsidRPr="00567B31">
        <w:rPr>
          <w:rFonts w:asciiTheme="majorHAnsi" w:hAnsiTheme="majorHAnsi"/>
          <w:sz w:val="16"/>
          <w:szCs w:val="16"/>
          <w:lang w:val="es-PA"/>
        </w:rPr>
        <w:t xml:space="preserve"> </w:t>
      </w:r>
      <w:r>
        <w:rPr>
          <w:rFonts w:asciiTheme="majorHAnsi" w:hAnsiTheme="majorHAnsi"/>
          <w:sz w:val="16"/>
          <w:szCs w:val="16"/>
          <w:lang w:val="es-PA"/>
        </w:rPr>
        <w:t>Declaración Universal de los Derechos Humanos y Convenio No. 87 de la OIT sobre Libertad Sindical.</w:t>
      </w:r>
    </w:p>
  </w:footnote>
  <w:footnote w:id="7">
    <w:p w14:paraId="79F07139" w14:textId="77777777" w:rsidR="001800E9" w:rsidRPr="00DE7D78" w:rsidRDefault="001800E9" w:rsidP="00226222">
      <w:pPr>
        <w:pStyle w:val="FootnoteText"/>
        <w:ind w:firstLine="720"/>
        <w:jc w:val="both"/>
        <w:rPr>
          <w:rFonts w:ascii="Cambria" w:hAnsi="Cambria"/>
          <w:sz w:val="16"/>
          <w:szCs w:val="16"/>
          <w:lang w:val="es-ES"/>
        </w:rPr>
      </w:pPr>
      <w:r w:rsidRPr="00567B31">
        <w:rPr>
          <w:rStyle w:val="FootnoteReference"/>
          <w:rFonts w:asciiTheme="majorHAnsi" w:hAnsiTheme="majorHAnsi"/>
          <w:sz w:val="16"/>
          <w:szCs w:val="16"/>
        </w:rPr>
        <w:footnoteRef/>
      </w:r>
      <w:r w:rsidRPr="00567B31">
        <w:rPr>
          <w:rFonts w:asciiTheme="majorHAnsi" w:hAnsiTheme="majorHAnsi"/>
          <w:sz w:val="16"/>
          <w:szCs w:val="16"/>
          <w:lang w:val="es-ES"/>
        </w:rPr>
        <w:t xml:space="preserve"> Las observaciones de cada parte fueron debidamente trasladadas a la parte contraria.</w:t>
      </w:r>
    </w:p>
  </w:footnote>
  <w:footnote w:id="8">
    <w:p w14:paraId="68CD3A7A" w14:textId="4E8B7D1C" w:rsidR="005408AF" w:rsidRPr="00E575C1" w:rsidRDefault="00E575C1" w:rsidP="00E575C1">
      <w:pPr>
        <w:pStyle w:val="FootnoteText"/>
        <w:ind w:firstLine="720"/>
        <w:jc w:val="both"/>
        <w:rPr>
          <w:rFonts w:asciiTheme="majorHAnsi" w:hAnsiTheme="majorHAnsi"/>
          <w:sz w:val="16"/>
          <w:szCs w:val="16"/>
          <w:lang w:val="es-PA"/>
        </w:rPr>
      </w:pPr>
      <w:r w:rsidRPr="008F1899">
        <w:rPr>
          <w:rStyle w:val="FootnoteReference"/>
          <w:rFonts w:asciiTheme="majorHAnsi" w:hAnsiTheme="majorHAnsi"/>
          <w:sz w:val="16"/>
          <w:szCs w:val="16"/>
        </w:rPr>
        <w:footnoteRef/>
      </w:r>
      <w:r w:rsidRPr="008F1899">
        <w:rPr>
          <w:rFonts w:asciiTheme="majorHAnsi" w:hAnsiTheme="majorHAnsi"/>
          <w:sz w:val="16"/>
          <w:szCs w:val="16"/>
          <w:lang w:val="es-PA"/>
        </w:rPr>
        <w:t xml:space="preserve"> La parte peticionaria considera que el agente que responde en nombre del Estado no se encuentra debidamente acreditado. Sin embargo, la Comisión no encuentra elementos para desconocer la capacidad de este agente para responder en nombre del Estado en el presente trámite de admisibilidad.</w:t>
      </w:r>
    </w:p>
  </w:footnote>
  <w:footnote w:id="9">
    <w:p w14:paraId="5BC85A7E" w14:textId="5F11AB6C" w:rsidR="00134CD0" w:rsidRPr="00134CD0" w:rsidRDefault="00134CD0" w:rsidP="00134CD0">
      <w:pPr>
        <w:pStyle w:val="FootnoteText"/>
        <w:ind w:firstLine="720"/>
        <w:jc w:val="both"/>
        <w:rPr>
          <w:rFonts w:asciiTheme="majorHAnsi" w:hAnsiTheme="majorHAnsi"/>
          <w:sz w:val="16"/>
          <w:szCs w:val="16"/>
          <w:lang w:val="es-PA"/>
        </w:rPr>
      </w:pPr>
      <w:r w:rsidRPr="00134CD0">
        <w:rPr>
          <w:rStyle w:val="FootnoteReference"/>
          <w:rFonts w:asciiTheme="majorHAnsi" w:hAnsiTheme="majorHAnsi"/>
          <w:sz w:val="16"/>
          <w:szCs w:val="16"/>
        </w:rPr>
        <w:footnoteRef/>
      </w:r>
      <w:r w:rsidRPr="00134CD0">
        <w:rPr>
          <w:rFonts w:asciiTheme="majorHAnsi" w:hAnsiTheme="majorHAnsi"/>
          <w:sz w:val="16"/>
          <w:szCs w:val="16"/>
          <w:lang w:val="es-PA"/>
        </w:rPr>
        <w:t xml:space="preserve"> </w:t>
      </w:r>
      <w:r w:rsidRPr="00134CD0">
        <w:rPr>
          <w:rFonts w:asciiTheme="majorHAnsi" w:hAnsiTheme="majorHAnsi"/>
          <w:color w:val="000000" w:themeColor="text1"/>
          <w:sz w:val="16"/>
          <w:szCs w:val="16"/>
          <w:lang w:val="es-PA"/>
        </w:rPr>
        <w:t xml:space="preserve">CIDH, </w:t>
      </w:r>
      <w:r w:rsidRPr="00134CD0">
        <w:rPr>
          <w:rFonts w:asciiTheme="majorHAnsi" w:hAnsiTheme="majorHAnsi"/>
          <w:color w:val="000000" w:themeColor="text1"/>
          <w:sz w:val="16"/>
          <w:szCs w:val="16"/>
          <w:lang w:val="es-ES"/>
        </w:rPr>
        <w:t>Informe Nº 18/12 (Admisibilidad), Petición 161-06, Adolescentes condenados a cadena perpetua sin libertad condicional, Estado</w:t>
      </w:r>
      <w:r w:rsidR="00B409C3">
        <w:rPr>
          <w:rFonts w:asciiTheme="majorHAnsi" w:hAnsiTheme="majorHAnsi"/>
          <w:color w:val="000000" w:themeColor="text1"/>
          <w:sz w:val="16"/>
          <w:szCs w:val="16"/>
          <w:lang w:val="es-ES"/>
        </w:rPr>
        <w:t>s</w:t>
      </w:r>
      <w:r w:rsidRPr="00134CD0">
        <w:rPr>
          <w:rFonts w:asciiTheme="majorHAnsi" w:hAnsiTheme="majorHAnsi"/>
          <w:color w:val="000000" w:themeColor="text1"/>
          <w:sz w:val="16"/>
          <w:szCs w:val="16"/>
          <w:lang w:val="es-ES"/>
        </w:rPr>
        <w:t xml:space="preserve"> Unidos</w:t>
      </w:r>
      <w:r w:rsidR="00CD2FFF">
        <w:rPr>
          <w:rFonts w:asciiTheme="majorHAnsi" w:hAnsiTheme="majorHAnsi"/>
          <w:color w:val="000000" w:themeColor="text1"/>
          <w:sz w:val="16"/>
          <w:szCs w:val="16"/>
          <w:lang w:val="es-ES"/>
        </w:rPr>
        <w:t>, 20 de marzo de 2012, párr. 57.</w:t>
      </w:r>
    </w:p>
  </w:footnote>
  <w:footnote w:id="10">
    <w:p w14:paraId="02082F0F" w14:textId="77777777" w:rsidR="006A5F7E" w:rsidRPr="006132CC" w:rsidRDefault="006A5F7E" w:rsidP="006A5F7E">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72/11</w:t>
      </w:r>
      <w:r>
        <w:rPr>
          <w:rFonts w:ascii="Cambria" w:hAnsi="Cambria"/>
          <w:sz w:val="16"/>
          <w:szCs w:val="16"/>
          <w:lang w:val="es-ES"/>
        </w:rPr>
        <w:t>, Petición 1164-05</w:t>
      </w:r>
      <w:r w:rsidRPr="006132CC">
        <w:rPr>
          <w:rFonts w:ascii="Cambria" w:hAnsi="Cambria"/>
          <w:sz w:val="16"/>
          <w:szCs w:val="16"/>
          <w:lang w:val="es-ES"/>
        </w:rPr>
        <w:t xml:space="preserve">. Admisibilidad. </w:t>
      </w:r>
      <w:r w:rsidRPr="006132CC">
        <w:rPr>
          <w:rFonts w:ascii="Cambria" w:hAnsi="Cambria"/>
          <w:sz w:val="16"/>
          <w:szCs w:val="16"/>
          <w:lang w:val="es-ES_tradnl"/>
        </w:rPr>
        <w:t>William Gómez Vargas.</w:t>
      </w:r>
      <w:r w:rsidRPr="006132CC">
        <w:rPr>
          <w:rFonts w:ascii="Cambria" w:hAnsi="Cambria"/>
          <w:sz w:val="16"/>
          <w:szCs w:val="16"/>
          <w:lang w:val="es-ES"/>
        </w:rPr>
        <w:t xml:space="preserve"> Costa Rica. 31 de marzo de 2011, párr. 52.</w:t>
      </w:r>
    </w:p>
  </w:footnote>
  <w:footnote w:id="11">
    <w:p w14:paraId="7C34B3FD" w14:textId="77777777" w:rsidR="00CD2FFF" w:rsidRPr="00FF2352" w:rsidRDefault="00CD2FFF" w:rsidP="00CD2FFF">
      <w:pPr>
        <w:pStyle w:val="FootnoteText"/>
        <w:ind w:firstLine="720"/>
        <w:jc w:val="both"/>
        <w:rPr>
          <w:rFonts w:asciiTheme="majorHAnsi" w:hAnsiTheme="majorHAnsi"/>
          <w:sz w:val="16"/>
          <w:szCs w:val="16"/>
          <w:lang w:val="es-ES"/>
        </w:rPr>
      </w:pPr>
      <w:r w:rsidRPr="00FF2352">
        <w:rPr>
          <w:rStyle w:val="FootnoteReference"/>
          <w:rFonts w:asciiTheme="majorHAnsi" w:hAnsiTheme="majorHAnsi"/>
          <w:sz w:val="16"/>
          <w:szCs w:val="16"/>
        </w:rPr>
        <w:footnoteRef/>
      </w:r>
      <w:r w:rsidRPr="00FF2352">
        <w:rPr>
          <w:rFonts w:asciiTheme="majorHAnsi" w:hAnsiTheme="majorHAnsi"/>
          <w:sz w:val="16"/>
          <w:szCs w:val="16"/>
          <w:lang w:val="es-ES"/>
        </w:rPr>
        <w:t xml:space="preserve"> CIDH, Informe No. 143/18, Petición 940-08. Admisibilidad. Luis Américo Ayala Gonzales. Perú. 4 de diciembre de 2018, párr. 12.</w:t>
      </w:r>
    </w:p>
  </w:footnote>
  <w:footnote w:id="12">
    <w:p w14:paraId="0D1AEB9F" w14:textId="512F43F6" w:rsidR="008053FE" w:rsidRPr="008053FE" w:rsidRDefault="008053FE" w:rsidP="008053FE">
      <w:pPr>
        <w:pStyle w:val="FootnoteText"/>
        <w:ind w:firstLine="720"/>
        <w:jc w:val="both"/>
        <w:rPr>
          <w:rFonts w:asciiTheme="majorHAnsi" w:hAnsiTheme="majorHAnsi"/>
          <w:sz w:val="16"/>
          <w:szCs w:val="16"/>
          <w:lang w:val="es-PA"/>
        </w:rPr>
      </w:pPr>
      <w:r w:rsidRPr="008053FE">
        <w:rPr>
          <w:rStyle w:val="FootnoteReference"/>
          <w:rFonts w:asciiTheme="majorHAnsi" w:hAnsiTheme="majorHAnsi"/>
          <w:sz w:val="16"/>
          <w:szCs w:val="16"/>
        </w:rPr>
        <w:footnoteRef/>
      </w:r>
      <w:r w:rsidRPr="008053FE">
        <w:rPr>
          <w:rFonts w:asciiTheme="majorHAnsi" w:hAnsiTheme="majorHAnsi"/>
          <w:sz w:val="16"/>
          <w:szCs w:val="16"/>
          <w:lang w:val="es-PA"/>
        </w:rPr>
        <w:t xml:space="preserve"> </w:t>
      </w:r>
      <w:r w:rsidRPr="008053FE">
        <w:rPr>
          <w:rFonts w:asciiTheme="majorHAnsi" w:hAnsiTheme="majorHAnsi"/>
          <w:sz w:val="16"/>
          <w:szCs w:val="16"/>
          <w:lang w:val="es-ES"/>
        </w:rPr>
        <w:t>CIDH, Informe No. 91/17, Petición 1400-07. Inadmisibilidad. Adriana Sonia Peralta. Argentina. 7 de julio de 2017</w:t>
      </w:r>
      <w:r>
        <w:rPr>
          <w:rFonts w:asciiTheme="majorHAnsi" w:hAnsiTheme="majorHAnsi"/>
          <w:sz w:val="16"/>
          <w:szCs w:val="16"/>
          <w:lang w:val="es-ES"/>
        </w:rPr>
        <w:t xml:space="preserve"> (“CIDH. Admisibilidad, </w:t>
      </w:r>
      <w:r w:rsidRPr="008053FE">
        <w:rPr>
          <w:rFonts w:asciiTheme="majorHAnsi" w:hAnsiTheme="majorHAnsi"/>
          <w:i/>
          <w:sz w:val="16"/>
          <w:szCs w:val="16"/>
          <w:lang w:val="es-ES"/>
        </w:rPr>
        <w:t>Adriana Sonia Peralta</w:t>
      </w:r>
      <w:r>
        <w:rPr>
          <w:rFonts w:asciiTheme="majorHAnsi" w:hAnsiTheme="majorHAnsi"/>
          <w:sz w:val="16"/>
          <w:szCs w:val="16"/>
          <w:lang w:val="es-ES"/>
        </w:rPr>
        <w:t>”)</w:t>
      </w:r>
      <w:r w:rsidRPr="008053FE">
        <w:rPr>
          <w:rFonts w:asciiTheme="majorHAnsi" w:hAnsiTheme="majorHAnsi"/>
          <w:sz w:val="16"/>
          <w:szCs w:val="16"/>
          <w:lang w:val="es-ES"/>
        </w:rPr>
        <w:t>, párr. 14.</w:t>
      </w:r>
    </w:p>
  </w:footnote>
  <w:footnote w:id="13">
    <w:p w14:paraId="4B83D024" w14:textId="11BF159B" w:rsidR="008053FE" w:rsidRPr="00F16836" w:rsidRDefault="008053FE" w:rsidP="008053FE">
      <w:pPr>
        <w:pStyle w:val="FootnoteText"/>
        <w:ind w:firstLine="720"/>
        <w:jc w:val="both"/>
        <w:rPr>
          <w:rFonts w:asciiTheme="majorHAnsi" w:hAnsiTheme="majorHAnsi"/>
          <w:sz w:val="16"/>
          <w:szCs w:val="16"/>
          <w:lang w:val="es-PA"/>
        </w:rPr>
      </w:pPr>
      <w:r>
        <w:rPr>
          <w:rStyle w:val="FootnoteReference"/>
        </w:rPr>
        <w:footnoteRef/>
      </w:r>
      <w:r w:rsidRPr="00F16836">
        <w:rPr>
          <w:lang w:val="es-PA"/>
        </w:rPr>
        <w:t xml:space="preserve"> </w:t>
      </w:r>
      <w:r w:rsidR="00F16836">
        <w:rPr>
          <w:rFonts w:asciiTheme="majorHAnsi" w:hAnsiTheme="majorHAnsi"/>
          <w:sz w:val="16"/>
          <w:szCs w:val="16"/>
          <w:lang w:val="es-ES"/>
        </w:rPr>
        <w:t xml:space="preserve">CIDH. Admisibilidad, </w:t>
      </w:r>
      <w:r w:rsidR="00F16836" w:rsidRPr="008053FE">
        <w:rPr>
          <w:rFonts w:asciiTheme="majorHAnsi" w:hAnsiTheme="majorHAnsi"/>
          <w:i/>
          <w:sz w:val="16"/>
          <w:szCs w:val="16"/>
          <w:lang w:val="es-ES"/>
        </w:rPr>
        <w:t>Adriana Sonia Peralta</w:t>
      </w:r>
      <w:r w:rsidR="00F16836">
        <w:rPr>
          <w:rFonts w:asciiTheme="majorHAnsi" w:hAnsiTheme="majorHAnsi"/>
          <w:sz w:val="16"/>
          <w:szCs w:val="16"/>
          <w:lang w:val="es-ES"/>
        </w:rPr>
        <w:t>, párr.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1800E9" w:rsidRDefault="001800E9" w:rsidP="00D4366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1800E9" w:rsidRDefault="001800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1800E9" w:rsidRDefault="001800E9"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1800E9" w:rsidRPr="00EC7D62" w:rsidRDefault="00CC48A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4F707" w14:textId="77777777" w:rsidR="001C7C76" w:rsidRDefault="001C7C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C3F2D3BE"/>
    <w:lvl w:ilvl="0" w:tplc="BFC2E78E">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8"/>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1"/>
  </w:num>
  <w:num w:numId="52">
    <w:abstractNumId w:val="40"/>
  </w:num>
  <w:num w:numId="53">
    <w:abstractNumId w:val="51"/>
  </w:num>
  <w:num w:numId="54">
    <w:abstractNumId w:val="44"/>
  </w:num>
  <w:num w:numId="55">
    <w:abstractNumId w:val="5"/>
  </w:num>
  <w:num w:numId="56">
    <w:abstractNumId w:val="42"/>
  </w:num>
  <w:num w:numId="57">
    <w:abstractNumId w:val="59"/>
  </w:num>
  <w:num w:numId="58">
    <w:abstractNumId w:val="20"/>
  </w:num>
  <w:num w:numId="59">
    <w:abstractNumId w:val="3"/>
  </w:num>
  <w:num w:numId="60">
    <w:abstractNumId w:val="47"/>
  </w:num>
  <w:num w:numId="61">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249E"/>
    <w:rsid w:val="00003321"/>
    <w:rsid w:val="00004713"/>
    <w:rsid w:val="000065D0"/>
    <w:rsid w:val="00006B74"/>
    <w:rsid w:val="00006E1F"/>
    <w:rsid w:val="000070D7"/>
    <w:rsid w:val="000104F5"/>
    <w:rsid w:val="00010B62"/>
    <w:rsid w:val="00015701"/>
    <w:rsid w:val="00016406"/>
    <w:rsid w:val="000173E6"/>
    <w:rsid w:val="0001788C"/>
    <w:rsid w:val="0002186F"/>
    <w:rsid w:val="000337EF"/>
    <w:rsid w:val="00034010"/>
    <w:rsid w:val="00040C3A"/>
    <w:rsid w:val="000419AD"/>
    <w:rsid w:val="0004364E"/>
    <w:rsid w:val="000436D4"/>
    <w:rsid w:val="000454E8"/>
    <w:rsid w:val="00047DDD"/>
    <w:rsid w:val="00060649"/>
    <w:rsid w:val="00064191"/>
    <w:rsid w:val="0007051C"/>
    <w:rsid w:val="000716C5"/>
    <w:rsid w:val="00075E23"/>
    <w:rsid w:val="00086E72"/>
    <w:rsid w:val="00087D19"/>
    <w:rsid w:val="0009006E"/>
    <w:rsid w:val="00092F44"/>
    <w:rsid w:val="0009344A"/>
    <w:rsid w:val="000A19F8"/>
    <w:rsid w:val="000A3254"/>
    <w:rsid w:val="000A392E"/>
    <w:rsid w:val="000A575F"/>
    <w:rsid w:val="000A63D0"/>
    <w:rsid w:val="000B0579"/>
    <w:rsid w:val="000B6A1B"/>
    <w:rsid w:val="000C1C69"/>
    <w:rsid w:val="000C3A31"/>
    <w:rsid w:val="000D10DB"/>
    <w:rsid w:val="000D6148"/>
    <w:rsid w:val="000E1E28"/>
    <w:rsid w:val="000E2789"/>
    <w:rsid w:val="000E5EB5"/>
    <w:rsid w:val="000F0B08"/>
    <w:rsid w:val="000F35ED"/>
    <w:rsid w:val="000F7552"/>
    <w:rsid w:val="00107009"/>
    <w:rsid w:val="00107131"/>
    <w:rsid w:val="0010736F"/>
    <w:rsid w:val="00111A8A"/>
    <w:rsid w:val="00111D3B"/>
    <w:rsid w:val="00113F73"/>
    <w:rsid w:val="00121CC2"/>
    <w:rsid w:val="00124CFE"/>
    <w:rsid w:val="00126098"/>
    <w:rsid w:val="0012779F"/>
    <w:rsid w:val="001307FE"/>
    <w:rsid w:val="00131D8B"/>
    <w:rsid w:val="00133EE5"/>
    <w:rsid w:val="00134CD0"/>
    <w:rsid w:val="00136E3D"/>
    <w:rsid w:val="00143EFE"/>
    <w:rsid w:val="001479C0"/>
    <w:rsid w:val="00151F08"/>
    <w:rsid w:val="0015330B"/>
    <w:rsid w:val="00154BD7"/>
    <w:rsid w:val="00161278"/>
    <w:rsid w:val="0016288F"/>
    <w:rsid w:val="00167A34"/>
    <w:rsid w:val="00176BB3"/>
    <w:rsid w:val="00177EEF"/>
    <w:rsid w:val="001800E9"/>
    <w:rsid w:val="00186D2C"/>
    <w:rsid w:val="00187E3D"/>
    <w:rsid w:val="00190317"/>
    <w:rsid w:val="00196DCE"/>
    <w:rsid w:val="001A6683"/>
    <w:rsid w:val="001A7870"/>
    <w:rsid w:val="001B3A00"/>
    <w:rsid w:val="001B442A"/>
    <w:rsid w:val="001B4C00"/>
    <w:rsid w:val="001C1455"/>
    <w:rsid w:val="001C1B41"/>
    <w:rsid w:val="001C4039"/>
    <w:rsid w:val="001C5E56"/>
    <w:rsid w:val="001C7C76"/>
    <w:rsid w:val="001D1844"/>
    <w:rsid w:val="001D65EF"/>
    <w:rsid w:val="001E1067"/>
    <w:rsid w:val="001E49E7"/>
    <w:rsid w:val="001F271B"/>
    <w:rsid w:val="001F371D"/>
    <w:rsid w:val="001F681D"/>
    <w:rsid w:val="001F7201"/>
    <w:rsid w:val="001F7381"/>
    <w:rsid w:val="00204931"/>
    <w:rsid w:val="0020691D"/>
    <w:rsid w:val="00211731"/>
    <w:rsid w:val="00211BDA"/>
    <w:rsid w:val="0021779A"/>
    <w:rsid w:val="002207F6"/>
    <w:rsid w:val="00223A29"/>
    <w:rsid w:val="00223BAA"/>
    <w:rsid w:val="002250A3"/>
    <w:rsid w:val="00225332"/>
    <w:rsid w:val="00226222"/>
    <w:rsid w:val="00231294"/>
    <w:rsid w:val="00233654"/>
    <w:rsid w:val="00233BC7"/>
    <w:rsid w:val="00235217"/>
    <w:rsid w:val="002355A9"/>
    <w:rsid w:val="00241813"/>
    <w:rsid w:val="002435FF"/>
    <w:rsid w:val="00246D1F"/>
    <w:rsid w:val="00247403"/>
    <w:rsid w:val="00247542"/>
    <w:rsid w:val="0025012E"/>
    <w:rsid w:val="00257CF9"/>
    <w:rsid w:val="00265310"/>
    <w:rsid w:val="002659AC"/>
    <w:rsid w:val="00266B61"/>
    <w:rsid w:val="0026712A"/>
    <w:rsid w:val="002704DB"/>
    <w:rsid w:val="0027320E"/>
    <w:rsid w:val="0027435F"/>
    <w:rsid w:val="00275598"/>
    <w:rsid w:val="00277BDA"/>
    <w:rsid w:val="00285F17"/>
    <w:rsid w:val="00294765"/>
    <w:rsid w:val="0029575A"/>
    <w:rsid w:val="002A0AAE"/>
    <w:rsid w:val="002A5820"/>
    <w:rsid w:val="002A6BA5"/>
    <w:rsid w:val="002C3350"/>
    <w:rsid w:val="002D2B26"/>
    <w:rsid w:val="002D7EA2"/>
    <w:rsid w:val="002E0E9E"/>
    <w:rsid w:val="002E187C"/>
    <w:rsid w:val="002E6E36"/>
    <w:rsid w:val="002E7512"/>
    <w:rsid w:val="002E7D95"/>
    <w:rsid w:val="002F3724"/>
    <w:rsid w:val="00300C13"/>
    <w:rsid w:val="00302733"/>
    <w:rsid w:val="00305A92"/>
    <w:rsid w:val="003077BF"/>
    <w:rsid w:val="003121D5"/>
    <w:rsid w:val="00314078"/>
    <w:rsid w:val="0031535D"/>
    <w:rsid w:val="003207C9"/>
    <w:rsid w:val="003227D4"/>
    <w:rsid w:val="003239B8"/>
    <w:rsid w:val="0033169F"/>
    <w:rsid w:val="00341105"/>
    <w:rsid w:val="0034224A"/>
    <w:rsid w:val="00343112"/>
    <w:rsid w:val="00343438"/>
    <w:rsid w:val="00344977"/>
    <w:rsid w:val="00346C95"/>
    <w:rsid w:val="00351155"/>
    <w:rsid w:val="00356185"/>
    <w:rsid w:val="00360380"/>
    <w:rsid w:val="00363DB6"/>
    <w:rsid w:val="00367D17"/>
    <w:rsid w:val="00373DC5"/>
    <w:rsid w:val="0037519E"/>
    <w:rsid w:val="00386C6C"/>
    <w:rsid w:val="00386CF0"/>
    <w:rsid w:val="003942EC"/>
    <w:rsid w:val="00396562"/>
    <w:rsid w:val="0039714C"/>
    <w:rsid w:val="003A6337"/>
    <w:rsid w:val="003B01E6"/>
    <w:rsid w:val="003B4FF6"/>
    <w:rsid w:val="003B5585"/>
    <w:rsid w:val="003B70FB"/>
    <w:rsid w:val="003C20FF"/>
    <w:rsid w:val="003C4F45"/>
    <w:rsid w:val="003C6112"/>
    <w:rsid w:val="003C676B"/>
    <w:rsid w:val="003C7487"/>
    <w:rsid w:val="003D0A55"/>
    <w:rsid w:val="003D3BC2"/>
    <w:rsid w:val="003E2134"/>
    <w:rsid w:val="003E2C19"/>
    <w:rsid w:val="003E3DC8"/>
    <w:rsid w:val="003E614F"/>
    <w:rsid w:val="003E6CA1"/>
    <w:rsid w:val="00400F5E"/>
    <w:rsid w:val="004065A8"/>
    <w:rsid w:val="004153F5"/>
    <w:rsid w:val="004165C2"/>
    <w:rsid w:val="00425533"/>
    <w:rsid w:val="004304AD"/>
    <w:rsid w:val="00434A3E"/>
    <w:rsid w:val="004400F6"/>
    <w:rsid w:val="00441ECB"/>
    <w:rsid w:val="004435A3"/>
    <w:rsid w:val="00445193"/>
    <w:rsid w:val="00447CCF"/>
    <w:rsid w:val="0045229A"/>
    <w:rsid w:val="004565BA"/>
    <w:rsid w:val="004601CF"/>
    <w:rsid w:val="00462C1B"/>
    <w:rsid w:val="00467B7E"/>
    <w:rsid w:val="0047080D"/>
    <w:rsid w:val="00473BB4"/>
    <w:rsid w:val="00476211"/>
    <w:rsid w:val="00477592"/>
    <w:rsid w:val="00486F1C"/>
    <w:rsid w:val="0049419D"/>
    <w:rsid w:val="004A34D7"/>
    <w:rsid w:val="004A59CC"/>
    <w:rsid w:val="004A6A54"/>
    <w:rsid w:val="004B245C"/>
    <w:rsid w:val="004B50A0"/>
    <w:rsid w:val="004C0323"/>
    <w:rsid w:val="004C20D2"/>
    <w:rsid w:val="004C2312"/>
    <w:rsid w:val="004C3A7D"/>
    <w:rsid w:val="004C4B62"/>
    <w:rsid w:val="004C54C9"/>
    <w:rsid w:val="004C616A"/>
    <w:rsid w:val="004C731B"/>
    <w:rsid w:val="004D33D4"/>
    <w:rsid w:val="004D4ABA"/>
    <w:rsid w:val="004D4DEE"/>
    <w:rsid w:val="004D6025"/>
    <w:rsid w:val="004E19B1"/>
    <w:rsid w:val="004E2649"/>
    <w:rsid w:val="004E5467"/>
    <w:rsid w:val="004E6834"/>
    <w:rsid w:val="004F2474"/>
    <w:rsid w:val="004F2F5D"/>
    <w:rsid w:val="00501399"/>
    <w:rsid w:val="00501652"/>
    <w:rsid w:val="00501FCD"/>
    <w:rsid w:val="0050633D"/>
    <w:rsid w:val="00507BC4"/>
    <w:rsid w:val="005128E4"/>
    <w:rsid w:val="005133DB"/>
    <w:rsid w:val="005141C6"/>
    <w:rsid w:val="00523E34"/>
    <w:rsid w:val="00525560"/>
    <w:rsid w:val="00534ED4"/>
    <w:rsid w:val="005408AF"/>
    <w:rsid w:val="005415E6"/>
    <w:rsid w:val="00544216"/>
    <w:rsid w:val="00544C49"/>
    <w:rsid w:val="005516A1"/>
    <w:rsid w:val="005563FD"/>
    <w:rsid w:val="005565AF"/>
    <w:rsid w:val="0055715B"/>
    <w:rsid w:val="00563557"/>
    <w:rsid w:val="00565BB9"/>
    <w:rsid w:val="00567B31"/>
    <w:rsid w:val="00567BB4"/>
    <w:rsid w:val="00570C8D"/>
    <w:rsid w:val="0057402A"/>
    <w:rsid w:val="00574CB7"/>
    <w:rsid w:val="005771D0"/>
    <w:rsid w:val="0059191A"/>
    <w:rsid w:val="005921FF"/>
    <w:rsid w:val="00594707"/>
    <w:rsid w:val="005A24ED"/>
    <w:rsid w:val="005A6C02"/>
    <w:rsid w:val="005A6D0E"/>
    <w:rsid w:val="005B00F5"/>
    <w:rsid w:val="005B0B5A"/>
    <w:rsid w:val="005B37CC"/>
    <w:rsid w:val="005B52B0"/>
    <w:rsid w:val="005B6806"/>
    <w:rsid w:val="005B6D22"/>
    <w:rsid w:val="005C261A"/>
    <w:rsid w:val="005C4225"/>
    <w:rsid w:val="005C55B6"/>
    <w:rsid w:val="005C7989"/>
    <w:rsid w:val="005D050B"/>
    <w:rsid w:val="005D13F3"/>
    <w:rsid w:val="005D4EBD"/>
    <w:rsid w:val="005D66AD"/>
    <w:rsid w:val="005E0B65"/>
    <w:rsid w:val="005E11B2"/>
    <w:rsid w:val="005E1BFC"/>
    <w:rsid w:val="005E4C8B"/>
    <w:rsid w:val="005F0DAD"/>
    <w:rsid w:val="005F0F33"/>
    <w:rsid w:val="00600DEB"/>
    <w:rsid w:val="00604CA5"/>
    <w:rsid w:val="006062FA"/>
    <w:rsid w:val="006068B7"/>
    <w:rsid w:val="00611CED"/>
    <w:rsid w:val="00613984"/>
    <w:rsid w:val="00615248"/>
    <w:rsid w:val="0061708C"/>
    <w:rsid w:val="006215EA"/>
    <w:rsid w:val="00623A34"/>
    <w:rsid w:val="006277DE"/>
    <w:rsid w:val="00627C9F"/>
    <w:rsid w:val="006311E9"/>
    <w:rsid w:val="00632354"/>
    <w:rsid w:val="00635CC9"/>
    <w:rsid w:val="00642810"/>
    <w:rsid w:val="00647756"/>
    <w:rsid w:val="006509DA"/>
    <w:rsid w:val="00652333"/>
    <w:rsid w:val="00654344"/>
    <w:rsid w:val="0066069F"/>
    <w:rsid w:val="00662E2F"/>
    <w:rsid w:val="0066550E"/>
    <w:rsid w:val="00665D9B"/>
    <w:rsid w:val="00670BF9"/>
    <w:rsid w:val="006775AB"/>
    <w:rsid w:val="0068009E"/>
    <w:rsid w:val="00680A0B"/>
    <w:rsid w:val="006819E9"/>
    <w:rsid w:val="00686471"/>
    <w:rsid w:val="0068794B"/>
    <w:rsid w:val="0069157D"/>
    <w:rsid w:val="00691BBE"/>
    <w:rsid w:val="00692219"/>
    <w:rsid w:val="006928C1"/>
    <w:rsid w:val="0069402E"/>
    <w:rsid w:val="006A17D2"/>
    <w:rsid w:val="006A36BB"/>
    <w:rsid w:val="006A4D7E"/>
    <w:rsid w:val="006A5F7E"/>
    <w:rsid w:val="006A73E6"/>
    <w:rsid w:val="006B1B8B"/>
    <w:rsid w:val="006B23DC"/>
    <w:rsid w:val="006B29DD"/>
    <w:rsid w:val="006B2D5C"/>
    <w:rsid w:val="006B2EE8"/>
    <w:rsid w:val="006B4F5E"/>
    <w:rsid w:val="006B5A72"/>
    <w:rsid w:val="006C4EB1"/>
    <w:rsid w:val="006D016F"/>
    <w:rsid w:val="006E0166"/>
    <w:rsid w:val="006E4E96"/>
    <w:rsid w:val="006E772A"/>
    <w:rsid w:val="006E7B34"/>
    <w:rsid w:val="006F551A"/>
    <w:rsid w:val="006F73BE"/>
    <w:rsid w:val="007044E1"/>
    <w:rsid w:val="00706189"/>
    <w:rsid w:val="0070697F"/>
    <w:rsid w:val="0072199C"/>
    <w:rsid w:val="00722C9F"/>
    <w:rsid w:val="00722E22"/>
    <w:rsid w:val="007253B8"/>
    <w:rsid w:val="00727B0E"/>
    <w:rsid w:val="0073036F"/>
    <w:rsid w:val="00731F35"/>
    <w:rsid w:val="00732C96"/>
    <w:rsid w:val="0073598C"/>
    <w:rsid w:val="0073741F"/>
    <w:rsid w:val="00764304"/>
    <w:rsid w:val="0076643F"/>
    <w:rsid w:val="00777F63"/>
    <w:rsid w:val="007852B5"/>
    <w:rsid w:val="00790248"/>
    <w:rsid w:val="007912C8"/>
    <w:rsid w:val="00796A37"/>
    <w:rsid w:val="007A5817"/>
    <w:rsid w:val="007A5D4C"/>
    <w:rsid w:val="007B05C4"/>
    <w:rsid w:val="007B11C8"/>
    <w:rsid w:val="007B60E9"/>
    <w:rsid w:val="007B6CC3"/>
    <w:rsid w:val="007C3334"/>
    <w:rsid w:val="007C402A"/>
    <w:rsid w:val="007C5E01"/>
    <w:rsid w:val="007D2B98"/>
    <w:rsid w:val="007D7C02"/>
    <w:rsid w:val="007E21BC"/>
    <w:rsid w:val="007E58FE"/>
    <w:rsid w:val="007E7C82"/>
    <w:rsid w:val="007F54FB"/>
    <w:rsid w:val="007F588D"/>
    <w:rsid w:val="00802583"/>
    <w:rsid w:val="00802748"/>
    <w:rsid w:val="00803F1C"/>
    <w:rsid w:val="008053FE"/>
    <w:rsid w:val="0080600E"/>
    <w:rsid w:val="00807E8C"/>
    <w:rsid w:val="00817612"/>
    <w:rsid w:val="00826756"/>
    <w:rsid w:val="00827C40"/>
    <w:rsid w:val="008338A4"/>
    <w:rsid w:val="00834D49"/>
    <w:rsid w:val="00837C45"/>
    <w:rsid w:val="008411F0"/>
    <w:rsid w:val="008439BC"/>
    <w:rsid w:val="0084456A"/>
    <w:rsid w:val="00844730"/>
    <w:rsid w:val="008448B6"/>
    <w:rsid w:val="008457C2"/>
    <w:rsid w:val="00851BF6"/>
    <w:rsid w:val="00857A82"/>
    <w:rsid w:val="0086141D"/>
    <w:rsid w:val="00870492"/>
    <w:rsid w:val="00870D95"/>
    <w:rsid w:val="00871359"/>
    <w:rsid w:val="00871526"/>
    <w:rsid w:val="0087241E"/>
    <w:rsid w:val="00873836"/>
    <w:rsid w:val="00875668"/>
    <w:rsid w:val="008802DC"/>
    <w:rsid w:val="00881E7D"/>
    <w:rsid w:val="008828E5"/>
    <w:rsid w:val="008856AB"/>
    <w:rsid w:val="00885737"/>
    <w:rsid w:val="00890650"/>
    <w:rsid w:val="00897E12"/>
    <w:rsid w:val="008A0F81"/>
    <w:rsid w:val="008A310C"/>
    <w:rsid w:val="008A392C"/>
    <w:rsid w:val="008A7E0F"/>
    <w:rsid w:val="008B098F"/>
    <w:rsid w:val="008B12F5"/>
    <w:rsid w:val="008B5932"/>
    <w:rsid w:val="008C5751"/>
    <w:rsid w:val="008C73B3"/>
    <w:rsid w:val="008D02AD"/>
    <w:rsid w:val="008D2288"/>
    <w:rsid w:val="008D768D"/>
    <w:rsid w:val="008E0FD8"/>
    <w:rsid w:val="008E328A"/>
    <w:rsid w:val="008E3759"/>
    <w:rsid w:val="008E3BFE"/>
    <w:rsid w:val="008E7900"/>
    <w:rsid w:val="008F1912"/>
    <w:rsid w:val="008F642D"/>
    <w:rsid w:val="0090270B"/>
    <w:rsid w:val="009041DC"/>
    <w:rsid w:val="009053E2"/>
    <w:rsid w:val="00911B3F"/>
    <w:rsid w:val="00916F76"/>
    <w:rsid w:val="00917B5A"/>
    <w:rsid w:val="00920A58"/>
    <w:rsid w:val="00920A8C"/>
    <w:rsid w:val="00920AC1"/>
    <w:rsid w:val="00924F65"/>
    <w:rsid w:val="00934A2C"/>
    <w:rsid w:val="00935F06"/>
    <w:rsid w:val="00937B3A"/>
    <w:rsid w:val="00943696"/>
    <w:rsid w:val="00945886"/>
    <w:rsid w:val="00953D82"/>
    <w:rsid w:val="00954B82"/>
    <w:rsid w:val="00957000"/>
    <w:rsid w:val="00962436"/>
    <w:rsid w:val="0096706E"/>
    <w:rsid w:val="00974491"/>
    <w:rsid w:val="00975C4E"/>
    <w:rsid w:val="0097746F"/>
    <w:rsid w:val="00977573"/>
    <w:rsid w:val="00981FBA"/>
    <w:rsid w:val="00984ACE"/>
    <w:rsid w:val="00991376"/>
    <w:rsid w:val="00997BC5"/>
    <w:rsid w:val="009A4F41"/>
    <w:rsid w:val="009B1520"/>
    <w:rsid w:val="009B381B"/>
    <w:rsid w:val="009C2FC5"/>
    <w:rsid w:val="009D1753"/>
    <w:rsid w:val="009D38C6"/>
    <w:rsid w:val="009D4CF0"/>
    <w:rsid w:val="009D5770"/>
    <w:rsid w:val="009D6502"/>
    <w:rsid w:val="009D7611"/>
    <w:rsid w:val="009D78A5"/>
    <w:rsid w:val="009E08DD"/>
    <w:rsid w:val="009E0B61"/>
    <w:rsid w:val="009E53DE"/>
    <w:rsid w:val="009E7C00"/>
    <w:rsid w:val="009F41D1"/>
    <w:rsid w:val="009F4469"/>
    <w:rsid w:val="00A0691C"/>
    <w:rsid w:val="00A11E44"/>
    <w:rsid w:val="00A154C8"/>
    <w:rsid w:val="00A22397"/>
    <w:rsid w:val="00A32313"/>
    <w:rsid w:val="00A328B3"/>
    <w:rsid w:val="00A3457A"/>
    <w:rsid w:val="00A42709"/>
    <w:rsid w:val="00A443E6"/>
    <w:rsid w:val="00A507C8"/>
    <w:rsid w:val="00A50FCF"/>
    <w:rsid w:val="00A528D1"/>
    <w:rsid w:val="00A54D03"/>
    <w:rsid w:val="00A563EE"/>
    <w:rsid w:val="00A610CD"/>
    <w:rsid w:val="00A625E0"/>
    <w:rsid w:val="00A74947"/>
    <w:rsid w:val="00A758AA"/>
    <w:rsid w:val="00A92093"/>
    <w:rsid w:val="00A929AA"/>
    <w:rsid w:val="00A93A60"/>
    <w:rsid w:val="00AA09A2"/>
    <w:rsid w:val="00AA19DA"/>
    <w:rsid w:val="00AA3690"/>
    <w:rsid w:val="00AA399C"/>
    <w:rsid w:val="00AA7996"/>
    <w:rsid w:val="00AB14BB"/>
    <w:rsid w:val="00AC19CB"/>
    <w:rsid w:val="00AD1886"/>
    <w:rsid w:val="00AE5488"/>
    <w:rsid w:val="00AE6F91"/>
    <w:rsid w:val="00AF5571"/>
    <w:rsid w:val="00AF695E"/>
    <w:rsid w:val="00B066A5"/>
    <w:rsid w:val="00B06B4E"/>
    <w:rsid w:val="00B07341"/>
    <w:rsid w:val="00B10160"/>
    <w:rsid w:val="00B10955"/>
    <w:rsid w:val="00B202B5"/>
    <w:rsid w:val="00B30099"/>
    <w:rsid w:val="00B30539"/>
    <w:rsid w:val="00B314DB"/>
    <w:rsid w:val="00B361F2"/>
    <w:rsid w:val="00B36FBE"/>
    <w:rsid w:val="00B3718B"/>
    <w:rsid w:val="00B37229"/>
    <w:rsid w:val="00B403E3"/>
    <w:rsid w:val="00B409C3"/>
    <w:rsid w:val="00B415FE"/>
    <w:rsid w:val="00B42FA4"/>
    <w:rsid w:val="00B4460D"/>
    <w:rsid w:val="00B45CC0"/>
    <w:rsid w:val="00B4632A"/>
    <w:rsid w:val="00B5067D"/>
    <w:rsid w:val="00B5134D"/>
    <w:rsid w:val="00B530F1"/>
    <w:rsid w:val="00B54338"/>
    <w:rsid w:val="00B543EC"/>
    <w:rsid w:val="00B54710"/>
    <w:rsid w:val="00B57297"/>
    <w:rsid w:val="00B5798A"/>
    <w:rsid w:val="00B736AF"/>
    <w:rsid w:val="00B742BE"/>
    <w:rsid w:val="00B85559"/>
    <w:rsid w:val="00B85E9F"/>
    <w:rsid w:val="00B87359"/>
    <w:rsid w:val="00B92D4A"/>
    <w:rsid w:val="00B97946"/>
    <w:rsid w:val="00BA1EAE"/>
    <w:rsid w:val="00BA276C"/>
    <w:rsid w:val="00BA5544"/>
    <w:rsid w:val="00BB0330"/>
    <w:rsid w:val="00BB1C31"/>
    <w:rsid w:val="00BB306F"/>
    <w:rsid w:val="00BB3402"/>
    <w:rsid w:val="00BB3FBD"/>
    <w:rsid w:val="00BC01FE"/>
    <w:rsid w:val="00BC0968"/>
    <w:rsid w:val="00BC6593"/>
    <w:rsid w:val="00BC6CD0"/>
    <w:rsid w:val="00BD4B89"/>
    <w:rsid w:val="00BD5922"/>
    <w:rsid w:val="00BD622A"/>
    <w:rsid w:val="00BD76D9"/>
    <w:rsid w:val="00BE014F"/>
    <w:rsid w:val="00BF02CB"/>
    <w:rsid w:val="00BF2178"/>
    <w:rsid w:val="00BF32A7"/>
    <w:rsid w:val="00BF514A"/>
    <w:rsid w:val="00BF6FD8"/>
    <w:rsid w:val="00BF775D"/>
    <w:rsid w:val="00C00A8C"/>
    <w:rsid w:val="00C03680"/>
    <w:rsid w:val="00C054DF"/>
    <w:rsid w:val="00C05B17"/>
    <w:rsid w:val="00C05D56"/>
    <w:rsid w:val="00C06EF7"/>
    <w:rsid w:val="00C10AFC"/>
    <w:rsid w:val="00C21562"/>
    <w:rsid w:val="00C21762"/>
    <w:rsid w:val="00C21FEF"/>
    <w:rsid w:val="00C24543"/>
    <w:rsid w:val="00C256A2"/>
    <w:rsid w:val="00C308DF"/>
    <w:rsid w:val="00C35A26"/>
    <w:rsid w:val="00C40B41"/>
    <w:rsid w:val="00C4317B"/>
    <w:rsid w:val="00C51515"/>
    <w:rsid w:val="00C53619"/>
    <w:rsid w:val="00C53910"/>
    <w:rsid w:val="00C5660B"/>
    <w:rsid w:val="00C56854"/>
    <w:rsid w:val="00C5788A"/>
    <w:rsid w:val="00C66B72"/>
    <w:rsid w:val="00C70BA7"/>
    <w:rsid w:val="00C80B5A"/>
    <w:rsid w:val="00C87628"/>
    <w:rsid w:val="00C87AC4"/>
    <w:rsid w:val="00C94A36"/>
    <w:rsid w:val="00C9529A"/>
    <w:rsid w:val="00C9567A"/>
    <w:rsid w:val="00C97A5D"/>
    <w:rsid w:val="00CA48A3"/>
    <w:rsid w:val="00CB212D"/>
    <w:rsid w:val="00CB2660"/>
    <w:rsid w:val="00CC48A0"/>
    <w:rsid w:val="00CC5E90"/>
    <w:rsid w:val="00CD046C"/>
    <w:rsid w:val="00CD186A"/>
    <w:rsid w:val="00CD2FFF"/>
    <w:rsid w:val="00CD5ACF"/>
    <w:rsid w:val="00CE0020"/>
    <w:rsid w:val="00CE076C"/>
    <w:rsid w:val="00CE5199"/>
    <w:rsid w:val="00CE66D5"/>
    <w:rsid w:val="00CF637A"/>
    <w:rsid w:val="00D01897"/>
    <w:rsid w:val="00D059DE"/>
    <w:rsid w:val="00D05ABD"/>
    <w:rsid w:val="00D07A47"/>
    <w:rsid w:val="00D10DF3"/>
    <w:rsid w:val="00D115B2"/>
    <w:rsid w:val="00D13FCE"/>
    <w:rsid w:val="00D17E8C"/>
    <w:rsid w:val="00D20237"/>
    <w:rsid w:val="00D21B18"/>
    <w:rsid w:val="00D22FBE"/>
    <w:rsid w:val="00D24AD4"/>
    <w:rsid w:val="00D306D1"/>
    <w:rsid w:val="00D30800"/>
    <w:rsid w:val="00D34786"/>
    <w:rsid w:val="00D37BFC"/>
    <w:rsid w:val="00D37FB9"/>
    <w:rsid w:val="00D40BDC"/>
    <w:rsid w:val="00D42822"/>
    <w:rsid w:val="00D43661"/>
    <w:rsid w:val="00D47A8E"/>
    <w:rsid w:val="00D52D14"/>
    <w:rsid w:val="00D55256"/>
    <w:rsid w:val="00D56D93"/>
    <w:rsid w:val="00D575BC"/>
    <w:rsid w:val="00D712D3"/>
    <w:rsid w:val="00D71422"/>
    <w:rsid w:val="00D72DC6"/>
    <w:rsid w:val="00D73F5E"/>
    <w:rsid w:val="00D7558D"/>
    <w:rsid w:val="00D77503"/>
    <w:rsid w:val="00D81D92"/>
    <w:rsid w:val="00D876F9"/>
    <w:rsid w:val="00D877B6"/>
    <w:rsid w:val="00D93A90"/>
    <w:rsid w:val="00DA4791"/>
    <w:rsid w:val="00DA7B5F"/>
    <w:rsid w:val="00DB197B"/>
    <w:rsid w:val="00DC0155"/>
    <w:rsid w:val="00DC11E7"/>
    <w:rsid w:val="00DC7023"/>
    <w:rsid w:val="00DC769A"/>
    <w:rsid w:val="00DD061E"/>
    <w:rsid w:val="00DD151B"/>
    <w:rsid w:val="00DD1CC3"/>
    <w:rsid w:val="00DD3A18"/>
    <w:rsid w:val="00DD3D86"/>
    <w:rsid w:val="00DE12F0"/>
    <w:rsid w:val="00DE6DAA"/>
    <w:rsid w:val="00DE7D78"/>
    <w:rsid w:val="00DF1745"/>
    <w:rsid w:val="00DF1EC4"/>
    <w:rsid w:val="00DF51E9"/>
    <w:rsid w:val="00DF54A0"/>
    <w:rsid w:val="00E01943"/>
    <w:rsid w:val="00E0340B"/>
    <w:rsid w:val="00E04A90"/>
    <w:rsid w:val="00E0551F"/>
    <w:rsid w:val="00E0695F"/>
    <w:rsid w:val="00E07937"/>
    <w:rsid w:val="00E07CB1"/>
    <w:rsid w:val="00E1204C"/>
    <w:rsid w:val="00E145DB"/>
    <w:rsid w:val="00E219C7"/>
    <w:rsid w:val="00E25875"/>
    <w:rsid w:val="00E26CCA"/>
    <w:rsid w:val="00E27F56"/>
    <w:rsid w:val="00E3702D"/>
    <w:rsid w:val="00E4118C"/>
    <w:rsid w:val="00E43157"/>
    <w:rsid w:val="00E461CE"/>
    <w:rsid w:val="00E46AF9"/>
    <w:rsid w:val="00E55F3C"/>
    <w:rsid w:val="00E575C1"/>
    <w:rsid w:val="00E720CA"/>
    <w:rsid w:val="00E73010"/>
    <w:rsid w:val="00E77968"/>
    <w:rsid w:val="00E8038C"/>
    <w:rsid w:val="00E81364"/>
    <w:rsid w:val="00E847C9"/>
    <w:rsid w:val="00E84EB5"/>
    <w:rsid w:val="00E85662"/>
    <w:rsid w:val="00E85D37"/>
    <w:rsid w:val="00E86C16"/>
    <w:rsid w:val="00E8789F"/>
    <w:rsid w:val="00E90973"/>
    <w:rsid w:val="00E92747"/>
    <w:rsid w:val="00E94B3A"/>
    <w:rsid w:val="00E9525D"/>
    <w:rsid w:val="00E97B71"/>
    <w:rsid w:val="00EA3D34"/>
    <w:rsid w:val="00EA4E70"/>
    <w:rsid w:val="00EA4FA6"/>
    <w:rsid w:val="00EB454D"/>
    <w:rsid w:val="00EC16CC"/>
    <w:rsid w:val="00EC26E9"/>
    <w:rsid w:val="00EC72AB"/>
    <w:rsid w:val="00ED2F03"/>
    <w:rsid w:val="00ED4CBD"/>
    <w:rsid w:val="00ED549D"/>
    <w:rsid w:val="00ED76BE"/>
    <w:rsid w:val="00ED7F05"/>
    <w:rsid w:val="00EE00E9"/>
    <w:rsid w:val="00EE014D"/>
    <w:rsid w:val="00EE1764"/>
    <w:rsid w:val="00EF35AB"/>
    <w:rsid w:val="00EF4C44"/>
    <w:rsid w:val="00EF619B"/>
    <w:rsid w:val="00F00B55"/>
    <w:rsid w:val="00F02035"/>
    <w:rsid w:val="00F02AD1"/>
    <w:rsid w:val="00F04591"/>
    <w:rsid w:val="00F06354"/>
    <w:rsid w:val="00F11019"/>
    <w:rsid w:val="00F11FBB"/>
    <w:rsid w:val="00F16836"/>
    <w:rsid w:val="00F1747D"/>
    <w:rsid w:val="00F251B7"/>
    <w:rsid w:val="00F253CC"/>
    <w:rsid w:val="00F332EF"/>
    <w:rsid w:val="00F3559E"/>
    <w:rsid w:val="00F37106"/>
    <w:rsid w:val="00F371C8"/>
    <w:rsid w:val="00F519CF"/>
    <w:rsid w:val="00F53168"/>
    <w:rsid w:val="00F547B9"/>
    <w:rsid w:val="00F56BA5"/>
    <w:rsid w:val="00F609C0"/>
    <w:rsid w:val="00F60E22"/>
    <w:rsid w:val="00F63B39"/>
    <w:rsid w:val="00F65CE0"/>
    <w:rsid w:val="00F7066C"/>
    <w:rsid w:val="00F71FEE"/>
    <w:rsid w:val="00F7325F"/>
    <w:rsid w:val="00F7746A"/>
    <w:rsid w:val="00F81395"/>
    <w:rsid w:val="00F81887"/>
    <w:rsid w:val="00F81BB8"/>
    <w:rsid w:val="00F847C4"/>
    <w:rsid w:val="00F917D1"/>
    <w:rsid w:val="00F9342C"/>
    <w:rsid w:val="00F9653B"/>
    <w:rsid w:val="00FA56EA"/>
    <w:rsid w:val="00FA5DB1"/>
    <w:rsid w:val="00FB119F"/>
    <w:rsid w:val="00FB62CF"/>
    <w:rsid w:val="00FC0649"/>
    <w:rsid w:val="00FC0F4A"/>
    <w:rsid w:val="00FC3330"/>
    <w:rsid w:val="00FC46D5"/>
    <w:rsid w:val="00FC5576"/>
    <w:rsid w:val="00FC7608"/>
    <w:rsid w:val="00FD1986"/>
    <w:rsid w:val="00FD1C1D"/>
    <w:rsid w:val="00FD375B"/>
    <w:rsid w:val="00FD3C3B"/>
    <w:rsid w:val="00FD6A68"/>
    <w:rsid w:val="00FD7C3E"/>
    <w:rsid w:val="00FE07DD"/>
    <w:rsid w:val="00FE430E"/>
    <w:rsid w:val="00FE6B45"/>
    <w:rsid w:val="00FF3BB8"/>
    <w:rsid w:val="00FF3BE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CD2FFF"/>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jc w:val="both"/>
      <w:textAlignment w:val="baseline"/>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2375">
      <w:bodyDiv w:val="1"/>
      <w:marLeft w:val="0"/>
      <w:marRight w:val="0"/>
      <w:marTop w:val="0"/>
      <w:marBottom w:val="0"/>
      <w:divBdr>
        <w:top w:val="none" w:sz="0" w:space="0" w:color="auto"/>
        <w:left w:val="none" w:sz="0" w:space="0" w:color="auto"/>
        <w:bottom w:val="none" w:sz="0" w:space="0" w:color="auto"/>
        <w:right w:val="none" w:sz="0" w:space="0" w:color="auto"/>
      </w:divBdr>
    </w:div>
    <w:div w:id="296374411">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77717476">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86A8B-57EC-41E0-B15C-BBA712D8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4090</Words>
  <Characters>22048</Characters>
  <Application>Microsoft Office Word</Application>
  <DocSecurity>0</DocSecurity>
  <Lines>393</Lines>
  <Paragraphs>102</Paragraphs>
  <ScaleCrop>false</ScaleCrop>
  <Company/>
  <LinksUpToDate>false</LinksUpToDate>
  <CharactersWithSpaces>26036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343/20</dc:title>
  <dc:subject/>
  <dc:creator/>
  <cp:keywords/>
  <dc:description/>
  <cp:lastModifiedBy/>
  <cp:revision>1</cp:revision>
  <dcterms:created xsi:type="dcterms:W3CDTF">2021-01-07T13:21:00Z</dcterms:created>
  <dcterms:modified xsi:type="dcterms:W3CDTF">2021-01-07T13:21:00Z</dcterms:modified>
</cp:coreProperties>
</file>