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68E282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064191" w:rsidRDefault="0006419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064191" w:rsidRDefault="00064191"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D8BAC1B" w:rsidR="00064191" w:rsidRPr="004E2649" w:rsidRDefault="0006419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C46A1">
                              <w:rPr>
                                <w:rFonts w:asciiTheme="majorHAnsi" w:hAnsiTheme="majorHAnsi" w:cs="Arial"/>
                                <w:b/>
                                <w:bCs/>
                                <w:color w:val="0D0D0D" w:themeColor="text1" w:themeTint="F2"/>
                                <w:sz w:val="36"/>
                                <w:szCs w:val="22"/>
                                <w:lang w:val="es-ES_tradnl"/>
                              </w:rPr>
                              <w:t>165</w:t>
                            </w:r>
                            <w:r>
                              <w:rPr>
                                <w:rFonts w:asciiTheme="majorHAnsi" w:hAnsiTheme="majorHAnsi" w:cs="Arial"/>
                                <w:b/>
                                <w:bCs/>
                                <w:color w:val="0D0D0D" w:themeColor="text1" w:themeTint="F2"/>
                                <w:sz w:val="36"/>
                                <w:szCs w:val="22"/>
                                <w:lang w:val="es-ES_tradnl"/>
                              </w:rPr>
                              <w:t>/20</w:t>
                            </w:r>
                          </w:p>
                          <w:p w14:paraId="09C54AB3" w14:textId="742813ED" w:rsidR="00064191" w:rsidRDefault="0006419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209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6BA5A483" w:rsidR="00064191" w:rsidRPr="0010736F" w:rsidRDefault="0006419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5FDD6F0D" w14:textId="77777777" w:rsidR="00064191" w:rsidRPr="0010736F" w:rsidRDefault="0006419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C082DBC" w:rsidR="00064191" w:rsidRPr="00226222" w:rsidRDefault="00064191"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JES</w:t>
                            </w:r>
                            <w:r>
                              <w:rPr>
                                <w:rFonts w:asciiTheme="majorHAnsi" w:hAnsiTheme="majorHAnsi" w:cs="Arial"/>
                                <w:color w:val="0D0D0D" w:themeColor="text1" w:themeTint="F2"/>
                                <w:szCs w:val="22"/>
                                <w:lang w:val="es-PA"/>
                              </w:rPr>
                              <w:t xml:space="preserve">ÚS ALBERTO FELIZZOLA GUERRERO Y </w:t>
                            </w:r>
                            <w:r w:rsidR="00A800B5">
                              <w:rPr>
                                <w:rFonts w:asciiTheme="majorHAnsi" w:hAnsiTheme="majorHAnsi" w:cs="Arial"/>
                                <w:color w:val="0D0D0D" w:themeColor="text1" w:themeTint="F2"/>
                                <w:szCs w:val="22"/>
                                <w:lang w:val="es-PA"/>
                              </w:rPr>
                              <w:t>FAMILIA</w:t>
                            </w:r>
                          </w:p>
                          <w:bookmarkEnd w:id="1"/>
                          <w:p w14:paraId="35068D0D" w14:textId="144CF9C9" w:rsidR="00064191" w:rsidRPr="0010736F" w:rsidRDefault="0006419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064191" w:rsidRPr="00AE5488" w:rsidRDefault="00064191"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D8BAC1B" w:rsidR="00064191" w:rsidRPr="004E2649" w:rsidRDefault="00064191"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BC46A1">
                        <w:rPr>
                          <w:rFonts w:asciiTheme="majorHAnsi" w:hAnsiTheme="majorHAnsi" w:cs="Arial"/>
                          <w:b/>
                          <w:bCs/>
                          <w:color w:val="0D0D0D" w:themeColor="text1" w:themeTint="F2"/>
                          <w:sz w:val="36"/>
                          <w:szCs w:val="22"/>
                          <w:lang w:val="es-ES_tradnl"/>
                        </w:rPr>
                        <w:t>165</w:t>
                      </w:r>
                      <w:r>
                        <w:rPr>
                          <w:rFonts w:asciiTheme="majorHAnsi" w:hAnsiTheme="majorHAnsi" w:cs="Arial"/>
                          <w:b/>
                          <w:bCs/>
                          <w:color w:val="0D0D0D" w:themeColor="text1" w:themeTint="F2"/>
                          <w:sz w:val="36"/>
                          <w:szCs w:val="22"/>
                          <w:lang w:val="es-ES_tradnl"/>
                        </w:rPr>
                        <w:t>/20</w:t>
                      </w:r>
                    </w:p>
                    <w:p w14:paraId="09C54AB3" w14:textId="742813ED" w:rsidR="00064191" w:rsidRDefault="00064191"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PETICIÓN</w:t>
                      </w:r>
                      <w:r>
                        <w:rPr>
                          <w:rFonts w:asciiTheme="majorHAnsi" w:hAnsiTheme="majorHAnsi" w:cs="Arial"/>
                          <w:b/>
                          <w:color w:val="0D0D0D" w:themeColor="text1" w:themeTint="F2"/>
                          <w:sz w:val="36"/>
                          <w:szCs w:val="22"/>
                          <w:lang w:val="es-ES_tradnl"/>
                        </w:rPr>
                        <w:t xml:space="preserve"> 209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70CF6833" w14:textId="6BA5A483" w:rsidR="00064191" w:rsidRPr="0010736F" w:rsidRDefault="00064191"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IN</w:t>
                      </w:r>
                      <w:r w:rsidRPr="0010736F">
                        <w:rPr>
                          <w:rFonts w:asciiTheme="majorHAnsi" w:hAnsiTheme="majorHAnsi" w:cs="Arial"/>
                          <w:color w:val="0D0D0D" w:themeColor="text1" w:themeTint="F2"/>
                          <w:szCs w:val="22"/>
                          <w:lang w:val="es-ES_tradnl"/>
                        </w:rPr>
                        <w:t xml:space="preserve">ADMISIBILIDAD </w:t>
                      </w:r>
                    </w:p>
                    <w:p w14:paraId="5FDD6F0D" w14:textId="77777777" w:rsidR="00064191" w:rsidRPr="0010736F" w:rsidRDefault="00064191" w:rsidP="00997BC5">
                      <w:pPr>
                        <w:spacing w:line="276" w:lineRule="auto"/>
                        <w:rPr>
                          <w:rFonts w:asciiTheme="majorHAnsi" w:hAnsiTheme="majorHAnsi" w:cs="Arial"/>
                          <w:color w:val="0D0D0D" w:themeColor="text1" w:themeTint="F2"/>
                          <w:szCs w:val="22"/>
                          <w:lang w:val="es-ES_tradnl"/>
                        </w:rPr>
                      </w:pPr>
                      <w:bookmarkStart w:id="1" w:name="_ftnref1"/>
                    </w:p>
                    <w:p w14:paraId="4CFA2FBF" w14:textId="1C082DBC" w:rsidR="00064191" w:rsidRPr="00226222" w:rsidRDefault="00064191" w:rsidP="00997BC5">
                      <w:pPr>
                        <w:spacing w:line="276" w:lineRule="auto"/>
                        <w:rPr>
                          <w:rFonts w:asciiTheme="majorHAnsi" w:hAnsiTheme="majorHAnsi" w:cs="Arial"/>
                          <w:color w:val="0D0D0D" w:themeColor="text1" w:themeTint="F2"/>
                          <w:szCs w:val="22"/>
                          <w:lang w:val="es-PA"/>
                        </w:rPr>
                      </w:pPr>
                      <w:r>
                        <w:rPr>
                          <w:rFonts w:asciiTheme="majorHAnsi" w:hAnsiTheme="majorHAnsi" w:cs="Arial"/>
                          <w:color w:val="0D0D0D" w:themeColor="text1" w:themeTint="F2"/>
                          <w:szCs w:val="22"/>
                          <w:lang w:val="es-ES_tradnl"/>
                        </w:rPr>
                        <w:t>JES</w:t>
                      </w:r>
                      <w:r>
                        <w:rPr>
                          <w:rFonts w:asciiTheme="majorHAnsi" w:hAnsiTheme="majorHAnsi" w:cs="Arial"/>
                          <w:color w:val="0D0D0D" w:themeColor="text1" w:themeTint="F2"/>
                          <w:szCs w:val="22"/>
                          <w:lang w:val="es-PA"/>
                        </w:rPr>
                        <w:t xml:space="preserve">ÚS ALBERTO FELIZZOLA GUERRERO Y </w:t>
                      </w:r>
                      <w:r w:rsidR="00A800B5">
                        <w:rPr>
                          <w:rFonts w:asciiTheme="majorHAnsi" w:hAnsiTheme="majorHAnsi" w:cs="Arial"/>
                          <w:color w:val="0D0D0D" w:themeColor="text1" w:themeTint="F2"/>
                          <w:szCs w:val="22"/>
                          <w:lang w:val="es-PA"/>
                        </w:rPr>
                        <w:t>FAMILIA</w:t>
                      </w:r>
                    </w:p>
                    <w:bookmarkEnd w:id="1"/>
                    <w:p w14:paraId="35068D0D" w14:textId="144CF9C9" w:rsidR="00064191" w:rsidRPr="0010736F" w:rsidRDefault="0006419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064191" w:rsidRPr="00AE5488" w:rsidRDefault="00064191"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5B46188" w:rsidR="00064191" w:rsidRPr="00935F06" w:rsidRDefault="00064191"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336011AF" w:rsidR="00064191" w:rsidRPr="00935F06" w:rsidRDefault="00BC46A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175</w:t>
                            </w:r>
                          </w:p>
                          <w:p w14:paraId="69373ED2" w14:textId="6EECFE64" w:rsidR="00064191" w:rsidRPr="001B4C00" w:rsidRDefault="00BC46A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 julio 2020</w:t>
                            </w:r>
                          </w:p>
                          <w:p w14:paraId="0771DB5B" w14:textId="77777777" w:rsidR="00064191" w:rsidRPr="001B4C00" w:rsidRDefault="00064191"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5B46188" w:rsidR="00064191" w:rsidRPr="00935F06" w:rsidRDefault="00064191"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336011AF" w:rsidR="00064191" w:rsidRPr="00935F06" w:rsidRDefault="00BC46A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175</w:t>
                      </w:r>
                    </w:p>
                    <w:p w14:paraId="69373ED2" w14:textId="6EECFE64" w:rsidR="00064191" w:rsidRPr="001B4C00" w:rsidRDefault="00BC46A1"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 julio 2020</w:t>
                      </w:r>
                    </w:p>
                    <w:p w14:paraId="0771DB5B" w14:textId="77777777" w:rsidR="00064191" w:rsidRPr="001B4C00" w:rsidRDefault="00064191"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B9980E4" w:rsidR="00064191" w:rsidRPr="00890650" w:rsidRDefault="0006419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C46A1">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BC46A1">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de 2020</w:t>
                            </w:r>
                            <w:r w:rsidR="002E78C8">
                              <w:rPr>
                                <w:rFonts w:asciiTheme="majorHAnsi" w:hAnsiTheme="majorHAnsi"/>
                                <w:color w:val="0D0D0D" w:themeColor="text1" w:themeTint="F2"/>
                                <w:sz w:val="18"/>
                                <w:szCs w:val="22"/>
                                <w:lang w:val="es-ES"/>
                              </w:rPr>
                              <w:t>.</w:t>
                            </w:r>
                          </w:p>
                          <w:p w14:paraId="4BDF3581" w14:textId="77777777" w:rsidR="00064191" w:rsidRPr="007A5817" w:rsidRDefault="0006419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64191" w:rsidRPr="00167A34" w:rsidRDefault="00064191"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B9980E4" w:rsidR="00064191" w:rsidRPr="00890650" w:rsidRDefault="00064191"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BC46A1">
                        <w:rPr>
                          <w:rFonts w:asciiTheme="majorHAnsi" w:hAnsiTheme="majorHAnsi"/>
                          <w:color w:val="0D0D0D" w:themeColor="text1" w:themeTint="F2"/>
                          <w:sz w:val="18"/>
                          <w:szCs w:val="22"/>
                          <w:lang w:val="es-ES"/>
                        </w:rPr>
                        <w:t>2</w:t>
                      </w:r>
                      <w:r w:rsidRPr="00890650">
                        <w:rPr>
                          <w:rFonts w:asciiTheme="majorHAnsi" w:hAnsiTheme="majorHAnsi"/>
                          <w:color w:val="0D0D0D" w:themeColor="text1" w:themeTint="F2"/>
                          <w:sz w:val="18"/>
                          <w:szCs w:val="22"/>
                          <w:lang w:val="es-ES"/>
                        </w:rPr>
                        <w:t xml:space="preserve"> de </w:t>
                      </w:r>
                      <w:r w:rsidR="00BC46A1">
                        <w:rPr>
                          <w:rFonts w:asciiTheme="majorHAnsi" w:hAnsiTheme="majorHAnsi"/>
                          <w:color w:val="0D0D0D" w:themeColor="text1" w:themeTint="F2"/>
                          <w:sz w:val="18"/>
                          <w:szCs w:val="22"/>
                          <w:lang w:val="es-ES"/>
                        </w:rPr>
                        <w:t>julio</w:t>
                      </w:r>
                      <w:r>
                        <w:rPr>
                          <w:rFonts w:asciiTheme="majorHAnsi" w:hAnsiTheme="majorHAnsi"/>
                          <w:color w:val="0D0D0D" w:themeColor="text1" w:themeTint="F2"/>
                          <w:sz w:val="18"/>
                          <w:szCs w:val="22"/>
                          <w:lang w:val="es-ES"/>
                        </w:rPr>
                        <w:t xml:space="preserve"> de 2020</w:t>
                      </w:r>
                      <w:r w:rsidR="002E78C8">
                        <w:rPr>
                          <w:rFonts w:asciiTheme="majorHAnsi" w:hAnsiTheme="majorHAnsi"/>
                          <w:color w:val="0D0D0D" w:themeColor="text1" w:themeTint="F2"/>
                          <w:sz w:val="18"/>
                          <w:szCs w:val="22"/>
                          <w:lang w:val="es-ES"/>
                        </w:rPr>
                        <w:t>.</w:t>
                      </w:r>
                    </w:p>
                    <w:p w14:paraId="4BDF3581" w14:textId="77777777" w:rsidR="00064191" w:rsidRPr="007A5817" w:rsidRDefault="00064191"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064191" w:rsidRPr="00167A34" w:rsidRDefault="00064191"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082F68B" w:rsidR="00064191" w:rsidRPr="007B05C4" w:rsidRDefault="0006419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C46A1">
                              <w:rPr>
                                <w:rFonts w:asciiTheme="majorHAnsi" w:hAnsiTheme="majorHAnsi"/>
                                <w:color w:val="595959" w:themeColor="text1" w:themeTint="A6"/>
                                <w:sz w:val="18"/>
                                <w:szCs w:val="18"/>
                                <w:lang w:val="pt-BR"/>
                              </w:rPr>
                              <w:t>165</w:t>
                            </w:r>
                            <w:r>
                              <w:rPr>
                                <w:rFonts w:asciiTheme="majorHAnsi" w:hAnsiTheme="majorHAnsi"/>
                                <w:color w:val="595959" w:themeColor="text1" w:themeTint="A6"/>
                                <w:sz w:val="18"/>
                                <w:szCs w:val="18"/>
                                <w:lang w:val="pt-BR"/>
                              </w:rPr>
                              <w:t>/20</w:t>
                            </w:r>
                            <w:r w:rsidRPr="00161278">
                              <w:rPr>
                                <w:rFonts w:asciiTheme="majorHAnsi" w:hAnsiTheme="majorHAnsi"/>
                                <w:color w:val="595959" w:themeColor="text1" w:themeTint="A6"/>
                                <w:sz w:val="18"/>
                                <w:szCs w:val="18"/>
                                <w:lang w:val="pt-BR"/>
                              </w:rPr>
                              <w:t xml:space="preserve">. </w:t>
                            </w:r>
                            <w:r w:rsidR="002E78C8">
                              <w:rPr>
                                <w:rFonts w:asciiTheme="majorHAnsi" w:hAnsiTheme="majorHAnsi"/>
                                <w:color w:val="595959" w:themeColor="text1" w:themeTint="A6"/>
                                <w:sz w:val="18"/>
                                <w:szCs w:val="18"/>
                                <w:lang w:val="pt-BR"/>
                              </w:rPr>
                              <w:t xml:space="preserve">Petición 209-11. </w:t>
                            </w:r>
                            <w:proofErr w:type="spellStart"/>
                            <w:r w:rsidRPr="00F259C9">
                              <w:rPr>
                                <w:rFonts w:asciiTheme="majorHAnsi" w:hAnsiTheme="majorHAnsi"/>
                                <w:color w:val="595959" w:themeColor="text1" w:themeTint="A6"/>
                                <w:sz w:val="18"/>
                                <w:szCs w:val="18"/>
                                <w:lang w:val="es-US"/>
                              </w:rPr>
                              <w:t>Ina</w:t>
                            </w:r>
                            <w:r>
                              <w:rPr>
                                <w:rFonts w:asciiTheme="majorHAnsi" w:hAnsiTheme="majorHAnsi"/>
                                <w:color w:val="595959" w:themeColor="text1" w:themeTint="A6"/>
                                <w:sz w:val="18"/>
                                <w:szCs w:val="18"/>
                                <w:lang w:val="es-ES_tradnl"/>
                              </w:rPr>
                              <w:t>dmisibilidad</w:t>
                            </w:r>
                            <w:proofErr w:type="spellEnd"/>
                            <w:r>
                              <w:rPr>
                                <w:rFonts w:asciiTheme="majorHAnsi" w:hAnsiTheme="majorHAnsi"/>
                                <w:color w:val="595959" w:themeColor="text1" w:themeTint="A6"/>
                                <w:sz w:val="18"/>
                                <w:szCs w:val="18"/>
                                <w:lang w:val="es-ES_tradnl"/>
                              </w:rPr>
                              <w:t xml:space="preserve">. Jesús Alberto </w:t>
                            </w:r>
                            <w:proofErr w:type="spellStart"/>
                            <w:r>
                              <w:rPr>
                                <w:rFonts w:asciiTheme="majorHAnsi" w:hAnsiTheme="majorHAnsi"/>
                                <w:color w:val="595959" w:themeColor="text1" w:themeTint="A6"/>
                                <w:sz w:val="18"/>
                                <w:szCs w:val="18"/>
                                <w:lang w:val="es-ES_tradnl"/>
                              </w:rPr>
                              <w:t>Felizzola</w:t>
                            </w:r>
                            <w:proofErr w:type="spellEnd"/>
                            <w:r>
                              <w:rPr>
                                <w:rFonts w:asciiTheme="majorHAnsi" w:hAnsiTheme="majorHAnsi"/>
                                <w:color w:val="595959" w:themeColor="text1" w:themeTint="A6"/>
                                <w:sz w:val="18"/>
                                <w:szCs w:val="18"/>
                                <w:lang w:val="es-ES_tradnl"/>
                              </w:rPr>
                              <w:t xml:space="preserve"> Guerrero y otros. Colombia</w:t>
                            </w:r>
                            <w:r w:rsidRPr="00890650">
                              <w:rPr>
                                <w:rFonts w:asciiTheme="majorHAnsi" w:hAnsiTheme="majorHAnsi"/>
                                <w:color w:val="595959" w:themeColor="text1" w:themeTint="A6"/>
                                <w:sz w:val="18"/>
                                <w:szCs w:val="18"/>
                                <w:lang w:val="es-ES_tradnl"/>
                              </w:rPr>
                              <w:t xml:space="preserve">. </w:t>
                            </w:r>
                            <w:r w:rsidR="00BC46A1">
                              <w:rPr>
                                <w:rFonts w:asciiTheme="majorHAnsi" w:hAnsiTheme="majorHAnsi"/>
                                <w:color w:val="595959" w:themeColor="text1" w:themeTint="A6"/>
                                <w:sz w:val="18"/>
                                <w:szCs w:val="18"/>
                                <w:lang w:val="es-ES"/>
                              </w:rPr>
                              <w:t>2 de julio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082F68B" w:rsidR="00064191" w:rsidRPr="007B05C4" w:rsidRDefault="00064191"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BC46A1">
                        <w:rPr>
                          <w:rFonts w:asciiTheme="majorHAnsi" w:hAnsiTheme="majorHAnsi"/>
                          <w:color w:val="595959" w:themeColor="text1" w:themeTint="A6"/>
                          <w:sz w:val="18"/>
                          <w:szCs w:val="18"/>
                          <w:lang w:val="pt-BR"/>
                        </w:rPr>
                        <w:t>165</w:t>
                      </w:r>
                      <w:r>
                        <w:rPr>
                          <w:rFonts w:asciiTheme="majorHAnsi" w:hAnsiTheme="majorHAnsi"/>
                          <w:color w:val="595959" w:themeColor="text1" w:themeTint="A6"/>
                          <w:sz w:val="18"/>
                          <w:szCs w:val="18"/>
                          <w:lang w:val="pt-BR"/>
                        </w:rPr>
                        <w:t>/20</w:t>
                      </w:r>
                      <w:r w:rsidRPr="00161278">
                        <w:rPr>
                          <w:rFonts w:asciiTheme="majorHAnsi" w:hAnsiTheme="majorHAnsi"/>
                          <w:color w:val="595959" w:themeColor="text1" w:themeTint="A6"/>
                          <w:sz w:val="18"/>
                          <w:szCs w:val="18"/>
                          <w:lang w:val="pt-BR"/>
                        </w:rPr>
                        <w:t xml:space="preserve">. </w:t>
                      </w:r>
                      <w:r w:rsidR="002E78C8">
                        <w:rPr>
                          <w:rFonts w:asciiTheme="majorHAnsi" w:hAnsiTheme="majorHAnsi"/>
                          <w:color w:val="595959" w:themeColor="text1" w:themeTint="A6"/>
                          <w:sz w:val="18"/>
                          <w:szCs w:val="18"/>
                          <w:lang w:val="pt-BR"/>
                        </w:rPr>
                        <w:t xml:space="preserve">Petición 209-11. </w:t>
                      </w:r>
                      <w:proofErr w:type="spellStart"/>
                      <w:r w:rsidRPr="00F259C9">
                        <w:rPr>
                          <w:rFonts w:asciiTheme="majorHAnsi" w:hAnsiTheme="majorHAnsi"/>
                          <w:color w:val="595959" w:themeColor="text1" w:themeTint="A6"/>
                          <w:sz w:val="18"/>
                          <w:szCs w:val="18"/>
                          <w:lang w:val="es-US"/>
                        </w:rPr>
                        <w:t>Ina</w:t>
                      </w:r>
                      <w:r>
                        <w:rPr>
                          <w:rFonts w:asciiTheme="majorHAnsi" w:hAnsiTheme="majorHAnsi"/>
                          <w:color w:val="595959" w:themeColor="text1" w:themeTint="A6"/>
                          <w:sz w:val="18"/>
                          <w:szCs w:val="18"/>
                          <w:lang w:val="es-ES_tradnl"/>
                        </w:rPr>
                        <w:t>dmisibilidad</w:t>
                      </w:r>
                      <w:proofErr w:type="spellEnd"/>
                      <w:r>
                        <w:rPr>
                          <w:rFonts w:asciiTheme="majorHAnsi" w:hAnsiTheme="majorHAnsi"/>
                          <w:color w:val="595959" w:themeColor="text1" w:themeTint="A6"/>
                          <w:sz w:val="18"/>
                          <w:szCs w:val="18"/>
                          <w:lang w:val="es-ES_tradnl"/>
                        </w:rPr>
                        <w:t xml:space="preserve">. Jesús Alberto </w:t>
                      </w:r>
                      <w:proofErr w:type="spellStart"/>
                      <w:r>
                        <w:rPr>
                          <w:rFonts w:asciiTheme="majorHAnsi" w:hAnsiTheme="majorHAnsi"/>
                          <w:color w:val="595959" w:themeColor="text1" w:themeTint="A6"/>
                          <w:sz w:val="18"/>
                          <w:szCs w:val="18"/>
                          <w:lang w:val="es-ES_tradnl"/>
                        </w:rPr>
                        <w:t>Felizzola</w:t>
                      </w:r>
                      <w:proofErr w:type="spellEnd"/>
                      <w:r>
                        <w:rPr>
                          <w:rFonts w:asciiTheme="majorHAnsi" w:hAnsiTheme="majorHAnsi"/>
                          <w:color w:val="595959" w:themeColor="text1" w:themeTint="A6"/>
                          <w:sz w:val="18"/>
                          <w:szCs w:val="18"/>
                          <w:lang w:val="es-ES_tradnl"/>
                        </w:rPr>
                        <w:t xml:space="preserve"> Guerrero y otros. Colombia</w:t>
                      </w:r>
                      <w:r w:rsidRPr="00890650">
                        <w:rPr>
                          <w:rFonts w:asciiTheme="majorHAnsi" w:hAnsiTheme="majorHAnsi"/>
                          <w:color w:val="595959" w:themeColor="text1" w:themeTint="A6"/>
                          <w:sz w:val="18"/>
                          <w:szCs w:val="18"/>
                          <w:lang w:val="es-ES_tradnl"/>
                        </w:rPr>
                        <w:t xml:space="preserve">. </w:t>
                      </w:r>
                      <w:r w:rsidR="00BC46A1">
                        <w:rPr>
                          <w:rFonts w:asciiTheme="majorHAnsi" w:hAnsiTheme="majorHAnsi"/>
                          <w:color w:val="595959" w:themeColor="text1" w:themeTint="A6"/>
                          <w:sz w:val="18"/>
                          <w:szCs w:val="18"/>
                          <w:lang w:val="es-ES"/>
                        </w:rPr>
                        <w:t>2 de julio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064191" w:rsidRPr="00D72DC6" w:rsidRDefault="0006419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99362C8">
                                  <wp:extent cx="1803710" cy="464004"/>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818947" cy="4679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064191" w:rsidRPr="00D72DC6" w:rsidRDefault="00064191"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199362C8">
                            <wp:extent cx="1803710" cy="464004"/>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18947" cy="467924"/>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064191" w:rsidRPr="004B7EB6" w:rsidRDefault="0006419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064191" w:rsidRPr="004B7EB6" w:rsidRDefault="0006419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6673E"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D4366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360F8BB9" w:rsidR="003239B8" w:rsidRPr="00006B74" w:rsidRDefault="00226222" w:rsidP="00D43661">
            <w:pPr>
              <w:jc w:val="both"/>
              <w:rPr>
                <w:rFonts w:ascii="Cambria" w:hAnsi="Cambria"/>
                <w:bCs/>
                <w:sz w:val="19"/>
                <w:szCs w:val="19"/>
                <w:lang w:val="es-ES"/>
              </w:rPr>
            </w:pPr>
            <w:r>
              <w:rPr>
                <w:rFonts w:ascii="Cambria" w:hAnsi="Cambria"/>
                <w:bCs/>
                <w:sz w:val="19"/>
                <w:szCs w:val="19"/>
                <w:lang w:val="es-ES"/>
              </w:rPr>
              <w:t xml:space="preserve">Jesús Alberto </w:t>
            </w:r>
            <w:proofErr w:type="spellStart"/>
            <w:r>
              <w:rPr>
                <w:rFonts w:ascii="Cambria" w:hAnsi="Cambria"/>
                <w:bCs/>
                <w:sz w:val="19"/>
                <w:szCs w:val="19"/>
                <w:lang w:val="es-ES"/>
              </w:rPr>
              <w:t>Felizzola</w:t>
            </w:r>
            <w:proofErr w:type="spellEnd"/>
            <w:r>
              <w:rPr>
                <w:rFonts w:ascii="Cambria" w:hAnsi="Cambria"/>
                <w:bCs/>
                <w:sz w:val="19"/>
                <w:szCs w:val="19"/>
                <w:lang w:val="es-ES"/>
              </w:rPr>
              <w:t xml:space="preserve"> Guerrero y </w:t>
            </w:r>
            <w:proofErr w:type="spellStart"/>
            <w:r>
              <w:rPr>
                <w:rFonts w:ascii="Cambria" w:hAnsi="Cambria"/>
                <w:bCs/>
                <w:sz w:val="19"/>
                <w:szCs w:val="19"/>
                <w:lang w:val="es-ES"/>
              </w:rPr>
              <w:t>Nerio</w:t>
            </w:r>
            <w:proofErr w:type="spellEnd"/>
            <w:r>
              <w:rPr>
                <w:rFonts w:ascii="Cambria" w:hAnsi="Cambria"/>
                <w:bCs/>
                <w:sz w:val="19"/>
                <w:szCs w:val="19"/>
                <w:lang w:val="es-ES"/>
              </w:rPr>
              <w:t xml:space="preserve"> José </w:t>
            </w:r>
            <w:proofErr w:type="spellStart"/>
            <w:r>
              <w:rPr>
                <w:rFonts w:ascii="Cambria" w:hAnsi="Cambria"/>
                <w:bCs/>
                <w:sz w:val="19"/>
                <w:szCs w:val="19"/>
                <w:lang w:val="es-ES"/>
              </w:rPr>
              <w:t>Alvis</w:t>
            </w:r>
            <w:proofErr w:type="spellEnd"/>
            <w:r>
              <w:rPr>
                <w:rFonts w:ascii="Cambria" w:hAnsi="Cambria"/>
                <w:bCs/>
                <w:sz w:val="19"/>
                <w:szCs w:val="19"/>
                <w:lang w:val="es-ES"/>
              </w:rPr>
              <w:t xml:space="preserve"> Barranco</w:t>
            </w:r>
          </w:p>
        </w:tc>
      </w:tr>
      <w:tr w:rsidR="003239B8" w:rsidRPr="0006673E"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D43661">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1A124139" w:rsidR="003239B8" w:rsidRPr="00006B74" w:rsidRDefault="00226222" w:rsidP="00226222">
            <w:pPr>
              <w:jc w:val="both"/>
              <w:rPr>
                <w:rFonts w:ascii="Cambria" w:hAnsi="Cambria"/>
                <w:bCs/>
                <w:sz w:val="19"/>
                <w:szCs w:val="19"/>
                <w:lang w:val="es-ES"/>
              </w:rPr>
            </w:pPr>
            <w:r>
              <w:rPr>
                <w:rFonts w:ascii="Cambria" w:hAnsi="Cambria"/>
                <w:bCs/>
                <w:sz w:val="19"/>
                <w:szCs w:val="19"/>
                <w:lang w:val="es-ES"/>
              </w:rPr>
              <w:t xml:space="preserve">Jesús Alberto </w:t>
            </w:r>
            <w:proofErr w:type="spellStart"/>
            <w:r>
              <w:rPr>
                <w:rFonts w:ascii="Cambria" w:hAnsi="Cambria"/>
                <w:bCs/>
                <w:sz w:val="19"/>
                <w:szCs w:val="19"/>
                <w:lang w:val="es-ES"/>
              </w:rPr>
              <w:t>Felizzola</w:t>
            </w:r>
            <w:proofErr w:type="spellEnd"/>
            <w:r>
              <w:rPr>
                <w:rFonts w:ascii="Cambria" w:hAnsi="Cambria"/>
                <w:bCs/>
                <w:sz w:val="19"/>
                <w:szCs w:val="19"/>
                <w:lang w:val="es-ES"/>
              </w:rPr>
              <w:t xml:space="preserve"> Guerrero y Familia</w:t>
            </w:r>
            <w:r>
              <w:rPr>
                <w:rStyle w:val="FootnoteReference"/>
                <w:rFonts w:ascii="Cambria" w:hAnsi="Cambria"/>
                <w:bCs/>
                <w:sz w:val="19"/>
                <w:szCs w:val="19"/>
                <w:lang w:val="es-ES"/>
              </w:rPr>
              <w:footnoteReference w:id="2"/>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D43661">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71844B0E" w:rsidR="003239B8" w:rsidRPr="00006B74" w:rsidRDefault="00F11FBB" w:rsidP="00425533">
            <w:pPr>
              <w:jc w:val="both"/>
              <w:rPr>
                <w:rFonts w:ascii="Cambria" w:hAnsi="Cambria"/>
                <w:bCs/>
                <w:sz w:val="19"/>
                <w:szCs w:val="19"/>
                <w:lang w:val="es-ES"/>
              </w:rPr>
            </w:pPr>
            <w:r>
              <w:rPr>
                <w:rFonts w:ascii="Cambria" w:hAnsi="Cambria"/>
                <w:bCs/>
                <w:sz w:val="19"/>
                <w:szCs w:val="19"/>
                <w:lang w:val="es-ES"/>
              </w:rPr>
              <w:t>Colombia</w:t>
            </w:r>
          </w:p>
        </w:tc>
      </w:tr>
      <w:tr w:rsidR="00D24AD4" w:rsidRPr="0006673E"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D24AD4" w:rsidRDefault="001B3A00" w:rsidP="00E4118C">
            <w:pPr>
              <w:jc w:val="center"/>
              <w:rPr>
                <w:rFonts w:ascii="Cambria" w:hAnsi="Cambria"/>
                <w:bCs/>
                <w:sz w:val="19"/>
                <w:szCs w:val="19"/>
                <w:lang w:val="es-ES"/>
              </w:rPr>
            </w:pPr>
            <w:r w:rsidRPr="00D24AD4">
              <w:rPr>
                <w:rFonts w:ascii="Cambria" w:hAnsi="Cambria"/>
                <w:bCs/>
                <w:sz w:val="19"/>
                <w:szCs w:val="19"/>
                <w:lang w:val="es-ES"/>
              </w:rPr>
              <w:t xml:space="preserve">Derechos </w:t>
            </w:r>
            <w:r w:rsidR="00E4118C" w:rsidRPr="00D24AD4">
              <w:rPr>
                <w:rFonts w:ascii="Cambria" w:hAnsi="Cambria"/>
                <w:bCs/>
                <w:sz w:val="19"/>
                <w:szCs w:val="19"/>
                <w:lang w:val="es-ES"/>
              </w:rPr>
              <w:t>invocados</w:t>
            </w:r>
          </w:p>
        </w:tc>
        <w:tc>
          <w:tcPr>
            <w:tcW w:w="6570" w:type="dxa"/>
            <w:vAlign w:val="center"/>
          </w:tcPr>
          <w:p w14:paraId="6DEE1EEB" w14:textId="5149C415" w:rsidR="00223A29" w:rsidRPr="00D24AD4" w:rsidRDefault="00226222" w:rsidP="005D4EBD">
            <w:pPr>
              <w:jc w:val="both"/>
              <w:rPr>
                <w:rFonts w:ascii="Cambria" w:hAnsi="Cambria"/>
                <w:bCs/>
                <w:sz w:val="19"/>
                <w:szCs w:val="19"/>
                <w:lang w:val="es-ES"/>
              </w:rPr>
            </w:pPr>
            <w:r>
              <w:rPr>
                <w:rFonts w:ascii="Cambria" w:hAnsi="Cambria"/>
                <w:bCs/>
                <w:sz w:val="19"/>
                <w:szCs w:val="19"/>
                <w:lang w:val="es-ES"/>
              </w:rPr>
              <w:t>No se especifican artículos de la Convención Americana Sobre Derechos Humanos</w:t>
            </w:r>
            <w:r>
              <w:rPr>
                <w:rStyle w:val="FootnoteReference"/>
                <w:rFonts w:ascii="Cambria" w:hAnsi="Cambria"/>
                <w:bCs/>
                <w:sz w:val="19"/>
                <w:szCs w:val="19"/>
                <w:lang w:val="es-ES"/>
              </w:rPr>
              <w:footnoteReference w:id="3"/>
            </w:r>
            <w:r>
              <w:rPr>
                <w:rFonts w:ascii="Cambria" w:hAnsi="Cambria"/>
                <w:bCs/>
                <w:sz w:val="19"/>
                <w:szCs w:val="19"/>
                <w:lang w:val="es-ES"/>
              </w:rPr>
              <w:t xml:space="preserve"> pero se invocan otros instrumentos internacionales</w:t>
            </w:r>
            <w:r>
              <w:rPr>
                <w:rStyle w:val="FootnoteReference"/>
                <w:rFonts w:ascii="Cambria" w:hAnsi="Cambria"/>
                <w:bCs/>
                <w:sz w:val="19"/>
                <w:szCs w:val="19"/>
                <w:lang w:val="es-ES"/>
              </w:rPr>
              <w:footnoteReference w:id="4"/>
            </w:r>
          </w:p>
        </w:tc>
      </w:tr>
    </w:tbl>
    <w:p w14:paraId="20263696" w14:textId="77777777" w:rsidR="003239B8" w:rsidRPr="00D24AD4" w:rsidRDefault="003239B8" w:rsidP="007C402A">
      <w:pPr>
        <w:spacing w:before="120" w:after="120"/>
        <w:ind w:firstLine="720"/>
        <w:jc w:val="both"/>
        <w:rPr>
          <w:rFonts w:asciiTheme="majorHAnsi" w:hAnsiTheme="majorHAnsi"/>
          <w:b/>
          <w:bCs/>
          <w:sz w:val="20"/>
          <w:szCs w:val="20"/>
          <w:lang w:val="es-ES"/>
        </w:rPr>
      </w:pPr>
      <w:r w:rsidRPr="00D24AD4">
        <w:rPr>
          <w:rFonts w:asciiTheme="majorHAnsi" w:hAnsiTheme="majorHAnsi"/>
          <w:b/>
          <w:bCs/>
          <w:sz w:val="20"/>
          <w:szCs w:val="20"/>
          <w:lang w:val="es-ES"/>
        </w:rPr>
        <w:t>II.</w:t>
      </w:r>
      <w:r w:rsidRPr="00D24AD4">
        <w:rPr>
          <w:rFonts w:asciiTheme="majorHAnsi" w:hAnsiTheme="majorHAnsi"/>
          <w:b/>
          <w:bCs/>
          <w:sz w:val="20"/>
          <w:szCs w:val="20"/>
          <w:lang w:val="es-ES"/>
        </w:rPr>
        <w:tab/>
        <w:t>TRÁMITE ANTE LA CIDH</w:t>
      </w:r>
      <w:r w:rsidR="008E3BFE" w:rsidRPr="00D24AD4">
        <w:rPr>
          <w:rStyle w:val="FootnoteReference"/>
          <w:rFonts w:ascii="Cambria" w:hAnsi="Cambria"/>
          <w:b/>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161278"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02C15852" w:rsidR="004C2312" w:rsidRPr="0047080D" w:rsidRDefault="0069157D" w:rsidP="00D43661">
            <w:pPr>
              <w:jc w:val="both"/>
              <w:rPr>
                <w:rFonts w:ascii="Cambria" w:hAnsi="Cambria"/>
                <w:bCs/>
                <w:sz w:val="19"/>
                <w:szCs w:val="19"/>
                <w:lang w:val="es-ES"/>
              </w:rPr>
            </w:pPr>
            <w:r>
              <w:rPr>
                <w:rFonts w:ascii="Cambria" w:hAnsi="Cambria"/>
                <w:bCs/>
                <w:sz w:val="19"/>
                <w:szCs w:val="19"/>
                <w:lang w:val="es-ES"/>
              </w:rPr>
              <w:t>21 de febrero de 2011</w:t>
            </w:r>
          </w:p>
        </w:tc>
      </w:tr>
      <w:tr w:rsidR="006E772A" w:rsidRPr="0006673E" w14:paraId="68F509DA" w14:textId="77777777" w:rsidTr="00954B82">
        <w:tc>
          <w:tcPr>
            <w:tcW w:w="2790" w:type="dxa"/>
            <w:tcBorders>
              <w:top w:val="single" w:sz="6" w:space="0" w:color="auto"/>
              <w:bottom w:val="single" w:sz="6" w:space="0" w:color="auto"/>
            </w:tcBorders>
            <w:shd w:val="clear" w:color="auto" w:fill="386294"/>
            <w:vAlign w:val="center"/>
          </w:tcPr>
          <w:p w14:paraId="62C9F91B" w14:textId="65F3AB1A" w:rsidR="006E772A" w:rsidRPr="0047080D" w:rsidRDefault="006E772A"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Información adicional </w:t>
            </w:r>
            <w:r w:rsidR="002355A9" w:rsidRPr="0047080D">
              <w:rPr>
                <w:rFonts w:ascii="Cambria" w:hAnsi="Cambria"/>
                <w:bCs/>
                <w:color w:val="FFFFFF" w:themeColor="background1"/>
                <w:sz w:val="19"/>
                <w:szCs w:val="19"/>
                <w:lang w:val="es-ES"/>
              </w:rPr>
              <w:t>recibida en la etapa de estudio</w:t>
            </w:r>
          </w:p>
        </w:tc>
        <w:tc>
          <w:tcPr>
            <w:tcW w:w="6570" w:type="dxa"/>
            <w:vAlign w:val="center"/>
          </w:tcPr>
          <w:p w14:paraId="796669C8" w14:textId="66B2D585" w:rsidR="006E772A" w:rsidRPr="0047080D" w:rsidRDefault="0069157D" w:rsidP="00604CA5">
            <w:pPr>
              <w:jc w:val="both"/>
              <w:rPr>
                <w:rFonts w:ascii="Cambria" w:hAnsi="Cambria"/>
                <w:bCs/>
                <w:sz w:val="19"/>
                <w:szCs w:val="19"/>
                <w:lang w:val="es-ES"/>
              </w:rPr>
            </w:pPr>
            <w:r>
              <w:rPr>
                <w:rFonts w:ascii="Cambria" w:hAnsi="Cambria"/>
                <w:bCs/>
                <w:sz w:val="19"/>
                <w:szCs w:val="19"/>
                <w:lang w:val="es-ES"/>
              </w:rPr>
              <w:t>25 de febrero y 30 de diciembre de 2011</w:t>
            </w:r>
            <w:r w:rsidR="00604CA5">
              <w:rPr>
                <w:rFonts w:ascii="Cambria" w:hAnsi="Cambria"/>
                <w:bCs/>
                <w:sz w:val="19"/>
                <w:szCs w:val="19"/>
                <w:lang w:val="es-ES"/>
              </w:rPr>
              <w:t>; 15 de febrero. 11 de abril,  24 de mayo y 11 de junio de 2012</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2088EBF4" w:rsidR="004C2312" w:rsidRPr="0047080D" w:rsidRDefault="00911B3F" w:rsidP="00D43661">
            <w:pPr>
              <w:jc w:val="both"/>
              <w:rPr>
                <w:rFonts w:ascii="Cambria" w:hAnsi="Cambria"/>
                <w:bCs/>
                <w:sz w:val="19"/>
                <w:szCs w:val="19"/>
                <w:lang w:val="es-ES"/>
              </w:rPr>
            </w:pPr>
            <w:r>
              <w:rPr>
                <w:rFonts w:ascii="Cambria" w:hAnsi="Cambria"/>
                <w:bCs/>
                <w:sz w:val="19"/>
                <w:szCs w:val="19"/>
                <w:lang w:val="es-ES"/>
              </w:rPr>
              <w:t>12 de abril de 2017</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14D3A366" w:rsidR="00F06354" w:rsidRPr="0047080D" w:rsidRDefault="00911B3F" w:rsidP="00F06354">
            <w:pPr>
              <w:jc w:val="both"/>
              <w:rPr>
                <w:rFonts w:ascii="Cambria" w:hAnsi="Cambria"/>
                <w:bCs/>
                <w:sz w:val="19"/>
                <w:szCs w:val="19"/>
                <w:lang w:val="es-ES"/>
              </w:rPr>
            </w:pPr>
            <w:r>
              <w:rPr>
                <w:rFonts w:ascii="Cambria" w:hAnsi="Cambria"/>
                <w:bCs/>
                <w:sz w:val="19"/>
                <w:szCs w:val="19"/>
                <w:lang w:val="es-ES"/>
              </w:rPr>
              <w:t>9 de febrero de 2018</w:t>
            </w:r>
          </w:p>
        </w:tc>
      </w:tr>
      <w:tr w:rsidR="00F06354" w:rsidRPr="0006673E"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2F89738D" w:rsidR="00F06354" w:rsidRPr="0047080D" w:rsidRDefault="00911B3F" w:rsidP="00BC0968">
            <w:pPr>
              <w:jc w:val="both"/>
              <w:rPr>
                <w:rFonts w:ascii="Cambria" w:hAnsi="Cambria"/>
                <w:bCs/>
                <w:sz w:val="19"/>
                <w:szCs w:val="19"/>
                <w:lang w:val="es-ES"/>
              </w:rPr>
            </w:pPr>
            <w:r>
              <w:rPr>
                <w:rFonts w:ascii="Cambria" w:hAnsi="Cambria"/>
                <w:bCs/>
                <w:sz w:val="19"/>
                <w:szCs w:val="19"/>
                <w:lang w:val="es-ES"/>
              </w:rPr>
              <w:t>17 de julio de 2017 y 25 de septiembre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D43661">
            <w:pPr>
              <w:jc w:val="center"/>
              <w:rPr>
                <w:rFonts w:ascii="Cambria" w:hAnsi="Cambria"/>
                <w:bCs/>
                <w:i/>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personae</w:t>
            </w:r>
            <w:proofErr w:type="spellEnd"/>
          </w:p>
        </w:tc>
        <w:tc>
          <w:tcPr>
            <w:tcW w:w="6570" w:type="dxa"/>
            <w:vAlign w:val="center"/>
          </w:tcPr>
          <w:p w14:paraId="7707F3E9" w14:textId="30DD0FA8"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loci</w:t>
            </w:r>
            <w:proofErr w:type="spellEnd"/>
          </w:p>
        </w:tc>
        <w:tc>
          <w:tcPr>
            <w:tcW w:w="6570" w:type="dxa"/>
            <w:vAlign w:val="center"/>
          </w:tcPr>
          <w:p w14:paraId="12C931CB" w14:textId="07637622"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D43661">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temporis</w:t>
            </w:r>
            <w:proofErr w:type="spellEnd"/>
          </w:p>
        </w:tc>
        <w:tc>
          <w:tcPr>
            <w:tcW w:w="6570" w:type="dxa"/>
            <w:vAlign w:val="center"/>
          </w:tcPr>
          <w:p w14:paraId="6F8B059B" w14:textId="63ACCA21" w:rsidR="003239B8" w:rsidRPr="0047080D" w:rsidRDefault="00161278" w:rsidP="00D43661">
            <w:pPr>
              <w:rPr>
                <w:rFonts w:ascii="Cambria" w:hAnsi="Cambria"/>
                <w:bCs/>
                <w:sz w:val="19"/>
                <w:szCs w:val="19"/>
                <w:lang w:val="es-ES"/>
              </w:rPr>
            </w:pPr>
            <w:r>
              <w:rPr>
                <w:rFonts w:ascii="Cambria" w:hAnsi="Cambria"/>
                <w:bCs/>
                <w:sz w:val="19"/>
                <w:szCs w:val="19"/>
                <w:lang w:val="es-ES"/>
              </w:rPr>
              <w:t>Sí</w:t>
            </w:r>
          </w:p>
        </w:tc>
      </w:tr>
      <w:tr w:rsidR="003239B8" w:rsidRPr="00006B74"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D43661">
            <w:pPr>
              <w:jc w:val="center"/>
              <w:rPr>
                <w:rFonts w:ascii="Cambria" w:hAnsi="Cambria"/>
                <w:bCs/>
                <w:color w:val="FFFFFF" w:themeColor="background1"/>
                <w:sz w:val="19"/>
                <w:szCs w:val="19"/>
                <w:lang w:val="es-ES"/>
              </w:rPr>
            </w:pPr>
            <w:proofErr w:type="spellStart"/>
            <w:r w:rsidRPr="0047080D">
              <w:rPr>
                <w:rFonts w:ascii="Cambria" w:hAnsi="Cambria"/>
                <w:bCs/>
                <w:i/>
                <w:color w:val="FFFFFF" w:themeColor="background1"/>
                <w:sz w:val="19"/>
                <w:szCs w:val="19"/>
                <w:lang w:val="es-ES"/>
              </w:rPr>
              <w:t>Ratione</w:t>
            </w:r>
            <w:proofErr w:type="spellEnd"/>
            <w:r w:rsidRPr="0047080D">
              <w:rPr>
                <w:rFonts w:ascii="Cambria" w:hAnsi="Cambria"/>
                <w:bCs/>
                <w:i/>
                <w:color w:val="FFFFFF" w:themeColor="background1"/>
                <w:sz w:val="19"/>
                <w:szCs w:val="19"/>
                <w:lang w:val="es-ES"/>
              </w:rPr>
              <w:t xml:space="preserve"> </w:t>
            </w:r>
            <w:proofErr w:type="spellStart"/>
            <w:r w:rsidRPr="0047080D">
              <w:rPr>
                <w:rFonts w:ascii="Cambria" w:hAnsi="Cambria"/>
                <w:bCs/>
                <w:i/>
                <w:color w:val="FFFFFF" w:themeColor="background1"/>
                <w:sz w:val="19"/>
                <w:szCs w:val="19"/>
                <w:lang w:val="es-ES"/>
              </w:rPr>
              <w:t>materia</w:t>
            </w:r>
            <w:r w:rsidR="00EE00E9" w:rsidRPr="0047080D">
              <w:rPr>
                <w:rFonts w:ascii="Cambria" w:hAnsi="Cambria"/>
                <w:bCs/>
                <w:i/>
                <w:color w:val="FFFFFF" w:themeColor="background1"/>
                <w:sz w:val="19"/>
                <w:szCs w:val="19"/>
                <w:lang w:val="es-ES"/>
              </w:rPr>
              <w:t>e</w:t>
            </w:r>
            <w:proofErr w:type="spellEnd"/>
          </w:p>
        </w:tc>
        <w:tc>
          <w:tcPr>
            <w:tcW w:w="6570" w:type="dxa"/>
            <w:vAlign w:val="center"/>
          </w:tcPr>
          <w:p w14:paraId="63A62A88" w14:textId="77777777" w:rsidR="00911B3F" w:rsidRPr="00896F1A" w:rsidRDefault="00911B3F" w:rsidP="00911B3F">
            <w:pPr>
              <w:jc w:val="both"/>
              <w:rPr>
                <w:rFonts w:asciiTheme="majorHAnsi" w:hAnsiTheme="majorHAnsi"/>
                <w:bCs/>
                <w:sz w:val="20"/>
                <w:szCs w:val="20"/>
                <w:lang w:val="es-ES"/>
              </w:rPr>
            </w:pPr>
            <w:r w:rsidRPr="00896F1A">
              <w:rPr>
                <w:rFonts w:asciiTheme="majorHAnsi" w:hAnsiTheme="majorHAnsi"/>
                <w:bCs/>
                <w:sz w:val="20"/>
                <w:szCs w:val="20"/>
                <w:lang w:val="es-ES"/>
              </w:rPr>
              <w:t>Sí</w:t>
            </w:r>
            <w:r>
              <w:rPr>
                <w:rFonts w:asciiTheme="majorHAnsi" w:hAnsiTheme="majorHAnsi"/>
                <w:bCs/>
                <w:sz w:val="20"/>
                <w:szCs w:val="20"/>
                <w:lang w:val="es-ES"/>
              </w:rPr>
              <w:t>,</w:t>
            </w:r>
            <w:r w:rsidRPr="00896F1A">
              <w:rPr>
                <w:rFonts w:asciiTheme="majorHAnsi" w:hAnsiTheme="majorHAnsi"/>
                <w:bCs/>
                <w:sz w:val="20"/>
                <w:szCs w:val="20"/>
                <w:lang w:val="es-ES"/>
              </w:rPr>
              <w:t xml:space="preserve"> Convención Americana (depósito del instrumento realizado el</w:t>
            </w:r>
          </w:p>
          <w:p w14:paraId="0C122F44" w14:textId="78BA88B5" w:rsidR="003239B8" w:rsidRPr="0047080D" w:rsidRDefault="00911B3F" w:rsidP="00911B3F">
            <w:pPr>
              <w:jc w:val="both"/>
              <w:rPr>
                <w:rFonts w:ascii="Cambria" w:hAnsi="Cambria"/>
                <w:bCs/>
                <w:sz w:val="19"/>
                <w:szCs w:val="19"/>
                <w:lang w:val="es-ES"/>
              </w:rPr>
            </w:pPr>
            <w:r w:rsidRPr="00896F1A">
              <w:rPr>
                <w:rFonts w:asciiTheme="majorHAnsi" w:hAnsiTheme="majorHAnsi"/>
                <w:bCs/>
                <w:sz w:val="20"/>
                <w:szCs w:val="20"/>
                <w:lang w:val="es-ES"/>
              </w:rPr>
              <w:t>31 de julio de 1973)</w:t>
            </w:r>
          </w:p>
        </w:tc>
      </w:tr>
    </w:tbl>
    <w:p w14:paraId="4E92C444" w14:textId="7D97AE5A"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911B3F">
        <w:rPr>
          <w:rFonts w:asciiTheme="majorHAnsi" w:hAnsiTheme="majorHAnsi"/>
          <w:b/>
          <w:bCs/>
          <w:sz w:val="20"/>
          <w:szCs w:val="20"/>
          <w:lang w:val="es-ES"/>
        </w:rPr>
        <w:t>INTERNACIONAL</w:t>
      </w:r>
      <w:r w:rsidR="00EE00E9" w:rsidRPr="00006B74">
        <w:rPr>
          <w:rFonts w:asciiTheme="majorHAnsi" w:hAnsiTheme="majorHAnsi"/>
          <w:b/>
          <w:bCs/>
          <w:sz w:val="20"/>
          <w:szCs w:val="20"/>
          <w:lang w:val="es-ES"/>
        </w:rPr>
        <w:t xml:space="preserve"> </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3207C9"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135A8243" w:rsidR="00EE00E9" w:rsidRPr="0047080D" w:rsidRDefault="00BB3402" w:rsidP="00D43661">
            <w:pPr>
              <w:jc w:val="both"/>
              <w:rPr>
                <w:rFonts w:ascii="Cambria" w:hAnsi="Cambria"/>
                <w:bCs/>
                <w:sz w:val="19"/>
                <w:szCs w:val="19"/>
                <w:lang w:val="es-ES"/>
              </w:rPr>
            </w:pPr>
            <w:r>
              <w:rPr>
                <w:rFonts w:ascii="Cambria" w:hAnsi="Cambria"/>
                <w:bCs/>
                <w:sz w:val="19"/>
                <w:szCs w:val="19"/>
                <w:lang w:val="es-ES"/>
              </w:rPr>
              <w:t>No</w:t>
            </w:r>
          </w:p>
        </w:tc>
      </w:tr>
      <w:tr w:rsidR="003239B8" w:rsidRPr="00226222"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4F428C4F" w:rsidR="003239B8" w:rsidRPr="0047080D" w:rsidRDefault="00911B3F" w:rsidP="001479C0">
            <w:pPr>
              <w:jc w:val="both"/>
              <w:rPr>
                <w:rFonts w:ascii="Cambria" w:hAnsi="Cambria"/>
                <w:bCs/>
                <w:sz w:val="19"/>
                <w:szCs w:val="19"/>
                <w:lang w:val="es-ES"/>
              </w:rPr>
            </w:pPr>
            <w:r>
              <w:rPr>
                <w:rFonts w:ascii="Cambria" w:hAnsi="Cambria"/>
                <w:bCs/>
                <w:sz w:val="19"/>
                <w:szCs w:val="19"/>
                <w:lang w:val="es-ES"/>
              </w:rPr>
              <w:t>Ninguno</w:t>
            </w:r>
          </w:p>
        </w:tc>
      </w:tr>
      <w:tr w:rsidR="003239B8" w:rsidRPr="0006673E"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37B0D939" w:rsidR="003239B8" w:rsidRPr="0047080D" w:rsidRDefault="00911B3F" w:rsidP="00706189">
            <w:pPr>
              <w:rPr>
                <w:rFonts w:ascii="Cambria" w:hAnsi="Cambria"/>
                <w:bCs/>
                <w:sz w:val="19"/>
                <w:szCs w:val="19"/>
                <w:lang w:val="es-ES"/>
              </w:rPr>
            </w:pPr>
            <w:r>
              <w:rPr>
                <w:rFonts w:ascii="Cambria" w:hAnsi="Cambria"/>
                <w:bCs/>
                <w:sz w:val="19"/>
                <w:szCs w:val="19"/>
                <w:lang w:val="es-ES"/>
              </w:rPr>
              <w:t>Sí, aplica excepción del artículo 46.1(a) de la Convención Americana</w:t>
            </w:r>
          </w:p>
        </w:tc>
      </w:tr>
      <w:tr w:rsidR="003239B8" w:rsidRPr="00226222"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D43661">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39D27EB8" w:rsidR="003239B8" w:rsidRPr="0047080D" w:rsidRDefault="00911B3F" w:rsidP="00706189">
            <w:pPr>
              <w:rPr>
                <w:rFonts w:ascii="Cambria" w:hAnsi="Cambria"/>
                <w:bCs/>
                <w:sz w:val="19"/>
                <w:szCs w:val="19"/>
                <w:lang w:val="es-ES"/>
              </w:rPr>
            </w:pPr>
            <w:r>
              <w:rPr>
                <w:rFonts w:ascii="Cambria" w:hAnsi="Cambria"/>
                <w:bCs/>
                <w:sz w:val="19"/>
                <w:szCs w:val="19"/>
                <w:lang w:val="es-ES"/>
              </w:rPr>
              <w:t>No</w:t>
            </w:r>
          </w:p>
        </w:tc>
      </w:tr>
    </w:tbl>
    <w:p w14:paraId="18E6423B" w14:textId="5FDE25B0" w:rsidR="003239B8" w:rsidRPr="00006B74" w:rsidRDefault="00223A29" w:rsidP="005565AF">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765F49F1" w14:textId="20C2172C" w:rsidR="00D22FBE" w:rsidRPr="00611CED" w:rsidRDefault="0027320E" w:rsidP="005565AF">
      <w:pPr>
        <w:numPr>
          <w:ilvl w:val="0"/>
          <w:numId w:val="55"/>
        </w:numPr>
        <w:suppressAutoHyphens/>
        <w:spacing w:after="120"/>
        <w:jc w:val="both"/>
        <w:rPr>
          <w:rFonts w:asciiTheme="majorHAnsi" w:hAnsiTheme="majorHAnsi"/>
          <w:b/>
          <w:bCs/>
          <w:sz w:val="20"/>
          <w:szCs w:val="20"/>
          <w:lang w:val="es-ES"/>
        </w:rPr>
      </w:pPr>
      <w:r>
        <w:rPr>
          <w:rFonts w:ascii="Cambria" w:hAnsi="Cambria"/>
          <w:sz w:val="20"/>
          <w:szCs w:val="20"/>
          <w:lang w:val="es-ES"/>
        </w:rPr>
        <w:t xml:space="preserve">Jesús Alberto </w:t>
      </w:r>
      <w:proofErr w:type="spellStart"/>
      <w:r>
        <w:rPr>
          <w:rFonts w:ascii="Cambria" w:hAnsi="Cambria"/>
          <w:sz w:val="20"/>
          <w:szCs w:val="20"/>
          <w:lang w:val="es-ES"/>
        </w:rPr>
        <w:t>Felizzola</w:t>
      </w:r>
      <w:proofErr w:type="spellEnd"/>
      <w:r>
        <w:rPr>
          <w:rFonts w:ascii="Cambria" w:hAnsi="Cambria"/>
          <w:sz w:val="20"/>
          <w:szCs w:val="20"/>
          <w:lang w:val="es-ES"/>
        </w:rPr>
        <w:t xml:space="preserve"> Guerrero y </w:t>
      </w:r>
      <w:proofErr w:type="spellStart"/>
      <w:r>
        <w:rPr>
          <w:rFonts w:ascii="Cambria" w:hAnsi="Cambria"/>
          <w:sz w:val="20"/>
          <w:szCs w:val="20"/>
          <w:lang w:val="es-ES"/>
        </w:rPr>
        <w:t>Nerio</w:t>
      </w:r>
      <w:proofErr w:type="spellEnd"/>
      <w:r>
        <w:rPr>
          <w:rFonts w:ascii="Cambria" w:hAnsi="Cambria"/>
          <w:sz w:val="20"/>
          <w:szCs w:val="20"/>
          <w:lang w:val="es-ES"/>
        </w:rPr>
        <w:t xml:space="preserve"> José </w:t>
      </w:r>
      <w:proofErr w:type="spellStart"/>
      <w:r>
        <w:rPr>
          <w:rFonts w:ascii="Cambria" w:hAnsi="Cambria"/>
          <w:sz w:val="20"/>
          <w:szCs w:val="20"/>
          <w:lang w:val="es-ES"/>
        </w:rPr>
        <w:t>Alvis</w:t>
      </w:r>
      <w:proofErr w:type="spellEnd"/>
      <w:r>
        <w:rPr>
          <w:rFonts w:ascii="Cambria" w:hAnsi="Cambria"/>
          <w:sz w:val="20"/>
          <w:szCs w:val="20"/>
          <w:lang w:val="es-ES"/>
        </w:rPr>
        <w:t xml:space="preserve"> Barranco (en adelante “la parte peticionaria”) denuncian presuntas violaciones a los derechos humanos de Jesús Alberto </w:t>
      </w:r>
      <w:proofErr w:type="spellStart"/>
      <w:r>
        <w:rPr>
          <w:rFonts w:ascii="Cambria" w:hAnsi="Cambria"/>
          <w:sz w:val="20"/>
          <w:szCs w:val="20"/>
          <w:lang w:val="es-ES"/>
        </w:rPr>
        <w:t>Felizzola</w:t>
      </w:r>
      <w:proofErr w:type="spellEnd"/>
      <w:r>
        <w:rPr>
          <w:rFonts w:ascii="Cambria" w:hAnsi="Cambria"/>
          <w:sz w:val="20"/>
          <w:szCs w:val="20"/>
          <w:lang w:val="es-ES"/>
        </w:rPr>
        <w:t xml:space="preserve"> (en adelante “la presunta víctima”) </w:t>
      </w:r>
      <w:r w:rsidR="00BD622A">
        <w:rPr>
          <w:rFonts w:ascii="Cambria" w:hAnsi="Cambria"/>
          <w:sz w:val="20"/>
          <w:szCs w:val="20"/>
          <w:lang w:val="es-ES"/>
        </w:rPr>
        <w:t xml:space="preserve">y sus familiares </w:t>
      </w:r>
      <w:r>
        <w:rPr>
          <w:rFonts w:ascii="Cambria" w:hAnsi="Cambria"/>
          <w:sz w:val="20"/>
          <w:szCs w:val="20"/>
          <w:lang w:val="es-ES"/>
        </w:rPr>
        <w:t xml:space="preserve">alegando que </w:t>
      </w:r>
      <w:r w:rsidR="00BD622A">
        <w:rPr>
          <w:rFonts w:ascii="Cambria" w:hAnsi="Cambria"/>
          <w:sz w:val="20"/>
          <w:szCs w:val="20"/>
          <w:lang w:val="es-ES"/>
        </w:rPr>
        <w:t xml:space="preserve">este fue removido del cargo que ocupaba en la Contraloría General de la República de Colombia en violación al fuero sindical que le amparaba y sin proceso previo. </w:t>
      </w:r>
    </w:p>
    <w:p w14:paraId="50FFC2DB" w14:textId="54D60FAF" w:rsidR="00611CED" w:rsidRPr="003C4F45" w:rsidRDefault="00611CED" w:rsidP="005565AF">
      <w:pPr>
        <w:numPr>
          <w:ilvl w:val="0"/>
          <w:numId w:val="55"/>
        </w:numPr>
        <w:suppressAutoHyphens/>
        <w:spacing w:after="120"/>
        <w:jc w:val="both"/>
        <w:rPr>
          <w:rFonts w:asciiTheme="majorHAnsi" w:hAnsiTheme="majorHAnsi"/>
          <w:b/>
          <w:bCs/>
          <w:sz w:val="20"/>
          <w:szCs w:val="20"/>
          <w:lang w:val="es-ES"/>
        </w:rPr>
      </w:pPr>
      <w:r>
        <w:rPr>
          <w:rFonts w:ascii="Cambria" w:hAnsi="Cambria"/>
          <w:sz w:val="20"/>
          <w:szCs w:val="20"/>
          <w:lang w:val="es-ES"/>
        </w:rPr>
        <w:t>La parte peticionaria relata que el 9 de junio de 1992 la presunta víctima fue nombrado mecanógrafo grado 3 en la Contraloría General de la República</w:t>
      </w:r>
      <w:r w:rsidR="003C4F45">
        <w:rPr>
          <w:rFonts w:ascii="Cambria" w:hAnsi="Cambria"/>
          <w:sz w:val="20"/>
          <w:szCs w:val="20"/>
          <w:lang w:val="es-ES"/>
        </w:rPr>
        <w:t xml:space="preserve"> (en adelante “la Contraloría”)</w:t>
      </w:r>
      <w:r>
        <w:rPr>
          <w:rFonts w:ascii="Cambria" w:hAnsi="Cambria"/>
          <w:sz w:val="20"/>
          <w:szCs w:val="20"/>
          <w:lang w:val="es-ES"/>
        </w:rPr>
        <w:t xml:space="preserve">, siendo posteriormente inscrito como auxiliar administrativo grado </w:t>
      </w:r>
      <w:r w:rsidR="003C4F45">
        <w:rPr>
          <w:rFonts w:ascii="Cambria" w:hAnsi="Cambria"/>
          <w:sz w:val="20"/>
          <w:szCs w:val="20"/>
          <w:lang w:val="es-ES"/>
        </w:rPr>
        <w:t>0</w:t>
      </w:r>
      <w:r>
        <w:rPr>
          <w:rFonts w:ascii="Cambria" w:hAnsi="Cambria"/>
          <w:sz w:val="20"/>
          <w:szCs w:val="20"/>
          <w:lang w:val="es-ES"/>
        </w:rPr>
        <w:t xml:space="preserve">6 en el escalafón de carrera administrativa el 15 de mayo de 1995 tras haber ganado un </w:t>
      </w:r>
      <w:r w:rsidR="00F259C9" w:rsidRPr="00F259C9">
        <w:rPr>
          <w:rFonts w:ascii="Cambria" w:hAnsi="Cambria"/>
          <w:sz w:val="20"/>
          <w:szCs w:val="20"/>
          <w:lang w:val="es-ES"/>
        </w:rPr>
        <w:t>concurso</w:t>
      </w:r>
      <w:r>
        <w:rPr>
          <w:rFonts w:ascii="Cambria" w:hAnsi="Cambria"/>
          <w:sz w:val="20"/>
          <w:szCs w:val="20"/>
          <w:lang w:val="es-ES"/>
        </w:rPr>
        <w:t xml:space="preserve"> de meritocracia. Agrega que mientras prestaba servicios a la Contraloría</w:t>
      </w:r>
      <w:r w:rsidR="00F259C9">
        <w:rPr>
          <w:rFonts w:ascii="Cambria" w:hAnsi="Cambria"/>
          <w:sz w:val="20"/>
          <w:szCs w:val="20"/>
          <w:lang w:val="es-ES"/>
        </w:rPr>
        <w:t>,</w:t>
      </w:r>
      <w:r>
        <w:rPr>
          <w:rFonts w:ascii="Cambria" w:hAnsi="Cambria"/>
          <w:sz w:val="20"/>
          <w:szCs w:val="20"/>
          <w:lang w:val="es-ES"/>
        </w:rPr>
        <w:t xml:space="preserve"> la presunta víctima cursó y completo la carrera de contador público. En adición, señala </w:t>
      </w:r>
      <w:r w:rsidR="003C4F45">
        <w:rPr>
          <w:rFonts w:ascii="Cambria" w:hAnsi="Cambria"/>
          <w:sz w:val="20"/>
          <w:szCs w:val="20"/>
          <w:lang w:val="es-ES"/>
        </w:rPr>
        <w:t xml:space="preserve">que la presunta víctima adquirió fuero sindical luego de ser designado miembro activo de la junta directiva de la Asociación de Servidores Públicos de las Contralorías de Colombia (en adelante “ASDECCO”) Subdirectiva Seccional Cesar. </w:t>
      </w:r>
    </w:p>
    <w:p w14:paraId="1418B61D" w14:textId="0E41D8F1" w:rsidR="003C4F45" w:rsidRPr="00E07CB1" w:rsidRDefault="003C4F45" w:rsidP="005565AF">
      <w:pPr>
        <w:numPr>
          <w:ilvl w:val="0"/>
          <w:numId w:val="55"/>
        </w:numPr>
        <w:suppressAutoHyphens/>
        <w:spacing w:after="120"/>
        <w:jc w:val="both"/>
        <w:rPr>
          <w:rFonts w:asciiTheme="majorHAnsi" w:hAnsiTheme="majorHAnsi"/>
          <w:b/>
          <w:bCs/>
          <w:sz w:val="20"/>
          <w:szCs w:val="20"/>
          <w:lang w:val="es-ES"/>
        </w:rPr>
      </w:pPr>
      <w:r>
        <w:rPr>
          <w:rFonts w:ascii="Cambria" w:hAnsi="Cambria"/>
          <w:sz w:val="20"/>
          <w:szCs w:val="20"/>
          <w:lang w:val="es-ES"/>
        </w:rPr>
        <w:t xml:space="preserve">Continúa relatando que en 1999 ocurrió una reestructuración de cargos en la Contraloría con la presunta finalidad de mejorar el servicio y profesionalizar la entidad. Indica que en el marco del proceso de </w:t>
      </w:r>
      <w:r>
        <w:rPr>
          <w:rFonts w:ascii="Cambria" w:hAnsi="Cambria"/>
          <w:sz w:val="20"/>
          <w:szCs w:val="20"/>
          <w:lang w:val="es-ES"/>
        </w:rPr>
        <w:lastRenderedPageBreak/>
        <w:t>reestructuración se cambió la designación “auxiliares administrativos grado 06” por la de “asistenciales”</w:t>
      </w:r>
      <w:r w:rsidR="006A4D7E">
        <w:rPr>
          <w:rFonts w:ascii="Cambria" w:hAnsi="Cambria"/>
          <w:sz w:val="20"/>
          <w:szCs w:val="20"/>
          <w:lang w:val="es-ES"/>
        </w:rPr>
        <w:t>,</w:t>
      </w:r>
      <w:r>
        <w:rPr>
          <w:rFonts w:ascii="Cambria" w:hAnsi="Cambria"/>
          <w:sz w:val="20"/>
          <w:szCs w:val="20"/>
          <w:lang w:val="es-ES"/>
        </w:rPr>
        <w:t xml:space="preserve"> siendo pactado en una comisión bipartita compuestas de directivos de la </w:t>
      </w:r>
      <w:r w:rsidR="006A4D7E">
        <w:rPr>
          <w:rFonts w:ascii="Cambria" w:hAnsi="Cambria"/>
          <w:sz w:val="20"/>
          <w:szCs w:val="20"/>
          <w:lang w:val="es-ES"/>
        </w:rPr>
        <w:t>entidad y de los sindicatos</w:t>
      </w:r>
      <w:r w:rsidR="00FA5DF8">
        <w:rPr>
          <w:rFonts w:ascii="Cambria" w:hAnsi="Cambria"/>
          <w:sz w:val="20"/>
          <w:szCs w:val="20"/>
          <w:lang w:val="es-ES"/>
        </w:rPr>
        <w:t>,</w:t>
      </w:r>
      <w:r w:rsidR="006A4D7E">
        <w:rPr>
          <w:rFonts w:ascii="Cambria" w:hAnsi="Cambria"/>
          <w:sz w:val="20"/>
          <w:szCs w:val="20"/>
          <w:lang w:val="es-ES"/>
        </w:rPr>
        <w:t xml:space="preserve"> que los cargos ocupados bajo la vieja designación serían homologados a la nueva en base a los siguientes criterios de incorporación: (antigüedad 35%, experiencia 35%, estudios 30%). </w:t>
      </w:r>
      <w:r w:rsidR="005565AF">
        <w:rPr>
          <w:rFonts w:ascii="Cambria" w:hAnsi="Cambria"/>
          <w:sz w:val="20"/>
          <w:szCs w:val="20"/>
          <w:lang w:val="es-ES"/>
        </w:rPr>
        <w:t xml:space="preserve">En adición, señala que también se pactó que los trabajadores públicos que estuvieran amparados por fuero sindical no serían despedidos ni desmejorados. Alega que, pese a </w:t>
      </w:r>
      <w:r w:rsidR="00C06EF7">
        <w:rPr>
          <w:rFonts w:ascii="Cambria" w:hAnsi="Cambria"/>
          <w:sz w:val="20"/>
          <w:szCs w:val="20"/>
          <w:lang w:val="es-ES"/>
        </w:rPr>
        <w:t>lo acordado con respecto al fuero sindical</w:t>
      </w:r>
      <w:r w:rsidR="005565AF">
        <w:rPr>
          <w:rFonts w:ascii="Cambria" w:hAnsi="Cambria"/>
          <w:sz w:val="20"/>
          <w:szCs w:val="20"/>
          <w:lang w:val="es-ES"/>
        </w:rPr>
        <w:t xml:space="preserve"> y a que la presunta víctima obtuvo la calificación más alta (92/100) en la evaluación hecha por la Gerencia de Talento Humano de la Contraloría en base a los criterios pactados, </w:t>
      </w:r>
      <w:r w:rsidR="00C06EF7">
        <w:rPr>
          <w:rFonts w:ascii="Cambria" w:hAnsi="Cambria"/>
          <w:sz w:val="20"/>
          <w:szCs w:val="20"/>
          <w:lang w:val="es-ES"/>
        </w:rPr>
        <w:t xml:space="preserve">la presunta víctima no fue incorporado a la nueva planta de la Contraloría. Destaca que las otras 5 personas que ocupaban cargos de auxiliar administrativo grado 06 previo a la reestructuración </w:t>
      </w:r>
      <w:r w:rsidR="00E07CB1">
        <w:rPr>
          <w:rFonts w:ascii="Cambria" w:hAnsi="Cambria"/>
          <w:sz w:val="20"/>
          <w:szCs w:val="20"/>
          <w:lang w:val="es-ES"/>
        </w:rPr>
        <w:t>si fueron incorporadas como asistenciales, pese a haber recibido una puntuación inferior a la de la presunta víctima.</w:t>
      </w:r>
    </w:p>
    <w:p w14:paraId="0E278FD3" w14:textId="1598B717" w:rsidR="00E07CB1" w:rsidRPr="00E85D37" w:rsidRDefault="00E07CB1" w:rsidP="005565AF">
      <w:pPr>
        <w:numPr>
          <w:ilvl w:val="0"/>
          <w:numId w:val="55"/>
        </w:numPr>
        <w:suppressAutoHyphens/>
        <w:spacing w:after="120"/>
        <w:jc w:val="both"/>
        <w:rPr>
          <w:rFonts w:asciiTheme="majorHAnsi" w:hAnsiTheme="majorHAnsi"/>
          <w:b/>
          <w:bCs/>
          <w:sz w:val="20"/>
          <w:szCs w:val="20"/>
          <w:lang w:val="es-ES"/>
        </w:rPr>
      </w:pPr>
      <w:r>
        <w:rPr>
          <w:rFonts w:ascii="Cambria" w:hAnsi="Cambria"/>
          <w:sz w:val="20"/>
          <w:szCs w:val="20"/>
          <w:lang w:val="es-ES"/>
        </w:rPr>
        <w:t xml:space="preserve">Indica que la presunta víctima fue </w:t>
      </w:r>
      <w:r w:rsidR="0097581B">
        <w:rPr>
          <w:rFonts w:ascii="Cambria" w:hAnsi="Cambria"/>
          <w:sz w:val="20"/>
          <w:szCs w:val="20"/>
          <w:lang w:val="es-ES"/>
        </w:rPr>
        <w:t>despedida</w:t>
      </w:r>
      <w:r>
        <w:rPr>
          <w:rFonts w:ascii="Cambria" w:hAnsi="Cambria"/>
          <w:sz w:val="20"/>
          <w:szCs w:val="20"/>
          <w:lang w:val="es-ES"/>
        </w:rPr>
        <w:t xml:space="preserve"> del cargo que ocupaba el 16 de marzo de 2000 pero que el 13 de junio de 2000 fue nombrado provisionalmente como Profesional Universitario Grado 01 indicándosele que eventualmente sería reintegrado en forma definitiva. Sin embargo, el 26 de abril de 2001 se le notificó que había sido desvinculado de forma definitiva. </w:t>
      </w:r>
      <w:r w:rsidR="00BB0330">
        <w:rPr>
          <w:rFonts w:ascii="Cambria" w:hAnsi="Cambria"/>
          <w:sz w:val="20"/>
          <w:szCs w:val="20"/>
          <w:lang w:val="es-ES"/>
        </w:rPr>
        <w:t>Señala que contra las irregularidades cometidas en su contra la presunta víctima interpuso una acción d</w:t>
      </w:r>
      <w:r w:rsidR="00F64EDC">
        <w:rPr>
          <w:rFonts w:ascii="Cambria" w:hAnsi="Cambria"/>
          <w:sz w:val="20"/>
          <w:szCs w:val="20"/>
          <w:lang w:val="es-ES"/>
        </w:rPr>
        <w:t>e nulidad y restablecimiento,</w:t>
      </w:r>
      <w:r w:rsidR="00BB0330">
        <w:rPr>
          <w:rFonts w:ascii="Cambria" w:hAnsi="Cambria"/>
          <w:sz w:val="20"/>
          <w:szCs w:val="20"/>
          <w:lang w:val="es-ES"/>
        </w:rPr>
        <w:t xml:space="preserve"> </w:t>
      </w:r>
      <w:r w:rsidR="00241813">
        <w:rPr>
          <w:rFonts w:ascii="Cambria" w:hAnsi="Cambria"/>
          <w:sz w:val="20"/>
          <w:szCs w:val="20"/>
          <w:lang w:val="es-ES"/>
        </w:rPr>
        <w:t>la que fue resuelta en su contra por el Tribunal Administrativo del Cesar el 1 de octubre de 2002.</w:t>
      </w:r>
      <w:r w:rsidR="00AA19DA">
        <w:rPr>
          <w:rFonts w:ascii="Cambria" w:hAnsi="Cambria"/>
          <w:sz w:val="20"/>
          <w:szCs w:val="20"/>
          <w:lang w:val="es-ES"/>
        </w:rPr>
        <w:t xml:space="preserve"> Explica que </w:t>
      </w:r>
      <w:r w:rsidR="00732C96" w:rsidRPr="00732C96">
        <w:rPr>
          <w:rFonts w:ascii="Cambria" w:hAnsi="Cambria"/>
          <w:sz w:val="20"/>
          <w:szCs w:val="20"/>
          <w:lang w:val="es-PA"/>
        </w:rPr>
        <w:t xml:space="preserve">el Tribunal declaró la demanda inepta </w:t>
      </w:r>
      <w:r w:rsidR="00732C96">
        <w:rPr>
          <w:rFonts w:ascii="Cambria" w:hAnsi="Cambria"/>
          <w:sz w:val="20"/>
          <w:szCs w:val="20"/>
          <w:lang w:val="es-ES"/>
        </w:rPr>
        <w:t xml:space="preserve">por considerar que no se había dirigido contra el acto administrativo correcto. Agrega que el peticionario apeló la decisión de inepta </w:t>
      </w:r>
      <w:r w:rsidR="00F64EDC">
        <w:rPr>
          <w:rFonts w:ascii="Cambria" w:hAnsi="Cambria"/>
          <w:sz w:val="20"/>
          <w:szCs w:val="20"/>
          <w:lang w:val="es-ES"/>
        </w:rPr>
        <w:t>demanda,</w:t>
      </w:r>
      <w:r w:rsidR="00732C96">
        <w:rPr>
          <w:rFonts w:ascii="Cambria" w:hAnsi="Cambria"/>
          <w:sz w:val="20"/>
          <w:szCs w:val="20"/>
          <w:lang w:val="es-ES"/>
        </w:rPr>
        <w:t xml:space="preserve"> pero la apelación no fue estudiada en base a que se consideró que el asunto era de única instancia por razón de su cuantía. </w:t>
      </w:r>
      <w:r w:rsidR="001B442A">
        <w:rPr>
          <w:rFonts w:ascii="Cambria" w:hAnsi="Cambria"/>
          <w:sz w:val="20"/>
          <w:szCs w:val="20"/>
          <w:lang w:val="es-ES"/>
        </w:rPr>
        <w:t xml:space="preserve">Añade que la compañera permanente de la presunta víctima interpuso el 19 de enero de 2010 una acción de tutela contra la Contraloría, la que fue denegada por el Tribunal Superior de Valledupar </w:t>
      </w:r>
      <w:r w:rsidR="00E85D37">
        <w:rPr>
          <w:rFonts w:ascii="Cambria" w:hAnsi="Cambria"/>
          <w:sz w:val="20"/>
          <w:szCs w:val="20"/>
          <w:lang w:val="es-ES"/>
        </w:rPr>
        <w:t xml:space="preserve">el 8 de febrero de 2010 tras considerar que la demanda no cumplía con el requisito de inmediatez al haber sido presentada 10 años luego de producida la desvinculación de la presunta víctima. Esta decisión fue luego confirmada por la Corte Suprema de Justicia el 22 de julio de 2009 y excluida de revisión por la Sala de Selección de la Corte Constitucional; por lo que el expediente </w:t>
      </w:r>
      <w:r w:rsidR="00BA1EAE">
        <w:rPr>
          <w:rFonts w:ascii="Cambria" w:hAnsi="Cambria"/>
          <w:sz w:val="20"/>
          <w:szCs w:val="20"/>
          <w:lang w:val="es-ES"/>
        </w:rPr>
        <w:t>correspondiente a la</w:t>
      </w:r>
      <w:r w:rsidR="00E85D37">
        <w:rPr>
          <w:rFonts w:ascii="Cambria" w:hAnsi="Cambria"/>
          <w:sz w:val="20"/>
          <w:szCs w:val="20"/>
          <w:lang w:val="es-ES"/>
        </w:rPr>
        <w:t xml:space="preserve"> acción fue archivado el 14 de octubre de 2010.</w:t>
      </w:r>
    </w:p>
    <w:p w14:paraId="22CF494A" w14:textId="77777777" w:rsidR="00086E72" w:rsidRPr="00086E72" w:rsidRDefault="00E85D37" w:rsidP="005565AF">
      <w:pPr>
        <w:numPr>
          <w:ilvl w:val="0"/>
          <w:numId w:val="55"/>
        </w:numPr>
        <w:suppressAutoHyphens/>
        <w:spacing w:after="120"/>
        <w:jc w:val="both"/>
        <w:rPr>
          <w:rFonts w:asciiTheme="majorHAnsi" w:hAnsiTheme="majorHAnsi"/>
          <w:b/>
          <w:bCs/>
          <w:sz w:val="20"/>
          <w:szCs w:val="20"/>
          <w:lang w:val="es-ES"/>
        </w:rPr>
      </w:pPr>
      <w:r>
        <w:rPr>
          <w:rFonts w:ascii="Cambria" w:hAnsi="Cambria"/>
          <w:sz w:val="20"/>
          <w:szCs w:val="20"/>
          <w:lang w:val="es-ES"/>
        </w:rPr>
        <w:t>La p</w:t>
      </w:r>
      <w:r w:rsidR="00BA1EAE">
        <w:rPr>
          <w:rFonts w:ascii="Cambria" w:hAnsi="Cambria"/>
          <w:sz w:val="20"/>
          <w:szCs w:val="20"/>
          <w:lang w:val="es-ES"/>
        </w:rPr>
        <w:t xml:space="preserve">arte peticionaria considera que el que la demanda de nulidad y restablecimiento del derecho haya sido declarada inepta por un error formal no implica que la presunta víctima haya incurrido en agotamiento indebido. Sostiene que, si el tribunal consideraba que la demanda no se dirigió contra al acto correcto, debió advertir esto al momento de admitir o inadmitir la demanda en lugar de esperar varios años y desarrollar todas las etapas probatorias para finalmente emitir un fallo inhibiéndose de pronunciarse sobre el fondo.  Resalta que con posterioridad a la referida decisión se han superado en Colombia los conceptos de inepta demanda y fallos inhibitorios estableciéndose que los jueces tienen la obligación de pronunciarse sobre el fondo y que los jueces deben advertir las falencias de las demandas y solicitar su corrección. </w:t>
      </w:r>
      <w:r w:rsidR="00086E72">
        <w:rPr>
          <w:rFonts w:ascii="Cambria" w:hAnsi="Cambria"/>
          <w:sz w:val="20"/>
          <w:szCs w:val="20"/>
          <w:lang w:val="es-ES"/>
        </w:rPr>
        <w:t>De igual manera, sostiene que la petición no debe ser considerada extemporánea por razón de que la acción de tutela haya sido rechazada por una supuesta falta de inmediatez, dado que la tutela es una acción legal permitida en Colombia. Resalta que la presunta víctima, pese a su escaza formación técnica, ha cumplido con utilizar y agotar todas las armas jurídicas que le permitió el ordenamiento interno.</w:t>
      </w:r>
    </w:p>
    <w:p w14:paraId="3B55362A" w14:textId="763E8D10" w:rsidR="00E85D37" w:rsidRPr="00E3702D" w:rsidRDefault="00086E72" w:rsidP="005565AF">
      <w:pPr>
        <w:numPr>
          <w:ilvl w:val="0"/>
          <w:numId w:val="55"/>
        </w:numPr>
        <w:suppressAutoHyphens/>
        <w:spacing w:after="120"/>
        <w:jc w:val="both"/>
        <w:rPr>
          <w:rFonts w:asciiTheme="majorHAnsi" w:hAnsiTheme="majorHAnsi"/>
          <w:b/>
          <w:bCs/>
          <w:sz w:val="20"/>
          <w:szCs w:val="20"/>
          <w:lang w:val="es-ES"/>
        </w:rPr>
      </w:pPr>
      <w:r>
        <w:rPr>
          <w:rFonts w:ascii="Cambria" w:hAnsi="Cambria"/>
          <w:sz w:val="20"/>
          <w:szCs w:val="20"/>
          <w:lang w:val="es-ES"/>
        </w:rPr>
        <w:t>El Estado, por su parte, considera que la petici</w:t>
      </w:r>
      <w:r w:rsidR="009D4CF0">
        <w:rPr>
          <w:rFonts w:ascii="Cambria" w:hAnsi="Cambria"/>
          <w:sz w:val="20"/>
          <w:szCs w:val="20"/>
          <w:lang w:val="es-ES"/>
        </w:rPr>
        <w:t xml:space="preserve">ón debe ser inadmitida por haber sido presentada de </w:t>
      </w:r>
      <w:r w:rsidR="009D4CF0" w:rsidRPr="00FA5DF8">
        <w:rPr>
          <w:rFonts w:ascii="Cambria" w:hAnsi="Cambria"/>
          <w:sz w:val="20"/>
          <w:szCs w:val="20"/>
          <w:lang w:val="es-ES"/>
        </w:rPr>
        <w:t>forma extemporánea. Sostiene</w:t>
      </w:r>
      <w:r>
        <w:rPr>
          <w:rFonts w:ascii="Cambria" w:hAnsi="Cambria"/>
          <w:sz w:val="20"/>
          <w:szCs w:val="20"/>
          <w:lang w:val="es-ES"/>
        </w:rPr>
        <w:t xml:space="preserve"> que la decisión que resolvió de manera definitiva la situación jurídica de la presunta víctima a nivel interno fue </w:t>
      </w:r>
      <w:r w:rsidR="009D4CF0">
        <w:rPr>
          <w:rFonts w:ascii="Cambria" w:hAnsi="Cambria"/>
          <w:sz w:val="20"/>
          <w:szCs w:val="20"/>
          <w:lang w:val="es-ES"/>
        </w:rPr>
        <w:t xml:space="preserve">aquella mediante la cual el Consejo de Estado determinó que la apelación presentada por esta contra la denegatoria de su demanda de nulidad y restablecimiento del derecho era improcedente por ser el proceso de única instancia por razón de su cuantía. Indica que esta decisión fue notificada a la presunta víctima 13 de marzo de 2003 mientras que la petición fue presentada a la Comisión el 21 de febrero de 2011, habiendo transcurrido </w:t>
      </w:r>
      <w:r w:rsidR="00124CFE">
        <w:rPr>
          <w:rFonts w:ascii="Cambria" w:hAnsi="Cambria"/>
          <w:sz w:val="20"/>
          <w:szCs w:val="20"/>
          <w:lang w:val="es-ES"/>
        </w:rPr>
        <w:t xml:space="preserve">casi </w:t>
      </w:r>
      <w:r w:rsidR="00E3702D">
        <w:rPr>
          <w:rFonts w:ascii="Cambria" w:hAnsi="Cambria"/>
          <w:sz w:val="20"/>
          <w:szCs w:val="20"/>
          <w:lang w:val="es-ES"/>
        </w:rPr>
        <w:t>8</w:t>
      </w:r>
      <w:r w:rsidR="009D4CF0">
        <w:rPr>
          <w:rFonts w:ascii="Cambria" w:hAnsi="Cambria"/>
          <w:sz w:val="20"/>
          <w:szCs w:val="20"/>
          <w:lang w:val="es-ES"/>
        </w:rPr>
        <w:t xml:space="preserve"> años entre los dos actos y excediéndose en </w:t>
      </w:r>
      <w:r w:rsidR="00124CFE">
        <w:rPr>
          <w:rFonts w:ascii="Cambria" w:hAnsi="Cambria"/>
          <w:sz w:val="20"/>
          <w:szCs w:val="20"/>
          <w:lang w:val="es-ES"/>
        </w:rPr>
        <w:t xml:space="preserve">gran medida el plazo de </w:t>
      </w:r>
      <w:r w:rsidR="00E3702D">
        <w:rPr>
          <w:rFonts w:ascii="Cambria" w:hAnsi="Cambria"/>
          <w:sz w:val="20"/>
          <w:szCs w:val="20"/>
          <w:lang w:val="es-ES"/>
        </w:rPr>
        <w:t>6</w:t>
      </w:r>
      <w:r w:rsidR="00124CFE">
        <w:rPr>
          <w:rFonts w:ascii="Cambria" w:hAnsi="Cambria"/>
          <w:sz w:val="20"/>
          <w:szCs w:val="20"/>
          <w:lang w:val="es-ES"/>
        </w:rPr>
        <w:t xml:space="preserve"> meses previsto en el artículo 46.1(b) de la Convención Americana. Sostiene que la interposición de una acción de tutela por parte de la compañera permanente de la presunta víctima en 2010 no pudo suspender ni revivir el plazo previsto en el artículo 46.1(b) dado que dicha acción fue manifiestamente improcedente. </w:t>
      </w:r>
      <w:r w:rsidR="00E3702D">
        <w:rPr>
          <w:rFonts w:ascii="Cambria" w:hAnsi="Cambria"/>
          <w:sz w:val="20"/>
          <w:szCs w:val="20"/>
          <w:lang w:val="es-ES"/>
        </w:rPr>
        <w:t>Explica</w:t>
      </w:r>
      <w:r w:rsidR="00124CFE">
        <w:rPr>
          <w:rFonts w:ascii="Cambria" w:hAnsi="Cambria"/>
          <w:sz w:val="20"/>
          <w:szCs w:val="20"/>
          <w:lang w:val="es-ES"/>
        </w:rPr>
        <w:t xml:space="preserve"> que</w:t>
      </w:r>
      <w:r w:rsidR="00E3702D">
        <w:rPr>
          <w:rFonts w:ascii="Cambria" w:hAnsi="Cambria"/>
          <w:sz w:val="20"/>
          <w:szCs w:val="20"/>
          <w:lang w:val="es-ES"/>
        </w:rPr>
        <w:t xml:space="preserve"> la Corte Constitucional ha determinado que</w:t>
      </w:r>
      <w:r w:rsidR="00124CFE">
        <w:rPr>
          <w:rFonts w:ascii="Cambria" w:hAnsi="Cambria"/>
          <w:sz w:val="20"/>
          <w:szCs w:val="20"/>
          <w:lang w:val="es-ES"/>
        </w:rPr>
        <w:t xml:space="preserve"> </w:t>
      </w:r>
      <w:r w:rsidR="00E3702D">
        <w:rPr>
          <w:rFonts w:ascii="Cambria" w:hAnsi="Cambria"/>
          <w:sz w:val="20"/>
          <w:szCs w:val="20"/>
          <w:lang w:val="es-ES"/>
        </w:rPr>
        <w:t>la</w:t>
      </w:r>
      <w:r w:rsidR="00124CFE">
        <w:rPr>
          <w:rFonts w:ascii="Cambria" w:hAnsi="Cambria"/>
          <w:sz w:val="20"/>
          <w:szCs w:val="20"/>
          <w:lang w:val="es-ES"/>
        </w:rPr>
        <w:t xml:space="preserve"> “inmediatez”</w:t>
      </w:r>
      <w:r w:rsidR="00E3702D">
        <w:rPr>
          <w:rFonts w:ascii="Cambria" w:hAnsi="Cambria"/>
          <w:sz w:val="20"/>
          <w:szCs w:val="20"/>
          <w:lang w:val="es-ES"/>
        </w:rPr>
        <w:t xml:space="preserve"> es un requisito para la procedencia de las acciones de tutela en Colombia y que, si bien cada caso particular requiere un análisis particular del periodo que puede llegar a considerarse inmediato o no, la interposición en este caso de una demanda de tutela 7 años luego de emitida la decisión final de la jurisdicción contencioso administrativa resultaba a todas luces contraria al principio de inmediatez. </w:t>
      </w:r>
    </w:p>
    <w:p w14:paraId="58B687C9" w14:textId="3D267B16" w:rsidR="00E3702D" w:rsidRPr="00F1747D" w:rsidRDefault="00E3702D" w:rsidP="005565AF">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lastRenderedPageBreak/>
        <w:t xml:space="preserve">También alega que la petición debe ser inadmitida por que la presunta víctima incurrió en indebido agotamiento de los recursos internos. Indica que el Tribunal Administrativo de Cesar determinó que la demanda de nulidad y restablecimiento del derecho interpuesta por la presunta víctima resultaba inepta porque había sido dirigida contra el acto general que ordenó establecer la nueva planta de personal de la Contraloría, </w:t>
      </w:r>
      <w:r w:rsidR="00F1747D">
        <w:rPr>
          <w:rFonts w:asciiTheme="majorHAnsi" w:hAnsiTheme="majorHAnsi"/>
          <w:bCs/>
          <w:sz w:val="20"/>
          <w:szCs w:val="20"/>
          <w:lang w:val="es-ES"/>
        </w:rPr>
        <w:t xml:space="preserve">mientras que el acto que debió ser demandado fue el que determinó no vincularlo a la nueva planta. Sostiene que el juez de primera instancia no estaba facultado para modificar el camino procesal seleccionado por el actor en virtud del principio de “justicia rogada” que rige la especialidad contenciosa administrativa en Colombia. Agrega que la jurisdicción constitucional tampoco fue agotada debidamente porque la acción fue rechazada por causas imputables a los demandantes tales como la interposición extemporánea de la demanda en violación del principio de inmediatez y el que la demanda fuera presentada por la compañera permanente de la presunta víctima sin que esta contara con poder que la legitimara para actuar en su nombre. Añade que la presunta víctima en ningún momento hizo uso de la acción ordinaria laboral de reintegro, la que constituía la vía procesal idónea si consideraba que se había vulnerado su fuero sindical. </w:t>
      </w:r>
    </w:p>
    <w:p w14:paraId="3B21A2A7" w14:textId="40139A66" w:rsidR="00F3559E" w:rsidRPr="00F3559E" w:rsidRDefault="00F1747D" w:rsidP="00F3559E">
      <w:pPr>
        <w:numPr>
          <w:ilvl w:val="0"/>
          <w:numId w:val="55"/>
        </w:numPr>
        <w:suppressAutoHyphens/>
        <w:spacing w:after="120"/>
        <w:jc w:val="both"/>
        <w:rPr>
          <w:rFonts w:asciiTheme="majorHAnsi" w:hAnsiTheme="majorHAnsi"/>
          <w:b/>
          <w:bCs/>
          <w:sz w:val="20"/>
          <w:szCs w:val="20"/>
          <w:lang w:val="es-ES"/>
        </w:rPr>
      </w:pPr>
      <w:r>
        <w:rPr>
          <w:rFonts w:asciiTheme="majorHAnsi" w:hAnsiTheme="majorHAnsi"/>
          <w:bCs/>
          <w:sz w:val="20"/>
          <w:szCs w:val="20"/>
          <w:lang w:val="es-ES"/>
        </w:rPr>
        <w:t xml:space="preserve">En adición, manifiesta que la petición debe ser inadmitida con fundamento en el artículo 47(b) de la Convención Americana porque los hechos expuestos en ella no caracterizan violaciones a los derechos consagrados en dicha Convención. </w:t>
      </w:r>
      <w:r w:rsidR="00186D2C">
        <w:rPr>
          <w:rFonts w:asciiTheme="majorHAnsi" w:hAnsiTheme="majorHAnsi"/>
          <w:bCs/>
          <w:sz w:val="20"/>
          <w:szCs w:val="20"/>
          <w:lang w:val="es-ES"/>
        </w:rPr>
        <w:t>Considera que la imposibilidad de recurrir la decisión del Tribunal Administrativo de Cesar por razón de la cuantía no implica vulneración de los derechos de la presunta víctima, dado que el derecho a recurrir los fallos y acceder a una segunda instancia no es absoluto y puede ser sometido a restricciones evaluadas desde la razonabilidad y proporcionalidad. También indica que en la desvinculación de la presunta víctima no se derivó una vulneración de su derecho al trabajo dado que ni la ley ni la constitución colombianas prohíben la reestructuración de cargos por razón de que los empleos se encuentren ocupados por servidores de carrera administrativa. Destaca que la Corte Constitucional ha concluido que “cuando existan motivos de interés general que justifiquen la supresión de cargos de una entidad pública, es legítimo que el Estado lo haga, sin que pueda oponérsele los derechos de carrera de los funcionarios ya que estos deben ceder ante el interés general</w:t>
      </w:r>
      <w:r w:rsidR="00285F17">
        <w:rPr>
          <w:rFonts w:asciiTheme="majorHAnsi" w:hAnsiTheme="majorHAnsi"/>
          <w:bCs/>
          <w:sz w:val="20"/>
          <w:szCs w:val="20"/>
          <w:lang w:val="es-ES"/>
        </w:rPr>
        <w:t>”</w:t>
      </w:r>
      <w:r w:rsidR="00186D2C">
        <w:rPr>
          <w:rFonts w:asciiTheme="majorHAnsi" w:hAnsiTheme="majorHAnsi"/>
          <w:bCs/>
          <w:sz w:val="20"/>
          <w:szCs w:val="20"/>
          <w:lang w:val="es-ES"/>
        </w:rPr>
        <w:t>.</w:t>
      </w:r>
    </w:p>
    <w:p w14:paraId="3FE6F5AE" w14:textId="148CB70F" w:rsidR="004C616A" w:rsidRPr="00006B74" w:rsidRDefault="004C616A" w:rsidP="00EA4E70">
      <w:pP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471898C9" w14:textId="26CFA84B" w:rsidR="00064191" w:rsidRPr="00A563EE" w:rsidRDefault="00004713" w:rsidP="00064191">
      <w:pPr>
        <w:numPr>
          <w:ilvl w:val="0"/>
          <w:numId w:val="55"/>
        </w:numPr>
        <w:suppressAutoHyphens/>
        <w:spacing w:after="120"/>
        <w:jc w:val="both"/>
        <w:rPr>
          <w:rFonts w:asciiTheme="majorHAnsi" w:hAnsiTheme="majorHAnsi"/>
          <w:b/>
          <w:bCs/>
          <w:sz w:val="20"/>
          <w:szCs w:val="20"/>
          <w:lang w:val="es-ES"/>
        </w:rPr>
      </w:pPr>
      <w:r>
        <w:rPr>
          <w:rFonts w:ascii="Cambria" w:hAnsi="Cambria"/>
          <w:sz w:val="20"/>
          <w:szCs w:val="20"/>
          <w:lang w:val="es-ES"/>
        </w:rPr>
        <w:t xml:space="preserve">La Comisión </w:t>
      </w:r>
      <w:r w:rsidR="00064191">
        <w:rPr>
          <w:rFonts w:ascii="Cambria" w:hAnsi="Cambria"/>
          <w:sz w:val="20"/>
          <w:szCs w:val="20"/>
          <w:lang w:val="es-ES"/>
        </w:rPr>
        <w:t>observa</w:t>
      </w:r>
      <w:r>
        <w:rPr>
          <w:rFonts w:ascii="Cambria" w:hAnsi="Cambria"/>
          <w:sz w:val="20"/>
          <w:szCs w:val="20"/>
          <w:lang w:val="es-ES"/>
        </w:rPr>
        <w:t xml:space="preserve"> que </w:t>
      </w:r>
      <w:r w:rsidR="00A929AA">
        <w:rPr>
          <w:rFonts w:ascii="Cambria" w:hAnsi="Cambria"/>
          <w:sz w:val="20"/>
          <w:szCs w:val="20"/>
          <w:lang w:val="es-ES"/>
        </w:rPr>
        <w:t xml:space="preserve">la </w:t>
      </w:r>
      <w:r w:rsidR="00285F17">
        <w:rPr>
          <w:rFonts w:ascii="Cambria" w:hAnsi="Cambria"/>
          <w:sz w:val="20"/>
          <w:szCs w:val="20"/>
          <w:lang w:val="es-ES"/>
        </w:rPr>
        <w:t xml:space="preserve">parte peticionaria ha indicado que la presunta víctima </w:t>
      </w:r>
      <w:r w:rsidR="00064191">
        <w:rPr>
          <w:rFonts w:ascii="Cambria" w:hAnsi="Cambria"/>
          <w:sz w:val="20"/>
          <w:szCs w:val="20"/>
          <w:lang w:val="es-ES"/>
        </w:rPr>
        <w:t xml:space="preserve">ha cumplido con utilizar y agotar todas las armas jurídicas que le permitió el ordenamiento interno. De igual manera la Comisión toma nota que el Estado considera que la petición fue presentada extemporáneamente y que la acción de tutela presentada por la compañera de la presunta víctima fue manifiestamente improcedente por lo que no puede considerarse como un recurso válidamente agotado para efectos del cálculo del plazo establecido en el artículo 46.1(b) de la Convención Americana. En adición el Estado también ha denunciado que la vía contenciosa administrativa así como la constitucional fueron agotadas indebidamente. </w:t>
      </w:r>
    </w:p>
    <w:p w14:paraId="07F377E2" w14:textId="46B834FC" w:rsidR="006F551A" w:rsidRPr="006F551A" w:rsidRDefault="00A563EE" w:rsidP="006F551A">
      <w:pPr>
        <w:numPr>
          <w:ilvl w:val="0"/>
          <w:numId w:val="55"/>
        </w:numPr>
        <w:suppressAutoHyphens/>
        <w:spacing w:after="120"/>
        <w:jc w:val="both"/>
        <w:rPr>
          <w:rFonts w:asciiTheme="majorHAnsi" w:hAnsiTheme="majorHAnsi"/>
          <w:b/>
          <w:bCs/>
          <w:sz w:val="20"/>
          <w:szCs w:val="20"/>
          <w:lang w:val="es-ES"/>
        </w:rPr>
      </w:pPr>
      <w:r w:rsidRPr="006F551A">
        <w:rPr>
          <w:rFonts w:asciiTheme="majorHAnsi" w:hAnsiTheme="majorHAnsi" w:cs="Calibri"/>
          <w:sz w:val="20"/>
          <w:szCs w:val="20"/>
          <w:lang w:val="es-ES"/>
        </w:rPr>
        <w:t xml:space="preserve">En el presente caso, la Comisión </w:t>
      </w:r>
      <w:r w:rsidR="006F551A" w:rsidRPr="006F551A">
        <w:rPr>
          <w:rFonts w:asciiTheme="majorHAnsi" w:hAnsiTheme="majorHAnsi" w:cs="Calibri"/>
          <w:sz w:val="20"/>
          <w:szCs w:val="20"/>
          <w:lang w:val="es-ES"/>
        </w:rPr>
        <w:t>considera</w:t>
      </w:r>
      <w:r w:rsidRPr="006F551A">
        <w:rPr>
          <w:rFonts w:asciiTheme="majorHAnsi" w:hAnsiTheme="majorHAnsi" w:cs="Calibri"/>
          <w:sz w:val="20"/>
          <w:szCs w:val="20"/>
          <w:lang w:val="es-ES"/>
        </w:rPr>
        <w:t xml:space="preserve"> que</w:t>
      </w:r>
      <w:r w:rsidR="006F551A" w:rsidRPr="006F551A">
        <w:rPr>
          <w:rFonts w:asciiTheme="majorHAnsi" w:hAnsiTheme="majorHAnsi" w:cs="Calibri"/>
          <w:sz w:val="20"/>
          <w:szCs w:val="20"/>
          <w:lang w:val="es-ES"/>
        </w:rPr>
        <w:t xml:space="preserve"> la acción de nulidad y restablecimiento del derecho ante la jurisdicción contencioso administrativa interpuesta por la presunta víctima resultaba</w:t>
      </w:r>
      <w:r w:rsidR="006F551A" w:rsidRPr="006F551A">
        <w:rPr>
          <w:rFonts w:asciiTheme="majorHAnsi" w:hAnsiTheme="majorHAnsi" w:cs="Calibri"/>
          <w:i/>
          <w:sz w:val="20"/>
          <w:szCs w:val="20"/>
          <w:lang w:val="es-ES"/>
        </w:rPr>
        <w:t>, prima facie</w:t>
      </w:r>
      <w:r w:rsidR="0004206D">
        <w:rPr>
          <w:rFonts w:asciiTheme="majorHAnsi" w:hAnsiTheme="majorHAnsi" w:cs="Calibri"/>
          <w:sz w:val="20"/>
          <w:szCs w:val="20"/>
          <w:lang w:val="es-ES"/>
        </w:rPr>
        <w:t xml:space="preserve"> una vía idónea para </w:t>
      </w:r>
      <w:r w:rsidR="006F551A" w:rsidRPr="006F551A">
        <w:rPr>
          <w:rFonts w:asciiTheme="majorHAnsi" w:hAnsiTheme="majorHAnsi" w:cs="Calibri"/>
          <w:sz w:val="20"/>
          <w:szCs w:val="20"/>
          <w:lang w:val="es-ES"/>
        </w:rPr>
        <w:t>que los reclamos planteados en la petición fueran atendidos a nivel doméstico.  S</w:t>
      </w:r>
      <w:r w:rsidR="00FA5DF8">
        <w:rPr>
          <w:rFonts w:asciiTheme="majorHAnsi" w:hAnsiTheme="majorHAnsi" w:cs="Calibri"/>
          <w:sz w:val="20"/>
          <w:szCs w:val="20"/>
          <w:lang w:val="es-ES"/>
        </w:rPr>
        <w:t>egún lo expuesto por el E</w:t>
      </w:r>
      <w:r w:rsidRPr="006F551A">
        <w:rPr>
          <w:rFonts w:asciiTheme="majorHAnsi" w:hAnsiTheme="majorHAnsi" w:cs="Calibri"/>
          <w:sz w:val="20"/>
          <w:szCs w:val="20"/>
          <w:lang w:val="es-ES"/>
        </w:rPr>
        <w:t xml:space="preserve">stado y no controvertido por la parte peticionaria, la presunta víctima interpuso una acción de nulidad y restablecimiento del derecho ante la jurisdicción contencioso administrativa cuya decisión definitiva de rechazo le fue notificada el </w:t>
      </w:r>
      <w:r w:rsidRPr="006F551A">
        <w:rPr>
          <w:rFonts w:asciiTheme="majorHAnsi" w:hAnsiTheme="majorHAnsi"/>
          <w:sz w:val="20"/>
          <w:szCs w:val="20"/>
          <w:lang w:val="es-ES"/>
        </w:rPr>
        <w:t xml:space="preserve">13 de marzo de 2003. No surge del expediente que se hayan interpuesto acciones adicionales relacionadas con el objeto de la petición hasta que la compañera permanente de la presunta víctima interpuso una acción de tutela el 19 de enero de 2010. </w:t>
      </w:r>
    </w:p>
    <w:p w14:paraId="0B2CCDD7" w14:textId="6EC264C8" w:rsidR="00016406" w:rsidRPr="00016406" w:rsidRDefault="006F551A" w:rsidP="00016406">
      <w:pPr>
        <w:numPr>
          <w:ilvl w:val="0"/>
          <w:numId w:val="55"/>
        </w:numPr>
        <w:suppressAutoHyphens/>
        <w:spacing w:after="120"/>
        <w:jc w:val="both"/>
        <w:rPr>
          <w:rFonts w:asciiTheme="majorHAnsi" w:hAnsiTheme="majorHAnsi"/>
          <w:b/>
          <w:bCs/>
          <w:sz w:val="20"/>
          <w:szCs w:val="20"/>
          <w:lang w:val="es-ES"/>
        </w:rPr>
      </w:pPr>
      <w:r w:rsidRPr="006F551A">
        <w:rPr>
          <w:rFonts w:asciiTheme="majorHAnsi" w:hAnsiTheme="majorHAnsi"/>
          <w:sz w:val="20"/>
          <w:szCs w:val="20"/>
          <w:lang w:val="es-ES"/>
        </w:rPr>
        <w:t>Ante estas circunstancias, la Comisión recuerda que ya se ha pronunciado “</w:t>
      </w:r>
      <w:r w:rsidRPr="006F551A">
        <w:rPr>
          <w:rFonts w:asciiTheme="majorHAnsi" w:hAnsiTheme="majorHAnsi"/>
          <w:sz w:val="20"/>
          <w:szCs w:val="20"/>
          <w:lang w:val="es-PA"/>
        </w:rPr>
        <w:t>respecto de aquellos recursos que resultan adecuados y efectivos, y que por tanto hay que agotar como regla general, y a la continuidad procesal de los recursos internos en aquellos casos en los que además de agotar estos recursos, el peticionario continúa litigando a nivel interno por medio de la interposición de recursos o reclamos adicionales. Esta continuidad procesal de los recursos agotados a nivel interno es relevante a la hora de dilucidar cuál debe ser considerado el recurso definitivo que</w:t>
      </w:r>
      <w:r w:rsidR="00C4317B">
        <w:rPr>
          <w:rFonts w:asciiTheme="majorHAnsi" w:hAnsiTheme="majorHAnsi"/>
          <w:sz w:val="20"/>
          <w:szCs w:val="20"/>
          <w:lang w:val="es-PA"/>
        </w:rPr>
        <w:t xml:space="preserve"> pone fin al proceso</w:t>
      </w:r>
      <w:r w:rsidRPr="006F551A">
        <w:rPr>
          <w:rFonts w:asciiTheme="majorHAnsi" w:hAnsiTheme="majorHAnsi"/>
          <w:sz w:val="20"/>
          <w:szCs w:val="20"/>
          <w:lang w:val="es-PA"/>
        </w:rPr>
        <w:t>”</w:t>
      </w:r>
      <w:r w:rsidR="00C4317B">
        <w:rPr>
          <w:rStyle w:val="FootnoteReference"/>
          <w:rFonts w:asciiTheme="majorHAnsi" w:hAnsiTheme="majorHAnsi"/>
          <w:sz w:val="20"/>
          <w:szCs w:val="20"/>
          <w:lang w:val="es-PA"/>
        </w:rPr>
        <w:footnoteReference w:id="6"/>
      </w:r>
      <w:r w:rsidR="00C4317B">
        <w:rPr>
          <w:rFonts w:asciiTheme="majorHAnsi" w:hAnsiTheme="majorHAnsi"/>
          <w:sz w:val="20"/>
          <w:szCs w:val="20"/>
          <w:lang w:val="es-PA"/>
        </w:rPr>
        <w:t>.</w:t>
      </w:r>
      <w:r w:rsidRPr="006F551A">
        <w:rPr>
          <w:rFonts w:asciiTheme="majorHAnsi" w:hAnsiTheme="majorHAnsi"/>
          <w:sz w:val="20"/>
          <w:szCs w:val="20"/>
          <w:lang w:val="es-PA"/>
        </w:rPr>
        <w:t xml:space="preserve"> </w:t>
      </w:r>
      <w:r w:rsidR="00870492">
        <w:rPr>
          <w:rFonts w:asciiTheme="majorHAnsi" w:hAnsiTheme="majorHAnsi"/>
          <w:sz w:val="20"/>
          <w:szCs w:val="20"/>
          <w:lang w:val="es-PA"/>
        </w:rPr>
        <w:t>En el presente caso,</w:t>
      </w:r>
      <w:r w:rsidR="00C4317B">
        <w:rPr>
          <w:rFonts w:asciiTheme="majorHAnsi" w:hAnsiTheme="majorHAnsi"/>
          <w:sz w:val="20"/>
          <w:szCs w:val="20"/>
          <w:lang w:val="es-PA"/>
        </w:rPr>
        <w:t xml:space="preserve"> </w:t>
      </w:r>
      <w:r w:rsidR="00870492">
        <w:rPr>
          <w:rFonts w:asciiTheme="majorHAnsi" w:hAnsiTheme="majorHAnsi"/>
          <w:sz w:val="20"/>
          <w:szCs w:val="20"/>
          <w:lang w:val="es-PA"/>
        </w:rPr>
        <w:t>d</w:t>
      </w:r>
      <w:r w:rsidR="00C4317B">
        <w:rPr>
          <w:rFonts w:asciiTheme="majorHAnsi" w:hAnsiTheme="majorHAnsi"/>
          <w:sz w:val="20"/>
          <w:szCs w:val="20"/>
          <w:lang w:val="es-PA"/>
        </w:rPr>
        <w:t>ado</w:t>
      </w:r>
      <w:r w:rsidR="00870492">
        <w:rPr>
          <w:rFonts w:asciiTheme="majorHAnsi" w:hAnsiTheme="majorHAnsi"/>
          <w:sz w:val="20"/>
          <w:szCs w:val="20"/>
          <w:lang w:val="es-PA"/>
        </w:rPr>
        <w:t>s</w:t>
      </w:r>
      <w:r w:rsidR="00C4317B">
        <w:rPr>
          <w:rFonts w:asciiTheme="majorHAnsi" w:hAnsiTheme="majorHAnsi"/>
          <w:sz w:val="20"/>
          <w:szCs w:val="20"/>
          <w:lang w:val="es-PA"/>
        </w:rPr>
        <w:t xml:space="preserve"> los 7 años transcurridos </w:t>
      </w:r>
      <w:r w:rsidR="00870492">
        <w:rPr>
          <w:rFonts w:asciiTheme="majorHAnsi" w:hAnsiTheme="majorHAnsi"/>
          <w:sz w:val="20"/>
          <w:szCs w:val="20"/>
          <w:lang w:val="es-PA"/>
        </w:rPr>
        <w:t xml:space="preserve">sin presentación de acciones adicionales </w:t>
      </w:r>
      <w:r w:rsidR="00C4317B">
        <w:rPr>
          <w:rFonts w:asciiTheme="majorHAnsi" w:hAnsiTheme="majorHAnsi"/>
          <w:sz w:val="20"/>
          <w:szCs w:val="20"/>
          <w:lang w:val="es-PA"/>
        </w:rPr>
        <w:t>desde la decisión definitiva del proceso contencioso administrativos hasta la presentación de la acción ante la justicia constit</w:t>
      </w:r>
      <w:r w:rsidR="00870492">
        <w:rPr>
          <w:rFonts w:asciiTheme="majorHAnsi" w:hAnsiTheme="majorHAnsi"/>
          <w:sz w:val="20"/>
          <w:szCs w:val="20"/>
          <w:lang w:val="es-PA"/>
        </w:rPr>
        <w:t xml:space="preserve">ucional, así como la ausencia de información que indique que la presunta víctima se haya visto impedida de interponer la acción de tutela de forma más temprana; la Comisión considera que no existe una situación de continuidad procesal que conlleve </w:t>
      </w:r>
      <w:r w:rsidR="00016406">
        <w:rPr>
          <w:rFonts w:asciiTheme="majorHAnsi" w:hAnsiTheme="majorHAnsi"/>
          <w:sz w:val="20"/>
          <w:szCs w:val="20"/>
          <w:lang w:val="es-PA"/>
        </w:rPr>
        <w:lastRenderedPageBreak/>
        <w:t>a que la acción de tutela interpuesta por la compañera permanente de la presunta víctima pueda considerarse como un recurso válidamente agotado para el efecto del análisis de los requisitos de admisibilidad.</w:t>
      </w:r>
      <w:r w:rsidR="0004206D">
        <w:rPr>
          <w:rFonts w:asciiTheme="majorHAnsi" w:hAnsiTheme="majorHAnsi"/>
          <w:sz w:val="20"/>
          <w:szCs w:val="20"/>
          <w:lang w:val="es-PA"/>
        </w:rPr>
        <w:tab/>
      </w:r>
    </w:p>
    <w:p w14:paraId="2DA6213E" w14:textId="690EB1A9" w:rsidR="00A929AA" w:rsidRPr="00FA5DB1" w:rsidRDefault="00016406" w:rsidP="00FA5DB1">
      <w:pPr>
        <w:numPr>
          <w:ilvl w:val="0"/>
          <w:numId w:val="55"/>
        </w:numPr>
        <w:suppressAutoHyphens/>
        <w:spacing w:after="120"/>
        <w:jc w:val="both"/>
        <w:rPr>
          <w:rFonts w:asciiTheme="majorHAnsi" w:hAnsiTheme="majorHAnsi"/>
          <w:b/>
          <w:bCs/>
          <w:sz w:val="20"/>
          <w:szCs w:val="20"/>
          <w:lang w:val="es-ES"/>
        </w:rPr>
      </w:pPr>
      <w:r>
        <w:rPr>
          <w:rFonts w:asciiTheme="majorHAnsi" w:hAnsiTheme="majorHAnsi"/>
          <w:sz w:val="20"/>
          <w:szCs w:val="20"/>
          <w:lang w:val="es-PA"/>
        </w:rPr>
        <w:t xml:space="preserve">En cuanto al proceso adelantado ante la jurisdicción contencioso administrativa, la Comisión observa que </w:t>
      </w:r>
      <w:r w:rsidR="00F3559E">
        <w:rPr>
          <w:rFonts w:asciiTheme="majorHAnsi" w:hAnsiTheme="majorHAnsi"/>
          <w:sz w:val="20"/>
          <w:szCs w:val="20"/>
          <w:lang w:val="es-PA"/>
        </w:rPr>
        <w:t>al peticionario se le impidió recurrir la decisión que rechazó su acción de nulidad y restablecimiento del derecho en base a una disposición normativa relativa a la cuantía de las demandas. En estas circunstancias la Comisión considera, sin prejuzgar sobre el fondo y como ya lo ha hecho antes en un caso de naturaleza similar</w:t>
      </w:r>
      <w:r w:rsidR="00F3559E">
        <w:rPr>
          <w:rStyle w:val="FootnoteReference"/>
          <w:rFonts w:asciiTheme="majorHAnsi" w:hAnsiTheme="majorHAnsi"/>
          <w:sz w:val="20"/>
          <w:szCs w:val="20"/>
          <w:lang w:val="es-PA"/>
        </w:rPr>
        <w:footnoteReference w:id="7"/>
      </w:r>
      <w:r w:rsidR="00F3559E">
        <w:rPr>
          <w:rFonts w:asciiTheme="majorHAnsi" w:hAnsiTheme="majorHAnsi"/>
          <w:sz w:val="20"/>
          <w:szCs w:val="20"/>
          <w:lang w:val="es-PA"/>
        </w:rPr>
        <w:t xml:space="preserve">, que la excepción al requisito de agotamiento de los recursos internos contemplada en el artículo 46.2(a) de la Convención Americana resulta aplicable a la presente petición. Conforme al artículo 32.2 de su reglamento </w:t>
      </w:r>
      <w:r w:rsidR="00F3559E">
        <w:rPr>
          <w:rFonts w:ascii="Cambria" w:hAnsi="Cambria" w:cs="Calibri"/>
          <w:sz w:val="20"/>
          <w:szCs w:val="20"/>
          <w:lang w:val="es-ES_tradnl"/>
        </w:rPr>
        <w:t>e</w:t>
      </w:r>
      <w:r w:rsidR="00F3559E" w:rsidRPr="00FC2B4A">
        <w:rPr>
          <w:rFonts w:ascii="Cambria" w:hAnsi="Cambria" w:cs="Calibri"/>
          <w:sz w:val="20"/>
          <w:szCs w:val="20"/>
          <w:lang w:val="es-ES_tradnl"/>
        </w:rPr>
        <w:t xml:space="preserve">n los casos en los cuales resulten aplicables las excepciones al requisito del previo agotamiento de los recursos internos, la </w:t>
      </w:r>
      <w:r w:rsidR="00F3559E">
        <w:rPr>
          <w:rFonts w:ascii="Cambria" w:hAnsi="Cambria" w:cs="Calibri"/>
          <w:sz w:val="20"/>
          <w:szCs w:val="20"/>
          <w:lang w:val="es-ES_tradnl"/>
        </w:rPr>
        <w:t>C</w:t>
      </w:r>
      <w:r w:rsidR="00151F08">
        <w:rPr>
          <w:rFonts w:ascii="Cambria" w:hAnsi="Cambria" w:cs="Calibri"/>
          <w:sz w:val="20"/>
          <w:szCs w:val="20"/>
          <w:lang w:val="es-ES_tradnl"/>
        </w:rPr>
        <w:t>omisión deberá valorar si la petición fue presentada</w:t>
      </w:r>
      <w:r w:rsidR="00F3559E" w:rsidRPr="00FC2B4A">
        <w:rPr>
          <w:rFonts w:ascii="Cambria" w:hAnsi="Cambria" w:cs="Calibri"/>
          <w:sz w:val="20"/>
          <w:szCs w:val="20"/>
          <w:lang w:val="es-ES_tradnl"/>
        </w:rPr>
        <w:t xml:space="preserve"> dentro de un plazo razonable</w:t>
      </w:r>
      <w:r w:rsidR="00151F08">
        <w:rPr>
          <w:rFonts w:ascii="Cambria" w:hAnsi="Cambria" w:cs="Calibri"/>
          <w:sz w:val="20"/>
          <w:szCs w:val="20"/>
          <w:lang w:val="es-ES_tradnl"/>
        </w:rPr>
        <w:t xml:space="preserve"> atendiendo a</w:t>
      </w:r>
      <w:r w:rsidR="00F3559E" w:rsidRPr="00FC2B4A">
        <w:rPr>
          <w:rFonts w:ascii="Cambria" w:hAnsi="Cambria" w:cs="Calibri"/>
          <w:sz w:val="20"/>
          <w:szCs w:val="20"/>
          <w:lang w:val="es-ES_tradnl"/>
        </w:rPr>
        <w:t xml:space="preserve"> la fecha en que haya ocurrido la presunta violación de los derechos y las circunstancias de cada caso.</w:t>
      </w:r>
      <w:r w:rsidR="004938E9">
        <w:rPr>
          <w:rFonts w:ascii="Cambria" w:hAnsi="Cambria" w:cs="Calibri"/>
          <w:sz w:val="20"/>
          <w:szCs w:val="20"/>
          <w:lang w:val="es-ES_tradnl"/>
        </w:rPr>
        <w:t xml:space="preserve"> En el presente caso, la C</w:t>
      </w:r>
      <w:r w:rsidR="00151F08">
        <w:rPr>
          <w:rFonts w:ascii="Cambria" w:hAnsi="Cambria" w:cs="Calibri"/>
          <w:sz w:val="20"/>
          <w:szCs w:val="20"/>
          <w:lang w:val="es-ES_tradnl"/>
        </w:rPr>
        <w:t xml:space="preserve">omisión observa que la petición fue presentada el 21 de febrero de 2011, habiendo transcurrido casi 10 años desde que la presunta víctima fue definitivamente </w:t>
      </w:r>
      <w:r w:rsidR="00FA5DF8">
        <w:rPr>
          <w:rFonts w:ascii="Cambria" w:hAnsi="Cambria" w:cs="Calibri"/>
          <w:sz w:val="20"/>
          <w:szCs w:val="20"/>
          <w:lang w:val="es-ES_tradnl"/>
        </w:rPr>
        <w:t>desvinculada</w:t>
      </w:r>
      <w:r w:rsidR="00151F08">
        <w:rPr>
          <w:rFonts w:ascii="Cambria" w:hAnsi="Cambria" w:cs="Calibri"/>
          <w:sz w:val="20"/>
          <w:szCs w:val="20"/>
          <w:lang w:val="es-ES_tradnl"/>
        </w:rPr>
        <w:t xml:space="preserve"> de la Contraloría el 26 de abril de 2001 y más de 8 años desde que se le notificó definitivamente el 13 de marzo de 2013 que la decisión que declaró inepta su demanda de nulidad y restablecimiento de derecho no era apelable. La parte peticionaria no ha aportado información sobre causas que le hayan impedido o dificultado a la presunta víctima la interposición más temprana de su petición ante la Comisión. Por estas razones, la Comisión concluye que la presente petición </w:t>
      </w:r>
      <w:r w:rsidR="00FA5DB1">
        <w:rPr>
          <w:rFonts w:ascii="Cambria" w:hAnsi="Cambria" w:cs="Calibri"/>
          <w:sz w:val="20"/>
          <w:szCs w:val="20"/>
          <w:lang w:val="es-ES_tradnl"/>
        </w:rPr>
        <w:t xml:space="preserve">resulta inadmisible por no haber sido </w:t>
      </w:r>
      <w:r w:rsidR="00151F08">
        <w:rPr>
          <w:rFonts w:ascii="Cambria" w:hAnsi="Cambria" w:cs="Calibri"/>
          <w:sz w:val="20"/>
          <w:szCs w:val="20"/>
          <w:lang w:val="es-ES_tradnl"/>
        </w:rPr>
        <w:t>presentada dentro de plazo razonable en los términos del</w:t>
      </w:r>
      <w:r w:rsidR="00FA5DF8">
        <w:rPr>
          <w:rFonts w:ascii="Cambria" w:hAnsi="Cambria" w:cs="Calibri"/>
          <w:sz w:val="20"/>
          <w:szCs w:val="20"/>
          <w:lang w:val="es-ES_tradnl"/>
        </w:rPr>
        <w:t xml:space="preserve"> artículo 32.2 de su reglamento.</w:t>
      </w:r>
    </w:p>
    <w:p w14:paraId="7090A929" w14:textId="6638D73D" w:rsidR="00F04591" w:rsidRPr="00006B74" w:rsidRDefault="00F04591" w:rsidP="00A929A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I. </w:t>
      </w:r>
      <w:r w:rsidRPr="00006B74">
        <w:rPr>
          <w:rFonts w:asciiTheme="majorHAnsi" w:hAnsiTheme="majorHAnsi"/>
          <w:b/>
          <w:bCs/>
          <w:sz w:val="20"/>
          <w:szCs w:val="20"/>
          <w:lang w:val="es-ES"/>
        </w:rPr>
        <w:tab/>
        <w:t>CARACTERIZACIÓN</w:t>
      </w:r>
    </w:p>
    <w:p w14:paraId="6E3DE906" w14:textId="54D89AF1" w:rsidR="003E2134" w:rsidRPr="00FA5DB1" w:rsidRDefault="00FA5DB1" w:rsidP="003E213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Pr>
          <w:sz w:val="20"/>
          <w:szCs w:val="20"/>
          <w:lang w:val="es-AR"/>
        </w:rPr>
        <w:t xml:space="preserve">Dadas las conclusiones expuestas en la sección VI de este informe la Comisión no realizará un análisis con respecto a si los hechos planteados por el peticionario pudieran caracterizar violaciones a la Convención Americana u otros tratados que le confieren competencia.  </w:t>
      </w:r>
    </w:p>
    <w:p w14:paraId="29BB41F5" w14:textId="5C7F2AD8" w:rsidR="003239B8" w:rsidRPr="0004364E" w:rsidRDefault="00EC72AB" w:rsidP="0004364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Cambria" w:hAnsi="Cambria"/>
          <w:sz w:val="20"/>
          <w:szCs w:val="20"/>
          <w:lang w:val="es-ES"/>
        </w:rPr>
      </w:pPr>
      <w:r w:rsidRPr="0004364E">
        <w:rPr>
          <w:rFonts w:asciiTheme="majorHAnsi" w:hAnsiTheme="majorHAnsi"/>
          <w:b/>
          <w:bCs/>
          <w:sz w:val="20"/>
          <w:szCs w:val="20"/>
          <w:lang w:val="es-ES"/>
        </w:rPr>
        <w:t>VI</w:t>
      </w:r>
      <w:r w:rsidR="00F04591" w:rsidRPr="0004364E">
        <w:rPr>
          <w:rFonts w:asciiTheme="majorHAnsi" w:hAnsiTheme="majorHAnsi"/>
          <w:b/>
          <w:bCs/>
          <w:sz w:val="20"/>
          <w:szCs w:val="20"/>
          <w:lang w:val="es-ES"/>
        </w:rPr>
        <w:t>II</w:t>
      </w:r>
      <w:r w:rsidR="003239B8" w:rsidRPr="0004364E">
        <w:rPr>
          <w:rFonts w:asciiTheme="majorHAnsi" w:hAnsiTheme="majorHAnsi"/>
          <w:b/>
          <w:bCs/>
          <w:sz w:val="20"/>
          <w:szCs w:val="20"/>
          <w:lang w:val="es-ES"/>
        </w:rPr>
        <w:t xml:space="preserve">. </w:t>
      </w:r>
      <w:r w:rsidR="003239B8" w:rsidRPr="0004364E">
        <w:rPr>
          <w:rFonts w:asciiTheme="majorHAnsi" w:hAnsiTheme="majorHAnsi"/>
          <w:b/>
          <w:bCs/>
          <w:sz w:val="20"/>
          <w:szCs w:val="20"/>
          <w:lang w:val="es-ES"/>
        </w:rPr>
        <w:tab/>
        <w:t>DECISIÓN</w:t>
      </w:r>
    </w:p>
    <w:p w14:paraId="164EF7A0" w14:textId="2484FD94" w:rsidR="003E2134" w:rsidRPr="003E2134" w:rsidRDefault="003239B8" w:rsidP="0094588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006B74">
        <w:rPr>
          <w:rFonts w:asciiTheme="majorHAnsi" w:hAnsiTheme="majorHAnsi"/>
          <w:sz w:val="20"/>
          <w:szCs w:val="20"/>
          <w:lang w:val="es-ES"/>
        </w:rPr>
        <w:t xml:space="preserve">Declarar </w:t>
      </w:r>
      <w:r w:rsidR="00FA5DB1">
        <w:rPr>
          <w:rFonts w:asciiTheme="majorHAnsi" w:hAnsiTheme="majorHAnsi"/>
          <w:sz w:val="20"/>
          <w:szCs w:val="20"/>
          <w:lang w:val="es-ES"/>
        </w:rPr>
        <w:t>inadmisible la presente petición con fundamento en el artículo 32.2 de su reglamento.</w:t>
      </w:r>
    </w:p>
    <w:p w14:paraId="4157390F" w14:textId="54F92FBC" w:rsidR="00D93A90" w:rsidRPr="00BC46A1" w:rsidRDefault="004A6A54" w:rsidP="008439B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Theme="majorHAnsi" w:hAnsiTheme="majorHAnsi"/>
          <w:color w:val="FF0000"/>
          <w:sz w:val="20"/>
          <w:szCs w:val="20"/>
          <w:lang w:val="es-ES"/>
        </w:rPr>
      </w:pPr>
      <w:r w:rsidRPr="00006B74">
        <w:rPr>
          <w:rFonts w:asciiTheme="majorHAnsi" w:hAnsiTheme="majorHAnsi"/>
          <w:sz w:val="20"/>
          <w:szCs w:val="20"/>
          <w:lang w:val="es-ES"/>
        </w:rPr>
        <w:t>Notificar a las partes la presente de</w:t>
      </w:r>
      <w:r w:rsidR="00FA5DB1">
        <w:rPr>
          <w:rFonts w:asciiTheme="majorHAnsi" w:hAnsiTheme="majorHAnsi"/>
          <w:sz w:val="20"/>
          <w:szCs w:val="20"/>
          <w:lang w:val="es-ES"/>
        </w:rPr>
        <w:t xml:space="preserve">cisión; </w:t>
      </w:r>
      <w:r w:rsidRPr="00006B74">
        <w:rPr>
          <w:rFonts w:asciiTheme="majorHAnsi" w:hAnsiTheme="majorHAnsi"/>
          <w:sz w:val="20"/>
          <w:szCs w:val="20"/>
          <w:lang w:val="es-ES"/>
        </w:rPr>
        <w:t>y publicar esta decisión e incluirla en su Informe Anual a la Asamblea General de la Organización de los Estados Americanos.</w:t>
      </w:r>
    </w:p>
    <w:p w14:paraId="793C07AA" w14:textId="08D0FA5B" w:rsidR="00BC46A1" w:rsidRPr="00A37B82" w:rsidRDefault="00BC46A1" w:rsidP="00BC46A1">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2</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0EFF0710" w14:textId="77777777" w:rsidR="00BC46A1" w:rsidRPr="00A37B82" w:rsidRDefault="00BC46A1" w:rsidP="00BC46A1">
      <w:pPr>
        <w:suppressAutoHyphens/>
        <w:ind w:firstLine="720"/>
        <w:jc w:val="both"/>
        <w:rPr>
          <w:rFonts w:asciiTheme="majorHAnsi" w:hAnsiTheme="majorHAnsi" w:cs="Arial"/>
          <w:noProof/>
          <w:spacing w:val="-2"/>
          <w:sz w:val="20"/>
          <w:szCs w:val="20"/>
          <w:lang w:val="es-CL"/>
        </w:rPr>
      </w:pPr>
    </w:p>
    <w:sectPr w:rsidR="00BC46A1"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81F6C" w14:textId="77777777" w:rsidR="00BB6E63" w:rsidRDefault="00BB6E63">
      <w:r>
        <w:separator/>
      </w:r>
    </w:p>
  </w:endnote>
  <w:endnote w:type="continuationSeparator" w:id="0">
    <w:p w14:paraId="700C754C" w14:textId="77777777" w:rsidR="00BB6E63" w:rsidRDefault="00BB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0953E" w14:textId="77777777" w:rsidR="0006673E" w:rsidRDefault="00066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1882E2AD" w:rsidR="00064191" w:rsidRPr="00934A2C" w:rsidRDefault="00064191">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06673E">
          <w:rPr>
            <w:noProof/>
            <w:sz w:val="16"/>
            <w:szCs w:val="22"/>
          </w:rPr>
          <w:t>1</w:t>
        </w:r>
        <w:r w:rsidRPr="00934A2C">
          <w:rPr>
            <w:noProof/>
            <w:sz w:val="16"/>
            <w:szCs w:val="22"/>
          </w:rPr>
          <w:fldChar w:fldCharType="end"/>
        </w:r>
      </w:p>
    </w:sdtContent>
  </w:sdt>
  <w:p w14:paraId="68530E6A" w14:textId="77777777" w:rsidR="00064191" w:rsidRDefault="000641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064191" w:rsidRPr="00934A2C" w:rsidRDefault="00064191">
    <w:pPr>
      <w:pStyle w:val="Footer"/>
      <w:jc w:val="center"/>
      <w:rPr>
        <w:sz w:val="16"/>
        <w:szCs w:val="22"/>
      </w:rPr>
    </w:pPr>
  </w:p>
  <w:p w14:paraId="49059CE3" w14:textId="77777777" w:rsidR="00064191" w:rsidRDefault="00064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F143D" w14:textId="77777777" w:rsidR="00BB6E63" w:rsidRPr="000F35ED" w:rsidRDefault="00BB6E63">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BE97B7" w14:textId="77777777" w:rsidR="00BB6E63" w:rsidRPr="000F35ED" w:rsidRDefault="00BB6E63" w:rsidP="000F35ED">
      <w:pPr>
        <w:rPr>
          <w:rFonts w:asciiTheme="majorHAnsi" w:hAnsiTheme="majorHAnsi"/>
          <w:sz w:val="16"/>
          <w:szCs w:val="16"/>
        </w:rPr>
      </w:pPr>
      <w:r w:rsidRPr="000F35ED">
        <w:rPr>
          <w:rFonts w:asciiTheme="majorHAnsi" w:hAnsiTheme="majorHAnsi"/>
          <w:sz w:val="16"/>
          <w:szCs w:val="16"/>
        </w:rPr>
        <w:separator/>
      </w:r>
    </w:p>
    <w:p w14:paraId="45CF272A" w14:textId="77777777" w:rsidR="00BB6E63" w:rsidRPr="000F35ED" w:rsidRDefault="00BB6E63"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20B183BB" w14:textId="77777777" w:rsidR="00BB6E63" w:rsidRPr="000F35ED" w:rsidRDefault="00BB6E63"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33545E2" w14:textId="1A27709A" w:rsidR="00064191" w:rsidRPr="00226222" w:rsidRDefault="00064191" w:rsidP="00226222">
      <w:pPr>
        <w:pStyle w:val="FootnoteText"/>
        <w:ind w:firstLine="720"/>
        <w:jc w:val="both"/>
        <w:rPr>
          <w:rFonts w:asciiTheme="majorHAnsi" w:hAnsiTheme="majorHAnsi"/>
          <w:sz w:val="16"/>
          <w:szCs w:val="16"/>
          <w:lang w:val="es-PA"/>
        </w:rPr>
      </w:pPr>
      <w:r w:rsidRPr="00226222">
        <w:rPr>
          <w:rStyle w:val="FootnoteReference"/>
          <w:rFonts w:asciiTheme="majorHAnsi" w:hAnsiTheme="majorHAnsi"/>
          <w:sz w:val="16"/>
          <w:szCs w:val="16"/>
        </w:rPr>
        <w:footnoteRef/>
      </w:r>
      <w:r w:rsidRPr="00226222">
        <w:rPr>
          <w:rFonts w:asciiTheme="majorHAnsi" w:hAnsiTheme="majorHAnsi"/>
          <w:sz w:val="16"/>
          <w:szCs w:val="16"/>
          <w:lang w:val="es-PA"/>
        </w:rPr>
        <w:t xml:space="preserve"> El peticionario menciona como presuntas víctimas a su compañera permanente </w:t>
      </w:r>
      <w:proofErr w:type="spellStart"/>
      <w:r w:rsidRPr="00226222">
        <w:rPr>
          <w:rFonts w:asciiTheme="majorHAnsi" w:hAnsiTheme="majorHAnsi"/>
          <w:sz w:val="16"/>
          <w:szCs w:val="16"/>
          <w:lang w:val="es-PA"/>
        </w:rPr>
        <w:t>Rosmary</w:t>
      </w:r>
      <w:proofErr w:type="spellEnd"/>
      <w:r w:rsidRPr="00226222">
        <w:rPr>
          <w:rFonts w:asciiTheme="majorHAnsi" w:hAnsiTheme="majorHAnsi"/>
          <w:sz w:val="16"/>
          <w:szCs w:val="16"/>
          <w:lang w:val="es-PA"/>
        </w:rPr>
        <w:t xml:space="preserve"> Barrera Rojas y su hija Andrea Carolina </w:t>
      </w:r>
      <w:proofErr w:type="spellStart"/>
      <w:r w:rsidRPr="00226222">
        <w:rPr>
          <w:rFonts w:asciiTheme="majorHAnsi" w:hAnsiTheme="majorHAnsi"/>
          <w:sz w:val="16"/>
          <w:szCs w:val="16"/>
          <w:lang w:val="es-PA"/>
        </w:rPr>
        <w:t>Felizzola</w:t>
      </w:r>
      <w:proofErr w:type="spellEnd"/>
      <w:r w:rsidRPr="00226222">
        <w:rPr>
          <w:rFonts w:asciiTheme="majorHAnsi" w:hAnsiTheme="majorHAnsi"/>
          <w:sz w:val="16"/>
          <w:szCs w:val="16"/>
          <w:lang w:val="es-PA"/>
        </w:rPr>
        <w:t xml:space="preserve"> Barrera. </w:t>
      </w:r>
    </w:p>
  </w:footnote>
  <w:footnote w:id="3">
    <w:p w14:paraId="253FBEE7" w14:textId="36A750A9" w:rsidR="00064191" w:rsidRPr="00226222" w:rsidRDefault="00064191" w:rsidP="00226222">
      <w:pPr>
        <w:pStyle w:val="FootnoteText"/>
        <w:ind w:firstLine="720"/>
        <w:jc w:val="both"/>
        <w:rPr>
          <w:rFonts w:asciiTheme="majorHAnsi" w:hAnsiTheme="majorHAnsi"/>
          <w:sz w:val="16"/>
          <w:szCs w:val="16"/>
          <w:lang w:val="es-PA"/>
        </w:rPr>
      </w:pPr>
      <w:r w:rsidRPr="00226222">
        <w:rPr>
          <w:rStyle w:val="FootnoteReference"/>
          <w:rFonts w:asciiTheme="majorHAnsi" w:hAnsiTheme="majorHAnsi"/>
          <w:sz w:val="16"/>
          <w:szCs w:val="16"/>
        </w:rPr>
        <w:footnoteRef/>
      </w:r>
      <w:r w:rsidRPr="00226222">
        <w:rPr>
          <w:rFonts w:asciiTheme="majorHAnsi" w:hAnsiTheme="majorHAnsi"/>
          <w:sz w:val="16"/>
          <w:szCs w:val="16"/>
          <w:lang w:val="es-PA"/>
        </w:rPr>
        <w:t xml:space="preserve"> En adelante “la Convención Americana”.</w:t>
      </w:r>
    </w:p>
  </w:footnote>
  <w:footnote w:id="4">
    <w:p w14:paraId="15F42EFA" w14:textId="45193119" w:rsidR="00064191" w:rsidRPr="00226222" w:rsidRDefault="00064191" w:rsidP="00226222">
      <w:pPr>
        <w:pStyle w:val="FootnoteText"/>
        <w:ind w:firstLine="720"/>
        <w:jc w:val="both"/>
        <w:rPr>
          <w:rFonts w:asciiTheme="majorHAnsi" w:hAnsiTheme="majorHAnsi"/>
          <w:sz w:val="16"/>
          <w:szCs w:val="16"/>
          <w:lang w:val="es-PA"/>
        </w:rPr>
      </w:pPr>
      <w:r>
        <w:rPr>
          <w:rStyle w:val="FootnoteReference"/>
        </w:rPr>
        <w:footnoteRef/>
      </w:r>
      <w:r w:rsidRPr="00226222">
        <w:rPr>
          <w:lang w:val="es-PA"/>
        </w:rPr>
        <w:t xml:space="preserve"> </w:t>
      </w:r>
      <w:r>
        <w:rPr>
          <w:rFonts w:asciiTheme="majorHAnsi" w:hAnsiTheme="majorHAnsi"/>
          <w:sz w:val="16"/>
          <w:szCs w:val="16"/>
          <w:lang w:val="es-PA"/>
        </w:rPr>
        <w:t>Artículos 8, 9 y 10 de la Declaración Universal de Derechos Humanos; y “tratados internacionales sobre derechos de asociación sindical O.I.T”.</w:t>
      </w:r>
    </w:p>
  </w:footnote>
  <w:footnote w:id="5">
    <w:p w14:paraId="79F07139" w14:textId="77777777" w:rsidR="00064191" w:rsidRPr="00DE7D78" w:rsidRDefault="00064191" w:rsidP="00226222">
      <w:pPr>
        <w:pStyle w:val="FootnoteText"/>
        <w:ind w:firstLine="720"/>
        <w:jc w:val="both"/>
        <w:rPr>
          <w:rFonts w:ascii="Cambria" w:hAnsi="Cambria"/>
          <w:sz w:val="16"/>
          <w:szCs w:val="16"/>
          <w:lang w:val="es-ES"/>
        </w:rPr>
      </w:pPr>
      <w:r w:rsidRPr="00226222">
        <w:rPr>
          <w:rStyle w:val="FootnoteReference"/>
          <w:rFonts w:asciiTheme="majorHAnsi" w:hAnsiTheme="majorHAnsi"/>
          <w:sz w:val="16"/>
          <w:szCs w:val="16"/>
        </w:rPr>
        <w:footnoteRef/>
      </w:r>
      <w:r w:rsidRPr="00226222">
        <w:rPr>
          <w:rFonts w:asciiTheme="majorHAnsi" w:hAnsiTheme="majorHAnsi"/>
          <w:sz w:val="16"/>
          <w:szCs w:val="16"/>
          <w:lang w:val="es-ES"/>
        </w:rPr>
        <w:t xml:space="preserve"> Las observaciones de cada parte fueron debidamente trasladadas a la parte contraria.</w:t>
      </w:r>
    </w:p>
  </w:footnote>
  <w:footnote w:id="6">
    <w:p w14:paraId="6200C7E0" w14:textId="311A3AF3" w:rsidR="00C4317B" w:rsidRPr="00C4317B" w:rsidRDefault="00C4317B" w:rsidP="00C4317B">
      <w:pPr>
        <w:pStyle w:val="FootnoteText"/>
        <w:ind w:firstLine="720"/>
        <w:jc w:val="both"/>
        <w:rPr>
          <w:rFonts w:asciiTheme="majorHAnsi" w:hAnsiTheme="majorHAnsi"/>
          <w:sz w:val="16"/>
          <w:szCs w:val="16"/>
          <w:lang w:val="es-PA"/>
        </w:rPr>
      </w:pPr>
      <w:r w:rsidRPr="00C4317B">
        <w:rPr>
          <w:rStyle w:val="FootnoteReference"/>
          <w:rFonts w:asciiTheme="majorHAnsi" w:hAnsiTheme="majorHAnsi"/>
          <w:sz w:val="16"/>
          <w:szCs w:val="16"/>
        </w:rPr>
        <w:footnoteRef/>
      </w:r>
      <w:r w:rsidRPr="00F259C9">
        <w:rPr>
          <w:rFonts w:asciiTheme="majorHAnsi" w:hAnsiTheme="majorHAnsi"/>
          <w:sz w:val="16"/>
          <w:szCs w:val="16"/>
          <w:lang w:val="pt-BR"/>
        </w:rPr>
        <w:t xml:space="preserve"> CIDH, Informe No. 178/19. Inadmisibilidad. Jorge Orlando Caicedo Rojas. </w:t>
      </w:r>
      <w:r w:rsidRPr="00F3559E">
        <w:rPr>
          <w:rFonts w:asciiTheme="majorHAnsi" w:hAnsiTheme="majorHAnsi"/>
          <w:sz w:val="16"/>
          <w:szCs w:val="16"/>
          <w:lang w:val="es-PA"/>
        </w:rPr>
        <w:t>Colombia. 5 de diciembre de 2019</w:t>
      </w:r>
      <w:r w:rsidR="008F642D">
        <w:rPr>
          <w:rFonts w:asciiTheme="majorHAnsi" w:hAnsiTheme="majorHAnsi"/>
          <w:sz w:val="16"/>
          <w:szCs w:val="16"/>
          <w:lang w:val="es-PA"/>
        </w:rPr>
        <w:t>, párr. 12</w:t>
      </w:r>
    </w:p>
  </w:footnote>
  <w:footnote w:id="7">
    <w:p w14:paraId="355EF5D3" w14:textId="2F2D6031" w:rsidR="00F3559E" w:rsidRPr="00F3559E" w:rsidRDefault="00F3559E" w:rsidP="00F3559E">
      <w:pPr>
        <w:pStyle w:val="Default"/>
        <w:ind w:firstLine="720"/>
        <w:jc w:val="both"/>
        <w:rPr>
          <w:rFonts w:ascii="Cambria" w:eastAsia="Arial Unicode MS" w:hAnsi="Cambria" w:cs="Cambria"/>
          <w:sz w:val="16"/>
          <w:szCs w:val="16"/>
          <w:bdr w:val="nil"/>
          <w:lang w:eastAsia="es-ES"/>
        </w:rPr>
      </w:pPr>
      <w:r w:rsidRPr="00F3559E">
        <w:rPr>
          <w:rStyle w:val="FootnoteReference"/>
          <w:rFonts w:asciiTheme="majorHAnsi" w:hAnsiTheme="majorHAnsi"/>
          <w:sz w:val="16"/>
          <w:szCs w:val="16"/>
        </w:rPr>
        <w:footnoteRef/>
      </w:r>
      <w:r w:rsidRPr="00F3559E">
        <w:rPr>
          <w:rFonts w:asciiTheme="majorHAnsi" w:hAnsiTheme="majorHAnsi"/>
          <w:sz w:val="16"/>
          <w:szCs w:val="16"/>
          <w:lang w:val="es-PA"/>
        </w:rPr>
        <w:t xml:space="preserve"> </w:t>
      </w:r>
      <w:r w:rsidRPr="00F3559E">
        <w:rPr>
          <w:rFonts w:ascii="Cambria" w:eastAsia="Arial Unicode MS" w:hAnsi="Cambria" w:cs="Cambria"/>
          <w:sz w:val="16"/>
          <w:szCs w:val="16"/>
          <w:lang w:val="es-PA"/>
        </w:rPr>
        <w:t xml:space="preserve"> CIDH, Informe No. 82/18. Petición 551-07. Admisibilidad. Alcides Espinosa Ospino y otros. </w:t>
      </w:r>
      <w:r w:rsidRPr="00F3559E">
        <w:rPr>
          <w:rFonts w:ascii="Cambria" w:eastAsia="Arial Unicode MS" w:hAnsi="Cambria" w:cs="Cambria"/>
          <w:sz w:val="16"/>
          <w:szCs w:val="16"/>
        </w:rPr>
        <w:t xml:space="preserve">Colombia. 10 de </w:t>
      </w:r>
      <w:proofErr w:type="spellStart"/>
      <w:proofErr w:type="gramStart"/>
      <w:r w:rsidRPr="00F3559E">
        <w:rPr>
          <w:rFonts w:ascii="Cambria" w:eastAsia="Arial Unicode MS" w:hAnsi="Cambria" w:cs="Cambria"/>
          <w:sz w:val="16"/>
          <w:szCs w:val="16"/>
        </w:rPr>
        <w:t>julio</w:t>
      </w:r>
      <w:proofErr w:type="spellEnd"/>
      <w:proofErr w:type="gramEnd"/>
      <w:r w:rsidRPr="00F3559E">
        <w:rPr>
          <w:rFonts w:ascii="Cambria" w:eastAsia="Arial Unicode MS" w:hAnsi="Cambria" w:cs="Cambria"/>
          <w:sz w:val="16"/>
          <w:szCs w:val="16"/>
        </w:rPr>
        <w:t xml:space="preserve"> de 2018, </w:t>
      </w:r>
      <w:proofErr w:type="spellStart"/>
      <w:r w:rsidRPr="00F3559E">
        <w:rPr>
          <w:rFonts w:ascii="Cambria" w:eastAsia="Arial Unicode MS" w:hAnsi="Cambria" w:cs="Cambria"/>
          <w:sz w:val="16"/>
          <w:szCs w:val="16"/>
        </w:rPr>
        <w:t>párr</w:t>
      </w:r>
      <w:proofErr w:type="spellEnd"/>
      <w:r w:rsidRPr="00F3559E">
        <w:rPr>
          <w:rFonts w:ascii="Cambria" w:eastAsia="Arial Unicode MS" w:hAnsi="Cambria" w:cs="Cambria"/>
          <w:sz w:val="16"/>
          <w:szCs w:val="16"/>
        </w:rPr>
        <w:t xml:space="preserve"> 15</w:t>
      </w:r>
      <w:r w:rsidRPr="00F3559E">
        <w:rPr>
          <w:rFonts w:ascii="Cambria" w:eastAsia="Arial Unicode MS" w:hAnsi="Cambria" w:cs="Cambri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64191" w:rsidRDefault="00064191" w:rsidP="00D4366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64191" w:rsidRDefault="000641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064191" w:rsidRDefault="00064191"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64191" w:rsidRPr="00EC7D62" w:rsidRDefault="00BB6E63"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CC2EF" w14:textId="77777777" w:rsidR="0006673E" w:rsidRDefault="00066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C3F2D3BE"/>
    <w:lvl w:ilvl="0" w:tplc="BFC2E78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4"/>
  </w:num>
  <w:num w:numId="4">
    <w:abstractNumId w:val="22"/>
  </w:num>
  <w:num w:numId="5">
    <w:abstractNumId w:val="48"/>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60"/>
  </w:num>
  <w:num w:numId="51">
    <w:abstractNumId w:val="21"/>
  </w:num>
  <w:num w:numId="52">
    <w:abstractNumId w:val="40"/>
  </w:num>
  <w:num w:numId="53">
    <w:abstractNumId w:val="51"/>
  </w:num>
  <w:num w:numId="54">
    <w:abstractNumId w:val="44"/>
  </w:num>
  <w:num w:numId="55">
    <w:abstractNumId w:val="5"/>
  </w:num>
  <w:num w:numId="56">
    <w:abstractNumId w:val="42"/>
  </w:num>
  <w:num w:numId="57">
    <w:abstractNumId w:val="59"/>
  </w:num>
  <w:num w:numId="58">
    <w:abstractNumId w:val="20"/>
  </w:num>
  <w:num w:numId="59">
    <w:abstractNumId w:val="3"/>
  </w:num>
  <w:num w:numId="60">
    <w:abstractNumId w:val="47"/>
  </w:num>
  <w:num w:numId="61">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249E"/>
    <w:rsid w:val="00003321"/>
    <w:rsid w:val="00004713"/>
    <w:rsid w:val="000065D0"/>
    <w:rsid w:val="00006B74"/>
    <w:rsid w:val="00006E1F"/>
    <w:rsid w:val="000070D7"/>
    <w:rsid w:val="000104F5"/>
    <w:rsid w:val="00015701"/>
    <w:rsid w:val="00016406"/>
    <w:rsid w:val="000173E6"/>
    <w:rsid w:val="0001788C"/>
    <w:rsid w:val="0002186F"/>
    <w:rsid w:val="000337EF"/>
    <w:rsid w:val="00034010"/>
    <w:rsid w:val="00040C3A"/>
    <w:rsid w:val="000419AD"/>
    <w:rsid w:val="0004206D"/>
    <w:rsid w:val="0004364E"/>
    <w:rsid w:val="00060649"/>
    <w:rsid w:val="00064191"/>
    <w:rsid w:val="0006673E"/>
    <w:rsid w:val="000716C5"/>
    <w:rsid w:val="00075E23"/>
    <w:rsid w:val="00086E72"/>
    <w:rsid w:val="00087D19"/>
    <w:rsid w:val="0009006E"/>
    <w:rsid w:val="00092F44"/>
    <w:rsid w:val="0009344A"/>
    <w:rsid w:val="000A19F8"/>
    <w:rsid w:val="000A3254"/>
    <w:rsid w:val="000A392E"/>
    <w:rsid w:val="000A575F"/>
    <w:rsid w:val="000A63D0"/>
    <w:rsid w:val="000B0579"/>
    <w:rsid w:val="000B6A1B"/>
    <w:rsid w:val="000C1C69"/>
    <w:rsid w:val="000C3A31"/>
    <w:rsid w:val="000D10DB"/>
    <w:rsid w:val="000D6148"/>
    <w:rsid w:val="000E2789"/>
    <w:rsid w:val="000E5EB5"/>
    <w:rsid w:val="000F0B08"/>
    <w:rsid w:val="000F35ED"/>
    <w:rsid w:val="00107009"/>
    <w:rsid w:val="00107131"/>
    <w:rsid w:val="0010736F"/>
    <w:rsid w:val="00111A8A"/>
    <w:rsid w:val="00113F73"/>
    <w:rsid w:val="00121CC2"/>
    <w:rsid w:val="00124CFE"/>
    <w:rsid w:val="0012779F"/>
    <w:rsid w:val="00131D8B"/>
    <w:rsid w:val="00133EE5"/>
    <w:rsid w:val="00136E3D"/>
    <w:rsid w:val="00143EFE"/>
    <w:rsid w:val="001479C0"/>
    <w:rsid w:val="00151F08"/>
    <w:rsid w:val="0015330B"/>
    <w:rsid w:val="00161278"/>
    <w:rsid w:val="00167A34"/>
    <w:rsid w:val="00176BB3"/>
    <w:rsid w:val="00177EEF"/>
    <w:rsid w:val="00186D2C"/>
    <w:rsid w:val="00187E3D"/>
    <w:rsid w:val="001A6683"/>
    <w:rsid w:val="001A7870"/>
    <w:rsid w:val="001B3A00"/>
    <w:rsid w:val="001B442A"/>
    <w:rsid w:val="001B4C00"/>
    <w:rsid w:val="001C1455"/>
    <w:rsid w:val="001C1B41"/>
    <w:rsid w:val="001C4039"/>
    <w:rsid w:val="001D65EF"/>
    <w:rsid w:val="001E49E7"/>
    <w:rsid w:val="001F271B"/>
    <w:rsid w:val="001F7201"/>
    <w:rsid w:val="00204931"/>
    <w:rsid w:val="0020691D"/>
    <w:rsid w:val="00211731"/>
    <w:rsid w:val="00211BDA"/>
    <w:rsid w:val="0021779A"/>
    <w:rsid w:val="00223A29"/>
    <w:rsid w:val="00223BAA"/>
    <w:rsid w:val="002250A3"/>
    <w:rsid w:val="00226222"/>
    <w:rsid w:val="00231294"/>
    <w:rsid w:val="00233654"/>
    <w:rsid w:val="00235217"/>
    <w:rsid w:val="002355A9"/>
    <w:rsid w:val="00241813"/>
    <w:rsid w:val="00246D1F"/>
    <w:rsid w:val="00247403"/>
    <w:rsid w:val="00247542"/>
    <w:rsid w:val="0025012E"/>
    <w:rsid w:val="00257CF9"/>
    <w:rsid w:val="00266B61"/>
    <w:rsid w:val="0026712A"/>
    <w:rsid w:val="002704DB"/>
    <w:rsid w:val="0027320E"/>
    <w:rsid w:val="00277BDA"/>
    <w:rsid w:val="00285F17"/>
    <w:rsid w:val="0029575A"/>
    <w:rsid w:val="002A0AAE"/>
    <w:rsid w:val="002A5820"/>
    <w:rsid w:val="002A6BA5"/>
    <w:rsid w:val="002C3350"/>
    <w:rsid w:val="002D2B26"/>
    <w:rsid w:val="002D7EA2"/>
    <w:rsid w:val="002E187C"/>
    <w:rsid w:val="002E6E36"/>
    <w:rsid w:val="002E7512"/>
    <w:rsid w:val="002E78C8"/>
    <w:rsid w:val="002F3724"/>
    <w:rsid w:val="00300C13"/>
    <w:rsid w:val="00302733"/>
    <w:rsid w:val="003077BF"/>
    <w:rsid w:val="003121D5"/>
    <w:rsid w:val="00314078"/>
    <w:rsid w:val="0031535D"/>
    <w:rsid w:val="003207C9"/>
    <w:rsid w:val="003239B8"/>
    <w:rsid w:val="0033169F"/>
    <w:rsid w:val="00341105"/>
    <w:rsid w:val="0034224A"/>
    <w:rsid w:val="00343112"/>
    <w:rsid w:val="00343438"/>
    <w:rsid w:val="00344977"/>
    <w:rsid w:val="00346C95"/>
    <w:rsid w:val="00351155"/>
    <w:rsid w:val="003544F0"/>
    <w:rsid w:val="00356185"/>
    <w:rsid w:val="00360380"/>
    <w:rsid w:val="00363DB6"/>
    <w:rsid w:val="00367D17"/>
    <w:rsid w:val="0037519E"/>
    <w:rsid w:val="00386C6C"/>
    <w:rsid w:val="00386CF0"/>
    <w:rsid w:val="003942EC"/>
    <w:rsid w:val="00396562"/>
    <w:rsid w:val="0039714C"/>
    <w:rsid w:val="003A27A0"/>
    <w:rsid w:val="003A6337"/>
    <w:rsid w:val="003B4FF6"/>
    <w:rsid w:val="003B5585"/>
    <w:rsid w:val="003B70FB"/>
    <w:rsid w:val="003C20FF"/>
    <w:rsid w:val="003C4F45"/>
    <w:rsid w:val="003C6112"/>
    <w:rsid w:val="003C676B"/>
    <w:rsid w:val="003D0A55"/>
    <w:rsid w:val="003D3BC2"/>
    <w:rsid w:val="003E2134"/>
    <w:rsid w:val="003E614F"/>
    <w:rsid w:val="003E6CA1"/>
    <w:rsid w:val="00400F5E"/>
    <w:rsid w:val="004065A8"/>
    <w:rsid w:val="004153F5"/>
    <w:rsid w:val="004165C2"/>
    <w:rsid w:val="00425533"/>
    <w:rsid w:val="004304AD"/>
    <w:rsid w:val="00434A3E"/>
    <w:rsid w:val="00441ECB"/>
    <w:rsid w:val="004435A3"/>
    <w:rsid w:val="00445193"/>
    <w:rsid w:val="00447CCF"/>
    <w:rsid w:val="0045229A"/>
    <w:rsid w:val="004565BA"/>
    <w:rsid w:val="004601CF"/>
    <w:rsid w:val="00462C1B"/>
    <w:rsid w:val="00467B7E"/>
    <w:rsid w:val="0047080D"/>
    <w:rsid w:val="00473BB4"/>
    <w:rsid w:val="00476211"/>
    <w:rsid w:val="00477592"/>
    <w:rsid w:val="00486F1C"/>
    <w:rsid w:val="004938E9"/>
    <w:rsid w:val="0049419D"/>
    <w:rsid w:val="004A59CC"/>
    <w:rsid w:val="004A6A54"/>
    <w:rsid w:val="004B245C"/>
    <w:rsid w:val="004B50A0"/>
    <w:rsid w:val="004C20D2"/>
    <w:rsid w:val="004C2312"/>
    <w:rsid w:val="004C4B62"/>
    <w:rsid w:val="004C54C9"/>
    <w:rsid w:val="004C616A"/>
    <w:rsid w:val="004C731B"/>
    <w:rsid w:val="004D33D4"/>
    <w:rsid w:val="004D4ABA"/>
    <w:rsid w:val="004D4DEE"/>
    <w:rsid w:val="004D6025"/>
    <w:rsid w:val="004E19B1"/>
    <w:rsid w:val="004E2649"/>
    <w:rsid w:val="004F2474"/>
    <w:rsid w:val="004F2F5D"/>
    <w:rsid w:val="00501399"/>
    <w:rsid w:val="00501652"/>
    <w:rsid w:val="0050633D"/>
    <w:rsid w:val="00507BC4"/>
    <w:rsid w:val="005128E4"/>
    <w:rsid w:val="005133DB"/>
    <w:rsid w:val="005141C6"/>
    <w:rsid w:val="00525560"/>
    <w:rsid w:val="005267F5"/>
    <w:rsid w:val="00534ED4"/>
    <w:rsid w:val="005415E6"/>
    <w:rsid w:val="00544216"/>
    <w:rsid w:val="00544C49"/>
    <w:rsid w:val="005516A1"/>
    <w:rsid w:val="005565AF"/>
    <w:rsid w:val="00563557"/>
    <w:rsid w:val="0057402A"/>
    <w:rsid w:val="00574CB7"/>
    <w:rsid w:val="005771D0"/>
    <w:rsid w:val="0059191A"/>
    <w:rsid w:val="005921FF"/>
    <w:rsid w:val="00592E3A"/>
    <w:rsid w:val="00594707"/>
    <w:rsid w:val="005955E3"/>
    <w:rsid w:val="005A24ED"/>
    <w:rsid w:val="005A6C02"/>
    <w:rsid w:val="005A6D0E"/>
    <w:rsid w:val="005B37CC"/>
    <w:rsid w:val="005B52B0"/>
    <w:rsid w:val="005B6806"/>
    <w:rsid w:val="005B6D22"/>
    <w:rsid w:val="005C261A"/>
    <w:rsid w:val="005C4225"/>
    <w:rsid w:val="005C7989"/>
    <w:rsid w:val="005D13F3"/>
    <w:rsid w:val="005D4EBD"/>
    <w:rsid w:val="005D66AD"/>
    <w:rsid w:val="005E0B65"/>
    <w:rsid w:val="005E11B2"/>
    <w:rsid w:val="005E4C8B"/>
    <w:rsid w:val="005F0DAD"/>
    <w:rsid w:val="005F0F33"/>
    <w:rsid w:val="00600DEB"/>
    <w:rsid w:val="00604CA5"/>
    <w:rsid w:val="006062FA"/>
    <w:rsid w:val="006068B7"/>
    <w:rsid w:val="00611CED"/>
    <w:rsid w:val="00615248"/>
    <w:rsid w:val="0061708C"/>
    <w:rsid w:val="00623A34"/>
    <w:rsid w:val="006277DE"/>
    <w:rsid w:val="00627C9F"/>
    <w:rsid w:val="006311E9"/>
    <w:rsid w:val="00632354"/>
    <w:rsid w:val="00642810"/>
    <w:rsid w:val="00647756"/>
    <w:rsid w:val="006509DA"/>
    <w:rsid w:val="00652333"/>
    <w:rsid w:val="00654344"/>
    <w:rsid w:val="0066069F"/>
    <w:rsid w:val="00670BF9"/>
    <w:rsid w:val="006775AB"/>
    <w:rsid w:val="0068009E"/>
    <w:rsid w:val="006819E9"/>
    <w:rsid w:val="00686471"/>
    <w:rsid w:val="0068794B"/>
    <w:rsid w:val="0069157D"/>
    <w:rsid w:val="00691BBE"/>
    <w:rsid w:val="00692219"/>
    <w:rsid w:val="006928C1"/>
    <w:rsid w:val="0069402E"/>
    <w:rsid w:val="006A17D2"/>
    <w:rsid w:val="006A36BB"/>
    <w:rsid w:val="006A4D7E"/>
    <w:rsid w:val="006A73E6"/>
    <w:rsid w:val="006B1B8B"/>
    <w:rsid w:val="006B23DC"/>
    <w:rsid w:val="006B29DD"/>
    <w:rsid w:val="006B2D5C"/>
    <w:rsid w:val="006B2EE8"/>
    <w:rsid w:val="006B5A72"/>
    <w:rsid w:val="006C4EB1"/>
    <w:rsid w:val="006D016F"/>
    <w:rsid w:val="006E0166"/>
    <w:rsid w:val="006E4E96"/>
    <w:rsid w:val="006E772A"/>
    <w:rsid w:val="006E7B34"/>
    <w:rsid w:val="006F551A"/>
    <w:rsid w:val="006F73BE"/>
    <w:rsid w:val="00706189"/>
    <w:rsid w:val="0070697F"/>
    <w:rsid w:val="0072199C"/>
    <w:rsid w:val="00722C9F"/>
    <w:rsid w:val="007253B8"/>
    <w:rsid w:val="00727B0E"/>
    <w:rsid w:val="0073036F"/>
    <w:rsid w:val="00731F35"/>
    <w:rsid w:val="00732C96"/>
    <w:rsid w:val="0073598C"/>
    <w:rsid w:val="00736EE5"/>
    <w:rsid w:val="0073741F"/>
    <w:rsid w:val="0076643F"/>
    <w:rsid w:val="00777F63"/>
    <w:rsid w:val="00784068"/>
    <w:rsid w:val="007852B5"/>
    <w:rsid w:val="007912C8"/>
    <w:rsid w:val="00796A37"/>
    <w:rsid w:val="007A5817"/>
    <w:rsid w:val="007B05C4"/>
    <w:rsid w:val="007B11C8"/>
    <w:rsid w:val="007B60E9"/>
    <w:rsid w:val="007B6CC3"/>
    <w:rsid w:val="007C3334"/>
    <w:rsid w:val="007C402A"/>
    <w:rsid w:val="007C5E01"/>
    <w:rsid w:val="007D2B98"/>
    <w:rsid w:val="007D7C02"/>
    <w:rsid w:val="007E21BC"/>
    <w:rsid w:val="007E58FE"/>
    <w:rsid w:val="007E7C82"/>
    <w:rsid w:val="007F54FB"/>
    <w:rsid w:val="007F588D"/>
    <w:rsid w:val="00802748"/>
    <w:rsid w:val="00803F1C"/>
    <w:rsid w:val="0080600E"/>
    <w:rsid w:val="00807E8C"/>
    <w:rsid w:val="00817612"/>
    <w:rsid w:val="00826756"/>
    <w:rsid w:val="00827C40"/>
    <w:rsid w:val="008338A4"/>
    <w:rsid w:val="00834D49"/>
    <w:rsid w:val="00837C45"/>
    <w:rsid w:val="008411F0"/>
    <w:rsid w:val="008439BC"/>
    <w:rsid w:val="00844730"/>
    <w:rsid w:val="008457C2"/>
    <w:rsid w:val="00851BF6"/>
    <w:rsid w:val="00857A82"/>
    <w:rsid w:val="0086141D"/>
    <w:rsid w:val="00870492"/>
    <w:rsid w:val="00871359"/>
    <w:rsid w:val="00871526"/>
    <w:rsid w:val="00873836"/>
    <w:rsid w:val="00875668"/>
    <w:rsid w:val="00877511"/>
    <w:rsid w:val="008802DC"/>
    <w:rsid w:val="00881E7D"/>
    <w:rsid w:val="008856AB"/>
    <w:rsid w:val="00885737"/>
    <w:rsid w:val="00890650"/>
    <w:rsid w:val="00897E12"/>
    <w:rsid w:val="008A0F81"/>
    <w:rsid w:val="008A310C"/>
    <w:rsid w:val="008A392C"/>
    <w:rsid w:val="008A7E0F"/>
    <w:rsid w:val="008B098F"/>
    <w:rsid w:val="008B12F5"/>
    <w:rsid w:val="008B5932"/>
    <w:rsid w:val="008C5751"/>
    <w:rsid w:val="008C73B3"/>
    <w:rsid w:val="008D02AD"/>
    <w:rsid w:val="008D768D"/>
    <w:rsid w:val="008E0FD8"/>
    <w:rsid w:val="008E328A"/>
    <w:rsid w:val="008E3759"/>
    <w:rsid w:val="008E3BFE"/>
    <w:rsid w:val="008E7900"/>
    <w:rsid w:val="008F1912"/>
    <w:rsid w:val="008F642D"/>
    <w:rsid w:val="0090270B"/>
    <w:rsid w:val="009041DC"/>
    <w:rsid w:val="009053E2"/>
    <w:rsid w:val="00911B3F"/>
    <w:rsid w:val="00917B5A"/>
    <w:rsid w:val="00920A58"/>
    <w:rsid w:val="00920A8C"/>
    <w:rsid w:val="00920AC1"/>
    <w:rsid w:val="00924F65"/>
    <w:rsid w:val="00934A2C"/>
    <w:rsid w:val="00935F06"/>
    <w:rsid w:val="00937B3A"/>
    <w:rsid w:val="00943696"/>
    <w:rsid w:val="00945886"/>
    <w:rsid w:val="00953D82"/>
    <w:rsid w:val="00954B82"/>
    <w:rsid w:val="00957000"/>
    <w:rsid w:val="00962436"/>
    <w:rsid w:val="0096706E"/>
    <w:rsid w:val="00974491"/>
    <w:rsid w:val="0097581B"/>
    <w:rsid w:val="00975C4E"/>
    <w:rsid w:val="00977573"/>
    <w:rsid w:val="00981FBA"/>
    <w:rsid w:val="00984ACE"/>
    <w:rsid w:val="00991376"/>
    <w:rsid w:val="00997BC5"/>
    <w:rsid w:val="009A4F41"/>
    <w:rsid w:val="009B381B"/>
    <w:rsid w:val="009C2FC5"/>
    <w:rsid w:val="009D1753"/>
    <w:rsid w:val="009D38C6"/>
    <w:rsid w:val="009D4CF0"/>
    <w:rsid w:val="009D6502"/>
    <w:rsid w:val="009D7611"/>
    <w:rsid w:val="009D78A5"/>
    <w:rsid w:val="009E08DD"/>
    <w:rsid w:val="009E0B61"/>
    <w:rsid w:val="009E53DE"/>
    <w:rsid w:val="009E7C00"/>
    <w:rsid w:val="00A0691C"/>
    <w:rsid w:val="00A11E44"/>
    <w:rsid w:val="00A154C8"/>
    <w:rsid w:val="00A22397"/>
    <w:rsid w:val="00A32313"/>
    <w:rsid w:val="00A328B3"/>
    <w:rsid w:val="00A42709"/>
    <w:rsid w:val="00A507C8"/>
    <w:rsid w:val="00A50FCF"/>
    <w:rsid w:val="00A528D1"/>
    <w:rsid w:val="00A563EE"/>
    <w:rsid w:val="00A610CD"/>
    <w:rsid w:val="00A625E0"/>
    <w:rsid w:val="00A74947"/>
    <w:rsid w:val="00A758AA"/>
    <w:rsid w:val="00A800B5"/>
    <w:rsid w:val="00A92093"/>
    <w:rsid w:val="00A929AA"/>
    <w:rsid w:val="00AA09A2"/>
    <w:rsid w:val="00AA19DA"/>
    <w:rsid w:val="00AA399C"/>
    <w:rsid w:val="00AA7996"/>
    <w:rsid w:val="00AB14BB"/>
    <w:rsid w:val="00AC19CB"/>
    <w:rsid w:val="00AD1886"/>
    <w:rsid w:val="00AE5488"/>
    <w:rsid w:val="00AE6F91"/>
    <w:rsid w:val="00AF5571"/>
    <w:rsid w:val="00AF695E"/>
    <w:rsid w:val="00B066A5"/>
    <w:rsid w:val="00B06B4E"/>
    <w:rsid w:val="00B07341"/>
    <w:rsid w:val="00B10160"/>
    <w:rsid w:val="00B202B5"/>
    <w:rsid w:val="00B30099"/>
    <w:rsid w:val="00B30539"/>
    <w:rsid w:val="00B314DB"/>
    <w:rsid w:val="00B361F2"/>
    <w:rsid w:val="00B36FBE"/>
    <w:rsid w:val="00B3718B"/>
    <w:rsid w:val="00B403E3"/>
    <w:rsid w:val="00B415FE"/>
    <w:rsid w:val="00B42FA4"/>
    <w:rsid w:val="00B4460D"/>
    <w:rsid w:val="00B45CC0"/>
    <w:rsid w:val="00B4632A"/>
    <w:rsid w:val="00B5067D"/>
    <w:rsid w:val="00B530F1"/>
    <w:rsid w:val="00B54338"/>
    <w:rsid w:val="00B57297"/>
    <w:rsid w:val="00B5798A"/>
    <w:rsid w:val="00B736AF"/>
    <w:rsid w:val="00B742BE"/>
    <w:rsid w:val="00B85E9F"/>
    <w:rsid w:val="00B87359"/>
    <w:rsid w:val="00B97946"/>
    <w:rsid w:val="00BA1EAE"/>
    <w:rsid w:val="00BA276C"/>
    <w:rsid w:val="00BA5544"/>
    <w:rsid w:val="00BB0330"/>
    <w:rsid w:val="00BB306F"/>
    <w:rsid w:val="00BB3402"/>
    <w:rsid w:val="00BB3FBD"/>
    <w:rsid w:val="00BB6E63"/>
    <w:rsid w:val="00BC0968"/>
    <w:rsid w:val="00BC46A1"/>
    <w:rsid w:val="00BC6CD0"/>
    <w:rsid w:val="00BD4B89"/>
    <w:rsid w:val="00BD5922"/>
    <w:rsid w:val="00BD622A"/>
    <w:rsid w:val="00BD76D9"/>
    <w:rsid w:val="00BF02CB"/>
    <w:rsid w:val="00BF2178"/>
    <w:rsid w:val="00BF32A7"/>
    <w:rsid w:val="00BF514A"/>
    <w:rsid w:val="00BF6FD8"/>
    <w:rsid w:val="00BF775D"/>
    <w:rsid w:val="00C00A8C"/>
    <w:rsid w:val="00C03680"/>
    <w:rsid w:val="00C054DF"/>
    <w:rsid w:val="00C05D56"/>
    <w:rsid w:val="00C06EF7"/>
    <w:rsid w:val="00C10AFC"/>
    <w:rsid w:val="00C21562"/>
    <w:rsid w:val="00C21762"/>
    <w:rsid w:val="00C21FEF"/>
    <w:rsid w:val="00C24543"/>
    <w:rsid w:val="00C256A2"/>
    <w:rsid w:val="00C308DF"/>
    <w:rsid w:val="00C35A26"/>
    <w:rsid w:val="00C4317B"/>
    <w:rsid w:val="00C51515"/>
    <w:rsid w:val="00C53910"/>
    <w:rsid w:val="00C5660B"/>
    <w:rsid w:val="00C56854"/>
    <w:rsid w:val="00C5788A"/>
    <w:rsid w:val="00C66B72"/>
    <w:rsid w:val="00C70BA7"/>
    <w:rsid w:val="00C87628"/>
    <w:rsid w:val="00C87AC4"/>
    <w:rsid w:val="00C9529A"/>
    <w:rsid w:val="00C9567A"/>
    <w:rsid w:val="00CA48A3"/>
    <w:rsid w:val="00CB212D"/>
    <w:rsid w:val="00CB2660"/>
    <w:rsid w:val="00CC5E90"/>
    <w:rsid w:val="00CD046C"/>
    <w:rsid w:val="00CD186A"/>
    <w:rsid w:val="00CE0020"/>
    <w:rsid w:val="00CE076C"/>
    <w:rsid w:val="00CE5199"/>
    <w:rsid w:val="00CE66D5"/>
    <w:rsid w:val="00CF637A"/>
    <w:rsid w:val="00D01897"/>
    <w:rsid w:val="00D059DE"/>
    <w:rsid w:val="00D05ABD"/>
    <w:rsid w:val="00D07A47"/>
    <w:rsid w:val="00D115B2"/>
    <w:rsid w:val="00D13FCE"/>
    <w:rsid w:val="00D17E8C"/>
    <w:rsid w:val="00D21B18"/>
    <w:rsid w:val="00D22FBE"/>
    <w:rsid w:val="00D24AD4"/>
    <w:rsid w:val="00D306D1"/>
    <w:rsid w:val="00D30800"/>
    <w:rsid w:val="00D34786"/>
    <w:rsid w:val="00D3612E"/>
    <w:rsid w:val="00D37BFC"/>
    <w:rsid w:val="00D37FB9"/>
    <w:rsid w:val="00D40BDC"/>
    <w:rsid w:val="00D42822"/>
    <w:rsid w:val="00D43661"/>
    <w:rsid w:val="00D47A8E"/>
    <w:rsid w:val="00D52D14"/>
    <w:rsid w:val="00D55256"/>
    <w:rsid w:val="00D56D93"/>
    <w:rsid w:val="00D575BC"/>
    <w:rsid w:val="00D712D3"/>
    <w:rsid w:val="00D71422"/>
    <w:rsid w:val="00D72DC6"/>
    <w:rsid w:val="00D73F5E"/>
    <w:rsid w:val="00D7558D"/>
    <w:rsid w:val="00D76358"/>
    <w:rsid w:val="00D77503"/>
    <w:rsid w:val="00D81D92"/>
    <w:rsid w:val="00D876F9"/>
    <w:rsid w:val="00D877B6"/>
    <w:rsid w:val="00D93A90"/>
    <w:rsid w:val="00DA7B5F"/>
    <w:rsid w:val="00DB197B"/>
    <w:rsid w:val="00DC11E7"/>
    <w:rsid w:val="00DC7023"/>
    <w:rsid w:val="00DC769A"/>
    <w:rsid w:val="00DD061E"/>
    <w:rsid w:val="00DD09A1"/>
    <w:rsid w:val="00DD151B"/>
    <w:rsid w:val="00DD3D86"/>
    <w:rsid w:val="00DE12F0"/>
    <w:rsid w:val="00DE7D78"/>
    <w:rsid w:val="00DF1EC4"/>
    <w:rsid w:val="00DF51E9"/>
    <w:rsid w:val="00DF54A0"/>
    <w:rsid w:val="00E01943"/>
    <w:rsid w:val="00E0340B"/>
    <w:rsid w:val="00E04A90"/>
    <w:rsid w:val="00E0551F"/>
    <w:rsid w:val="00E0695F"/>
    <w:rsid w:val="00E07CB1"/>
    <w:rsid w:val="00E219C7"/>
    <w:rsid w:val="00E26CCA"/>
    <w:rsid w:val="00E27F56"/>
    <w:rsid w:val="00E3702D"/>
    <w:rsid w:val="00E4118C"/>
    <w:rsid w:val="00E43157"/>
    <w:rsid w:val="00E461CE"/>
    <w:rsid w:val="00E720CA"/>
    <w:rsid w:val="00E73010"/>
    <w:rsid w:val="00E81364"/>
    <w:rsid w:val="00E84EB5"/>
    <w:rsid w:val="00E85662"/>
    <w:rsid w:val="00E85D37"/>
    <w:rsid w:val="00E86C16"/>
    <w:rsid w:val="00E8789F"/>
    <w:rsid w:val="00E90973"/>
    <w:rsid w:val="00E92747"/>
    <w:rsid w:val="00E9525D"/>
    <w:rsid w:val="00E97B71"/>
    <w:rsid w:val="00EA3D34"/>
    <w:rsid w:val="00EA4E70"/>
    <w:rsid w:val="00EA4FA6"/>
    <w:rsid w:val="00EB454D"/>
    <w:rsid w:val="00EC16CC"/>
    <w:rsid w:val="00EC26E9"/>
    <w:rsid w:val="00EC72AB"/>
    <w:rsid w:val="00ED2F03"/>
    <w:rsid w:val="00ED4CBD"/>
    <w:rsid w:val="00ED549D"/>
    <w:rsid w:val="00ED76BE"/>
    <w:rsid w:val="00ED7F05"/>
    <w:rsid w:val="00EE00E9"/>
    <w:rsid w:val="00EE014D"/>
    <w:rsid w:val="00EE1764"/>
    <w:rsid w:val="00EF35AB"/>
    <w:rsid w:val="00EF4C44"/>
    <w:rsid w:val="00EF619B"/>
    <w:rsid w:val="00F00B55"/>
    <w:rsid w:val="00F02AD1"/>
    <w:rsid w:val="00F04591"/>
    <w:rsid w:val="00F06354"/>
    <w:rsid w:val="00F11019"/>
    <w:rsid w:val="00F11FBB"/>
    <w:rsid w:val="00F1747D"/>
    <w:rsid w:val="00F251B7"/>
    <w:rsid w:val="00F253CC"/>
    <w:rsid w:val="00F259C9"/>
    <w:rsid w:val="00F332EF"/>
    <w:rsid w:val="00F3559E"/>
    <w:rsid w:val="00F37106"/>
    <w:rsid w:val="00F519CF"/>
    <w:rsid w:val="00F53168"/>
    <w:rsid w:val="00F547B9"/>
    <w:rsid w:val="00F56BA5"/>
    <w:rsid w:val="00F60E22"/>
    <w:rsid w:val="00F63B39"/>
    <w:rsid w:val="00F64EDC"/>
    <w:rsid w:val="00F71FEE"/>
    <w:rsid w:val="00F81395"/>
    <w:rsid w:val="00F81887"/>
    <w:rsid w:val="00F81BB8"/>
    <w:rsid w:val="00F917D1"/>
    <w:rsid w:val="00F9342C"/>
    <w:rsid w:val="00F9653B"/>
    <w:rsid w:val="00FA56EA"/>
    <w:rsid w:val="00FA5DB1"/>
    <w:rsid w:val="00FA5DF8"/>
    <w:rsid w:val="00FB62CF"/>
    <w:rsid w:val="00FC0F4A"/>
    <w:rsid w:val="00FC3330"/>
    <w:rsid w:val="00FC5576"/>
    <w:rsid w:val="00FC7608"/>
    <w:rsid w:val="00FD1986"/>
    <w:rsid w:val="00FD1C1D"/>
    <w:rsid w:val="00FD3C3B"/>
    <w:rsid w:val="00FD6A68"/>
    <w:rsid w:val="00FE07DD"/>
    <w:rsid w:val="00FE2659"/>
    <w:rsid w:val="00FE430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12375">
      <w:bodyDiv w:val="1"/>
      <w:marLeft w:val="0"/>
      <w:marRight w:val="0"/>
      <w:marTop w:val="0"/>
      <w:marBottom w:val="0"/>
      <w:divBdr>
        <w:top w:val="none" w:sz="0" w:space="0" w:color="auto"/>
        <w:left w:val="none" w:sz="0" w:space="0" w:color="auto"/>
        <w:bottom w:val="none" w:sz="0" w:space="0" w:color="auto"/>
        <w:right w:val="none" w:sz="0" w:space="0" w:color="auto"/>
      </w:divBdr>
    </w:div>
    <w:div w:id="296374411">
      <w:bodyDiv w:val="1"/>
      <w:marLeft w:val="0"/>
      <w:marRight w:val="0"/>
      <w:marTop w:val="0"/>
      <w:marBottom w:val="0"/>
      <w:divBdr>
        <w:top w:val="none" w:sz="0" w:space="0" w:color="auto"/>
        <w:left w:val="none" w:sz="0" w:space="0" w:color="auto"/>
        <w:bottom w:val="none" w:sz="0" w:space="0" w:color="auto"/>
        <w:right w:val="none" w:sz="0" w:space="0" w:color="auto"/>
      </w:divBdr>
    </w:div>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777717476">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767E1-F724-40A2-8D58-A4F6A9F3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2622</Words>
  <Characters>13715</Characters>
  <Application>Microsoft Office Word</Application>
  <DocSecurity>0</DocSecurity>
  <Lines>291</Lines>
  <Paragraphs>90</Paragraphs>
  <ScaleCrop>false</ScaleCrop>
  <Company/>
  <LinksUpToDate>false</LinksUpToDate>
  <CharactersWithSpaces>16247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165/20</dc:title>
  <dc:creator/>
  <cp:lastModifiedBy/>
  <cp:revision>1</cp:revision>
  <dcterms:created xsi:type="dcterms:W3CDTF">2020-08-03T17:27:00Z</dcterms:created>
  <dcterms:modified xsi:type="dcterms:W3CDTF">2020-08-03T17:27:00Z</dcterms:modified>
</cp:coreProperties>
</file>