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5271E1" w14:textId="77777777" w:rsidR="00040C3A" w:rsidRPr="00507154" w:rsidRDefault="00D306D1" w:rsidP="00507154">
      <w:pPr>
        <w:jc w:val="both"/>
        <w:rPr>
          <w:rFonts w:asciiTheme="majorHAnsi" w:hAnsiTheme="majorHAnsi" w:cs="Univers"/>
          <w:b/>
          <w:bCs/>
          <w:sz w:val="20"/>
          <w:szCs w:val="20"/>
          <w:lang w:val="es-ES_tradnl"/>
        </w:rPr>
      </w:pPr>
      <w:r w:rsidRPr="0050715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D00B88C" wp14:editId="3FB4873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0C471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0715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BB4E15E" wp14:editId="35367B1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FD256" w14:textId="77777777" w:rsidR="00646437" w:rsidRDefault="00646437" w:rsidP="00AE5488">
                            <w:r>
                              <w:rPr>
                                <w:noProof/>
                              </w:rPr>
                              <w:drawing>
                                <wp:inline distT="0" distB="0" distL="0" distR="0" wp14:anchorId="34CFFCE6" wp14:editId="2A25DF3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BB4E1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E6FD256" w14:textId="77777777" w:rsidR="00646437" w:rsidRDefault="00646437" w:rsidP="00AE5488">
                      <w:r>
                        <w:rPr>
                          <w:noProof/>
                        </w:rPr>
                        <w:drawing>
                          <wp:inline distT="0" distB="0" distL="0" distR="0" wp14:anchorId="34CFFCE6" wp14:editId="2A25DF3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507154">
        <w:rPr>
          <w:rFonts w:asciiTheme="majorHAnsi" w:hAnsiTheme="majorHAnsi" w:cs="Univers"/>
          <w:b/>
          <w:bCs/>
          <w:sz w:val="20"/>
          <w:szCs w:val="20"/>
          <w:lang w:val="es-ES_tradnl"/>
        </w:rPr>
        <w:t xml:space="preserve"> </w:t>
      </w:r>
    </w:p>
    <w:p w14:paraId="47E7BEA5" w14:textId="77777777" w:rsidR="00040C3A" w:rsidRPr="00507154" w:rsidRDefault="00040C3A" w:rsidP="00507154">
      <w:pPr>
        <w:tabs>
          <w:tab w:val="center" w:pos="5400"/>
        </w:tabs>
        <w:suppressAutoHyphens/>
        <w:jc w:val="both"/>
        <w:rPr>
          <w:rFonts w:asciiTheme="majorHAnsi" w:hAnsiTheme="majorHAnsi"/>
          <w:sz w:val="20"/>
          <w:szCs w:val="20"/>
          <w:lang w:val="es-ES"/>
        </w:rPr>
      </w:pPr>
    </w:p>
    <w:p w14:paraId="2089AE2A" w14:textId="77777777" w:rsidR="00040C3A" w:rsidRPr="00507154" w:rsidRDefault="00040C3A" w:rsidP="00507154">
      <w:pPr>
        <w:tabs>
          <w:tab w:val="center" w:pos="5400"/>
        </w:tabs>
        <w:suppressAutoHyphens/>
        <w:jc w:val="both"/>
        <w:rPr>
          <w:rFonts w:asciiTheme="majorHAnsi" w:hAnsiTheme="majorHAnsi"/>
          <w:sz w:val="20"/>
          <w:szCs w:val="20"/>
          <w:lang w:val="es-ES"/>
        </w:rPr>
      </w:pPr>
    </w:p>
    <w:p w14:paraId="5CEB3C26" w14:textId="77777777" w:rsidR="005128E4" w:rsidRPr="00507154" w:rsidRDefault="005128E4" w:rsidP="00507154">
      <w:pPr>
        <w:tabs>
          <w:tab w:val="center" w:pos="5400"/>
        </w:tabs>
        <w:suppressAutoHyphens/>
        <w:rPr>
          <w:rFonts w:asciiTheme="majorHAnsi" w:hAnsiTheme="majorHAnsi"/>
          <w:sz w:val="20"/>
          <w:szCs w:val="20"/>
          <w:lang w:val="es-ES_tradnl"/>
        </w:rPr>
      </w:pPr>
    </w:p>
    <w:p w14:paraId="476F752A" w14:textId="77777777" w:rsidR="005128E4" w:rsidRPr="00507154" w:rsidRDefault="005128E4" w:rsidP="00507154">
      <w:pPr>
        <w:tabs>
          <w:tab w:val="center" w:pos="5400"/>
        </w:tabs>
        <w:suppressAutoHyphens/>
        <w:rPr>
          <w:rFonts w:asciiTheme="majorHAnsi" w:hAnsiTheme="majorHAnsi"/>
          <w:sz w:val="20"/>
          <w:szCs w:val="20"/>
          <w:lang w:val="es-ES_tradnl"/>
        </w:rPr>
      </w:pPr>
    </w:p>
    <w:p w14:paraId="19EEB3A9" w14:textId="77777777" w:rsidR="005128E4" w:rsidRPr="00507154" w:rsidRDefault="005128E4" w:rsidP="00507154">
      <w:pPr>
        <w:tabs>
          <w:tab w:val="center" w:pos="5400"/>
        </w:tabs>
        <w:suppressAutoHyphens/>
        <w:rPr>
          <w:rFonts w:asciiTheme="majorHAnsi" w:hAnsiTheme="majorHAnsi"/>
          <w:sz w:val="20"/>
          <w:szCs w:val="20"/>
          <w:lang w:val="es-ES_tradnl"/>
        </w:rPr>
      </w:pPr>
    </w:p>
    <w:p w14:paraId="756F2758"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444549B6"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3129B6F1" w14:textId="77777777" w:rsidR="005B52B0" w:rsidRPr="00507154" w:rsidRDefault="005B52B0" w:rsidP="00507154">
      <w:pPr>
        <w:tabs>
          <w:tab w:val="center" w:pos="5400"/>
        </w:tabs>
        <w:suppressAutoHyphens/>
        <w:jc w:val="center"/>
        <w:rPr>
          <w:rFonts w:asciiTheme="majorHAnsi" w:hAnsiTheme="majorHAnsi"/>
          <w:sz w:val="20"/>
          <w:szCs w:val="20"/>
          <w:lang w:val="es-ES_tradnl"/>
        </w:rPr>
      </w:pPr>
    </w:p>
    <w:p w14:paraId="285BFDA4" w14:textId="77777777" w:rsidR="005B52B0" w:rsidRPr="00507154" w:rsidRDefault="005B52B0" w:rsidP="00507154">
      <w:pPr>
        <w:tabs>
          <w:tab w:val="center" w:pos="5400"/>
        </w:tabs>
        <w:suppressAutoHyphens/>
        <w:jc w:val="center"/>
        <w:rPr>
          <w:rFonts w:asciiTheme="majorHAnsi" w:hAnsiTheme="majorHAnsi"/>
          <w:sz w:val="20"/>
          <w:szCs w:val="20"/>
          <w:lang w:val="es-ES_tradnl"/>
        </w:rPr>
      </w:pPr>
    </w:p>
    <w:p w14:paraId="6C1E37FE" w14:textId="77777777" w:rsidR="005B52B0" w:rsidRPr="00507154" w:rsidRDefault="005B52B0" w:rsidP="00507154">
      <w:pPr>
        <w:tabs>
          <w:tab w:val="center" w:pos="5400"/>
        </w:tabs>
        <w:suppressAutoHyphens/>
        <w:jc w:val="center"/>
        <w:rPr>
          <w:rFonts w:asciiTheme="majorHAnsi" w:hAnsiTheme="majorHAnsi"/>
          <w:sz w:val="20"/>
          <w:szCs w:val="20"/>
          <w:lang w:val="es-ES_tradnl"/>
        </w:rPr>
      </w:pPr>
    </w:p>
    <w:p w14:paraId="5E570D0C"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4C9C7647"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2972515E" w14:textId="77777777" w:rsidR="00040C3A" w:rsidRPr="00507154" w:rsidRDefault="003D3BC2" w:rsidP="00507154">
      <w:pPr>
        <w:tabs>
          <w:tab w:val="center" w:pos="5400"/>
        </w:tabs>
        <w:suppressAutoHyphens/>
        <w:jc w:val="center"/>
        <w:rPr>
          <w:rFonts w:asciiTheme="majorHAnsi" w:hAnsiTheme="majorHAnsi"/>
          <w:sz w:val="20"/>
          <w:szCs w:val="20"/>
          <w:lang w:val="es-ES_tradnl"/>
        </w:rPr>
      </w:pPr>
      <w:r w:rsidRPr="0050715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61CCDB8" wp14:editId="1A0CAD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A53FD" w14:textId="77777777" w:rsidR="00393A30" w:rsidRPr="004E2649" w:rsidRDefault="00393A30" w:rsidP="00393A3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4C576F">
                              <w:rPr>
                                <w:rFonts w:asciiTheme="majorHAnsi" w:hAnsiTheme="majorHAnsi" w:cs="Arial"/>
                                <w:b/>
                                <w:bCs/>
                                <w:color w:val="0D0D0D" w:themeColor="text1" w:themeTint="F2"/>
                                <w:sz w:val="36"/>
                                <w:szCs w:val="40"/>
                                <w:lang w:val="es-ES_tradnl"/>
                              </w:rPr>
                              <w:t>No.</w:t>
                            </w:r>
                            <w:r w:rsidRPr="004C576F">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342</w:t>
                            </w:r>
                            <w:r w:rsidRPr="004C576F">
                              <w:rPr>
                                <w:rFonts w:asciiTheme="majorHAnsi" w:hAnsiTheme="majorHAnsi" w:cs="Arial"/>
                                <w:b/>
                                <w:bCs/>
                                <w:color w:val="0D0D0D" w:themeColor="text1" w:themeTint="F2"/>
                                <w:sz w:val="36"/>
                                <w:szCs w:val="22"/>
                                <w:lang w:val="es-ES_tradnl"/>
                              </w:rPr>
                              <w:t>/20</w:t>
                            </w:r>
                          </w:p>
                          <w:p w14:paraId="5D14BB05" w14:textId="77777777" w:rsidR="00393A30" w:rsidRDefault="00393A30" w:rsidP="00393A3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863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F578BCD"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C9B2145"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bookmarkStart w:id="1" w:name="_ftnref1"/>
                          </w:p>
                          <w:p w14:paraId="46584030" w14:textId="77777777" w:rsidR="00393A30" w:rsidRDefault="00393A30" w:rsidP="00393A3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HELVIR ANTONIO TORRES CLAVIJO, FREDDY TORRES </w:t>
                            </w:r>
                            <w:proofErr w:type="spellStart"/>
                            <w:r>
                              <w:rPr>
                                <w:rFonts w:asciiTheme="majorHAnsi" w:hAnsiTheme="majorHAnsi" w:cs="Arial"/>
                                <w:color w:val="0D0D0D" w:themeColor="text1" w:themeTint="F2"/>
                                <w:szCs w:val="22"/>
                                <w:lang w:val="es-ES_tradnl"/>
                              </w:rPr>
                              <w:t>TORRES</w:t>
                            </w:r>
                            <w:proofErr w:type="spellEnd"/>
                            <w:r>
                              <w:rPr>
                                <w:rFonts w:asciiTheme="majorHAnsi" w:hAnsiTheme="majorHAnsi" w:cs="Arial"/>
                                <w:color w:val="0D0D0D" w:themeColor="text1" w:themeTint="F2"/>
                                <w:szCs w:val="22"/>
                                <w:lang w:val="es-ES_tradnl"/>
                              </w:rPr>
                              <w:t xml:space="preserve"> </w:t>
                            </w:r>
                          </w:p>
                          <w:p w14:paraId="42A34F66"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SUS FAMILIARES</w:t>
                            </w:r>
                          </w:p>
                          <w:bookmarkEnd w:id="1"/>
                          <w:p w14:paraId="0E29CD5B" w14:textId="77777777" w:rsidR="00393A30" w:rsidRPr="0010736F" w:rsidRDefault="00393A30" w:rsidP="00393A3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EE05CA6" w14:textId="77777777" w:rsidR="00646437" w:rsidRPr="00AE5488" w:rsidRDefault="0064643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1CCDB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01A53FD" w14:textId="77777777" w:rsidR="00393A30" w:rsidRPr="004E2649" w:rsidRDefault="00393A30" w:rsidP="00393A3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4C576F">
                        <w:rPr>
                          <w:rFonts w:asciiTheme="majorHAnsi" w:hAnsiTheme="majorHAnsi" w:cs="Arial"/>
                          <w:b/>
                          <w:bCs/>
                          <w:color w:val="0D0D0D" w:themeColor="text1" w:themeTint="F2"/>
                          <w:sz w:val="36"/>
                          <w:szCs w:val="40"/>
                          <w:lang w:val="es-ES_tradnl"/>
                        </w:rPr>
                        <w:t>No.</w:t>
                      </w:r>
                      <w:r w:rsidRPr="004C576F">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342</w:t>
                      </w:r>
                      <w:r w:rsidRPr="004C576F">
                        <w:rPr>
                          <w:rFonts w:asciiTheme="majorHAnsi" w:hAnsiTheme="majorHAnsi" w:cs="Arial"/>
                          <w:b/>
                          <w:bCs/>
                          <w:color w:val="0D0D0D" w:themeColor="text1" w:themeTint="F2"/>
                          <w:sz w:val="36"/>
                          <w:szCs w:val="22"/>
                          <w:lang w:val="es-ES_tradnl"/>
                        </w:rPr>
                        <w:t>/20</w:t>
                      </w:r>
                    </w:p>
                    <w:p w14:paraId="5D14BB05" w14:textId="77777777" w:rsidR="00393A30" w:rsidRDefault="00393A30" w:rsidP="00393A3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863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F578BCD"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C9B2145"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bookmarkStart w:id="1" w:name="_ftnref1"/>
                    </w:p>
                    <w:p w14:paraId="46584030" w14:textId="77777777" w:rsidR="00393A30" w:rsidRDefault="00393A30" w:rsidP="00393A3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HELVIR ANTONIO TORRES CLAVIJO, FREDDY TORRES TORRES </w:t>
                      </w:r>
                    </w:p>
                    <w:p w14:paraId="42A34F66" w14:textId="77777777" w:rsidR="00393A30" w:rsidRPr="0010736F" w:rsidRDefault="00393A30" w:rsidP="00393A3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SUS FAMILIARES</w:t>
                      </w:r>
                    </w:p>
                    <w:bookmarkEnd w:id="1"/>
                    <w:p w14:paraId="0E29CD5B" w14:textId="77777777" w:rsidR="00393A30" w:rsidRPr="0010736F" w:rsidRDefault="00393A30" w:rsidP="00393A3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EE05CA6" w14:textId="77777777" w:rsidR="00646437" w:rsidRPr="00AE5488" w:rsidRDefault="00646437" w:rsidP="007A5817">
                      <w:pPr>
                        <w:rPr>
                          <w:color w:val="0D0D0D" w:themeColor="text1" w:themeTint="F2"/>
                          <w:lang w:val="es-ES_tradnl"/>
                        </w:rPr>
                      </w:pPr>
                    </w:p>
                  </w:txbxContent>
                </v:textbox>
              </v:shape>
            </w:pict>
          </mc:Fallback>
        </mc:AlternateContent>
      </w:r>
      <w:r w:rsidR="004E2649" w:rsidRPr="0050715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629D7F" wp14:editId="2941088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F744C" w14:textId="77777777" w:rsidR="00393A30" w:rsidRPr="004C576F" w:rsidRDefault="00393A30" w:rsidP="00393A3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C576F">
                              <w:rPr>
                                <w:rFonts w:asciiTheme="minorHAnsi" w:hAnsiTheme="minorHAnsi"/>
                                <w:color w:val="FFFFFF" w:themeColor="background1"/>
                                <w:sz w:val="22"/>
                                <w:lang w:val="pt-BR"/>
                              </w:rPr>
                              <w:t>V/</w:t>
                            </w:r>
                            <w:r>
                              <w:rPr>
                                <w:rFonts w:asciiTheme="minorHAnsi" w:hAnsiTheme="minorHAnsi"/>
                                <w:color w:val="FFFFFF" w:themeColor="background1"/>
                                <w:sz w:val="22"/>
                                <w:lang w:val="pt-BR"/>
                              </w:rPr>
                              <w:t>II.</w:t>
                            </w:r>
                          </w:p>
                          <w:p w14:paraId="3B5D5DB4" w14:textId="77777777" w:rsidR="00393A30" w:rsidRPr="004C576F" w:rsidRDefault="00393A30" w:rsidP="00393A3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360</w:t>
                            </w:r>
                          </w:p>
                          <w:p w14:paraId="07E09C62" w14:textId="77777777" w:rsidR="00393A30" w:rsidRPr="00C25ADB" w:rsidRDefault="00393A30" w:rsidP="00393A3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Pr="004C576F">
                              <w:rPr>
                                <w:rFonts w:asciiTheme="minorHAnsi" w:hAnsiTheme="minorHAnsi"/>
                                <w:color w:val="FFFFFF" w:themeColor="background1"/>
                                <w:sz w:val="22"/>
                                <w:lang w:val="es-PA"/>
                              </w:rPr>
                              <w:t xml:space="preserve"> 2020</w:t>
                            </w:r>
                          </w:p>
                          <w:p w14:paraId="4EDC14D9" w14:textId="77777777" w:rsidR="00393A30" w:rsidRPr="00C25ADB" w:rsidRDefault="00393A30" w:rsidP="00393A3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1EF343FF" w14:textId="01445A0E" w:rsidR="00646437" w:rsidRPr="00C25ADB" w:rsidRDefault="00646437"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629D7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F744C" w14:textId="77777777" w:rsidR="00393A30" w:rsidRPr="004C576F" w:rsidRDefault="00393A30" w:rsidP="00393A3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C576F">
                        <w:rPr>
                          <w:rFonts w:asciiTheme="minorHAnsi" w:hAnsiTheme="minorHAnsi"/>
                          <w:color w:val="FFFFFF" w:themeColor="background1"/>
                          <w:sz w:val="22"/>
                          <w:lang w:val="pt-BR"/>
                        </w:rPr>
                        <w:t>V/</w:t>
                      </w:r>
                      <w:r>
                        <w:rPr>
                          <w:rFonts w:asciiTheme="minorHAnsi" w:hAnsiTheme="minorHAnsi"/>
                          <w:color w:val="FFFFFF" w:themeColor="background1"/>
                          <w:sz w:val="22"/>
                          <w:lang w:val="pt-BR"/>
                        </w:rPr>
                        <w:t>II.</w:t>
                      </w:r>
                    </w:p>
                    <w:p w14:paraId="3B5D5DB4" w14:textId="77777777" w:rsidR="00393A30" w:rsidRPr="004C576F" w:rsidRDefault="00393A30" w:rsidP="00393A3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360</w:t>
                      </w:r>
                    </w:p>
                    <w:p w14:paraId="07E09C62" w14:textId="77777777" w:rsidR="00393A30" w:rsidRPr="00C25ADB" w:rsidRDefault="00393A30" w:rsidP="00393A3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Pr="004C576F">
                        <w:rPr>
                          <w:rFonts w:asciiTheme="minorHAnsi" w:hAnsiTheme="minorHAnsi"/>
                          <w:color w:val="FFFFFF" w:themeColor="background1"/>
                          <w:sz w:val="22"/>
                          <w:lang w:val="es-PA"/>
                        </w:rPr>
                        <w:t xml:space="preserve"> 2020</w:t>
                      </w:r>
                    </w:p>
                    <w:p w14:paraId="4EDC14D9" w14:textId="77777777" w:rsidR="00393A30" w:rsidRPr="00C25ADB" w:rsidRDefault="00393A30" w:rsidP="00393A3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1EF343FF" w14:textId="01445A0E" w:rsidR="00646437" w:rsidRPr="00C25ADB" w:rsidRDefault="00646437" w:rsidP="007A5817">
                      <w:pPr>
                        <w:spacing w:line="276" w:lineRule="auto"/>
                        <w:jc w:val="right"/>
                        <w:rPr>
                          <w:rFonts w:asciiTheme="minorHAnsi" w:hAnsiTheme="minorHAnsi"/>
                          <w:color w:val="FFFFFF" w:themeColor="background1"/>
                          <w:sz w:val="22"/>
                          <w:lang w:val="es-PA"/>
                        </w:rPr>
                      </w:pPr>
                    </w:p>
                  </w:txbxContent>
                </v:textbox>
              </v:shape>
            </w:pict>
          </mc:Fallback>
        </mc:AlternateContent>
      </w:r>
    </w:p>
    <w:p w14:paraId="21A8593E"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52746E0C"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57AEA9FC" w14:textId="77777777" w:rsidR="00040C3A" w:rsidRPr="00507154" w:rsidRDefault="00040C3A" w:rsidP="00507154">
      <w:pPr>
        <w:tabs>
          <w:tab w:val="center" w:pos="5400"/>
        </w:tabs>
        <w:suppressAutoHyphens/>
        <w:jc w:val="center"/>
        <w:rPr>
          <w:rFonts w:asciiTheme="majorHAnsi" w:hAnsiTheme="majorHAnsi" w:cs="Arial"/>
          <w:sz w:val="20"/>
          <w:szCs w:val="20"/>
          <w:lang w:val="es-ES_tradnl"/>
        </w:rPr>
      </w:pPr>
    </w:p>
    <w:p w14:paraId="62BC0A67"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62E7F3CC"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7780C5E7"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2235253B"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6BE21B14" w14:textId="77777777" w:rsidR="005128E4" w:rsidRPr="00507154" w:rsidRDefault="005128E4" w:rsidP="00507154">
      <w:pPr>
        <w:tabs>
          <w:tab w:val="center" w:pos="5400"/>
        </w:tabs>
        <w:suppressAutoHyphens/>
        <w:jc w:val="center"/>
        <w:rPr>
          <w:rFonts w:asciiTheme="majorHAnsi" w:hAnsiTheme="majorHAnsi"/>
          <w:sz w:val="20"/>
          <w:szCs w:val="20"/>
          <w:lang w:val="es-ES_tradnl"/>
        </w:rPr>
      </w:pPr>
    </w:p>
    <w:p w14:paraId="5C35B584"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13816E7C" w14:textId="77777777" w:rsidR="005128E4" w:rsidRPr="00507154" w:rsidRDefault="005128E4" w:rsidP="00507154">
      <w:pPr>
        <w:tabs>
          <w:tab w:val="center" w:pos="5400"/>
        </w:tabs>
        <w:suppressAutoHyphens/>
        <w:jc w:val="center"/>
        <w:rPr>
          <w:rFonts w:asciiTheme="majorHAnsi" w:hAnsiTheme="majorHAnsi"/>
          <w:sz w:val="20"/>
          <w:szCs w:val="20"/>
          <w:lang w:val="es-ES_tradnl"/>
        </w:rPr>
      </w:pPr>
    </w:p>
    <w:p w14:paraId="6778433E" w14:textId="77777777" w:rsidR="005128E4" w:rsidRPr="00507154" w:rsidRDefault="005128E4" w:rsidP="00507154">
      <w:pPr>
        <w:tabs>
          <w:tab w:val="center" w:pos="5400"/>
        </w:tabs>
        <w:suppressAutoHyphens/>
        <w:jc w:val="center"/>
        <w:rPr>
          <w:rFonts w:asciiTheme="majorHAnsi" w:hAnsiTheme="majorHAnsi"/>
          <w:sz w:val="20"/>
          <w:szCs w:val="20"/>
          <w:lang w:val="es-ES_tradnl"/>
        </w:rPr>
      </w:pPr>
    </w:p>
    <w:p w14:paraId="0BB88435" w14:textId="77777777" w:rsidR="005128E4" w:rsidRPr="00507154" w:rsidRDefault="005128E4" w:rsidP="00507154">
      <w:pPr>
        <w:tabs>
          <w:tab w:val="center" w:pos="5400"/>
        </w:tabs>
        <w:suppressAutoHyphens/>
        <w:jc w:val="center"/>
        <w:rPr>
          <w:rFonts w:asciiTheme="majorHAnsi" w:hAnsiTheme="majorHAnsi"/>
          <w:sz w:val="20"/>
          <w:szCs w:val="20"/>
          <w:lang w:val="es-ES_tradnl"/>
        </w:rPr>
      </w:pPr>
    </w:p>
    <w:p w14:paraId="40B4A132"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6C98E0FD" w14:textId="77777777" w:rsidR="00040C3A" w:rsidRPr="00507154" w:rsidRDefault="00040C3A" w:rsidP="00507154">
      <w:pPr>
        <w:tabs>
          <w:tab w:val="center" w:pos="5400"/>
        </w:tabs>
        <w:suppressAutoHyphens/>
        <w:jc w:val="center"/>
        <w:rPr>
          <w:rFonts w:asciiTheme="majorHAnsi" w:hAnsiTheme="majorHAnsi"/>
          <w:sz w:val="20"/>
          <w:szCs w:val="20"/>
          <w:lang w:val="es-ES_tradnl"/>
        </w:rPr>
      </w:pPr>
    </w:p>
    <w:p w14:paraId="3FFC4458"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4BD6B651"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071D0CCF"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00810A57"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7176545D"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638F6CCB"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104D9A9D"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0C313DF9"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58233121"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59209741"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52577167"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7FA65F9F"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2CAF437C"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5ABCB51A"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147C841C" w14:textId="77777777" w:rsidR="00A50FCF" w:rsidRPr="00507154" w:rsidRDefault="0090270B" w:rsidP="00507154">
      <w:pPr>
        <w:tabs>
          <w:tab w:val="center" w:pos="5400"/>
        </w:tabs>
        <w:suppressAutoHyphens/>
        <w:jc w:val="center"/>
        <w:rPr>
          <w:rFonts w:asciiTheme="majorHAnsi" w:hAnsiTheme="majorHAnsi"/>
          <w:sz w:val="20"/>
          <w:szCs w:val="20"/>
          <w:lang w:val="es-ES_tradnl"/>
        </w:rPr>
      </w:pPr>
      <w:r w:rsidRPr="0050715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EEFD79D" wp14:editId="122F75F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91845" w14:textId="7F11AB81" w:rsidR="00393A30" w:rsidRPr="00890650" w:rsidRDefault="00393A30" w:rsidP="00393A30">
                            <w:pPr>
                              <w:tabs>
                                <w:tab w:val="center" w:pos="5400"/>
                              </w:tabs>
                              <w:suppressAutoHyphens/>
                              <w:spacing w:before="60"/>
                              <w:rPr>
                                <w:rFonts w:asciiTheme="majorHAnsi" w:hAnsiTheme="majorHAnsi"/>
                                <w:color w:val="0D0D0D" w:themeColor="text1" w:themeTint="F2"/>
                                <w:sz w:val="18"/>
                                <w:szCs w:val="22"/>
                                <w:lang w:val="es-ES"/>
                              </w:rPr>
                            </w:pPr>
                            <w:r w:rsidRPr="004C576F">
                              <w:rPr>
                                <w:rFonts w:asciiTheme="majorHAnsi" w:hAnsiTheme="majorHAnsi"/>
                                <w:color w:val="0D0D0D" w:themeColor="text1" w:themeTint="F2"/>
                                <w:sz w:val="18"/>
                                <w:szCs w:val="22"/>
                                <w:lang w:val="es-ES"/>
                              </w:rPr>
                              <w:t xml:space="preserve">Aprobado </w:t>
                            </w:r>
                            <w:proofErr w:type="spellStart"/>
                            <w:r w:rsidRPr="004C576F">
                              <w:rPr>
                                <w:rFonts w:asciiTheme="majorHAnsi" w:hAnsiTheme="majorHAnsi"/>
                                <w:color w:val="0D0D0D" w:themeColor="text1" w:themeTint="F2"/>
                                <w:sz w:val="18"/>
                                <w:szCs w:val="22"/>
                                <w:lang w:val="es-ES"/>
                              </w:rPr>
                              <w:t>electr</w:t>
                            </w:r>
                            <w:r w:rsidRPr="004C576F">
                              <w:rPr>
                                <w:rFonts w:asciiTheme="majorHAnsi" w:hAnsiTheme="majorHAnsi"/>
                                <w:color w:val="0D0D0D" w:themeColor="text1" w:themeTint="F2"/>
                                <w:sz w:val="18"/>
                                <w:szCs w:val="22"/>
                                <w:lang w:val="es-ES_tradnl"/>
                              </w:rPr>
                              <w:t>ónicamente</w:t>
                            </w:r>
                            <w:proofErr w:type="spellEnd"/>
                            <w:r w:rsidRPr="004C576F">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23</w:t>
                            </w:r>
                            <w:r w:rsidRPr="004C576F">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w:t>
                            </w:r>
                            <w:r w:rsidRPr="004C576F">
                              <w:rPr>
                                <w:rFonts w:asciiTheme="majorHAnsi" w:hAnsiTheme="majorHAnsi"/>
                                <w:color w:val="0D0D0D" w:themeColor="text1" w:themeTint="F2"/>
                                <w:sz w:val="18"/>
                                <w:szCs w:val="22"/>
                                <w:lang w:val="es-ES"/>
                              </w:rPr>
                              <w:t xml:space="preserve"> de 2020</w:t>
                            </w:r>
                            <w:r w:rsidR="007A7742">
                              <w:rPr>
                                <w:rFonts w:asciiTheme="majorHAnsi" w:hAnsiTheme="majorHAnsi"/>
                                <w:color w:val="0D0D0D" w:themeColor="text1" w:themeTint="F2"/>
                                <w:sz w:val="18"/>
                                <w:szCs w:val="22"/>
                                <w:lang w:val="es-ES"/>
                              </w:rPr>
                              <w:t>.</w:t>
                            </w:r>
                          </w:p>
                          <w:p w14:paraId="6124BFD8" w14:textId="77777777" w:rsidR="00393A30" w:rsidRPr="007A5817" w:rsidRDefault="00393A30" w:rsidP="00393A30">
                            <w:pPr>
                              <w:tabs>
                                <w:tab w:val="center" w:pos="5400"/>
                              </w:tabs>
                              <w:suppressAutoHyphens/>
                              <w:spacing w:before="60"/>
                              <w:rPr>
                                <w:rFonts w:asciiTheme="minorHAnsi" w:hAnsiTheme="minorHAnsi" w:cs="Univers"/>
                                <w:color w:val="0D0D0D" w:themeColor="text1" w:themeTint="F2"/>
                                <w:sz w:val="20"/>
                                <w:szCs w:val="20"/>
                                <w:lang w:val="es-ES"/>
                              </w:rPr>
                            </w:pPr>
                          </w:p>
                          <w:p w14:paraId="59E0A4D3" w14:textId="77777777" w:rsidR="00393A30" w:rsidRPr="00167A34" w:rsidRDefault="00393A30" w:rsidP="00393A30">
                            <w:pPr>
                              <w:tabs>
                                <w:tab w:val="center" w:pos="5400"/>
                              </w:tabs>
                              <w:suppressAutoHyphens/>
                              <w:spacing w:before="60"/>
                              <w:rPr>
                                <w:rFonts w:ascii="Calibri" w:hAnsi="Calibri"/>
                                <w:color w:val="FFFFFF" w:themeColor="background1"/>
                                <w:spacing w:val="-2"/>
                                <w:sz w:val="16"/>
                                <w:lang w:val="es-ES"/>
                              </w:rPr>
                            </w:pPr>
                          </w:p>
                          <w:p w14:paraId="2E649112" w14:textId="77777777" w:rsidR="00646437" w:rsidRPr="00167A34" w:rsidRDefault="0064643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D79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AF91845" w14:textId="7F11AB81" w:rsidR="00393A30" w:rsidRPr="00890650" w:rsidRDefault="00393A30" w:rsidP="00393A30">
                      <w:pPr>
                        <w:tabs>
                          <w:tab w:val="center" w:pos="5400"/>
                        </w:tabs>
                        <w:suppressAutoHyphens/>
                        <w:spacing w:before="60"/>
                        <w:rPr>
                          <w:rFonts w:asciiTheme="majorHAnsi" w:hAnsiTheme="majorHAnsi"/>
                          <w:color w:val="0D0D0D" w:themeColor="text1" w:themeTint="F2"/>
                          <w:sz w:val="18"/>
                          <w:szCs w:val="22"/>
                          <w:lang w:val="es-ES"/>
                        </w:rPr>
                      </w:pPr>
                      <w:r w:rsidRPr="004C576F">
                        <w:rPr>
                          <w:rFonts w:asciiTheme="majorHAnsi" w:hAnsiTheme="majorHAnsi"/>
                          <w:color w:val="0D0D0D" w:themeColor="text1" w:themeTint="F2"/>
                          <w:sz w:val="18"/>
                          <w:szCs w:val="22"/>
                          <w:lang w:val="es-ES"/>
                        </w:rPr>
                        <w:t xml:space="preserve">Aprobado </w:t>
                      </w:r>
                      <w:proofErr w:type="spellStart"/>
                      <w:r w:rsidRPr="004C576F">
                        <w:rPr>
                          <w:rFonts w:asciiTheme="majorHAnsi" w:hAnsiTheme="majorHAnsi"/>
                          <w:color w:val="0D0D0D" w:themeColor="text1" w:themeTint="F2"/>
                          <w:sz w:val="18"/>
                          <w:szCs w:val="22"/>
                          <w:lang w:val="es-ES"/>
                        </w:rPr>
                        <w:t>electr</w:t>
                      </w:r>
                      <w:r w:rsidRPr="004C576F">
                        <w:rPr>
                          <w:rFonts w:asciiTheme="majorHAnsi" w:hAnsiTheme="majorHAnsi"/>
                          <w:color w:val="0D0D0D" w:themeColor="text1" w:themeTint="F2"/>
                          <w:sz w:val="18"/>
                          <w:szCs w:val="22"/>
                          <w:lang w:val="es-ES_tradnl"/>
                        </w:rPr>
                        <w:t>ónicamente</w:t>
                      </w:r>
                      <w:proofErr w:type="spellEnd"/>
                      <w:r w:rsidRPr="004C576F">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23</w:t>
                      </w:r>
                      <w:r w:rsidRPr="004C576F">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w:t>
                      </w:r>
                      <w:r w:rsidRPr="004C576F">
                        <w:rPr>
                          <w:rFonts w:asciiTheme="majorHAnsi" w:hAnsiTheme="majorHAnsi"/>
                          <w:color w:val="0D0D0D" w:themeColor="text1" w:themeTint="F2"/>
                          <w:sz w:val="18"/>
                          <w:szCs w:val="22"/>
                          <w:lang w:val="es-ES"/>
                        </w:rPr>
                        <w:t xml:space="preserve"> de 2020</w:t>
                      </w:r>
                      <w:r w:rsidR="007A7742">
                        <w:rPr>
                          <w:rFonts w:asciiTheme="majorHAnsi" w:hAnsiTheme="majorHAnsi"/>
                          <w:color w:val="0D0D0D" w:themeColor="text1" w:themeTint="F2"/>
                          <w:sz w:val="18"/>
                          <w:szCs w:val="22"/>
                          <w:lang w:val="es-ES"/>
                        </w:rPr>
                        <w:t>.</w:t>
                      </w:r>
                    </w:p>
                    <w:p w14:paraId="6124BFD8" w14:textId="77777777" w:rsidR="00393A30" w:rsidRPr="007A5817" w:rsidRDefault="00393A30" w:rsidP="00393A30">
                      <w:pPr>
                        <w:tabs>
                          <w:tab w:val="center" w:pos="5400"/>
                        </w:tabs>
                        <w:suppressAutoHyphens/>
                        <w:spacing w:before="60"/>
                        <w:rPr>
                          <w:rFonts w:asciiTheme="minorHAnsi" w:hAnsiTheme="minorHAnsi" w:cs="Univers"/>
                          <w:color w:val="0D0D0D" w:themeColor="text1" w:themeTint="F2"/>
                          <w:sz w:val="20"/>
                          <w:szCs w:val="20"/>
                          <w:lang w:val="es-ES"/>
                        </w:rPr>
                      </w:pPr>
                    </w:p>
                    <w:p w14:paraId="59E0A4D3" w14:textId="77777777" w:rsidR="00393A30" w:rsidRPr="00167A34" w:rsidRDefault="00393A30" w:rsidP="00393A30">
                      <w:pPr>
                        <w:tabs>
                          <w:tab w:val="center" w:pos="5400"/>
                        </w:tabs>
                        <w:suppressAutoHyphens/>
                        <w:spacing w:before="60"/>
                        <w:rPr>
                          <w:rFonts w:ascii="Calibri" w:hAnsi="Calibri"/>
                          <w:color w:val="FFFFFF" w:themeColor="background1"/>
                          <w:spacing w:val="-2"/>
                          <w:sz w:val="16"/>
                          <w:lang w:val="es-ES"/>
                        </w:rPr>
                      </w:pPr>
                    </w:p>
                    <w:p w14:paraId="2E649112" w14:textId="77777777" w:rsidR="00646437" w:rsidRPr="00167A34" w:rsidRDefault="0064643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7E4DB99"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71C9439D"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5133BF5E"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49415130"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69D488AF" w14:textId="77777777" w:rsidR="00A50FCF" w:rsidRPr="00507154" w:rsidRDefault="0090270B" w:rsidP="00507154">
      <w:pPr>
        <w:tabs>
          <w:tab w:val="center" w:pos="5400"/>
        </w:tabs>
        <w:suppressAutoHyphens/>
        <w:jc w:val="center"/>
        <w:rPr>
          <w:rFonts w:asciiTheme="majorHAnsi" w:hAnsiTheme="majorHAnsi"/>
          <w:sz w:val="20"/>
          <w:szCs w:val="20"/>
          <w:lang w:val="es-ES_tradnl"/>
        </w:rPr>
      </w:pPr>
      <w:r w:rsidRPr="0050715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1CCFC44" wp14:editId="6FF6826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5422B" w14:textId="77777777" w:rsidR="00393A30" w:rsidRPr="007B05C4" w:rsidRDefault="00393A30" w:rsidP="00393A3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C576F">
                              <w:rPr>
                                <w:rFonts w:asciiTheme="majorHAnsi" w:hAnsiTheme="majorHAnsi"/>
                                <w:color w:val="595959" w:themeColor="text1" w:themeTint="A6"/>
                                <w:sz w:val="18"/>
                                <w:szCs w:val="18"/>
                                <w:lang w:val="pt-BR"/>
                              </w:rPr>
                              <w:t xml:space="preserve">342/20. </w:t>
                            </w:r>
                            <w:proofErr w:type="spellStart"/>
                            <w:r w:rsidRPr="004C576F">
                              <w:rPr>
                                <w:rFonts w:asciiTheme="majorHAnsi" w:hAnsiTheme="majorHAnsi"/>
                                <w:color w:val="595959" w:themeColor="text1" w:themeTint="A6"/>
                                <w:sz w:val="18"/>
                                <w:szCs w:val="18"/>
                                <w:lang w:val="es-ES_tradnl"/>
                              </w:rPr>
                              <w:t>Petici</w:t>
                            </w:r>
                            <w:r w:rsidRPr="004C576F">
                              <w:rPr>
                                <w:rFonts w:asciiTheme="majorHAnsi" w:hAnsiTheme="majorHAnsi"/>
                                <w:color w:val="595959" w:themeColor="text1" w:themeTint="A6"/>
                                <w:sz w:val="18"/>
                                <w:szCs w:val="18"/>
                                <w:lang w:val="es-ES"/>
                              </w:rPr>
                              <w:t>ón</w:t>
                            </w:r>
                            <w:proofErr w:type="spellEnd"/>
                            <w:r w:rsidRPr="004C576F">
                              <w:rPr>
                                <w:rFonts w:asciiTheme="majorHAnsi" w:hAnsiTheme="majorHAnsi"/>
                                <w:color w:val="595959" w:themeColor="text1" w:themeTint="A6"/>
                                <w:sz w:val="18"/>
                                <w:szCs w:val="18"/>
                                <w:lang w:val="es-ES"/>
                              </w:rPr>
                              <w:t xml:space="preserve"> 863-10. </w:t>
                            </w:r>
                            <w:r w:rsidRPr="004C576F">
                              <w:rPr>
                                <w:rFonts w:asciiTheme="majorHAnsi" w:hAnsiTheme="majorHAnsi"/>
                                <w:color w:val="595959" w:themeColor="text1" w:themeTint="A6"/>
                                <w:sz w:val="18"/>
                                <w:szCs w:val="18"/>
                                <w:lang w:val="es-ES_tradnl"/>
                              </w:rPr>
                              <w:t xml:space="preserve">Admisibilidad. </w:t>
                            </w:r>
                            <w:proofErr w:type="spellStart"/>
                            <w:r w:rsidRPr="004C576F">
                              <w:rPr>
                                <w:rFonts w:asciiTheme="majorHAnsi" w:hAnsiTheme="majorHAnsi"/>
                                <w:color w:val="595959" w:themeColor="text1" w:themeTint="A6"/>
                                <w:sz w:val="18"/>
                                <w:szCs w:val="18"/>
                                <w:lang w:val="es-ES_tradnl"/>
                              </w:rPr>
                              <w:t>Helvir</w:t>
                            </w:r>
                            <w:proofErr w:type="spellEnd"/>
                            <w:r w:rsidRPr="004C576F">
                              <w:rPr>
                                <w:rFonts w:asciiTheme="majorHAnsi" w:hAnsiTheme="majorHAnsi"/>
                                <w:color w:val="595959" w:themeColor="text1" w:themeTint="A6"/>
                                <w:sz w:val="18"/>
                                <w:szCs w:val="18"/>
                                <w:lang w:val="es-ES_tradnl"/>
                              </w:rPr>
                              <w:t xml:space="preserve"> Antonio Torres Clavijo, Freddy Torres </w:t>
                            </w:r>
                            <w:proofErr w:type="spellStart"/>
                            <w:r w:rsidRPr="004C576F">
                              <w:rPr>
                                <w:rFonts w:asciiTheme="majorHAnsi" w:hAnsiTheme="majorHAnsi"/>
                                <w:color w:val="595959" w:themeColor="text1" w:themeTint="A6"/>
                                <w:sz w:val="18"/>
                                <w:szCs w:val="18"/>
                                <w:lang w:val="es-ES_tradnl"/>
                              </w:rPr>
                              <w:t>Torres</w:t>
                            </w:r>
                            <w:proofErr w:type="spellEnd"/>
                            <w:r w:rsidRPr="004C576F">
                              <w:rPr>
                                <w:rFonts w:asciiTheme="majorHAnsi" w:hAnsiTheme="majorHAnsi"/>
                                <w:color w:val="595959" w:themeColor="text1" w:themeTint="A6"/>
                                <w:sz w:val="18"/>
                                <w:szCs w:val="18"/>
                                <w:lang w:val="es-ES_tradnl"/>
                              </w:rPr>
                              <w:t xml:space="preserve"> y sus familiares. Colombia. </w:t>
                            </w:r>
                            <w:r>
                              <w:rPr>
                                <w:rFonts w:asciiTheme="majorHAnsi" w:hAnsiTheme="majorHAnsi"/>
                                <w:color w:val="595959" w:themeColor="text1" w:themeTint="A6"/>
                                <w:sz w:val="18"/>
                                <w:szCs w:val="18"/>
                                <w:lang w:val="es-ES"/>
                              </w:rPr>
                              <w:t>23 de noviembre de 2020</w:t>
                            </w:r>
                            <w:r w:rsidRPr="004C576F">
                              <w:rPr>
                                <w:rFonts w:asciiTheme="majorHAnsi" w:hAnsiTheme="majorHAnsi"/>
                                <w:color w:val="595959" w:themeColor="text1" w:themeTint="A6"/>
                                <w:sz w:val="18"/>
                                <w:szCs w:val="18"/>
                                <w:lang w:val="es-ES"/>
                              </w:rPr>
                              <w:t>.</w:t>
                            </w:r>
                          </w:p>
                          <w:p w14:paraId="18839BD0" w14:textId="10F90F1B" w:rsidR="00646437" w:rsidRPr="007B05C4" w:rsidRDefault="00646437"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CCFC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DC5422B" w14:textId="77777777" w:rsidR="00393A30" w:rsidRPr="007B05C4" w:rsidRDefault="00393A30" w:rsidP="00393A3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C576F">
                        <w:rPr>
                          <w:rFonts w:asciiTheme="majorHAnsi" w:hAnsiTheme="majorHAnsi"/>
                          <w:color w:val="595959" w:themeColor="text1" w:themeTint="A6"/>
                          <w:sz w:val="18"/>
                          <w:szCs w:val="18"/>
                          <w:lang w:val="pt-BR"/>
                        </w:rPr>
                        <w:t xml:space="preserve">342/20. </w:t>
                      </w:r>
                      <w:r w:rsidRPr="004C576F">
                        <w:rPr>
                          <w:rFonts w:asciiTheme="majorHAnsi" w:hAnsiTheme="majorHAnsi"/>
                          <w:color w:val="595959" w:themeColor="text1" w:themeTint="A6"/>
                          <w:sz w:val="18"/>
                          <w:szCs w:val="18"/>
                          <w:lang w:val="es-ES_tradnl"/>
                        </w:rPr>
                        <w:t>Petici</w:t>
                      </w:r>
                      <w:r w:rsidRPr="004C576F">
                        <w:rPr>
                          <w:rFonts w:asciiTheme="majorHAnsi" w:hAnsiTheme="majorHAnsi"/>
                          <w:color w:val="595959" w:themeColor="text1" w:themeTint="A6"/>
                          <w:sz w:val="18"/>
                          <w:szCs w:val="18"/>
                          <w:lang w:val="es-ES"/>
                        </w:rPr>
                        <w:t xml:space="preserve">ón 863-10. </w:t>
                      </w:r>
                      <w:r w:rsidRPr="004C576F">
                        <w:rPr>
                          <w:rFonts w:asciiTheme="majorHAnsi" w:hAnsiTheme="majorHAnsi"/>
                          <w:color w:val="595959" w:themeColor="text1" w:themeTint="A6"/>
                          <w:sz w:val="18"/>
                          <w:szCs w:val="18"/>
                          <w:lang w:val="es-ES_tradnl"/>
                        </w:rPr>
                        <w:t xml:space="preserve">Admisibilidad. Helvir Antonio Torres Clavijo, Freddy Torres Torres y sus familiares. Colombia. </w:t>
                      </w:r>
                      <w:r>
                        <w:rPr>
                          <w:rFonts w:asciiTheme="majorHAnsi" w:hAnsiTheme="majorHAnsi"/>
                          <w:color w:val="595959" w:themeColor="text1" w:themeTint="A6"/>
                          <w:sz w:val="18"/>
                          <w:szCs w:val="18"/>
                          <w:lang w:val="es-ES"/>
                        </w:rPr>
                        <w:t>23 de noviembre de 2020</w:t>
                      </w:r>
                      <w:r w:rsidRPr="004C576F">
                        <w:rPr>
                          <w:rFonts w:asciiTheme="majorHAnsi" w:hAnsiTheme="majorHAnsi"/>
                          <w:color w:val="595959" w:themeColor="text1" w:themeTint="A6"/>
                          <w:sz w:val="18"/>
                          <w:szCs w:val="18"/>
                          <w:lang w:val="es-ES"/>
                        </w:rPr>
                        <w:t>.</w:t>
                      </w:r>
                    </w:p>
                    <w:p w14:paraId="18839BD0" w14:textId="10F90F1B" w:rsidR="00646437" w:rsidRPr="007B05C4" w:rsidRDefault="00646437"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8C9125" w14:textId="77777777" w:rsidR="00A50FCF" w:rsidRPr="00507154" w:rsidRDefault="00A50FCF" w:rsidP="00507154">
      <w:pPr>
        <w:tabs>
          <w:tab w:val="center" w:pos="5400"/>
        </w:tabs>
        <w:suppressAutoHyphens/>
        <w:jc w:val="center"/>
        <w:rPr>
          <w:rFonts w:asciiTheme="majorHAnsi" w:hAnsiTheme="majorHAnsi"/>
          <w:sz w:val="20"/>
          <w:szCs w:val="20"/>
          <w:lang w:val="es-ES_tradnl"/>
        </w:rPr>
      </w:pPr>
    </w:p>
    <w:p w14:paraId="40A8FDAD" w14:textId="77777777" w:rsidR="0090270B" w:rsidRPr="00507154" w:rsidRDefault="00D306D1" w:rsidP="00507154">
      <w:pPr>
        <w:tabs>
          <w:tab w:val="center" w:pos="5400"/>
        </w:tabs>
        <w:suppressAutoHyphens/>
        <w:jc w:val="center"/>
        <w:rPr>
          <w:rFonts w:asciiTheme="majorHAnsi" w:hAnsiTheme="majorHAnsi"/>
          <w:b/>
          <w:sz w:val="20"/>
          <w:szCs w:val="20"/>
          <w:lang w:val="es-ES_tradnl"/>
        </w:rPr>
      </w:pPr>
      <w:r w:rsidRPr="0050715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EF4E6F4" wp14:editId="02F4D12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E4FD8" w14:textId="54E09120" w:rsidR="00646437" w:rsidRPr="00D72DC6" w:rsidRDefault="007A7742" w:rsidP="00F02AD1">
                            <w:pPr>
                              <w:rPr>
                                <w:color w:val="FFFFFF" w:themeColor="background1"/>
                                <w14:textFill>
                                  <w14:noFill/>
                                </w14:textFill>
                              </w:rPr>
                            </w:pPr>
                            <w:r>
                              <w:rPr>
                                <w:noProof/>
                                <w:color w:val="FFFFFF" w:themeColor="background1"/>
                              </w:rPr>
                              <w:drawing>
                                <wp:inline distT="0" distB="0" distL="0" distR="0" wp14:anchorId="462C5EE7" wp14:editId="17252AA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E6F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A1E4FD8" w14:textId="54E09120" w:rsidR="00646437" w:rsidRPr="00D72DC6" w:rsidRDefault="007A7742" w:rsidP="00F02AD1">
                      <w:pPr>
                        <w:rPr>
                          <w:color w:val="FFFFFF" w:themeColor="background1"/>
                          <w14:textFill>
                            <w14:noFill/>
                          </w14:textFill>
                        </w:rPr>
                      </w:pPr>
                      <w:r>
                        <w:rPr>
                          <w:noProof/>
                          <w:color w:val="FFFFFF" w:themeColor="background1"/>
                        </w:rPr>
                        <w:drawing>
                          <wp:inline distT="0" distB="0" distL="0" distR="0" wp14:anchorId="462C5EE7" wp14:editId="17252AA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50715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CFE5DA4" wp14:editId="555B3EC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84469" w14:textId="77777777" w:rsidR="00646437" w:rsidRPr="004B7EB6" w:rsidRDefault="00646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CFE5DA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84469" w14:textId="77777777" w:rsidR="00646437" w:rsidRPr="004B7EB6" w:rsidRDefault="00646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E18A965" w14:textId="77777777" w:rsidR="0070697F" w:rsidRPr="00507154" w:rsidRDefault="004A6A54" w:rsidP="00507154">
      <w:pPr>
        <w:tabs>
          <w:tab w:val="center" w:pos="5400"/>
        </w:tabs>
        <w:suppressAutoHyphens/>
        <w:jc w:val="center"/>
        <w:rPr>
          <w:rFonts w:asciiTheme="majorHAnsi" w:hAnsiTheme="majorHAnsi"/>
          <w:b/>
          <w:sz w:val="20"/>
          <w:szCs w:val="20"/>
          <w:lang w:val="es-ES_tradnl"/>
        </w:rPr>
        <w:sectPr w:rsidR="0070697F" w:rsidRPr="0050715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507154">
        <w:rPr>
          <w:rFonts w:asciiTheme="majorHAnsi" w:hAnsiTheme="majorHAnsi"/>
          <w:b/>
          <w:sz w:val="20"/>
          <w:szCs w:val="20"/>
          <w:lang w:val="es-ES_tradnl"/>
        </w:rPr>
        <w:tab/>
      </w:r>
    </w:p>
    <w:p w14:paraId="03274F7A" w14:textId="77777777" w:rsidR="003239B8" w:rsidRPr="00507154" w:rsidRDefault="003239B8" w:rsidP="00507154">
      <w:pPr>
        <w:pStyle w:val="ListParagraph"/>
        <w:numPr>
          <w:ilvl w:val="0"/>
          <w:numId w:val="61"/>
        </w:numPr>
        <w:jc w:val="both"/>
        <w:rPr>
          <w:rFonts w:asciiTheme="majorHAnsi" w:hAnsiTheme="majorHAnsi"/>
          <w:b/>
          <w:bCs/>
          <w:sz w:val="20"/>
          <w:szCs w:val="20"/>
          <w:lang w:val="es-ES"/>
        </w:rPr>
      </w:pPr>
      <w:r w:rsidRPr="00507154">
        <w:rPr>
          <w:rFonts w:asciiTheme="majorHAnsi" w:hAnsiTheme="majorHAnsi"/>
          <w:b/>
          <w:bCs/>
          <w:sz w:val="20"/>
          <w:szCs w:val="20"/>
          <w:lang w:val="es-ES"/>
        </w:rPr>
        <w:lastRenderedPageBreak/>
        <w:t xml:space="preserve">DATOS DE LA PETICIÓN </w:t>
      </w:r>
    </w:p>
    <w:p w14:paraId="1620AF40" w14:textId="77777777" w:rsidR="00507154" w:rsidRPr="00507154" w:rsidRDefault="00507154" w:rsidP="00507154">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35FA4" w14:paraId="06C05F40" w14:textId="77777777" w:rsidTr="004A6A54">
        <w:tc>
          <w:tcPr>
            <w:tcW w:w="3600" w:type="dxa"/>
            <w:tcBorders>
              <w:top w:val="single" w:sz="4" w:space="0" w:color="auto"/>
              <w:bottom w:val="single" w:sz="6" w:space="0" w:color="auto"/>
            </w:tcBorders>
            <w:shd w:val="clear" w:color="auto" w:fill="386294"/>
            <w:vAlign w:val="center"/>
          </w:tcPr>
          <w:p w14:paraId="7EEFD901"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Parte peticionaria:</w:t>
            </w:r>
          </w:p>
        </w:tc>
        <w:tc>
          <w:tcPr>
            <w:tcW w:w="5760" w:type="dxa"/>
            <w:vAlign w:val="center"/>
          </w:tcPr>
          <w:p w14:paraId="5264F964" w14:textId="77777777" w:rsidR="003239B8" w:rsidRPr="00507154" w:rsidRDefault="00B97073" w:rsidP="00507154">
            <w:pPr>
              <w:jc w:val="both"/>
              <w:rPr>
                <w:rFonts w:asciiTheme="majorHAnsi" w:hAnsiTheme="majorHAnsi"/>
                <w:bCs/>
                <w:sz w:val="20"/>
                <w:szCs w:val="20"/>
                <w:lang w:val="es-CO"/>
              </w:rPr>
            </w:pPr>
            <w:r w:rsidRPr="00507154">
              <w:rPr>
                <w:rFonts w:asciiTheme="majorHAnsi" w:hAnsiTheme="majorHAnsi"/>
                <w:bCs/>
                <w:sz w:val="20"/>
                <w:szCs w:val="20"/>
                <w:lang w:val="es-CO"/>
              </w:rPr>
              <w:t>Corporación Colectivo de Abogados José Alvear Restrepo</w:t>
            </w:r>
          </w:p>
        </w:tc>
      </w:tr>
      <w:tr w:rsidR="003239B8" w:rsidRPr="00535FA4" w14:paraId="1EFD41C9" w14:textId="77777777" w:rsidTr="004A6A54">
        <w:tc>
          <w:tcPr>
            <w:tcW w:w="3600" w:type="dxa"/>
            <w:tcBorders>
              <w:top w:val="single" w:sz="6" w:space="0" w:color="auto"/>
              <w:bottom w:val="single" w:sz="6" w:space="0" w:color="auto"/>
            </w:tcBorders>
            <w:shd w:val="clear" w:color="auto" w:fill="386294"/>
            <w:vAlign w:val="center"/>
          </w:tcPr>
          <w:p w14:paraId="1D12DFA3" w14:textId="77777777" w:rsidR="003239B8" w:rsidRPr="00507154" w:rsidRDefault="00F61530" w:rsidP="00507154">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07154">
                  <w:rPr>
                    <w:rFonts w:asciiTheme="majorHAnsi" w:hAnsiTheme="majorHAnsi"/>
                    <w:b/>
                    <w:bCs/>
                    <w:color w:val="FFFFFF" w:themeColor="background1"/>
                    <w:sz w:val="20"/>
                    <w:szCs w:val="20"/>
                  </w:rPr>
                  <w:t>Presunta víctima</w:t>
                </w:r>
              </w:sdtContent>
            </w:sdt>
            <w:r w:rsidR="003239B8" w:rsidRPr="00507154">
              <w:rPr>
                <w:rFonts w:asciiTheme="majorHAnsi" w:hAnsiTheme="majorHAnsi"/>
                <w:b/>
                <w:bCs/>
                <w:color w:val="FFFFFF" w:themeColor="background1"/>
                <w:sz w:val="20"/>
                <w:szCs w:val="20"/>
              </w:rPr>
              <w:t>:</w:t>
            </w:r>
          </w:p>
        </w:tc>
        <w:tc>
          <w:tcPr>
            <w:tcW w:w="5760" w:type="dxa"/>
            <w:vAlign w:val="center"/>
          </w:tcPr>
          <w:p w14:paraId="781A2B55" w14:textId="77777777" w:rsidR="003239B8" w:rsidRPr="00507154" w:rsidRDefault="00B97073" w:rsidP="00507154">
            <w:pPr>
              <w:jc w:val="both"/>
              <w:rPr>
                <w:rFonts w:asciiTheme="majorHAnsi" w:hAnsiTheme="majorHAnsi"/>
                <w:bCs/>
                <w:sz w:val="20"/>
                <w:szCs w:val="20"/>
                <w:lang w:val="es-ES"/>
              </w:rPr>
            </w:pPr>
            <w:r w:rsidRPr="00507154">
              <w:rPr>
                <w:rFonts w:asciiTheme="majorHAnsi" w:hAnsiTheme="majorHAnsi"/>
                <w:bCs/>
                <w:sz w:val="20"/>
                <w:szCs w:val="20"/>
                <w:lang w:val="es-ES"/>
              </w:rPr>
              <w:t>Helvir Antonio Torres Clavijo, Freddy Torres Torres y familiares</w:t>
            </w:r>
            <w:r w:rsidR="009B49E2" w:rsidRPr="00507154">
              <w:rPr>
                <w:rStyle w:val="FootnoteReference"/>
                <w:rFonts w:asciiTheme="majorHAnsi" w:hAnsiTheme="majorHAnsi"/>
                <w:bCs/>
                <w:sz w:val="20"/>
                <w:szCs w:val="20"/>
                <w:lang w:val="es-ES"/>
              </w:rPr>
              <w:footnoteReference w:id="2"/>
            </w:r>
          </w:p>
        </w:tc>
      </w:tr>
      <w:tr w:rsidR="003239B8" w:rsidRPr="00507154" w14:paraId="3CBD78FD" w14:textId="77777777" w:rsidTr="004A6A54">
        <w:tc>
          <w:tcPr>
            <w:tcW w:w="3600" w:type="dxa"/>
            <w:tcBorders>
              <w:top w:val="single" w:sz="6" w:space="0" w:color="auto"/>
              <w:bottom w:val="single" w:sz="6" w:space="0" w:color="auto"/>
            </w:tcBorders>
            <w:shd w:val="clear" w:color="auto" w:fill="386294"/>
            <w:vAlign w:val="center"/>
          </w:tcPr>
          <w:p w14:paraId="74D170B1"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Estado denunciado:</w:t>
            </w:r>
          </w:p>
        </w:tc>
        <w:tc>
          <w:tcPr>
            <w:tcW w:w="5760" w:type="dxa"/>
            <w:vAlign w:val="center"/>
          </w:tcPr>
          <w:p w14:paraId="21DD2ABE" w14:textId="77777777" w:rsidR="003239B8" w:rsidRPr="00507154" w:rsidRDefault="00B97073" w:rsidP="00507154">
            <w:pPr>
              <w:jc w:val="both"/>
              <w:rPr>
                <w:rFonts w:asciiTheme="majorHAnsi" w:hAnsiTheme="majorHAnsi"/>
                <w:bCs/>
                <w:sz w:val="20"/>
                <w:szCs w:val="20"/>
              </w:rPr>
            </w:pPr>
            <w:r w:rsidRPr="00507154">
              <w:rPr>
                <w:rFonts w:asciiTheme="majorHAnsi" w:hAnsiTheme="majorHAnsi"/>
                <w:bCs/>
                <w:sz w:val="20"/>
                <w:szCs w:val="20"/>
              </w:rPr>
              <w:t>Colombia</w:t>
            </w:r>
          </w:p>
        </w:tc>
      </w:tr>
      <w:tr w:rsidR="00223A29" w:rsidRPr="00535FA4" w14:paraId="6570407C" w14:textId="77777777" w:rsidTr="004A6A54">
        <w:tc>
          <w:tcPr>
            <w:tcW w:w="3600" w:type="dxa"/>
            <w:tcBorders>
              <w:top w:val="single" w:sz="6" w:space="0" w:color="auto"/>
              <w:bottom w:val="single" w:sz="6" w:space="0" w:color="auto"/>
            </w:tcBorders>
            <w:shd w:val="clear" w:color="auto" w:fill="386294"/>
            <w:vAlign w:val="center"/>
          </w:tcPr>
          <w:p w14:paraId="4BD76411" w14:textId="77777777" w:rsidR="00223A29" w:rsidRPr="00507154" w:rsidRDefault="001B3A00"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 xml:space="preserve">Derechos </w:t>
            </w:r>
            <w:r w:rsidR="00E4118C" w:rsidRPr="00507154">
              <w:rPr>
                <w:rFonts w:asciiTheme="majorHAnsi" w:hAnsiTheme="majorHAnsi"/>
                <w:b/>
                <w:bCs/>
                <w:color w:val="FFFFFF" w:themeColor="background1"/>
                <w:sz w:val="20"/>
                <w:szCs w:val="20"/>
              </w:rPr>
              <w:t>invocados</w:t>
            </w:r>
            <w:r w:rsidRPr="00507154">
              <w:rPr>
                <w:rFonts w:asciiTheme="majorHAnsi" w:hAnsiTheme="majorHAnsi"/>
                <w:b/>
                <w:bCs/>
                <w:color w:val="FFFFFF" w:themeColor="background1"/>
                <w:sz w:val="20"/>
                <w:szCs w:val="20"/>
              </w:rPr>
              <w:t>:</w:t>
            </w:r>
          </w:p>
        </w:tc>
        <w:tc>
          <w:tcPr>
            <w:tcW w:w="5760" w:type="dxa"/>
            <w:vAlign w:val="center"/>
          </w:tcPr>
          <w:p w14:paraId="2126B812" w14:textId="77777777" w:rsidR="00223A29" w:rsidRPr="00393A30" w:rsidRDefault="00F66B58" w:rsidP="00507154">
            <w:pPr>
              <w:jc w:val="both"/>
              <w:rPr>
                <w:rFonts w:asciiTheme="majorHAnsi" w:hAnsiTheme="majorHAnsi"/>
                <w:bCs/>
                <w:sz w:val="19"/>
                <w:szCs w:val="19"/>
                <w:lang w:val="es-CO"/>
              </w:rPr>
            </w:pPr>
            <w:r w:rsidRPr="00393A30">
              <w:rPr>
                <w:rFonts w:asciiTheme="majorHAnsi" w:hAnsiTheme="majorHAnsi"/>
                <w:bCs/>
                <w:sz w:val="19"/>
                <w:szCs w:val="19"/>
                <w:lang w:val="es-CO"/>
              </w:rPr>
              <w:t>Artículos 4 (vida), 5 (integridad personal), 8 (garantías judiciales), 11 (honra y dignidad), 22 (circulación y residencia) y 25 (protección judicial) de la Convención Americana sobre Derechos Humanos</w:t>
            </w:r>
            <w:r w:rsidR="00B14A38" w:rsidRPr="00393A30">
              <w:rPr>
                <w:rStyle w:val="FootnoteReference"/>
                <w:rFonts w:asciiTheme="majorHAnsi" w:hAnsiTheme="majorHAnsi"/>
                <w:bCs/>
                <w:sz w:val="19"/>
                <w:szCs w:val="19"/>
                <w:lang w:val="es-CO"/>
              </w:rPr>
              <w:footnoteReference w:id="3"/>
            </w:r>
            <w:r w:rsidRPr="00393A30">
              <w:rPr>
                <w:rFonts w:asciiTheme="majorHAnsi" w:hAnsiTheme="majorHAnsi"/>
                <w:bCs/>
                <w:sz w:val="19"/>
                <w:szCs w:val="19"/>
                <w:lang w:val="es-CO"/>
              </w:rPr>
              <w:t>, en relación con su Artículo 1.1 (obligación de respetar los derechos)</w:t>
            </w:r>
            <w:r w:rsidR="008C22EE" w:rsidRPr="00393A30">
              <w:rPr>
                <w:rFonts w:asciiTheme="majorHAnsi" w:hAnsiTheme="majorHAnsi"/>
                <w:bCs/>
                <w:sz w:val="19"/>
                <w:szCs w:val="19"/>
                <w:lang w:val="es-CO"/>
              </w:rPr>
              <w:t>; Artículos 1, 6 y 8 de la Convención Interamericana para Prevenir y Sancionar la Tortura.</w:t>
            </w:r>
          </w:p>
        </w:tc>
      </w:tr>
    </w:tbl>
    <w:p w14:paraId="1E66CCDC" w14:textId="77777777" w:rsidR="00507154" w:rsidRDefault="00507154" w:rsidP="00507154">
      <w:pPr>
        <w:ind w:firstLine="720"/>
        <w:jc w:val="both"/>
        <w:rPr>
          <w:rFonts w:asciiTheme="majorHAnsi" w:hAnsiTheme="majorHAnsi"/>
          <w:b/>
          <w:bCs/>
          <w:sz w:val="20"/>
          <w:szCs w:val="20"/>
          <w:lang w:val="es-ES"/>
        </w:rPr>
      </w:pPr>
    </w:p>
    <w:p w14:paraId="68CDD867" w14:textId="77777777" w:rsidR="003239B8" w:rsidRPr="00507154" w:rsidRDefault="003239B8" w:rsidP="00507154">
      <w:pPr>
        <w:pStyle w:val="ListParagraph"/>
        <w:numPr>
          <w:ilvl w:val="0"/>
          <w:numId w:val="61"/>
        </w:numPr>
        <w:jc w:val="both"/>
        <w:rPr>
          <w:rFonts w:asciiTheme="majorHAnsi" w:hAnsiTheme="majorHAnsi"/>
          <w:b/>
          <w:bCs/>
          <w:sz w:val="20"/>
          <w:szCs w:val="20"/>
          <w:lang w:val="es-ES"/>
        </w:rPr>
      </w:pPr>
      <w:r w:rsidRPr="00507154">
        <w:rPr>
          <w:rFonts w:asciiTheme="majorHAnsi" w:hAnsiTheme="majorHAnsi"/>
          <w:b/>
          <w:bCs/>
          <w:sz w:val="20"/>
          <w:szCs w:val="20"/>
          <w:lang w:val="es-ES"/>
        </w:rPr>
        <w:t>TRÁMITE ANTE LA CIDH</w:t>
      </w:r>
      <w:r w:rsidR="008E3BFE" w:rsidRPr="00507154">
        <w:rPr>
          <w:rStyle w:val="FootnoteReference"/>
          <w:rFonts w:asciiTheme="majorHAnsi" w:hAnsiTheme="majorHAnsi"/>
          <w:b/>
          <w:sz w:val="20"/>
          <w:szCs w:val="20"/>
        </w:rPr>
        <w:footnoteReference w:id="4"/>
      </w:r>
    </w:p>
    <w:p w14:paraId="3BF3E85F" w14:textId="77777777" w:rsidR="00507154" w:rsidRPr="00507154" w:rsidRDefault="00507154" w:rsidP="00507154">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07154" w14:paraId="0BED1BBD" w14:textId="77777777" w:rsidTr="004A6A54">
        <w:tc>
          <w:tcPr>
            <w:tcW w:w="3600" w:type="dxa"/>
            <w:tcBorders>
              <w:top w:val="single" w:sz="6" w:space="0" w:color="auto"/>
              <w:bottom w:val="single" w:sz="6" w:space="0" w:color="auto"/>
            </w:tcBorders>
            <w:shd w:val="clear" w:color="auto" w:fill="386294"/>
            <w:vAlign w:val="center"/>
          </w:tcPr>
          <w:p w14:paraId="17264F25" w14:textId="77777777" w:rsidR="004C2312" w:rsidRPr="00507154" w:rsidRDefault="004A6A54"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t>P</w:t>
            </w:r>
            <w:r w:rsidR="004C2312" w:rsidRPr="00507154">
              <w:rPr>
                <w:rFonts w:asciiTheme="majorHAnsi" w:hAnsiTheme="majorHAnsi"/>
                <w:b/>
                <w:bCs/>
                <w:color w:val="FFFFFF" w:themeColor="background1"/>
                <w:sz w:val="20"/>
                <w:szCs w:val="20"/>
                <w:lang w:val="es-ES"/>
              </w:rPr>
              <w:t>resentación de la petición:</w:t>
            </w:r>
          </w:p>
        </w:tc>
        <w:tc>
          <w:tcPr>
            <w:tcW w:w="5760" w:type="dxa"/>
            <w:vAlign w:val="center"/>
          </w:tcPr>
          <w:p w14:paraId="33B6EE9F" w14:textId="77777777" w:rsidR="004C2312" w:rsidRPr="00507154" w:rsidRDefault="00F66B58" w:rsidP="00507154">
            <w:pPr>
              <w:jc w:val="both"/>
              <w:rPr>
                <w:rFonts w:asciiTheme="majorHAnsi" w:hAnsiTheme="majorHAnsi"/>
                <w:bCs/>
                <w:sz w:val="20"/>
                <w:szCs w:val="20"/>
                <w:lang w:val="es-ES"/>
              </w:rPr>
            </w:pPr>
            <w:r w:rsidRPr="00507154">
              <w:rPr>
                <w:rFonts w:asciiTheme="majorHAnsi" w:hAnsiTheme="majorHAnsi"/>
                <w:bCs/>
                <w:sz w:val="20"/>
                <w:szCs w:val="20"/>
                <w:lang w:val="es-ES"/>
              </w:rPr>
              <w:t>3 de junio de 2010</w:t>
            </w:r>
          </w:p>
        </w:tc>
      </w:tr>
      <w:tr w:rsidR="004C2312" w:rsidRPr="00507154" w14:paraId="0B405852" w14:textId="77777777" w:rsidTr="004A6A54">
        <w:tc>
          <w:tcPr>
            <w:tcW w:w="3600" w:type="dxa"/>
            <w:tcBorders>
              <w:top w:val="single" w:sz="6" w:space="0" w:color="auto"/>
              <w:bottom w:val="single" w:sz="6" w:space="0" w:color="auto"/>
            </w:tcBorders>
            <w:shd w:val="clear" w:color="auto" w:fill="386294"/>
            <w:vAlign w:val="center"/>
          </w:tcPr>
          <w:p w14:paraId="224DCA33" w14:textId="77777777" w:rsidR="004C2312" w:rsidRPr="00507154" w:rsidRDefault="004A6A54" w:rsidP="00507154">
            <w:pPr>
              <w:jc w:val="center"/>
              <w:rPr>
                <w:rFonts w:asciiTheme="majorHAnsi" w:hAnsiTheme="majorHAnsi"/>
                <w:b/>
                <w:bCs/>
                <w:color w:val="FFFFFF" w:themeColor="background1"/>
                <w:sz w:val="20"/>
                <w:szCs w:val="20"/>
                <w:lang w:val="es-ES"/>
              </w:rPr>
            </w:pPr>
            <w:r w:rsidRPr="00507154">
              <w:rPr>
                <w:rFonts w:asciiTheme="majorHAnsi" w:hAnsiTheme="majorHAnsi"/>
                <w:b/>
                <w:color w:val="FFFFFF" w:themeColor="background1"/>
                <w:sz w:val="20"/>
                <w:szCs w:val="20"/>
                <w:lang w:val="es-ES"/>
              </w:rPr>
              <w:t>N</w:t>
            </w:r>
            <w:r w:rsidR="004C2312" w:rsidRPr="00507154">
              <w:rPr>
                <w:rFonts w:asciiTheme="majorHAnsi" w:hAnsiTheme="majorHAnsi"/>
                <w:b/>
                <w:color w:val="FFFFFF" w:themeColor="background1"/>
                <w:sz w:val="20"/>
                <w:szCs w:val="20"/>
                <w:lang w:val="es-ES"/>
              </w:rPr>
              <w:t>otificación de la petición al Estado:</w:t>
            </w:r>
          </w:p>
        </w:tc>
        <w:tc>
          <w:tcPr>
            <w:tcW w:w="5760" w:type="dxa"/>
            <w:vAlign w:val="center"/>
          </w:tcPr>
          <w:p w14:paraId="1D52C445" w14:textId="77777777" w:rsidR="004C2312" w:rsidRPr="00507154" w:rsidRDefault="0044586E" w:rsidP="00507154">
            <w:pPr>
              <w:jc w:val="both"/>
              <w:rPr>
                <w:rFonts w:asciiTheme="majorHAnsi" w:hAnsiTheme="majorHAnsi"/>
                <w:bCs/>
                <w:sz w:val="20"/>
                <w:szCs w:val="20"/>
                <w:lang w:val="es-ES"/>
              </w:rPr>
            </w:pPr>
            <w:r w:rsidRPr="00507154">
              <w:rPr>
                <w:rFonts w:asciiTheme="majorHAnsi" w:hAnsiTheme="majorHAnsi"/>
                <w:bCs/>
                <w:sz w:val="20"/>
                <w:szCs w:val="20"/>
                <w:lang w:val="es-ES"/>
              </w:rPr>
              <w:t>1</w:t>
            </w:r>
            <w:r w:rsidR="00596AD2" w:rsidRPr="00507154">
              <w:rPr>
                <w:rFonts w:asciiTheme="majorHAnsi" w:hAnsiTheme="majorHAnsi"/>
                <w:bCs/>
                <w:sz w:val="20"/>
                <w:szCs w:val="20"/>
                <w:lang w:val="es-ES"/>
              </w:rPr>
              <w:t xml:space="preserve">0 de </w:t>
            </w:r>
            <w:r w:rsidRPr="00507154">
              <w:rPr>
                <w:rFonts w:asciiTheme="majorHAnsi" w:hAnsiTheme="majorHAnsi"/>
                <w:bCs/>
                <w:sz w:val="20"/>
                <w:szCs w:val="20"/>
                <w:lang w:val="es-ES"/>
              </w:rPr>
              <w:t xml:space="preserve">mayo </w:t>
            </w:r>
            <w:r w:rsidR="00596AD2" w:rsidRPr="00507154">
              <w:rPr>
                <w:rFonts w:asciiTheme="majorHAnsi" w:hAnsiTheme="majorHAnsi"/>
                <w:bCs/>
                <w:sz w:val="20"/>
                <w:szCs w:val="20"/>
                <w:lang w:val="es-ES"/>
              </w:rPr>
              <w:t>de 2016</w:t>
            </w:r>
          </w:p>
        </w:tc>
      </w:tr>
      <w:tr w:rsidR="004C2312" w:rsidRPr="00507154" w14:paraId="3E67D211" w14:textId="77777777" w:rsidTr="004A6A54">
        <w:tc>
          <w:tcPr>
            <w:tcW w:w="3600" w:type="dxa"/>
            <w:tcBorders>
              <w:top w:val="single" w:sz="6" w:space="0" w:color="auto"/>
              <w:bottom w:val="single" w:sz="6" w:space="0" w:color="auto"/>
            </w:tcBorders>
            <w:shd w:val="clear" w:color="auto" w:fill="386294"/>
            <w:vAlign w:val="center"/>
          </w:tcPr>
          <w:p w14:paraId="3E88FFAE" w14:textId="77777777" w:rsidR="004C2312" w:rsidRPr="00507154" w:rsidRDefault="004A6A54" w:rsidP="00507154">
            <w:pPr>
              <w:jc w:val="center"/>
              <w:rPr>
                <w:rFonts w:asciiTheme="majorHAnsi" w:hAnsiTheme="majorHAnsi"/>
                <w:b/>
                <w:bCs/>
                <w:color w:val="FFFFFF" w:themeColor="background1"/>
                <w:sz w:val="20"/>
                <w:szCs w:val="20"/>
                <w:lang w:val="es-ES"/>
              </w:rPr>
            </w:pPr>
            <w:r w:rsidRPr="00507154">
              <w:rPr>
                <w:rFonts w:asciiTheme="majorHAnsi" w:hAnsiTheme="majorHAnsi"/>
                <w:b/>
                <w:color w:val="FFFFFF" w:themeColor="background1"/>
                <w:sz w:val="20"/>
                <w:szCs w:val="20"/>
                <w:lang w:val="es-ES"/>
              </w:rPr>
              <w:t>P</w:t>
            </w:r>
            <w:r w:rsidR="004C2312" w:rsidRPr="00507154">
              <w:rPr>
                <w:rFonts w:asciiTheme="majorHAnsi" w:hAnsiTheme="majorHAnsi"/>
                <w:b/>
                <w:color w:val="FFFFFF" w:themeColor="background1"/>
                <w:sz w:val="20"/>
                <w:szCs w:val="20"/>
                <w:lang w:val="es-ES"/>
              </w:rPr>
              <w:t>rimera respuesta del Estado:</w:t>
            </w:r>
          </w:p>
        </w:tc>
        <w:tc>
          <w:tcPr>
            <w:tcW w:w="5760" w:type="dxa"/>
            <w:vAlign w:val="center"/>
          </w:tcPr>
          <w:p w14:paraId="28C59167" w14:textId="77777777" w:rsidR="004C2312" w:rsidRPr="00507154" w:rsidRDefault="0044586E" w:rsidP="00507154">
            <w:pPr>
              <w:jc w:val="both"/>
              <w:rPr>
                <w:rFonts w:asciiTheme="majorHAnsi" w:hAnsiTheme="majorHAnsi"/>
                <w:bCs/>
                <w:sz w:val="20"/>
                <w:szCs w:val="20"/>
                <w:lang w:val="es-ES"/>
              </w:rPr>
            </w:pPr>
            <w:r w:rsidRPr="00507154">
              <w:rPr>
                <w:rFonts w:asciiTheme="majorHAnsi" w:hAnsiTheme="majorHAnsi"/>
                <w:bCs/>
                <w:sz w:val="20"/>
                <w:szCs w:val="20"/>
                <w:lang w:val="es-ES"/>
              </w:rPr>
              <w:t>17 de noviembre de 2017</w:t>
            </w:r>
          </w:p>
        </w:tc>
      </w:tr>
      <w:tr w:rsidR="004C2312" w:rsidRPr="00507154" w14:paraId="1E0348F5" w14:textId="77777777" w:rsidTr="004A6A54">
        <w:tc>
          <w:tcPr>
            <w:tcW w:w="3600" w:type="dxa"/>
            <w:tcBorders>
              <w:top w:val="single" w:sz="6" w:space="0" w:color="auto"/>
              <w:bottom w:val="single" w:sz="6" w:space="0" w:color="auto"/>
            </w:tcBorders>
            <w:shd w:val="clear" w:color="auto" w:fill="386294"/>
            <w:vAlign w:val="center"/>
          </w:tcPr>
          <w:p w14:paraId="2FF2B21D" w14:textId="77777777" w:rsidR="004C2312" w:rsidRPr="00507154" w:rsidRDefault="008E3BFE"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0CA7D782" w14:textId="77777777" w:rsidR="004C2312" w:rsidRPr="00507154" w:rsidRDefault="00D01831" w:rsidP="00507154">
            <w:pPr>
              <w:jc w:val="both"/>
              <w:rPr>
                <w:rFonts w:asciiTheme="majorHAnsi" w:hAnsiTheme="majorHAnsi"/>
                <w:bCs/>
                <w:sz w:val="20"/>
                <w:szCs w:val="20"/>
                <w:lang w:val="es-ES"/>
              </w:rPr>
            </w:pPr>
            <w:r w:rsidRPr="00507154">
              <w:rPr>
                <w:rFonts w:asciiTheme="majorHAnsi" w:hAnsiTheme="majorHAnsi"/>
                <w:bCs/>
                <w:sz w:val="20"/>
                <w:szCs w:val="20"/>
                <w:lang w:val="es-ES"/>
              </w:rPr>
              <w:t xml:space="preserve"> </w:t>
            </w:r>
            <w:r w:rsidR="00012657" w:rsidRPr="00507154">
              <w:rPr>
                <w:rFonts w:asciiTheme="majorHAnsi" w:hAnsiTheme="majorHAnsi"/>
                <w:bCs/>
                <w:sz w:val="20"/>
                <w:szCs w:val="20"/>
                <w:lang w:val="es-ES"/>
              </w:rPr>
              <w:t>24 de septiembre de 2019</w:t>
            </w:r>
          </w:p>
        </w:tc>
      </w:tr>
      <w:tr w:rsidR="001E49E7" w:rsidRPr="00507154" w14:paraId="0C332A2B" w14:textId="77777777" w:rsidTr="004A6A54">
        <w:tc>
          <w:tcPr>
            <w:tcW w:w="3600" w:type="dxa"/>
            <w:tcBorders>
              <w:top w:val="single" w:sz="6" w:space="0" w:color="auto"/>
              <w:bottom w:val="single" w:sz="6" w:space="0" w:color="auto"/>
            </w:tcBorders>
            <w:shd w:val="clear" w:color="auto" w:fill="386294"/>
            <w:vAlign w:val="center"/>
          </w:tcPr>
          <w:p w14:paraId="7F12915A" w14:textId="77777777" w:rsidR="001E49E7" w:rsidRPr="00507154" w:rsidRDefault="004A6A54"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t>A</w:t>
            </w:r>
            <w:r w:rsidR="001E49E7" w:rsidRPr="00507154">
              <w:rPr>
                <w:rFonts w:asciiTheme="majorHAnsi" w:hAnsiTheme="majorHAnsi"/>
                <w:b/>
                <w:bCs/>
                <w:color w:val="FFFFFF" w:themeColor="background1"/>
                <w:sz w:val="20"/>
                <w:szCs w:val="20"/>
                <w:lang w:val="es-ES"/>
              </w:rPr>
              <w:t>dvertencia sobre posible archivo:</w:t>
            </w:r>
          </w:p>
        </w:tc>
        <w:tc>
          <w:tcPr>
            <w:tcW w:w="5760" w:type="dxa"/>
            <w:vAlign w:val="center"/>
          </w:tcPr>
          <w:p w14:paraId="065F2C4D" w14:textId="77777777" w:rsidR="001E49E7" w:rsidRPr="00507154" w:rsidRDefault="0025146F" w:rsidP="00507154">
            <w:pPr>
              <w:jc w:val="both"/>
              <w:rPr>
                <w:rFonts w:asciiTheme="majorHAnsi" w:hAnsiTheme="majorHAnsi"/>
                <w:bCs/>
                <w:sz w:val="20"/>
                <w:szCs w:val="20"/>
                <w:lang w:val="es-ES"/>
              </w:rPr>
            </w:pPr>
            <w:r w:rsidRPr="00507154">
              <w:rPr>
                <w:rFonts w:asciiTheme="majorHAnsi" w:hAnsiTheme="majorHAnsi"/>
                <w:bCs/>
                <w:sz w:val="20"/>
                <w:szCs w:val="20"/>
                <w:lang w:val="es-ES"/>
              </w:rPr>
              <w:t>13 de octubre de 2018</w:t>
            </w:r>
          </w:p>
        </w:tc>
      </w:tr>
      <w:tr w:rsidR="001E49E7" w:rsidRPr="00507154" w14:paraId="3508497C" w14:textId="77777777" w:rsidTr="004A6A54">
        <w:tc>
          <w:tcPr>
            <w:tcW w:w="3600" w:type="dxa"/>
            <w:tcBorders>
              <w:top w:val="single" w:sz="6" w:space="0" w:color="auto"/>
              <w:bottom w:val="single" w:sz="6" w:space="0" w:color="auto"/>
            </w:tcBorders>
            <w:shd w:val="clear" w:color="auto" w:fill="386294"/>
            <w:vAlign w:val="center"/>
          </w:tcPr>
          <w:p w14:paraId="21E55CD5" w14:textId="77777777" w:rsidR="001E49E7" w:rsidRPr="00507154" w:rsidRDefault="004A6A54"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t>R</w:t>
            </w:r>
            <w:r w:rsidR="001E49E7" w:rsidRPr="00507154">
              <w:rPr>
                <w:rFonts w:asciiTheme="majorHAnsi" w:hAnsiTheme="majorHAnsi"/>
                <w:b/>
                <w:bCs/>
                <w:color w:val="FFFFFF" w:themeColor="background1"/>
                <w:sz w:val="20"/>
                <w:szCs w:val="20"/>
                <w:lang w:val="es-ES"/>
              </w:rPr>
              <w:t xml:space="preserve">espuesta de la parte peticionaria ante advertencia </w:t>
            </w:r>
            <w:r w:rsidR="00DD4AD2" w:rsidRPr="00507154">
              <w:rPr>
                <w:rFonts w:asciiTheme="majorHAnsi" w:hAnsiTheme="majorHAnsi"/>
                <w:b/>
                <w:bCs/>
                <w:color w:val="FFFFFF" w:themeColor="background1"/>
                <w:sz w:val="20"/>
                <w:szCs w:val="20"/>
                <w:lang w:val="es-ES"/>
              </w:rPr>
              <w:t xml:space="preserve">de </w:t>
            </w:r>
            <w:r w:rsidR="001E49E7" w:rsidRPr="00507154">
              <w:rPr>
                <w:rFonts w:asciiTheme="majorHAnsi" w:hAnsiTheme="majorHAnsi"/>
                <w:b/>
                <w:bCs/>
                <w:color w:val="FFFFFF" w:themeColor="background1"/>
                <w:sz w:val="20"/>
                <w:szCs w:val="20"/>
                <w:lang w:val="es-ES"/>
              </w:rPr>
              <w:t>posible archivo:</w:t>
            </w:r>
          </w:p>
        </w:tc>
        <w:tc>
          <w:tcPr>
            <w:tcW w:w="5760" w:type="dxa"/>
            <w:vAlign w:val="center"/>
          </w:tcPr>
          <w:p w14:paraId="77272D78" w14:textId="77777777" w:rsidR="001E49E7" w:rsidRPr="00507154" w:rsidRDefault="0025146F" w:rsidP="00507154">
            <w:pPr>
              <w:jc w:val="both"/>
              <w:rPr>
                <w:rFonts w:asciiTheme="majorHAnsi" w:hAnsiTheme="majorHAnsi"/>
                <w:bCs/>
                <w:sz w:val="20"/>
                <w:szCs w:val="20"/>
                <w:lang w:val="es-ES"/>
              </w:rPr>
            </w:pPr>
            <w:r w:rsidRPr="00507154">
              <w:rPr>
                <w:rFonts w:asciiTheme="majorHAnsi" w:hAnsiTheme="majorHAnsi"/>
                <w:bCs/>
                <w:sz w:val="20"/>
                <w:szCs w:val="20"/>
                <w:lang w:val="es-ES"/>
              </w:rPr>
              <w:t>16 de octubre de 2018</w:t>
            </w:r>
          </w:p>
        </w:tc>
      </w:tr>
    </w:tbl>
    <w:p w14:paraId="19F7DB50" w14:textId="77777777" w:rsidR="00507154" w:rsidRDefault="00507154" w:rsidP="00507154">
      <w:pPr>
        <w:ind w:firstLine="720"/>
        <w:jc w:val="both"/>
        <w:rPr>
          <w:rFonts w:asciiTheme="majorHAnsi" w:hAnsiTheme="majorHAnsi"/>
          <w:b/>
          <w:bCs/>
          <w:sz w:val="20"/>
          <w:szCs w:val="20"/>
          <w:lang w:val="es-ES"/>
        </w:rPr>
      </w:pPr>
    </w:p>
    <w:p w14:paraId="54A5478E" w14:textId="77777777" w:rsidR="003239B8" w:rsidRPr="00507154" w:rsidRDefault="003239B8" w:rsidP="00507154">
      <w:pPr>
        <w:pStyle w:val="ListParagraph"/>
        <w:numPr>
          <w:ilvl w:val="0"/>
          <w:numId w:val="61"/>
        </w:numPr>
        <w:jc w:val="both"/>
        <w:rPr>
          <w:rFonts w:asciiTheme="majorHAnsi" w:hAnsiTheme="majorHAnsi"/>
          <w:b/>
          <w:bCs/>
          <w:sz w:val="20"/>
          <w:szCs w:val="20"/>
          <w:lang w:val="es-ES"/>
        </w:rPr>
      </w:pPr>
      <w:r w:rsidRPr="00507154">
        <w:rPr>
          <w:rFonts w:asciiTheme="majorHAnsi" w:hAnsiTheme="majorHAnsi"/>
          <w:b/>
          <w:bCs/>
          <w:sz w:val="20"/>
          <w:szCs w:val="20"/>
          <w:lang w:val="es-ES"/>
        </w:rPr>
        <w:t>COMPETENCIA</w:t>
      </w:r>
      <w:r w:rsidR="00EE00E9" w:rsidRPr="00507154">
        <w:rPr>
          <w:rFonts w:asciiTheme="majorHAnsi" w:hAnsiTheme="majorHAnsi"/>
          <w:b/>
          <w:bCs/>
          <w:sz w:val="20"/>
          <w:szCs w:val="20"/>
          <w:lang w:val="es-ES"/>
        </w:rPr>
        <w:t xml:space="preserve"> </w:t>
      </w:r>
    </w:p>
    <w:p w14:paraId="63B6F4F7" w14:textId="77777777" w:rsidR="00507154" w:rsidRPr="00507154" w:rsidRDefault="00507154" w:rsidP="00507154">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07154" w14:paraId="2347B8EC" w14:textId="77777777" w:rsidTr="004A6A54">
        <w:trPr>
          <w:cantSplit/>
        </w:trPr>
        <w:tc>
          <w:tcPr>
            <w:tcW w:w="3600" w:type="dxa"/>
            <w:tcBorders>
              <w:top w:val="single" w:sz="4" w:space="0" w:color="auto"/>
              <w:bottom w:val="single" w:sz="6" w:space="0" w:color="auto"/>
            </w:tcBorders>
            <w:shd w:val="clear" w:color="auto" w:fill="386294"/>
            <w:vAlign w:val="center"/>
          </w:tcPr>
          <w:p w14:paraId="7CE09486" w14:textId="77777777" w:rsidR="003239B8" w:rsidRPr="00507154" w:rsidRDefault="003239B8" w:rsidP="00507154">
            <w:pPr>
              <w:jc w:val="center"/>
              <w:rPr>
                <w:rFonts w:asciiTheme="majorHAnsi" w:hAnsiTheme="majorHAnsi"/>
                <w:b/>
                <w:bCs/>
                <w:i/>
                <w:color w:val="FFFFFF" w:themeColor="background1"/>
                <w:sz w:val="20"/>
                <w:szCs w:val="20"/>
              </w:rPr>
            </w:pPr>
            <w:r w:rsidRPr="00507154">
              <w:rPr>
                <w:rFonts w:asciiTheme="majorHAnsi" w:hAnsiTheme="majorHAnsi"/>
                <w:b/>
                <w:bCs/>
                <w:color w:val="FFFFFF" w:themeColor="background1"/>
                <w:sz w:val="20"/>
                <w:szCs w:val="20"/>
              </w:rPr>
              <w:t>Competencia</w:t>
            </w:r>
            <w:r w:rsidRPr="00507154">
              <w:rPr>
                <w:rFonts w:asciiTheme="majorHAnsi" w:hAnsiTheme="majorHAnsi"/>
                <w:b/>
                <w:bCs/>
                <w:i/>
                <w:color w:val="FFFFFF" w:themeColor="background1"/>
                <w:sz w:val="20"/>
                <w:szCs w:val="20"/>
              </w:rPr>
              <w:t xml:space="preserve"> Ratione personae:</w:t>
            </w:r>
          </w:p>
        </w:tc>
        <w:tc>
          <w:tcPr>
            <w:tcW w:w="5760" w:type="dxa"/>
            <w:vAlign w:val="center"/>
          </w:tcPr>
          <w:p w14:paraId="4EAECEFE" w14:textId="77777777" w:rsidR="003239B8" w:rsidRPr="00507154" w:rsidRDefault="00B97073" w:rsidP="00507154">
            <w:pPr>
              <w:rPr>
                <w:rFonts w:asciiTheme="majorHAnsi" w:hAnsiTheme="majorHAnsi"/>
                <w:bCs/>
                <w:sz w:val="20"/>
                <w:szCs w:val="20"/>
              </w:rPr>
            </w:pPr>
            <w:r w:rsidRPr="00507154">
              <w:rPr>
                <w:rFonts w:asciiTheme="majorHAnsi" w:hAnsiTheme="majorHAnsi"/>
                <w:bCs/>
                <w:sz w:val="20"/>
                <w:szCs w:val="20"/>
              </w:rPr>
              <w:t>Sí</w:t>
            </w:r>
          </w:p>
        </w:tc>
      </w:tr>
      <w:tr w:rsidR="003239B8" w:rsidRPr="00507154" w14:paraId="0BF390B4" w14:textId="77777777" w:rsidTr="004A6A54">
        <w:trPr>
          <w:cantSplit/>
        </w:trPr>
        <w:tc>
          <w:tcPr>
            <w:tcW w:w="3600" w:type="dxa"/>
            <w:tcBorders>
              <w:top w:val="single" w:sz="6" w:space="0" w:color="auto"/>
              <w:bottom w:val="single" w:sz="6" w:space="0" w:color="auto"/>
            </w:tcBorders>
            <w:shd w:val="clear" w:color="auto" w:fill="386294"/>
            <w:vAlign w:val="center"/>
          </w:tcPr>
          <w:p w14:paraId="118DF6A0"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Competencia</w:t>
            </w:r>
            <w:r w:rsidRPr="00507154">
              <w:rPr>
                <w:rFonts w:asciiTheme="majorHAnsi" w:hAnsiTheme="majorHAnsi"/>
                <w:b/>
                <w:bCs/>
                <w:i/>
                <w:color w:val="FFFFFF" w:themeColor="background1"/>
                <w:sz w:val="20"/>
                <w:szCs w:val="20"/>
              </w:rPr>
              <w:t xml:space="preserve"> Ratione loci</w:t>
            </w:r>
            <w:r w:rsidRPr="00507154">
              <w:rPr>
                <w:rFonts w:asciiTheme="majorHAnsi" w:hAnsiTheme="majorHAnsi"/>
                <w:b/>
                <w:bCs/>
                <w:color w:val="FFFFFF" w:themeColor="background1"/>
                <w:sz w:val="20"/>
                <w:szCs w:val="20"/>
              </w:rPr>
              <w:t>:</w:t>
            </w:r>
          </w:p>
        </w:tc>
        <w:tc>
          <w:tcPr>
            <w:tcW w:w="5760" w:type="dxa"/>
            <w:vAlign w:val="center"/>
          </w:tcPr>
          <w:p w14:paraId="0E3B1725" w14:textId="77777777" w:rsidR="003239B8" w:rsidRPr="00507154" w:rsidRDefault="00B97073" w:rsidP="00507154">
            <w:pPr>
              <w:rPr>
                <w:rFonts w:asciiTheme="majorHAnsi" w:hAnsiTheme="majorHAnsi"/>
                <w:bCs/>
                <w:sz w:val="20"/>
                <w:szCs w:val="20"/>
              </w:rPr>
            </w:pPr>
            <w:r w:rsidRPr="00507154">
              <w:rPr>
                <w:rFonts w:asciiTheme="majorHAnsi" w:hAnsiTheme="majorHAnsi"/>
                <w:bCs/>
                <w:sz w:val="20"/>
                <w:szCs w:val="20"/>
              </w:rPr>
              <w:t>Sí</w:t>
            </w:r>
          </w:p>
        </w:tc>
      </w:tr>
      <w:tr w:rsidR="003239B8" w:rsidRPr="00507154" w14:paraId="2D354C40" w14:textId="77777777" w:rsidTr="004A6A54">
        <w:trPr>
          <w:cantSplit/>
        </w:trPr>
        <w:tc>
          <w:tcPr>
            <w:tcW w:w="3600" w:type="dxa"/>
            <w:tcBorders>
              <w:top w:val="single" w:sz="6" w:space="0" w:color="auto"/>
              <w:bottom w:val="single" w:sz="6" w:space="0" w:color="auto"/>
            </w:tcBorders>
            <w:shd w:val="clear" w:color="auto" w:fill="386294"/>
            <w:vAlign w:val="center"/>
          </w:tcPr>
          <w:p w14:paraId="1A030DF4"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Competencia</w:t>
            </w:r>
            <w:r w:rsidRPr="00507154">
              <w:rPr>
                <w:rFonts w:asciiTheme="majorHAnsi" w:hAnsiTheme="majorHAnsi"/>
                <w:b/>
                <w:bCs/>
                <w:i/>
                <w:color w:val="FFFFFF" w:themeColor="background1"/>
                <w:sz w:val="20"/>
                <w:szCs w:val="20"/>
              </w:rPr>
              <w:t xml:space="preserve"> Ratione temporis</w:t>
            </w:r>
            <w:r w:rsidRPr="00507154">
              <w:rPr>
                <w:rFonts w:asciiTheme="majorHAnsi" w:hAnsiTheme="majorHAnsi"/>
                <w:b/>
                <w:bCs/>
                <w:color w:val="FFFFFF" w:themeColor="background1"/>
                <w:sz w:val="20"/>
                <w:szCs w:val="20"/>
              </w:rPr>
              <w:t>:</w:t>
            </w:r>
          </w:p>
        </w:tc>
        <w:tc>
          <w:tcPr>
            <w:tcW w:w="5760" w:type="dxa"/>
            <w:vAlign w:val="center"/>
          </w:tcPr>
          <w:p w14:paraId="023B04D7" w14:textId="77777777" w:rsidR="003239B8" w:rsidRPr="00507154" w:rsidRDefault="00B97073" w:rsidP="00507154">
            <w:pPr>
              <w:rPr>
                <w:rFonts w:asciiTheme="majorHAnsi" w:hAnsiTheme="majorHAnsi"/>
                <w:bCs/>
                <w:sz w:val="20"/>
                <w:szCs w:val="20"/>
              </w:rPr>
            </w:pPr>
            <w:r w:rsidRPr="00507154">
              <w:rPr>
                <w:rFonts w:asciiTheme="majorHAnsi" w:hAnsiTheme="majorHAnsi"/>
                <w:bCs/>
                <w:sz w:val="20"/>
                <w:szCs w:val="20"/>
              </w:rPr>
              <w:t>Sí</w:t>
            </w:r>
          </w:p>
        </w:tc>
      </w:tr>
      <w:tr w:rsidR="003239B8" w:rsidRPr="00535FA4" w14:paraId="5F3D25A4" w14:textId="77777777" w:rsidTr="004A6A54">
        <w:trPr>
          <w:cantSplit/>
        </w:trPr>
        <w:tc>
          <w:tcPr>
            <w:tcW w:w="3600" w:type="dxa"/>
            <w:tcBorders>
              <w:top w:val="single" w:sz="6" w:space="0" w:color="auto"/>
              <w:bottom w:val="single" w:sz="6" w:space="0" w:color="auto"/>
            </w:tcBorders>
            <w:shd w:val="clear" w:color="auto" w:fill="386294"/>
            <w:vAlign w:val="center"/>
          </w:tcPr>
          <w:p w14:paraId="70BB0A2B"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Competencia</w:t>
            </w:r>
            <w:r w:rsidRPr="00507154">
              <w:rPr>
                <w:rFonts w:asciiTheme="majorHAnsi" w:hAnsiTheme="majorHAnsi"/>
                <w:b/>
                <w:bCs/>
                <w:i/>
                <w:color w:val="FFFFFF" w:themeColor="background1"/>
                <w:sz w:val="20"/>
                <w:szCs w:val="20"/>
              </w:rPr>
              <w:t xml:space="preserve"> Ratione materia</w:t>
            </w:r>
            <w:r w:rsidR="00EE00E9" w:rsidRPr="00507154">
              <w:rPr>
                <w:rFonts w:asciiTheme="majorHAnsi" w:hAnsiTheme="majorHAnsi"/>
                <w:b/>
                <w:bCs/>
                <w:i/>
                <w:color w:val="FFFFFF" w:themeColor="background1"/>
                <w:sz w:val="20"/>
                <w:szCs w:val="20"/>
              </w:rPr>
              <w:t>e</w:t>
            </w:r>
            <w:r w:rsidRPr="00507154">
              <w:rPr>
                <w:rFonts w:asciiTheme="majorHAnsi" w:hAnsiTheme="majorHAnsi"/>
                <w:b/>
                <w:bCs/>
                <w:color w:val="FFFFFF" w:themeColor="background1"/>
                <w:sz w:val="20"/>
                <w:szCs w:val="20"/>
              </w:rPr>
              <w:t>:</w:t>
            </w:r>
          </w:p>
        </w:tc>
        <w:tc>
          <w:tcPr>
            <w:tcW w:w="5760" w:type="dxa"/>
            <w:vAlign w:val="center"/>
          </w:tcPr>
          <w:p w14:paraId="5281F913" w14:textId="77777777" w:rsidR="003239B8" w:rsidRPr="00507154" w:rsidRDefault="00B97073" w:rsidP="00507154">
            <w:pPr>
              <w:jc w:val="both"/>
              <w:rPr>
                <w:rFonts w:asciiTheme="majorHAnsi" w:hAnsiTheme="majorHAnsi"/>
                <w:bCs/>
                <w:sz w:val="20"/>
                <w:szCs w:val="20"/>
                <w:lang w:val="es-ES"/>
              </w:rPr>
            </w:pPr>
            <w:r w:rsidRPr="00507154">
              <w:rPr>
                <w:rFonts w:asciiTheme="majorHAnsi" w:hAnsiTheme="majorHAnsi"/>
                <w:bCs/>
                <w:sz w:val="20"/>
                <w:szCs w:val="20"/>
                <w:lang w:val="es-ES"/>
              </w:rPr>
              <w:t>Sí, Convención Americana (depósito del instrumento de ratificación realizado el 31 de julio de 1973)</w:t>
            </w:r>
            <w:r w:rsidR="00197EB7" w:rsidRPr="00507154">
              <w:rPr>
                <w:rFonts w:asciiTheme="majorHAnsi" w:hAnsiTheme="majorHAnsi"/>
                <w:bCs/>
                <w:sz w:val="20"/>
                <w:szCs w:val="20"/>
                <w:lang w:val="es-ES"/>
              </w:rPr>
              <w:t xml:space="preserve"> y Convención Interamericana para Prevenir y Sancionar la Tortura (depósito del instrumento de ratificación realizado el 19 de enero de 1999)</w:t>
            </w:r>
          </w:p>
        </w:tc>
      </w:tr>
    </w:tbl>
    <w:p w14:paraId="47D9F951" w14:textId="77777777" w:rsidR="00507154" w:rsidRPr="00B45AEA" w:rsidRDefault="00507154" w:rsidP="00507154">
      <w:pPr>
        <w:ind w:firstLine="720"/>
        <w:jc w:val="both"/>
        <w:rPr>
          <w:rFonts w:asciiTheme="majorHAnsi" w:hAnsiTheme="majorHAnsi"/>
          <w:b/>
          <w:bCs/>
          <w:sz w:val="20"/>
          <w:szCs w:val="20"/>
          <w:lang w:val="es-CO"/>
        </w:rPr>
      </w:pPr>
    </w:p>
    <w:p w14:paraId="103E721E" w14:textId="77777777" w:rsidR="003239B8" w:rsidRDefault="003239B8" w:rsidP="00507154">
      <w:pPr>
        <w:ind w:firstLine="720"/>
        <w:jc w:val="both"/>
        <w:rPr>
          <w:rFonts w:asciiTheme="majorHAnsi" w:hAnsiTheme="majorHAnsi"/>
          <w:b/>
          <w:sz w:val="20"/>
          <w:szCs w:val="20"/>
          <w:lang w:val="es-ES"/>
        </w:rPr>
      </w:pPr>
      <w:r w:rsidRPr="00507154">
        <w:rPr>
          <w:rFonts w:asciiTheme="majorHAnsi" w:hAnsiTheme="majorHAnsi"/>
          <w:b/>
          <w:bCs/>
          <w:sz w:val="20"/>
          <w:szCs w:val="20"/>
          <w:lang w:val="es-ES"/>
        </w:rPr>
        <w:t xml:space="preserve">IV. </w:t>
      </w:r>
      <w:r w:rsidRPr="00507154">
        <w:rPr>
          <w:rFonts w:asciiTheme="majorHAnsi" w:hAnsiTheme="majorHAnsi"/>
          <w:b/>
          <w:bCs/>
          <w:sz w:val="20"/>
          <w:szCs w:val="20"/>
          <w:lang w:val="es-ES"/>
        </w:rPr>
        <w:tab/>
      </w:r>
      <w:r w:rsidR="00EE00E9" w:rsidRPr="00507154">
        <w:rPr>
          <w:rFonts w:asciiTheme="majorHAnsi" w:hAnsiTheme="majorHAnsi"/>
          <w:b/>
          <w:bCs/>
          <w:sz w:val="20"/>
          <w:szCs w:val="20"/>
          <w:lang w:val="es-ES"/>
        </w:rPr>
        <w:t>DUPLICACIÓN</w:t>
      </w:r>
      <w:r w:rsidR="00EE00E9" w:rsidRPr="00507154">
        <w:rPr>
          <w:rFonts w:asciiTheme="majorHAnsi" w:hAnsiTheme="majorHAnsi"/>
          <w:b/>
          <w:bCs/>
          <w:color w:val="FFFFFF" w:themeColor="background1"/>
          <w:sz w:val="20"/>
          <w:szCs w:val="20"/>
          <w:lang w:val="es-ES"/>
        </w:rPr>
        <w:t xml:space="preserve"> </w:t>
      </w:r>
      <w:r w:rsidR="00EE00E9" w:rsidRPr="00507154">
        <w:rPr>
          <w:rFonts w:asciiTheme="majorHAnsi" w:hAnsiTheme="majorHAnsi"/>
          <w:b/>
          <w:bCs/>
          <w:sz w:val="20"/>
          <w:szCs w:val="20"/>
          <w:lang w:val="es-ES"/>
        </w:rPr>
        <w:t>DE PROCEDIMIENTOS Y COSA JUZGADA</w:t>
      </w:r>
      <w:r w:rsidR="00EE00E9" w:rsidRPr="00507154">
        <w:rPr>
          <w:rFonts w:asciiTheme="majorHAnsi" w:hAnsiTheme="majorHAnsi"/>
          <w:b/>
          <w:bCs/>
          <w:i/>
          <w:sz w:val="20"/>
          <w:szCs w:val="20"/>
          <w:lang w:val="es-ES"/>
        </w:rPr>
        <w:t xml:space="preserve"> </w:t>
      </w:r>
      <w:r w:rsidR="00EE00E9" w:rsidRPr="00507154">
        <w:rPr>
          <w:rFonts w:asciiTheme="majorHAnsi" w:hAnsiTheme="majorHAnsi"/>
          <w:b/>
          <w:bCs/>
          <w:sz w:val="20"/>
          <w:szCs w:val="20"/>
          <w:lang w:val="es-ES"/>
        </w:rPr>
        <w:t xml:space="preserve">INTERNACIONAL, </w:t>
      </w:r>
      <w:r w:rsidRPr="00507154">
        <w:rPr>
          <w:rFonts w:asciiTheme="majorHAnsi" w:hAnsiTheme="majorHAnsi"/>
          <w:b/>
          <w:bCs/>
          <w:sz w:val="20"/>
          <w:szCs w:val="20"/>
          <w:lang w:val="es-ES"/>
        </w:rPr>
        <w:t xml:space="preserve">CARACTERIZACIÓN, </w:t>
      </w:r>
      <w:r w:rsidRPr="00507154">
        <w:rPr>
          <w:rFonts w:asciiTheme="majorHAnsi" w:hAnsiTheme="majorHAnsi"/>
          <w:b/>
          <w:sz w:val="20"/>
          <w:szCs w:val="20"/>
          <w:lang w:val="es-ES"/>
        </w:rPr>
        <w:t>AGOTAMIENTO DE LOS RECURSOS INTERNOS Y PLAZO DE PRESENTACIÓN</w:t>
      </w:r>
    </w:p>
    <w:p w14:paraId="46ACACA2" w14:textId="77777777" w:rsidR="00507154" w:rsidRPr="00507154" w:rsidRDefault="00507154" w:rsidP="00507154">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07154" w14:paraId="4087457A" w14:textId="77777777" w:rsidTr="004A6A54">
        <w:trPr>
          <w:cantSplit/>
        </w:trPr>
        <w:tc>
          <w:tcPr>
            <w:tcW w:w="3600" w:type="dxa"/>
            <w:tcBorders>
              <w:top w:val="single" w:sz="4" w:space="0" w:color="auto"/>
              <w:bottom w:val="single" w:sz="6" w:space="0" w:color="auto"/>
            </w:tcBorders>
            <w:shd w:val="clear" w:color="auto" w:fill="386294"/>
            <w:vAlign w:val="center"/>
          </w:tcPr>
          <w:p w14:paraId="6967A47B" w14:textId="77777777" w:rsidR="00EE00E9" w:rsidRPr="00507154" w:rsidRDefault="00EE00E9"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81DF686" w14:textId="77777777" w:rsidR="00EE00E9" w:rsidRPr="00507154" w:rsidRDefault="00B97073" w:rsidP="00507154">
            <w:pPr>
              <w:jc w:val="both"/>
              <w:rPr>
                <w:rFonts w:asciiTheme="majorHAnsi" w:hAnsiTheme="majorHAnsi"/>
                <w:bCs/>
                <w:sz w:val="20"/>
                <w:szCs w:val="20"/>
                <w:lang w:val="es-ES"/>
              </w:rPr>
            </w:pPr>
            <w:r w:rsidRPr="00507154">
              <w:rPr>
                <w:rFonts w:asciiTheme="majorHAnsi" w:hAnsiTheme="majorHAnsi"/>
                <w:bCs/>
                <w:sz w:val="20"/>
                <w:szCs w:val="20"/>
                <w:lang w:val="es-ES"/>
              </w:rPr>
              <w:t>No</w:t>
            </w:r>
          </w:p>
        </w:tc>
      </w:tr>
      <w:tr w:rsidR="003239B8" w:rsidRPr="00535FA4" w14:paraId="64332F23" w14:textId="77777777" w:rsidTr="004A6A54">
        <w:trPr>
          <w:cantSplit/>
        </w:trPr>
        <w:tc>
          <w:tcPr>
            <w:tcW w:w="3600" w:type="dxa"/>
            <w:tcBorders>
              <w:top w:val="single" w:sz="4" w:space="0" w:color="auto"/>
              <w:bottom w:val="single" w:sz="6" w:space="0" w:color="auto"/>
            </w:tcBorders>
            <w:shd w:val="clear" w:color="auto" w:fill="386294"/>
            <w:vAlign w:val="center"/>
          </w:tcPr>
          <w:p w14:paraId="20812826" w14:textId="77777777" w:rsidR="003239B8" w:rsidRPr="00507154" w:rsidRDefault="003239B8" w:rsidP="00507154">
            <w:pPr>
              <w:jc w:val="center"/>
              <w:rPr>
                <w:rFonts w:asciiTheme="majorHAnsi" w:hAnsiTheme="majorHAnsi"/>
                <w:b/>
                <w:bCs/>
                <w:i/>
                <w:color w:val="FFFFFF" w:themeColor="background1"/>
                <w:sz w:val="20"/>
                <w:szCs w:val="20"/>
              </w:rPr>
            </w:pPr>
            <w:r w:rsidRPr="00507154">
              <w:rPr>
                <w:rFonts w:asciiTheme="majorHAnsi" w:hAnsiTheme="majorHAnsi"/>
                <w:b/>
                <w:bCs/>
                <w:color w:val="FFFFFF" w:themeColor="background1"/>
                <w:sz w:val="20"/>
                <w:szCs w:val="20"/>
              </w:rPr>
              <w:t>Derechos declarados admisibles</w:t>
            </w:r>
            <w:r w:rsidRPr="00507154">
              <w:rPr>
                <w:rFonts w:asciiTheme="majorHAnsi" w:hAnsiTheme="majorHAnsi"/>
                <w:b/>
                <w:bCs/>
                <w:i/>
                <w:color w:val="FFFFFF" w:themeColor="background1"/>
                <w:sz w:val="20"/>
                <w:szCs w:val="20"/>
              </w:rPr>
              <w:t>:</w:t>
            </w:r>
          </w:p>
        </w:tc>
        <w:tc>
          <w:tcPr>
            <w:tcW w:w="5760" w:type="dxa"/>
            <w:vAlign w:val="center"/>
          </w:tcPr>
          <w:p w14:paraId="15EDF095" w14:textId="77777777" w:rsidR="003239B8" w:rsidRPr="00393A30" w:rsidRDefault="00272B53" w:rsidP="00507154">
            <w:pPr>
              <w:jc w:val="both"/>
              <w:rPr>
                <w:rFonts w:asciiTheme="majorHAnsi" w:hAnsiTheme="majorHAnsi"/>
                <w:bCs/>
                <w:sz w:val="19"/>
                <w:szCs w:val="19"/>
                <w:lang w:val="es-CO"/>
              </w:rPr>
            </w:pPr>
            <w:r w:rsidRPr="00393A30">
              <w:rPr>
                <w:rFonts w:asciiTheme="majorHAnsi" w:hAnsiTheme="majorHAnsi"/>
                <w:bCs/>
                <w:sz w:val="19"/>
                <w:szCs w:val="19"/>
                <w:lang w:val="es-CO"/>
              </w:rPr>
              <w:t>Artículos 4 (vida), 5 (integridad personal), 8 (garantías judiciales), 11 (honra y dignidad),</w:t>
            </w:r>
            <w:r w:rsidR="00AF288F" w:rsidRPr="00393A30">
              <w:rPr>
                <w:rFonts w:asciiTheme="majorHAnsi" w:hAnsiTheme="majorHAnsi"/>
                <w:bCs/>
                <w:sz w:val="19"/>
                <w:szCs w:val="19"/>
                <w:lang w:val="es-CO"/>
              </w:rPr>
              <w:t xml:space="preserve"> 22 (circulación y residencia)</w:t>
            </w:r>
            <w:r w:rsidRPr="00393A30">
              <w:rPr>
                <w:rFonts w:asciiTheme="majorHAnsi" w:hAnsiTheme="majorHAnsi"/>
                <w:bCs/>
                <w:sz w:val="19"/>
                <w:szCs w:val="19"/>
                <w:lang w:val="es-CO"/>
              </w:rPr>
              <w:t xml:space="preserve"> 25 (protección judicial) </w:t>
            </w:r>
            <w:r w:rsidR="0084486A" w:rsidRPr="00393A30">
              <w:rPr>
                <w:rFonts w:asciiTheme="majorHAnsi" w:hAnsiTheme="majorHAnsi"/>
                <w:bCs/>
                <w:sz w:val="19"/>
                <w:szCs w:val="19"/>
                <w:lang w:val="es-CO"/>
              </w:rPr>
              <w:t xml:space="preserve">y 26 (derechos económicos, sociales y culturales) </w:t>
            </w:r>
            <w:r w:rsidRPr="00393A30">
              <w:rPr>
                <w:rFonts w:asciiTheme="majorHAnsi" w:hAnsiTheme="majorHAnsi"/>
                <w:bCs/>
                <w:sz w:val="19"/>
                <w:szCs w:val="19"/>
                <w:lang w:val="es-CO"/>
              </w:rPr>
              <w:t>de la Convención Americana</w:t>
            </w:r>
            <w:r w:rsidR="00197EB7" w:rsidRPr="00393A30">
              <w:rPr>
                <w:rFonts w:asciiTheme="majorHAnsi" w:hAnsiTheme="majorHAnsi"/>
                <w:bCs/>
                <w:sz w:val="19"/>
                <w:szCs w:val="19"/>
                <w:lang w:val="es-CO"/>
              </w:rPr>
              <w:t>, en conexión con sus artículos 1.1 (obligación de respetar los derechos) y 2 (deber de adoptar disposiciones de derecho interno); y Artículos 1, 6 y 8 de la Convención Interamericana para Prevenir y Sancionar la Tortura</w:t>
            </w:r>
          </w:p>
        </w:tc>
      </w:tr>
      <w:tr w:rsidR="003239B8" w:rsidRPr="00535FA4" w14:paraId="72B002B6" w14:textId="77777777" w:rsidTr="004A6A54">
        <w:trPr>
          <w:cantSplit/>
        </w:trPr>
        <w:tc>
          <w:tcPr>
            <w:tcW w:w="3600" w:type="dxa"/>
            <w:tcBorders>
              <w:top w:val="single" w:sz="6" w:space="0" w:color="auto"/>
              <w:bottom w:val="single" w:sz="6" w:space="0" w:color="auto"/>
            </w:tcBorders>
            <w:shd w:val="clear" w:color="auto" w:fill="386294"/>
            <w:vAlign w:val="center"/>
          </w:tcPr>
          <w:p w14:paraId="1AA43599" w14:textId="77777777" w:rsidR="003239B8" w:rsidRPr="00507154" w:rsidRDefault="003239B8" w:rsidP="00507154">
            <w:pPr>
              <w:jc w:val="center"/>
              <w:rPr>
                <w:rFonts w:asciiTheme="majorHAnsi" w:hAnsiTheme="majorHAnsi"/>
                <w:b/>
                <w:bCs/>
                <w:color w:val="FFFFFF" w:themeColor="background1"/>
                <w:sz w:val="20"/>
                <w:szCs w:val="20"/>
                <w:lang w:val="es-ES"/>
              </w:rPr>
            </w:pPr>
            <w:r w:rsidRPr="00507154">
              <w:rPr>
                <w:rFonts w:asciiTheme="majorHAnsi" w:hAnsiTheme="majorHAnsi"/>
                <w:b/>
                <w:bCs/>
                <w:color w:val="FFFFFF" w:themeColor="background1"/>
                <w:sz w:val="20"/>
                <w:szCs w:val="20"/>
                <w:lang w:val="es-ES"/>
              </w:rPr>
              <w:lastRenderedPageBreak/>
              <w:t>Agotamiento de recursos internos</w:t>
            </w:r>
            <w:r w:rsidR="00EE00E9" w:rsidRPr="00507154">
              <w:rPr>
                <w:rFonts w:asciiTheme="majorHAnsi" w:hAnsiTheme="majorHAnsi"/>
                <w:b/>
                <w:bCs/>
                <w:color w:val="FFFFFF" w:themeColor="background1"/>
                <w:sz w:val="20"/>
                <w:szCs w:val="20"/>
                <w:lang w:val="es-ES"/>
              </w:rPr>
              <w:t xml:space="preserve"> o procedencia de una excepción</w:t>
            </w:r>
            <w:r w:rsidRPr="00507154">
              <w:rPr>
                <w:rFonts w:asciiTheme="majorHAnsi" w:hAnsiTheme="majorHAnsi"/>
                <w:b/>
                <w:bCs/>
                <w:color w:val="FFFFFF" w:themeColor="background1"/>
                <w:sz w:val="20"/>
                <w:szCs w:val="20"/>
                <w:lang w:val="es-ES"/>
              </w:rPr>
              <w:t>:</w:t>
            </w:r>
          </w:p>
        </w:tc>
        <w:tc>
          <w:tcPr>
            <w:tcW w:w="5760" w:type="dxa"/>
            <w:vAlign w:val="center"/>
          </w:tcPr>
          <w:p w14:paraId="28A8E6EE" w14:textId="77777777" w:rsidR="003239B8" w:rsidRPr="00507154" w:rsidRDefault="00B97073" w:rsidP="00B45AEA">
            <w:pPr>
              <w:jc w:val="both"/>
              <w:rPr>
                <w:rFonts w:asciiTheme="majorHAnsi" w:hAnsiTheme="majorHAnsi"/>
                <w:bCs/>
                <w:sz w:val="20"/>
                <w:szCs w:val="20"/>
                <w:lang w:val="es-ES"/>
              </w:rPr>
            </w:pPr>
            <w:r w:rsidRPr="00507154">
              <w:rPr>
                <w:rFonts w:asciiTheme="majorHAnsi" w:hAnsiTheme="majorHAnsi"/>
                <w:bCs/>
                <w:sz w:val="20"/>
                <w:szCs w:val="20"/>
                <w:lang w:val="es-ES"/>
              </w:rPr>
              <w:t xml:space="preserve">Sí, aplica </w:t>
            </w:r>
            <w:r w:rsidR="00D246D9">
              <w:rPr>
                <w:rFonts w:asciiTheme="majorHAnsi" w:hAnsiTheme="majorHAnsi"/>
                <w:bCs/>
                <w:sz w:val="20"/>
                <w:szCs w:val="20"/>
                <w:lang w:val="es-ES"/>
              </w:rPr>
              <w:t>la excepción del Artículo 46.2.</w:t>
            </w:r>
            <w:r w:rsidRPr="00507154">
              <w:rPr>
                <w:rFonts w:asciiTheme="majorHAnsi" w:hAnsiTheme="majorHAnsi"/>
                <w:bCs/>
                <w:sz w:val="20"/>
                <w:szCs w:val="20"/>
                <w:lang w:val="es-ES"/>
              </w:rPr>
              <w:t>c) de la Convención Americana</w:t>
            </w:r>
          </w:p>
        </w:tc>
      </w:tr>
      <w:tr w:rsidR="003239B8" w:rsidRPr="00535FA4" w14:paraId="256554AC" w14:textId="77777777" w:rsidTr="004A6A54">
        <w:trPr>
          <w:cantSplit/>
        </w:trPr>
        <w:tc>
          <w:tcPr>
            <w:tcW w:w="3600" w:type="dxa"/>
            <w:tcBorders>
              <w:top w:val="single" w:sz="6" w:space="0" w:color="auto"/>
              <w:bottom w:val="single" w:sz="6" w:space="0" w:color="auto"/>
            </w:tcBorders>
            <w:shd w:val="clear" w:color="auto" w:fill="386294"/>
            <w:vAlign w:val="center"/>
          </w:tcPr>
          <w:p w14:paraId="6565008B" w14:textId="77777777" w:rsidR="003239B8" w:rsidRPr="00507154" w:rsidRDefault="003239B8" w:rsidP="00507154">
            <w:pPr>
              <w:jc w:val="center"/>
              <w:rPr>
                <w:rFonts w:asciiTheme="majorHAnsi" w:hAnsiTheme="majorHAnsi"/>
                <w:b/>
                <w:bCs/>
                <w:color w:val="FFFFFF" w:themeColor="background1"/>
                <w:sz w:val="20"/>
                <w:szCs w:val="20"/>
              </w:rPr>
            </w:pPr>
            <w:r w:rsidRPr="00507154">
              <w:rPr>
                <w:rFonts w:asciiTheme="majorHAnsi" w:hAnsiTheme="majorHAnsi"/>
                <w:b/>
                <w:bCs/>
                <w:color w:val="FFFFFF" w:themeColor="background1"/>
                <w:sz w:val="20"/>
                <w:szCs w:val="20"/>
              </w:rPr>
              <w:t>Presentación dentro de plazo:</w:t>
            </w:r>
          </w:p>
        </w:tc>
        <w:tc>
          <w:tcPr>
            <w:tcW w:w="5760" w:type="dxa"/>
            <w:vAlign w:val="center"/>
          </w:tcPr>
          <w:p w14:paraId="6ED2BB38" w14:textId="77777777" w:rsidR="003239B8" w:rsidRPr="00507154" w:rsidRDefault="00B97073" w:rsidP="00507154">
            <w:pPr>
              <w:rPr>
                <w:rFonts w:asciiTheme="majorHAnsi" w:hAnsiTheme="majorHAnsi"/>
                <w:bCs/>
                <w:sz w:val="20"/>
                <w:szCs w:val="20"/>
                <w:lang w:val="es-CO"/>
              </w:rPr>
            </w:pPr>
            <w:r w:rsidRPr="00507154">
              <w:rPr>
                <w:rFonts w:asciiTheme="majorHAnsi" w:hAnsiTheme="majorHAnsi"/>
                <w:bCs/>
                <w:sz w:val="20"/>
                <w:szCs w:val="20"/>
                <w:lang w:val="es-CO"/>
              </w:rPr>
              <w:t>Sí, en los términos de la Sección VI</w:t>
            </w:r>
          </w:p>
        </w:tc>
      </w:tr>
    </w:tbl>
    <w:p w14:paraId="3B6E11BE" w14:textId="77777777" w:rsidR="00507154" w:rsidRDefault="00507154" w:rsidP="00507154">
      <w:pPr>
        <w:ind w:firstLine="720"/>
        <w:jc w:val="both"/>
        <w:rPr>
          <w:rFonts w:asciiTheme="majorHAnsi" w:hAnsiTheme="majorHAnsi"/>
          <w:b/>
          <w:sz w:val="20"/>
          <w:szCs w:val="20"/>
          <w:lang w:val="es-UY"/>
        </w:rPr>
      </w:pPr>
    </w:p>
    <w:p w14:paraId="08AB75E7" w14:textId="77777777" w:rsidR="003239B8" w:rsidRPr="00507154" w:rsidRDefault="00223A29" w:rsidP="00507154">
      <w:pPr>
        <w:ind w:firstLine="720"/>
        <w:jc w:val="both"/>
        <w:rPr>
          <w:rFonts w:asciiTheme="majorHAnsi" w:hAnsiTheme="majorHAnsi"/>
          <w:b/>
          <w:sz w:val="20"/>
          <w:szCs w:val="20"/>
          <w:lang w:val="es-UY"/>
        </w:rPr>
      </w:pPr>
      <w:r w:rsidRPr="00507154">
        <w:rPr>
          <w:rFonts w:asciiTheme="majorHAnsi" w:hAnsiTheme="majorHAnsi"/>
          <w:b/>
          <w:sz w:val="20"/>
          <w:szCs w:val="20"/>
          <w:lang w:val="es-UY"/>
        </w:rPr>
        <w:t xml:space="preserve">V. </w:t>
      </w:r>
      <w:r w:rsidRPr="00507154">
        <w:rPr>
          <w:rFonts w:asciiTheme="majorHAnsi" w:hAnsiTheme="majorHAnsi"/>
          <w:b/>
          <w:sz w:val="20"/>
          <w:szCs w:val="20"/>
          <w:lang w:val="es-UY"/>
        </w:rPr>
        <w:tab/>
      </w:r>
      <w:r w:rsidR="003239B8" w:rsidRPr="00507154">
        <w:rPr>
          <w:rFonts w:asciiTheme="majorHAnsi" w:hAnsiTheme="majorHAnsi"/>
          <w:b/>
          <w:sz w:val="20"/>
          <w:szCs w:val="20"/>
          <w:lang w:val="es-UY"/>
        </w:rPr>
        <w:t xml:space="preserve">HECHOS ALEGADOS </w:t>
      </w:r>
    </w:p>
    <w:p w14:paraId="34D6C429"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2E3016F0" w14:textId="356275F6" w:rsidR="00986AD6" w:rsidRPr="00507154" w:rsidRDefault="00197EB7"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507154">
        <w:rPr>
          <w:rFonts w:asciiTheme="majorHAnsi" w:hAnsiTheme="majorHAnsi"/>
          <w:sz w:val="20"/>
          <w:szCs w:val="20"/>
          <w:lang w:val="es-AR"/>
        </w:rPr>
        <w:t xml:space="preserve">1. </w:t>
      </w:r>
      <w:r w:rsidR="00423430">
        <w:rPr>
          <w:rFonts w:asciiTheme="majorHAnsi" w:hAnsiTheme="majorHAnsi"/>
          <w:sz w:val="20"/>
          <w:szCs w:val="20"/>
          <w:lang w:val="es-AR"/>
        </w:rPr>
        <w:tab/>
      </w:r>
      <w:r w:rsidR="00B97073" w:rsidRPr="00507154">
        <w:rPr>
          <w:rFonts w:asciiTheme="majorHAnsi" w:hAnsiTheme="majorHAnsi"/>
          <w:sz w:val="20"/>
          <w:szCs w:val="20"/>
          <w:lang w:val="es-AR"/>
        </w:rPr>
        <w:t>Los peticionarios solicitan a la CIDH que declare internacionalmente responsable al Estado colombiano por la ejecución extrajudicial de</w:t>
      </w:r>
      <w:r w:rsidR="002E2B13">
        <w:rPr>
          <w:rFonts w:asciiTheme="majorHAnsi" w:hAnsiTheme="majorHAnsi"/>
          <w:sz w:val="20"/>
          <w:szCs w:val="20"/>
          <w:lang w:val="es-AR"/>
        </w:rPr>
        <w:t xml:space="preserve"> </w:t>
      </w:r>
      <w:r w:rsidR="00B97073" w:rsidRPr="00507154">
        <w:rPr>
          <w:rFonts w:asciiTheme="majorHAnsi" w:hAnsiTheme="majorHAnsi"/>
          <w:sz w:val="20"/>
          <w:szCs w:val="20"/>
          <w:lang w:val="es-AR"/>
        </w:rPr>
        <w:t>Helvir Antonio Torres Clavijo</w:t>
      </w:r>
      <w:r w:rsidR="00986AD6" w:rsidRPr="00507154">
        <w:rPr>
          <w:rFonts w:asciiTheme="majorHAnsi" w:hAnsiTheme="majorHAnsi"/>
          <w:sz w:val="20"/>
          <w:szCs w:val="20"/>
          <w:lang w:val="es-AR"/>
        </w:rPr>
        <w:t xml:space="preserve"> por parte de miembros del Ejército Nacional,</w:t>
      </w:r>
      <w:r w:rsidR="00B97073" w:rsidRPr="00507154">
        <w:rPr>
          <w:rFonts w:asciiTheme="majorHAnsi" w:hAnsiTheme="majorHAnsi"/>
          <w:sz w:val="20"/>
          <w:szCs w:val="20"/>
          <w:lang w:val="es-AR"/>
        </w:rPr>
        <w:t xml:space="preserve"> y </w:t>
      </w:r>
      <w:r w:rsidR="00986AD6" w:rsidRPr="00507154">
        <w:rPr>
          <w:rFonts w:asciiTheme="majorHAnsi" w:hAnsiTheme="majorHAnsi"/>
          <w:sz w:val="20"/>
          <w:szCs w:val="20"/>
          <w:lang w:val="es-AR"/>
        </w:rPr>
        <w:t xml:space="preserve">la posterior alteración de la escena y de las circunstancias del crimen para presentarlo oficial y públicamente como </w:t>
      </w:r>
      <w:r w:rsidR="00B97073" w:rsidRPr="00507154">
        <w:rPr>
          <w:rFonts w:asciiTheme="majorHAnsi" w:hAnsiTheme="majorHAnsi"/>
          <w:sz w:val="20"/>
          <w:szCs w:val="20"/>
          <w:lang w:val="es-AR"/>
        </w:rPr>
        <w:t>guerrillero muerto en combate</w:t>
      </w:r>
      <w:r w:rsidR="00273BAA">
        <w:rPr>
          <w:rFonts w:asciiTheme="majorHAnsi" w:hAnsiTheme="majorHAnsi"/>
          <w:sz w:val="20"/>
          <w:szCs w:val="20"/>
          <w:lang w:val="es-AR"/>
        </w:rPr>
        <w:t>;</w:t>
      </w:r>
      <w:r w:rsidR="00203B4D">
        <w:rPr>
          <w:rFonts w:asciiTheme="majorHAnsi" w:hAnsiTheme="majorHAnsi"/>
          <w:sz w:val="20"/>
          <w:szCs w:val="20"/>
          <w:lang w:val="es-AR"/>
        </w:rPr>
        <w:t xml:space="preserve"> </w:t>
      </w:r>
      <w:r w:rsidR="00273BAA">
        <w:rPr>
          <w:rFonts w:asciiTheme="majorHAnsi" w:hAnsiTheme="majorHAnsi"/>
          <w:sz w:val="20"/>
          <w:szCs w:val="20"/>
          <w:lang w:val="es-AR"/>
        </w:rPr>
        <w:t>a</w:t>
      </w:r>
      <w:r w:rsidR="00986AD6" w:rsidRPr="00507154">
        <w:rPr>
          <w:rFonts w:asciiTheme="majorHAnsi" w:hAnsiTheme="majorHAnsi"/>
          <w:sz w:val="20"/>
          <w:szCs w:val="20"/>
          <w:lang w:val="es-AR"/>
        </w:rPr>
        <w:t>sí como por el intento de asesinato de Freddy Torres Torres en el mismo ataque</w:t>
      </w:r>
      <w:r w:rsidR="00F66B58" w:rsidRPr="00507154">
        <w:rPr>
          <w:rFonts w:asciiTheme="majorHAnsi" w:hAnsiTheme="majorHAnsi"/>
          <w:sz w:val="20"/>
          <w:szCs w:val="20"/>
          <w:lang w:val="es-AR"/>
        </w:rPr>
        <w:t xml:space="preserve">, y por la impunidad en la que se </w:t>
      </w:r>
      <w:r w:rsidR="002E2B13">
        <w:rPr>
          <w:rFonts w:asciiTheme="majorHAnsi" w:hAnsiTheme="majorHAnsi"/>
          <w:sz w:val="20"/>
          <w:szCs w:val="20"/>
          <w:lang w:val="es-AR"/>
        </w:rPr>
        <w:t>encontrarían</w:t>
      </w:r>
      <w:r w:rsidR="00F66B58" w:rsidRPr="00507154">
        <w:rPr>
          <w:rFonts w:asciiTheme="majorHAnsi" w:hAnsiTheme="majorHAnsi"/>
          <w:sz w:val="20"/>
          <w:szCs w:val="20"/>
          <w:lang w:val="es-AR"/>
        </w:rPr>
        <w:t xml:space="preserve"> ambos casos.</w:t>
      </w:r>
      <w:r w:rsidR="00B45AEA">
        <w:rPr>
          <w:rFonts w:asciiTheme="majorHAnsi" w:hAnsiTheme="majorHAnsi"/>
          <w:sz w:val="20"/>
          <w:szCs w:val="20"/>
          <w:lang w:val="es-AR"/>
        </w:rPr>
        <w:t xml:space="preserve"> También se reclama por el desplazamiento </w:t>
      </w:r>
      <w:r w:rsidR="0055275C">
        <w:rPr>
          <w:rFonts w:asciiTheme="majorHAnsi" w:hAnsiTheme="majorHAnsi"/>
          <w:sz w:val="20"/>
          <w:szCs w:val="20"/>
          <w:lang w:val="es-AR"/>
        </w:rPr>
        <w:t>interno</w:t>
      </w:r>
      <w:r w:rsidR="00B45AEA">
        <w:rPr>
          <w:rFonts w:asciiTheme="majorHAnsi" w:hAnsiTheme="majorHAnsi"/>
          <w:sz w:val="20"/>
          <w:szCs w:val="20"/>
          <w:lang w:val="es-AR"/>
        </w:rPr>
        <w:t xml:space="preserve"> que sufrió Freddy Torres a consecuencia del ataque y</w:t>
      </w:r>
      <w:r w:rsidR="001C4D1E">
        <w:rPr>
          <w:rFonts w:asciiTheme="majorHAnsi" w:hAnsiTheme="majorHAnsi"/>
          <w:sz w:val="20"/>
          <w:szCs w:val="20"/>
          <w:lang w:val="es-AR"/>
        </w:rPr>
        <w:t xml:space="preserve"> de</w:t>
      </w:r>
      <w:r w:rsidR="00B45AEA">
        <w:rPr>
          <w:rFonts w:asciiTheme="majorHAnsi" w:hAnsiTheme="majorHAnsi"/>
          <w:sz w:val="20"/>
          <w:szCs w:val="20"/>
          <w:lang w:val="es-AR"/>
        </w:rPr>
        <w:t xml:space="preserve"> </w:t>
      </w:r>
      <w:r w:rsidR="001C4D1E">
        <w:rPr>
          <w:rFonts w:asciiTheme="majorHAnsi" w:hAnsiTheme="majorHAnsi"/>
          <w:sz w:val="20"/>
          <w:szCs w:val="20"/>
          <w:lang w:val="es-AR"/>
        </w:rPr>
        <w:t xml:space="preserve">la </w:t>
      </w:r>
      <w:r w:rsidR="00B45AEA">
        <w:rPr>
          <w:rFonts w:asciiTheme="majorHAnsi" w:hAnsiTheme="majorHAnsi"/>
          <w:sz w:val="20"/>
          <w:szCs w:val="20"/>
          <w:lang w:val="es-AR"/>
        </w:rPr>
        <w:t>persecución subsiguiente</w:t>
      </w:r>
      <w:r w:rsidR="001C4D1E">
        <w:rPr>
          <w:rFonts w:asciiTheme="majorHAnsi" w:hAnsiTheme="majorHAnsi"/>
          <w:sz w:val="20"/>
          <w:szCs w:val="20"/>
          <w:lang w:val="es-AR"/>
        </w:rPr>
        <w:t xml:space="preserve"> que le afectó;</w:t>
      </w:r>
      <w:r w:rsidR="00B45AEA">
        <w:rPr>
          <w:rFonts w:asciiTheme="majorHAnsi" w:hAnsiTheme="majorHAnsi"/>
          <w:sz w:val="20"/>
          <w:szCs w:val="20"/>
          <w:lang w:val="es-AR"/>
        </w:rPr>
        <w:t xml:space="preserve"> </w:t>
      </w:r>
      <w:r w:rsidR="00B940BB">
        <w:rPr>
          <w:rFonts w:asciiTheme="majorHAnsi" w:hAnsiTheme="majorHAnsi"/>
          <w:sz w:val="20"/>
          <w:szCs w:val="20"/>
          <w:lang w:val="es-AR"/>
        </w:rPr>
        <w:t xml:space="preserve">al igual que </w:t>
      </w:r>
      <w:r w:rsidR="00B45AEA">
        <w:rPr>
          <w:rFonts w:asciiTheme="majorHAnsi" w:hAnsiTheme="majorHAnsi"/>
          <w:sz w:val="20"/>
          <w:szCs w:val="20"/>
          <w:lang w:val="es-AR"/>
        </w:rPr>
        <w:t xml:space="preserve">por el </w:t>
      </w:r>
      <w:r w:rsidR="00E33102">
        <w:rPr>
          <w:rFonts w:asciiTheme="majorHAnsi" w:hAnsiTheme="majorHAnsi"/>
          <w:sz w:val="20"/>
          <w:szCs w:val="20"/>
          <w:lang w:val="es-AR"/>
        </w:rPr>
        <w:t xml:space="preserve">posterior </w:t>
      </w:r>
      <w:r w:rsidR="00B45AEA">
        <w:rPr>
          <w:rFonts w:asciiTheme="majorHAnsi" w:hAnsiTheme="majorHAnsi"/>
          <w:sz w:val="20"/>
          <w:szCs w:val="20"/>
          <w:lang w:val="es-AR"/>
        </w:rPr>
        <w:t xml:space="preserve">desplazamiento </w:t>
      </w:r>
      <w:r w:rsidR="002E2B13">
        <w:rPr>
          <w:rFonts w:asciiTheme="majorHAnsi" w:hAnsiTheme="majorHAnsi"/>
          <w:sz w:val="20"/>
          <w:szCs w:val="20"/>
          <w:lang w:val="es-AR"/>
        </w:rPr>
        <w:t>interno</w:t>
      </w:r>
      <w:r w:rsidR="00B45AEA">
        <w:rPr>
          <w:rFonts w:asciiTheme="majorHAnsi" w:hAnsiTheme="majorHAnsi"/>
          <w:sz w:val="20"/>
          <w:szCs w:val="20"/>
          <w:lang w:val="es-AR"/>
        </w:rPr>
        <w:t xml:space="preserve"> de los familiares de </w:t>
      </w:r>
      <w:r w:rsidR="002E2B13">
        <w:rPr>
          <w:rFonts w:asciiTheme="majorHAnsi" w:hAnsiTheme="majorHAnsi"/>
          <w:sz w:val="20"/>
          <w:szCs w:val="20"/>
          <w:lang w:val="es-AR"/>
        </w:rPr>
        <w:t>ambos</w:t>
      </w:r>
      <w:r w:rsidR="00B45AEA">
        <w:rPr>
          <w:rFonts w:asciiTheme="majorHAnsi" w:hAnsiTheme="majorHAnsi"/>
          <w:sz w:val="20"/>
          <w:szCs w:val="20"/>
          <w:lang w:val="es-AR"/>
        </w:rPr>
        <w:t xml:space="preserve"> para preservar su seguridad</w:t>
      </w:r>
      <w:r w:rsidR="001C4D1E">
        <w:rPr>
          <w:rFonts w:asciiTheme="majorHAnsi" w:hAnsiTheme="majorHAnsi"/>
          <w:sz w:val="20"/>
          <w:szCs w:val="20"/>
          <w:lang w:val="es-AR"/>
        </w:rPr>
        <w:t>.</w:t>
      </w:r>
    </w:p>
    <w:p w14:paraId="05ECB7F4"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6559B90C" w14:textId="77777777" w:rsidR="00A11E44" w:rsidRPr="00507154" w:rsidRDefault="00197EB7"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507154">
        <w:rPr>
          <w:rFonts w:asciiTheme="majorHAnsi" w:hAnsiTheme="majorHAnsi"/>
          <w:sz w:val="20"/>
          <w:szCs w:val="20"/>
          <w:lang w:val="es-AR"/>
        </w:rPr>
        <w:t xml:space="preserve">2. </w:t>
      </w:r>
      <w:r w:rsidR="00521C91">
        <w:rPr>
          <w:rFonts w:asciiTheme="majorHAnsi" w:hAnsiTheme="majorHAnsi"/>
          <w:sz w:val="20"/>
          <w:szCs w:val="20"/>
          <w:lang w:val="es-AR"/>
        </w:rPr>
        <w:tab/>
      </w:r>
      <w:r w:rsidR="00986AD6" w:rsidRPr="00507154">
        <w:rPr>
          <w:rFonts w:asciiTheme="majorHAnsi" w:hAnsiTheme="majorHAnsi"/>
          <w:sz w:val="20"/>
          <w:szCs w:val="20"/>
          <w:lang w:val="es-AR"/>
        </w:rPr>
        <w:t xml:space="preserve">Se </w:t>
      </w:r>
      <w:r w:rsidR="00521C91">
        <w:rPr>
          <w:rFonts w:asciiTheme="majorHAnsi" w:hAnsiTheme="majorHAnsi"/>
          <w:sz w:val="20"/>
          <w:szCs w:val="20"/>
          <w:lang w:val="es-AR"/>
        </w:rPr>
        <w:t>narra</w:t>
      </w:r>
      <w:r w:rsidR="00986AD6" w:rsidRPr="00507154">
        <w:rPr>
          <w:rFonts w:asciiTheme="majorHAnsi" w:hAnsiTheme="majorHAnsi"/>
          <w:sz w:val="20"/>
          <w:szCs w:val="20"/>
          <w:lang w:val="es-AR"/>
        </w:rPr>
        <w:t xml:space="preserve"> en la petición que el señor Helvir Antonio Torres</w:t>
      </w:r>
      <w:r w:rsidR="007C2177" w:rsidRPr="00507154">
        <w:rPr>
          <w:rFonts w:asciiTheme="majorHAnsi" w:hAnsiTheme="majorHAnsi"/>
          <w:sz w:val="20"/>
          <w:szCs w:val="20"/>
          <w:lang w:val="es-AR"/>
        </w:rPr>
        <w:t>, de 26 años de edad</w:t>
      </w:r>
      <w:r w:rsidR="001C4D1E">
        <w:rPr>
          <w:rFonts w:asciiTheme="majorHAnsi" w:hAnsiTheme="majorHAnsi"/>
          <w:sz w:val="20"/>
          <w:szCs w:val="20"/>
          <w:lang w:val="es-AR"/>
        </w:rPr>
        <w:t xml:space="preserve"> al momento de su muerte</w:t>
      </w:r>
      <w:r w:rsidR="007C2177" w:rsidRPr="00507154">
        <w:rPr>
          <w:rFonts w:asciiTheme="majorHAnsi" w:hAnsiTheme="majorHAnsi"/>
          <w:sz w:val="20"/>
          <w:szCs w:val="20"/>
          <w:lang w:val="es-AR"/>
        </w:rPr>
        <w:t>,</w:t>
      </w:r>
      <w:r w:rsidR="00986AD6" w:rsidRPr="00507154">
        <w:rPr>
          <w:rFonts w:asciiTheme="majorHAnsi" w:hAnsiTheme="majorHAnsi"/>
          <w:sz w:val="20"/>
          <w:szCs w:val="20"/>
          <w:lang w:val="es-AR"/>
        </w:rPr>
        <w:t xml:space="preserve"> </w:t>
      </w:r>
      <w:r w:rsidR="001C4D1E">
        <w:rPr>
          <w:rFonts w:asciiTheme="majorHAnsi" w:hAnsiTheme="majorHAnsi"/>
          <w:sz w:val="20"/>
          <w:szCs w:val="20"/>
          <w:lang w:val="es-AR"/>
        </w:rPr>
        <w:t xml:space="preserve">era un ciudadano particular que </w:t>
      </w:r>
      <w:r w:rsidR="00986AD6" w:rsidRPr="00507154">
        <w:rPr>
          <w:rFonts w:asciiTheme="majorHAnsi" w:hAnsiTheme="majorHAnsi"/>
          <w:sz w:val="20"/>
          <w:szCs w:val="20"/>
          <w:lang w:val="es-AR"/>
        </w:rPr>
        <w:t xml:space="preserve">trabajaba en </w:t>
      </w:r>
      <w:r w:rsidR="001C4D1E">
        <w:rPr>
          <w:rFonts w:asciiTheme="majorHAnsi" w:hAnsiTheme="majorHAnsi"/>
          <w:sz w:val="20"/>
          <w:szCs w:val="20"/>
          <w:lang w:val="es-AR"/>
        </w:rPr>
        <w:t xml:space="preserve">agricultura, </w:t>
      </w:r>
      <w:r w:rsidR="00986AD6" w:rsidRPr="00507154">
        <w:rPr>
          <w:rFonts w:asciiTheme="majorHAnsi" w:hAnsiTheme="majorHAnsi"/>
          <w:sz w:val="20"/>
          <w:szCs w:val="20"/>
          <w:lang w:val="es-AR"/>
        </w:rPr>
        <w:t xml:space="preserve">oficios varios y comercio en la población de </w:t>
      </w:r>
      <w:r w:rsidR="007C2177" w:rsidRPr="00507154">
        <w:rPr>
          <w:rFonts w:asciiTheme="majorHAnsi" w:hAnsiTheme="majorHAnsi"/>
          <w:sz w:val="20"/>
          <w:szCs w:val="20"/>
          <w:lang w:val="es-AR"/>
        </w:rPr>
        <w:t>Cabrera</w:t>
      </w:r>
      <w:r w:rsidR="008E6134">
        <w:rPr>
          <w:rFonts w:asciiTheme="majorHAnsi" w:hAnsiTheme="majorHAnsi"/>
          <w:sz w:val="20"/>
          <w:szCs w:val="20"/>
          <w:lang w:val="es-AR"/>
        </w:rPr>
        <w:t>,</w:t>
      </w:r>
      <w:r w:rsidR="007C2177" w:rsidRPr="00507154">
        <w:rPr>
          <w:rFonts w:asciiTheme="majorHAnsi" w:hAnsiTheme="majorHAnsi"/>
          <w:sz w:val="20"/>
          <w:szCs w:val="20"/>
          <w:lang w:val="es-AR"/>
        </w:rPr>
        <w:t xml:space="preserve"> </w:t>
      </w:r>
      <w:r w:rsidR="008E6134">
        <w:rPr>
          <w:rFonts w:asciiTheme="majorHAnsi" w:hAnsiTheme="majorHAnsi"/>
          <w:sz w:val="20"/>
          <w:szCs w:val="20"/>
          <w:lang w:val="es-AR"/>
        </w:rPr>
        <w:t>Cundinamarca;</w:t>
      </w:r>
      <w:r w:rsidR="00986AD6" w:rsidRPr="00507154">
        <w:rPr>
          <w:rFonts w:asciiTheme="majorHAnsi" w:hAnsiTheme="majorHAnsi"/>
          <w:sz w:val="20"/>
          <w:szCs w:val="20"/>
          <w:lang w:val="es-AR"/>
        </w:rPr>
        <w:t xml:space="preserve"> y que el señor Freddy Torres Torres, su primo, </w:t>
      </w:r>
      <w:r w:rsidR="001C4D1E">
        <w:rPr>
          <w:rFonts w:asciiTheme="majorHAnsi" w:hAnsiTheme="majorHAnsi"/>
          <w:sz w:val="20"/>
          <w:szCs w:val="20"/>
          <w:lang w:val="es-AR"/>
        </w:rPr>
        <w:t xml:space="preserve">también es un ciudadano particular que entonces </w:t>
      </w:r>
      <w:r w:rsidR="00986AD6" w:rsidRPr="00507154">
        <w:rPr>
          <w:rFonts w:asciiTheme="majorHAnsi" w:hAnsiTheme="majorHAnsi"/>
          <w:sz w:val="20"/>
          <w:szCs w:val="20"/>
          <w:lang w:val="es-AR"/>
        </w:rPr>
        <w:t xml:space="preserve">trabajaba en el sector del transporte y </w:t>
      </w:r>
      <w:r w:rsidR="00F66B58" w:rsidRPr="00507154">
        <w:rPr>
          <w:rFonts w:asciiTheme="majorHAnsi" w:hAnsiTheme="majorHAnsi"/>
          <w:sz w:val="20"/>
          <w:szCs w:val="20"/>
          <w:lang w:val="es-AR"/>
        </w:rPr>
        <w:t xml:space="preserve">en el </w:t>
      </w:r>
      <w:r w:rsidR="00986AD6" w:rsidRPr="00507154">
        <w:rPr>
          <w:rFonts w:asciiTheme="majorHAnsi" w:hAnsiTheme="majorHAnsi"/>
          <w:sz w:val="20"/>
          <w:szCs w:val="20"/>
          <w:lang w:val="es-AR"/>
        </w:rPr>
        <w:t xml:space="preserve">comercio del mismo municipio. Se </w:t>
      </w:r>
      <w:r w:rsidR="00511765">
        <w:rPr>
          <w:rFonts w:asciiTheme="majorHAnsi" w:hAnsiTheme="majorHAnsi"/>
          <w:sz w:val="20"/>
          <w:szCs w:val="20"/>
          <w:lang w:val="es-AR"/>
        </w:rPr>
        <w:t>indica</w:t>
      </w:r>
      <w:r w:rsidR="00986AD6" w:rsidRPr="00507154">
        <w:rPr>
          <w:rFonts w:asciiTheme="majorHAnsi" w:hAnsiTheme="majorHAnsi"/>
          <w:sz w:val="20"/>
          <w:szCs w:val="20"/>
          <w:lang w:val="es-AR"/>
        </w:rPr>
        <w:t xml:space="preserve"> que el</w:t>
      </w:r>
      <w:r w:rsidR="00F66B58" w:rsidRPr="00507154">
        <w:rPr>
          <w:rFonts w:asciiTheme="majorHAnsi" w:hAnsiTheme="majorHAnsi"/>
          <w:sz w:val="20"/>
          <w:szCs w:val="20"/>
          <w:lang w:val="es-AR"/>
        </w:rPr>
        <w:t xml:space="preserve"> 16 de septiembre de 2006</w:t>
      </w:r>
      <w:r w:rsidR="00986AD6" w:rsidRPr="00507154">
        <w:rPr>
          <w:rFonts w:asciiTheme="majorHAnsi" w:hAnsiTheme="majorHAnsi"/>
          <w:sz w:val="20"/>
          <w:szCs w:val="20"/>
          <w:lang w:val="es-AR"/>
        </w:rPr>
        <w:t xml:space="preserve"> </w:t>
      </w:r>
      <w:r w:rsidR="001C4D1E">
        <w:rPr>
          <w:rFonts w:asciiTheme="majorHAnsi" w:hAnsiTheme="majorHAnsi"/>
          <w:sz w:val="20"/>
          <w:szCs w:val="20"/>
          <w:lang w:val="es-AR"/>
        </w:rPr>
        <w:t xml:space="preserve">ambos </w:t>
      </w:r>
      <w:r w:rsidR="00986AD6" w:rsidRPr="00507154">
        <w:rPr>
          <w:rFonts w:asciiTheme="majorHAnsi" w:hAnsiTheme="majorHAnsi"/>
          <w:sz w:val="20"/>
          <w:szCs w:val="20"/>
          <w:lang w:val="es-AR"/>
        </w:rPr>
        <w:t xml:space="preserve">estaban consumiendo licor en un </w:t>
      </w:r>
      <w:r w:rsidR="00B917C0" w:rsidRPr="00507154">
        <w:rPr>
          <w:rFonts w:asciiTheme="majorHAnsi" w:hAnsiTheme="majorHAnsi"/>
          <w:sz w:val="20"/>
          <w:szCs w:val="20"/>
          <w:lang w:val="es-AR"/>
        </w:rPr>
        <w:t xml:space="preserve">establecimiento público con un hombre que se hacía llamar </w:t>
      </w:r>
      <w:r w:rsidR="0062135D">
        <w:rPr>
          <w:rFonts w:asciiTheme="majorHAnsi" w:hAnsiTheme="majorHAnsi"/>
          <w:sz w:val="20"/>
          <w:szCs w:val="20"/>
          <w:lang w:val="es-AR"/>
        </w:rPr>
        <w:t>“</w:t>
      </w:r>
      <w:r w:rsidR="00B917C0" w:rsidRPr="00507154">
        <w:rPr>
          <w:rFonts w:asciiTheme="majorHAnsi" w:hAnsiTheme="majorHAnsi"/>
          <w:sz w:val="20"/>
          <w:szCs w:val="20"/>
          <w:lang w:val="es-AR"/>
        </w:rPr>
        <w:t>Freddy</w:t>
      </w:r>
      <w:r w:rsidR="0062135D">
        <w:rPr>
          <w:rFonts w:asciiTheme="majorHAnsi" w:hAnsiTheme="majorHAnsi"/>
          <w:sz w:val="20"/>
          <w:szCs w:val="20"/>
          <w:lang w:val="es-AR"/>
        </w:rPr>
        <w:t>”</w:t>
      </w:r>
      <w:r w:rsidR="00B917C0" w:rsidRPr="00507154">
        <w:rPr>
          <w:rFonts w:asciiTheme="majorHAnsi" w:hAnsiTheme="majorHAnsi"/>
          <w:sz w:val="20"/>
          <w:szCs w:val="20"/>
          <w:lang w:val="es-AR"/>
        </w:rPr>
        <w:t xml:space="preserve">, al que habían conocido días antes en una ocasión social. </w:t>
      </w:r>
      <w:r w:rsidR="0062135D">
        <w:rPr>
          <w:rFonts w:asciiTheme="majorHAnsi" w:hAnsiTheme="majorHAnsi"/>
          <w:sz w:val="20"/>
          <w:szCs w:val="20"/>
          <w:lang w:val="es-AR"/>
        </w:rPr>
        <w:t>Este tal</w:t>
      </w:r>
      <w:r w:rsidR="00B917C0" w:rsidRPr="00507154">
        <w:rPr>
          <w:rFonts w:asciiTheme="majorHAnsi" w:hAnsiTheme="majorHAnsi"/>
          <w:sz w:val="20"/>
          <w:szCs w:val="20"/>
          <w:lang w:val="es-AR"/>
        </w:rPr>
        <w:t xml:space="preserve"> </w:t>
      </w:r>
      <w:r w:rsidR="0062135D">
        <w:rPr>
          <w:rFonts w:asciiTheme="majorHAnsi" w:hAnsiTheme="majorHAnsi"/>
          <w:sz w:val="20"/>
          <w:szCs w:val="20"/>
          <w:lang w:val="es-AR"/>
        </w:rPr>
        <w:t>“</w:t>
      </w:r>
      <w:r w:rsidR="00B917C0" w:rsidRPr="00507154">
        <w:rPr>
          <w:rFonts w:asciiTheme="majorHAnsi" w:hAnsiTheme="majorHAnsi"/>
          <w:sz w:val="20"/>
          <w:szCs w:val="20"/>
          <w:lang w:val="es-AR"/>
        </w:rPr>
        <w:t>Freddy</w:t>
      </w:r>
      <w:r w:rsidR="0062135D">
        <w:rPr>
          <w:rFonts w:asciiTheme="majorHAnsi" w:hAnsiTheme="majorHAnsi"/>
          <w:sz w:val="20"/>
          <w:szCs w:val="20"/>
          <w:lang w:val="es-AR"/>
        </w:rPr>
        <w:t>”</w:t>
      </w:r>
      <w:r w:rsidR="00B917C0" w:rsidRPr="00507154">
        <w:rPr>
          <w:rFonts w:asciiTheme="majorHAnsi" w:hAnsiTheme="majorHAnsi"/>
          <w:sz w:val="20"/>
          <w:szCs w:val="20"/>
          <w:lang w:val="es-AR"/>
        </w:rPr>
        <w:t xml:space="preserve"> los invitó a </w:t>
      </w:r>
      <w:r w:rsidR="007C2177" w:rsidRPr="00507154">
        <w:rPr>
          <w:rFonts w:asciiTheme="majorHAnsi" w:hAnsiTheme="majorHAnsi"/>
          <w:sz w:val="20"/>
          <w:szCs w:val="20"/>
          <w:lang w:val="es-AR"/>
        </w:rPr>
        <w:t xml:space="preserve">una finca en </w:t>
      </w:r>
      <w:r w:rsidR="00B917C0" w:rsidRPr="00507154">
        <w:rPr>
          <w:rFonts w:asciiTheme="majorHAnsi" w:hAnsiTheme="majorHAnsi"/>
          <w:sz w:val="20"/>
          <w:szCs w:val="20"/>
          <w:lang w:val="es-AR"/>
        </w:rPr>
        <w:t>la población de Fusagas</w:t>
      </w:r>
      <w:r w:rsidR="0062135D">
        <w:rPr>
          <w:rFonts w:asciiTheme="majorHAnsi" w:hAnsiTheme="majorHAnsi"/>
          <w:sz w:val="20"/>
          <w:szCs w:val="20"/>
          <w:lang w:val="es-AR"/>
        </w:rPr>
        <w:t>ugá para</w:t>
      </w:r>
      <w:r w:rsidR="00B917C0" w:rsidRPr="00507154">
        <w:rPr>
          <w:rFonts w:asciiTheme="majorHAnsi" w:hAnsiTheme="majorHAnsi"/>
          <w:sz w:val="20"/>
          <w:szCs w:val="20"/>
          <w:lang w:val="es-AR"/>
        </w:rPr>
        <w:t xml:space="preserve"> continuar consumiendo </w:t>
      </w:r>
      <w:r w:rsidR="00D14FB1">
        <w:rPr>
          <w:rFonts w:asciiTheme="majorHAnsi" w:hAnsiTheme="majorHAnsi"/>
          <w:sz w:val="20"/>
          <w:szCs w:val="20"/>
          <w:lang w:val="es-AR"/>
        </w:rPr>
        <w:t>alcohol</w:t>
      </w:r>
      <w:r w:rsidR="00B917C0" w:rsidRPr="00507154">
        <w:rPr>
          <w:rFonts w:asciiTheme="majorHAnsi" w:hAnsiTheme="majorHAnsi"/>
          <w:sz w:val="20"/>
          <w:szCs w:val="20"/>
          <w:lang w:val="es-AR"/>
        </w:rPr>
        <w:t xml:space="preserve">, a lo cual </w:t>
      </w:r>
      <w:r w:rsidR="001C4D1E">
        <w:rPr>
          <w:rFonts w:asciiTheme="majorHAnsi" w:hAnsiTheme="majorHAnsi"/>
          <w:sz w:val="20"/>
          <w:szCs w:val="20"/>
          <w:lang w:val="es-AR"/>
        </w:rPr>
        <w:t xml:space="preserve">los </w:t>
      </w:r>
      <w:r w:rsidR="00B917C0" w:rsidRPr="00507154">
        <w:rPr>
          <w:rFonts w:asciiTheme="majorHAnsi" w:hAnsiTheme="majorHAnsi"/>
          <w:sz w:val="20"/>
          <w:szCs w:val="20"/>
          <w:lang w:val="es-AR"/>
        </w:rPr>
        <w:t>primos Torres accedieron. En el camino se encontraron con otros dos sujetos, uno de ellos apodado “el costeño” y otro apodado “el paisa”, con quienes continuaron el trayecto hacia un</w:t>
      </w:r>
      <w:r w:rsidR="00743C5B" w:rsidRPr="00507154">
        <w:rPr>
          <w:rFonts w:asciiTheme="majorHAnsi" w:hAnsiTheme="majorHAnsi"/>
          <w:sz w:val="20"/>
          <w:szCs w:val="20"/>
          <w:lang w:val="es-AR"/>
        </w:rPr>
        <w:t xml:space="preserve"> predio con una casa </w:t>
      </w:r>
      <w:r w:rsidR="00B917C0" w:rsidRPr="00507154">
        <w:rPr>
          <w:rFonts w:asciiTheme="majorHAnsi" w:hAnsiTheme="majorHAnsi"/>
          <w:sz w:val="20"/>
          <w:szCs w:val="20"/>
          <w:lang w:val="es-AR"/>
        </w:rPr>
        <w:t>en un sector apartado del campo</w:t>
      </w:r>
      <w:r w:rsidR="00045541">
        <w:rPr>
          <w:rFonts w:asciiTheme="majorHAnsi" w:hAnsiTheme="majorHAnsi"/>
          <w:sz w:val="20"/>
          <w:szCs w:val="20"/>
          <w:lang w:val="es-AR"/>
        </w:rPr>
        <w:t xml:space="preserve">, </w:t>
      </w:r>
      <w:r w:rsidR="00E54F56" w:rsidRPr="00507154">
        <w:rPr>
          <w:rFonts w:asciiTheme="majorHAnsi" w:hAnsiTheme="majorHAnsi"/>
          <w:sz w:val="20"/>
          <w:szCs w:val="20"/>
          <w:lang w:val="es-AR"/>
        </w:rPr>
        <w:t xml:space="preserve">en </w:t>
      </w:r>
      <w:r w:rsidR="007C2177" w:rsidRPr="00507154">
        <w:rPr>
          <w:rFonts w:asciiTheme="majorHAnsi" w:hAnsiTheme="majorHAnsi"/>
          <w:sz w:val="20"/>
          <w:szCs w:val="20"/>
          <w:lang w:val="es-AR"/>
        </w:rPr>
        <w:t>la vereda Quebrada Honda del municipio de Pasca</w:t>
      </w:r>
      <w:r w:rsidR="00045541">
        <w:rPr>
          <w:rFonts w:asciiTheme="majorHAnsi" w:hAnsiTheme="majorHAnsi"/>
          <w:sz w:val="20"/>
          <w:szCs w:val="20"/>
          <w:lang w:val="es-AR"/>
        </w:rPr>
        <w:t>, Cundinamarca</w:t>
      </w:r>
      <w:r w:rsidR="00B917C0" w:rsidRPr="00507154">
        <w:rPr>
          <w:rFonts w:asciiTheme="majorHAnsi" w:hAnsiTheme="majorHAnsi"/>
          <w:sz w:val="20"/>
          <w:szCs w:val="20"/>
          <w:lang w:val="es-AR"/>
        </w:rPr>
        <w:t>.</w:t>
      </w:r>
      <w:r w:rsidR="00DF0219" w:rsidRPr="00507154">
        <w:rPr>
          <w:rFonts w:asciiTheme="majorHAnsi" w:hAnsiTheme="majorHAnsi"/>
          <w:sz w:val="20"/>
          <w:szCs w:val="20"/>
          <w:lang w:val="es-AR"/>
        </w:rPr>
        <w:t xml:space="preserve"> </w:t>
      </w:r>
      <w:r w:rsidR="00B917C0" w:rsidRPr="00507154">
        <w:rPr>
          <w:rFonts w:asciiTheme="majorHAnsi" w:hAnsiTheme="majorHAnsi"/>
          <w:sz w:val="20"/>
          <w:szCs w:val="20"/>
          <w:lang w:val="es-AR"/>
        </w:rPr>
        <w:t xml:space="preserve">Una vez </w:t>
      </w:r>
      <w:r w:rsidR="001C4D1E">
        <w:rPr>
          <w:rFonts w:asciiTheme="majorHAnsi" w:hAnsiTheme="majorHAnsi"/>
          <w:sz w:val="20"/>
          <w:szCs w:val="20"/>
          <w:lang w:val="es-AR"/>
        </w:rPr>
        <w:t>llegaron a la casa</w:t>
      </w:r>
      <w:r w:rsidR="00B917C0" w:rsidRPr="00507154">
        <w:rPr>
          <w:rFonts w:asciiTheme="majorHAnsi" w:hAnsiTheme="majorHAnsi"/>
          <w:sz w:val="20"/>
          <w:szCs w:val="20"/>
          <w:lang w:val="es-AR"/>
        </w:rPr>
        <w:t xml:space="preserve">, según se deduce de las múltiples declaraciones ante la justicia obrantes en el expediente, </w:t>
      </w:r>
      <w:r w:rsidR="00DF0219" w:rsidRPr="00507154">
        <w:rPr>
          <w:rFonts w:asciiTheme="majorHAnsi" w:hAnsiTheme="majorHAnsi"/>
          <w:sz w:val="20"/>
          <w:szCs w:val="20"/>
          <w:lang w:val="es-AR"/>
        </w:rPr>
        <w:t xml:space="preserve">a </w:t>
      </w:r>
      <w:r w:rsidR="00B917C0" w:rsidRPr="00507154">
        <w:rPr>
          <w:rFonts w:asciiTheme="majorHAnsi" w:hAnsiTheme="majorHAnsi"/>
          <w:sz w:val="20"/>
          <w:szCs w:val="20"/>
          <w:lang w:val="es-AR"/>
        </w:rPr>
        <w:t xml:space="preserve">Helvir Antonio y Freddy </w:t>
      </w:r>
      <w:r w:rsidR="00DF0219" w:rsidRPr="00507154">
        <w:rPr>
          <w:rFonts w:asciiTheme="majorHAnsi" w:hAnsiTheme="majorHAnsi"/>
          <w:sz w:val="20"/>
          <w:szCs w:val="20"/>
          <w:lang w:val="es-AR"/>
        </w:rPr>
        <w:t xml:space="preserve">les invitaron a disparar distintas armas </w:t>
      </w:r>
      <w:r w:rsidR="001C4D1E">
        <w:rPr>
          <w:rFonts w:asciiTheme="majorHAnsi" w:hAnsiTheme="majorHAnsi"/>
          <w:sz w:val="20"/>
          <w:szCs w:val="20"/>
          <w:lang w:val="es-AR"/>
        </w:rPr>
        <w:t xml:space="preserve">de fuego </w:t>
      </w:r>
      <w:r w:rsidR="00DF0219" w:rsidRPr="00507154">
        <w:rPr>
          <w:rFonts w:asciiTheme="majorHAnsi" w:hAnsiTheme="majorHAnsi"/>
          <w:sz w:val="20"/>
          <w:szCs w:val="20"/>
          <w:lang w:val="es-AR"/>
        </w:rPr>
        <w:t xml:space="preserve">contra los árboles a manera de diversión, lo cual hicieron; tras lo cual </w:t>
      </w:r>
      <w:r w:rsidR="00B917C0" w:rsidRPr="00507154">
        <w:rPr>
          <w:rFonts w:asciiTheme="majorHAnsi" w:hAnsiTheme="majorHAnsi"/>
          <w:sz w:val="20"/>
          <w:szCs w:val="20"/>
          <w:lang w:val="es-AR"/>
        </w:rPr>
        <w:t>fueron dejados solos en la casa por sus acompañantes, y al poco tiempo</w:t>
      </w:r>
      <w:r w:rsidR="00743C5B" w:rsidRPr="00507154">
        <w:rPr>
          <w:rFonts w:asciiTheme="majorHAnsi" w:hAnsiTheme="majorHAnsi"/>
          <w:sz w:val="20"/>
          <w:szCs w:val="20"/>
          <w:lang w:val="es-AR"/>
        </w:rPr>
        <w:t xml:space="preserve">, </w:t>
      </w:r>
      <w:r w:rsidR="00E54F56" w:rsidRPr="00507154">
        <w:rPr>
          <w:rFonts w:asciiTheme="majorHAnsi" w:hAnsiTheme="majorHAnsi"/>
          <w:sz w:val="20"/>
          <w:szCs w:val="20"/>
          <w:lang w:val="es-AR"/>
        </w:rPr>
        <w:t xml:space="preserve">ya siendo </w:t>
      </w:r>
      <w:r w:rsidR="00743C5B" w:rsidRPr="00507154">
        <w:rPr>
          <w:rFonts w:asciiTheme="majorHAnsi" w:hAnsiTheme="majorHAnsi"/>
          <w:sz w:val="20"/>
          <w:szCs w:val="20"/>
          <w:lang w:val="es-AR"/>
        </w:rPr>
        <w:t>la mañana del 17 de septiembre,</w:t>
      </w:r>
      <w:r w:rsidR="00B917C0" w:rsidRPr="00507154">
        <w:rPr>
          <w:rFonts w:asciiTheme="majorHAnsi" w:hAnsiTheme="majorHAnsi"/>
          <w:sz w:val="20"/>
          <w:szCs w:val="20"/>
          <w:lang w:val="es-AR"/>
        </w:rPr>
        <w:t xml:space="preserve"> fueron blanco de un ataque con armas de fuego</w:t>
      </w:r>
      <w:r w:rsidR="00DF0219" w:rsidRPr="00507154">
        <w:rPr>
          <w:rFonts w:asciiTheme="majorHAnsi" w:hAnsiTheme="majorHAnsi"/>
          <w:sz w:val="20"/>
          <w:szCs w:val="20"/>
          <w:lang w:val="es-AR"/>
        </w:rPr>
        <w:t xml:space="preserve"> proveniente de</w:t>
      </w:r>
      <w:r w:rsidR="001C4D1E">
        <w:rPr>
          <w:rFonts w:asciiTheme="majorHAnsi" w:hAnsiTheme="majorHAnsi"/>
          <w:sz w:val="20"/>
          <w:szCs w:val="20"/>
          <w:lang w:val="es-AR"/>
        </w:rPr>
        <w:t>l exterior de la casa</w:t>
      </w:r>
      <w:r w:rsidR="006F0150">
        <w:rPr>
          <w:rFonts w:asciiTheme="majorHAnsi" w:hAnsiTheme="majorHAnsi"/>
          <w:sz w:val="20"/>
          <w:szCs w:val="20"/>
          <w:lang w:val="es-AR"/>
        </w:rPr>
        <w:t>,</w:t>
      </w:r>
      <w:r w:rsidR="001C4D1E">
        <w:rPr>
          <w:rFonts w:asciiTheme="majorHAnsi" w:hAnsiTheme="majorHAnsi"/>
          <w:sz w:val="20"/>
          <w:szCs w:val="20"/>
          <w:lang w:val="es-AR"/>
        </w:rPr>
        <w:t xml:space="preserve"> </w:t>
      </w:r>
      <w:r w:rsidR="00B917C0" w:rsidRPr="00507154">
        <w:rPr>
          <w:rFonts w:asciiTheme="majorHAnsi" w:hAnsiTheme="majorHAnsi"/>
          <w:sz w:val="20"/>
          <w:szCs w:val="20"/>
          <w:lang w:val="es-AR"/>
        </w:rPr>
        <w:t xml:space="preserve">en el cual perdió la vida Helvir Antonio. Freddy logró escapar </w:t>
      </w:r>
      <w:r w:rsidR="00743C5B" w:rsidRPr="00507154">
        <w:rPr>
          <w:rFonts w:asciiTheme="majorHAnsi" w:hAnsiTheme="majorHAnsi"/>
          <w:sz w:val="20"/>
          <w:szCs w:val="20"/>
          <w:lang w:val="es-AR"/>
        </w:rPr>
        <w:t xml:space="preserve">corriendo </w:t>
      </w:r>
      <w:r w:rsidR="00B917C0" w:rsidRPr="00507154">
        <w:rPr>
          <w:rFonts w:asciiTheme="majorHAnsi" w:hAnsiTheme="majorHAnsi"/>
          <w:sz w:val="20"/>
          <w:szCs w:val="20"/>
          <w:lang w:val="es-AR"/>
        </w:rPr>
        <w:t xml:space="preserve">a través del </w:t>
      </w:r>
      <w:r w:rsidR="00550087" w:rsidRPr="00507154">
        <w:rPr>
          <w:rFonts w:asciiTheme="majorHAnsi" w:hAnsiTheme="majorHAnsi"/>
          <w:sz w:val="20"/>
          <w:szCs w:val="20"/>
          <w:lang w:val="es-AR"/>
        </w:rPr>
        <w:t>monte</w:t>
      </w:r>
      <w:r w:rsidR="00B917C0" w:rsidRPr="00507154">
        <w:rPr>
          <w:rFonts w:asciiTheme="majorHAnsi" w:hAnsiTheme="majorHAnsi"/>
          <w:sz w:val="20"/>
          <w:szCs w:val="20"/>
          <w:lang w:val="es-AR"/>
        </w:rPr>
        <w:t xml:space="preserve">, </w:t>
      </w:r>
      <w:r w:rsidR="001C4D1E">
        <w:rPr>
          <w:rFonts w:asciiTheme="majorHAnsi" w:hAnsiTheme="majorHAnsi"/>
          <w:sz w:val="20"/>
          <w:szCs w:val="20"/>
          <w:lang w:val="es-AR"/>
        </w:rPr>
        <w:t xml:space="preserve">aunque afirma que fue perseguido durante el trayecto, </w:t>
      </w:r>
      <w:r w:rsidR="00B917C0" w:rsidRPr="00507154">
        <w:rPr>
          <w:rFonts w:asciiTheme="majorHAnsi" w:hAnsiTheme="majorHAnsi"/>
          <w:sz w:val="20"/>
          <w:szCs w:val="20"/>
          <w:lang w:val="es-AR"/>
        </w:rPr>
        <w:t xml:space="preserve">y al día siguiente llegó </w:t>
      </w:r>
      <w:r w:rsidR="001C4D1E">
        <w:rPr>
          <w:rFonts w:asciiTheme="majorHAnsi" w:hAnsiTheme="majorHAnsi"/>
          <w:sz w:val="20"/>
          <w:szCs w:val="20"/>
          <w:lang w:val="es-AR"/>
        </w:rPr>
        <w:t xml:space="preserve">a pie </w:t>
      </w:r>
      <w:r w:rsidR="00B917C0" w:rsidRPr="00507154">
        <w:rPr>
          <w:rFonts w:asciiTheme="majorHAnsi" w:hAnsiTheme="majorHAnsi"/>
          <w:sz w:val="20"/>
          <w:szCs w:val="20"/>
          <w:lang w:val="es-AR"/>
        </w:rPr>
        <w:t>a la población de</w:t>
      </w:r>
      <w:r w:rsidR="00E54F56" w:rsidRPr="00507154">
        <w:rPr>
          <w:rFonts w:asciiTheme="majorHAnsi" w:hAnsiTheme="majorHAnsi"/>
          <w:sz w:val="20"/>
          <w:szCs w:val="20"/>
          <w:lang w:val="es-AR"/>
        </w:rPr>
        <w:t xml:space="preserve"> Pasca</w:t>
      </w:r>
      <w:r w:rsidR="00B917C0" w:rsidRPr="00507154">
        <w:rPr>
          <w:rFonts w:asciiTheme="majorHAnsi" w:hAnsiTheme="majorHAnsi"/>
          <w:sz w:val="20"/>
          <w:szCs w:val="20"/>
          <w:lang w:val="es-AR"/>
        </w:rPr>
        <w:t>, donde se presentó inmediatamente ante la Policía Nacional para informar sobre lo sucedido.</w:t>
      </w:r>
    </w:p>
    <w:p w14:paraId="3E1CDE0C"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47F4048" w14:textId="588739B6" w:rsidR="00943647" w:rsidRDefault="00197EB7"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507154">
        <w:rPr>
          <w:rFonts w:asciiTheme="majorHAnsi" w:hAnsiTheme="majorHAnsi"/>
          <w:sz w:val="20"/>
          <w:szCs w:val="20"/>
          <w:lang w:val="es-AR"/>
        </w:rPr>
        <w:t xml:space="preserve">3. </w:t>
      </w:r>
      <w:r w:rsidR="0085185C">
        <w:rPr>
          <w:rFonts w:asciiTheme="majorHAnsi" w:hAnsiTheme="majorHAnsi"/>
          <w:sz w:val="20"/>
          <w:szCs w:val="20"/>
          <w:lang w:val="es-AR"/>
        </w:rPr>
        <w:tab/>
      </w:r>
      <w:r w:rsidR="00B917C0" w:rsidRPr="00507154">
        <w:rPr>
          <w:rFonts w:asciiTheme="majorHAnsi" w:hAnsiTheme="majorHAnsi"/>
          <w:sz w:val="20"/>
          <w:szCs w:val="20"/>
          <w:lang w:val="es-AR"/>
        </w:rPr>
        <w:t xml:space="preserve">El señor Helvir Antonio Torres fue presentado </w:t>
      </w:r>
      <w:r w:rsidR="00596AD2" w:rsidRPr="00507154">
        <w:rPr>
          <w:rFonts w:asciiTheme="majorHAnsi" w:hAnsiTheme="majorHAnsi"/>
          <w:sz w:val="20"/>
          <w:szCs w:val="20"/>
          <w:lang w:val="es-AR"/>
        </w:rPr>
        <w:t xml:space="preserve">oficialmente </w:t>
      </w:r>
      <w:r w:rsidR="00B917C0" w:rsidRPr="00507154">
        <w:rPr>
          <w:rFonts w:asciiTheme="majorHAnsi" w:hAnsiTheme="majorHAnsi"/>
          <w:sz w:val="20"/>
          <w:szCs w:val="20"/>
          <w:lang w:val="es-AR"/>
        </w:rPr>
        <w:t xml:space="preserve">por el Ejército Nacional, </w:t>
      </w:r>
      <w:r w:rsidR="00596AD2" w:rsidRPr="00507154">
        <w:rPr>
          <w:rFonts w:asciiTheme="majorHAnsi" w:hAnsiTheme="majorHAnsi"/>
          <w:sz w:val="20"/>
          <w:szCs w:val="20"/>
          <w:lang w:val="es-AR"/>
        </w:rPr>
        <w:t xml:space="preserve">mediante </w:t>
      </w:r>
      <w:r w:rsidR="00B917C0" w:rsidRPr="00507154">
        <w:rPr>
          <w:rFonts w:asciiTheme="majorHAnsi" w:hAnsiTheme="majorHAnsi"/>
          <w:sz w:val="20"/>
          <w:szCs w:val="20"/>
          <w:lang w:val="es-AR"/>
        </w:rPr>
        <w:t xml:space="preserve">un </w:t>
      </w:r>
      <w:r w:rsidR="00596AD2" w:rsidRPr="00507154">
        <w:rPr>
          <w:rFonts w:asciiTheme="majorHAnsi" w:hAnsiTheme="majorHAnsi"/>
          <w:sz w:val="20"/>
          <w:szCs w:val="20"/>
          <w:lang w:val="es-AR"/>
        </w:rPr>
        <w:t xml:space="preserve">Informe de Operaciones </w:t>
      </w:r>
      <w:r w:rsidR="00B917C0" w:rsidRPr="00507154">
        <w:rPr>
          <w:rFonts w:asciiTheme="majorHAnsi" w:hAnsiTheme="majorHAnsi"/>
          <w:sz w:val="20"/>
          <w:szCs w:val="20"/>
          <w:lang w:val="es-AR"/>
        </w:rPr>
        <w:t>del</w:t>
      </w:r>
      <w:r w:rsidR="00596AD2" w:rsidRPr="00507154">
        <w:rPr>
          <w:rFonts w:asciiTheme="majorHAnsi" w:hAnsiTheme="majorHAnsi"/>
          <w:sz w:val="20"/>
          <w:szCs w:val="20"/>
          <w:lang w:val="es-AR"/>
        </w:rPr>
        <w:t xml:space="preserve"> 17 de septiembre de 2006</w:t>
      </w:r>
      <w:r w:rsidR="00B917C0" w:rsidRPr="00507154">
        <w:rPr>
          <w:rFonts w:asciiTheme="majorHAnsi" w:hAnsiTheme="majorHAnsi"/>
          <w:sz w:val="20"/>
          <w:szCs w:val="20"/>
          <w:lang w:val="es-AR"/>
        </w:rPr>
        <w:t>, como un guerrillero de las FARC muerto en combate ese mismo día</w:t>
      </w:r>
      <w:r w:rsidR="00A06C34">
        <w:rPr>
          <w:rFonts w:asciiTheme="majorHAnsi" w:hAnsiTheme="majorHAnsi"/>
          <w:sz w:val="20"/>
          <w:szCs w:val="20"/>
          <w:lang w:val="es-AR"/>
        </w:rPr>
        <w:t xml:space="preserve"> –</w:t>
      </w:r>
      <w:r w:rsidR="00E54F56" w:rsidRPr="00507154">
        <w:rPr>
          <w:rFonts w:asciiTheme="majorHAnsi" w:hAnsiTheme="majorHAnsi"/>
          <w:sz w:val="20"/>
          <w:szCs w:val="20"/>
          <w:lang w:val="es-AR"/>
        </w:rPr>
        <w:t xml:space="preserve"> </w:t>
      </w:r>
      <w:r w:rsidR="00A06C34">
        <w:rPr>
          <w:rFonts w:asciiTheme="majorHAnsi" w:hAnsiTheme="majorHAnsi"/>
          <w:sz w:val="20"/>
          <w:szCs w:val="20"/>
          <w:lang w:val="es-AR"/>
        </w:rPr>
        <w:t>c</w:t>
      </w:r>
      <w:r w:rsidR="00E54F56" w:rsidRPr="00507154">
        <w:rPr>
          <w:rFonts w:asciiTheme="majorHAnsi" w:hAnsiTheme="majorHAnsi"/>
          <w:sz w:val="20"/>
          <w:szCs w:val="20"/>
          <w:lang w:val="es-AR"/>
        </w:rPr>
        <w:t>ombate</w:t>
      </w:r>
      <w:r w:rsidR="00A06C34">
        <w:rPr>
          <w:rFonts w:asciiTheme="majorHAnsi" w:hAnsiTheme="majorHAnsi"/>
          <w:sz w:val="20"/>
          <w:szCs w:val="20"/>
          <w:lang w:val="es-AR"/>
        </w:rPr>
        <w:t xml:space="preserve"> </w:t>
      </w:r>
      <w:r w:rsidR="00840EB7">
        <w:rPr>
          <w:rFonts w:asciiTheme="majorHAnsi" w:hAnsiTheme="majorHAnsi"/>
          <w:sz w:val="20"/>
          <w:szCs w:val="20"/>
          <w:lang w:val="es-AR"/>
        </w:rPr>
        <w:t>que</w:t>
      </w:r>
      <w:r w:rsidR="00E54F56" w:rsidRPr="00507154">
        <w:rPr>
          <w:rFonts w:asciiTheme="majorHAnsi" w:hAnsiTheme="majorHAnsi"/>
          <w:sz w:val="20"/>
          <w:szCs w:val="20"/>
          <w:lang w:val="es-AR"/>
        </w:rPr>
        <w:t xml:space="preserve"> supuestamente había tenido lugar entre la Compañía Corcel del Batallón de Infantería 39 del Sumapaz y presuntos miembros de las FARC</w:t>
      </w:r>
      <w:r w:rsidR="00596AD2" w:rsidRPr="00507154">
        <w:rPr>
          <w:rFonts w:asciiTheme="majorHAnsi" w:hAnsiTheme="majorHAnsi"/>
          <w:sz w:val="20"/>
          <w:szCs w:val="20"/>
          <w:lang w:val="es-AR"/>
        </w:rPr>
        <w:t>, en el curso de una operación contra secuestradores de esa organización</w:t>
      </w:r>
      <w:r w:rsidR="00B917C0" w:rsidRPr="00507154">
        <w:rPr>
          <w:rFonts w:asciiTheme="majorHAnsi" w:hAnsiTheme="majorHAnsi"/>
          <w:sz w:val="20"/>
          <w:szCs w:val="20"/>
          <w:lang w:val="es-AR"/>
        </w:rPr>
        <w:t>. El señor Freddy Torres Torres asegura que esto es falso, puesto que su primo Helvir Antonio era un habitante civil de la población de Pasca que vivía allí y trabajaba en distintas actividades</w:t>
      </w:r>
      <w:r w:rsidR="001C4D1E">
        <w:rPr>
          <w:rFonts w:asciiTheme="majorHAnsi" w:hAnsiTheme="majorHAnsi"/>
          <w:sz w:val="20"/>
          <w:szCs w:val="20"/>
          <w:lang w:val="es-AR"/>
        </w:rPr>
        <w:t xml:space="preserve"> lícitas</w:t>
      </w:r>
      <w:r w:rsidR="00B917C0" w:rsidRPr="00507154">
        <w:rPr>
          <w:rFonts w:asciiTheme="majorHAnsi" w:hAnsiTheme="majorHAnsi"/>
          <w:sz w:val="20"/>
          <w:szCs w:val="20"/>
          <w:lang w:val="es-AR"/>
        </w:rPr>
        <w:t>, incluyendo trabajos agrícolas</w:t>
      </w:r>
      <w:r w:rsidR="00550087" w:rsidRPr="00507154">
        <w:rPr>
          <w:rFonts w:asciiTheme="majorHAnsi" w:hAnsiTheme="majorHAnsi"/>
          <w:sz w:val="20"/>
          <w:szCs w:val="20"/>
          <w:lang w:val="es-AR"/>
        </w:rPr>
        <w:t>, negocios y</w:t>
      </w:r>
      <w:r w:rsidR="00B917C0" w:rsidRPr="00507154">
        <w:rPr>
          <w:rFonts w:asciiTheme="majorHAnsi" w:hAnsiTheme="majorHAnsi"/>
          <w:sz w:val="20"/>
          <w:szCs w:val="20"/>
          <w:lang w:val="es-AR"/>
        </w:rPr>
        <w:t xml:space="preserve"> oficios</w:t>
      </w:r>
      <w:r w:rsidR="00550087" w:rsidRPr="00507154">
        <w:rPr>
          <w:rFonts w:asciiTheme="majorHAnsi" w:hAnsiTheme="majorHAnsi"/>
          <w:sz w:val="20"/>
          <w:szCs w:val="20"/>
          <w:lang w:val="es-AR"/>
        </w:rPr>
        <w:t xml:space="preserve"> varios</w:t>
      </w:r>
      <w:r w:rsidR="00B917C0" w:rsidRPr="00507154">
        <w:rPr>
          <w:rFonts w:asciiTheme="majorHAnsi" w:hAnsiTheme="majorHAnsi"/>
          <w:sz w:val="20"/>
          <w:szCs w:val="20"/>
          <w:lang w:val="es-AR"/>
        </w:rPr>
        <w:t xml:space="preserve">. Se trataría, así, de uno de los casos así denominados como “falsos positivos”, </w:t>
      </w:r>
      <w:r w:rsidR="007C2177" w:rsidRPr="00507154">
        <w:rPr>
          <w:rFonts w:asciiTheme="majorHAnsi" w:hAnsiTheme="majorHAnsi"/>
          <w:sz w:val="20"/>
          <w:szCs w:val="20"/>
          <w:lang w:val="es-AR"/>
        </w:rPr>
        <w:t xml:space="preserve">y </w:t>
      </w:r>
      <w:r w:rsidR="00F66B58" w:rsidRPr="00507154">
        <w:rPr>
          <w:rFonts w:asciiTheme="majorHAnsi" w:hAnsiTheme="majorHAnsi"/>
          <w:sz w:val="20"/>
          <w:szCs w:val="20"/>
          <w:lang w:val="es-AR"/>
        </w:rPr>
        <w:t xml:space="preserve">en criterio de los peticionarios </w:t>
      </w:r>
      <w:r w:rsidR="00B917C0" w:rsidRPr="00507154">
        <w:rPr>
          <w:rFonts w:asciiTheme="majorHAnsi" w:hAnsiTheme="majorHAnsi"/>
          <w:sz w:val="20"/>
          <w:szCs w:val="20"/>
          <w:lang w:val="es-AR"/>
        </w:rPr>
        <w:t xml:space="preserve">formaría parte de un extensivo </w:t>
      </w:r>
      <w:r w:rsidR="00D14FB1">
        <w:rPr>
          <w:rFonts w:asciiTheme="majorHAnsi" w:hAnsiTheme="majorHAnsi"/>
          <w:sz w:val="20"/>
          <w:szCs w:val="20"/>
          <w:lang w:val="es-AR"/>
        </w:rPr>
        <w:t xml:space="preserve">y documentado </w:t>
      </w:r>
      <w:r w:rsidR="00B917C0" w:rsidRPr="00507154">
        <w:rPr>
          <w:rFonts w:asciiTheme="majorHAnsi" w:hAnsiTheme="majorHAnsi"/>
          <w:sz w:val="20"/>
          <w:szCs w:val="20"/>
          <w:lang w:val="es-AR"/>
        </w:rPr>
        <w:t>patrón de ejecuciones extrajudiciales de personas pobres</w:t>
      </w:r>
      <w:r w:rsidR="007C2177" w:rsidRPr="00507154">
        <w:rPr>
          <w:rFonts w:asciiTheme="majorHAnsi" w:hAnsiTheme="majorHAnsi"/>
          <w:sz w:val="20"/>
          <w:szCs w:val="20"/>
          <w:lang w:val="es-AR"/>
        </w:rPr>
        <w:t>, marginales</w:t>
      </w:r>
      <w:r w:rsidR="00B917C0" w:rsidRPr="00507154">
        <w:rPr>
          <w:rFonts w:asciiTheme="majorHAnsi" w:hAnsiTheme="majorHAnsi"/>
          <w:sz w:val="20"/>
          <w:szCs w:val="20"/>
          <w:lang w:val="es-AR"/>
        </w:rPr>
        <w:t xml:space="preserve"> y pertenecientes a sectores </w:t>
      </w:r>
      <w:r w:rsidR="007C2177" w:rsidRPr="00507154">
        <w:rPr>
          <w:rFonts w:asciiTheme="majorHAnsi" w:hAnsiTheme="majorHAnsi"/>
          <w:sz w:val="20"/>
          <w:szCs w:val="20"/>
          <w:lang w:val="es-AR"/>
        </w:rPr>
        <w:t xml:space="preserve">sociales </w:t>
      </w:r>
      <w:r w:rsidR="00B917C0" w:rsidRPr="00507154">
        <w:rPr>
          <w:rFonts w:asciiTheme="majorHAnsi" w:hAnsiTheme="majorHAnsi"/>
          <w:sz w:val="20"/>
          <w:szCs w:val="20"/>
          <w:lang w:val="es-AR"/>
        </w:rPr>
        <w:t>vulnerables por parte de miembros de las Fuerzas Armadas, para luego presentar públicamente sus cadáveres alterados como si fueran guerrilleros muertos en combate</w:t>
      </w:r>
      <w:r w:rsidR="001C4D1E">
        <w:rPr>
          <w:rFonts w:asciiTheme="majorHAnsi" w:hAnsiTheme="majorHAnsi"/>
          <w:sz w:val="20"/>
          <w:szCs w:val="20"/>
          <w:lang w:val="es-AR"/>
        </w:rPr>
        <w:t>.</w:t>
      </w:r>
      <w:r w:rsidR="00B917C0" w:rsidRPr="00507154">
        <w:rPr>
          <w:rFonts w:asciiTheme="majorHAnsi" w:hAnsiTheme="majorHAnsi"/>
          <w:sz w:val="20"/>
          <w:szCs w:val="20"/>
          <w:lang w:val="es-AR"/>
        </w:rPr>
        <w:t xml:space="preserve"> </w:t>
      </w:r>
      <w:r w:rsidR="001C4D1E">
        <w:rPr>
          <w:rFonts w:asciiTheme="majorHAnsi" w:hAnsiTheme="majorHAnsi"/>
          <w:sz w:val="20"/>
          <w:szCs w:val="20"/>
          <w:lang w:val="es-AR"/>
        </w:rPr>
        <w:t>L</w:t>
      </w:r>
      <w:r w:rsidR="00B917C0" w:rsidRPr="00507154">
        <w:rPr>
          <w:rFonts w:asciiTheme="majorHAnsi" w:hAnsiTheme="majorHAnsi"/>
          <w:sz w:val="20"/>
          <w:szCs w:val="20"/>
          <w:lang w:val="es-AR"/>
        </w:rPr>
        <w:t xml:space="preserve">os miembros del Ejército que se atribuían </w:t>
      </w:r>
      <w:r w:rsidR="001C4D1E">
        <w:rPr>
          <w:rFonts w:asciiTheme="majorHAnsi" w:hAnsiTheme="majorHAnsi"/>
          <w:sz w:val="20"/>
          <w:szCs w:val="20"/>
          <w:lang w:val="es-AR"/>
        </w:rPr>
        <w:t xml:space="preserve">la </w:t>
      </w:r>
      <w:r w:rsidR="00B917C0" w:rsidRPr="00507154">
        <w:rPr>
          <w:rFonts w:asciiTheme="majorHAnsi" w:hAnsiTheme="majorHAnsi"/>
          <w:sz w:val="20"/>
          <w:szCs w:val="20"/>
          <w:lang w:val="es-AR"/>
        </w:rPr>
        <w:t xml:space="preserve">ejecución </w:t>
      </w:r>
      <w:r w:rsidR="001C4D1E">
        <w:rPr>
          <w:rFonts w:asciiTheme="majorHAnsi" w:hAnsiTheme="majorHAnsi"/>
          <w:sz w:val="20"/>
          <w:szCs w:val="20"/>
          <w:lang w:val="es-AR"/>
        </w:rPr>
        <w:t xml:space="preserve">de los supuestos guerrilleros </w:t>
      </w:r>
      <w:r w:rsidR="00B917C0" w:rsidRPr="00507154">
        <w:rPr>
          <w:rFonts w:asciiTheme="majorHAnsi" w:hAnsiTheme="majorHAnsi"/>
          <w:sz w:val="20"/>
          <w:szCs w:val="20"/>
          <w:lang w:val="es-AR"/>
        </w:rPr>
        <w:t>accedían a distintos beneficios reglamentarios</w:t>
      </w:r>
      <w:r w:rsidR="00943647">
        <w:rPr>
          <w:rFonts w:asciiTheme="majorHAnsi" w:hAnsiTheme="majorHAnsi"/>
          <w:sz w:val="20"/>
          <w:szCs w:val="20"/>
          <w:lang w:val="es-AR"/>
        </w:rPr>
        <w:t>,</w:t>
      </w:r>
      <w:r w:rsidR="00B917C0" w:rsidRPr="00507154">
        <w:rPr>
          <w:rFonts w:asciiTheme="majorHAnsi" w:hAnsiTheme="majorHAnsi"/>
          <w:sz w:val="20"/>
          <w:szCs w:val="20"/>
          <w:lang w:val="es-AR"/>
        </w:rPr>
        <w:t xml:space="preserve"> incluyendo bonificaciones económicas</w:t>
      </w:r>
      <w:r w:rsidR="007C2177" w:rsidRPr="00507154">
        <w:rPr>
          <w:rFonts w:asciiTheme="majorHAnsi" w:hAnsiTheme="majorHAnsi"/>
          <w:sz w:val="20"/>
          <w:szCs w:val="20"/>
          <w:lang w:val="es-AR"/>
        </w:rPr>
        <w:t>, días de d</w:t>
      </w:r>
      <w:r w:rsidR="00943647">
        <w:rPr>
          <w:rFonts w:asciiTheme="majorHAnsi" w:hAnsiTheme="majorHAnsi"/>
          <w:sz w:val="20"/>
          <w:szCs w:val="20"/>
          <w:lang w:val="es-AR"/>
        </w:rPr>
        <w:t>escanso y otros reconocimientos</w:t>
      </w:r>
      <w:r w:rsidR="00B917C0" w:rsidRPr="00507154">
        <w:rPr>
          <w:rFonts w:asciiTheme="majorHAnsi" w:hAnsiTheme="majorHAnsi"/>
          <w:sz w:val="20"/>
          <w:szCs w:val="20"/>
          <w:lang w:val="es-AR"/>
        </w:rPr>
        <w:t>,</w:t>
      </w:r>
      <w:r w:rsidR="00F66B58" w:rsidRPr="00507154">
        <w:rPr>
          <w:rFonts w:asciiTheme="majorHAnsi" w:hAnsiTheme="majorHAnsi"/>
          <w:sz w:val="20"/>
          <w:szCs w:val="20"/>
          <w:lang w:val="es-AR"/>
        </w:rPr>
        <w:t xml:space="preserve"> establecid</w:t>
      </w:r>
      <w:r w:rsidR="007C2177" w:rsidRPr="00507154">
        <w:rPr>
          <w:rFonts w:asciiTheme="majorHAnsi" w:hAnsiTheme="majorHAnsi"/>
          <w:sz w:val="20"/>
          <w:szCs w:val="20"/>
          <w:lang w:val="es-AR"/>
        </w:rPr>
        <w:t>o</w:t>
      </w:r>
      <w:r w:rsidR="00F66B58" w:rsidRPr="00507154">
        <w:rPr>
          <w:rFonts w:asciiTheme="majorHAnsi" w:hAnsiTheme="majorHAnsi"/>
          <w:sz w:val="20"/>
          <w:szCs w:val="20"/>
          <w:lang w:val="es-AR"/>
        </w:rPr>
        <w:t>s en directivas del Ministerio de Defensa</w:t>
      </w:r>
      <w:r w:rsidR="00943647">
        <w:rPr>
          <w:rFonts w:asciiTheme="majorHAnsi" w:hAnsiTheme="majorHAnsi"/>
          <w:sz w:val="20"/>
          <w:szCs w:val="20"/>
          <w:lang w:val="es-AR"/>
        </w:rPr>
        <w:t xml:space="preserve">. </w:t>
      </w:r>
      <w:r w:rsidR="007C2177" w:rsidRPr="00507154">
        <w:rPr>
          <w:rFonts w:asciiTheme="majorHAnsi" w:hAnsiTheme="majorHAnsi"/>
          <w:sz w:val="20"/>
          <w:szCs w:val="20"/>
          <w:lang w:val="es-AR"/>
        </w:rPr>
        <w:t xml:space="preserve">Para efectos de ilustrar este contexto, los peticionarios reseñan distintos informes producidos por organismos nacionales e internacionales de derechos humanos denunciando </w:t>
      </w:r>
      <w:r w:rsidR="00D14FB1">
        <w:rPr>
          <w:rFonts w:asciiTheme="majorHAnsi" w:hAnsiTheme="majorHAnsi"/>
          <w:sz w:val="20"/>
          <w:szCs w:val="20"/>
          <w:lang w:val="es-AR"/>
        </w:rPr>
        <w:t xml:space="preserve">y documentando </w:t>
      </w:r>
      <w:r w:rsidR="007C2177" w:rsidRPr="00507154">
        <w:rPr>
          <w:rFonts w:asciiTheme="majorHAnsi" w:hAnsiTheme="majorHAnsi"/>
          <w:sz w:val="20"/>
          <w:szCs w:val="20"/>
          <w:lang w:val="es-AR"/>
        </w:rPr>
        <w:t>el patrón criminal de los “falsos positivos” en Colombia</w:t>
      </w:r>
      <w:r w:rsidR="00943647">
        <w:rPr>
          <w:rFonts w:asciiTheme="majorHAnsi" w:hAnsiTheme="majorHAnsi"/>
          <w:sz w:val="20"/>
          <w:szCs w:val="20"/>
          <w:lang w:val="es-AR"/>
        </w:rPr>
        <w:t xml:space="preserve">. </w:t>
      </w:r>
    </w:p>
    <w:p w14:paraId="50D206C3" w14:textId="77777777" w:rsidR="00943647" w:rsidRDefault="00943647"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245A4361" w14:textId="1B0A42AE" w:rsidR="00B917C0" w:rsidRPr="00507154" w:rsidRDefault="00943647"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r>
      <w:r w:rsidR="0028761F" w:rsidRPr="00507154">
        <w:rPr>
          <w:rFonts w:asciiTheme="majorHAnsi" w:hAnsiTheme="majorHAnsi"/>
          <w:sz w:val="20"/>
          <w:szCs w:val="20"/>
          <w:lang w:val="es-AR"/>
        </w:rPr>
        <w:t xml:space="preserve">Con respecto a </w:t>
      </w:r>
      <w:r>
        <w:rPr>
          <w:rFonts w:asciiTheme="majorHAnsi" w:hAnsiTheme="majorHAnsi"/>
          <w:sz w:val="20"/>
          <w:szCs w:val="20"/>
          <w:lang w:val="es-AR"/>
        </w:rPr>
        <w:t>los</w:t>
      </w:r>
      <w:r w:rsidR="0028761F" w:rsidRPr="00507154">
        <w:rPr>
          <w:rFonts w:asciiTheme="majorHAnsi" w:hAnsiTheme="majorHAnsi"/>
          <w:sz w:val="20"/>
          <w:szCs w:val="20"/>
          <w:lang w:val="es-AR"/>
        </w:rPr>
        <w:t xml:space="preserve"> dos casos</w:t>
      </w:r>
      <w:r>
        <w:rPr>
          <w:rFonts w:asciiTheme="majorHAnsi" w:hAnsiTheme="majorHAnsi"/>
          <w:sz w:val="20"/>
          <w:szCs w:val="20"/>
          <w:lang w:val="es-AR"/>
        </w:rPr>
        <w:t xml:space="preserve"> objeto de la presente petición</w:t>
      </w:r>
      <w:r w:rsidR="0028761F" w:rsidRPr="00507154">
        <w:rPr>
          <w:rFonts w:asciiTheme="majorHAnsi" w:hAnsiTheme="majorHAnsi"/>
          <w:sz w:val="20"/>
          <w:szCs w:val="20"/>
          <w:lang w:val="es-AR"/>
        </w:rPr>
        <w:t xml:space="preserve">, los peticionarios hacen notar que, según se demostró </w:t>
      </w:r>
      <w:r w:rsidR="001C4D1E">
        <w:rPr>
          <w:rFonts w:asciiTheme="majorHAnsi" w:hAnsiTheme="majorHAnsi"/>
          <w:sz w:val="20"/>
          <w:szCs w:val="20"/>
          <w:lang w:val="es-AR"/>
        </w:rPr>
        <w:t xml:space="preserve">posteriormente </w:t>
      </w:r>
      <w:r w:rsidR="0028761F" w:rsidRPr="00507154">
        <w:rPr>
          <w:rFonts w:asciiTheme="majorHAnsi" w:hAnsiTheme="majorHAnsi"/>
          <w:sz w:val="20"/>
          <w:szCs w:val="20"/>
          <w:lang w:val="es-AR"/>
        </w:rPr>
        <w:t xml:space="preserve">en la investigación penal, tanto alias “el paisa” como alias “el costeño” eran miembros </w:t>
      </w:r>
      <w:r w:rsidR="00E33102">
        <w:rPr>
          <w:rFonts w:asciiTheme="majorHAnsi" w:hAnsiTheme="majorHAnsi"/>
          <w:sz w:val="20"/>
          <w:szCs w:val="20"/>
          <w:lang w:val="es-AR"/>
        </w:rPr>
        <w:t xml:space="preserve">activos </w:t>
      </w:r>
      <w:r w:rsidR="0028761F" w:rsidRPr="00507154">
        <w:rPr>
          <w:rFonts w:asciiTheme="majorHAnsi" w:hAnsiTheme="majorHAnsi"/>
          <w:sz w:val="20"/>
          <w:szCs w:val="20"/>
          <w:lang w:val="es-AR"/>
        </w:rPr>
        <w:t>del Ejército Nacional, quienes fueron vinculados al proceso p</w:t>
      </w:r>
      <w:r w:rsidR="007A42B8">
        <w:rPr>
          <w:rFonts w:asciiTheme="majorHAnsi" w:hAnsiTheme="majorHAnsi"/>
          <w:sz w:val="20"/>
          <w:szCs w:val="20"/>
          <w:lang w:val="es-AR"/>
        </w:rPr>
        <w:t>enal como posibles responsables. T</w:t>
      </w:r>
      <w:r w:rsidR="0028761F" w:rsidRPr="00507154">
        <w:rPr>
          <w:rFonts w:asciiTheme="majorHAnsi" w:hAnsiTheme="majorHAnsi"/>
          <w:sz w:val="20"/>
          <w:szCs w:val="20"/>
          <w:lang w:val="es-AR"/>
        </w:rPr>
        <w:t xml:space="preserve">ambién </w:t>
      </w:r>
      <w:r w:rsidR="007A42B8">
        <w:rPr>
          <w:rFonts w:asciiTheme="majorHAnsi" w:hAnsiTheme="majorHAnsi"/>
          <w:sz w:val="20"/>
          <w:szCs w:val="20"/>
          <w:lang w:val="es-AR"/>
        </w:rPr>
        <w:t>sostienen</w:t>
      </w:r>
      <w:r w:rsidR="0028761F" w:rsidRPr="00507154">
        <w:rPr>
          <w:rFonts w:asciiTheme="majorHAnsi" w:hAnsiTheme="majorHAnsi"/>
          <w:sz w:val="20"/>
          <w:szCs w:val="20"/>
          <w:lang w:val="es-AR"/>
        </w:rPr>
        <w:t xml:space="preserve"> que a los señores Helvir Antonio y Freddy</w:t>
      </w:r>
      <w:r w:rsidR="001D2474">
        <w:rPr>
          <w:rFonts w:asciiTheme="majorHAnsi" w:hAnsiTheme="majorHAnsi"/>
          <w:sz w:val="20"/>
          <w:szCs w:val="20"/>
          <w:lang w:val="es-AR"/>
        </w:rPr>
        <w:t xml:space="preserve"> Torres</w:t>
      </w:r>
      <w:r w:rsidR="0028761F" w:rsidRPr="00507154">
        <w:rPr>
          <w:rFonts w:asciiTheme="majorHAnsi" w:hAnsiTheme="majorHAnsi"/>
          <w:sz w:val="20"/>
          <w:szCs w:val="20"/>
          <w:lang w:val="es-AR"/>
        </w:rPr>
        <w:t xml:space="preserve">, a quienes se había intoxicado previamente con altas cantidades de alcohol, se les había hecho cambiar de ropa por el camino hacia </w:t>
      </w:r>
      <w:r w:rsidR="0028761F" w:rsidRPr="00507154">
        <w:rPr>
          <w:rFonts w:asciiTheme="majorHAnsi" w:hAnsiTheme="majorHAnsi"/>
          <w:sz w:val="20"/>
          <w:szCs w:val="20"/>
          <w:lang w:val="es-AR"/>
        </w:rPr>
        <w:lastRenderedPageBreak/>
        <w:t>la casa, para que llevaran las prendas usuales de los guerrilleros</w:t>
      </w:r>
      <w:r w:rsidR="00323E93">
        <w:rPr>
          <w:rFonts w:asciiTheme="majorHAnsi" w:hAnsiTheme="majorHAnsi"/>
          <w:sz w:val="20"/>
          <w:szCs w:val="20"/>
          <w:lang w:val="es-AR"/>
        </w:rPr>
        <w:t>:</w:t>
      </w:r>
      <w:r w:rsidR="001D2474">
        <w:rPr>
          <w:rFonts w:asciiTheme="majorHAnsi" w:hAnsiTheme="majorHAnsi"/>
          <w:sz w:val="20"/>
          <w:szCs w:val="20"/>
          <w:lang w:val="es-AR"/>
        </w:rPr>
        <w:t xml:space="preserve"> </w:t>
      </w:r>
      <w:r w:rsidR="0028761F" w:rsidRPr="00507154">
        <w:rPr>
          <w:rFonts w:asciiTheme="majorHAnsi" w:hAnsiTheme="majorHAnsi"/>
          <w:sz w:val="20"/>
          <w:szCs w:val="20"/>
          <w:lang w:val="es-AR"/>
        </w:rPr>
        <w:t>sudaderas</w:t>
      </w:r>
      <w:r w:rsidR="00B940BB">
        <w:rPr>
          <w:rFonts w:asciiTheme="majorHAnsi" w:hAnsiTheme="majorHAnsi"/>
          <w:sz w:val="20"/>
          <w:szCs w:val="20"/>
          <w:lang w:val="es-AR"/>
        </w:rPr>
        <w:t>,</w:t>
      </w:r>
      <w:r w:rsidR="0028761F" w:rsidRPr="00507154">
        <w:rPr>
          <w:rFonts w:asciiTheme="majorHAnsi" w:hAnsiTheme="majorHAnsi"/>
          <w:sz w:val="20"/>
          <w:szCs w:val="20"/>
          <w:lang w:val="es-AR"/>
        </w:rPr>
        <w:t xml:space="preserve"> botas</w:t>
      </w:r>
      <w:r w:rsidR="00B940BB">
        <w:rPr>
          <w:rFonts w:asciiTheme="majorHAnsi" w:hAnsiTheme="majorHAnsi"/>
          <w:sz w:val="20"/>
          <w:szCs w:val="20"/>
          <w:lang w:val="es-AR"/>
        </w:rPr>
        <w:t xml:space="preserve"> y pasamontañas</w:t>
      </w:r>
      <w:r w:rsidR="0028761F" w:rsidRPr="00507154">
        <w:rPr>
          <w:rFonts w:asciiTheme="majorHAnsi" w:hAnsiTheme="majorHAnsi"/>
          <w:sz w:val="20"/>
          <w:szCs w:val="20"/>
          <w:lang w:val="es-AR"/>
        </w:rPr>
        <w:t xml:space="preserve">; que bajo engaños se les hizo disparar armas, para que los análisis forenses revelaran la presencia de pólvora en sus manos; y que el lugar al que se los llevó era en realidad un punto que había sido identificado </w:t>
      </w:r>
      <w:r w:rsidR="001C4D1E">
        <w:rPr>
          <w:rFonts w:asciiTheme="majorHAnsi" w:hAnsiTheme="majorHAnsi"/>
          <w:sz w:val="20"/>
          <w:szCs w:val="20"/>
          <w:lang w:val="es-AR"/>
        </w:rPr>
        <w:t xml:space="preserve">previamente </w:t>
      </w:r>
      <w:r w:rsidR="0028761F" w:rsidRPr="00507154">
        <w:rPr>
          <w:rFonts w:asciiTheme="majorHAnsi" w:hAnsiTheme="majorHAnsi"/>
          <w:sz w:val="20"/>
          <w:szCs w:val="20"/>
          <w:lang w:val="es-AR"/>
        </w:rPr>
        <w:t xml:space="preserve">por el Ejército Nacional como un probable campamento de las FARC, o como un lugar donde se iba a recluir a personas secuestradas por ese grupo. </w:t>
      </w:r>
    </w:p>
    <w:p w14:paraId="35D7A03A"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2C2AAF8E" w14:textId="09B4BEA1" w:rsidR="00E54F56" w:rsidRPr="00507154" w:rsidRDefault="009E213B"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5</w:t>
      </w:r>
      <w:r w:rsidR="00197EB7" w:rsidRPr="00507154">
        <w:rPr>
          <w:rFonts w:asciiTheme="majorHAnsi" w:hAnsiTheme="majorHAnsi"/>
          <w:sz w:val="20"/>
          <w:szCs w:val="20"/>
          <w:lang w:val="es-AR"/>
        </w:rPr>
        <w:t xml:space="preserve">. </w:t>
      </w:r>
      <w:r w:rsidR="00D1697D">
        <w:rPr>
          <w:rFonts w:asciiTheme="majorHAnsi" w:hAnsiTheme="majorHAnsi"/>
          <w:sz w:val="20"/>
          <w:szCs w:val="20"/>
          <w:lang w:val="es-AR"/>
        </w:rPr>
        <w:tab/>
      </w:r>
      <w:r w:rsidR="00E54F56" w:rsidRPr="00507154">
        <w:rPr>
          <w:rFonts w:asciiTheme="majorHAnsi" w:hAnsiTheme="majorHAnsi"/>
          <w:sz w:val="20"/>
          <w:szCs w:val="20"/>
          <w:lang w:val="es-AR"/>
        </w:rPr>
        <w:t xml:space="preserve">Con posterioridad a este ataque, el señor Freddy Torres no volvió a su casa en el municipio de Cabrera por miedo a ser asesinado, dejando tanto a su familia como sus pertenencias. </w:t>
      </w:r>
      <w:r w:rsidR="00A565AB">
        <w:rPr>
          <w:rFonts w:asciiTheme="majorHAnsi" w:hAnsiTheme="majorHAnsi"/>
          <w:sz w:val="20"/>
          <w:szCs w:val="20"/>
          <w:lang w:val="es-AR"/>
        </w:rPr>
        <w:t>Se alega que p</w:t>
      </w:r>
      <w:r w:rsidR="00E54F56" w:rsidRPr="00507154">
        <w:rPr>
          <w:rFonts w:asciiTheme="majorHAnsi" w:hAnsiTheme="majorHAnsi"/>
          <w:sz w:val="20"/>
          <w:szCs w:val="20"/>
          <w:lang w:val="es-AR"/>
        </w:rPr>
        <w:t>osteriormente, el 14 de febrero de 20</w:t>
      </w:r>
      <w:r w:rsidR="00B940BB">
        <w:rPr>
          <w:rFonts w:asciiTheme="majorHAnsi" w:hAnsiTheme="majorHAnsi"/>
          <w:sz w:val="20"/>
          <w:szCs w:val="20"/>
          <w:lang w:val="es-AR"/>
        </w:rPr>
        <w:t>07</w:t>
      </w:r>
      <w:r w:rsidR="00A565AB">
        <w:rPr>
          <w:rFonts w:asciiTheme="majorHAnsi" w:hAnsiTheme="majorHAnsi"/>
          <w:sz w:val="20"/>
          <w:szCs w:val="20"/>
          <w:lang w:val="es-AR"/>
        </w:rPr>
        <w:t>,</w:t>
      </w:r>
      <w:r w:rsidR="00E54F56" w:rsidRPr="00507154">
        <w:rPr>
          <w:rFonts w:asciiTheme="majorHAnsi" w:hAnsiTheme="majorHAnsi"/>
          <w:sz w:val="20"/>
          <w:szCs w:val="20"/>
          <w:lang w:val="es-AR"/>
        </w:rPr>
        <w:t xml:space="preserve"> fue víctima de un</w:t>
      </w:r>
      <w:r w:rsidR="00E33102">
        <w:rPr>
          <w:rFonts w:asciiTheme="majorHAnsi" w:hAnsiTheme="majorHAnsi"/>
          <w:sz w:val="20"/>
          <w:szCs w:val="20"/>
          <w:lang w:val="es-AR"/>
        </w:rPr>
        <w:t xml:space="preserve"> nuevo</w:t>
      </w:r>
      <w:r w:rsidR="00E54F56" w:rsidRPr="00507154">
        <w:rPr>
          <w:rFonts w:asciiTheme="majorHAnsi" w:hAnsiTheme="majorHAnsi"/>
          <w:sz w:val="20"/>
          <w:szCs w:val="20"/>
          <w:lang w:val="es-AR"/>
        </w:rPr>
        <w:t xml:space="preserve"> atentado con arma de fuego</w:t>
      </w:r>
      <w:r w:rsidR="00E33102">
        <w:rPr>
          <w:rFonts w:asciiTheme="majorHAnsi" w:hAnsiTheme="majorHAnsi"/>
          <w:sz w:val="20"/>
          <w:szCs w:val="20"/>
          <w:lang w:val="es-AR"/>
        </w:rPr>
        <w:t>, del que salió ileso</w:t>
      </w:r>
      <w:r w:rsidR="00E54F56" w:rsidRPr="00507154">
        <w:rPr>
          <w:rFonts w:asciiTheme="majorHAnsi" w:hAnsiTheme="majorHAnsi"/>
          <w:sz w:val="20"/>
          <w:szCs w:val="20"/>
          <w:lang w:val="es-AR"/>
        </w:rPr>
        <w:t xml:space="preserve">. </w:t>
      </w:r>
      <w:r w:rsidR="00A565AB">
        <w:rPr>
          <w:rFonts w:asciiTheme="majorHAnsi" w:hAnsiTheme="majorHAnsi"/>
          <w:sz w:val="20"/>
          <w:szCs w:val="20"/>
          <w:lang w:val="es-AR"/>
        </w:rPr>
        <w:t>Se alega que pese a lo anterior</w:t>
      </w:r>
      <w:r w:rsidR="00DD7D77" w:rsidRPr="00507154">
        <w:rPr>
          <w:rFonts w:asciiTheme="majorHAnsi" w:hAnsiTheme="majorHAnsi"/>
          <w:sz w:val="20"/>
          <w:szCs w:val="20"/>
          <w:lang w:val="es-AR"/>
        </w:rPr>
        <w:t xml:space="preserve"> el Estado </w:t>
      </w:r>
      <w:r w:rsidR="00A565AB">
        <w:rPr>
          <w:rFonts w:asciiTheme="majorHAnsi" w:hAnsiTheme="majorHAnsi"/>
          <w:sz w:val="20"/>
          <w:szCs w:val="20"/>
          <w:lang w:val="es-AR"/>
        </w:rPr>
        <w:t xml:space="preserve">negó </w:t>
      </w:r>
      <w:r w:rsidR="00DD7D77" w:rsidRPr="00507154">
        <w:rPr>
          <w:rFonts w:asciiTheme="majorHAnsi" w:hAnsiTheme="majorHAnsi"/>
          <w:sz w:val="20"/>
          <w:szCs w:val="20"/>
          <w:lang w:val="es-AR"/>
        </w:rPr>
        <w:t>su inscripción en el sistema oficial de registro de personas desplazadas</w:t>
      </w:r>
      <w:r w:rsidR="00CD7845">
        <w:rPr>
          <w:rFonts w:asciiTheme="majorHAnsi" w:hAnsiTheme="majorHAnsi"/>
          <w:sz w:val="20"/>
          <w:szCs w:val="20"/>
          <w:lang w:val="es-AR"/>
        </w:rPr>
        <w:t>, la cual requería</w:t>
      </w:r>
      <w:r w:rsidR="00DD7D77" w:rsidRPr="00507154">
        <w:rPr>
          <w:rFonts w:asciiTheme="majorHAnsi" w:hAnsiTheme="majorHAnsi"/>
          <w:sz w:val="20"/>
          <w:szCs w:val="20"/>
          <w:lang w:val="es-AR"/>
        </w:rPr>
        <w:t xml:space="preserve"> para poder acceder a las ayudas humanitarias y demás beneficios básicos a los que consideraba tener derecho</w:t>
      </w:r>
      <w:r w:rsidR="005D473C">
        <w:rPr>
          <w:rFonts w:asciiTheme="majorHAnsi" w:hAnsiTheme="majorHAnsi"/>
          <w:sz w:val="20"/>
          <w:szCs w:val="20"/>
          <w:lang w:val="es-AR"/>
        </w:rPr>
        <w:t>. Aproximadamente dos</w:t>
      </w:r>
      <w:r w:rsidR="00E54F56" w:rsidRPr="00507154">
        <w:rPr>
          <w:rFonts w:asciiTheme="majorHAnsi" w:hAnsiTheme="majorHAnsi"/>
          <w:sz w:val="20"/>
          <w:szCs w:val="20"/>
          <w:lang w:val="es-AR"/>
        </w:rPr>
        <w:t xml:space="preserve"> meses después del ataque, la familia de Helvir Antonio Torres </w:t>
      </w:r>
      <w:r w:rsidR="005267C3" w:rsidRPr="00507154">
        <w:rPr>
          <w:rFonts w:asciiTheme="majorHAnsi" w:hAnsiTheme="majorHAnsi"/>
          <w:sz w:val="20"/>
          <w:szCs w:val="20"/>
          <w:lang w:val="es-AR"/>
        </w:rPr>
        <w:t xml:space="preserve">y la familia de Freddy Torres </w:t>
      </w:r>
      <w:r w:rsidR="00E54F56" w:rsidRPr="00507154">
        <w:rPr>
          <w:rFonts w:asciiTheme="majorHAnsi" w:hAnsiTheme="majorHAnsi"/>
          <w:sz w:val="20"/>
          <w:szCs w:val="20"/>
          <w:lang w:val="es-AR"/>
        </w:rPr>
        <w:t>tuv</w:t>
      </w:r>
      <w:r w:rsidR="005267C3" w:rsidRPr="00507154">
        <w:rPr>
          <w:rFonts w:asciiTheme="majorHAnsi" w:hAnsiTheme="majorHAnsi"/>
          <w:sz w:val="20"/>
          <w:szCs w:val="20"/>
          <w:lang w:val="es-AR"/>
        </w:rPr>
        <w:t>ieron</w:t>
      </w:r>
      <w:r w:rsidR="00E54F56" w:rsidRPr="00507154">
        <w:rPr>
          <w:rFonts w:asciiTheme="majorHAnsi" w:hAnsiTheme="majorHAnsi"/>
          <w:sz w:val="20"/>
          <w:szCs w:val="20"/>
          <w:lang w:val="es-AR"/>
        </w:rPr>
        <w:t xml:space="preserve"> que desplazarse </w:t>
      </w:r>
      <w:r w:rsidR="00550087" w:rsidRPr="00507154">
        <w:rPr>
          <w:rFonts w:asciiTheme="majorHAnsi" w:hAnsiTheme="majorHAnsi"/>
          <w:sz w:val="20"/>
          <w:szCs w:val="20"/>
          <w:lang w:val="es-AR"/>
        </w:rPr>
        <w:t xml:space="preserve">forzosamente </w:t>
      </w:r>
      <w:r w:rsidR="00E54F56" w:rsidRPr="00507154">
        <w:rPr>
          <w:rFonts w:asciiTheme="majorHAnsi" w:hAnsiTheme="majorHAnsi"/>
          <w:sz w:val="20"/>
          <w:szCs w:val="20"/>
          <w:lang w:val="es-AR"/>
        </w:rPr>
        <w:t>de</w:t>
      </w:r>
      <w:r w:rsidR="00550087" w:rsidRPr="00507154">
        <w:rPr>
          <w:rFonts w:asciiTheme="majorHAnsi" w:hAnsiTheme="majorHAnsi"/>
          <w:sz w:val="20"/>
          <w:szCs w:val="20"/>
          <w:lang w:val="es-AR"/>
        </w:rPr>
        <w:t xml:space="preserve"> su residencia en e</w:t>
      </w:r>
      <w:r w:rsidR="005D473C">
        <w:rPr>
          <w:rFonts w:asciiTheme="majorHAnsi" w:hAnsiTheme="majorHAnsi"/>
          <w:sz w:val="20"/>
          <w:szCs w:val="20"/>
          <w:lang w:val="es-AR"/>
        </w:rPr>
        <w:t>l municipio de Venecia, Cundinamarca,</w:t>
      </w:r>
      <w:r w:rsidR="00E54F56" w:rsidRPr="00507154">
        <w:rPr>
          <w:rFonts w:asciiTheme="majorHAnsi" w:hAnsiTheme="majorHAnsi"/>
          <w:sz w:val="20"/>
          <w:szCs w:val="20"/>
          <w:lang w:val="es-AR"/>
        </w:rPr>
        <w:t xml:space="preserve"> </w:t>
      </w:r>
      <w:r w:rsidR="00E54F56" w:rsidRPr="00507154">
        <w:rPr>
          <w:rFonts w:asciiTheme="majorHAnsi" w:hAnsiTheme="majorHAnsi"/>
          <w:i/>
          <w:iCs/>
          <w:sz w:val="20"/>
          <w:szCs w:val="20"/>
          <w:lang w:val="es-AR"/>
        </w:rPr>
        <w:t>“pues miembros del Ejército colombiano no dejaron de acosarlos y amenazarlos después de la ejecución de Helvir Torres e intento de asesinato de Freddy Torres”</w:t>
      </w:r>
      <w:r w:rsidR="00DD7D77" w:rsidRPr="00507154">
        <w:rPr>
          <w:rFonts w:asciiTheme="majorHAnsi" w:hAnsiTheme="majorHAnsi"/>
          <w:sz w:val="20"/>
          <w:szCs w:val="20"/>
          <w:lang w:val="es-AR"/>
        </w:rPr>
        <w:t xml:space="preserve"> mediante amenazas, seguimientos e intimidaciones</w:t>
      </w:r>
      <w:r w:rsidR="00FD0587" w:rsidRPr="00507154">
        <w:rPr>
          <w:rFonts w:asciiTheme="majorHAnsi" w:hAnsiTheme="majorHAnsi"/>
          <w:sz w:val="20"/>
          <w:szCs w:val="20"/>
          <w:lang w:val="es-AR"/>
        </w:rPr>
        <w:t xml:space="preserve"> en sus casas y sus lugares de trabajo</w:t>
      </w:r>
      <w:r w:rsidR="005D473C">
        <w:rPr>
          <w:rFonts w:asciiTheme="majorHAnsi" w:hAnsiTheme="majorHAnsi"/>
          <w:sz w:val="20"/>
          <w:szCs w:val="20"/>
          <w:lang w:val="es-AR"/>
        </w:rPr>
        <w:t>. L</w:t>
      </w:r>
      <w:r w:rsidR="005267C3" w:rsidRPr="00507154">
        <w:rPr>
          <w:rFonts w:asciiTheme="majorHAnsi" w:hAnsiTheme="majorHAnsi"/>
          <w:sz w:val="20"/>
          <w:szCs w:val="20"/>
          <w:lang w:val="es-AR"/>
        </w:rPr>
        <w:t xml:space="preserve">os miembros de ambas familias </w:t>
      </w:r>
      <w:r w:rsidR="00DD7D77" w:rsidRPr="00507154">
        <w:rPr>
          <w:rFonts w:asciiTheme="majorHAnsi" w:hAnsiTheme="majorHAnsi"/>
          <w:sz w:val="20"/>
          <w:szCs w:val="20"/>
          <w:lang w:val="es-AR"/>
        </w:rPr>
        <w:t xml:space="preserve">en situación actual de desplazamiento </w:t>
      </w:r>
      <w:r w:rsidR="005D473C">
        <w:rPr>
          <w:rFonts w:asciiTheme="majorHAnsi" w:hAnsiTheme="majorHAnsi"/>
          <w:sz w:val="20"/>
          <w:szCs w:val="20"/>
          <w:lang w:val="es-AR"/>
        </w:rPr>
        <w:t>interno</w:t>
      </w:r>
      <w:r w:rsidR="00DD7D77" w:rsidRPr="00507154">
        <w:rPr>
          <w:rFonts w:asciiTheme="majorHAnsi" w:hAnsiTheme="majorHAnsi"/>
          <w:sz w:val="20"/>
          <w:szCs w:val="20"/>
          <w:lang w:val="es-AR"/>
        </w:rPr>
        <w:t xml:space="preserve"> </w:t>
      </w:r>
      <w:r w:rsidR="005267C3" w:rsidRPr="00507154">
        <w:rPr>
          <w:rFonts w:asciiTheme="majorHAnsi" w:hAnsiTheme="majorHAnsi"/>
          <w:sz w:val="20"/>
          <w:szCs w:val="20"/>
          <w:lang w:val="es-AR"/>
        </w:rPr>
        <w:t>incluyen niños.</w:t>
      </w:r>
      <w:r w:rsidR="00970FCB" w:rsidRPr="00507154">
        <w:rPr>
          <w:rFonts w:asciiTheme="majorHAnsi" w:hAnsiTheme="majorHAnsi"/>
          <w:sz w:val="20"/>
          <w:szCs w:val="20"/>
          <w:lang w:val="es-AR"/>
        </w:rPr>
        <w:t xml:space="preserve"> </w:t>
      </w:r>
      <w:r w:rsidR="005D473C">
        <w:rPr>
          <w:rFonts w:asciiTheme="majorHAnsi" w:hAnsiTheme="majorHAnsi"/>
          <w:sz w:val="20"/>
          <w:szCs w:val="20"/>
          <w:lang w:val="es-AR"/>
        </w:rPr>
        <w:t>Los peticionarios alegan que e</w:t>
      </w:r>
      <w:r w:rsidR="00970FCB" w:rsidRPr="00507154">
        <w:rPr>
          <w:rFonts w:asciiTheme="majorHAnsi" w:hAnsiTheme="majorHAnsi"/>
          <w:sz w:val="20"/>
          <w:szCs w:val="20"/>
          <w:lang w:val="es-AR"/>
        </w:rPr>
        <w:t xml:space="preserve">l Estado no les ha provisto </w:t>
      </w:r>
      <w:r w:rsidR="005D473C">
        <w:rPr>
          <w:rFonts w:asciiTheme="majorHAnsi" w:hAnsiTheme="majorHAnsi"/>
          <w:sz w:val="20"/>
          <w:szCs w:val="20"/>
          <w:lang w:val="es-AR"/>
        </w:rPr>
        <w:t xml:space="preserve">a estas familias </w:t>
      </w:r>
      <w:r w:rsidR="00970FCB" w:rsidRPr="00507154">
        <w:rPr>
          <w:rFonts w:asciiTheme="majorHAnsi" w:hAnsiTheme="majorHAnsi"/>
          <w:sz w:val="20"/>
          <w:szCs w:val="20"/>
          <w:lang w:val="es-AR"/>
        </w:rPr>
        <w:t>ayudas integrales ni ha garantizado su retorno en condiciones de dignidad y seguridad.</w:t>
      </w:r>
    </w:p>
    <w:p w14:paraId="7C9DB64B"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49676809" w14:textId="77777777" w:rsidR="00F66B58" w:rsidRPr="00507154" w:rsidRDefault="009E213B"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6</w:t>
      </w:r>
      <w:r w:rsidR="00197EB7" w:rsidRPr="00507154">
        <w:rPr>
          <w:rFonts w:asciiTheme="majorHAnsi" w:hAnsiTheme="majorHAnsi"/>
          <w:sz w:val="20"/>
          <w:szCs w:val="20"/>
          <w:lang w:val="es-AR"/>
        </w:rPr>
        <w:t xml:space="preserve">. </w:t>
      </w:r>
      <w:r w:rsidR="00DE06C3">
        <w:rPr>
          <w:rFonts w:asciiTheme="majorHAnsi" w:hAnsiTheme="majorHAnsi"/>
          <w:sz w:val="20"/>
          <w:szCs w:val="20"/>
          <w:lang w:val="es-AR"/>
        </w:rPr>
        <w:tab/>
      </w:r>
      <w:r w:rsidR="00B917C0" w:rsidRPr="00507154">
        <w:rPr>
          <w:rFonts w:asciiTheme="majorHAnsi" w:hAnsiTheme="majorHAnsi"/>
          <w:sz w:val="20"/>
          <w:szCs w:val="20"/>
          <w:lang w:val="es-AR"/>
        </w:rPr>
        <w:t xml:space="preserve">La muerte del señor Helvir Antonio Torres y el ataque armado contra el señor Freddy Torres Torres dieron lugar de oficio </w:t>
      </w:r>
      <w:r w:rsidR="00910951">
        <w:rPr>
          <w:rFonts w:asciiTheme="majorHAnsi" w:hAnsiTheme="majorHAnsi"/>
          <w:sz w:val="20"/>
          <w:szCs w:val="20"/>
          <w:lang w:val="es-AR"/>
        </w:rPr>
        <w:t>a</w:t>
      </w:r>
      <w:r w:rsidR="00B917C0" w:rsidRPr="00507154">
        <w:rPr>
          <w:rFonts w:asciiTheme="majorHAnsi" w:hAnsiTheme="majorHAnsi"/>
          <w:sz w:val="20"/>
          <w:szCs w:val="20"/>
          <w:lang w:val="es-AR"/>
        </w:rPr>
        <w:t xml:space="preserve"> una investigación penal por parte de la justicia penal militar, a través de</w:t>
      </w:r>
      <w:r w:rsidR="00E54F56" w:rsidRPr="00507154">
        <w:rPr>
          <w:rFonts w:asciiTheme="majorHAnsi" w:hAnsiTheme="majorHAnsi"/>
          <w:sz w:val="20"/>
          <w:szCs w:val="20"/>
          <w:lang w:val="es-AR"/>
        </w:rPr>
        <w:t>l Juzgado 96 de Instrucción Penal Militar con sede en Fusagasugá, que el 1º de noviembre de 2006 asumió competencia para investigar la denuncia</w:t>
      </w:r>
      <w:r w:rsidR="00B917C0" w:rsidRPr="00507154">
        <w:rPr>
          <w:rFonts w:asciiTheme="majorHAnsi" w:hAnsiTheme="majorHAnsi"/>
          <w:sz w:val="20"/>
          <w:szCs w:val="20"/>
          <w:lang w:val="es-AR"/>
        </w:rPr>
        <w:t>.</w:t>
      </w:r>
      <w:r w:rsidR="00910951">
        <w:rPr>
          <w:rFonts w:asciiTheme="majorHAnsi" w:hAnsiTheme="majorHAnsi"/>
          <w:sz w:val="20"/>
          <w:szCs w:val="20"/>
          <w:lang w:val="es-AR"/>
        </w:rPr>
        <w:t xml:space="preserve"> En esa misma fecha, este j</w:t>
      </w:r>
      <w:r w:rsidR="00E54F56" w:rsidRPr="00507154">
        <w:rPr>
          <w:rFonts w:asciiTheme="majorHAnsi" w:hAnsiTheme="majorHAnsi"/>
          <w:sz w:val="20"/>
          <w:szCs w:val="20"/>
          <w:lang w:val="es-AR"/>
        </w:rPr>
        <w:t>uzgado definió la situación juríd</w:t>
      </w:r>
      <w:r w:rsidR="00910951">
        <w:rPr>
          <w:rFonts w:asciiTheme="majorHAnsi" w:hAnsiTheme="majorHAnsi"/>
          <w:sz w:val="20"/>
          <w:szCs w:val="20"/>
          <w:lang w:val="es-AR"/>
        </w:rPr>
        <w:t>ica de los cuatro miembros del e</w:t>
      </w:r>
      <w:r w:rsidR="00E54F56" w:rsidRPr="00507154">
        <w:rPr>
          <w:rFonts w:asciiTheme="majorHAnsi" w:hAnsiTheme="majorHAnsi"/>
          <w:sz w:val="20"/>
          <w:szCs w:val="20"/>
          <w:lang w:val="es-AR"/>
        </w:rPr>
        <w:t>jército vinculados como presuntos responsables, y decidió no decretar medida de aseguramiento en su contra, por lo cual permanecieron en libertad. El 6 de diciembre de 2006, el Procurador 251 Judicial Penal solicitó que la investigación se trasladara a la jurisdicción ordinaria, pero su pet</w:t>
      </w:r>
      <w:r w:rsidR="00910951">
        <w:rPr>
          <w:rFonts w:asciiTheme="majorHAnsi" w:hAnsiTheme="majorHAnsi"/>
          <w:sz w:val="20"/>
          <w:szCs w:val="20"/>
          <w:lang w:val="es-AR"/>
        </w:rPr>
        <w:t>ición fue denegada por el mencionado j</w:t>
      </w:r>
      <w:r w:rsidR="00E54F56" w:rsidRPr="00507154">
        <w:rPr>
          <w:rFonts w:asciiTheme="majorHAnsi" w:hAnsiTheme="majorHAnsi"/>
          <w:sz w:val="20"/>
          <w:szCs w:val="20"/>
          <w:lang w:val="es-AR"/>
        </w:rPr>
        <w:t>uzgado el 19 de diciembre de 2006. El 18 de enero de 2007 el Procurador apeló esta decisión, pero el 16 de marzo de 2007 el Tribunal Superior Militar la confirmó. El 8 de octubre de 2007, el Fiscal 24 de la Unidad Nacional de Derechos Humanos de la Fiscalía General de la Nación propuso un conflicto positivo de competencias con respecto al caso</w:t>
      </w:r>
      <w:r w:rsidR="00910951">
        <w:rPr>
          <w:rFonts w:asciiTheme="majorHAnsi" w:hAnsiTheme="majorHAnsi"/>
          <w:sz w:val="20"/>
          <w:szCs w:val="20"/>
          <w:lang w:val="es-AR"/>
        </w:rPr>
        <w:t>.</w:t>
      </w:r>
      <w:r w:rsidR="00E54F56" w:rsidRPr="00507154">
        <w:rPr>
          <w:rFonts w:asciiTheme="majorHAnsi" w:hAnsiTheme="majorHAnsi"/>
          <w:sz w:val="20"/>
          <w:szCs w:val="20"/>
          <w:lang w:val="es-AR"/>
        </w:rPr>
        <w:t xml:space="preserve"> </w:t>
      </w:r>
      <w:r w:rsidR="00910951">
        <w:rPr>
          <w:rFonts w:asciiTheme="majorHAnsi" w:hAnsiTheme="majorHAnsi"/>
          <w:sz w:val="20"/>
          <w:szCs w:val="20"/>
          <w:lang w:val="es-AR"/>
        </w:rPr>
        <w:t>E</w:t>
      </w:r>
      <w:r w:rsidR="0036625B" w:rsidRPr="00507154">
        <w:rPr>
          <w:rFonts w:asciiTheme="majorHAnsi" w:hAnsiTheme="majorHAnsi"/>
          <w:sz w:val="20"/>
          <w:szCs w:val="20"/>
          <w:lang w:val="es-AR"/>
        </w:rPr>
        <w:t xml:space="preserve">ste conflicto </w:t>
      </w:r>
      <w:r w:rsidR="00E54F56" w:rsidRPr="00507154">
        <w:rPr>
          <w:rFonts w:asciiTheme="majorHAnsi" w:hAnsiTheme="majorHAnsi"/>
          <w:sz w:val="20"/>
          <w:szCs w:val="20"/>
          <w:lang w:val="es-AR"/>
        </w:rPr>
        <w:t>fue resuelto a favor de la jurisdicción ordinaria</w:t>
      </w:r>
      <w:r w:rsidR="0036625B" w:rsidRPr="00507154">
        <w:rPr>
          <w:rFonts w:asciiTheme="majorHAnsi" w:hAnsiTheme="majorHAnsi"/>
          <w:sz w:val="20"/>
          <w:szCs w:val="20"/>
          <w:lang w:val="es-AR"/>
        </w:rPr>
        <w:t xml:space="preserve"> por el Juez Quinto de Brigadas de la Quinta División del Ministerio de Defensa Nacional</w:t>
      </w:r>
      <w:r w:rsidR="00E54F56" w:rsidRPr="00507154">
        <w:rPr>
          <w:rFonts w:asciiTheme="majorHAnsi" w:hAnsiTheme="majorHAnsi"/>
          <w:sz w:val="20"/>
          <w:szCs w:val="20"/>
          <w:lang w:val="es-AR"/>
        </w:rPr>
        <w:t xml:space="preserve">, </w:t>
      </w:r>
      <w:r w:rsidR="0036625B" w:rsidRPr="00507154">
        <w:rPr>
          <w:rFonts w:asciiTheme="majorHAnsi" w:hAnsiTheme="majorHAnsi"/>
          <w:sz w:val="20"/>
          <w:szCs w:val="20"/>
          <w:lang w:val="es-AR"/>
        </w:rPr>
        <w:t xml:space="preserve">y la Fiscalía General de la Nación </w:t>
      </w:r>
      <w:r w:rsidR="00E54F56" w:rsidRPr="00507154">
        <w:rPr>
          <w:rFonts w:asciiTheme="majorHAnsi" w:hAnsiTheme="majorHAnsi"/>
          <w:sz w:val="20"/>
          <w:szCs w:val="20"/>
          <w:lang w:val="es-AR"/>
        </w:rPr>
        <w:t>asumió la investigación. Esta fue inicialmente asignada al Fiscal 24 Especializado de la Unidad Nacional de Derechos Humanos, y posteriormente a la Fiscalía 50 de la misma Unidad.</w:t>
      </w:r>
      <w:r w:rsidR="00814303" w:rsidRPr="00507154">
        <w:rPr>
          <w:rFonts w:asciiTheme="majorHAnsi" w:hAnsiTheme="majorHAnsi"/>
          <w:sz w:val="20"/>
          <w:szCs w:val="20"/>
          <w:lang w:val="es-AR"/>
        </w:rPr>
        <w:t xml:space="preserve"> Al momento de presentación de la petición ante la CIDH, </w:t>
      </w:r>
      <w:r w:rsidR="00910951">
        <w:rPr>
          <w:rFonts w:asciiTheme="majorHAnsi" w:hAnsiTheme="majorHAnsi"/>
          <w:sz w:val="20"/>
          <w:szCs w:val="20"/>
          <w:lang w:val="es-AR"/>
        </w:rPr>
        <w:t>este</w:t>
      </w:r>
      <w:r w:rsidR="00814303" w:rsidRPr="00507154">
        <w:rPr>
          <w:rFonts w:asciiTheme="majorHAnsi" w:hAnsiTheme="majorHAnsi"/>
          <w:sz w:val="20"/>
          <w:szCs w:val="20"/>
          <w:lang w:val="es-AR"/>
        </w:rPr>
        <w:t xml:space="preserve"> proceso estaba en la fase de instrucción (investigación), y se había vinculado al </w:t>
      </w:r>
      <w:r w:rsidR="00E33102">
        <w:rPr>
          <w:rFonts w:asciiTheme="majorHAnsi" w:hAnsiTheme="majorHAnsi"/>
          <w:sz w:val="20"/>
          <w:szCs w:val="20"/>
          <w:lang w:val="es-AR"/>
        </w:rPr>
        <w:t xml:space="preserve">mismo </w:t>
      </w:r>
      <w:r w:rsidR="00814303" w:rsidRPr="00507154">
        <w:rPr>
          <w:rFonts w:asciiTheme="majorHAnsi" w:hAnsiTheme="majorHAnsi"/>
          <w:sz w:val="20"/>
          <w:szCs w:val="20"/>
          <w:lang w:val="es-AR"/>
        </w:rPr>
        <w:t>a los cuatro militares implicados, los cuales seguían en libertad. Al miembro del Ejército que estaba al mando de la Compañía Corcel</w:t>
      </w:r>
      <w:r w:rsidR="00BF1F6C" w:rsidRPr="00507154">
        <w:rPr>
          <w:rFonts w:asciiTheme="majorHAnsi" w:hAnsiTheme="majorHAnsi"/>
          <w:sz w:val="20"/>
          <w:szCs w:val="20"/>
          <w:lang w:val="es-AR"/>
        </w:rPr>
        <w:t xml:space="preserve"> el día de los hechos</w:t>
      </w:r>
      <w:r w:rsidR="00814303" w:rsidRPr="00507154">
        <w:rPr>
          <w:rFonts w:asciiTheme="majorHAnsi" w:hAnsiTheme="majorHAnsi"/>
          <w:sz w:val="20"/>
          <w:szCs w:val="20"/>
          <w:lang w:val="es-AR"/>
        </w:rPr>
        <w:t xml:space="preserve"> no se le había vinculado formalmente al proceso; y los agentes de la Fuerza Pública apodados “el costeño” y “el paisa” tampoco habían sido vinculados a la investigación. Por otra parte, la investigación penal únicamente versaba sobre el homicidio de Helvir Antonio Torres, y no abarcaba la tentativa de homicidio contra Freddy Torres.</w:t>
      </w:r>
      <w:r w:rsidR="00BF1F6C" w:rsidRPr="00507154">
        <w:rPr>
          <w:rFonts w:asciiTheme="majorHAnsi" w:hAnsiTheme="majorHAnsi"/>
          <w:sz w:val="20"/>
          <w:szCs w:val="20"/>
          <w:lang w:val="es-AR"/>
        </w:rPr>
        <w:t xml:space="preserve"> En criterio de los peticionarios, en el caso se ha presentado un retardo injustificado en la administración de justicia penal, que constituye una excepción al deber de agotamiento de los recursos internos</w:t>
      </w:r>
      <w:r w:rsidR="00910951">
        <w:rPr>
          <w:rFonts w:asciiTheme="majorHAnsi" w:hAnsiTheme="majorHAnsi"/>
          <w:sz w:val="20"/>
          <w:szCs w:val="20"/>
          <w:lang w:val="es-AR"/>
        </w:rPr>
        <w:t>. A</w:t>
      </w:r>
      <w:r w:rsidR="00F97E50" w:rsidRPr="00507154">
        <w:rPr>
          <w:rFonts w:asciiTheme="majorHAnsi" w:hAnsiTheme="majorHAnsi"/>
          <w:sz w:val="20"/>
          <w:szCs w:val="20"/>
          <w:lang w:val="es-AR"/>
        </w:rPr>
        <w:t xml:space="preserve">rgumentan que al momento de presentar la petición habían transcurrido tres años y ocho meses desde el ataque sin que hubiese una investigación penal seria avanzando en la determinación de los responsables, además de que el proceso inicialmente se desarrolló ante la justicia penal militar, </w:t>
      </w:r>
      <w:r w:rsidR="00E33102">
        <w:rPr>
          <w:rFonts w:asciiTheme="majorHAnsi" w:hAnsiTheme="majorHAnsi"/>
          <w:sz w:val="20"/>
          <w:szCs w:val="20"/>
          <w:lang w:val="es-AR"/>
        </w:rPr>
        <w:t xml:space="preserve">de </w:t>
      </w:r>
      <w:r w:rsidR="00F97E50" w:rsidRPr="00507154">
        <w:rPr>
          <w:rFonts w:asciiTheme="majorHAnsi" w:hAnsiTheme="majorHAnsi"/>
          <w:sz w:val="20"/>
          <w:szCs w:val="20"/>
          <w:lang w:val="es-AR"/>
        </w:rPr>
        <w:t xml:space="preserve">que no se había vinculado a la totalidad de los presuntos responsables, y </w:t>
      </w:r>
      <w:r w:rsidR="00E33102">
        <w:rPr>
          <w:rFonts w:asciiTheme="majorHAnsi" w:hAnsiTheme="majorHAnsi"/>
          <w:sz w:val="20"/>
          <w:szCs w:val="20"/>
          <w:lang w:val="es-AR"/>
        </w:rPr>
        <w:t xml:space="preserve">de </w:t>
      </w:r>
      <w:r w:rsidR="00F97E50" w:rsidRPr="00507154">
        <w:rPr>
          <w:rFonts w:asciiTheme="majorHAnsi" w:hAnsiTheme="majorHAnsi"/>
          <w:sz w:val="20"/>
          <w:szCs w:val="20"/>
          <w:lang w:val="es-AR"/>
        </w:rPr>
        <w:t>que no se estaba investigando la tentativa de homicidio de Freddy Torres</w:t>
      </w:r>
      <w:r w:rsidR="00970FCB" w:rsidRPr="00507154">
        <w:rPr>
          <w:rFonts w:asciiTheme="majorHAnsi" w:hAnsiTheme="majorHAnsi"/>
          <w:sz w:val="20"/>
          <w:szCs w:val="20"/>
          <w:lang w:val="es-AR"/>
        </w:rPr>
        <w:t xml:space="preserve"> ni el desplazamiento </w:t>
      </w:r>
      <w:r w:rsidR="00910951">
        <w:rPr>
          <w:rFonts w:asciiTheme="majorHAnsi" w:hAnsiTheme="majorHAnsi"/>
          <w:sz w:val="20"/>
          <w:szCs w:val="20"/>
          <w:lang w:val="es-AR"/>
        </w:rPr>
        <w:t>interno</w:t>
      </w:r>
      <w:r w:rsidR="00970FCB" w:rsidRPr="00507154">
        <w:rPr>
          <w:rFonts w:asciiTheme="majorHAnsi" w:hAnsiTheme="majorHAnsi"/>
          <w:sz w:val="20"/>
          <w:szCs w:val="20"/>
          <w:lang w:val="es-AR"/>
        </w:rPr>
        <w:t xml:space="preserve"> de los familiares de ambos.</w:t>
      </w:r>
      <w:r w:rsidR="00FD0587" w:rsidRPr="00507154">
        <w:rPr>
          <w:rFonts w:asciiTheme="majorHAnsi" w:hAnsiTheme="majorHAnsi"/>
          <w:sz w:val="20"/>
          <w:szCs w:val="20"/>
          <w:lang w:val="es-AR"/>
        </w:rPr>
        <w:t xml:space="preserve"> </w:t>
      </w:r>
    </w:p>
    <w:p w14:paraId="1F0F06CD"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1E849EAC" w14:textId="77777777" w:rsidR="00F3769B" w:rsidRDefault="009E213B" w:rsidP="001C482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7</w:t>
      </w:r>
      <w:r w:rsidR="00197EB7" w:rsidRPr="00507154">
        <w:rPr>
          <w:rFonts w:asciiTheme="majorHAnsi" w:hAnsiTheme="majorHAnsi"/>
          <w:sz w:val="20"/>
          <w:szCs w:val="20"/>
          <w:lang w:val="es-AR"/>
        </w:rPr>
        <w:t xml:space="preserve">. </w:t>
      </w:r>
      <w:r w:rsidR="00151092">
        <w:rPr>
          <w:rFonts w:asciiTheme="majorHAnsi" w:hAnsiTheme="majorHAnsi"/>
          <w:sz w:val="20"/>
          <w:szCs w:val="20"/>
          <w:lang w:val="es-AR"/>
        </w:rPr>
        <w:tab/>
      </w:r>
      <w:r w:rsidR="00F3769B">
        <w:rPr>
          <w:rFonts w:asciiTheme="majorHAnsi" w:hAnsiTheme="majorHAnsi"/>
          <w:sz w:val="20"/>
          <w:szCs w:val="20"/>
          <w:lang w:val="es-AR"/>
        </w:rPr>
        <w:t>En suma, l</w:t>
      </w:r>
      <w:r w:rsidR="00F97E50" w:rsidRPr="00507154">
        <w:rPr>
          <w:rFonts w:asciiTheme="majorHAnsi" w:hAnsiTheme="majorHAnsi"/>
          <w:sz w:val="20"/>
          <w:szCs w:val="20"/>
          <w:lang w:val="es-AR"/>
        </w:rPr>
        <w:t xml:space="preserve">os peticionarios </w:t>
      </w:r>
      <w:r w:rsidR="00F3769B">
        <w:rPr>
          <w:rFonts w:asciiTheme="majorHAnsi" w:hAnsiTheme="majorHAnsi"/>
          <w:sz w:val="20"/>
          <w:szCs w:val="20"/>
          <w:lang w:val="es-AR"/>
        </w:rPr>
        <w:t>aducen</w:t>
      </w:r>
      <w:r w:rsidR="00F97E50" w:rsidRPr="00507154">
        <w:rPr>
          <w:rFonts w:asciiTheme="majorHAnsi" w:hAnsiTheme="majorHAnsi"/>
          <w:sz w:val="20"/>
          <w:szCs w:val="20"/>
          <w:lang w:val="es-AR"/>
        </w:rPr>
        <w:t xml:space="preserve"> que el Estado es internacionalmente responsable por</w:t>
      </w:r>
      <w:r w:rsidR="00F3769B">
        <w:rPr>
          <w:rFonts w:asciiTheme="majorHAnsi" w:hAnsiTheme="majorHAnsi"/>
          <w:sz w:val="20"/>
          <w:szCs w:val="20"/>
          <w:lang w:val="es-AR"/>
        </w:rPr>
        <w:t>:</w:t>
      </w:r>
      <w:r w:rsidR="00F97E50" w:rsidRPr="00507154">
        <w:rPr>
          <w:rFonts w:asciiTheme="majorHAnsi" w:hAnsiTheme="majorHAnsi"/>
          <w:sz w:val="20"/>
          <w:szCs w:val="20"/>
          <w:lang w:val="es-AR"/>
        </w:rPr>
        <w:t xml:space="preserve"> (i) una política estatal de ejecuciones extrajudiciales</w:t>
      </w:r>
      <w:r w:rsidR="00F3769B">
        <w:rPr>
          <w:rFonts w:asciiTheme="majorHAnsi" w:hAnsiTheme="majorHAnsi"/>
          <w:sz w:val="20"/>
          <w:szCs w:val="20"/>
          <w:lang w:val="es-AR"/>
        </w:rPr>
        <w:t>;</w:t>
      </w:r>
      <w:r w:rsidR="00F97E50" w:rsidRPr="00507154">
        <w:rPr>
          <w:rFonts w:asciiTheme="majorHAnsi" w:hAnsiTheme="majorHAnsi"/>
          <w:sz w:val="20"/>
          <w:szCs w:val="20"/>
          <w:lang w:val="es-AR"/>
        </w:rPr>
        <w:t xml:space="preserve"> (ii) la ejecución extrajudicial de Helvir Antonio Torres </w:t>
      </w:r>
      <w:r w:rsidR="00DF0219" w:rsidRPr="00507154">
        <w:rPr>
          <w:rFonts w:asciiTheme="majorHAnsi" w:hAnsiTheme="majorHAnsi"/>
          <w:sz w:val="20"/>
          <w:szCs w:val="20"/>
          <w:lang w:val="es-AR"/>
        </w:rPr>
        <w:t>por miembros del Ejército para presentar posteriormente su cuerpo como el de u</w:t>
      </w:r>
      <w:r w:rsidR="00F3769B">
        <w:rPr>
          <w:rFonts w:asciiTheme="majorHAnsi" w:hAnsiTheme="majorHAnsi"/>
          <w:sz w:val="20"/>
          <w:szCs w:val="20"/>
          <w:lang w:val="es-AR"/>
        </w:rPr>
        <w:t>n guerrillero muerto en combate;</w:t>
      </w:r>
      <w:r w:rsidR="00DF0219" w:rsidRPr="00507154">
        <w:rPr>
          <w:rFonts w:asciiTheme="majorHAnsi" w:hAnsiTheme="majorHAnsi"/>
          <w:sz w:val="20"/>
          <w:szCs w:val="20"/>
          <w:lang w:val="es-AR"/>
        </w:rPr>
        <w:t xml:space="preserve"> (iii) </w:t>
      </w:r>
      <w:r w:rsidR="00F97E50" w:rsidRPr="00507154">
        <w:rPr>
          <w:rFonts w:asciiTheme="majorHAnsi" w:hAnsiTheme="majorHAnsi"/>
          <w:sz w:val="20"/>
          <w:szCs w:val="20"/>
          <w:lang w:val="es-AR"/>
        </w:rPr>
        <w:t>el intento de ejecución extrajudicial de Freddy Torres por parte de agentes de la Fuerza Pública</w:t>
      </w:r>
      <w:r w:rsidR="00F3769B">
        <w:rPr>
          <w:rFonts w:asciiTheme="majorHAnsi" w:hAnsiTheme="majorHAnsi"/>
          <w:sz w:val="20"/>
          <w:szCs w:val="20"/>
          <w:lang w:val="es-AR"/>
        </w:rPr>
        <w:t>;</w:t>
      </w:r>
      <w:r w:rsidR="00DF0219" w:rsidRPr="00507154">
        <w:rPr>
          <w:rFonts w:asciiTheme="majorHAnsi" w:hAnsiTheme="majorHAnsi"/>
          <w:sz w:val="20"/>
          <w:szCs w:val="20"/>
          <w:lang w:val="es-AR"/>
        </w:rPr>
        <w:t xml:space="preserve"> </w:t>
      </w:r>
      <w:r w:rsidR="00F97E50" w:rsidRPr="00507154">
        <w:rPr>
          <w:rFonts w:asciiTheme="majorHAnsi" w:hAnsiTheme="majorHAnsi"/>
          <w:sz w:val="20"/>
          <w:szCs w:val="20"/>
          <w:lang w:val="es-AR"/>
        </w:rPr>
        <w:t>(i</w:t>
      </w:r>
      <w:r w:rsidR="00DF0219" w:rsidRPr="00507154">
        <w:rPr>
          <w:rFonts w:asciiTheme="majorHAnsi" w:hAnsiTheme="majorHAnsi"/>
          <w:sz w:val="20"/>
          <w:szCs w:val="20"/>
          <w:lang w:val="es-AR"/>
        </w:rPr>
        <w:t>v</w:t>
      </w:r>
      <w:r w:rsidR="00F97E50" w:rsidRPr="00507154">
        <w:rPr>
          <w:rFonts w:asciiTheme="majorHAnsi" w:hAnsiTheme="majorHAnsi"/>
          <w:sz w:val="20"/>
          <w:szCs w:val="20"/>
          <w:lang w:val="es-AR"/>
        </w:rPr>
        <w:t xml:space="preserve">) la impunidad en la que se </w:t>
      </w:r>
      <w:r w:rsidR="00F3769B">
        <w:rPr>
          <w:rFonts w:asciiTheme="majorHAnsi" w:hAnsiTheme="majorHAnsi"/>
          <w:sz w:val="20"/>
          <w:szCs w:val="20"/>
          <w:lang w:val="es-AR"/>
        </w:rPr>
        <w:t>encontraría</w:t>
      </w:r>
      <w:r w:rsidR="00754028">
        <w:rPr>
          <w:rFonts w:asciiTheme="majorHAnsi" w:hAnsiTheme="majorHAnsi"/>
          <w:sz w:val="20"/>
          <w:szCs w:val="20"/>
          <w:lang w:val="es-AR"/>
        </w:rPr>
        <w:t>n</w:t>
      </w:r>
      <w:r w:rsidR="00F97E50" w:rsidRPr="00507154">
        <w:rPr>
          <w:rFonts w:asciiTheme="majorHAnsi" w:hAnsiTheme="majorHAnsi"/>
          <w:sz w:val="20"/>
          <w:szCs w:val="20"/>
          <w:lang w:val="es-AR"/>
        </w:rPr>
        <w:t xml:space="preserve"> </w:t>
      </w:r>
      <w:r w:rsidR="00754028">
        <w:rPr>
          <w:rFonts w:asciiTheme="majorHAnsi" w:hAnsiTheme="majorHAnsi"/>
          <w:sz w:val="20"/>
          <w:szCs w:val="20"/>
          <w:lang w:val="es-AR"/>
        </w:rPr>
        <w:t>los hechos denunciados</w:t>
      </w:r>
      <w:r w:rsidR="00F97E50" w:rsidRPr="00507154">
        <w:rPr>
          <w:rFonts w:asciiTheme="majorHAnsi" w:hAnsiTheme="majorHAnsi"/>
          <w:sz w:val="20"/>
          <w:szCs w:val="20"/>
          <w:lang w:val="es-AR"/>
        </w:rPr>
        <w:t xml:space="preserve"> por falta de avances en la investigación penal</w:t>
      </w:r>
      <w:r w:rsidR="00FD0587" w:rsidRPr="00507154">
        <w:rPr>
          <w:rFonts w:asciiTheme="majorHAnsi" w:hAnsiTheme="majorHAnsi"/>
          <w:sz w:val="20"/>
          <w:szCs w:val="20"/>
          <w:lang w:val="es-AR"/>
        </w:rPr>
        <w:t xml:space="preserve"> y falta de vinculación de todos los responsables</w:t>
      </w:r>
      <w:r w:rsidR="00F97E50" w:rsidRPr="00507154">
        <w:rPr>
          <w:rFonts w:asciiTheme="majorHAnsi" w:hAnsiTheme="majorHAnsi"/>
          <w:sz w:val="20"/>
          <w:szCs w:val="20"/>
          <w:lang w:val="es-AR"/>
        </w:rPr>
        <w:t xml:space="preserve">, </w:t>
      </w:r>
      <w:r w:rsidR="00DF0219" w:rsidRPr="00507154">
        <w:rPr>
          <w:rFonts w:asciiTheme="majorHAnsi" w:hAnsiTheme="majorHAnsi"/>
          <w:sz w:val="20"/>
          <w:szCs w:val="20"/>
          <w:lang w:val="es-AR"/>
        </w:rPr>
        <w:t xml:space="preserve">con </w:t>
      </w:r>
      <w:r w:rsidR="00F97E50" w:rsidRPr="00507154">
        <w:rPr>
          <w:rFonts w:asciiTheme="majorHAnsi" w:hAnsiTheme="majorHAnsi"/>
          <w:sz w:val="20"/>
          <w:szCs w:val="20"/>
          <w:lang w:val="es-AR"/>
        </w:rPr>
        <w:t xml:space="preserve">la </w:t>
      </w:r>
      <w:r w:rsidR="00DF0219" w:rsidRPr="00507154">
        <w:rPr>
          <w:rFonts w:asciiTheme="majorHAnsi" w:hAnsiTheme="majorHAnsi"/>
          <w:sz w:val="20"/>
          <w:szCs w:val="20"/>
          <w:lang w:val="es-AR"/>
        </w:rPr>
        <w:t xml:space="preserve">consiguiente </w:t>
      </w:r>
      <w:r w:rsidR="00F97E50" w:rsidRPr="00507154">
        <w:rPr>
          <w:rFonts w:asciiTheme="majorHAnsi" w:hAnsiTheme="majorHAnsi"/>
          <w:sz w:val="20"/>
          <w:szCs w:val="20"/>
          <w:lang w:val="es-AR"/>
        </w:rPr>
        <w:t>falta de reparación integral a las víctimas</w:t>
      </w:r>
      <w:r w:rsidR="00F3769B">
        <w:rPr>
          <w:rFonts w:asciiTheme="majorHAnsi" w:hAnsiTheme="majorHAnsi"/>
          <w:sz w:val="20"/>
          <w:szCs w:val="20"/>
          <w:lang w:val="es-AR"/>
        </w:rPr>
        <w:t>;</w:t>
      </w:r>
      <w:r w:rsidR="00F157C2" w:rsidRPr="00507154">
        <w:rPr>
          <w:rFonts w:asciiTheme="majorHAnsi" w:hAnsiTheme="majorHAnsi"/>
          <w:sz w:val="20"/>
          <w:szCs w:val="20"/>
          <w:lang w:val="es-AR"/>
        </w:rPr>
        <w:t xml:space="preserve"> (v) el desplazamiento forzoso </w:t>
      </w:r>
      <w:r w:rsidR="00CB0148" w:rsidRPr="00507154">
        <w:rPr>
          <w:rFonts w:asciiTheme="majorHAnsi" w:hAnsiTheme="majorHAnsi"/>
          <w:sz w:val="20"/>
          <w:szCs w:val="20"/>
          <w:lang w:val="es-AR"/>
        </w:rPr>
        <w:t xml:space="preserve">de </w:t>
      </w:r>
      <w:r w:rsidR="00F157C2" w:rsidRPr="00507154">
        <w:rPr>
          <w:rFonts w:asciiTheme="majorHAnsi" w:hAnsiTheme="majorHAnsi"/>
          <w:sz w:val="20"/>
          <w:szCs w:val="20"/>
          <w:lang w:val="es-AR"/>
        </w:rPr>
        <w:t>Freddy Torres a consecuencia del ataque por temor a que se repitiera,</w:t>
      </w:r>
      <w:r w:rsidR="00CB0148" w:rsidRPr="00507154">
        <w:rPr>
          <w:rFonts w:asciiTheme="majorHAnsi" w:hAnsiTheme="majorHAnsi"/>
          <w:sz w:val="20"/>
          <w:szCs w:val="20"/>
          <w:lang w:val="es-AR"/>
        </w:rPr>
        <w:t xml:space="preserve"> y seguimientos y presiones </w:t>
      </w:r>
      <w:r w:rsidR="0000304A">
        <w:rPr>
          <w:rFonts w:asciiTheme="majorHAnsi" w:hAnsiTheme="majorHAnsi"/>
          <w:sz w:val="20"/>
          <w:szCs w:val="20"/>
          <w:lang w:val="es-AR"/>
        </w:rPr>
        <w:t xml:space="preserve">subsiguientes </w:t>
      </w:r>
      <w:r w:rsidR="00CB0148" w:rsidRPr="00507154">
        <w:rPr>
          <w:rFonts w:asciiTheme="majorHAnsi" w:hAnsiTheme="majorHAnsi"/>
          <w:sz w:val="20"/>
          <w:szCs w:val="20"/>
          <w:lang w:val="es-AR"/>
        </w:rPr>
        <w:t>que en su percepción alcanzaron a cruzar el umbral de</w:t>
      </w:r>
      <w:r w:rsidR="00B940BB">
        <w:rPr>
          <w:rFonts w:asciiTheme="majorHAnsi" w:hAnsiTheme="majorHAnsi"/>
          <w:sz w:val="20"/>
          <w:szCs w:val="20"/>
          <w:lang w:val="es-AR"/>
        </w:rPr>
        <w:t xml:space="preserve"> gravedad</w:t>
      </w:r>
      <w:r w:rsidR="00F3769B">
        <w:rPr>
          <w:rFonts w:asciiTheme="majorHAnsi" w:hAnsiTheme="majorHAnsi"/>
          <w:sz w:val="20"/>
          <w:szCs w:val="20"/>
          <w:lang w:val="es-AR"/>
        </w:rPr>
        <w:t xml:space="preserve"> la </w:t>
      </w:r>
      <w:r w:rsidR="00F3769B">
        <w:rPr>
          <w:rFonts w:asciiTheme="majorHAnsi" w:hAnsiTheme="majorHAnsi"/>
          <w:sz w:val="20"/>
          <w:szCs w:val="20"/>
          <w:lang w:val="es-AR"/>
        </w:rPr>
        <w:lastRenderedPageBreak/>
        <w:t>tortura;</w:t>
      </w:r>
      <w:r w:rsidR="00F157C2" w:rsidRPr="00507154">
        <w:rPr>
          <w:rFonts w:asciiTheme="majorHAnsi" w:hAnsiTheme="majorHAnsi"/>
          <w:sz w:val="20"/>
          <w:szCs w:val="20"/>
          <w:lang w:val="es-AR"/>
        </w:rPr>
        <w:t xml:space="preserve"> y (vi) el </w:t>
      </w:r>
      <w:r w:rsidR="0000304A">
        <w:rPr>
          <w:rFonts w:asciiTheme="majorHAnsi" w:hAnsiTheme="majorHAnsi"/>
          <w:sz w:val="20"/>
          <w:szCs w:val="20"/>
          <w:lang w:val="es-AR"/>
        </w:rPr>
        <w:t xml:space="preserve">posterior </w:t>
      </w:r>
      <w:r w:rsidR="00F157C2" w:rsidRPr="00507154">
        <w:rPr>
          <w:rFonts w:asciiTheme="majorHAnsi" w:hAnsiTheme="majorHAnsi"/>
          <w:sz w:val="20"/>
          <w:szCs w:val="20"/>
          <w:lang w:val="es-AR"/>
        </w:rPr>
        <w:t xml:space="preserve">desplazamiento </w:t>
      </w:r>
      <w:r w:rsidR="00F3769B">
        <w:rPr>
          <w:rFonts w:asciiTheme="majorHAnsi" w:hAnsiTheme="majorHAnsi"/>
          <w:sz w:val="20"/>
          <w:szCs w:val="20"/>
          <w:lang w:val="es-AR"/>
        </w:rPr>
        <w:t>interno</w:t>
      </w:r>
      <w:r w:rsidR="00F157C2" w:rsidRPr="00507154">
        <w:rPr>
          <w:rFonts w:asciiTheme="majorHAnsi" w:hAnsiTheme="majorHAnsi"/>
          <w:sz w:val="20"/>
          <w:szCs w:val="20"/>
          <w:lang w:val="es-AR"/>
        </w:rPr>
        <w:t xml:space="preserve"> de los familiares de Freddy Torres</w:t>
      </w:r>
      <w:r w:rsidR="00B940BB">
        <w:rPr>
          <w:rFonts w:asciiTheme="majorHAnsi" w:hAnsiTheme="majorHAnsi"/>
          <w:sz w:val="20"/>
          <w:szCs w:val="20"/>
          <w:lang w:val="es-AR"/>
        </w:rPr>
        <w:t xml:space="preserve"> y de Helvir Antonio Torres</w:t>
      </w:r>
      <w:r w:rsidR="00F157C2" w:rsidRPr="00507154">
        <w:rPr>
          <w:rFonts w:asciiTheme="majorHAnsi" w:hAnsiTheme="majorHAnsi"/>
          <w:sz w:val="20"/>
          <w:szCs w:val="20"/>
          <w:lang w:val="es-AR"/>
        </w:rPr>
        <w:t xml:space="preserve">, como consecuencia de </w:t>
      </w:r>
      <w:r w:rsidR="00F3769B">
        <w:rPr>
          <w:rFonts w:asciiTheme="majorHAnsi" w:hAnsiTheme="majorHAnsi"/>
          <w:sz w:val="20"/>
          <w:szCs w:val="20"/>
          <w:lang w:val="es-AR"/>
        </w:rPr>
        <w:t xml:space="preserve">estos hechos. </w:t>
      </w:r>
    </w:p>
    <w:p w14:paraId="60C7E8CD"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03AE2C7" w14:textId="77777777" w:rsidR="00B917C0" w:rsidRPr="00507154" w:rsidRDefault="009E213B"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8</w:t>
      </w:r>
      <w:r w:rsidR="00197EB7" w:rsidRPr="00507154">
        <w:rPr>
          <w:rFonts w:asciiTheme="majorHAnsi" w:hAnsiTheme="majorHAnsi"/>
          <w:sz w:val="20"/>
          <w:szCs w:val="20"/>
          <w:lang w:val="es-AR"/>
        </w:rPr>
        <w:t xml:space="preserve">. </w:t>
      </w:r>
      <w:r w:rsidR="001C4828">
        <w:rPr>
          <w:rFonts w:asciiTheme="majorHAnsi" w:hAnsiTheme="majorHAnsi"/>
          <w:sz w:val="20"/>
          <w:szCs w:val="20"/>
          <w:lang w:val="es-AR"/>
        </w:rPr>
        <w:tab/>
      </w:r>
      <w:r w:rsidR="00B917C0" w:rsidRPr="00507154">
        <w:rPr>
          <w:rFonts w:asciiTheme="majorHAnsi" w:hAnsiTheme="majorHAnsi"/>
          <w:sz w:val="20"/>
          <w:szCs w:val="20"/>
          <w:lang w:val="es-AR"/>
        </w:rPr>
        <w:t xml:space="preserve">El Estado, en su contestación, afirma que la petición debe ser declarada inadmisible porque </w:t>
      </w:r>
      <w:r w:rsidR="00F97E50" w:rsidRPr="00507154">
        <w:rPr>
          <w:rFonts w:asciiTheme="majorHAnsi" w:hAnsiTheme="majorHAnsi"/>
          <w:sz w:val="20"/>
          <w:szCs w:val="20"/>
          <w:lang w:val="es-AR"/>
        </w:rPr>
        <w:t xml:space="preserve">Colombia </w:t>
      </w:r>
      <w:r w:rsidR="00B917C0" w:rsidRPr="00507154">
        <w:rPr>
          <w:rFonts w:asciiTheme="majorHAnsi" w:hAnsiTheme="majorHAnsi"/>
          <w:sz w:val="20"/>
          <w:szCs w:val="20"/>
          <w:lang w:val="es-AR"/>
        </w:rPr>
        <w:t>ya reparó a las víctimas de este caso</w:t>
      </w:r>
      <w:r w:rsidR="00BB3C62" w:rsidRPr="00507154">
        <w:rPr>
          <w:rFonts w:asciiTheme="majorHAnsi" w:hAnsiTheme="majorHAnsi"/>
          <w:sz w:val="20"/>
          <w:szCs w:val="20"/>
          <w:lang w:val="es-AR"/>
        </w:rPr>
        <w:t xml:space="preserve"> en cumplimiento de una orden judicial</w:t>
      </w:r>
      <w:r w:rsidR="00B917C0" w:rsidRPr="00507154">
        <w:rPr>
          <w:rFonts w:asciiTheme="majorHAnsi" w:hAnsiTheme="majorHAnsi"/>
          <w:sz w:val="20"/>
          <w:szCs w:val="20"/>
          <w:lang w:val="es-AR"/>
        </w:rPr>
        <w:t xml:space="preserve">, y porque la justicia penal </w:t>
      </w:r>
      <w:r w:rsidR="00F97E50" w:rsidRPr="00507154">
        <w:rPr>
          <w:rFonts w:asciiTheme="majorHAnsi" w:hAnsiTheme="majorHAnsi"/>
          <w:sz w:val="20"/>
          <w:szCs w:val="20"/>
          <w:lang w:val="es-AR"/>
        </w:rPr>
        <w:t xml:space="preserve">doméstica </w:t>
      </w:r>
      <w:r w:rsidR="00B917C0" w:rsidRPr="00507154">
        <w:rPr>
          <w:rFonts w:asciiTheme="majorHAnsi" w:hAnsiTheme="majorHAnsi"/>
          <w:sz w:val="20"/>
          <w:szCs w:val="20"/>
          <w:lang w:val="es-AR"/>
        </w:rPr>
        <w:t>está actualmente avanzando en los procesos investigativos y judiciales correspondientes.</w:t>
      </w:r>
      <w:r w:rsidR="00F97E50" w:rsidRPr="00507154">
        <w:rPr>
          <w:rFonts w:asciiTheme="majorHAnsi" w:hAnsiTheme="majorHAnsi"/>
          <w:sz w:val="20"/>
          <w:szCs w:val="20"/>
          <w:lang w:val="es-AR"/>
        </w:rPr>
        <w:t xml:space="preserve"> </w:t>
      </w:r>
      <w:r w:rsidR="00B917C0" w:rsidRPr="00507154">
        <w:rPr>
          <w:rFonts w:asciiTheme="majorHAnsi" w:hAnsiTheme="majorHAnsi"/>
          <w:sz w:val="20"/>
          <w:szCs w:val="20"/>
          <w:lang w:val="es-AR"/>
        </w:rPr>
        <w:t xml:space="preserve"> </w:t>
      </w:r>
    </w:p>
    <w:p w14:paraId="1E1AD21F"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05FBC369" w14:textId="591C52E7" w:rsidR="006E3B9C" w:rsidRDefault="009E213B"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9</w:t>
      </w:r>
      <w:r w:rsidR="00197EB7" w:rsidRPr="00507154">
        <w:rPr>
          <w:rFonts w:asciiTheme="majorHAnsi" w:hAnsiTheme="majorHAnsi"/>
          <w:sz w:val="20"/>
          <w:szCs w:val="20"/>
          <w:lang w:val="es-AR"/>
        </w:rPr>
        <w:t xml:space="preserve">. </w:t>
      </w:r>
      <w:r w:rsidR="001C4828">
        <w:rPr>
          <w:rFonts w:asciiTheme="majorHAnsi" w:hAnsiTheme="majorHAnsi"/>
          <w:sz w:val="20"/>
          <w:szCs w:val="20"/>
          <w:lang w:val="es-AR"/>
        </w:rPr>
        <w:tab/>
      </w:r>
      <w:r w:rsidR="00BB3C62" w:rsidRPr="00507154">
        <w:rPr>
          <w:rFonts w:asciiTheme="majorHAnsi" w:hAnsiTheme="majorHAnsi"/>
          <w:sz w:val="20"/>
          <w:szCs w:val="20"/>
          <w:lang w:val="es-AR"/>
        </w:rPr>
        <w:t>En primer lugar</w:t>
      </w:r>
      <w:r w:rsidR="00A72F91">
        <w:rPr>
          <w:rFonts w:asciiTheme="majorHAnsi" w:hAnsiTheme="majorHAnsi"/>
          <w:sz w:val="20"/>
          <w:szCs w:val="20"/>
          <w:lang w:val="es-AR"/>
        </w:rPr>
        <w:t>,</w:t>
      </w:r>
      <w:r w:rsidR="00BB3C62" w:rsidRPr="00507154">
        <w:rPr>
          <w:rFonts w:asciiTheme="majorHAnsi" w:hAnsiTheme="majorHAnsi"/>
          <w:sz w:val="20"/>
          <w:szCs w:val="20"/>
          <w:lang w:val="es-AR"/>
        </w:rPr>
        <w:t xml:space="preserve"> el Estado infor</w:t>
      </w:r>
      <w:r w:rsidR="00A72F91">
        <w:rPr>
          <w:rFonts w:asciiTheme="majorHAnsi" w:hAnsiTheme="majorHAnsi"/>
          <w:sz w:val="20"/>
          <w:szCs w:val="20"/>
          <w:lang w:val="es-AR"/>
        </w:rPr>
        <w:t>ma que el 16 de octubre de 2008</w:t>
      </w:r>
      <w:r w:rsidR="00BB3C62" w:rsidRPr="00507154">
        <w:rPr>
          <w:rFonts w:asciiTheme="majorHAnsi" w:hAnsiTheme="majorHAnsi"/>
          <w:sz w:val="20"/>
          <w:szCs w:val="20"/>
          <w:lang w:val="es-AR"/>
        </w:rPr>
        <w:t xml:space="preserve"> Freddy Torres, sus familiares</w:t>
      </w:r>
      <w:r w:rsidR="00B940BB">
        <w:rPr>
          <w:rFonts w:asciiTheme="majorHAnsi" w:hAnsiTheme="majorHAnsi"/>
          <w:sz w:val="20"/>
          <w:szCs w:val="20"/>
          <w:lang w:val="es-AR"/>
        </w:rPr>
        <w:t>,</w:t>
      </w:r>
      <w:r w:rsidR="00BB3C62" w:rsidRPr="00507154">
        <w:rPr>
          <w:rFonts w:asciiTheme="majorHAnsi" w:hAnsiTheme="majorHAnsi"/>
          <w:sz w:val="20"/>
          <w:szCs w:val="20"/>
          <w:lang w:val="es-AR"/>
        </w:rPr>
        <w:t xml:space="preserve"> y los parientes de Helvir Antonio Torres presentaron </w:t>
      </w:r>
      <w:r w:rsidR="0089358B">
        <w:rPr>
          <w:rFonts w:asciiTheme="majorHAnsi" w:hAnsiTheme="majorHAnsi"/>
          <w:sz w:val="20"/>
          <w:szCs w:val="20"/>
          <w:lang w:val="es-AR"/>
        </w:rPr>
        <w:t xml:space="preserve">una demanda </w:t>
      </w:r>
      <w:r w:rsidR="00BB3C62" w:rsidRPr="00507154">
        <w:rPr>
          <w:rFonts w:asciiTheme="majorHAnsi" w:hAnsiTheme="majorHAnsi"/>
          <w:sz w:val="20"/>
          <w:szCs w:val="20"/>
          <w:lang w:val="es-AR"/>
        </w:rPr>
        <w:t xml:space="preserve">de reparación directa contra el Ministerio de Defensa Nacional y el Ejército Nacional ante la jurisdicción contencioso-administrativa, buscando que se declarara responsable al Estado colombiano por la ejecución extrajudicial de Helvir Antonio y la tentativa de homicidio de Freddy, así como por los perjuicios de allí derivados para sus familiares. El 16 de julio de 2013 el Juzgado Primero Administrativo de Descongestión del Circuito Judicial de Girardot </w:t>
      </w:r>
      <w:r w:rsidR="002A5CD1">
        <w:rPr>
          <w:rFonts w:asciiTheme="majorHAnsi" w:hAnsiTheme="majorHAnsi"/>
          <w:sz w:val="20"/>
          <w:szCs w:val="20"/>
          <w:lang w:val="es-AR"/>
        </w:rPr>
        <w:t>denegó</w:t>
      </w:r>
      <w:r w:rsidR="00BB3C62" w:rsidRPr="00507154">
        <w:rPr>
          <w:rFonts w:asciiTheme="majorHAnsi" w:hAnsiTheme="majorHAnsi"/>
          <w:sz w:val="20"/>
          <w:szCs w:val="20"/>
          <w:lang w:val="es-AR"/>
        </w:rPr>
        <w:t xml:space="preserve"> las pretensiones por considerar que la acción había caducado</w:t>
      </w:r>
      <w:r w:rsidR="002A5CD1">
        <w:rPr>
          <w:rFonts w:asciiTheme="majorHAnsi" w:hAnsiTheme="majorHAnsi"/>
          <w:sz w:val="20"/>
          <w:szCs w:val="20"/>
          <w:lang w:val="es-AR"/>
        </w:rPr>
        <w:t>, al haber transcurrido más de dos</w:t>
      </w:r>
      <w:r w:rsidR="00BB3C62" w:rsidRPr="00507154">
        <w:rPr>
          <w:rFonts w:asciiTheme="majorHAnsi" w:hAnsiTheme="majorHAnsi"/>
          <w:sz w:val="20"/>
          <w:szCs w:val="20"/>
          <w:lang w:val="es-AR"/>
        </w:rPr>
        <w:t xml:space="preserve"> años entre la fecha de los hechos y la presentación de la demanda. Apelada esta decisión, fue revocada el 7 de mayo de 2015 por el Tribunal Administrativo de Cundinamarca, que resolvió </w:t>
      </w:r>
      <w:r w:rsidR="00FD7FA1">
        <w:rPr>
          <w:rFonts w:asciiTheme="majorHAnsi" w:hAnsiTheme="majorHAnsi"/>
          <w:sz w:val="20"/>
          <w:szCs w:val="20"/>
          <w:lang w:val="es-AR"/>
        </w:rPr>
        <w:t xml:space="preserve">declarar responsable </w:t>
      </w:r>
      <w:r w:rsidR="00BB3C62" w:rsidRPr="00507154">
        <w:rPr>
          <w:rFonts w:asciiTheme="majorHAnsi" w:hAnsiTheme="majorHAnsi"/>
          <w:sz w:val="20"/>
          <w:szCs w:val="20"/>
          <w:lang w:val="es-AR"/>
        </w:rPr>
        <w:t>a la Nación por la ejecución extrajudicial del ciudadano Helvir Antonio Torres y su posterior presentación como u</w:t>
      </w:r>
      <w:r w:rsidR="002A5CD1">
        <w:rPr>
          <w:rFonts w:asciiTheme="majorHAnsi" w:hAnsiTheme="majorHAnsi"/>
          <w:sz w:val="20"/>
          <w:szCs w:val="20"/>
          <w:lang w:val="es-AR"/>
        </w:rPr>
        <w:t>n guerrillero muerto en combate;</w:t>
      </w:r>
      <w:r w:rsidR="00BB3C62" w:rsidRPr="00507154">
        <w:rPr>
          <w:rFonts w:asciiTheme="majorHAnsi" w:hAnsiTheme="majorHAnsi"/>
          <w:sz w:val="20"/>
          <w:szCs w:val="20"/>
          <w:lang w:val="es-AR"/>
        </w:rPr>
        <w:t xml:space="preserve"> y ordenar el pago de indemnizacio</w:t>
      </w:r>
      <w:r w:rsidR="002A5CD1">
        <w:rPr>
          <w:rFonts w:asciiTheme="majorHAnsi" w:hAnsiTheme="majorHAnsi"/>
          <w:sz w:val="20"/>
          <w:szCs w:val="20"/>
          <w:lang w:val="es-AR"/>
        </w:rPr>
        <w:t>nes monetarias a sus familiares;</w:t>
      </w:r>
      <w:r w:rsidR="00BB3C62" w:rsidRPr="00507154">
        <w:rPr>
          <w:rFonts w:asciiTheme="majorHAnsi" w:hAnsiTheme="majorHAnsi"/>
          <w:sz w:val="20"/>
          <w:szCs w:val="20"/>
          <w:lang w:val="es-AR"/>
        </w:rPr>
        <w:t xml:space="preserve"> así como medidas no pecuniarias de resarcimiento del daño</w:t>
      </w:r>
      <w:r w:rsidR="002A5CD1">
        <w:rPr>
          <w:rFonts w:asciiTheme="majorHAnsi" w:hAnsiTheme="majorHAnsi"/>
          <w:sz w:val="20"/>
          <w:szCs w:val="20"/>
          <w:lang w:val="es-AR"/>
        </w:rPr>
        <w:t>,</w:t>
      </w:r>
      <w:r w:rsidR="00BB3C62" w:rsidRPr="00507154">
        <w:rPr>
          <w:rFonts w:asciiTheme="majorHAnsi" w:hAnsiTheme="majorHAnsi"/>
          <w:sz w:val="20"/>
          <w:szCs w:val="20"/>
          <w:lang w:val="es-AR"/>
        </w:rPr>
        <w:t xml:space="preserve"> específicamente un acto público de reconocimiento de responsabilidad y pedido de perdón. El Estado afirma que este fallo ya fue cumplido, puesto que las condenas pecuniarias fueron pagadas, y se realizó un acto público de pedido de perdón y reconocimiento de responsabilidad el 19 de septiembre de 2016, con presencia del Viceministro de Defensa. En vista de lo anterior, el Estado concluye que</w:t>
      </w:r>
      <w:r w:rsidR="006E3B9C">
        <w:rPr>
          <w:rFonts w:asciiTheme="majorHAnsi" w:hAnsiTheme="majorHAnsi"/>
          <w:sz w:val="20"/>
          <w:szCs w:val="20"/>
          <w:lang w:val="es-AR"/>
        </w:rPr>
        <w:t>:</w:t>
      </w:r>
      <w:r w:rsidR="00BB3C62" w:rsidRPr="00507154">
        <w:rPr>
          <w:rFonts w:asciiTheme="majorHAnsi" w:hAnsiTheme="majorHAnsi"/>
          <w:sz w:val="20"/>
          <w:szCs w:val="20"/>
          <w:lang w:val="es-AR"/>
        </w:rPr>
        <w:t xml:space="preserve"> </w:t>
      </w:r>
    </w:p>
    <w:p w14:paraId="268445F3" w14:textId="77777777" w:rsidR="006E3B9C" w:rsidRDefault="006E3B9C"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3B7C3499" w14:textId="77777777" w:rsidR="00BB3C62" w:rsidRPr="00844780" w:rsidRDefault="00BB3C62" w:rsidP="006E3B9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844780">
        <w:rPr>
          <w:rFonts w:asciiTheme="majorHAnsi" w:hAnsiTheme="majorHAnsi"/>
          <w:iCs/>
          <w:sz w:val="18"/>
          <w:szCs w:val="18"/>
          <w:lang w:val="es-AR"/>
        </w:rPr>
        <w:t xml:space="preserve">(a) los recursos adecuados y efectivos dispuestos en la legislación colombiana para reparar a las víctimas de ejecuciones extrajudiciales fueron adelantados diligentemente por los jueces administrativos colombianos. (b) Como resultado de lo anterior, los familiares de Helvir Torres y Freddy Torres fueron reparados integralmente a través de medidas de reparación pecuniarias y no pecuniarias que ya fueron cumplidas. (c) </w:t>
      </w:r>
      <w:r w:rsidR="001E6677" w:rsidRPr="00844780">
        <w:rPr>
          <w:rFonts w:asciiTheme="majorHAnsi" w:hAnsiTheme="majorHAnsi"/>
          <w:iCs/>
          <w:sz w:val="18"/>
          <w:szCs w:val="18"/>
          <w:lang w:val="es-AR"/>
        </w:rPr>
        <w:t>El Estado colombiano realizó un acto público de reconocimiento de responsabilidad por los hechos descritos en el presente trámite internacional</w:t>
      </w:r>
      <w:r w:rsidR="001E6677" w:rsidRPr="00844780">
        <w:rPr>
          <w:rFonts w:asciiTheme="majorHAnsi" w:hAnsiTheme="majorHAnsi"/>
          <w:sz w:val="18"/>
          <w:szCs w:val="18"/>
          <w:lang w:val="es-AR"/>
        </w:rPr>
        <w:t>.</w:t>
      </w:r>
    </w:p>
    <w:p w14:paraId="26FAA9B3"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94D02E1" w14:textId="724D0E2B" w:rsidR="00174435" w:rsidRDefault="009E213B"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10</w:t>
      </w:r>
      <w:r w:rsidR="00197EB7" w:rsidRPr="00507154">
        <w:rPr>
          <w:rFonts w:asciiTheme="majorHAnsi" w:hAnsiTheme="majorHAnsi"/>
          <w:sz w:val="20"/>
          <w:szCs w:val="20"/>
          <w:lang w:val="es-AR"/>
        </w:rPr>
        <w:t xml:space="preserve">. </w:t>
      </w:r>
      <w:r>
        <w:rPr>
          <w:rFonts w:asciiTheme="majorHAnsi" w:hAnsiTheme="majorHAnsi"/>
          <w:sz w:val="20"/>
          <w:szCs w:val="20"/>
          <w:lang w:val="es-AR"/>
        </w:rPr>
        <w:tab/>
      </w:r>
      <w:r w:rsidR="001E6677" w:rsidRPr="00507154">
        <w:rPr>
          <w:rFonts w:asciiTheme="majorHAnsi" w:hAnsiTheme="majorHAnsi"/>
          <w:sz w:val="20"/>
          <w:szCs w:val="20"/>
          <w:lang w:val="es-AR"/>
        </w:rPr>
        <w:t xml:space="preserve">En segundo lugar, el Estado afirma que </w:t>
      </w:r>
      <w:r w:rsidR="009D4353" w:rsidRPr="00507154">
        <w:rPr>
          <w:rFonts w:asciiTheme="majorHAnsi" w:hAnsiTheme="majorHAnsi"/>
          <w:sz w:val="20"/>
          <w:szCs w:val="20"/>
          <w:lang w:val="es-AR"/>
        </w:rPr>
        <w:t xml:space="preserve">por los </w:t>
      </w:r>
      <w:r w:rsidR="00472567">
        <w:rPr>
          <w:rFonts w:asciiTheme="majorHAnsi" w:hAnsiTheme="majorHAnsi"/>
          <w:sz w:val="20"/>
          <w:szCs w:val="20"/>
          <w:lang w:val="es-AR"/>
        </w:rPr>
        <w:t>hechos descritos en la petición</w:t>
      </w:r>
      <w:r w:rsidR="009D4353" w:rsidRPr="00507154">
        <w:rPr>
          <w:rFonts w:asciiTheme="majorHAnsi" w:hAnsiTheme="majorHAnsi"/>
          <w:sz w:val="20"/>
          <w:szCs w:val="20"/>
          <w:lang w:val="es-AR"/>
        </w:rPr>
        <w:t xml:space="preserve"> la Fiscalía General de la Nación inició dos investigaciones penales: una </w:t>
      </w:r>
      <w:r w:rsidR="00472567">
        <w:rPr>
          <w:rFonts w:asciiTheme="majorHAnsi" w:hAnsiTheme="majorHAnsi"/>
          <w:sz w:val="20"/>
          <w:szCs w:val="20"/>
          <w:lang w:val="es-AR"/>
        </w:rPr>
        <w:t xml:space="preserve">(radicado </w:t>
      </w:r>
      <w:r w:rsidR="009D4353" w:rsidRPr="00507154">
        <w:rPr>
          <w:rFonts w:asciiTheme="majorHAnsi" w:hAnsiTheme="majorHAnsi"/>
          <w:sz w:val="20"/>
          <w:szCs w:val="20"/>
          <w:lang w:val="es-AR"/>
        </w:rPr>
        <w:t>No. 4015</w:t>
      </w:r>
      <w:r w:rsidR="00472567">
        <w:rPr>
          <w:rFonts w:asciiTheme="majorHAnsi" w:hAnsiTheme="majorHAnsi"/>
          <w:sz w:val="20"/>
          <w:szCs w:val="20"/>
          <w:lang w:val="es-AR"/>
        </w:rPr>
        <w:t>)</w:t>
      </w:r>
      <w:r w:rsidR="009D4353" w:rsidRPr="00507154">
        <w:rPr>
          <w:rFonts w:asciiTheme="majorHAnsi" w:hAnsiTheme="majorHAnsi"/>
          <w:sz w:val="20"/>
          <w:szCs w:val="20"/>
          <w:lang w:val="es-AR"/>
        </w:rPr>
        <w:t xml:space="preserve"> por el homicidio de Helvir Torres y la tentativa de homicidio de Freddy Torres, actualmente en curso; y otra por las amenazas y el atentado sufridos</w:t>
      </w:r>
      <w:r w:rsidR="0000304A">
        <w:rPr>
          <w:rFonts w:asciiTheme="majorHAnsi" w:hAnsiTheme="majorHAnsi"/>
          <w:sz w:val="20"/>
          <w:szCs w:val="20"/>
          <w:lang w:val="es-AR"/>
        </w:rPr>
        <w:t xml:space="preserve"> posteriormente</w:t>
      </w:r>
      <w:r w:rsidR="009D4353" w:rsidRPr="00507154">
        <w:rPr>
          <w:rFonts w:asciiTheme="majorHAnsi" w:hAnsiTheme="majorHAnsi"/>
          <w:sz w:val="20"/>
          <w:szCs w:val="20"/>
          <w:lang w:val="es-AR"/>
        </w:rPr>
        <w:t xml:space="preserve"> por Freddy Torres, que fue archivada. En cuanto a la investigación No. 4015, después de hacer un recuento del procesamiento que se dio al caso en la justicia penal militar y del traslado del proceso a la justicia penal ordinaria </w:t>
      </w:r>
      <w:r w:rsidR="00472567">
        <w:rPr>
          <w:rFonts w:asciiTheme="majorHAnsi" w:hAnsiTheme="majorHAnsi"/>
          <w:sz w:val="20"/>
          <w:szCs w:val="20"/>
          <w:lang w:val="es-AR"/>
        </w:rPr>
        <w:t>–</w:t>
      </w:r>
      <w:r w:rsidR="009D4353" w:rsidRPr="00507154">
        <w:rPr>
          <w:rFonts w:asciiTheme="majorHAnsi" w:hAnsiTheme="majorHAnsi"/>
          <w:sz w:val="20"/>
          <w:szCs w:val="20"/>
          <w:lang w:val="es-AR"/>
        </w:rPr>
        <w:t>en los mismos términos en que lo describió la parte peticionaria</w:t>
      </w:r>
      <w:r w:rsidR="00472567">
        <w:rPr>
          <w:rFonts w:asciiTheme="majorHAnsi" w:hAnsiTheme="majorHAnsi"/>
          <w:sz w:val="20"/>
          <w:szCs w:val="20"/>
          <w:lang w:val="es-AR"/>
        </w:rPr>
        <w:t>–</w:t>
      </w:r>
      <w:r w:rsidR="009D4353" w:rsidRPr="00507154">
        <w:rPr>
          <w:rFonts w:asciiTheme="majorHAnsi" w:hAnsiTheme="majorHAnsi"/>
          <w:sz w:val="20"/>
          <w:szCs w:val="20"/>
          <w:lang w:val="es-AR"/>
        </w:rPr>
        <w:t xml:space="preserve">, el Estado </w:t>
      </w:r>
      <w:r w:rsidR="008F575E" w:rsidRPr="00507154">
        <w:rPr>
          <w:rFonts w:asciiTheme="majorHAnsi" w:hAnsiTheme="majorHAnsi"/>
          <w:sz w:val="20"/>
          <w:szCs w:val="20"/>
          <w:lang w:val="es-AR"/>
        </w:rPr>
        <w:t>informa que la Fiscalía General de la Nación ha realizado entre 2006 y 2012 las siguientes actuaciones relevantes: (i) se han recaudado numerosas pruebas testimoniales, documentales, forenses, técnicas, balísticas y otras; (ii) se vinculó al proceso mediante indagatoria al Teniente Coronel del Batallón No. 39, al Comandante del Pelotón que realizó la supuesta operación contraguerrillera, a los dos Cabos Segundos conocidos como alias “el costeño” y alias “el paisa”, así como a otros tres miembros del Ejército; y (iii) algunos familiares de Helvir Antonio y Freddy se constituyeron como parte civil en el proceso. El 31 de diciembre de 2012 se profirió resolución en la que se definió la situación jurídica del Teniente Coronel del Batallón 39 y del Comandante del Pelotón, imponiéndoles la medida de aseguramiento de detenci</w:t>
      </w:r>
      <w:r w:rsidR="0089358B">
        <w:rPr>
          <w:rFonts w:asciiTheme="majorHAnsi" w:hAnsiTheme="majorHAnsi"/>
          <w:sz w:val="20"/>
          <w:szCs w:val="20"/>
          <w:lang w:val="es-AR"/>
        </w:rPr>
        <w:t>ón</w:t>
      </w:r>
      <w:r w:rsidR="008F575E" w:rsidRPr="00507154">
        <w:rPr>
          <w:rFonts w:asciiTheme="majorHAnsi" w:hAnsiTheme="majorHAnsi"/>
          <w:sz w:val="20"/>
          <w:szCs w:val="20"/>
          <w:lang w:val="es-AR"/>
        </w:rPr>
        <w:t xml:space="preserve"> preventiva en centro carcelario; también se expidieron órdenes de captura contra cuatro militares. Más adelante, el 18 de junio de 2013 </w:t>
      </w:r>
      <w:r w:rsidR="0000304A">
        <w:rPr>
          <w:rFonts w:asciiTheme="majorHAnsi" w:hAnsiTheme="majorHAnsi"/>
          <w:sz w:val="20"/>
          <w:szCs w:val="20"/>
          <w:lang w:val="es-AR"/>
        </w:rPr>
        <w:t xml:space="preserve">dicho </w:t>
      </w:r>
      <w:r w:rsidR="008F575E" w:rsidRPr="00507154">
        <w:rPr>
          <w:rFonts w:asciiTheme="majorHAnsi" w:hAnsiTheme="majorHAnsi"/>
          <w:sz w:val="20"/>
          <w:szCs w:val="20"/>
          <w:lang w:val="es-AR"/>
        </w:rPr>
        <w:t xml:space="preserve">Teniente Coronel, </w:t>
      </w:r>
      <w:r w:rsidR="0000304A">
        <w:rPr>
          <w:rFonts w:asciiTheme="majorHAnsi" w:hAnsiTheme="majorHAnsi"/>
          <w:sz w:val="20"/>
          <w:szCs w:val="20"/>
          <w:lang w:val="es-AR"/>
        </w:rPr>
        <w:t xml:space="preserve">llamado </w:t>
      </w:r>
      <w:r w:rsidR="008F575E" w:rsidRPr="00507154">
        <w:rPr>
          <w:rFonts w:asciiTheme="majorHAnsi" w:hAnsiTheme="majorHAnsi"/>
          <w:sz w:val="20"/>
          <w:szCs w:val="20"/>
          <w:lang w:val="es-AR"/>
        </w:rPr>
        <w:t xml:space="preserve">Luis Fernando Borja Aristizábal, solicitó a la Fiscalía que se le citara a audiencia para aceptar los cargos que le estaban siendo imputados y acogerse a sentencia anticipada; esta diligencia de aceptación de cargos se realizó el 12 de diciembre de 2013, y en el curso de la misma el Teniente Borja admitió la acusación efectuada por la Fiscalía en el sentido de que </w:t>
      </w:r>
      <w:r w:rsidR="008F575E" w:rsidRPr="0000304A">
        <w:rPr>
          <w:rFonts w:asciiTheme="majorHAnsi" w:hAnsiTheme="majorHAnsi"/>
          <w:i/>
          <w:iCs/>
          <w:sz w:val="20"/>
          <w:szCs w:val="20"/>
          <w:lang w:val="es-AR"/>
        </w:rPr>
        <w:t>“la muerte del señor Helvir Torres había sido resultado de un plan de engaño ideado por él y otros miembros del Batallón 39 para asesinar a Helvir Torres y Freddy Torres y después presentarlos como guerrilleros de las FARC dados de baja en combate”</w:t>
      </w:r>
      <w:r w:rsidR="008F575E" w:rsidRPr="00507154">
        <w:rPr>
          <w:rFonts w:asciiTheme="majorHAnsi" w:hAnsiTheme="majorHAnsi"/>
          <w:sz w:val="20"/>
          <w:szCs w:val="20"/>
          <w:lang w:val="es-AR"/>
        </w:rPr>
        <w:t xml:space="preserve">; por esto </w:t>
      </w:r>
      <w:r w:rsidR="00937256">
        <w:rPr>
          <w:rFonts w:asciiTheme="majorHAnsi" w:hAnsiTheme="majorHAnsi"/>
          <w:sz w:val="20"/>
          <w:szCs w:val="20"/>
          <w:lang w:val="es-AR"/>
        </w:rPr>
        <w:t xml:space="preserve">se </w:t>
      </w:r>
      <w:r w:rsidR="008F575E" w:rsidRPr="00507154">
        <w:rPr>
          <w:rFonts w:asciiTheme="majorHAnsi" w:hAnsiTheme="majorHAnsi"/>
          <w:sz w:val="20"/>
          <w:szCs w:val="20"/>
          <w:lang w:val="es-AR"/>
        </w:rPr>
        <w:t>le imput</w:t>
      </w:r>
      <w:r w:rsidR="00937256">
        <w:rPr>
          <w:rFonts w:asciiTheme="majorHAnsi" w:hAnsiTheme="majorHAnsi"/>
          <w:sz w:val="20"/>
          <w:szCs w:val="20"/>
          <w:lang w:val="es-AR"/>
        </w:rPr>
        <w:t>aron</w:t>
      </w:r>
      <w:r w:rsidR="008F575E" w:rsidRPr="00507154">
        <w:rPr>
          <w:rFonts w:asciiTheme="majorHAnsi" w:hAnsiTheme="majorHAnsi"/>
          <w:sz w:val="20"/>
          <w:szCs w:val="20"/>
          <w:lang w:val="es-AR"/>
        </w:rPr>
        <w:t xml:space="preserve"> los delitos de homicidio agravado contra Helvir Antonio Torres y tentativa de homicidio agravado contra Freddy Torres. Dada esta aceptación de cargos, el 27 de febrero de 2015 el Juzgado Penal del Circuito de Fusagasugá profirió sentencia anticipada contra Luis Fernando Borja, condenándolo a 22 años y 2 meses de prisión, y al pago de perjuicios a los familiares de las víctimas. El Estado también informa que los demás implicados en los hechos y </w:t>
      </w:r>
      <w:r w:rsidR="008F575E" w:rsidRPr="00507154">
        <w:rPr>
          <w:rFonts w:asciiTheme="majorHAnsi" w:hAnsiTheme="majorHAnsi"/>
          <w:sz w:val="20"/>
          <w:szCs w:val="20"/>
          <w:lang w:val="es-AR"/>
        </w:rPr>
        <w:lastRenderedPageBreak/>
        <w:t xml:space="preserve">vinculados a la investigación penal, en particular los militares conocidos como alias “el paisa” y “el costeño” siguen vinculados a la investigación, y frente a ellos la Fiscalía continúa recaudando pruebas con miras a su eventual enjuiciamiento. </w:t>
      </w:r>
    </w:p>
    <w:p w14:paraId="1A745D30" w14:textId="77777777" w:rsidR="00174435" w:rsidRDefault="00174435"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D27C031" w14:textId="77777777" w:rsidR="00B917C0" w:rsidRPr="00507154" w:rsidRDefault="00174435"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11.</w:t>
      </w:r>
      <w:r>
        <w:rPr>
          <w:rFonts w:asciiTheme="majorHAnsi" w:hAnsiTheme="majorHAnsi"/>
          <w:sz w:val="20"/>
          <w:szCs w:val="20"/>
          <w:lang w:val="es-AR"/>
        </w:rPr>
        <w:tab/>
      </w:r>
      <w:r w:rsidR="008F575E" w:rsidRPr="00507154">
        <w:rPr>
          <w:rFonts w:asciiTheme="majorHAnsi" w:hAnsiTheme="majorHAnsi"/>
          <w:sz w:val="20"/>
          <w:szCs w:val="20"/>
          <w:lang w:val="es-AR"/>
        </w:rPr>
        <w:t xml:space="preserve">Por otra parte, en cuanto a la investigación a la que dio pie la denuncia interpuesta por Freddy Torres sobre la realización de un atentado con arma de fuego en su contra en febrero de 2007, el Estado </w:t>
      </w:r>
      <w:r>
        <w:rPr>
          <w:rFonts w:asciiTheme="majorHAnsi" w:hAnsiTheme="majorHAnsi"/>
          <w:sz w:val="20"/>
          <w:szCs w:val="20"/>
          <w:lang w:val="es-AR"/>
        </w:rPr>
        <w:t>indica</w:t>
      </w:r>
      <w:r w:rsidR="008F575E" w:rsidRPr="00507154">
        <w:rPr>
          <w:rFonts w:asciiTheme="majorHAnsi" w:hAnsiTheme="majorHAnsi"/>
          <w:sz w:val="20"/>
          <w:szCs w:val="20"/>
          <w:lang w:val="es-AR"/>
        </w:rPr>
        <w:t xml:space="preserve"> que dicha investigación fue archivada sin que la presunta víctima hubiera </w:t>
      </w:r>
      <w:r w:rsidR="00C9572D" w:rsidRPr="00507154">
        <w:rPr>
          <w:rFonts w:asciiTheme="majorHAnsi" w:hAnsiTheme="majorHAnsi"/>
          <w:sz w:val="20"/>
          <w:szCs w:val="20"/>
          <w:lang w:val="es-AR"/>
        </w:rPr>
        <w:t>recurrido la decisión de archivo.</w:t>
      </w:r>
      <w:r w:rsidR="000106A8" w:rsidRPr="00507154">
        <w:rPr>
          <w:rFonts w:asciiTheme="majorHAnsi" w:hAnsiTheme="majorHAnsi"/>
          <w:sz w:val="20"/>
          <w:szCs w:val="20"/>
          <w:lang w:val="es-AR"/>
        </w:rPr>
        <w:t xml:space="preserve"> Adicionalmente, el Estado informa que la Procuraduría General de la Nación inició una investigación disciplinaria contra cuatro militares por los hechos en julio de 2007, investigación que actualmente estaría en curso luego de que el 29 de octubre de 2010 la Procuraduría Delegada para la Defensa de los Derechos Humanos profiriera auto de formulación de cargos contra los investigados por haber incurrido en una falta disciplinaria grave consistente en la presunta violación del derecho internacional humanitario.</w:t>
      </w:r>
    </w:p>
    <w:p w14:paraId="79051C1F"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414C912" w14:textId="77777777" w:rsidR="00DE25B2" w:rsidRDefault="00174435"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12</w:t>
      </w:r>
      <w:r w:rsidR="00197EB7" w:rsidRPr="00507154">
        <w:rPr>
          <w:rFonts w:asciiTheme="majorHAnsi" w:hAnsiTheme="majorHAnsi"/>
          <w:sz w:val="20"/>
          <w:szCs w:val="20"/>
          <w:lang w:val="es-AR"/>
        </w:rPr>
        <w:t xml:space="preserve">. </w:t>
      </w:r>
      <w:r>
        <w:rPr>
          <w:rFonts w:asciiTheme="majorHAnsi" w:hAnsiTheme="majorHAnsi"/>
          <w:sz w:val="20"/>
          <w:szCs w:val="20"/>
          <w:lang w:val="es-AR"/>
        </w:rPr>
        <w:tab/>
      </w:r>
      <w:r w:rsidR="000106A8" w:rsidRPr="00507154">
        <w:rPr>
          <w:rFonts w:asciiTheme="majorHAnsi" w:hAnsiTheme="majorHAnsi"/>
          <w:sz w:val="20"/>
          <w:szCs w:val="20"/>
          <w:lang w:val="es-AR"/>
        </w:rPr>
        <w:t>Con base en lo anterior, el Estado afirma que</w:t>
      </w:r>
      <w:r w:rsidR="00DE25B2">
        <w:rPr>
          <w:rFonts w:asciiTheme="majorHAnsi" w:hAnsiTheme="majorHAnsi"/>
          <w:sz w:val="20"/>
          <w:szCs w:val="20"/>
          <w:lang w:val="es-AR"/>
        </w:rPr>
        <w:t>:</w:t>
      </w:r>
      <w:r w:rsidR="000106A8" w:rsidRPr="00507154">
        <w:rPr>
          <w:rFonts w:asciiTheme="majorHAnsi" w:hAnsiTheme="majorHAnsi"/>
          <w:sz w:val="20"/>
          <w:szCs w:val="20"/>
          <w:lang w:val="es-AR"/>
        </w:rPr>
        <w:t xml:space="preserve"> </w:t>
      </w:r>
    </w:p>
    <w:p w14:paraId="3C72A276" w14:textId="77777777" w:rsidR="00DE25B2" w:rsidRDefault="00DE25B2"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14CF6A6D" w14:textId="77777777" w:rsidR="00DE25B2" w:rsidRPr="00DE25B2" w:rsidRDefault="00DE25B2" w:rsidP="00DE25B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DE25B2">
        <w:rPr>
          <w:rFonts w:asciiTheme="majorHAnsi" w:hAnsiTheme="majorHAnsi"/>
          <w:iCs/>
          <w:sz w:val="18"/>
          <w:szCs w:val="18"/>
          <w:lang w:val="es-US"/>
        </w:rPr>
        <w:t>[L</w:t>
      </w:r>
      <w:r w:rsidRPr="00DE25B2">
        <w:rPr>
          <w:rFonts w:asciiTheme="majorHAnsi" w:hAnsiTheme="majorHAnsi"/>
          <w:iCs/>
          <w:sz w:val="18"/>
          <w:szCs w:val="18"/>
          <w:lang w:val="es-AR"/>
        </w:rPr>
        <w:t>]</w:t>
      </w:r>
      <w:r w:rsidR="000106A8" w:rsidRPr="00DE25B2">
        <w:rPr>
          <w:rFonts w:asciiTheme="majorHAnsi" w:hAnsiTheme="majorHAnsi"/>
          <w:iCs/>
          <w:sz w:val="18"/>
          <w:szCs w:val="18"/>
          <w:lang w:val="es-AR"/>
        </w:rPr>
        <w:t>a jurisdicción nacional ya ha desplegado las acciones necesarias para que se sancionen y se reparen las vulneraciones a la CADH alegadas por los peticionarios. Tal afirmación, encuentra fundamento en los fallos proferidos por el Juzgado del Circuito de Fusagasugá y el Tribunal Administrativo de Cundinamarca. Mediante dichas providencias, el Estado resolvió de manera definitiva las violaciones derivadas del asesinato del señor Helvir Torres y la tentativa de homicidio de Freddy Torres, conforme c</w:t>
      </w:r>
      <w:r w:rsidRPr="00DE25B2">
        <w:rPr>
          <w:rFonts w:asciiTheme="majorHAnsi" w:hAnsiTheme="majorHAnsi"/>
          <w:iCs/>
          <w:sz w:val="18"/>
          <w:szCs w:val="18"/>
          <w:lang w:val="es-AR"/>
        </w:rPr>
        <w:t>on las garantías convencionales</w:t>
      </w:r>
      <w:r w:rsidR="000106A8" w:rsidRPr="00DE25B2">
        <w:rPr>
          <w:rFonts w:asciiTheme="majorHAnsi" w:hAnsiTheme="majorHAnsi"/>
          <w:sz w:val="18"/>
          <w:szCs w:val="18"/>
          <w:lang w:val="es-AR"/>
        </w:rPr>
        <w:t xml:space="preserve">. </w:t>
      </w:r>
    </w:p>
    <w:p w14:paraId="74329E1A" w14:textId="77777777" w:rsidR="00DE25B2" w:rsidRDefault="00DE25B2" w:rsidP="00DE25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4E848B9" w14:textId="77777777" w:rsidR="000106A8" w:rsidRPr="00507154" w:rsidRDefault="000106A8" w:rsidP="00DE25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507154">
        <w:rPr>
          <w:rFonts w:asciiTheme="majorHAnsi" w:hAnsiTheme="majorHAnsi"/>
          <w:sz w:val="20"/>
          <w:szCs w:val="20"/>
          <w:lang w:val="es-AR"/>
        </w:rPr>
        <w:t>En esta línea, alega que la CIDH no puede entrar a revisar de nuevo estas dos decisiones judiciales domésticas, que fueron respetuosas de los derechos humanos y no han sido controvertidas nacional o internacionalmente por las víctimas, so riesgo de incurrir en la figura de la cuarta instancia. Precisan al respecto que la sentencia penal condenatoria del Teniente Coronel Luis Fernando Borja Aristizabal no solamente condenó al máximo responsable del crimen, sino que además esclareció las circunstancias de tiempo, modo y lugar en que el homicidio y la tentativa de homicidio se cometieron, señalando las inconsistencias en las declaraciones de los miembros de la fuerza pública y desmintiendo la veracidad de la falsa orden de operaciones y los informes de operaciones de la Compañía Corcel. Frente a esta sentencia las víctimas no interpusieron ningún recurso, y además la investigación penal continúa con respecto a los demás posibles responsables, incluyendo a alias “el paisa” y alias “el costeño”. A este respecto</w:t>
      </w:r>
      <w:r w:rsidR="00F01A9A">
        <w:rPr>
          <w:rFonts w:asciiTheme="majorHAnsi" w:hAnsiTheme="majorHAnsi"/>
          <w:sz w:val="20"/>
          <w:szCs w:val="20"/>
          <w:lang w:val="es-AR"/>
        </w:rPr>
        <w:t>,</w:t>
      </w:r>
      <w:r w:rsidRPr="00507154">
        <w:rPr>
          <w:rFonts w:asciiTheme="majorHAnsi" w:hAnsiTheme="majorHAnsi"/>
          <w:sz w:val="20"/>
          <w:szCs w:val="20"/>
          <w:lang w:val="es-AR"/>
        </w:rPr>
        <w:t xml:space="preserve"> el Estado argumenta que, con base en la jurisprudencia de la Corte Interamericana, </w:t>
      </w:r>
      <w:r w:rsidR="00204784" w:rsidRPr="00507154">
        <w:rPr>
          <w:rFonts w:asciiTheme="majorHAnsi" w:hAnsiTheme="majorHAnsi"/>
          <w:sz w:val="20"/>
          <w:szCs w:val="20"/>
          <w:lang w:val="es-AR"/>
        </w:rPr>
        <w:t>no se activa la competencia subsidiaria de los órganos del SIDH cuando el Estado ha omitido procesar a todos los responsables de un determinado crimen, si ese Estado ha obrado de manera diligente frente al esclarecimiento de los hechos, la sanción de los principales responsables, y la reparación de las víctimas</w:t>
      </w:r>
      <w:r w:rsidR="00DF259D">
        <w:rPr>
          <w:rFonts w:asciiTheme="majorHAnsi" w:hAnsiTheme="majorHAnsi"/>
          <w:sz w:val="20"/>
          <w:szCs w:val="20"/>
          <w:lang w:val="es-AR"/>
        </w:rPr>
        <w:t xml:space="preserve">. </w:t>
      </w:r>
    </w:p>
    <w:p w14:paraId="6E3AD605"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62315E79" w14:textId="77777777" w:rsidR="00381F46" w:rsidRPr="00127B48" w:rsidRDefault="00DF259D" w:rsidP="00127B4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13</w:t>
      </w:r>
      <w:r w:rsidR="00197EB7" w:rsidRPr="00507154">
        <w:rPr>
          <w:rFonts w:asciiTheme="majorHAnsi" w:hAnsiTheme="majorHAnsi"/>
          <w:sz w:val="20"/>
          <w:szCs w:val="20"/>
          <w:lang w:val="es-AR"/>
        </w:rPr>
        <w:t xml:space="preserve">. </w:t>
      </w:r>
      <w:r>
        <w:rPr>
          <w:rFonts w:asciiTheme="majorHAnsi" w:hAnsiTheme="majorHAnsi"/>
          <w:sz w:val="20"/>
          <w:szCs w:val="20"/>
          <w:lang w:val="es-AR"/>
        </w:rPr>
        <w:tab/>
      </w:r>
      <w:r w:rsidR="008C22EE" w:rsidRPr="00507154">
        <w:rPr>
          <w:rFonts w:asciiTheme="majorHAnsi" w:hAnsiTheme="majorHAnsi"/>
          <w:sz w:val="20"/>
          <w:szCs w:val="20"/>
          <w:lang w:val="es-AR"/>
        </w:rPr>
        <w:t>En sus observaciones adicionales a la respuesta del Estado, los peticionarios informan que el fallo del Tribunal Administrativo de Cundinamarca del 7 de mayo de 2015</w:t>
      </w:r>
      <w:r>
        <w:rPr>
          <w:rFonts w:asciiTheme="majorHAnsi" w:hAnsiTheme="majorHAnsi"/>
          <w:sz w:val="20"/>
          <w:szCs w:val="20"/>
          <w:lang w:val="es-AR"/>
        </w:rPr>
        <w:t>,</w:t>
      </w:r>
      <w:r w:rsidR="008C22EE" w:rsidRPr="00507154">
        <w:rPr>
          <w:rFonts w:asciiTheme="majorHAnsi" w:hAnsiTheme="majorHAnsi"/>
          <w:sz w:val="20"/>
          <w:szCs w:val="20"/>
          <w:lang w:val="es-AR"/>
        </w:rPr>
        <w:t xml:space="preserve"> que ordenó el pago de reparaciones económicas a los familiares de las víctimas no ha sido cumplido aún. También argumentan que </w:t>
      </w:r>
      <w:r w:rsidR="008C22EE" w:rsidRPr="00507154">
        <w:rPr>
          <w:rFonts w:asciiTheme="majorHAnsi" w:hAnsiTheme="majorHAnsi"/>
          <w:i/>
          <w:iCs/>
          <w:sz w:val="20"/>
          <w:szCs w:val="20"/>
          <w:lang w:val="es-AR"/>
        </w:rPr>
        <w:t>“sin desconocer las medidas de satisfacción ordenadas por el Tribunal Administrativo, es importante que la Comisión pueda dictar órdenes que contemplen las dimensiones de rehabilitación y garantías de no repetición, así como órdenes de indemnización respecto de víctimas y afectaciones no reconocidas en el fallo administrativo”</w:t>
      </w:r>
      <w:r w:rsidR="00127B48">
        <w:rPr>
          <w:rFonts w:asciiTheme="majorHAnsi" w:hAnsiTheme="majorHAnsi"/>
          <w:sz w:val="20"/>
          <w:szCs w:val="20"/>
          <w:lang w:val="es-AR"/>
        </w:rPr>
        <w:t>.</w:t>
      </w:r>
    </w:p>
    <w:p w14:paraId="0FA6A5D7" w14:textId="77777777" w:rsidR="00127B48" w:rsidRPr="004B0FED" w:rsidRDefault="00127B48" w:rsidP="00127B48">
      <w:pPr>
        <w:jc w:val="both"/>
        <w:rPr>
          <w:rFonts w:asciiTheme="majorHAnsi" w:eastAsia="Cambria" w:hAnsiTheme="majorHAnsi" w:cs="Cambria"/>
          <w:b/>
          <w:bCs/>
          <w:color w:val="000000"/>
          <w:sz w:val="20"/>
          <w:szCs w:val="20"/>
          <w:u w:color="000000"/>
          <w:lang w:val="es-AR" w:eastAsia="es-ES"/>
        </w:rPr>
      </w:pPr>
    </w:p>
    <w:p w14:paraId="0734F2C4" w14:textId="77777777" w:rsidR="003239B8" w:rsidRPr="00507154" w:rsidRDefault="003239B8" w:rsidP="00507154">
      <w:pPr>
        <w:ind w:firstLine="720"/>
        <w:jc w:val="both"/>
        <w:rPr>
          <w:rFonts w:asciiTheme="majorHAnsi" w:hAnsiTheme="majorHAnsi"/>
          <w:sz w:val="20"/>
          <w:szCs w:val="20"/>
          <w:lang w:val="es-UY"/>
        </w:rPr>
      </w:pPr>
      <w:r w:rsidRPr="00507154">
        <w:rPr>
          <w:rFonts w:asciiTheme="majorHAnsi" w:eastAsia="Cambria" w:hAnsiTheme="majorHAnsi" w:cs="Cambria"/>
          <w:b/>
          <w:bCs/>
          <w:color w:val="000000"/>
          <w:sz w:val="20"/>
          <w:szCs w:val="20"/>
          <w:u w:color="000000"/>
          <w:lang w:val="es-ES" w:eastAsia="es-ES"/>
        </w:rPr>
        <w:t>VI.</w:t>
      </w:r>
      <w:r w:rsidRPr="00507154">
        <w:rPr>
          <w:rFonts w:asciiTheme="majorHAnsi" w:eastAsia="Cambria" w:hAnsiTheme="majorHAnsi" w:cs="Cambria"/>
          <w:b/>
          <w:bCs/>
          <w:color w:val="000000"/>
          <w:sz w:val="20"/>
          <w:szCs w:val="20"/>
          <w:u w:color="000000"/>
          <w:lang w:val="es-ES" w:eastAsia="es-ES"/>
        </w:rPr>
        <w:tab/>
      </w:r>
      <w:r w:rsidR="004A6A54" w:rsidRPr="00507154">
        <w:rPr>
          <w:rFonts w:asciiTheme="majorHAnsi" w:hAnsiTheme="majorHAnsi"/>
          <w:b/>
          <w:bCs/>
          <w:sz w:val="20"/>
          <w:szCs w:val="20"/>
          <w:lang w:val="es-ES_tradnl"/>
        </w:rPr>
        <w:t xml:space="preserve">ANÁLISIS DE </w:t>
      </w:r>
      <w:r w:rsidR="00C21FEF" w:rsidRPr="00507154">
        <w:rPr>
          <w:rFonts w:asciiTheme="majorHAnsi" w:hAnsiTheme="majorHAnsi"/>
          <w:b/>
          <w:sz w:val="20"/>
          <w:szCs w:val="20"/>
          <w:lang w:val="es-ES"/>
        </w:rPr>
        <w:t>AGOTAMIENTO DE LOS RECURSOS INTERNOS Y PLAZO DE PRESENTACIÓN</w:t>
      </w:r>
      <w:r w:rsidR="00C21FEF" w:rsidRPr="00507154">
        <w:rPr>
          <w:rFonts w:asciiTheme="majorHAnsi" w:eastAsia="Cambria" w:hAnsiTheme="majorHAnsi" w:cs="Cambria"/>
          <w:b/>
          <w:bCs/>
          <w:color w:val="000000"/>
          <w:sz w:val="20"/>
          <w:szCs w:val="20"/>
          <w:u w:color="000000"/>
          <w:lang w:val="es-ES" w:eastAsia="es-ES"/>
        </w:rPr>
        <w:t xml:space="preserve"> </w:t>
      </w:r>
    </w:p>
    <w:p w14:paraId="1551EB86"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2C52E81" w14:textId="77777777" w:rsidR="00F80EE8" w:rsidRPr="00205406" w:rsidRDefault="0051183C" w:rsidP="002054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Pr>
          <w:rFonts w:asciiTheme="majorHAnsi" w:hAnsiTheme="majorHAnsi"/>
          <w:sz w:val="20"/>
          <w:szCs w:val="20"/>
          <w:lang w:val="es-ES_tradnl"/>
        </w:rPr>
        <w:t>14.</w:t>
      </w:r>
      <w:r>
        <w:rPr>
          <w:rFonts w:asciiTheme="majorHAnsi" w:hAnsiTheme="majorHAnsi"/>
          <w:sz w:val="20"/>
          <w:szCs w:val="20"/>
          <w:lang w:val="es-ES_tradnl"/>
        </w:rPr>
        <w:tab/>
        <w:t xml:space="preserve">En primer lugar, la CIDH recuerda su posición constante según la cual </w:t>
      </w:r>
      <w:r w:rsidR="00F80EE8" w:rsidRPr="00507154">
        <w:rPr>
          <w:rFonts w:asciiTheme="majorHAnsi" w:hAnsiTheme="majorHAnsi"/>
          <w:sz w:val="20"/>
          <w:szCs w:val="20"/>
          <w:lang w:val="es-ES_tradnl"/>
        </w:rPr>
        <w:t>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F80EE8" w:rsidRPr="00507154">
        <w:rPr>
          <w:rStyle w:val="FootnoteReference"/>
          <w:rFonts w:asciiTheme="majorHAnsi" w:hAnsiTheme="majorHAnsi"/>
          <w:sz w:val="20"/>
          <w:szCs w:val="20"/>
          <w:lang w:val="es-ES_tradnl"/>
        </w:rPr>
        <w:footnoteReference w:id="5"/>
      </w:r>
      <w:r w:rsidR="00815FAE">
        <w:rPr>
          <w:rFonts w:asciiTheme="majorHAnsi" w:hAnsiTheme="majorHAnsi"/>
          <w:sz w:val="20"/>
          <w:szCs w:val="20"/>
          <w:lang w:val="es-ES_tradnl"/>
        </w:rPr>
        <w:t>. E</w:t>
      </w:r>
      <w:r w:rsidR="00F80EE8" w:rsidRPr="00507154">
        <w:rPr>
          <w:rFonts w:asciiTheme="majorHAnsi" w:hAnsiTheme="majorHAnsi"/>
          <w:sz w:val="20"/>
          <w:szCs w:val="20"/>
          <w:lang w:val="es-ES_tradnl"/>
        </w:rPr>
        <w:t xml:space="preserve">sta carga debe ser asumida por el Estado como un deber jurídico propio, y no como una gestión de intereses de particulares o que </w:t>
      </w:r>
      <w:r w:rsidR="00F80EE8" w:rsidRPr="00507154">
        <w:rPr>
          <w:rFonts w:asciiTheme="majorHAnsi" w:hAnsiTheme="majorHAnsi"/>
          <w:sz w:val="20"/>
          <w:szCs w:val="20"/>
          <w:lang w:val="es-ES_tradnl"/>
        </w:rPr>
        <w:lastRenderedPageBreak/>
        <w:t>dependa de la iniciativa de éstos ni de la aportación de pruebas por parte de los mismos</w:t>
      </w:r>
      <w:r w:rsidR="00F80EE8" w:rsidRPr="00507154">
        <w:rPr>
          <w:rStyle w:val="FootnoteReference"/>
          <w:rFonts w:asciiTheme="majorHAnsi" w:hAnsiTheme="majorHAnsi"/>
          <w:sz w:val="20"/>
          <w:szCs w:val="20"/>
          <w:lang w:val="es-ES_tradnl"/>
        </w:rPr>
        <w:footnoteReference w:id="6"/>
      </w:r>
      <w:r w:rsidR="00F80EE8" w:rsidRPr="00507154">
        <w:rPr>
          <w:rFonts w:asciiTheme="majorHAnsi" w:hAnsiTheme="majorHAnsi"/>
          <w:sz w:val="20"/>
          <w:szCs w:val="20"/>
          <w:lang w:val="es-ES_tradnl"/>
        </w:rPr>
        <w:t>.</w:t>
      </w:r>
      <w:r w:rsidR="00205406">
        <w:rPr>
          <w:rFonts w:asciiTheme="majorHAnsi" w:hAnsiTheme="majorHAnsi"/>
          <w:sz w:val="20"/>
          <w:szCs w:val="20"/>
          <w:lang w:val="es-ES_tradnl"/>
        </w:rPr>
        <w:t xml:space="preserve"> </w:t>
      </w:r>
      <w:r w:rsidR="00205406">
        <w:rPr>
          <w:rFonts w:asciiTheme="majorHAnsi" w:hAnsiTheme="majorHAnsi"/>
          <w:sz w:val="20"/>
          <w:szCs w:val="20"/>
          <w:lang w:val="es-ES"/>
        </w:rPr>
        <w:t>E</w:t>
      </w:r>
      <w:r w:rsidR="00A51062" w:rsidRPr="00507154">
        <w:rPr>
          <w:rFonts w:asciiTheme="majorHAnsi" w:hAnsiTheme="majorHAnsi"/>
          <w:sz w:val="20"/>
          <w:szCs w:val="20"/>
          <w:lang w:val="es-ES"/>
        </w:rPr>
        <w:t xml:space="preserve">n cuanto a los procesos de reparación directa ante la jurisdicción contencioso-administrativa, la Comisión ha sostenido reiteradamente que dicha vía no constituye un recurso idóneo a efectos de analizar la admisibilidad de un reclamo de la naturaleza del presente, ya que la misma no es adecuada para proporcionar una reparación integral que incluya esclarecimiento de los hechos y la satisfacción de las justas expectativas de justicia de los familiares de las víctimas, además de los demás componentes de las reparaciones integrales que han sido identificados y aplicados por los órganos del </w:t>
      </w:r>
      <w:r w:rsidR="00567AB9">
        <w:rPr>
          <w:rFonts w:asciiTheme="majorHAnsi" w:hAnsiTheme="majorHAnsi"/>
          <w:sz w:val="20"/>
          <w:szCs w:val="20"/>
          <w:lang w:val="es-ES"/>
        </w:rPr>
        <w:t>Sistema Interamericano</w:t>
      </w:r>
      <w:r w:rsidR="00A51062" w:rsidRPr="00507154">
        <w:rPr>
          <w:rFonts w:asciiTheme="majorHAnsi" w:hAnsiTheme="majorHAnsi"/>
          <w:sz w:val="20"/>
          <w:szCs w:val="20"/>
          <w:lang w:val="es-ES"/>
        </w:rPr>
        <w:t>.</w:t>
      </w:r>
    </w:p>
    <w:p w14:paraId="6195AE87" w14:textId="77777777" w:rsidR="00507154" w:rsidRDefault="00507154" w:rsidP="00507154">
      <w:pPr>
        <w:jc w:val="both"/>
        <w:rPr>
          <w:rFonts w:asciiTheme="majorHAnsi" w:hAnsiTheme="majorHAnsi"/>
          <w:sz w:val="20"/>
          <w:szCs w:val="20"/>
          <w:lang w:val="es-ES"/>
        </w:rPr>
      </w:pPr>
    </w:p>
    <w:p w14:paraId="46555C91" w14:textId="77777777" w:rsidR="00F71F04" w:rsidRDefault="002F198C" w:rsidP="00507154">
      <w:pPr>
        <w:jc w:val="both"/>
        <w:rPr>
          <w:rFonts w:asciiTheme="majorHAnsi" w:hAnsiTheme="majorHAnsi"/>
          <w:sz w:val="20"/>
          <w:szCs w:val="20"/>
          <w:lang w:val="es-ES"/>
        </w:rPr>
      </w:pPr>
      <w:r w:rsidRPr="00507154">
        <w:rPr>
          <w:rFonts w:asciiTheme="majorHAnsi" w:hAnsiTheme="majorHAnsi"/>
          <w:sz w:val="20"/>
          <w:szCs w:val="20"/>
          <w:lang w:val="es-ES"/>
        </w:rPr>
        <w:tab/>
      </w:r>
      <w:r w:rsidR="00197EB7" w:rsidRPr="00507154">
        <w:rPr>
          <w:rFonts w:asciiTheme="majorHAnsi" w:hAnsiTheme="majorHAnsi"/>
          <w:sz w:val="20"/>
          <w:szCs w:val="20"/>
          <w:lang w:val="es-ES"/>
        </w:rPr>
        <w:t>1</w:t>
      </w:r>
      <w:r w:rsidR="00F03B32" w:rsidRPr="00507154">
        <w:rPr>
          <w:rFonts w:asciiTheme="majorHAnsi" w:hAnsiTheme="majorHAnsi"/>
          <w:sz w:val="20"/>
          <w:szCs w:val="20"/>
          <w:lang w:val="es-ES"/>
        </w:rPr>
        <w:t>5</w:t>
      </w:r>
      <w:r w:rsidR="00197EB7" w:rsidRPr="00507154">
        <w:rPr>
          <w:rFonts w:asciiTheme="majorHAnsi" w:hAnsiTheme="majorHAnsi"/>
          <w:sz w:val="20"/>
          <w:szCs w:val="20"/>
          <w:lang w:val="es-ES"/>
        </w:rPr>
        <w:t xml:space="preserve">. </w:t>
      </w:r>
      <w:r w:rsidR="00567AB9">
        <w:rPr>
          <w:rFonts w:asciiTheme="majorHAnsi" w:hAnsiTheme="majorHAnsi"/>
          <w:sz w:val="20"/>
          <w:szCs w:val="20"/>
          <w:lang w:val="es-ES"/>
        </w:rPr>
        <w:tab/>
      </w:r>
      <w:r w:rsidR="00CA0BA7">
        <w:rPr>
          <w:rFonts w:asciiTheme="majorHAnsi" w:hAnsiTheme="majorHAnsi"/>
          <w:sz w:val="20"/>
          <w:szCs w:val="20"/>
          <w:lang w:val="es-ES"/>
        </w:rPr>
        <w:t>En este sentido</w:t>
      </w:r>
      <w:r w:rsidRPr="00507154">
        <w:rPr>
          <w:rFonts w:asciiTheme="majorHAnsi" w:hAnsiTheme="majorHAnsi"/>
          <w:sz w:val="20"/>
          <w:szCs w:val="20"/>
          <w:lang w:val="es-ES"/>
        </w:rPr>
        <w:t xml:space="preserve">, frente a la violación del derecho a la vida del </w:t>
      </w:r>
      <w:r w:rsidR="00197EB7" w:rsidRPr="00507154">
        <w:rPr>
          <w:rFonts w:asciiTheme="majorHAnsi" w:hAnsiTheme="majorHAnsi"/>
          <w:sz w:val="20"/>
          <w:szCs w:val="20"/>
          <w:lang w:val="es-ES"/>
        </w:rPr>
        <w:t>señor Helvir Antonio Torres Clavijo</w:t>
      </w:r>
      <w:r w:rsidRPr="00507154">
        <w:rPr>
          <w:rFonts w:asciiTheme="majorHAnsi" w:hAnsiTheme="majorHAnsi"/>
          <w:sz w:val="20"/>
          <w:szCs w:val="20"/>
          <w:lang w:val="es-ES"/>
        </w:rPr>
        <w:t>,</w:t>
      </w:r>
      <w:r w:rsidR="00197EB7" w:rsidRPr="00507154">
        <w:rPr>
          <w:rFonts w:asciiTheme="majorHAnsi" w:hAnsiTheme="majorHAnsi"/>
          <w:sz w:val="20"/>
          <w:szCs w:val="20"/>
          <w:lang w:val="es-ES"/>
        </w:rPr>
        <w:t xml:space="preserve"> así como la tentativa de violación del derecho a la vida del señor Freddy Torres Torres,</w:t>
      </w:r>
      <w:r w:rsidRPr="00507154">
        <w:rPr>
          <w:rFonts w:asciiTheme="majorHAnsi" w:hAnsiTheme="majorHAnsi"/>
          <w:sz w:val="20"/>
          <w:szCs w:val="20"/>
          <w:lang w:val="es-ES"/>
        </w:rPr>
        <w:t xml:space="preserve"> el recurso idóneo a agotar era</w:t>
      </w:r>
      <w:r w:rsidR="00197EB7" w:rsidRPr="00507154">
        <w:rPr>
          <w:rFonts w:asciiTheme="majorHAnsi" w:hAnsiTheme="majorHAnsi"/>
          <w:sz w:val="20"/>
          <w:szCs w:val="20"/>
          <w:lang w:val="es-ES"/>
        </w:rPr>
        <w:t xml:space="preserve"> </w:t>
      </w:r>
      <w:r w:rsidRPr="00507154">
        <w:rPr>
          <w:rFonts w:asciiTheme="majorHAnsi" w:hAnsiTheme="majorHAnsi"/>
          <w:sz w:val="20"/>
          <w:szCs w:val="20"/>
          <w:lang w:val="es-ES"/>
        </w:rPr>
        <w:t>la investigación penal</w:t>
      </w:r>
      <w:r w:rsidR="00A51062" w:rsidRPr="00507154">
        <w:rPr>
          <w:rFonts w:asciiTheme="majorHAnsi" w:hAnsiTheme="majorHAnsi"/>
          <w:sz w:val="20"/>
          <w:szCs w:val="20"/>
          <w:lang w:val="es-ES"/>
        </w:rPr>
        <w:t xml:space="preserve"> de todos los responsables del ataque</w:t>
      </w:r>
      <w:r w:rsidRPr="00507154">
        <w:rPr>
          <w:rFonts w:asciiTheme="majorHAnsi" w:hAnsiTheme="majorHAnsi"/>
          <w:sz w:val="20"/>
          <w:szCs w:val="20"/>
          <w:lang w:val="es-ES"/>
        </w:rPr>
        <w:t>. Como lo ha hecho en otras oportunidades</w:t>
      </w:r>
      <w:r w:rsidR="00197EB7" w:rsidRPr="00507154">
        <w:rPr>
          <w:rStyle w:val="FootnoteReference"/>
          <w:rFonts w:asciiTheme="majorHAnsi" w:hAnsiTheme="majorHAnsi"/>
          <w:sz w:val="20"/>
          <w:szCs w:val="20"/>
          <w:lang w:val="es-ES"/>
        </w:rPr>
        <w:footnoteReference w:id="7"/>
      </w:r>
      <w:r w:rsidRPr="00507154">
        <w:rPr>
          <w:rFonts w:asciiTheme="majorHAnsi" w:hAnsiTheme="majorHAnsi"/>
          <w:sz w:val="20"/>
          <w:szCs w:val="20"/>
          <w:lang w:val="es-ES"/>
        </w:rPr>
        <w:t xml:space="preserve">, la CIDH considera que la referida vía penal también era el recurso idóneo a agotar en relación con el delito de desplazamiento forzado del que fueron víctimas </w:t>
      </w:r>
      <w:r w:rsidR="00A51062" w:rsidRPr="00507154">
        <w:rPr>
          <w:rFonts w:asciiTheme="majorHAnsi" w:hAnsiTheme="majorHAnsi"/>
          <w:sz w:val="20"/>
          <w:szCs w:val="20"/>
          <w:lang w:val="es-ES"/>
        </w:rPr>
        <w:t xml:space="preserve">el señor Freddy Torres, y </w:t>
      </w:r>
      <w:r w:rsidRPr="00507154">
        <w:rPr>
          <w:rFonts w:asciiTheme="majorHAnsi" w:hAnsiTheme="majorHAnsi"/>
          <w:sz w:val="20"/>
          <w:szCs w:val="20"/>
          <w:lang w:val="es-ES"/>
        </w:rPr>
        <w:t>los familiares de</w:t>
      </w:r>
      <w:r w:rsidR="00197EB7" w:rsidRPr="00507154">
        <w:rPr>
          <w:rFonts w:asciiTheme="majorHAnsi" w:hAnsiTheme="majorHAnsi"/>
          <w:sz w:val="20"/>
          <w:szCs w:val="20"/>
          <w:lang w:val="es-ES"/>
        </w:rPr>
        <w:t xml:space="preserve"> </w:t>
      </w:r>
      <w:r w:rsidRPr="00507154">
        <w:rPr>
          <w:rFonts w:asciiTheme="majorHAnsi" w:hAnsiTheme="majorHAnsi"/>
          <w:sz w:val="20"/>
          <w:szCs w:val="20"/>
          <w:lang w:val="es-ES"/>
        </w:rPr>
        <w:t>l</w:t>
      </w:r>
      <w:r w:rsidR="00197EB7" w:rsidRPr="00507154">
        <w:rPr>
          <w:rFonts w:asciiTheme="majorHAnsi" w:hAnsiTheme="majorHAnsi"/>
          <w:sz w:val="20"/>
          <w:szCs w:val="20"/>
          <w:lang w:val="es-ES"/>
        </w:rPr>
        <w:t>os señores Helvir Antonio y Freddy</w:t>
      </w:r>
      <w:r w:rsidR="00A51062" w:rsidRPr="00507154">
        <w:rPr>
          <w:rFonts w:asciiTheme="majorHAnsi" w:hAnsiTheme="majorHAnsi"/>
          <w:sz w:val="20"/>
          <w:szCs w:val="20"/>
          <w:lang w:val="es-ES"/>
        </w:rPr>
        <w:t>,</w:t>
      </w:r>
      <w:r w:rsidRPr="00507154">
        <w:rPr>
          <w:rFonts w:asciiTheme="majorHAnsi" w:hAnsiTheme="majorHAnsi"/>
          <w:sz w:val="20"/>
          <w:szCs w:val="20"/>
          <w:lang w:val="es-ES"/>
        </w:rPr>
        <w:t xml:space="preserve"> </w:t>
      </w:r>
      <w:r w:rsidR="0000304A">
        <w:rPr>
          <w:rFonts w:asciiTheme="majorHAnsi" w:hAnsiTheme="majorHAnsi"/>
          <w:sz w:val="20"/>
          <w:szCs w:val="20"/>
          <w:lang w:val="es-ES"/>
        </w:rPr>
        <w:t xml:space="preserve">a </w:t>
      </w:r>
      <w:r w:rsidRPr="00507154">
        <w:rPr>
          <w:rFonts w:asciiTheme="majorHAnsi" w:hAnsiTheme="majorHAnsi"/>
          <w:sz w:val="20"/>
          <w:szCs w:val="20"/>
          <w:lang w:val="es-ES"/>
        </w:rPr>
        <w:t>consecuencia directa de</w:t>
      </w:r>
      <w:r w:rsidR="00A51062" w:rsidRPr="00507154">
        <w:rPr>
          <w:rFonts w:asciiTheme="majorHAnsi" w:hAnsiTheme="majorHAnsi"/>
          <w:sz w:val="20"/>
          <w:szCs w:val="20"/>
          <w:lang w:val="es-ES"/>
        </w:rPr>
        <w:t xml:space="preserve">l crimen y </w:t>
      </w:r>
      <w:r w:rsidR="0000304A">
        <w:rPr>
          <w:rFonts w:asciiTheme="majorHAnsi" w:hAnsiTheme="majorHAnsi"/>
          <w:sz w:val="20"/>
          <w:szCs w:val="20"/>
          <w:lang w:val="es-ES"/>
        </w:rPr>
        <w:t xml:space="preserve">de </w:t>
      </w:r>
      <w:r w:rsidR="00A51062" w:rsidRPr="00507154">
        <w:rPr>
          <w:rFonts w:asciiTheme="majorHAnsi" w:hAnsiTheme="majorHAnsi"/>
          <w:sz w:val="20"/>
          <w:szCs w:val="20"/>
          <w:lang w:val="es-ES"/>
        </w:rPr>
        <w:t>la alegada persecución subsiguiente</w:t>
      </w:r>
      <w:r w:rsidRPr="00507154">
        <w:rPr>
          <w:rFonts w:asciiTheme="majorHAnsi" w:hAnsiTheme="majorHAnsi"/>
          <w:sz w:val="20"/>
          <w:szCs w:val="20"/>
          <w:lang w:val="es-ES"/>
        </w:rPr>
        <w:t>.</w:t>
      </w:r>
      <w:r w:rsidR="00F03B32" w:rsidRPr="00507154">
        <w:rPr>
          <w:rFonts w:asciiTheme="majorHAnsi" w:hAnsiTheme="majorHAnsi"/>
          <w:sz w:val="20"/>
          <w:szCs w:val="20"/>
          <w:lang w:val="es-ES"/>
        </w:rPr>
        <w:t xml:space="preserve"> </w:t>
      </w:r>
      <w:r w:rsidR="00CA0BA7">
        <w:rPr>
          <w:rFonts w:asciiTheme="majorHAnsi" w:hAnsiTheme="majorHAnsi"/>
          <w:sz w:val="20"/>
          <w:szCs w:val="20"/>
          <w:lang w:val="es-ES"/>
        </w:rPr>
        <w:t>Así, s</w:t>
      </w:r>
      <w:r w:rsidR="00F03B32" w:rsidRPr="00507154">
        <w:rPr>
          <w:rFonts w:asciiTheme="majorHAnsi" w:hAnsiTheme="majorHAnsi"/>
          <w:sz w:val="20"/>
          <w:szCs w:val="20"/>
          <w:lang w:val="es-ES"/>
        </w:rPr>
        <w:t>e ha acreditado en el expediente que la investigación penal de estos hechos, que ocurrieron en el año 2006, únicamente ha resultado en una condena</w:t>
      </w:r>
      <w:r w:rsidR="0097609D">
        <w:rPr>
          <w:rFonts w:asciiTheme="majorHAnsi" w:hAnsiTheme="majorHAnsi"/>
          <w:sz w:val="20"/>
          <w:szCs w:val="20"/>
          <w:lang w:val="es-ES"/>
        </w:rPr>
        <w:t>,</w:t>
      </w:r>
      <w:r w:rsidR="00F03B32" w:rsidRPr="00507154">
        <w:rPr>
          <w:rFonts w:asciiTheme="majorHAnsi" w:hAnsiTheme="majorHAnsi"/>
          <w:sz w:val="20"/>
          <w:szCs w:val="20"/>
          <w:lang w:val="es-ES"/>
        </w:rPr>
        <w:t xml:space="preserve"> </w:t>
      </w:r>
      <w:r w:rsidR="0097609D">
        <w:rPr>
          <w:rFonts w:asciiTheme="majorHAnsi" w:hAnsiTheme="majorHAnsi"/>
          <w:sz w:val="20"/>
          <w:szCs w:val="20"/>
          <w:lang w:val="es-ES"/>
        </w:rPr>
        <w:t xml:space="preserve">dictada contra </w:t>
      </w:r>
      <w:r w:rsidR="00F03B32" w:rsidRPr="00507154">
        <w:rPr>
          <w:rFonts w:asciiTheme="majorHAnsi" w:hAnsiTheme="majorHAnsi"/>
          <w:sz w:val="20"/>
          <w:szCs w:val="20"/>
          <w:lang w:val="es-ES"/>
        </w:rPr>
        <w:t xml:space="preserve">el máximo responsable, la cual se dio a través de una sentencia anticipada </w:t>
      </w:r>
      <w:r w:rsidR="0097609D">
        <w:rPr>
          <w:rFonts w:asciiTheme="majorHAnsi" w:hAnsiTheme="majorHAnsi"/>
          <w:sz w:val="20"/>
          <w:szCs w:val="20"/>
          <w:lang w:val="es-ES"/>
        </w:rPr>
        <w:t xml:space="preserve">proferida </w:t>
      </w:r>
      <w:r w:rsidR="00F03B32" w:rsidRPr="00507154">
        <w:rPr>
          <w:rFonts w:asciiTheme="majorHAnsi" w:hAnsiTheme="majorHAnsi"/>
          <w:sz w:val="20"/>
          <w:szCs w:val="20"/>
          <w:lang w:val="es-ES"/>
        </w:rPr>
        <w:t xml:space="preserve">en respuesta a la aceptación de los cargos hecha por el Teniente Coronel Borja. Los demás militares que </w:t>
      </w:r>
      <w:r w:rsidR="00F71F04">
        <w:rPr>
          <w:rFonts w:asciiTheme="majorHAnsi" w:hAnsiTheme="majorHAnsi"/>
          <w:sz w:val="20"/>
          <w:szCs w:val="20"/>
          <w:lang w:val="es-ES"/>
        </w:rPr>
        <w:t>habrían participado</w:t>
      </w:r>
      <w:r w:rsidR="00F03B32" w:rsidRPr="00507154">
        <w:rPr>
          <w:rFonts w:asciiTheme="majorHAnsi" w:hAnsiTheme="majorHAnsi"/>
          <w:sz w:val="20"/>
          <w:szCs w:val="20"/>
          <w:lang w:val="es-ES"/>
        </w:rPr>
        <w:t xml:space="preserve"> del ataque </w:t>
      </w:r>
      <w:r w:rsidR="0097609D">
        <w:rPr>
          <w:rFonts w:asciiTheme="majorHAnsi" w:hAnsiTheme="majorHAnsi"/>
          <w:sz w:val="20"/>
          <w:szCs w:val="20"/>
          <w:lang w:val="es-ES"/>
        </w:rPr>
        <w:t xml:space="preserve">todavía </w:t>
      </w:r>
      <w:r w:rsidR="00F03B32" w:rsidRPr="00507154">
        <w:rPr>
          <w:rFonts w:asciiTheme="majorHAnsi" w:hAnsiTheme="majorHAnsi"/>
          <w:sz w:val="20"/>
          <w:szCs w:val="20"/>
          <w:lang w:val="es-ES"/>
        </w:rPr>
        <w:t xml:space="preserve">están siendo investigados, o no han sido vinculados al proceso. En esta medida, se observa que </w:t>
      </w:r>
      <w:r w:rsidR="00F71F04">
        <w:rPr>
          <w:rFonts w:asciiTheme="majorHAnsi" w:hAnsiTheme="majorHAnsi"/>
          <w:sz w:val="20"/>
          <w:szCs w:val="20"/>
          <w:lang w:val="es-ES"/>
        </w:rPr>
        <w:t>a</w:t>
      </w:r>
      <w:r w:rsidR="00F03B32" w:rsidRPr="00507154">
        <w:rPr>
          <w:rFonts w:asciiTheme="majorHAnsi" w:hAnsiTheme="majorHAnsi"/>
          <w:sz w:val="20"/>
          <w:szCs w:val="20"/>
          <w:lang w:val="es-ES"/>
        </w:rPr>
        <w:t xml:space="preserve"> más de </w:t>
      </w:r>
      <w:r w:rsidR="00F71F04">
        <w:rPr>
          <w:rFonts w:asciiTheme="majorHAnsi" w:hAnsiTheme="majorHAnsi"/>
          <w:sz w:val="20"/>
          <w:szCs w:val="20"/>
          <w:lang w:val="es-ES"/>
        </w:rPr>
        <w:t>trece</w:t>
      </w:r>
      <w:r w:rsidR="00F03B32" w:rsidRPr="00507154">
        <w:rPr>
          <w:rFonts w:asciiTheme="majorHAnsi" w:hAnsiTheme="majorHAnsi"/>
          <w:sz w:val="20"/>
          <w:szCs w:val="20"/>
          <w:lang w:val="es-ES"/>
        </w:rPr>
        <w:t xml:space="preserve"> años desde el </w:t>
      </w:r>
      <w:r w:rsidR="00F71F04">
        <w:rPr>
          <w:rFonts w:asciiTheme="majorHAnsi" w:hAnsiTheme="majorHAnsi"/>
          <w:sz w:val="20"/>
          <w:szCs w:val="20"/>
          <w:lang w:val="es-ES"/>
        </w:rPr>
        <w:t>homicidio</w:t>
      </w:r>
      <w:r w:rsidR="00F03B32" w:rsidRPr="00507154">
        <w:rPr>
          <w:rFonts w:asciiTheme="majorHAnsi" w:hAnsiTheme="majorHAnsi"/>
          <w:sz w:val="20"/>
          <w:szCs w:val="20"/>
          <w:lang w:val="es-ES"/>
        </w:rPr>
        <w:t xml:space="preserve"> </w:t>
      </w:r>
      <w:r w:rsidR="00F71F04">
        <w:rPr>
          <w:rFonts w:asciiTheme="majorHAnsi" w:hAnsiTheme="majorHAnsi"/>
          <w:sz w:val="20"/>
          <w:szCs w:val="20"/>
          <w:lang w:val="es-ES"/>
        </w:rPr>
        <w:t>del señor Helvir Antonio Torres</w:t>
      </w:r>
      <w:r w:rsidR="00F03B32" w:rsidRPr="00507154">
        <w:rPr>
          <w:rFonts w:asciiTheme="majorHAnsi" w:hAnsiTheme="majorHAnsi"/>
          <w:sz w:val="20"/>
          <w:szCs w:val="20"/>
          <w:lang w:val="es-ES"/>
        </w:rPr>
        <w:t xml:space="preserve"> </w:t>
      </w:r>
      <w:r w:rsidR="00F71F04">
        <w:rPr>
          <w:rFonts w:asciiTheme="majorHAnsi" w:hAnsiTheme="majorHAnsi"/>
          <w:sz w:val="20"/>
          <w:szCs w:val="20"/>
          <w:lang w:val="es-ES"/>
        </w:rPr>
        <w:t>aún</w:t>
      </w:r>
      <w:r w:rsidR="00F03B32" w:rsidRPr="00507154">
        <w:rPr>
          <w:rFonts w:asciiTheme="majorHAnsi" w:hAnsiTheme="majorHAnsi"/>
          <w:sz w:val="20"/>
          <w:szCs w:val="20"/>
          <w:lang w:val="es-ES"/>
        </w:rPr>
        <w:t xml:space="preserve"> no se </w:t>
      </w:r>
      <w:r w:rsidR="00F71F04">
        <w:rPr>
          <w:rFonts w:asciiTheme="majorHAnsi" w:hAnsiTheme="majorHAnsi"/>
          <w:sz w:val="20"/>
          <w:szCs w:val="20"/>
          <w:lang w:val="es-ES"/>
        </w:rPr>
        <w:t>han establecido todas las responsabilidades penales correspondientes a</w:t>
      </w:r>
      <w:r w:rsidR="00F03B32" w:rsidRPr="00507154">
        <w:rPr>
          <w:rFonts w:asciiTheme="majorHAnsi" w:hAnsiTheme="majorHAnsi"/>
          <w:sz w:val="20"/>
          <w:szCs w:val="20"/>
          <w:lang w:val="es-ES"/>
        </w:rPr>
        <w:t xml:space="preserve"> la totalidad de los responsables</w:t>
      </w:r>
      <w:r w:rsidR="00F71F04">
        <w:rPr>
          <w:rFonts w:asciiTheme="majorHAnsi" w:hAnsiTheme="majorHAnsi"/>
          <w:sz w:val="20"/>
          <w:szCs w:val="20"/>
          <w:lang w:val="es-ES"/>
        </w:rPr>
        <w:t>,</w:t>
      </w:r>
      <w:r w:rsidR="00F03B32" w:rsidRPr="00507154">
        <w:rPr>
          <w:rFonts w:asciiTheme="majorHAnsi" w:hAnsiTheme="majorHAnsi"/>
          <w:sz w:val="20"/>
          <w:szCs w:val="20"/>
          <w:lang w:val="es-ES"/>
        </w:rPr>
        <w:t xml:space="preserve"> aunque </w:t>
      </w:r>
      <w:r w:rsidR="0097609D">
        <w:rPr>
          <w:rFonts w:asciiTheme="majorHAnsi" w:hAnsiTheme="majorHAnsi"/>
          <w:sz w:val="20"/>
          <w:szCs w:val="20"/>
          <w:lang w:val="es-ES"/>
        </w:rPr>
        <w:t xml:space="preserve">ya </w:t>
      </w:r>
      <w:r w:rsidR="00F03B32" w:rsidRPr="00507154">
        <w:rPr>
          <w:rFonts w:asciiTheme="majorHAnsi" w:hAnsiTheme="majorHAnsi"/>
          <w:sz w:val="20"/>
          <w:szCs w:val="20"/>
          <w:lang w:val="es-ES"/>
        </w:rPr>
        <w:t>se han producido serias indicaciones probatorias sobre su identidad y su responsabilidad en el curso de los procesos judiciales y administrativos desarrollados en torno al caso.</w:t>
      </w:r>
    </w:p>
    <w:p w14:paraId="53CD0A41" w14:textId="77777777" w:rsidR="00F71F04" w:rsidRDefault="00F71F04" w:rsidP="00507154">
      <w:pPr>
        <w:jc w:val="both"/>
        <w:rPr>
          <w:rFonts w:asciiTheme="majorHAnsi" w:hAnsiTheme="majorHAnsi"/>
          <w:sz w:val="20"/>
          <w:szCs w:val="20"/>
          <w:lang w:val="es-ES"/>
        </w:rPr>
      </w:pPr>
    </w:p>
    <w:p w14:paraId="7C0F48CF" w14:textId="77777777" w:rsidR="00F03B32" w:rsidRPr="00507154" w:rsidRDefault="00F71F04" w:rsidP="00F71F04">
      <w:pPr>
        <w:ind w:firstLine="720"/>
        <w:jc w:val="both"/>
        <w:rPr>
          <w:rFonts w:asciiTheme="majorHAnsi" w:hAnsiTheme="majorHAnsi"/>
          <w:sz w:val="20"/>
          <w:szCs w:val="20"/>
          <w:lang w:val="es-ES"/>
        </w:rPr>
      </w:pPr>
      <w:r>
        <w:rPr>
          <w:rFonts w:asciiTheme="majorHAnsi" w:hAnsiTheme="majorHAnsi"/>
          <w:sz w:val="20"/>
          <w:szCs w:val="20"/>
          <w:lang w:val="es-ES"/>
        </w:rPr>
        <w:t>16.</w:t>
      </w:r>
      <w:r>
        <w:rPr>
          <w:rFonts w:asciiTheme="majorHAnsi" w:hAnsiTheme="majorHAnsi"/>
          <w:sz w:val="20"/>
          <w:szCs w:val="20"/>
          <w:lang w:val="es-ES"/>
        </w:rPr>
        <w:tab/>
        <w:t>En atención a estas consideraciones, la Comisión considera que, en efecto, se configura la excepción de retardo injustificado de acuerdo con el artículo 46.2.</w:t>
      </w:r>
      <w:r w:rsidR="00F03B32" w:rsidRPr="00507154">
        <w:rPr>
          <w:rFonts w:asciiTheme="majorHAnsi" w:hAnsiTheme="majorHAnsi"/>
          <w:sz w:val="20"/>
          <w:szCs w:val="20"/>
          <w:lang w:val="es-ES"/>
        </w:rPr>
        <w:t>c) de la Convención Americana</w:t>
      </w:r>
      <w:r>
        <w:rPr>
          <w:rFonts w:asciiTheme="majorHAnsi" w:hAnsiTheme="majorHAnsi"/>
          <w:sz w:val="20"/>
          <w:szCs w:val="20"/>
          <w:lang w:val="es-ES"/>
        </w:rPr>
        <w:t xml:space="preserve">. </w:t>
      </w:r>
    </w:p>
    <w:p w14:paraId="71692E4C" w14:textId="77777777" w:rsidR="00507154" w:rsidRPr="00507154" w:rsidRDefault="00507154" w:rsidP="00507154">
      <w:pPr>
        <w:jc w:val="both"/>
        <w:rPr>
          <w:rFonts w:asciiTheme="majorHAnsi" w:hAnsiTheme="majorHAnsi"/>
          <w:sz w:val="20"/>
          <w:szCs w:val="20"/>
          <w:lang w:val="es-ES"/>
        </w:rPr>
      </w:pPr>
    </w:p>
    <w:p w14:paraId="6B22189C" w14:textId="77777777" w:rsidR="00F03B32" w:rsidRPr="00507154" w:rsidRDefault="00866AAA" w:rsidP="00507154">
      <w:pPr>
        <w:jc w:val="both"/>
        <w:rPr>
          <w:rFonts w:asciiTheme="majorHAnsi" w:hAnsiTheme="majorHAnsi"/>
          <w:sz w:val="20"/>
          <w:szCs w:val="20"/>
          <w:lang w:val="es-CO" w:eastAsia="es-CO"/>
        </w:rPr>
      </w:pPr>
      <w:r>
        <w:rPr>
          <w:rFonts w:asciiTheme="majorHAnsi" w:hAnsiTheme="majorHAnsi"/>
          <w:sz w:val="20"/>
          <w:szCs w:val="20"/>
          <w:lang w:val="es-ES"/>
        </w:rPr>
        <w:tab/>
        <w:t>17</w:t>
      </w:r>
      <w:r w:rsidR="00F03B32" w:rsidRPr="00507154">
        <w:rPr>
          <w:rFonts w:asciiTheme="majorHAnsi" w:hAnsiTheme="majorHAnsi"/>
          <w:sz w:val="20"/>
          <w:szCs w:val="20"/>
          <w:lang w:val="es-ES"/>
        </w:rPr>
        <w:t xml:space="preserve">. </w:t>
      </w:r>
      <w:r>
        <w:rPr>
          <w:rFonts w:asciiTheme="majorHAnsi" w:hAnsiTheme="majorHAnsi"/>
          <w:sz w:val="20"/>
          <w:szCs w:val="20"/>
          <w:lang w:val="es-ES"/>
        </w:rPr>
        <w:tab/>
      </w:r>
      <w:r w:rsidR="00F03B32" w:rsidRPr="00507154">
        <w:rPr>
          <w:rFonts w:asciiTheme="majorHAnsi" w:hAnsiTheme="majorHAnsi"/>
          <w:sz w:val="20"/>
          <w:szCs w:val="20"/>
          <w:lang w:val="es-ES"/>
        </w:rPr>
        <w:t xml:space="preserve">En conexión con lo anterior, se tiene que ni </w:t>
      </w:r>
      <w:r w:rsidR="0089358B">
        <w:rPr>
          <w:rFonts w:asciiTheme="majorHAnsi" w:hAnsiTheme="majorHAnsi"/>
          <w:sz w:val="20"/>
          <w:szCs w:val="20"/>
          <w:lang w:val="es-ES"/>
        </w:rPr>
        <w:t xml:space="preserve">el </w:t>
      </w:r>
      <w:r w:rsidR="00F03B32" w:rsidRPr="00507154">
        <w:rPr>
          <w:rFonts w:asciiTheme="majorHAnsi" w:hAnsiTheme="majorHAnsi"/>
          <w:sz w:val="20"/>
          <w:szCs w:val="20"/>
          <w:lang w:val="es-ES"/>
        </w:rPr>
        <w:t xml:space="preserve">desplazamiento </w:t>
      </w:r>
      <w:r>
        <w:rPr>
          <w:rFonts w:asciiTheme="majorHAnsi" w:hAnsiTheme="majorHAnsi"/>
          <w:sz w:val="20"/>
          <w:szCs w:val="20"/>
          <w:lang w:val="es-ES"/>
        </w:rPr>
        <w:t>interno</w:t>
      </w:r>
      <w:r w:rsidR="00F03B32" w:rsidRPr="00507154">
        <w:rPr>
          <w:rFonts w:asciiTheme="majorHAnsi" w:hAnsiTheme="majorHAnsi"/>
          <w:sz w:val="20"/>
          <w:szCs w:val="20"/>
          <w:lang w:val="es-ES"/>
        </w:rPr>
        <w:t xml:space="preserve"> </w:t>
      </w:r>
      <w:r w:rsidR="0089358B">
        <w:rPr>
          <w:rFonts w:asciiTheme="majorHAnsi" w:hAnsiTheme="majorHAnsi"/>
          <w:sz w:val="20"/>
          <w:szCs w:val="20"/>
          <w:lang w:val="es-ES"/>
        </w:rPr>
        <w:t>de Freddy Torres</w:t>
      </w:r>
      <w:r w:rsidR="00F03B32" w:rsidRPr="00507154">
        <w:rPr>
          <w:rFonts w:asciiTheme="majorHAnsi" w:hAnsiTheme="majorHAnsi"/>
          <w:sz w:val="20"/>
          <w:szCs w:val="20"/>
          <w:lang w:val="es-ES"/>
        </w:rPr>
        <w:t xml:space="preserve">, </w:t>
      </w:r>
      <w:r w:rsidR="0089358B">
        <w:rPr>
          <w:rFonts w:asciiTheme="majorHAnsi" w:hAnsiTheme="majorHAnsi"/>
          <w:sz w:val="20"/>
          <w:szCs w:val="20"/>
          <w:lang w:val="es-ES"/>
        </w:rPr>
        <w:t xml:space="preserve">ni </w:t>
      </w:r>
      <w:r w:rsidR="00F03B32" w:rsidRPr="00507154">
        <w:rPr>
          <w:rFonts w:asciiTheme="majorHAnsi" w:hAnsiTheme="majorHAnsi"/>
          <w:sz w:val="20"/>
          <w:szCs w:val="20"/>
          <w:lang w:val="es-ES"/>
        </w:rPr>
        <w:t xml:space="preserve">tampoco el de los familiares de Helvir Antonio y Freddy, han sido materia de investigación penal alguna. Por lo tanto, se configura también a este respecto la excepción de retardo injustificado al deber de agotamiento de los recursos domésticos, en </w:t>
      </w:r>
      <w:r>
        <w:rPr>
          <w:rFonts w:asciiTheme="majorHAnsi" w:hAnsiTheme="majorHAnsi"/>
          <w:sz w:val="20"/>
          <w:szCs w:val="20"/>
          <w:lang w:val="es-ES"/>
        </w:rPr>
        <w:t>los términos del artículo 46.2.</w:t>
      </w:r>
      <w:r w:rsidR="00F03B32" w:rsidRPr="00507154">
        <w:rPr>
          <w:rFonts w:asciiTheme="majorHAnsi" w:hAnsiTheme="majorHAnsi"/>
          <w:sz w:val="20"/>
          <w:szCs w:val="20"/>
          <w:lang w:val="es-ES"/>
        </w:rPr>
        <w:t>c) de la Convención Americana.</w:t>
      </w:r>
      <w:r w:rsidR="002F198C" w:rsidRPr="00507154">
        <w:rPr>
          <w:rFonts w:asciiTheme="majorHAnsi" w:hAnsiTheme="majorHAnsi"/>
          <w:sz w:val="20"/>
          <w:szCs w:val="20"/>
          <w:lang w:val="es-CO" w:eastAsia="es-CO"/>
        </w:rPr>
        <w:t xml:space="preserve"> </w:t>
      </w:r>
    </w:p>
    <w:p w14:paraId="16171462" w14:textId="77777777" w:rsidR="00F03B32" w:rsidRPr="00507154" w:rsidRDefault="00F03B32" w:rsidP="00507154">
      <w:pPr>
        <w:jc w:val="both"/>
        <w:rPr>
          <w:rFonts w:asciiTheme="majorHAnsi" w:hAnsiTheme="majorHAnsi"/>
          <w:sz w:val="20"/>
          <w:szCs w:val="20"/>
          <w:lang w:val="es-CO" w:eastAsia="es-CO"/>
        </w:rPr>
      </w:pPr>
    </w:p>
    <w:p w14:paraId="0E75A2E2" w14:textId="1B1B9BC0" w:rsidR="00454CB2" w:rsidRPr="00507154" w:rsidRDefault="001955A2" w:rsidP="00507154">
      <w:pPr>
        <w:ind w:firstLine="720"/>
        <w:jc w:val="both"/>
        <w:rPr>
          <w:rFonts w:asciiTheme="majorHAnsi" w:hAnsiTheme="majorHAnsi"/>
          <w:sz w:val="20"/>
          <w:szCs w:val="20"/>
          <w:lang w:val="es-CO" w:eastAsia="es-CO"/>
        </w:rPr>
      </w:pPr>
      <w:r>
        <w:rPr>
          <w:rFonts w:asciiTheme="majorHAnsi" w:hAnsiTheme="majorHAnsi"/>
          <w:sz w:val="20"/>
          <w:szCs w:val="20"/>
          <w:lang w:val="es-CO" w:eastAsia="es-CO"/>
        </w:rPr>
        <w:t>18</w:t>
      </w:r>
      <w:r w:rsidR="00454CB2" w:rsidRPr="00507154">
        <w:rPr>
          <w:rFonts w:asciiTheme="majorHAnsi" w:hAnsiTheme="majorHAnsi"/>
          <w:sz w:val="20"/>
          <w:szCs w:val="20"/>
          <w:lang w:val="es-CO" w:eastAsia="es-CO"/>
        </w:rPr>
        <w:t xml:space="preserve">. </w:t>
      </w:r>
      <w:r>
        <w:rPr>
          <w:rFonts w:asciiTheme="majorHAnsi" w:hAnsiTheme="majorHAnsi"/>
          <w:sz w:val="20"/>
          <w:szCs w:val="20"/>
          <w:lang w:val="es-CO" w:eastAsia="es-CO"/>
        </w:rPr>
        <w:tab/>
        <w:t xml:space="preserve">Con respecto al requisito del plazo de presentación de la petición, se observa que: </w:t>
      </w:r>
      <w:r w:rsidR="00454CB2" w:rsidRPr="00507154">
        <w:rPr>
          <w:rFonts w:asciiTheme="majorHAnsi" w:hAnsiTheme="majorHAnsi"/>
          <w:sz w:val="20"/>
          <w:szCs w:val="20"/>
          <w:lang w:val="es-CO" w:eastAsia="es-CO"/>
        </w:rPr>
        <w:t>(i) el ataque a Helvir Antonio y Fredd</w:t>
      </w:r>
      <w:r>
        <w:rPr>
          <w:rFonts w:asciiTheme="majorHAnsi" w:hAnsiTheme="majorHAnsi"/>
          <w:sz w:val="20"/>
          <w:szCs w:val="20"/>
          <w:lang w:val="es-CO" w:eastAsia="es-CO"/>
        </w:rPr>
        <w:t>y ocurrió en septiembre de 2006;</w:t>
      </w:r>
      <w:r w:rsidR="00454CB2" w:rsidRPr="00507154">
        <w:rPr>
          <w:rFonts w:asciiTheme="majorHAnsi" w:hAnsiTheme="majorHAnsi"/>
          <w:sz w:val="20"/>
          <w:szCs w:val="20"/>
          <w:lang w:val="es-CO" w:eastAsia="es-CO"/>
        </w:rPr>
        <w:t xml:space="preserve"> (ii) la investigación penal por la ejecución extrajudicial de Helvir Antonio se inició ante la justicia penal militar y fue transferida en octubre de 2</w:t>
      </w:r>
      <w:r>
        <w:rPr>
          <w:rFonts w:asciiTheme="majorHAnsi" w:hAnsiTheme="majorHAnsi"/>
          <w:sz w:val="20"/>
          <w:szCs w:val="20"/>
          <w:lang w:val="es-CO" w:eastAsia="es-CO"/>
        </w:rPr>
        <w:t>007 a la jurisdicción ordinaria;</w:t>
      </w:r>
      <w:r w:rsidR="00454CB2" w:rsidRPr="00507154">
        <w:rPr>
          <w:rFonts w:asciiTheme="majorHAnsi" w:hAnsiTheme="majorHAnsi"/>
          <w:sz w:val="20"/>
          <w:szCs w:val="20"/>
          <w:lang w:val="es-CO" w:eastAsia="es-CO"/>
        </w:rPr>
        <w:t xml:space="preserve"> (iii) tanto Freddy </w:t>
      </w:r>
      <w:r>
        <w:rPr>
          <w:rFonts w:asciiTheme="majorHAnsi" w:hAnsiTheme="majorHAnsi"/>
          <w:sz w:val="20"/>
          <w:szCs w:val="20"/>
          <w:lang w:val="es-CO" w:eastAsia="es-CO"/>
        </w:rPr>
        <w:t xml:space="preserve">Torres </w:t>
      </w:r>
      <w:r w:rsidR="00454CB2" w:rsidRPr="00507154">
        <w:rPr>
          <w:rFonts w:asciiTheme="majorHAnsi" w:hAnsiTheme="majorHAnsi"/>
          <w:sz w:val="20"/>
          <w:szCs w:val="20"/>
          <w:lang w:val="es-CO" w:eastAsia="es-CO"/>
        </w:rPr>
        <w:t xml:space="preserve">como </w:t>
      </w:r>
      <w:r>
        <w:rPr>
          <w:rFonts w:asciiTheme="majorHAnsi" w:hAnsiTheme="majorHAnsi"/>
          <w:sz w:val="20"/>
          <w:szCs w:val="20"/>
          <w:lang w:val="es-CO" w:eastAsia="es-CO"/>
        </w:rPr>
        <w:t>sus</w:t>
      </w:r>
      <w:r w:rsidR="00454CB2" w:rsidRPr="00507154">
        <w:rPr>
          <w:rFonts w:asciiTheme="majorHAnsi" w:hAnsiTheme="majorHAnsi"/>
          <w:sz w:val="20"/>
          <w:szCs w:val="20"/>
          <w:lang w:val="es-CO" w:eastAsia="es-CO"/>
        </w:rPr>
        <w:t xml:space="preserve"> familiares y </w:t>
      </w:r>
      <w:r>
        <w:rPr>
          <w:rFonts w:asciiTheme="majorHAnsi" w:hAnsiTheme="majorHAnsi"/>
          <w:sz w:val="20"/>
          <w:szCs w:val="20"/>
          <w:lang w:val="es-CO" w:eastAsia="es-CO"/>
        </w:rPr>
        <w:t xml:space="preserve">los </w:t>
      </w:r>
      <w:r w:rsidR="00454CB2" w:rsidRPr="00507154">
        <w:rPr>
          <w:rFonts w:asciiTheme="majorHAnsi" w:hAnsiTheme="majorHAnsi"/>
          <w:sz w:val="20"/>
          <w:szCs w:val="20"/>
          <w:lang w:val="es-CO" w:eastAsia="es-CO"/>
        </w:rPr>
        <w:t xml:space="preserve">de Helvir Antonio </w:t>
      </w:r>
      <w:r>
        <w:rPr>
          <w:rFonts w:asciiTheme="majorHAnsi" w:hAnsiTheme="majorHAnsi"/>
          <w:sz w:val="20"/>
          <w:szCs w:val="20"/>
          <w:lang w:val="es-CO" w:eastAsia="es-CO"/>
        </w:rPr>
        <w:t xml:space="preserve">Torres </w:t>
      </w:r>
      <w:r w:rsidR="00454CB2" w:rsidRPr="00507154">
        <w:rPr>
          <w:rFonts w:asciiTheme="majorHAnsi" w:hAnsiTheme="majorHAnsi"/>
          <w:sz w:val="20"/>
          <w:szCs w:val="20"/>
          <w:lang w:val="es-CO" w:eastAsia="es-CO"/>
        </w:rPr>
        <w:t xml:space="preserve">se encuentran todavía en situación de desplazamiento </w:t>
      </w:r>
      <w:r>
        <w:rPr>
          <w:rFonts w:asciiTheme="majorHAnsi" w:hAnsiTheme="majorHAnsi"/>
          <w:sz w:val="20"/>
          <w:szCs w:val="20"/>
          <w:lang w:val="es-CO" w:eastAsia="es-CO"/>
        </w:rPr>
        <w:t>interno</w:t>
      </w:r>
      <w:r w:rsidR="00454CB2" w:rsidRPr="00507154">
        <w:rPr>
          <w:rFonts w:asciiTheme="majorHAnsi" w:hAnsiTheme="majorHAnsi"/>
          <w:sz w:val="20"/>
          <w:szCs w:val="20"/>
          <w:lang w:val="es-CO" w:eastAsia="es-CO"/>
        </w:rPr>
        <w:t xml:space="preserve"> a consecuencia del crime</w:t>
      </w:r>
      <w:r>
        <w:rPr>
          <w:rFonts w:asciiTheme="majorHAnsi" w:hAnsiTheme="majorHAnsi"/>
          <w:sz w:val="20"/>
          <w:szCs w:val="20"/>
          <w:lang w:val="es-CO" w:eastAsia="es-CO"/>
        </w:rPr>
        <w:t>n y la persecución subsiguiente;</w:t>
      </w:r>
      <w:r w:rsidR="00454CB2" w:rsidRPr="00507154">
        <w:rPr>
          <w:rFonts w:asciiTheme="majorHAnsi" w:hAnsiTheme="majorHAnsi"/>
          <w:sz w:val="20"/>
          <w:szCs w:val="20"/>
          <w:lang w:val="es-CO" w:eastAsia="es-CO"/>
        </w:rPr>
        <w:t xml:space="preserve"> (vi) la petición fue recibi</w:t>
      </w:r>
      <w:r>
        <w:rPr>
          <w:rFonts w:asciiTheme="majorHAnsi" w:hAnsiTheme="majorHAnsi"/>
          <w:sz w:val="20"/>
          <w:szCs w:val="20"/>
          <w:lang w:val="es-CO" w:eastAsia="es-CO"/>
        </w:rPr>
        <w:t>da por la CIDH en junio de 2010;</w:t>
      </w:r>
      <w:r w:rsidR="00454CB2" w:rsidRPr="00507154">
        <w:rPr>
          <w:rFonts w:asciiTheme="majorHAnsi" w:hAnsiTheme="majorHAnsi"/>
          <w:sz w:val="20"/>
          <w:szCs w:val="20"/>
          <w:lang w:val="es-CO" w:eastAsia="es-CO"/>
        </w:rPr>
        <w:t xml:space="preserve"> y (vii) la</w:t>
      </w:r>
      <w:r>
        <w:rPr>
          <w:rFonts w:asciiTheme="majorHAnsi" w:hAnsiTheme="majorHAnsi"/>
          <w:sz w:val="20"/>
          <w:szCs w:val="20"/>
          <w:lang w:val="es-CO" w:eastAsia="es-CO"/>
        </w:rPr>
        <w:t xml:space="preserve"> alegada</w:t>
      </w:r>
      <w:r w:rsidR="00454CB2" w:rsidRPr="00507154">
        <w:rPr>
          <w:rFonts w:asciiTheme="majorHAnsi" w:hAnsiTheme="majorHAnsi"/>
          <w:sz w:val="20"/>
          <w:szCs w:val="20"/>
          <w:lang w:val="es-CO" w:eastAsia="es-CO"/>
        </w:rPr>
        <w:t xml:space="preserve"> impunidad y sus efectos se extenderían hasta el presente</w:t>
      </w:r>
      <w:r w:rsidR="004B0FED">
        <w:rPr>
          <w:rFonts w:asciiTheme="majorHAnsi" w:hAnsiTheme="majorHAnsi"/>
          <w:sz w:val="20"/>
          <w:szCs w:val="20"/>
          <w:lang w:val="es-CO" w:eastAsia="es-CO"/>
        </w:rPr>
        <w:t>.</w:t>
      </w:r>
      <w:r w:rsidR="00454CB2" w:rsidRPr="00507154">
        <w:rPr>
          <w:rFonts w:asciiTheme="majorHAnsi" w:hAnsiTheme="majorHAnsi"/>
          <w:sz w:val="20"/>
          <w:szCs w:val="20"/>
          <w:lang w:val="es-CO" w:eastAsia="es-CO"/>
        </w:rPr>
        <w:t xml:space="preserve"> </w:t>
      </w:r>
      <w:r w:rsidR="004B0FED">
        <w:rPr>
          <w:rFonts w:asciiTheme="majorHAnsi" w:hAnsiTheme="majorHAnsi"/>
          <w:sz w:val="20"/>
          <w:szCs w:val="20"/>
          <w:lang w:val="es-CO" w:eastAsia="es-CO"/>
        </w:rPr>
        <w:t>L</w:t>
      </w:r>
      <w:r w:rsidR="00454CB2" w:rsidRPr="00507154">
        <w:rPr>
          <w:rFonts w:asciiTheme="majorHAnsi" w:hAnsiTheme="majorHAnsi"/>
          <w:sz w:val="20"/>
          <w:szCs w:val="20"/>
          <w:lang w:val="es-CO" w:eastAsia="es-CO"/>
        </w:rPr>
        <w:t>a Comisión Interamericana concluye que la petición fue presentada</w:t>
      </w:r>
      <w:r w:rsidR="004B0FED">
        <w:rPr>
          <w:rFonts w:asciiTheme="majorHAnsi" w:hAnsiTheme="majorHAnsi"/>
          <w:sz w:val="20"/>
          <w:szCs w:val="20"/>
          <w:lang w:val="es-CO" w:eastAsia="es-CO"/>
        </w:rPr>
        <w:t>, así,</w:t>
      </w:r>
      <w:r w:rsidR="00454CB2" w:rsidRPr="00507154">
        <w:rPr>
          <w:rFonts w:asciiTheme="majorHAnsi" w:hAnsiTheme="majorHAnsi"/>
          <w:sz w:val="20"/>
          <w:szCs w:val="20"/>
          <w:lang w:val="es-CO" w:eastAsia="es-CO"/>
        </w:rPr>
        <w:t xml:space="preserve"> dentro de un plazo razonable, en los términos del artículo 32.2 </w:t>
      </w:r>
      <w:r>
        <w:rPr>
          <w:rFonts w:asciiTheme="majorHAnsi" w:hAnsiTheme="majorHAnsi"/>
          <w:sz w:val="20"/>
          <w:szCs w:val="20"/>
          <w:lang w:val="es-CO" w:eastAsia="es-CO"/>
        </w:rPr>
        <w:t>de su</w:t>
      </w:r>
      <w:r w:rsidR="00454CB2" w:rsidRPr="00507154">
        <w:rPr>
          <w:rFonts w:asciiTheme="majorHAnsi" w:hAnsiTheme="majorHAnsi"/>
          <w:sz w:val="20"/>
          <w:szCs w:val="20"/>
          <w:lang w:val="es-CO" w:eastAsia="es-CO"/>
        </w:rPr>
        <w:t xml:space="preserve"> Reglamento</w:t>
      </w:r>
      <w:r w:rsidR="00FF1ABF">
        <w:rPr>
          <w:rFonts w:asciiTheme="majorHAnsi" w:hAnsiTheme="majorHAnsi"/>
          <w:sz w:val="20"/>
          <w:szCs w:val="20"/>
          <w:lang w:val="es-CO" w:eastAsia="es-CO"/>
        </w:rPr>
        <w:t>, en concordancia con el artículo 46.1.b) de la Convención Americana</w:t>
      </w:r>
      <w:r w:rsidR="00454CB2" w:rsidRPr="00507154">
        <w:rPr>
          <w:rFonts w:asciiTheme="majorHAnsi" w:hAnsiTheme="majorHAnsi"/>
          <w:sz w:val="20"/>
          <w:szCs w:val="20"/>
          <w:lang w:val="es-CO" w:eastAsia="es-CO"/>
        </w:rPr>
        <w:t xml:space="preserve">. </w:t>
      </w:r>
    </w:p>
    <w:p w14:paraId="51F6832E" w14:textId="77777777" w:rsidR="00454CB2" w:rsidRPr="00507154" w:rsidRDefault="00454CB2" w:rsidP="00FF1ABF">
      <w:pPr>
        <w:jc w:val="both"/>
        <w:rPr>
          <w:rFonts w:asciiTheme="majorHAnsi" w:hAnsiTheme="majorHAnsi"/>
          <w:sz w:val="20"/>
          <w:szCs w:val="20"/>
          <w:lang w:val="es-CO" w:eastAsia="es-CO"/>
        </w:rPr>
      </w:pPr>
    </w:p>
    <w:p w14:paraId="791355B2" w14:textId="77777777" w:rsidR="003E30B2" w:rsidRPr="00507154" w:rsidRDefault="00454CB2" w:rsidP="00507154">
      <w:pPr>
        <w:ind w:firstLine="720"/>
        <w:jc w:val="both"/>
        <w:rPr>
          <w:rFonts w:asciiTheme="majorHAnsi" w:hAnsiTheme="majorHAnsi"/>
          <w:sz w:val="20"/>
          <w:szCs w:val="20"/>
          <w:lang w:val="es-CO"/>
        </w:rPr>
      </w:pPr>
      <w:r w:rsidRPr="00507154">
        <w:rPr>
          <w:rFonts w:asciiTheme="majorHAnsi" w:hAnsiTheme="majorHAnsi"/>
          <w:sz w:val="20"/>
          <w:szCs w:val="20"/>
          <w:lang w:val="es-CO" w:eastAsia="es-CO"/>
        </w:rPr>
        <w:t xml:space="preserve">19. </w:t>
      </w:r>
      <w:r w:rsidR="00FF1ABF">
        <w:rPr>
          <w:rFonts w:asciiTheme="majorHAnsi" w:hAnsiTheme="majorHAnsi"/>
          <w:sz w:val="20"/>
          <w:szCs w:val="20"/>
          <w:lang w:val="es-CO" w:eastAsia="es-CO"/>
        </w:rPr>
        <w:tab/>
      </w:r>
      <w:r w:rsidR="003E30B2" w:rsidRPr="00507154">
        <w:rPr>
          <w:rFonts w:asciiTheme="majorHAnsi" w:hAnsiTheme="majorHAnsi"/>
          <w:sz w:val="20"/>
          <w:szCs w:val="20"/>
          <w:lang w:val="es-CO"/>
        </w:rPr>
        <w:t xml:space="preserve">Es relevante </w:t>
      </w:r>
      <w:r w:rsidR="00FF1ABF">
        <w:rPr>
          <w:rFonts w:asciiTheme="majorHAnsi" w:hAnsiTheme="majorHAnsi"/>
          <w:sz w:val="20"/>
          <w:szCs w:val="20"/>
          <w:lang w:val="es-CO"/>
        </w:rPr>
        <w:t>recordar</w:t>
      </w:r>
      <w:r w:rsidR="003E30B2" w:rsidRPr="00507154">
        <w:rPr>
          <w:rFonts w:asciiTheme="majorHAnsi" w:hAnsiTheme="majorHAnsi"/>
          <w:sz w:val="20"/>
          <w:szCs w:val="20"/>
          <w:lang w:val="es-CO"/>
        </w:rPr>
        <w:t xml:space="preserve"> que </w:t>
      </w:r>
      <w:r w:rsidR="00FF1ABF">
        <w:rPr>
          <w:rFonts w:asciiTheme="majorHAnsi" w:hAnsiTheme="majorHAnsi"/>
          <w:sz w:val="20"/>
          <w:szCs w:val="20"/>
          <w:lang w:val="es-CO"/>
        </w:rPr>
        <w:t>e</w:t>
      </w:r>
      <w:r w:rsidR="003E30B2" w:rsidRPr="00507154">
        <w:rPr>
          <w:rFonts w:asciiTheme="majorHAnsi" w:hAnsiTheme="majorHAnsi"/>
          <w:sz w:val="20"/>
          <w:szCs w:val="20"/>
          <w:lang w:val="es-CO"/>
        </w:rPr>
        <w:t>l artículo 46.2</w:t>
      </w:r>
      <w:r w:rsidR="00FF1ABF">
        <w:rPr>
          <w:rFonts w:asciiTheme="majorHAnsi" w:hAnsiTheme="majorHAnsi"/>
          <w:sz w:val="20"/>
          <w:szCs w:val="20"/>
          <w:lang w:val="es-CO"/>
        </w:rPr>
        <w:t xml:space="preserve"> de la Convención</w:t>
      </w:r>
      <w:r w:rsidR="003E30B2" w:rsidRPr="00507154">
        <w:rPr>
          <w:rFonts w:asciiTheme="majorHAnsi" w:hAnsiTheme="majorHAnsi"/>
          <w:sz w:val="20"/>
          <w:szCs w:val="20"/>
          <w:lang w:val="es-CO"/>
        </w:rPr>
        <w:t xml:space="preserve">, por su naturaleza y objeto, es una norma con contenido autónomo </w:t>
      </w:r>
      <w:r w:rsidRPr="00507154">
        <w:rPr>
          <w:rFonts w:asciiTheme="majorHAnsi" w:hAnsiTheme="majorHAnsi"/>
          <w:sz w:val="20"/>
          <w:szCs w:val="20"/>
          <w:lang w:val="es-CO"/>
        </w:rPr>
        <w:t xml:space="preserve">frente a </w:t>
      </w:r>
      <w:r w:rsidR="003E30B2" w:rsidRPr="00507154">
        <w:rPr>
          <w:rFonts w:asciiTheme="majorHAnsi" w:hAnsiTheme="majorHAnsi"/>
          <w:sz w:val="20"/>
          <w:szCs w:val="20"/>
          <w:lang w:val="es-CO"/>
        </w:rPr>
        <w:t>las normas sustantivas de la Convención</w:t>
      </w:r>
      <w:r w:rsidR="0097609D">
        <w:rPr>
          <w:rFonts w:asciiTheme="majorHAnsi" w:hAnsiTheme="majorHAnsi"/>
          <w:sz w:val="20"/>
          <w:szCs w:val="20"/>
          <w:lang w:val="es-CO"/>
        </w:rPr>
        <w:t xml:space="preserve"> Americana</w:t>
      </w:r>
      <w:r w:rsidR="003E30B2" w:rsidRPr="00507154">
        <w:rPr>
          <w:rFonts w:asciiTheme="majorHAnsi" w:hAnsiTheme="majorHAnsi"/>
          <w:sz w:val="20"/>
          <w:szCs w:val="20"/>
          <w:lang w:val="es-CO"/>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75CB93A2" w14:textId="77777777" w:rsidR="00507154" w:rsidRDefault="00507154" w:rsidP="00507154">
      <w:pPr>
        <w:ind w:firstLine="720"/>
        <w:jc w:val="both"/>
        <w:rPr>
          <w:rFonts w:asciiTheme="majorHAnsi" w:hAnsiTheme="majorHAnsi"/>
          <w:b/>
          <w:bCs/>
          <w:sz w:val="20"/>
          <w:szCs w:val="20"/>
          <w:lang w:val="es-ES"/>
        </w:rPr>
      </w:pPr>
    </w:p>
    <w:p w14:paraId="2646B8EC" w14:textId="77777777" w:rsidR="00393A30" w:rsidRDefault="00393A30" w:rsidP="00507154">
      <w:pPr>
        <w:ind w:firstLine="720"/>
        <w:jc w:val="both"/>
        <w:rPr>
          <w:rFonts w:asciiTheme="majorHAnsi" w:hAnsiTheme="majorHAnsi"/>
          <w:b/>
          <w:bCs/>
          <w:sz w:val="20"/>
          <w:szCs w:val="20"/>
          <w:lang w:val="es-ES"/>
        </w:rPr>
      </w:pPr>
    </w:p>
    <w:p w14:paraId="4AAE05F6" w14:textId="77777777" w:rsidR="00393A30" w:rsidRDefault="00393A30" w:rsidP="00507154">
      <w:pPr>
        <w:ind w:firstLine="720"/>
        <w:jc w:val="both"/>
        <w:rPr>
          <w:rFonts w:asciiTheme="majorHAnsi" w:hAnsiTheme="majorHAnsi"/>
          <w:b/>
          <w:bCs/>
          <w:sz w:val="20"/>
          <w:szCs w:val="20"/>
          <w:lang w:val="es-ES"/>
        </w:rPr>
      </w:pPr>
    </w:p>
    <w:p w14:paraId="1DEBA55D" w14:textId="7316BF19" w:rsidR="003239B8" w:rsidRPr="00507154" w:rsidRDefault="003239B8" w:rsidP="00507154">
      <w:pPr>
        <w:ind w:firstLine="720"/>
        <w:jc w:val="both"/>
        <w:rPr>
          <w:rFonts w:asciiTheme="majorHAnsi" w:hAnsiTheme="majorHAnsi"/>
          <w:b/>
          <w:sz w:val="20"/>
          <w:szCs w:val="20"/>
          <w:lang w:val="es-ES"/>
        </w:rPr>
      </w:pPr>
      <w:r w:rsidRPr="00507154">
        <w:rPr>
          <w:rFonts w:asciiTheme="majorHAnsi" w:hAnsiTheme="majorHAnsi"/>
          <w:b/>
          <w:bCs/>
          <w:sz w:val="20"/>
          <w:szCs w:val="20"/>
          <w:lang w:val="es-ES"/>
        </w:rPr>
        <w:lastRenderedPageBreak/>
        <w:t>VII.</w:t>
      </w:r>
      <w:r w:rsidRPr="00507154">
        <w:rPr>
          <w:rFonts w:asciiTheme="majorHAnsi" w:hAnsiTheme="majorHAnsi"/>
          <w:b/>
          <w:bCs/>
          <w:sz w:val="20"/>
          <w:szCs w:val="20"/>
          <w:lang w:val="es-ES"/>
        </w:rPr>
        <w:tab/>
      </w:r>
      <w:r w:rsidR="004A6A54" w:rsidRPr="00507154">
        <w:rPr>
          <w:rFonts w:asciiTheme="majorHAnsi" w:hAnsiTheme="majorHAnsi"/>
          <w:b/>
          <w:bCs/>
          <w:sz w:val="20"/>
          <w:szCs w:val="20"/>
          <w:lang w:val="es-ES_tradnl"/>
        </w:rPr>
        <w:t xml:space="preserve">ANÁLISIS DE </w:t>
      </w:r>
      <w:r w:rsidR="00C21FEF" w:rsidRPr="00507154">
        <w:rPr>
          <w:rFonts w:asciiTheme="majorHAnsi" w:hAnsiTheme="majorHAnsi"/>
          <w:b/>
          <w:bCs/>
          <w:sz w:val="20"/>
          <w:szCs w:val="20"/>
          <w:lang w:val="es-ES"/>
        </w:rPr>
        <w:t xml:space="preserve">CARACTERIZACIÓN </w:t>
      </w:r>
      <w:r w:rsidR="00C21FEF" w:rsidRPr="00507154">
        <w:rPr>
          <w:rFonts w:asciiTheme="majorHAnsi" w:hAnsiTheme="majorHAnsi"/>
          <w:b/>
          <w:bCs/>
          <w:sz w:val="20"/>
          <w:szCs w:val="20"/>
          <w:lang w:val="es-UY"/>
        </w:rPr>
        <w:t>DE LOS HECHOS ALEGADOS</w:t>
      </w:r>
    </w:p>
    <w:p w14:paraId="7433AFD5"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DED706B" w14:textId="7B7D396D" w:rsidR="008C22EE" w:rsidRPr="00507154" w:rsidRDefault="00507154" w:rsidP="00B50DC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_tradnl"/>
        </w:rPr>
      </w:pPr>
      <w:r>
        <w:rPr>
          <w:rFonts w:asciiTheme="majorHAnsi" w:hAnsiTheme="majorHAnsi"/>
          <w:sz w:val="20"/>
          <w:szCs w:val="20"/>
          <w:lang w:val="es-ES_tradnl"/>
        </w:rPr>
        <w:t xml:space="preserve">20. </w:t>
      </w:r>
      <w:r w:rsidR="001F6237">
        <w:rPr>
          <w:rFonts w:asciiTheme="majorHAnsi" w:hAnsiTheme="majorHAnsi"/>
          <w:sz w:val="20"/>
          <w:szCs w:val="20"/>
          <w:lang w:val="es-ES_tradnl"/>
        </w:rPr>
        <w:tab/>
      </w:r>
      <w:r w:rsidR="00B50DC5">
        <w:rPr>
          <w:rFonts w:asciiTheme="majorHAnsi" w:hAnsiTheme="majorHAnsi"/>
          <w:sz w:val="20"/>
          <w:szCs w:val="20"/>
          <w:lang w:val="es-ES_tradnl"/>
        </w:rPr>
        <w:t>En primer lugar, y</w:t>
      </w:r>
      <w:r w:rsidR="00F80EE8" w:rsidRPr="00507154">
        <w:rPr>
          <w:rFonts w:asciiTheme="majorHAnsi" w:hAnsiTheme="majorHAnsi"/>
          <w:sz w:val="20"/>
          <w:szCs w:val="20"/>
          <w:lang w:val="es-ES_tradnl"/>
        </w:rPr>
        <w:t xml:space="preserve"> frente al alegato de</w:t>
      </w:r>
      <w:r w:rsidR="00B50DC5">
        <w:rPr>
          <w:rFonts w:asciiTheme="majorHAnsi" w:hAnsiTheme="majorHAnsi"/>
          <w:sz w:val="20"/>
          <w:szCs w:val="20"/>
          <w:lang w:val="es-ES_tradnl"/>
        </w:rPr>
        <w:t xml:space="preserve"> </w:t>
      </w:r>
      <w:r w:rsidR="00E46E18">
        <w:rPr>
          <w:rFonts w:asciiTheme="majorHAnsi" w:hAnsiTheme="majorHAnsi"/>
          <w:sz w:val="20"/>
          <w:szCs w:val="20"/>
          <w:lang w:val="es-ES_tradnl"/>
        </w:rPr>
        <w:t xml:space="preserve">la así llamada fórmula de la </w:t>
      </w:r>
      <w:r w:rsidR="00F80EE8" w:rsidRPr="00507154">
        <w:rPr>
          <w:rFonts w:asciiTheme="majorHAnsi" w:hAnsiTheme="majorHAnsi"/>
          <w:sz w:val="20"/>
          <w:szCs w:val="20"/>
          <w:lang w:val="es-ES_tradnl"/>
        </w:rPr>
        <w:t>“cuarta instancia” presentado por el Estado</w:t>
      </w:r>
      <w:r w:rsidR="0097609D">
        <w:rPr>
          <w:rFonts w:asciiTheme="majorHAnsi" w:hAnsiTheme="majorHAnsi"/>
          <w:sz w:val="20"/>
          <w:szCs w:val="20"/>
          <w:lang w:val="es-ES_tradnl"/>
        </w:rPr>
        <w:t xml:space="preserve">, </w:t>
      </w:r>
      <w:r w:rsidR="00AF7B78">
        <w:rPr>
          <w:rFonts w:asciiTheme="majorHAnsi" w:hAnsiTheme="majorHAnsi" w:cs="Calibri"/>
          <w:sz w:val="20"/>
          <w:szCs w:val="20"/>
          <w:lang w:val="es-ES_tradnl"/>
        </w:rPr>
        <w:t>la CIDH</w:t>
      </w:r>
      <w:r w:rsidR="00F80EE8" w:rsidRPr="00507154">
        <w:rPr>
          <w:rFonts w:asciiTheme="majorHAnsi" w:hAnsiTheme="majorHAnsi" w:cs="Calibri"/>
          <w:sz w:val="20"/>
          <w:szCs w:val="20"/>
          <w:lang w:val="es-ES_tradnl"/>
        </w:rPr>
        <w:t xml:space="preserve"> observa </w:t>
      </w:r>
      <w:r w:rsidR="00F80EE8" w:rsidRPr="00507154">
        <w:rPr>
          <w:rFonts w:asciiTheme="majorHAnsi" w:hAnsiTheme="majorHAnsi" w:cs="Calibri"/>
          <w:i/>
          <w:sz w:val="20"/>
          <w:szCs w:val="20"/>
          <w:lang w:val="es-ES_tradnl"/>
        </w:rPr>
        <w:t>prima facie</w:t>
      </w:r>
      <w:r w:rsidR="00F80EE8" w:rsidRPr="00507154">
        <w:rPr>
          <w:rFonts w:asciiTheme="majorHAnsi" w:hAnsiTheme="majorHAnsi" w:cs="Calibri"/>
          <w:sz w:val="20"/>
          <w:szCs w:val="20"/>
          <w:lang w:val="es-ES_tradnl"/>
        </w:rPr>
        <w:t xml:space="preserve"> que la petición </w:t>
      </w:r>
      <w:r w:rsidR="00B50DC5">
        <w:rPr>
          <w:rFonts w:asciiTheme="majorHAnsi" w:hAnsiTheme="majorHAnsi" w:cs="Calibri"/>
          <w:sz w:val="20"/>
          <w:szCs w:val="20"/>
          <w:lang w:val="es-ES_tradnl"/>
        </w:rPr>
        <w:t>plantea</w:t>
      </w:r>
      <w:r w:rsidR="00F80EE8" w:rsidRPr="00507154">
        <w:rPr>
          <w:rFonts w:asciiTheme="majorHAnsi" w:hAnsiTheme="majorHAnsi" w:cs="Calibri"/>
          <w:sz w:val="20"/>
          <w:szCs w:val="20"/>
          <w:lang w:val="es-ES_tradnl"/>
        </w:rPr>
        <w:t xml:space="preserve"> posibles violaciones de varios derechos humanos protegidos en la Convención Americana, </w:t>
      </w:r>
      <w:r w:rsidR="00454CB2" w:rsidRPr="00507154">
        <w:rPr>
          <w:rFonts w:asciiTheme="majorHAnsi" w:hAnsiTheme="majorHAnsi" w:cs="Calibri"/>
          <w:sz w:val="20"/>
          <w:szCs w:val="20"/>
          <w:lang w:val="es-ES_tradnl"/>
        </w:rPr>
        <w:t xml:space="preserve">que no se derivan del contenido </w:t>
      </w:r>
      <w:r w:rsidR="0097609D">
        <w:rPr>
          <w:rFonts w:asciiTheme="majorHAnsi" w:hAnsiTheme="majorHAnsi" w:cs="Calibri"/>
          <w:sz w:val="20"/>
          <w:szCs w:val="20"/>
          <w:lang w:val="es-ES_tradnl"/>
        </w:rPr>
        <w:t xml:space="preserve">o del trámite </w:t>
      </w:r>
      <w:r w:rsidR="00454CB2" w:rsidRPr="00507154">
        <w:rPr>
          <w:rFonts w:asciiTheme="majorHAnsi" w:hAnsiTheme="majorHAnsi" w:cs="Calibri"/>
          <w:sz w:val="20"/>
          <w:szCs w:val="20"/>
          <w:lang w:val="es-ES_tradnl"/>
        </w:rPr>
        <w:t xml:space="preserve">de ninguna de las dos decisiones judiciales que se han adoptado en el ámbito interno frente a este caso, tanto en la jurisdicción penal como en la jurisdicción contencioso-administrativa. </w:t>
      </w:r>
      <w:r w:rsidR="00E46E18">
        <w:rPr>
          <w:rFonts w:asciiTheme="majorHAnsi" w:hAnsiTheme="majorHAnsi" w:cs="Calibri"/>
          <w:sz w:val="20"/>
          <w:szCs w:val="20"/>
          <w:lang w:val="es-ES_tradnl"/>
        </w:rPr>
        <w:t>L</w:t>
      </w:r>
      <w:r w:rsidR="00454CB2" w:rsidRPr="00507154">
        <w:rPr>
          <w:rFonts w:asciiTheme="majorHAnsi" w:hAnsiTheme="majorHAnsi" w:cs="Calibri"/>
          <w:sz w:val="20"/>
          <w:szCs w:val="20"/>
          <w:lang w:val="es-ES_tradnl"/>
        </w:rPr>
        <w:t>a responsabilidad del Estado invocada por los peticionarios alude a la violación de los derechos a la vida, la integridad personal, la libertad de circulación y residencia, la honra y dignidad, las garantías judiciales y la protección judicial, por razón del crimen cometido por agentes de la fuerza pública, sus impactos sobre la seguridad de las víctimas, y la</w:t>
      </w:r>
      <w:r w:rsidR="00AF7B78">
        <w:rPr>
          <w:rFonts w:asciiTheme="majorHAnsi" w:hAnsiTheme="majorHAnsi" w:cs="Calibri"/>
          <w:sz w:val="20"/>
          <w:szCs w:val="20"/>
          <w:lang w:val="es-ES_tradnl"/>
        </w:rPr>
        <w:t xml:space="preserve"> alegada</w:t>
      </w:r>
      <w:r w:rsidR="00454CB2" w:rsidRPr="00507154">
        <w:rPr>
          <w:rFonts w:asciiTheme="majorHAnsi" w:hAnsiTheme="majorHAnsi" w:cs="Calibri"/>
          <w:sz w:val="20"/>
          <w:szCs w:val="20"/>
          <w:lang w:val="es-ES_tradnl"/>
        </w:rPr>
        <w:t xml:space="preserve"> impunidad subsiguiente</w:t>
      </w:r>
      <w:r w:rsidR="00AF7B78">
        <w:rPr>
          <w:rFonts w:asciiTheme="majorHAnsi" w:hAnsiTheme="majorHAnsi" w:cs="Calibri"/>
          <w:sz w:val="20"/>
          <w:szCs w:val="20"/>
          <w:lang w:val="es-ES_tradnl"/>
        </w:rPr>
        <w:t xml:space="preserve">. </w:t>
      </w:r>
      <w:r w:rsidR="00454CB2" w:rsidRPr="00507154">
        <w:rPr>
          <w:rFonts w:asciiTheme="majorHAnsi" w:hAnsiTheme="majorHAnsi" w:cs="Calibri"/>
          <w:sz w:val="20"/>
          <w:szCs w:val="20"/>
          <w:lang w:val="es-ES_tradnl"/>
        </w:rPr>
        <w:t xml:space="preserve">En consecuencia, </w:t>
      </w:r>
      <w:r w:rsidR="00AF7B78">
        <w:rPr>
          <w:rFonts w:asciiTheme="majorHAnsi" w:hAnsiTheme="majorHAnsi" w:cs="Calibri"/>
          <w:sz w:val="20"/>
          <w:szCs w:val="20"/>
          <w:lang w:val="es-ES_tradnl"/>
        </w:rPr>
        <w:t xml:space="preserve">la Comisión considera que aquel alegato del Estado no encuentra sustento. </w:t>
      </w:r>
    </w:p>
    <w:p w14:paraId="18FEA465"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_tradnl"/>
        </w:rPr>
      </w:pPr>
    </w:p>
    <w:p w14:paraId="7BF58357" w14:textId="77777777" w:rsidR="003E30B2" w:rsidRPr="00507154" w:rsidRDefault="00A708F6"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r>
        <w:rPr>
          <w:rFonts w:asciiTheme="majorHAnsi" w:hAnsiTheme="majorHAnsi" w:cs="Calibri"/>
          <w:sz w:val="20"/>
          <w:szCs w:val="20"/>
          <w:lang w:val="es-ES_tradnl"/>
        </w:rPr>
        <w:t>21</w:t>
      </w:r>
      <w:r w:rsidR="00507154">
        <w:rPr>
          <w:rFonts w:asciiTheme="majorHAnsi" w:hAnsiTheme="majorHAnsi" w:cs="Calibri"/>
          <w:sz w:val="20"/>
          <w:szCs w:val="20"/>
          <w:lang w:val="es-ES_tradnl"/>
        </w:rPr>
        <w:t xml:space="preserve">. </w:t>
      </w:r>
      <w:r>
        <w:rPr>
          <w:rFonts w:asciiTheme="majorHAnsi" w:hAnsiTheme="majorHAnsi" w:cs="Calibri"/>
          <w:sz w:val="20"/>
          <w:szCs w:val="20"/>
          <w:lang w:val="es-ES_tradnl"/>
        </w:rPr>
        <w:tab/>
      </w:r>
      <w:r w:rsidR="00FB4C6F" w:rsidRPr="00507154">
        <w:rPr>
          <w:rFonts w:asciiTheme="majorHAnsi" w:hAnsiTheme="majorHAnsi" w:cs="Calibri"/>
          <w:sz w:val="20"/>
          <w:szCs w:val="20"/>
          <w:lang w:val="es-ES_tradnl"/>
        </w:rPr>
        <w:t xml:space="preserve">En un informe de admisibilidad adoptado en 2015, la CIDH acumuló </w:t>
      </w:r>
      <w:r w:rsidR="0097609D">
        <w:rPr>
          <w:rFonts w:asciiTheme="majorHAnsi" w:hAnsiTheme="majorHAnsi" w:cs="Calibri"/>
          <w:sz w:val="20"/>
          <w:szCs w:val="20"/>
          <w:lang w:val="es-ES_tradnl"/>
        </w:rPr>
        <w:t xml:space="preserve">para su conocimiento </w:t>
      </w:r>
      <w:r w:rsidR="00FB4C6F" w:rsidRPr="00507154">
        <w:rPr>
          <w:rFonts w:asciiTheme="majorHAnsi" w:hAnsiTheme="majorHAnsi" w:cs="Calibri"/>
          <w:sz w:val="20"/>
          <w:szCs w:val="20"/>
          <w:lang w:val="es-ES_tradnl"/>
        </w:rPr>
        <w:t xml:space="preserve">numerosos casos de presuntas ejecuciones extrajudiciales </w:t>
      </w:r>
      <w:r w:rsidR="0097609D">
        <w:rPr>
          <w:rFonts w:asciiTheme="majorHAnsi" w:hAnsiTheme="majorHAnsi" w:cs="Calibri"/>
          <w:sz w:val="20"/>
          <w:szCs w:val="20"/>
          <w:lang w:val="es-ES_tradnl"/>
        </w:rPr>
        <w:t xml:space="preserve">realizadas </w:t>
      </w:r>
      <w:r w:rsidR="00FB4C6F" w:rsidRPr="00507154">
        <w:rPr>
          <w:rFonts w:asciiTheme="majorHAnsi" w:hAnsiTheme="majorHAnsi" w:cs="Calibri"/>
          <w:sz w:val="20"/>
          <w:szCs w:val="20"/>
          <w:lang w:val="es-ES_tradnl"/>
        </w:rPr>
        <w:t>dentro del patrón descrito de los así llamados “falsos positivos” en Colombia. En dicho informe, la CIDH tomó nota “</w:t>
      </w:r>
      <w:r w:rsidR="00454CB2" w:rsidRPr="00A708F6">
        <w:rPr>
          <w:rFonts w:asciiTheme="majorHAnsi" w:hAnsiTheme="majorHAnsi"/>
          <w:i/>
          <w:sz w:val="20"/>
          <w:szCs w:val="20"/>
          <w:lang w:val="es-CO"/>
        </w:rPr>
        <w:t>del contexto en que ocurrieron las presuntas violaciones, incluyendo el marco jurídico establecido para proporcionar incentivos económicos a miembros del ejército por el número de bajas producidas en combate</w:t>
      </w:r>
      <w:r w:rsidR="00FB4C6F" w:rsidRPr="00507154">
        <w:rPr>
          <w:rFonts w:asciiTheme="majorHAnsi" w:hAnsiTheme="majorHAnsi"/>
          <w:sz w:val="20"/>
          <w:szCs w:val="20"/>
          <w:lang w:val="es-CO"/>
        </w:rPr>
        <w:t xml:space="preserve">”, por lo cual consideró que estaba </w:t>
      </w:r>
      <w:r w:rsidR="0097609D">
        <w:rPr>
          <w:rFonts w:asciiTheme="majorHAnsi" w:hAnsiTheme="majorHAnsi"/>
          <w:sz w:val="20"/>
          <w:szCs w:val="20"/>
          <w:lang w:val="es-CO"/>
        </w:rPr>
        <w:t xml:space="preserve">potencialmente </w:t>
      </w:r>
      <w:r w:rsidR="00FB4C6F" w:rsidRPr="00507154">
        <w:rPr>
          <w:rFonts w:asciiTheme="majorHAnsi" w:hAnsiTheme="majorHAnsi"/>
          <w:sz w:val="20"/>
          <w:szCs w:val="20"/>
          <w:lang w:val="es-CO"/>
        </w:rPr>
        <w:t>comprometido el deber del Estado de adoptar disposiciones de derecho interno para hacer efectiva la Convención Americana</w:t>
      </w:r>
      <w:r w:rsidR="0097609D">
        <w:rPr>
          <w:rFonts w:asciiTheme="majorHAnsi" w:hAnsiTheme="majorHAnsi"/>
          <w:sz w:val="20"/>
          <w:szCs w:val="20"/>
          <w:lang w:val="es-CO"/>
        </w:rPr>
        <w:t xml:space="preserve"> bajo el artículo 2 de tal instrumento</w:t>
      </w:r>
      <w:r w:rsidR="00507154">
        <w:rPr>
          <w:rStyle w:val="FootnoteReference"/>
          <w:rFonts w:asciiTheme="majorHAnsi" w:hAnsiTheme="majorHAnsi"/>
          <w:sz w:val="20"/>
          <w:szCs w:val="20"/>
          <w:lang w:val="es-CO"/>
        </w:rPr>
        <w:footnoteReference w:id="8"/>
      </w:r>
      <w:r w:rsidR="00FB4C6F" w:rsidRPr="00507154">
        <w:rPr>
          <w:rFonts w:asciiTheme="majorHAnsi" w:hAnsiTheme="majorHAnsi"/>
          <w:sz w:val="20"/>
          <w:szCs w:val="20"/>
          <w:lang w:val="es-CO"/>
        </w:rPr>
        <w:t xml:space="preserve"> – postura que se reiterará en el presente informe por haber obedecido el crimen, también en este caso, a estímulos plasmados en una Directiva del Ministerio de Defensa.</w:t>
      </w:r>
      <w:r w:rsidR="00454CB2" w:rsidRPr="00507154">
        <w:rPr>
          <w:rFonts w:asciiTheme="majorHAnsi" w:hAnsiTheme="majorHAnsi"/>
          <w:sz w:val="20"/>
          <w:szCs w:val="20"/>
          <w:lang w:val="es-CO"/>
        </w:rPr>
        <w:t xml:space="preserve"> </w:t>
      </w:r>
    </w:p>
    <w:p w14:paraId="14BC99D8"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CO"/>
        </w:rPr>
      </w:pPr>
    </w:p>
    <w:p w14:paraId="03EEC892" w14:textId="1A828CAC" w:rsidR="00C336D2" w:rsidRDefault="00C336D2"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Pr>
          <w:rFonts w:asciiTheme="majorHAnsi" w:hAnsiTheme="majorHAnsi"/>
          <w:sz w:val="20"/>
          <w:szCs w:val="20"/>
          <w:lang w:val="es-ES_tradnl"/>
        </w:rPr>
        <w:t>2</w:t>
      </w:r>
      <w:r w:rsidR="00B23EDF">
        <w:rPr>
          <w:rFonts w:asciiTheme="majorHAnsi" w:hAnsiTheme="majorHAnsi"/>
          <w:sz w:val="20"/>
          <w:szCs w:val="20"/>
          <w:lang w:val="es-ES_tradnl"/>
        </w:rPr>
        <w:t>2</w:t>
      </w:r>
      <w:r w:rsidR="00507154">
        <w:rPr>
          <w:rFonts w:asciiTheme="majorHAnsi" w:hAnsiTheme="majorHAnsi"/>
          <w:sz w:val="20"/>
          <w:szCs w:val="20"/>
          <w:lang w:val="es-ES_tradnl"/>
        </w:rPr>
        <w:t xml:space="preserve">. </w:t>
      </w:r>
      <w:r>
        <w:rPr>
          <w:rFonts w:asciiTheme="majorHAnsi" w:hAnsiTheme="majorHAnsi"/>
          <w:sz w:val="20"/>
          <w:szCs w:val="20"/>
          <w:lang w:val="es-ES_tradnl"/>
        </w:rPr>
        <w:tab/>
      </w:r>
      <w:r w:rsidR="00507154" w:rsidRPr="00507154">
        <w:rPr>
          <w:rFonts w:asciiTheme="majorHAnsi" w:hAnsiTheme="majorHAnsi"/>
          <w:sz w:val="20"/>
          <w:szCs w:val="20"/>
          <w:lang w:val="es-ES_tradnl"/>
        </w:rPr>
        <w:t>En atención a estas consideraciones y tras examinar los elementos de hecho y de derecho expuestos por las partes, la Comisión estima que los hechos alegados</w:t>
      </w:r>
      <w:r>
        <w:rPr>
          <w:rFonts w:asciiTheme="majorHAnsi" w:hAnsiTheme="majorHAnsi"/>
          <w:sz w:val="20"/>
          <w:szCs w:val="20"/>
          <w:lang w:val="es-ES_tradnl"/>
        </w:rPr>
        <w:t xml:space="preserve"> por la parte peticionaria</w:t>
      </w:r>
      <w:r w:rsidR="00507154" w:rsidRPr="00507154">
        <w:rPr>
          <w:rFonts w:asciiTheme="majorHAnsi" w:hAnsiTheme="majorHAnsi"/>
          <w:sz w:val="20"/>
          <w:szCs w:val="20"/>
          <w:lang w:val="es-ES_tradnl"/>
        </w:rPr>
        <w:t xml:space="preserve">, de corroborarse, podrían caracterizar violaciones a los </w:t>
      </w:r>
      <w:r>
        <w:rPr>
          <w:rFonts w:asciiTheme="majorHAnsi" w:hAnsiTheme="majorHAnsi"/>
          <w:sz w:val="20"/>
          <w:szCs w:val="20"/>
          <w:lang w:val="es-ES_tradnl"/>
        </w:rPr>
        <w:t xml:space="preserve">derechos establecidos en los </w:t>
      </w:r>
      <w:r w:rsidR="00507154" w:rsidRPr="00507154">
        <w:rPr>
          <w:rFonts w:asciiTheme="majorHAnsi" w:hAnsiTheme="majorHAnsi"/>
          <w:sz w:val="20"/>
          <w:szCs w:val="20"/>
          <w:lang w:val="es-ES_tradnl"/>
        </w:rPr>
        <w:t xml:space="preserve">artículos 4 (derecho a la vida), 5 (derecho a la integridad personal), 8 (garantías judiciales), </w:t>
      </w:r>
      <w:r w:rsidR="00507154">
        <w:rPr>
          <w:rFonts w:asciiTheme="majorHAnsi" w:hAnsiTheme="majorHAnsi"/>
          <w:sz w:val="20"/>
          <w:szCs w:val="20"/>
          <w:lang w:val="es-ES_tradnl"/>
        </w:rPr>
        <w:t xml:space="preserve">11 </w:t>
      </w:r>
      <w:r w:rsidR="00507154" w:rsidRPr="00507154">
        <w:rPr>
          <w:rFonts w:asciiTheme="majorHAnsi" w:hAnsiTheme="majorHAnsi"/>
          <w:sz w:val="20"/>
          <w:szCs w:val="20"/>
          <w:lang w:val="es-ES_tradnl"/>
        </w:rPr>
        <w:t>(</w:t>
      </w:r>
      <w:r w:rsidR="00507154">
        <w:rPr>
          <w:rFonts w:asciiTheme="majorHAnsi" w:hAnsiTheme="majorHAnsi"/>
          <w:sz w:val="20"/>
          <w:szCs w:val="20"/>
          <w:lang w:val="es-ES_tradnl"/>
        </w:rPr>
        <w:t>honra y dignidad</w:t>
      </w:r>
      <w:r w:rsidR="00507154" w:rsidRPr="00507154">
        <w:rPr>
          <w:rFonts w:asciiTheme="majorHAnsi" w:hAnsiTheme="majorHAnsi"/>
          <w:sz w:val="20"/>
          <w:szCs w:val="20"/>
          <w:lang w:val="es-ES_tradnl"/>
        </w:rPr>
        <w:t>)</w:t>
      </w:r>
      <w:r w:rsidR="00507154">
        <w:rPr>
          <w:rFonts w:asciiTheme="majorHAnsi" w:hAnsiTheme="majorHAnsi"/>
          <w:sz w:val="20"/>
          <w:szCs w:val="20"/>
          <w:lang w:val="es-ES_tradnl"/>
        </w:rPr>
        <w:t>, 22 (circulación y residencia)</w:t>
      </w:r>
      <w:r>
        <w:rPr>
          <w:rFonts w:asciiTheme="majorHAnsi" w:hAnsiTheme="majorHAnsi"/>
          <w:sz w:val="20"/>
          <w:szCs w:val="20"/>
          <w:lang w:val="es-ES_tradnl"/>
        </w:rPr>
        <w:t>,</w:t>
      </w:r>
      <w:r w:rsidR="00507154" w:rsidRPr="00507154">
        <w:rPr>
          <w:rFonts w:asciiTheme="majorHAnsi" w:hAnsiTheme="majorHAnsi"/>
          <w:sz w:val="20"/>
          <w:szCs w:val="20"/>
          <w:lang w:val="es-ES_tradnl"/>
        </w:rPr>
        <w:t xml:space="preserve"> 25 (protección judicial) </w:t>
      </w:r>
      <w:r>
        <w:rPr>
          <w:rFonts w:asciiTheme="majorHAnsi" w:hAnsiTheme="majorHAnsi"/>
          <w:sz w:val="20"/>
          <w:szCs w:val="20"/>
          <w:lang w:val="es-ES_tradnl"/>
        </w:rPr>
        <w:t xml:space="preserve">y 26 (derechos económicos, sociales y culturales) </w:t>
      </w:r>
      <w:r w:rsidR="00507154" w:rsidRPr="00507154">
        <w:rPr>
          <w:rFonts w:asciiTheme="majorHAnsi" w:hAnsiTheme="majorHAnsi"/>
          <w:sz w:val="20"/>
          <w:szCs w:val="20"/>
          <w:lang w:val="es-ES_tradnl"/>
        </w:rPr>
        <w:t>de la Convención Americana, en relación con su</w:t>
      </w:r>
      <w:r w:rsidR="00507154">
        <w:rPr>
          <w:rFonts w:asciiTheme="majorHAnsi" w:hAnsiTheme="majorHAnsi"/>
          <w:sz w:val="20"/>
          <w:szCs w:val="20"/>
          <w:lang w:val="es-ES_tradnl"/>
        </w:rPr>
        <w:t>s</w:t>
      </w:r>
      <w:r w:rsidR="00507154" w:rsidRPr="00507154">
        <w:rPr>
          <w:rFonts w:asciiTheme="majorHAnsi" w:hAnsiTheme="majorHAnsi"/>
          <w:sz w:val="20"/>
          <w:szCs w:val="20"/>
          <w:lang w:val="es-ES_tradnl"/>
        </w:rPr>
        <w:t xml:space="preserve"> artículo</w:t>
      </w:r>
      <w:r w:rsidR="00507154">
        <w:rPr>
          <w:rFonts w:asciiTheme="majorHAnsi" w:hAnsiTheme="majorHAnsi"/>
          <w:sz w:val="20"/>
          <w:szCs w:val="20"/>
          <w:lang w:val="es-ES_tradnl"/>
        </w:rPr>
        <w:t>s</w:t>
      </w:r>
      <w:r w:rsidR="00507154" w:rsidRPr="00507154">
        <w:rPr>
          <w:rFonts w:asciiTheme="majorHAnsi" w:hAnsiTheme="majorHAnsi"/>
          <w:sz w:val="20"/>
          <w:szCs w:val="20"/>
          <w:lang w:val="es-ES_tradnl"/>
        </w:rPr>
        <w:t xml:space="preserve"> 1.1 (obligación de respetar los derechos)</w:t>
      </w:r>
      <w:r w:rsidR="00507154">
        <w:rPr>
          <w:rFonts w:asciiTheme="majorHAnsi" w:hAnsiTheme="majorHAnsi"/>
          <w:sz w:val="20"/>
          <w:szCs w:val="20"/>
          <w:lang w:val="es-ES_tradnl"/>
        </w:rPr>
        <w:t xml:space="preserve"> y 2 (deber de adoptar disposiciones de derecho interno)</w:t>
      </w:r>
      <w:r>
        <w:rPr>
          <w:rFonts w:asciiTheme="majorHAnsi" w:hAnsiTheme="majorHAnsi"/>
          <w:sz w:val="20"/>
          <w:szCs w:val="20"/>
          <w:lang w:val="es-ES_tradnl"/>
        </w:rPr>
        <w:t xml:space="preserve">, en perjuicio de las presuntas víctimas, en los términos del presente informe. </w:t>
      </w:r>
    </w:p>
    <w:p w14:paraId="7A9143C8" w14:textId="77777777" w:rsidR="00C336D2" w:rsidRDefault="00C336D2"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31E23915" w14:textId="7F23C4DE" w:rsidR="00507154" w:rsidRDefault="00C336D2"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Pr>
          <w:rFonts w:asciiTheme="majorHAnsi" w:hAnsiTheme="majorHAnsi"/>
          <w:sz w:val="20"/>
          <w:szCs w:val="20"/>
          <w:lang w:val="es-ES_tradnl"/>
        </w:rPr>
        <w:t>2</w:t>
      </w:r>
      <w:r w:rsidR="00B23EDF">
        <w:rPr>
          <w:rFonts w:asciiTheme="majorHAnsi" w:hAnsiTheme="majorHAnsi"/>
          <w:sz w:val="20"/>
          <w:szCs w:val="20"/>
          <w:lang w:val="es-ES_tradnl"/>
        </w:rPr>
        <w:t>3</w:t>
      </w:r>
      <w:r>
        <w:rPr>
          <w:rFonts w:asciiTheme="majorHAnsi" w:hAnsiTheme="majorHAnsi"/>
          <w:sz w:val="20"/>
          <w:szCs w:val="20"/>
          <w:lang w:val="es-ES_tradnl"/>
        </w:rPr>
        <w:t>.</w:t>
      </w:r>
      <w:r>
        <w:rPr>
          <w:rFonts w:asciiTheme="majorHAnsi" w:hAnsiTheme="majorHAnsi"/>
          <w:sz w:val="20"/>
          <w:szCs w:val="20"/>
          <w:lang w:val="es-ES_tradnl"/>
        </w:rPr>
        <w:tab/>
      </w:r>
      <w:r w:rsidR="00507154">
        <w:rPr>
          <w:rFonts w:asciiTheme="majorHAnsi" w:hAnsiTheme="majorHAnsi"/>
          <w:sz w:val="20"/>
          <w:szCs w:val="20"/>
          <w:lang w:val="es-ES_tradnl"/>
        </w:rPr>
        <w:t xml:space="preserve">De igual forma, los alegatos sobre el sufrimiento infligido al señor Freddy Torres durante el ataque al cual sobrevivió y en forma subsiguiente al mismo, con la aludida persecución suya y de sus familiares, </w:t>
      </w:r>
      <w:r>
        <w:rPr>
          <w:rFonts w:asciiTheme="majorHAnsi" w:hAnsiTheme="majorHAnsi"/>
          <w:sz w:val="20"/>
          <w:szCs w:val="20"/>
          <w:lang w:val="es-ES_tradnl"/>
        </w:rPr>
        <w:t>y la falta de una debida investigación de los mismos, podrían constituir</w:t>
      </w:r>
      <w:r w:rsidR="00507154">
        <w:rPr>
          <w:rFonts w:asciiTheme="majorHAnsi" w:hAnsiTheme="majorHAnsi"/>
          <w:sz w:val="20"/>
          <w:szCs w:val="20"/>
          <w:lang w:val="es-ES_tradnl"/>
        </w:rPr>
        <w:t xml:space="preserve"> violaciones de los artículos 1, 6 y 8 de la Convención Interamericana para Prevenir y Sancionar la Tortura.</w:t>
      </w:r>
    </w:p>
    <w:p w14:paraId="566535A1" w14:textId="03C7344A" w:rsidR="00BE35FE" w:rsidRDefault="00BE35FE"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C2DA359" w14:textId="6C16255D" w:rsidR="00BE35FE" w:rsidRPr="00916AB8" w:rsidRDefault="00BE35FE"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916AB8">
        <w:rPr>
          <w:rFonts w:asciiTheme="majorHAnsi" w:hAnsiTheme="majorHAnsi"/>
          <w:b/>
          <w:bCs/>
          <w:sz w:val="20"/>
          <w:szCs w:val="20"/>
          <w:lang w:val="es-ES_tradnl"/>
        </w:rPr>
        <w:t xml:space="preserve">VIII. </w:t>
      </w:r>
      <w:r w:rsidR="00D85F57" w:rsidRPr="00916AB8">
        <w:rPr>
          <w:rFonts w:asciiTheme="majorHAnsi" w:hAnsiTheme="majorHAnsi"/>
          <w:b/>
          <w:bCs/>
          <w:sz w:val="20"/>
          <w:szCs w:val="20"/>
          <w:lang w:val="es-ES_tradnl"/>
        </w:rPr>
        <w:t xml:space="preserve">ALGUNAS </w:t>
      </w:r>
      <w:r w:rsidRPr="00916AB8">
        <w:rPr>
          <w:rFonts w:asciiTheme="majorHAnsi" w:hAnsiTheme="majorHAnsi"/>
          <w:b/>
          <w:bCs/>
          <w:sz w:val="20"/>
          <w:szCs w:val="20"/>
          <w:lang w:val="es-ES_tradnl"/>
        </w:rPr>
        <w:t>CONSIDERACIONES ADICIONALES SOBRE LAS REPARACIONES ANTE EL SISTEMA INTERAMERICANO DE DERECHOS HUMANOS</w:t>
      </w:r>
    </w:p>
    <w:p w14:paraId="4EB4A3FC" w14:textId="77777777" w:rsidR="00C336D2" w:rsidRPr="00916AB8" w:rsidRDefault="00C336D2"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DE87371" w14:textId="2A3101F1" w:rsidR="00B23EDF" w:rsidRPr="00916AB8" w:rsidRDefault="00B23EDF"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419"/>
        </w:rPr>
      </w:pPr>
      <w:r w:rsidRPr="00916AB8">
        <w:rPr>
          <w:rFonts w:asciiTheme="majorHAnsi" w:hAnsiTheme="majorHAnsi"/>
          <w:sz w:val="20"/>
          <w:szCs w:val="20"/>
          <w:lang w:val="es-CO"/>
        </w:rPr>
        <w:t>2</w:t>
      </w:r>
      <w:r w:rsidR="00BE35FE" w:rsidRPr="00916AB8">
        <w:rPr>
          <w:rFonts w:asciiTheme="majorHAnsi" w:hAnsiTheme="majorHAnsi"/>
          <w:sz w:val="20"/>
          <w:szCs w:val="20"/>
          <w:lang w:val="es-CO"/>
        </w:rPr>
        <w:t>4</w:t>
      </w:r>
      <w:r w:rsidRPr="00916AB8">
        <w:rPr>
          <w:rFonts w:asciiTheme="majorHAnsi" w:hAnsiTheme="majorHAnsi"/>
          <w:sz w:val="20"/>
          <w:szCs w:val="20"/>
          <w:lang w:val="es-CO"/>
        </w:rPr>
        <w:t xml:space="preserve">. </w:t>
      </w:r>
      <w:r w:rsidRPr="00916AB8">
        <w:rPr>
          <w:rFonts w:asciiTheme="majorHAnsi" w:hAnsiTheme="majorHAnsi"/>
          <w:sz w:val="20"/>
          <w:szCs w:val="20"/>
          <w:lang w:val="es-CO"/>
        </w:rPr>
        <w:tab/>
      </w:r>
      <w:r w:rsidR="00BE35FE" w:rsidRPr="00916AB8">
        <w:rPr>
          <w:rFonts w:asciiTheme="majorHAnsi" w:hAnsiTheme="majorHAnsi"/>
          <w:sz w:val="20"/>
          <w:szCs w:val="20"/>
          <w:lang w:val="es-CO"/>
        </w:rPr>
        <w:t xml:space="preserve">Colombia </w:t>
      </w:r>
      <w:r w:rsidRPr="00916AB8">
        <w:rPr>
          <w:rFonts w:asciiTheme="majorHAnsi" w:hAnsiTheme="majorHAnsi"/>
          <w:sz w:val="20"/>
          <w:szCs w:val="20"/>
          <w:lang w:val="es-419"/>
        </w:rPr>
        <w:t>ha argumentado que la petición carece actualmente de objeto, por cuanto las víctimas ya habrían sido reparadas en el ámbito interno en cumplimiento del fallo del Tribunal Administrativo de Cundinamarca; las reparaciones ordenadas allí incluyen tanto el pago de montos dinerarios como la realización de un acto público de reconocimiento de responsabilidad y pedido de perdón. Sin embargo, los peticionarios controvierten esta postura estatal, afirmando que los derechos a la verdad, la justicia y a la reparación de Freddy Torres</w:t>
      </w:r>
      <w:r w:rsidR="00D02860" w:rsidRPr="00916AB8">
        <w:rPr>
          <w:rFonts w:asciiTheme="majorHAnsi" w:hAnsiTheme="majorHAnsi"/>
          <w:sz w:val="20"/>
          <w:szCs w:val="20"/>
          <w:lang w:val="es-419"/>
        </w:rPr>
        <w:t xml:space="preserve">, </w:t>
      </w:r>
      <w:r w:rsidRPr="00916AB8">
        <w:rPr>
          <w:rFonts w:asciiTheme="majorHAnsi" w:hAnsiTheme="majorHAnsi"/>
          <w:sz w:val="20"/>
          <w:szCs w:val="20"/>
          <w:lang w:val="es-419"/>
        </w:rPr>
        <w:t xml:space="preserve">Helvir Antonio Torres </w:t>
      </w:r>
      <w:r w:rsidR="00D02860" w:rsidRPr="00916AB8">
        <w:rPr>
          <w:rFonts w:asciiTheme="majorHAnsi" w:hAnsiTheme="majorHAnsi"/>
          <w:sz w:val="20"/>
          <w:szCs w:val="20"/>
          <w:lang w:val="es-419"/>
        </w:rPr>
        <w:t xml:space="preserve">y sus familiares </w:t>
      </w:r>
      <w:r w:rsidRPr="00916AB8">
        <w:rPr>
          <w:rFonts w:asciiTheme="majorHAnsi" w:hAnsiTheme="majorHAnsi"/>
          <w:sz w:val="20"/>
          <w:szCs w:val="20"/>
          <w:lang w:val="es-419"/>
        </w:rPr>
        <w:t>permanecen incumplidos</w:t>
      </w:r>
      <w:r w:rsidR="00A95204" w:rsidRPr="00916AB8">
        <w:rPr>
          <w:rFonts w:asciiTheme="majorHAnsi" w:hAnsiTheme="majorHAnsi"/>
          <w:sz w:val="20"/>
          <w:szCs w:val="20"/>
          <w:lang w:val="es-419"/>
        </w:rPr>
        <w:t>. En particular, alegan que las compensaciones económicas ordenadas judicialmente han sido insuficientes y no se han pagado; que no se ha procesado penalmente a todos los responsables del homicidio de Helvir Antonio y del intento de homicidio de Freddy; que los delitos de persecución y ataque con arma de fuego contra Freddy permanecen en la impunidad, al igual que el</w:t>
      </w:r>
      <w:r w:rsidR="00D02860" w:rsidRPr="00916AB8">
        <w:rPr>
          <w:rFonts w:asciiTheme="majorHAnsi" w:hAnsiTheme="majorHAnsi"/>
          <w:sz w:val="20"/>
          <w:szCs w:val="20"/>
          <w:lang w:val="es-419"/>
        </w:rPr>
        <w:t xml:space="preserve"> delito de</w:t>
      </w:r>
      <w:r w:rsidR="00A95204" w:rsidRPr="00916AB8">
        <w:rPr>
          <w:rFonts w:asciiTheme="majorHAnsi" w:hAnsiTheme="majorHAnsi"/>
          <w:sz w:val="20"/>
          <w:szCs w:val="20"/>
          <w:lang w:val="es-419"/>
        </w:rPr>
        <w:t xml:space="preserve"> desplazamiento </w:t>
      </w:r>
      <w:r w:rsidR="00D02860" w:rsidRPr="00916AB8">
        <w:rPr>
          <w:rFonts w:asciiTheme="majorHAnsi" w:hAnsiTheme="majorHAnsi"/>
          <w:sz w:val="20"/>
          <w:szCs w:val="20"/>
          <w:lang w:val="es-419"/>
        </w:rPr>
        <w:t xml:space="preserve">forzado </w:t>
      </w:r>
      <w:r w:rsidR="00A95204" w:rsidRPr="00916AB8">
        <w:rPr>
          <w:rFonts w:asciiTheme="majorHAnsi" w:hAnsiTheme="majorHAnsi"/>
          <w:sz w:val="20"/>
          <w:szCs w:val="20"/>
          <w:lang w:val="es-419"/>
        </w:rPr>
        <w:t>de los familiares de ambos; y que no se han dispuesto medidas de rehabilitación ni garantías de no repetición consistentes con la doctrina y jurisprudencia del Sistema Interamericano.</w:t>
      </w:r>
    </w:p>
    <w:p w14:paraId="29A168DB" w14:textId="77777777" w:rsidR="00B23EDF" w:rsidRPr="00916AB8" w:rsidRDefault="00B23EDF"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419"/>
        </w:rPr>
      </w:pPr>
    </w:p>
    <w:p w14:paraId="304052E1" w14:textId="13159126" w:rsidR="00B23EDF" w:rsidRPr="00916AB8" w:rsidRDefault="00BE35FE"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916AB8">
        <w:rPr>
          <w:rFonts w:asciiTheme="majorHAnsi" w:hAnsiTheme="majorHAnsi"/>
          <w:sz w:val="20"/>
          <w:szCs w:val="20"/>
          <w:lang w:val="es-419"/>
        </w:rPr>
        <w:lastRenderedPageBreak/>
        <w:t xml:space="preserve">25. </w:t>
      </w:r>
      <w:r w:rsidR="00B23EDF" w:rsidRPr="00916AB8">
        <w:rPr>
          <w:rFonts w:asciiTheme="majorHAnsi" w:hAnsiTheme="majorHAnsi"/>
          <w:sz w:val="20"/>
          <w:szCs w:val="20"/>
          <w:lang w:val="es-419"/>
        </w:rPr>
        <w:t>A este respecto, l</w:t>
      </w:r>
      <w:r w:rsidR="00B23EDF" w:rsidRPr="00916AB8">
        <w:rPr>
          <w:rFonts w:asciiTheme="majorHAnsi" w:hAnsiTheme="majorHAnsi"/>
          <w:sz w:val="20"/>
          <w:szCs w:val="20"/>
          <w:lang w:val="es-ES"/>
        </w:rPr>
        <w:t xml:space="preserve">a CIDH </w:t>
      </w:r>
      <w:r w:rsidR="00A95204" w:rsidRPr="00916AB8">
        <w:rPr>
          <w:rFonts w:asciiTheme="majorHAnsi" w:hAnsiTheme="majorHAnsi"/>
          <w:sz w:val="20"/>
          <w:szCs w:val="20"/>
          <w:lang w:val="es-ES"/>
        </w:rPr>
        <w:t xml:space="preserve">resalta </w:t>
      </w:r>
      <w:r w:rsidR="00B23EDF" w:rsidRPr="00916AB8">
        <w:rPr>
          <w:rFonts w:asciiTheme="majorHAnsi" w:hAnsiTheme="majorHAnsi"/>
          <w:sz w:val="20"/>
          <w:szCs w:val="20"/>
          <w:lang w:val="es-ES"/>
        </w:rPr>
        <w:t xml:space="preserve">que la responsabilidad internacional del Estado que se reclama ante el Sistema Interamericano es de una naturaleza </w:t>
      </w:r>
      <w:r w:rsidR="00A95204" w:rsidRPr="00916AB8">
        <w:rPr>
          <w:rFonts w:asciiTheme="majorHAnsi" w:hAnsiTheme="majorHAnsi"/>
          <w:sz w:val="20"/>
          <w:szCs w:val="20"/>
          <w:lang w:val="es-ES"/>
        </w:rPr>
        <w:t xml:space="preserve">fundamentalmente </w:t>
      </w:r>
      <w:r w:rsidR="00B23EDF" w:rsidRPr="00916AB8">
        <w:rPr>
          <w:rFonts w:asciiTheme="majorHAnsi" w:hAnsiTheme="majorHAnsi"/>
          <w:sz w:val="20"/>
          <w:szCs w:val="20"/>
          <w:lang w:val="es-ES"/>
        </w:rPr>
        <w:t xml:space="preserve">distinta a la responsabilidad jurídica administrativa del Estado declarada por la jurisdicción contencioso-administrativa interna, ya que se hace efectiva con referencia a parámetros jurídicos distintos, y busca determinar la aplicabilidad de reparaciones cuyos componentes difieren significativamente. </w:t>
      </w:r>
    </w:p>
    <w:p w14:paraId="341A2152" w14:textId="697D1610" w:rsidR="00BE35FE" w:rsidRPr="00916AB8" w:rsidRDefault="00BE35FE"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EC44464" w14:textId="3A162299" w:rsidR="00BE35FE" w:rsidRPr="00916AB8" w:rsidRDefault="00BE35FE"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CR"/>
        </w:rPr>
      </w:pPr>
      <w:r w:rsidRPr="00916AB8">
        <w:rPr>
          <w:rFonts w:asciiTheme="majorHAnsi" w:hAnsiTheme="majorHAnsi"/>
          <w:sz w:val="20"/>
          <w:szCs w:val="20"/>
          <w:lang w:val="es-ES"/>
        </w:rPr>
        <w:t>26. En efecto, los órganos del Sistema Interamericano han desarrollado una sólida jurisprudencia sobre el fundamento, el contenido y los componentes del derecho de las víctimas de violaciones de derechos humanos a recibir una reparación integral</w:t>
      </w:r>
      <w:r w:rsidR="00D02860" w:rsidRPr="00916AB8">
        <w:rPr>
          <w:rFonts w:asciiTheme="majorHAnsi" w:hAnsiTheme="majorHAnsi"/>
          <w:sz w:val="20"/>
          <w:szCs w:val="20"/>
          <w:lang w:val="es-ES"/>
        </w:rPr>
        <w:t xml:space="preserve">, </w:t>
      </w:r>
      <w:r w:rsidR="00FB7490" w:rsidRPr="00916AB8">
        <w:rPr>
          <w:rFonts w:asciiTheme="majorHAnsi" w:hAnsiTheme="majorHAnsi"/>
          <w:sz w:val="20"/>
          <w:szCs w:val="20"/>
          <w:lang w:val="es-ES"/>
        </w:rPr>
        <w:t xml:space="preserve">jurisprudencia </w:t>
      </w:r>
      <w:r w:rsidR="00D02860" w:rsidRPr="00916AB8">
        <w:rPr>
          <w:rFonts w:asciiTheme="majorHAnsi" w:hAnsiTheme="majorHAnsi"/>
          <w:sz w:val="20"/>
          <w:szCs w:val="20"/>
          <w:lang w:val="es-ES"/>
        </w:rPr>
        <w:t>que es directamente pertinente para el caso presente</w:t>
      </w:r>
      <w:r w:rsidRPr="00916AB8">
        <w:rPr>
          <w:rFonts w:asciiTheme="majorHAnsi" w:hAnsiTheme="majorHAnsi"/>
          <w:sz w:val="20"/>
          <w:szCs w:val="20"/>
          <w:lang w:val="es-ES"/>
        </w:rPr>
        <w:t xml:space="preserve">. </w:t>
      </w:r>
      <w:r w:rsidRPr="00916AB8">
        <w:rPr>
          <w:rStyle w:val="Quoteover50Char"/>
          <w:rFonts w:ascii="Cambria" w:eastAsiaTheme="minorHAnsi" w:hAnsi="Cambria" w:cstheme="minorHAnsi"/>
          <w:sz w:val="20"/>
          <w:szCs w:val="20"/>
          <w:lang w:val="es-CR"/>
        </w:rPr>
        <w:t xml:space="preserve">La CIDH, a través de sus informes de fondo y en sintonía con la jurisprudencia de la Corte Interamericana, se ha caracterizado históricamente por recomendar, para cada caso de violación o amenaza de los derechos humanos que conoce, una combinación compleja de medidas remediales de distintos tipos y alcances que, en su conjunto, tienden a configurar una reparación integral del daño </w:t>
      </w:r>
      <w:r w:rsidR="009059E6" w:rsidRPr="00916AB8">
        <w:rPr>
          <w:rStyle w:val="Quoteover50Char"/>
          <w:rFonts w:ascii="Cambria" w:eastAsiaTheme="minorHAnsi" w:hAnsi="Cambria" w:cstheme="minorHAnsi"/>
          <w:sz w:val="20"/>
          <w:szCs w:val="20"/>
          <w:lang w:val="es-CR"/>
        </w:rPr>
        <w:t xml:space="preserve">infligido </w:t>
      </w:r>
      <w:r w:rsidRPr="00916AB8">
        <w:rPr>
          <w:rStyle w:val="Quoteover50Char"/>
          <w:rFonts w:ascii="Cambria" w:eastAsiaTheme="minorHAnsi" w:hAnsi="Cambria" w:cstheme="minorHAnsi"/>
          <w:sz w:val="20"/>
          <w:szCs w:val="20"/>
          <w:lang w:val="es-CR"/>
        </w:rPr>
        <w:t xml:space="preserve">que garantice su no repetición. </w:t>
      </w:r>
      <w:r w:rsidRPr="00916AB8">
        <w:rPr>
          <w:rFonts w:ascii="Cambria" w:hAnsi="Cambria" w:cstheme="minorHAnsi"/>
          <w:sz w:val="20"/>
          <w:szCs w:val="20"/>
          <w:lang w:val="es-US"/>
        </w:rPr>
        <w:t xml:space="preserve">A la luz del Derecho Internacional vigente, la reparación es un derecho humano autónomo, del cual son titulares las personas que hayan sido afectadas por una violación concreta de sus derechos. </w:t>
      </w:r>
      <w:r w:rsidRPr="00916AB8">
        <w:rPr>
          <w:rFonts w:ascii="Cambria" w:hAnsi="Cambria" w:cstheme="minorHAnsi"/>
          <w:sz w:val="20"/>
          <w:szCs w:val="20"/>
          <w:lang w:val="es-ES_tradnl"/>
        </w:rPr>
        <w:t>Desde otra perspectiva, el derecho a obtener reparaciones por la violación de derechos humanos es uno de los componentes del derecho de acceso a la justicia, a la protección judicial y a acceder a recursos efectivos a nivel nacional, consagrado en el artículo 25 de la Convención Americana</w:t>
      </w:r>
      <w:r w:rsidRPr="00916AB8">
        <w:rPr>
          <w:rStyle w:val="FootnoteReference"/>
          <w:rFonts w:ascii="Cambria" w:hAnsi="Cambria"/>
          <w:sz w:val="20"/>
          <w:szCs w:val="20"/>
        </w:rPr>
        <w:footnoteReference w:id="9"/>
      </w:r>
      <w:r w:rsidRPr="00916AB8">
        <w:rPr>
          <w:rFonts w:ascii="Cambria" w:hAnsi="Cambria" w:cstheme="minorHAnsi"/>
          <w:sz w:val="20"/>
          <w:szCs w:val="20"/>
          <w:lang w:val="es-ES_tradnl"/>
        </w:rPr>
        <w:t xml:space="preserve">. </w:t>
      </w:r>
      <w:r w:rsidRPr="00916AB8">
        <w:rPr>
          <w:rFonts w:ascii="Cambria" w:hAnsi="Cambria" w:cstheme="minorHAnsi"/>
          <w:sz w:val="20"/>
          <w:szCs w:val="20"/>
          <w:lang w:val="es-US"/>
        </w:rPr>
        <w:t xml:space="preserve">La CIDH ha buscado desde sus pronunciamientos más tempranos avanzar hacia la consolidación y aplicación de una noción comprehensiva de </w:t>
      </w:r>
      <w:r w:rsidRPr="00916AB8">
        <w:rPr>
          <w:rFonts w:ascii="Cambria" w:hAnsi="Cambria" w:cstheme="minorHAnsi"/>
          <w:b/>
          <w:sz w:val="20"/>
          <w:szCs w:val="20"/>
          <w:lang w:val="es-US"/>
        </w:rPr>
        <w:t>reparación integral.</w:t>
      </w:r>
      <w:r w:rsidRPr="00916AB8">
        <w:rPr>
          <w:rFonts w:ascii="Cambria" w:hAnsi="Cambria" w:cstheme="minorHAnsi"/>
          <w:sz w:val="20"/>
          <w:szCs w:val="20"/>
          <w:lang w:val="es-US"/>
        </w:rPr>
        <w:t xml:space="preserve"> Este parámetro busca deshacer, en cada caso concreto, los efectos negativos de una violación de los derechos, y remediar sus impactos dañinos mediante </w:t>
      </w:r>
      <w:r w:rsidR="000F1532" w:rsidRPr="00916AB8">
        <w:rPr>
          <w:rFonts w:ascii="Cambria" w:hAnsi="Cambria" w:cstheme="minorHAnsi"/>
          <w:sz w:val="20"/>
          <w:szCs w:val="20"/>
          <w:lang w:val="es-US"/>
        </w:rPr>
        <w:t xml:space="preserve">un esquema </w:t>
      </w:r>
      <w:r w:rsidR="00A95204" w:rsidRPr="00916AB8">
        <w:rPr>
          <w:rFonts w:ascii="Cambria" w:hAnsi="Cambria" w:cstheme="minorHAnsi"/>
          <w:sz w:val="20"/>
          <w:szCs w:val="20"/>
          <w:lang w:val="es-US"/>
        </w:rPr>
        <w:t xml:space="preserve">complejo </w:t>
      </w:r>
      <w:r w:rsidR="000F1532" w:rsidRPr="00916AB8">
        <w:rPr>
          <w:rFonts w:ascii="Cambria" w:hAnsi="Cambria" w:cstheme="minorHAnsi"/>
          <w:sz w:val="20"/>
          <w:szCs w:val="20"/>
          <w:lang w:val="es-US"/>
        </w:rPr>
        <w:t xml:space="preserve">de </w:t>
      </w:r>
      <w:r w:rsidRPr="00916AB8">
        <w:rPr>
          <w:rFonts w:ascii="Cambria" w:hAnsi="Cambria" w:cstheme="minorHAnsi"/>
          <w:sz w:val="20"/>
          <w:szCs w:val="20"/>
          <w:lang w:val="es-US"/>
        </w:rPr>
        <w:t xml:space="preserve">medidas </w:t>
      </w:r>
      <w:r w:rsidR="00A95204" w:rsidRPr="00916AB8">
        <w:rPr>
          <w:rFonts w:ascii="Cambria" w:hAnsi="Cambria" w:cstheme="minorHAnsi"/>
          <w:sz w:val="20"/>
          <w:szCs w:val="20"/>
          <w:lang w:val="es-US"/>
        </w:rPr>
        <w:t xml:space="preserve">remediales </w:t>
      </w:r>
      <w:r w:rsidRPr="00916AB8">
        <w:rPr>
          <w:rFonts w:ascii="Cambria" w:hAnsi="Cambria" w:cstheme="minorHAnsi"/>
          <w:sz w:val="20"/>
          <w:szCs w:val="20"/>
          <w:lang w:val="es-US"/>
        </w:rPr>
        <w:t>específicas que se complementan entre sí al abordar distintos aspectos del perjuicio sufrido. C</w:t>
      </w:r>
      <w:r w:rsidRPr="00916AB8">
        <w:rPr>
          <w:rFonts w:ascii="Cambria" w:hAnsi="Cambria" w:cstheme="minorHAnsi"/>
          <w:sz w:val="20"/>
          <w:szCs w:val="20"/>
          <w:lang w:val="es-CR"/>
        </w:rPr>
        <w:t>uando la plena restitución de la situación preexistente a la violación</w:t>
      </w:r>
      <w:r w:rsidR="000F1532" w:rsidRPr="00916AB8">
        <w:rPr>
          <w:rFonts w:ascii="Cambria" w:hAnsi="Cambria"/>
          <w:sz w:val="20"/>
          <w:szCs w:val="20"/>
          <w:lang w:val="es-CR"/>
        </w:rPr>
        <w:t xml:space="preserve"> -o </w:t>
      </w:r>
      <w:r w:rsidR="000F1532" w:rsidRPr="00916AB8">
        <w:rPr>
          <w:rFonts w:ascii="Cambria" w:hAnsi="Cambria"/>
          <w:i/>
          <w:iCs/>
          <w:sz w:val="20"/>
          <w:szCs w:val="20"/>
          <w:lang w:val="es-CR"/>
        </w:rPr>
        <w:t>restitutio in integrum</w:t>
      </w:r>
      <w:r w:rsidR="000F1532" w:rsidRPr="00916AB8">
        <w:rPr>
          <w:rFonts w:ascii="Cambria" w:hAnsi="Cambria"/>
          <w:sz w:val="20"/>
          <w:szCs w:val="20"/>
          <w:lang w:val="es-CR"/>
        </w:rPr>
        <w:t>-</w:t>
      </w:r>
      <w:r w:rsidRPr="00916AB8">
        <w:rPr>
          <w:rFonts w:ascii="Cambria" w:hAnsi="Cambria" w:cstheme="minorHAnsi"/>
          <w:sz w:val="20"/>
          <w:szCs w:val="20"/>
          <w:lang w:val="es-CR"/>
        </w:rPr>
        <w:t xml:space="preserve"> no es posible de lograr,</w:t>
      </w:r>
      <w:r w:rsidR="00D85F57" w:rsidRPr="00916AB8">
        <w:rPr>
          <w:rFonts w:ascii="Cambria" w:hAnsi="Cambria" w:cstheme="minorHAnsi"/>
          <w:sz w:val="20"/>
          <w:szCs w:val="20"/>
          <w:lang w:val="es-CR"/>
        </w:rPr>
        <w:t xml:space="preserve"> como sucede en casos en que las víctimas han muerto como consecuencia de la violación,</w:t>
      </w:r>
      <w:r w:rsidRPr="00916AB8">
        <w:rPr>
          <w:rFonts w:ascii="Cambria" w:hAnsi="Cambria" w:cstheme="minorHAnsi"/>
          <w:sz w:val="20"/>
          <w:szCs w:val="20"/>
          <w:lang w:val="es-CR"/>
        </w:rPr>
        <w:t xml:space="preserve"> los órganos del SIDH procuran establecer una combinación de diversas </w:t>
      </w:r>
      <w:r w:rsidR="000F1532" w:rsidRPr="00916AB8">
        <w:rPr>
          <w:rFonts w:ascii="Cambria" w:hAnsi="Cambria" w:cstheme="minorHAnsi"/>
          <w:sz w:val="20"/>
          <w:szCs w:val="20"/>
          <w:lang w:val="es-CR"/>
        </w:rPr>
        <w:t xml:space="preserve">modalidades de </w:t>
      </w:r>
      <w:r w:rsidRPr="00916AB8">
        <w:rPr>
          <w:rFonts w:ascii="Cambria" w:hAnsi="Cambria" w:cstheme="minorHAnsi"/>
          <w:sz w:val="20"/>
          <w:szCs w:val="20"/>
          <w:lang w:val="es-CR"/>
        </w:rPr>
        <w:t xml:space="preserve">medidas </w:t>
      </w:r>
      <w:r w:rsidR="000F1532" w:rsidRPr="00916AB8">
        <w:rPr>
          <w:rFonts w:ascii="Cambria" w:hAnsi="Cambria" w:cstheme="minorHAnsi"/>
          <w:sz w:val="20"/>
          <w:szCs w:val="20"/>
          <w:lang w:val="es-CR"/>
        </w:rPr>
        <w:t xml:space="preserve">reparatorias </w:t>
      </w:r>
      <w:r w:rsidRPr="00916AB8">
        <w:rPr>
          <w:rFonts w:ascii="Cambria" w:hAnsi="Cambria" w:cstheme="minorHAnsi"/>
          <w:sz w:val="20"/>
          <w:szCs w:val="20"/>
          <w:lang w:val="es-CR"/>
        </w:rPr>
        <w:t>que, en su conjunto, producirán un resultado remedial lo más cercano posible a ese ideal</w:t>
      </w:r>
      <w:r w:rsidRPr="00916AB8">
        <w:rPr>
          <w:rStyle w:val="FootnoteReference"/>
          <w:rFonts w:ascii="Cambria" w:hAnsi="Cambria"/>
          <w:sz w:val="20"/>
          <w:szCs w:val="20"/>
        </w:rPr>
        <w:footnoteReference w:id="10"/>
      </w:r>
      <w:r w:rsidR="00A95204" w:rsidRPr="00916AB8">
        <w:rPr>
          <w:rFonts w:ascii="Cambria" w:hAnsi="Cambria" w:cstheme="minorHAnsi"/>
          <w:sz w:val="20"/>
          <w:szCs w:val="20"/>
          <w:lang w:val="es-CR"/>
        </w:rPr>
        <w:t>.</w:t>
      </w:r>
    </w:p>
    <w:p w14:paraId="7A9E5FD1" w14:textId="28CED2E2" w:rsidR="000F1532" w:rsidRPr="00916AB8" w:rsidRDefault="000F1532"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CR"/>
        </w:rPr>
      </w:pPr>
    </w:p>
    <w:p w14:paraId="6B7BD614" w14:textId="16914460" w:rsidR="00A86331" w:rsidRPr="00916AB8" w:rsidRDefault="00A95204" w:rsidP="00E656C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Calibri Light" w:hAnsi="Cambria" w:cstheme="minorHAnsi"/>
          <w:sz w:val="20"/>
          <w:szCs w:val="20"/>
          <w:lang w:val="es-ES"/>
        </w:rPr>
      </w:pPr>
      <w:r w:rsidRPr="00916AB8">
        <w:rPr>
          <w:rFonts w:ascii="Cambria" w:hAnsi="Cambria" w:cstheme="minorHAnsi"/>
          <w:sz w:val="20"/>
          <w:szCs w:val="20"/>
          <w:lang w:val="es-CR"/>
        </w:rPr>
        <w:t xml:space="preserve">27. </w:t>
      </w:r>
      <w:r w:rsidR="000F1532" w:rsidRPr="00916AB8">
        <w:rPr>
          <w:rFonts w:ascii="Cambria" w:hAnsi="Cambria" w:cstheme="minorHAnsi"/>
          <w:sz w:val="20"/>
          <w:szCs w:val="20"/>
          <w:lang w:val="es-CR"/>
        </w:rPr>
        <w:t xml:space="preserve">En su desarrollo jurisprudencial actual, las modalidades de reparación a las que recurre la CIDH en sus decisiones se pueden agrupar en las siguientes </w:t>
      </w:r>
      <w:r w:rsidRPr="00916AB8">
        <w:rPr>
          <w:rFonts w:ascii="Cambria" w:hAnsi="Cambria" w:cstheme="minorHAnsi"/>
          <w:sz w:val="20"/>
          <w:szCs w:val="20"/>
          <w:lang w:val="es-CR"/>
        </w:rPr>
        <w:t xml:space="preserve">seis </w:t>
      </w:r>
      <w:r w:rsidR="000F1532" w:rsidRPr="00916AB8">
        <w:rPr>
          <w:rFonts w:ascii="Cambria" w:hAnsi="Cambria" w:cstheme="minorHAnsi"/>
          <w:sz w:val="20"/>
          <w:szCs w:val="20"/>
          <w:lang w:val="es-CR"/>
        </w:rPr>
        <w:t xml:space="preserve">categorías: (1) </w:t>
      </w:r>
      <w:r w:rsidR="000F1532" w:rsidRPr="00916AB8">
        <w:rPr>
          <w:rFonts w:ascii="Cambria" w:hAnsi="Cambria" w:cstheme="minorHAnsi"/>
          <w:sz w:val="20"/>
          <w:szCs w:val="20"/>
          <w:u w:val="single"/>
          <w:lang w:val="es-CR"/>
        </w:rPr>
        <w:t>medidas de restitución</w:t>
      </w:r>
      <w:r w:rsidR="000F1532" w:rsidRPr="00916AB8">
        <w:rPr>
          <w:rFonts w:ascii="Cambria" w:hAnsi="Cambria" w:cstheme="minorHAnsi"/>
          <w:sz w:val="20"/>
          <w:szCs w:val="20"/>
          <w:lang w:val="es-CR"/>
        </w:rPr>
        <w:t xml:space="preserve">, entendida ésta como </w:t>
      </w:r>
      <w:r w:rsidR="000F1532" w:rsidRPr="00916AB8">
        <w:rPr>
          <w:rFonts w:ascii="Cambria" w:hAnsi="Cambria" w:cstheme="minorHAnsi"/>
          <w:sz w:val="20"/>
          <w:lang w:val="es-CR"/>
        </w:rPr>
        <w:t>el restablecimiento de la situación que existía antes de que el acto violatorio de los derechos humanos fuese consumado, que</w:t>
      </w:r>
      <w:r w:rsidR="000F1532" w:rsidRPr="00916AB8">
        <w:rPr>
          <w:rFonts w:ascii="Cambria" w:hAnsi="Cambria" w:cstheme="minorHAnsi"/>
          <w:sz w:val="20"/>
          <w:lang w:val="es-US"/>
        </w:rPr>
        <w:t xml:space="preserve"> debe ubicar a la víctima en el lugar donde hubiera estado si la violación no hubiera ocurrido; (2) </w:t>
      </w:r>
      <w:r w:rsidR="000F1532" w:rsidRPr="00916AB8">
        <w:rPr>
          <w:rFonts w:ascii="Cambria" w:hAnsi="Cambria" w:cstheme="minorHAnsi"/>
          <w:sz w:val="20"/>
          <w:u w:val="single"/>
          <w:lang w:val="es-US"/>
        </w:rPr>
        <w:t>medidas de compensación</w:t>
      </w:r>
      <w:r w:rsidR="000F1532" w:rsidRPr="00916AB8">
        <w:rPr>
          <w:rFonts w:ascii="Cambria" w:hAnsi="Cambria" w:cstheme="minorHAnsi"/>
          <w:sz w:val="20"/>
          <w:lang w:val="es-US"/>
        </w:rPr>
        <w:t>, entendidas como el pago de una indemnización monetaria para resarcir los daños económicamente valorables, materiales o inmateriales, sufridos por la víctima</w:t>
      </w:r>
      <w:r w:rsidR="00D85F57" w:rsidRPr="00916AB8">
        <w:rPr>
          <w:rFonts w:ascii="Cambria" w:hAnsi="Cambria" w:cstheme="minorHAnsi"/>
          <w:sz w:val="20"/>
          <w:lang w:val="es-US"/>
        </w:rPr>
        <w:t xml:space="preserve"> y sus familiares</w:t>
      </w:r>
      <w:r w:rsidR="000F1532" w:rsidRPr="00916AB8">
        <w:rPr>
          <w:rFonts w:ascii="Cambria" w:hAnsi="Cambria" w:cstheme="minorHAnsi"/>
          <w:sz w:val="20"/>
          <w:lang w:val="es-US"/>
        </w:rPr>
        <w:t xml:space="preserve">; (3) </w:t>
      </w:r>
      <w:r w:rsidR="000F1532" w:rsidRPr="00916AB8">
        <w:rPr>
          <w:rFonts w:ascii="Cambria" w:hAnsi="Cambria" w:cstheme="minorHAnsi"/>
          <w:sz w:val="20"/>
          <w:u w:val="single"/>
          <w:lang w:val="es-US"/>
        </w:rPr>
        <w:t xml:space="preserve">medidas de </w:t>
      </w:r>
      <w:r w:rsidR="00D85F57" w:rsidRPr="00916AB8">
        <w:rPr>
          <w:rFonts w:ascii="Cambria" w:hAnsi="Cambria" w:cstheme="minorHAnsi"/>
          <w:sz w:val="20"/>
          <w:u w:val="single"/>
          <w:lang w:val="es-US"/>
        </w:rPr>
        <w:t>rehabilitación</w:t>
      </w:r>
      <w:r w:rsidR="00D85F57" w:rsidRPr="00916AB8">
        <w:rPr>
          <w:rFonts w:ascii="Cambria" w:hAnsi="Cambria" w:cstheme="minorHAnsi"/>
          <w:sz w:val="20"/>
          <w:lang w:val="es-US"/>
        </w:rPr>
        <w:t xml:space="preserve">, que comprenden </w:t>
      </w:r>
      <w:r w:rsidR="00D85F57" w:rsidRPr="00916AB8">
        <w:rPr>
          <w:rFonts w:ascii="Cambria" w:eastAsia="Calibri Light" w:hAnsi="Cambria" w:cstheme="minorHAnsi"/>
          <w:sz w:val="20"/>
          <w:szCs w:val="20"/>
          <w:lang w:val="es-ES"/>
        </w:rPr>
        <w:t>aquellas acciones tendientes a lograr la rehabilitación física, psicológica y social de las víctimas frente a</w:t>
      </w:r>
      <w:r w:rsidR="00D85F57" w:rsidRPr="00916AB8">
        <w:rPr>
          <w:rFonts w:ascii="Cambria" w:hAnsi="Cambria" w:cstheme="minorHAnsi"/>
          <w:sz w:val="20"/>
          <w:lang w:val="es-ES"/>
        </w:rPr>
        <w:t xml:space="preserve"> los </w:t>
      </w:r>
      <w:r w:rsidR="00D85F57" w:rsidRPr="00916AB8">
        <w:rPr>
          <w:rFonts w:ascii="Cambria" w:eastAsia="Calibri Light" w:hAnsi="Cambria" w:cstheme="minorHAnsi"/>
          <w:sz w:val="20"/>
          <w:szCs w:val="20"/>
          <w:lang w:val="es-ES"/>
        </w:rPr>
        <w:t xml:space="preserve">impactos severos y perdurables derivados de la violación de sus derechos humanos; (4) </w:t>
      </w:r>
      <w:r w:rsidR="00D85F57" w:rsidRPr="00916AB8">
        <w:rPr>
          <w:rFonts w:ascii="Cambria" w:eastAsia="Calibri Light" w:hAnsi="Cambria" w:cstheme="minorHAnsi"/>
          <w:sz w:val="20"/>
          <w:szCs w:val="20"/>
          <w:u w:val="single"/>
          <w:lang w:val="es-ES"/>
        </w:rPr>
        <w:t>medidas de satisfacción</w:t>
      </w:r>
      <w:r w:rsidR="00D85F57" w:rsidRPr="00916AB8">
        <w:rPr>
          <w:rFonts w:ascii="Cambria" w:eastAsia="Calibri Light" w:hAnsi="Cambria" w:cstheme="minorHAnsi"/>
          <w:sz w:val="20"/>
          <w:szCs w:val="20"/>
          <w:lang w:val="es-ES"/>
        </w:rPr>
        <w:t xml:space="preserve">, que incluyen </w:t>
      </w:r>
      <w:r w:rsidR="00E656C1" w:rsidRPr="00916AB8">
        <w:rPr>
          <w:rFonts w:ascii="Cambria" w:eastAsia="Calibri Light" w:hAnsi="Cambria" w:cstheme="minorHAnsi"/>
          <w:sz w:val="20"/>
          <w:szCs w:val="20"/>
          <w:lang w:val="es-ES"/>
        </w:rPr>
        <w:t>acciones</w:t>
      </w:r>
      <w:r w:rsidR="00D85F57" w:rsidRPr="00916AB8">
        <w:rPr>
          <w:rFonts w:ascii="Cambria" w:eastAsia="Calibri Light" w:hAnsi="Cambria" w:cstheme="minorHAnsi"/>
          <w:sz w:val="20"/>
          <w:szCs w:val="20"/>
          <w:lang w:val="es-ES"/>
        </w:rPr>
        <w:t xml:space="preserve"> simbólicas, morales o no pecuniarias </w:t>
      </w:r>
      <w:r w:rsidR="00E656C1" w:rsidRPr="00916AB8">
        <w:rPr>
          <w:rFonts w:ascii="Cambria" w:eastAsia="Calibri Light" w:hAnsi="Cambria" w:cstheme="minorHAnsi"/>
          <w:sz w:val="20"/>
          <w:szCs w:val="20"/>
          <w:lang w:val="es-ES"/>
        </w:rPr>
        <w:t xml:space="preserve">tendientes a </w:t>
      </w:r>
      <w:r w:rsidR="00D85F57" w:rsidRPr="00916AB8">
        <w:rPr>
          <w:rFonts w:ascii="Cambria" w:eastAsia="Calibri Light" w:hAnsi="Cambria" w:cstheme="minorHAnsi"/>
          <w:sz w:val="20"/>
          <w:szCs w:val="20"/>
          <w:lang w:val="es-ES"/>
        </w:rPr>
        <w:t>reparar el daño inmaterial mediante el restablecimiento de la dignidad, la honra y la memoria histórica de las víctimas</w:t>
      </w:r>
      <w:r w:rsidR="00E656C1" w:rsidRPr="00916AB8">
        <w:rPr>
          <w:rFonts w:ascii="Cambria" w:eastAsia="Calibri Light" w:hAnsi="Cambria" w:cstheme="minorHAnsi"/>
          <w:sz w:val="20"/>
          <w:szCs w:val="20"/>
          <w:lang w:val="es-ES"/>
        </w:rPr>
        <w:t xml:space="preserve">; (5) medidas de </w:t>
      </w:r>
      <w:r w:rsidR="00E656C1" w:rsidRPr="00916AB8">
        <w:rPr>
          <w:rFonts w:ascii="Cambria" w:eastAsia="Calibri Light" w:hAnsi="Cambria" w:cstheme="minorHAnsi"/>
          <w:sz w:val="20"/>
          <w:szCs w:val="20"/>
          <w:u w:val="single"/>
          <w:lang w:val="es-ES"/>
        </w:rPr>
        <w:t>acceso a la justicia</w:t>
      </w:r>
      <w:r w:rsidR="00E656C1" w:rsidRPr="00916AB8">
        <w:rPr>
          <w:rFonts w:ascii="Cambria" w:eastAsia="Calibri Light" w:hAnsi="Cambria" w:cstheme="minorHAnsi"/>
          <w:sz w:val="20"/>
          <w:szCs w:val="20"/>
          <w:lang w:val="es-ES"/>
        </w:rPr>
        <w:t xml:space="preserve"> tendientes a investigar, juzgar y sancionar a los responsables de la violación de derechos humanos de la cual se trate, de conformidad con los parámetros internacionales pertinentes; y (6) </w:t>
      </w:r>
      <w:r w:rsidR="00E656C1" w:rsidRPr="00916AB8">
        <w:rPr>
          <w:rFonts w:ascii="Cambria" w:eastAsia="Calibri Light" w:hAnsi="Cambria" w:cstheme="minorHAnsi"/>
          <w:sz w:val="20"/>
          <w:szCs w:val="20"/>
          <w:u w:val="single"/>
          <w:lang w:val="es-ES"/>
        </w:rPr>
        <w:t>garantías de no repetición,</w:t>
      </w:r>
      <w:r w:rsidR="00E656C1" w:rsidRPr="00916AB8">
        <w:rPr>
          <w:rFonts w:ascii="Cambria" w:eastAsia="Calibri Light" w:hAnsi="Cambria" w:cstheme="minorHAnsi"/>
          <w:sz w:val="20"/>
          <w:szCs w:val="20"/>
          <w:lang w:val="es-ES"/>
        </w:rPr>
        <w:t xml:space="preserve"> </w:t>
      </w:r>
      <w:r w:rsidR="00E656C1" w:rsidRPr="00916AB8">
        <w:rPr>
          <w:rFonts w:ascii="Cambria" w:hAnsi="Cambria" w:cstheme="minorHAnsi"/>
          <w:sz w:val="20"/>
          <w:szCs w:val="20"/>
          <w:lang w:val="es-ES"/>
        </w:rPr>
        <w:t xml:space="preserve">que pueden tener o bien un alcance individual y traducirse en medidas de protección y prevención para personas </w:t>
      </w:r>
      <w:r w:rsidR="009059E6" w:rsidRPr="00916AB8">
        <w:rPr>
          <w:rFonts w:ascii="Cambria" w:hAnsi="Cambria" w:cstheme="minorHAnsi"/>
          <w:sz w:val="20"/>
          <w:szCs w:val="20"/>
          <w:lang w:val="es-ES"/>
        </w:rPr>
        <w:t>y</w:t>
      </w:r>
      <w:r w:rsidR="00E656C1" w:rsidRPr="00916AB8">
        <w:rPr>
          <w:rFonts w:ascii="Cambria" w:hAnsi="Cambria" w:cstheme="minorHAnsi"/>
          <w:sz w:val="20"/>
          <w:szCs w:val="20"/>
          <w:lang w:val="es-ES"/>
        </w:rPr>
        <w:t xml:space="preserve"> familias, o bien una connotación pública o </w:t>
      </w:r>
      <w:r w:rsidR="00E656C1" w:rsidRPr="00916AB8">
        <w:rPr>
          <w:rFonts w:ascii="Cambria" w:hAnsi="Cambria" w:cstheme="minorHAnsi"/>
          <w:iCs/>
          <w:sz w:val="20"/>
          <w:szCs w:val="20"/>
          <w:lang w:val="es-ES"/>
        </w:rPr>
        <w:t>dimensión estructural orientada a eliminar las causas profundas de la violación de los derechos humanos de la que se trate para así prevenir su réplica.</w:t>
      </w:r>
      <w:r w:rsidR="00E656C1" w:rsidRPr="00916AB8">
        <w:rPr>
          <w:rFonts w:ascii="Cambria" w:eastAsia="Calibri Light" w:hAnsi="Cambria" w:cstheme="minorHAnsi"/>
          <w:sz w:val="20"/>
          <w:szCs w:val="20"/>
          <w:lang w:val="es-ES"/>
        </w:rPr>
        <w:t xml:space="preserve"> </w:t>
      </w:r>
      <w:r w:rsidR="00A86331" w:rsidRPr="00916AB8">
        <w:rPr>
          <w:rFonts w:ascii="Cambria" w:hAnsi="Cambria" w:cstheme="minorHAnsi"/>
          <w:sz w:val="20"/>
          <w:szCs w:val="20"/>
          <w:lang w:val="es-CR"/>
        </w:rPr>
        <w:t xml:space="preserve">Por su relevancia directa para el asunto bajo consideración, la CIDH proveerá a continuación algunos </w:t>
      </w:r>
      <w:r w:rsidR="00D85F57" w:rsidRPr="00916AB8">
        <w:rPr>
          <w:rFonts w:ascii="Cambria" w:hAnsi="Cambria" w:cstheme="minorHAnsi"/>
          <w:sz w:val="20"/>
          <w:szCs w:val="20"/>
          <w:lang w:val="es-CR"/>
        </w:rPr>
        <w:t xml:space="preserve">breves </w:t>
      </w:r>
      <w:r w:rsidR="00A86331" w:rsidRPr="00916AB8">
        <w:rPr>
          <w:rFonts w:ascii="Cambria" w:hAnsi="Cambria" w:cstheme="minorHAnsi"/>
          <w:sz w:val="20"/>
          <w:szCs w:val="20"/>
          <w:lang w:val="es-CR"/>
        </w:rPr>
        <w:t xml:space="preserve">elementos esquemáticos que resultan críticos para </w:t>
      </w:r>
      <w:r w:rsidR="005559FE" w:rsidRPr="00916AB8">
        <w:rPr>
          <w:rFonts w:ascii="Cambria" w:hAnsi="Cambria" w:cstheme="minorHAnsi"/>
          <w:sz w:val="20"/>
          <w:szCs w:val="20"/>
          <w:lang w:val="es-CR"/>
        </w:rPr>
        <w:t>una apropiada comprensión d</w:t>
      </w:r>
      <w:r w:rsidR="00A86331" w:rsidRPr="00916AB8">
        <w:rPr>
          <w:rFonts w:ascii="Cambria" w:hAnsi="Cambria" w:cstheme="minorHAnsi"/>
          <w:sz w:val="20"/>
          <w:szCs w:val="20"/>
          <w:lang w:val="es-CR"/>
        </w:rPr>
        <w:t>el contenido y la aplicabilidad de la compensación, la satisfacción, el acceso a la justicia,</w:t>
      </w:r>
      <w:r w:rsidR="00350B8E" w:rsidRPr="00916AB8">
        <w:rPr>
          <w:rFonts w:ascii="Cambria" w:hAnsi="Cambria" w:cstheme="minorHAnsi"/>
          <w:sz w:val="20"/>
          <w:szCs w:val="20"/>
          <w:lang w:val="es-CR"/>
        </w:rPr>
        <w:t xml:space="preserve"> y las garantías de no repetición,</w:t>
      </w:r>
      <w:r w:rsidR="00A86331" w:rsidRPr="00916AB8">
        <w:rPr>
          <w:rFonts w:ascii="Cambria" w:hAnsi="Cambria" w:cstheme="minorHAnsi"/>
          <w:sz w:val="20"/>
          <w:szCs w:val="20"/>
          <w:lang w:val="es-CR"/>
        </w:rPr>
        <w:t xml:space="preserve"> en tanto modalidades de reparación exigibles en sede interamericana</w:t>
      </w:r>
      <w:r w:rsidR="00E656C1" w:rsidRPr="00916AB8">
        <w:rPr>
          <w:rFonts w:ascii="Cambria" w:hAnsi="Cambria" w:cstheme="minorHAnsi"/>
          <w:sz w:val="20"/>
          <w:szCs w:val="20"/>
          <w:lang w:val="es-CR"/>
        </w:rPr>
        <w:t xml:space="preserve">; ello en términos generales y sin que implique </w:t>
      </w:r>
      <w:r w:rsidR="00350B8E" w:rsidRPr="00916AB8">
        <w:rPr>
          <w:rFonts w:ascii="Cambria" w:hAnsi="Cambria" w:cstheme="minorHAnsi"/>
          <w:sz w:val="20"/>
          <w:szCs w:val="20"/>
          <w:lang w:val="es-CR"/>
        </w:rPr>
        <w:t xml:space="preserve">en forma alguna </w:t>
      </w:r>
      <w:r w:rsidR="00E656C1" w:rsidRPr="00916AB8">
        <w:rPr>
          <w:rFonts w:ascii="Cambria" w:hAnsi="Cambria" w:cstheme="minorHAnsi"/>
          <w:sz w:val="20"/>
          <w:szCs w:val="20"/>
          <w:lang w:val="es-CR"/>
        </w:rPr>
        <w:t xml:space="preserve">prejuzgar el fondo del asunto, a la manera de orientaciones </w:t>
      </w:r>
      <w:r w:rsidR="005559FE" w:rsidRPr="00916AB8">
        <w:rPr>
          <w:rFonts w:ascii="Cambria" w:hAnsi="Cambria" w:cstheme="minorHAnsi"/>
          <w:sz w:val="20"/>
          <w:szCs w:val="20"/>
          <w:lang w:val="es-CR"/>
        </w:rPr>
        <w:t xml:space="preserve">jurídicas </w:t>
      </w:r>
      <w:r w:rsidR="00E656C1" w:rsidRPr="00916AB8">
        <w:rPr>
          <w:rFonts w:ascii="Cambria" w:hAnsi="Cambria" w:cstheme="minorHAnsi"/>
          <w:sz w:val="20"/>
          <w:szCs w:val="20"/>
          <w:lang w:val="es-CR"/>
        </w:rPr>
        <w:t xml:space="preserve">para las partes </w:t>
      </w:r>
      <w:r w:rsidR="005559FE" w:rsidRPr="00916AB8">
        <w:rPr>
          <w:rFonts w:ascii="Cambria" w:hAnsi="Cambria" w:cstheme="minorHAnsi"/>
          <w:sz w:val="20"/>
          <w:szCs w:val="20"/>
          <w:lang w:val="es-CR"/>
        </w:rPr>
        <w:t xml:space="preserve">durante </w:t>
      </w:r>
      <w:r w:rsidR="00E656C1" w:rsidRPr="00916AB8">
        <w:rPr>
          <w:rFonts w:ascii="Cambria" w:hAnsi="Cambria" w:cstheme="minorHAnsi"/>
          <w:sz w:val="20"/>
          <w:szCs w:val="20"/>
          <w:lang w:val="es-CR"/>
        </w:rPr>
        <w:t>el desarrollo subsiguiente de las fases reglamentarias del presente procedimiento</w:t>
      </w:r>
      <w:r w:rsidR="00A86331" w:rsidRPr="00916AB8">
        <w:rPr>
          <w:rFonts w:ascii="Cambria" w:hAnsi="Cambria" w:cstheme="minorHAnsi"/>
          <w:sz w:val="20"/>
          <w:szCs w:val="20"/>
          <w:lang w:val="es-CR"/>
        </w:rPr>
        <w:t xml:space="preserve">. </w:t>
      </w:r>
    </w:p>
    <w:p w14:paraId="4EB0B0CF" w14:textId="77777777" w:rsidR="00A86331" w:rsidRPr="00916AB8" w:rsidRDefault="00A86331"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lang w:val="es-CO"/>
        </w:rPr>
      </w:pPr>
    </w:p>
    <w:p w14:paraId="169B287F" w14:textId="3D512134" w:rsidR="00A86331" w:rsidRPr="00916AB8" w:rsidRDefault="00A95204" w:rsidP="00E656C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US"/>
        </w:rPr>
      </w:pPr>
      <w:r w:rsidRPr="00916AB8">
        <w:rPr>
          <w:rFonts w:ascii="Cambria" w:hAnsi="Cambria" w:cstheme="minorHAnsi"/>
          <w:sz w:val="20"/>
          <w:szCs w:val="20"/>
          <w:lang w:val="es-US"/>
        </w:rPr>
        <w:lastRenderedPageBreak/>
        <w:t xml:space="preserve">28. </w:t>
      </w:r>
      <w:r w:rsidR="00E656C1" w:rsidRPr="00916AB8">
        <w:rPr>
          <w:rFonts w:ascii="Cambria" w:hAnsi="Cambria" w:cstheme="minorHAnsi"/>
          <w:sz w:val="20"/>
          <w:szCs w:val="20"/>
          <w:lang w:val="es-US"/>
        </w:rPr>
        <w:t xml:space="preserve">En cuanto a la compensación, </w:t>
      </w:r>
      <w:r w:rsidR="005559FE" w:rsidRPr="00916AB8">
        <w:rPr>
          <w:rFonts w:ascii="Cambria" w:hAnsi="Cambria" w:cstheme="minorHAnsi"/>
          <w:sz w:val="20"/>
          <w:szCs w:val="20"/>
          <w:lang w:val="es-US"/>
        </w:rPr>
        <w:t xml:space="preserve">ésta </w:t>
      </w:r>
      <w:r w:rsidR="00E656C1" w:rsidRPr="00916AB8">
        <w:rPr>
          <w:rFonts w:ascii="Cambria" w:hAnsi="Cambria" w:cstheme="minorHAnsi"/>
          <w:sz w:val="20"/>
          <w:szCs w:val="20"/>
          <w:lang w:val="es-US"/>
        </w:rPr>
        <w:t xml:space="preserve">debe abarcar </w:t>
      </w:r>
      <w:r w:rsidR="000F1532" w:rsidRPr="00916AB8">
        <w:rPr>
          <w:rFonts w:ascii="Cambria" w:hAnsi="Cambria" w:cstheme="minorHAnsi"/>
          <w:sz w:val="20"/>
          <w:szCs w:val="20"/>
          <w:lang w:val="es-US"/>
        </w:rPr>
        <w:t>cualesquiera tipos de daños que sean susceptibles de una valoración</w:t>
      </w:r>
      <w:r w:rsidR="00E656C1" w:rsidRPr="00916AB8">
        <w:rPr>
          <w:rFonts w:ascii="Cambria" w:hAnsi="Cambria" w:cstheme="minorHAnsi"/>
          <w:sz w:val="20"/>
          <w:szCs w:val="20"/>
          <w:lang w:val="es-US"/>
        </w:rPr>
        <w:t xml:space="preserve"> económica</w:t>
      </w:r>
      <w:r w:rsidR="000F1532" w:rsidRPr="00916AB8">
        <w:rPr>
          <w:rFonts w:ascii="Cambria" w:hAnsi="Cambria" w:cstheme="minorHAnsi"/>
          <w:sz w:val="20"/>
          <w:szCs w:val="20"/>
          <w:lang w:val="es-US"/>
        </w:rPr>
        <w:t>, tanto materiales (pecuniarios) como morales o inmateriales (no pecuniarios).</w:t>
      </w:r>
      <w:r w:rsidR="000F1532" w:rsidRPr="00916AB8">
        <w:rPr>
          <w:rStyle w:val="FootnoteReference"/>
          <w:rFonts w:ascii="Cambria" w:hAnsi="Cambria"/>
          <w:sz w:val="20"/>
          <w:szCs w:val="20"/>
          <w:lang w:val="es-US"/>
        </w:rPr>
        <w:footnoteReference w:id="11"/>
      </w:r>
      <w:r w:rsidR="000F1532" w:rsidRPr="00916AB8">
        <w:rPr>
          <w:rFonts w:ascii="Cambria" w:hAnsi="Cambria" w:cstheme="minorHAnsi"/>
          <w:sz w:val="20"/>
          <w:szCs w:val="20"/>
          <w:lang w:val="es-US"/>
        </w:rPr>
        <w:t xml:space="preserve"> E</w:t>
      </w:r>
      <w:r w:rsidR="005559FE" w:rsidRPr="00916AB8">
        <w:rPr>
          <w:rFonts w:ascii="Cambria" w:hAnsi="Cambria" w:cstheme="minorHAnsi"/>
          <w:sz w:val="20"/>
          <w:szCs w:val="20"/>
          <w:lang w:val="es-US"/>
        </w:rPr>
        <w:t>llo</w:t>
      </w:r>
      <w:r w:rsidR="000F1532" w:rsidRPr="00916AB8">
        <w:rPr>
          <w:rFonts w:ascii="Cambria" w:hAnsi="Cambria" w:cstheme="minorHAnsi"/>
          <w:sz w:val="20"/>
          <w:szCs w:val="20"/>
          <w:lang w:val="es-US"/>
        </w:rPr>
        <w:t xml:space="preserve"> </w:t>
      </w:r>
      <w:r w:rsidR="00350B8E" w:rsidRPr="00916AB8">
        <w:rPr>
          <w:rFonts w:ascii="Cambria" w:hAnsi="Cambria" w:cstheme="minorHAnsi"/>
          <w:sz w:val="20"/>
          <w:szCs w:val="20"/>
          <w:lang w:val="es-US"/>
        </w:rPr>
        <w:t>comprende</w:t>
      </w:r>
      <w:r w:rsidR="000F1532" w:rsidRPr="00916AB8">
        <w:rPr>
          <w:rFonts w:ascii="Cambria" w:hAnsi="Cambria" w:cstheme="minorHAnsi"/>
          <w:sz w:val="20"/>
          <w:szCs w:val="20"/>
          <w:lang w:val="es-US"/>
        </w:rPr>
        <w:t xml:space="preserve"> los daños y perjuicios físicos y psicológicos que hayan soportado las víctimas, así como la pérdida de ingresos y oportunidades, los daños materiales derivados de la violación, los gastos incurridos en trámites y gestiones relacionados con la violación, los costos de servicios médicos y psicológicos, los gastos funerarios, </w:t>
      </w:r>
      <w:r w:rsidR="005559FE" w:rsidRPr="00916AB8">
        <w:rPr>
          <w:rFonts w:ascii="Cambria" w:hAnsi="Cambria" w:cstheme="minorHAnsi"/>
          <w:sz w:val="20"/>
          <w:szCs w:val="20"/>
          <w:lang w:val="es-US"/>
        </w:rPr>
        <w:t xml:space="preserve">y </w:t>
      </w:r>
      <w:r w:rsidR="000F1532" w:rsidRPr="00916AB8">
        <w:rPr>
          <w:rFonts w:ascii="Cambria" w:hAnsi="Cambria" w:cstheme="minorHAnsi"/>
          <w:sz w:val="20"/>
          <w:szCs w:val="20"/>
          <w:lang w:val="es-US"/>
        </w:rPr>
        <w:t xml:space="preserve">los daños inmateriales o morales que hayan sufrido. Al igual que las demás formas de reparación, la compensación monetaria o indemnización ha de concederse de forma apropiada y proporcional a la gravedad de la violación, y a las circunstancias de cada caso, por todos los perjuicios económicamente evaluables que sean consecuencia de </w:t>
      </w:r>
      <w:r w:rsidR="005559FE" w:rsidRPr="00916AB8">
        <w:rPr>
          <w:rFonts w:ascii="Cambria" w:hAnsi="Cambria" w:cstheme="minorHAnsi"/>
          <w:sz w:val="20"/>
          <w:szCs w:val="20"/>
          <w:lang w:val="es-US"/>
        </w:rPr>
        <w:t xml:space="preserve">las </w:t>
      </w:r>
      <w:r w:rsidR="000F1532" w:rsidRPr="00916AB8">
        <w:rPr>
          <w:rFonts w:ascii="Cambria" w:hAnsi="Cambria" w:cstheme="minorHAnsi"/>
          <w:sz w:val="20"/>
          <w:szCs w:val="20"/>
          <w:lang w:val="es-US"/>
        </w:rPr>
        <w:t>violaciones.</w:t>
      </w:r>
      <w:r w:rsidR="00E656C1" w:rsidRPr="00916AB8">
        <w:rPr>
          <w:rFonts w:ascii="Cambria" w:hAnsi="Cambria" w:cstheme="minorHAnsi"/>
          <w:sz w:val="20"/>
          <w:szCs w:val="20"/>
          <w:lang w:val="es-US"/>
        </w:rPr>
        <w:t xml:space="preserve"> </w:t>
      </w:r>
      <w:r w:rsidR="00A86331" w:rsidRPr="00916AB8">
        <w:rPr>
          <w:rFonts w:ascii="Cambria" w:hAnsi="Cambria" w:cstheme="minorHAnsi"/>
          <w:sz w:val="20"/>
          <w:szCs w:val="20"/>
          <w:lang w:val="es-ES_tradnl"/>
        </w:rPr>
        <w:t xml:space="preserve">En muchos casos, las víctimas de violaciones de derechos humanos que acuden al sistema interamericano ya han recibido, al momento del fallo de la Corte IDH, una reparación monetaria a nivel nacional, sea de tipo judicial o mediante programas administrativos de reparación. En el caso Cepeda Vargas la Corte IDH explicó su postura al respecto: </w:t>
      </w:r>
      <w:r w:rsidR="00A86331" w:rsidRPr="00916AB8">
        <w:rPr>
          <w:rFonts w:ascii="Cambria" w:hAnsi="Cambria" w:cstheme="minorHAnsi"/>
          <w:i/>
          <w:iCs/>
          <w:sz w:val="20"/>
          <w:szCs w:val="20"/>
          <w:lang w:val="es-ES_tradnl"/>
        </w:rPr>
        <w:t>“</w:t>
      </w:r>
      <w:r w:rsidR="00E656C1" w:rsidRPr="00916AB8">
        <w:rPr>
          <w:rFonts w:ascii="Cambria" w:hAnsi="Cambria"/>
          <w:i/>
          <w:iCs/>
          <w:sz w:val="20"/>
          <w:szCs w:val="20"/>
          <w:lang w:val="es-CO"/>
        </w:rPr>
        <w:t>[l]</w:t>
      </w:r>
      <w:r w:rsidR="00A86331" w:rsidRPr="00916AB8">
        <w:rPr>
          <w:rFonts w:ascii="Cambria" w:hAnsi="Cambria"/>
          <w:i/>
          <w:iCs/>
          <w:sz w:val="20"/>
          <w:szCs w:val="20"/>
          <w:lang w:val="es-CO"/>
        </w:rPr>
        <w:t>a Corte considera que de existir mecanismos nacionales para determinar formas de reparación, esos procedimientos y resultados pueden ser valorados (…). Si esos mecanismos no satisfacen criterios de objetividad, razonabilidad y efectividad para reparar adecuadamente las violaciones de derechos reconocidos en la Convención declaradas por este Tribunal, corresponde a éste, en ejercicio de su competencia subsidiaria y complementaria, disponer las reparaciones pertinentes”</w:t>
      </w:r>
      <w:r w:rsidR="00A86331" w:rsidRPr="00916AB8">
        <w:rPr>
          <w:rStyle w:val="FootnoteReference"/>
          <w:rFonts w:ascii="Cambria" w:hAnsi="Cambria"/>
          <w:sz w:val="20"/>
          <w:szCs w:val="20"/>
        </w:rPr>
        <w:footnoteReference w:id="12"/>
      </w:r>
      <w:r w:rsidR="00A86331" w:rsidRPr="00916AB8">
        <w:rPr>
          <w:rFonts w:ascii="Cambria" w:hAnsi="Cambria"/>
          <w:sz w:val="20"/>
          <w:szCs w:val="20"/>
          <w:lang w:val="es-CO"/>
        </w:rPr>
        <w:t xml:space="preserve">. </w:t>
      </w:r>
      <w:r w:rsidR="0078641D" w:rsidRPr="00916AB8">
        <w:rPr>
          <w:rFonts w:ascii="Cambria" w:hAnsi="Cambria" w:cstheme="minorHAnsi"/>
          <w:sz w:val="20"/>
          <w:szCs w:val="20"/>
          <w:lang w:val="es-ES_tradnl"/>
        </w:rPr>
        <w:t>Normalmente</w:t>
      </w:r>
      <w:r w:rsidR="00A86331" w:rsidRPr="00916AB8">
        <w:rPr>
          <w:rFonts w:ascii="Cambria" w:hAnsi="Cambria" w:cstheme="minorHAnsi"/>
          <w:sz w:val="20"/>
          <w:szCs w:val="20"/>
          <w:lang w:val="es-ES_tradnl"/>
        </w:rPr>
        <w:t xml:space="preserve"> la </w:t>
      </w:r>
      <w:r w:rsidRPr="00916AB8">
        <w:rPr>
          <w:rFonts w:ascii="Cambria" w:hAnsi="Cambria" w:cstheme="minorHAnsi"/>
          <w:sz w:val="20"/>
          <w:szCs w:val="20"/>
          <w:lang w:val="es-ES_tradnl"/>
        </w:rPr>
        <w:t xml:space="preserve">CIDH y la </w:t>
      </w:r>
      <w:r w:rsidR="00A86331" w:rsidRPr="00916AB8">
        <w:rPr>
          <w:rFonts w:ascii="Cambria" w:hAnsi="Cambria" w:cstheme="minorHAnsi"/>
          <w:sz w:val="20"/>
          <w:szCs w:val="20"/>
          <w:lang w:val="es-ES_tradnl"/>
        </w:rPr>
        <w:t>Corte IDH tiene</w:t>
      </w:r>
      <w:r w:rsidRPr="00916AB8">
        <w:rPr>
          <w:rFonts w:ascii="Cambria" w:hAnsi="Cambria" w:cstheme="minorHAnsi"/>
          <w:sz w:val="20"/>
          <w:szCs w:val="20"/>
          <w:lang w:val="es-ES_tradnl"/>
        </w:rPr>
        <w:t>n</w:t>
      </w:r>
      <w:r w:rsidR="00A86331" w:rsidRPr="00916AB8">
        <w:rPr>
          <w:rFonts w:ascii="Cambria" w:hAnsi="Cambria" w:cstheme="minorHAnsi"/>
          <w:sz w:val="20"/>
          <w:szCs w:val="20"/>
          <w:lang w:val="es-ES_tradnl"/>
        </w:rPr>
        <w:t xml:space="preserve"> en cuenta las reparaciones que las víctimas ya han recibido. En algunos casos ese hecho ha bastado para que la Corte no ordene indemnizaciones adicionales a nivel internacional</w:t>
      </w:r>
      <w:r w:rsidR="00A86331" w:rsidRPr="00916AB8">
        <w:rPr>
          <w:rStyle w:val="FootnoteReference"/>
          <w:rFonts w:ascii="Cambria" w:hAnsi="Cambria"/>
          <w:sz w:val="20"/>
          <w:szCs w:val="20"/>
        </w:rPr>
        <w:footnoteReference w:id="13"/>
      </w:r>
      <w:r w:rsidR="005559FE" w:rsidRPr="00916AB8">
        <w:rPr>
          <w:rFonts w:ascii="Cambria" w:hAnsi="Cambria" w:cstheme="minorHAnsi"/>
          <w:sz w:val="20"/>
          <w:szCs w:val="20"/>
          <w:lang w:val="es-ES_tradnl"/>
        </w:rPr>
        <w:t>.</w:t>
      </w:r>
      <w:r w:rsidR="00A86331" w:rsidRPr="00916AB8">
        <w:rPr>
          <w:rFonts w:ascii="Cambria" w:hAnsi="Cambria" w:cstheme="minorHAnsi"/>
          <w:sz w:val="20"/>
          <w:szCs w:val="20"/>
          <w:lang w:val="es-ES_tradnl"/>
        </w:rPr>
        <w:t xml:space="preserve"> En otros casos </w:t>
      </w:r>
      <w:r w:rsidRPr="00916AB8">
        <w:rPr>
          <w:rFonts w:ascii="Cambria" w:hAnsi="Cambria" w:cstheme="minorHAnsi"/>
          <w:sz w:val="20"/>
          <w:szCs w:val="20"/>
          <w:lang w:val="es-ES_tradnl"/>
        </w:rPr>
        <w:t xml:space="preserve">se </w:t>
      </w:r>
      <w:r w:rsidR="00A86331" w:rsidRPr="00916AB8">
        <w:rPr>
          <w:rFonts w:ascii="Cambria" w:hAnsi="Cambria" w:cstheme="minorHAnsi"/>
          <w:sz w:val="20"/>
          <w:szCs w:val="20"/>
          <w:lang w:val="es-ES_tradnl"/>
        </w:rPr>
        <w:t>ha dispuesto que se descuente lo que ya ha sido pagado por el Estado del valor de la compensación interamericana, si ésta resulta mayor.</w:t>
      </w:r>
      <w:r w:rsidR="00A86331" w:rsidRPr="00916AB8">
        <w:rPr>
          <w:rStyle w:val="FootnoteReference"/>
          <w:rFonts w:ascii="Cambria" w:hAnsi="Cambria"/>
          <w:sz w:val="20"/>
          <w:szCs w:val="20"/>
        </w:rPr>
        <w:footnoteReference w:id="14"/>
      </w:r>
    </w:p>
    <w:p w14:paraId="4862B13F" w14:textId="77777777" w:rsidR="000F1532" w:rsidRPr="00916AB8" w:rsidRDefault="000F1532"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CR"/>
        </w:rPr>
      </w:pPr>
    </w:p>
    <w:p w14:paraId="2EB859DB" w14:textId="5C4A1F8E" w:rsidR="00B23EDF" w:rsidRPr="00916AB8" w:rsidRDefault="00A95204"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916AB8">
        <w:rPr>
          <w:rFonts w:ascii="Cambria" w:eastAsia="Calibri Light" w:hAnsi="Cambria" w:cstheme="minorHAnsi"/>
          <w:sz w:val="20"/>
          <w:szCs w:val="20"/>
          <w:lang w:val="es-ES"/>
        </w:rPr>
        <w:t xml:space="preserve">29. </w:t>
      </w:r>
      <w:r w:rsidR="00E656C1" w:rsidRPr="00916AB8">
        <w:rPr>
          <w:rFonts w:ascii="Cambria" w:eastAsia="Calibri Light" w:hAnsi="Cambria" w:cstheme="minorHAnsi"/>
          <w:sz w:val="20"/>
          <w:szCs w:val="20"/>
          <w:lang w:val="es-ES"/>
        </w:rPr>
        <w:t>En</w:t>
      </w:r>
      <w:r w:rsidRPr="00916AB8">
        <w:rPr>
          <w:rFonts w:ascii="Cambria" w:eastAsia="Calibri Light" w:hAnsi="Cambria" w:cstheme="minorHAnsi"/>
          <w:sz w:val="20"/>
          <w:szCs w:val="20"/>
          <w:lang w:val="es-ES"/>
        </w:rPr>
        <w:t xml:space="preserve"> cuanto a la satisfacción, </w:t>
      </w:r>
      <w:r w:rsidR="00E656C1" w:rsidRPr="00916AB8">
        <w:rPr>
          <w:rFonts w:ascii="Cambria" w:eastAsia="Calibri Light" w:hAnsi="Cambria" w:cstheme="minorHAnsi"/>
          <w:sz w:val="20"/>
          <w:szCs w:val="20"/>
          <w:lang w:val="es-ES"/>
        </w:rPr>
        <w:t xml:space="preserve">las medidas </w:t>
      </w:r>
      <w:r w:rsidRPr="00916AB8">
        <w:rPr>
          <w:rFonts w:ascii="Cambria" w:eastAsia="Calibri Light" w:hAnsi="Cambria" w:cstheme="minorHAnsi"/>
          <w:sz w:val="20"/>
          <w:szCs w:val="20"/>
          <w:lang w:val="es-ES"/>
        </w:rPr>
        <w:t xml:space="preserve">reparatorias agrupadas bajo esta rúbrica </w:t>
      </w:r>
      <w:r w:rsidR="00E656C1" w:rsidRPr="00916AB8">
        <w:rPr>
          <w:rFonts w:ascii="Cambria" w:eastAsia="Calibri Light" w:hAnsi="Cambria" w:cstheme="minorHAnsi"/>
          <w:sz w:val="20"/>
          <w:szCs w:val="20"/>
          <w:lang w:val="es-ES"/>
        </w:rPr>
        <w:t>incluyen</w:t>
      </w:r>
      <w:r w:rsidRPr="00916AB8">
        <w:rPr>
          <w:rFonts w:ascii="Cambria" w:eastAsia="Calibri Light" w:hAnsi="Cambria" w:cstheme="minorHAnsi"/>
          <w:sz w:val="20"/>
          <w:szCs w:val="20"/>
          <w:lang w:val="es-ES"/>
        </w:rPr>
        <w:t>,</w:t>
      </w:r>
      <w:r w:rsidR="00E656C1" w:rsidRPr="00916AB8">
        <w:rPr>
          <w:rFonts w:ascii="Cambria" w:eastAsia="Calibri Light" w:hAnsi="Cambria" w:cstheme="minorHAnsi"/>
          <w:sz w:val="20"/>
          <w:szCs w:val="20"/>
          <w:lang w:val="es-ES"/>
        </w:rPr>
        <w:t xml:space="preserve"> en la práctica</w:t>
      </w:r>
      <w:r w:rsidRPr="00916AB8">
        <w:rPr>
          <w:rFonts w:ascii="Cambria" w:eastAsia="Calibri Light" w:hAnsi="Cambria" w:cstheme="minorHAnsi"/>
          <w:sz w:val="20"/>
          <w:szCs w:val="20"/>
          <w:lang w:val="es-ES"/>
        </w:rPr>
        <w:t>,</w:t>
      </w:r>
      <w:r w:rsidR="00E656C1" w:rsidRPr="00916AB8">
        <w:rPr>
          <w:rFonts w:ascii="Cambria" w:eastAsia="Calibri Light" w:hAnsi="Cambria" w:cstheme="minorHAnsi"/>
          <w:sz w:val="20"/>
          <w:szCs w:val="20"/>
          <w:lang w:val="es-ES"/>
        </w:rPr>
        <w:t xml:space="preserve"> cinco grandes categorías no exhaustivas: (i) actos de reconocimiento de responsabilidad, </w:t>
      </w:r>
      <w:r w:rsidR="00E656C1" w:rsidRPr="00916AB8">
        <w:rPr>
          <w:rFonts w:ascii="Cambria" w:hAnsi="Cambria" w:cstheme="minorHAnsi"/>
          <w:sz w:val="20"/>
          <w:szCs w:val="20"/>
          <w:lang w:val="es-US"/>
        </w:rPr>
        <w:t>de presentación de disculpas públicas y de testimonios oficiales</w:t>
      </w:r>
      <w:r w:rsidR="00E656C1" w:rsidRPr="00916AB8">
        <w:rPr>
          <w:rFonts w:ascii="Cambria" w:eastAsia="Calibri Light" w:hAnsi="Cambria" w:cstheme="minorHAnsi"/>
          <w:sz w:val="20"/>
          <w:szCs w:val="20"/>
          <w:lang w:val="es-ES"/>
        </w:rPr>
        <w:t xml:space="preserve">; (ii) declaraciones oficiales y decisiones judiciales que restablecen la honra y reputación de las víctimas; (iii) </w:t>
      </w:r>
      <w:r w:rsidR="00E656C1" w:rsidRPr="00916AB8">
        <w:rPr>
          <w:rFonts w:ascii="Cambria" w:hAnsi="Cambria" w:cstheme="minorHAnsi"/>
          <w:sz w:val="20"/>
          <w:szCs w:val="20"/>
          <w:lang w:val="es-ES"/>
        </w:rPr>
        <w:t>la publicación o difusión de</w:t>
      </w:r>
      <w:r w:rsidRPr="00916AB8">
        <w:rPr>
          <w:rFonts w:ascii="Cambria" w:hAnsi="Cambria" w:cstheme="minorHAnsi"/>
          <w:sz w:val="20"/>
          <w:szCs w:val="20"/>
          <w:lang w:val="es-ES"/>
        </w:rPr>
        <w:t>l informe de fondo de la CIDH o de</w:t>
      </w:r>
      <w:r w:rsidR="00E656C1" w:rsidRPr="00916AB8">
        <w:rPr>
          <w:rFonts w:ascii="Cambria" w:hAnsi="Cambria" w:cstheme="minorHAnsi"/>
          <w:sz w:val="20"/>
          <w:szCs w:val="20"/>
          <w:lang w:val="es-ES"/>
        </w:rPr>
        <w:t xml:space="preserve"> la sentencia de la Corte; (iv) </w:t>
      </w:r>
      <w:r w:rsidR="00E656C1" w:rsidRPr="00916AB8">
        <w:rPr>
          <w:rFonts w:ascii="Cambria" w:hAnsi="Cambria" w:cstheme="minorHAnsi"/>
          <w:sz w:val="20"/>
          <w:szCs w:val="20"/>
          <w:lang w:val="es-US"/>
        </w:rPr>
        <w:t>la realización de homenajes y conmemoraciones a las víctimas</w:t>
      </w:r>
      <w:r w:rsidR="00E656C1" w:rsidRPr="00916AB8">
        <w:rPr>
          <w:rFonts w:ascii="Cambria" w:eastAsia="Calibri Light" w:hAnsi="Cambria" w:cstheme="minorHAnsi"/>
          <w:sz w:val="20"/>
          <w:szCs w:val="20"/>
          <w:lang w:val="es-ES"/>
        </w:rPr>
        <w:t xml:space="preserve">; y (v) la provisión de medidas educativas, socioeconómicas o de apoyo a la reintegración social de los beneficiarios. </w:t>
      </w:r>
      <w:r w:rsidR="00E656C1" w:rsidRPr="00916AB8">
        <w:rPr>
          <w:rFonts w:ascii="Cambria" w:hAnsi="Cambria" w:cstheme="minorHAnsi"/>
          <w:sz w:val="20"/>
          <w:szCs w:val="20"/>
          <w:lang w:val="es-US"/>
        </w:rPr>
        <w:t xml:space="preserve">Adicionalmente, entre las medidas de satisfacción, en tanto su objeto es reconocer públicamente el daño sufrido </w:t>
      </w:r>
      <w:r w:rsidR="00E656C1" w:rsidRPr="00916AB8">
        <w:rPr>
          <w:rFonts w:ascii="Cambria" w:hAnsi="Cambria" w:cstheme="minorHAnsi"/>
          <w:sz w:val="20"/>
          <w:szCs w:val="20"/>
          <w:lang w:val="es-US"/>
        </w:rPr>
        <w:lastRenderedPageBreak/>
        <w:t xml:space="preserve">por las víctimas a fin de dignificarlas, la CIDH incluye (vi) las medidas de justicia (investigación, enjuiciamiento y sanción de los autores de graves violaciones de derechos humanos), y (vii) el conocimiento y la difusión de la verdad, incluyendo la búsqueda de los desaparecidos y la localización y entrega de los restos de los familiares muertos. </w:t>
      </w:r>
      <w:r w:rsidR="00E656C1" w:rsidRPr="00916AB8">
        <w:rPr>
          <w:rFonts w:ascii="Cambria" w:eastAsia="Calibri Light" w:hAnsi="Cambria" w:cstheme="minorHAnsi"/>
          <w:sz w:val="20"/>
          <w:szCs w:val="20"/>
          <w:lang w:val="es-ES"/>
        </w:rPr>
        <w:t>No obstante, el catálogo de medidas de satisfacción podrá ser tan amplio como lo sea la diversidad de los daños inmateriales sufridos por las víctimas de violaciones de los derechos humanos.</w:t>
      </w:r>
      <w:r w:rsidR="00E656C1" w:rsidRPr="00916AB8">
        <w:rPr>
          <w:rFonts w:ascii="Cambria" w:hAnsi="Cambria" w:cstheme="minorHAnsi"/>
          <w:sz w:val="20"/>
          <w:szCs w:val="20"/>
          <w:lang w:val="es-CR"/>
        </w:rPr>
        <w:t xml:space="preserve"> La forma y naturaleza de las medidas de satisfacción no son rígidas, y dependen de las circunstancias de cada caso</w:t>
      </w:r>
      <w:r w:rsidR="00E656C1" w:rsidRPr="00916AB8">
        <w:rPr>
          <w:rStyle w:val="Reference"/>
          <w:rFonts w:ascii="Cambria" w:hAnsi="Cambria" w:cstheme="minorHAnsi"/>
        </w:rPr>
        <w:footnoteReference w:id="15"/>
      </w:r>
      <w:r w:rsidR="00E656C1" w:rsidRPr="00916AB8">
        <w:rPr>
          <w:rFonts w:ascii="Cambria" w:hAnsi="Cambria" w:cstheme="minorHAnsi"/>
          <w:sz w:val="20"/>
          <w:szCs w:val="20"/>
          <w:lang w:val="es-CR"/>
        </w:rPr>
        <w:t>.</w:t>
      </w:r>
    </w:p>
    <w:p w14:paraId="02A9AFE4" w14:textId="77777777" w:rsidR="000F1532" w:rsidRPr="00916AB8" w:rsidRDefault="000F1532"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2AD50883" w14:textId="6A9F9DE2" w:rsidR="00BE35FE" w:rsidRPr="00916AB8" w:rsidRDefault="00A95204"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CR"/>
        </w:rPr>
      </w:pPr>
      <w:r w:rsidRPr="00916AB8">
        <w:rPr>
          <w:rFonts w:ascii="Cambria" w:eastAsia="Calibri Light" w:hAnsi="Cambria" w:cstheme="minorHAnsi"/>
          <w:sz w:val="20"/>
          <w:lang w:val="es-ES"/>
        </w:rPr>
        <w:t>30. En cuanto al acceso a la justicia en tanto medida de reparación, se recuerda que l</w:t>
      </w:r>
      <w:r w:rsidR="00E656C1" w:rsidRPr="00916AB8">
        <w:rPr>
          <w:rFonts w:ascii="Cambria" w:eastAsia="Calibri Light" w:hAnsi="Cambria" w:cstheme="minorHAnsi"/>
          <w:sz w:val="20"/>
          <w:lang w:val="es-ES"/>
        </w:rPr>
        <w:t xml:space="preserve">a CIDH y la Corte </w:t>
      </w:r>
      <w:r w:rsidRPr="00916AB8">
        <w:rPr>
          <w:rFonts w:ascii="Cambria" w:eastAsia="Calibri Light" w:hAnsi="Cambria" w:cstheme="minorHAnsi"/>
          <w:sz w:val="20"/>
          <w:lang w:val="es-ES"/>
        </w:rPr>
        <w:t xml:space="preserve">Interamericana </w:t>
      </w:r>
      <w:r w:rsidR="00E656C1" w:rsidRPr="00916AB8">
        <w:rPr>
          <w:rFonts w:ascii="Cambria" w:eastAsia="Calibri Light" w:hAnsi="Cambria" w:cstheme="minorHAnsi"/>
          <w:sz w:val="20"/>
          <w:lang w:val="es-ES"/>
        </w:rPr>
        <w:t xml:space="preserve">habitualmente disponen la realización de una investigación de la respectiva violación de derechos por el Estado con la debida diligencia, en un plazo razonable y de acuerdo con los estándares establecidos por las normas y la jurisprudencia internacionales. Por ejemplo, en el caso Leidy Dayán Sánchez (Colombia), la CIDH recomendó al Estado </w:t>
      </w:r>
      <w:r w:rsidR="00E656C1" w:rsidRPr="00916AB8">
        <w:rPr>
          <w:rFonts w:ascii="Cambria" w:eastAsia="Calibri Light" w:hAnsi="Cambria" w:cstheme="minorHAnsi"/>
          <w:i/>
          <w:iCs/>
          <w:sz w:val="20"/>
          <w:lang w:val="es-ES"/>
        </w:rPr>
        <w:t>“[r]ealizar una investigación imparcial y efectiva ante la jurisdicción ordinaria con el fin de juzgar y sancionar a los responsables por la muerte de Leydi Dayán Sánchez Tamayo”</w:t>
      </w:r>
      <w:r w:rsidR="00E656C1" w:rsidRPr="00916AB8">
        <w:rPr>
          <w:rStyle w:val="FootnoteReference"/>
          <w:rFonts w:ascii="Cambria" w:eastAsia="Calibri Light" w:hAnsi="Cambria"/>
          <w:sz w:val="20"/>
          <w:lang w:val="es-ES"/>
        </w:rPr>
        <w:footnoteReference w:id="16"/>
      </w:r>
      <w:r w:rsidR="00E656C1" w:rsidRPr="00916AB8">
        <w:rPr>
          <w:rFonts w:ascii="Cambria" w:eastAsia="Calibri Light" w:hAnsi="Cambria" w:cstheme="minorHAnsi"/>
          <w:sz w:val="20"/>
          <w:lang w:val="es-ES"/>
        </w:rPr>
        <w:t xml:space="preserve">; y en el caso de Rafael Cuesta Caputi (Ecuador), la CIDH recomendó al Estado </w:t>
      </w:r>
      <w:r w:rsidR="00E656C1" w:rsidRPr="00916AB8">
        <w:rPr>
          <w:rFonts w:ascii="Cambria" w:eastAsia="Calibri Light" w:hAnsi="Cambria" w:cstheme="minorHAnsi"/>
          <w:i/>
          <w:iCs/>
          <w:sz w:val="20"/>
          <w:lang w:val="es-ES"/>
        </w:rPr>
        <w:t>“[q]ue efectúe una investigación completa, imparcial y efectiva en torno al atentado sufrido por Rafael Ignacio Cuesta Caputi”</w:t>
      </w:r>
      <w:r w:rsidR="00E656C1" w:rsidRPr="00916AB8">
        <w:rPr>
          <w:rStyle w:val="FootnoteReference"/>
          <w:rFonts w:ascii="Cambria" w:eastAsia="Calibri Light" w:hAnsi="Cambria"/>
          <w:sz w:val="20"/>
          <w:lang w:val="es-ES"/>
        </w:rPr>
        <w:footnoteReference w:id="17"/>
      </w:r>
      <w:r w:rsidR="00E656C1" w:rsidRPr="00916AB8">
        <w:rPr>
          <w:rFonts w:ascii="Cambria" w:eastAsia="Calibri Light" w:hAnsi="Cambria" w:cstheme="minorHAnsi"/>
          <w:sz w:val="20"/>
          <w:lang w:val="es-ES"/>
        </w:rPr>
        <w:t xml:space="preserve">. La </w:t>
      </w:r>
      <w:r w:rsidRPr="00916AB8">
        <w:rPr>
          <w:rFonts w:ascii="Cambria" w:eastAsia="Calibri Light" w:hAnsi="Cambria" w:cstheme="minorHAnsi"/>
          <w:sz w:val="20"/>
          <w:lang w:val="es-ES"/>
        </w:rPr>
        <w:t xml:space="preserve">CIDH y la </w:t>
      </w:r>
      <w:r w:rsidR="00E656C1" w:rsidRPr="00916AB8">
        <w:rPr>
          <w:rFonts w:ascii="Cambria" w:eastAsia="Calibri Light" w:hAnsi="Cambria" w:cstheme="minorHAnsi"/>
          <w:sz w:val="20"/>
          <w:lang w:val="es-ES"/>
        </w:rPr>
        <w:t xml:space="preserve">Corte </w:t>
      </w:r>
      <w:r w:rsidRPr="00916AB8">
        <w:rPr>
          <w:rFonts w:ascii="Cambria" w:eastAsia="Calibri Light" w:hAnsi="Cambria" w:cstheme="minorHAnsi"/>
          <w:sz w:val="20"/>
          <w:lang w:val="es-ES"/>
        </w:rPr>
        <w:t xml:space="preserve">Interamericana </w:t>
      </w:r>
      <w:r w:rsidR="00E656C1" w:rsidRPr="00916AB8">
        <w:rPr>
          <w:rFonts w:ascii="Cambria" w:eastAsia="Calibri Light" w:hAnsi="Cambria" w:cstheme="minorHAnsi"/>
          <w:sz w:val="20"/>
          <w:lang w:val="es-ES"/>
        </w:rPr>
        <w:t>ha</w:t>
      </w:r>
      <w:r w:rsidRPr="00916AB8">
        <w:rPr>
          <w:rFonts w:ascii="Cambria" w:eastAsia="Calibri Light" w:hAnsi="Cambria" w:cstheme="minorHAnsi"/>
          <w:sz w:val="20"/>
          <w:lang w:val="es-ES"/>
        </w:rPr>
        <w:t>n</w:t>
      </w:r>
      <w:r w:rsidR="00E656C1" w:rsidRPr="00916AB8">
        <w:rPr>
          <w:rFonts w:ascii="Cambria" w:eastAsia="Calibri Light" w:hAnsi="Cambria" w:cstheme="minorHAnsi"/>
          <w:sz w:val="20"/>
          <w:lang w:val="es-ES"/>
        </w:rPr>
        <w:t xml:space="preserve"> señalado que el deber de investigar debe cumplirse con seriedad y diligencia y no como una formalidad condenada de antemano a ser infructuosa, y que debe ser asumida por los Estados como el cumplimiento razonado de un deber jurídico propio, no como una simple gestión de intereses particulares, que dependa de la iniciativa procesal de la víctima o de sus familiares</w:t>
      </w:r>
      <w:r w:rsidR="00E656C1" w:rsidRPr="00916AB8">
        <w:rPr>
          <w:rStyle w:val="Reference"/>
          <w:rFonts w:ascii="Cambria" w:eastAsia="Symbol" w:hAnsi="Cambria" w:cstheme="minorHAnsi"/>
        </w:rPr>
        <w:footnoteReference w:id="18"/>
      </w:r>
      <w:r w:rsidR="00E656C1" w:rsidRPr="00916AB8">
        <w:rPr>
          <w:rFonts w:ascii="Cambria" w:eastAsia="Calibri Light" w:hAnsi="Cambria" w:cstheme="minorHAnsi"/>
          <w:sz w:val="20"/>
          <w:lang w:val="es-ES"/>
        </w:rPr>
        <w:t xml:space="preserve"> o de la aportación privada de elementos probatorios, sin que la autoridad pública busque efectivamente la verdad</w:t>
      </w:r>
      <w:r w:rsidR="00E656C1" w:rsidRPr="00916AB8">
        <w:rPr>
          <w:rFonts w:ascii="Cambria" w:eastAsia="Calibri Light" w:hAnsi="Cambria" w:cstheme="minorHAnsi"/>
          <w:sz w:val="20"/>
          <w:vertAlign w:val="superscript"/>
          <w:lang w:val="es-ES"/>
        </w:rPr>
        <w:footnoteReference w:id="19"/>
      </w:r>
      <w:r w:rsidR="00E656C1" w:rsidRPr="00916AB8">
        <w:rPr>
          <w:rFonts w:ascii="Cambria" w:eastAsia="Calibri Light" w:hAnsi="Cambria" w:cstheme="minorHAnsi"/>
          <w:sz w:val="20"/>
          <w:lang w:val="es-ES"/>
        </w:rPr>
        <w:t>;</w:t>
      </w:r>
      <w:r w:rsidR="00E656C1" w:rsidRPr="00916AB8">
        <w:rPr>
          <w:rFonts w:ascii="Cambria" w:hAnsi="Cambria" w:cstheme="minorHAnsi"/>
          <w:sz w:val="20"/>
          <w:lang w:val="es-CR"/>
        </w:rPr>
        <w:t xml:space="preserve"> mientras que la CIDH, con base en el artículo 1(1) de la </w:t>
      </w:r>
      <w:r w:rsidR="00953BD8" w:rsidRPr="00916AB8">
        <w:rPr>
          <w:rFonts w:ascii="Cambria" w:hAnsi="Cambria" w:cstheme="minorHAnsi"/>
          <w:sz w:val="20"/>
          <w:lang w:val="es-CR"/>
        </w:rPr>
        <w:t>Convención Americana</w:t>
      </w:r>
      <w:r w:rsidR="00E656C1" w:rsidRPr="00916AB8">
        <w:rPr>
          <w:rFonts w:ascii="Cambria" w:hAnsi="Cambria" w:cstheme="minorHAnsi"/>
          <w:sz w:val="20"/>
          <w:lang w:val="es-CR"/>
        </w:rPr>
        <w:t xml:space="preserve">, ha explicado que </w:t>
      </w:r>
      <w:r w:rsidR="00E656C1" w:rsidRPr="00916AB8">
        <w:rPr>
          <w:rFonts w:ascii="Cambria" w:hAnsi="Cambria" w:cstheme="minorHAnsi"/>
          <w:i/>
          <w:iCs/>
          <w:sz w:val="20"/>
          <w:lang w:val="es-CR"/>
        </w:rPr>
        <w:t>“dicha obligación no se cumple simplemente con el inicio formal de procedimientos, en los que se traslada a los denunciantes la carga de aportar la información para impulsar el trámite, sino de manera seria y como deber propio del Estado.”</w:t>
      </w:r>
      <w:r w:rsidR="00E656C1" w:rsidRPr="00916AB8">
        <w:rPr>
          <w:rStyle w:val="FootnoteReference"/>
          <w:rFonts w:ascii="Cambria" w:hAnsi="Cambria" w:cstheme="minorHAnsi"/>
          <w:sz w:val="20"/>
          <w:lang w:val="es-CR"/>
        </w:rPr>
        <w:footnoteReference w:id="20"/>
      </w:r>
      <w:r w:rsidR="00E656C1" w:rsidRPr="00916AB8">
        <w:rPr>
          <w:rFonts w:ascii="Cambria" w:eastAsia="Calibri Light" w:hAnsi="Cambria" w:cstheme="minorHAnsi"/>
          <w:sz w:val="20"/>
          <w:lang w:val="es-CR"/>
        </w:rPr>
        <w:t xml:space="preserve"> T</w:t>
      </w:r>
      <w:r w:rsidR="00E656C1" w:rsidRPr="00916AB8">
        <w:rPr>
          <w:rFonts w:ascii="Cambria" w:eastAsia="Calibri Light" w:hAnsi="Cambria" w:cstheme="minorHAnsi"/>
          <w:sz w:val="20"/>
          <w:lang w:val="es-ES"/>
        </w:rPr>
        <w:t xml:space="preserve">ambién ha afirmado la Corte que el cumplimiento de dicha obligación es </w:t>
      </w:r>
      <w:r w:rsidR="00E656C1" w:rsidRPr="00916AB8">
        <w:rPr>
          <w:rFonts w:ascii="Cambria" w:hAnsi="Cambria" w:cstheme="minorHAnsi"/>
          <w:sz w:val="20"/>
          <w:lang w:val="es-CR"/>
        </w:rPr>
        <w:t>un requisito necesario para evitar la impunidad</w:t>
      </w:r>
      <w:r w:rsidR="00E656C1" w:rsidRPr="00916AB8">
        <w:rPr>
          <w:rStyle w:val="Reference"/>
          <w:rFonts w:ascii="Cambria" w:eastAsia="Symbol" w:hAnsi="Cambria" w:cstheme="minorHAnsi"/>
        </w:rPr>
        <w:footnoteReference w:id="21"/>
      </w:r>
      <w:r w:rsidR="00E656C1" w:rsidRPr="00916AB8">
        <w:rPr>
          <w:rFonts w:ascii="Cambria" w:hAnsi="Cambria" w:cstheme="minorHAnsi"/>
          <w:sz w:val="20"/>
          <w:lang w:val="es-CR"/>
        </w:rPr>
        <w:t xml:space="preserve">. Estas obligaciones continúan vigentes hasta su plena satisfacción -es decir, </w:t>
      </w:r>
      <w:r w:rsidR="00E656C1" w:rsidRPr="00916AB8">
        <w:rPr>
          <w:rFonts w:ascii="Cambria" w:eastAsia="Calibri Light" w:hAnsi="Cambria" w:cstheme="minorHAnsi"/>
          <w:sz w:val="20"/>
          <w:lang w:val="es-ES"/>
        </w:rPr>
        <w:t xml:space="preserve">a pesar del transcurso del tiempo, el deber de investigación y enjuiciamiento subsiste mientras no se alcance el objetivo que busca, esto es, el pleno conocimiento de los hechos, la identificación de </w:t>
      </w:r>
      <w:r w:rsidRPr="00916AB8">
        <w:rPr>
          <w:rFonts w:ascii="Cambria" w:eastAsia="Calibri Light" w:hAnsi="Cambria" w:cstheme="minorHAnsi"/>
          <w:i/>
          <w:iCs/>
          <w:sz w:val="20"/>
          <w:lang w:val="es-ES"/>
        </w:rPr>
        <w:t>todos</w:t>
      </w:r>
      <w:r w:rsidRPr="00916AB8">
        <w:rPr>
          <w:rFonts w:ascii="Cambria" w:eastAsia="Calibri Light" w:hAnsi="Cambria" w:cstheme="minorHAnsi"/>
          <w:sz w:val="20"/>
          <w:lang w:val="es-ES"/>
        </w:rPr>
        <w:t xml:space="preserve"> </w:t>
      </w:r>
      <w:r w:rsidR="00E656C1" w:rsidRPr="00916AB8">
        <w:rPr>
          <w:rFonts w:ascii="Cambria" w:eastAsia="Calibri Light" w:hAnsi="Cambria" w:cstheme="minorHAnsi"/>
          <w:sz w:val="20"/>
          <w:lang w:val="es-ES"/>
        </w:rPr>
        <w:t>sus autores</w:t>
      </w:r>
      <w:r w:rsidRPr="00916AB8">
        <w:rPr>
          <w:rFonts w:ascii="Cambria" w:eastAsia="Calibri Light" w:hAnsi="Cambria" w:cstheme="minorHAnsi"/>
          <w:sz w:val="20"/>
          <w:lang w:val="es-ES"/>
        </w:rPr>
        <w:t>,</w:t>
      </w:r>
      <w:r w:rsidR="00E656C1" w:rsidRPr="00916AB8">
        <w:rPr>
          <w:rFonts w:ascii="Cambria" w:eastAsia="Calibri Light" w:hAnsi="Cambria" w:cstheme="minorHAnsi"/>
          <w:sz w:val="20"/>
          <w:lang w:val="es-ES"/>
        </w:rPr>
        <w:t xml:space="preserve"> y la </w:t>
      </w:r>
      <w:r w:rsidRPr="00916AB8">
        <w:rPr>
          <w:rFonts w:ascii="Cambria" w:eastAsia="Calibri Light" w:hAnsi="Cambria" w:cstheme="minorHAnsi"/>
          <w:sz w:val="20"/>
          <w:lang w:val="es-ES"/>
        </w:rPr>
        <w:t xml:space="preserve">imposición de la </w:t>
      </w:r>
      <w:r w:rsidR="00E656C1" w:rsidRPr="00916AB8">
        <w:rPr>
          <w:rFonts w:ascii="Cambria" w:eastAsia="Calibri Light" w:hAnsi="Cambria" w:cstheme="minorHAnsi"/>
          <w:sz w:val="20"/>
          <w:lang w:val="es-ES"/>
        </w:rPr>
        <w:t>sanción que corresponda-</w:t>
      </w:r>
      <w:r w:rsidR="00E656C1" w:rsidRPr="00916AB8">
        <w:rPr>
          <w:rStyle w:val="Reference"/>
          <w:rFonts w:ascii="Cambria" w:eastAsia="Symbol" w:hAnsi="Cambria" w:cstheme="minorHAnsi"/>
        </w:rPr>
        <w:footnoteReference w:id="22"/>
      </w:r>
      <w:r w:rsidRPr="00916AB8">
        <w:rPr>
          <w:rFonts w:ascii="Cambria" w:hAnsi="Cambria" w:cstheme="minorHAnsi"/>
          <w:sz w:val="20"/>
          <w:lang w:val="es-CR"/>
        </w:rPr>
        <w:t>;</w:t>
      </w:r>
      <w:r w:rsidR="00E656C1" w:rsidRPr="00916AB8">
        <w:rPr>
          <w:rFonts w:ascii="Cambria" w:hAnsi="Cambria" w:cstheme="minorHAnsi"/>
          <w:sz w:val="20"/>
          <w:lang w:val="es-CR"/>
        </w:rPr>
        <w:t xml:space="preserve"> son debidas a las víctimas</w:t>
      </w:r>
      <w:r w:rsidR="00E656C1" w:rsidRPr="00916AB8">
        <w:rPr>
          <w:rStyle w:val="Reference"/>
          <w:rFonts w:ascii="Cambria" w:eastAsia="Symbol" w:hAnsi="Cambria" w:cstheme="minorHAnsi"/>
        </w:rPr>
        <w:footnoteReference w:id="23"/>
      </w:r>
      <w:r w:rsidRPr="00916AB8">
        <w:rPr>
          <w:rFonts w:ascii="Cambria" w:hAnsi="Cambria" w:cstheme="minorHAnsi"/>
          <w:sz w:val="20"/>
          <w:lang w:val="es-CR"/>
        </w:rPr>
        <w:t>;</w:t>
      </w:r>
      <w:r w:rsidR="00E656C1" w:rsidRPr="00916AB8">
        <w:rPr>
          <w:rFonts w:ascii="Cambria" w:hAnsi="Cambria" w:cstheme="minorHAnsi"/>
          <w:sz w:val="20"/>
          <w:lang w:val="es-CR"/>
        </w:rPr>
        <w:t xml:space="preserve"> y son aplicables así los responsables de las violaciones sean miembros de la autoridad pública, individuos privados, o grupos</w:t>
      </w:r>
      <w:r w:rsidR="00E656C1" w:rsidRPr="00916AB8">
        <w:rPr>
          <w:rStyle w:val="Reference"/>
          <w:rFonts w:ascii="Cambria" w:eastAsia="Symbol" w:hAnsi="Cambria" w:cstheme="minorHAnsi"/>
        </w:rPr>
        <w:footnoteReference w:id="24"/>
      </w:r>
      <w:r w:rsidR="00E656C1" w:rsidRPr="00916AB8">
        <w:rPr>
          <w:rFonts w:ascii="Cambria" w:hAnsi="Cambria" w:cstheme="minorHAnsi"/>
          <w:sz w:val="20"/>
          <w:lang w:val="es-CR"/>
        </w:rPr>
        <w:t xml:space="preserve">. La obligación de investigar incluye a </w:t>
      </w:r>
      <w:r w:rsidRPr="00916AB8">
        <w:rPr>
          <w:rFonts w:ascii="Cambria" w:hAnsi="Cambria" w:cstheme="minorHAnsi"/>
          <w:sz w:val="20"/>
          <w:lang w:val="es-CR"/>
        </w:rPr>
        <w:t xml:space="preserve">todos los </w:t>
      </w:r>
      <w:r w:rsidR="00E656C1" w:rsidRPr="00916AB8">
        <w:rPr>
          <w:rFonts w:ascii="Cambria" w:hAnsi="Cambria" w:cstheme="minorHAnsi"/>
          <w:sz w:val="20"/>
          <w:lang w:val="es-CR"/>
        </w:rPr>
        <w:t xml:space="preserve">autores materiales e intelectuales, así como a </w:t>
      </w:r>
      <w:r w:rsidRPr="00916AB8">
        <w:rPr>
          <w:rFonts w:ascii="Cambria" w:hAnsi="Cambria" w:cstheme="minorHAnsi"/>
          <w:sz w:val="20"/>
          <w:lang w:val="es-CR"/>
        </w:rPr>
        <w:t xml:space="preserve">todos los </w:t>
      </w:r>
      <w:r w:rsidR="00E656C1" w:rsidRPr="00916AB8">
        <w:rPr>
          <w:rFonts w:ascii="Cambria" w:hAnsi="Cambria" w:cstheme="minorHAnsi"/>
          <w:sz w:val="20"/>
          <w:lang w:val="es-CR"/>
        </w:rPr>
        <w:t>eventuales encubridores</w:t>
      </w:r>
      <w:r w:rsidR="00E656C1" w:rsidRPr="00916AB8">
        <w:rPr>
          <w:rStyle w:val="Reference"/>
          <w:rFonts w:ascii="Cambria" w:eastAsia="Symbol" w:hAnsi="Cambria" w:cstheme="minorHAnsi"/>
        </w:rPr>
        <w:footnoteReference w:id="25"/>
      </w:r>
      <w:r w:rsidR="00E656C1" w:rsidRPr="00916AB8">
        <w:rPr>
          <w:rFonts w:ascii="Cambria" w:hAnsi="Cambria" w:cstheme="minorHAnsi"/>
          <w:sz w:val="20"/>
          <w:lang w:val="es-CR"/>
        </w:rPr>
        <w:t>.  En los procesos respectivos, las víctimas o sus familiares deberán tener pleno acceso y capacidad de actuar en todas las etapas e instancias</w:t>
      </w:r>
      <w:r w:rsidR="00E656C1" w:rsidRPr="00916AB8">
        <w:rPr>
          <w:rStyle w:val="Reference"/>
          <w:rFonts w:ascii="Cambria" w:eastAsia="Symbol" w:hAnsi="Cambria" w:cstheme="minorHAnsi"/>
        </w:rPr>
        <w:footnoteReference w:id="26"/>
      </w:r>
      <w:r w:rsidR="00E656C1" w:rsidRPr="00916AB8">
        <w:rPr>
          <w:rFonts w:ascii="Cambria" w:hAnsi="Cambria" w:cstheme="minorHAnsi"/>
          <w:sz w:val="20"/>
          <w:lang w:val="es-CR"/>
        </w:rPr>
        <w:t>, y el Estado debe abstenerse de recurrir o aplicar figuras como la amnistía y la prescripción, o el establecimiento de excluyentes de responsabilidad</w:t>
      </w:r>
      <w:r w:rsidR="00E656C1" w:rsidRPr="00916AB8">
        <w:rPr>
          <w:rStyle w:val="Reference"/>
          <w:rFonts w:ascii="Cambria" w:eastAsia="Symbol" w:hAnsi="Cambria" w:cstheme="minorHAnsi"/>
        </w:rPr>
        <w:footnoteReference w:id="27"/>
      </w:r>
      <w:r w:rsidR="00E656C1" w:rsidRPr="00916AB8">
        <w:rPr>
          <w:rFonts w:ascii="Cambria" w:hAnsi="Cambria" w:cstheme="minorHAnsi"/>
          <w:sz w:val="20"/>
          <w:lang w:val="es-CR"/>
        </w:rPr>
        <w:t xml:space="preserve">. </w:t>
      </w:r>
      <w:r w:rsidR="00E656C1" w:rsidRPr="00916AB8">
        <w:rPr>
          <w:rFonts w:ascii="Cambria" w:hAnsi="Cambria" w:cstheme="minorHAnsi"/>
          <w:sz w:val="20"/>
          <w:szCs w:val="20"/>
          <w:lang w:val="es-CR"/>
        </w:rPr>
        <w:t xml:space="preserve">La CIDH también acostumbra disponer que se adopten medidas </w:t>
      </w:r>
      <w:r w:rsidR="00E656C1" w:rsidRPr="00916AB8">
        <w:rPr>
          <w:rFonts w:ascii="Cambria" w:hAnsi="Cambria" w:cstheme="minorHAnsi"/>
          <w:i/>
          <w:iCs/>
          <w:sz w:val="20"/>
          <w:szCs w:val="20"/>
          <w:lang w:val="es-CR"/>
        </w:rPr>
        <w:t>multidimensionales</w:t>
      </w:r>
      <w:r w:rsidR="00E656C1" w:rsidRPr="00916AB8">
        <w:rPr>
          <w:rFonts w:ascii="Cambria" w:hAnsi="Cambria" w:cstheme="minorHAnsi"/>
          <w:sz w:val="20"/>
          <w:szCs w:val="20"/>
          <w:lang w:val="es-CR"/>
        </w:rPr>
        <w:t xml:space="preserve"> en materia de justicia a distintos niveles complementarios, no solamente en el sentido de llevar a cabo la investigación y juzgamiento de casos específicos, sino también de adoptar medidas frente a los funcionarios que causaron una situación de impunidad, y de fortalecer la capacidad de las instituciones de la administración de justicia para evitar a futuro tal desenlace de impunidad – combinando así medidas reparatorias de tipo individual y estructural para producir configuraciones remediales complejas en materia de justicia, que restituyan a las víctimas en sus derechos e impidan la repetición de la impunidad.</w:t>
      </w:r>
    </w:p>
    <w:p w14:paraId="43AE8A8F" w14:textId="1A0671E2" w:rsidR="00E656C1" w:rsidRPr="00916AB8" w:rsidRDefault="00E656C1" w:rsidP="00B23ED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theme="minorHAnsi"/>
          <w:sz w:val="20"/>
          <w:szCs w:val="20"/>
          <w:lang w:val="es-CR"/>
        </w:rPr>
      </w:pPr>
    </w:p>
    <w:p w14:paraId="044BAE17" w14:textId="0428CCC7" w:rsidR="00E656C1" w:rsidRPr="00916AB8" w:rsidRDefault="00A95204" w:rsidP="00A95204">
      <w:pPr>
        <w:autoSpaceDE w:val="0"/>
        <w:autoSpaceDN w:val="0"/>
        <w:adjustRightInd w:val="0"/>
        <w:spacing w:afterLines="40" w:after="96"/>
        <w:ind w:firstLine="720"/>
        <w:jc w:val="both"/>
        <w:rPr>
          <w:rFonts w:asciiTheme="majorHAnsi" w:hAnsiTheme="majorHAnsi"/>
          <w:sz w:val="20"/>
          <w:szCs w:val="20"/>
          <w:lang w:val="es-ES"/>
        </w:rPr>
      </w:pPr>
      <w:r w:rsidRPr="00916AB8">
        <w:rPr>
          <w:rFonts w:ascii="Cambria" w:hAnsi="Cambria" w:cstheme="minorHAnsi"/>
          <w:sz w:val="20"/>
          <w:szCs w:val="20"/>
          <w:lang w:val="es-ES"/>
        </w:rPr>
        <w:lastRenderedPageBreak/>
        <w:t>31. Finalmente, l</w:t>
      </w:r>
      <w:r w:rsidR="00E656C1" w:rsidRPr="00916AB8">
        <w:rPr>
          <w:rFonts w:ascii="Cambria" w:hAnsi="Cambria" w:cstheme="minorHAnsi"/>
          <w:sz w:val="20"/>
          <w:szCs w:val="20"/>
          <w:lang w:val="es-ES"/>
        </w:rPr>
        <w:t xml:space="preserve">as garantías de no repetición </w:t>
      </w:r>
      <w:r w:rsidRPr="00916AB8">
        <w:rPr>
          <w:rFonts w:ascii="Cambria" w:hAnsi="Cambria" w:cstheme="minorHAnsi"/>
          <w:sz w:val="20"/>
          <w:szCs w:val="20"/>
          <w:lang w:val="es-ES"/>
        </w:rPr>
        <w:t>usualmente e</w:t>
      </w:r>
      <w:r w:rsidR="00E656C1" w:rsidRPr="00916AB8">
        <w:rPr>
          <w:rFonts w:ascii="Cambria" w:hAnsi="Cambria" w:cstheme="minorHAnsi"/>
          <w:sz w:val="20"/>
          <w:szCs w:val="20"/>
          <w:lang w:val="es-ES"/>
        </w:rPr>
        <w:t>stán vinculadas a situaciones estructurales de violación de derechos humanos que han contribuido a la victimización de los peticionarios en casos concretos, y que amenazan con continuar produciendo víctimas si no son ajustados o remediados por las autoridades. El SIDH ha establecido que es obligación del Estado, de conformidad con el deber general contemplado en el artículo 1.1 de la Convención Americana, adoptar todas las medidas necesarias para asegurar que las violaciones de derechos humanos no se repitan. Este deber manifiesta la obligación general de los Estados de prevenir las violaciones de derechos humanos, esto es, de garantizar su ejercicio, a la luz de los artículos 1.1 y 2 de la CADH.</w:t>
      </w:r>
      <w:r w:rsidR="00E656C1" w:rsidRPr="00916AB8">
        <w:rPr>
          <w:rStyle w:val="FootnoteReference"/>
          <w:rFonts w:ascii="Cambria" w:hAnsi="Cambria"/>
          <w:sz w:val="20"/>
          <w:szCs w:val="20"/>
          <w:lang w:val="es-ES"/>
        </w:rPr>
        <w:footnoteReference w:id="28"/>
      </w:r>
      <w:r w:rsidR="00E656C1" w:rsidRPr="00916AB8">
        <w:rPr>
          <w:rFonts w:ascii="Cambria" w:hAnsi="Cambria" w:cstheme="minorHAnsi"/>
          <w:sz w:val="20"/>
          <w:szCs w:val="20"/>
          <w:lang w:val="es-ES"/>
        </w:rPr>
        <w:t xml:space="preserve"> </w:t>
      </w:r>
      <w:r w:rsidRPr="00916AB8">
        <w:rPr>
          <w:rFonts w:ascii="Cambria" w:hAnsi="Cambria" w:cstheme="minorHAnsi"/>
          <w:sz w:val="20"/>
          <w:szCs w:val="20"/>
          <w:lang w:val="es-ES_tradnl"/>
        </w:rPr>
        <w:t>L</w:t>
      </w:r>
      <w:r w:rsidR="00E656C1" w:rsidRPr="00916AB8">
        <w:rPr>
          <w:rFonts w:ascii="Cambria" w:eastAsia="Calibri Light" w:hAnsi="Cambria" w:cstheme="minorHAnsi"/>
          <w:sz w:val="20"/>
          <w:szCs w:val="20"/>
          <w:lang w:val="es-ES"/>
        </w:rPr>
        <w:t xml:space="preserve">as medidas de no repetición estructurales pueden comprender, entre otras múltiples posibilidades, los siguientes tipos de acción: (i) la creación o ajuste de políticas, programas o estructuras públicas; (ii) la adopción o ajuste de la legislación y demás normatividad; (iii) el fortalecimiento institucional; y (iv) </w:t>
      </w:r>
      <w:r w:rsidR="00E656C1" w:rsidRPr="00916AB8">
        <w:rPr>
          <w:rFonts w:ascii="Cambria" w:hAnsi="Cambria" w:cstheme="minorHAnsi"/>
          <w:sz w:val="20"/>
          <w:szCs w:val="20"/>
          <w:lang w:val="es-US"/>
        </w:rPr>
        <w:t>la capacitación a funcionarios públicos y educación a la sociedad en derechos humanos.</w:t>
      </w:r>
    </w:p>
    <w:p w14:paraId="0303CDB9" w14:textId="42BCA0EA" w:rsidR="00C336D2" w:rsidRPr="005559FE" w:rsidRDefault="005559FE" w:rsidP="005559F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lang w:val="es-ES"/>
        </w:rPr>
      </w:pPr>
      <w:r w:rsidRPr="00916AB8">
        <w:rPr>
          <w:rFonts w:asciiTheme="majorHAnsi" w:hAnsiTheme="majorHAnsi"/>
          <w:sz w:val="20"/>
          <w:szCs w:val="20"/>
          <w:lang w:val="es-ES"/>
        </w:rPr>
        <w:t>32. L</w:t>
      </w:r>
      <w:r w:rsidR="00B23EDF" w:rsidRPr="00916AB8">
        <w:rPr>
          <w:rFonts w:asciiTheme="majorHAnsi" w:hAnsiTheme="majorHAnsi"/>
          <w:sz w:val="20"/>
          <w:szCs w:val="20"/>
          <w:lang w:val="es-ES"/>
        </w:rPr>
        <w:t xml:space="preserve">a Comisión </w:t>
      </w:r>
      <w:r w:rsidRPr="00916AB8">
        <w:rPr>
          <w:rFonts w:asciiTheme="majorHAnsi" w:hAnsiTheme="majorHAnsi"/>
          <w:sz w:val="20"/>
          <w:szCs w:val="20"/>
          <w:lang w:val="es-ES"/>
        </w:rPr>
        <w:t xml:space="preserve">reitera </w:t>
      </w:r>
      <w:r w:rsidR="00B23EDF" w:rsidRPr="00916AB8">
        <w:rPr>
          <w:rFonts w:asciiTheme="majorHAnsi" w:hAnsiTheme="majorHAnsi"/>
          <w:sz w:val="20"/>
          <w:szCs w:val="20"/>
          <w:lang w:val="es-ES"/>
        </w:rPr>
        <w:t xml:space="preserve">que </w:t>
      </w:r>
      <w:r w:rsidR="00B23EDF" w:rsidRPr="00916AB8">
        <w:rPr>
          <w:rFonts w:asciiTheme="majorHAnsi" w:hAnsiTheme="majorHAnsi" w:cs="Calibri"/>
          <w:sz w:val="20"/>
          <w:szCs w:val="20"/>
          <w:lang w:val="es-ES"/>
        </w:rPr>
        <w:t xml:space="preserve">el criterio de evaluación de la fase de admisibilidad difiere del que se utiliza para pronunciarse sobre el fondo de una petición. Bajo este criterio de valoración </w:t>
      </w:r>
      <w:r w:rsidR="00B23EDF" w:rsidRPr="00916AB8">
        <w:rPr>
          <w:rFonts w:asciiTheme="majorHAnsi" w:hAnsiTheme="majorHAnsi" w:cs="Calibri"/>
          <w:i/>
          <w:iCs/>
          <w:sz w:val="20"/>
          <w:szCs w:val="20"/>
          <w:lang w:val="es-ES"/>
        </w:rPr>
        <w:t>prima facie</w:t>
      </w:r>
      <w:r w:rsidR="00B23EDF" w:rsidRPr="00916AB8">
        <w:rPr>
          <w:rFonts w:asciiTheme="majorHAnsi" w:hAnsiTheme="majorHAnsi" w:cs="Calibri"/>
          <w:sz w:val="20"/>
          <w:szCs w:val="20"/>
          <w:lang w:val="es-ES"/>
        </w:rPr>
        <w:t>, la CIDH estima que los alegatos de la parte peticionaria no son manifiestamente infundados y ameritan un examen de fondo con base en las pruebas obrantes en el expediente, ya que controvierten</w:t>
      </w:r>
      <w:r w:rsidRPr="00916AB8">
        <w:rPr>
          <w:rFonts w:asciiTheme="majorHAnsi" w:hAnsiTheme="majorHAnsi" w:cs="Calibri"/>
          <w:sz w:val="20"/>
          <w:szCs w:val="20"/>
          <w:lang w:val="es-ES"/>
        </w:rPr>
        <w:t>, entre otras,</w:t>
      </w:r>
      <w:r w:rsidR="00B23EDF" w:rsidRPr="00916AB8">
        <w:rPr>
          <w:rFonts w:asciiTheme="majorHAnsi" w:hAnsiTheme="majorHAnsi" w:cs="Calibri"/>
          <w:sz w:val="20"/>
          <w:szCs w:val="20"/>
          <w:lang w:val="es-ES"/>
        </w:rPr>
        <w:t xml:space="preserve"> el argumento sobre la integralidad de las medidas reparatorias que ha adoptado el Estado en el ámbito interno, y plantean varias posibles violaciones de los derechos protegidos en la Convención Americana</w:t>
      </w:r>
      <w:r w:rsidRPr="00916AB8">
        <w:rPr>
          <w:rFonts w:asciiTheme="majorHAnsi" w:hAnsiTheme="majorHAnsi" w:cs="Calibri"/>
          <w:sz w:val="20"/>
          <w:szCs w:val="20"/>
          <w:lang w:val="es-ES"/>
        </w:rPr>
        <w:t>, asuntos que deberán estudiarse y resolverse en fases subsiguientes del presente procedimiento. L</w:t>
      </w:r>
      <w:r w:rsidR="00C336D2" w:rsidRPr="00916AB8">
        <w:rPr>
          <w:rFonts w:asciiTheme="majorHAnsi" w:hAnsiTheme="majorHAnsi"/>
          <w:sz w:val="20"/>
          <w:szCs w:val="20"/>
          <w:lang w:val="es-ES_tradnl"/>
        </w:rPr>
        <w:t xml:space="preserve">a Comisión Interamericana toma nota de la condena impuesta a un oficial del ejército, así como de los mecanismos de reparación que ya </w:t>
      </w:r>
      <w:r w:rsidRPr="00916AB8">
        <w:rPr>
          <w:rFonts w:asciiTheme="majorHAnsi" w:hAnsiTheme="majorHAnsi"/>
          <w:sz w:val="20"/>
          <w:szCs w:val="20"/>
          <w:lang w:val="es-ES_tradnl"/>
        </w:rPr>
        <w:t xml:space="preserve">se </w:t>
      </w:r>
      <w:r w:rsidR="00C336D2" w:rsidRPr="00916AB8">
        <w:rPr>
          <w:rFonts w:asciiTheme="majorHAnsi" w:hAnsiTheme="majorHAnsi"/>
          <w:sz w:val="20"/>
          <w:szCs w:val="20"/>
          <w:lang w:val="es-ES_tradnl"/>
        </w:rPr>
        <w:t>habría</w:t>
      </w:r>
      <w:r w:rsidRPr="00916AB8">
        <w:rPr>
          <w:rFonts w:asciiTheme="majorHAnsi" w:hAnsiTheme="majorHAnsi"/>
          <w:sz w:val="20"/>
          <w:szCs w:val="20"/>
          <w:lang w:val="es-ES_tradnl"/>
        </w:rPr>
        <w:t>n</w:t>
      </w:r>
      <w:r w:rsidR="00C336D2" w:rsidRPr="00916AB8">
        <w:rPr>
          <w:rFonts w:asciiTheme="majorHAnsi" w:hAnsiTheme="majorHAnsi"/>
          <w:sz w:val="20"/>
          <w:szCs w:val="20"/>
          <w:lang w:val="es-ES_tradnl"/>
        </w:rPr>
        <w:t xml:space="preserve"> activado a nivel interno, como consecuencia de los hechos establecidos en la presente petición. Estas acciones serán</w:t>
      </w:r>
      <w:r w:rsidR="003A6342" w:rsidRPr="00916AB8">
        <w:rPr>
          <w:rFonts w:asciiTheme="majorHAnsi" w:hAnsiTheme="majorHAnsi"/>
          <w:sz w:val="20"/>
          <w:szCs w:val="20"/>
          <w:lang w:val="es-ES_tradnl"/>
        </w:rPr>
        <w:t xml:space="preserve"> efectivamente</w:t>
      </w:r>
      <w:r w:rsidR="00C336D2" w:rsidRPr="00916AB8">
        <w:rPr>
          <w:rFonts w:asciiTheme="majorHAnsi" w:hAnsiTheme="majorHAnsi"/>
          <w:sz w:val="20"/>
          <w:szCs w:val="20"/>
          <w:lang w:val="es-ES_tradnl"/>
        </w:rPr>
        <w:t xml:space="preserve"> tomadas en cuenta </w:t>
      </w:r>
      <w:r w:rsidR="00E12252" w:rsidRPr="00916AB8">
        <w:rPr>
          <w:rFonts w:asciiTheme="majorHAnsi" w:hAnsiTheme="majorHAnsi"/>
          <w:sz w:val="20"/>
          <w:szCs w:val="20"/>
          <w:lang w:val="es-ES_tradnl"/>
        </w:rPr>
        <w:t xml:space="preserve">por la CIDH </w:t>
      </w:r>
      <w:r w:rsidR="00C336D2" w:rsidRPr="00916AB8">
        <w:rPr>
          <w:rFonts w:asciiTheme="majorHAnsi" w:hAnsiTheme="majorHAnsi"/>
          <w:sz w:val="20"/>
          <w:szCs w:val="20"/>
          <w:lang w:val="es-ES_tradnl"/>
        </w:rPr>
        <w:t xml:space="preserve">como parte </w:t>
      </w:r>
      <w:r w:rsidR="003A6342" w:rsidRPr="00916AB8">
        <w:rPr>
          <w:rFonts w:asciiTheme="majorHAnsi" w:hAnsiTheme="majorHAnsi"/>
          <w:sz w:val="20"/>
          <w:szCs w:val="20"/>
          <w:lang w:val="es-ES_tradnl"/>
        </w:rPr>
        <w:t>de su</w:t>
      </w:r>
      <w:r w:rsidR="00C336D2" w:rsidRPr="00916AB8">
        <w:rPr>
          <w:rFonts w:asciiTheme="majorHAnsi" w:hAnsiTheme="majorHAnsi"/>
          <w:sz w:val="20"/>
          <w:szCs w:val="20"/>
          <w:lang w:val="es-ES_tradnl"/>
        </w:rPr>
        <w:t xml:space="preserve"> análisis </w:t>
      </w:r>
      <w:r w:rsidR="003A6342" w:rsidRPr="00916AB8">
        <w:rPr>
          <w:rFonts w:asciiTheme="majorHAnsi" w:hAnsiTheme="majorHAnsi"/>
          <w:sz w:val="20"/>
          <w:szCs w:val="20"/>
          <w:lang w:val="es-ES_tradnl"/>
        </w:rPr>
        <w:t>de fondo del presente caso.</w:t>
      </w:r>
      <w:r w:rsidR="003A6342">
        <w:rPr>
          <w:rFonts w:asciiTheme="majorHAnsi" w:hAnsiTheme="majorHAnsi"/>
          <w:sz w:val="20"/>
          <w:szCs w:val="20"/>
          <w:lang w:val="es-ES_tradnl"/>
        </w:rPr>
        <w:t xml:space="preserve"> </w:t>
      </w:r>
    </w:p>
    <w:p w14:paraId="43F7D726" w14:textId="77777777" w:rsidR="00507154" w:rsidRPr="0097609D"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16059557" w14:textId="77777777" w:rsidR="003239B8" w:rsidRPr="00507154" w:rsidRDefault="003239B8" w:rsidP="00507154">
      <w:pPr>
        <w:pStyle w:val="ListParagraph"/>
        <w:jc w:val="both"/>
        <w:rPr>
          <w:rFonts w:asciiTheme="majorHAnsi" w:hAnsiTheme="majorHAnsi"/>
          <w:b/>
          <w:bCs/>
          <w:sz w:val="20"/>
          <w:szCs w:val="20"/>
          <w:lang w:val="es-ES"/>
        </w:rPr>
      </w:pPr>
      <w:r w:rsidRPr="00507154">
        <w:rPr>
          <w:rFonts w:asciiTheme="majorHAnsi" w:hAnsiTheme="majorHAnsi"/>
          <w:b/>
          <w:bCs/>
          <w:sz w:val="20"/>
          <w:szCs w:val="20"/>
          <w:lang w:val="es-ES"/>
        </w:rPr>
        <w:t xml:space="preserve">VIII. </w:t>
      </w:r>
      <w:r w:rsidRPr="00507154">
        <w:rPr>
          <w:rFonts w:asciiTheme="majorHAnsi" w:hAnsiTheme="majorHAnsi"/>
          <w:b/>
          <w:bCs/>
          <w:sz w:val="20"/>
          <w:szCs w:val="20"/>
          <w:lang w:val="es-ES"/>
        </w:rPr>
        <w:tab/>
        <w:t>DECISIÓN</w:t>
      </w:r>
    </w:p>
    <w:p w14:paraId="6F3EEE7D" w14:textId="77777777" w:rsidR="00507154" w:rsidRDefault="00507154" w:rsidP="0050715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C5020FA" w14:textId="77777777" w:rsidR="003239B8" w:rsidRDefault="003239B8" w:rsidP="00507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507154">
        <w:rPr>
          <w:rFonts w:asciiTheme="majorHAnsi" w:hAnsiTheme="majorHAnsi"/>
          <w:sz w:val="20"/>
          <w:szCs w:val="20"/>
          <w:lang w:val="es-ES"/>
        </w:rPr>
        <w:t xml:space="preserve">Declarar admisible la presente petición en relación con </w:t>
      </w:r>
      <w:r w:rsidR="00507154">
        <w:rPr>
          <w:rFonts w:asciiTheme="majorHAnsi" w:hAnsiTheme="majorHAnsi"/>
          <w:sz w:val="20"/>
          <w:szCs w:val="20"/>
          <w:lang w:val="es-ES"/>
        </w:rPr>
        <w:t>los artículos 4, 5, 8, 11, 22</w:t>
      </w:r>
      <w:r w:rsidR="00C336D2">
        <w:rPr>
          <w:rFonts w:asciiTheme="majorHAnsi" w:hAnsiTheme="majorHAnsi"/>
          <w:sz w:val="20"/>
          <w:szCs w:val="20"/>
          <w:lang w:val="es-ES"/>
        </w:rPr>
        <w:t>,</w:t>
      </w:r>
      <w:r w:rsidR="00507154">
        <w:rPr>
          <w:rFonts w:asciiTheme="majorHAnsi" w:hAnsiTheme="majorHAnsi"/>
          <w:sz w:val="20"/>
          <w:szCs w:val="20"/>
          <w:lang w:val="es-ES"/>
        </w:rPr>
        <w:t xml:space="preserve"> 25 </w:t>
      </w:r>
      <w:r w:rsidR="00C336D2">
        <w:rPr>
          <w:rFonts w:asciiTheme="majorHAnsi" w:hAnsiTheme="majorHAnsi"/>
          <w:sz w:val="20"/>
          <w:szCs w:val="20"/>
          <w:lang w:val="es-ES"/>
        </w:rPr>
        <w:t xml:space="preserve">y 26 </w:t>
      </w:r>
      <w:r w:rsidR="00507154">
        <w:rPr>
          <w:rFonts w:asciiTheme="majorHAnsi" w:hAnsiTheme="majorHAnsi"/>
          <w:sz w:val="20"/>
          <w:szCs w:val="20"/>
          <w:lang w:val="es-ES"/>
        </w:rPr>
        <w:t xml:space="preserve">de la Convención Americana, en conexión con sus artículos 1.1 y 2, </w:t>
      </w:r>
      <w:r w:rsidR="0097609D">
        <w:rPr>
          <w:rFonts w:asciiTheme="majorHAnsi" w:hAnsiTheme="majorHAnsi"/>
          <w:sz w:val="20"/>
          <w:szCs w:val="20"/>
          <w:lang w:val="es-ES"/>
        </w:rPr>
        <w:t xml:space="preserve">así como </w:t>
      </w:r>
      <w:r w:rsidR="00507154">
        <w:rPr>
          <w:rFonts w:asciiTheme="majorHAnsi" w:hAnsiTheme="majorHAnsi"/>
          <w:sz w:val="20"/>
          <w:szCs w:val="20"/>
          <w:lang w:val="es-ES"/>
        </w:rPr>
        <w:t>en relación con los artículos 1, 6 y 8 de la Convención Interamericana para Prevenir y Sancionar la Tortura</w:t>
      </w:r>
      <w:r w:rsidR="00A758AA" w:rsidRPr="00507154">
        <w:rPr>
          <w:rFonts w:asciiTheme="majorHAnsi" w:hAnsiTheme="majorHAnsi"/>
          <w:sz w:val="20"/>
          <w:szCs w:val="20"/>
          <w:lang w:val="es-ES"/>
        </w:rPr>
        <w:t>;</w:t>
      </w:r>
      <w:r w:rsidR="007B76D3" w:rsidRPr="00507154">
        <w:rPr>
          <w:rFonts w:asciiTheme="majorHAnsi" w:hAnsiTheme="majorHAnsi"/>
          <w:sz w:val="20"/>
          <w:szCs w:val="20"/>
          <w:lang w:val="es-ES"/>
        </w:rPr>
        <w:t xml:space="preserve"> y</w:t>
      </w:r>
    </w:p>
    <w:p w14:paraId="090E027F" w14:textId="77777777" w:rsidR="000419AD" w:rsidRPr="00507154" w:rsidRDefault="000419AD" w:rsidP="00507154">
      <w:pPr>
        <w:rPr>
          <w:rFonts w:asciiTheme="majorHAnsi" w:hAnsiTheme="majorHAnsi"/>
          <w:sz w:val="20"/>
          <w:szCs w:val="20"/>
          <w:lang w:val="es-ES"/>
        </w:rPr>
      </w:pPr>
    </w:p>
    <w:p w14:paraId="79827649" w14:textId="1EC1B7BE" w:rsidR="00722C9F" w:rsidRDefault="004A6A54" w:rsidP="00507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50715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4118AE" w14:textId="77777777" w:rsidR="00393A30" w:rsidRDefault="00393A30" w:rsidP="00393A30">
      <w:pPr>
        <w:pStyle w:val="ListParagraph"/>
        <w:rPr>
          <w:rFonts w:asciiTheme="majorHAnsi" w:hAnsiTheme="majorHAnsi"/>
          <w:sz w:val="20"/>
          <w:szCs w:val="20"/>
          <w:lang w:val="es-ES"/>
        </w:rPr>
      </w:pPr>
    </w:p>
    <w:p w14:paraId="04B1AEF4" w14:textId="77777777" w:rsidR="00393A30" w:rsidRPr="00A37B82" w:rsidRDefault="00393A30" w:rsidP="00393A3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F91686F" w14:textId="77777777" w:rsidR="00393A30" w:rsidRPr="00A37B82" w:rsidRDefault="00393A30" w:rsidP="00393A30">
      <w:pPr>
        <w:suppressAutoHyphens/>
        <w:ind w:firstLine="720"/>
        <w:jc w:val="both"/>
        <w:rPr>
          <w:rFonts w:asciiTheme="majorHAnsi" w:hAnsiTheme="majorHAnsi" w:cs="Arial"/>
          <w:noProof/>
          <w:spacing w:val="-2"/>
          <w:sz w:val="20"/>
          <w:szCs w:val="20"/>
          <w:lang w:val="es-CL"/>
        </w:rPr>
      </w:pPr>
    </w:p>
    <w:sectPr w:rsidR="00393A3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341F6" w14:textId="77777777" w:rsidR="00F61530" w:rsidRDefault="00F61530">
      <w:r>
        <w:separator/>
      </w:r>
    </w:p>
  </w:endnote>
  <w:endnote w:type="continuationSeparator" w:id="0">
    <w:p w14:paraId="1B4A75AC" w14:textId="77777777" w:rsidR="00F61530" w:rsidRDefault="00F6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38E3" w14:textId="77777777" w:rsidR="00535FA4" w:rsidRDefault="00535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EF14C70" w14:textId="3B9CD1FE" w:rsidR="00646437" w:rsidRPr="00934A2C" w:rsidRDefault="0064643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35FA4">
          <w:rPr>
            <w:noProof/>
            <w:sz w:val="16"/>
            <w:szCs w:val="22"/>
          </w:rPr>
          <w:t>3</w:t>
        </w:r>
        <w:r w:rsidRPr="00934A2C">
          <w:rPr>
            <w:noProof/>
            <w:sz w:val="16"/>
            <w:szCs w:val="22"/>
          </w:rPr>
          <w:fldChar w:fldCharType="end"/>
        </w:r>
      </w:p>
    </w:sdtContent>
  </w:sdt>
  <w:p w14:paraId="5A0E1F21" w14:textId="77777777" w:rsidR="00646437" w:rsidRDefault="00646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FFAE" w14:textId="77777777" w:rsidR="00646437" w:rsidRPr="00934A2C" w:rsidRDefault="00646437">
    <w:pPr>
      <w:pStyle w:val="Footer"/>
      <w:jc w:val="center"/>
      <w:rPr>
        <w:sz w:val="16"/>
        <w:szCs w:val="22"/>
      </w:rPr>
    </w:pPr>
  </w:p>
  <w:p w14:paraId="30ABA76E" w14:textId="77777777" w:rsidR="00646437" w:rsidRDefault="00646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97ABB" w14:textId="77777777" w:rsidR="00F61530" w:rsidRPr="000F35ED" w:rsidRDefault="00F615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C77B3C" w14:textId="77777777" w:rsidR="00F61530" w:rsidRPr="000F35ED" w:rsidRDefault="00F61530" w:rsidP="000F35ED">
      <w:pPr>
        <w:rPr>
          <w:rFonts w:asciiTheme="majorHAnsi" w:hAnsiTheme="majorHAnsi"/>
          <w:sz w:val="16"/>
          <w:szCs w:val="16"/>
        </w:rPr>
      </w:pPr>
      <w:r w:rsidRPr="000F35ED">
        <w:rPr>
          <w:rFonts w:asciiTheme="majorHAnsi" w:hAnsiTheme="majorHAnsi"/>
          <w:sz w:val="16"/>
          <w:szCs w:val="16"/>
        </w:rPr>
        <w:separator/>
      </w:r>
    </w:p>
    <w:p w14:paraId="2DCF53E9" w14:textId="77777777" w:rsidR="00F61530" w:rsidRPr="000F35ED" w:rsidRDefault="00F6153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69291E1" w14:textId="77777777" w:rsidR="00F61530" w:rsidRPr="000F35ED" w:rsidRDefault="00F6153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5A9D9B6" w14:textId="77777777" w:rsidR="00646437" w:rsidRPr="00C47D03" w:rsidRDefault="00646437" w:rsidP="00A95204">
      <w:pPr>
        <w:pStyle w:val="FootnoteText"/>
        <w:ind w:firstLine="720"/>
        <w:jc w:val="both"/>
        <w:rPr>
          <w:rFonts w:asciiTheme="majorHAnsi" w:hAnsiTheme="majorHAnsi"/>
          <w:sz w:val="16"/>
          <w:szCs w:val="16"/>
          <w:lang w:val="es-CO"/>
        </w:rPr>
      </w:pPr>
      <w:r w:rsidRPr="00C47D03">
        <w:rPr>
          <w:rStyle w:val="FootnoteReference"/>
          <w:rFonts w:asciiTheme="majorHAnsi" w:hAnsiTheme="majorHAnsi"/>
          <w:sz w:val="16"/>
          <w:szCs w:val="16"/>
        </w:rPr>
        <w:footnoteRef/>
      </w:r>
      <w:r w:rsidRPr="00C47D03">
        <w:rPr>
          <w:rFonts w:asciiTheme="majorHAnsi" w:hAnsiTheme="majorHAnsi"/>
          <w:sz w:val="16"/>
          <w:szCs w:val="16"/>
          <w:lang w:val="es-CO"/>
        </w:rPr>
        <w:t xml:space="preserve"> Los peticionarios </w:t>
      </w:r>
      <w:r>
        <w:rPr>
          <w:rFonts w:asciiTheme="majorHAnsi" w:hAnsiTheme="majorHAnsi"/>
          <w:sz w:val="16"/>
          <w:szCs w:val="16"/>
          <w:lang w:val="es-CO"/>
        </w:rPr>
        <w:t xml:space="preserve">en sus observaciones adicionales identifican a los siguientes familiares directos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Torres y Freddy Torres</w:t>
      </w:r>
      <w:r w:rsidRPr="00C47D03">
        <w:rPr>
          <w:rFonts w:asciiTheme="majorHAnsi" w:hAnsiTheme="majorHAnsi"/>
          <w:sz w:val="16"/>
          <w:szCs w:val="16"/>
          <w:lang w:val="es-CO"/>
        </w:rPr>
        <w:t xml:space="preserve">: (1) César Julio Torres </w:t>
      </w:r>
      <w:proofErr w:type="spellStart"/>
      <w:r w:rsidRPr="00C47D03">
        <w:rPr>
          <w:rFonts w:asciiTheme="majorHAnsi" w:hAnsiTheme="majorHAnsi"/>
          <w:sz w:val="16"/>
          <w:szCs w:val="16"/>
          <w:lang w:val="es-CO"/>
        </w:rPr>
        <w:t>Torres</w:t>
      </w:r>
      <w:proofErr w:type="spellEnd"/>
      <w:r w:rsidRPr="00C47D03">
        <w:rPr>
          <w:rFonts w:asciiTheme="majorHAnsi" w:hAnsiTheme="majorHAnsi"/>
          <w:sz w:val="16"/>
          <w:szCs w:val="16"/>
          <w:lang w:val="es-CO"/>
        </w:rPr>
        <w:t>,</w:t>
      </w:r>
      <w:r>
        <w:rPr>
          <w:rFonts w:asciiTheme="majorHAnsi" w:hAnsiTheme="majorHAnsi"/>
          <w:sz w:val="16"/>
          <w:szCs w:val="16"/>
          <w:lang w:val="es-CO"/>
        </w:rPr>
        <w:t xml:space="preserve"> padre de Freddy y tío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w:t>
      </w:r>
      <w:r w:rsidRPr="00C47D03">
        <w:rPr>
          <w:rFonts w:asciiTheme="majorHAnsi" w:hAnsiTheme="majorHAnsi"/>
          <w:sz w:val="16"/>
          <w:szCs w:val="16"/>
          <w:lang w:val="es-CO"/>
        </w:rPr>
        <w:t xml:space="preserve">(2) </w:t>
      </w:r>
      <w:proofErr w:type="spellStart"/>
      <w:r>
        <w:rPr>
          <w:rFonts w:asciiTheme="majorHAnsi" w:hAnsiTheme="majorHAnsi"/>
          <w:sz w:val="16"/>
          <w:szCs w:val="16"/>
          <w:lang w:val="es-CO"/>
        </w:rPr>
        <w:t>Jheison</w:t>
      </w:r>
      <w:proofErr w:type="spellEnd"/>
      <w:r>
        <w:rPr>
          <w:rFonts w:asciiTheme="majorHAnsi" w:hAnsiTheme="majorHAnsi"/>
          <w:sz w:val="16"/>
          <w:szCs w:val="16"/>
          <w:lang w:val="es-CO"/>
        </w:rPr>
        <w:t xml:space="preserve"> Alejandro Torres Orjuela, hijo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w:t>
      </w:r>
      <w:r w:rsidRPr="00C47D03">
        <w:rPr>
          <w:rFonts w:asciiTheme="majorHAnsi" w:hAnsiTheme="majorHAnsi"/>
          <w:sz w:val="16"/>
          <w:szCs w:val="16"/>
          <w:lang w:val="es-CO"/>
        </w:rPr>
        <w:t xml:space="preserve"> (3) </w:t>
      </w:r>
      <w:proofErr w:type="spellStart"/>
      <w:r>
        <w:rPr>
          <w:rFonts w:asciiTheme="majorHAnsi" w:hAnsiTheme="majorHAnsi"/>
          <w:sz w:val="16"/>
          <w:szCs w:val="16"/>
          <w:lang w:val="es-CO"/>
        </w:rPr>
        <w:t>Leni</w:t>
      </w:r>
      <w:proofErr w:type="spellEnd"/>
      <w:r>
        <w:rPr>
          <w:rFonts w:asciiTheme="majorHAnsi" w:hAnsiTheme="majorHAnsi"/>
          <w:sz w:val="16"/>
          <w:szCs w:val="16"/>
          <w:lang w:val="es-CO"/>
        </w:rPr>
        <w:t xml:space="preserve"> Santiago Torres Orjuela, hijo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(4) Julio César Torres Clavijo, hermano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y primo de Freddy; (5) </w:t>
      </w:r>
      <w:proofErr w:type="spellStart"/>
      <w:r>
        <w:rPr>
          <w:rFonts w:asciiTheme="majorHAnsi" w:hAnsiTheme="majorHAnsi"/>
          <w:sz w:val="16"/>
          <w:szCs w:val="16"/>
          <w:lang w:val="es-CO"/>
        </w:rPr>
        <w:t>Nohemy</w:t>
      </w:r>
      <w:proofErr w:type="spellEnd"/>
      <w:r>
        <w:rPr>
          <w:rFonts w:asciiTheme="majorHAnsi" w:hAnsiTheme="majorHAnsi"/>
          <w:sz w:val="16"/>
          <w:szCs w:val="16"/>
          <w:lang w:val="es-CO"/>
        </w:rPr>
        <w:t xml:space="preserve"> Torres Clavijo, hermana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y prima de Freddy; (6) Jorge Eliécer Torres Clavijo, hermano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y primo de Freddy; (7) Luis </w:t>
      </w:r>
      <w:proofErr w:type="spellStart"/>
      <w:r>
        <w:rPr>
          <w:rFonts w:asciiTheme="majorHAnsi" w:hAnsiTheme="majorHAnsi"/>
          <w:sz w:val="16"/>
          <w:szCs w:val="16"/>
          <w:lang w:val="es-CO"/>
        </w:rPr>
        <w:t>Everaldo</w:t>
      </w:r>
      <w:proofErr w:type="spellEnd"/>
      <w:r>
        <w:rPr>
          <w:rFonts w:asciiTheme="majorHAnsi" w:hAnsiTheme="majorHAnsi"/>
          <w:sz w:val="16"/>
          <w:szCs w:val="16"/>
          <w:lang w:val="es-CO"/>
        </w:rPr>
        <w:t xml:space="preserve"> Torres Clavijo, hermano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 y primo de Freddy; y (8) Francy Stella Orjuela Riveros, compañera permanente de </w:t>
      </w:r>
      <w:proofErr w:type="spellStart"/>
      <w:r>
        <w:rPr>
          <w:rFonts w:asciiTheme="majorHAnsi" w:hAnsiTheme="majorHAnsi"/>
          <w:sz w:val="16"/>
          <w:szCs w:val="16"/>
          <w:lang w:val="es-CO"/>
        </w:rPr>
        <w:t>Helvir</w:t>
      </w:r>
      <w:proofErr w:type="spellEnd"/>
      <w:r>
        <w:rPr>
          <w:rFonts w:asciiTheme="majorHAnsi" w:hAnsiTheme="majorHAnsi"/>
          <w:sz w:val="16"/>
          <w:szCs w:val="16"/>
          <w:lang w:val="es-CO"/>
        </w:rPr>
        <w:t xml:space="preserve"> Antonio.</w:t>
      </w:r>
    </w:p>
  </w:footnote>
  <w:footnote w:id="3">
    <w:p w14:paraId="6011C17B" w14:textId="77777777" w:rsidR="00646437" w:rsidRPr="00B14A38" w:rsidRDefault="00646437" w:rsidP="00A95204">
      <w:pPr>
        <w:pStyle w:val="FootnoteText"/>
        <w:ind w:firstLine="720"/>
        <w:rPr>
          <w:rFonts w:asciiTheme="majorHAnsi" w:hAnsiTheme="majorHAnsi"/>
          <w:sz w:val="16"/>
          <w:szCs w:val="16"/>
          <w:lang w:val="es-CO"/>
        </w:rPr>
      </w:pPr>
      <w:r w:rsidRPr="00B14A38">
        <w:rPr>
          <w:rStyle w:val="FootnoteReference"/>
          <w:rFonts w:asciiTheme="majorHAnsi" w:hAnsiTheme="majorHAnsi"/>
          <w:sz w:val="16"/>
          <w:szCs w:val="16"/>
        </w:rPr>
        <w:footnoteRef/>
      </w:r>
      <w:r w:rsidR="00EA15F7">
        <w:rPr>
          <w:rFonts w:asciiTheme="majorHAnsi" w:hAnsiTheme="majorHAnsi"/>
          <w:sz w:val="16"/>
          <w:szCs w:val="16"/>
          <w:lang w:val="es-CO"/>
        </w:rPr>
        <w:t xml:space="preserve"> En adelante, </w:t>
      </w:r>
      <w:r w:rsidRPr="00B14A38">
        <w:rPr>
          <w:rFonts w:asciiTheme="majorHAnsi" w:hAnsiTheme="majorHAnsi"/>
          <w:sz w:val="16"/>
          <w:szCs w:val="16"/>
          <w:lang w:val="es-CO"/>
        </w:rPr>
        <w:t>“</w:t>
      </w:r>
      <w:r w:rsidR="00EA15F7">
        <w:rPr>
          <w:rFonts w:asciiTheme="majorHAnsi" w:hAnsiTheme="majorHAnsi"/>
          <w:sz w:val="16"/>
          <w:szCs w:val="16"/>
          <w:lang w:val="es-CO"/>
        </w:rPr>
        <w:t xml:space="preserve">la </w:t>
      </w:r>
      <w:r w:rsidRPr="00B14A38">
        <w:rPr>
          <w:rFonts w:asciiTheme="majorHAnsi" w:hAnsiTheme="majorHAnsi"/>
          <w:sz w:val="16"/>
          <w:szCs w:val="16"/>
          <w:lang w:val="es-CO"/>
        </w:rPr>
        <w:t>Convención Americana”</w:t>
      </w:r>
      <w:r w:rsidR="00EA15F7">
        <w:rPr>
          <w:rFonts w:asciiTheme="majorHAnsi" w:hAnsiTheme="majorHAnsi"/>
          <w:sz w:val="16"/>
          <w:szCs w:val="16"/>
          <w:lang w:val="es-CO"/>
        </w:rPr>
        <w:t xml:space="preserve"> o “la Convención”</w:t>
      </w:r>
      <w:r w:rsidRPr="00B14A38">
        <w:rPr>
          <w:rFonts w:asciiTheme="majorHAnsi" w:hAnsiTheme="majorHAnsi"/>
          <w:sz w:val="16"/>
          <w:szCs w:val="16"/>
          <w:lang w:val="es-CO"/>
        </w:rPr>
        <w:t>.</w:t>
      </w:r>
      <w:r w:rsidR="00424712">
        <w:rPr>
          <w:rFonts w:asciiTheme="majorHAnsi" w:hAnsiTheme="majorHAnsi"/>
          <w:sz w:val="16"/>
          <w:szCs w:val="16"/>
          <w:lang w:val="es-CO"/>
        </w:rPr>
        <w:t xml:space="preserve"> </w:t>
      </w:r>
    </w:p>
  </w:footnote>
  <w:footnote w:id="4">
    <w:p w14:paraId="24386586" w14:textId="77777777" w:rsidR="00646437" w:rsidRPr="0061108F" w:rsidRDefault="00646437" w:rsidP="00A95204">
      <w:pPr>
        <w:pStyle w:val="FootnoteText"/>
        <w:ind w:firstLine="720"/>
        <w:jc w:val="both"/>
        <w:rPr>
          <w:rFonts w:asciiTheme="majorHAnsi" w:hAnsiTheme="majorHAnsi"/>
          <w:sz w:val="16"/>
          <w:szCs w:val="16"/>
          <w:lang w:val="es-ES"/>
        </w:rPr>
      </w:pPr>
      <w:r w:rsidRPr="0061108F">
        <w:rPr>
          <w:rStyle w:val="FootnoteReference"/>
          <w:rFonts w:asciiTheme="majorHAnsi" w:hAnsiTheme="majorHAnsi"/>
          <w:sz w:val="16"/>
          <w:szCs w:val="16"/>
        </w:rPr>
        <w:footnoteRef/>
      </w:r>
      <w:r w:rsidRPr="0061108F">
        <w:rPr>
          <w:rFonts w:asciiTheme="majorHAnsi" w:hAnsiTheme="majorHAnsi"/>
          <w:sz w:val="16"/>
          <w:szCs w:val="16"/>
          <w:lang w:val="es-ES"/>
        </w:rPr>
        <w:t xml:space="preserve"> Las observaciones de cada parte fueron debidamente trasladadas a la parte contraria.</w:t>
      </w:r>
      <w:r w:rsidR="0061108F" w:rsidRPr="0061108F">
        <w:rPr>
          <w:rFonts w:asciiTheme="majorHAnsi" w:hAnsiTheme="majorHAnsi"/>
          <w:sz w:val="16"/>
          <w:szCs w:val="16"/>
          <w:lang w:val="es-ES"/>
        </w:rPr>
        <w:t xml:space="preserve"> El 2 de junio de 2020 se le dio traslado al Estado de las observaciones adicionales del peticionario, dándosele plazo de un mes para contestar, sin embargo, a la fecha del presente informe no se ha recibido respuesta.  </w:t>
      </w:r>
    </w:p>
  </w:footnote>
  <w:footnote w:id="5">
    <w:p w14:paraId="229B975B" w14:textId="77777777" w:rsidR="00646437" w:rsidRPr="002774D2" w:rsidRDefault="00646437" w:rsidP="00A95204">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6">
    <w:p w14:paraId="460A3116" w14:textId="77777777" w:rsidR="00646437" w:rsidRPr="002774D2" w:rsidRDefault="00646437" w:rsidP="00A95204">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AA2B66">
        <w:rPr>
          <w:rFonts w:asciiTheme="majorHAnsi" w:hAnsiTheme="majorHAnsi" w:cstheme="minorHAnsi"/>
          <w:sz w:val="16"/>
          <w:szCs w:val="16"/>
          <w:lang w:val="es-US"/>
        </w:rPr>
        <w:t>Paraguay. 30 de noviembre de 2017, párr. 14.</w:t>
      </w:r>
    </w:p>
  </w:footnote>
  <w:footnote w:id="7">
    <w:p w14:paraId="1009E738" w14:textId="77777777" w:rsidR="00646437" w:rsidRDefault="00646437" w:rsidP="00A95204">
      <w:pPr>
        <w:pStyle w:val="FootnoteText"/>
        <w:ind w:firstLine="720"/>
        <w:jc w:val="both"/>
        <w:rPr>
          <w:rFonts w:asciiTheme="majorHAnsi" w:hAnsiTheme="majorHAnsi"/>
          <w:sz w:val="16"/>
          <w:szCs w:val="16"/>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CIDH, Informe No. 11/17. Admisibilidad. María Hilaria González Sierra y otros. Colombia. 27 de enero de 2017, párr. 4; CIDH, Informe No. 89/18. Petición 1110-07. Admisibilidad. Juan Simón Cantillo </w:t>
      </w:r>
      <w:proofErr w:type="spellStart"/>
      <w:r>
        <w:rPr>
          <w:rFonts w:asciiTheme="majorHAnsi" w:hAnsiTheme="majorHAnsi"/>
          <w:sz w:val="16"/>
          <w:szCs w:val="16"/>
          <w:lang w:val="es-CO"/>
        </w:rPr>
        <w:t>Raigoza</w:t>
      </w:r>
      <w:proofErr w:type="spellEnd"/>
      <w:r>
        <w:rPr>
          <w:rFonts w:asciiTheme="majorHAnsi" w:hAnsiTheme="majorHAnsi"/>
          <w:sz w:val="16"/>
          <w:szCs w:val="16"/>
          <w:lang w:val="es-CO"/>
        </w:rPr>
        <w:t xml:space="preserve">, Keyla </w:t>
      </w:r>
      <w:proofErr w:type="spellStart"/>
      <w:r>
        <w:rPr>
          <w:rFonts w:asciiTheme="majorHAnsi" w:hAnsiTheme="majorHAnsi"/>
          <w:sz w:val="16"/>
          <w:szCs w:val="16"/>
          <w:lang w:val="es-CO"/>
        </w:rPr>
        <w:t>Sandrith</w:t>
      </w:r>
      <w:proofErr w:type="spellEnd"/>
      <w:r>
        <w:rPr>
          <w:rFonts w:asciiTheme="majorHAnsi" w:hAnsiTheme="majorHAnsi"/>
          <w:sz w:val="16"/>
          <w:szCs w:val="16"/>
          <w:lang w:val="es-CO"/>
        </w:rPr>
        <w:t xml:space="preserve"> Cantillo Vides y Familia. Colombia. 27 de julio de 2018, párr. 10; CIDH, Informe No. 44/18. Admisibilidad. Masacre de </w:t>
      </w:r>
      <w:proofErr w:type="spellStart"/>
      <w:r>
        <w:rPr>
          <w:rFonts w:asciiTheme="majorHAnsi" w:hAnsiTheme="majorHAnsi"/>
          <w:sz w:val="16"/>
          <w:szCs w:val="16"/>
          <w:lang w:val="es-CO"/>
        </w:rPr>
        <w:t>Pijiguay</w:t>
      </w:r>
      <w:proofErr w:type="spellEnd"/>
      <w:r>
        <w:rPr>
          <w:rFonts w:asciiTheme="majorHAnsi" w:hAnsiTheme="majorHAnsi"/>
          <w:sz w:val="16"/>
          <w:szCs w:val="16"/>
          <w:lang w:val="es-CO"/>
        </w:rPr>
        <w:t xml:space="preserve">. </w:t>
      </w:r>
      <w:r>
        <w:rPr>
          <w:rFonts w:asciiTheme="majorHAnsi" w:hAnsiTheme="majorHAnsi"/>
          <w:sz w:val="16"/>
          <w:szCs w:val="16"/>
          <w:lang w:val="es-ES"/>
        </w:rPr>
        <w:t xml:space="preserve">Colombia. 4 de mayo de 2018, párr. 11. </w:t>
      </w:r>
    </w:p>
  </w:footnote>
  <w:footnote w:id="8">
    <w:p w14:paraId="66F81B18" w14:textId="46CFC6BD" w:rsidR="00507154" w:rsidRPr="00507154" w:rsidRDefault="00507154" w:rsidP="00A95204">
      <w:pPr>
        <w:pStyle w:val="FootnoteText"/>
        <w:ind w:firstLine="720"/>
        <w:rPr>
          <w:rFonts w:asciiTheme="majorHAnsi" w:hAnsiTheme="majorHAnsi"/>
          <w:sz w:val="16"/>
          <w:szCs w:val="16"/>
          <w:lang w:val="es-CO"/>
        </w:rPr>
      </w:pPr>
      <w:r w:rsidRPr="00507154">
        <w:rPr>
          <w:rStyle w:val="FootnoteReference"/>
          <w:rFonts w:asciiTheme="majorHAnsi" w:hAnsiTheme="majorHAnsi"/>
          <w:sz w:val="16"/>
          <w:szCs w:val="16"/>
        </w:rPr>
        <w:footnoteRef/>
      </w:r>
      <w:r w:rsidRPr="00507154">
        <w:rPr>
          <w:rFonts w:asciiTheme="majorHAnsi" w:hAnsiTheme="majorHAnsi"/>
          <w:sz w:val="16"/>
          <w:szCs w:val="16"/>
          <w:lang w:val="es-CO"/>
        </w:rPr>
        <w:t xml:space="preserve"> CIDH, Informe No. 34/15, Petición 191-07 y otras. Admisibilidad. Álvaro Enrique Rodriguez Buitrago y otros. Colombia. 22 de julio de 2015</w:t>
      </w:r>
      <w:r w:rsidR="00B23EDF">
        <w:rPr>
          <w:rFonts w:asciiTheme="majorHAnsi" w:hAnsiTheme="majorHAnsi"/>
          <w:sz w:val="16"/>
          <w:szCs w:val="16"/>
          <w:lang w:val="es-CO"/>
        </w:rPr>
        <w:t>, párr. 262.</w:t>
      </w:r>
    </w:p>
  </w:footnote>
  <w:footnote w:id="9">
    <w:p w14:paraId="4DC51753" w14:textId="77777777" w:rsidR="00BE35FE" w:rsidRPr="00D27613" w:rsidRDefault="00BE35FE" w:rsidP="00A95204">
      <w:pPr>
        <w:pStyle w:val="FootnoteText"/>
        <w:tabs>
          <w:tab w:val="left" w:pos="0"/>
        </w:tabs>
        <w:ind w:firstLine="720"/>
        <w:jc w:val="both"/>
        <w:rPr>
          <w:rFonts w:ascii="Cambria" w:hAnsi="Cambria" w:cstheme="minorHAnsi"/>
          <w:sz w:val="16"/>
          <w:szCs w:val="16"/>
          <w:lang w:val="es-CO"/>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w:t>
      </w:r>
      <w:r w:rsidRPr="00D27613">
        <w:rPr>
          <w:rFonts w:ascii="Cambria" w:hAnsi="Cambria" w:cstheme="minorHAnsi"/>
          <w:sz w:val="16"/>
          <w:szCs w:val="16"/>
          <w:lang w:val="es-CO"/>
        </w:rPr>
        <w:t xml:space="preserve">Corte IDH, </w:t>
      </w:r>
      <w:r w:rsidRPr="00D27613">
        <w:rPr>
          <w:rFonts w:ascii="Cambria" w:hAnsi="Cambria" w:cstheme="minorHAnsi"/>
          <w:i/>
          <w:sz w:val="16"/>
          <w:szCs w:val="16"/>
          <w:lang w:val="es-CO"/>
        </w:rPr>
        <w:t xml:space="preserve">Caso </w:t>
      </w:r>
      <w:proofErr w:type="spellStart"/>
      <w:r w:rsidRPr="00D27613">
        <w:rPr>
          <w:rFonts w:ascii="Cambria" w:hAnsi="Cambria" w:cstheme="minorHAnsi"/>
          <w:i/>
          <w:sz w:val="16"/>
          <w:szCs w:val="16"/>
          <w:lang w:val="es-CO"/>
        </w:rPr>
        <w:t>Ibsen</w:t>
      </w:r>
      <w:proofErr w:type="spellEnd"/>
      <w:r w:rsidRPr="00D27613">
        <w:rPr>
          <w:rFonts w:ascii="Cambria" w:hAnsi="Cambria" w:cstheme="minorHAnsi"/>
          <w:i/>
          <w:sz w:val="16"/>
          <w:szCs w:val="16"/>
          <w:lang w:val="es-CO"/>
        </w:rPr>
        <w:t xml:space="preserve"> Cárdenas e </w:t>
      </w:r>
      <w:proofErr w:type="spellStart"/>
      <w:r w:rsidRPr="00D27613">
        <w:rPr>
          <w:rFonts w:ascii="Cambria" w:hAnsi="Cambria" w:cstheme="minorHAnsi"/>
          <w:i/>
          <w:sz w:val="16"/>
          <w:szCs w:val="16"/>
          <w:lang w:val="es-CO"/>
        </w:rPr>
        <w:t>Ibsen</w:t>
      </w:r>
      <w:proofErr w:type="spellEnd"/>
      <w:r w:rsidRPr="00D27613">
        <w:rPr>
          <w:rFonts w:ascii="Cambria" w:hAnsi="Cambria" w:cstheme="minorHAnsi"/>
          <w:i/>
          <w:sz w:val="16"/>
          <w:szCs w:val="16"/>
          <w:lang w:val="es-CO"/>
        </w:rPr>
        <w:t xml:space="preserve"> Peña Vs. Bolivia</w:t>
      </w:r>
      <w:r w:rsidRPr="00D27613">
        <w:rPr>
          <w:rFonts w:ascii="Cambria" w:hAnsi="Cambria" w:cstheme="minorHAnsi"/>
          <w:sz w:val="16"/>
          <w:szCs w:val="16"/>
          <w:lang w:val="es-CO"/>
        </w:rPr>
        <w:t>. Serie C No. 217, par. 226.</w:t>
      </w:r>
    </w:p>
  </w:footnote>
  <w:footnote w:id="10">
    <w:p w14:paraId="62FBBBA1" w14:textId="77777777" w:rsidR="00BE35FE" w:rsidRPr="00D27613" w:rsidRDefault="00BE35FE" w:rsidP="00A95204">
      <w:pPr>
        <w:pStyle w:val="FootnoteText"/>
        <w:tabs>
          <w:tab w:val="left" w:pos="0"/>
        </w:tabs>
        <w:ind w:firstLine="720"/>
        <w:jc w:val="both"/>
        <w:rPr>
          <w:rFonts w:ascii="Cambria" w:hAnsi="Cambria" w:cstheme="minorHAnsi"/>
          <w:sz w:val="16"/>
          <w:szCs w:val="16"/>
          <w:lang w:val="es-CO"/>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w:t>
      </w:r>
      <w:r w:rsidRPr="00D27613">
        <w:rPr>
          <w:rFonts w:ascii="Cambria" w:hAnsi="Cambria" w:cstheme="minorHAnsi"/>
          <w:sz w:val="16"/>
          <w:szCs w:val="16"/>
          <w:lang w:val="es-CO"/>
        </w:rPr>
        <w:t xml:space="preserve">Corte IDH. </w:t>
      </w:r>
      <w:r w:rsidRPr="00D27613">
        <w:rPr>
          <w:rFonts w:ascii="Cambria" w:hAnsi="Cambria" w:cstheme="minorHAnsi"/>
          <w:i/>
          <w:sz w:val="16"/>
          <w:szCs w:val="16"/>
          <w:lang w:val="es-CO"/>
        </w:rPr>
        <w:t xml:space="preserve">Caso </w:t>
      </w:r>
      <w:proofErr w:type="spellStart"/>
      <w:r w:rsidRPr="00D27613">
        <w:rPr>
          <w:rFonts w:ascii="Cambria" w:hAnsi="Cambria" w:cstheme="minorHAnsi"/>
          <w:i/>
          <w:sz w:val="16"/>
          <w:szCs w:val="16"/>
          <w:lang w:val="es-CO"/>
        </w:rPr>
        <w:t>Atala</w:t>
      </w:r>
      <w:proofErr w:type="spellEnd"/>
      <w:r w:rsidRPr="00D27613">
        <w:rPr>
          <w:rFonts w:ascii="Cambria" w:hAnsi="Cambria" w:cstheme="minorHAnsi"/>
          <w:i/>
          <w:sz w:val="16"/>
          <w:szCs w:val="16"/>
          <w:lang w:val="es-CO"/>
        </w:rPr>
        <w:t xml:space="preserve"> </w:t>
      </w:r>
      <w:proofErr w:type="spellStart"/>
      <w:r w:rsidRPr="00D27613">
        <w:rPr>
          <w:rFonts w:ascii="Cambria" w:hAnsi="Cambria" w:cstheme="minorHAnsi"/>
          <w:i/>
          <w:sz w:val="16"/>
          <w:szCs w:val="16"/>
          <w:lang w:val="es-CO"/>
        </w:rPr>
        <w:t>Riffo</w:t>
      </w:r>
      <w:proofErr w:type="spellEnd"/>
      <w:r w:rsidRPr="00D27613">
        <w:rPr>
          <w:rFonts w:ascii="Cambria" w:hAnsi="Cambria" w:cstheme="minorHAnsi"/>
          <w:i/>
          <w:sz w:val="16"/>
          <w:szCs w:val="16"/>
          <w:lang w:val="es-CO"/>
        </w:rPr>
        <w:t xml:space="preserve"> y niñas v. Chile</w:t>
      </w:r>
      <w:r w:rsidRPr="00D27613">
        <w:rPr>
          <w:rFonts w:ascii="Cambria" w:hAnsi="Cambria" w:cstheme="minorHAnsi"/>
          <w:sz w:val="16"/>
          <w:szCs w:val="16"/>
          <w:lang w:val="es-CO"/>
        </w:rPr>
        <w:t xml:space="preserve">. Serie C No. 239, párr. 241. </w:t>
      </w:r>
    </w:p>
  </w:footnote>
  <w:footnote w:id="11">
    <w:p w14:paraId="59F20B16" w14:textId="77777777" w:rsidR="000F1532" w:rsidRPr="00D27613" w:rsidRDefault="000F1532" w:rsidP="00A95204">
      <w:pPr>
        <w:pStyle w:val="FootnoteText"/>
        <w:tabs>
          <w:tab w:val="left" w:pos="0"/>
        </w:tabs>
        <w:ind w:firstLine="720"/>
        <w:jc w:val="both"/>
        <w:rPr>
          <w:rFonts w:ascii="Cambria" w:hAnsi="Cambria" w:cstheme="minorHAnsi"/>
          <w:sz w:val="16"/>
          <w:szCs w:val="16"/>
          <w:lang w:val="es-CO"/>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w:t>
      </w:r>
      <w:r w:rsidRPr="00D27613">
        <w:rPr>
          <w:rFonts w:ascii="Cambria" w:hAnsi="Cambria" w:cstheme="minorHAnsi"/>
          <w:sz w:val="16"/>
          <w:szCs w:val="16"/>
          <w:lang w:val="es-CO"/>
        </w:rPr>
        <w:t xml:space="preserve">Entre muchas otras, ver las sentencias de la Corte IDH en los casos: (1) </w:t>
      </w:r>
      <w:r w:rsidRPr="00D27613">
        <w:rPr>
          <w:rFonts w:ascii="Cambria" w:hAnsi="Cambria" w:cstheme="minorHAnsi"/>
          <w:i/>
          <w:sz w:val="16"/>
          <w:szCs w:val="16"/>
          <w:lang w:val="es-CO"/>
        </w:rPr>
        <w:t>Caso Castillo Páez v. Perú</w:t>
      </w:r>
      <w:r w:rsidRPr="00D27613">
        <w:rPr>
          <w:rFonts w:ascii="Cambria" w:hAnsi="Cambria" w:cstheme="minorHAnsi"/>
          <w:sz w:val="16"/>
          <w:szCs w:val="16"/>
          <w:lang w:val="es-CO"/>
        </w:rPr>
        <w:t xml:space="preserve">. Serie C No. 43, párr. 53; y (2) </w:t>
      </w:r>
      <w:r w:rsidRPr="00D27613">
        <w:rPr>
          <w:rFonts w:ascii="Cambria" w:hAnsi="Cambria" w:cstheme="minorHAnsi"/>
          <w:i/>
          <w:sz w:val="16"/>
          <w:szCs w:val="16"/>
          <w:lang w:val="es-CO"/>
        </w:rPr>
        <w:t>Caso Blake v. Guatemala</w:t>
      </w:r>
      <w:r w:rsidRPr="00D27613">
        <w:rPr>
          <w:rFonts w:ascii="Cambria" w:hAnsi="Cambria" w:cstheme="minorHAnsi"/>
          <w:sz w:val="16"/>
          <w:szCs w:val="16"/>
          <w:lang w:val="es-CO"/>
        </w:rPr>
        <w:t>. Serie C No. 48, párr. 42.</w:t>
      </w:r>
    </w:p>
  </w:footnote>
  <w:footnote w:id="12">
    <w:p w14:paraId="5245D2FF" w14:textId="77777777" w:rsidR="00A86331" w:rsidRPr="00D27613" w:rsidRDefault="00A86331" w:rsidP="00A95204">
      <w:pPr>
        <w:pStyle w:val="FootnoteText"/>
        <w:tabs>
          <w:tab w:val="left" w:pos="0"/>
        </w:tabs>
        <w:ind w:firstLine="720"/>
        <w:jc w:val="both"/>
        <w:rPr>
          <w:rFonts w:ascii="Cambria" w:hAnsi="Cambria" w:cstheme="minorHAnsi"/>
          <w:sz w:val="16"/>
          <w:szCs w:val="16"/>
          <w:lang w:val="es-US"/>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w:t>
      </w:r>
      <w:r w:rsidRPr="00D27613">
        <w:rPr>
          <w:rFonts w:ascii="Cambria" w:hAnsi="Cambria" w:cstheme="minorHAnsi"/>
          <w:sz w:val="16"/>
          <w:szCs w:val="16"/>
          <w:lang w:val="es-CO"/>
        </w:rPr>
        <w:t xml:space="preserve">Corte IDH. </w:t>
      </w:r>
      <w:r w:rsidRPr="00D27613">
        <w:rPr>
          <w:rFonts w:ascii="Cambria" w:hAnsi="Cambria" w:cstheme="minorHAnsi"/>
          <w:i/>
          <w:sz w:val="16"/>
          <w:szCs w:val="16"/>
          <w:lang w:val="es-CO"/>
        </w:rPr>
        <w:t>Caso Cepeda Vargas v. Colombia</w:t>
      </w:r>
      <w:r w:rsidRPr="00D27613">
        <w:rPr>
          <w:rFonts w:ascii="Cambria" w:hAnsi="Cambria" w:cstheme="minorHAnsi"/>
          <w:sz w:val="16"/>
          <w:szCs w:val="16"/>
          <w:lang w:val="es-CO"/>
        </w:rPr>
        <w:t xml:space="preserve">. Serie C No. 213, párr. 246. </w:t>
      </w:r>
      <w:r w:rsidRPr="00D27613">
        <w:rPr>
          <w:rFonts w:ascii="Cambria" w:hAnsi="Cambria"/>
          <w:sz w:val="16"/>
          <w:szCs w:val="16"/>
          <w:lang w:val="es-US"/>
        </w:rPr>
        <w:t>En el caso concreto, los familiares de la víctima habían recibido indemnizaciones de los tribunales nacionales que la Corte consideró objetivas y razonables, valorándolas positivamente.</w:t>
      </w:r>
    </w:p>
  </w:footnote>
  <w:footnote w:id="13">
    <w:p w14:paraId="5BBC5FDF" w14:textId="77777777" w:rsidR="00A86331" w:rsidRPr="00D27613" w:rsidRDefault="00A86331" w:rsidP="00A95204">
      <w:pPr>
        <w:tabs>
          <w:tab w:val="left" w:pos="0"/>
        </w:tabs>
        <w:ind w:firstLine="720"/>
        <w:jc w:val="both"/>
        <w:rPr>
          <w:rFonts w:ascii="Cambria" w:hAnsi="Cambria" w:cstheme="minorHAnsi"/>
          <w:sz w:val="16"/>
          <w:szCs w:val="16"/>
          <w:lang w:val="es-ES_tradnl"/>
        </w:rPr>
      </w:pPr>
      <w:r w:rsidRPr="00D27613">
        <w:rPr>
          <w:rStyle w:val="FootnoteReference"/>
          <w:rFonts w:ascii="Cambria" w:hAnsi="Cambria"/>
          <w:sz w:val="16"/>
          <w:szCs w:val="16"/>
        </w:rPr>
        <w:footnoteRef/>
      </w:r>
      <w:r w:rsidRPr="00A86331">
        <w:rPr>
          <w:rFonts w:ascii="Cambria" w:hAnsi="Cambria"/>
          <w:sz w:val="16"/>
          <w:szCs w:val="16"/>
          <w:lang w:val="es-CO"/>
        </w:rPr>
        <w:t xml:space="preserve"> </w:t>
      </w:r>
      <w:r w:rsidRPr="00D27613">
        <w:rPr>
          <w:rFonts w:ascii="Cambria" w:hAnsi="Cambria" w:cstheme="minorHAnsi"/>
          <w:sz w:val="16"/>
          <w:szCs w:val="16"/>
          <w:lang w:val="es-ES_tradnl"/>
        </w:rPr>
        <w:t xml:space="preserve">Por ejemplo, en el caso </w:t>
      </w:r>
      <w:proofErr w:type="spellStart"/>
      <w:r w:rsidRPr="00D27613">
        <w:rPr>
          <w:rFonts w:ascii="Cambria" w:hAnsi="Cambria" w:cstheme="minorHAnsi"/>
          <w:sz w:val="16"/>
          <w:szCs w:val="16"/>
          <w:lang w:val="es-ES_tradnl"/>
        </w:rPr>
        <w:t>Almonacid</w:t>
      </w:r>
      <w:proofErr w:type="spellEnd"/>
      <w:r w:rsidRPr="00D27613">
        <w:rPr>
          <w:rFonts w:ascii="Cambria" w:hAnsi="Cambria" w:cstheme="minorHAnsi"/>
          <w:sz w:val="16"/>
          <w:szCs w:val="16"/>
          <w:lang w:val="es-ES_tradnl"/>
        </w:rPr>
        <w:t xml:space="preserve"> Arellano, la Corte IDH se abstuvo de ordenar el pago de una indemnización por daño inmaterial a las víctimas porque a nivel interno ya habían recibido una compensación dentro de un proceso de justicia transicional que incluyó el desembolso de reparaciones monetarias; aunque sí ordenó la Corte otras formas de reparación, además de subrayar que la sentencia en sí misma era una forma de satisfacción [</w:t>
      </w:r>
      <w:r w:rsidRPr="00A86331">
        <w:rPr>
          <w:rFonts w:ascii="Cambria" w:hAnsi="Cambria"/>
          <w:sz w:val="16"/>
          <w:szCs w:val="16"/>
          <w:lang w:val="es-CO"/>
        </w:rPr>
        <w:t xml:space="preserve">Corte IDH. </w:t>
      </w:r>
      <w:r w:rsidRPr="00A86331">
        <w:rPr>
          <w:rFonts w:ascii="Cambria" w:hAnsi="Cambria"/>
          <w:i/>
          <w:sz w:val="16"/>
          <w:szCs w:val="16"/>
          <w:lang w:val="es-CO"/>
        </w:rPr>
        <w:t xml:space="preserve">Caso </w:t>
      </w:r>
      <w:proofErr w:type="spellStart"/>
      <w:r w:rsidRPr="00A86331">
        <w:rPr>
          <w:rFonts w:ascii="Cambria" w:hAnsi="Cambria"/>
          <w:i/>
          <w:sz w:val="16"/>
          <w:szCs w:val="16"/>
          <w:lang w:val="es-CO"/>
        </w:rPr>
        <w:t>Almonacid</w:t>
      </w:r>
      <w:proofErr w:type="spellEnd"/>
      <w:r w:rsidRPr="00A86331">
        <w:rPr>
          <w:rFonts w:ascii="Cambria" w:hAnsi="Cambria"/>
          <w:i/>
          <w:sz w:val="16"/>
          <w:szCs w:val="16"/>
          <w:lang w:val="es-CO"/>
        </w:rPr>
        <w:t xml:space="preserve"> Arellano y </w:t>
      </w:r>
      <w:proofErr w:type="gramStart"/>
      <w:r w:rsidRPr="00A86331">
        <w:rPr>
          <w:rFonts w:ascii="Cambria" w:hAnsi="Cambria"/>
          <w:i/>
          <w:sz w:val="16"/>
          <w:szCs w:val="16"/>
          <w:lang w:val="es-CO"/>
        </w:rPr>
        <w:t>otros</w:t>
      </w:r>
      <w:proofErr w:type="gramEnd"/>
      <w:r w:rsidRPr="00A86331">
        <w:rPr>
          <w:rFonts w:ascii="Cambria" w:hAnsi="Cambria"/>
          <w:i/>
          <w:sz w:val="16"/>
          <w:szCs w:val="16"/>
          <w:lang w:val="es-CO"/>
        </w:rPr>
        <w:t xml:space="preserve"> v. Chile</w:t>
      </w:r>
      <w:r w:rsidRPr="00A86331">
        <w:rPr>
          <w:rFonts w:ascii="Cambria" w:hAnsi="Cambria"/>
          <w:sz w:val="16"/>
          <w:szCs w:val="16"/>
          <w:lang w:val="es-CO"/>
        </w:rPr>
        <w:t xml:space="preserve">. Serie C No. 154, párr. 161]. </w:t>
      </w:r>
      <w:r w:rsidRPr="00D27613">
        <w:rPr>
          <w:rFonts w:ascii="Cambria" w:hAnsi="Cambria" w:cstheme="minorHAnsi"/>
          <w:sz w:val="16"/>
          <w:szCs w:val="16"/>
          <w:lang w:val="es-ES_tradnl"/>
        </w:rPr>
        <w:t>Igualmente, en el caso de la Masacre de Santo Domingo la Corte resolvió no ordenar el pago de indemnizaciones a los familiares de víctimas fallecidas y a las víctimas sobrevivientes que ya habían obtenido reparaciones judiciales contencioso-administrativas por los mismos hechos a nivel nacional [</w:t>
      </w:r>
      <w:r w:rsidRPr="00D27613">
        <w:rPr>
          <w:rFonts w:ascii="Cambria" w:hAnsi="Cambria" w:cstheme="minorHAnsi"/>
          <w:sz w:val="16"/>
          <w:szCs w:val="16"/>
          <w:lang w:val="es-US"/>
        </w:rPr>
        <w:t>Corte IDH. Cas</w:t>
      </w:r>
      <w:r w:rsidRPr="00D27613">
        <w:rPr>
          <w:rFonts w:ascii="Cambria" w:hAnsi="Cambria" w:cstheme="minorHAnsi"/>
          <w:i/>
          <w:sz w:val="16"/>
          <w:szCs w:val="16"/>
          <w:lang w:val="es-US"/>
        </w:rPr>
        <w:t>o Masacre de Santo Domingo v. Colombia</w:t>
      </w:r>
      <w:r w:rsidRPr="00D27613">
        <w:rPr>
          <w:rFonts w:ascii="Cambria" w:hAnsi="Cambria" w:cstheme="minorHAnsi"/>
          <w:sz w:val="16"/>
          <w:szCs w:val="16"/>
          <w:lang w:val="es-US"/>
        </w:rPr>
        <w:t xml:space="preserve">. </w:t>
      </w:r>
      <w:r w:rsidRPr="00A86331">
        <w:rPr>
          <w:rFonts w:ascii="Cambria" w:hAnsi="Cambria" w:cstheme="minorHAnsi"/>
          <w:sz w:val="16"/>
          <w:szCs w:val="16"/>
          <w:lang w:val="es-CO"/>
        </w:rPr>
        <w:t>Serie C No. 259, párr. 336].</w:t>
      </w:r>
    </w:p>
  </w:footnote>
  <w:footnote w:id="14">
    <w:p w14:paraId="64B6C2AE" w14:textId="77777777" w:rsidR="00A86331" w:rsidRPr="00D27613" w:rsidRDefault="00A86331" w:rsidP="00A95204">
      <w:pPr>
        <w:pStyle w:val="FootnoteText"/>
        <w:tabs>
          <w:tab w:val="left" w:pos="0"/>
        </w:tabs>
        <w:ind w:firstLine="720"/>
        <w:jc w:val="both"/>
        <w:rPr>
          <w:rFonts w:ascii="Cambria" w:hAnsi="Cambria" w:cstheme="minorHAnsi"/>
          <w:sz w:val="16"/>
          <w:szCs w:val="16"/>
          <w:lang w:val="es-US"/>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w:t>
      </w:r>
      <w:r w:rsidRPr="00D27613">
        <w:rPr>
          <w:rFonts w:ascii="Cambria" w:hAnsi="Cambria" w:cstheme="minorHAnsi"/>
          <w:sz w:val="16"/>
          <w:szCs w:val="16"/>
          <w:lang w:val="es-ES_tradnl"/>
        </w:rPr>
        <w:t xml:space="preserve">En el caso de las Masacres de </w:t>
      </w:r>
      <w:proofErr w:type="spellStart"/>
      <w:r w:rsidRPr="00D27613">
        <w:rPr>
          <w:rFonts w:ascii="Cambria" w:hAnsi="Cambria" w:cstheme="minorHAnsi"/>
          <w:sz w:val="16"/>
          <w:szCs w:val="16"/>
          <w:lang w:val="es-ES_tradnl"/>
        </w:rPr>
        <w:t>Ituango</w:t>
      </w:r>
      <w:proofErr w:type="spellEnd"/>
      <w:r w:rsidRPr="00D27613">
        <w:rPr>
          <w:rFonts w:ascii="Cambria" w:hAnsi="Cambria" w:cstheme="minorHAnsi"/>
          <w:sz w:val="16"/>
          <w:szCs w:val="16"/>
          <w:lang w:val="es-ES_tradnl"/>
        </w:rPr>
        <w:t>, varias de las víctimas que habían acudido al SIDH ya habían recibido reparaciones a nivel interno a través de acuerdos de conciliación celebrados en el curso de procesos judiciales contencioso-administrativos, y otras tenían tales procesos aún en curso ante los tribunales domésticos. La Corte IDH tomó nota de dichas indemnizaciones ya recibidas, especialmente en cuanto reparaban los mismos daños materiales e inmateriales que se estaban evaluando a nivel interamericano, para efectos de no duplicarlas en su fallo; y recordó que una de las pautas guía para las compensaciones internacionales es que no deben ni enriquecer ni empobrecer a la víctima. En cuanto a las personas que tenían procesos judiciales en curso, la Corte IDH ordenó que se les indemnizara pero expresamente instruyendo al Estado que comunicara el hecho a los tribunales que conocían de los casos para que allí resolvieran lo conducente [</w:t>
      </w:r>
      <w:r w:rsidRPr="00D27613">
        <w:rPr>
          <w:rFonts w:ascii="Cambria" w:hAnsi="Cambria" w:cstheme="minorHAnsi"/>
          <w:sz w:val="16"/>
          <w:szCs w:val="16"/>
          <w:lang w:val="es-US"/>
        </w:rPr>
        <w:t xml:space="preserve">Corte IDH. </w:t>
      </w:r>
      <w:r w:rsidRPr="00D27613">
        <w:rPr>
          <w:rFonts w:ascii="Cambria" w:hAnsi="Cambria" w:cstheme="minorHAnsi"/>
          <w:i/>
          <w:sz w:val="16"/>
          <w:szCs w:val="16"/>
          <w:lang w:val="es-US"/>
        </w:rPr>
        <w:t xml:space="preserve">Caso de las Masacres de </w:t>
      </w:r>
      <w:proofErr w:type="spellStart"/>
      <w:r w:rsidRPr="00D27613">
        <w:rPr>
          <w:rFonts w:ascii="Cambria" w:hAnsi="Cambria" w:cstheme="minorHAnsi"/>
          <w:i/>
          <w:sz w:val="16"/>
          <w:szCs w:val="16"/>
          <w:lang w:val="es-US"/>
        </w:rPr>
        <w:t>Ituango</w:t>
      </w:r>
      <w:proofErr w:type="spellEnd"/>
      <w:r w:rsidRPr="00D27613">
        <w:rPr>
          <w:rFonts w:ascii="Cambria" w:hAnsi="Cambria" w:cstheme="minorHAnsi"/>
          <w:i/>
          <w:sz w:val="16"/>
          <w:szCs w:val="16"/>
          <w:lang w:val="es-US"/>
        </w:rPr>
        <w:t xml:space="preserve"> v. Colombia</w:t>
      </w:r>
      <w:r w:rsidRPr="00D27613">
        <w:rPr>
          <w:rFonts w:ascii="Cambria" w:hAnsi="Cambria" w:cstheme="minorHAnsi"/>
          <w:sz w:val="16"/>
          <w:szCs w:val="16"/>
          <w:lang w:val="es-US"/>
        </w:rPr>
        <w:t xml:space="preserve">. Serie C No. 148, párr. 376]. </w:t>
      </w:r>
      <w:r w:rsidRPr="00D27613">
        <w:rPr>
          <w:rFonts w:ascii="Cambria" w:hAnsi="Cambria" w:cstheme="minorHAnsi"/>
          <w:sz w:val="16"/>
          <w:szCs w:val="16"/>
          <w:lang w:val="es-ES_tradnl"/>
        </w:rPr>
        <w:t>Una decisión similar se adoptó en el caso de la Masacre de La Rochela, en el cual la Corte autorizó al Estado colombiano a descontar los valores que las víctimas ya habían recibido por reparaciones decretadas judicialmente a nivel interno, al momento de hacer el pago [</w:t>
      </w:r>
      <w:r w:rsidRPr="00D27613">
        <w:rPr>
          <w:rFonts w:ascii="Cambria" w:hAnsi="Cambria" w:cstheme="minorHAnsi"/>
          <w:sz w:val="16"/>
          <w:szCs w:val="16"/>
          <w:lang w:val="es-US"/>
        </w:rPr>
        <w:t xml:space="preserve">Corte IDH. </w:t>
      </w:r>
      <w:r w:rsidRPr="00D27613">
        <w:rPr>
          <w:rFonts w:ascii="Cambria" w:hAnsi="Cambria" w:cstheme="minorHAnsi"/>
          <w:i/>
          <w:sz w:val="16"/>
          <w:szCs w:val="16"/>
          <w:lang w:val="es-US"/>
        </w:rPr>
        <w:t>Caso de la Masacre de La Rochela v. Colombia</w:t>
      </w:r>
      <w:r w:rsidRPr="00D27613">
        <w:rPr>
          <w:rFonts w:ascii="Cambria" w:hAnsi="Cambria" w:cstheme="minorHAnsi"/>
          <w:sz w:val="16"/>
          <w:szCs w:val="16"/>
          <w:lang w:val="es-US"/>
        </w:rPr>
        <w:t xml:space="preserve">. Serie C No. 163, párr. 250]. </w:t>
      </w:r>
      <w:r w:rsidRPr="00D27613">
        <w:rPr>
          <w:rFonts w:ascii="Cambria" w:hAnsi="Cambria" w:cstheme="minorHAnsi"/>
          <w:sz w:val="16"/>
          <w:szCs w:val="16"/>
          <w:lang w:val="es-ES_tradnl"/>
        </w:rPr>
        <w:t xml:space="preserve">Así mismo, la Corte ha tenido en cuenta al fijar las compensaciones interamericanas los montos que las personas han recibido a título de reparación administrativa a nivel interno, como sucede con las personas víctimas de desplazamiento forzado en Colombia; en el caso de las Masacres de </w:t>
      </w:r>
      <w:proofErr w:type="spellStart"/>
      <w:r w:rsidRPr="00D27613">
        <w:rPr>
          <w:rFonts w:ascii="Cambria" w:hAnsi="Cambria" w:cstheme="minorHAnsi"/>
          <w:sz w:val="16"/>
          <w:szCs w:val="16"/>
          <w:lang w:val="es-ES_tradnl"/>
        </w:rPr>
        <w:t>Ituango</w:t>
      </w:r>
      <w:proofErr w:type="spellEnd"/>
      <w:r w:rsidRPr="00D27613">
        <w:rPr>
          <w:rFonts w:ascii="Cambria" w:hAnsi="Cambria" w:cstheme="minorHAnsi"/>
          <w:sz w:val="16"/>
          <w:szCs w:val="16"/>
          <w:lang w:val="es-ES_tradnl"/>
        </w:rPr>
        <w:t xml:space="preserve"> se tomó en cuenta que varias de las personas beneficiarias ya habían recibido tales ayudas administrativas nacionales [</w:t>
      </w:r>
      <w:r w:rsidRPr="00D27613">
        <w:rPr>
          <w:rFonts w:ascii="Cambria" w:hAnsi="Cambria" w:cstheme="minorHAnsi"/>
          <w:sz w:val="16"/>
          <w:szCs w:val="16"/>
          <w:lang w:val="es-US"/>
        </w:rPr>
        <w:t xml:space="preserve">Corte IDH. </w:t>
      </w:r>
      <w:r w:rsidRPr="00D27613">
        <w:rPr>
          <w:rFonts w:ascii="Cambria" w:hAnsi="Cambria" w:cstheme="minorHAnsi"/>
          <w:i/>
          <w:sz w:val="16"/>
          <w:szCs w:val="16"/>
          <w:lang w:val="es-US"/>
        </w:rPr>
        <w:t xml:space="preserve">Caso de las Masacres de </w:t>
      </w:r>
      <w:proofErr w:type="spellStart"/>
      <w:r w:rsidRPr="00D27613">
        <w:rPr>
          <w:rFonts w:ascii="Cambria" w:hAnsi="Cambria" w:cstheme="minorHAnsi"/>
          <w:i/>
          <w:sz w:val="16"/>
          <w:szCs w:val="16"/>
          <w:lang w:val="es-US"/>
        </w:rPr>
        <w:t>Ituango</w:t>
      </w:r>
      <w:proofErr w:type="spellEnd"/>
      <w:r w:rsidRPr="00D27613">
        <w:rPr>
          <w:rFonts w:ascii="Cambria" w:hAnsi="Cambria" w:cstheme="minorHAnsi"/>
          <w:i/>
          <w:sz w:val="16"/>
          <w:szCs w:val="16"/>
          <w:lang w:val="es-US"/>
        </w:rPr>
        <w:t xml:space="preserve"> v. Colombia</w:t>
      </w:r>
      <w:r w:rsidRPr="00D27613">
        <w:rPr>
          <w:rFonts w:ascii="Cambria" w:hAnsi="Cambria" w:cstheme="minorHAnsi"/>
          <w:sz w:val="16"/>
          <w:szCs w:val="16"/>
          <w:lang w:val="es-US"/>
        </w:rPr>
        <w:t xml:space="preserve">. Serie C No. 148, párr. 378]. </w:t>
      </w:r>
      <w:r w:rsidRPr="00D27613">
        <w:rPr>
          <w:rFonts w:ascii="Cambria" w:hAnsi="Cambria" w:cstheme="minorHAnsi"/>
          <w:sz w:val="16"/>
          <w:szCs w:val="16"/>
          <w:lang w:val="es-ES_tradnl"/>
        </w:rPr>
        <w:t>Un caso llamativo a este respecto es el de la Masacre de la Rochela. Las víctimas, familiares sobrevivientes de personas fallecidas en la masacre, ya habían obtenido en Colombia reparaciones por perjuicios inmateriales a través de procesos judiciales contencioso-administrativos domésticos. Sin embargo, como el sistema jurídico colombiano no reconoce los perjuicios morales sufridos por las propias víctimas fallecidas para indemnizarlo, sino únicamente el perjuicio moral de los familiares sobrevivientes, la Corte consideró que las reparaciones ya recibidas eran insuficientes en ese punto, y ordenó que se compensara dicho sufrimiento personal de los fallecidos, para entregarle la indemnización a sus familiares en tanto sucesores [</w:t>
      </w:r>
      <w:r w:rsidRPr="00D27613">
        <w:rPr>
          <w:rFonts w:ascii="Cambria" w:hAnsi="Cambria" w:cstheme="minorHAnsi"/>
          <w:sz w:val="16"/>
          <w:szCs w:val="16"/>
          <w:lang w:val="es-US"/>
        </w:rPr>
        <w:t xml:space="preserve">Corte IDH. </w:t>
      </w:r>
      <w:r w:rsidRPr="00D27613">
        <w:rPr>
          <w:rFonts w:ascii="Cambria" w:hAnsi="Cambria" w:cstheme="minorHAnsi"/>
          <w:i/>
          <w:sz w:val="16"/>
          <w:szCs w:val="16"/>
          <w:lang w:val="es-US"/>
        </w:rPr>
        <w:t>Caso de la Masacre de La Rochela v. Colombia</w:t>
      </w:r>
      <w:r w:rsidRPr="00D27613">
        <w:rPr>
          <w:rFonts w:ascii="Cambria" w:hAnsi="Cambria" w:cstheme="minorHAnsi"/>
          <w:sz w:val="16"/>
          <w:szCs w:val="16"/>
          <w:lang w:val="es-US"/>
        </w:rPr>
        <w:t xml:space="preserve">. Serie C No. 163, </w:t>
      </w:r>
      <w:proofErr w:type="spellStart"/>
      <w:r w:rsidRPr="00D27613">
        <w:rPr>
          <w:rFonts w:ascii="Cambria" w:hAnsi="Cambria" w:cstheme="minorHAnsi"/>
          <w:sz w:val="16"/>
          <w:szCs w:val="16"/>
          <w:lang w:val="es-US"/>
        </w:rPr>
        <w:t>párrs</w:t>
      </w:r>
      <w:proofErr w:type="spellEnd"/>
      <w:r w:rsidRPr="00D27613">
        <w:rPr>
          <w:rFonts w:ascii="Cambria" w:hAnsi="Cambria" w:cstheme="minorHAnsi"/>
          <w:sz w:val="16"/>
          <w:szCs w:val="16"/>
          <w:lang w:val="es-US"/>
        </w:rPr>
        <w:t>. 256-257, 267].</w:t>
      </w:r>
    </w:p>
  </w:footnote>
  <w:footnote w:id="15">
    <w:p w14:paraId="303C37DF" w14:textId="77777777" w:rsidR="00E656C1" w:rsidRPr="00393A30" w:rsidRDefault="00E656C1" w:rsidP="00A95204">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rPr>
        <w:t xml:space="preserve"> Proyecto de Artículos de la CDI. Comentario al artículo 37, par. </w:t>
      </w:r>
      <w:r w:rsidRPr="00393A30">
        <w:rPr>
          <w:rFonts w:ascii="Cambria" w:hAnsi="Cambria" w:cstheme="minorHAnsi"/>
          <w:sz w:val="16"/>
        </w:rPr>
        <w:t>(5).</w:t>
      </w:r>
    </w:p>
  </w:footnote>
  <w:footnote w:id="16">
    <w:p w14:paraId="1ED4D3B2" w14:textId="77777777" w:rsidR="00E656C1" w:rsidRPr="00D27613" w:rsidRDefault="00E656C1" w:rsidP="00A95204">
      <w:pPr>
        <w:pStyle w:val="FootnoteText"/>
        <w:ind w:firstLine="720"/>
        <w:rPr>
          <w:rFonts w:ascii="Cambria" w:hAnsi="Cambria"/>
          <w:sz w:val="16"/>
          <w:szCs w:val="16"/>
          <w:lang w:val="es-US"/>
        </w:rPr>
      </w:pPr>
      <w:r w:rsidRPr="00D27613">
        <w:rPr>
          <w:rStyle w:val="FootnoteReference"/>
          <w:rFonts w:ascii="Cambria" w:hAnsi="Cambria"/>
          <w:sz w:val="16"/>
          <w:szCs w:val="16"/>
        </w:rPr>
        <w:footnoteRef/>
      </w:r>
      <w:r w:rsidRPr="00D27613">
        <w:rPr>
          <w:rFonts w:ascii="Cambria" w:hAnsi="Cambria"/>
          <w:sz w:val="16"/>
          <w:szCs w:val="16"/>
          <w:lang w:val="es-US"/>
        </w:rPr>
        <w:t xml:space="preserve"> CIDH. Informe de Fondo No. 43/08. Caso No. 12.009 – </w:t>
      </w:r>
      <w:proofErr w:type="spellStart"/>
      <w:r w:rsidRPr="00D27613">
        <w:rPr>
          <w:rFonts w:ascii="Cambria" w:hAnsi="Cambria"/>
          <w:sz w:val="16"/>
          <w:szCs w:val="16"/>
          <w:lang w:val="es-US"/>
        </w:rPr>
        <w:t>Leydi</w:t>
      </w:r>
      <w:proofErr w:type="spellEnd"/>
      <w:r w:rsidRPr="00D27613">
        <w:rPr>
          <w:rFonts w:ascii="Cambria" w:hAnsi="Cambria"/>
          <w:sz w:val="16"/>
          <w:szCs w:val="16"/>
          <w:lang w:val="es-US"/>
        </w:rPr>
        <w:t xml:space="preserve"> </w:t>
      </w:r>
      <w:proofErr w:type="spellStart"/>
      <w:r w:rsidRPr="00D27613">
        <w:rPr>
          <w:rFonts w:ascii="Cambria" w:hAnsi="Cambria"/>
          <w:sz w:val="16"/>
          <w:szCs w:val="16"/>
          <w:lang w:val="es-US"/>
        </w:rPr>
        <w:t>Dayán</w:t>
      </w:r>
      <w:proofErr w:type="spellEnd"/>
      <w:r w:rsidRPr="00D27613">
        <w:rPr>
          <w:rFonts w:ascii="Cambria" w:hAnsi="Cambria"/>
          <w:sz w:val="16"/>
          <w:szCs w:val="16"/>
          <w:lang w:val="es-US"/>
        </w:rPr>
        <w:t xml:space="preserve"> Sánchez (Colombia), 23 de julio de 2008.</w:t>
      </w:r>
    </w:p>
  </w:footnote>
  <w:footnote w:id="17">
    <w:p w14:paraId="65CA1380" w14:textId="77777777" w:rsidR="00E656C1" w:rsidRPr="00D27613" w:rsidRDefault="00E656C1" w:rsidP="00A95204">
      <w:pPr>
        <w:pStyle w:val="FootnoteText"/>
        <w:ind w:firstLine="720"/>
        <w:rPr>
          <w:rFonts w:ascii="Cambria" w:hAnsi="Cambria"/>
          <w:sz w:val="16"/>
          <w:szCs w:val="16"/>
          <w:lang w:val="es-US"/>
        </w:rPr>
      </w:pPr>
      <w:r w:rsidRPr="00D27613">
        <w:rPr>
          <w:rStyle w:val="FootnoteReference"/>
          <w:rFonts w:ascii="Cambria" w:hAnsi="Cambria"/>
          <w:sz w:val="16"/>
          <w:szCs w:val="16"/>
        </w:rPr>
        <w:footnoteRef/>
      </w:r>
      <w:r w:rsidRPr="00D27613">
        <w:rPr>
          <w:rFonts w:ascii="Cambria" w:hAnsi="Cambria"/>
          <w:sz w:val="16"/>
          <w:szCs w:val="16"/>
          <w:lang w:val="es-US"/>
        </w:rPr>
        <w:t xml:space="preserve"> CIDH. Informe de Fondo No. 36/08. Caso No. 12.487 – Rafael Ignacio Cuesta </w:t>
      </w:r>
      <w:proofErr w:type="spellStart"/>
      <w:r w:rsidRPr="00D27613">
        <w:rPr>
          <w:rFonts w:ascii="Cambria" w:hAnsi="Cambria"/>
          <w:sz w:val="16"/>
          <w:szCs w:val="16"/>
          <w:lang w:val="es-US"/>
        </w:rPr>
        <w:t>Caputi</w:t>
      </w:r>
      <w:proofErr w:type="spellEnd"/>
      <w:r w:rsidRPr="00D27613">
        <w:rPr>
          <w:rFonts w:ascii="Cambria" w:hAnsi="Cambria"/>
          <w:sz w:val="16"/>
          <w:szCs w:val="16"/>
          <w:lang w:val="es-US"/>
        </w:rPr>
        <w:t xml:space="preserve"> (Ecuador), 18 de julio de 2008.</w:t>
      </w:r>
    </w:p>
  </w:footnote>
  <w:footnote w:id="18">
    <w:p w14:paraId="145B0C6A" w14:textId="77777777" w:rsidR="00E656C1" w:rsidRPr="00393A30" w:rsidRDefault="00E656C1" w:rsidP="00A95204">
      <w:pPr>
        <w:pStyle w:val="Referencetext"/>
        <w:tabs>
          <w:tab w:val="left" w:pos="0"/>
        </w:tabs>
        <w:spacing w:after="0"/>
        <w:ind w:right="0" w:firstLine="720"/>
        <w:rPr>
          <w:rFonts w:ascii="Cambria" w:hAnsi="Cambria" w:cstheme="minorHAnsi"/>
          <w:sz w:val="16"/>
          <w:lang w:val="pt-BR"/>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Caso Las Palmeras v. Colombia</w:t>
      </w:r>
      <w:r w:rsidRPr="00D27613">
        <w:rPr>
          <w:rFonts w:ascii="Cambria" w:hAnsi="Cambria" w:cstheme="minorHAnsi"/>
          <w:sz w:val="16"/>
        </w:rPr>
        <w:t xml:space="preserve">. </w:t>
      </w:r>
      <w:r w:rsidRPr="00393A30">
        <w:rPr>
          <w:rFonts w:ascii="Cambria" w:hAnsi="Cambria" w:cstheme="minorHAnsi"/>
          <w:sz w:val="16"/>
          <w:lang w:val="pt-BR"/>
        </w:rPr>
        <w:t>Serie C No. 96, párr. 68.</w:t>
      </w:r>
    </w:p>
  </w:footnote>
  <w:footnote w:id="19">
    <w:p w14:paraId="03F7FC1A" w14:textId="77777777" w:rsidR="00E656C1" w:rsidRPr="00D27613" w:rsidRDefault="00E656C1" w:rsidP="00A95204">
      <w:pPr>
        <w:pStyle w:val="FootnoteText"/>
        <w:tabs>
          <w:tab w:val="left" w:pos="0"/>
        </w:tabs>
        <w:ind w:firstLine="720"/>
        <w:jc w:val="both"/>
        <w:rPr>
          <w:rFonts w:ascii="Cambria" w:hAnsi="Cambria" w:cstheme="minorHAnsi"/>
          <w:sz w:val="16"/>
          <w:szCs w:val="16"/>
          <w:lang w:val="es-ES"/>
        </w:rPr>
      </w:pPr>
      <w:r w:rsidRPr="00D27613">
        <w:rPr>
          <w:rFonts w:ascii="Cambria" w:eastAsia="Calibri Light" w:hAnsi="Cambria" w:cstheme="minorHAnsi"/>
          <w:sz w:val="16"/>
          <w:szCs w:val="16"/>
          <w:vertAlign w:val="superscript"/>
          <w:lang w:val="es-ES_tradnl"/>
        </w:rPr>
        <w:footnoteRef/>
      </w:r>
      <w:r w:rsidRPr="00393A30">
        <w:rPr>
          <w:rFonts w:ascii="Cambria" w:eastAsia="Calibri Light" w:hAnsi="Cambria" w:cstheme="minorHAnsi"/>
          <w:sz w:val="16"/>
          <w:szCs w:val="16"/>
          <w:lang w:val="pt-BR"/>
        </w:rPr>
        <w:t xml:space="preserve"> </w:t>
      </w:r>
      <w:r w:rsidRPr="00393A30">
        <w:rPr>
          <w:rFonts w:ascii="Cambria" w:eastAsia="Calibri Light" w:hAnsi="Cambria" w:cstheme="minorHAnsi"/>
          <w:sz w:val="16"/>
          <w:szCs w:val="16"/>
          <w:lang w:val="pt-BR"/>
        </w:rPr>
        <w:t xml:space="preserve">Corte </w:t>
      </w:r>
      <w:r w:rsidRPr="00393A30">
        <w:rPr>
          <w:rFonts w:ascii="Cambria" w:eastAsia="Calibri Light" w:hAnsi="Cambria" w:cstheme="minorHAnsi"/>
          <w:sz w:val="16"/>
          <w:szCs w:val="16"/>
          <w:lang w:val="pt-BR"/>
        </w:rPr>
        <w:t xml:space="preserve">IDH. </w:t>
      </w:r>
      <w:r w:rsidRPr="00D27613">
        <w:rPr>
          <w:rFonts w:ascii="Cambria" w:eastAsia="Calibri Light" w:hAnsi="Cambria" w:cstheme="minorHAnsi"/>
          <w:i/>
          <w:sz w:val="16"/>
          <w:szCs w:val="16"/>
          <w:lang w:val="es-ES_tradnl"/>
        </w:rPr>
        <w:t>Caso Albán Cornejo y otros. Vs. Ecuador</w:t>
      </w:r>
      <w:r w:rsidRPr="00D27613">
        <w:rPr>
          <w:rFonts w:ascii="Cambria" w:eastAsia="Calibri Light" w:hAnsi="Cambria" w:cstheme="minorHAnsi"/>
          <w:sz w:val="16"/>
          <w:szCs w:val="16"/>
          <w:lang w:val="es-ES_tradnl"/>
        </w:rPr>
        <w:t>. Serie C No. 171, párr. 62.</w:t>
      </w:r>
    </w:p>
  </w:footnote>
  <w:footnote w:id="20">
    <w:p w14:paraId="5B8F30C2" w14:textId="77777777" w:rsidR="00E656C1" w:rsidRPr="00D27613" w:rsidRDefault="00E656C1" w:rsidP="00A95204">
      <w:pPr>
        <w:pStyle w:val="FootnoteText"/>
        <w:tabs>
          <w:tab w:val="left" w:pos="0"/>
        </w:tabs>
        <w:ind w:firstLine="720"/>
        <w:jc w:val="both"/>
        <w:rPr>
          <w:rFonts w:ascii="Cambria" w:hAnsi="Cambria" w:cstheme="minorHAnsi"/>
          <w:sz w:val="16"/>
          <w:szCs w:val="16"/>
          <w:lang w:val="es-US"/>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CIDH, Informe No. 2/06, Petición 12.130, Fondo, Miguel Orlando Muñoz Guzmán, México, párr. 62.</w:t>
      </w:r>
    </w:p>
  </w:footnote>
  <w:footnote w:id="21">
    <w:p w14:paraId="1F4E6EFA" w14:textId="77777777" w:rsidR="00E656C1" w:rsidRPr="00D27613" w:rsidRDefault="00E656C1" w:rsidP="00A95204">
      <w:pPr>
        <w:pStyle w:val="Referencetext"/>
        <w:tabs>
          <w:tab w:val="left" w:pos="0"/>
        </w:tabs>
        <w:spacing w:after="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Caso De La “Panel Blanca” (Paniagua Morales Y Otros).</w:t>
      </w:r>
      <w:r w:rsidRPr="00D27613">
        <w:rPr>
          <w:rFonts w:ascii="Cambria" w:hAnsi="Cambria" w:cstheme="minorHAnsi"/>
          <w:sz w:val="16"/>
        </w:rPr>
        <w:t xml:space="preserve"> Serie c no. 37, par. 173. Cf. </w:t>
      </w:r>
      <w:r w:rsidRPr="00D27613">
        <w:rPr>
          <w:rFonts w:ascii="Cambria" w:hAnsi="Cambria" w:cstheme="minorHAnsi"/>
          <w:sz w:val="16"/>
          <w:lang w:val="es-US"/>
        </w:rPr>
        <w:t xml:space="preserve">Corte IDH, </w:t>
      </w:r>
      <w:r w:rsidRPr="00D27613">
        <w:rPr>
          <w:rFonts w:ascii="Cambria" w:hAnsi="Cambria" w:cstheme="minorHAnsi"/>
          <w:i/>
          <w:sz w:val="16"/>
        </w:rPr>
        <w:t xml:space="preserve">Caso Garrido Y </w:t>
      </w:r>
      <w:proofErr w:type="spellStart"/>
      <w:r w:rsidRPr="00D27613">
        <w:rPr>
          <w:rFonts w:ascii="Cambria" w:hAnsi="Cambria" w:cstheme="minorHAnsi"/>
          <w:i/>
          <w:sz w:val="16"/>
        </w:rPr>
        <w:t>Baigorria</w:t>
      </w:r>
      <w:proofErr w:type="spellEnd"/>
      <w:r w:rsidRPr="00D27613">
        <w:rPr>
          <w:rFonts w:ascii="Cambria" w:hAnsi="Cambria" w:cstheme="minorHAnsi"/>
          <w:sz w:val="16"/>
        </w:rPr>
        <w:t xml:space="preserve">. Serie C No. 39, párr. 73; </w:t>
      </w:r>
      <w:r w:rsidRPr="00D27613">
        <w:rPr>
          <w:rFonts w:ascii="Cambria" w:hAnsi="Cambria" w:cstheme="minorHAnsi"/>
          <w:i/>
          <w:sz w:val="16"/>
        </w:rPr>
        <w:t>Caso Loayza Tamayo v. Perú.</w:t>
      </w:r>
      <w:r w:rsidRPr="00D27613">
        <w:rPr>
          <w:rFonts w:ascii="Cambria" w:hAnsi="Cambria" w:cstheme="minorHAnsi"/>
          <w:sz w:val="16"/>
        </w:rPr>
        <w:t xml:space="preserve"> </w:t>
      </w:r>
      <w:r w:rsidRPr="00D27613">
        <w:rPr>
          <w:rFonts w:ascii="Cambria" w:hAnsi="Cambria" w:cstheme="minorHAnsi"/>
          <w:sz w:val="16"/>
          <w:lang w:val="es-US"/>
        </w:rPr>
        <w:t>Serie c no. 42, párr. 170.</w:t>
      </w:r>
    </w:p>
  </w:footnote>
  <w:footnote w:id="22">
    <w:p w14:paraId="1F0420E6" w14:textId="77777777" w:rsidR="00E656C1" w:rsidRPr="00D27613" w:rsidRDefault="00E656C1" w:rsidP="00A95204">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Caso Neira Alegría y otros</w:t>
      </w:r>
      <w:r w:rsidRPr="00D27613">
        <w:rPr>
          <w:rFonts w:ascii="Cambria" w:hAnsi="Cambria" w:cstheme="minorHAnsi"/>
          <w:sz w:val="16"/>
        </w:rPr>
        <w:t xml:space="preserve">. Serie C No. 20, párr. 69; </w:t>
      </w:r>
      <w:r w:rsidRPr="00D27613">
        <w:rPr>
          <w:rFonts w:ascii="Cambria" w:hAnsi="Cambria" w:cstheme="minorHAnsi"/>
          <w:i/>
          <w:sz w:val="16"/>
        </w:rPr>
        <w:t>Caso Caballero Delgado y Santana.</w:t>
      </w:r>
      <w:r w:rsidRPr="00D27613">
        <w:rPr>
          <w:rFonts w:ascii="Cambria" w:hAnsi="Cambria" w:cstheme="minorHAnsi"/>
          <w:sz w:val="16"/>
        </w:rPr>
        <w:t xml:space="preserve"> Serie C No. 22, </w:t>
      </w:r>
      <w:proofErr w:type="spellStart"/>
      <w:r w:rsidRPr="00D27613">
        <w:rPr>
          <w:rFonts w:ascii="Cambria" w:hAnsi="Cambria" w:cstheme="minorHAnsi"/>
          <w:sz w:val="16"/>
        </w:rPr>
        <w:t>párrs</w:t>
      </w:r>
      <w:proofErr w:type="spellEnd"/>
      <w:r w:rsidRPr="00D27613">
        <w:rPr>
          <w:rFonts w:ascii="Cambria" w:hAnsi="Cambria" w:cstheme="minorHAnsi"/>
          <w:sz w:val="16"/>
        </w:rPr>
        <w:t xml:space="preserve">. 58-59; </w:t>
      </w:r>
      <w:r w:rsidRPr="00D27613">
        <w:rPr>
          <w:rFonts w:ascii="Cambria" w:hAnsi="Cambria" w:cstheme="minorHAnsi"/>
          <w:i/>
          <w:sz w:val="16"/>
        </w:rPr>
        <w:t>Caso El Amparo v. Venezuela</w:t>
      </w:r>
      <w:r w:rsidRPr="00D27613">
        <w:rPr>
          <w:rFonts w:ascii="Cambria" w:hAnsi="Cambria" w:cstheme="minorHAnsi"/>
          <w:sz w:val="16"/>
        </w:rPr>
        <w:t>. Serie C No. 28, párr. 61.</w:t>
      </w:r>
    </w:p>
  </w:footnote>
  <w:footnote w:id="23">
    <w:p w14:paraId="7C6ED43E" w14:textId="77777777" w:rsidR="00E656C1" w:rsidRPr="00D27613" w:rsidRDefault="00E656C1" w:rsidP="00A95204">
      <w:pPr>
        <w:pStyle w:val="Referencetext"/>
        <w:tabs>
          <w:tab w:val="left" w:pos="0"/>
        </w:tabs>
        <w:spacing w:after="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Corte IDH, </w:t>
      </w:r>
      <w:r w:rsidRPr="00D27613">
        <w:rPr>
          <w:rFonts w:ascii="Cambria" w:hAnsi="Cambria" w:cstheme="minorHAnsi"/>
          <w:i/>
          <w:sz w:val="16"/>
        </w:rPr>
        <w:t>Caso Castillo Páez.</w:t>
      </w:r>
      <w:r w:rsidRPr="00D27613">
        <w:rPr>
          <w:rFonts w:ascii="Cambria" w:hAnsi="Cambria" w:cstheme="minorHAnsi"/>
          <w:sz w:val="16"/>
        </w:rPr>
        <w:t xml:space="preserve"> Serie C No. 43, párr.70; </w:t>
      </w:r>
      <w:r w:rsidRPr="00D27613">
        <w:rPr>
          <w:rFonts w:ascii="Cambria" w:hAnsi="Cambria" w:cstheme="minorHAnsi"/>
          <w:i/>
          <w:sz w:val="16"/>
        </w:rPr>
        <w:t>Caso Durand y Ugarte</w:t>
      </w:r>
      <w:r w:rsidRPr="00D27613">
        <w:rPr>
          <w:rFonts w:ascii="Cambria" w:hAnsi="Cambria" w:cstheme="minorHAnsi"/>
          <w:sz w:val="16"/>
        </w:rPr>
        <w:t xml:space="preserve"> </w:t>
      </w:r>
      <w:r w:rsidRPr="00D27613">
        <w:rPr>
          <w:rFonts w:ascii="Cambria" w:hAnsi="Cambria" w:cstheme="minorHAnsi"/>
          <w:i/>
          <w:sz w:val="16"/>
        </w:rPr>
        <w:t>v. Perú</w:t>
      </w:r>
      <w:r w:rsidRPr="00D27613">
        <w:rPr>
          <w:rFonts w:ascii="Cambria" w:hAnsi="Cambria" w:cstheme="minorHAnsi"/>
          <w:sz w:val="16"/>
        </w:rPr>
        <w:t xml:space="preserve">. </w:t>
      </w:r>
      <w:r w:rsidRPr="00D27613">
        <w:rPr>
          <w:rFonts w:ascii="Cambria" w:hAnsi="Cambria" w:cstheme="minorHAnsi"/>
          <w:sz w:val="16"/>
          <w:lang w:val="es-US"/>
        </w:rPr>
        <w:t>Serie C No. 68, párr. 143.</w:t>
      </w:r>
    </w:p>
  </w:footnote>
  <w:footnote w:id="24">
    <w:p w14:paraId="42D153AC" w14:textId="77777777" w:rsidR="00E656C1" w:rsidRPr="00D27613" w:rsidRDefault="00E656C1" w:rsidP="00A95204">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Caso de la “Panel Blanca” (Paniagua Morales y otros).</w:t>
      </w:r>
      <w:r w:rsidRPr="00D27613">
        <w:rPr>
          <w:rFonts w:ascii="Cambria" w:hAnsi="Cambria" w:cstheme="minorHAnsi"/>
          <w:sz w:val="16"/>
        </w:rPr>
        <w:t xml:space="preserve"> Serie C No. 37, </w:t>
      </w:r>
      <w:proofErr w:type="spellStart"/>
      <w:r w:rsidRPr="00D27613">
        <w:rPr>
          <w:rFonts w:ascii="Cambria" w:hAnsi="Cambria" w:cstheme="minorHAnsi"/>
          <w:sz w:val="16"/>
        </w:rPr>
        <w:t>párrs</w:t>
      </w:r>
      <w:proofErr w:type="spellEnd"/>
      <w:r w:rsidRPr="00D27613">
        <w:rPr>
          <w:rFonts w:ascii="Cambria" w:hAnsi="Cambria" w:cstheme="minorHAnsi"/>
          <w:sz w:val="16"/>
        </w:rPr>
        <w:t>. 174, 177.</w:t>
      </w:r>
    </w:p>
  </w:footnote>
  <w:footnote w:id="25">
    <w:p w14:paraId="7383BEC7" w14:textId="77777777" w:rsidR="00E656C1" w:rsidRPr="00393A30" w:rsidRDefault="00E656C1" w:rsidP="00A95204">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Corte IDH, </w:t>
      </w:r>
      <w:r w:rsidRPr="00393A30">
        <w:rPr>
          <w:rFonts w:ascii="Cambria" w:hAnsi="Cambria" w:cstheme="minorHAnsi"/>
          <w:i/>
          <w:sz w:val="16"/>
        </w:rPr>
        <w:t>Caso Juan Humberto Sánchez</w:t>
      </w:r>
      <w:r w:rsidRPr="00393A30">
        <w:rPr>
          <w:rFonts w:ascii="Cambria" w:hAnsi="Cambria" w:cstheme="minorHAnsi"/>
          <w:sz w:val="16"/>
        </w:rPr>
        <w:t>. Serie C No. 99, párr. 186.</w:t>
      </w:r>
    </w:p>
  </w:footnote>
  <w:footnote w:id="26">
    <w:p w14:paraId="203ADB92" w14:textId="77777777" w:rsidR="00E656C1" w:rsidRPr="00393A30" w:rsidRDefault="00E656C1" w:rsidP="00A95204">
      <w:pPr>
        <w:pStyle w:val="Referencetext"/>
        <w:tabs>
          <w:tab w:val="left" w:pos="0"/>
        </w:tabs>
        <w:spacing w:after="0"/>
        <w:ind w:right="0" w:firstLine="720"/>
        <w:rPr>
          <w:rFonts w:ascii="Cambria" w:hAnsi="Cambria" w:cstheme="minorHAnsi"/>
          <w:sz w:val="16"/>
          <w:lang w:val="es-419"/>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393A30">
        <w:rPr>
          <w:rFonts w:ascii="Cambria" w:hAnsi="Cambria" w:cstheme="minorHAnsi"/>
          <w:i/>
          <w:sz w:val="16"/>
        </w:rPr>
        <w:t xml:space="preserve">Caso </w:t>
      </w:r>
      <w:proofErr w:type="spellStart"/>
      <w:r w:rsidRPr="00393A30">
        <w:rPr>
          <w:rFonts w:ascii="Cambria" w:hAnsi="Cambria" w:cstheme="minorHAnsi"/>
          <w:i/>
          <w:sz w:val="16"/>
        </w:rPr>
        <w:t>Bulacio</w:t>
      </w:r>
      <w:proofErr w:type="spellEnd"/>
      <w:r w:rsidRPr="00393A30">
        <w:rPr>
          <w:rFonts w:ascii="Cambria" w:hAnsi="Cambria" w:cstheme="minorHAnsi"/>
          <w:i/>
          <w:sz w:val="16"/>
        </w:rPr>
        <w:t xml:space="preserve"> v. Argentina</w:t>
      </w:r>
      <w:r w:rsidRPr="00393A30">
        <w:rPr>
          <w:rFonts w:ascii="Cambria" w:hAnsi="Cambria" w:cstheme="minorHAnsi"/>
          <w:sz w:val="16"/>
        </w:rPr>
        <w:t xml:space="preserve">. </w:t>
      </w:r>
      <w:r w:rsidRPr="00393A30">
        <w:rPr>
          <w:rFonts w:ascii="Cambria" w:hAnsi="Cambria" w:cstheme="minorHAnsi"/>
          <w:sz w:val="16"/>
          <w:lang w:val="es-419"/>
        </w:rPr>
        <w:t>Serie C No. 100, párr. 121.</w:t>
      </w:r>
    </w:p>
  </w:footnote>
  <w:footnote w:id="27">
    <w:p w14:paraId="0D062C82" w14:textId="77777777" w:rsidR="00E656C1" w:rsidRPr="00D27613" w:rsidRDefault="00E656C1" w:rsidP="00A95204">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 xml:space="preserve">Caso Myrna </w:t>
      </w:r>
      <w:proofErr w:type="spellStart"/>
      <w:r w:rsidRPr="00D27613">
        <w:rPr>
          <w:rFonts w:ascii="Cambria" w:hAnsi="Cambria" w:cstheme="minorHAnsi"/>
          <w:i/>
          <w:sz w:val="16"/>
        </w:rPr>
        <w:t>Mack</w:t>
      </w:r>
      <w:proofErr w:type="spellEnd"/>
      <w:r w:rsidRPr="00D27613">
        <w:rPr>
          <w:rFonts w:ascii="Cambria" w:hAnsi="Cambria" w:cstheme="minorHAnsi"/>
          <w:i/>
          <w:sz w:val="16"/>
        </w:rPr>
        <w:t xml:space="preserve"> Chang v. Guatemala</w:t>
      </w:r>
      <w:r w:rsidRPr="00D27613">
        <w:rPr>
          <w:rFonts w:ascii="Cambria" w:hAnsi="Cambria" w:cstheme="minorHAnsi"/>
          <w:sz w:val="16"/>
        </w:rPr>
        <w:t>. Serie C No. 101, párr. 276.</w:t>
      </w:r>
    </w:p>
  </w:footnote>
  <w:footnote w:id="28">
    <w:p w14:paraId="676C76E8" w14:textId="77777777" w:rsidR="00E656C1" w:rsidRPr="00D27613" w:rsidRDefault="00E656C1" w:rsidP="00A95204">
      <w:pPr>
        <w:pStyle w:val="FootnoteText"/>
        <w:tabs>
          <w:tab w:val="left" w:pos="0"/>
        </w:tabs>
        <w:ind w:firstLine="720"/>
        <w:jc w:val="both"/>
        <w:rPr>
          <w:rFonts w:ascii="Cambria" w:hAnsi="Cambria" w:cstheme="minorHAnsi"/>
          <w:sz w:val="16"/>
          <w:szCs w:val="16"/>
          <w:lang w:val="es-CO"/>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Corte IDH. </w:t>
      </w:r>
      <w:r w:rsidRPr="00D27613">
        <w:rPr>
          <w:rFonts w:ascii="Cambria" w:hAnsi="Cambria" w:cstheme="minorHAnsi"/>
          <w:i/>
          <w:sz w:val="16"/>
          <w:szCs w:val="16"/>
          <w:lang w:val="es-US"/>
        </w:rPr>
        <w:t xml:space="preserve">Caso Pacheco Teruel y </w:t>
      </w:r>
      <w:proofErr w:type="gramStart"/>
      <w:r w:rsidRPr="00D27613">
        <w:rPr>
          <w:rFonts w:ascii="Cambria" w:hAnsi="Cambria" w:cstheme="minorHAnsi"/>
          <w:i/>
          <w:sz w:val="16"/>
          <w:szCs w:val="16"/>
          <w:lang w:val="es-US"/>
        </w:rPr>
        <w:t>otros</w:t>
      </w:r>
      <w:proofErr w:type="gramEnd"/>
      <w:r w:rsidRPr="00D27613">
        <w:rPr>
          <w:rFonts w:ascii="Cambria" w:hAnsi="Cambria" w:cstheme="minorHAnsi"/>
          <w:i/>
          <w:sz w:val="16"/>
          <w:szCs w:val="16"/>
          <w:lang w:val="es-US"/>
        </w:rPr>
        <w:t xml:space="preserve"> v. Honduras</w:t>
      </w:r>
      <w:r w:rsidRPr="00D27613">
        <w:rPr>
          <w:rFonts w:ascii="Cambria" w:hAnsi="Cambria" w:cstheme="minorHAnsi"/>
          <w:sz w:val="16"/>
          <w:szCs w:val="16"/>
          <w:lang w:val="es-US"/>
        </w:rPr>
        <w:t xml:space="preserve">. Serie C No. 241, párr. 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6095" w14:textId="77777777" w:rsidR="00646437" w:rsidRDefault="00646437" w:rsidP="0064643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1930AE5" w14:textId="77777777" w:rsidR="00646437" w:rsidRDefault="00646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A714" w14:textId="77777777" w:rsidR="00646437" w:rsidRDefault="00646437" w:rsidP="00A50FCF">
    <w:pPr>
      <w:pStyle w:val="Header"/>
      <w:tabs>
        <w:tab w:val="clear" w:pos="4320"/>
        <w:tab w:val="clear" w:pos="8640"/>
      </w:tabs>
      <w:jc w:val="center"/>
      <w:rPr>
        <w:sz w:val="22"/>
        <w:szCs w:val="22"/>
      </w:rPr>
    </w:pPr>
    <w:r>
      <w:rPr>
        <w:noProof/>
        <w:sz w:val="22"/>
        <w:szCs w:val="22"/>
      </w:rPr>
      <w:drawing>
        <wp:inline distT="0" distB="0" distL="0" distR="0" wp14:anchorId="2DC9F31E" wp14:editId="37809F7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D256922" w14:textId="77777777" w:rsidR="00646437" w:rsidRPr="00EC7D62" w:rsidRDefault="00F61530" w:rsidP="00A50FCF">
    <w:pPr>
      <w:pStyle w:val="Header"/>
      <w:tabs>
        <w:tab w:val="clear" w:pos="4320"/>
        <w:tab w:val="clear" w:pos="8640"/>
      </w:tabs>
      <w:jc w:val="center"/>
      <w:rPr>
        <w:sz w:val="22"/>
        <w:szCs w:val="22"/>
      </w:rPr>
    </w:pPr>
    <w:r>
      <w:rPr>
        <w:sz w:val="22"/>
        <w:szCs w:val="22"/>
      </w:rPr>
      <w:pict w14:anchorId="5C7167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5B47" w14:textId="77777777" w:rsidR="00535FA4" w:rsidRDefault="00535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52C"/>
    <w:multiLevelType w:val="hybridMultilevel"/>
    <w:tmpl w:val="1534B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B972DA"/>
    <w:multiLevelType w:val="hybridMultilevel"/>
    <w:tmpl w:val="D1C87508"/>
    <w:lvl w:ilvl="0" w:tplc="FA94A5F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3"/>
  </w:num>
  <w:num w:numId="10">
    <w:abstractNumId w:val="1"/>
  </w:num>
  <w:num w:numId="11">
    <w:abstractNumId w:val="38"/>
  </w:num>
  <w:num w:numId="12">
    <w:abstractNumId w:val="39"/>
  </w:num>
  <w:num w:numId="13">
    <w:abstractNumId w:val="46"/>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2"/>
  </w:num>
  <w:num w:numId="53">
    <w:abstractNumId w:val="52"/>
  </w:num>
  <w:num w:numId="54">
    <w:abstractNumId w:val="47"/>
  </w:num>
  <w:num w:numId="55">
    <w:abstractNumId w:val="45"/>
  </w:num>
  <w:num w:numId="56">
    <w:abstractNumId w:val="26"/>
  </w:num>
  <w:num w:numId="57">
    <w:abstractNumId w:val="24"/>
  </w:num>
  <w:num w:numId="58">
    <w:abstractNumId w:val="37"/>
  </w:num>
  <w:num w:numId="59">
    <w:abstractNumId w:val="44"/>
  </w:num>
  <w:num w:numId="60">
    <w:abstractNumId w:val="0"/>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04A"/>
    <w:rsid w:val="00006E1F"/>
    <w:rsid w:val="000070D7"/>
    <w:rsid w:val="000106A8"/>
    <w:rsid w:val="00012657"/>
    <w:rsid w:val="0001788C"/>
    <w:rsid w:val="000314F2"/>
    <w:rsid w:val="000337EF"/>
    <w:rsid w:val="00040C3A"/>
    <w:rsid w:val="000419AD"/>
    <w:rsid w:val="000433C9"/>
    <w:rsid w:val="00043AD6"/>
    <w:rsid w:val="00045541"/>
    <w:rsid w:val="0005431C"/>
    <w:rsid w:val="00060C85"/>
    <w:rsid w:val="00071174"/>
    <w:rsid w:val="000716C5"/>
    <w:rsid w:val="00075E23"/>
    <w:rsid w:val="00090950"/>
    <w:rsid w:val="0009344A"/>
    <w:rsid w:val="000A392E"/>
    <w:rsid w:val="000A575F"/>
    <w:rsid w:val="000D05CB"/>
    <w:rsid w:val="000D10DB"/>
    <w:rsid w:val="000E5EB5"/>
    <w:rsid w:val="000F1532"/>
    <w:rsid w:val="000F35ED"/>
    <w:rsid w:val="00107131"/>
    <w:rsid w:val="0010736F"/>
    <w:rsid w:val="00113F73"/>
    <w:rsid w:val="00121CC2"/>
    <w:rsid w:val="00127B48"/>
    <w:rsid w:val="00131425"/>
    <w:rsid w:val="00133EE5"/>
    <w:rsid w:val="00151092"/>
    <w:rsid w:val="00167A34"/>
    <w:rsid w:val="00174435"/>
    <w:rsid w:val="001955A2"/>
    <w:rsid w:val="00197EB7"/>
    <w:rsid w:val="001A520D"/>
    <w:rsid w:val="001A7870"/>
    <w:rsid w:val="001B3A00"/>
    <w:rsid w:val="001C1B41"/>
    <w:rsid w:val="001C4828"/>
    <w:rsid w:val="001C4D1E"/>
    <w:rsid w:val="001D15CE"/>
    <w:rsid w:val="001D2474"/>
    <w:rsid w:val="001D65EF"/>
    <w:rsid w:val="001E49E7"/>
    <w:rsid w:val="001E6677"/>
    <w:rsid w:val="001F6237"/>
    <w:rsid w:val="001F7201"/>
    <w:rsid w:val="00203B4D"/>
    <w:rsid w:val="00204784"/>
    <w:rsid w:val="00205406"/>
    <w:rsid w:val="00223A29"/>
    <w:rsid w:val="002250A3"/>
    <w:rsid w:val="00235217"/>
    <w:rsid w:val="0024059D"/>
    <w:rsid w:val="00246D1F"/>
    <w:rsid w:val="00247403"/>
    <w:rsid w:val="00247542"/>
    <w:rsid w:val="0025146F"/>
    <w:rsid w:val="002563DD"/>
    <w:rsid w:val="00266B61"/>
    <w:rsid w:val="0026712A"/>
    <w:rsid w:val="002704DB"/>
    <w:rsid w:val="00272B53"/>
    <w:rsid w:val="00273BAA"/>
    <w:rsid w:val="0028761F"/>
    <w:rsid w:val="002A0AAE"/>
    <w:rsid w:val="002A5820"/>
    <w:rsid w:val="002A5CD1"/>
    <w:rsid w:val="002D2B26"/>
    <w:rsid w:val="002D7EA2"/>
    <w:rsid w:val="002E187C"/>
    <w:rsid w:val="002E2B13"/>
    <w:rsid w:val="002F198C"/>
    <w:rsid w:val="00302733"/>
    <w:rsid w:val="00305835"/>
    <w:rsid w:val="00306F33"/>
    <w:rsid w:val="00314078"/>
    <w:rsid w:val="0031535D"/>
    <w:rsid w:val="003239B8"/>
    <w:rsid w:val="00323E93"/>
    <w:rsid w:val="0033169F"/>
    <w:rsid w:val="00344977"/>
    <w:rsid w:val="00346C95"/>
    <w:rsid w:val="00350B8E"/>
    <w:rsid w:val="00356185"/>
    <w:rsid w:val="00360380"/>
    <w:rsid w:val="0036625B"/>
    <w:rsid w:val="00371667"/>
    <w:rsid w:val="0037519E"/>
    <w:rsid w:val="00381F46"/>
    <w:rsid w:val="00386CF0"/>
    <w:rsid w:val="00393A30"/>
    <w:rsid w:val="003A6342"/>
    <w:rsid w:val="003B70FB"/>
    <w:rsid w:val="003C676B"/>
    <w:rsid w:val="003D3BC2"/>
    <w:rsid w:val="003E30B2"/>
    <w:rsid w:val="003E6CA1"/>
    <w:rsid w:val="003F5154"/>
    <w:rsid w:val="00405F9C"/>
    <w:rsid w:val="004065A8"/>
    <w:rsid w:val="004165C2"/>
    <w:rsid w:val="00423430"/>
    <w:rsid w:val="00424712"/>
    <w:rsid w:val="004330FC"/>
    <w:rsid w:val="00441ECB"/>
    <w:rsid w:val="00445193"/>
    <w:rsid w:val="0044586E"/>
    <w:rsid w:val="00454CB2"/>
    <w:rsid w:val="00462C1B"/>
    <w:rsid w:val="00467B7E"/>
    <w:rsid w:val="00472567"/>
    <w:rsid w:val="00473BB4"/>
    <w:rsid w:val="00477592"/>
    <w:rsid w:val="00486F1C"/>
    <w:rsid w:val="0049419D"/>
    <w:rsid w:val="004A6A54"/>
    <w:rsid w:val="004B0FED"/>
    <w:rsid w:val="004B421C"/>
    <w:rsid w:val="004C20D2"/>
    <w:rsid w:val="004C2312"/>
    <w:rsid w:val="004C4B62"/>
    <w:rsid w:val="004C54C9"/>
    <w:rsid w:val="004D4ABA"/>
    <w:rsid w:val="004D6025"/>
    <w:rsid w:val="004E2649"/>
    <w:rsid w:val="004F626F"/>
    <w:rsid w:val="00501399"/>
    <w:rsid w:val="005047ED"/>
    <w:rsid w:val="0050633D"/>
    <w:rsid w:val="00507154"/>
    <w:rsid w:val="00507BC4"/>
    <w:rsid w:val="00511765"/>
    <w:rsid w:val="0051183C"/>
    <w:rsid w:val="005128E4"/>
    <w:rsid w:val="005133DB"/>
    <w:rsid w:val="00514504"/>
    <w:rsid w:val="0052068B"/>
    <w:rsid w:val="00521C91"/>
    <w:rsid w:val="00521E1F"/>
    <w:rsid w:val="00525560"/>
    <w:rsid w:val="005267C3"/>
    <w:rsid w:val="00535FA4"/>
    <w:rsid w:val="00544C49"/>
    <w:rsid w:val="00550087"/>
    <w:rsid w:val="005516A1"/>
    <w:rsid w:val="0055275C"/>
    <w:rsid w:val="005559EF"/>
    <w:rsid w:val="005559FE"/>
    <w:rsid w:val="00563557"/>
    <w:rsid w:val="00567AB9"/>
    <w:rsid w:val="0057355F"/>
    <w:rsid w:val="0057402A"/>
    <w:rsid w:val="005771D0"/>
    <w:rsid w:val="0059191A"/>
    <w:rsid w:val="005921FF"/>
    <w:rsid w:val="00596AD2"/>
    <w:rsid w:val="005A24ED"/>
    <w:rsid w:val="005A6D0E"/>
    <w:rsid w:val="005B52B0"/>
    <w:rsid w:val="005B6806"/>
    <w:rsid w:val="005B6AE9"/>
    <w:rsid w:val="005C4225"/>
    <w:rsid w:val="005D473C"/>
    <w:rsid w:val="005F0DAD"/>
    <w:rsid w:val="005F0F33"/>
    <w:rsid w:val="00600DEB"/>
    <w:rsid w:val="0061108F"/>
    <w:rsid w:val="0062135D"/>
    <w:rsid w:val="00627C9F"/>
    <w:rsid w:val="006311E9"/>
    <w:rsid w:val="00632354"/>
    <w:rsid w:val="00635421"/>
    <w:rsid w:val="00642810"/>
    <w:rsid w:val="00646437"/>
    <w:rsid w:val="00652333"/>
    <w:rsid w:val="0068009E"/>
    <w:rsid w:val="00692219"/>
    <w:rsid w:val="006A17D2"/>
    <w:rsid w:val="006A73E6"/>
    <w:rsid w:val="006B2D5C"/>
    <w:rsid w:val="006C0ECF"/>
    <w:rsid w:val="006C4EB1"/>
    <w:rsid w:val="006E0166"/>
    <w:rsid w:val="006E2FFB"/>
    <w:rsid w:val="006E3B9C"/>
    <w:rsid w:val="006E5BDD"/>
    <w:rsid w:val="006E7B34"/>
    <w:rsid w:val="006F0150"/>
    <w:rsid w:val="006F768C"/>
    <w:rsid w:val="0070697F"/>
    <w:rsid w:val="007103C4"/>
    <w:rsid w:val="0072199C"/>
    <w:rsid w:val="00722C9F"/>
    <w:rsid w:val="007253B8"/>
    <w:rsid w:val="0073741F"/>
    <w:rsid w:val="00743C5B"/>
    <w:rsid w:val="00753148"/>
    <w:rsid w:val="00754028"/>
    <w:rsid w:val="0076643F"/>
    <w:rsid w:val="00777F63"/>
    <w:rsid w:val="0078641D"/>
    <w:rsid w:val="007A42B8"/>
    <w:rsid w:val="007A5817"/>
    <w:rsid w:val="007A7742"/>
    <w:rsid w:val="007B05C4"/>
    <w:rsid w:val="007B60E9"/>
    <w:rsid w:val="007B6CC3"/>
    <w:rsid w:val="007B76D3"/>
    <w:rsid w:val="007C2177"/>
    <w:rsid w:val="007C3334"/>
    <w:rsid w:val="007D2B98"/>
    <w:rsid w:val="007E21BC"/>
    <w:rsid w:val="007E7C82"/>
    <w:rsid w:val="007F2AA1"/>
    <w:rsid w:val="007F3489"/>
    <w:rsid w:val="007F588D"/>
    <w:rsid w:val="00803F1C"/>
    <w:rsid w:val="0080600E"/>
    <w:rsid w:val="00814303"/>
    <w:rsid w:val="00814688"/>
    <w:rsid w:val="00815FAE"/>
    <w:rsid w:val="00817612"/>
    <w:rsid w:val="008338A4"/>
    <w:rsid w:val="00834D49"/>
    <w:rsid w:val="00837C45"/>
    <w:rsid w:val="00840EB7"/>
    <w:rsid w:val="00844730"/>
    <w:rsid w:val="00844780"/>
    <w:rsid w:val="0084486A"/>
    <w:rsid w:val="008457C2"/>
    <w:rsid w:val="0085185C"/>
    <w:rsid w:val="00857A82"/>
    <w:rsid w:val="00866AAA"/>
    <w:rsid w:val="00873836"/>
    <w:rsid w:val="00885737"/>
    <w:rsid w:val="00890650"/>
    <w:rsid w:val="0089358B"/>
    <w:rsid w:val="008944DC"/>
    <w:rsid w:val="00897E12"/>
    <w:rsid w:val="008A7E0F"/>
    <w:rsid w:val="008B12F5"/>
    <w:rsid w:val="008C22EE"/>
    <w:rsid w:val="008C5E2D"/>
    <w:rsid w:val="008D768D"/>
    <w:rsid w:val="008E33DC"/>
    <w:rsid w:val="008E3759"/>
    <w:rsid w:val="008E3BFE"/>
    <w:rsid w:val="008E6134"/>
    <w:rsid w:val="008F0651"/>
    <w:rsid w:val="008F1912"/>
    <w:rsid w:val="008F575E"/>
    <w:rsid w:val="0090270B"/>
    <w:rsid w:val="009041DC"/>
    <w:rsid w:val="009059E6"/>
    <w:rsid w:val="00910951"/>
    <w:rsid w:val="00916AB8"/>
    <w:rsid w:val="00917B5A"/>
    <w:rsid w:val="00920A58"/>
    <w:rsid w:val="00920A8C"/>
    <w:rsid w:val="00933978"/>
    <w:rsid w:val="00934A2C"/>
    <w:rsid w:val="00937256"/>
    <w:rsid w:val="00943647"/>
    <w:rsid w:val="00953BD8"/>
    <w:rsid w:val="0096706E"/>
    <w:rsid w:val="00970FCB"/>
    <w:rsid w:val="00974491"/>
    <w:rsid w:val="00975C4E"/>
    <w:rsid w:val="0097609D"/>
    <w:rsid w:val="00981FBA"/>
    <w:rsid w:val="0098606D"/>
    <w:rsid w:val="00986AD6"/>
    <w:rsid w:val="00997BC5"/>
    <w:rsid w:val="009A39A7"/>
    <w:rsid w:val="009A4F41"/>
    <w:rsid w:val="009B381B"/>
    <w:rsid w:val="009B49E2"/>
    <w:rsid w:val="009C5AC5"/>
    <w:rsid w:val="009D1753"/>
    <w:rsid w:val="009D4353"/>
    <w:rsid w:val="009D7611"/>
    <w:rsid w:val="009E0B61"/>
    <w:rsid w:val="009E213B"/>
    <w:rsid w:val="009E53DE"/>
    <w:rsid w:val="00A06C34"/>
    <w:rsid w:val="00A11212"/>
    <w:rsid w:val="00A11E44"/>
    <w:rsid w:val="00A30100"/>
    <w:rsid w:val="00A328B3"/>
    <w:rsid w:val="00A50FCF"/>
    <w:rsid w:val="00A51062"/>
    <w:rsid w:val="00A528D1"/>
    <w:rsid w:val="00A565AB"/>
    <w:rsid w:val="00A610CD"/>
    <w:rsid w:val="00A708F6"/>
    <w:rsid w:val="00A72F91"/>
    <w:rsid w:val="00A758AA"/>
    <w:rsid w:val="00A86331"/>
    <w:rsid w:val="00A95204"/>
    <w:rsid w:val="00AA09A2"/>
    <w:rsid w:val="00AA7996"/>
    <w:rsid w:val="00AB2293"/>
    <w:rsid w:val="00AC19CB"/>
    <w:rsid w:val="00AE5488"/>
    <w:rsid w:val="00AE6F91"/>
    <w:rsid w:val="00AF288F"/>
    <w:rsid w:val="00AF5571"/>
    <w:rsid w:val="00AF7B78"/>
    <w:rsid w:val="00B07341"/>
    <w:rsid w:val="00B14A38"/>
    <w:rsid w:val="00B23EDF"/>
    <w:rsid w:val="00B30539"/>
    <w:rsid w:val="00B314DB"/>
    <w:rsid w:val="00B35126"/>
    <w:rsid w:val="00B361F2"/>
    <w:rsid w:val="00B3718B"/>
    <w:rsid w:val="00B3745F"/>
    <w:rsid w:val="00B45AEA"/>
    <w:rsid w:val="00B4632A"/>
    <w:rsid w:val="00B50DC5"/>
    <w:rsid w:val="00B530F1"/>
    <w:rsid w:val="00B622B3"/>
    <w:rsid w:val="00B917C0"/>
    <w:rsid w:val="00B93D7F"/>
    <w:rsid w:val="00B940BB"/>
    <w:rsid w:val="00B97073"/>
    <w:rsid w:val="00BA276C"/>
    <w:rsid w:val="00BB019D"/>
    <w:rsid w:val="00BB306F"/>
    <w:rsid w:val="00BB3C62"/>
    <w:rsid w:val="00BD0FF5"/>
    <w:rsid w:val="00BD4B89"/>
    <w:rsid w:val="00BD5922"/>
    <w:rsid w:val="00BE35FE"/>
    <w:rsid w:val="00BF02CB"/>
    <w:rsid w:val="00BF1F6C"/>
    <w:rsid w:val="00BF6FD8"/>
    <w:rsid w:val="00C03680"/>
    <w:rsid w:val="00C054DF"/>
    <w:rsid w:val="00C21762"/>
    <w:rsid w:val="00C21FEF"/>
    <w:rsid w:val="00C23BA4"/>
    <w:rsid w:val="00C24468"/>
    <w:rsid w:val="00C24543"/>
    <w:rsid w:val="00C256A2"/>
    <w:rsid w:val="00C25ADB"/>
    <w:rsid w:val="00C336D2"/>
    <w:rsid w:val="00C47D03"/>
    <w:rsid w:val="00C51515"/>
    <w:rsid w:val="00C5660B"/>
    <w:rsid w:val="00C630C9"/>
    <w:rsid w:val="00C66B72"/>
    <w:rsid w:val="00C87AC4"/>
    <w:rsid w:val="00C9567A"/>
    <w:rsid w:val="00C9572D"/>
    <w:rsid w:val="00CA0BA7"/>
    <w:rsid w:val="00CB0148"/>
    <w:rsid w:val="00CB212D"/>
    <w:rsid w:val="00CB2660"/>
    <w:rsid w:val="00CC1F0C"/>
    <w:rsid w:val="00CC5E90"/>
    <w:rsid w:val="00CD046C"/>
    <w:rsid w:val="00CD7845"/>
    <w:rsid w:val="00CE0103"/>
    <w:rsid w:val="00CE076C"/>
    <w:rsid w:val="00CE5199"/>
    <w:rsid w:val="00CE66D5"/>
    <w:rsid w:val="00CF637A"/>
    <w:rsid w:val="00CF66BF"/>
    <w:rsid w:val="00D01831"/>
    <w:rsid w:val="00D02860"/>
    <w:rsid w:val="00D059DE"/>
    <w:rsid w:val="00D05ABD"/>
    <w:rsid w:val="00D1183D"/>
    <w:rsid w:val="00D13FCE"/>
    <w:rsid w:val="00D14FB1"/>
    <w:rsid w:val="00D1697D"/>
    <w:rsid w:val="00D246D9"/>
    <w:rsid w:val="00D306D1"/>
    <w:rsid w:val="00D30800"/>
    <w:rsid w:val="00D34786"/>
    <w:rsid w:val="00D37BFC"/>
    <w:rsid w:val="00D47A8E"/>
    <w:rsid w:val="00D52D14"/>
    <w:rsid w:val="00D712D3"/>
    <w:rsid w:val="00D71422"/>
    <w:rsid w:val="00D72DC6"/>
    <w:rsid w:val="00D7558D"/>
    <w:rsid w:val="00D81D92"/>
    <w:rsid w:val="00D85F57"/>
    <w:rsid w:val="00D876F9"/>
    <w:rsid w:val="00DA0461"/>
    <w:rsid w:val="00DA7B21"/>
    <w:rsid w:val="00DA7B5F"/>
    <w:rsid w:val="00DC11E7"/>
    <w:rsid w:val="00DC24E3"/>
    <w:rsid w:val="00DC7023"/>
    <w:rsid w:val="00DC769A"/>
    <w:rsid w:val="00DD3D86"/>
    <w:rsid w:val="00DD4AD2"/>
    <w:rsid w:val="00DD7D77"/>
    <w:rsid w:val="00DE06C3"/>
    <w:rsid w:val="00DE25B2"/>
    <w:rsid w:val="00DE2862"/>
    <w:rsid w:val="00DF0219"/>
    <w:rsid w:val="00DF1EC4"/>
    <w:rsid w:val="00DF259D"/>
    <w:rsid w:val="00E0340B"/>
    <w:rsid w:val="00E04A90"/>
    <w:rsid w:val="00E0551F"/>
    <w:rsid w:val="00E12252"/>
    <w:rsid w:val="00E2128A"/>
    <w:rsid w:val="00E219C7"/>
    <w:rsid w:val="00E33102"/>
    <w:rsid w:val="00E4118C"/>
    <w:rsid w:val="00E43157"/>
    <w:rsid w:val="00E461CE"/>
    <w:rsid w:val="00E46E18"/>
    <w:rsid w:val="00E54F56"/>
    <w:rsid w:val="00E573E4"/>
    <w:rsid w:val="00E64C3D"/>
    <w:rsid w:val="00E656C1"/>
    <w:rsid w:val="00E720CA"/>
    <w:rsid w:val="00E84EB5"/>
    <w:rsid w:val="00E85662"/>
    <w:rsid w:val="00E8789F"/>
    <w:rsid w:val="00E97B71"/>
    <w:rsid w:val="00EA15F7"/>
    <w:rsid w:val="00EA2E47"/>
    <w:rsid w:val="00EA3D34"/>
    <w:rsid w:val="00EB454D"/>
    <w:rsid w:val="00ED1015"/>
    <w:rsid w:val="00ED549D"/>
    <w:rsid w:val="00ED5E10"/>
    <w:rsid w:val="00ED76BE"/>
    <w:rsid w:val="00EE00E9"/>
    <w:rsid w:val="00EF1AAA"/>
    <w:rsid w:val="00EF619B"/>
    <w:rsid w:val="00F00B55"/>
    <w:rsid w:val="00F01A9A"/>
    <w:rsid w:val="00F02AD1"/>
    <w:rsid w:val="00F03B32"/>
    <w:rsid w:val="00F157C2"/>
    <w:rsid w:val="00F253CC"/>
    <w:rsid w:val="00F37106"/>
    <w:rsid w:val="00F3769B"/>
    <w:rsid w:val="00F44E25"/>
    <w:rsid w:val="00F519CF"/>
    <w:rsid w:val="00F536E1"/>
    <w:rsid w:val="00F56BA5"/>
    <w:rsid w:val="00F60E22"/>
    <w:rsid w:val="00F61530"/>
    <w:rsid w:val="00F66B58"/>
    <w:rsid w:val="00F71F04"/>
    <w:rsid w:val="00F7542E"/>
    <w:rsid w:val="00F80E43"/>
    <w:rsid w:val="00F80EE8"/>
    <w:rsid w:val="00F81395"/>
    <w:rsid w:val="00F81BB8"/>
    <w:rsid w:val="00F90C64"/>
    <w:rsid w:val="00F917D1"/>
    <w:rsid w:val="00F96297"/>
    <w:rsid w:val="00F9653B"/>
    <w:rsid w:val="00F97E50"/>
    <w:rsid w:val="00FB4C6F"/>
    <w:rsid w:val="00FB62CF"/>
    <w:rsid w:val="00FB7490"/>
    <w:rsid w:val="00FD0587"/>
    <w:rsid w:val="00FD3C3B"/>
    <w:rsid w:val="00FD7FA1"/>
    <w:rsid w:val="00FE07DD"/>
    <w:rsid w:val="00FE6B45"/>
    <w:rsid w:val="00FF1AB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5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80EE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272B53"/>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272B53"/>
    <w:rPr>
      <w:rFonts w:ascii="Univers" w:hAnsi="Univers"/>
      <w:dstrike w:val="0"/>
      <w:sz w:val="20"/>
      <w:szCs w:val="20"/>
      <w:vertAlign w:val="superscript"/>
      <w:lang w:val="es-CR"/>
    </w:rPr>
  </w:style>
  <w:style w:type="numbering" w:customStyle="1" w:styleId="EstiloImportado20">
    <w:name w:val="Estilo Importado 20"/>
    <w:rsid w:val="00272B53"/>
    <w:pPr>
      <w:numPr>
        <w:numId w:val="59"/>
      </w:numPr>
    </w:pPr>
  </w:style>
  <w:style w:type="paragraph" w:customStyle="1" w:styleId="Quoteover50">
    <w:name w:val="Quote over 50"/>
    <w:link w:val="Quoteover50Char"/>
    <w:autoRedefine/>
    <w:rsid w:val="00BE35FE"/>
    <w:pPr>
      <w:pBdr>
        <w:top w:val="none" w:sz="0" w:space="0" w:color="auto"/>
        <w:left w:val="none" w:sz="0" w:space="0" w:color="auto"/>
        <w:bottom w:val="none" w:sz="0" w:space="0" w:color="auto"/>
        <w:right w:val="none" w:sz="0" w:space="0" w:color="auto"/>
        <w:between w:val="none" w:sz="0" w:space="0" w:color="auto"/>
        <w:bar w:val="none" w:sz="0" w:color="auto"/>
      </w:pBdr>
      <w:ind w:left="851" w:right="851"/>
      <w:jc w:val="both"/>
    </w:pPr>
    <w:rPr>
      <w:rFonts w:ascii="Univers" w:eastAsia="Times New Roman" w:hAnsi="Univers"/>
      <w:szCs w:val="24"/>
      <w:bdr w:val="none" w:sz="0" w:space="0" w:color="auto"/>
      <w:lang w:val="da-DK" w:eastAsia="en-US"/>
    </w:rPr>
  </w:style>
  <w:style w:type="character" w:customStyle="1" w:styleId="Quoteover50Char">
    <w:name w:val="Quote over 50 Char"/>
    <w:link w:val="Quoteover50"/>
    <w:rsid w:val="00BE35FE"/>
    <w:rPr>
      <w:rFonts w:ascii="Univers" w:eastAsia="Times New Roman" w:hAnsi="Univers"/>
      <w:szCs w:val="24"/>
      <w:bdr w:val="none" w:sz="0" w:space="0" w:color="auto"/>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817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94E60"/>
    <w:rsid w:val="004B5BBB"/>
    <w:rsid w:val="004F2DF8"/>
    <w:rsid w:val="00517E2A"/>
    <w:rsid w:val="006F24A1"/>
    <w:rsid w:val="007A2962"/>
    <w:rsid w:val="00937D18"/>
    <w:rsid w:val="009A261B"/>
    <w:rsid w:val="00AA2E17"/>
    <w:rsid w:val="00AC15A4"/>
    <w:rsid w:val="00AD752B"/>
    <w:rsid w:val="00B0336C"/>
    <w:rsid w:val="00B82626"/>
    <w:rsid w:val="00B956BD"/>
    <w:rsid w:val="00BD3D2D"/>
    <w:rsid w:val="00C27494"/>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3341-2991-4B28-9D8D-52A1D5C4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7255</Words>
  <Characters>38601</Characters>
  <Application>Microsoft Office Word</Application>
  <DocSecurity>0</DocSecurity>
  <Lines>576</Lines>
  <Paragraphs>108</Paragraphs>
  <ScaleCrop>false</ScaleCrop>
  <Company/>
  <LinksUpToDate>false</LinksUpToDate>
  <CharactersWithSpaces>45748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342/20</dc:title>
  <dc:creator/>
  <cp:lastModifiedBy/>
  <cp:revision>1</cp:revision>
  <dcterms:created xsi:type="dcterms:W3CDTF">2021-01-11T20:08:00Z</dcterms:created>
  <dcterms:modified xsi:type="dcterms:W3CDTF">2021-01-11T20:08:00Z</dcterms:modified>
</cp:coreProperties>
</file>