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31110D22"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32956FAC" wp14:editId="078F36D3">
                <wp:simplePos x="0" y="0"/>
                <wp:positionH relativeFrom="column">
                  <wp:posOffset>-437697</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186C971A" id="Rectangle 1" o:spid="_x0000_s1026" style="position:absolute;margin-left:-34.4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B00F8AE" wp14:editId="3F50D47F">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161853" w14:textId="7ED4D263" w:rsidR="0099258D" w:rsidRDefault="0099258D" w:rsidP="00AE5488">
                            <w:r>
                              <w:rPr>
                                <w:noProof/>
                              </w:rPr>
                              <w:drawing>
                                <wp:inline distT="0" distB="0" distL="0" distR="0" wp14:anchorId="26C29AFB" wp14:editId="12C0599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r>
                            <w:r w:rsidR="001D5C9F">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B00F8A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5C161853" w14:textId="7ED4D263" w:rsidR="0099258D" w:rsidRDefault="0099258D" w:rsidP="00AE5488">
                      <w:r>
                        <w:rPr>
                          <w:noProof/>
                        </w:rPr>
                        <w:drawing>
                          <wp:inline distT="0" distB="0" distL="0" distR="0" wp14:anchorId="26C29AFB" wp14:editId="12C0599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r>
                      <w:r w:rsidR="001D5C9F">
                        <w:t xml:space="preserve">               </w:t>
                      </w:r>
                    </w:p>
                  </w:txbxContent>
                </v:textbox>
              </v:shape>
            </w:pict>
          </mc:Fallback>
        </mc:AlternateContent>
      </w:r>
    </w:p>
    <w:p w14:paraId="76319F33"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68B55D2A"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10C3F4FE"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89A7AD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69680171" w14:textId="77777777" w:rsidR="005128E4" w:rsidRPr="0090270B" w:rsidRDefault="005128E4" w:rsidP="00040C3A">
      <w:pPr>
        <w:tabs>
          <w:tab w:val="center" w:pos="5400"/>
        </w:tabs>
        <w:suppressAutoHyphens/>
        <w:rPr>
          <w:rFonts w:asciiTheme="majorHAnsi" w:hAnsiTheme="majorHAnsi"/>
          <w:sz w:val="22"/>
          <w:szCs w:val="22"/>
          <w:lang w:val="es-ES_tradnl"/>
        </w:rPr>
      </w:pPr>
    </w:p>
    <w:p w14:paraId="560C3CBE"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E83260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7857C98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BA6E5"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79E9175"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93F0F6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33F548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F99FADD"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1AF4E933" wp14:editId="40A313EE">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BEE502" w14:textId="35EC0A8F" w:rsidR="009629C7" w:rsidRDefault="009629C7" w:rsidP="009629C7">
                            <w:pPr>
                              <w:spacing w:line="276" w:lineRule="auto"/>
                              <w:rPr>
                                <w:rFonts w:asciiTheme="majorHAnsi" w:hAnsiTheme="majorHAnsi" w:cs="Arial"/>
                                <w:b/>
                                <w:bCs/>
                                <w:color w:val="0D0D0D" w:themeColor="text1" w:themeTint="F2"/>
                                <w:sz w:val="36"/>
                                <w:szCs w:val="22"/>
                                <w:lang w:val="es-ES_tradnl"/>
                              </w:rPr>
                            </w:pPr>
                            <w:r>
                              <w:rPr>
                                <w:rFonts w:asciiTheme="majorHAnsi" w:hAnsiTheme="majorHAnsi" w:cs="Arial"/>
                                <w:b/>
                                <w:bCs/>
                                <w:color w:val="0D0D0D" w:themeColor="text1" w:themeTint="F2"/>
                                <w:sz w:val="36"/>
                                <w:szCs w:val="22"/>
                                <w:lang w:val="es-ES_tradnl"/>
                              </w:rPr>
                              <w:t xml:space="preserve">INFORME </w:t>
                            </w:r>
                            <w:r>
                              <w:rPr>
                                <w:rFonts w:asciiTheme="majorHAnsi" w:hAnsiTheme="majorHAnsi" w:cs="Arial"/>
                                <w:b/>
                                <w:bCs/>
                                <w:color w:val="0D0D0D" w:themeColor="text1" w:themeTint="F2"/>
                                <w:sz w:val="36"/>
                                <w:szCs w:val="40"/>
                                <w:lang w:val="es-ES_tradnl"/>
                              </w:rPr>
                              <w:t>No.</w:t>
                            </w:r>
                            <w:r w:rsidR="002A23C3">
                              <w:rPr>
                                <w:rFonts w:asciiTheme="majorHAnsi" w:hAnsiTheme="majorHAnsi" w:cs="Arial"/>
                                <w:b/>
                                <w:bCs/>
                                <w:color w:val="0D0D0D" w:themeColor="text1" w:themeTint="F2"/>
                                <w:sz w:val="36"/>
                                <w:szCs w:val="22"/>
                                <w:lang w:val="es-ES_tradnl"/>
                              </w:rPr>
                              <w:t xml:space="preserve"> 137</w:t>
                            </w:r>
                            <w:r>
                              <w:rPr>
                                <w:rFonts w:asciiTheme="majorHAnsi" w:hAnsiTheme="majorHAnsi" w:cs="Arial"/>
                                <w:b/>
                                <w:bCs/>
                                <w:color w:val="0D0D0D" w:themeColor="text1" w:themeTint="F2"/>
                                <w:sz w:val="36"/>
                                <w:szCs w:val="22"/>
                                <w:lang w:val="es-ES_tradnl"/>
                              </w:rPr>
                              <w:t>/</w:t>
                            </w:r>
                            <w:r w:rsidR="007B3FA3">
                              <w:rPr>
                                <w:rFonts w:asciiTheme="majorHAnsi" w:hAnsiTheme="majorHAnsi" w:cs="Arial"/>
                                <w:b/>
                                <w:bCs/>
                                <w:color w:val="0D0D0D" w:themeColor="text1" w:themeTint="F2"/>
                                <w:sz w:val="36"/>
                                <w:szCs w:val="22"/>
                                <w:lang w:val="es-ES_tradnl"/>
                              </w:rPr>
                              <w:t>20</w:t>
                            </w:r>
                          </w:p>
                          <w:p w14:paraId="5C646F17" w14:textId="7A3E484C" w:rsidR="009629C7" w:rsidRDefault="009629C7" w:rsidP="009629C7">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 xml:space="preserve">PETICIÓN </w:t>
                            </w:r>
                            <w:r w:rsidR="007B3FA3">
                              <w:rPr>
                                <w:rFonts w:asciiTheme="majorHAnsi" w:hAnsiTheme="majorHAnsi" w:cs="Arial"/>
                                <w:b/>
                                <w:color w:val="0D0D0D" w:themeColor="text1" w:themeTint="F2"/>
                                <w:sz w:val="36"/>
                                <w:szCs w:val="22"/>
                                <w:lang w:val="es-ES_tradnl"/>
                              </w:rPr>
                              <w:t>1369-09</w:t>
                            </w:r>
                          </w:p>
                          <w:p w14:paraId="1406BEBE" w14:textId="67D447F5" w:rsidR="009629C7" w:rsidRDefault="009629C7" w:rsidP="009629C7">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INFORME DE ADMISIBILIDA</w:t>
                            </w:r>
                            <w:r w:rsidR="007B3FA3">
                              <w:rPr>
                                <w:rFonts w:asciiTheme="majorHAnsi" w:hAnsiTheme="majorHAnsi" w:cs="Arial"/>
                                <w:color w:val="0D0D0D" w:themeColor="text1" w:themeTint="F2"/>
                                <w:szCs w:val="22"/>
                                <w:lang w:val="es-ES_tradnl"/>
                              </w:rPr>
                              <w:t>D</w:t>
                            </w:r>
                            <w:r>
                              <w:rPr>
                                <w:rFonts w:asciiTheme="majorHAnsi" w:hAnsiTheme="majorHAnsi" w:cs="Arial"/>
                                <w:color w:val="0D0D0D" w:themeColor="text1" w:themeTint="F2"/>
                                <w:szCs w:val="22"/>
                                <w:lang w:val="es-ES_tradnl"/>
                              </w:rPr>
                              <w:t xml:space="preserve"> </w:t>
                            </w:r>
                          </w:p>
                          <w:p w14:paraId="61D03C63" w14:textId="77777777" w:rsidR="009629C7" w:rsidRDefault="009629C7" w:rsidP="009629C7">
                            <w:pPr>
                              <w:spacing w:line="276" w:lineRule="auto"/>
                              <w:rPr>
                                <w:rFonts w:asciiTheme="majorHAnsi" w:hAnsiTheme="majorHAnsi" w:cs="Arial"/>
                                <w:color w:val="0D0D0D" w:themeColor="text1" w:themeTint="F2"/>
                                <w:szCs w:val="22"/>
                                <w:lang w:val="es-ES_tradnl"/>
                              </w:rPr>
                            </w:pPr>
                            <w:bookmarkStart w:id="1" w:name="_ftnref1"/>
                          </w:p>
                          <w:p w14:paraId="0CA9991B" w14:textId="7F5DC0AD" w:rsidR="009629C7" w:rsidRDefault="007B3FA3" w:rsidP="002A23C3">
                            <w:pPr>
                              <w:spacing w:before="120" w:after="120"/>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ESAÚ ROJO CARMONA</w:t>
                            </w:r>
                          </w:p>
                          <w:bookmarkEnd w:id="1"/>
                          <w:p w14:paraId="61634CF1" w14:textId="6CCDAD27" w:rsidR="009629C7" w:rsidRDefault="007B3FA3" w:rsidP="002A23C3">
                            <w:pPr>
                              <w:spacing w:before="120" w:after="120"/>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398B92DE" w14:textId="77777777" w:rsidR="009629C7" w:rsidRDefault="009629C7" w:rsidP="009629C7">
                            <w:pPr>
                              <w:rPr>
                                <w:color w:val="0D0D0D" w:themeColor="text1" w:themeTint="F2"/>
                                <w:lang w:val="es-ES_tradnl"/>
                              </w:rPr>
                            </w:pPr>
                          </w:p>
                          <w:p w14:paraId="2F110FE5" w14:textId="77777777" w:rsidR="0099258D" w:rsidRPr="00AE5488" w:rsidRDefault="0099258D"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AF4E933"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5EBEE502" w14:textId="35EC0A8F" w:rsidR="009629C7" w:rsidRDefault="009629C7" w:rsidP="009629C7">
                      <w:pPr>
                        <w:spacing w:line="276" w:lineRule="auto"/>
                        <w:rPr>
                          <w:rFonts w:asciiTheme="majorHAnsi" w:hAnsiTheme="majorHAnsi" w:cs="Arial"/>
                          <w:b/>
                          <w:bCs/>
                          <w:color w:val="0D0D0D" w:themeColor="text1" w:themeTint="F2"/>
                          <w:sz w:val="36"/>
                          <w:szCs w:val="22"/>
                          <w:lang w:val="es-ES_tradnl"/>
                        </w:rPr>
                      </w:pPr>
                      <w:r>
                        <w:rPr>
                          <w:rFonts w:asciiTheme="majorHAnsi" w:hAnsiTheme="majorHAnsi" w:cs="Arial"/>
                          <w:b/>
                          <w:bCs/>
                          <w:color w:val="0D0D0D" w:themeColor="text1" w:themeTint="F2"/>
                          <w:sz w:val="36"/>
                          <w:szCs w:val="22"/>
                          <w:lang w:val="es-ES_tradnl"/>
                        </w:rPr>
                        <w:t xml:space="preserve">INFORME </w:t>
                      </w:r>
                      <w:r>
                        <w:rPr>
                          <w:rFonts w:asciiTheme="majorHAnsi" w:hAnsiTheme="majorHAnsi" w:cs="Arial"/>
                          <w:b/>
                          <w:bCs/>
                          <w:color w:val="0D0D0D" w:themeColor="text1" w:themeTint="F2"/>
                          <w:sz w:val="36"/>
                          <w:szCs w:val="40"/>
                          <w:lang w:val="es-ES_tradnl"/>
                        </w:rPr>
                        <w:t>No.</w:t>
                      </w:r>
                      <w:r w:rsidR="002A23C3">
                        <w:rPr>
                          <w:rFonts w:asciiTheme="majorHAnsi" w:hAnsiTheme="majorHAnsi" w:cs="Arial"/>
                          <w:b/>
                          <w:bCs/>
                          <w:color w:val="0D0D0D" w:themeColor="text1" w:themeTint="F2"/>
                          <w:sz w:val="36"/>
                          <w:szCs w:val="22"/>
                          <w:lang w:val="es-ES_tradnl"/>
                        </w:rPr>
                        <w:t xml:space="preserve"> 137</w:t>
                      </w:r>
                      <w:r>
                        <w:rPr>
                          <w:rFonts w:asciiTheme="majorHAnsi" w:hAnsiTheme="majorHAnsi" w:cs="Arial"/>
                          <w:b/>
                          <w:bCs/>
                          <w:color w:val="0D0D0D" w:themeColor="text1" w:themeTint="F2"/>
                          <w:sz w:val="36"/>
                          <w:szCs w:val="22"/>
                          <w:lang w:val="es-ES_tradnl"/>
                        </w:rPr>
                        <w:t>/</w:t>
                      </w:r>
                      <w:r w:rsidR="007B3FA3">
                        <w:rPr>
                          <w:rFonts w:asciiTheme="majorHAnsi" w:hAnsiTheme="majorHAnsi" w:cs="Arial"/>
                          <w:b/>
                          <w:bCs/>
                          <w:color w:val="0D0D0D" w:themeColor="text1" w:themeTint="F2"/>
                          <w:sz w:val="36"/>
                          <w:szCs w:val="22"/>
                          <w:lang w:val="es-ES_tradnl"/>
                        </w:rPr>
                        <w:t>20</w:t>
                      </w:r>
                    </w:p>
                    <w:p w14:paraId="5C646F17" w14:textId="7A3E484C" w:rsidR="009629C7" w:rsidRDefault="009629C7" w:rsidP="009629C7">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 xml:space="preserve">PETICIÓN </w:t>
                      </w:r>
                      <w:r w:rsidR="007B3FA3">
                        <w:rPr>
                          <w:rFonts w:asciiTheme="majorHAnsi" w:hAnsiTheme="majorHAnsi" w:cs="Arial"/>
                          <w:b/>
                          <w:color w:val="0D0D0D" w:themeColor="text1" w:themeTint="F2"/>
                          <w:sz w:val="36"/>
                          <w:szCs w:val="22"/>
                          <w:lang w:val="es-ES_tradnl"/>
                        </w:rPr>
                        <w:t>1369-09</w:t>
                      </w:r>
                    </w:p>
                    <w:p w14:paraId="1406BEBE" w14:textId="67D447F5" w:rsidR="009629C7" w:rsidRDefault="009629C7" w:rsidP="009629C7">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INFORME DE ADMISIBILIDA</w:t>
                      </w:r>
                      <w:r w:rsidR="007B3FA3">
                        <w:rPr>
                          <w:rFonts w:asciiTheme="majorHAnsi" w:hAnsiTheme="majorHAnsi" w:cs="Arial"/>
                          <w:color w:val="0D0D0D" w:themeColor="text1" w:themeTint="F2"/>
                          <w:szCs w:val="22"/>
                          <w:lang w:val="es-ES_tradnl"/>
                        </w:rPr>
                        <w:t>D</w:t>
                      </w:r>
                      <w:r>
                        <w:rPr>
                          <w:rFonts w:asciiTheme="majorHAnsi" w:hAnsiTheme="majorHAnsi" w:cs="Arial"/>
                          <w:color w:val="0D0D0D" w:themeColor="text1" w:themeTint="F2"/>
                          <w:szCs w:val="22"/>
                          <w:lang w:val="es-ES_tradnl"/>
                        </w:rPr>
                        <w:t xml:space="preserve"> </w:t>
                      </w:r>
                    </w:p>
                    <w:p w14:paraId="61D03C63" w14:textId="77777777" w:rsidR="009629C7" w:rsidRDefault="009629C7" w:rsidP="009629C7">
                      <w:pPr>
                        <w:spacing w:line="276" w:lineRule="auto"/>
                        <w:rPr>
                          <w:rFonts w:asciiTheme="majorHAnsi" w:hAnsiTheme="majorHAnsi" w:cs="Arial"/>
                          <w:color w:val="0D0D0D" w:themeColor="text1" w:themeTint="F2"/>
                          <w:szCs w:val="22"/>
                          <w:lang w:val="es-ES_tradnl"/>
                        </w:rPr>
                      </w:pPr>
                      <w:bookmarkStart w:id="1" w:name="_ftnref1"/>
                    </w:p>
                    <w:p w14:paraId="0CA9991B" w14:textId="7F5DC0AD" w:rsidR="009629C7" w:rsidRDefault="007B3FA3" w:rsidP="002A23C3">
                      <w:pPr>
                        <w:spacing w:before="120" w:after="120"/>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ESAÚ ROJO CARMONA</w:t>
                      </w:r>
                    </w:p>
                    <w:bookmarkEnd w:id="1"/>
                    <w:p w14:paraId="61634CF1" w14:textId="6CCDAD27" w:rsidR="009629C7" w:rsidRDefault="007B3FA3" w:rsidP="002A23C3">
                      <w:pPr>
                        <w:spacing w:before="120" w:after="120"/>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398B92DE" w14:textId="77777777" w:rsidR="009629C7" w:rsidRDefault="009629C7" w:rsidP="009629C7">
                      <w:pPr>
                        <w:rPr>
                          <w:color w:val="0D0D0D" w:themeColor="text1" w:themeTint="F2"/>
                          <w:lang w:val="es-ES_tradnl"/>
                        </w:rPr>
                      </w:pPr>
                    </w:p>
                    <w:p w14:paraId="2F110FE5" w14:textId="77777777" w:rsidR="0099258D" w:rsidRPr="00AE5488" w:rsidRDefault="0099258D"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4B407976" wp14:editId="03808235">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6154BD" w14:textId="3AEC2844" w:rsidR="0099258D" w:rsidRPr="004E2649" w:rsidRDefault="002A23C3"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71FCB0CC" w14:textId="0EC32E5C" w:rsidR="0099258D" w:rsidRPr="002A23C3" w:rsidRDefault="0099258D" w:rsidP="007A5817">
                            <w:pPr>
                              <w:spacing w:line="276" w:lineRule="auto"/>
                              <w:jc w:val="right"/>
                              <w:rPr>
                                <w:rFonts w:asciiTheme="minorHAnsi" w:hAnsiTheme="minorHAnsi"/>
                                <w:color w:val="FFFFFF" w:themeColor="background1"/>
                                <w:sz w:val="22"/>
                                <w:lang w:val="es-419"/>
                              </w:rPr>
                            </w:pPr>
                            <w:r w:rsidRPr="002A23C3">
                              <w:rPr>
                                <w:rFonts w:asciiTheme="minorHAnsi" w:hAnsiTheme="minorHAnsi"/>
                                <w:color w:val="FFFFFF" w:themeColor="background1"/>
                                <w:sz w:val="22"/>
                                <w:lang w:val="es-419"/>
                              </w:rPr>
                              <w:t xml:space="preserve">Doc. </w:t>
                            </w:r>
                            <w:r w:rsidR="002A23C3">
                              <w:rPr>
                                <w:rFonts w:asciiTheme="minorHAnsi" w:hAnsiTheme="minorHAnsi"/>
                                <w:color w:val="FFFFFF" w:themeColor="background1"/>
                                <w:sz w:val="22"/>
                                <w:lang w:val="es-419"/>
                              </w:rPr>
                              <w:t>147</w:t>
                            </w:r>
                          </w:p>
                          <w:p w14:paraId="06176FA9" w14:textId="19A0DCDB" w:rsidR="0099258D" w:rsidRPr="007160BD" w:rsidRDefault="002A23C3"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9 junio</w:t>
                            </w:r>
                            <w:r w:rsidR="0099258D" w:rsidRPr="007160BD">
                              <w:rPr>
                                <w:rFonts w:asciiTheme="minorHAnsi" w:hAnsiTheme="minorHAnsi"/>
                                <w:color w:val="FFFFFF" w:themeColor="background1"/>
                                <w:sz w:val="22"/>
                                <w:lang w:val="es-US"/>
                              </w:rPr>
                              <w:t xml:space="preserve"> </w:t>
                            </w:r>
                            <w:r>
                              <w:rPr>
                                <w:rFonts w:asciiTheme="minorHAnsi" w:hAnsiTheme="minorHAnsi"/>
                                <w:color w:val="FFFFFF" w:themeColor="background1"/>
                                <w:sz w:val="22"/>
                                <w:lang w:val="es-US"/>
                              </w:rPr>
                              <w:t>2020</w:t>
                            </w:r>
                          </w:p>
                          <w:p w14:paraId="4C234916" w14:textId="4A121D8D" w:rsidR="0099258D" w:rsidRPr="007160BD" w:rsidRDefault="0099258D" w:rsidP="007A5817">
                            <w:pPr>
                              <w:spacing w:line="276" w:lineRule="auto"/>
                              <w:jc w:val="right"/>
                              <w:rPr>
                                <w:rFonts w:asciiTheme="minorHAnsi" w:hAnsiTheme="minorHAnsi"/>
                                <w:color w:val="FFFFFF" w:themeColor="background1"/>
                                <w:sz w:val="22"/>
                                <w:lang w:val="es-US"/>
                              </w:rPr>
                            </w:pPr>
                            <w:r w:rsidRPr="007160BD">
                              <w:rPr>
                                <w:rFonts w:asciiTheme="minorHAnsi" w:hAnsiTheme="minorHAnsi"/>
                                <w:color w:val="FFFFFF" w:themeColor="background1"/>
                                <w:sz w:val="22"/>
                                <w:lang w:val="es-US"/>
                              </w:rPr>
                              <w:t xml:space="preserve">Original: </w:t>
                            </w:r>
                            <w:r w:rsidR="00802833">
                              <w:rPr>
                                <w:rFonts w:asciiTheme="minorHAnsi" w:hAnsiTheme="minorHAnsi"/>
                                <w:color w:val="FFFFFF" w:themeColor="background1"/>
                                <w:sz w:val="22"/>
                                <w:lang w:val="es-US"/>
                              </w:rPr>
                              <w:t>inglés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B407976"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356154BD" w14:textId="3AEC2844" w:rsidR="0099258D" w:rsidRPr="004E2649" w:rsidRDefault="002A23C3"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71FCB0CC" w14:textId="0EC32E5C" w:rsidR="0099258D" w:rsidRPr="002A23C3" w:rsidRDefault="0099258D" w:rsidP="007A5817">
                      <w:pPr>
                        <w:spacing w:line="276" w:lineRule="auto"/>
                        <w:jc w:val="right"/>
                        <w:rPr>
                          <w:rFonts w:asciiTheme="minorHAnsi" w:hAnsiTheme="minorHAnsi"/>
                          <w:color w:val="FFFFFF" w:themeColor="background1"/>
                          <w:sz w:val="22"/>
                          <w:lang w:val="es-419"/>
                        </w:rPr>
                      </w:pPr>
                      <w:r w:rsidRPr="002A23C3">
                        <w:rPr>
                          <w:rFonts w:asciiTheme="minorHAnsi" w:hAnsiTheme="minorHAnsi"/>
                          <w:color w:val="FFFFFF" w:themeColor="background1"/>
                          <w:sz w:val="22"/>
                          <w:lang w:val="es-419"/>
                        </w:rPr>
                        <w:t xml:space="preserve">Doc. </w:t>
                      </w:r>
                      <w:r w:rsidR="002A23C3">
                        <w:rPr>
                          <w:rFonts w:asciiTheme="minorHAnsi" w:hAnsiTheme="minorHAnsi"/>
                          <w:color w:val="FFFFFF" w:themeColor="background1"/>
                          <w:sz w:val="22"/>
                          <w:lang w:val="es-419"/>
                        </w:rPr>
                        <w:t>147</w:t>
                      </w:r>
                    </w:p>
                    <w:p w14:paraId="06176FA9" w14:textId="19A0DCDB" w:rsidR="0099258D" w:rsidRPr="007160BD" w:rsidRDefault="002A23C3"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9 junio</w:t>
                      </w:r>
                      <w:r w:rsidR="0099258D" w:rsidRPr="007160BD">
                        <w:rPr>
                          <w:rFonts w:asciiTheme="minorHAnsi" w:hAnsiTheme="minorHAnsi"/>
                          <w:color w:val="FFFFFF" w:themeColor="background1"/>
                          <w:sz w:val="22"/>
                          <w:lang w:val="es-US"/>
                        </w:rPr>
                        <w:t xml:space="preserve"> </w:t>
                      </w:r>
                      <w:r>
                        <w:rPr>
                          <w:rFonts w:asciiTheme="minorHAnsi" w:hAnsiTheme="minorHAnsi"/>
                          <w:color w:val="FFFFFF" w:themeColor="background1"/>
                          <w:sz w:val="22"/>
                          <w:lang w:val="es-US"/>
                        </w:rPr>
                        <w:t>2020</w:t>
                      </w:r>
                    </w:p>
                    <w:p w14:paraId="4C234916" w14:textId="4A121D8D" w:rsidR="0099258D" w:rsidRPr="007160BD" w:rsidRDefault="0099258D" w:rsidP="007A5817">
                      <w:pPr>
                        <w:spacing w:line="276" w:lineRule="auto"/>
                        <w:jc w:val="right"/>
                        <w:rPr>
                          <w:rFonts w:asciiTheme="minorHAnsi" w:hAnsiTheme="minorHAnsi"/>
                          <w:color w:val="FFFFFF" w:themeColor="background1"/>
                          <w:sz w:val="22"/>
                          <w:lang w:val="es-US"/>
                        </w:rPr>
                      </w:pPr>
                      <w:r w:rsidRPr="007160BD">
                        <w:rPr>
                          <w:rFonts w:asciiTheme="minorHAnsi" w:hAnsiTheme="minorHAnsi"/>
                          <w:color w:val="FFFFFF" w:themeColor="background1"/>
                          <w:sz w:val="22"/>
                          <w:lang w:val="es-US"/>
                        </w:rPr>
                        <w:t xml:space="preserve">Original: </w:t>
                      </w:r>
                      <w:r w:rsidR="00802833">
                        <w:rPr>
                          <w:rFonts w:asciiTheme="minorHAnsi" w:hAnsiTheme="minorHAnsi"/>
                          <w:color w:val="FFFFFF" w:themeColor="background1"/>
                          <w:sz w:val="22"/>
                          <w:lang w:val="es-US"/>
                        </w:rPr>
                        <w:t>inglés</w:t>
                      </w:r>
                    </w:p>
                  </w:txbxContent>
                </v:textbox>
              </v:shape>
            </w:pict>
          </mc:Fallback>
        </mc:AlternateContent>
      </w:r>
    </w:p>
    <w:p w14:paraId="2139988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99D14E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A380C61"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333FC7F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0E8448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99A909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9A8DF1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E8476E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3AD3A46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5643A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C6E47C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0DC40BD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3506DE3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387DD2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E3B7CE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B33870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D0F58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5684D5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D6B711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DDDC36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F9E875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BBA3B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C83C43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C83E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CCE51" w14:textId="30A43E26" w:rsidR="00A50FCF" w:rsidRPr="0090270B" w:rsidRDefault="00A50FCF" w:rsidP="00040C3A">
      <w:pPr>
        <w:tabs>
          <w:tab w:val="center" w:pos="5400"/>
        </w:tabs>
        <w:suppressAutoHyphens/>
        <w:jc w:val="center"/>
        <w:rPr>
          <w:rFonts w:asciiTheme="majorHAnsi" w:hAnsiTheme="majorHAnsi"/>
          <w:sz w:val="18"/>
          <w:szCs w:val="22"/>
          <w:lang w:val="es-ES_tradnl"/>
        </w:rPr>
      </w:pPr>
    </w:p>
    <w:p w14:paraId="46F3E95E" w14:textId="3C16ED6C" w:rsidR="00A50FCF" w:rsidRPr="0090270B" w:rsidRDefault="00A50FCF" w:rsidP="00040C3A">
      <w:pPr>
        <w:tabs>
          <w:tab w:val="center" w:pos="5400"/>
        </w:tabs>
        <w:suppressAutoHyphens/>
        <w:jc w:val="center"/>
        <w:rPr>
          <w:rFonts w:asciiTheme="majorHAnsi" w:hAnsiTheme="majorHAnsi"/>
          <w:sz w:val="18"/>
          <w:szCs w:val="22"/>
          <w:lang w:val="es-ES_tradnl"/>
        </w:rPr>
      </w:pPr>
    </w:p>
    <w:p w14:paraId="164CA36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52466C1" w14:textId="0C9DDCCA" w:rsidR="00A50FCF" w:rsidRPr="0090270B" w:rsidRDefault="00A50FCF" w:rsidP="00040C3A">
      <w:pPr>
        <w:tabs>
          <w:tab w:val="center" w:pos="5400"/>
        </w:tabs>
        <w:suppressAutoHyphens/>
        <w:jc w:val="center"/>
        <w:rPr>
          <w:rFonts w:asciiTheme="majorHAnsi" w:hAnsiTheme="majorHAnsi"/>
          <w:sz w:val="18"/>
          <w:szCs w:val="22"/>
          <w:lang w:val="es-ES_tradnl"/>
        </w:rPr>
      </w:pPr>
    </w:p>
    <w:p w14:paraId="3086BB87"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40FD2AA" wp14:editId="1E11B26E">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1B078A" w14:textId="10F44ACF" w:rsidR="0099258D" w:rsidRPr="00890650" w:rsidRDefault="0099258D"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2A23C3">
                              <w:rPr>
                                <w:rFonts w:asciiTheme="majorHAnsi" w:hAnsiTheme="majorHAnsi"/>
                                <w:color w:val="0D0D0D" w:themeColor="text1" w:themeTint="F2"/>
                                <w:sz w:val="18"/>
                                <w:szCs w:val="22"/>
                                <w:lang w:val="es-ES"/>
                              </w:rPr>
                              <w:t>9</w:t>
                            </w:r>
                            <w:r w:rsidRPr="00890650">
                              <w:rPr>
                                <w:rFonts w:asciiTheme="majorHAnsi" w:hAnsiTheme="majorHAnsi"/>
                                <w:color w:val="0D0D0D" w:themeColor="text1" w:themeTint="F2"/>
                                <w:sz w:val="18"/>
                                <w:szCs w:val="22"/>
                                <w:lang w:val="es-ES"/>
                              </w:rPr>
                              <w:t xml:space="preserve"> de </w:t>
                            </w:r>
                            <w:r w:rsidR="002A23C3">
                              <w:rPr>
                                <w:rFonts w:asciiTheme="majorHAnsi" w:hAnsiTheme="majorHAnsi"/>
                                <w:color w:val="0D0D0D" w:themeColor="text1" w:themeTint="F2"/>
                                <w:sz w:val="18"/>
                                <w:szCs w:val="22"/>
                                <w:lang w:val="es-ES"/>
                              </w:rPr>
                              <w:t>junio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BA3F95">
                              <w:rPr>
                                <w:rFonts w:asciiTheme="majorHAnsi" w:hAnsiTheme="majorHAnsi"/>
                                <w:color w:val="0D0D0D" w:themeColor="text1" w:themeTint="F2"/>
                                <w:sz w:val="18"/>
                                <w:szCs w:val="22"/>
                                <w:lang w:val="es-ES"/>
                              </w:rPr>
                              <w:t>20</w:t>
                            </w:r>
                            <w:r w:rsidR="004726CA">
                              <w:rPr>
                                <w:rFonts w:asciiTheme="majorHAnsi" w:hAnsiTheme="majorHAnsi"/>
                                <w:color w:val="0D0D0D" w:themeColor="text1" w:themeTint="F2"/>
                                <w:sz w:val="18"/>
                                <w:szCs w:val="22"/>
                                <w:lang w:val="es-ES"/>
                              </w:rPr>
                              <w:t>.</w:t>
                            </w:r>
                          </w:p>
                          <w:p w14:paraId="48FCFF9A" w14:textId="77777777" w:rsidR="0099258D" w:rsidRPr="007A5817" w:rsidRDefault="0099258D" w:rsidP="00247403">
                            <w:pPr>
                              <w:tabs>
                                <w:tab w:val="center" w:pos="5400"/>
                              </w:tabs>
                              <w:suppressAutoHyphens/>
                              <w:spacing w:before="60"/>
                              <w:rPr>
                                <w:rFonts w:asciiTheme="minorHAnsi" w:hAnsiTheme="minorHAnsi" w:cs="Univers"/>
                                <w:color w:val="0D0D0D" w:themeColor="text1" w:themeTint="F2"/>
                                <w:sz w:val="20"/>
                                <w:szCs w:val="20"/>
                                <w:lang w:val="es-ES"/>
                              </w:rPr>
                            </w:pPr>
                          </w:p>
                          <w:p w14:paraId="2CE69D90" w14:textId="77777777" w:rsidR="0099258D" w:rsidRPr="00167A34" w:rsidRDefault="0099258D"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0FD2AA"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151B078A" w14:textId="10F44ACF" w:rsidR="0099258D" w:rsidRPr="00890650" w:rsidRDefault="0099258D"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2A23C3">
                        <w:rPr>
                          <w:rFonts w:asciiTheme="majorHAnsi" w:hAnsiTheme="majorHAnsi"/>
                          <w:color w:val="0D0D0D" w:themeColor="text1" w:themeTint="F2"/>
                          <w:sz w:val="18"/>
                          <w:szCs w:val="22"/>
                          <w:lang w:val="es-ES"/>
                        </w:rPr>
                        <w:t>9</w:t>
                      </w:r>
                      <w:r w:rsidRPr="00890650">
                        <w:rPr>
                          <w:rFonts w:asciiTheme="majorHAnsi" w:hAnsiTheme="majorHAnsi"/>
                          <w:color w:val="0D0D0D" w:themeColor="text1" w:themeTint="F2"/>
                          <w:sz w:val="18"/>
                          <w:szCs w:val="22"/>
                          <w:lang w:val="es-ES"/>
                        </w:rPr>
                        <w:t xml:space="preserve"> de </w:t>
                      </w:r>
                      <w:r w:rsidR="002A23C3">
                        <w:rPr>
                          <w:rFonts w:asciiTheme="majorHAnsi" w:hAnsiTheme="majorHAnsi"/>
                          <w:color w:val="0D0D0D" w:themeColor="text1" w:themeTint="F2"/>
                          <w:sz w:val="18"/>
                          <w:szCs w:val="22"/>
                          <w:lang w:val="es-ES"/>
                        </w:rPr>
                        <w:t>junio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BA3F95">
                        <w:rPr>
                          <w:rFonts w:asciiTheme="majorHAnsi" w:hAnsiTheme="majorHAnsi"/>
                          <w:color w:val="0D0D0D" w:themeColor="text1" w:themeTint="F2"/>
                          <w:sz w:val="18"/>
                          <w:szCs w:val="22"/>
                          <w:lang w:val="es-ES"/>
                        </w:rPr>
                        <w:t>20</w:t>
                      </w:r>
                      <w:r w:rsidR="004726CA">
                        <w:rPr>
                          <w:rFonts w:asciiTheme="majorHAnsi" w:hAnsiTheme="majorHAnsi"/>
                          <w:color w:val="0D0D0D" w:themeColor="text1" w:themeTint="F2"/>
                          <w:sz w:val="18"/>
                          <w:szCs w:val="22"/>
                          <w:lang w:val="es-ES"/>
                        </w:rPr>
                        <w:t>.</w:t>
                      </w:r>
                    </w:p>
                    <w:p w14:paraId="48FCFF9A" w14:textId="77777777" w:rsidR="0099258D" w:rsidRPr="007A5817" w:rsidRDefault="0099258D" w:rsidP="00247403">
                      <w:pPr>
                        <w:tabs>
                          <w:tab w:val="center" w:pos="5400"/>
                        </w:tabs>
                        <w:suppressAutoHyphens/>
                        <w:spacing w:before="60"/>
                        <w:rPr>
                          <w:rFonts w:asciiTheme="minorHAnsi" w:hAnsiTheme="minorHAnsi" w:cs="Univers"/>
                          <w:color w:val="0D0D0D" w:themeColor="text1" w:themeTint="F2"/>
                          <w:sz w:val="20"/>
                          <w:szCs w:val="20"/>
                          <w:lang w:val="es-ES"/>
                        </w:rPr>
                      </w:pPr>
                    </w:p>
                    <w:p w14:paraId="2CE69D90" w14:textId="77777777" w:rsidR="0099258D" w:rsidRPr="00167A34" w:rsidRDefault="0099258D"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BD4F379" w14:textId="69E8A1E1" w:rsidR="00A50FCF" w:rsidRPr="0090270B" w:rsidRDefault="00A50FCF" w:rsidP="00040C3A">
      <w:pPr>
        <w:tabs>
          <w:tab w:val="center" w:pos="5400"/>
        </w:tabs>
        <w:suppressAutoHyphens/>
        <w:jc w:val="center"/>
        <w:rPr>
          <w:rFonts w:asciiTheme="majorHAnsi" w:hAnsiTheme="majorHAnsi"/>
          <w:sz w:val="18"/>
          <w:szCs w:val="22"/>
          <w:lang w:val="es-ES_tradnl"/>
        </w:rPr>
      </w:pPr>
    </w:p>
    <w:p w14:paraId="738D431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D53DD4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55C42C2" w14:textId="6E323251" w:rsidR="00A50FCF" w:rsidRPr="0090270B" w:rsidRDefault="00A50FCF" w:rsidP="00040C3A">
      <w:pPr>
        <w:tabs>
          <w:tab w:val="center" w:pos="5400"/>
        </w:tabs>
        <w:suppressAutoHyphens/>
        <w:jc w:val="center"/>
        <w:rPr>
          <w:rFonts w:asciiTheme="majorHAnsi" w:hAnsiTheme="majorHAnsi"/>
          <w:sz w:val="18"/>
          <w:szCs w:val="22"/>
          <w:lang w:val="es-ES_tradnl"/>
        </w:rPr>
      </w:pPr>
    </w:p>
    <w:p w14:paraId="1F79EA2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27F6E461" wp14:editId="45A41C7A">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BB61D" w14:textId="42E90A96" w:rsidR="0099258D" w:rsidRPr="007B05C4" w:rsidRDefault="0099258D" w:rsidP="00414671">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2A23C3" w:rsidRPr="002A23C3">
                              <w:rPr>
                                <w:rFonts w:asciiTheme="majorHAnsi" w:hAnsiTheme="majorHAnsi"/>
                                <w:color w:val="595959" w:themeColor="text1" w:themeTint="A6"/>
                                <w:sz w:val="18"/>
                                <w:szCs w:val="18"/>
                                <w:lang w:val="pt-BR"/>
                              </w:rPr>
                              <w:t>137</w:t>
                            </w:r>
                            <w:r w:rsidR="00C725B5" w:rsidRPr="002A23C3">
                              <w:rPr>
                                <w:rFonts w:asciiTheme="majorHAnsi" w:hAnsiTheme="majorHAnsi"/>
                                <w:color w:val="595959" w:themeColor="text1" w:themeTint="A6"/>
                                <w:sz w:val="18"/>
                                <w:szCs w:val="18"/>
                                <w:lang w:val="pt-BR"/>
                              </w:rPr>
                              <w:t>/</w:t>
                            </w:r>
                            <w:r w:rsidR="00BA3F95" w:rsidRPr="002A23C3">
                              <w:rPr>
                                <w:rFonts w:asciiTheme="majorHAnsi" w:hAnsiTheme="majorHAnsi"/>
                                <w:color w:val="595959" w:themeColor="text1" w:themeTint="A6"/>
                                <w:sz w:val="18"/>
                                <w:szCs w:val="18"/>
                                <w:lang w:val="pt-BR"/>
                              </w:rPr>
                              <w:t>20</w:t>
                            </w:r>
                            <w:r w:rsidRPr="002A23C3">
                              <w:rPr>
                                <w:rFonts w:asciiTheme="majorHAnsi" w:hAnsiTheme="majorHAnsi"/>
                                <w:color w:val="595959" w:themeColor="text1" w:themeTint="A6"/>
                                <w:sz w:val="18"/>
                                <w:szCs w:val="18"/>
                                <w:lang w:val="pt-BR"/>
                              </w:rPr>
                              <w:t xml:space="preserve">. </w:t>
                            </w:r>
                            <w:r w:rsidR="0088239D">
                              <w:rPr>
                                <w:rFonts w:asciiTheme="majorHAnsi" w:hAnsiTheme="majorHAnsi"/>
                                <w:color w:val="595959" w:themeColor="text1" w:themeTint="A6"/>
                                <w:sz w:val="18"/>
                                <w:szCs w:val="18"/>
                                <w:lang w:val="es-ES_tradnl"/>
                              </w:rPr>
                              <w:t xml:space="preserve">Petición 1369-09. </w:t>
                            </w:r>
                            <w:r w:rsidRPr="00890650">
                              <w:rPr>
                                <w:rFonts w:asciiTheme="majorHAnsi" w:hAnsiTheme="majorHAnsi"/>
                                <w:color w:val="595959" w:themeColor="text1" w:themeTint="A6"/>
                                <w:sz w:val="18"/>
                                <w:szCs w:val="18"/>
                                <w:lang w:val="es-ES_tradnl"/>
                              </w:rPr>
                              <w:t xml:space="preserve">Admisibilidad. </w:t>
                            </w:r>
                            <w:r w:rsidR="00BA3F95">
                              <w:rPr>
                                <w:rFonts w:asciiTheme="majorHAnsi" w:hAnsiTheme="majorHAnsi"/>
                                <w:color w:val="595959" w:themeColor="text1" w:themeTint="A6"/>
                                <w:sz w:val="18"/>
                                <w:szCs w:val="18"/>
                                <w:lang w:val="es-ES_tradnl"/>
                              </w:rPr>
                              <w:t>Esaú Rojo Carmona</w:t>
                            </w:r>
                            <w:r w:rsidRPr="00890650">
                              <w:rPr>
                                <w:rFonts w:asciiTheme="majorHAnsi" w:hAnsiTheme="majorHAnsi"/>
                                <w:color w:val="595959" w:themeColor="text1" w:themeTint="A6"/>
                                <w:sz w:val="18"/>
                                <w:szCs w:val="18"/>
                                <w:lang w:val="es-ES_tradnl"/>
                              </w:rPr>
                              <w:t xml:space="preserve">. </w:t>
                            </w:r>
                            <w:r w:rsidR="00BA3F95">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2A23C3">
                              <w:rPr>
                                <w:rFonts w:asciiTheme="majorHAnsi" w:hAnsiTheme="majorHAnsi"/>
                                <w:color w:val="595959" w:themeColor="text1" w:themeTint="A6"/>
                                <w:sz w:val="18"/>
                                <w:szCs w:val="18"/>
                                <w:lang w:val="es-ES"/>
                              </w:rPr>
                              <w:t>9 de junio de 2020</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7F6E46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349BB61D" w14:textId="42E90A96" w:rsidR="0099258D" w:rsidRPr="007B05C4" w:rsidRDefault="0099258D" w:rsidP="00414671">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2A23C3" w:rsidRPr="002A23C3">
                        <w:rPr>
                          <w:rFonts w:asciiTheme="majorHAnsi" w:hAnsiTheme="majorHAnsi"/>
                          <w:color w:val="595959" w:themeColor="text1" w:themeTint="A6"/>
                          <w:sz w:val="18"/>
                          <w:szCs w:val="18"/>
                          <w:lang w:val="pt-BR"/>
                        </w:rPr>
                        <w:t>137</w:t>
                      </w:r>
                      <w:r w:rsidR="00C725B5" w:rsidRPr="002A23C3">
                        <w:rPr>
                          <w:rFonts w:asciiTheme="majorHAnsi" w:hAnsiTheme="majorHAnsi"/>
                          <w:color w:val="595959" w:themeColor="text1" w:themeTint="A6"/>
                          <w:sz w:val="18"/>
                          <w:szCs w:val="18"/>
                          <w:lang w:val="pt-BR"/>
                        </w:rPr>
                        <w:t>/</w:t>
                      </w:r>
                      <w:r w:rsidR="00BA3F95" w:rsidRPr="002A23C3">
                        <w:rPr>
                          <w:rFonts w:asciiTheme="majorHAnsi" w:hAnsiTheme="majorHAnsi"/>
                          <w:color w:val="595959" w:themeColor="text1" w:themeTint="A6"/>
                          <w:sz w:val="18"/>
                          <w:szCs w:val="18"/>
                          <w:lang w:val="pt-BR"/>
                        </w:rPr>
                        <w:t>20</w:t>
                      </w:r>
                      <w:r w:rsidRPr="002A23C3">
                        <w:rPr>
                          <w:rFonts w:asciiTheme="majorHAnsi" w:hAnsiTheme="majorHAnsi"/>
                          <w:color w:val="595959" w:themeColor="text1" w:themeTint="A6"/>
                          <w:sz w:val="18"/>
                          <w:szCs w:val="18"/>
                          <w:lang w:val="pt-BR"/>
                        </w:rPr>
                        <w:t xml:space="preserve">. </w:t>
                      </w:r>
                      <w:r w:rsidR="0088239D">
                        <w:rPr>
                          <w:rFonts w:asciiTheme="majorHAnsi" w:hAnsiTheme="majorHAnsi"/>
                          <w:color w:val="595959" w:themeColor="text1" w:themeTint="A6"/>
                          <w:sz w:val="18"/>
                          <w:szCs w:val="18"/>
                          <w:lang w:val="es-ES_tradnl"/>
                        </w:rPr>
                        <w:t xml:space="preserve">Petición 1369-09. </w:t>
                      </w:r>
                      <w:r w:rsidRPr="00890650">
                        <w:rPr>
                          <w:rFonts w:asciiTheme="majorHAnsi" w:hAnsiTheme="majorHAnsi"/>
                          <w:color w:val="595959" w:themeColor="text1" w:themeTint="A6"/>
                          <w:sz w:val="18"/>
                          <w:szCs w:val="18"/>
                          <w:lang w:val="es-ES_tradnl"/>
                        </w:rPr>
                        <w:t xml:space="preserve">Admisibilidad. </w:t>
                      </w:r>
                      <w:r w:rsidR="00BA3F95">
                        <w:rPr>
                          <w:rFonts w:asciiTheme="majorHAnsi" w:hAnsiTheme="majorHAnsi"/>
                          <w:color w:val="595959" w:themeColor="text1" w:themeTint="A6"/>
                          <w:sz w:val="18"/>
                          <w:szCs w:val="18"/>
                          <w:lang w:val="es-ES_tradnl"/>
                        </w:rPr>
                        <w:t>Esaú Rojo Carmona</w:t>
                      </w:r>
                      <w:r w:rsidRPr="00890650">
                        <w:rPr>
                          <w:rFonts w:asciiTheme="majorHAnsi" w:hAnsiTheme="majorHAnsi"/>
                          <w:color w:val="595959" w:themeColor="text1" w:themeTint="A6"/>
                          <w:sz w:val="18"/>
                          <w:szCs w:val="18"/>
                          <w:lang w:val="es-ES_tradnl"/>
                        </w:rPr>
                        <w:t xml:space="preserve">. </w:t>
                      </w:r>
                      <w:r w:rsidR="00BA3F95">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2A23C3">
                        <w:rPr>
                          <w:rFonts w:asciiTheme="majorHAnsi" w:hAnsiTheme="majorHAnsi"/>
                          <w:color w:val="595959" w:themeColor="text1" w:themeTint="A6"/>
                          <w:sz w:val="18"/>
                          <w:szCs w:val="18"/>
                          <w:lang w:val="es-ES"/>
                        </w:rPr>
                        <w:t>9 de junio de 2020</w:t>
                      </w:r>
                      <w:r w:rsidRPr="007B05C4">
                        <w:rPr>
                          <w:rFonts w:asciiTheme="majorHAnsi" w:hAnsiTheme="majorHAnsi"/>
                          <w:color w:val="595959" w:themeColor="text1" w:themeTint="A6"/>
                          <w:sz w:val="18"/>
                          <w:szCs w:val="18"/>
                          <w:lang w:val="es-ES"/>
                        </w:rPr>
                        <w:t>.</w:t>
                      </w:r>
                    </w:p>
                  </w:txbxContent>
                </v:textbox>
              </v:shape>
            </w:pict>
          </mc:Fallback>
        </mc:AlternateContent>
      </w:r>
    </w:p>
    <w:p w14:paraId="23181C81" w14:textId="6ECAF14B" w:rsidR="00A50FCF" w:rsidRPr="0090270B" w:rsidRDefault="00A50FCF" w:rsidP="00040C3A">
      <w:pPr>
        <w:tabs>
          <w:tab w:val="center" w:pos="5400"/>
        </w:tabs>
        <w:suppressAutoHyphens/>
        <w:jc w:val="center"/>
        <w:rPr>
          <w:rFonts w:asciiTheme="majorHAnsi" w:hAnsiTheme="majorHAnsi"/>
          <w:sz w:val="18"/>
          <w:szCs w:val="22"/>
          <w:lang w:val="es-ES_tradnl"/>
        </w:rPr>
      </w:pPr>
    </w:p>
    <w:p w14:paraId="6F0A47E5" w14:textId="17096E6A"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57728" behindDoc="0" locked="0" layoutInCell="1" allowOverlap="1" wp14:anchorId="4012B702" wp14:editId="544F91B0">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8654C2" w14:textId="77777777" w:rsidR="0099258D" w:rsidRPr="004B7EB6" w:rsidRDefault="0099258D"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012B702" id="Text Box 4" o:spid="_x0000_s1031" type="#_x0000_t202" style="position:absolute;left:0;text-align:left;margin-left:-21.45pt;margin-top:72.05pt;width:93pt;height:2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0V4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I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Dm&#10;f0V4gQIAAGkFAAAOAAAAAAAAAAAAAAAAAC4CAABkcnMvZTJvRG9jLnhtbFBLAQItABQABgAIAAAA&#10;IQBdLTBP4gAAAAsBAAAPAAAAAAAAAAAAAAAAANsEAABkcnMvZG93bnJldi54bWxQSwUGAAAAAAQA&#10;BADzAAAA6gUAAAAA&#10;" filled="f" stroked="f" strokeweight=".5pt">
                <v:textbox>
                  <w:txbxContent>
                    <w:p w14:paraId="1D8654C2" w14:textId="77777777" w:rsidR="0099258D" w:rsidRPr="004B7EB6" w:rsidRDefault="0099258D"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7874FD85" w14:textId="569F0945" w:rsidR="0070697F" w:rsidRDefault="002A23C3"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006B74">
        <w:rPr>
          <w:rFonts w:asciiTheme="majorHAnsi" w:hAnsiTheme="majorHAnsi"/>
          <w:noProof/>
          <w:sz w:val="22"/>
          <w:szCs w:val="22"/>
        </w:rPr>
        <mc:AlternateContent>
          <mc:Choice Requires="wps">
            <w:drawing>
              <wp:anchor distT="0" distB="0" distL="114300" distR="114300" simplePos="0" relativeHeight="251685888" behindDoc="0" locked="0" layoutInCell="1" allowOverlap="1" wp14:anchorId="2444D63E" wp14:editId="49AE67BF">
                <wp:simplePos x="0" y="0"/>
                <wp:positionH relativeFrom="column">
                  <wp:posOffset>-271780</wp:posOffset>
                </wp:positionH>
                <wp:positionV relativeFrom="paragraph">
                  <wp:posOffset>674098</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txbx>
                        <w:txbxContent>
                          <w:p w14:paraId="62E1620A" w14:textId="77777777" w:rsidR="002A23C3" w:rsidRPr="004B7EB6" w:rsidRDefault="002A23C3" w:rsidP="002A23C3">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444D63E" id="Text Box 3" o:spid="_x0000_s1032" type="#_x0000_t202" style="position:absolute;left:0;text-align:left;margin-left:-21.4pt;margin-top:53.1pt;width:93pt;height:26.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" filled="f" stroked="f" strokeweight=".5pt">
                <v:textbox>
                  <w:txbxContent>
                    <w:p w14:paraId="62E1620A" w14:textId="77777777" w:rsidR="002A23C3" w:rsidRPr="004B7EB6" w:rsidRDefault="002A23C3" w:rsidP="002A23C3">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0045247F">
        <w:rPr>
          <w:rFonts w:asciiTheme="majorHAnsi" w:hAnsiTheme="majorHAnsi"/>
          <w:noProof/>
          <w:sz w:val="18"/>
          <w:szCs w:val="22"/>
        </w:rPr>
        <mc:AlternateContent>
          <mc:Choice Requires="wps">
            <w:drawing>
              <wp:anchor distT="0" distB="0" distL="114300" distR="114300" simplePos="0" relativeHeight="251655680" behindDoc="0" locked="0" layoutInCell="1" allowOverlap="1" wp14:anchorId="43E559D9" wp14:editId="59B4FD3E">
                <wp:simplePos x="0" y="0"/>
                <wp:positionH relativeFrom="column">
                  <wp:posOffset>1330658</wp:posOffset>
                </wp:positionH>
                <wp:positionV relativeFrom="paragraph">
                  <wp:posOffset>489651</wp:posOffset>
                </wp:positionV>
                <wp:extent cx="2286000"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2286000"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AEAAA1D" w14:textId="4961D543" w:rsidR="0099258D" w:rsidRPr="00D72DC6" w:rsidRDefault="0099258D" w:rsidP="00F02AD1">
                            <w:pP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3E559D9" id="Text Box 9" o:spid="_x0000_s1032" type="#_x0000_t202" style="position:absolute;left:0;text-align:left;margin-left:104.8pt;margin-top:38.55pt;width:180pt;height:44.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" fillcolor="white [3201]" stroked="f" strokeweight=".5pt">
                <v:textbox>
                  <w:txbxContent>
                    <w:p w14:paraId="0AEAAA1D" w14:textId="4961D543" w:rsidR="0099258D" w:rsidRPr="00D72DC6" w:rsidRDefault="0099258D" w:rsidP="00F02AD1">
                      <w:pPr>
                        <w:rPr>
                          <w:color w:val="FFFFFF" w:themeColor="background1"/>
                          <w14:textFill>
                            <w14:noFill/>
                          </w14:textFill>
                        </w:rPr>
                      </w:pPr>
                    </w:p>
                  </w:txbxContent>
                </v:textbox>
              </v:shape>
            </w:pict>
          </mc:Fallback>
        </mc:AlternateContent>
      </w:r>
      <w:r w:rsidR="0045247F" w:rsidRPr="00D72DC6">
        <w:rPr>
          <w:noProof/>
          <w:color w:val="FFFFFF" w:themeColor="background1"/>
          <w14:textFill>
            <w14:noFill/>
          </w14:textFill>
        </w:rPr>
        <w:drawing>
          <wp:anchor distT="0" distB="0" distL="114300" distR="114300" simplePos="0" relativeHeight="251683840" behindDoc="0" locked="0" layoutInCell="1" allowOverlap="1" wp14:anchorId="1E3925C3" wp14:editId="0F5D3F10">
            <wp:simplePos x="0" y="0"/>
            <wp:positionH relativeFrom="column">
              <wp:posOffset>1466850</wp:posOffset>
            </wp:positionH>
            <wp:positionV relativeFrom="paragraph">
              <wp:posOffset>558165</wp:posOffset>
            </wp:positionV>
            <wp:extent cx="1515600" cy="390950"/>
            <wp:effectExtent l="0" t="0" r="0" b="9525"/>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6" cstate="print">
                      <a:extLst>
                        <a:ext uri="{28A0092B-C50C-407E-A947-70E740481C1C}">
                          <a14:useLocalDpi xmlns:a14="http://schemas.microsoft.com/office/drawing/2010/main"/>
                        </a:ext>
                      </a:extLst>
                    </a:blip>
                    <a:stretch>
                      <a:fillRect/>
                    </a:stretch>
                  </pic:blipFill>
                  <pic:spPr bwMode="auto">
                    <a:xfrm>
                      <a:off x="0" y="0"/>
                      <a:ext cx="1515600" cy="390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2ED5B9"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56" w:type="dxa"/>
        <w:tblInd w:w="108" w:type="dxa"/>
        <w:tblLook w:val="04A0" w:firstRow="1" w:lastRow="0" w:firstColumn="1" w:lastColumn="0" w:noHBand="0" w:noVBand="1"/>
      </w:tblPr>
      <w:tblGrid>
        <w:gridCol w:w="3544"/>
        <w:gridCol w:w="5812"/>
      </w:tblGrid>
      <w:tr w:rsidR="00802833" w:rsidRPr="00773E6C" w14:paraId="14353E3A" w14:textId="77777777" w:rsidTr="0045247F">
        <w:tc>
          <w:tcPr>
            <w:tcW w:w="3544" w:type="dxa"/>
            <w:shd w:val="clear" w:color="auto" w:fill="386294"/>
            <w:vAlign w:val="center"/>
          </w:tcPr>
          <w:p w14:paraId="0EC9DE2C" w14:textId="0CB5568C" w:rsidR="00802833" w:rsidRPr="009629C7" w:rsidRDefault="00802833" w:rsidP="00802833">
            <w:pPr>
              <w:jc w:val="center"/>
              <w:rPr>
                <w:rFonts w:ascii="Cambria" w:hAnsi="Cambria"/>
                <w:bCs/>
                <w:color w:val="FFFFFF" w:themeColor="background1"/>
                <w:sz w:val="19"/>
                <w:szCs w:val="19"/>
                <w:lang w:val="es-ES"/>
              </w:rPr>
            </w:pPr>
            <w:r w:rsidRPr="009629C7">
              <w:rPr>
                <w:rFonts w:ascii="Cambria" w:hAnsi="Cambria"/>
                <w:bCs/>
                <w:color w:val="FFFFFF" w:themeColor="background1"/>
                <w:sz w:val="19"/>
                <w:szCs w:val="19"/>
                <w:lang w:val="es-ES"/>
              </w:rPr>
              <w:t>Parte peticionaria</w:t>
            </w:r>
          </w:p>
        </w:tc>
        <w:tc>
          <w:tcPr>
            <w:tcW w:w="5812" w:type="dxa"/>
            <w:vAlign w:val="center"/>
          </w:tcPr>
          <w:p w14:paraId="706D0974" w14:textId="6810D470" w:rsidR="00802833" w:rsidRPr="00802833" w:rsidRDefault="00BA3F95" w:rsidP="00802833">
            <w:pPr>
              <w:jc w:val="both"/>
              <w:rPr>
                <w:rFonts w:ascii="Cambria" w:hAnsi="Cambria"/>
                <w:bCs/>
                <w:sz w:val="20"/>
                <w:szCs w:val="20"/>
                <w:lang w:val="es-ES"/>
              </w:rPr>
            </w:pPr>
            <w:r>
              <w:rPr>
                <w:rFonts w:ascii="Cambria" w:hAnsi="Cambria"/>
                <w:bCs/>
                <w:sz w:val="20"/>
                <w:szCs w:val="20"/>
                <w:lang w:val="es-ES"/>
              </w:rPr>
              <w:t xml:space="preserve">Roberto Fernando Paz Salas, Blanca </w:t>
            </w:r>
            <w:proofErr w:type="spellStart"/>
            <w:r>
              <w:rPr>
                <w:rFonts w:ascii="Cambria" w:hAnsi="Cambria"/>
                <w:bCs/>
                <w:sz w:val="20"/>
                <w:szCs w:val="20"/>
                <w:lang w:val="es-ES"/>
              </w:rPr>
              <w:t>Atala</w:t>
            </w:r>
            <w:proofErr w:type="spellEnd"/>
            <w:r>
              <w:rPr>
                <w:rFonts w:ascii="Cambria" w:hAnsi="Cambria"/>
                <w:bCs/>
                <w:sz w:val="20"/>
                <w:szCs w:val="20"/>
                <w:lang w:val="es-ES"/>
              </w:rPr>
              <w:t xml:space="preserve"> Carmona de Rojo y familia</w:t>
            </w:r>
          </w:p>
        </w:tc>
      </w:tr>
      <w:tr w:rsidR="00802833" w:rsidRPr="00171A7E" w14:paraId="2355CD53" w14:textId="77777777" w:rsidTr="0045247F">
        <w:tc>
          <w:tcPr>
            <w:tcW w:w="3544" w:type="dxa"/>
            <w:shd w:val="clear" w:color="auto" w:fill="386294"/>
            <w:vAlign w:val="center"/>
          </w:tcPr>
          <w:p w14:paraId="59A0E4B3" w14:textId="23C5F734" w:rsidR="00802833" w:rsidRPr="009629C7" w:rsidRDefault="00E47176" w:rsidP="00802833">
            <w:pPr>
              <w:jc w:val="center"/>
              <w:rPr>
                <w:rFonts w:ascii="Cambria" w:hAnsi="Cambria"/>
                <w:bCs/>
                <w:color w:val="FFFFFF" w:themeColor="background1"/>
                <w:sz w:val="19"/>
                <w:szCs w:val="19"/>
                <w:lang w:val="es-ES"/>
              </w:rPr>
            </w:pPr>
            <w:sdt>
              <w:sdtPr>
                <w:rPr>
                  <w:rFonts w:ascii="Cambria" w:hAnsi="Cambria"/>
                  <w:bCs/>
                  <w:color w:val="FFFFFF" w:themeColor="background1"/>
                  <w:sz w:val="19"/>
                  <w:szCs w:val="19"/>
                  <w:lang w:val="es-ES"/>
                </w:rPr>
                <w:alias w:val="Elegir una opción"/>
                <w:tag w:val="Elegir una opción"/>
                <w:id w:val="931095713"/>
                <w:placeholder>
                  <w:docPart w:val="3CC00BABF2EA4BDC95125B72D2BF8292"/>
                </w:placeholder>
                <w:dropDownList>
                  <w:listItem w:value="Choose an item."/>
                  <w:listItem w:displayText="Presunta víctima" w:value="Presunta víctima"/>
                  <w:listItem w:displayText="Presuntas víctimas" w:value="Presuntas víctimas"/>
                </w:dropDownList>
              </w:sdtPr>
              <w:sdtEndPr/>
              <w:sdtContent>
                <w:r w:rsidR="00802833" w:rsidRPr="009629C7">
                  <w:rPr>
                    <w:rFonts w:ascii="Cambria" w:hAnsi="Cambria"/>
                    <w:bCs/>
                    <w:color w:val="FFFFFF" w:themeColor="background1"/>
                    <w:sz w:val="19"/>
                    <w:szCs w:val="19"/>
                    <w:lang w:val="es-ES"/>
                  </w:rPr>
                  <w:t>Presunta víctima</w:t>
                </w:r>
              </w:sdtContent>
            </w:sdt>
          </w:p>
        </w:tc>
        <w:tc>
          <w:tcPr>
            <w:tcW w:w="5812" w:type="dxa"/>
            <w:vAlign w:val="center"/>
          </w:tcPr>
          <w:p w14:paraId="70B7B1C1" w14:textId="5A924932" w:rsidR="00802833" w:rsidRDefault="00BA3F95" w:rsidP="00802833">
            <w:pPr>
              <w:jc w:val="both"/>
              <w:rPr>
                <w:rFonts w:ascii="Cambria" w:hAnsi="Cambria"/>
                <w:bCs/>
                <w:sz w:val="20"/>
                <w:szCs w:val="20"/>
              </w:rPr>
            </w:pPr>
            <w:proofErr w:type="spellStart"/>
            <w:r>
              <w:rPr>
                <w:rFonts w:ascii="Cambria" w:hAnsi="Cambria"/>
                <w:bCs/>
                <w:sz w:val="20"/>
                <w:szCs w:val="20"/>
              </w:rPr>
              <w:t>Esaú</w:t>
            </w:r>
            <w:proofErr w:type="spellEnd"/>
            <w:r>
              <w:rPr>
                <w:rFonts w:ascii="Cambria" w:hAnsi="Cambria"/>
                <w:bCs/>
                <w:sz w:val="20"/>
                <w:szCs w:val="20"/>
              </w:rPr>
              <w:t xml:space="preserve"> </w:t>
            </w:r>
            <w:proofErr w:type="spellStart"/>
            <w:r>
              <w:rPr>
                <w:rFonts w:ascii="Cambria" w:hAnsi="Cambria"/>
                <w:bCs/>
                <w:sz w:val="20"/>
                <w:szCs w:val="20"/>
              </w:rPr>
              <w:t>Rojo</w:t>
            </w:r>
            <w:proofErr w:type="spellEnd"/>
            <w:r>
              <w:rPr>
                <w:rFonts w:ascii="Cambria" w:hAnsi="Cambria"/>
                <w:bCs/>
                <w:sz w:val="20"/>
                <w:szCs w:val="20"/>
              </w:rPr>
              <w:t xml:space="preserve"> Carmona</w:t>
            </w:r>
          </w:p>
        </w:tc>
      </w:tr>
      <w:tr w:rsidR="00802833" w14:paraId="6B9385E9" w14:textId="77777777" w:rsidTr="0045247F">
        <w:tc>
          <w:tcPr>
            <w:tcW w:w="3544" w:type="dxa"/>
            <w:shd w:val="clear" w:color="auto" w:fill="386294"/>
            <w:vAlign w:val="center"/>
          </w:tcPr>
          <w:p w14:paraId="2DB2C085" w14:textId="7CA93E29" w:rsidR="00802833" w:rsidRPr="009629C7" w:rsidRDefault="00802833" w:rsidP="00802833">
            <w:pPr>
              <w:jc w:val="center"/>
              <w:rPr>
                <w:rFonts w:ascii="Cambria" w:hAnsi="Cambria"/>
                <w:bCs/>
                <w:color w:val="FFFFFF" w:themeColor="background1"/>
                <w:sz w:val="19"/>
                <w:szCs w:val="19"/>
                <w:lang w:val="es-ES"/>
              </w:rPr>
            </w:pPr>
            <w:r w:rsidRPr="009629C7">
              <w:rPr>
                <w:rFonts w:ascii="Cambria" w:hAnsi="Cambria"/>
                <w:bCs/>
                <w:color w:val="FFFFFF" w:themeColor="background1"/>
                <w:sz w:val="19"/>
                <w:szCs w:val="19"/>
                <w:lang w:val="es-ES"/>
              </w:rPr>
              <w:t>Estado denunciado</w:t>
            </w:r>
          </w:p>
        </w:tc>
        <w:tc>
          <w:tcPr>
            <w:tcW w:w="5812" w:type="dxa"/>
            <w:vAlign w:val="center"/>
          </w:tcPr>
          <w:p w14:paraId="5E375646" w14:textId="40BE6525" w:rsidR="00802833" w:rsidRDefault="00BA3F95" w:rsidP="00802833">
            <w:pPr>
              <w:jc w:val="both"/>
              <w:rPr>
                <w:rFonts w:ascii="Cambria" w:hAnsi="Cambria"/>
                <w:bCs/>
                <w:sz w:val="20"/>
                <w:szCs w:val="20"/>
              </w:rPr>
            </w:pPr>
            <w:r>
              <w:rPr>
                <w:rFonts w:ascii="Cambria" w:hAnsi="Cambria"/>
                <w:bCs/>
                <w:sz w:val="20"/>
                <w:szCs w:val="20"/>
              </w:rPr>
              <w:t>Colombia</w:t>
            </w:r>
          </w:p>
        </w:tc>
      </w:tr>
      <w:tr w:rsidR="00802833" w:rsidRPr="009629C7" w14:paraId="2485421D" w14:textId="77777777" w:rsidTr="0045247F">
        <w:tc>
          <w:tcPr>
            <w:tcW w:w="3544" w:type="dxa"/>
            <w:shd w:val="clear" w:color="auto" w:fill="386294"/>
            <w:vAlign w:val="center"/>
          </w:tcPr>
          <w:p w14:paraId="158523DF" w14:textId="03C2948C" w:rsidR="00802833" w:rsidRPr="009629C7" w:rsidRDefault="00802833" w:rsidP="00802833">
            <w:pPr>
              <w:jc w:val="center"/>
              <w:rPr>
                <w:rFonts w:ascii="Cambria" w:hAnsi="Cambria"/>
                <w:bCs/>
                <w:color w:val="FFFFFF" w:themeColor="background1"/>
                <w:sz w:val="19"/>
                <w:szCs w:val="19"/>
                <w:lang w:val="es-ES"/>
              </w:rPr>
            </w:pPr>
            <w:r w:rsidRPr="009629C7">
              <w:rPr>
                <w:rFonts w:ascii="Cambria" w:hAnsi="Cambria"/>
                <w:bCs/>
                <w:color w:val="FFFFFF" w:themeColor="background1"/>
                <w:sz w:val="19"/>
                <w:szCs w:val="19"/>
                <w:lang w:val="es-ES"/>
              </w:rPr>
              <w:t>Derechos invocados</w:t>
            </w:r>
          </w:p>
        </w:tc>
        <w:tc>
          <w:tcPr>
            <w:tcW w:w="5812" w:type="dxa"/>
            <w:vAlign w:val="center"/>
          </w:tcPr>
          <w:p w14:paraId="6963531B" w14:textId="3701CA38" w:rsidR="00802833" w:rsidRDefault="00BA3F95" w:rsidP="00802833">
            <w:pPr>
              <w:jc w:val="both"/>
              <w:rPr>
                <w:rFonts w:ascii="Cambria" w:hAnsi="Cambria"/>
                <w:bCs/>
                <w:sz w:val="20"/>
                <w:szCs w:val="20"/>
                <w:lang w:val="es-PA"/>
              </w:rPr>
            </w:pPr>
            <w:r>
              <w:rPr>
                <w:rFonts w:ascii="Cambria" w:hAnsi="Cambria"/>
                <w:bCs/>
                <w:sz w:val="20"/>
                <w:szCs w:val="20"/>
                <w:lang w:val="es-PA"/>
              </w:rPr>
              <w:t>No se especifican artículos</w:t>
            </w:r>
          </w:p>
        </w:tc>
      </w:tr>
    </w:tbl>
    <w:p w14:paraId="274617D8"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2"/>
      </w:r>
    </w:p>
    <w:tbl>
      <w:tblPr>
        <w:tblStyle w:val="TableGrid"/>
        <w:tblW w:w="9356" w:type="dxa"/>
        <w:tblInd w:w="108" w:type="dxa"/>
        <w:tblBorders>
          <w:insideH w:val="single" w:sz="6" w:space="0" w:color="auto"/>
          <w:insideV w:val="single" w:sz="6" w:space="0" w:color="auto"/>
        </w:tblBorders>
        <w:tblLook w:val="04A0" w:firstRow="1" w:lastRow="0" w:firstColumn="1" w:lastColumn="0" w:noHBand="0" w:noVBand="1"/>
      </w:tblPr>
      <w:tblGrid>
        <w:gridCol w:w="3544"/>
        <w:gridCol w:w="5812"/>
      </w:tblGrid>
      <w:tr w:rsidR="009629C7" w:rsidRPr="00960625" w14:paraId="78A941EA" w14:textId="77777777" w:rsidTr="009629C7">
        <w:tc>
          <w:tcPr>
            <w:tcW w:w="3544" w:type="dxa"/>
            <w:tcBorders>
              <w:top w:val="single" w:sz="6" w:space="0" w:color="auto"/>
              <w:bottom w:val="single" w:sz="6" w:space="0" w:color="auto"/>
            </w:tcBorders>
            <w:shd w:val="clear" w:color="auto" w:fill="386294"/>
            <w:vAlign w:val="center"/>
          </w:tcPr>
          <w:p w14:paraId="470D93FB" w14:textId="4BD55022" w:rsidR="009629C7" w:rsidRPr="009629C7" w:rsidRDefault="009629C7" w:rsidP="00802833">
            <w:pPr>
              <w:jc w:val="center"/>
              <w:rPr>
                <w:rFonts w:ascii="Cambria" w:hAnsi="Cambria"/>
                <w:bCs/>
                <w:color w:val="FFFFFF" w:themeColor="background1"/>
                <w:sz w:val="19"/>
                <w:szCs w:val="19"/>
                <w:lang w:val="es-ES"/>
              </w:rPr>
            </w:pPr>
            <w:r>
              <w:rPr>
                <w:rFonts w:ascii="Cambria" w:hAnsi="Cambria"/>
                <w:bCs/>
                <w:color w:val="FFFFFF" w:themeColor="background1"/>
                <w:sz w:val="19"/>
                <w:szCs w:val="19"/>
                <w:lang w:val="es-ES"/>
              </w:rPr>
              <w:t xml:space="preserve">Recepción </w:t>
            </w:r>
            <w:r w:rsidRPr="009629C7">
              <w:rPr>
                <w:rFonts w:ascii="Cambria" w:hAnsi="Cambria"/>
                <w:bCs/>
                <w:color w:val="FFFFFF" w:themeColor="background1"/>
                <w:sz w:val="19"/>
                <w:szCs w:val="19"/>
                <w:lang w:val="es-ES"/>
              </w:rPr>
              <w:t>de la petición</w:t>
            </w:r>
          </w:p>
        </w:tc>
        <w:tc>
          <w:tcPr>
            <w:tcW w:w="5812" w:type="dxa"/>
          </w:tcPr>
          <w:p w14:paraId="1C0FBE93" w14:textId="479591F6" w:rsidR="009629C7" w:rsidRPr="003239B8" w:rsidRDefault="00BA3F95" w:rsidP="00802833">
            <w:pPr>
              <w:jc w:val="both"/>
              <w:rPr>
                <w:rFonts w:ascii="Cambria" w:hAnsi="Cambria"/>
                <w:bCs/>
                <w:sz w:val="20"/>
                <w:szCs w:val="20"/>
                <w:lang w:val="es-ES"/>
              </w:rPr>
            </w:pPr>
            <w:r>
              <w:rPr>
                <w:rFonts w:ascii="Cambria" w:hAnsi="Cambria"/>
                <w:bCs/>
                <w:sz w:val="20"/>
                <w:szCs w:val="20"/>
                <w:lang w:val="es-ES"/>
              </w:rPr>
              <w:t>2 de noviembre de 2009</w:t>
            </w:r>
          </w:p>
        </w:tc>
      </w:tr>
      <w:tr w:rsidR="009629C7" w:rsidRPr="00802833" w14:paraId="4C078278" w14:textId="77777777" w:rsidTr="009629C7">
        <w:tc>
          <w:tcPr>
            <w:tcW w:w="3544" w:type="dxa"/>
            <w:tcBorders>
              <w:top w:val="single" w:sz="6" w:space="0" w:color="auto"/>
              <w:bottom w:val="single" w:sz="6" w:space="0" w:color="auto"/>
            </w:tcBorders>
            <w:shd w:val="clear" w:color="auto" w:fill="386294"/>
            <w:vAlign w:val="center"/>
          </w:tcPr>
          <w:p w14:paraId="687B66A5" w14:textId="7667493E" w:rsidR="009629C7" w:rsidRPr="009629C7" w:rsidRDefault="009629C7" w:rsidP="00802833">
            <w:pPr>
              <w:jc w:val="center"/>
              <w:rPr>
                <w:rFonts w:ascii="Cambria" w:hAnsi="Cambria"/>
                <w:bCs/>
                <w:color w:val="FFFFFF" w:themeColor="background1"/>
                <w:sz w:val="19"/>
                <w:szCs w:val="19"/>
                <w:lang w:val="es-ES"/>
              </w:rPr>
            </w:pPr>
            <w:r w:rsidRPr="009629C7">
              <w:rPr>
                <w:rFonts w:ascii="Cambria" w:hAnsi="Cambria"/>
                <w:bCs/>
                <w:color w:val="FFFFFF" w:themeColor="background1"/>
                <w:sz w:val="19"/>
                <w:szCs w:val="19"/>
                <w:lang w:val="es-ES"/>
              </w:rPr>
              <w:t>Notificación de la petición</w:t>
            </w:r>
          </w:p>
        </w:tc>
        <w:tc>
          <w:tcPr>
            <w:tcW w:w="5812" w:type="dxa"/>
          </w:tcPr>
          <w:p w14:paraId="0C419769" w14:textId="0FB144BF" w:rsidR="009629C7" w:rsidRDefault="00BA3F95" w:rsidP="00802833">
            <w:pPr>
              <w:jc w:val="both"/>
              <w:rPr>
                <w:rFonts w:ascii="Cambria" w:hAnsi="Cambria"/>
                <w:sz w:val="20"/>
                <w:szCs w:val="20"/>
                <w:lang w:val="es"/>
              </w:rPr>
            </w:pPr>
            <w:r>
              <w:rPr>
                <w:rFonts w:ascii="Cambria" w:hAnsi="Cambria"/>
                <w:sz w:val="20"/>
                <w:szCs w:val="20"/>
                <w:lang w:val="es"/>
              </w:rPr>
              <w:t>7 de mayo de 2014</w:t>
            </w:r>
          </w:p>
        </w:tc>
      </w:tr>
      <w:tr w:rsidR="009629C7" w:rsidRPr="004A6A54" w14:paraId="13AC9F25" w14:textId="77777777" w:rsidTr="009629C7">
        <w:tc>
          <w:tcPr>
            <w:tcW w:w="3544" w:type="dxa"/>
            <w:tcBorders>
              <w:top w:val="single" w:sz="6" w:space="0" w:color="auto"/>
              <w:bottom w:val="single" w:sz="6" w:space="0" w:color="auto"/>
            </w:tcBorders>
            <w:shd w:val="clear" w:color="auto" w:fill="386294"/>
            <w:vAlign w:val="center"/>
          </w:tcPr>
          <w:p w14:paraId="57251DBE" w14:textId="7371D139" w:rsidR="009629C7" w:rsidRPr="009629C7" w:rsidRDefault="009629C7" w:rsidP="00802833">
            <w:pPr>
              <w:jc w:val="center"/>
              <w:rPr>
                <w:rFonts w:ascii="Cambria" w:hAnsi="Cambria"/>
                <w:bCs/>
                <w:color w:val="FFFFFF" w:themeColor="background1"/>
                <w:sz w:val="19"/>
                <w:szCs w:val="19"/>
                <w:lang w:val="es-ES"/>
              </w:rPr>
            </w:pPr>
            <w:r w:rsidRPr="009629C7">
              <w:rPr>
                <w:rFonts w:ascii="Cambria" w:hAnsi="Cambria"/>
                <w:bCs/>
                <w:color w:val="FFFFFF" w:themeColor="background1"/>
                <w:sz w:val="19"/>
                <w:szCs w:val="19"/>
                <w:lang w:val="es-ES"/>
              </w:rPr>
              <w:t>Primera respuesta del Estado</w:t>
            </w:r>
          </w:p>
        </w:tc>
        <w:tc>
          <w:tcPr>
            <w:tcW w:w="5812" w:type="dxa"/>
          </w:tcPr>
          <w:p w14:paraId="5FF39E31" w14:textId="4D7EA50A" w:rsidR="009629C7" w:rsidRDefault="00BA3F95" w:rsidP="00802833">
            <w:pPr>
              <w:jc w:val="both"/>
              <w:rPr>
                <w:rFonts w:ascii="Cambria" w:hAnsi="Cambria"/>
                <w:sz w:val="20"/>
                <w:szCs w:val="20"/>
                <w:lang w:val="es"/>
              </w:rPr>
            </w:pPr>
            <w:r>
              <w:rPr>
                <w:rFonts w:ascii="Cambria" w:hAnsi="Cambria"/>
                <w:sz w:val="20"/>
                <w:szCs w:val="20"/>
                <w:lang w:val="es"/>
              </w:rPr>
              <w:t>23 de septiembre de 2014</w:t>
            </w:r>
          </w:p>
        </w:tc>
      </w:tr>
      <w:tr w:rsidR="009629C7" w:rsidRPr="007B3FA3" w14:paraId="72BEADE5" w14:textId="77777777" w:rsidTr="009629C7">
        <w:tc>
          <w:tcPr>
            <w:tcW w:w="3544" w:type="dxa"/>
            <w:tcBorders>
              <w:top w:val="single" w:sz="6" w:space="0" w:color="auto"/>
              <w:bottom w:val="single" w:sz="6" w:space="0" w:color="auto"/>
            </w:tcBorders>
            <w:shd w:val="clear" w:color="auto" w:fill="386294"/>
            <w:vAlign w:val="center"/>
          </w:tcPr>
          <w:p w14:paraId="6062177F" w14:textId="72D145E1" w:rsidR="009629C7" w:rsidRPr="009629C7" w:rsidRDefault="009629C7" w:rsidP="005C6DA1">
            <w:pPr>
              <w:jc w:val="center"/>
              <w:rPr>
                <w:rFonts w:ascii="Cambria" w:hAnsi="Cambria"/>
                <w:bCs/>
                <w:color w:val="FFFFFF" w:themeColor="background1"/>
                <w:sz w:val="19"/>
                <w:szCs w:val="19"/>
                <w:lang w:val="es-ES"/>
              </w:rPr>
            </w:pPr>
            <w:r w:rsidRPr="009629C7">
              <w:rPr>
                <w:rFonts w:ascii="Cambria" w:hAnsi="Cambria"/>
                <w:bCs/>
                <w:color w:val="FFFFFF" w:themeColor="background1"/>
                <w:sz w:val="19"/>
                <w:szCs w:val="19"/>
                <w:lang w:val="es-ES"/>
              </w:rPr>
              <w:t xml:space="preserve">Observaciones adicionales de </w:t>
            </w:r>
            <w:r w:rsidR="005C6DA1">
              <w:rPr>
                <w:rFonts w:ascii="Cambria" w:hAnsi="Cambria"/>
                <w:bCs/>
                <w:color w:val="FFFFFF" w:themeColor="background1"/>
                <w:sz w:val="19"/>
                <w:szCs w:val="19"/>
                <w:lang w:val="es-ES"/>
              </w:rPr>
              <w:br/>
            </w:r>
            <w:r w:rsidRPr="009629C7">
              <w:rPr>
                <w:rFonts w:ascii="Cambria" w:hAnsi="Cambria"/>
                <w:bCs/>
                <w:color w:val="FFFFFF" w:themeColor="background1"/>
                <w:sz w:val="19"/>
                <w:szCs w:val="19"/>
                <w:lang w:val="es-ES"/>
              </w:rPr>
              <w:t>la</w:t>
            </w:r>
            <w:r w:rsidR="005C6DA1">
              <w:rPr>
                <w:rFonts w:ascii="Cambria" w:hAnsi="Cambria"/>
                <w:bCs/>
                <w:color w:val="FFFFFF" w:themeColor="background1"/>
                <w:sz w:val="19"/>
                <w:szCs w:val="19"/>
                <w:lang w:val="es-ES"/>
              </w:rPr>
              <w:t xml:space="preserve"> </w:t>
            </w:r>
            <w:r w:rsidRPr="009629C7">
              <w:rPr>
                <w:rFonts w:ascii="Cambria" w:hAnsi="Cambria"/>
                <w:bCs/>
                <w:color w:val="FFFFFF" w:themeColor="background1"/>
                <w:sz w:val="19"/>
                <w:szCs w:val="19"/>
                <w:lang w:val="es-ES"/>
              </w:rPr>
              <w:t>parte peticionaria</w:t>
            </w:r>
          </w:p>
        </w:tc>
        <w:tc>
          <w:tcPr>
            <w:tcW w:w="5812" w:type="dxa"/>
          </w:tcPr>
          <w:p w14:paraId="09D2C506" w14:textId="757660C6" w:rsidR="009629C7" w:rsidRDefault="00BA3F95" w:rsidP="00802833">
            <w:pPr>
              <w:jc w:val="both"/>
              <w:rPr>
                <w:rFonts w:ascii="Cambria" w:hAnsi="Cambria"/>
                <w:sz w:val="20"/>
                <w:szCs w:val="20"/>
                <w:lang w:val="es"/>
              </w:rPr>
            </w:pPr>
            <w:r>
              <w:rPr>
                <w:rFonts w:ascii="Cambria" w:hAnsi="Cambria"/>
                <w:sz w:val="20"/>
                <w:szCs w:val="20"/>
                <w:lang w:val="es"/>
              </w:rPr>
              <w:t>13 de noviembre de 2014</w:t>
            </w:r>
          </w:p>
        </w:tc>
      </w:tr>
      <w:tr w:rsidR="009629C7" w:rsidRPr="009629C7" w14:paraId="5205865D" w14:textId="77777777" w:rsidTr="009629C7">
        <w:tc>
          <w:tcPr>
            <w:tcW w:w="3544" w:type="dxa"/>
            <w:tcBorders>
              <w:top w:val="single" w:sz="6" w:space="0" w:color="auto"/>
              <w:bottom w:val="single" w:sz="6" w:space="0" w:color="auto"/>
            </w:tcBorders>
            <w:shd w:val="clear" w:color="auto" w:fill="386294"/>
            <w:vAlign w:val="center"/>
          </w:tcPr>
          <w:p w14:paraId="2AE512A8" w14:textId="3BD61DAC" w:rsidR="009629C7" w:rsidRPr="009629C7" w:rsidRDefault="009629C7" w:rsidP="00802833">
            <w:pPr>
              <w:jc w:val="center"/>
              <w:rPr>
                <w:rFonts w:ascii="Cambria" w:hAnsi="Cambria"/>
                <w:bCs/>
                <w:color w:val="FFFFFF" w:themeColor="background1"/>
                <w:sz w:val="19"/>
                <w:szCs w:val="19"/>
                <w:lang w:val="es-ES"/>
              </w:rPr>
            </w:pPr>
            <w:r w:rsidRPr="009629C7">
              <w:rPr>
                <w:rFonts w:ascii="Cambria" w:hAnsi="Cambria"/>
                <w:bCs/>
                <w:color w:val="FFFFFF" w:themeColor="background1"/>
                <w:sz w:val="19"/>
                <w:szCs w:val="19"/>
                <w:lang w:val="es-ES"/>
              </w:rPr>
              <w:t>Observaciones adicionales del Estado</w:t>
            </w:r>
          </w:p>
        </w:tc>
        <w:tc>
          <w:tcPr>
            <w:tcW w:w="5812" w:type="dxa"/>
          </w:tcPr>
          <w:p w14:paraId="3F83CEAC" w14:textId="39F5ACE4" w:rsidR="009629C7" w:rsidRDefault="00BA3F95" w:rsidP="00802833">
            <w:pPr>
              <w:jc w:val="both"/>
              <w:rPr>
                <w:rFonts w:ascii="Cambria" w:hAnsi="Cambria"/>
                <w:sz w:val="20"/>
                <w:szCs w:val="20"/>
                <w:lang w:val="es"/>
              </w:rPr>
            </w:pPr>
            <w:r>
              <w:rPr>
                <w:rFonts w:ascii="Cambria" w:hAnsi="Cambria"/>
                <w:sz w:val="20"/>
                <w:szCs w:val="20"/>
                <w:lang w:val="es"/>
              </w:rPr>
              <w:t>12 de febrero de 2015</w:t>
            </w:r>
          </w:p>
        </w:tc>
      </w:tr>
    </w:tbl>
    <w:p w14:paraId="18221797" w14:textId="0789F5CE" w:rsidR="003239B8" w:rsidRPr="003239B8" w:rsidRDefault="003239B8" w:rsidP="00CE2A41">
      <w:pPr>
        <w:tabs>
          <w:tab w:val="left" w:pos="720"/>
          <w:tab w:val="left" w:pos="1440"/>
          <w:tab w:val="left" w:pos="2160"/>
          <w:tab w:val="left" w:pos="2880"/>
          <w:tab w:val="left" w:pos="4500"/>
        </w:tabs>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802833" w:rsidRPr="00540F17" w14:paraId="716354D3" w14:textId="77777777" w:rsidTr="009629C7">
        <w:trPr>
          <w:cantSplit/>
        </w:trPr>
        <w:tc>
          <w:tcPr>
            <w:tcW w:w="3600" w:type="dxa"/>
            <w:tcBorders>
              <w:top w:val="single" w:sz="4" w:space="0" w:color="auto"/>
              <w:bottom w:val="single" w:sz="6" w:space="0" w:color="auto"/>
            </w:tcBorders>
            <w:shd w:val="clear" w:color="auto" w:fill="386294"/>
            <w:vAlign w:val="center"/>
          </w:tcPr>
          <w:p w14:paraId="6EEFB6D2" w14:textId="4CA13AE7" w:rsidR="00802833" w:rsidRPr="009629C7" w:rsidRDefault="00802833" w:rsidP="00802833">
            <w:pPr>
              <w:jc w:val="center"/>
              <w:rPr>
                <w:rFonts w:ascii="Cambria" w:hAnsi="Cambria"/>
                <w:bCs/>
                <w:i/>
                <w:iCs/>
                <w:color w:val="FFFFFF" w:themeColor="background1"/>
                <w:sz w:val="19"/>
                <w:szCs w:val="19"/>
                <w:lang w:val="es-ES"/>
              </w:rPr>
            </w:pPr>
            <w:proofErr w:type="spellStart"/>
            <w:r w:rsidRPr="009629C7">
              <w:rPr>
                <w:rFonts w:ascii="Cambria" w:hAnsi="Cambria"/>
                <w:bCs/>
                <w:i/>
                <w:iCs/>
                <w:color w:val="FFFFFF" w:themeColor="background1"/>
                <w:sz w:val="19"/>
                <w:szCs w:val="19"/>
                <w:lang w:val="es-ES"/>
              </w:rPr>
              <w:t>Ratione</w:t>
            </w:r>
            <w:proofErr w:type="spellEnd"/>
            <w:r w:rsidRPr="009629C7">
              <w:rPr>
                <w:rFonts w:ascii="Cambria" w:hAnsi="Cambria"/>
                <w:bCs/>
                <w:i/>
                <w:iCs/>
                <w:color w:val="FFFFFF" w:themeColor="background1"/>
                <w:sz w:val="19"/>
                <w:szCs w:val="19"/>
                <w:lang w:val="es-ES"/>
              </w:rPr>
              <w:t xml:space="preserve"> </w:t>
            </w:r>
            <w:proofErr w:type="spellStart"/>
            <w:r w:rsidRPr="009629C7">
              <w:rPr>
                <w:rFonts w:ascii="Cambria" w:hAnsi="Cambria"/>
                <w:bCs/>
                <w:i/>
                <w:iCs/>
                <w:color w:val="FFFFFF" w:themeColor="background1"/>
                <w:sz w:val="19"/>
                <w:szCs w:val="19"/>
                <w:lang w:val="es-ES"/>
              </w:rPr>
              <w:t>personae</w:t>
            </w:r>
            <w:proofErr w:type="spellEnd"/>
          </w:p>
        </w:tc>
        <w:tc>
          <w:tcPr>
            <w:tcW w:w="5760" w:type="dxa"/>
            <w:vAlign w:val="center"/>
          </w:tcPr>
          <w:p w14:paraId="5E836BC1" w14:textId="686C627A" w:rsidR="00802833" w:rsidRPr="00DA671F" w:rsidRDefault="003E1FE9" w:rsidP="00802833">
            <w:pPr>
              <w:rPr>
                <w:rFonts w:asciiTheme="majorHAnsi" w:hAnsiTheme="majorHAnsi"/>
                <w:bCs/>
                <w:sz w:val="20"/>
                <w:szCs w:val="20"/>
              </w:rPr>
            </w:pPr>
            <w:proofErr w:type="spellStart"/>
            <w:r>
              <w:rPr>
                <w:rFonts w:asciiTheme="majorHAnsi" w:hAnsiTheme="majorHAnsi"/>
                <w:bCs/>
                <w:sz w:val="20"/>
                <w:szCs w:val="20"/>
              </w:rPr>
              <w:t>Sí</w:t>
            </w:r>
            <w:proofErr w:type="spellEnd"/>
          </w:p>
        </w:tc>
      </w:tr>
      <w:tr w:rsidR="00802833" w:rsidRPr="00540F17" w14:paraId="139DBF83" w14:textId="77777777" w:rsidTr="009629C7">
        <w:trPr>
          <w:cantSplit/>
        </w:trPr>
        <w:tc>
          <w:tcPr>
            <w:tcW w:w="3600" w:type="dxa"/>
            <w:tcBorders>
              <w:top w:val="single" w:sz="6" w:space="0" w:color="auto"/>
              <w:bottom w:val="single" w:sz="6" w:space="0" w:color="auto"/>
            </w:tcBorders>
            <w:shd w:val="clear" w:color="auto" w:fill="386294"/>
            <w:vAlign w:val="center"/>
          </w:tcPr>
          <w:p w14:paraId="0ABA245B" w14:textId="7CD6845F" w:rsidR="00802833" w:rsidRPr="009629C7" w:rsidRDefault="00802833" w:rsidP="00802833">
            <w:pPr>
              <w:jc w:val="center"/>
              <w:rPr>
                <w:rFonts w:ascii="Cambria" w:hAnsi="Cambria"/>
                <w:bCs/>
                <w:i/>
                <w:iCs/>
                <w:color w:val="FFFFFF" w:themeColor="background1"/>
                <w:sz w:val="19"/>
                <w:szCs w:val="19"/>
                <w:lang w:val="es-ES"/>
              </w:rPr>
            </w:pPr>
            <w:r w:rsidRPr="009629C7">
              <w:rPr>
                <w:rFonts w:ascii="Cambria" w:hAnsi="Cambria"/>
                <w:bCs/>
                <w:i/>
                <w:iCs/>
                <w:color w:val="FFFFFF" w:themeColor="background1"/>
                <w:sz w:val="19"/>
                <w:szCs w:val="19"/>
                <w:lang w:val="es-ES"/>
              </w:rPr>
              <w:t>Ratione loci</w:t>
            </w:r>
          </w:p>
        </w:tc>
        <w:tc>
          <w:tcPr>
            <w:tcW w:w="5760" w:type="dxa"/>
            <w:vAlign w:val="center"/>
          </w:tcPr>
          <w:p w14:paraId="41226443" w14:textId="3431BEF2" w:rsidR="00802833" w:rsidRPr="00DA671F" w:rsidRDefault="003E1FE9" w:rsidP="00802833">
            <w:pPr>
              <w:rPr>
                <w:rFonts w:asciiTheme="majorHAnsi" w:hAnsiTheme="majorHAnsi"/>
                <w:bCs/>
                <w:sz w:val="20"/>
                <w:szCs w:val="20"/>
              </w:rPr>
            </w:pPr>
            <w:bookmarkStart w:id="2" w:name="_Hlk40445135"/>
            <w:proofErr w:type="spellStart"/>
            <w:r>
              <w:rPr>
                <w:rFonts w:asciiTheme="majorHAnsi" w:hAnsiTheme="majorHAnsi"/>
                <w:bCs/>
                <w:sz w:val="20"/>
                <w:szCs w:val="20"/>
              </w:rPr>
              <w:t>Sí</w:t>
            </w:r>
            <w:bookmarkEnd w:id="2"/>
            <w:proofErr w:type="spellEnd"/>
          </w:p>
        </w:tc>
      </w:tr>
      <w:tr w:rsidR="00802833" w:rsidRPr="00540F17" w14:paraId="77BF1F3F" w14:textId="77777777" w:rsidTr="009629C7">
        <w:trPr>
          <w:cantSplit/>
        </w:trPr>
        <w:tc>
          <w:tcPr>
            <w:tcW w:w="3600" w:type="dxa"/>
            <w:tcBorders>
              <w:top w:val="single" w:sz="6" w:space="0" w:color="auto"/>
              <w:bottom w:val="single" w:sz="6" w:space="0" w:color="auto"/>
            </w:tcBorders>
            <w:shd w:val="clear" w:color="auto" w:fill="386294"/>
            <w:vAlign w:val="center"/>
          </w:tcPr>
          <w:p w14:paraId="25C8AFD3" w14:textId="22C50ED3" w:rsidR="00802833" w:rsidRPr="009629C7" w:rsidRDefault="00802833" w:rsidP="00802833">
            <w:pPr>
              <w:jc w:val="center"/>
              <w:rPr>
                <w:rFonts w:ascii="Cambria" w:hAnsi="Cambria"/>
                <w:bCs/>
                <w:i/>
                <w:iCs/>
                <w:color w:val="FFFFFF" w:themeColor="background1"/>
                <w:sz w:val="19"/>
                <w:szCs w:val="19"/>
                <w:lang w:val="es-ES"/>
              </w:rPr>
            </w:pPr>
            <w:r w:rsidRPr="009629C7">
              <w:rPr>
                <w:rFonts w:ascii="Cambria" w:hAnsi="Cambria"/>
                <w:bCs/>
                <w:i/>
                <w:iCs/>
                <w:color w:val="FFFFFF" w:themeColor="background1"/>
                <w:sz w:val="19"/>
                <w:szCs w:val="19"/>
                <w:lang w:val="es-ES"/>
              </w:rPr>
              <w:t>Ratione temporis</w:t>
            </w:r>
          </w:p>
        </w:tc>
        <w:tc>
          <w:tcPr>
            <w:tcW w:w="5760" w:type="dxa"/>
            <w:vAlign w:val="center"/>
          </w:tcPr>
          <w:p w14:paraId="7E7832B4" w14:textId="0E879458" w:rsidR="00802833" w:rsidRPr="00DA671F" w:rsidRDefault="003E1FE9" w:rsidP="00802833">
            <w:pPr>
              <w:rPr>
                <w:rFonts w:asciiTheme="majorHAnsi" w:hAnsiTheme="majorHAnsi"/>
                <w:bCs/>
                <w:sz w:val="20"/>
                <w:szCs w:val="20"/>
              </w:rPr>
            </w:pPr>
            <w:proofErr w:type="spellStart"/>
            <w:r>
              <w:rPr>
                <w:rFonts w:asciiTheme="majorHAnsi" w:hAnsiTheme="majorHAnsi"/>
                <w:bCs/>
                <w:sz w:val="20"/>
                <w:szCs w:val="20"/>
              </w:rPr>
              <w:t>Sí</w:t>
            </w:r>
            <w:proofErr w:type="spellEnd"/>
          </w:p>
        </w:tc>
      </w:tr>
      <w:tr w:rsidR="00802833" w:rsidRPr="00773E6C" w14:paraId="0FFDD8DB" w14:textId="77777777" w:rsidTr="009629C7">
        <w:trPr>
          <w:cantSplit/>
        </w:trPr>
        <w:tc>
          <w:tcPr>
            <w:tcW w:w="3600" w:type="dxa"/>
            <w:tcBorders>
              <w:top w:val="single" w:sz="6" w:space="0" w:color="auto"/>
              <w:bottom w:val="single" w:sz="6" w:space="0" w:color="auto"/>
            </w:tcBorders>
            <w:shd w:val="clear" w:color="auto" w:fill="386294"/>
            <w:vAlign w:val="center"/>
          </w:tcPr>
          <w:p w14:paraId="7A1EA5A0" w14:textId="1C41C8E7" w:rsidR="00802833" w:rsidRPr="009629C7" w:rsidRDefault="00802833" w:rsidP="00802833">
            <w:pPr>
              <w:jc w:val="center"/>
              <w:rPr>
                <w:rFonts w:ascii="Cambria" w:hAnsi="Cambria"/>
                <w:bCs/>
                <w:i/>
                <w:iCs/>
                <w:color w:val="FFFFFF" w:themeColor="background1"/>
                <w:sz w:val="19"/>
                <w:szCs w:val="19"/>
                <w:lang w:val="es-ES"/>
              </w:rPr>
            </w:pPr>
            <w:r w:rsidRPr="009629C7">
              <w:rPr>
                <w:rFonts w:ascii="Cambria" w:hAnsi="Cambria"/>
                <w:bCs/>
                <w:i/>
                <w:iCs/>
                <w:color w:val="FFFFFF" w:themeColor="background1"/>
                <w:sz w:val="19"/>
                <w:szCs w:val="19"/>
                <w:lang w:val="es-ES"/>
              </w:rPr>
              <w:t>Ratione materiae</w:t>
            </w:r>
          </w:p>
        </w:tc>
        <w:tc>
          <w:tcPr>
            <w:tcW w:w="5760" w:type="dxa"/>
            <w:vAlign w:val="center"/>
          </w:tcPr>
          <w:p w14:paraId="3EE84FF7" w14:textId="03B72B2C" w:rsidR="00802833" w:rsidRPr="003E1FE9" w:rsidRDefault="003E1FE9" w:rsidP="00802833">
            <w:pPr>
              <w:jc w:val="both"/>
              <w:rPr>
                <w:rFonts w:ascii="Cambria" w:hAnsi="Cambria"/>
                <w:bCs/>
                <w:sz w:val="20"/>
                <w:szCs w:val="20"/>
                <w:lang w:val="es-ES"/>
              </w:rPr>
            </w:pPr>
            <w:r w:rsidRPr="003E1FE9">
              <w:rPr>
                <w:rFonts w:asciiTheme="majorHAnsi" w:hAnsiTheme="majorHAnsi"/>
                <w:bCs/>
                <w:sz w:val="20"/>
                <w:szCs w:val="20"/>
                <w:lang w:val="es-ES"/>
              </w:rPr>
              <w:t>Sí, Convención Americana sobre Derechos Hu</w:t>
            </w:r>
            <w:r>
              <w:rPr>
                <w:rFonts w:asciiTheme="majorHAnsi" w:hAnsiTheme="majorHAnsi"/>
                <w:bCs/>
                <w:sz w:val="20"/>
                <w:szCs w:val="20"/>
                <w:lang w:val="es-ES"/>
              </w:rPr>
              <w:t>manos (instrumento de ratificación depositado el 31 de julio de 1973)</w:t>
            </w:r>
          </w:p>
        </w:tc>
      </w:tr>
    </w:tbl>
    <w:p w14:paraId="1874F492" w14:textId="7424B831"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w:t>
      </w:r>
      <w:r w:rsidR="00802833">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CARACTERIZACIÓN, </w:t>
      </w:r>
      <w:r w:rsidRPr="003239B8">
        <w:rPr>
          <w:rFonts w:asciiTheme="majorHAnsi" w:hAnsiTheme="majorHAnsi"/>
          <w:b/>
          <w:sz w:val="20"/>
          <w:szCs w:val="20"/>
          <w:lang w:val="es-ES"/>
        </w:rPr>
        <w:t>AGOTAMIENTO DE LO RECURSOS INTERNOS Y PLAZO DE PRESENTACIÓN</w:t>
      </w:r>
    </w:p>
    <w:tbl>
      <w:tblPr>
        <w:tblStyle w:val="TableGrid"/>
        <w:tblW w:w="9360" w:type="dxa"/>
        <w:tblInd w:w="108" w:type="dxa"/>
        <w:tblLook w:val="04A0" w:firstRow="1" w:lastRow="0" w:firstColumn="1" w:lastColumn="0" w:noHBand="0" w:noVBand="1"/>
      </w:tblPr>
      <w:tblGrid>
        <w:gridCol w:w="3600"/>
        <w:gridCol w:w="5760"/>
      </w:tblGrid>
      <w:tr w:rsidR="00802833" w:rsidRPr="007B3FA3" w14:paraId="3BE0CDDD" w14:textId="77777777" w:rsidTr="0045247F">
        <w:trPr>
          <w:cantSplit/>
        </w:trPr>
        <w:tc>
          <w:tcPr>
            <w:tcW w:w="3600" w:type="dxa"/>
            <w:shd w:val="clear" w:color="auto" w:fill="386294"/>
            <w:vAlign w:val="center"/>
          </w:tcPr>
          <w:p w14:paraId="1D139C97" w14:textId="77777777" w:rsidR="009629C7" w:rsidRDefault="00802833" w:rsidP="00802833">
            <w:pPr>
              <w:jc w:val="center"/>
              <w:rPr>
                <w:rFonts w:ascii="Cambria" w:hAnsi="Cambria"/>
                <w:bCs/>
                <w:color w:val="FFFFFF" w:themeColor="background1"/>
                <w:sz w:val="19"/>
                <w:szCs w:val="19"/>
                <w:lang w:val="es-ES"/>
              </w:rPr>
            </w:pPr>
            <w:r w:rsidRPr="009629C7">
              <w:rPr>
                <w:rFonts w:ascii="Cambria" w:hAnsi="Cambria"/>
                <w:bCs/>
                <w:color w:val="FFFFFF" w:themeColor="background1"/>
                <w:sz w:val="19"/>
                <w:szCs w:val="19"/>
                <w:lang w:val="es-ES"/>
              </w:rPr>
              <w:t xml:space="preserve">Duplicación y cosa juzgada </w:t>
            </w:r>
          </w:p>
          <w:p w14:paraId="59D7428E" w14:textId="7C031398" w:rsidR="00802833" w:rsidRPr="009629C7" w:rsidRDefault="00802833" w:rsidP="00802833">
            <w:pPr>
              <w:jc w:val="center"/>
              <w:rPr>
                <w:rFonts w:ascii="Cambria" w:hAnsi="Cambria"/>
                <w:bCs/>
                <w:color w:val="FFFFFF" w:themeColor="background1"/>
                <w:sz w:val="19"/>
                <w:szCs w:val="19"/>
                <w:lang w:val="es-ES"/>
              </w:rPr>
            </w:pPr>
            <w:r w:rsidRPr="009629C7">
              <w:rPr>
                <w:rFonts w:ascii="Cambria" w:hAnsi="Cambria"/>
                <w:bCs/>
                <w:color w:val="FFFFFF" w:themeColor="background1"/>
                <w:sz w:val="19"/>
                <w:szCs w:val="19"/>
                <w:lang w:val="es-ES"/>
              </w:rPr>
              <w:t>internacional</w:t>
            </w:r>
          </w:p>
        </w:tc>
        <w:tc>
          <w:tcPr>
            <w:tcW w:w="5760" w:type="dxa"/>
            <w:vAlign w:val="center"/>
          </w:tcPr>
          <w:p w14:paraId="44ABEC84" w14:textId="079370E6" w:rsidR="00802833" w:rsidRPr="00EE00E9" w:rsidRDefault="003E1FE9" w:rsidP="00802833">
            <w:pPr>
              <w:jc w:val="both"/>
              <w:rPr>
                <w:rFonts w:ascii="Cambria" w:hAnsi="Cambria"/>
                <w:bCs/>
                <w:sz w:val="20"/>
                <w:szCs w:val="20"/>
                <w:lang w:val="es-ES"/>
              </w:rPr>
            </w:pPr>
            <w:r>
              <w:rPr>
                <w:rFonts w:ascii="Cambria" w:hAnsi="Cambria"/>
                <w:bCs/>
                <w:sz w:val="20"/>
                <w:szCs w:val="20"/>
                <w:lang w:val="es-ES"/>
              </w:rPr>
              <w:t>No</w:t>
            </w:r>
          </w:p>
        </w:tc>
      </w:tr>
      <w:tr w:rsidR="00802833" w:rsidRPr="00773E6C" w14:paraId="6A5B3CAB" w14:textId="77777777" w:rsidTr="0045247F">
        <w:trPr>
          <w:cantSplit/>
        </w:trPr>
        <w:tc>
          <w:tcPr>
            <w:tcW w:w="3600" w:type="dxa"/>
            <w:shd w:val="clear" w:color="auto" w:fill="386294"/>
            <w:vAlign w:val="center"/>
          </w:tcPr>
          <w:p w14:paraId="3A46715A" w14:textId="66C52666" w:rsidR="00802833" w:rsidRPr="009629C7" w:rsidRDefault="00802833" w:rsidP="00802833">
            <w:pPr>
              <w:jc w:val="center"/>
              <w:rPr>
                <w:rFonts w:ascii="Cambria" w:hAnsi="Cambria"/>
                <w:bCs/>
                <w:color w:val="FFFFFF" w:themeColor="background1"/>
                <w:sz w:val="19"/>
                <w:szCs w:val="19"/>
                <w:lang w:val="es-ES"/>
              </w:rPr>
            </w:pPr>
            <w:r w:rsidRPr="009629C7">
              <w:rPr>
                <w:rFonts w:ascii="Cambria" w:hAnsi="Cambria"/>
                <w:bCs/>
                <w:color w:val="FFFFFF" w:themeColor="background1"/>
                <w:sz w:val="19"/>
                <w:szCs w:val="19"/>
                <w:lang w:val="es-ES"/>
              </w:rPr>
              <w:t>Derechos admi</w:t>
            </w:r>
            <w:r w:rsidR="009629C7">
              <w:rPr>
                <w:rFonts w:ascii="Cambria" w:hAnsi="Cambria"/>
                <w:bCs/>
                <w:color w:val="FFFFFF" w:themeColor="background1"/>
                <w:sz w:val="19"/>
                <w:szCs w:val="19"/>
                <w:lang w:val="es-ES"/>
              </w:rPr>
              <w:t>tido</w:t>
            </w:r>
            <w:r w:rsidRPr="009629C7">
              <w:rPr>
                <w:rFonts w:ascii="Cambria" w:hAnsi="Cambria"/>
                <w:bCs/>
                <w:color w:val="FFFFFF" w:themeColor="background1"/>
                <w:sz w:val="19"/>
                <w:szCs w:val="19"/>
                <w:lang w:val="es-ES"/>
              </w:rPr>
              <w:t>s</w:t>
            </w:r>
          </w:p>
        </w:tc>
        <w:tc>
          <w:tcPr>
            <w:tcW w:w="5760" w:type="dxa"/>
            <w:vAlign w:val="center"/>
          </w:tcPr>
          <w:p w14:paraId="3A3B0562" w14:textId="3753BAB9" w:rsidR="00802833" w:rsidRPr="00F55B4E" w:rsidRDefault="003E1FE9" w:rsidP="00802833">
            <w:pPr>
              <w:jc w:val="both"/>
              <w:rPr>
                <w:rFonts w:ascii="Cambria" w:hAnsi="Cambria"/>
                <w:bCs/>
                <w:sz w:val="20"/>
                <w:szCs w:val="20"/>
                <w:lang w:val="es-PA"/>
              </w:rPr>
            </w:pPr>
            <w:r>
              <w:rPr>
                <w:rFonts w:ascii="Cambria" w:hAnsi="Cambria"/>
                <w:bCs/>
                <w:sz w:val="20"/>
                <w:szCs w:val="20"/>
                <w:lang w:val="es-PA"/>
              </w:rPr>
              <w:t>Artículos 4 (derecho a la vida), 8 (garantías judiciales) y 25 (protección judicial) de la Convención, en relación con sus artículos 1(1) y 2</w:t>
            </w:r>
          </w:p>
        </w:tc>
      </w:tr>
      <w:tr w:rsidR="00802833" w:rsidRPr="007B3FA3" w14:paraId="6898F859" w14:textId="77777777" w:rsidTr="0045247F">
        <w:trPr>
          <w:cantSplit/>
        </w:trPr>
        <w:tc>
          <w:tcPr>
            <w:tcW w:w="3600" w:type="dxa"/>
            <w:shd w:val="clear" w:color="auto" w:fill="386294"/>
            <w:vAlign w:val="center"/>
          </w:tcPr>
          <w:p w14:paraId="05A42EA0" w14:textId="77777777" w:rsidR="009629C7" w:rsidRDefault="00802833" w:rsidP="00802833">
            <w:pPr>
              <w:jc w:val="center"/>
              <w:rPr>
                <w:rFonts w:ascii="Cambria" w:hAnsi="Cambria"/>
                <w:bCs/>
                <w:color w:val="FFFFFF" w:themeColor="background1"/>
                <w:sz w:val="19"/>
                <w:szCs w:val="19"/>
                <w:lang w:val="es-ES"/>
              </w:rPr>
            </w:pPr>
            <w:r w:rsidRPr="009629C7">
              <w:rPr>
                <w:rFonts w:ascii="Cambria" w:hAnsi="Cambria"/>
                <w:bCs/>
                <w:color w:val="FFFFFF" w:themeColor="background1"/>
                <w:sz w:val="19"/>
                <w:szCs w:val="19"/>
                <w:lang w:val="es-ES"/>
              </w:rPr>
              <w:t xml:space="preserve">Agotamiento de recursos </w:t>
            </w:r>
          </w:p>
          <w:p w14:paraId="493361D5" w14:textId="24B317C9" w:rsidR="00802833" w:rsidRPr="009629C7" w:rsidRDefault="00802833" w:rsidP="00802833">
            <w:pPr>
              <w:jc w:val="center"/>
              <w:rPr>
                <w:rFonts w:ascii="Cambria" w:hAnsi="Cambria"/>
                <w:bCs/>
                <w:color w:val="FFFFFF" w:themeColor="background1"/>
                <w:sz w:val="19"/>
                <w:szCs w:val="19"/>
                <w:lang w:val="es-ES"/>
              </w:rPr>
            </w:pPr>
            <w:r w:rsidRPr="009629C7">
              <w:rPr>
                <w:rFonts w:ascii="Cambria" w:hAnsi="Cambria"/>
                <w:bCs/>
                <w:color w:val="FFFFFF" w:themeColor="background1"/>
                <w:sz w:val="19"/>
                <w:szCs w:val="19"/>
                <w:lang w:val="es-ES"/>
              </w:rPr>
              <w:t>o procedencia de una excepció</w:t>
            </w:r>
            <w:r w:rsidR="009629C7">
              <w:rPr>
                <w:rFonts w:ascii="Cambria" w:hAnsi="Cambria"/>
                <w:bCs/>
                <w:color w:val="FFFFFF" w:themeColor="background1"/>
                <w:sz w:val="19"/>
                <w:szCs w:val="19"/>
                <w:lang w:val="es-ES"/>
              </w:rPr>
              <w:t>n</w:t>
            </w:r>
          </w:p>
        </w:tc>
        <w:tc>
          <w:tcPr>
            <w:tcW w:w="5760" w:type="dxa"/>
            <w:vAlign w:val="center"/>
          </w:tcPr>
          <w:p w14:paraId="113A2A31" w14:textId="02EFAE97" w:rsidR="00802833" w:rsidRPr="00EE00E9" w:rsidRDefault="003E1FE9" w:rsidP="00802833">
            <w:pPr>
              <w:rPr>
                <w:rFonts w:ascii="Cambria" w:hAnsi="Cambria"/>
                <w:bCs/>
                <w:sz w:val="20"/>
                <w:szCs w:val="20"/>
                <w:lang w:val="es-ES"/>
              </w:rPr>
            </w:pPr>
            <w:r>
              <w:rPr>
                <w:rFonts w:ascii="Cambria" w:hAnsi="Cambria"/>
                <w:bCs/>
                <w:sz w:val="20"/>
                <w:szCs w:val="20"/>
                <w:lang w:val="es-ES"/>
              </w:rPr>
              <w:t>Sí</w:t>
            </w:r>
          </w:p>
        </w:tc>
      </w:tr>
      <w:tr w:rsidR="00802833" w:rsidRPr="009629C7" w14:paraId="01019AF2" w14:textId="77777777" w:rsidTr="0045247F">
        <w:trPr>
          <w:cantSplit/>
        </w:trPr>
        <w:tc>
          <w:tcPr>
            <w:tcW w:w="3600" w:type="dxa"/>
            <w:shd w:val="clear" w:color="auto" w:fill="386294"/>
            <w:vAlign w:val="center"/>
          </w:tcPr>
          <w:p w14:paraId="4F7C54D5" w14:textId="5661FE5F" w:rsidR="00802833" w:rsidRPr="009629C7" w:rsidRDefault="00802833" w:rsidP="00802833">
            <w:pPr>
              <w:jc w:val="center"/>
              <w:rPr>
                <w:rFonts w:ascii="Cambria" w:hAnsi="Cambria"/>
                <w:bCs/>
                <w:color w:val="FFFFFF" w:themeColor="background1"/>
                <w:sz w:val="19"/>
                <w:szCs w:val="19"/>
                <w:lang w:val="es-ES"/>
              </w:rPr>
            </w:pPr>
            <w:r w:rsidRPr="009629C7">
              <w:rPr>
                <w:rFonts w:ascii="Cambria" w:hAnsi="Cambria"/>
                <w:bCs/>
                <w:color w:val="FFFFFF" w:themeColor="background1"/>
                <w:sz w:val="19"/>
                <w:szCs w:val="19"/>
                <w:lang w:val="es-ES"/>
              </w:rPr>
              <w:t>Presentación dentro de plazo</w:t>
            </w:r>
          </w:p>
        </w:tc>
        <w:tc>
          <w:tcPr>
            <w:tcW w:w="5760" w:type="dxa"/>
            <w:vAlign w:val="center"/>
          </w:tcPr>
          <w:p w14:paraId="3818F531" w14:textId="4A31E35D" w:rsidR="00802833" w:rsidRPr="00F55B4E" w:rsidRDefault="003E1FE9" w:rsidP="00802833">
            <w:pPr>
              <w:rPr>
                <w:bCs/>
                <w:sz w:val="20"/>
                <w:szCs w:val="20"/>
                <w:lang w:val="es-PA"/>
              </w:rPr>
            </w:pPr>
            <w:r>
              <w:rPr>
                <w:bCs/>
                <w:sz w:val="20"/>
                <w:szCs w:val="20"/>
                <w:lang w:val="es-PA"/>
              </w:rPr>
              <w:t>Sí</w:t>
            </w:r>
          </w:p>
        </w:tc>
      </w:tr>
    </w:tbl>
    <w:p w14:paraId="35A1F6E1" w14:textId="2FCB2D9E" w:rsidR="003239B8"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r>
      <w:r w:rsidR="00CE2A41">
        <w:rPr>
          <w:rFonts w:asciiTheme="majorHAnsi" w:hAnsiTheme="majorHAnsi"/>
          <w:b/>
          <w:sz w:val="20"/>
          <w:szCs w:val="20"/>
          <w:lang w:val="es-UY"/>
        </w:rPr>
        <w:t xml:space="preserve">RESUMEN DE LOS </w:t>
      </w:r>
      <w:r w:rsidR="003239B8">
        <w:rPr>
          <w:rFonts w:asciiTheme="majorHAnsi" w:hAnsiTheme="majorHAnsi"/>
          <w:b/>
          <w:sz w:val="20"/>
          <w:szCs w:val="20"/>
          <w:lang w:val="es-UY"/>
        </w:rPr>
        <w:t xml:space="preserve">HECHOS ALEGADOS </w:t>
      </w:r>
    </w:p>
    <w:p w14:paraId="32C44B9B" w14:textId="77777777" w:rsidR="005268FB" w:rsidRPr="005268FB" w:rsidRDefault="006F5ACD" w:rsidP="0018183B">
      <w:pPr>
        <w:pStyle w:val="Body"/>
        <w:numPr>
          <w:ilvl w:val="0"/>
          <w:numId w:val="56"/>
        </w:numPr>
        <w:suppressAutoHyphens/>
        <w:spacing w:after="240"/>
        <w:ind w:left="0" w:firstLine="720"/>
        <w:jc w:val="both"/>
        <w:rPr>
          <w:rFonts w:ascii="Cambria" w:eastAsia="Cambria" w:hAnsi="Cambria" w:cs="Cambria"/>
          <w:sz w:val="20"/>
          <w:szCs w:val="20"/>
          <w:lang w:val="es-ES"/>
        </w:rPr>
      </w:pPr>
      <w:r>
        <w:rPr>
          <w:rFonts w:ascii="Cambria" w:hAnsi="Cambria"/>
          <w:sz w:val="20"/>
          <w:szCs w:val="20"/>
          <w:lang w:val="es"/>
        </w:rPr>
        <w:t xml:space="preserve"> </w:t>
      </w:r>
      <w:r w:rsidR="005268FB">
        <w:rPr>
          <w:rFonts w:ascii="Cambria" w:eastAsia="Cambria" w:hAnsi="Cambria" w:cs="Cambria"/>
          <w:sz w:val="20"/>
          <w:szCs w:val="20"/>
          <w:lang w:val="es"/>
        </w:rPr>
        <w:t>La presente petición se refiere a la presunta violación de los derechos de Esaú Rojo Carmona (o “la presunta víctima”) y sus familiares sobrevivientes a causa de su muerte, ocurrida en un ataque a una base militar.</w:t>
      </w:r>
    </w:p>
    <w:p w14:paraId="0C7323B3" w14:textId="614BF601" w:rsidR="005268FB" w:rsidRPr="001D5C9F" w:rsidRDefault="005268FB" w:rsidP="0018183B">
      <w:pPr>
        <w:pStyle w:val="ListParagraph"/>
        <w:numPr>
          <w:ilvl w:val="0"/>
          <w:numId w:val="56"/>
        </w:numPr>
        <w:ind w:left="0" w:firstLine="720"/>
        <w:jc w:val="both"/>
        <w:rPr>
          <w:sz w:val="20"/>
          <w:szCs w:val="20"/>
          <w:lang w:val="es-ES"/>
        </w:rPr>
      </w:pPr>
      <w:r>
        <w:rPr>
          <w:sz w:val="20"/>
          <w:szCs w:val="20"/>
          <w:lang w:val="es"/>
        </w:rPr>
        <w:t>Según los peticionarios, la presunta víctima era miembro de la Armada Nacional asignado a la base militar ubicada en el municipio de Iscuandé, departamento de Nariño.</w:t>
      </w:r>
      <w:r w:rsidR="001D5C9F">
        <w:rPr>
          <w:sz w:val="20"/>
          <w:szCs w:val="20"/>
          <w:lang w:val="es"/>
        </w:rPr>
        <w:t xml:space="preserve"> </w:t>
      </w:r>
      <w:r>
        <w:rPr>
          <w:sz w:val="20"/>
          <w:szCs w:val="20"/>
          <w:lang w:val="es"/>
        </w:rPr>
        <w:t>Señalan que en la madrugada del 1 de febrero de 2005 (entre las 3 a. m. y 6 a. m.), miembros de las Fuerzas Armadas Revolucionarias de Colombia (“FARC”) atacaron la base militar (mediante el uso de explosivos y otras armas), lo que dejó el saldo de 15 soldados muertos, entre ellos la presunta víctima.</w:t>
      </w:r>
      <w:r w:rsidR="001D5C9F">
        <w:rPr>
          <w:sz w:val="20"/>
          <w:szCs w:val="20"/>
          <w:lang w:val="es"/>
        </w:rPr>
        <w:t xml:space="preserve"> </w:t>
      </w:r>
      <w:r>
        <w:rPr>
          <w:sz w:val="20"/>
          <w:szCs w:val="20"/>
          <w:lang w:val="es"/>
        </w:rPr>
        <w:t>Según los artículos de prensa citados en la petición</w:t>
      </w:r>
      <w:r>
        <w:rPr>
          <w:sz w:val="20"/>
          <w:szCs w:val="20"/>
          <w:vertAlign w:val="superscript"/>
          <w:lang w:val="es"/>
        </w:rPr>
        <w:footnoteReference w:id="3"/>
      </w:r>
      <w:r>
        <w:rPr>
          <w:sz w:val="20"/>
          <w:szCs w:val="20"/>
          <w:lang w:val="es"/>
        </w:rPr>
        <w:t xml:space="preserve">, el gobierno y la Armada reconocieron su responsabilidad por la masacre al indicar que hubo varios errores en la </w:t>
      </w:r>
      <w:r>
        <w:rPr>
          <w:sz w:val="20"/>
          <w:szCs w:val="20"/>
          <w:lang w:val="es"/>
        </w:rPr>
        <w:lastRenderedPageBreak/>
        <w:t>supervisión, el control y la vigilancia y una falta de medidas de seguridad adecuadas para evitar o repeler el ataque.</w:t>
      </w:r>
      <w:r w:rsidR="001D5C9F">
        <w:rPr>
          <w:sz w:val="20"/>
          <w:szCs w:val="20"/>
          <w:lang w:val="es"/>
        </w:rPr>
        <w:t xml:space="preserve"> </w:t>
      </w:r>
      <w:r>
        <w:rPr>
          <w:sz w:val="20"/>
          <w:szCs w:val="20"/>
          <w:lang w:val="es"/>
        </w:rPr>
        <w:t>Los peticionarios también mencionan que el gobierno reconoció que la base militar había sido infiltrada por guerrilleros de las FARC.</w:t>
      </w:r>
      <w:r w:rsidR="001D5C9F">
        <w:rPr>
          <w:sz w:val="20"/>
          <w:szCs w:val="20"/>
          <w:lang w:val="es"/>
        </w:rPr>
        <w:t xml:space="preserve"> </w:t>
      </w:r>
      <w:r>
        <w:rPr>
          <w:sz w:val="20"/>
          <w:szCs w:val="20"/>
          <w:lang w:val="es"/>
        </w:rPr>
        <w:t xml:space="preserve">A este respecto, alegan que algunos individuos fueron detenidos en relación con la masacre, principalmente Raúl Obando </w:t>
      </w:r>
      <w:proofErr w:type="spellStart"/>
      <w:r>
        <w:rPr>
          <w:sz w:val="20"/>
          <w:szCs w:val="20"/>
          <w:lang w:val="es"/>
        </w:rPr>
        <w:t>Obando</w:t>
      </w:r>
      <w:proofErr w:type="spellEnd"/>
      <w:r>
        <w:rPr>
          <w:sz w:val="20"/>
          <w:szCs w:val="20"/>
          <w:lang w:val="es"/>
        </w:rPr>
        <w:t xml:space="preserve"> (“Obando”) e Ignacio Garcés Grueso (“Grueso”), quienes habían filtrado a las FARC información sobre la base militar, por ejemplo, sobre el movimiento de los soldados y el cambio de guardia, entre otros detalles. No obstante, agregan que la investigación no fue lo suficientemente efectiva o diligente para lograr identificar y procesar a todos los responsables de la masacre.</w:t>
      </w:r>
    </w:p>
    <w:p w14:paraId="382D3B08" w14:textId="4B0DE9EC" w:rsidR="005268FB" w:rsidRPr="005268FB" w:rsidRDefault="005268FB" w:rsidP="0018183B">
      <w:pPr>
        <w:pStyle w:val="Body"/>
        <w:numPr>
          <w:ilvl w:val="0"/>
          <w:numId w:val="56"/>
        </w:numPr>
        <w:suppressAutoHyphens/>
        <w:spacing w:before="240" w:after="240"/>
        <w:ind w:left="0" w:firstLine="720"/>
        <w:jc w:val="both"/>
        <w:rPr>
          <w:rFonts w:ascii="Cambria" w:eastAsia="Cambria" w:hAnsi="Cambria" w:cs="Cambria"/>
          <w:sz w:val="20"/>
          <w:szCs w:val="20"/>
          <w:lang w:val="es-ES"/>
        </w:rPr>
      </w:pPr>
      <w:r>
        <w:rPr>
          <w:rFonts w:ascii="Cambria" w:eastAsia="Cambria" w:hAnsi="Cambria" w:cs="Cambria"/>
          <w:sz w:val="20"/>
          <w:szCs w:val="20"/>
          <w:lang w:val="es"/>
        </w:rPr>
        <w:t>Los peticionarios señalan que se presentaron tres procesos internos diferentes en relación con la muerte de la presunta víctima: a) un proceso penal militar, b) un proceso penal ordinario y c) una demanda de reparación.</w:t>
      </w:r>
      <w:r w:rsidR="001D5C9F">
        <w:rPr>
          <w:rFonts w:ascii="Cambria" w:eastAsia="Cambria" w:hAnsi="Cambria" w:cs="Cambria"/>
          <w:sz w:val="20"/>
          <w:szCs w:val="20"/>
          <w:lang w:val="es"/>
        </w:rPr>
        <w:t xml:space="preserve"> </w:t>
      </w:r>
      <w:r>
        <w:rPr>
          <w:rFonts w:ascii="Cambria" w:eastAsia="Cambria" w:hAnsi="Cambria" w:cs="Cambria"/>
          <w:sz w:val="20"/>
          <w:szCs w:val="20"/>
          <w:lang w:val="es"/>
        </w:rPr>
        <w:t>Según el expediente, en marzo de 2005, las fuerzas armadas habrían puesto en prisión preventiva a Obando y Grueso, al igual que otros individuos, como sospechosos de la comisión de ciertos delitos, como los de cobardía por omisión, comercio con el enemigo y uso ilícito de uniformes e insignias.</w:t>
      </w:r>
      <w:r w:rsidR="001D5C9F">
        <w:rPr>
          <w:rFonts w:ascii="Cambria" w:eastAsia="Cambria" w:hAnsi="Cambria" w:cs="Cambria"/>
          <w:sz w:val="20"/>
          <w:szCs w:val="20"/>
          <w:lang w:val="es"/>
        </w:rPr>
        <w:t xml:space="preserve"> </w:t>
      </w:r>
      <w:r>
        <w:rPr>
          <w:rFonts w:ascii="Cambria" w:eastAsia="Cambria" w:hAnsi="Cambria" w:cs="Cambria"/>
          <w:sz w:val="20"/>
          <w:szCs w:val="20"/>
          <w:lang w:val="es"/>
        </w:rPr>
        <w:t>Indican que las diligencias en la jurisdicción militar concluyeron sin ninguna condena y que, en su lugar, las autoridades militares remitieron las actuaciones penales a la Fiscalía General de la Nación.</w:t>
      </w:r>
      <w:r w:rsidR="001D5C9F">
        <w:rPr>
          <w:rFonts w:ascii="Cambria" w:eastAsia="Cambria" w:hAnsi="Cambria" w:cs="Cambria"/>
          <w:sz w:val="20"/>
          <w:szCs w:val="20"/>
          <w:lang w:val="es"/>
        </w:rPr>
        <w:t xml:space="preserve"> </w:t>
      </w:r>
      <w:r>
        <w:rPr>
          <w:rFonts w:ascii="Cambria" w:eastAsia="Cambria" w:hAnsi="Cambria" w:cs="Cambria"/>
          <w:sz w:val="20"/>
          <w:szCs w:val="20"/>
          <w:lang w:val="es"/>
        </w:rPr>
        <w:t>En 2006 o alrededor de ese año, Obando y Grueso, entre otros individuos, fueron procesados ante el Juzgado Segundo Penal del Circuito del Municipio de San Juan de Pasto por múltiples cargos de homicidio agravado, tentativa de homicidio, terrorismo y rebelión. Obando y Grueso fueron condenados por estos delitos, mientras que sus coimputados resultaron absueltos.</w:t>
      </w:r>
      <w:r w:rsidR="001D5C9F">
        <w:rPr>
          <w:rFonts w:ascii="Cambria" w:eastAsia="Cambria" w:hAnsi="Cambria" w:cs="Cambria"/>
          <w:sz w:val="20"/>
          <w:szCs w:val="20"/>
          <w:lang w:val="es"/>
        </w:rPr>
        <w:t xml:space="preserve"> </w:t>
      </w:r>
      <w:r>
        <w:rPr>
          <w:rFonts w:ascii="Cambria" w:eastAsia="Cambria" w:hAnsi="Cambria" w:cs="Cambria"/>
          <w:sz w:val="20"/>
          <w:szCs w:val="20"/>
          <w:lang w:val="es"/>
        </w:rPr>
        <w:t>Sin embargo, el 24 de junio de 2009, también Obando y Grueso fueron absueltos tras una apelación ante el Tribunal Superior del Distrito Judicial-Sala de Decisión Penal.</w:t>
      </w:r>
      <w:r w:rsidR="001D5C9F">
        <w:rPr>
          <w:rFonts w:ascii="Cambria" w:eastAsia="Cambria" w:hAnsi="Cambria" w:cs="Cambria"/>
          <w:sz w:val="20"/>
          <w:szCs w:val="20"/>
          <w:lang w:val="es"/>
        </w:rPr>
        <w:t xml:space="preserve"> </w:t>
      </w:r>
      <w:r>
        <w:rPr>
          <w:rFonts w:ascii="Cambria" w:eastAsia="Cambria" w:hAnsi="Cambria" w:cs="Cambria"/>
          <w:sz w:val="20"/>
          <w:szCs w:val="20"/>
          <w:lang w:val="es"/>
        </w:rPr>
        <w:t>En la petición se indica que no se realizaron otras diligencias contra los coimputados de Obando y Grueso.</w:t>
      </w:r>
    </w:p>
    <w:p w14:paraId="3A3E73CE" w14:textId="26AF5303" w:rsidR="005268FB" w:rsidRPr="005268FB" w:rsidRDefault="005268FB" w:rsidP="0018183B">
      <w:pPr>
        <w:pStyle w:val="Body"/>
        <w:numPr>
          <w:ilvl w:val="0"/>
          <w:numId w:val="56"/>
        </w:numPr>
        <w:suppressAutoHyphens/>
        <w:spacing w:after="240"/>
        <w:ind w:left="0" w:firstLine="720"/>
        <w:jc w:val="both"/>
        <w:rPr>
          <w:rFonts w:ascii="Cambria" w:eastAsia="Cambria" w:hAnsi="Cambria" w:cs="Cambria"/>
          <w:sz w:val="20"/>
          <w:szCs w:val="20"/>
          <w:lang w:val="es-ES"/>
        </w:rPr>
      </w:pPr>
      <w:r>
        <w:rPr>
          <w:rFonts w:ascii="Cambria" w:eastAsia="Cambria" w:hAnsi="Cambria" w:cs="Cambria"/>
          <w:sz w:val="20"/>
          <w:szCs w:val="20"/>
          <w:lang w:val="es"/>
        </w:rPr>
        <w:t>El 31 de enero de 2007 los familiares de la presunta víctima instauraron una demanda de reparación (contra el Ministerio de Defensa/la Armada Nacional) ante el Juzgado Quinto Administrativo de Pasto, departamento de Nariño.</w:t>
      </w:r>
      <w:r w:rsidR="001D5C9F">
        <w:rPr>
          <w:rFonts w:ascii="Cambria" w:eastAsia="Cambria" w:hAnsi="Cambria" w:cs="Cambria"/>
          <w:sz w:val="20"/>
          <w:szCs w:val="20"/>
          <w:lang w:val="es"/>
        </w:rPr>
        <w:t xml:space="preserve"> </w:t>
      </w:r>
      <w:r>
        <w:rPr>
          <w:rFonts w:ascii="Cambria" w:eastAsia="Cambria" w:hAnsi="Cambria" w:cs="Cambria"/>
          <w:sz w:val="20"/>
          <w:szCs w:val="20"/>
          <w:lang w:val="es"/>
        </w:rPr>
        <w:t>Los peticionarios alegan que en febrero de 2007 el Juzgado resolvió que la demanda era inadmisible por no cumplir con determinados requisitos de forma</w:t>
      </w:r>
      <w:r>
        <w:rPr>
          <w:rStyle w:val="FootnoteReference"/>
          <w:rFonts w:ascii="Cambria" w:eastAsia="Cambria" w:hAnsi="Cambria" w:cs="Cambria"/>
          <w:sz w:val="20"/>
          <w:szCs w:val="20"/>
          <w:lang w:val="es"/>
        </w:rPr>
        <w:footnoteReference w:id="4"/>
      </w:r>
      <w:r>
        <w:rPr>
          <w:rFonts w:ascii="Cambria" w:eastAsia="Cambria" w:hAnsi="Cambria" w:cs="Cambria"/>
          <w:sz w:val="20"/>
          <w:szCs w:val="20"/>
          <w:lang w:val="es"/>
        </w:rPr>
        <w:t>.</w:t>
      </w:r>
      <w:r>
        <w:rPr>
          <w:rFonts w:ascii="Cambria" w:eastAsia="Cambria" w:hAnsi="Cambria" w:cs="Cambria"/>
          <w:lang w:val="es"/>
        </w:rPr>
        <w:t xml:space="preserve"> </w:t>
      </w:r>
      <w:r w:rsidR="00DB3534">
        <w:rPr>
          <w:rFonts w:ascii="Cambria" w:eastAsia="Cambria" w:hAnsi="Cambria" w:cs="Cambria"/>
          <w:sz w:val="20"/>
          <w:szCs w:val="20"/>
          <w:lang w:val="es"/>
        </w:rPr>
        <w:t>Los peticionarios insisten</w:t>
      </w:r>
      <w:r>
        <w:rPr>
          <w:rFonts w:ascii="Cambria" w:eastAsia="Cambria" w:hAnsi="Cambria" w:cs="Cambria"/>
          <w:sz w:val="20"/>
          <w:szCs w:val="20"/>
          <w:lang w:val="es"/>
        </w:rPr>
        <w:t xml:space="preserve"> en que la situación que causó la muerte de la presunta víctima se debió a la negligencia del Estado por a) la vulnerabilidad de la base militar frente al ataque y b) la falta de medidas de seguridad adecuadas para evitar el ataque, sumado a errores de supervisión, control y vigilancia. Basándose en los artículos de prensa que citan, los peticionarios también resaltan que las autoridades estatales reconocieron explícitamente que no adoptaron las medidas necesarias para evitar el ataque.</w:t>
      </w:r>
      <w:r w:rsidR="001D5C9F">
        <w:rPr>
          <w:rFonts w:ascii="Cambria" w:eastAsia="Cambria" w:hAnsi="Cambria" w:cs="Cambria"/>
          <w:sz w:val="20"/>
          <w:szCs w:val="20"/>
          <w:lang w:val="es"/>
        </w:rPr>
        <w:t xml:space="preserve"> </w:t>
      </w:r>
      <w:r>
        <w:rPr>
          <w:rFonts w:ascii="Cambria" w:eastAsia="Cambria" w:hAnsi="Cambria" w:cs="Cambria"/>
          <w:sz w:val="20"/>
          <w:szCs w:val="20"/>
          <w:lang w:val="es"/>
        </w:rPr>
        <w:t>Asimismo, aducen que el rechazo de la demanda de reparación se debió a que el Estado atribuyó más importancia a las formalidades que al contenido de esta.</w:t>
      </w:r>
    </w:p>
    <w:p w14:paraId="08ED6DC5" w14:textId="48040D3E" w:rsidR="005268FB" w:rsidRPr="005268FB" w:rsidRDefault="005268FB" w:rsidP="0018183B">
      <w:pPr>
        <w:pStyle w:val="Body"/>
        <w:numPr>
          <w:ilvl w:val="0"/>
          <w:numId w:val="56"/>
        </w:numPr>
        <w:suppressAutoHyphens/>
        <w:spacing w:after="240"/>
        <w:ind w:left="0" w:firstLine="720"/>
        <w:jc w:val="both"/>
        <w:rPr>
          <w:rFonts w:ascii="Cambria" w:eastAsia="Cambria" w:hAnsi="Cambria" w:cs="Cambria"/>
          <w:sz w:val="20"/>
          <w:szCs w:val="20"/>
          <w:lang w:val="es-ES"/>
        </w:rPr>
      </w:pPr>
      <w:r>
        <w:rPr>
          <w:rFonts w:ascii="Cambria" w:eastAsia="Cambria" w:hAnsi="Cambria" w:cs="Cambria"/>
          <w:sz w:val="20"/>
          <w:szCs w:val="20"/>
          <w:lang w:val="es"/>
        </w:rPr>
        <w:t>El Estado rechaza la presente petición como inadmisible fundamentalmente con base a que este ha adoptado todas las medidas adecuadas para garantizar el acceso a la justicia para los peticionarios. Señala que la disconformidad de estos con respecto al resultado de los procesos internos no justifica su solicitud de intervención a la CIDH.</w:t>
      </w:r>
      <w:r w:rsidR="001D5C9F">
        <w:rPr>
          <w:rFonts w:ascii="Cambria" w:eastAsia="Cambria" w:hAnsi="Cambria" w:cs="Cambria"/>
          <w:sz w:val="20"/>
          <w:szCs w:val="20"/>
          <w:lang w:val="es"/>
        </w:rPr>
        <w:t xml:space="preserve"> </w:t>
      </w:r>
      <w:r>
        <w:rPr>
          <w:rFonts w:ascii="Cambria" w:eastAsia="Cambria" w:hAnsi="Cambria" w:cs="Cambria"/>
          <w:sz w:val="20"/>
          <w:szCs w:val="20"/>
          <w:lang w:val="es"/>
        </w:rPr>
        <w:t xml:space="preserve">Para el Estado, la petición resulta manifiestamente infundada. Afirma que se iniciaron tanto un proceso ante la justicia militar como uno en la vía ordinaria e indica que, a raíz de la absolución de Obando y Grueso por parte del Tribunal Superior del Distrito Judicial-Sala de Decisión Penal, la fiscalía apeló ante la Corte Suprema de Justicia, la que finalmente restituyó la condena de Obando </w:t>
      </w:r>
      <w:proofErr w:type="spellStart"/>
      <w:r>
        <w:rPr>
          <w:rFonts w:ascii="Cambria" w:eastAsia="Cambria" w:hAnsi="Cambria" w:cs="Cambria"/>
          <w:sz w:val="20"/>
          <w:szCs w:val="20"/>
          <w:lang w:val="es"/>
        </w:rPr>
        <w:t>Obando</w:t>
      </w:r>
      <w:proofErr w:type="spellEnd"/>
      <w:r>
        <w:rPr>
          <w:rFonts w:ascii="Cambria" w:eastAsia="Cambria" w:hAnsi="Cambria" w:cs="Cambria"/>
          <w:sz w:val="20"/>
          <w:szCs w:val="20"/>
          <w:lang w:val="es"/>
        </w:rPr>
        <w:t xml:space="preserve"> y Grueso</w:t>
      </w:r>
      <w:r>
        <w:rPr>
          <w:rStyle w:val="FootnoteReference"/>
          <w:rFonts w:ascii="Cambria" w:eastAsia="Cambria" w:hAnsi="Cambria" w:cs="Cambria"/>
          <w:sz w:val="20"/>
          <w:szCs w:val="20"/>
          <w:lang w:val="es"/>
        </w:rPr>
        <w:footnoteReference w:id="5"/>
      </w:r>
      <w:r>
        <w:rPr>
          <w:rFonts w:ascii="Cambria" w:eastAsia="Cambria" w:hAnsi="Cambria" w:cs="Cambria"/>
          <w:sz w:val="20"/>
          <w:szCs w:val="20"/>
          <w:lang w:val="es"/>
        </w:rPr>
        <w:t>. En cuanto a la demanda de reparación, el Estado señala que la legislación colombiana requiere que todos los demandantes/accionantes firmen la documentación del litigio.</w:t>
      </w:r>
      <w:r w:rsidR="001D5C9F">
        <w:rPr>
          <w:rFonts w:ascii="Cambria" w:eastAsia="Cambria" w:hAnsi="Cambria" w:cs="Cambria"/>
          <w:sz w:val="20"/>
          <w:szCs w:val="20"/>
          <w:lang w:val="es"/>
        </w:rPr>
        <w:t xml:space="preserve"> </w:t>
      </w:r>
      <w:r>
        <w:rPr>
          <w:rFonts w:ascii="Cambria" w:eastAsia="Cambria" w:hAnsi="Cambria" w:cs="Cambria"/>
          <w:sz w:val="20"/>
          <w:szCs w:val="20"/>
          <w:lang w:val="es"/>
        </w:rPr>
        <w:t xml:space="preserve">A este respecto, el Estado indica que el Juzgado otorgó a los peticionarios el plazo de cinco días para enmendar la documentación (es decir, incluir la firma de </w:t>
      </w:r>
      <w:proofErr w:type="spellStart"/>
      <w:r>
        <w:rPr>
          <w:rFonts w:ascii="Cambria" w:eastAsia="Cambria" w:hAnsi="Cambria" w:cs="Cambria"/>
          <w:sz w:val="20"/>
          <w:szCs w:val="20"/>
          <w:lang w:val="es"/>
        </w:rPr>
        <w:t>Biderman</w:t>
      </w:r>
      <w:proofErr w:type="spellEnd"/>
      <w:r>
        <w:rPr>
          <w:rFonts w:ascii="Cambria" w:eastAsia="Cambria" w:hAnsi="Cambria" w:cs="Cambria"/>
          <w:sz w:val="20"/>
          <w:szCs w:val="20"/>
          <w:lang w:val="es"/>
        </w:rPr>
        <w:t xml:space="preserve"> Rojo Carmona) y que, no obstante, estos nunca hicieron esa corrección.</w:t>
      </w:r>
      <w:r w:rsidR="001D5C9F">
        <w:rPr>
          <w:rFonts w:ascii="Cambria" w:eastAsia="Cambria" w:hAnsi="Cambria" w:cs="Cambria"/>
          <w:sz w:val="20"/>
          <w:szCs w:val="20"/>
          <w:lang w:val="es"/>
        </w:rPr>
        <w:t xml:space="preserve"> </w:t>
      </w:r>
      <w:r>
        <w:rPr>
          <w:rFonts w:ascii="Cambria" w:eastAsia="Cambria" w:hAnsi="Cambria" w:cs="Cambria"/>
          <w:sz w:val="20"/>
          <w:szCs w:val="20"/>
          <w:lang w:val="es"/>
        </w:rPr>
        <w:t>Dice que, en consecuencia, la demanda no solo fue declarada inadmisible sino rechazada de plano.</w:t>
      </w:r>
      <w:r w:rsidR="001D5C9F">
        <w:rPr>
          <w:rFonts w:ascii="Cambria" w:eastAsia="Cambria" w:hAnsi="Cambria" w:cs="Cambria"/>
          <w:sz w:val="20"/>
          <w:szCs w:val="20"/>
          <w:lang w:val="es"/>
        </w:rPr>
        <w:t xml:space="preserve"> </w:t>
      </w:r>
      <w:r>
        <w:rPr>
          <w:rFonts w:ascii="Cambria" w:eastAsia="Cambria" w:hAnsi="Cambria" w:cs="Cambria"/>
          <w:sz w:val="20"/>
          <w:szCs w:val="20"/>
          <w:lang w:val="es"/>
        </w:rPr>
        <w:t>Argumenta que, por estas razones, los peticionarios no agotaron este recurso interno.</w:t>
      </w:r>
      <w:r w:rsidR="001D5C9F">
        <w:rPr>
          <w:rFonts w:ascii="Cambria" w:eastAsia="Cambria" w:hAnsi="Cambria" w:cs="Cambria"/>
          <w:sz w:val="20"/>
          <w:szCs w:val="20"/>
          <w:lang w:val="es"/>
        </w:rPr>
        <w:t xml:space="preserve"> </w:t>
      </w:r>
      <w:r>
        <w:rPr>
          <w:rFonts w:ascii="Cambria" w:eastAsia="Cambria" w:hAnsi="Cambria" w:cs="Cambria"/>
          <w:sz w:val="20"/>
          <w:szCs w:val="20"/>
          <w:lang w:val="es"/>
        </w:rPr>
        <w:t>El Estado asimismo niega que los artículos de prensa citados por los peticionarios permitan concluir que el Estado haya asumido la responsabilidad por la muerte de la presunta víctima o las circunstancias que derivaron en su muerte.</w:t>
      </w:r>
    </w:p>
    <w:p w14:paraId="42AE0B59" w14:textId="77777777" w:rsidR="002A23C3" w:rsidRDefault="002A23C3">
      <w:pPr>
        <w:rPr>
          <w:rFonts w:ascii="Cambria" w:eastAsia="Cambria" w:hAnsi="Cambria" w:cs="Cambria"/>
          <w:b/>
          <w:bCs/>
          <w:color w:val="000000"/>
          <w:sz w:val="20"/>
          <w:szCs w:val="20"/>
          <w:u w:color="000000"/>
          <w:lang w:val="es"/>
        </w:rPr>
      </w:pPr>
      <w:r>
        <w:rPr>
          <w:rFonts w:ascii="Cambria" w:eastAsia="Cambria" w:hAnsi="Cambria" w:cs="Cambria"/>
          <w:b/>
          <w:bCs/>
          <w:sz w:val="20"/>
          <w:szCs w:val="20"/>
          <w:lang w:val="es"/>
        </w:rPr>
        <w:br w:type="page"/>
      </w:r>
    </w:p>
    <w:p w14:paraId="1798E06E" w14:textId="159650FF" w:rsidR="005268FB" w:rsidRPr="005268FB" w:rsidRDefault="005268FB" w:rsidP="005268FB">
      <w:pPr>
        <w:pStyle w:val="Body"/>
        <w:spacing w:before="240" w:after="240"/>
        <w:ind w:firstLine="720"/>
        <w:jc w:val="both"/>
        <w:rPr>
          <w:rFonts w:ascii="Cambria" w:eastAsia="Cambria" w:hAnsi="Cambria" w:cs="Cambria"/>
          <w:sz w:val="20"/>
          <w:szCs w:val="20"/>
          <w:lang w:val="es-ES"/>
        </w:rPr>
      </w:pPr>
      <w:r>
        <w:rPr>
          <w:rFonts w:ascii="Cambria" w:eastAsia="Cambria" w:hAnsi="Cambria" w:cs="Cambria"/>
          <w:b/>
          <w:bCs/>
          <w:sz w:val="20"/>
          <w:szCs w:val="20"/>
          <w:lang w:val="es"/>
        </w:rPr>
        <w:lastRenderedPageBreak/>
        <w:t>VI.</w:t>
      </w:r>
      <w:r>
        <w:rPr>
          <w:rFonts w:ascii="Cambria" w:eastAsia="Cambria" w:hAnsi="Cambria" w:cs="Cambria"/>
          <w:b/>
          <w:bCs/>
          <w:sz w:val="20"/>
          <w:szCs w:val="20"/>
          <w:lang w:val="es"/>
        </w:rPr>
        <w:tab/>
        <w:t>AGOTAMIENTO DE LOS RECURSOS INTERNOS Y PLAZO DE PRESENTACIÓN</w:t>
      </w:r>
    </w:p>
    <w:p w14:paraId="5EE6A8D6" w14:textId="77E045BF" w:rsidR="005268FB" w:rsidRPr="005268FB" w:rsidRDefault="005268FB" w:rsidP="0018183B">
      <w:pPr>
        <w:pStyle w:val="Body"/>
        <w:numPr>
          <w:ilvl w:val="0"/>
          <w:numId w:val="56"/>
        </w:numPr>
        <w:suppressAutoHyphens/>
        <w:spacing w:after="240"/>
        <w:ind w:left="0" w:firstLine="720"/>
        <w:jc w:val="both"/>
        <w:rPr>
          <w:rFonts w:ascii="Cambria" w:eastAsia="Cambria" w:hAnsi="Cambria" w:cs="Cambria"/>
          <w:sz w:val="20"/>
          <w:szCs w:val="20"/>
          <w:lang w:val="es-ES"/>
        </w:rPr>
      </w:pPr>
      <w:r>
        <w:rPr>
          <w:rFonts w:ascii="Cambria" w:eastAsia="Cambria" w:hAnsi="Cambria" w:cs="Cambria"/>
          <w:sz w:val="20"/>
          <w:szCs w:val="20"/>
          <w:lang w:val="es"/>
        </w:rPr>
        <w:t>La Comisión nota que, tras la muerte de la presunta víctima, se presentaron tres procesos internos distintos (un proceso penal militar, un proceso penal ordinario y una demanda de reparación).</w:t>
      </w:r>
      <w:r w:rsidR="001D5C9F">
        <w:rPr>
          <w:rFonts w:ascii="Cambria" w:eastAsia="Cambria" w:hAnsi="Cambria" w:cs="Cambria"/>
          <w:sz w:val="20"/>
          <w:szCs w:val="20"/>
          <w:lang w:val="es"/>
        </w:rPr>
        <w:t xml:space="preserve"> </w:t>
      </w:r>
      <w:r>
        <w:rPr>
          <w:rFonts w:ascii="Cambria" w:eastAsia="Cambria" w:hAnsi="Cambria" w:cs="Cambria"/>
          <w:sz w:val="20"/>
          <w:szCs w:val="20"/>
          <w:lang w:val="es"/>
        </w:rPr>
        <w:t>La Comisión ha establecido anteriormente que en situaciones en las que se alegan violaciones contra el derecho a la vida, los recursos internos que deben tenerse en cuenta a los efectos de la admisibilidad de la petición son los relacionados con la investigación penal y la sanción de los responsables, que en legislación interna se traducen en delitos perseguibles de oficio.</w:t>
      </w:r>
      <w:r w:rsidR="001D5C9F">
        <w:rPr>
          <w:rFonts w:ascii="Cambria" w:eastAsia="Cambria" w:hAnsi="Cambria" w:cs="Cambria"/>
          <w:sz w:val="20"/>
          <w:szCs w:val="20"/>
          <w:lang w:val="es"/>
        </w:rPr>
        <w:t xml:space="preserve"> </w:t>
      </w:r>
      <w:r>
        <w:rPr>
          <w:rFonts w:ascii="Cambria" w:eastAsia="Cambria" w:hAnsi="Cambria" w:cs="Cambria"/>
          <w:sz w:val="20"/>
          <w:szCs w:val="20"/>
          <w:lang w:val="es"/>
        </w:rPr>
        <w:t>Además, la jurisdicción militar no constituye una vía adecuada y, por lo tanto, no es un recurso idóneo para investigar, procesar y sancionar las presuntas violaciones de los derechos humanos consagrados en la Convención Americana.</w:t>
      </w:r>
    </w:p>
    <w:p w14:paraId="51E80184" w14:textId="71E0B1B6" w:rsidR="005268FB" w:rsidRPr="005268FB" w:rsidRDefault="005268FB" w:rsidP="0018183B">
      <w:pPr>
        <w:pStyle w:val="Body"/>
        <w:numPr>
          <w:ilvl w:val="0"/>
          <w:numId w:val="56"/>
        </w:numPr>
        <w:suppressAutoHyphens/>
        <w:spacing w:after="240"/>
        <w:ind w:left="0" w:firstLine="720"/>
        <w:jc w:val="both"/>
        <w:rPr>
          <w:rFonts w:ascii="Cambria" w:eastAsia="Cambria" w:hAnsi="Cambria" w:cs="Cambria"/>
          <w:sz w:val="20"/>
          <w:szCs w:val="20"/>
          <w:highlight w:val="yellow"/>
          <w:lang w:val="es-ES"/>
        </w:rPr>
      </w:pPr>
      <w:r>
        <w:rPr>
          <w:rFonts w:ascii="Cambria" w:eastAsia="Cambria" w:hAnsi="Cambria" w:cs="Cambria"/>
          <w:sz w:val="20"/>
          <w:szCs w:val="20"/>
          <w:lang w:val="es"/>
        </w:rPr>
        <w:t>En este caso, el Estado confirma que finalmente, en 2010, dos personas (Obando y Grueso) fueron procesadas y condenadas mediante un juicio penal ordinario por la comisión de delitos vinculados al ataque que ocasionó la muerte de la presunta víctima, entre otros.</w:t>
      </w:r>
      <w:r w:rsidR="001D5C9F">
        <w:rPr>
          <w:rFonts w:ascii="Cambria" w:eastAsia="Cambria" w:hAnsi="Cambria" w:cs="Cambria"/>
          <w:sz w:val="20"/>
          <w:szCs w:val="20"/>
          <w:lang w:val="es"/>
        </w:rPr>
        <w:t xml:space="preserve"> </w:t>
      </w:r>
      <w:r>
        <w:rPr>
          <w:rFonts w:ascii="Cambria" w:eastAsia="Cambria" w:hAnsi="Cambria" w:cs="Cambria"/>
          <w:sz w:val="20"/>
          <w:szCs w:val="20"/>
          <w:lang w:val="es"/>
        </w:rPr>
        <w:t>Anteriormente, el 24 de junio de 2009, estas personas habían sido absueltas de estos cargos, por lo que se presentó esta petición el 2 de noviembre de 2009. Así, la CIDH considera que esta fue presentada dentro del plazo establecido.</w:t>
      </w:r>
    </w:p>
    <w:p w14:paraId="4C8F14BF" w14:textId="540E80BD" w:rsidR="005268FB" w:rsidRPr="005268FB" w:rsidRDefault="005268FB" w:rsidP="0018183B">
      <w:pPr>
        <w:pStyle w:val="Body"/>
        <w:numPr>
          <w:ilvl w:val="0"/>
          <w:numId w:val="56"/>
        </w:numPr>
        <w:suppressAutoHyphens/>
        <w:spacing w:after="240"/>
        <w:ind w:left="0" w:firstLine="720"/>
        <w:jc w:val="both"/>
        <w:rPr>
          <w:rFonts w:ascii="Cambria" w:eastAsia="Cambria" w:hAnsi="Cambria" w:cs="Cambria"/>
          <w:sz w:val="20"/>
          <w:szCs w:val="20"/>
          <w:lang w:val="es-ES"/>
        </w:rPr>
      </w:pPr>
      <w:r>
        <w:rPr>
          <w:rFonts w:ascii="Cambria" w:eastAsia="Cambria" w:hAnsi="Cambria" w:cs="Cambria"/>
          <w:sz w:val="20"/>
          <w:szCs w:val="20"/>
          <w:lang w:val="es"/>
        </w:rPr>
        <w:t>En lo que respecta a la demanda de reparación, la Comisión nota que la demanda de reparación interpuesta por los peticionarios fue rechazada fundamentalmente por no cumplir con determinados requisitos de forma (la falta de la firma de uno de los demandantes). No obstante, la Comisión recuerda que</w:t>
      </w:r>
      <w:r w:rsidR="001D5C9F">
        <w:rPr>
          <w:rFonts w:ascii="Cambria" w:eastAsia="Cambria" w:hAnsi="Cambria" w:cs="Cambria"/>
          <w:sz w:val="20"/>
          <w:szCs w:val="20"/>
          <w:lang w:val="es"/>
        </w:rPr>
        <w:t>,</w:t>
      </w:r>
      <w:r>
        <w:rPr>
          <w:rFonts w:ascii="Cambria" w:eastAsia="Cambria" w:hAnsi="Cambria" w:cs="Cambria"/>
          <w:sz w:val="20"/>
          <w:szCs w:val="20"/>
          <w:lang w:val="es"/>
        </w:rPr>
        <w:t xml:space="preserve"> a los fines de analizar la admisibilidad de una petición como la presente, los procesos de reparación no constituyen un recurso idóneo ni necesitan ser agotados, ya que no proporcionan medidas de reparación integral y justicia para los familiares.</w:t>
      </w:r>
    </w:p>
    <w:p w14:paraId="281BBD87" w14:textId="031BDD2B" w:rsidR="005268FB" w:rsidRPr="005268FB" w:rsidRDefault="005268FB" w:rsidP="005268FB">
      <w:pPr>
        <w:pStyle w:val="ListParagraph"/>
        <w:spacing w:before="240" w:after="240"/>
        <w:ind w:left="0" w:firstLine="720"/>
        <w:jc w:val="both"/>
        <w:rPr>
          <w:b/>
          <w:bCs/>
          <w:sz w:val="20"/>
          <w:szCs w:val="20"/>
          <w:lang w:val="es-ES"/>
        </w:rPr>
      </w:pPr>
      <w:r>
        <w:rPr>
          <w:b/>
          <w:bCs/>
          <w:sz w:val="20"/>
          <w:szCs w:val="20"/>
          <w:lang w:val="es"/>
        </w:rPr>
        <w:t>VII.</w:t>
      </w:r>
      <w:r>
        <w:rPr>
          <w:b/>
          <w:bCs/>
          <w:sz w:val="20"/>
          <w:szCs w:val="20"/>
          <w:lang w:val="es"/>
        </w:rPr>
        <w:tab/>
        <w:t>CARACTERIZACIÓN</w:t>
      </w:r>
    </w:p>
    <w:p w14:paraId="4B42AB39" w14:textId="77B73425" w:rsidR="005268FB" w:rsidRPr="005268FB" w:rsidRDefault="005268FB" w:rsidP="0018183B">
      <w:pPr>
        <w:pStyle w:val="Body"/>
        <w:numPr>
          <w:ilvl w:val="0"/>
          <w:numId w:val="56"/>
        </w:numPr>
        <w:suppressAutoHyphens/>
        <w:spacing w:after="240"/>
        <w:ind w:left="0" w:firstLine="720"/>
        <w:jc w:val="both"/>
        <w:rPr>
          <w:rFonts w:ascii="Cambria" w:eastAsia="Cambria" w:hAnsi="Cambria" w:cs="Cambria"/>
          <w:sz w:val="20"/>
          <w:szCs w:val="20"/>
          <w:shd w:val="clear" w:color="auto" w:fill="00FFFF"/>
          <w:lang w:val="es-ES"/>
        </w:rPr>
      </w:pPr>
      <w:r>
        <w:rPr>
          <w:rFonts w:ascii="Cambria" w:eastAsia="Cambria" w:hAnsi="Cambria" w:cs="Cambria"/>
          <w:sz w:val="20"/>
          <w:szCs w:val="20"/>
          <w:lang w:val="es"/>
        </w:rPr>
        <w:t>Los peticionarios reclaman principalmente que el Estado no ha reparado los derechos de la presunta víctima o sus familiares mediante la investigación penal ni la indemnización.</w:t>
      </w:r>
      <w:r>
        <w:rPr>
          <w:rFonts w:ascii="Cambria" w:eastAsia="Cambria" w:hAnsi="Cambria" w:cs="Cambria"/>
          <w:lang w:val="es"/>
        </w:rPr>
        <w:t xml:space="preserve"> </w:t>
      </w:r>
      <w:r>
        <w:rPr>
          <w:rFonts w:ascii="Cambria" w:eastAsia="Cambria" w:hAnsi="Cambria" w:cs="Cambria"/>
          <w:sz w:val="20"/>
          <w:szCs w:val="20"/>
          <w:lang w:val="es"/>
        </w:rPr>
        <w:t xml:space="preserve">Como ya señaló la Comisión, la falta de una investigación penal o las demoras en el desarrollo de esta (para esclarecer los hechos, identificar a todos los posibles autores materiales e intelectuales y atribuir las sanciones penales correspondientes) puede ser, </w:t>
      </w:r>
      <w:r>
        <w:rPr>
          <w:rFonts w:ascii="Cambria" w:eastAsia="Cambria" w:hAnsi="Cambria" w:cs="Cambria"/>
          <w:i/>
          <w:iCs/>
          <w:sz w:val="20"/>
          <w:szCs w:val="20"/>
          <w:lang w:val="es"/>
        </w:rPr>
        <w:t>prima facie</w:t>
      </w:r>
      <w:r>
        <w:rPr>
          <w:rFonts w:ascii="Cambria" w:eastAsia="Cambria" w:hAnsi="Cambria" w:cs="Cambria"/>
          <w:sz w:val="20"/>
          <w:szCs w:val="20"/>
          <w:lang w:val="es"/>
        </w:rPr>
        <w:t>, causal de una violación de los derechos de la presunta víctima y sus familiares.</w:t>
      </w:r>
      <w:r w:rsidR="001D5C9F">
        <w:rPr>
          <w:rFonts w:ascii="Cambria" w:eastAsia="Cambria" w:hAnsi="Cambria" w:cs="Cambria"/>
          <w:sz w:val="20"/>
          <w:szCs w:val="20"/>
          <w:lang w:val="es"/>
        </w:rPr>
        <w:t xml:space="preserve"> </w:t>
      </w:r>
      <w:r>
        <w:rPr>
          <w:rFonts w:ascii="Cambria" w:eastAsia="Cambria" w:hAnsi="Cambria" w:cs="Cambria"/>
          <w:sz w:val="20"/>
          <w:szCs w:val="20"/>
          <w:lang w:val="es"/>
        </w:rPr>
        <w:t>En este caso, el Estado llevó a cabo una investigación penal que concluyó en la condena de dos personas (Obando y Grueso).</w:t>
      </w:r>
      <w:r w:rsidR="001D5C9F">
        <w:rPr>
          <w:rFonts w:ascii="Cambria" w:eastAsia="Cambria" w:hAnsi="Cambria" w:cs="Cambria"/>
          <w:sz w:val="20"/>
          <w:szCs w:val="20"/>
          <w:lang w:val="es"/>
        </w:rPr>
        <w:t xml:space="preserve"> </w:t>
      </w:r>
      <w:r>
        <w:rPr>
          <w:rFonts w:ascii="Cambria" w:eastAsia="Cambria" w:hAnsi="Cambria" w:cs="Cambria"/>
          <w:sz w:val="20"/>
          <w:szCs w:val="20"/>
          <w:lang w:val="es"/>
        </w:rPr>
        <w:t>Sin embargo, ante la existencia de otros identificados que finalmente no fueron procesados ni condenados, la Comisión estima que el Estado no cumplió completamente con su deber de investigar a todos los posibles responsables de los hechos alegados y que, por lo tanto, se configura una violación de los derechos de la presunta víctima o sus familiares en este aspecto.</w:t>
      </w:r>
      <w:r w:rsidR="001D5C9F">
        <w:rPr>
          <w:rFonts w:ascii="Cambria" w:eastAsia="Cambria" w:hAnsi="Cambria" w:cs="Cambria"/>
          <w:sz w:val="20"/>
          <w:szCs w:val="20"/>
          <w:lang w:val="es"/>
        </w:rPr>
        <w:t xml:space="preserve"> </w:t>
      </w:r>
      <w:r>
        <w:rPr>
          <w:rFonts w:ascii="Cambria" w:eastAsia="Cambria" w:hAnsi="Cambria" w:cs="Cambria"/>
          <w:sz w:val="20"/>
          <w:szCs w:val="20"/>
          <w:lang w:val="es"/>
        </w:rPr>
        <w:t>En vista de los elementos de hecho y de derecho expuestos por las partes y la naturaleza del asunto puesto a su consideración, la Comisión estima que los demás alegatos de los peticionarios tampoco resultan infundados y requieren un estudio de fondo. Si son corroborados, los alegatos sobre la falta de indemnización para la presunta víctima o sus familiares por el homicidio de la presunta víctima, junto con la falta de una investigación exhaustiva, podrían constituir violaciones de los artículos 4 (vida), 8 (garantías judiciales) y 25 (protección judicial) de la Convención, en relación con sus artículos 1(1) y 2, en perjuicio de la presunta víctima y sus familiares sobrevivientes.</w:t>
      </w:r>
    </w:p>
    <w:p w14:paraId="57AF98F9" w14:textId="45981EBE" w:rsidR="005268FB" w:rsidRPr="005268FB" w:rsidRDefault="005268FB" w:rsidP="0018183B">
      <w:pPr>
        <w:pStyle w:val="Body"/>
        <w:numPr>
          <w:ilvl w:val="0"/>
          <w:numId w:val="56"/>
        </w:numPr>
        <w:suppressAutoHyphens/>
        <w:spacing w:after="240"/>
        <w:ind w:left="0" w:firstLine="720"/>
        <w:jc w:val="both"/>
        <w:rPr>
          <w:rFonts w:ascii="Cambria" w:eastAsia="Cambria" w:hAnsi="Cambria" w:cs="Cambria"/>
          <w:sz w:val="20"/>
          <w:szCs w:val="20"/>
          <w:lang w:val="es-ES"/>
        </w:rPr>
      </w:pPr>
      <w:r>
        <w:rPr>
          <w:rFonts w:ascii="Cambria" w:eastAsia="Cambria" w:hAnsi="Cambria" w:cs="Cambria"/>
          <w:sz w:val="20"/>
          <w:szCs w:val="20"/>
          <w:lang w:val="es"/>
        </w:rPr>
        <w:t>Por último, el Estado argumenta que los peticionarios recurren a la Comisión como un tribunal de cuarta instancia con la pretensión de que se revisen decisiones emitidas por autoridades administrativas y judiciales que actuaron dentro de su ámbito de competencia. A ese respecto, la Comisión reconoce que no es competente para revisar fallos adoptados por tribunales internos que actúen dentro del ámbito de su competencia y apliquen el debido proceso y las garantías judiciales. Sin embargo, la Comisión reitera que, según su mandato, sí es competente para declarar admisible una petición y fallar sobre el fondo cuando esta se refiere a procesos internos que podrían ser violatorios de los derechos garantizados por la Convención Americana.</w:t>
      </w:r>
    </w:p>
    <w:p w14:paraId="395485F8" w14:textId="77777777" w:rsidR="002A23C3" w:rsidRDefault="002A23C3">
      <w:pPr>
        <w:rPr>
          <w:rFonts w:ascii="Cambria" w:eastAsia="Cambria" w:hAnsi="Cambria" w:cs="Cambria"/>
          <w:b/>
          <w:bCs/>
          <w:color w:val="000000"/>
          <w:sz w:val="20"/>
          <w:szCs w:val="20"/>
          <w:u w:color="000000"/>
          <w:lang w:val="es" w:eastAsia="es-ES"/>
        </w:rPr>
      </w:pPr>
      <w:r>
        <w:rPr>
          <w:b/>
          <w:bCs/>
          <w:sz w:val="20"/>
          <w:szCs w:val="20"/>
          <w:lang w:val="es"/>
        </w:rPr>
        <w:br w:type="page"/>
      </w:r>
    </w:p>
    <w:p w14:paraId="068C7E8C" w14:textId="5A599275" w:rsidR="005268FB" w:rsidRDefault="005268FB" w:rsidP="005268FB">
      <w:pPr>
        <w:pStyle w:val="ListParagraph"/>
        <w:spacing w:before="240" w:after="240"/>
        <w:ind w:left="0" w:firstLine="720"/>
        <w:jc w:val="both"/>
        <w:rPr>
          <w:b/>
          <w:bCs/>
          <w:sz w:val="20"/>
          <w:szCs w:val="20"/>
        </w:rPr>
      </w:pPr>
      <w:r>
        <w:rPr>
          <w:b/>
          <w:bCs/>
          <w:sz w:val="20"/>
          <w:szCs w:val="20"/>
          <w:lang w:val="es"/>
        </w:rPr>
        <w:lastRenderedPageBreak/>
        <w:t xml:space="preserve">VIII. </w:t>
      </w:r>
      <w:r>
        <w:rPr>
          <w:b/>
          <w:bCs/>
          <w:sz w:val="20"/>
          <w:szCs w:val="20"/>
          <w:lang w:val="es"/>
        </w:rPr>
        <w:tab/>
        <w:t>DECISIÓN</w:t>
      </w:r>
    </w:p>
    <w:p w14:paraId="56DF7E86" w14:textId="494DBCEE" w:rsidR="005268FB" w:rsidRPr="005268FB" w:rsidRDefault="005268FB" w:rsidP="0018183B">
      <w:pPr>
        <w:pStyle w:val="Body"/>
        <w:numPr>
          <w:ilvl w:val="0"/>
          <w:numId w:val="58"/>
        </w:numPr>
        <w:suppressAutoHyphens/>
        <w:spacing w:after="240"/>
        <w:ind w:left="0" w:firstLine="720"/>
        <w:jc w:val="both"/>
        <w:rPr>
          <w:rFonts w:ascii="Cambria" w:eastAsia="Cambria" w:hAnsi="Cambria" w:cs="Cambria"/>
          <w:sz w:val="20"/>
          <w:szCs w:val="20"/>
          <w:lang w:val="es-ES"/>
        </w:rPr>
      </w:pPr>
      <w:r>
        <w:rPr>
          <w:rFonts w:ascii="Cambria" w:eastAsia="Cambria" w:hAnsi="Cambria" w:cs="Cambria"/>
          <w:sz w:val="20"/>
          <w:szCs w:val="20"/>
          <w:lang w:val="es"/>
        </w:rPr>
        <w:t>Declarar admisible la presente petición respecto de los artículos 4, 8 y 25 de la Convención Americana en concordancia con los artículos 1(1) y 2 del mismo instrumento;</w:t>
      </w:r>
    </w:p>
    <w:p w14:paraId="5705C753" w14:textId="2AD82BE5" w:rsidR="005268FB" w:rsidRPr="002A23C3" w:rsidRDefault="005268FB" w:rsidP="0018183B">
      <w:pPr>
        <w:pStyle w:val="Body"/>
        <w:numPr>
          <w:ilvl w:val="0"/>
          <w:numId w:val="58"/>
        </w:numPr>
        <w:suppressAutoHyphens/>
        <w:spacing w:after="240"/>
        <w:ind w:left="0" w:firstLine="720"/>
        <w:jc w:val="both"/>
        <w:rPr>
          <w:rFonts w:ascii="Cambria" w:eastAsia="Cambria" w:hAnsi="Cambria" w:cs="Cambria"/>
          <w:sz w:val="20"/>
          <w:szCs w:val="20"/>
          <w:lang w:val="es-ES"/>
        </w:rPr>
      </w:pPr>
      <w:r>
        <w:rPr>
          <w:rFonts w:ascii="Cambria" w:eastAsia="Cambria" w:hAnsi="Cambria" w:cs="Cambria"/>
          <w:sz w:val="20"/>
          <w:szCs w:val="20"/>
          <w:lang w:val="es"/>
        </w:rPr>
        <w:t>Notificar a las partes la presente decisión; continuar con el análisis del fondo de la cuestión; y publicar esta decisión e incluirla en su Informe Anual a la Asamblea General de la Organización de los Estados Americanos.</w:t>
      </w:r>
    </w:p>
    <w:p w14:paraId="5C9FFD10" w14:textId="77777777" w:rsidR="0014304F" w:rsidRPr="00A37B82" w:rsidRDefault="0014304F" w:rsidP="0014304F">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w:t>
      </w:r>
      <w:r>
        <w:rPr>
          <w:rFonts w:asciiTheme="majorHAnsi" w:hAnsiTheme="majorHAnsi" w:cs="Arial"/>
          <w:noProof/>
          <w:spacing w:val="-2"/>
          <w:sz w:val="20"/>
          <w:szCs w:val="20"/>
          <w:lang w:val="es-CL"/>
        </w:rPr>
        <w:t xml:space="preserve"> los 9</w:t>
      </w:r>
      <w:r w:rsidRPr="00A37B82">
        <w:rPr>
          <w:rFonts w:asciiTheme="majorHAnsi" w:hAnsiTheme="majorHAnsi" w:cs="Arial"/>
          <w:noProof/>
          <w:spacing w:val="-2"/>
          <w:sz w:val="20"/>
          <w:szCs w:val="20"/>
          <w:lang w:val="es-CL"/>
        </w:rPr>
        <w:t xml:space="preserve"> día</w:t>
      </w:r>
      <w:r>
        <w:rPr>
          <w:rFonts w:asciiTheme="majorHAnsi" w:hAnsiTheme="majorHAnsi" w:cs="Arial"/>
          <w:noProof/>
          <w:spacing w:val="-2"/>
          <w:sz w:val="20"/>
          <w:szCs w:val="20"/>
          <w:lang w:val="es-CL"/>
        </w:rPr>
        <w:t>s</w:t>
      </w:r>
      <w:r w:rsidRPr="00A37B82">
        <w:rPr>
          <w:rFonts w:asciiTheme="majorHAnsi" w:hAnsiTheme="majorHAnsi" w:cs="Arial"/>
          <w:noProof/>
          <w:spacing w:val="-2"/>
          <w:sz w:val="20"/>
          <w:szCs w:val="20"/>
          <w:lang w:val="es-CL"/>
        </w:rPr>
        <w:t xml:space="preserve"> del mes de </w:t>
      </w:r>
      <w:r>
        <w:rPr>
          <w:rFonts w:asciiTheme="majorHAnsi" w:hAnsiTheme="majorHAnsi" w:cs="Arial"/>
          <w:noProof/>
          <w:spacing w:val="-2"/>
          <w:sz w:val="20"/>
          <w:szCs w:val="20"/>
          <w:lang w:val="es-CL"/>
        </w:rPr>
        <w:t>junio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Joel Hernández, Presidente; Antonia Urrejola,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Margarette May Macaulay,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Julissa Mantilla Falcón,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5482A233" w14:textId="77777777" w:rsidR="00722C9F" w:rsidRPr="00974491" w:rsidRDefault="00722C9F" w:rsidP="00974491">
      <w:pPr>
        <w:rPr>
          <w:rFonts w:ascii="Cambria" w:hAnsi="Cambria" w:cs="Calibri"/>
          <w:sz w:val="20"/>
          <w:szCs w:val="20"/>
          <w:lang w:val="es-ES"/>
        </w:rPr>
      </w:pPr>
    </w:p>
    <w:sectPr w:rsidR="00722C9F" w:rsidRPr="00974491"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75684C" w14:textId="77777777" w:rsidR="00E47176" w:rsidRDefault="00E47176">
      <w:r>
        <w:separator/>
      </w:r>
    </w:p>
  </w:endnote>
  <w:endnote w:type="continuationSeparator" w:id="0">
    <w:p w14:paraId="6D088B74" w14:textId="77777777" w:rsidR="00E47176" w:rsidRDefault="00E47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B1955" w14:textId="77777777" w:rsidR="00773E6C" w:rsidRDefault="00773E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1200A08A" w14:textId="73A43190" w:rsidR="0099258D" w:rsidRPr="00934A2C" w:rsidRDefault="0099258D">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773E6C">
          <w:rPr>
            <w:noProof/>
            <w:sz w:val="16"/>
            <w:szCs w:val="22"/>
          </w:rPr>
          <w:t>1</w:t>
        </w:r>
        <w:r w:rsidRPr="00934A2C">
          <w:rPr>
            <w:noProof/>
            <w:sz w:val="16"/>
            <w:szCs w:val="22"/>
          </w:rPr>
          <w:fldChar w:fldCharType="end"/>
        </w:r>
      </w:p>
    </w:sdtContent>
  </w:sdt>
  <w:p w14:paraId="3D1B8761" w14:textId="77777777" w:rsidR="0099258D" w:rsidRDefault="009925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F55F1" w14:textId="77777777" w:rsidR="0099258D" w:rsidRPr="00934A2C" w:rsidRDefault="0099258D">
    <w:pPr>
      <w:pStyle w:val="Footer"/>
      <w:jc w:val="center"/>
      <w:rPr>
        <w:sz w:val="16"/>
        <w:szCs w:val="22"/>
      </w:rPr>
    </w:pPr>
  </w:p>
  <w:p w14:paraId="2680C343" w14:textId="77777777" w:rsidR="0099258D" w:rsidRDefault="009925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E615BF" w14:textId="77777777" w:rsidR="00E47176" w:rsidRPr="000F35ED" w:rsidRDefault="00E47176">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EF3CF61" w14:textId="77777777" w:rsidR="00E47176" w:rsidRPr="000F35ED" w:rsidRDefault="00E47176" w:rsidP="000F35ED">
      <w:pPr>
        <w:rPr>
          <w:rFonts w:asciiTheme="majorHAnsi" w:hAnsiTheme="majorHAnsi"/>
          <w:sz w:val="16"/>
          <w:szCs w:val="16"/>
        </w:rPr>
      </w:pPr>
      <w:r w:rsidRPr="000F35ED">
        <w:rPr>
          <w:rFonts w:asciiTheme="majorHAnsi" w:hAnsiTheme="majorHAnsi"/>
          <w:sz w:val="16"/>
          <w:szCs w:val="16"/>
        </w:rPr>
        <w:separator/>
      </w:r>
    </w:p>
    <w:p w14:paraId="6A67C0EF" w14:textId="77777777" w:rsidR="00E47176" w:rsidRPr="000F35ED" w:rsidRDefault="00E47176"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1D399FE9" w14:textId="77777777" w:rsidR="00E47176" w:rsidRPr="000F35ED" w:rsidRDefault="00E47176"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551BE75" w14:textId="77777777" w:rsidR="0099258D" w:rsidRPr="001D5C9F" w:rsidRDefault="0099258D" w:rsidP="001D5C9F">
      <w:pPr>
        <w:pStyle w:val="FootnoteText"/>
        <w:ind w:firstLine="720"/>
        <w:jc w:val="both"/>
        <w:rPr>
          <w:rFonts w:asciiTheme="majorHAnsi" w:hAnsiTheme="majorHAnsi"/>
          <w:sz w:val="16"/>
          <w:szCs w:val="16"/>
          <w:lang w:val="es-ES"/>
        </w:rPr>
      </w:pPr>
      <w:r w:rsidRPr="001D5C9F">
        <w:rPr>
          <w:rStyle w:val="FootnoteReference"/>
          <w:rFonts w:asciiTheme="majorHAnsi" w:hAnsiTheme="majorHAnsi"/>
          <w:sz w:val="16"/>
          <w:szCs w:val="16"/>
        </w:rPr>
        <w:footnoteRef/>
      </w:r>
      <w:r w:rsidRPr="001D5C9F">
        <w:rPr>
          <w:rFonts w:asciiTheme="majorHAnsi" w:hAnsiTheme="majorHAnsi"/>
          <w:sz w:val="16"/>
          <w:szCs w:val="16"/>
          <w:lang w:val="es-ES"/>
        </w:rPr>
        <w:t xml:space="preserve"> Las observaciones de cada parte fueron debidamente trasladadas a la parte contraria.</w:t>
      </w:r>
    </w:p>
  </w:footnote>
  <w:footnote w:id="3">
    <w:p w14:paraId="407F2001" w14:textId="77777777" w:rsidR="005268FB" w:rsidRPr="001D5C9F" w:rsidRDefault="005268FB" w:rsidP="001D5C9F">
      <w:pPr>
        <w:pStyle w:val="FootnoteText"/>
        <w:ind w:firstLine="720"/>
        <w:jc w:val="both"/>
        <w:rPr>
          <w:rFonts w:asciiTheme="majorHAnsi" w:hAnsiTheme="majorHAnsi"/>
          <w:sz w:val="16"/>
          <w:szCs w:val="16"/>
          <w:lang w:val="es-ES"/>
        </w:rPr>
      </w:pPr>
      <w:r w:rsidRPr="001D5C9F">
        <w:rPr>
          <w:rFonts w:asciiTheme="majorHAnsi" w:hAnsiTheme="majorHAnsi"/>
          <w:sz w:val="16"/>
          <w:szCs w:val="16"/>
          <w:vertAlign w:val="superscript"/>
          <w:lang w:val="es"/>
        </w:rPr>
        <w:footnoteRef/>
      </w:r>
      <w:r w:rsidRPr="001D5C9F">
        <w:rPr>
          <w:rFonts w:asciiTheme="majorHAnsi" w:hAnsiTheme="majorHAnsi"/>
          <w:sz w:val="16"/>
          <w:szCs w:val="16"/>
          <w:lang w:val="es"/>
        </w:rPr>
        <w:t xml:space="preserve"> Los peticionarios mencionan el artículo de prensa titulado </w:t>
      </w:r>
      <w:r w:rsidRPr="001D5C9F">
        <w:rPr>
          <w:rFonts w:asciiTheme="majorHAnsi" w:hAnsiTheme="majorHAnsi"/>
          <w:i/>
          <w:iCs/>
          <w:sz w:val="16"/>
          <w:szCs w:val="16"/>
          <w:lang w:val="es"/>
        </w:rPr>
        <w:t>Hubo errores militares</w:t>
      </w:r>
      <w:r w:rsidRPr="001D5C9F">
        <w:rPr>
          <w:rFonts w:asciiTheme="majorHAnsi" w:hAnsiTheme="majorHAnsi"/>
          <w:sz w:val="16"/>
          <w:szCs w:val="16"/>
          <w:lang w:val="es"/>
        </w:rPr>
        <w:t xml:space="preserve">, publicado por el diario El Tiempo el 3 de enero de 2005. Según ese artículo, el entonces presidente de Colombia reconocía su responsabilidad por la masacre. También mencionan un artículo publicado en Rueda de Prensa el 8 de febrero de 2005 en el que Mauricio Soto, almirante de la Armada Nacional, habría admitido que se cometieron errores en cuanto a la supervisión, las tareas de inteligencia y otros factores, lo cual contribuyó a la masacre. </w:t>
      </w:r>
    </w:p>
  </w:footnote>
  <w:footnote w:id="4">
    <w:p w14:paraId="67FB9303" w14:textId="77777777" w:rsidR="005268FB" w:rsidRPr="001D5C9F" w:rsidRDefault="005268FB" w:rsidP="001D5C9F">
      <w:pPr>
        <w:pStyle w:val="FootnoteText"/>
        <w:ind w:firstLine="720"/>
        <w:jc w:val="both"/>
        <w:rPr>
          <w:rFonts w:asciiTheme="majorHAnsi" w:hAnsiTheme="majorHAnsi"/>
          <w:sz w:val="16"/>
          <w:szCs w:val="16"/>
          <w:lang w:val="es-ES"/>
        </w:rPr>
      </w:pPr>
      <w:r w:rsidRPr="001D5C9F">
        <w:rPr>
          <w:rFonts w:asciiTheme="majorHAnsi" w:eastAsia="Cambria" w:hAnsiTheme="majorHAnsi" w:cs="Cambria"/>
          <w:sz w:val="16"/>
          <w:szCs w:val="16"/>
          <w:vertAlign w:val="superscript"/>
          <w:lang w:val="es"/>
        </w:rPr>
        <w:footnoteRef/>
      </w:r>
      <w:r w:rsidRPr="001D5C9F">
        <w:rPr>
          <w:rFonts w:asciiTheme="majorHAnsi" w:eastAsia="Cambria" w:hAnsiTheme="majorHAnsi" w:cs="Cambria"/>
          <w:sz w:val="16"/>
          <w:szCs w:val="16"/>
          <w:lang w:val="es"/>
        </w:rPr>
        <w:t xml:space="preserve"> Según el expediente, la documentación presentada en apoyo de la demanda no contenía la firma de uno de los demandantes, </w:t>
      </w:r>
      <w:proofErr w:type="spellStart"/>
      <w:r w:rsidRPr="001D5C9F">
        <w:rPr>
          <w:rFonts w:asciiTheme="majorHAnsi" w:eastAsia="Cambria" w:hAnsiTheme="majorHAnsi" w:cs="Cambria"/>
          <w:sz w:val="16"/>
          <w:szCs w:val="16"/>
          <w:lang w:val="es"/>
        </w:rPr>
        <w:t>Biderman</w:t>
      </w:r>
      <w:proofErr w:type="spellEnd"/>
      <w:r w:rsidRPr="001D5C9F">
        <w:rPr>
          <w:rFonts w:asciiTheme="majorHAnsi" w:eastAsia="Cambria" w:hAnsiTheme="majorHAnsi" w:cs="Cambria"/>
          <w:sz w:val="16"/>
          <w:szCs w:val="16"/>
          <w:lang w:val="es"/>
        </w:rPr>
        <w:t xml:space="preserve"> Rojo Carmona, hermano de la presunta víctima.</w:t>
      </w:r>
    </w:p>
  </w:footnote>
  <w:footnote w:id="5">
    <w:p w14:paraId="3943D353" w14:textId="77777777" w:rsidR="005268FB" w:rsidRPr="001D5C9F" w:rsidRDefault="005268FB" w:rsidP="001D5C9F">
      <w:pPr>
        <w:pStyle w:val="FootnoteText"/>
        <w:ind w:firstLine="720"/>
        <w:jc w:val="both"/>
        <w:rPr>
          <w:rFonts w:asciiTheme="majorHAnsi" w:hAnsiTheme="majorHAnsi"/>
          <w:sz w:val="16"/>
          <w:szCs w:val="16"/>
          <w:lang w:val="es-ES"/>
        </w:rPr>
      </w:pPr>
      <w:r w:rsidRPr="001D5C9F">
        <w:rPr>
          <w:rFonts w:asciiTheme="majorHAnsi" w:eastAsia="Cambria" w:hAnsiTheme="majorHAnsi" w:cs="Cambria"/>
          <w:sz w:val="16"/>
          <w:szCs w:val="16"/>
          <w:vertAlign w:val="superscript"/>
          <w:lang w:val="es"/>
        </w:rPr>
        <w:footnoteRef/>
      </w:r>
      <w:r w:rsidRPr="001D5C9F">
        <w:rPr>
          <w:rFonts w:asciiTheme="majorHAnsi" w:eastAsia="Cambria" w:hAnsiTheme="majorHAnsi" w:cs="Cambria"/>
          <w:sz w:val="16"/>
          <w:szCs w:val="16"/>
          <w:lang w:val="es"/>
        </w:rPr>
        <w:t xml:space="preserve"> Según información externa, este fallo fue emitido en junio de 2010.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0EC5E" w14:textId="77777777" w:rsidR="0099258D" w:rsidRDefault="0099258D" w:rsidP="0099258D">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0A489E21" w14:textId="77777777" w:rsidR="0099258D" w:rsidRDefault="009925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DD9BF" w14:textId="77777777" w:rsidR="0099258D" w:rsidRDefault="0099258D" w:rsidP="00A50FCF">
    <w:pPr>
      <w:pStyle w:val="Header"/>
      <w:tabs>
        <w:tab w:val="clear" w:pos="4320"/>
        <w:tab w:val="clear" w:pos="8640"/>
      </w:tabs>
      <w:jc w:val="center"/>
      <w:rPr>
        <w:sz w:val="22"/>
        <w:szCs w:val="22"/>
      </w:rPr>
    </w:pPr>
    <w:r>
      <w:rPr>
        <w:noProof/>
        <w:sz w:val="22"/>
        <w:szCs w:val="22"/>
      </w:rPr>
      <w:drawing>
        <wp:inline distT="0" distB="0" distL="0" distR="0" wp14:anchorId="281B3C60" wp14:editId="37E7F648">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0B574A09" w14:textId="77777777" w:rsidR="0099258D" w:rsidRPr="00EC7D62" w:rsidRDefault="00E47176" w:rsidP="00A50FCF">
    <w:pPr>
      <w:pStyle w:val="Header"/>
      <w:tabs>
        <w:tab w:val="clear" w:pos="4320"/>
        <w:tab w:val="clear" w:pos="8640"/>
      </w:tabs>
      <w:jc w:val="center"/>
      <w:rPr>
        <w:sz w:val="22"/>
        <w:szCs w:val="22"/>
      </w:rPr>
    </w:pPr>
    <w:r>
      <w:rPr>
        <w:sz w:val="22"/>
        <w:szCs w:val="22"/>
      </w:rPr>
      <w:pict w14:anchorId="58E005F7">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E1E4C5" w14:textId="77777777" w:rsidR="00773E6C" w:rsidRDefault="00773E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96A79"/>
    <w:multiLevelType w:val="hybridMultilevel"/>
    <w:tmpl w:val="2EDE7816"/>
    <w:numStyleLink w:val="ImportedStyle3"/>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89E4E43"/>
    <w:multiLevelType w:val="hybridMultilevel"/>
    <w:tmpl w:val="2EDE7816"/>
    <w:styleLink w:val="ImportedStyle3"/>
    <w:lvl w:ilvl="0" w:tplc="472E1878">
      <w:start w:val="1"/>
      <w:numFmt w:val="decimal"/>
      <w:lvlText w:val="%1."/>
      <w:lvlJc w:val="left"/>
      <w:pPr>
        <w:tabs>
          <w:tab w:val="left" w:pos="720"/>
          <w:tab w:val="num" w:pos="1440"/>
        </w:tabs>
        <w:ind w:left="7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6BE6BE2">
      <w:start w:val="1"/>
      <w:numFmt w:val="lowerLetter"/>
      <w:lvlText w:val="%2."/>
      <w:lvlJc w:val="left"/>
      <w:pPr>
        <w:tabs>
          <w:tab w:val="left" w:pos="720"/>
          <w:tab w:val="num" w:pos="2160"/>
        </w:tabs>
        <w:ind w:left="1440" w:firstLine="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BD0ED72">
      <w:start w:val="1"/>
      <w:numFmt w:val="lowerRoman"/>
      <w:lvlText w:val="%3."/>
      <w:lvlJc w:val="left"/>
      <w:pPr>
        <w:tabs>
          <w:tab w:val="left" w:pos="720"/>
          <w:tab w:val="num" w:pos="2880"/>
        </w:tabs>
        <w:ind w:left="2160" w:firstLine="4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FA808E0">
      <w:start w:val="1"/>
      <w:numFmt w:val="decimal"/>
      <w:lvlText w:val="%4."/>
      <w:lvlJc w:val="left"/>
      <w:pPr>
        <w:tabs>
          <w:tab w:val="left" w:pos="720"/>
          <w:tab w:val="num" w:pos="3600"/>
        </w:tabs>
        <w:ind w:left="2880" w:firstLine="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14891CA">
      <w:start w:val="1"/>
      <w:numFmt w:val="lowerLetter"/>
      <w:lvlText w:val="%5."/>
      <w:lvlJc w:val="left"/>
      <w:pPr>
        <w:tabs>
          <w:tab w:val="left" w:pos="720"/>
          <w:tab w:val="num" w:pos="4320"/>
        </w:tabs>
        <w:ind w:left="3600" w:firstLine="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ACE9244">
      <w:start w:val="1"/>
      <w:numFmt w:val="lowerRoman"/>
      <w:lvlText w:val="%6."/>
      <w:lvlJc w:val="left"/>
      <w:pPr>
        <w:tabs>
          <w:tab w:val="left" w:pos="720"/>
          <w:tab w:val="num" w:pos="5040"/>
        </w:tabs>
        <w:ind w:left="4320" w:firstLine="4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CE4FD22">
      <w:start w:val="1"/>
      <w:numFmt w:val="decimal"/>
      <w:lvlText w:val="%7."/>
      <w:lvlJc w:val="left"/>
      <w:pPr>
        <w:tabs>
          <w:tab w:val="left" w:pos="720"/>
          <w:tab w:val="num" w:pos="5760"/>
        </w:tabs>
        <w:ind w:left="5040" w:firstLine="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E20B33E">
      <w:start w:val="1"/>
      <w:numFmt w:val="lowerLetter"/>
      <w:lvlText w:val="%8."/>
      <w:lvlJc w:val="left"/>
      <w:pPr>
        <w:tabs>
          <w:tab w:val="left" w:pos="720"/>
          <w:tab w:val="num" w:pos="6480"/>
        </w:tabs>
        <w:ind w:left="5760" w:firstLine="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818D114">
      <w:start w:val="1"/>
      <w:numFmt w:val="lowerRoman"/>
      <w:lvlText w:val="%9."/>
      <w:lvlJc w:val="left"/>
      <w:pPr>
        <w:tabs>
          <w:tab w:val="left" w:pos="720"/>
          <w:tab w:val="num" w:pos="7200"/>
        </w:tabs>
        <w:ind w:left="6480" w:firstLine="4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36C53C5"/>
    <w:multiLevelType w:val="hybridMultilevel"/>
    <w:tmpl w:val="6240BA5E"/>
    <w:numStyleLink w:val="ImportedStyle2"/>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5D2907"/>
    <w:multiLevelType w:val="hybridMultilevel"/>
    <w:tmpl w:val="6240BA5E"/>
    <w:styleLink w:val="ImportedStyle2"/>
    <w:lvl w:ilvl="0" w:tplc="59EC2E3A">
      <w:start w:val="1"/>
      <w:numFmt w:val="decimal"/>
      <w:lvlText w:val="%1."/>
      <w:lvlJc w:val="left"/>
      <w:pPr>
        <w:tabs>
          <w:tab w:val="left" w:pos="720"/>
          <w:tab w:val="num" w:pos="1440"/>
        </w:tabs>
        <w:ind w:left="7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A4C632">
      <w:start w:val="1"/>
      <w:numFmt w:val="lowerLetter"/>
      <w:lvlText w:val="%2."/>
      <w:lvlJc w:val="left"/>
      <w:pPr>
        <w:tabs>
          <w:tab w:val="left" w:pos="720"/>
          <w:tab w:val="num" w:pos="2160"/>
        </w:tabs>
        <w:ind w:left="1440" w:firstLine="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8458FC">
      <w:start w:val="1"/>
      <w:numFmt w:val="lowerRoman"/>
      <w:lvlText w:val="%3."/>
      <w:lvlJc w:val="left"/>
      <w:pPr>
        <w:tabs>
          <w:tab w:val="left" w:pos="720"/>
          <w:tab w:val="num" w:pos="2880"/>
        </w:tabs>
        <w:ind w:left="2160" w:firstLine="4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22CE3DA">
      <w:start w:val="1"/>
      <w:numFmt w:val="decimal"/>
      <w:lvlText w:val="%4."/>
      <w:lvlJc w:val="left"/>
      <w:pPr>
        <w:tabs>
          <w:tab w:val="left" w:pos="720"/>
          <w:tab w:val="num" w:pos="3600"/>
        </w:tabs>
        <w:ind w:left="2880" w:firstLine="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40A2CFE">
      <w:start w:val="1"/>
      <w:numFmt w:val="lowerLetter"/>
      <w:lvlText w:val="%5."/>
      <w:lvlJc w:val="left"/>
      <w:pPr>
        <w:tabs>
          <w:tab w:val="left" w:pos="720"/>
          <w:tab w:val="num" w:pos="4320"/>
        </w:tabs>
        <w:ind w:left="3600" w:firstLine="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750AECE">
      <w:start w:val="1"/>
      <w:numFmt w:val="lowerRoman"/>
      <w:lvlText w:val="%6."/>
      <w:lvlJc w:val="left"/>
      <w:pPr>
        <w:tabs>
          <w:tab w:val="left" w:pos="720"/>
          <w:tab w:val="num" w:pos="5040"/>
        </w:tabs>
        <w:ind w:left="4320" w:firstLine="4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948CAF4">
      <w:start w:val="1"/>
      <w:numFmt w:val="decimal"/>
      <w:lvlText w:val="%7."/>
      <w:lvlJc w:val="left"/>
      <w:pPr>
        <w:tabs>
          <w:tab w:val="left" w:pos="720"/>
          <w:tab w:val="num" w:pos="5760"/>
        </w:tabs>
        <w:ind w:left="5040" w:firstLine="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5E236C">
      <w:start w:val="1"/>
      <w:numFmt w:val="lowerLetter"/>
      <w:lvlText w:val="%8."/>
      <w:lvlJc w:val="left"/>
      <w:pPr>
        <w:tabs>
          <w:tab w:val="left" w:pos="720"/>
          <w:tab w:val="num" w:pos="6480"/>
        </w:tabs>
        <w:ind w:left="5760" w:firstLine="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4E64D6E">
      <w:start w:val="1"/>
      <w:numFmt w:val="lowerRoman"/>
      <w:lvlText w:val="%9."/>
      <w:lvlJc w:val="left"/>
      <w:pPr>
        <w:tabs>
          <w:tab w:val="left" w:pos="720"/>
          <w:tab w:val="num" w:pos="7200"/>
        </w:tabs>
        <w:ind w:left="6480" w:firstLine="4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5"/>
  </w:num>
  <w:num w:numId="2">
    <w:abstractNumId w:val="6"/>
  </w:num>
  <w:num w:numId="3">
    <w:abstractNumId w:val="52"/>
  </w:num>
  <w:num w:numId="4">
    <w:abstractNumId w:val="23"/>
  </w:num>
  <w:num w:numId="5">
    <w:abstractNumId w:val="46"/>
  </w:num>
  <w:num w:numId="6">
    <w:abstractNumId w:val="28"/>
  </w:num>
  <w:num w:numId="7">
    <w:abstractNumId w:val="8"/>
  </w:num>
  <w:num w:numId="8">
    <w:abstractNumId w:val="18"/>
  </w:num>
  <w:num w:numId="9">
    <w:abstractNumId w:val="42"/>
  </w:num>
  <w:num w:numId="10">
    <w:abstractNumId w:val="1"/>
  </w:num>
  <w:num w:numId="11">
    <w:abstractNumId w:val="37"/>
  </w:num>
  <w:num w:numId="12">
    <w:abstractNumId w:val="38"/>
  </w:num>
  <w:num w:numId="13">
    <w:abstractNumId w:val="43"/>
  </w:num>
  <w:num w:numId="14">
    <w:abstractNumId w:val="2"/>
  </w:num>
  <w:num w:numId="15">
    <w:abstractNumId w:val="4"/>
  </w:num>
  <w:num w:numId="16">
    <w:abstractNumId w:val="9"/>
  </w:num>
  <w:num w:numId="17">
    <w:abstractNumId w:val="10"/>
  </w:num>
  <w:num w:numId="18">
    <w:abstractNumId w:val="11"/>
  </w:num>
  <w:num w:numId="19">
    <w:abstractNumId w:val="12"/>
  </w:num>
  <w:num w:numId="20">
    <w:abstractNumId w:val="13"/>
  </w:num>
  <w:num w:numId="21">
    <w:abstractNumId w:val="14"/>
  </w:num>
  <w:num w:numId="22">
    <w:abstractNumId w:val="15"/>
  </w:num>
  <w:num w:numId="23">
    <w:abstractNumId w:val="16"/>
  </w:num>
  <w:num w:numId="24">
    <w:abstractNumId w:val="17"/>
  </w:num>
  <w:num w:numId="25">
    <w:abstractNumId w:val="20"/>
  </w:num>
  <w:num w:numId="26">
    <w:abstractNumId w:val="21"/>
  </w:num>
  <w:num w:numId="27">
    <w:abstractNumId w:val="24"/>
  </w:num>
  <w:num w:numId="28">
    <w:abstractNumId w:val="25"/>
  </w:num>
  <w:num w:numId="29">
    <w:abstractNumId w:val="26"/>
  </w:num>
  <w:num w:numId="30">
    <w:abstractNumId w:val="27"/>
  </w:num>
  <w:num w:numId="31">
    <w:abstractNumId w:val="29"/>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39"/>
  </w:num>
  <w:num w:numId="40">
    <w:abstractNumId w:val="40"/>
  </w:num>
  <w:num w:numId="41">
    <w:abstractNumId w:val="45"/>
  </w:num>
  <w:num w:numId="42">
    <w:abstractNumId w:val="47"/>
  </w:num>
  <w:num w:numId="43">
    <w:abstractNumId w:val="48"/>
  </w:num>
  <w:num w:numId="44">
    <w:abstractNumId w:val="50"/>
  </w:num>
  <w:num w:numId="45">
    <w:abstractNumId w:val="51"/>
  </w:num>
  <w:num w:numId="46">
    <w:abstractNumId w:val="53"/>
  </w:num>
  <w:num w:numId="47">
    <w:abstractNumId w:val="54"/>
  </w:num>
  <w:num w:numId="48">
    <w:abstractNumId w:val="55"/>
  </w:num>
  <w:num w:numId="49">
    <w:abstractNumId w:val="56"/>
  </w:num>
  <w:num w:numId="50">
    <w:abstractNumId w:val="57"/>
  </w:num>
  <w:num w:numId="51">
    <w:abstractNumId w:val="22"/>
  </w:num>
  <w:num w:numId="52">
    <w:abstractNumId w:val="41"/>
  </w:num>
  <w:num w:numId="53">
    <w:abstractNumId w:val="49"/>
  </w:num>
  <w:num w:numId="54">
    <w:abstractNumId w:val="44"/>
  </w:num>
  <w:num w:numId="55">
    <w:abstractNumId w:val="19"/>
  </w:num>
  <w:num w:numId="56">
    <w:abstractNumId w:val="7"/>
  </w:num>
  <w:num w:numId="57">
    <w:abstractNumId w:val="3"/>
  </w:num>
  <w:num w:numId="58">
    <w:abstractNumId w:val="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10DFF"/>
    <w:rsid w:val="000121EF"/>
    <w:rsid w:val="0001560F"/>
    <w:rsid w:val="0001788C"/>
    <w:rsid w:val="000337EF"/>
    <w:rsid w:val="00040C3A"/>
    <w:rsid w:val="000419AD"/>
    <w:rsid w:val="00046260"/>
    <w:rsid w:val="00050465"/>
    <w:rsid w:val="000716C5"/>
    <w:rsid w:val="00075E23"/>
    <w:rsid w:val="00086118"/>
    <w:rsid w:val="0009344A"/>
    <w:rsid w:val="000A392E"/>
    <w:rsid w:val="000A575F"/>
    <w:rsid w:val="000A785C"/>
    <w:rsid w:val="000C0F58"/>
    <w:rsid w:val="000C521D"/>
    <w:rsid w:val="000C5F6A"/>
    <w:rsid w:val="000D10DB"/>
    <w:rsid w:val="000E5EB5"/>
    <w:rsid w:val="000F35ED"/>
    <w:rsid w:val="00107131"/>
    <w:rsid w:val="0010736F"/>
    <w:rsid w:val="001136CF"/>
    <w:rsid w:val="00113F73"/>
    <w:rsid w:val="00121CC2"/>
    <w:rsid w:val="00133EE5"/>
    <w:rsid w:val="0013619C"/>
    <w:rsid w:val="0014304F"/>
    <w:rsid w:val="00157768"/>
    <w:rsid w:val="00167A34"/>
    <w:rsid w:val="00171A7E"/>
    <w:rsid w:val="0018183B"/>
    <w:rsid w:val="001A7870"/>
    <w:rsid w:val="001B31B5"/>
    <w:rsid w:val="001B3A00"/>
    <w:rsid w:val="001C1B41"/>
    <w:rsid w:val="001D5C9F"/>
    <w:rsid w:val="001D65EF"/>
    <w:rsid w:val="001E49E7"/>
    <w:rsid w:val="001F7201"/>
    <w:rsid w:val="001F76DC"/>
    <w:rsid w:val="002031A3"/>
    <w:rsid w:val="00207299"/>
    <w:rsid w:val="00210EC0"/>
    <w:rsid w:val="0021484C"/>
    <w:rsid w:val="00217C73"/>
    <w:rsid w:val="00223A29"/>
    <w:rsid w:val="002250A3"/>
    <w:rsid w:val="00231998"/>
    <w:rsid w:val="00235217"/>
    <w:rsid w:val="0024549B"/>
    <w:rsid w:val="00246D1F"/>
    <w:rsid w:val="00247403"/>
    <w:rsid w:val="00247542"/>
    <w:rsid w:val="00266B61"/>
    <w:rsid w:val="0026712A"/>
    <w:rsid w:val="002704DB"/>
    <w:rsid w:val="002A0AAE"/>
    <w:rsid w:val="002A23C3"/>
    <w:rsid w:val="002A5820"/>
    <w:rsid w:val="002B0C4E"/>
    <w:rsid w:val="002D2B26"/>
    <w:rsid w:val="002D5DFD"/>
    <w:rsid w:val="002D7EA2"/>
    <w:rsid w:val="002E187C"/>
    <w:rsid w:val="00302733"/>
    <w:rsid w:val="00312CCC"/>
    <w:rsid w:val="00314078"/>
    <w:rsid w:val="0031535D"/>
    <w:rsid w:val="003239B8"/>
    <w:rsid w:val="0032427A"/>
    <w:rsid w:val="0033169F"/>
    <w:rsid w:val="00335E12"/>
    <w:rsid w:val="00337F78"/>
    <w:rsid w:val="00344977"/>
    <w:rsid w:val="00346C95"/>
    <w:rsid w:val="00356185"/>
    <w:rsid w:val="00360380"/>
    <w:rsid w:val="00364C3F"/>
    <w:rsid w:val="00370BFD"/>
    <w:rsid w:val="00374E78"/>
    <w:rsid w:val="0037519E"/>
    <w:rsid w:val="00380585"/>
    <w:rsid w:val="0038168A"/>
    <w:rsid w:val="0038296C"/>
    <w:rsid w:val="0038518C"/>
    <w:rsid w:val="00386CF0"/>
    <w:rsid w:val="003A7451"/>
    <w:rsid w:val="003B2204"/>
    <w:rsid w:val="003B6B4F"/>
    <w:rsid w:val="003B70FB"/>
    <w:rsid w:val="003C093F"/>
    <w:rsid w:val="003C676B"/>
    <w:rsid w:val="003D3BC2"/>
    <w:rsid w:val="003E05E8"/>
    <w:rsid w:val="003E1FE9"/>
    <w:rsid w:val="003E2C82"/>
    <w:rsid w:val="003E6CA1"/>
    <w:rsid w:val="004065A8"/>
    <w:rsid w:val="00414671"/>
    <w:rsid w:val="004165C2"/>
    <w:rsid w:val="0043200A"/>
    <w:rsid w:val="004403A2"/>
    <w:rsid w:val="00440B44"/>
    <w:rsid w:val="00441ECB"/>
    <w:rsid w:val="00445193"/>
    <w:rsid w:val="00447897"/>
    <w:rsid w:val="00447BBF"/>
    <w:rsid w:val="004504B2"/>
    <w:rsid w:val="0045247F"/>
    <w:rsid w:val="00454503"/>
    <w:rsid w:val="00455FDA"/>
    <w:rsid w:val="00462C1B"/>
    <w:rsid w:val="00467B7E"/>
    <w:rsid w:val="004726CA"/>
    <w:rsid w:val="00473BB4"/>
    <w:rsid w:val="00477592"/>
    <w:rsid w:val="00486F1C"/>
    <w:rsid w:val="0049419D"/>
    <w:rsid w:val="004A6A54"/>
    <w:rsid w:val="004C20D2"/>
    <w:rsid w:val="004C2312"/>
    <w:rsid w:val="004C4B62"/>
    <w:rsid w:val="004C54C9"/>
    <w:rsid w:val="004D4ABA"/>
    <w:rsid w:val="004D6025"/>
    <w:rsid w:val="004D78C1"/>
    <w:rsid w:val="004E1619"/>
    <w:rsid w:val="004E2649"/>
    <w:rsid w:val="004F7707"/>
    <w:rsid w:val="00501399"/>
    <w:rsid w:val="0050633D"/>
    <w:rsid w:val="00507951"/>
    <w:rsid w:val="00507BC4"/>
    <w:rsid w:val="005128E4"/>
    <w:rsid w:val="005133DB"/>
    <w:rsid w:val="0051652D"/>
    <w:rsid w:val="00525560"/>
    <w:rsid w:val="005268FB"/>
    <w:rsid w:val="00544C49"/>
    <w:rsid w:val="00544E91"/>
    <w:rsid w:val="00547814"/>
    <w:rsid w:val="005516A1"/>
    <w:rsid w:val="00563557"/>
    <w:rsid w:val="00566CB8"/>
    <w:rsid w:val="0057402A"/>
    <w:rsid w:val="005771D0"/>
    <w:rsid w:val="00585D5F"/>
    <w:rsid w:val="00590296"/>
    <w:rsid w:val="0059191A"/>
    <w:rsid w:val="005921FF"/>
    <w:rsid w:val="0059369B"/>
    <w:rsid w:val="005A24ED"/>
    <w:rsid w:val="005A28CC"/>
    <w:rsid w:val="005A6D0E"/>
    <w:rsid w:val="005B226B"/>
    <w:rsid w:val="005B52B0"/>
    <w:rsid w:val="005B6806"/>
    <w:rsid w:val="005C0010"/>
    <w:rsid w:val="005C4225"/>
    <w:rsid w:val="005C5CCF"/>
    <w:rsid w:val="005C6DA1"/>
    <w:rsid w:val="005E5869"/>
    <w:rsid w:val="005F0DAD"/>
    <w:rsid w:val="005F0F33"/>
    <w:rsid w:val="00600DEB"/>
    <w:rsid w:val="0060356B"/>
    <w:rsid w:val="00606CDA"/>
    <w:rsid w:val="00613C8A"/>
    <w:rsid w:val="006218E4"/>
    <w:rsid w:val="00622697"/>
    <w:rsid w:val="00623C62"/>
    <w:rsid w:val="00627C9F"/>
    <w:rsid w:val="00627DA9"/>
    <w:rsid w:val="006311E9"/>
    <w:rsid w:val="00632354"/>
    <w:rsid w:val="00642810"/>
    <w:rsid w:val="00652333"/>
    <w:rsid w:val="00663E46"/>
    <w:rsid w:val="006731B9"/>
    <w:rsid w:val="0068009E"/>
    <w:rsid w:val="00692219"/>
    <w:rsid w:val="006A0DC2"/>
    <w:rsid w:val="006A17D2"/>
    <w:rsid w:val="006A3251"/>
    <w:rsid w:val="006A73E6"/>
    <w:rsid w:val="006B2D5C"/>
    <w:rsid w:val="006C4EB1"/>
    <w:rsid w:val="006D421B"/>
    <w:rsid w:val="006E0166"/>
    <w:rsid w:val="006E2CC0"/>
    <w:rsid w:val="006E7B34"/>
    <w:rsid w:val="006F00E7"/>
    <w:rsid w:val="006F084F"/>
    <w:rsid w:val="006F1C9E"/>
    <w:rsid w:val="006F5ACD"/>
    <w:rsid w:val="00706149"/>
    <w:rsid w:val="007067C6"/>
    <w:rsid w:val="0070697F"/>
    <w:rsid w:val="00710CE8"/>
    <w:rsid w:val="00711C21"/>
    <w:rsid w:val="007160BD"/>
    <w:rsid w:val="007218F1"/>
    <w:rsid w:val="0072199C"/>
    <w:rsid w:val="00722C9F"/>
    <w:rsid w:val="007253B8"/>
    <w:rsid w:val="0073741F"/>
    <w:rsid w:val="00742890"/>
    <w:rsid w:val="00742E25"/>
    <w:rsid w:val="00756F85"/>
    <w:rsid w:val="0076643F"/>
    <w:rsid w:val="00773E6C"/>
    <w:rsid w:val="00777F63"/>
    <w:rsid w:val="0078681C"/>
    <w:rsid w:val="00790F30"/>
    <w:rsid w:val="007A0CDE"/>
    <w:rsid w:val="007A5817"/>
    <w:rsid w:val="007B05C4"/>
    <w:rsid w:val="007B3FA3"/>
    <w:rsid w:val="007B60E9"/>
    <w:rsid w:val="007B6CC3"/>
    <w:rsid w:val="007C3334"/>
    <w:rsid w:val="007C4150"/>
    <w:rsid w:val="007D2B98"/>
    <w:rsid w:val="007D48DE"/>
    <w:rsid w:val="007E21BC"/>
    <w:rsid w:val="007E7C82"/>
    <w:rsid w:val="007F203C"/>
    <w:rsid w:val="007F588D"/>
    <w:rsid w:val="00802833"/>
    <w:rsid w:val="0080383D"/>
    <w:rsid w:val="00803F1C"/>
    <w:rsid w:val="0080600E"/>
    <w:rsid w:val="0080687A"/>
    <w:rsid w:val="00817612"/>
    <w:rsid w:val="008338A4"/>
    <w:rsid w:val="00834D49"/>
    <w:rsid w:val="00837C45"/>
    <w:rsid w:val="00844730"/>
    <w:rsid w:val="008457C2"/>
    <w:rsid w:val="00857A82"/>
    <w:rsid w:val="00866F3B"/>
    <w:rsid w:val="00873836"/>
    <w:rsid w:val="00876D62"/>
    <w:rsid w:val="0088239D"/>
    <w:rsid w:val="00883BDD"/>
    <w:rsid w:val="00885737"/>
    <w:rsid w:val="00890650"/>
    <w:rsid w:val="00890AD8"/>
    <w:rsid w:val="00893CA2"/>
    <w:rsid w:val="008948FF"/>
    <w:rsid w:val="00897E12"/>
    <w:rsid w:val="008A7E0F"/>
    <w:rsid w:val="008B12F5"/>
    <w:rsid w:val="008B20E6"/>
    <w:rsid w:val="008D00AC"/>
    <w:rsid w:val="008D768D"/>
    <w:rsid w:val="008E3759"/>
    <w:rsid w:val="008E3BFE"/>
    <w:rsid w:val="008E6CE0"/>
    <w:rsid w:val="008F1912"/>
    <w:rsid w:val="008F22E7"/>
    <w:rsid w:val="0090270B"/>
    <w:rsid w:val="009041DC"/>
    <w:rsid w:val="00917B5A"/>
    <w:rsid w:val="00920A58"/>
    <w:rsid w:val="00920A8C"/>
    <w:rsid w:val="009223E3"/>
    <w:rsid w:val="009225CF"/>
    <w:rsid w:val="00931F51"/>
    <w:rsid w:val="00933F6A"/>
    <w:rsid w:val="00934A2C"/>
    <w:rsid w:val="00934B2B"/>
    <w:rsid w:val="009559CD"/>
    <w:rsid w:val="00960625"/>
    <w:rsid w:val="009629C7"/>
    <w:rsid w:val="0096706E"/>
    <w:rsid w:val="0096709F"/>
    <w:rsid w:val="00974491"/>
    <w:rsid w:val="00975C4E"/>
    <w:rsid w:val="00981FBA"/>
    <w:rsid w:val="00986116"/>
    <w:rsid w:val="0099258D"/>
    <w:rsid w:val="00997BC5"/>
    <w:rsid w:val="009A4F41"/>
    <w:rsid w:val="009B381B"/>
    <w:rsid w:val="009C42F3"/>
    <w:rsid w:val="009C4C14"/>
    <w:rsid w:val="009D1753"/>
    <w:rsid w:val="009D7611"/>
    <w:rsid w:val="009E0B61"/>
    <w:rsid w:val="009E53DE"/>
    <w:rsid w:val="00A11E44"/>
    <w:rsid w:val="00A1365F"/>
    <w:rsid w:val="00A218EF"/>
    <w:rsid w:val="00A24333"/>
    <w:rsid w:val="00A328B3"/>
    <w:rsid w:val="00A3717F"/>
    <w:rsid w:val="00A50FCF"/>
    <w:rsid w:val="00A528D1"/>
    <w:rsid w:val="00A610CD"/>
    <w:rsid w:val="00A65E58"/>
    <w:rsid w:val="00A74695"/>
    <w:rsid w:val="00A758AA"/>
    <w:rsid w:val="00AA09A2"/>
    <w:rsid w:val="00AA7996"/>
    <w:rsid w:val="00AC19CB"/>
    <w:rsid w:val="00AE33F9"/>
    <w:rsid w:val="00AE5488"/>
    <w:rsid w:val="00AE6F91"/>
    <w:rsid w:val="00AE7900"/>
    <w:rsid w:val="00AF5571"/>
    <w:rsid w:val="00B07341"/>
    <w:rsid w:val="00B10D88"/>
    <w:rsid w:val="00B165FF"/>
    <w:rsid w:val="00B254A3"/>
    <w:rsid w:val="00B259EF"/>
    <w:rsid w:val="00B30539"/>
    <w:rsid w:val="00B314DB"/>
    <w:rsid w:val="00B361F2"/>
    <w:rsid w:val="00B3718B"/>
    <w:rsid w:val="00B44E2A"/>
    <w:rsid w:val="00B4632A"/>
    <w:rsid w:val="00B46C68"/>
    <w:rsid w:val="00B530F1"/>
    <w:rsid w:val="00B532AA"/>
    <w:rsid w:val="00B60C16"/>
    <w:rsid w:val="00B643B4"/>
    <w:rsid w:val="00B73438"/>
    <w:rsid w:val="00BA276C"/>
    <w:rsid w:val="00BA3F95"/>
    <w:rsid w:val="00BB306F"/>
    <w:rsid w:val="00BC1EE3"/>
    <w:rsid w:val="00BD4B89"/>
    <w:rsid w:val="00BD5460"/>
    <w:rsid w:val="00BD5922"/>
    <w:rsid w:val="00BF02CB"/>
    <w:rsid w:val="00BF561B"/>
    <w:rsid w:val="00BF6FD8"/>
    <w:rsid w:val="00C03680"/>
    <w:rsid w:val="00C05296"/>
    <w:rsid w:val="00C054DF"/>
    <w:rsid w:val="00C21762"/>
    <w:rsid w:val="00C21FEF"/>
    <w:rsid w:val="00C225C4"/>
    <w:rsid w:val="00C24543"/>
    <w:rsid w:val="00C256A2"/>
    <w:rsid w:val="00C26D0A"/>
    <w:rsid w:val="00C450AE"/>
    <w:rsid w:val="00C51515"/>
    <w:rsid w:val="00C53201"/>
    <w:rsid w:val="00C5660B"/>
    <w:rsid w:val="00C66B72"/>
    <w:rsid w:val="00C725B5"/>
    <w:rsid w:val="00C74927"/>
    <w:rsid w:val="00C765B7"/>
    <w:rsid w:val="00C76649"/>
    <w:rsid w:val="00C85BEA"/>
    <w:rsid w:val="00C87AC4"/>
    <w:rsid w:val="00C9567A"/>
    <w:rsid w:val="00CB212D"/>
    <w:rsid w:val="00CB2660"/>
    <w:rsid w:val="00CB2E5A"/>
    <w:rsid w:val="00CC09CB"/>
    <w:rsid w:val="00CC0AD2"/>
    <w:rsid w:val="00CC5E90"/>
    <w:rsid w:val="00CD046C"/>
    <w:rsid w:val="00CD464E"/>
    <w:rsid w:val="00CE076C"/>
    <w:rsid w:val="00CE2A41"/>
    <w:rsid w:val="00CE5199"/>
    <w:rsid w:val="00CE66D5"/>
    <w:rsid w:val="00CF637A"/>
    <w:rsid w:val="00D059DE"/>
    <w:rsid w:val="00D05ABD"/>
    <w:rsid w:val="00D13FCE"/>
    <w:rsid w:val="00D14F60"/>
    <w:rsid w:val="00D24725"/>
    <w:rsid w:val="00D306D1"/>
    <w:rsid w:val="00D30800"/>
    <w:rsid w:val="00D34786"/>
    <w:rsid w:val="00D37BFC"/>
    <w:rsid w:val="00D4529C"/>
    <w:rsid w:val="00D45905"/>
    <w:rsid w:val="00D47A8E"/>
    <w:rsid w:val="00D52D14"/>
    <w:rsid w:val="00D64F28"/>
    <w:rsid w:val="00D712D3"/>
    <w:rsid w:val="00D71422"/>
    <w:rsid w:val="00D72DC6"/>
    <w:rsid w:val="00D7558D"/>
    <w:rsid w:val="00D81471"/>
    <w:rsid w:val="00D81D92"/>
    <w:rsid w:val="00D876F9"/>
    <w:rsid w:val="00DA2715"/>
    <w:rsid w:val="00DA671F"/>
    <w:rsid w:val="00DA7B5F"/>
    <w:rsid w:val="00DB3534"/>
    <w:rsid w:val="00DB42D0"/>
    <w:rsid w:val="00DC11E7"/>
    <w:rsid w:val="00DC7023"/>
    <w:rsid w:val="00DC769A"/>
    <w:rsid w:val="00DD0231"/>
    <w:rsid w:val="00DD26CE"/>
    <w:rsid w:val="00DD3D86"/>
    <w:rsid w:val="00DE02AB"/>
    <w:rsid w:val="00DF05F0"/>
    <w:rsid w:val="00DF1EC4"/>
    <w:rsid w:val="00E0340B"/>
    <w:rsid w:val="00E04A90"/>
    <w:rsid w:val="00E0551F"/>
    <w:rsid w:val="00E069A1"/>
    <w:rsid w:val="00E219C7"/>
    <w:rsid w:val="00E25F59"/>
    <w:rsid w:val="00E2743A"/>
    <w:rsid w:val="00E4118C"/>
    <w:rsid w:val="00E43157"/>
    <w:rsid w:val="00E44035"/>
    <w:rsid w:val="00E461CE"/>
    <w:rsid w:val="00E47176"/>
    <w:rsid w:val="00E47256"/>
    <w:rsid w:val="00E50BE8"/>
    <w:rsid w:val="00E6386B"/>
    <w:rsid w:val="00E720CA"/>
    <w:rsid w:val="00E75E2E"/>
    <w:rsid w:val="00E84EB5"/>
    <w:rsid w:val="00E85662"/>
    <w:rsid w:val="00E8734F"/>
    <w:rsid w:val="00E8789F"/>
    <w:rsid w:val="00E91F8C"/>
    <w:rsid w:val="00E97B71"/>
    <w:rsid w:val="00EA3D34"/>
    <w:rsid w:val="00EB454D"/>
    <w:rsid w:val="00EC33A0"/>
    <w:rsid w:val="00EC3C2F"/>
    <w:rsid w:val="00ED0C98"/>
    <w:rsid w:val="00ED549D"/>
    <w:rsid w:val="00ED76BE"/>
    <w:rsid w:val="00EE00E9"/>
    <w:rsid w:val="00EE28EE"/>
    <w:rsid w:val="00EF619B"/>
    <w:rsid w:val="00F00B55"/>
    <w:rsid w:val="00F02AD1"/>
    <w:rsid w:val="00F02C97"/>
    <w:rsid w:val="00F253CC"/>
    <w:rsid w:val="00F34AFF"/>
    <w:rsid w:val="00F37106"/>
    <w:rsid w:val="00F519CF"/>
    <w:rsid w:val="00F55B4E"/>
    <w:rsid w:val="00F56253"/>
    <w:rsid w:val="00F56BA5"/>
    <w:rsid w:val="00F60E22"/>
    <w:rsid w:val="00F717C2"/>
    <w:rsid w:val="00F730D3"/>
    <w:rsid w:val="00F81395"/>
    <w:rsid w:val="00F81BB8"/>
    <w:rsid w:val="00F917D1"/>
    <w:rsid w:val="00F9653B"/>
    <w:rsid w:val="00FB62CF"/>
    <w:rsid w:val="00FD3C3B"/>
    <w:rsid w:val="00FD42AD"/>
    <w:rsid w:val="00FD62AD"/>
    <w:rsid w:val="00FE07DD"/>
    <w:rsid w:val="00FE6B45"/>
    <w:rsid w:val="00FF1323"/>
    <w:rsid w:val="00FF3683"/>
    <w:rsid w:val="00FF55F3"/>
    <w:rsid w:val="00FF5851"/>
    <w:rsid w:val="00FF6289"/>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010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6709F"/>
    <w:rPr>
      <w:sz w:val="16"/>
      <w:szCs w:val="16"/>
    </w:rPr>
  </w:style>
  <w:style w:type="paragraph" w:styleId="CommentText">
    <w:name w:val="annotation text"/>
    <w:basedOn w:val="Normal"/>
    <w:link w:val="CommentTextChar"/>
    <w:uiPriority w:val="99"/>
    <w:semiHidden/>
    <w:unhideWhenUsed/>
    <w:rsid w:val="0096709F"/>
    <w:rPr>
      <w:sz w:val="20"/>
      <w:szCs w:val="20"/>
    </w:rPr>
  </w:style>
  <w:style w:type="character" w:customStyle="1" w:styleId="CommentTextChar">
    <w:name w:val="Comment Text Char"/>
    <w:basedOn w:val="DefaultParagraphFont"/>
    <w:link w:val="CommentText"/>
    <w:uiPriority w:val="99"/>
    <w:semiHidden/>
    <w:rsid w:val="0096709F"/>
    <w:rPr>
      <w:lang w:val="en-US" w:eastAsia="en-US"/>
    </w:rPr>
  </w:style>
  <w:style w:type="paragraph" w:styleId="CommentSubject">
    <w:name w:val="annotation subject"/>
    <w:basedOn w:val="CommentText"/>
    <w:next w:val="CommentText"/>
    <w:link w:val="CommentSubjectChar"/>
    <w:uiPriority w:val="99"/>
    <w:semiHidden/>
    <w:unhideWhenUsed/>
    <w:rsid w:val="0096709F"/>
    <w:rPr>
      <w:b/>
      <w:bCs/>
    </w:rPr>
  </w:style>
  <w:style w:type="character" w:customStyle="1" w:styleId="CommentSubjectChar">
    <w:name w:val="Comment Subject Char"/>
    <w:basedOn w:val="CommentTextChar"/>
    <w:link w:val="CommentSubject"/>
    <w:uiPriority w:val="99"/>
    <w:semiHidden/>
    <w:rsid w:val="0096709F"/>
    <w:rPr>
      <w:b/>
      <w:bCs/>
      <w:lang w:val="en-US" w:eastAsia="en-US"/>
    </w:rPr>
  </w:style>
  <w:style w:type="paragraph" w:customStyle="1" w:styleId="Body">
    <w:name w:val="Body"/>
    <w:rsid w:val="005268FB"/>
    <w:rPr>
      <w:rFonts w:cs="Arial Unicode MS"/>
      <w:color w:val="000000"/>
      <w:sz w:val="24"/>
      <w:szCs w:val="24"/>
      <w:u w:color="000000"/>
      <w:lang w:val="en-US" w:eastAsia="en-US"/>
    </w:rPr>
  </w:style>
  <w:style w:type="numbering" w:customStyle="1" w:styleId="ImportedStyle2">
    <w:name w:val="Imported Style 2"/>
    <w:rsid w:val="005268FB"/>
    <w:pPr>
      <w:numPr>
        <w:numId w:val="55"/>
      </w:numPr>
    </w:pPr>
  </w:style>
  <w:style w:type="numbering" w:customStyle="1" w:styleId="ImportedStyle3">
    <w:name w:val="Imported Style 3"/>
    <w:rsid w:val="005268FB"/>
    <w:pPr>
      <w:numPr>
        <w:numId w:val="5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413910">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CC00BABF2EA4BDC95125B72D2BF8292"/>
        <w:category>
          <w:name w:val="General"/>
          <w:gallery w:val="placeholder"/>
        </w:category>
        <w:types>
          <w:type w:val="bbPlcHdr"/>
        </w:types>
        <w:behaviors>
          <w:behavior w:val="content"/>
        </w:behaviors>
        <w:guid w:val="{F82E19EA-309D-428C-B050-E252E5BE1B8F}"/>
      </w:docPartPr>
      <w:docPartBody>
        <w:p w:rsidR="009E7D65" w:rsidRDefault="005342BA" w:rsidP="005342BA">
          <w:pPr>
            <w:pStyle w:val="3CC00BABF2EA4BDC95125B72D2BF829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C639B"/>
    <w:rsid w:val="00200821"/>
    <w:rsid w:val="00233774"/>
    <w:rsid w:val="00266554"/>
    <w:rsid w:val="00394049"/>
    <w:rsid w:val="004F2DF8"/>
    <w:rsid w:val="005342BA"/>
    <w:rsid w:val="005C0C44"/>
    <w:rsid w:val="005F1A2F"/>
    <w:rsid w:val="0060264A"/>
    <w:rsid w:val="0067227E"/>
    <w:rsid w:val="007200C3"/>
    <w:rsid w:val="0073427B"/>
    <w:rsid w:val="00782223"/>
    <w:rsid w:val="00826E44"/>
    <w:rsid w:val="009703B3"/>
    <w:rsid w:val="009A261B"/>
    <w:rsid w:val="009E7D65"/>
    <w:rsid w:val="00A56429"/>
    <w:rsid w:val="00A80389"/>
    <w:rsid w:val="00AC0348"/>
    <w:rsid w:val="00AC15A4"/>
    <w:rsid w:val="00B0336C"/>
    <w:rsid w:val="00D223B1"/>
    <w:rsid w:val="00D435D1"/>
    <w:rsid w:val="00DE7283"/>
    <w:rsid w:val="00E114B9"/>
    <w:rsid w:val="00E32515"/>
    <w:rsid w:val="00EF1061"/>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42BA"/>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 w:type="paragraph" w:customStyle="1" w:styleId="BEC911C59E5F4A1AAC4F3DF5804F7AC3">
    <w:name w:val="BEC911C59E5F4A1AAC4F3DF5804F7AC3"/>
    <w:rsid w:val="00233774"/>
    <w:rPr>
      <w:lang w:val="en-GB" w:eastAsia="en-GB"/>
    </w:rPr>
  </w:style>
  <w:style w:type="paragraph" w:customStyle="1" w:styleId="863FF9A67CA24C9188B31A5B16E40309">
    <w:name w:val="863FF9A67CA24C9188B31A5B16E40309"/>
    <w:rsid w:val="00233774"/>
    <w:rPr>
      <w:lang w:val="en-GB" w:eastAsia="en-GB"/>
    </w:rPr>
  </w:style>
  <w:style w:type="paragraph" w:customStyle="1" w:styleId="E065DD10ECF64A568B1C669E7B23DD9E">
    <w:name w:val="E065DD10ECF64A568B1C669E7B23DD9E"/>
    <w:rsid w:val="00233774"/>
    <w:rPr>
      <w:lang w:val="en-GB" w:eastAsia="en-GB"/>
    </w:rPr>
  </w:style>
  <w:style w:type="paragraph" w:customStyle="1" w:styleId="6465614E20AF4A5B8FB5BBB67C515F4F">
    <w:name w:val="6465614E20AF4A5B8FB5BBB67C515F4F"/>
    <w:rsid w:val="005342BA"/>
    <w:pPr>
      <w:spacing w:after="160" w:line="259" w:lineRule="auto"/>
    </w:pPr>
  </w:style>
  <w:style w:type="paragraph" w:customStyle="1" w:styleId="D12B08C479944548B7903D657067B44E">
    <w:name w:val="D12B08C479944548B7903D657067B44E"/>
    <w:rsid w:val="005342BA"/>
    <w:pPr>
      <w:spacing w:after="160" w:line="259" w:lineRule="auto"/>
    </w:pPr>
  </w:style>
  <w:style w:type="paragraph" w:customStyle="1" w:styleId="3CC00BABF2EA4BDC95125B72D2BF8292">
    <w:name w:val="3CC00BABF2EA4BDC95125B72D2BF8292"/>
    <w:rsid w:val="005342B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1BA61-EC26-488E-B569-32DF300F0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1915</Words>
  <Characters>10112</Characters>
  <Application>Microsoft Office Word</Application>
  <DocSecurity>0</DocSecurity>
  <Lines>183</Lines>
  <Paragraphs>51</Paragraphs>
  <ScaleCrop>false</ScaleCrop>
  <Company/>
  <LinksUpToDate>false</LinksUpToDate>
  <CharactersWithSpaces>11976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137/20</dc:title>
  <dc:creator/>
  <cp:lastModifiedBy/>
  <cp:revision>1</cp:revision>
  <dcterms:created xsi:type="dcterms:W3CDTF">2020-07-09T19:43:00Z</dcterms:created>
  <dcterms:modified xsi:type="dcterms:W3CDTF">2020-07-09T19:44:00Z</dcterms:modified>
</cp:coreProperties>
</file>