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79EA2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F5D5B40"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F5D5B40"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A9A9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524F">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B7244B" w:rsidRPr="008E4156">
                              <w:rPr>
                                <w:rFonts w:asciiTheme="majorHAnsi" w:hAnsiTheme="majorHAnsi" w:cs="Arial"/>
                                <w:b/>
                                <w:bCs/>
                                <w:sz w:val="36"/>
                                <w:szCs w:val="22"/>
                                <w:lang w:val="es-ES_tradnl"/>
                              </w:rPr>
                              <w:t>20</w:t>
                            </w:r>
                          </w:p>
                          <w:p w14:paraId="09C54AB3" w14:textId="4AED82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383C">
                              <w:rPr>
                                <w:rFonts w:asciiTheme="majorHAnsi" w:hAnsiTheme="majorHAnsi" w:cs="Arial"/>
                                <w:b/>
                                <w:color w:val="0D0D0D" w:themeColor="text1" w:themeTint="F2"/>
                                <w:sz w:val="36"/>
                                <w:szCs w:val="22"/>
                                <w:lang w:val="es-ES_tradnl"/>
                              </w:rPr>
                              <w:t>393</w:t>
                            </w:r>
                            <w:r w:rsidR="00246D1F" w:rsidRPr="004E2649">
                              <w:rPr>
                                <w:rFonts w:asciiTheme="majorHAnsi" w:hAnsiTheme="majorHAnsi" w:cs="Arial"/>
                                <w:b/>
                                <w:color w:val="0D0D0D" w:themeColor="text1" w:themeTint="F2"/>
                                <w:sz w:val="36"/>
                                <w:szCs w:val="22"/>
                                <w:lang w:val="es-ES_tradnl"/>
                              </w:rPr>
                              <w:t>-</w:t>
                            </w:r>
                            <w:r w:rsidR="008F383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736752D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33D2763" w14:textId="77777777" w:rsidR="008F524F" w:rsidRDefault="008F38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COMUNIDADES IND</w:t>
                            </w:r>
                            <w:r w:rsidR="008C5751">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GENAS CAMPESINAS TURÍSTI</w:t>
                            </w:r>
                            <w:r w:rsidR="008C5751">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 xml:space="preserve">AS </w:t>
                            </w:r>
                          </w:p>
                          <w:p w14:paraId="05737BB6" w14:textId="0CB913E6" w:rsidR="008F383C" w:rsidRDefault="008F38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MEDIO AMBIENTE DE LOS GEISERS DEL TATIO</w:t>
                            </w:r>
                            <w:bookmarkEnd w:id="1"/>
                          </w:p>
                          <w:p w14:paraId="35068D0D" w14:textId="34181C91"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1A9A9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524F">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B7244B" w:rsidRPr="008E4156">
                        <w:rPr>
                          <w:rFonts w:asciiTheme="majorHAnsi" w:hAnsiTheme="majorHAnsi" w:cs="Arial"/>
                          <w:b/>
                          <w:bCs/>
                          <w:sz w:val="36"/>
                          <w:szCs w:val="22"/>
                          <w:lang w:val="es-ES_tradnl"/>
                        </w:rPr>
                        <w:t>20</w:t>
                      </w:r>
                    </w:p>
                    <w:p w14:paraId="09C54AB3" w14:textId="4AED82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383C">
                        <w:rPr>
                          <w:rFonts w:asciiTheme="majorHAnsi" w:hAnsiTheme="majorHAnsi" w:cs="Arial"/>
                          <w:b/>
                          <w:color w:val="0D0D0D" w:themeColor="text1" w:themeTint="F2"/>
                          <w:sz w:val="36"/>
                          <w:szCs w:val="22"/>
                          <w:lang w:val="es-ES_tradnl"/>
                        </w:rPr>
                        <w:t>393</w:t>
                      </w:r>
                      <w:r w:rsidR="00246D1F" w:rsidRPr="004E2649">
                        <w:rPr>
                          <w:rFonts w:asciiTheme="majorHAnsi" w:hAnsiTheme="majorHAnsi" w:cs="Arial"/>
                          <w:b/>
                          <w:color w:val="0D0D0D" w:themeColor="text1" w:themeTint="F2"/>
                          <w:sz w:val="36"/>
                          <w:szCs w:val="22"/>
                          <w:lang w:val="es-ES_tradnl"/>
                        </w:rPr>
                        <w:t>-</w:t>
                      </w:r>
                      <w:r w:rsidR="008F383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736752D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33D2763" w14:textId="77777777" w:rsidR="008F524F" w:rsidRDefault="008F38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COMUNIDADES IND</w:t>
                      </w:r>
                      <w:r w:rsidR="008C5751">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GENAS CAMPESINAS TURÍSTI</w:t>
                      </w:r>
                      <w:r w:rsidR="008C5751">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 xml:space="preserve">AS </w:t>
                      </w:r>
                    </w:p>
                    <w:p w14:paraId="05737BB6" w14:textId="0CB913E6" w:rsidR="008F383C" w:rsidRDefault="008F38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MEDIO AMBIENTE DE LOS GEISERS DEL TATIO</w:t>
                      </w:r>
                      <w:bookmarkEnd w:id="1"/>
                    </w:p>
                    <w:p w14:paraId="35068D0D" w14:textId="34181C91"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4F5DE9" w:rsidR="00627C9F" w:rsidRPr="008F524F" w:rsidRDefault="00834D49" w:rsidP="007A5817">
                            <w:pPr>
                              <w:spacing w:line="276" w:lineRule="auto"/>
                              <w:jc w:val="right"/>
                              <w:rPr>
                                <w:rFonts w:asciiTheme="minorHAnsi" w:hAnsiTheme="minorHAnsi"/>
                                <w:color w:val="FFFFFF" w:themeColor="background1"/>
                                <w:sz w:val="22"/>
                                <w:lang w:val="pt-BR"/>
                              </w:rPr>
                            </w:pPr>
                            <w:r w:rsidRPr="008F524F">
                              <w:rPr>
                                <w:rFonts w:asciiTheme="minorHAnsi" w:hAnsiTheme="minorHAnsi"/>
                                <w:color w:val="FFFFFF" w:themeColor="background1"/>
                                <w:sz w:val="22"/>
                                <w:lang w:val="pt-BR"/>
                              </w:rPr>
                              <w:t>OEA/Ser.L/V/II.</w:t>
                            </w:r>
                          </w:p>
                          <w:p w14:paraId="6A41611B" w14:textId="227BD852" w:rsidR="00627C9F" w:rsidRPr="008F524F" w:rsidRDefault="00627C9F" w:rsidP="007A5817">
                            <w:pPr>
                              <w:spacing w:line="276" w:lineRule="auto"/>
                              <w:jc w:val="right"/>
                              <w:rPr>
                                <w:rFonts w:asciiTheme="minorHAnsi" w:hAnsiTheme="minorHAnsi"/>
                                <w:color w:val="FFFFFF" w:themeColor="background1"/>
                                <w:sz w:val="22"/>
                                <w:lang w:val="pt-BR"/>
                              </w:rPr>
                            </w:pPr>
                            <w:r w:rsidRPr="008F524F">
                              <w:rPr>
                                <w:rFonts w:asciiTheme="minorHAnsi" w:hAnsiTheme="minorHAnsi"/>
                                <w:color w:val="FFFFFF" w:themeColor="background1"/>
                                <w:sz w:val="22"/>
                                <w:lang w:val="pt-BR"/>
                              </w:rPr>
                              <w:t xml:space="preserve">Doc. </w:t>
                            </w:r>
                            <w:r w:rsidR="008F524F">
                              <w:rPr>
                                <w:rFonts w:asciiTheme="minorHAnsi" w:hAnsiTheme="minorHAnsi"/>
                                <w:color w:val="FFFFFF" w:themeColor="background1"/>
                                <w:sz w:val="22"/>
                                <w:lang w:val="pt-BR"/>
                              </w:rPr>
                              <w:t>45</w:t>
                            </w:r>
                          </w:p>
                          <w:p w14:paraId="69373ED2" w14:textId="78BBB4CA" w:rsidR="00627C9F" w:rsidRPr="008F524F" w:rsidRDefault="008F524F"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14</w:t>
                            </w:r>
                            <w:r w:rsidR="00627C9F" w:rsidRPr="008F524F">
                              <w:rPr>
                                <w:rFonts w:asciiTheme="minorHAnsi" w:hAnsiTheme="minorHAnsi"/>
                                <w:color w:val="FFFFFF" w:themeColor="background1"/>
                                <w:sz w:val="22"/>
                                <w:lang w:val="es-419"/>
                              </w:rPr>
                              <w:t xml:space="preserve"> </w:t>
                            </w:r>
                            <w:r>
                              <w:rPr>
                                <w:rFonts w:asciiTheme="minorHAnsi" w:hAnsiTheme="minorHAnsi"/>
                                <w:color w:val="FFFFFF" w:themeColor="background1"/>
                                <w:sz w:val="22"/>
                                <w:lang w:val="es-419"/>
                              </w:rPr>
                              <w:t>abril 2020</w:t>
                            </w:r>
                          </w:p>
                          <w:p w14:paraId="0771DB5B" w14:textId="77777777" w:rsidR="00627C9F" w:rsidRPr="00A90187" w:rsidRDefault="00E0340B" w:rsidP="007A5817">
                            <w:pPr>
                              <w:spacing w:line="276" w:lineRule="auto"/>
                              <w:jc w:val="right"/>
                              <w:rPr>
                                <w:rFonts w:asciiTheme="minorHAnsi" w:hAnsiTheme="minorHAnsi"/>
                                <w:color w:val="FFFFFF" w:themeColor="background1"/>
                                <w:sz w:val="22"/>
                                <w:lang w:val="es-419"/>
                              </w:rPr>
                            </w:pPr>
                            <w:r w:rsidRPr="008F524F">
                              <w:rPr>
                                <w:rFonts w:asciiTheme="minorHAnsi" w:hAnsiTheme="minorHAnsi"/>
                                <w:color w:val="FFFFFF" w:themeColor="background1"/>
                                <w:sz w:val="22"/>
                                <w:lang w:val="es-419"/>
                              </w:rPr>
                              <w:t xml:space="preserve">Original: </w:t>
                            </w:r>
                            <w:r w:rsidR="008B12F5" w:rsidRPr="008F524F">
                              <w:rPr>
                                <w:rFonts w:asciiTheme="minorHAnsi" w:hAnsiTheme="minorHAnsi"/>
                                <w:color w:val="FFFFFF" w:themeColor="background1"/>
                                <w:sz w:val="22"/>
                                <w:lang w:val="es-419"/>
                              </w:rPr>
                              <w:t>e</w:t>
                            </w:r>
                            <w:r w:rsidR="00627C9F" w:rsidRPr="008F524F">
                              <w:rPr>
                                <w:rFonts w:asciiTheme="minorHAnsi" w:hAnsiTheme="minorHAnsi"/>
                                <w:color w:val="FFFFFF" w:themeColor="background1"/>
                                <w:sz w:val="22"/>
                                <w:lang w:val="es-419"/>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C4F5DE9" w:rsidR="00627C9F" w:rsidRPr="008F524F" w:rsidRDefault="00834D49" w:rsidP="007A5817">
                      <w:pPr>
                        <w:spacing w:line="276" w:lineRule="auto"/>
                        <w:jc w:val="right"/>
                        <w:rPr>
                          <w:rFonts w:asciiTheme="minorHAnsi" w:hAnsiTheme="minorHAnsi"/>
                          <w:color w:val="FFFFFF" w:themeColor="background1"/>
                          <w:sz w:val="22"/>
                          <w:lang w:val="pt-BR"/>
                        </w:rPr>
                      </w:pPr>
                      <w:r w:rsidRPr="008F524F">
                        <w:rPr>
                          <w:rFonts w:asciiTheme="minorHAnsi" w:hAnsiTheme="minorHAnsi"/>
                          <w:color w:val="FFFFFF" w:themeColor="background1"/>
                          <w:sz w:val="22"/>
                          <w:lang w:val="pt-BR"/>
                        </w:rPr>
                        <w:t>OEA/Ser.L/V/II.</w:t>
                      </w:r>
                    </w:p>
                    <w:p w14:paraId="6A41611B" w14:textId="227BD852" w:rsidR="00627C9F" w:rsidRPr="008F524F" w:rsidRDefault="00627C9F" w:rsidP="007A5817">
                      <w:pPr>
                        <w:spacing w:line="276" w:lineRule="auto"/>
                        <w:jc w:val="right"/>
                        <w:rPr>
                          <w:rFonts w:asciiTheme="minorHAnsi" w:hAnsiTheme="minorHAnsi"/>
                          <w:color w:val="FFFFFF" w:themeColor="background1"/>
                          <w:sz w:val="22"/>
                          <w:lang w:val="pt-BR"/>
                        </w:rPr>
                      </w:pPr>
                      <w:r w:rsidRPr="008F524F">
                        <w:rPr>
                          <w:rFonts w:asciiTheme="minorHAnsi" w:hAnsiTheme="minorHAnsi"/>
                          <w:color w:val="FFFFFF" w:themeColor="background1"/>
                          <w:sz w:val="22"/>
                          <w:lang w:val="pt-BR"/>
                        </w:rPr>
                        <w:t xml:space="preserve">Doc. </w:t>
                      </w:r>
                      <w:r w:rsidR="008F524F">
                        <w:rPr>
                          <w:rFonts w:asciiTheme="minorHAnsi" w:hAnsiTheme="minorHAnsi"/>
                          <w:color w:val="FFFFFF" w:themeColor="background1"/>
                          <w:sz w:val="22"/>
                          <w:lang w:val="pt-BR"/>
                        </w:rPr>
                        <w:t>45</w:t>
                      </w:r>
                    </w:p>
                    <w:p w14:paraId="69373ED2" w14:textId="78BBB4CA" w:rsidR="00627C9F" w:rsidRPr="008F524F" w:rsidRDefault="008F524F"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14</w:t>
                      </w:r>
                      <w:r w:rsidR="00627C9F" w:rsidRPr="008F524F">
                        <w:rPr>
                          <w:rFonts w:asciiTheme="minorHAnsi" w:hAnsiTheme="minorHAnsi"/>
                          <w:color w:val="FFFFFF" w:themeColor="background1"/>
                          <w:sz w:val="22"/>
                          <w:lang w:val="es-419"/>
                        </w:rPr>
                        <w:t xml:space="preserve"> </w:t>
                      </w:r>
                      <w:r>
                        <w:rPr>
                          <w:rFonts w:asciiTheme="minorHAnsi" w:hAnsiTheme="minorHAnsi"/>
                          <w:color w:val="FFFFFF" w:themeColor="background1"/>
                          <w:sz w:val="22"/>
                          <w:lang w:val="es-419"/>
                        </w:rPr>
                        <w:t>abril 2020</w:t>
                      </w:r>
                    </w:p>
                    <w:p w14:paraId="0771DB5B" w14:textId="77777777" w:rsidR="00627C9F" w:rsidRPr="00A90187" w:rsidRDefault="00E0340B" w:rsidP="007A5817">
                      <w:pPr>
                        <w:spacing w:line="276" w:lineRule="auto"/>
                        <w:jc w:val="right"/>
                        <w:rPr>
                          <w:rFonts w:asciiTheme="minorHAnsi" w:hAnsiTheme="minorHAnsi"/>
                          <w:color w:val="FFFFFF" w:themeColor="background1"/>
                          <w:sz w:val="22"/>
                          <w:lang w:val="es-419"/>
                        </w:rPr>
                      </w:pPr>
                      <w:r w:rsidRPr="008F524F">
                        <w:rPr>
                          <w:rFonts w:asciiTheme="minorHAnsi" w:hAnsiTheme="minorHAnsi"/>
                          <w:color w:val="FFFFFF" w:themeColor="background1"/>
                          <w:sz w:val="22"/>
                          <w:lang w:val="es-419"/>
                        </w:rPr>
                        <w:t xml:space="preserve">Original: </w:t>
                      </w:r>
                      <w:r w:rsidR="008B12F5" w:rsidRPr="008F524F">
                        <w:rPr>
                          <w:rFonts w:asciiTheme="minorHAnsi" w:hAnsiTheme="minorHAnsi"/>
                          <w:color w:val="FFFFFF" w:themeColor="background1"/>
                          <w:sz w:val="22"/>
                          <w:lang w:val="es-419"/>
                        </w:rPr>
                        <w:t>e</w:t>
                      </w:r>
                      <w:r w:rsidR="00627C9F" w:rsidRPr="008F524F">
                        <w:rPr>
                          <w:rFonts w:asciiTheme="minorHAnsi" w:hAnsiTheme="minorHAnsi"/>
                          <w:color w:val="FFFFFF" w:themeColor="background1"/>
                          <w:sz w:val="22"/>
                          <w:lang w:val="es-419"/>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377F6" w14:textId="77777777" w:rsidR="009C2E90" w:rsidRDefault="009C2E90" w:rsidP="00DD3D86">
                            <w:pPr>
                              <w:tabs>
                                <w:tab w:val="center" w:pos="5400"/>
                              </w:tabs>
                              <w:suppressAutoHyphens/>
                              <w:spacing w:before="60"/>
                              <w:rPr>
                                <w:rFonts w:asciiTheme="majorHAnsi" w:hAnsiTheme="majorHAnsi"/>
                                <w:sz w:val="18"/>
                                <w:szCs w:val="22"/>
                                <w:lang w:val="es-ES"/>
                              </w:rPr>
                            </w:pPr>
                          </w:p>
                          <w:p w14:paraId="2944B4F7" w14:textId="54C89F03" w:rsidR="00DD3D86" w:rsidRPr="008E4156" w:rsidRDefault="00DD3D86" w:rsidP="00DD3D86">
                            <w:pPr>
                              <w:tabs>
                                <w:tab w:val="center" w:pos="5400"/>
                              </w:tabs>
                              <w:suppressAutoHyphens/>
                              <w:spacing w:before="60"/>
                              <w:rPr>
                                <w:rFonts w:asciiTheme="majorHAnsi" w:hAnsiTheme="majorHAnsi"/>
                                <w:sz w:val="18"/>
                                <w:szCs w:val="22"/>
                                <w:lang w:val="es-ES"/>
                              </w:rPr>
                            </w:pPr>
                            <w:r w:rsidRPr="008E4156">
                              <w:rPr>
                                <w:rFonts w:asciiTheme="majorHAnsi" w:hAnsiTheme="majorHAnsi"/>
                                <w:sz w:val="18"/>
                                <w:szCs w:val="22"/>
                                <w:lang w:val="es-ES"/>
                              </w:rPr>
                              <w:t xml:space="preserve">Aprobado </w:t>
                            </w:r>
                            <w:proofErr w:type="spellStart"/>
                            <w:r w:rsidRPr="008E4156">
                              <w:rPr>
                                <w:rFonts w:asciiTheme="majorHAnsi" w:hAnsiTheme="majorHAnsi"/>
                                <w:sz w:val="18"/>
                                <w:szCs w:val="22"/>
                                <w:lang w:val="es-ES"/>
                              </w:rPr>
                              <w:t>electr</w:t>
                            </w:r>
                            <w:r w:rsidRPr="008E4156">
                              <w:rPr>
                                <w:rFonts w:asciiTheme="majorHAnsi" w:hAnsiTheme="majorHAnsi"/>
                                <w:sz w:val="18"/>
                                <w:szCs w:val="22"/>
                                <w:lang w:val="es-ES_tradnl"/>
                              </w:rPr>
                              <w:t>ónicamente</w:t>
                            </w:r>
                            <w:proofErr w:type="spellEnd"/>
                            <w:r w:rsidRPr="008E4156">
                              <w:rPr>
                                <w:rFonts w:asciiTheme="majorHAnsi" w:hAnsiTheme="majorHAnsi"/>
                                <w:sz w:val="18"/>
                                <w:szCs w:val="22"/>
                                <w:lang w:val="es-ES"/>
                              </w:rPr>
                              <w:t xml:space="preserve"> por la Comisión el </w:t>
                            </w:r>
                            <w:r w:rsidR="008F524F">
                              <w:rPr>
                                <w:rFonts w:asciiTheme="majorHAnsi" w:hAnsiTheme="majorHAnsi"/>
                                <w:sz w:val="18"/>
                                <w:szCs w:val="22"/>
                                <w:lang w:val="es-ES"/>
                              </w:rPr>
                              <w:t>14</w:t>
                            </w:r>
                            <w:r w:rsidRPr="008E4156">
                              <w:rPr>
                                <w:rFonts w:asciiTheme="majorHAnsi" w:hAnsiTheme="majorHAnsi"/>
                                <w:sz w:val="18"/>
                                <w:szCs w:val="22"/>
                                <w:lang w:val="es-ES"/>
                              </w:rPr>
                              <w:t xml:space="preserve"> de </w:t>
                            </w:r>
                            <w:r w:rsidR="008F524F">
                              <w:rPr>
                                <w:rFonts w:asciiTheme="majorHAnsi" w:hAnsiTheme="majorHAnsi"/>
                                <w:sz w:val="18"/>
                                <w:szCs w:val="22"/>
                                <w:lang w:val="es-ES"/>
                              </w:rPr>
                              <w:t>abril</w:t>
                            </w:r>
                            <w:r w:rsidR="00F81BB8" w:rsidRPr="008E4156">
                              <w:rPr>
                                <w:rFonts w:asciiTheme="majorHAnsi" w:hAnsiTheme="majorHAnsi"/>
                                <w:sz w:val="18"/>
                                <w:szCs w:val="22"/>
                                <w:lang w:val="es-ES"/>
                              </w:rPr>
                              <w:t xml:space="preserve"> </w:t>
                            </w:r>
                            <w:r w:rsidRPr="008E4156">
                              <w:rPr>
                                <w:rFonts w:asciiTheme="majorHAnsi" w:hAnsiTheme="majorHAnsi"/>
                                <w:sz w:val="18"/>
                                <w:szCs w:val="22"/>
                                <w:lang w:val="es-ES"/>
                              </w:rPr>
                              <w:t>de 20</w:t>
                            </w:r>
                            <w:r w:rsidR="00B7244B" w:rsidRPr="008E4156">
                              <w:rPr>
                                <w:rFonts w:asciiTheme="majorHAnsi" w:hAnsiTheme="majorHAnsi"/>
                                <w:sz w:val="18"/>
                                <w:szCs w:val="22"/>
                                <w:lang w:val="es-ES"/>
                              </w:rPr>
                              <w:t>20</w:t>
                            </w:r>
                            <w:r w:rsidR="00E21115">
                              <w:rPr>
                                <w:rFonts w:asciiTheme="majorHAnsi" w:hAnsiTheme="majorHAnsi"/>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14377F6" w14:textId="77777777" w:rsidR="009C2E90" w:rsidRDefault="009C2E90" w:rsidP="00DD3D86">
                      <w:pPr>
                        <w:tabs>
                          <w:tab w:val="center" w:pos="5400"/>
                        </w:tabs>
                        <w:suppressAutoHyphens/>
                        <w:spacing w:before="60"/>
                        <w:rPr>
                          <w:rFonts w:asciiTheme="majorHAnsi" w:hAnsiTheme="majorHAnsi"/>
                          <w:sz w:val="18"/>
                          <w:szCs w:val="22"/>
                          <w:lang w:val="es-ES"/>
                        </w:rPr>
                      </w:pPr>
                    </w:p>
                    <w:p w14:paraId="2944B4F7" w14:textId="54C89F03" w:rsidR="00DD3D86" w:rsidRPr="008E4156" w:rsidRDefault="00DD3D86" w:rsidP="00DD3D86">
                      <w:pPr>
                        <w:tabs>
                          <w:tab w:val="center" w:pos="5400"/>
                        </w:tabs>
                        <w:suppressAutoHyphens/>
                        <w:spacing w:before="60"/>
                        <w:rPr>
                          <w:rFonts w:asciiTheme="majorHAnsi" w:hAnsiTheme="majorHAnsi"/>
                          <w:sz w:val="18"/>
                          <w:szCs w:val="22"/>
                          <w:lang w:val="es-ES"/>
                        </w:rPr>
                      </w:pPr>
                      <w:r w:rsidRPr="008E4156">
                        <w:rPr>
                          <w:rFonts w:asciiTheme="majorHAnsi" w:hAnsiTheme="majorHAnsi"/>
                          <w:sz w:val="18"/>
                          <w:szCs w:val="22"/>
                          <w:lang w:val="es-ES"/>
                        </w:rPr>
                        <w:t xml:space="preserve">Aprobado </w:t>
                      </w:r>
                      <w:proofErr w:type="spellStart"/>
                      <w:r w:rsidRPr="008E4156">
                        <w:rPr>
                          <w:rFonts w:asciiTheme="majorHAnsi" w:hAnsiTheme="majorHAnsi"/>
                          <w:sz w:val="18"/>
                          <w:szCs w:val="22"/>
                          <w:lang w:val="es-ES"/>
                        </w:rPr>
                        <w:t>electr</w:t>
                      </w:r>
                      <w:r w:rsidRPr="008E4156">
                        <w:rPr>
                          <w:rFonts w:asciiTheme="majorHAnsi" w:hAnsiTheme="majorHAnsi"/>
                          <w:sz w:val="18"/>
                          <w:szCs w:val="22"/>
                          <w:lang w:val="es-ES_tradnl"/>
                        </w:rPr>
                        <w:t>ónicamente</w:t>
                      </w:r>
                      <w:proofErr w:type="spellEnd"/>
                      <w:r w:rsidRPr="008E4156">
                        <w:rPr>
                          <w:rFonts w:asciiTheme="majorHAnsi" w:hAnsiTheme="majorHAnsi"/>
                          <w:sz w:val="18"/>
                          <w:szCs w:val="22"/>
                          <w:lang w:val="es-ES"/>
                        </w:rPr>
                        <w:t xml:space="preserve"> por la Comisión el </w:t>
                      </w:r>
                      <w:r w:rsidR="008F524F">
                        <w:rPr>
                          <w:rFonts w:asciiTheme="majorHAnsi" w:hAnsiTheme="majorHAnsi"/>
                          <w:sz w:val="18"/>
                          <w:szCs w:val="22"/>
                          <w:lang w:val="es-ES"/>
                        </w:rPr>
                        <w:t>14</w:t>
                      </w:r>
                      <w:r w:rsidRPr="008E4156">
                        <w:rPr>
                          <w:rFonts w:asciiTheme="majorHAnsi" w:hAnsiTheme="majorHAnsi"/>
                          <w:sz w:val="18"/>
                          <w:szCs w:val="22"/>
                          <w:lang w:val="es-ES"/>
                        </w:rPr>
                        <w:t xml:space="preserve"> de </w:t>
                      </w:r>
                      <w:r w:rsidR="008F524F">
                        <w:rPr>
                          <w:rFonts w:asciiTheme="majorHAnsi" w:hAnsiTheme="majorHAnsi"/>
                          <w:sz w:val="18"/>
                          <w:szCs w:val="22"/>
                          <w:lang w:val="es-ES"/>
                        </w:rPr>
                        <w:t>abril</w:t>
                      </w:r>
                      <w:r w:rsidR="00F81BB8" w:rsidRPr="008E4156">
                        <w:rPr>
                          <w:rFonts w:asciiTheme="majorHAnsi" w:hAnsiTheme="majorHAnsi"/>
                          <w:sz w:val="18"/>
                          <w:szCs w:val="22"/>
                          <w:lang w:val="es-ES"/>
                        </w:rPr>
                        <w:t xml:space="preserve"> </w:t>
                      </w:r>
                      <w:r w:rsidRPr="008E4156">
                        <w:rPr>
                          <w:rFonts w:asciiTheme="majorHAnsi" w:hAnsiTheme="majorHAnsi"/>
                          <w:sz w:val="18"/>
                          <w:szCs w:val="22"/>
                          <w:lang w:val="es-ES"/>
                        </w:rPr>
                        <w:t>de 20</w:t>
                      </w:r>
                      <w:r w:rsidR="00B7244B" w:rsidRPr="008E4156">
                        <w:rPr>
                          <w:rFonts w:asciiTheme="majorHAnsi" w:hAnsiTheme="majorHAnsi"/>
                          <w:sz w:val="18"/>
                          <w:szCs w:val="22"/>
                          <w:lang w:val="es-ES"/>
                        </w:rPr>
                        <w:t>20</w:t>
                      </w:r>
                      <w:r w:rsidR="00E21115">
                        <w:rPr>
                          <w:rFonts w:asciiTheme="majorHAnsi" w:hAnsiTheme="majorHAnsi"/>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768224E" w:rsidR="00113F73" w:rsidRPr="008F383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A7C" w:rsidRPr="00601A7C">
                              <w:rPr>
                                <w:rFonts w:asciiTheme="majorHAnsi" w:hAnsiTheme="majorHAnsi"/>
                                <w:color w:val="595959" w:themeColor="text1" w:themeTint="A6"/>
                                <w:sz w:val="18"/>
                                <w:szCs w:val="18"/>
                                <w:lang w:val="pt-BR"/>
                              </w:rPr>
                              <w:t>35</w:t>
                            </w:r>
                            <w:r w:rsidR="00B7244B" w:rsidRPr="00601A7C">
                              <w:rPr>
                                <w:rFonts w:asciiTheme="majorHAnsi" w:hAnsiTheme="majorHAnsi"/>
                                <w:color w:val="595959" w:themeColor="text1" w:themeTint="A6"/>
                                <w:sz w:val="18"/>
                                <w:szCs w:val="18"/>
                                <w:lang w:val="pt-BR"/>
                              </w:rPr>
                              <w:t>/</w:t>
                            </w:r>
                            <w:r w:rsidR="00601A7C" w:rsidRPr="00601A7C">
                              <w:rPr>
                                <w:rFonts w:asciiTheme="majorHAnsi" w:hAnsiTheme="majorHAnsi"/>
                                <w:color w:val="595959" w:themeColor="text1" w:themeTint="A6"/>
                                <w:sz w:val="18"/>
                                <w:szCs w:val="18"/>
                                <w:lang w:val="pt-BR"/>
                              </w:rPr>
                              <w:t>20</w:t>
                            </w:r>
                            <w:r w:rsidR="008F383C" w:rsidRPr="00601A7C">
                              <w:rPr>
                                <w:rFonts w:asciiTheme="majorHAnsi" w:hAnsiTheme="majorHAnsi"/>
                                <w:color w:val="595959" w:themeColor="text1" w:themeTint="A6"/>
                                <w:sz w:val="18"/>
                                <w:szCs w:val="18"/>
                                <w:lang w:val="pt-BR"/>
                              </w:rPr>
                              <w:t>.</w:t>
                            </w:r>
                            <w:r w:rsidR="00601A7C">
                              <w:rPr>
                                <w:rFonts w:asciiTheme="majorHAnsi" w:hAnsiTheme="majorHAnsi"/>
                                <w:color w:val="595959" w:themeColor="text1" w:themeTint="A6"/>
                                <w:sz w:val="18"/>
                                <w:szCs w:val="18"/>
                                <w:lang w:val="pt-BR"/>
                              </w:rPr>
                              <w:t xml:space="preserve"> </w:t>
                            </w:r>
                            <w:r w:rsidR="00601A7C" w:rsidRPr="00601A7C">
                              <w:rPr>
                                <w:rFonts w:asciiTheme="majorHAnsi" w:hAnsiTheme="majorHAnsi"/>
                                <w:color w:val="595959" w:themeColor="text1" w:themeTint="A6"/>
                                <w:sz w:val="18"/>
                                <w:szCs w:val="18"/>
                                <w:lang w:val="es-419"/>
                              </w:rPr>
                              <w:t>P-393-08.</w:t>
                            </w:r>
                            <w:r w:rsidR="008F383C" w:rsidRPr="00601A7C">
                              <w:rPr>
                                <w:rFonts w:asciiTheme="majorHAnsi" w:hAnsiTheme="majorHAnsi"/>
                                <w:color w:val="595959" w:themeColor="text1" w:themeTint="A6"/>
                                <w:sz w:val="18"/>
                                <w:szCs w:val="18"/>
                                <w:lang w:val="es-419"/>
                              </w:rPr>
                              <w:t xml:space="preserve"> </w:t>
                            </w:r>
                            <w:r w:rsidR="008F383C">
                              <w:rPr>
                                <w:rFonts w:asciiTheme="majorHAnsi" w:hAnsiTheme="majorHAnsi"/>
                                <w:color w:val="595959" w:themeColor="text1" w:themeTint="A6"/>
                                <w:sz w:val="18"/>
                                <w:szCs w:val="18"/>
                                <w:lang w:val="es-ES_tradnl"/>
                              </w:rPr>
                              <w:t xml:space="preserve">Admisibilidad. </w:t>
                            </w:r>
                            <w:r w:rsidR="008F383C" w:rsidRPr="008F383C">
                              <w:rPr>
                                <w:rFonts w:asciiTheme="majorHAnsi" w:hAnsiTheme="majorHAnsi"/>
                                <w:color w:val="595959" w:themeColor="text1" w:themeTint="A6"/>
                                <w:sz w:val="18"/>
                                <w:szCs w:val="18"/>
                                <w:lang w:val="es-ES_tradnl"/>
                              </w:rPr>
                              <w:t xml:space="preserve">Comunidades Indígenas Campesinas Turísticas </w:t>
                            </w:r>
                            <w:r w:rsidR="008F383C">
                              <w:rPr>
                                <w:rFonts w:asciiTheme="majorHAnsi" w:hAnsiTheme="majorHAnsi"/>
                                <w:color w:val="595959" w:themeColor="text1" w:themeTint="A6"/>
                                <w:sz w:val="18"/>
                                <w:szCs w:val="18"/>
                                <w:lang w:val="es-ES_tradnl"/>
                              </w:rPr>
                              <w:t>y</w:t>
                            </w:r>
                            <w:r w:rsidR="008F383C" w:rsidRPr="008F383C">
                              <w:rPr>
                                <w:rFonts w:asciiTheme="majorHAnsi" w:hAnsiTheme="majorHAnsi"/>
                                <w:color w:val="595959" w:themeColor="text1" w:themeTint="A6"/>
                                <w:sz w:val="18"/>
                                <w:szCs w:val="18"/>
                                <w:lang w:val="es-ES_tradnl"/>
                              </w:rPr>
                              <w:t xml:space="preserve"> Medio Ambiente </w:t>
                            </w:r>
                            <w:r w:rsidR="008F383C">
                              <w:rPr>
                                <w:rFonts w:asciiTheme="majorHAnsi" w:hAnsiTheme="majorHAnsi"/>
                                <w:color w:val="595959" w:themeColor="text1" w:themeTint="A6"/>
                                <w:sz w:val="18"/>
                                <w:szCs w:val="18"/>
                                <w:lang w:val="es-ES_tradnl"/>
                              </w:rPr>
                              <w:t>d</w:t>
                            </w:r>
                            <w:r w:rsidR="008F383C" w:rsidRPr="008F383C">
                              <w:rPr>
                                <w:rFonts w:asciiTheme="majorHAnsi" w:hAnsiTheme="majorHAnsi"/>
                                <w:color w:val="595959" w:themeColor="text1" w:themeTint="A6"/>
                                <w:sz w:val="18"/>
                                <w:szCs w:val="18"/>
                                <w:lang w:val="es-ES_tradnl"/>
                              </w:rPr>
                              <w:t xml:space="preserve">e </w:t>
                            </w:r>
                            <w:r w:rsidR="008F383C">
                              <w:rPr>
                                <w:rFonts w:asciiTheme="majorHAnsi" w:hAnsiTheme="majorHAnsi"/>
                                <w:color w:val="595959" w:themeColor="text1" w:themeTint="A6"/>
                                <w:sz w:val="18"/>
                                <w:szCs w:val="18"/>
                                <w:lang w:val="es-ES_tradnl"/>
                              </w:rPr>
                              <w:t>l</w:t>
                            </w:r>
                            <w:r w:rsidR="008F383C" w:rsidRPr="008F383C">
                              <w:rPr>
                                <w:rFonts w:asciiTheme="majorHAnsi" w:hAnsiTheme="majorHAnsi"/>
                                <w:color w:val="595959" w:themeColor="text1" w:themeTint="A6"/>
                                <w:sz w:val="18"/>
                                <w:szCs w:val="18"/>
                                <w:lang w:val="es-ES_tradnl"/>
                              </w:rPr>
                              <w:t xml:space="preserve">os </w:t>
                            </w:r>
                            <w:proofErr w:type="spellStart"/>
                            <w:r w:rsidR="008F383C" w:rsidRPr="008F383C">
                              <w:rPr>
                                <w:rFonts w:asciiTheme="majorHAnsi" w:hAnsiTheme="majorHAnsi"/>
                                <w:color w:val="595959" w:themeColor="text1" w:themeTint="A6"/>
                                <w:sz w:val="18"/>
                                <w:szCs w:val="18"/>
                                <w:lang w:val="es-ES_tradnl"/>
                              </w:rPr>
                              <w:t>Geisers</w:t>
                            </w:r>
                            <w:proofErr w:type="spellEnd"/>
                            <w:r w:rsidR="008F383C" w:rsidRPr="008F383C">
                              <w:rPr>
                                <w:rFonts w:asciiTheme="majorHAnsi" w:hAnsiTheme="majorHAnsi"/>
                                <w:color w:val="595959" w:themeColor="text1" w:themeTint="A6"/>
                                <w:sz w:val="18"/>
                                <w:szCs w:val="18"/>
                                <w:lang w:val="es-ES_tradnl"/>
                              </w:rPr>
                              <w:t xml:space="preserve"> </w:t>
                            </w:r>
                            <w:r w:rsidR="008F383C">
                              <w:rPr>
                                <w:rFonts w:asciiTheme="majorHAnsi" w:hAnsiTheme="majorHAnsi"/>
                                <w:color w:val="595959" w:themeColor="text1" w:themeTint="A6"/>
                                <w:sz w:val="18"/>
                                <w:szCs w:val="18"/>
                                <w:lang w:val="es-ES_tradnl"/>
                              </w:rPr>
                              <w:t>d</w:t>
                            </w:r>
                            <w:r w:rsidR="008F383C" w:rsidRPr="008F383C">
                              <w:rPr>
                                <w:rFonts w:asciiTheme="majorHAnsi" w:hAnsiTheme="majorHAnsi"/>
                                <w:color w:val="595959" w:themeColor="text1" w:themeTint="A6"/>
                                <w:sz w:val="18"/>
                                <w:szCs w:val="18"/>
                                <w:lang w:val="es-ES_tradnl"/>
                              </w:rPr>
                              <w:t>el Tatio</w:t>
                            </w:r>
                            <w:r w:rsidRPr="00890650">
                              <w:rPr>
                                <w:rFonts w:asciiTheme="majorHAnsi" w:hAnsiTheme="majorHAnsi"/>
                                <w:color w:val="595959" w:themeColor="text1" w:themeTint="A6"/>
                                <w:sz w:val="18"/>
                                <w:szCs w:val="18"/>
                                <w:lang w:val="es-ES_tradnl"/>
                              </w:rPr>
                              <w:t>.</w:t>
                            </w:r>
                            <w:r w:rsidR="008F2014">
                              <w:rPr>
                                <w:rFonts w:asciiTheme="majorHAnsi" w:hAnsiTheme="majorHAnsi"/>
                                <w:color w:val="595959" w:themeColor="text1" w:themeTint="A6"/>
                                <w:sz w:val="18"/>
                                <w:szCs w:val="18"/>
                                <w:lang w:val="es-ES_tradnl"/>
                              </w:rPr>
                              <w:t xml:space="preserve"> </w:t>
                            </w:r>
                            <w:r w:rsidR="008F383C">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01A7C">
                              <w:rPr>
                                <w:rFonts w:asciiTheme="majorHAnsi" w:hAnsiTheme="majorHAnsi"/>
                                <w:color w:val="595959" w:themeColor="text1" w:themeTint="A6"/>
                                <w:sz w:val="18"/>
                                <w:szCs w:val="18"/>
                                <w:lang w:val="es-ES"/>
                              </w:rPr>
                              <w:t>14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768224E" w:rsidR="00113F73" w:rsidRPr="008F383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A7C" w:rsidRPr="00601A7C">
                        <w:rPr>
                          <w:rFonts w:asciiTheme="majorHAnsi" w:hAnsiTheme="majorHAnsi"/>
                          <w:color w:val="595959" w:themeColor="text1" w:themeTint="A6"/>
                          <w:sz w:val="18"/>
                          <w:szCs w:val="18"/>
                          <w:lang w:val="pt-BR"/>
                        </w:rPr>
                        <w:t>35</w:t>
                      </w:r>
                      <w:r w:rsidR="00B7244B" w:rsidRPr="00601A7C">
                        <w:rPr>
                          <w:rFonts w:asciiTheme="majorHAnsi" w:hAnsiTheme="majorHAnsi"/>
                          <w:color w:val="595959" w:themeColor="text1" w:themeTint="A6"/>
                          <w:sz w:val="18"/>
                          <w:szCs w:val="18"/>
                          <w:lang w:val="pt-BR"/>
                        </w:rPr>
                        <w:t>/</w:t>
                      </w:r>
                      <w:r w:rsidR="00601A7C" w:rsidRPr="00601A7C">
                        <w:rPr>
                          <w:rFonts w:asciiTheme="majorHAnsi" w:hAnsiTheme="majorHAnsi"/>
                          <w:color w:val="595959" w:themeColor="text1" w:themeTint="A6"/>
                          <w:sz w:val="18"/>
                          <w:szCs w:val="18"/>
                          <w:lang w:val="pt-BR"/>
                        </w:rPr>
                        <w:t>20</w:t>
                      </w:r>
                      <w:r w:rsidR="008F383C" w:rsidRPr="00601A7C">
                        <w:rPr>
                          <w:rFonts w:asciiTheme="majorHAnsi" w:hAnsiTheme="majorHAnsi"/>
                          <w:color w:val="595959" w:themeColor="text1" w:themeTint="A6"/>
                          <w:sz w:val="18"/>
                          <w:szCs w:val="18"/>
                          <w:lang w:val="pt-BR"/>
                        </w:rPr>
                        <w:t>.</w:t>
                      </w:r>
                      <w:r w:rsidR="00601A7C">
                        <w:rPr>
                          <w:rFonts w:asciiTheme="majorHAnsi" w:hAnsiTheme="majorHAnsi"/>
                          <w:color w:val="595959" w:themeColor="text1" w:themeTint="A6"/>
                          <w:sz w:val="18"/>
                          <w:szCs w:val="18"/>
                          <w:lang w:val="pt-BR"/>
                        </w:rPr>
                        <w:t xml:space="preserve"> </w:t>
                      </w:r>
                      <w:r w:rsidR="00601A7C" w:rsidRPr="00601A7C">
                        <w:rPr>
                          <w:rFonts w:asciiTheme="majorHAnsi" w:hAnsiTheme="majorHAnsi"/>
                          <w:color w:val="595959" w:themeColor="text1" w:themeTint="A6"/>
                          <w:sz w:val="18"/>
                          <w:szCs w:val="18"/>
                          <w:lang w:val="es-419"/>
                        </w:rPr>
                        <w:t>P-393-08.</w:t>
                      </w:r>
                      <w:r w:rsidR="008F383C" w:rsidRPr="00601A7C">
                        <w:rPr>
                          <w:rFonts w:asciiTheme="majorHAnsi" w:hAnsiTheme="majorHAnsi"/>
                          <w:color w:val="595959" w:themeColor="text1" w:themeTint="A6"/>
                          <w:sz w:val="18"/>
                          <w:szCs w:val="18"/>
                          <w:lang w:val="es-419"/>
                        </w:rPr>
                        <w:t xml:space="preserve"> </w:t>
                      </w:r>
                      <w:r w:rsidR="008F383C">
                        <w:rPr>
                          <w:rFonts w:asciiTheme="majorHAnsi" w:hAnsiTheme="majorHAnsi"/>
                          <w:color w:val="595959" w:themeColor="text1" w:themeTint="A6"/>
                          <w:sz w:val="18"/>
                          <w:szCs w:val="18"/>
                          <w:lang w:val="es-ES_tradnl"/>
                        </w:rPr>
                        <w:t xml:space="preserve">Admisibilidad. </w:t>
                      </w:r>
                      <w:r w:rsidR="008F383C" w:rsidRPr="008F383C">
                        <w:rPr>
                          <w:rFonts w:asciiTheme="majorHAnsi" w:hAnsiTheme="majorHAnsi"/>
                          <w:color w:val="595959" w:themeColor="text1" w:themeTint="A6"/>
                          <w:sz w:val="18"/>
                          <w:szCs w:val="18"/>
                          <w:lang w:val="es-ES_tradnl"/>
                        </w:rPr>
                        <w:t xml:space="preserve">Comunidades Indígenas Campesinas Turísticas </w:t>
                      </w:r>
                      <w:r w:rsidR="008F383C">
                        <w:rPr>
                          <w:rFonts w:asciiTheme="majorHAnsi" w:hAnsiTheme="majorHAnsi"/>
                          <w:color w:val="595959" w:themeColor="text1" w:themeTint="A6"/>
                          <w:sz w:val="18"/>
                          <w:szCs w:val="18"/>
                          <w:lang w:val="es-ES_tradnl"/>
                        </w:rPr>
                        <w:t>y</w:t>
                      </w:r>
                      <w:r w:rsidR="008F383C" w:rsidRPr="008F383C">
                        <w:rPr>
                          <w:rFonts w:asciiTheme="majorHAnsi" w:hAnsiTheme="majorHAnsi"/>
                          <w:color w:val="595959" w:themeColor="text1" w:themeTint="A6"/>
                          <w:sz w:val="18"/>
                          <w:szCs w:val="18"/>
                          <w:lang w:val="es-ES_tradnl"/>
                        </w:rPr>
                        <w:t xml:space="preserve"> Medio Ambiente </w:t>
                      </w:r>
                      <w:r w:rsidR="008F383C">
                        <w:rPr>
                          <w:rFonts w:asciiTheme="majorHAnsi" w:hAnsiTheme="majorHAnsi"/>
                          <w:color w:val="595959" w:themeColor="text1" w:themeTint="A6"/>
                          <w:sz w:val="18"/>
                          <w:szCs w:val="18"/>
                          <w:lang w:val="es-ES_tradnl"/>
                        </w:rPr>
                        <w:t>d</w:t>
                      </w:r>
                      <w:r w:rsidR="008F383C" w:rsidRPr="008F383C">
                        <w:rPr>
                          <w:rFonts w:asciiTheme="majorHAnsi" w:hAnsiTheme="majorHAnsi"/>
                          <w:color w:val="595959" w:themeColor="text1" w:themeTint="A6"/>
                          <w:sz w:val="18"/>
                          <w:szCs w:val="18"/>
                          <w:lang w:val="es-ES_tradnl"/>
                        </w:rPr>
                        <w:t xml:space="preserve">e </w:t>
                      </w:r>
                      <w:r w:rsidR="008F383C">
                        <w:rPr>
                          <w:rFonts w:asciiTheme="majorHAnsi" w:hAnsiTheme="majorHAnsi"/>
                          <w:color w:val="595959" w:themeColor="text1" w:themeTint="A6"/>
                          <w:sz w:val="18"/>
                          <w:szCs w:val="18"/>
                          <w:lang w:val="es-ES_tradnl"/>
                        </w:rPr>
                        <w:t>l</w:t>
                      </w:r>
                      <w:r w:rsidR="008F383C" w:rsidRPr="008F383C">
                        <w:rPr>
                          <w:rFonts w:asciiTheme="majorHAnsi" w:hAnsiTheme="majorHAnsi"/>
                          <w:color w:val="595959" w:themeColor="text1" w:themeTint="A6"/>
                          <w:sz w:val="18"/>
                          <w:szCs w:val="18"/>
                          <w:lang w:val="es-ES_tradnl"/>
                        </w:rPr>
                        <w:t xml:space="preserve">os Geisers </w:t>
                      </w:r>
                      <w:r w:rsidR="008F383C">
                        <w:rPr>
                          <w:rFonts w:asciiTheme="majorHAnsi" w:hAnsiTheme="majorHAnsi"/>
                          <w:color w:val="595959" w:themeColor="text1" w:themeTint="A6"/>
                          <w:sz w:val="18"/>
                          <w:szCs w:val="18"/>
                          <w:lang w:val="es-ES_tradnl"/>
                        </w:rPr>
                        <w:t>d</w:t>
                      </w:r>
                      <w:r w:rsidR="008F383C" w:rsidRPr="008F383C">
                        <w:rPr>
                          <w:rFonts w:asciiTheme="majorHAnsi" w:hAnsiTheme="majorHAnsi"/>
                          <w:color w:val="595959" w:themeColor="text1" w:themeTint="A6"/>
                          <w:sz w:val="18"/>
                          <w:szCs w:val="18"/>
                          <w:lang w:val="es-ES_tradnl"/>
                        </w:rPr>
                        <w:t>el Tatio</w:t>
                      </w:r>
                      <w:r w:rsidRPr="00890650">
                        <w:rPr>
                          <w:rFonts w:asciiTheme="majorHAnsi" w:hAnsiTheme="majorHAnsi"/>
                          <w:color w:val="595959" w:themeColor="text1" w:themeTint="A6"/>
                          <w:sz w:val="18"/>
                          <w:szCs w:val="18"/>
                          <w:lang w:val="es-ES_tradnl"/>
                        </w:rPr>
                        <w:t>.</w:t>
                      </w:r>
                      <w:r w:rsidR="008F2014">
                        <w:rPr>
                          <w:rFonts w:asciiTheme="majorHAnsi" w:hAnsiTheme="majorHAnsi"/>
                          <w:color w:val="595959" w:themeColor="text1" w:themeTint="A6"/>
                          <w:sz w:val="18"/>
                          <w:szCs w:val="18"/>
                          <w:lang w:val="es-ES_tradnl"/>
                        </w:rPr>
                        <w:t xml:space="preserve"> </w:t>
                      </w:r>
                      <w:r w:rsidR="008F383C">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01A7C">
                        <w:rPr>
                          <w:rFonts w:asciiTheme="majorHAnsi" w:hAnsiTheme="majorHAnsi"/>
                          <w:color w:val="595959" w:themeColor="text1" w:themeTint="A6"/>
                          <w:sz w:val="18"/>
                          <w:szCs w:val="18"/>
                          <w:lang w:val="es-ES"/>
                        </w:rPr>
                        <w:t>14 de abril de 2020.</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DF3E562" w:rsidR="00D72DC6" w:rsidRPr="00D72DC6" w:rsidRDefault="00E211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B3B677" wp14:editId="396BF994">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DF3E562" w:rsidR="00D72DC6" w:rsidRPr="00D72DC6" w:rsidRDefault="00E211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B3B677" wp14:editId="396BF994">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0BDE73D8" w:rsidR="003239B8" w:rsidRPr="00746B33" w:rsidRDefault="003239B8" w:rsidP="00955DDA">
      <w:pPr>
        <w:pStyle w:val="ListParagraph"/>
        <w:numPr>
          <w:ilvl w:val="0"/>
          <w:numId w:val="57"/>
        </w:numPr>
        <w:spacing w:after="120"/>
        <w:jc w:val="both"/>
        <w:rPr>
          <w:rFonts w:asciiTheme="majorHAnsi" w:hAnsiTheme="majorHAnsi"/>
          <w:b/>
          <w:bCs/>
          <w:sz w:val="20"/>
          <w:szCs w:val="20"/>
          <w:lang w:val="es-ES"/>
        </w:rPr>
      </w:pPr>
      <w:r w:rsidRPr="00746B33">
        <w:rPr>
          <w:rFonts w:asciiTheme="majorHAnsi" w:hAnsiTheme="majorHAnsi"/>
          <w:b/>
          <w:bCs/>
          <w:sz w:val="20"/>
          <w:szCs w:val="20"/>
          <w:lang w:val="es-ES"/>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9765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AC7D324" w:rsidR="003239B8" w:rsidRPr="008F2014" w:rsidRDefault="008C2039" w:rsidP="008F2014">
            <w:pPr>
              <w:jc w:val="both"/>
              <w:rPr>
                <w:rFonts w:ascii="Cambria" w:hAnsi="Cambria"/>
                <w:bCs/>
                <w:sz w:val="19"/>
                <w:szCs w:val="19"/>
                <w:lang w:val="es-ES"/>
              </w:rPr>
            </w:pPr>
            <w:r>
              <w:rPr>
                <w:rFonts w:ascii="Cambria" w:hAnsi="Cambria"/>
                <w:bCs/>
                <w:sz w:val="19"/>
                <w:szCs w:val="19"/>
                <w:lang w:val="es-ES"/>
              </w:rPr>
              <w:t>Observatorio Internacional de Migraciones</w:t>
            </w:r>
          </w:p>
        </w:tc>
      </w:tr>
      <w:tr w:rsidR="003239B8" w:rsidRPr="00E2111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E55516"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3A6442C1" w:rsidR="003239B8" w:rsidRPr="008F2014" w:rsidRDefault="008F2014" w:rsidP="00B7244B">
            <w:pPr>
              <w:jc w:val="both"/>
              <w:rPr>
                <w:rFonts w:ascii="Cambria" w:hAnsi="Cambria"/>
                <w:bCs/>
                <w:sz w:val="19"/>
                <w:szCs w:val="19"/>
                <w:lang w:val="es-ES"/>
              </w:rPr>
            </w:pPr>
            <w:r w:rsidRPr="008F2014">
              <w:rPr>
                <w:rFonts w:ascii="Cambria" w:hAnsi="Cambria"/>
                <w:bCs/>
                <w:sz w:val="19"/>
                <w:szCs w:val="19"/>
                <w:lang w:val="es-ES"/>
              </w:rPr>
              <w:t>Comunidades Indígenas campesinas turísticas y medio ambiente de los Geisers del Tatio</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0CBC91DB" w:rsidR="003239B8" w:rsidRPr="00A90187" w:rsidRDefault="008F2014" w:rsidP="008F2014">
            <w:pPr>
              <w:jc w:val="both"/>
              <w:rPr>
                <w:rFonts w:ascii="Cambria" w:hAnsi="Cambria"/>
                <w:bCs/>
                <w:sz w:val="19"/>
                <w:szCs w:val="19"/>
                <w:lang w:val="es-ES"/>
              </w:rPr>
            </w:pPr>
            <w:r w:rsidRPr="00A90187">
              <w:rPr>
                <w:rFonts w:ascii="Cambria" w:hAnsi="Cambria"/>
                <w:bCs/>
                <w:sz w:val="19"/>
                <w:szCs w:val="19"/>
                <w:lang w:val="es-ES"/>
              </w:rPr>
              <w:t>Chile</w:t>
            </w:r>
            <w:r w:rsidR="004A6A54" w:rsidRPr="00A90187">
              <w:rPr>
                <w:rStyle w:val="FootnoteReference"/>
                <w:rFonts w:ascii="Cambria" w:hAnsi="Cambria"/>
                <w:bCs/>
                <w:sz w:val="19"/>
                <w:szCs w:val="19"/>
                <w:lang w:val="es-ES"/>
              </w:rPr>
              <w:footnoteReference w:id="2"/>
            </w:r>
          </w:p>
        </w:tc>
      </w:tr>
      <w:tr w:rsidR="00223A29" w:rsidRPr="00E2111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36B0AAC" w:rsidR="008E4156" w:rsidRPr="00A90187" w:rsidRDefault="00923FE6" w:rsidP="008E4156">
            <w:pPr>
              <w:jc w:val="both"/>
              <w:rPr>
                <w:rFonts w:ascii="Cambria" w:hAnsi="Cambria"/>
                <w:bCs/>
                <w:sz w:val="19"/>
                <w:szCs w:val="19"/>
                <w:lang w:val="es-ES"/>
              </w:rPr>
            </w:pPr>
            <w:r w:rsidRPr="00A90187">
              <w:rPr>
                <w:rFonts w:ascii="Cambria" w:hAnsi="Cambria"/>
                <w:bCs/>
                <w:sz w:val="19"/>
                <w:szCs w:val="19"/>
                <w:lang w:val="es-ES"/>
              </w:rPr>
              <w:t xml:space="preserve">Artículo 4 (derecho a la vida), 5 (integridad personal), 8 (garantías judiciales), </w:t>
            </w:r>
            <w:r w:rsidR="00EC44D0" w:rsidRPr="00A90187">
              <w:rPr>
                <w:rFonts w:ascii="Cambria" w:hAnsi="Cambria"/>
                <w:bCs/>
                <w:sz w:val="19"/>
                <w:szCs w:val="19"/>
                <w:lang w:val="es-ES"/>
              </w:rPr>
              <w:t>19 (</w:t>
            </w:r>
            <w:r w:rsidRPr="00A90187">
              <w:rPr>
                <w:rFonts w:ascii="Cambria" w:hAnsi="Cambria"/>
                <w:bCs/>
                <w:sz w:val="19"/>
                <w:szCs w:val="19"/>
                <w:lang w:val="es-ES"/>
              </w:rPr>
              <w:t>derecho</w:t>
            </w:r>
            <w:r w:rsidR="00EC44D0" w:rsidRPr="00A90187">
              <w:rPr>
                <w:rFonts w:ascii="Cambria" w:hAnsi="Cambria"/>
                <w:bCs/>
                <w:sz w:val="19"/>
                <w:szCs w:val="19"/>
                <w:lang w:val="es-ES"/>
              </w:rPr>
              <w:t xml:space="preserve">s del niño), </w:t>
            </w:r>
            <w:r w:rsidR="00CA1C10" w:rsidRPr="00A90187">
              <w:rPr>
                <w:rFonts w:ascii="Cambria" w:hAnsi="Cambria"/>
                <w:bCs/>
                <w:sz w:val="19"/>
                <w:szCs w:val="19"/>
                <w:lang w:val="es-ES"/>
              </w:rPr>
              <w:t>22 (derecho a</w:t>
            </w:r>
            <w:r w:rsidR="00B7244B" w:rsidRPr="00A90187">
              <w:rPr>
                <w:rFonts w:ascii="Cambria" w:hAnsi="Cambria"/>
                <w:bCs/>
                <w:sz w:val="19"/>
                <w:szCs w:val="19"/>
                <w:lang w:val="es-ES"/>
              </w:rPr>
              <w:t xml:space="preserve"> la circulación y residencia), </w:t>
            </w:r>
            <w:r w:rsidR="00CA1C10" w:rsidRPr="00A90187">
              <w:rPr>
                <w:rFonts w:ascii="Cambria" w:hAnsi="Cambria"/>
                <w:bCs/>
                <w:sz w:val="19"/>
                <w:szCs w:val="19"/>
                <w:lang w:val="es-ES"/>
              </w:rPr>
              <w:t>24 (igualdad ante la ley) y 25 (protección judicial)</w:t>
            </w:r>
            <w:r w:rsidR="00BF514A" w:rsidRPr="00A90187">
              <w:rPr>
                <w:rFonts w:ascii="Cambria" w:hAnsi="Cambria"/>
                <w:bCs/>
                <w:sz w:val="19"/>
                <w:szCs w:val="19"/>
                <w:lang w:val="es-ES"/>
              </w:rPr>
              <w:t xml:space="preserve"> de la Convención Americana sobre Derechos Humanos</w:t>
            </w:r>
            <w:r w:rsidR="00BF514A" w:rsidRPr="00A90187">
              <w:rPr>
                <w:rStyle w:val="FootnoteReference"/>
                <w:rFonts w:ascii="Cambria" w:hAnsi="Cambria"/>
                <w:bCs/>
                <w:sz w:val="19"/>
                <w:szCs w:val="19"/>
                <w:lang w:val="es-ES"/>
              </w:rPr>
              <w:footnoteReference w:id="3"/>
            </w:r>
            <w:r w:rsidR="00B7244B" w:rsidRPr="00A90187">
              <w:rPr>
                <w:rFonts w:ascii="Cambria" w:hAnsi="Cambria"/>
                <w:bCs/>
                <w:sz w:val="19"/>
                <w:szCs w:val="19"/>
                <w:lang w:val="es-ES"/>
              </w:rPr>
              <w:t xml:space="preserve"> </w:t>
            </w:r>
            <w:r w:rsidR="00CA1C10" w:rsidRPr="00A90187">
              <w:rPr>
                <w:rFonts w:ascii="Cambria" w:hAnsi="Cambria"/>
                <w:bCs/>
                <w:sz w:val="19"/>
                <w:szCs w:val="19"/>
                <w:lang w:val="es-ES"/>
              </w:rPr>
              <w:t>en relación con sus artículos 1 (obligación de respetar los derechos) y 2 (deber de adoptar disposiciones de derecho interno)</w:t>
            </w:r>
          </w:p>
        </w:tc>
      </w:tr>
    </w:tbl>
    <w:p w14:paraId="20263696" w14:textId="3AAA66C3" w:rsidR="003239B8" w:rsidRPr="00746B33" w:rsidRDefault="003239B8" w:rsidP="00955DDA">
      <w:pPr>
        <w:pStyle w:val="ListParagraph"/>
        <w:numPr>
          <w:ilvl w:val="0"/>
          <w:numId w:val="57"/>
        </w:numPr>
        <w:spacing w:before="120" w:after="120"/>
        <w:jc w:val="both"/>
        <w:rPr>
          <w:rFonts w:asciiTheme="majorHAnsi" w:hAnsiTheme="majorHAnsi"/>
          <w:b/>
          <w:bCs/>
          <w:sz w:val="20"/>
          <w:szCs w:val="20"/>
          <w:lang w:val="es-ES"/>
        </w:rPr>
      </w:pPr>
      <w:r w:rsidRPr="00746B33">
        <w:rPr>
          <w:rFonts w:asciiTheme="majorHAnsi" w:hAnsiTheme="majorHAnsi"/>
          <w:b/>
          <w:bCs/>
          <w:sz w:val="20"/>
          <w:szCs w:val="20"/>
          <w:lang w:val="es-ES"/>
        </w:rPr>
        <w:t>TRÁMITE ANTE LA CIDH</w:t>
      </w:r>
      <w:r w:rsidR="008E3BFE" w:rsidRPr="00006B74">
        <w:rPr>
          <w:rStyle w:val="FootnoteReference"/>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CA1C10"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1CACA9B9" w:rsidR="004C2312" w:rsidRPr="00006B74" w:rsidRDefault="00D409F2" w:rsidP="002625EA">
            <w:pPr>
              <w:jc w:val="both"/>
              <w:rPr>
                <w:rFonts w:ascii="Cambria" w:hAnsi="Cambria"/>
                <w:bCs/>
                <w:sz w:val="19"/>
                <w:szCs w:val="19"/>
                <w:lang w:val="es-ES"/>
              </w:rPr>
            </w:pPr>
            <w:r>
              <w:rPr>
                <w:rFonts w:ascii="Cambria" w:hAnsi="Cambria"/>
                <w:bCs/>
                <w:sz w:val="19"/>
                <w:szCs w:val="19"/>
                <w:lang w:val="es-ES"/>
              </w:rPr>
              <w:t>3 de abril de 2008</w:t>
            </w:r>
          </w:p>
        </w:tc>
      </w:tr>
      <w:tr w:rsidR="000A78BD" w:rsidRPr="000A78BD" w14:paraId="2A7C40D5" w14:textId="77777777" w:rsidTr="00954B82">
        <w:tc>
          <w:tcPr>
            <w:tcW w:w="2790" w:type="dxa"/>
            <w:tcBorders>
              <w:top w:val="single" w:sz="6" w:space="0" w:color="auto"/>
              <w:bottom w:val="single" w:sz="6" w:space="0" w:color="auto"/>
            </w:tcBorders>
            <w:shd w:val="clear" w:color="auto" w:fill="386294"/>
            <w:vAlign w:val="center"/>
          </w:tcPr>
          <w:p w14:paraId="07FDA06D" w14:textId="2F5B1504" w:rsidR="000A78BD" w:rsidRPr="00006B74" w:rsidRDefault="000A78BD"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Información adicional recibida durante etapa de estudio</w:t>
            </w:r>
          </w:p>
        </w:tc>
        <w:tc>
          <w:tcPr>
            <w:tcW w:w="6570" w:type="dxa"/>
            <w:vAlign w:val="center"/>
          </w:tcPr>
          <w:p w14:paraId="2800319E" w14:textId="4205F540" w:rsidR="000A78BD" w:rsidRDefault="000A78BD" w:rsidP="002625EA">
            <w:pPr>
              <w:jc w:val="both"/>
              <w:rPr>
                <w:rFonts w:ascii="Cambria" w:hAnsi="Cambria"/>
                <w:bCs/>
                <w:sz w:val="19"/>
                <w:szCs w:val="19"/>
                <w:lang w:val="es-ES"/>
              </w:rPr>
            </w:pPr>
            <w:r>
              <w:rPr>
                <w:rFonts w:ascii="Cambria" w:hAnsi="Cambria"/>
                <w:bCs/>
                <w:sz w:val="19"/>
                <w:szCs w:val="19"/>
                <w:lang w:val="es-ES"/>
              </w:rPr>
              <w:t>24 de abril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26F7E5EA" w:rsidR="004C2312" w:rsidRPr="00006B74" w:rsidRDefault="00D409F2" w:rsidP="008D2290">
            <w:pPr>
              <w:jc w:val="both"/>
              <w:rPr>
                <w:rFonts w:ascii="Cambria" w:hAnsi="Cambria"/>
                <w:bCs/>
                <w:sz w:val="19"/>
                <w:szCs w:val="19"/>
                <w:lang w:val="es-ES"/>
              </w:rPr>
            </w:pPr>
            <w:r>
              <w:rPr>
                <w:rFonts w:ascii="Cambria" w:hAnsi="Cambria"/>
                <w:bCs/>
                <w:sz w:val="19"/>
                <w:szCs w:val="19"/>
                <w:lang w:val="es-ES"/>
              </w:rPr>
              <w:t>12 de enero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3B3FE122" w:rsidR="00F06354" w:rsidRPr="00006B74" w:rsidRDefault="008F2014" w:rsidP="00F06354">
            <w:pPr>
              <w:jc w:val="both"/>
              <w:rPr>
                <w:rFonts w:ascii="Cambria" w:hAnsi="Cambria"/>
                <w:bCs/>
                <w:sz w:val="19"/>
                <w:szCs w:val="19"/>
                <w:lang w:val="es-ES"/>
              </w:rPr>
            </w:pPr>
            <w:r>
              <w:rPr>
                <w:rFonts w:ascii="Cambria" w:hAnsi="Cambria"/>
                <w:bCs/>
                <w:sz w:val="19"/>
                <w:szCs w:val="19"/>
                <w:lang w:val="es-ES"/>
              </w:rPr>
              <w:t>4 de agosto de 201</w:t>
            </w:r>
            <w:r w:rsidR="00D409F2">
              <w:rPr>
                <w:rFonts w:ascii="Cambria" w:hAnsi="Cambria"/>
                <w:bCs/>
                <w:sz w:val="19"/>
                <w:szCs w:val="19"/>
                <w:lang w:val="es-ES"/>
              </w:rPr>
              <w:t>6</w:t>
            </w:r>
          </w:p>
        </w:tc>
      </w:tr>
      <w:tr w:rsidR="00F06354" w:rsidRPr="000A78B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2AFB5C2B" w:rsidR="00F06354" w:rsidRPr="00006B74" w:rsidRDefault="00D409F2" w:rsidP="00D77503">
            <w:pPr>
              <w:jc w:val="both"/>
              <w:rPr>
                <w:rFonts w:ascii="Cambria" w:hAnsi="Cambria"/>
                <w:bCs/>
                <w:sz w:val="19"/>
                <w:szCs w:val="19"/>
                <w:lang w:val="es-ES"/>
              </w:rPr>
            </w:pPr>
            <w:r>
              <w:rPr>
                <w:rFonts w:ascii="Cambria" w:hAnsi="Cambria"/>
                <w:bCs/>
                <w:sz w:val="19"/>
                <w:szCs w:val="19"/>
                <w:lang w:val="es-ES"/>
              </w:rPr>
              <w:t>26 de septiembre de 2017</w:t>
            </w:r>
          </w:p>
        </w:tc>
      </w:tr>
    </w:tbl>
    <w:p w14:paraId="21DAA666" w14:textId="0A48256C" w:rsidR="003239B8" w:rsidRPr="00746B33" w:rsidRDefault="003239B8" w:rsidP="00955DDA">
      <w:pPr>
        <w:pStyle w:val="ListParagraph"/>
        <w:numPr>
          <w:ilvl w:val="0"/>
          <w:numId w:val="57"/>
        </w:numPr>
        <w:spacing w:before="120" w:after="120"/>
        <w:jc w:val="both"/>
        <w:rPr>
          <w:rFonts w:asciiTheme="majorHAnsi" w:hAnsiTheme="majorHAnsi"/>
          <w:b/>
          <w:bCs/>
          <w:sz w:val="20"/>
          <w:szCs w:val="20"/>
          <w:lang w:val="es-ES"/>
        </w:rPr>
      </w:pPr>
      <w:r w:rsidRPr="00746B33">
        <w:rPr>
          <w:rFonts w:asciiTheme="majorHAnsi" w:hAnsiTheme="majorHAnsi"/>
          <w:b/>
          <w:bCs/>
          <w:sz w:val="20"/>
          <w:szCs w:val="20"/>
          <w:lang w:val="es-ES"/>
        </w:rPr>
        <w:t>COMPETENCIA</w:t>
      </w:r>
      <w:r w:rsidR="00EE00E9" w:rsidRPr="00746B3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5D44D231" w:rsidR="003239B8" w:rsidRPr="00D409F2" w:rsidRDefault="00D409F2" w:rsidP="008D2290">
            <w:pPr>
              <w:rPr>
                <w:rFonts w:ascii="Cambria" w:hAnsi="Cambria"/>
                <w:bCs/>
                <w:sz w:val="19"/>
                <w:szCs w:val="19"/>
                <w:lang w:val="es-ES"/>
              </w:rPr>
            </w:pPr>
            <w:r w:rsidRPr="00D409F2">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2C82E9D5" w:rsidR="003239B8" w:rsidRPr="00D409F2" w:rsidRDefault="00D409F2" w:rsidP="008D2290">
            <w:pPr>
              <w:rPr>
                <w:rFonts w:ascii="Cambria" w:hAnsi="Cambria"/>
                <w:bCs/>
                <w:sz w:val="19"/>
                <w:szCs w:val="19"/>
                <w:lang w:val="es-ES"/>
              </w:rPr>
            </w:pPr>
            <w:r w:rsidRPr="00D409F2">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0DFA8850" w:rsidR="003239B8" w:rsidRPr="00D409F2" w:rsidRDefault="00D409F2" w:rsidP="008D2290">
            <w:pPr>
              <w:rPr>
                <w:rFonts w:ascii="Cambria" w:hAnsi="Cambria"/>
                <w:bCs/>
                <w:sz w:val="19"/>
                <w:szCs w:val="19"/>
                <w:lang w:val="es-ES"/>
              </w:rPr>
            </w:pPr>
            <w:r w:rsidRPr="00D409F2">
              <w:rPr>
                <w:rFonts w:ascii="Cambria" w:hAnsi="Cambria"/>
                <w:bCs/>
                <w:sz w:val="19"/>
                <w:szCs w:val="19"/>
                <w:lang w:val="es-ES"/>
              </w:rPr>
              <w:t>Sí</w:t>
            </w:r>
          </w:p>
        </w:tc>
      </w:tr>
      <w:tr w:rsidR="003239B8" w:rsidRPr="00E21115"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2FE47E53" w:rsidR="003239B8" w:rsidRPr="00847E63" w:rsidRDefault="00D409F2" w:rsidP="008D2290">
            <w:pPr>
              <w:jc w:val="both"/>
              <w:rPr>
                <w:rFonts w:ascii="Cambria" w:hAnsi="Cambria"/>
                <w:bCs/>
                <w:sz w:val="19"/>
                <w:szCs w:val="19"/>
                <w:lang w:val="es-ES"/>
              </w:rPr>
            </w:pPr>
            <w:r w:rsidRPr="00D409F2">
              <w:rPr>
                <w:rFonts w:ascii="Cambria" w:hAnsi="Cambria"/>
                <w:bCs/>
                <w:sz w:val="19"/>
                <w:szCs w:val="19"/>
                <w:lang w:val="es-ES"/>
              </w:rPr>
              <w:t>Sí</w:t>
            </w:r>
            <w:r w:rsidR="00847E63" w:rsidRPr="00847E63">
              <w:rPr>
                <w:rFonts w:ascii="Cambria" w:hAnsi="Cambria"/>
                <w:bCs/>
                <w:sz w:val="19"/>
                <w:szCs w:val="19"/>
                <w:lang w:val="es-ES"/>
              </w:rPr>
              <w:t>, Convención Americana (depósito de instrumento realizado el 21 de agosto de 1990)</w:t>
            </w:r>
          </w:p>
        </w:tc>
      </w:tr>
    </w:tbl>
    <w:p w14:paraId="4E92C444" w14:textId="75A7EC37" w:rsidR="003239B8" w:rsidRPr="00746B33" w:rsidRDefault="00EE00E9" w:rsidP="00955DDA">
      <w:pPr>
        <w:pStyle w:val="ListParagraph"/>
        <w:numPr>
          <w:ilvl w:val="0"/>
          <w:numId w:val="57"/>
        </w:numPr>
        <w:spacing w:before="120" w:after="120"/>
        <w:ind w:left="0" w:firstLine="720"/>
        <w:jc w:val="both"/>
        <w:rPr>
          <w:rFonts w:asciiTheme="majorHAnsi" w:hAnsiTheme="majorHAnsi"/>
          <w:b/>
          <w:bCs/>
          <w:sz w:val="20"/>
          <w:szCs w:val="20"/>
          <w:lang w:val="es-ES"/>
        </w:rPr>
      </w:pPr>
      <w:r w:rsidRPr="00746B33">
        <w:rPr>
          <w:rFonts w:asciiTheme="majorHAnsi" w:hAnsiTheme="majorHAnsi"/>
          <w:b/>
          <w:bCs/>
          <w:sz w:val="20"/>
          <w:szCs w:val="20"/>
          <w:lang w:val="es-ES"/>
        </w:rPr>
        <w:t>DUPLICACIÓN</w:t>
      </w:r>
      <w:r w:rsidRPr="00746B33">
        <w:rPr>
          <w:rFonts w:asciiTheme="majorHAnsi" w:hAnsiTheme="majorHAnsi"/>
          <w:b/>
          <w:bCs/>
          <w:color w:val="FFFFFF" w:themeColor="background1"/>
          <w:sz w:val="20"/>
          <w:szCs w:val="20"/>
          <w:lang w:val="es-ES"/>
        </w:rPr>
        <w:t xml:space="preserve"> </w:t>
      </w:r>
      <w:r w:rsidRPr="00746B33">
        <w:rPr>
          <w:rFonts w:asciiTheme="majorHAnsi" w:hAnsiTheme="majorHAnsi"/>
          <w:b/>
          <w:bCs/>
          <w:sz w:val="20"/>
          <w:szCs w:val="20"/>
          <w:lang w:val="es-ES"/>
        </w:rPr>
        <w:t>DE PROCEDIMIENTOS Y COSA JUZGADA</w:t>
      </w:r>
      <w:r w:rsidRPr="00746B33">
        <w:rPr>
          <w:rFonts w:asciiTheme="majorHAnsi" w:hAnsiTheme="majorHAnsi"/>
          <w:b/>
          <w:bCs/>
          <w:i/>
          <w:sz w:val="20"/>
          <w:szCs w:val="20"/>
          <w:lang w:val="es-ES"/>
        </w:rPr>
        <w:t xml:space="preserve"> </w:t>
      </w:r>
      <w:r w:rsidRPr="00746B33">
        <w:rPr>
          <w:rFonts w:asciiTheme="majorHAnsi" w:hAnsiTheme="majorHAnsi"/>
          <w:b/>
          <w:bCs/>
          <w:sz w:val="20"/>
          <w:szCs w:val="20"/>
          <w:lang w:val="es-ES"/>
        </w:rPr>
        <w:t xml:space="preserve">INTERNACIONAL, </w:t>
      </w:r>
      <w:r w:rsidR="003239B8" w:rsidRPr="00746B33">
        <w:rPr>
          <w:rFonts w:asciiTheme="majorHAnsi" w:hAnsiTheme="majorHAnsi"/>
          <w:b/>
          <w:bCs/>
          <w:sz w:val="20"/>
          <w:szCs w:val="20"/>
          <w:lang w:val="es-ES"/>
        </w:rPr>
        <w:t xml:space="preserve">CARACTERIZACIÓN, </w:t>
      </w:r>
      <w:r w:rsidR="003239B8" w:rsidRPr="00746B3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8F201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7321D749" w:rsidR="00EE00E9" w:rsidRPr="00D409F2" w:rsidRDefault="00D409F2" w:rsidP="008D2290">
            <w:pPr>
              <w:jc w:val="both"/>
              <w:rPr>
                <w:rFonts w:ascii="Cambria" w:hAnsi="Cambria"/>
                <w:bCs/>
                <w:sz w:val="19"/>
                <w:szCs w:val="19"/>
                <w:lang w:val="es-ES"/>
              </w:rPr>
            </w:pPr>
            <w:r w:rsidRPr="00D409F2">
              <w:rPr>
                <w:rFonts w:ascii="Cambria" w:hAnsi="Cambria"/>
                <w:bCs/>
                <w:sz w:val="19"/>
                <w:szCs w:val="19"/>
                <w:lang w:val="es-ES"/>
              </w:rPr>
              <w:t>No</w:t>
            </w:r>
          </w:p>
        </w:tc>
      </w:tr>
      <w:tr w:rsidR="003239B8" w:rsidRPr="00E21115"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50BD9A3C" w:rsidR="003239B8" w:rsidRPr="00A90187" w:rsidRDefault="00B7244B" w:rsidP="009B348B">
            <w:pPr>
              <w:jc w:val="both"/>
              <w:rPr>
                <w:rFonts w:ascii="Cambria" w:hAnsi="Cambria"/>
                <w:bCs/>
                <w:sz w:val="19"/>
                <w:szCs w:val="19"/>
                <w:lang w:val="es-ES"/>
              </w:rPr>
            </w:pPr>
            <w:r w:rsidRPr="00A90187">
              <w:rPr>
                <w:rFonts w:ascii="Cambria" w:hAnsi="Cambria"/>
                <w:bCs/>
                <w:sz w:val="19"/>
                <w:szCs w:val="19"/>
                <w:lang w:val="es-ES"/>
              </w:rPr>
              <w:t>Artículo 4 (derecho a la vida), 5 (integridad personal), 8 (garantías judiciales),</w:t>
            </w:r>
            <w:r w:rsidR="009B348B" w:rsidRPr="00A90187">
              <w:rPr>
                <w:rFonts w:ascii="Cambria" w:hAnsi="Cambria"/>
                <w:bCs/>
                <w:sz w:val="19"/>
                <w:szCs w:val="19"/>
                <w:lang w:val="es-ES"/>
              </w:rPr>
              <w:t xml:space="preserve"> 12 (libertad de conciencia y de religión)</w:t>
            </w:r>
            <w:r w:rsidRPr="00A90187">
              <w:rPr>
                <w:rFonts w:ascii="Cambria" w:hAnsi="Cambria"/>
                <w:bCs/>
                <w:sz w:val="19"/>
                <w:szCs w:val="19"/>
                <w:lang w:val="es-ES"/>
              </w:rPr>
              <w:t xml:space="preserve">, </w:t>
            </w:r>
            <w:r w:rsidR="008E4156" w:rsidRPr="00A90187">
              <w:rPr>
                <w:rFonts w:ascii="Cambria" w:hAnsi="Cambria"/>
                <w:bCs/>
                <w:sz w:val="19"/>
                <w:szCs w:val="19"/>
                <w:lang w:val="es-ES"/>
              </w:rPr>
              <w:t>19 (derechos del niño</w:t>
            </w:r>
            <w:r w:rsidR="008E4156">
              <w:rPr>
                <w:rFonts w:ascii="Cambria" w:hAnsi="Cambria"/>
                <w:bCs/>
                <w:sz w:val="19"/>
                <w:szCs w:val="19"/>
                <w:lang w:val="es-ES"/>
              </w:rPr>
              <w:t xml:space="preserve">), </w:t>
            </w:r>
            <w:r w:rsidR="0089765C">
              <w:rPr>
                <w:rFonts w:ascii="Cambria" w:hAnsi="Cambria"/>
                <w:bCs/>
                <w:sz w:val="19"/>
                <w:szCs w:val="19"/>
                <w:lang w:val="es-ES"/>
              </w:rPr>
              <w:t xml:space="preserve">21 </w:t>
            </w:r>
            <w:r w:rsidR="0089765C">
              <w:rPr>
                <w:rFonts w:ascii="Cambria" w:hAnsi="Cambria"/>
                <w:bCs/>
                <w:sz w:val="19"/>
                <w:szCs w:val="19"/>
                <w:lang w:val="es-VE"/>
              </w:rPr>
              <w:t xml:space="preserve">(derecho a la propiedad), </w:t>
            </w:r>
            <w:r w:rsidRPr="00A90187">
              <w:rPr>
                <w:rFonts w:ascii="Cambria" w:hAnsi="Cambria"/>
                <w:bCs/>
                <w:sz w:val="19"/>
                <w:szCs w:val="19"/>
                <w:lang w:val="es-ES"/>
              </w:rPr>
              <w:t>22 (derecho a</w:t>
            </w:r>
            <w:r w:rsidR="009B348B" w:rsidRPr="00A90187">
              <w:rPr>
                <w:rFonts w:ascii="Cambria" w:hAnsi="Cambria"/>
                <w:bCs/>
                <w:sz w:val="19"/>
                <w:szCs w:val="19"/>
                <w:lang w:val="es-ES"/>
              </w:rPr>
              <w:t xml:space="preserve"> la circulación y residencia) </w:t>
            </w:r>
            <w:r w:rsidRPr="00A90187">
              <w:rPr>
                <w:rFonts w:ascii="Cambria" w:hAnsi="Cambria"/>
                <w:bCs/>
                <w:sz w:val="19"/>
                <w:szCs w:val="19"/>
                <w:lang w:val="es-ES"/>
              </w:rPr>
              <w:t>y 25 (protección judicial) de la Convención en relación con sus artículos 1 (obligación de respetar los derechos) y 2 (deber de adoptar disposiciones de derecho interno)</w:t>
            </w:r>
          </w:p>
        </w:tc>
      </w:tr>
      <w:tr w:rsidR="003239B8" w:rsidRPr="008F201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477A6FFA" w:rsidR="003239B8" w:rsidRPr="00D409F2" w:rsidRDefault="00D409F2" w:rsidP="00BB3FBD">
            <w:pPr>
              <w:rPr>
                <w:rFonts w:ascii="Cambria" w:hAnsi="Cambria"/>
                <w:bCs/>
                <w:sz w:val="19"/>
                <w:szCs w:val="19"/>
                <w:lang w:val="es-ES"/>
              </w:rPr>
            </w:pPr>
            <w:r w:rsidRPr="00D409F2">
              <w:rPr>
                <w:rFonts w:ascii="Cambria" w:hAnsi="Cambria"/>
                <w:bCs/>
                <w:sz w:val="19"/>
                <w:szCs w:val="19"/>
                <w:lang w:val="es-ES"/>
              </w:rPr>
              <w:t>Sí</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6F72C5D" w:rsidR="003239B8" w:rsidRPr="00D409F2" w:rsidRDefault="00D409F2" w:rsidP="008D2290">
            <w:pPr>
              <w:rPr>
                <w:rFonts w:ascii="Cambria" w:hAnsi="Cambria"/>
                <w:bCs/>
                <w:sz w:val="19"/>
                <w:szCs w:val="19"/>
                <w:lang w:val="es-ES"/>
              </w:rPr>
            </w:pPr>
            <w:r w:rsidRPr="00D409F2">
              <w:rPr>
                <w:rFonts w:ascii="Cambria" w:hAnsi="Cambria"/>
                <w:bCs/>
                <w:sz w:val="19"/>
                <w:szCs w:val="19"/>
                <w:lang w:val="es-ES"/>
              </w:rPr>
              <w:t>Sí</w:t>
            </w:r>
          </w:p>
        </w:tc>
      </w:tr>
    </w:tbl>
    <w:p w14:paraId="16644444" w14:textId="77777777" w:rsidR="004E21D2" w:rsidRDefault="004E21D2" w:rsidP="004E21D2">
      <w:pPr>
        <w:ind w:firstLine="720"/>
        <w:jc w:val="both"/>
        <w:rPr>
          <w:rFonts w:ascii="Cambria" w:hAnsi="Cambria"/>
          <w:b/>
          <w:sz w:val="20"/>
          <w:szCs w:val="20"/>
          <w:lang w:val="es-ES"/>
        </w:rPr>
      </w:pPr>
    </w:p>
    <w:p w14:paraId="18E6423B" w14:textId="17E7C573" w:rsidR="003239B8" w:rsidRPr="00746B33" w:rsidRDefault="0034224A" w:rsidP="00955DDA">
      <w:pPr>
        <w:pStyle w:val="ListParagraph"/>
        <w:numPr>
          <w:ilvl w:val="0"/>
          <w:numId w:val="57"/>
        </w:numPr>
        <w:jc w:val="both"/>
        <w:rPr>
          <w:b/>
          <w:sz w:val="20"/>
          <w:szCs w:val="20"/>
          <w:lang w:val="es-ES"/>
        </w:rPr>
      </w:pPr>
      <w:r w:rsidRPr="00746B33">
        <w:rPr>
          <w:b/>
          <w:sz w:val="20"/>
          <w:szCs w:val="20"/>
          <w:lang w:val="es-ES"/>
        </w:rPr>
        <w:t>RESUMEN DE LOS HECHOS ALEGADOS</w:t>
      </w:r>
    </w:p>
    <w:p w14:paraId="1F9B9EC6" w14:textId="77777777" w:rsidR="004E21D2" w:rsidRDefault="004E21D2" w:rsidP="004E21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6310EBB" w14:textId="6855FD47" w:rsidR="00DE12F0" w:rsidRDefault="00DE3A16"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4E21D2">
        <w:rPr>
          <w:rFonts w:ascii="Cambria" w:hAnsi="Cambria"/>
          <w:sz w:val="20"/>
          <w:szCs w:val="20"/>
          <w:lang w:val="es-ES"/>
        </w:rPr>
        <w:t>La petición</w:t>
      </w:r>
      <w:r w:rsidR="003170F9" w:rsidRPr="004E21D2">
        <w:rPr>
          <w:rFonts w:ascii="Cambria" w:hAnsi="Cambria"/>
          <w:sz w:val="20"/>
          <w:szCs w:val="20"/>
          <w:lang w:val="es-ES"/>
        </w:rPr>
        <w:t xml:space="preserve"> bajo análisis se presenta en representación </w:t>
      </w:r>
      <w:r w:rsidR="002726AB" w:rsidRPr="004E21D2">
        <w:rPr>
          <w:rFonts w:ascii="Cambria" w:hAnsi="Cambria"/>
          <w:sz w:val="20"/>
          <w:szCs w:val="20"/>
          <w:lang w:val="es-ES"/>
        </w:rPr>
        <w:t>de los miembros de las comunidades indígenas, agrícolas y ganaderas del Norte de Chile</w:t>
      </w:r>
      <w:r w:rsidR="00CE6EC5" w:rsidRPr="004E21D2">
        <w:rPr>
          <w:rFonts w:ascii="Cambria" w:hAnsi="Cambria"/>
          <w:sz w:val="20"/>
          <w:szCs w:val="20"/>
          <w:lang w:val="es-ES"/>
        </w:rPr>
        <w:t xml:space="preserve"> ubicadas en los poblados Alto Loa, Calama y Atacama La Grande</w:t>
      </w:r>
      <w:r w:rsidR="00B7611E">
        <w:rPr>
          <w:rFonts w:ascii="Cambria" w:hAnsi="Cambria"/>
          <w:sz w:val="20"/>
          <w:szCs w:val="20"/>
          <w:lang w:val="es-ES"/>
        </w:rPr>
        <w:t xml:space="preserve"> en relación a</w:t>
      </w:r>
      <w:r w:rsidR="002726AB" w:rsidRPr="004E21D2">
        <w:rPr>
          <w:rFonts w:ascii="Cambria" w:hAnsi="Cambria"/>
          <w:sz w:val="20"/>
          <w:szCs w:val="20"/>
          <w:lang w:val="es-ES"/>
        </w:rPr>
        <w:t xml:space="preserve"> la alegada responsabilidad internacional del Estado chileno </w:t>
      </w:r>
      <w:r w:rsidR="00901A75" w:rsidRPr="004E21D2">
        <w:rPr>
          <w:rFonts w:ascii="Cambria" w:hAnsi="Cambria"/>
          <w:sz w:val="20"/>
          <w:szCs w:val="20"/>
          <w:lang w:val="es-ES"/>
        </w:rPr>
        <w:t xml:space="preserve">al desarrollar </w:t>
      </w:r>
      <w:r w:rsidR="00BF0D9D" w:rsidRPr="004E21D2">
        <w:rPr>
          <w:rFonts w:ascii="Cambria" w:hAnsi="Cambria"/>
          <w:sz w:val="20"/>
          <w:szCs w:val="20"/>
          <w:lang w:val="es-ES"/>
        </w:rPr>
        <w:t xml:space="preserve">y autorizar </w:t>
      </w:r>
      <w:r w:rsidR="00923FE6" w:rsidRPr="004E21D2">
        <w:rPr>
          <w:rFonts w:ascii="Cambria" w:hAnsi="Cambria"/>
          <w:sz w:val="20"/>
          <w:szCs w:val="20"/>
          <w:lang w:val="es-ES"/>
        </w:rPr>
        <w:t xml:space="preserve">distintas </w:t>
      </w:r>
      <w:r w:rsidR="006721F5">
        <w:rPr>
          <w:rFonts w:ascii="Cambria" w:hAnsi="Cambria"/>
          <w:sz w:val="20"/>
          <w:szCs w:val="20"/>
          <w:lang w:val="es-ES"/>
        </w:rPr>
        <w:t xml:space="preserve">acciones relativas al </w:t>
      </w:r>
      <w:r w:rsidR="00901A75" w:rsidRPr="00A90187">
        <w:rPr>
          <w:rFonts w:ascii="Cambria" w:hAnsi="Cambria"/>
          <w:sz w:val="20"/>
          <w:szCs w:val="20"/>
          <w:lang w:val="es-ES"/>
        </w:rPr>
        <w:t xml:space="preserve">proyecto de perforación profunda </w:t>
      </w:r>
      <w:r w:rsidR="00B7611E" w:rsidRPr="00A90187">
        <w:rPr>
          <w:rFonts w:ascii="Cambria" w:hAnsi="Cambria"/>
          <w:sz w:val="20"/>
          <w:szCs w:val="20"/>
          <w:lang w:val="es-ES"/>
        </w:rPr>
        <w:t xml:space="preserve">en manos de la empresa “Geotérmica del Norte S.A”, propiedad de la Empresa Nacional de Petróleo, </w:t>
      </w:r>
      <w:r w:rsidR="00923FE6" w:rsidRPr="00A90187">
        <w:rPr>
          <w:rFonts w:ascii="Cambria" w:hAnsi="Cambria"/>
          <w:sz w:val="20"/>
          <w:szCs w:val="20"/>
          <w:lang w:val="es-ES"/>
        </w:rPr>
        <w:t xml:space="preserve">en </w:t>
      </w:r>
      <w:r w:rsidR="00901A75" w:rsidRPr="00A90187">
        <w:rPr>
          <w:rFonts w:ascii="Cambria" w:hAnsi="Cambria"/>
          <w:sz w:val="20"/>
          <w:szCs w:val="20"/>
          <w:lang w:val="es-ES"/>
        </w:rPr>
        <w:t>los Geisers del Tatio</w:t>
      </w:r>
      <w:r w:rsidR="00CE6EC5" w:rsidRPr="00A90187">
        <w:rPr>
          <w:rFonts w:ascii="Cambria" w:hAnsi="Cambria"/>
          <w:sz w:val="20"/>
          <w:szCs w:val="20"/>
          <w:lang w:val="es-ES"/>
        </w:rPr>
        <w:t>, las cuales estarían afectando de manera grave y directa los derechos de los miembros de estas comunidades</w:t>
      </w:r>
      <w:r w:rsidR="00901A75" w:rsidRPr="00A90187">
        <w:rPr>
          <w:rFonts w:ascii="Cambria" w:hAnsi="Cambria"/>
          <w:sz w:val="20"/>
          <w:szCs w:val="20"/>
          <w:lang w:val="es-ES"/>
        </w:rPr>
        <w:t>.</w:t>
      </w:r>
      <w:r w:rsidR="00731C30" w:rsidRPr="00A90187">
        <w:rPr>
          <w:rFonts w:ascii="Cambria" w:hAnsi="Cambria"/>
          <w:sz w:val="20"/>
          <w:szCs w:val="20"/>
          <w:lang w:val="es-ES"/>
        </w:rPr>
        <w:t xml:space="preserve"> </w:t>
      </w:r>
      <w:r w:rsidR="00B7611E" w:rsidRPr="00A90187">
        <w:rPr>
          <w:rFonts w:ascii="Cambria" w:hAnsi="Cambria"/>
          <w:sz w:val="20"/>
          <w:szCs w:val="20"/>
          <w:lang w:val="es-ES"/>
        </w:rPr>
        <w:t xml:space="preserve"> Los peticionarios a</w:t>
      </w:r>
      <w:r w:rsidR="00731C30" w:rsidRPr="00A90187">
        <w:rPr>
          <w:rFonts w:ascii="Cambria" w:hAnsi="Cambria"/>
          <w:sz w:val="20"/>
          <w:szCs w:val="20"/>
          <w:lang w:val="es-ES"/>
        </w:rPr>
        <w:t xml:space="preserve">rgumentan que la ausencia de medidas </w:t>
      </w:r>
      <w:r w:rsidR="007B4157" w:rsidRPr="00A90187">
        <w:rPr>
          <w:rFonts w:ascii="Cambria" w:hAnsi="Cambria"/>
          <w:sz w:val="20"/>
          <w:szCs w:val="20"/>
          <w:lang w:val="es-ES"/>
        </w:rPr>
        <w:t>de</w:t>
      </w:r>
      <w:r w:rsidR="00731C30" w:rsidRPr="00A90187">
        <w:rPr>
          <w:rFonts w:ascii="Cambria" w:hAnsi="Cambria"/>
          <w:sz w:val="20"/>
          <w:szCs w:val="20"/>
          <w:lang w:val="es-ES"/>
        </w:rPr>
        <w:t xml:space="preserve"> protección y garantía de los derechos humanos de las comunidades indígenas </w:t>
      </w:r>
      <w:r w:rsidR="00731C30" w:rsidRPr="00A90187">
        <w:rPr>
          <w:rFonts w:ascii="Cambria" w:hAnsi="Cambria"/>
          <w:sz w:val="20"/>
          <w:szCs w:val="20"/>
          <w:lang w:val="es-ES"/>
        </w:rPr>
        <w:lastRenderedPageBreak/>
        <w:t>por parte del Estado chileno ha significado un agravamiento progresivo de la situación de indefensión de las mismas.</w:t>
      </w:r>
    </w:p>
    <w:p w14:paraId="3CA016BA" w14:textId="77777777" w:rsidR="004E21D2" w:rsidRPr="004E21D2" w:rsidRDefault="004E21D2" w:rsidP="004E21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0382954" w14:textId="5AFC35F8" w:rsidR="005C4039" w:rsidRDefault="00B71A87"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721F5">
        <w:rPr>
          <w:rFonts w:ascii="Cambria" w:hAnsi="Cambria"/>
          <w:sz w:val="20"/>
          <w:szCs w:val="20"/>
          <w:lang w:val="es-ES"/>
        </w:rPr>
        <w:t>L</w:t>
      </w:r>
      <w:r w:rsidR="00531C44" w:rsidRPr="006721F5">
        <w:rPr>
          <w:rFonts w:ascii="Cambria" w:hAnsi="Cambria"/>
          <w:sz w:val="20"/>
          <w:szCs w:val="20"/>
          <w:lang w:val="es-ES"/>
        </w:rPr>
        <w:t>os peticionarios describe</w:t>
      </w:r>
      <w:r w:rsidR="007A3EE0" w:rsidRPr="006721F5">
        <w:rPr>
          <w:rFonts w:ascii="Cambria" w:hAnsi="Cambria"/>
          <w:sz w:val="20"/>
          <w:szCs w:val="20"/>
          <w:lang w:val="es-ES"/>
        </w:rPr>
        <w:t>n</w:t>
      </w:r>
      <w:r w:rsidR="00DE6651">
        <w:rPr>
          <w:rFonts w:ascii="Cambria" w:hAnsi="Cambria"/>
          <w:sz w:val="20"/>
          <w:szCs w:val="20"/>
          <w:lang w:val="es-ES"/>
        </w:rPr>
        <w:t xml:space="preserve"> que </w:t>
      </w:r>
      <w:r w:rsidR="00531C44" w:rsidRPr="006721F5">
        <w:rPr>
          <w:rFonts w:ascii="Cambria" w:hAnsi="Cambria"/>
          <w:sz w:val="20"/>
          <w:szCs w:val="20"/>
          <w:lang w:val="es-ES"/>
        </w:rPr>
        <w:t xml:space="preserve">los Pueblos Lickan Antay-Atacameños </w:t>
      </w:r>
      <w:r w:rsidR="00CB60FE" w:rsidRPr="006721F5">
        <w:rPr>
          <w:rFonts w:ascii="Cambria" w:hAnsi="Cambria"/>
          <w:sz w:val="20"/>
          <w:szCs w:val="20"/>
          <w:lang w:val="es-ES"/>
        </w:rPr>
        <w:t xml:space="preserve">han vivido </w:t>
      </w:r>
      <w:r w:rsidR="00F571BB" w:rsidRPr="006721F5">
        <w:rPr>
          <w:rFonts w:ascii="Cambria" w:hAnsi="Cambria"/>
          <w:sz w:val="20"/>
          <w:szCs w:val="20"/>
          <w:lang w:val="es-ES"/>
        </w:rPr>
        <w:t xml:space="preserve">en el norte de Chile </w:t>
      </w:r>
      <w:r w:rsidR="00D90E05" w:rsidRPr="006721F5">
        <w:rPr>
          <w:rFonts w:ascii="Cambria" w:hAnsi="Cambria"/>
          <w:sz w:val="20"/>
          <w:szCs w:val="20"/>
          <w:lang w:val="es-ES"/>
        </w:rPr>
        <w:t xml:space="preserve">desde hace 12 mil años antes de Cristo, </w:t>
      </w:r>
      <w:r w:rsidR="00F571BB" w:rsidRPr="006721F5">
        <w:rPr>
          <w:rFonts w:ascii="Cambria" w:hAnsi="Cambria"/>
          <w:sz w:val="20"/>
          <w:szCs w:val="20"/>
          <w:lang w:val="es-ES"/>
        </w:rPr>
        <w:t>en permanente interacción con la</w:t>
      </w:r>
      <w:r w:rsidR="00D90E05" w:rsidRPr="006721F5">
        <w:rPr>
          <w:rFonts w:ascii="Cambria" w:hAnsi="Cambria"/>
          <w:sz w:val="20"/>
          <w:szCs w:val="20"/>
          <w:lang w:val="es-ES"/>
        </w:rPr>
        <w:t>s comunidades quechuas y aymaras</w:t>
      </w:r>
      <w:r w:rsidR="00F571BB" w:rsidRPr="006721F5">
        <w:rPr>
          <w:rFonts w:ascii="Cambria" w:hAnsi="Cambria"/>
          <w:sz w:val="20"/>
          <w:szCs w:val="20"/>
          <w:lang w:val="es-ES"/>
        </w:rPr>
        <w:t xml:space="preserve">. </w:t>
      </w:r>
      <w:r w:rsidR="00D90E05" w:rsidRPr="006721F5">
        <w:rPr>
          <w:rFonts w:ascii="Cambria" w:hAnsi="Cambria"/>
          <w:sz w:val="20"/>
          <w:szCs w:val="20"/>
          <w:lang w:val="es-ES"/>
        </w:rPr>
        <w:t xml:space="preserve">Detallan que </w:t>
      </w:r>
      <w:r w:rsidR="00BE1DE2" w:rsidRPr="006721F5">
        <w:rPr>
          <w:rFonts w:ascii="Cambria" w:hAnsi="Cambria"/>
          <w:sz w:val="20"/>
          <w:szCs w:val="20"/>
          <w:lang w:val="es-ES"/>
        </w:rPr>
        <w:t>luego de la llegada de los europeos a raíz de l</w:t>
      </w:r>
      <w:r w:rsidR="00B2470F" w:rsidRPr="006721F5">
        <w:rPr>
          <w:rFonts w:ascii="Cambria" w:hAnsi="Cambria"/>
          <w:sz w:val="20"/>
          <w:szCs w:val="20"/>
          <w:lang w:val="es-ES"/>
        </w:rPr>
        <w:t>a</w:t>
      </w:r>
      <w:r w:rsidR="00BE1DE2" w:rsidRPr="006721F5">
        <w:rPr>
          <w:rFonts w:ascii="Cambria" w:hAnsi="Cambria"/>
          <w:sz w:val="20"/>
          <w:szCs w:val="20"/>
          <w:lang w:val="es-ES"/>
        </w:rPr>
        <w:t xml:space="preserve"> cual sufrieron un pro</w:t>
      </w:r>
      <w:r w:rsidR="00053221" w:rsidRPr="006721F5">
        <w:rPr>
          <w:rFonts w:ascii="Cambria" w:hAnsi="Cambria"/>
          <w:sz w:val="20"/>
          <w:szCs w:val="20"/>
          <w:lang w:val="es-ES"/>
        </w:rPr>
        <w:t xml:space="preserve">ceso de etnocidio de su cultura, el Estado de Chile declaró las tierras indígenas y atacameñas de interés fiscal y usurpó sus territorios sin compensación </w:t>
      </w:r>
      <w:r w:rsidR="000D6704">
        <w:rPr>
          <w:rFonts w:ascii="Cambria" w:hAnsi="Cambria"/>
          <w:sz w:val="20"/>
          <w:szCs w:val="20"/>
          <w:lang w:val="es-ES"/>
        </w:rPr>
        <w:t xml:space="preserve">alguna </w:t>
      </w:r>
      <w:r w:rsidR="00053221" w:rsidRPr="006721F5">
        <w:rPr>
          <w:rFonts w:ascii="Cambria" w:hAnsi="Cambria"/>
          <w:sz w:val="20"/>
          <w:szCs w:val="20"/>
          <w:lang w:val="es-ES"/>
        </w:rPr>
        <w:t xml:space="preserve">generando </w:t>
      </w:r>
      <w:r w:rsidR="000D6704" w:rsidRPr="006721F5">
        <w:rPr>
          <w:rFonts w:ascii="Cambria" w:hAnsi="Cambria"/>
          <w:sz w:val="20"/>
          <w:szCs w:val="20"/>
          <w:lang w:val="es-ES"/>
        </w:rPr>
        <w:t xml:space="preserve">durante el Siglo XX </w:t>
      </w:r>
      <w:r w:rsidR="00053221" w:rsidRPr="006721F5">
        <w:rPr>
          <w:rFonts w:ascii="Cambria" w:hAnsi="Cambria"/>
          <w:sz w:val="20"/>
          <w:szCs w:val="20"/>
          <w:lang w:val="es-ES"/>
        </w:rPr>
        <w:t>una fuerte migración forzada</w:t>
      </w:r>
      <w:r w:rsidR="00DE6651">
        <w:rPr>
          <w:rFonts w:ascii="Cambria" w:hAnsi="Cambria"/>
          <w:sz w:val="20"/>
          <w:szCs w:val="20"/>
          <w:lang w:val="es-ES"/>
        </w:rPr>
        <w:t>, en particular de los jóvenes,</w:t>
      </w:r>
      <w:r w:rsidR="00053221" w:rsidRPr="006721F5">
        <w:rPr>
          <w:rFonts w:ascii="Cambria" w:hAnsi="Cambria"/>
          <w:sz w:val="20"/>
          <w:szCs w:val="20"/>
          <w:lang w:val="es-ES"/>
        </w:rPr>
        <w:t xml:space="preserve"> a las grandes ciudades en condiciones de precariedad y pobreza. </w:t>
      </w:r>
    </w:p>
    <w:p w14:paraId="68519C62" w14:textId="77777777" w:rsidR="005C4039" w:rsidRDefault="005C4039" w:rsidP="005C4039">
      <w:pPr>
        <w:pStyle w:val="ListParagraph"/>
        <w:rPr>
          <w:sz w:val="20"/>
          <w:szCs w:val="20"/>
          <w:lang w:val="es-ES"/>
        </w:rPr>
      </w:pPr>
    </w:p>
    <w:p w14:paraId="05AC4F30" w14:textId="76629D90" w:rsidR="00D97652" w:rsidRDefault="0029388E"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específico, l</w:t>
      </w:r>
      <w:r w:rsidR="00DE6651" w:rsidRPr="00394E17">
        <w:rPr>
          <w:rFonts w:ascii="Cambria" w:hAnsi="Cambria"/>
          <w:sz w:val="20"/>
          <w:szCs w:val="20"/>
          <w:lang w:val="es-ES"/>
        </w:rPr>
        <w:t>os peticionarios alegan</w:t>
      </w:r>
      <w:r w:rsidR="005C4039" w:rsidRPr="00394E17">
        <w:rPr>
          <w:rFonts w:ascii="Cambria" w:hAnsi="Cambria"/>
          <w:sz w:val="20"/>
          <w:szCs w:val="20"/>
          <w:lang w:val="es-ES"/>
        </w:rPr>
        <w:t xml:space="preserve"> que</w:t>
      </w:r>
      <w:r w:rsidR="00DE6651" w:rsidRPr="00394E17">
        <w:rPr>
          <w:rFonts w:ascii="Cambria" w:hAnsi="Cambria"/>
          <w:sz w:val="20"/>
          <w:szCs w:val="20"/>
          <w:lang w:val="es-ES"/>
        </w:rPr>
        <w:t xml:space="preserve"> </w:t>
      </w:r>
      <w:r w:rsidR="00FE77B4">
        <w:rPr>
          <w:rFonts w:ascii="Cambria" w:hAnsi="Cambria"/>
          <w:sz w:val="20"/>
          <w:szCs w:val="20"/>
          <w:lang w:val="es-ES"/>
        </w:rPr>
        <w:t>a partir del 2007</w:t>
      </w:r>
      <w:r w:rsidR="00DE6651" w:rsidRPr="00394E17">
        <w:rPr>
          <w:rFonts w:ascii="Cambria" w:hAnsi="Cambria"/>
          <w:sz w:val="20"/>
          <w:szCs w:val="20"/>
          <w:lang w:val="es-ES"/>
        </w:rPr>
        <w:t xml:space="preserve"> el Estado </w:t>
      </w:r>
      <w:r w:rsidR="00A149BE">
        <w:rPr>
          <w:rFonts w:ascii="Cambria" w:hAnsi="Cambria"/>
          <w:sz w:val="20"/>
          <w:szCs w:val="20"/>
          <w:lang w:val="es-ES"/>
        </w:rPr>
        <w:t>chileno</w:t>
      </w:r>
      <w:r w:rsidR="000D6704" w:rsidRPr="000D6704">
        <w:rPr>
          <w:rFonts w:ascii="Cambria" w:hAnsi="Cambria"/>
          <w:sz w:val="20"/>
          <w:szCs w:val="20"/>
          <w:lang w:val="es-ES"/>
        </w:rPr>
        <w:t xml:space="preserve"> </w:t>
      </w:r>
      <w:r w:rsidR="000D6704" w:rsidRPr="00394E17">
        <w:rPr>
          <w:rFonts w:ascii="Cambria" w:hAnsi="Cambria"/>
          <w:sz w:val="20"/>
          <w:szCs w:val="20"/>
          <w:lang w:val="es-ES"/>
        </w:rPr>
        <w:t>a través de la empresa Geotérmica del Norte S.A</w:t>
      </w:r>
      <w:r w:rsidR="000D6704">
        <w:rPr>
          <w:rFonts w:ascii="Cambria" w:hAnsi="Cambria"/>
          <w:sz w:val="20"/>
          <w:szCs w:val="20"/>
          <w:lang w:val="es-ES"/>
        </w:rPr>
        <w:t>,</w:t>
      </w:r>
      <w:r w:rsidR="00A149BE">
        <w:rPr>
          <w:rFonts w:ascii="Cambria" w:hAnsi="Cambria"/>
          <w:sz w:val="20"/>
          <w:szCs w:val="20"/>
          <w:lang w:val="es-ES"/>
        </w:rPr>
        <w:t xml:space="preserve"> </w:t>
      </w:r>
      <w:r w:rsidR="00DE6651" w:rsidRPr="00394E17">
        <w:rPr>
          <w:rFonts w:ascii="Cambria" w:hAnsi="Cambria"/>
          <w:sz w:val="20"/>
          <w:szCs w:val="20"/>
          <w:lang w:val="es-ES"/>
        </w:rPr>
        <w:t xml:space="preserve">ha </w:t>
      </w:r>
      <w:r w:rsidR="00394E17" w:rsidRPr="00394E17">
        <w:rPr>
          <w:rFonts w:ascii="Cambria" w:hAnsi="Cambria"/>
          <w:sz w:val="20"/>
          <w:szCs w:val="20"/>
          <w:lang w:val="es-ES"/>
        </w:rPr>
        <w:t xml:space="preserve">desarrollado sin autorización alguna ni aprobación de los miembros de las comunidades indígenas, agrícolas o turísticas involucradas, </w:t>
      </w:r>
      <w:r w:rsidR="005C4039" w:rsidRPr="00394E17">
        <w:rPr>
          <w:rFonts w:ascii="Cambria" w:hAnsi="Cambria"/>
          <w:sz w:val="20"/>
          <w:szCs w:val="20"/>
          <w:lang w:val="es-ES"/>
        </w:rPr>
        <w:t>acciones tempra</w:t>
      </w:r>
      <w:r w:rsidR="00DE6651" w:rsidRPr="00394E17">
        <w:rPr>
          <w:rFonts w:ascii="Cambria" w:hAnsi="Cambria"/>
          <w:sz w:val="20"/>
          <w:szCs w:val="20"/>
          <w:lang w:val="es-ES"/>
        </w:rPr>
        <w:t>n</w:t>
      </w:r>
      <w:r w:rsidR="005C4039" w:rsidRPr="00394E17">
        <w:rPr>
          <w:rFonts w:ascii="Cambria" w:hAnsi="Cambria"/>
          <w:sz w:val="20"/>
          <w:szCs w:val="20"/>
          <w:lang w:val="es-ES"/>
        </w:rPr>
        <w:t>as de exploración de energía geotérmica</w:t>
      </w:r>
      <w:r w:rsidR="00DE6651" w:rsidRPr="00394E17">
        <w:rPr>
          <w:rFonts w:ascii="Cambria" w:hAnsi="Cambria"/>
          <w:sz w:val="20"/>
          <w:szCs w:val="20"/>
          <w:lang w:val="es-ES"/>
        </w:rPr>
        <w:t xml:space="preserve"> en el marco del proyecto de perforación </w:t>
      </w:r>
      <w:r w:rsidR="00DE6651" w:rsidRPr="00A90187">
        <w:rPr>
          <w:rFonts w:ascii="Cambria" w:hAnsi="Cambria"/>
          <w:sz w:val="20"/>
          <w:szCs w:val="20"/>
          <w:lang w:val="es-ES"/>
        </w:rPr>
        <w:t>profunda en el sector del ex campamento CORFO al sur del campo de Geiseres de El Tatio, comuna de Calama</w:t>
      </w:r>
      <w:r w:rsidR="000D6704" w:rsidRPr="00A90187">
        <w:rPr>
          <w:rFonts w:ascii="Cambria" w:hAnsi="Cambria"/>
          <w:sz w:val="20"/>
          <w:szCs w:val="20"/>
          <w:lang w:val="es-ES"/>
        </w:rPr>
        <w:t>.</w:t>
      </w:r>
      <w:r w:rsidR="00D97652" w:rsidRPr="00A90187">
        <w:rPr>
          <w:rFonts w:ascii="Cambria" w:hAnsi="Cambria"/>
          <w:sz w:val="20"/>
          <w:szCs w:val="20"/>
          <w:lang w:val="es-ES"/>
        </w:rPr>
        <w:t xml:space="preserve"> </w:t>
      </w:r>
      <w:r w:rsidR="000D6704" w:rsidRPr="00A90187">
        <w:rPr>
          <w:rFonts w:ascii="Cambria" w:hAnsi="Cambria"/>
          <w:sz w:val="20"/>
          <w:szCs w:val="20"/>
          <w:lang w:val="es-ES"/>
        </w:rPr>
        <w:t xml:space="preserve">En este sentido, </w:t>
      </w:r>
      <w:r w:rsidR="00D97652" w:rsidRPr="00A90187">
        <w:rPr>
          <w:rFonts w:ascii="Cambria" w:hAnsi="Cambria"/>
          <w:sz w:val="20"/>
          <w:szCs w:val="20"/>
          <w:lang w:val="es-ES"/>
        </w:rPr>
        <w:t xml:space="preserve">denuncian </w:t>
      </w:r>
      <w:r w:rsidR="00190C40" w:rsidRPr="00A90187">
        <w:rPr>
          <w:rFonts w:ascii="Cambria" w:hAnsi="Cambria"/>
          <w:sz w:val="20"/>
          <w:szCs w:val="20"/>
          <w:lang w:val="es-ES"/>
        </w:rPr>
        <w:t xml:space="preserve">la destrucción irreversible de áreas de los Geisers del Tatio </w:t>
      </w:r>
      <w:r w:rsidR="00F97929" w:rsidRPr="00A90187">
        <w:rPr>
          <w:rFonts w:ascii="Cambria" w:hAnsi="Cambria"/>
          <w:sz w:val="20"/>
          <w:szCs w:val="20"/>
          <w:lang w:val="es-ES"/>
        </w:rPr>
        <w:t xml:space="preserve">y </w:t>
      </w:r>
      <w:r w:rsidR="00D97652" w:rsidRPr="00A90187">
        <w:rPr>
          <w:rFonts w:ascii="Cambria" w:hAnsi="Cambria"/>
          <w:sz w:val="20"/>
          <w:szCs w:val="20"/>
          <w:lang w:val="es-ES"/>
        </w:rPr>
        <w:t xml:space="preserve">la afectación directa de estas actividades </w:t>
      </w:r>
      <w:r w:rsidR="000D6704" w:rsidRPr="00A90187">
        <w:rPr>
          <w:rFonts w:ascii="Cambria" w:hAnsi="Cambria"/>
          <w:sz w:val="20"/>
          <w:szCs w:val="20"/>
          <w:lang w:val="es-ES"/>
        </w:rPr>
        <w:t xml:space="preserve">realizadas </w:t>
      </w:r>
      <w:r w:rsidR="00D97652" w:rsidRPr="00A90187">
        <w:rPr>
          <w:rFonts w:ascii="Cambria" w:hAnsi="Cambria"/>
          <w:sz w:val="20"/>
          <w:szCs w:val="20"/>
          <w:lang w:val="es-ES"/>
        </w:rPr>
        <w:t xml:space="preserve">en el marco del proyecto de perforación sobre </w:t>
      </w:r>
      <w:r w:rsidR="00190C40" w:rsidRPr="00A90187">
        <w:rPr>
          <w:rFonts w:ascii="Cambria" w:hAnsi="Cambria"/>
          <w:sz w:val="20"/>
          <w:szCs w:val="20"/>
          <w:lang w:val="es-ES"/>
        </w:rPr>
        <w:t>el</w:t>
      </w:r>
      <w:r w:rsidR="00D97652" w:rsidRPr="00A90187">
        <w:rPr>
          <w:rFonts w:ascii="Cambria" w:hAnsi="Cambria"/>
          <w:sz w:val="20"/>
          <w:szCs w:val="20"/>
          <w:lang w:val="es-ES"/>
        </w:rPr>
        <w:t xml:space="preserve"> turismo</w:t>
      </w:r>
      <w:r w:rsidR="00190C40" w:rsidRPr="00A90187">
        <w:rPr>
          <w:rFonts w:ascii="Cambria" w:hAnsi="Cambria"/>
          <w:sz w:val="20"/>
          <w:szCs w:val="20"/>
          <w:lang w:val="es-ES"/>
        </w:rPr>
        <w:t xml:space="preserve"> desarrollado alrededor de </w:t>
      </w:r>
      <w:r w:rsidR="00190C40" w:rsidRPr="0029388E">
        <w:rPr>
          <w:rFonts w:ascii="Cambria" w:hAnsi="Cambria"/>
          <w:sz w:val="20"/>
          <w:szCs w:val="20"/>
          <w:lang w:val="es-ES"/>
        </w:rPr>
        <w:t>los grandes descubrimientos arqueológicos de los ancestros Lickan Antay-Atacameños</w:t>
      </w:r>
      <w:r w:rsidR="00190C40">
        <w:rPr>
          <w:rFonts w:ascii="Cambria" w:hAnsi="Cambria"/>
          <w:sz w:val="20"/>
          <w:szCs w:val="20"/>
          <w:lang w:val="es-ES"/>
        </w:rPr>
        <w:t xml:space="preserve"> </w:t>
      </w:r>
      <w:r w:rsidR="00D97652">
        <w:rPr>
          <w:rFonts w:ascii="Cambria" w:hAnsi="Cambria"/>
          <w:sz w:val="20"/>
          <w:szCs w:val="20"/>
          <w:lang w:val="es-ES"/>
        </w:rPr>
        <w:t xml:space="preserve">y </w:t>
      </w:r>
      <w:r w:rsidR="00D97652" w:rsidRPr="00394E17">
        <w:rPr>
          <w:rFonts w:ascii="Cambria" w:hAnsi="Cambria"/>
          <w:sz w:val="20"/>
          <w:szCs w:val="20"/>
          <w:lang w:val="es-ES"/>
        </w:rPr>
        <w:t>de</w:t>
      </w:r>
      <w:r w:rsidR="00190C40">
        <w:rPr>
          <w:rFonts w:ascii="Cambria" w:hAnsi="Cambria"/>
          <w:sz w:val="20"/>
          <w:szCs w:val="20"/>
          <w:lang w:val="es-ES"/>
        </w:rPr>
        <w:t>l</w:t>
      </w:r>
      <w:r w:rsidR="00D97652" w:rsidRPr="00394E17">
        <w:rPr>
          <w:rFonts w:ascii="Cambria" w:hAnsi="Cambria"/>
          <w:sz w:val="20"/>
          <w:szCs w:val="20"/>
          <w:lang w:val="es-ES"/>
        </w:rPr>
        <w:t xml:space="preserve"> pastoreo que administra</w:t>
      </w:r>
      <w:r w:rsidR="00D97652">
        <w:rPr>
          <w:rFonts w:ascii="Cambria" w:hAnsi="Cambria"/>
          <w:sz w:val="20"/>
          <w:szCs w:val="20"/>
          <w:lang w:val="es-ES"/>
        </w:rPr>
        <w:t>n</w:t>
      </w:r>
      <w:r w:rsidR="00D97652" w:rsidRPr="00394E17">
        <w:rPr>
          <w:rFonts w:ascii="Cambria" w:hAnsi="Cambria"/>
          <w:sz w:val="20"/>
          <w:szCs w:val="20"/>
          <w:lang w:val="es-ES"/>
        </w:rPr>
        <w:t xml:space="preserve"> la</w:t>
      </w:r>
      <w:r w:rsidR="00D97652">
        <w:rPr>
          <w:rFonts w:ascii="Cambria" w:hAnsi="Cambria"/>
          <w:sz w:val="20"/>
          <w:szCs w:val="20"/>
          <w:lang w:val="es-ES"/>
        </w:rPr>
        <w:t>s</w:t>
      </w:r>
      <w:r w:rsidR="00D97652" w:rsidRPr="00394E17">
        <w:rPr>
          <w:rFonts w:ascii="Cambria" w:hAnsi="Cambria"/>
          <w:sz w:val="20"/>
          <w:szCs w:val="20"/>
          <w:lang w:val="es-ES"/>
        </w:rPr>
        <w:t xml:space="preserve"> comunidad</w:t>
      </w:r>
      <w:r w:rsidR="00D97652">
        <w:rPr>
          <w:rFonts w:ascii="Cambria" w:hAnsi="Cambria"/>
          <w:sz w:val="20"/>
          <w:szCs w:val="20"/>
          <w:lang w:val="es-ES"/>
        </w:rPr>
        <w:t>es</w:t>
      </w:r>
      <w:r w:rsidR="00D97652" w:rsidRPr="00394E17">
        <w:rPr>
          <w:rFonts w:ascii="Cambria" w:hAnsi="Cambria"/>
          <w:sz w:val="20"/>
          <w:szCs w:val="20"/>
          <w:lang w:val="es-ES"/>
        </w:rPr>
        <w:t xml:space="preserve"> indígena</w:t>
      </w:r>
      <w:r w:rsidR="00D97652">
        <w:rPr>
          <w:rFonts w:ascii="Cambria" w:hAnsi="Cambria"/>
          <w:sz w:val="20"/>
          <w:szCs w:val="20"/>
          <w:lang w:val="es-ES"/>
        </w:rPr>
        <w:t>s</w:t>
      </w:r>
      <w:r w:rsidR="00F97929">
        <w:rPr>
          <w:rFonts w:ascii="Cambria" w:hAnsi="Cambria"/>
          <w:sz w:val="20"/>
          <w:szCs w:val="20"/>
          <w:lang w:val="es-ES"/>
        </w:rPr>
        <w:t xml:space="preserve">. </w:t>
      </w:r>
    </w:p>
    <w:p w14:paraId="11529917" w14:textId="77777777" w:rsidR="00D97652" w:rsidRPr="002812B3" w:rsidRDefault="00D97652" w:rsidP="00D976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A7E5595" w14:textId="47355AA8" w:rsidR="00190C40" w:rsidRDefault="005236AE"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9388E">
        <w:rPr>
          <w:rFonts w:ascii="Cambria" w:hAnsi="Cambria"/>
          <w:sz w:val="20"/>
          <w:szCs w:val="20"/>
          <w:lang w:val="es-ES"/>
        </w:rPr>
        <w:t xml:space="preserve">Agregan que </w:t>
      </w:r>
      <w:r w:rsidR="00F97929">
        <w:rPr>
          <w:rFonts w:ascii="Cambria" w:hAnsi="Cambria"/>
          <w:sz w:val="20"/>
          <w:szCs w:val="20"/>
          <w:lang w:val="es-ES"/>
        </w:rPr>
        <w:t xml:space="preserve">han sido </w:t>
      </w:r>
      <w:r w:rsidRPr="0029388E">
        <w:rPr>
          <w:rFonts w:ascii="Cambria" w:hAnsi="Cambria"/>
          <w:sz w:val="20"/>
          <w:szCs w:val="20"/>
          <w:lang w:val="es-ES"/>
        </w:rPr>
        <w:t>construido</w:t>
      </w:r>
      <w:r w:rsidR="00B63039">
        <w:rPr>
          <w:rFonts w:ascii="Cambria" w:hAnsi="Cambria"/>
          <w:sz w:val="20"/>
          <w:szCs w:val="20"/>
          <w:lang w:val="es-ES"/>
        </w:rPr>
        <w:t>s</w:t>
      </w:r>
      <w:r w:rsidRPr="0029388E">
        <w:rPr>
          <w:rFonts w:ascii="Cambria" w:hAnsi="Cambria"/>
          <w:sz w:val="20"/>
          <w:szCs w:val="20"/>
          <w:lang w:val="es-ES"/>
        </w:rPr>
        <w:t xml:space="preserve"> caminos, instalaciones y plataformas para </w:t>
      </w:r>
      <w:r w:rsidR="00F97929">
        <w:rPr>
          <w:rFonts w:ascii="Cambria" w:hAnsi="Cambria"/>
          <w:sz w:val="20"/>
          <w:szCs w:val="20"/>
          <w:lang w:val="es-ES"/>
        </w:rPr>
        <w:t xml:space="preserve">el </w:t>
      </w:r>
      <w:r w:rsidRPr="0029388E">
        <w:rPr>
          <w:rFonts w:ascii="Cambria" w:hAnsi="Cambria"/>
          <w:sz w:val="20"/>
          <w:szCs w:val="20"/>
          <w:lang w:val="es-ES"/>
        </w:rPr>
        <w:t>sondaje mientras</w:t>
      </w:r>
      <w:r w:rsidR="00F97929">
        <w:rPr>
          <w:rFonts w:ascii="Cambria" w:hAnsi="Cambria"/>
          <w:sz w:val="20"/>
          <w:szCs w:val="20"/>
          <w:lang w:val="es-ES"/>
        </w:rPr>
        <w:t xml:space="preserve"> se</w:t>
      </w:r>
      <w:r w:rsidRPr="0029388E">
        <w:rPr>
          <w:rFonts w:ascii="Cambria" w:hAnsi="Cambria"/>
          <w:sz w:val="20"/>
          <w:szCs w:val="20"/>
          <w:lang w:val="es-ES"/>
        </w:rPr>
        <w:t xml:space="preserve"> ha</w:t>
      </w:r>
      <w:r w:rsidR="006B0849" w:rsidRPr="0029388E">
        <w:rPr>
          <w:rFonts w:ascii="Cambria" w:hAnsi="Cambria"/>
          <w:sz w:val="20"/>
          <w:szCs w:val="20"/>
          <w:lang w:val="es-ES"/>
        </w:rPr>
        <w:t xml:space="preserve"> desviado los cursos naturales de agua, </w:t>
      </w:r>
      <w:r w:rsidR="00F97929">
        <w:rPr>
          <w:rFonts w:ascii="Cambria" w:hAnsi="Cambria"/>
          <w:sz w:val="20"/>
          <w:szCs w:val="20"/>
          <w:lang w:val="es-ES"/>
        </w:rPr>
        <w:t xml:space="preserve">se </w:t>
      </w:r>
      <w:r w:rsidR="006B0849" w:rsidRPr="0029388E">
        <w:rPr>
          <w:rFonts w:ascii="Cambria" w:hAnsi="Cambria"/>
          <w:sz w:val="20"/>
          <w:szCs w:val="20"/>
          <w:lang w:val="es-ES"/>
        </w:rPr>
        <w:t>l</w:t>
      </w:r>
      <w:r w:rsidR="00F97929">
        <w:rPr>
          <w:rFonts w:ascii="Cambria" w:hAnsi="Cambria"/>
          <w:sz w:val="20"/>
          <w:szCs w:val="20"/>
          <w:lang w:val="es-ES"/>
        </w:rPr>
        <w:t xml:space="preserve">os </w:t>
      </w:r>
      <w:r w:rsidR="006B0849" w:rsidRPr="0029388E">
        <w:rPr>
          <w:rFonts w:ascii="Cambria" w:hAnsi="Cambria"/>
          <w:sz w:val="20"/>
          <w:szCs w:val="20"/>
          <w:lang w:val="es-ES"/>
        </w:rPr>
        <w:t xml:space="preserve">ha </w:t>
      </w:r>
      <w:r w:rsidRPr="0029388E">
        <w:rPr>
          <w:rFonts w:ascii="Cambria" w:hAnsi="Cambria"/>
          <w:sz w:val="20"/>
          <w:szCs w:val="20"/>
          <w:lang w:val="es-ES"/>
        </w:rPr>
        <w:t>contaminado y extraído de las zonas del Tatio</w:t>
      </w:r>
      <w:r w:rsidR="00394E17" w:rsidRPr="0029388E">
        <w:rPr>
          <w:rFonts w:ascii="Cambria" w:hAnsi="Cambria"/>
          <w:sz w:val="20"/>
          <w:szCs w:val="20"/>
          <w:lang w:val="es-ES"/>
        </w:rPr>
        <w:t>.</w:t>
      </w:r>
      <w:r w:rsidR="002812B3" w:rsidRPr="0029388E">
        <w:rPr>
          <w:rFonts w:ascii="Cambria" w:hAnsi="Cambria"/>
          <w:sz w:val="20"/>
          <w:szCs w:val="20"/>
          <w:lang w:val="es-ES"/>
        </w:rPr>
        <w:t xml:space="preserve"> En este sentido, l</w:t>
      </w:r>
      <w:r w:rsidR="00DC3FE5" w:rsidRPr="0029388E">
        <w:rPr>
          <w:rFonts w:ascii="Cambria" w:hAnsi="Cambria"/>
          <w:sz w:val="20"/>
          <w:szCs w:val="20"/>
          <w:lang w:val="es-ES"/>
        </w:rPr>
        <w:t>os peticionarios explican que la extracción y destrucción de las fuentes de agua</w:t>
      </w:r>
      <w:r w:rsidR="002812B3" w:rsidRPr="0029388E">
        <w:rPr>
          <w:rFonts w:ascii="Cambria" w:hAnsi="Cambria"/>
          <w:sz w:val="20"/>
          <w:szCs w:val="20"/>
          <w:lang w:val="es-ES"/>
        </w:rPr>
        <w:t>,</w:t>
      </w:r>
      <w:r w:rsidR="00DC3FE5" w:rsidRPr="0029388E">
        <w:rPr>
          <w:rFonts w:ascii="Cambria" w:hAnsi="Cambria"/>
          <w:sz w:val="20"/>
          <w:szCs w:val="20"/>
          <w:lang w:val="es-ES"/>
        </w:rPr>
        <w:t xml:space="preserve"> como los ríos Jauna y Putana, afectan directamente la vida y sostenibilidad de las comunidades</w:t>
      </w:r>
      <w:r w:rsidR="002812B3" w:rsidRPr="0029388E">
        <w:rPr>
          <w:rFonts w:ascii="Cambria" w:hAnsi="Cambria"/>
          <w:sz w:val="20"/>
          <w:szCs w:val="20"/>
          <w:lang w:val="es-ES"/>
        </w:rPr>
        <w:t xml:space="preserve"> en relación al uso del agua para las localidades agrícolas y de pastoreo,</w:t>
      </w:r>
      <w:r w:rsidR="00DC3FE5" w:rsidRPr="0029388E">
        <w:rPr>
          <w:rFonts w:ascii="Cambria" w:hAnsi="Cambria"/>
          <w:sz w:val="20"/>
          <w:szCs w:val="20"/>
          <w:lang w:val="es-ES"/>
        </w:rPr>
        <w:t xml:space="preserve"> y </w:t>
      </w:r>
      <w:r w:rsidR="002812B3" w:rsidRPr="0029388E">
        <w:rPr>
          <w:rFonts w:ascii="Cambria" w:hAnsi="Cambria"/>
          <w:sz w:val="20"/>
          <w:szCs w:val="20"/>
          <w:lang w:val="es-ES"/>
        </w:rPr>
        <w:t xml:space="preserve">vulneran </w:t>
      </w:r>
      <w:r w:rsidR="00DC3FE5" w:rsidRPr="0029388E">
        <w:rPr>
          <w:rFonts w:ascii="Cambria" w:hAnsi="Cambria"/>
          <w:sz w:val="20"/>
          <w:szCs w:val="20"/>
          <w:lang w:val="es-ES"/>
        </w:rPr>
        <w:t>un elemento central de su historia y futuro de las generaciones</w:t>
      </w:r>
      <w:r w:rsidR="002812B3" w:rsidRPr="0029388E">
        <w:rPr>
          <w:rFonts w:ascii="Cambria" w:hAnsi="Cambria"/>
          <w:sz w:val="20"/>
          <w:szCs w:val="20"/>
          <w:lang w:val="es-ES"/>
        </w:rPr>
        <w:t xml:space="preserve"> en tanto</w:t>
      </w:r>
      <w:r w:rsidR="00D97652" w:rsidRPr="0029388E">
        <w:rPr>
          <w:rFonts w:ascii="Cambria" w:hAnsi="Cambria"/>
          <w:sz w:val="20"/>
          <w:szCs w:val="20"/>
          <w:lang w:val="es-ES"/>
        </w:rPr>
        <w:t>, de acuerdo a su cosmovisión, el agua vive y</w:t>
      </w:r>
      <w:r w:rsidR="002812B3" w:rsidRPr="0029388E">
        <w:rPr>
          <w:rFonts w:ascii="Cambria" w:hAnsi="Cambria"/>
          <w:sz w:val="20"/>
          <w:szCs w:val="20"/>
          <w:lang w:val="es-ES"/>
        </w:rPr>
        <w:t xml:space="preserve"> las almas de sus antepasados presentes en los Geisers mantienen una vinculación con las fuentes de agua ahí presentes.</w:t>
      </w:r>
      <w:r w:rsidR="00DC3FE5" w:rsidRPr="0029388E">
        <w:rPr>
          <w:rFonts w:ascii="Cambria" w:hAnsi="Cambria"/>
          <w:sz w:val="20"/>
          <w:szCs w:val="20"/>
          <w:lang w:val="es-ES"/>
        </w:rPr>
        <w:t xml:space="preserve"> </w:t>
      </w:r>
      <w:r w:rsidR="00D97652" w:rsidRPr="0029388E">
        <w:rPr>
          <w:rFonts w:ascii="Cambria" w:hAnsi="Cambria"/>
          <w:sz w:val="20"/>
          <w:szCs w:val="20"/>
          <w:lang w:val="es-ES"/>
        </w:rPr>
        <w:t>En particular, a</w:t>
      </w:r>
      <w:r w:rsidR="00DC3FE5" w:rsidRPr="0029388E">
        <w:rPr>
          <w:rFonts w:ascii="Cambria" w:hAnsi="Cambria"/>
          <w:sz w:val="20"/>
          <w:szCs w:val="20"/>
          <w:lang w:val="es-ES"/>
        </w:rPr>
        <w:t>rgumentan que los Geisers del Tatio son un lugar ceremonial para los chamanes de las comunidades</w:t>
      </w:r>
      <w:r w:rsidR="0029388E" w:rsidRPr="0029388E">
        <w:rPr>
          <w:rFonts w:ascii="Cambria" w:hAnsi="Cambria"/>
          <w:sz w:val="20"/>
          <w:szCs w:val="20"/>
          <w:lang w:val="es-ES"/>
        </w:rPr>
        <w:t xml:space="preserve"> </w:t>
      </w:r>
      <w:r w:rsidR="0029388E">
        <w:rPr>
          <w:rFonts w:ascii="Cambria" w:hAnsi="Cambria"/>
          <w:sz w:val="20"/>
          <w:szCs w:val="20"/>
          <w:lang w:val="es-ES"/>
        </w:rPr>
        <w:t xml:space="preserve">que tiene </w:t>
      </w:r>
      <w:r w:rsidR="0029388E" w:rsidRPr="0029388E">
        <w:rPr>
          <w:rFonts w:ascii="Cambria" w:hAnsi="Cambria"/>
          <w:sz w:val="20"/>
          <w:szCs w:val="20"/>
          <w:lang w:val="es-ES"/>
        </w:rPr>
        <w:t xml:space="preserve">espacios arqueológicos y de vida sustentable </w:t>
      </w:r>
      <w:r w:rsidR="0029388E">
        <w:rPr>
          <w:rFonts w:ascii="Cambria" w:hAnsi="Cambria"/>
          <w:sz w:val="20"/>
          <w:szCs w:val="20"/>
          <w:lang w:val="es-ES"/>
        </w:rPr>
        <w:t xml:space="preserve">con </w:t>
      </w:r>
      <w:r w:rsidR="0029388E" w:rsidRPr="0029388E">
        <w:rPr>
          <w:rFonts w:ascii="Cambria" w:hAnsi="Cambria"/>
          <w:sz w:val="20"/>
          <w:szCs w:val="20"/>
          <w:lang w:val="es-ES"/>
        </w:rPr>
        <w:t>una biodiversidad espec</w:t>
      </w:r>
      <w:r w:rsidR="00190C40">
        <w:rPr>
          <w:rFonts w:ascii="Cambria" w:hAnsi="Cambria"/>
          <w:sz w:val="20"/>
          <w:szCs w:val="20"/>
          <w:lang w:val="es-ES"/>
        </w:rPr>
        <w:t>í</w:t>
      </w:r>
      <w:r w:rsidR="0029388E" w:rsidRPr="0029388E">
        <w:rPr>
          <w:rFonts w:ascii="Cambria" w:hAnsi="Cambria"/>
          <w:sz w:val="20"/>
          <w:szCs w:val="20"/>
          <w:lang w:val="es-ES"/>
        </w:rPr>
        <w:t>fica con el conjunto de elementos que la componen como agua, tierra, energía, aire, flora, fauna y miembros de las comunidades en una perfecta</w:t>
      </w:r>
      <w:r w:rsidR="00190C40">
        <w:rPr>
          <w:rFonts w:ascii="Cambria" w:hAnsi="Cambria"/>
          <w:sz w:val="20"/>
          <w:szCs w:val="20"/>
          <w:lang w:val="es-ES"/>
        </w:rPr>
        <w:t xml:space="preserve"> </w:t>
      </w:r>
      <w:r w:rsidR="00190C40" w:rsidRPr="0029388E">
        <w:rPr>
          <w:rFonts w:ascii="Cambria" w:hAnsi="Cambria"/>
          <w:sz w:val="20"/>
          <w:szCs w:val="20"/>
          <w:lang w:val="es-ES"/>
        </w:rPr>
        <w:t>in</w:t>
      </w:r>
      <w:r w:rsidR="00190C40">
        <w:rPr>
          <w:rFonts w:ascii="Cambria" w:hAnsi="Cambria"/>
          <w:sz w:val="20"/>
          <w:szCs w:val="20"/>
          <w:lang w:val="es-ES"/>
        </w:rPr>
        <w:t>t</w:t>
      </w:r>
      <w:r w:rsidR="00190C40" w:rsidRPr="0029388E">
        <w:rPr>
          <w:rFonts w:ascii="Cambria" w:hAnsi="Cambria"/>
          <w:sz w:val="20"/>
          <w:szCs w:val="20"/>
          <w:lang w:val="es-ES"/>
        </w:rPr>
        <w:t>errelación</w:t>
      </w:r>
      <w:r w:rsidR="0029388E" w:rsidRPr="0029388E">
        <w:rPr>
          <w:rFonts w:ascii="Cambria" w:hAnsi="Cambria"/>
          <w:sz w:val="20"/>
          <w:szCs w:val="20"/>
          <w:lang w:val="es-ES"/>
        </w:rPr>
        <w:t xml:space="preserve"> </w:t>
      </w:r>
      <w:r w:rsidR="00190C40" w:rsidRPr="0029388E">
        <w:rPr>
          <w:rFonts w:ascii="Cambria" w:hAnsi="Cambria"/>
          <w:sz w:val="20"/>
          <w:szCs w:val="20"/>
          <w:lang w:val="es-ES"/>
        </w:rPr>
        <w:t>armónica</w:t>
      </w:r>
      <w:r w:rsidR="0029388E" w:rsidRPr="0029388E">
        <w:rPr>
          <w:rFonts w:ascii="Cambria" w:hAnsi="Cambria"/>
          <w:sz w:val="20"/>
          <w:szCs w:val="20"/>
          <w:lang w:val="es-ES"/>
        </w:rPr>
        <w:t xml:space="preserve"> que componen la </w:t>
      </w:r>
      <w:r w:rsidR="00190C40" w:rsidRPr="0029388E">
        <w:rPr>
          <w:rFonts w:ascii="Cambria" w:hAnsi="Cambria"/>
          <w:sz w:val="20"/>
          <w:szCs w:val="20"/>
          <w:lang w:val="es-ES"/>
        </w:rPr>
        <w:t>cosmovisión</w:t>
      </w:r>
      <w:r w:rsidR="00190C40">
        <w:rPr>
          <w:rFonts w:ascii="Cambria" w:hAnsi="Cambria"/>
          <w:sz w:val="20"/>
          <w:szCs w:val="20"/>
          <w:lang w:val="es-ES"/>
        </w:rPr>
        <w:t xml:space="preserve"> circular. </w:t>
      </w:r>
    </w:p>
    <w:p w14:paraId="4B70FF16" w14:textId="6BF583E8" w:rsidR="00190C40" w:rsidRDefault="005E667F" w:rsidP="005E667F">
      <w:pPr>
        <w:pStyle w:val="ListParagraph"/>
        <w:tabs>
          <w:tab w:val="left" w:pos="6695"/>
        </w:tabs>
        <w:rPr>
          <w:sz w:val="20"/>
          <w:szCs w:val="20"/>
          <w:lang w:val="es-ES"/>
        </w:rPr>
      </w:pPr>
      <w:r>
        <w:rPr>
          <w:sz w:val="20"/>
          <w:szCs w:val="20"/>
          <w:lang w:val="es-ES"/>
        </w:rPr>
        <w:tab/>
      </w:r>
    </w:p>
    <w:p w14:paraId="47FDD0F5" w14:textId="6FF6B52F" w:rsidR="00731C30" w:rsidRDefault="00731C30" w:rsidP="00955DD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F97929">
        <w:rPr>
          <w:sz w:val="20"/>
          <w:szCs w:val="20"/>
          <w:lang w:val="es-ES"/>
        </w:rPr>
        <w:t>No obstante a raíz de las acciones mencionadas y en un contexto de pérdida de costumbres ancestrales agrícolas e indígenas, describen que las comunidades de estas localidades se han visto forzadas a migrar hacia otras localidades por la pérdida de agua.</w:t>
      </w:r>
      <w:r>
        <w:rPr>
          <w:sz w:val="20"/>
          <w:szCs w:val="20"/>
          <w:lang w:val="es-ES"/>
        </w:rPr>
        <w:t xml:space="preserve"> </w:t>
      </w:r>
      <w:r w:rsidRPr="00F97929">
        <w:rPr>
          <w:sz w:val="20"/>
          <w:szCs w:val="20"/>
          <w:lang w:val="es-ES"/>
        </w:rPr>
        <w:t xml:space="preserve">Los peticionarios indican que a pesar que dichas tierras se consideran un territorio protegido por constituir un ecosistema único en el mundo y una reserva de energía para las comunidades aledañas y territorios ancestrales indígenas de las comunidades aymaras, el Estado a través de la empresa no ha buscado alternativas en territorios que no dañen la cosmovisión, y por el contrario vuelve a discriminar como lo ha realizado históricamente. </w:t>
      </w:r>
      <w:r>
        <w:rPr>
          <w:sz w:val="20"/>
          <w:szCs w:val="20"/>
          <w:lang w:val="es-ES"/>
        </w:rPr>
        <w:t>Sostienen que el Estado h</w:t>
      </w:r>
      <w:r w:rsidRPr="004E21D2">
        <w:rPr>
          <w:sz w:val="20"/>
          <w:szCs w:val="20"/>
          <w:lang w:val="es-ES"/>
        </w:rPr>
        <w:t xml:space="preserve">a tolerado la degradación de la energía </w:t>
      </w:r>
      <w:r>
        <w:rPr>
          <w:sz w:val="20"/>
          <w:szCs w:val="20"/>
          <w:lang w:val="es-ES"/>
        </w:rPr>
        <w:t>esencial de la vida terrena y espiri</w:t>
      </w:r>
      <w:r w:rsidRPr="004E21D2">
        <w:rPr>
          <w:sz w:val="20"/>
          <w:szCs w:val="20"/>
          <w:lang w:val="es-ES"/>
        </w:rPr>
        <w:t>tual</w:t>
      </w:r>
      <w:r>
        <w:rPr>
          <w:sz w:val="20"/>
          <w:szCs w:val="20"/>
          <w:lang w:val="es-ES"/>
        </w:rPr>
        <w:t xml:space="preserve"> y no implementa acciones para controlar </w:t>
      </w:r>
      <w:r w:rsidRPr="004E21D2">
        <w:rPr>
          <w:sz w:val="20"/>
          <w:szCs w:val="20"/>
          <w:lang w:val="es-ES"/>
        </w:rPr>
        <w:t>la</w:t>
      </w:r>
      <w:r>
        <w:rPr>
          <w:sz w:val="20"/>
          <w:szCs w:val="20"/>
          <w:lang w:val="es-ES"/>
        </w:rPr>
        <w:t xml:space="preserve"> cantida</w:t>
      </w:r>
      <w:r w:rsidRPr="004E21D2">
        <w:rPr>
          <w:sz w:val="20"/>
          <w:szCs w:val="20"/>
          <w:lang w:val="es-ES"/>
        </w:rPr>
        <w:t>d</w:t>
      </w:r>
      <w:r>
        <w:rPr>
          <w:sz w:val="20"/>
          <w:szCs w:val="20"/>
          <w:lang w:val="es-ES"/>
        </w:rPr>
        <w:t xml:space="preserve"> </w:t>
      </w:r>
      <w:r w:rsidRPr="004E21D2">
        <w:rPr>
          <w:sz w:val="20"/>
          <w:szCs w:val="20"/>
          <w:lang w:val="es-ES"/>
        </w:rPr>
        <w:t xml:space="preserve">de agua </w:t>
      </w:r>
      <w:r>
        <w:rPr>
          <w:sz w:val="20"/>
          <w:szCs w:val="20"/>
          <w:lang w:val="es-ES"/>
        </w:rPr>
        <w:t xml:space="preserve">extraída indicando </w:t>
      </w:r>
      <w:r w:rsidRPr="004E21D2">
        <w:rPr>
          <w:sz w:val="20"/>
          <w:szCs w:val="20"/>
          <w:lang w:val="es-ES"/>
        </w:rPr>
        <w:t>que la “sangre de la tierra es aprovechada sin control alguno</w:t>
      </w:r>
      <w:r>
        <w:rPr>
          <w:sz w:val="20"/>
          <w:szCs w:val="20"/>
          <w:lang w:val="es-ES"/>
        </w:rPr>
        <w:t>”</w:t>
      </w:r>
      <w:r w:rsidRPr="004E21D2">
        <w:rPr>
          <w:sz w:val="20"/>
          <w:szCs w:val="20"/>
          <w:lang w:val="es-ES"/>
        </w:rPr>
        <w:t xml:space="preserve">. </w:t>
      </w:r>
    </w:p>
    <w:p w14:paraId="72572C44" w14:textId="77777777" w:rsidR="00731C30" w:rsidRPr="00731C30" w:rsidRDefault="00731C30" w:rsidP="00731C30">
      <w:pPr>
        <w:pStyle w:val="ListParagraph"/>
        <w:rPr>
          <w:sz w:val="20"/>
          <w:szCs w:val="20"/>
          <w:lang w:val="es-ES"/>
        </w:rPr>
      </w:pPr>
    </w:p>
    <w:p w14:paraId="457C596E" w14:textId="063C1873" w:rsidR="00A31B44" w:rsidRDefault="00746B33" w:rsidP="00A31B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7625D">
        <w:rPr>
          <w:rFonts w:ascii="Cambria" w:hAnsi="Cambria"/>
          <w:sz w:val="20"/>
          <w:szCs w:val="20"/>
          <w:lang w:val="es-ES"/>
        </w:rPr>
        <w:t xml:space="preserve">Describen </w:t>
      </w:r>
      <w:r w:rsidR="00FE77B4" w:rsidRPr="00E7625D">
        <w:rPr>
          <w:rFonts w:ascii="Cambria" w:hAnsi="Cambria"/>
          <w:sz w:val="20"/>
          <w:szCs w:val="20"/>
          <w:lang w:val="es-ES"/>
        </w:rPr>
        <w:t>que a finales de 2007, el Consejo de Pueblos At</w:t>
      </w:r>
      <w:r w:rsidR="00B7244B">
        <w:rPr>
          <w:rFonts w:ascii="Cambria" w:hAnsi="Cambria"/>
          <w:sz w:val="20"/>
          <w:szCs w:val="20"/>
          <w:lang w:val="es-ES"/>
        </w:rPr>
        <w:t>acameños y otros representantes</w:t>
      </w:r>
      <w:r w:rsidR="00FE77B4" w:rsidRPr="00E7625D">
        <w:rPr>
          <w:rFonts w:ascii="Cambria" w:hAnsi="Cambria"/>
          <w:sz w:val="20"/>
          <w:szCs w:val="20"/>
          <w:lang w:val="es-ES"/>
        </w:rPr>
        <w:t xml:space="preserve"> presentaron un recurso de protección en relación </w:t>
      </w:r>
      <w:r w:rsidR="0005590B">
        <w:rPr>
          <w:rFonts w:ascii="Cambria" w:hAnsi="Cambria"/>
          <w:sz w:val="20"/>
          <w:szCs w:val="20"/>
          <w:lang w:val="es-ES"/>
        </w:rPr>
        <w:t xml:space="preserve">con </w:t>
      </w:r>
      <w:r w:rsidR="00FE77B4" w:rsidRPr="00E7625D">
        <w:rPr>
          <w:rFonts w:ascii="Cambria" w:hAnsi="Cambria"/>
          <w:sz w:val="20"/>
          <w:szCs w:val="20"/>
          <w:lang w:val="es-ES"/>
        </w:rPr>
        <w:t xml:space="preserve">la situación descrita ante la Corte de Apelaciones de Antofagasta </w:t>
      </w:r>
      <w:r w:rsidR="006C64DC" w:rsidRPr="00E7625D">
        <w:rPr>
          <w:rFonts w:ascii="Cambria" w:hAnsi="Cambria"/>
          <w:sz w:val="20"/>
          <w:szCs w:val="20"/>
          <w:lang w:val="es-ES"/>
        </w:rPr>
        <w:t xml:space="preserve">el cual fue rechazado por la misma </w:t>
      </w:r>
      <w:r w:rsidR="00FE77B4" w:rsidRPr="00E7625D">
        <w:rPr>
          <w:rFonts w:ascii="Cambria" w:hAnsi="Cambria"/>
          <w:sz w:val="20"/>
          <w:szCs w:val="20"/>
          <w:lang w:val="es-ES"/>
        </w:rPr>
        <w:t xml:space="preserve">y cuya decisión fue confirmada por la Corte Suprema de Justica en enero de 2008. </w:t>
      </w:r>
      <w:r w:rsidRPr="00E7625D">
        <w:rPr>
          <w:rFonts w:ascii="Cambria" w:hAnsi="Cambria"/>
          <w:sz w:val="20"/>
          <w:szCs w:val="20"/>
          <w:lang w:val="es-ES"/>
        </w:rPr>
        <w:t>Al respecto, destaca</w:t>
      </w:r>
      <w:r w:rsidR="00C3648F">
        <w:rPr>
          <w:rFonts w:ascii="Cambria" w:hAnsi="Cambria"/>
          <w:sz w:val="20"/>
          <w:szCs w:val="20"/>
          <w:lang w:val="es-ES"/>
        </w:rPr>
        <w:t>n</w:t>
      </w:r>
      <w:r w:rsidRPr="00E7625D">
        <w:rPr>
          <w:rFonts w:ascii="Cambria" w:hAnsi="Cambria"/>
          <w:sz w:val="20"/>
          <w:szCs w:val="20"/>
          <w:lang w:val="es-ES"/>
        </w:rPr>
        <w:t xml:space="preserve"> que el Estado ha constatado la existencia y compromiso de graves hechos que vulneran los derechos de los pueblos indígenas y no obstante ello insiste en la continuidad de las actividades. En particular señalan que el Consejo Consultivo de la Comisión Regional Del Medio Ambiente de II Región emitió pronunciamiento el 30 de junio de 2008 dirigido a la Comisión Regional del Medio Ambiente solicitando un pronunciamiento desfavorable al Estado de Chile respecto del </w:t>
      </w:r>
      <w:r w:rsidR="00E7625D" w:rsidRPr="00E7625D">
        <w:rPr>
          <w:rFonts w:ascii="Cambria" w:hAnsi="Cambria"/>
          <w:sz w:val="20"/>
          <w:szCs w:val="20"/>
          <w:lang w:val="es-ES"/>
        </w:rPr>
        <w:t>Estudio de Impacto Ambiental denominado “Perforación Geotérmica Profunda El Tatio, Fase I” del p</w:t>
      </w:r>
      <w:r w:rsidRPr="00E7625D">
        <w:rPr>
          <w:rFonts w:ascii="Cambria" w:hAnsi="Cambria"/>
          <w:sz w:val="20"/>
          <w:szCs w:val="20"/>
          <w:lang w:val="es-ES"/>
        </w:rPr>
        <w:t xml:space="preserve">royecto en los Geisers del Tatio. En el texto, este Consejo describe que el </w:t>
      </w:r>
      <w:r w:rsidR="00E7625D" w:rsidRPr="00E7625D">
        <w:rPr>
          <w:rFonts w:ascii="Cambria" w:hAnsi="Cambria"/>
          <w:sz w:val="20"/>
          <w:szCs w:val="20"/>
          <w:lang w:val="es-ES"/>
        </w:rPr>
        <w:t>“</w:t>
      </w:r>
      <w:r w:rsidRPr="00E7625D">
        <w:rPr>
          <w:rFonts w:ascii="Cambria" w:hAnsi="Cambria"/>
          <w:sz w:val="20"/>
          <w:szCs w:val="20"/>
          <w:lang w:val="es-ES"/>
        </w:rPr>
        <w:t>nivel de incerteza respecto a la no afectación en el funcionamiento de los Geysers de El Tatio es ent</w:t>
      </w:r>
      <w:r w:rsidR="00E7625D" w:rsidRPr="00E7625D">
        <w:rPr>
          <w:rFonts w:ascii="Cambria" w:hAnsi="Cambria"/>
          <w:sz w:val="20"/>
          <w:szCs w:val="20"/>
          <w:lang w:val="es-ES"/>
        </w:rPr>
        <w:t>r</w:t>
      </w:r>
      <w:r w:rsidRPr="00E7625D">
        <w:rPr>
          <w:rFonts w:ascii="Cambria" w:hAnsi="Cambria"/>
          <w:sz w:val="20"/>
          <w:szCs w:val="20"/>
          <w:lang w:val="es-ES"/>
        </w:rPr>
        <w:t xml:space="preserve">e mediano y alto </w:t>
      </w:r>
      <w:r w:rsidR="00E7625D" w:rsidRPr="00E7625D">
        <w:rPr>
          <w:rFonts w:ascii="Cambria" w:hAnsi="Cambria"/>
          <w:sz w:val="20"/>
          <w:szCs w:val="20"/>
          <w:lang w:val="es-ES"/>
        </w:rPr>
        <w:t>(…) [lo cual] constituye</w:t>
      </w:r>
      <w:r w:rsidRPr="00E7625D">
        <w:rPr>
          <w:rFonts w:ascii="Cambria" w:hAnsi="Cambria"/>
          <w:sz w:val="20"/>
          <w:szCs w:val="20"/>
          <w:lang w:val="es-ES"/>
        </w:rPr>
        <w:t xml:space="preserve"> un punto </w:t>
      </w:r>
      <w:r w:rsidR="00E7625D" w:rsidRPr="00E7625D">
        <w:rPr>
          <w:rFonts w:ascii="Cambria" w:hAnsi="Cambria"/>
          <w:sz w:val="20"/>
          <w:szCs w:val="20"/>
          <w:lang w:val="es-ES"/>
        </w:rPr>
        <w:t>crítico</w:t>
      </w:r>
      <w:r w:rsidRPr="00E7625D">
        <w:rPr>
          <w:rFonts w:ascii="Cambria" w:hAnsi="Cambria"/>
          <w:sz w:val="20"/>
          <w:szCs w:val="20"/>
          <w:lang w:val="es-ES"/>
        </w:rPr>
        <w:t xml:space="preserve"> dada la fragilidad que presentan los ecosistemas de este tipo y el </w:t>
      </w:r>
      <w:r w:rsidR="00E7625D" w:rsidRPr="00E7625D">
        <w:rPr>
          <w:rFonts w:ascii="Cambria" w:hAnsi="Cambria"/>
          <w:sz w:val="20"/>
          <w:szCs w:val="20"/>
          <w:lang w:val="es-ES"/>
        </w:rPr>
        <w:t>carácter</w:t>
      </w:r>
      <w:r w:rsidRPr="00E7625D">
        <w:rPr>
          <w:rFonts w:ascii="Cambria" w:hAnsi="Cambria"/>
          <w:sz w:val="20"/>
          <w:szCs w:val="20"/>
          <w:lang w:val="es-ES"/>
        </w:rPr>
        <w:t xml:space="preserve"> </w:t>
      </w:r>
      <w:r w:rsidR="00E7625D" w:rsidRPr="00E7625D">
        <w:rPr>
          <w:rFonts w:ascii="Cambria" w:hAnsi="Cambria"/>
          <w:sz w:val="20"/>
          <w:szCs w:val="20"/>
          <w:lang w:val="es-ES"/>
        </w:rPr>
        <w:t>exclusivo</w:t>
      </w:r>
      <w:r w:rsidRPr="00E7625D">
        <w:rPr>
          <w:rFonts w:ascii="Cambria" w:hAnsi="Cambria"/>
          <w:sz w:val="20"/>
          <w:szCs w:val="20"/>
          <w:lang w:val="es-ES"/>
        </w:rPr>
        <w:t xml:space="preserve"> de estos, toda vez que son ecosistemas únicos y de extremadamente baja representatividad en el territorio nacional</w:t>
      </w:r>
      <w:r w:rsidR="00E7625D" w:rsidRPr="00E7625D">
        <w:rPr>
          <w:rFonts w:ascii="Cambria" w:hAnsi="Cambria"/>
          <w:sz w:val="20"/>
          <w:szCs w:val="20"/>
          <w:lang w:val="es-ES"/>
        </w:rPr>
        <w:t>” y c</w:t>
      </w:r>
      <w:r w:rsidRPr="00E7625D">
        <w:rPr>
          <w:rFonts w:ascii="Cambria" w:hAnsi="Cambria"/>
          <w:sz w:val="20"/>
          <w:szCs w:val="20"/>
          <w:lang w:val="es-ES"/>
        </w:rPr>
        <w:t xml:space="preserve">onsidera que </w:t>
      </w:r>
      <w:r w:rsidR="00E7625D" w:rsidRPr="00E7625D">
        <w:rPr>
          <w:rFonts w:ascii="Cambria" w:hAnsi="Cambria"/>
          <w:sz w:val="20"/>
          <w:szCs w:val="20"/>
          <w:lang w:val="es-ES"/>
        </w:rPr>
        <w:t>“</w:t>
      </w:r>
      <w:r w:rsidRPr="00E7625D">
        <w:rPr>
          <w:rFonts w:ascii="Cambria" w:hAnsi="Cambria"/>
          <w:sz w:val="20"/>
          <w:szCs w:val="20"/>
          <w:lang w:val="es-ES"/>
        </w:rPr>
        <w:t>la autoridad ambiental debe considerar y ponderar adecuadamente las observaciones ciudadanas</w:t>
      </w:r>
      <w:r w:rsidR="00E7625D" w:rsidRPr="00E7625D">
        <w:rPr>
          <w:rFonts w:ascii="Cambria" w:hAnsi="Cambria"/>
          <w:sz w:val="20"/>
          <w:szCs w:val="20"/>
          <w:lang w:val="es-ES"/>
        </w:rPr>
        <w:t>”</w:t>
      </w:r>
      <w:r w:rsidRPr="00E7625D">
        <w:rPr>
          <w:rFonts w:ascii="Cambria" w:hAnsi="Cambria"/>
          <w:sz w:val="20"/>
          <w:szCs w:val="20"/>
          <w:lang w:val="es-ES"/>
        </w:rPr>
        <w:t xml:space="preserve">. </w:t>
      </w:r>
    </w:p>
    <w:p w14:paraId="57A75416" w14:textId="77777777" w:rsidR="00A31B44" w:rsidRDefault="00A31B44" w:rsidP="00A31B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132E15A" w14:textId="40855F57" w:rsidR="00A31B44" w:rsidRPr="00A31B44" w:rsidRDefault="00A31B44" w:rsidP="00A31B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Los peticionarios argumentan que el Estado de Chile ha constatado la existencia de graves hechos que vulneran los derechos de los pueblos indígenas no obstante, insiste en la continuidad de la actividad. En este sentido alega que el Estado ha aplicado más de 13 multas “por gravísimos hechos” pero sin embargo omite ordenar la paralización, suspensión o detención de las actividades ilegales de la empresa o implementar acciones tendientes a garantizar la plena realización de los derechos humanos de las víctimas afectadas. </w:t>
      </w:r>
    </w:p>
    <w:p w14:paraId="4972C1B6" w14:textId="6044A073" w:rsidR="005C4039" w:rsidRDefault="005C4039" w:rsidP="00731C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DE17B38" w14:textId="37FC12CA" w:rsidR="006C64DC" w:rsidRDefault="006C64DC"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su respuesta el Estado solicita información a los peticionarios sobre la posible presentación de una denuncia paralela ante algún órgano del Sistema de Naciones Unidas</w:t>
      </w:r>
      <w:r w:rsidR="00955DDA">
        <w:rPr>
          <w:rFonts w:ascii="Cambria" w:hAnsi="Cambria"/>
          <w:sz w:val="20"/>
          <w:szCs w:val="20"/>
          <w:lang w:val="es-ES"/>
        </w:rPr>
        <w:t xml:space="preserve"> a lo cual los peticionarios indicaron no haber realizado ninguna gestión para presentar una denuncia ante dicho foro</w:t>
      </w:r>
      <w:r w:rsidR="00746B33">
        <w:rPr>
          <w:rFonts w:ascii="Cambria" w:hAnsi="Cambria"/>
          <w:sz w:val="20"/>
          <w:szCs w:val="20"/>
          <w:lang w:val="es-ES"/>
        </w:rPr>
        <w:t xml:space="preserve">. A la fecha de adopción de este informe no se han recibido observaciones adicionales del Estado. </w:t>
      </w:r>
    </w:p>
    <w:p w14:paraId="4951B4C5" w14:textId="77777777" w:rsidR="00A31B44" w:rsidRPr="006C64DC" w:rsidRDefault="00A31B44" w:rsidP="0046292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FE6F5AE" w14:textId="5FE4EDAF" w:rsidR="004C616A" w:rsidRPr="004E21D2" w:rsidRDefault="004C616A" w:rsidP="00955DDA">
      <w:pPr>
        <w:pStyle w:val="ListParagraph"/>
        <w:numPr>
          <w:ilvl w:val="0"/>
          <w:numId w:val="57"/>
        </w:numPr>
        <w:jc w:val="both"/>
        <w:rPr>
          <w:b/>
          <w:bCs/>
          <w:sz w:val="20"/>
          <w:szCs w:val="20"/>
          <w:lang w:val="es-ES"/>
        </w:rPr>
      </w:pPr>
      <w:r w:rsidRPr="004E21D2">
        <w:rPr>
          <w:b/>
          <w:bCs/>
          <w:sz w:val="20"/>
          <w:szCs w:val="20"/>
          <w:lang w:val="es-ES"/>
        </w:rPr>
        <w:t>AGOTAMIENTO DE LOS RECURSOS INTERNOS Y PLAZO DE PRESENTACIÓN</w:t>
      </w:r>
    </w:p>
    <w:p w14:paraId="735EE33E" w14:textId="77777777" w:rsidR="00746B33" w:rsidRDefault="00746B33" w:rsidP="0022632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1A40BCDC" w14:textId="5F153224" w:rsidR="00746B33" w:rsidRDefault="007E5571"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Respecto al agotamiento de los recursos internos, </w:t>
      </w:r>
      <w:r w:rsidR="0032496A">
        <w:rPr>
          <w:rFonts w:ascii="Cambria" w:hAnsi="Cambria"/>
          <w:sz w:val="20"/>
          <w:szCs w:val="20"/>
          <w:lang w:val="es-ES"/>
        </w:rPr>
        <w:t>según</w:t>
      </w:r>
      <w:r w:rsidR="00C3648F">
        <w:rPr>
          <w:rFonts w:ascii="Cambria" w:hAnsi="Cambria"/>
          <w:sz w:val="20"/>
          <w:szCs w:val="20"/>
          <w:lang w:val="es-ES"/>
        </w:rPr>
        <w:t xml:space="preserve"> la información disponible y no controvertida por el Estado, </w:t>
      </w:r>
      <w:r w:rsidR="00746B33" w:rsidRPr="0022632F">
        <w:rPr>
          <w:rFonts w:ascii="Cambria" w:hAnsi="Cambria"/>
          <w:sz w:val="20"/>
          <w:szCs w:val="20"/>
          <w:lang w:val="es-ES"/>
        </w:rPr>
        <w:t>el Consejo de Pueblos Atacameños y otros representantes presentaron un recurso de protección ante la Corte de Apelaciones de Antofagasta el cual fue rechazado por la misma y cuya decisión fue confirmada por la Corte Supr</w:t>
      </w:r>
      <w:r w:rsidR="00485779">
        <w:rPr>
          <w:rFonts w:ascii="Cambria" w:hAnsi="Cambria"/>
          <w:sz w:val="20"/>
          <w:szCs w:val="20"/>
          <w:lang w:val="es-ES"/>
        </w:rPr>
        <w:t>ema de Justica en enero de 2008, a raíz de lo cual los peticionarios afirman el agotamiento de los recursos internos</w:t>
      </w:r>
      <w:r w:rsidR="00ED6225">
        <w:rPr>
          <w:rFonts w:ascii="Cambria" w:hAnsi="Cambria"/>
          <w:sz w:val="20"/>
          <w:szCs w:val="20"/>
          <w:lang w:val="es-ES"/>
        </w:rPr>
        <w:t>.</w:t>
      </w:r>
    </w:p>
    <w:p w14:paraId="5BE28B3C" w14:textId="77777777" w:rsidR="00485779" w:rsidRDefault="00485779" w:rsidP="004857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BD80037" w14:textId="310DB6D8" w:rsidR="00ED6225" w:rsidRPr="00ED6225" w:rsidRDefault="00485779" w:rsidP="00955DD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_tradnl"/>
        </w:rPr>
      </w:pPr>
      <w:r w:rsidRPr="00485779">
        <w:rPr>
          <w:rFonts w:cs="Calibri"/>
          <w:sz w:val="20"/>
          <w:szCs w:val="20"/>
          <w:lang w:val="es-ES"/>
        </w:rPr>
        <w:t xml:space="preserve">La Comisión recuerda </w:t>
      </w:r>
      <w:r w:rsidRPr="00485779">
        <w:rPr>
          <w:rFonts w:cs="Calibri"/>
          <w:sz w:val="20"/>
          <w:szCs w:val="20"/>
          <w:lang w:val="es-ES_tradnl"/>
        </w:rPr>
        <w:t>e</w:t>
      </w:r>
      <w:r w:rsidRPr="00485779">
        <w:rPr>
          <w:rFonts w:cs="Calibri"/>
          <w:sz w:val="20"/>
          <w:szCs w:val="20"/>
          <w:lang w:val="es-ES"/>
        </w:rPr>
        <w:t xml:space="preserve">l requisito del previo agotamiento de los recursos internos tiene como objeto </w:t>
      </w:r>
      <w:r w:rsidRPr="00ED6225">
        <w:rPr>
          <w:rFonts w:cs="Calibri"/>
          <w:sz w:val="20"/>
          <w:szCs w:val="20"/>
          <w:lang w:val="es-ES"/>
        </w:rPr>
        <w:t>permitir que las autoridades nacionales conozcan sobre la supuesta violación de un derecho protegido y, de ser apropiado, solucionen la situación antes de que sea conocida por una instancia internacional</w:t>
      </w:r>
      <w:r w:rsidRPr="00ED6225">
        <w:rPr>
          <w:rStyle w:val="FootnoteReference"/>
          <w:rFonts w:cs="Calibri"/>
          <w:sz w:val="20"/>
          <w:szCs w:val="20"/>
          <w:lang w:val="es-ES"/>
        </w:rPr>
        <w:footnoteReference w:id="5"/>
      </w:r>
      <w:r w:rsidRPr="00ED6225">
        <w:rPr>
          <w:rFonts w:cs="Calibri"/>
          <w:sz w:val="20"/>
          <w:szCs w:val="20"/>
          <w:lang w:val="es-ES"/>
        </w:rPr>
        <w:t xml:space="preserve">. </w:t>
      </w:r>
      <w:r w:rsidR="00ED6225" w:rsidRPr="00ED6225">
        <w:rPr>
          <w:rFonts w:cs="Calibri"/>
          <w:sz w:val="20"/>
          <w:szCs w:val="20"/>
          <w:lang w:val="es-ES_tradnl"/>
        </w:rPr>
        <w:t>Al respecto,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ED6225" w:rsidRPr="00ED6225">
        <w:rPr>
          <w:rFonts w:cs="Calibri"/>
          <w:sz w:val="20"/>
          <w:szCs w:val="20"/>
          <w:vertAlign w:val="superscript"/>
          <w:lang w:val="es-ES_tradnl"/>
        </w:rPr>
        <w:footnoteReference w:id="6"/>
      </w:r>
      <w:r w:rsidR="00ED6225" w:rsidRPr="00ED6225">
        <w:rPr>
          <w:rFonts w:cs="Calibri"/>
          <w:sz w:val="20"/>
          <w:szCs w:val="20"/>
          <w:lang w:val="es-ES_tradnl"/>
        </w:rPr>
        <w:t>.</w:t>
      </w:r>
      <w:r w:rsidR="001E3E7F">
        <w:rPr>
          <w:rFonts w:cs="Calibri"/>
          <w:sz w:val="20"/>
          <w:szCs w:val="20"/>
          <w:lang w:val="es-ES_tradnl"/>
        </w:rPr>
        <w:t xml:space="preserve"> </w:t>
      </w:r>
      <w:r w:rsidR="00B3787A">
        <w:rPr>
          <w:rFonts w:cs="Calibri"/>
          <w:sz w:val="20"/>
          <w:szCs w:val="20"/>
          <w:lang w:val="es-ES_tradnl"/>
        </w:rPr>
        <w:t>Es</w:t>
      </w:r>
      <w:r w:rsidR="0032496A">
        <w:rPr>
          <w:rFonts w:cs="Calibri"/>
          <w:sz w:val="20"/>
          <w:szCs w:val="20"/>
          <w:lang w:val="es-ES_tradnl"/>
        </w:rPr>
        <w:t xml:space="preserve"> de notar que, en ésta etapa procesal, el Estado no presento cuestionamientos a los alegatos presentados por la parte peticionaria respecto al agotamiento de los recursos internos.</w:t>
      </w:r>
    </w:p>
    <w:p w14:paraId="34E412E8" w14:textId="77777777" w:rsidR="00ED6225" w:rsidRPr="00ED6225" w:rsidRDefault="00ED6225" w:rsidP="00ED622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Times New Roman"/>
          <w:sz w:val="20"/>
          <w:szCs w:val="20"/>
          <w:lang w:val="es-ES"/>
        </w:rPr>
      </w:pPr>
    </w:p>
    <w:p w14:paraId="082D7B43" w14:textId="56C1B2BE" w:rsidR="008C5751" w:rsidRPr="004E21D2" w:rsidRDefault="00B3787A"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w:t>
      </w:r>
      <w:r w:rsidR="006D366F" w:rsidRPr="004E21D2">
        <w:rPr>
          <w:rFonts w:ascii="Cambria" w:hAnsi="Cambria"/>
          <w:sz w:val="20"/>
          <w:szCs w:val="20"/>
          <w:lang w:val="es-ES"/>
        </w:rPr>
        <w:t>a Comisión considera c</w:t>
      </w:r>
      <w:r w:rsidR="001E3E7F">
        <w:rPr>
          <w:rFonts w:ascii="Cambria" w:hAnsi="Cambria"/>
          <w:sz w:val="20"/>
          <w:szCs w:val="20"/>
          <w:lang w:val="es-ES"/>
        </w:rPr>
        <w:t>on base a lo antes expuesto, que</w:t>
      </w:r>
      <w:r w:rsidR="006D366F" w:rsidRPr="004E21D2">
        <w:rPr>
          <w:rFonts w:ascii="Cambria" w:hAnsi="Cambria"/>
          <w:sz w:val="20"/>
          <w:szCs w:val="20"/>
          <w:lang w:val="es-ES"/>
        </w:rPr>
        <w:t xml:space="preserve"> las presuntas víctimas agotaron los recursos internos contemplados, y concluye que la presente petición cumple el requisito establecido en los artículos 46.1.a de la Convención y 31.1 del Reglamento. Asimismo, teniendo en cuenta que</w:t>
      </w:r>
      <w:r w:rsidR="0022632F">
        <w:rPr>
          <w:rFonts w:ascii="Cambria" w:hAnsi="Cambria"/>
          <w:sz w:val="20"/>
          <w:szCs w:val="20"/>
          <w:lang w:val="es-ES"/>
        </w:rPr>
        <w:t>, de acuerdo a lo expuesto,</w:t>
      </w:r>
      <w:r w:rsidR="006D366F" w:rsidRPr="004E21D2">
        <w:rPr>
          <w:rFonts w:ascii="Cambria" w:hAnsi="Cambria"/>
          <w:sz w:val="20"/>
          <w:szCs w:val="20"/>
          <w:lang w:val="es-ES"/>
        </w:rPr>
        <w:t xml:space="preserve"> la sentencia de la Corte Suprema es de </w:t>
      </w:r>
      <w:r w:rsidR="001E3E7F">
        <w:rPr>
          <w:rFonts w:ascii="Cambria" w:hAnsi="Cambria"/>
          <w:sz w:val="20"/>
          <w:szCs w:val="20"/>
          <w:lang w:val="es-ES"/>
        </w:rPr>
        <w:t xml:space="preserve">enero de </w:t>
      </w:r>
      <w:r w:rsidR="006D366F" w:rsidRPr="004E21D2">
        <w:rPr>
          <w:rFonts w:ascii="Cambria" w:hAnsi="Cambria"/>
          <w:sz w:val="20"/>
          <w:szCs w:val="20"/>
          <w:lang w:val="es-ES"/>
        </w:rPr>
        <w:t>200</w:t>
      </w:r>
      <w:r w:rsidR="001E3E7F">
        <w:rPr>
          <w:rFonts w:ascii="Cambria" w:hAnsi="Cambria"/>
          <w:sz w:val="20"/>
          <w:szCs w:val="20"/>
          <w:lang w:val="es-ES"/>
        </w:rPr>
        <w:t>8</w:t>
      </w:r>
      <w:r w:rsidR="006D366F" w:rsidRPr="004E21D2">
        <w:rPr>
          <w:rFonts w:ascii="Cambria" w:hAnsi="Cambria"/>
          <w:sz w:val="20"/>
          <w:szCs w:val="20"/>
          <w:lang w:val="es-ES"/>
        </w:rPr>
        <w:t xml:space="preserve">, y que la presente petición fue recibida el </w:t>
      </w:r>
      <w:r w:rsidR="001E3E7F">
        <w:rPr>
          <w:rFonts w:ascii="Cambria" w:hAnsi="Cambria"/>
          <w:sz w:val="20"/>
          <w:szCs w:val="20"/>
          <w:lang w:val="es-ES"/>
        </w:rPr>
        <w:t xml:space="preserve">3 de abril </w:t>
      </w:r>
      <w:r w:rsidR="006D366F" w:rsidRPr="004E21D2">
        <w:rPr>
          <w:rFonts w:ascii="Cambria" w:hAnsi="Cambria"/>
          <w:sz w:val="20"/>
          <w:szCs w:val="20"/>
          <w:lang w:val="es-ES"/>
        </w:rPr>
        <w:t>de 2008, la Comisión considera cumplido el requisito establecido en el artículo 46.1.b de la Convención.</w:t>
      </w:r>
    </w:p>
    <w:p w14:paraId="668CEC07" w14:textId="77777777" w:rsidR="00746B33" w:rsidRDefault="00746B33" w:rsidP="00746B33">
      <w:pPr>
        <w:jc w:val="both"/>
        <w:rPr>
          <w:rFonts w:ascii="Cambria" w:hAnsi="Cambria"/>
          <w:b/>
          <w:bCs/>
          <w:sz w:val="20"/>
          <w:szCs w:val="20"/>
          <w:lang w:val="es-ES"/>
        </w:rPr>
      </w:pPr>
    </w:p>
    <w:p w14:paraId="7090A929" w14:textId="62B456CC" w:rsidR="00F04591" w:rsidRDefault="00F04591" w:rsidP="00955DDA">
      <w:pPr>
        <w:pStyle w:val="ListParagraph"/>
        <w:numPr>
          <w:ilvl w:val="0"/>
          <w:numId w:val="57"/>
        </w:numPr>
        <w:jc w:val="both"/>
        <w:rPr>
          <w:b/>
          <w:bCs/>
          <w:sz w:val="20"/>
          <w:szCs w:val="20"/>
          <w:lang w:val="es-ES"/>
        </w:rPr>
      </w:pPr>
      <w:r w:rsidRPr="00746B33">
        <w:rPr>
          <w:b/>
          <w:bCs/>
          <w:sz w:val="20"/>
          <w:szCs w:val="20"/>
          <w:lang w:val="es-ES"/>
        </w:rPr>
        <w:t>CARACTERIZACIÓN</w:t>
      </w:r>
    </w:p>
    <w:p w14:paraId="36E38489" w14:textId="7800507F" w:rsidR="001E3E7F" w:rsidRDefault="001E3E7F" w:rsidP="001E3E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F3FE0D7" w14:textId="70E5457A" w:rsidR="009B348B" w:rsidRPr="00A90187" w:rsidRDefault="00B3787A" w:rsidP="009462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ES"/>
        </w:rPr>
      </w:pPr>
      <w:r w:rsidRPr="00246D17">
        <w:rPr>
          <w:rFonts w:ascii="Cambria" w:hAnsi="Cambria"/>
          <w:sz w:val="20"/>
          <w:szCs w:val="20"/>
          <w:lang w:val="es-ES"/>
        </w:rPr>
        <w:t>La Comisión observa que la presente petición incluye alegaciones con respecto a</w:t>
      </w:r>
      <w:r w:rsidR="00A90187" w:rsidRPr="00246D17">
        <w:rPr>
          <w:rFonts w:ascii="Cambria" w:hAnsi="Cambria"/>
          <w:sz w:val="20"/>
          <w:szCs w:val="20"/>
          <w:lang w:val="es-ES"/>
        </w:rPr>
        <w:t>l desarrollo de</w:t>
      </w:r>
      <w:r w:rsidRPr="00246D17">
        <w:rPr>
          <w:rFonts w:ascii="Cambria" w:hAnsi="Cambria"/>
          <w:sz w:val="20"/>
          <w:szCs w:val="20"/>
          <w:lang w:val="es-ES"/>
        </w:rPr>
        <w:t xml:space="preserve"> acciones tempranas de exploración en el </w:t>
      </w:r>
      <w:r w:rsidR="00A90187" w:rsidRPr="00246D17">
        <w:rPr>
          <w:rFonts w:ascii="Cambria" w:hAnsi="Cambria"/>
          <w:sz w:val="20"/>
          <w:szCs w:val="20"/>
          <w:lang w:val="es-ES"/>
        </w:rPr>
        <w:t xml:space="preserve">territorio indígena en el marco </w:t>
      </w:r>
      <w:r w:rsidRPr="00246D17">
        <w:rPr>
          <w:rFonts w:ascii="Cambria" w:hAnsi="Cambria"/>
          <w:sz w:val="20"/>
          <w:szCs w:val="20"/>
          <w:lang w:val="es-ES"/>
        </w:rPr>
        <w:t xml:space="preserve">del proyecto de perforación </w:t>
      </w:r>
      <w:r w:rsidRPr="00A90187">
        <w:rPr>
          <w:rFonts w:ascii="Cambria" w:hAnsi="Cambria"/>
          <w:sz w:val="20"/>
          <w:szCs w:val="20"/>
          <w:lang w:val="es-ES"/>
        </w:rPr>
        <w:t>profunda</w:t>
      </w:r>
      <w:r w:rsidR="00A90187" w:rsidRPr="00A90187">
        <w:rPr>
          <w:rFonts w:ascii="Cambria" w:hAnsi="Cambria"/>
          <w:sz w:val="20"/>
          <w:szCs w:val="20"/>
          <w:lang w:val="es-ES"/>
        </w:rPr>
        <w:t xml:space="preserve">; </w:t>
      </w:r>
      <w:r w:rsidRPr="00A90187">
        <w:rPr>
          <w:rFonts w:ascii="Cambria" w:hAnsi="Cambria"/>
          <w:sz w:val="20"/>
          <w:szCs w:val="20"/>
          <w:lang w:val="es-ES"/>
        </w:rPr>
        <w:t xml:space="preserve">la destrucción de áreas de los Geisers del Tatio </w:t>
      </w:r>
      <w:r w:rsidR="00A90187">
        <w:rPr>
          <w:rFonts w:ascii="Cambria" w:hAnsi="Cambria"/>
          <w:sz w:val="20"/>
          <w:szCs w:val="20"/>
          <w:lang w:val="es-ES"/>
        </w:rPr>
        <w:t>y la afectación directa a la</w:t>
      </w:r>
      <w:r w:rsidR="009B348B" w:rsidRPr="00A90187">
        <w:rPr>
          <w:rFonts w:ascii="Cambria" w:hAnsi="Cambria"/>
          <w:sz w:val="20"/>
          <w:szCs w:val="20"/>
          <w:lang w:val="es-ES"/>
        </w:rPr>
        <w:t xml:space="preserve"> vida y sostenibilidad de las comunidades </w:t>
      </w:r>
      <w:r w:rsidR="006D50AE">
        <w:rPr>
          <w:rFonts w:ascii="Cambria" w:hAnsi="Cambria"/>
          <w:sz w:val="20"/>
          <w:szCs w:val="20"/>
          <w:lang w:val="es-ES"/>
        </w:rPr>
        <w:t xml:space="preserve">como </w:t>
      </w:r>
      <w:r w:rsidR="009B348B" w:rsidRPr="00A90187">
        <w:rPr>
          <w:rFonts w:ascii="Cambria" w:hAnsi="Cambria"/>
          <w:sz w:val="20"/>
          <w:szCs w:val="20"/>
          <w:lang w:val="es-ES"/>
        </w:rPr>
        <w:t>un elemento central de su historia y</w:t>
      </w:r>
      <w:r w:rsidR="006D50AE">
        <w:rPr>
          <w:rFonts w:ascii="Cambria" w:hAnsi="Cambria"/>
          <w:sz w:val="20"/>
          <w:szCs w:val="20"/>
          <w:lang w:val="es-ES"/>
        </w:rPr>
        <w:t xml:space="preserve"> cosmovisión. </w:t>
      </w:r>
    </w:p>
    <w:p w14:paraId="3CEA5DF2" w14:textId="77777777" w:rsidR="00B3787A" w:rsidRPr="00A90187" w:rsidRDefault="00B3787A" w:rsidP="00B3787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93146C5" w14:textId="1F162FC0" w:rsidR="000B0579" w:rsidRPr="00955DDA" w:rsidRDefault="00B3787A"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90187">
        <w:rPr>
          <w:rFonts w:ascii="Cambria" w:hAnsi="Cambria"/>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27669A">
        <w:rPr>
          <w:rFonts w:ascii="Cambria" w:hAnsi="Cambria"/>
          <w:sz w:val="20"/>
          <w:szCs w:val="20"/>
          <w:lang w:val="es-ES"/>
        </w:rPr>
        <w:t xml:space="preserve"> </w:t>
      </w:r>
      <w:r w:rsidR="005B0CD5" w:rsidRPr="00A90187">
        <w:rPr>
          <w:rFonts w:ascii="Cambria" w:hAnsi="Cambria"/>
          <w:bCs/>
          <w:sz w:val="20"/>
          <w:szCs w:val="20"/>
          <w:lang w:val="es-ES"/>
        </w:rPr>
        <w:t xml:space="preserve">5 (integridad personal), 8 (garantías judiciales), </w:t>
      </w:r>
      <w:r w:rsidR="008E4156" w:rsidRPr="00955DDA">
        <w:rPr>
          <w:rFonts w:ascii="Cambria" w:hAnsi="Cambria"/>
          <w:bCs/>
          <w:sz w:val="20"/>
          <w:szCs w:val="20"/>
          <w:lang w:val="es-ES"/>
        </w:rPr>
        <w:t>19 (derechos del niño)</w:t>
      </w:r>
      <w:r w:rsidR="008E4156">
        <w:rPr>
          <w:rFonts w:ascii="Cambria" w:hAnsi="Cambria"/>
          <w:bCs/>
          <w:sz w:val="20"/>
          <w:szCs w:val="20"/>
          <w:lang w:val="es-ES"/>
        </w:rPr>
        <w:t xml:space="preserve">, </w:t>
      </w:r>
      <w:r w:rsidR="006D50AE">
        <w:rPr>
          <w:rFonts w:ascii="Cambria" w:hAnsi="Cambria"/>
          <w:bCs/>
          <w:sz w:val="20"/>
          <w:szCs w:val="20"/>
          <w:lang w:val="es-ES"/>
        </w:rPr>
        <w:t>21 (derecho a la propiedad</w:t>
      </w:r>
      <w:r w:rsidR="009B348B" w:rsidRPr="00A90187">
        <w:rPr>
          <w:rFonts w:ascii="Cambria" w:hAnsi="Cambria"/>
          <w:bCs/>
          <w:sz w:val="20"/>
          <w:szCs w:val="20"/>
          <w:lang w:val="es-ES"/>
        </w:rPr>
        <w:t xml:space="preserve">), </w:t>
      </w:r>
      <w:r w:rsidR="005B0CD5" w:rsidRPr="00A90187">
        <w:rPr>
          <w:rFonts w:ascii="Cambria" w:hAnsi="Cambria"/>
          <w:bCs/>
          <w:sz w:val="20"/>
          <w:szCs w:val="20"/>
          <w:lang w:val="es-ES"/>
        </w:rPr>
        <w:t xml:space="preserve">22 (derecho </w:t>
      </w:r>
      <w:r w:rsidR="00462925" w:rsidRPr="00A90187">
        <w:rPr>
          <w:rFonts w:ascii="Cambria" w:hAnsi="Cambria"/>
          <w:bCs/>
          <w:sz w:val="20"/>
          <w:szCs w:val="20"/>
          <w:lang w:val="es-ES"/>
        </w:rPr>
        <w:t xml:space="preserve">a la circulación </w:t>
      </w:r>
      <w:r w:rsidR="00462925">
        <w:rPr>
          <w:rFonts w:ascii="Cambria" w:hAnsi="Cambria"/>
          <w:bCs/>
          <w:sz w:val="20"/>
          <w:szCs w:val="20"/>
          <w:lang w:val="es-ES"/>
        </w:rPr>
        <w:t xml:space="preserve">y residencia) </w:t>
      </w:r>
      <w:r w:rsidR="00B7244B">
        <w:rPr>
          <w:rFonts w:ascii="Cambria" w:hAnsi="Cambria"/>
          <w:bCs/>
          <w:sz w:val="20"/>
          <w:szCs w:val="20"/>
          <w:lang w:val="es-ES"/>
        </w:rPr>
        <w:t xml:space="preserve">y 25 (protección </w:t>
      </w:r>
      <w:r w:rsidR="00B7244B">
        <w:rPr>
          <w:rFonts w:ascii="Cambria" w:hAnsi="Cambria"/>
          <w:bCs/>
          <w:sz w:val="20"/>
          <w:szCs w:val="20"/>
          <w:lang w:val="es-ES"/>
        </w:rPr>
        <w:lastRenderedPageBreak/>
        <w:t>judicial)</w:t>
      </w:r>
      <w:r w:rsidR="00955DDA">
        <w:rPr>
          <w:rFonts w:ascii="Cambria" w:hAnsi="Cambria"/>
          <w:bCs/>
          <w:sz w:val="20"/>
          <w:szCs w:val="20"/>
          <w:lang w:val="es-ES"/>
        </w:rPr>
        <w:t xml:space="preserve"> </w:t>
      </w:r>
      <w:r w:rsidR="006D366F" w:rsidRPr="0041531A">
        <w:rPr>
          <w:rFonts w:ascii="Cambria" w:hAnsi="Cambria"/>
          <w:sz w:val="20"/>
          <w:szCs w:val="20"/>
          <w:lang w:val="es-ES"/>
        </w:rPr>
        <w:t xml:space="preserve">de la Convención Americana, en concordancia </w:t>
      </w:r>
      <w:r w:rsidR="006D366F" w:rsidRPr="00955DDA">
        <w:rPr>
          <w:rFonts w:ascii="Cambria" w:hAnsi="Cambria"/>
          <w:sz w:val="20"/>
          <w:szCs w:val="20"/>
          <w:lang w:val="es-ES"/>
        </w:rPr>
        <w:t>con los artículos 1.1 y 2 de dicho tratado.</w:t>
      </w:r>
      <w:r w:rsidR="0041531A" w:rsidRPr="00955DDA">
        <w:rPr>
          <w:rFonts w:ascii="Cambria" w:hAnsi="Cambria"/>
          <w:sz w:val="20"/>
          <w:szCs w:val="20"/>
          <w:lang w:val="es-ES"/>
        </w:rPr>
        <w:t xml:space="preserve"> </w:t>
      </w:r>
      <w:r w:rsidR="00347D68" w:rsidRPr="00347D68">
        <w:rPr>
          <w:rFonts w:ascii="Cambria" w:hAnsi="Cambria"/>
          <w:sz w:val="20"/>
          <w:szCs w:val="20"/>
          <w:lang w:val="es-ES"/>
        </w:rPr>
        <w:t xml:space="preserve">Asimismo, </w:t>
      </w:r>
      <w:r w:rsidR="00454240">
        <w:rPr>
          <w:rFonts w:ascii="Cambria" w:hAnsi="Cambria"/>
          <w:sz w:val="20"/>
          <w:szCs w:val="20"/>
          <w:lang w:val="es-ES"/>
        </w:rPr>
        <w:t xml:space="preserve">en vista de la alegada vinculación de los Geisers del Tatio como </w:t>
      </w:r>
      <w:r w:rsidR="00454240" w:rsidRPr="0029388E">
        <w:rPr>
          <w:rFonts w:ascii="Cambria" w:hAnsi="Cambria"/>
          <w:sz w:val="20"/>
          <w:szCs w:val="20"/>
          <w:lang w:val="es-ES"/>
        </w:rPr>
        <w:t>un elemento central de su historia</w:t>
      </w:r>
      <w:r w:rsidR="00454240">
        <w:rPr>
          <w:rFonts w:ascii="Cambria" w:hAnsi="Cambria"/>
          <w:sz w:val="20"/>
          <w:szCs w:val="20"/>
          <w:lang w:val="es-ES"/>
        </w:rPr>
        <w:t xml:space="preserve"> y cosmovisión</w:t>
      </w:r>
      <w:r w:rsidR="00347D68" w:rsidRPr="00347D68">
        <w:rPr>
          <w:rFonts w:ascii="Cambria" w:hAnsi="Cambria"/>
          <w:sz w:val="20"/>
          <w:szCs w:val="20"/>
          <w:lang w:val="es-ES"/>
        </w:rPr>
        <w:t xml:space="preserve">, la CIDH observa que los hechos descritos por los peticionarios podrían caracterizar una </w:t>
      </w:r>
      <w:r w:rsidR="00454240">
        <w:rPr>
          <w:rFonts w:ascii="Cambria" w:hAnsi="Cambria"/>
          <w:sz w:val="20"/>
          <w:szCs w:val="20"/>
          <w:lang w:val="es-ES"/>
        </w:rPr>
        <w:t>presunta violación al artículo 12</w:t>
      </w:r>
      <w:r w:rsidR="00347D68" w:rsidRPr="00347D68">
        <w:rPr>
          <w:rFonts w:ascii="Cambria" w:hAnsi="Cambria"/>
          <w:sz w:val="20"/>
          <w:szCs w:val="20"/>
          <w:lang w:val="es-ES"/>
        </w:rPr>
        <w:t xml:space="preserve"> de la Convención Americana</w:t>
      </w:r>
      <w:r w:rsidR="00347D68" w:rsidRPr="00347D68">
        <w:rPr>
          <w:rFonts w:ascii="Cambria" w:hAnsi="Cambria"/>
          <w:sz w:val="20"/>
          <w:szCs w:val="20"/>
          <w:vertAlign w:val="superscript"/>
          <w:lang w:val="es-ES"/>
        </w:rPr>
        <w:footnoteReference w:id="7"/>
      </w:r>
      <w:r w:rsidR="00454240">
        <w:rPr>
          <w:rFonts w:ascii="Cambria" w:hAnsi="Cambria"/>
          <w:sz w:val="20"/>
          <w:szCs w:val="20"/>
          <w:lang w:val="es-ES"/>
        </w:rPr>
        <w:t>.</w:t>
      </w:r>
    </w:p>
    <w:p w14:paraId="615EE7FE" w14:textId="77777777" w:rsidR="00CB03F5" w:rsidRPr="00955DDA" w:rsidRDefault="00CB03F5" w:rsidP="00CB03F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A226D82" w14:textId="4C2AB4BF" w:rsidR="00CB03F5" w:rsidRDefault="00CB03F5"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55DDA">
        <w:rPr>
          <w:rFonts w:ascii="Cambria" w:hAnsi="Cambria"/>
          <w:sz w:val="20"/>
          <w:szCs w:val="20"/>
          <w:lang w:val="es-ES_tradnl"/>
        </w:rPr>
        <w:t>Por otra parte, e</w:t>
      </w:r>
      <w:r w:rsidRPr="00955DDA">
        <w:rPr>
          <w:rFonts w:ascii="Cambria" w:hAnsi="Cambria"/>
          <w:sz w:val="20"/>
          <w:szCs w:val="20"/>
          <w:lang w:val="es-ES"/>
        </w:rPr>
        <w:t>n cuanto al reclamo sobre la presunta violación de</w:t>
      </w:r>
      <w:r w:rsidR="008E4156">
        <w:rPr>
          <w:rFonts w:ascii="Cambria" w:hAnsi="Cambria"/>
          <w:sz w:val="20"/>
          <w:szCs w:val="20"/>
          <w:lang w:val="es-ES"/>
        </w:rPr>
        <w:t xml:space="preserve">l artículo </w:t>
      </w:r>
      <w:r w:rsidR="00462925" w:rsidRPr="00955DDA">
        <w:rPr>
          <w:rFonts w:ascii="Cambria" w:hAnsi="Cambria"/>
          <w:bCs/>
          <w:sz w:val="20"/>
          <w:szCs w:val="20"/>
          <w:lang w:val="es-ES"/>
        </w:rPr>
        <w:t>24 (igualdad ante la ley)</w:t>
      </w:r>
      <w:r w:rsidR="005C739F">
        <w:rPr>
          <w:rFonts w:ascii="Cambria" w:hAnsi="Cambria"/>
          <w:bCs/>
          <w:sz w:val="20"/>
          <w:szCs w:val="20"/>
          <w:lang w:val="es-ES"/>
        </w:rPr>
        <w:t xml:space="preserve"> </w:t>
      </w:r>
      <w:r w:rsidRPr="00955DDA">
        <w:rPr>
          <w:rFonts w:ascii="Cambria" w:hAnsi="Cambria"/>
          <w:sz w:val="20"/>
          <w:szCs w:val="20"/>
          <w:lang w:val="es-ES"/>
        </w:rPr>
        <w:t>de la Convención America</w:t>
      </w:r>
      <w:r w:rsidR="00955DDA" w:rsidRPr="00955DDA">
        <w:rPr>
          <w:rFonts w:ascii="Cambria" w:hAnsi="Cambria"/>
          <w:sz w:val="20"/>
          <w:szCs w:val="20"/>
          <w:lang w:val="es-ES"/>
        </w:rPr>
        <w:t xml:space="preserve">na, la Comisión observa que los peticionarios </w:t>
      </w:r>
      <w:r w:rsidRPr="00955DDA">
        <w:rPr>
          <w:rFonts w:ascii="Cambria" w:hAnsi="Cambria"/>
          <w:sz w:val="20"/>
          <w:szCs w:val="20"/>
          <w:lang w:val="es-ES"/>
        </w:rPr>
        <w:t>no ha</w:t>
      </w:r>
      <w:r w:rsidR="00955DDA" w:rsidRPr="00955DDA">
        <w:rPr>
          <w:rFonts w:ascii="Cambria" w:hAnsi="Cambria"/>
          <w:sz w:val="20"/>
          <w:szCs w:val="20"/>
          <w:lang w:val="es-ES"/>
        </w:rPr>
        <w:t>n</w:t>
      </w:r>
      <w:r w:rsidRPr="00955DDA">
        <w:rPr>
          <w:rFonts w:ascii="Cambria" w:hAnsi="Cambria"/>
          <w:sz w:val="20"/>
          <w:szCs w:val="20"/>
          <w:lang w:val="es-ES"/>
        </w:rPr>
        <w:t xml:space="preserve"> ofrecido alegatos o sustento suficiente que permita considerar </w:t>
      </w:r>
      <w:r w:rsidRPr="00B5754A">
        <w:rPr>
          <w:rFonts w:ascii="Cambria" w:hAnsi="Cambria"/>
          <w:i/>
          <w:iCs/>
          <w:sz w:val="20"/>
          <w:szCs w:val="20"/>
          <w:lang w:val="es-ES"/>
        </w:rPr>
        <w:t>prima facie</w:t>
      </w:r>
      <w:r w:rsidRPr="00955DDA">
        <w:rPr>
          <w:rFonts w:ascii="Cambria" w:hAnsi="Cambria"/>
          <w:sz w:val="20"/>
          <w:szCs w:val="20"/>
          <w:lang w:val="es-ES"/>
        </w:rPr>
        <w:t xml:space="preserve"> su posible violación.</w:t>
      </w:r>
    </w:p>
    <w:p w14:paraId="5EB70E21" w14:textId="77777777" w:rsidR="008E4156" w:rsidRDefault="008E4156" w:rsidP="008E4156">
      <w:pPr>
        <w:pStyle w:val="ListParagraph"/>
        <w:rPr>
          <w:sz w:val="20"/>
          <w:szCs w:val="20"/>
          <w:lang w:val="es-ES"/>
        </w:rPr>
      </w:pPr>
    </w:p>
    <w:p w14:paraId="29BB41F5" w14:textId="23B729EC" w:rsidR="003239B8" w:rsidRPr="00955DDA" w:rsidRDefault="003239B8" w:rsidP="00955DD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color w:val="auto"/>
          <w:sz w:val="20"/>
          <w:szCs w:val="20"/>
          <w:lang w:val="es-ES"/>
        </w:rPr>
      </w:pPr>
      <w:r w:rsidRPr="00955DDA">
        <w:rPr>
          <w:b/>
          <w:bCs/>
          <w:color w:val="auto"/>
          <w:sz w:val="20"/>
          <w:szCs w:val="20"/>
          <w:lang w:val="es-ES"/>
        </w:rPr>
        <w:t>DECISIÓN</w:t>
      </w:r>
    </w:p>
    <w:p w14:paraId="48774C4E" w14:textId="77777777" w:rsidR="00746B33" w:rsidRPr="00955DDA" w:rsidRDefault="00746B33" w:rsidP="00746B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b/>
          <w:bCs/>
          <w:color w:val="auto"/>
          <w:sz w:val="20"/>
          <w:szCs w:val="20"/>
          <w:lang w:val="es-ES"/>
        </w:rPr>
      </w:pPr>
    </w:p>
    <w:p w14:paraId="0FDE1D10" w14:textId="2ABACED4" w:rsidR="003239B8" w:rsidRPr="00955DDA" w:rsidRDefault="003239B8" w:rsidP="00955D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55DDA">
        <w:rPr>
          <w:rFonts w:ascii="Cambria" w:hAnsi="Cambria"/>
          <w:sz w:val="20"/>
          <w:szCs w:val="20"/>
          <w:lang w:val="es-ES"/>
        </w:rPr>
        <w:t>Declarar admisible la presente petición en relación con</w:t>
      </w:r>
      <w:r w:rsidR="003A6337" w:rsidRPr="00955DDA">
        <w:rPr>
          <w:rFonts w:ascii="Cambria" w:hAnsi="Cambria"/>
          <w:sz w:val="20"/>
          <w:szCs w:val="20"/>
          <w:lang w:val="es-ES"/>
        </w:rPr>
        <w:t xml:space="preserve"> los </w:t>
      </w:r>
      <w:r w:rsidR="003A6337" w:rsidRPr="000A78BD">
        <w:rPr>
          <w:rFonts w:ascii="Cambria" w:hAnsi="Cambria"/>
          <w:bCs/>
          <w:sz w:val="20"/>
          <w:szCs w:val="20"/>
          <w:lang w:val="es-ES"/>
        </w:rPr>
        <w:t xml:space="preserve">artículos </w:t>
      </w:r>
      <w:r w:rsidR="00454240" w:rsidRPr="000A78BD">
        <w:rPr>
          <w:rFonts w:ascii="Cambria" w:hAnsi="Cambria"/>
          <w:sz w:val="20"/>
          <w:szCs w:val="20"/>
          <w:lang w:val="es-ES"/>
        </w:rPr>
        <w:t xml:space="preserve">5, 8, </w:t>
      </w:r>
      <w:r w:rsidR="00454240">
        <w:rPr>
          <w:rFonts w:ascii="Cambria" w:hAnsi="Cambria"/>
          <w:sz w:val="20"/>
          <w:szCs w:val="20"/>
          <w:lang w:val="es-ES"/>
        </w:rPr>
        <w:t>12,</w:t>
      </w:r>
      <w:r w:rsidR="00955DDA" w:rsidRPr="00955DDA">
        <w:rPr>
          <w:rFonts w:ascii="Cambria" w:hAnsi="Cambria"/>
          <w:bCs/>
          <w:sz w:val="20"/>
          <w:szCs w:val="20"/>
          <w:lang w:val="es-ES"/>
        </w:rPr>
        <w:t xml:space="preserve"> </w:t>
      </w:r>
      <w:r w:rsidR="008E4156">
        <w:rPr>
          <w:rFonts w:ascii="Cambria" w:hAnsi="Cambria"/>
          <w:bCs/>
          <w:sz w:val="20"/>
          <w:szCs w:val="20"/>
          <w:lang w:val="es-ES"/>
        </w:rPr>
        <w:t xml:space="preserve">19, </w:t>
      </w:r>
      <w:r w:rsidR="00955DDA" w:rsidRPr="00955DDA">
        <w:rPr>
          <w:rFonts w:ascii="Cambria" w:hAnsi="Cambria"/>
          <w:bCs/>
          <w:sz w:val="20"/>
          <w:szCs w:val="20"/>
          <w:lang w:val="es-ES"/>
        </w:rPr>
        <w:t>21</w:t>
      </w:r>
      <w:r w:rsidR="00462925">
        <w:rPr>
          <w:rFonts w:ascii="Cambria" w:hAnsi="Cambria"/>
          <w:bCs/>
          <w:sz w:val="20"/>
          <w:szCs w:val="20"/>
          <w:lang w:val="es-ES"/>
        </w:rPr>
        <w:t xml:space="preserve">, 22 </w:t>
      </w:r>
      <w:r w:rsidR="00454240">
        <w:rPr>
          <w:rFonts w:ascii="Cambria" w:hAnsi="Cambria"/>
          <w:bCs/>
          <w:sz w:val="20"/>
          <w:szCs w:val="20"/>
          <w:lang w:val="es-ES"/>
        </w:rPr>
        <w:t>y 25</w:t>
      </w:r>
      <w:r w:rsidR="00955DDA" w:rsidRPr="00955DDA">
        <w:rPr>
          <w:rFonts w:ascii="Cambria" w:hAnsi="Cambria"/>
          <w:bCs/>
          <w:sz w:val="20"/>
          <w:szCs w:val="20"/>
          <w:lang w:val="es-ES"/>
        </w:rPr>
        <w:t xml:space="preserve"> </w:t>
      </w:r>
      <w:r w:rsidR="00955DDA" w:rsidRPr="00955DDA">
        <w:rPr>
          <w:rFonts w:ascii="Cambria" w:hAnsi="Cambria"/>
          <w:sz w:val="20"/>
          <w:szCs w:val="20"/>
          <w:lang w:val="es-ES"/>
        </w:rPr>
        <w:t>de la Convención Americana, en concordancia con los artículos 1.1 y 2 del mismo instrumento</w:t>
      </w:r>
      <w:r w:rsidR="00A758AA" w:rsidRPr="00955DDA">
        <w:rPr>
          <w:rFonts w:ascii="Cambria" w:hAnsi="Cambria"/>
          <w:sz w:val="20"/>
          <w:szCs w:val="20"/>
          <w:lang w:val="es-ES"/>
        </w:rPr>
        <w:t>;</w:t>
      </w:r>
    </w:p>
    <w:p w14:paraId="07B951CF" w14:textId="77777777" w:rsidR="00746B33" w:rsidRPr="00955DDA" w:rsidRDefault="00746B33" w:rsidP="00746B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70DA61C" w14:textId="7244300D" w:rsidR="000419AD" w:rsidRPr="00955DDA" w:rsidRDefault="000419AD" w:rsidP="00955DDA">
      <w:pPr>
        <w:pStyle w:val="ListParagraph"/>
        <w:numPr>
          <w:ilvl w:val="0"/>
          <w:numId w:val="56"/>
        </w:numPr>
        <w:jc w:val="both"/>
        <w:rPr>
          <w:rFonts w:eastAsia="Arial Unicode MS" w:cs="Times New Roman"/>
          <w:color w:val="auto"/>
          <w:sz w:val="20"/>
          <w:szCs w:val="20"/>
          <w:lang w:val="es-ES" w:eastAsia="en-US"/>
        </w:rPr>
      </w:pPr>
      <w:r w:rsidRPr="00955DDA">
        <w:rPr>
          <w:rFonts w:eastAsia="Arial Unicode MS" w:cs="Times New Roman"/>
          <w:color w:val="auto"/>
          <w:sz w:val="20"/>
          <w:szCs w:val="20"/>
          <w:lang w:val="es-ES" w:eastAsia="en-US"/>
        </w:rPr>
        <w:t xml:space="preserve">Declarar inadmisible la presente petición en relación con </w:t>
      </w:r>
      <w:r w:rsidR="008E4156">
        <w:rPr>
          <w:rFonts w:eastAsia="Arial Unicode MS" w:cs="Times New Roman"/>
          <w:color w:val="auto"/>
          <w:sz w:val="20"/>
          <w:szCs w:val="20"/>
          <w:lang w:val="es-ES" w:eastAsia="en-US"/>
        </w:rPr>
        <w:t>e</w:t>
      </w:r>
      <w:r w:rsidR="008E4156">
        <w:rPr>
          <w:color w:val="auto"/>
          <w:sz w:val="20"/>
          <w:szCs w:val="20"/>
          <w:lang w:val="es-ES"/>
        </w:rPr>
        <w:t>l</w:t>
      </w:r>
      <w:r w:rsidR="003A6337" w:rsidRPr="00955DDA">
        <w:rPr>
          <w:color w:val="auto"/>
          <w:sz w:val="20"/>
          <w:szCs w:val="20"/>
          <w:lang w:val="es-ES"/>
        </w:rPr>
        <w:t xml:space="preserve"> artículo</w:t>
      </w:r>
      <w:r w:rsidR="00955DDA" w:rsidRPr="00955DDA">
        <w:rPr>
          <w:bCs/>
          <w:color w:val="auto"/>
          <w:sz w:val="20"/>
          <w:szCs w:val="20"/>
          <w:lang w:val="es-ES"/>
        </w:rPr>
        <w:t xml:space="preserve"> 24 </w:t>
      </w:r>
      <w:r w:rsidR="00955DDA" w:rsidRPr="00955DDA">
        <w:rPr>
          <w:color w:val="auto"/>
          <w:sz w:val="20"/>
          <w:szCs w:val="20"/>
          <w:lang w:val="es-ES"/>
        </w:rPr>
        <w:t>de la Convención Americana</w:t>
      </w:r>
      <w:r w:rsidR="003A6337" w:rsidRPr="00955DDA">
        <w:rPr>
          <w:rFonts w:eastAsia="Arial Unicode MS" w:cs="Times New Roman"/>
          <w:color w:val="auto"/>
          <w:sz w:val="20"/>
          <w:szCs w:val="20"/>
          <w:lang w:val="es-ES" w:eastAsia="en-US"/>
        </w:rPr>
        <w:t>;</w:t>
      </w:r>
      <w:r w:rsidR="004A6A54" w:rsidRPr="00955DDA">
        <w:rPr>
          <w:rFonts w:eastAsia="Arial Unicode MS" w:cs="Times New Roman"/>
          <w:color w:val="auto"/>
          <w:sz w:val="20"/>
          <w:szCs w:val="20"/>
          <w:lang w:val="es-ES" w:eastAsia="en-US"/>
        </w:rPr>
        <w:t xml:space="preserve"> y</w:t>
      </w:r>
    </w:p>
    <w:p w14:paraId="6B841DBB" w14:textId="77777777" w:rsidR="00746B33" w:rsidRPr="00955DDA" w:rsidRDefault="00746B33" w:rsidP="00746B33">
      <w:pPr>
        <w:jc w:val="both"/>
        <w:rPr>
          <w:sz w:val="20"/>
          <w:szCs w:val="20"/>
          <w:lang w:val="es-ES"/>
        </w:rPr>
      </w:pPr>
    </w:p>
    <w:p w14:paraId="7CD4DFBD" w14:textId="28CBBE11" w:rsidR="003239B8" w:rsidRDefault="004A6A54" w:rsidP="00955D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55DDA">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5D07C77" w14:textId="77777777" w:rsidR="00601A7C" w:rsidRDefault="00601A7C" w:rsidP="00601A7C">
      <w:pPr>
        <w:pStyle w:val="ListParagraph"/>
        <w:rPr>
          <w:sz w:val="20"/>
          <w:szCs w:val="20"/>
          <w:lang w:val="es-ES"/>
        </w:rPr>
      </w:pPr>
    </w:p>
    <w:p w14:paraId="051477E4" w14:textId="38D8F453" w:rsidR="00601A7C" w:rsidRPr="00A37B82" w:rsidRDefault="00601A7C" w:rsidP="00601A7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D481DCC" w14:textId="77777777" w:rsidR="00601A7C" w:rsidRPr="00A37B82" w:rsidRDefault="00601A7C" w:rsidP="00601A7C">
      <w:pPr>
        <w:suppressAutoHyphens/>
        <w:ind w:firstLine="720"/>
        <w:jc w:val="both"/>
        <w:rPr>
          <w:rFonts w:asciiTheme="majorHAnsi" w:hAnsiTheme="majorHAnsi" w:cs="Arial"/>
          <w:noProof/>
          <w:spacing w:val="-2"/>
          <w:sz w:val="20"/>
          <w:szCs w:val="20"/>
          <w:lang w:val="es-CL"/>
        </w:rPr>
      </w:pPr>
    </w:p>
    <w:sectPr w:rsidR="00601A7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A33C" w14:textId="77777777" w:rsidR="00E55516" w:rsidRDefault="00E55516">
      <w:r>
        <w:separator/>
      </w:r>
    </w:p>
  </w:endnote>
  <w:endnote w:type="continuationSeparator" w:id="0">
    <w:p w14:paraId="6349AAED" w14:textId="77777777" w:rsidR="00E55516" w:rsidRDefault="00E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3D9F" w14:textId="77777777" w:rsidR="00E7480D" w:rsidRDefault="00E74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804C2A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7480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3B879" w14:textId="77777777" w:rsidR="00E55516" w:rsidRPr="000F35ED" w:rsidRDefault="00E555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FD98EA" w14:textId="77777777" w:rsidR="00E55516" w:rsidRPr="000F35ED" w:rsidRDefault="00E55516" w:rsidP="000F35ED">
      <w:pPr>
        <w:rPr>
          <w:rFonts w:asciiTheme="majorHAnsi" w:hAnsiTheme="majorHAnsi"/>
          <w:sz w:val="16"/>
          <w:szCs w:val="16"/>
        </w:rPr>
      </w:pPr>
      <w:r w:rsidRPr="000F35ED">
        <w:rPr>
          <w:rFonts w:asciiTheme="majorHAnsi" w:hAnsiTheme="majorHAnsi"/>
          <w:sz w:val="16"/>
          <w:szCs w:val="16"/>
        </w:rPr>
        <w:separator/>
      </w:r>
    </w:p>
    <w:p w14:paraId="6DE048D5" w14:textId="77777777" w:rsidR="00E55516" w:rsidRPr="000F35ED" w:rsidRDefault="00E5551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6EA94A3" w14:textId="77777777" w:rsidR="00E55516" w:rsidRPr="000F35ED" w:rsidRDefault="00E555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1B0C6CAB" w:rsidR="004A6A54" w:rsidRPr="00847E63" w:rsidRDefault="004A6A54" w:rsidP="00D409F2">
      <w:pPr>
        <w:pStyle w:val="FootnoteText"/>
        <w:ind w:firstLine="720"/>
        <w:jc w:val="both"/>
        <w:rPr>
          <w:rFonts w:ascii="Cambria" w:hAnsi="Cambria"/>
          <w:color w:val="auto"/>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w:t>
      </w:r>
      <w:r w:rsidRPr="00847E63">
        <w:rPr>
          <w:rFonts w:ascii="Cambria" w:hAnsi="Cambria"/>
          <w:color w:val="auto"/>
          <w:sz w:val="16"/>
          <w:szCs w:val="16"/>
          <w:lang w:val="es-ES"/>
        </w:rPr>
        <w:t xml:space="preserve">artículo 17.2.a del Reglamento de la Comisión, </w:t>
      </w:r>
      <w:r w:rsidR="00FA56EA" w:rsidRPr="00847E63">
        <w:rPr>
          <w:rFonts w:ascii="Cambria" w:hAnsi="Cambria"/>
          <w:color w:val="auto"/>
          <w:sz w:val="16"/>
          <w:szCs w:val="16"/>
          <w:lang w:val="es-ES"/>
        </w:rPr>
        <w:t>la</w:t>
      </w:r>
      <w:r w:rsidR="00D409F2" w:rsidRPr="00847E63">
        <w:rPr>
          <w:rFonts w:ascii="Cambria" w:hAnsi="Cambria"/>
          <w:color w:val="auto"/>
          <w:sz w:val="16"/>
          <w:szCs w:val="16"/>
          <w:lang w:val="es-ES"/>
        </w:rPr>
        <w:t xml:space="preserve"> Comisionad</w:t>
      </w:r>
      <w:r w:rsidR="00FA56EA" w:rsidRPr="00847E63">
        <w:rPr>
          <w:rFonts w:ascii="Cambria" w:hAnsi="Cambria"/>
          <w:color w:val="auto"/>
          <w:sz w:val="16"/>
          <w:szCs w:val="16"/>
          <w:lang w:val="es-ES"/>
        </w:rPr>
        <w:t>a</w:t>
      </w:r>
      <w:r w:rsidR="00BF514A" w:rsidRPr="00847E63">
        <w:rPr>
          <w:rFonts w:ascii="Cambria" w:hAnsi="Cambria"/>
          <w:color w:val="auto"/>
          <w:sz w:val="16"/>
          <w:szCs w:val="16"/>
          <w:lang w:val="es-ES"/>
        </w:rPr>
        <w:t xml:space="preserve"> </w:t>
      </w:r>
      <w:r w:rsidR="00847E63" w:rsidRPr="00847E63">
        <w:rPr>
          <w:rFonts w:ascii="Cambria" w:hAnsi="Cambria"/>
          <w:color w:val="auto"/>
          <w:sz w:val="16"/>
          <w:szCs w:val="16"/>
          <w:lang w:val="es-ES"/>
        </w:rPr>
        <w:t>Antonia Urrejola Noguera</w:t>
      </w:r>
      <w:r w:rsidRPr="00847E63">
        <w:rPr>
          <w:rFonts w:ascii="Cambria" w:hAnsi="Cambria"/>
          <w:color w:val="auto"/>
          <w:sz w:val="16"/>
          <w:szCs w:val="16"/>
          <w:lang w:val="es-ES"/>
        </w:rPr>
        <w:t xml:space="preserve">, de nacionalidad </w:t>
      </w:r>
      <w:r w:rsidR="00847E63" w:rsidRPr="00847E63">
        <w:rPr>
          <w:rFonts w:ascii="Cambria" w:hAnsi="Cambria"/>
          <w:color w:val="auto"/>
          <w:sz w:val="16"/>
          <w:szCs w:val="16"/>
          <w:lang w:val="es-ES"/>
        </w:rPr>
        <w:t>chilena</w:t>
      </w:r>
      <w:r w:rsidRPr="00847E63">
        <w:rPr>
          <w:rFonts w:ascii="Cambria" w:hAnsi="Cambria"/>
          <w:color w:val="auto"/>
          <w:sz w:val="16"/>
          <w:szCs w:val="16"/>
          <w:lang w:val="es-ES"/>
        </w:rPr>
        <w:t>, no participó en el debate ni en la decisión del presente asunto.</w:t>
      </w:r>
    </w:p>
  </w:footnote>
  <w:footnote w:id="3">
    <w:p w14:paraId="215EEB52" w14:textId="3D2F5FA7" w:rsidR="00BF514A" w:rsidRPr="00847E63" w:rsidRDefault="00BF514A" w:rsidP="00D409F2">
      <w:pPr>
        <w:pStyle w:val="FootnoteText"/>
        <w:ind w:firstLine="720"/>
        <w:jc w:val="both"/>
        <w:rPr>
          <w:rFonts w:ascii="Cambria" w:hAnsi="Cambria"/>
          <w:color w:val="auto"/>
          <w:sz w:val="16"/>
          <w:szCs w:val="16"/>
          <w:lang w:val="es-ES"/>
        </w:rPr>
      </w:pPr>
      <w:r w:rsidRPr="00847E63">
        <w:rPr>
          <w:rStyle w:val="FootnoteReference"/>
          <w:rFonts w:ascii="Cambria" w:hAnsi="Cambria"/>
          <w:color w:val="auto"/>
          <w:sz w:val="16"/>
          <w:szCs w:val="16"/>
        </w:rPr>
        <w:footnoteRef/>
      </w:r>
      <w:r w:rsidRPr="00847E63">
        <w:rPr>
          <w:rFonts w:ascii="Cambria" w:hAnsi="Cambria"/>
          <w:color w:val="auto"/>
          <w:sz w:val="16"/>
          <w:szCs w:val="16"/>
          <w:lang w:val="es-ES"/>
        </w:rPr>
        <w:t xml:space="preserve"> En adelante “la Convención Americana” o “la Convención”.</w:t>
      </w:r>
    </w:p>
  </w:footnote>
  <w:footnote w:id="4">
    <w:p w14:paraId="79F07139" w14:textId="77777777" w:rsidR="008E3BFE" w:rsidRPr="00DD061E" w:rsidRDefault="008E3BFE" w:rsidP="00D409F2">
      <w:pPr>
        <w:pStyle w:val="FootnoteText"/>
        <w:ind w:firstLine="720"/>
        <w:jc w:val="both"/>
        <w:rPr>
          <w:rFonts w:ascii="Cambria" w:hAnsi="Cambria"/>
          <w:sz w:val="16"/>
          <w:szCs w:val="16"/>
          <w:lang w:val="es-ES"/>
        </w:rPr>
      </w:pPr>
      <w:r w:rsidRPr="00847E63">
        <w:rPr>
          <w:rStyle w:val="FootnoteReference"/>
          <w:rFonts w:ascii="Cambria" w:hAnsi="Cambria"/>
          <w:color w:val="auto"/>
          <w:sz w:val="16"/>
          <w:szCs w:val="16"/>
        </w:rPr>
        <w:footnoteRef/>
      </w:r>
      <w:r w:rsidRPr="00847E63">
        <w:rPr>
          <w:rFonts w:ascii="Cambria" w:hAnsi="Cambria"/>
          <w:color w:val="auto"/>
          <w:sz w:val="16"/>
          <w:szCs w:val="16"/>
          <w:lang w:val="es-ES"/>
        </w:rPr>
        <w:t xml:space="preserve"> Las observaciones de cada parte fueron debidamente trasladadas a la parte contraria.</w:t>
      </w:r>
    </w:p>
  </w:footnote>
  <w:footnote w:id="5">
    <w:p w14:paraId="1E6E80C5" w14:textId="77777777" w:rsidR="00485779" w:rsidRPr="006132CC" w:rsidRDefault="00485779" w:rsidP="0048577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82/17</w:t>
      </w:r>
      <w:r>
        <w:rPr>
          <w:rFonts w:ascii="Cambria" w:hAnsi="Cambria"/>
          <w:sz w:val="16"/>
          <w:szCs w:val="16"/>
          <w:lang w:val="es-ES"/>
        </w:rPr>
        <w:t>, Petición 1067-07</w:t>
      </w:r>
      <w:r w:rsidRPr="006132CC">
        <w:rPr>
          <w:rFonts w:ascii="Cambria" w:hAnsi="Cambria"/>
          <w:sz w:val="16"/>
          <w:szCs w:val="16"/>
          <w:lang w:val="es-ES"/>
        </w:rPr>
        <w:t>. Admisibilidad. Rosa Ángela Martino y María Cristina González. Argentina. 7 de julio de 2017, párr. 12.</w:t>
      </w:r>
    </w:p>
  </w:footnote>
  <w:footnote w:id="6">
    <w:p w14:paraId="188CFD04" w14:textId="77777777" w:rsidR="00ED6225" w:rsidRPr="006132CC" w:rsidRDefault="00ED6225" w:rsidP="00ED6225">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7">
    <w:p w14:paraId="50890482" w14:textId="77777777" w:rsidR="00347D68" w:rsidRPr="006132CC" w:rsidRDefault="00347D68" w:rsidP="00347D68">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A32B9B">
        <w:rPr>
          <w:rFonts w:ascii="Cambria" w:hAnsi="Cambria"/>
          <w:sz w:val="16"/>
          <w:szCs w:val="16"/>
          <w:lang w:val="es-ES"/>
        </w:rPr>
        <w:t xml:space="preserve"> </w:t>
      </w:r>
      <w:r w:rsidRPr="00297D2B">
        <w:rPr>
          <w:rFonts w:ascii="Cambria" w:hAnsi="Cambria"/>
          <w:sz w:val="16"/>
          <w:szCs w:val="16"/>
          <w:lang w:val="es-ES"/>
        </w:rPr>
        <w:t>CIDH,</w:t>
      </w:r>
      <w:r w:rsidRPr="006132CC">
        <w:rPr>
          <w:rFonts w:ascii="Cambria" w:hAnsi="Cambria"/>
          <w:sz w:val="16"/>
          <w:szCs w:val="16"/>
          <w:lang w:val="es-ES"/>
        </w:rPr>
        <w:t xml:space="preserve"> Informe No. 72/11</w:t>
      </w:r>
      <w:r>
        <w:rPr>
          <w:rFonts w:ascii="Cambria" w:hAnsi="Cambria"/>
          <w:sz w:val="16"/>
          <w:szCs w:val="16"/>
          <w:lang w:val="es-ES"/>
        </w:rPr>
        <w:t>, Petición 1164-05</w:t>
      </w:r>
      <w:r w:rsidRPr="006132CC">
        <w:rPr>
          <w:rFonts w:ascii="Cambria" w:hAnsi="Cambria"/>
          <w:sz w:val="16"/>
          <w:szCs w:val="16"/>
          <w:lang w:val="es-ES"/>
        </w:rPr>
        <w:t xml:space="preserve">. Admisibilidad. William Gómez Vargas. Costa Rica. 31 de marzo de 2011, </w:t>
      </w:r>
      <w:proofErr w:type="spellStart"/>
      <w:r w:rsidRPr="006132CC">
        <w:rPr>
          <w:rFonts w:ascii="Cambria" w:hAnsi="Cambria"/>
          <w:sz w:val="16"/>
          <w:szCs w:val="16"/>
          <w:lang w:val="es-ES"/>
        </w:rPr>
        <w:t>párrs</w:t>
      </w:r>
      <w:proofErr w:type="spellEnd"/>
      <w:r w:rsidRPr="006132CC">
        <w:rPr>
          <w:rFonts w:ascii="Cambria" w:hAnsi="Cambria"/>
          <w:sz w:val="16"/>
          <w:szCs w:val="16"/>
          <w:lang w:val="es-ES"/>
        </w:rPr>
        <w:t>. 48 y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5551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E8FE" w14:textId="77777777" w:rsidR="00E7480D" w:rsidRDefault="00E74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8FCD4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0E065A"/>
    <w:multiLevelType w:val="hybridMultilevel"/>
    <w:tmpl w:val="CD54BD38"/>
    <w:lvl w:ilvl="0" w:tplc="5212D8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3B22"/>
    <w:rsid w:val="000065D0"/>
    <w:rsid w:val="00006B74"/>
    <w:rsid w:val="00006E1F"/>
    <w:rsid w:val="000070D7"/>
    <w:rsid w:val="000104F5"/>
    <w:rsid w:val="00015701"/>
    <w:rsid w:val="0001788C"/>
    <w:rsid w:val="0002186F"/>
    <w:rsid w:val="000337EF"/>
    <w:rsid w:val="00040C3A"/>
    <w:rsid w:val="000419AD"/>
    <w:rsid w:val="00052F6B"/>
    <w:rsid w:val="00053221"/>
    <w:rsid w:val="0005590B"/>
    <w:rsid w:val="000716C5"/>
    <w:rsid w:val="00075E23"/>
    <w:rsid w:val="0009006E"/>
    <w:rsid w:val="0009344A"/>
    <w:rsid w:val="000A3254"/>
    <w:rsid w:val="000A392E"/>
    <w:rsid w:val="000A575F"/>
    <w:rsid w:val="000A78BD"/>
    <w:rsid w:val="000B0579"/>
    <w:rsid w:val="000C1C69"/>
    <w:rsid w:val="000D10DB"/>
    <w:rsid w:val="000D6704"/>
    <w:rsid w:val="000E2789"/>
    <w:rsid w:val="000E5EB5"/>
    <w:rsid w:val="000F35ED"/>
    <w:rsid w:val="00101772"/>
    <w:rsid w:val="00107131"/>
    <w:rsid w:val="0010736F"/>
    <w:rsid w:val="00107836"/>
    <w:rsid w:val="00111A8A"/>
    <w:rsid w:val="00113F73"/>
    <w:rsid w:val="00121CC2"/>
    <w:rsid w:val="00131D8B"/>
    <w:rsid w:val="00133EE5"/>
    <w:rsid w:val="00136E3D"/>
    <w:rsid w:val="00143EFE"/>
    <w:rsid w:val="001479C0"/>
    <w:rsid w:val="0015330B"/>
    <w:rsid w:val="001639C3"/>
    <w:rsid w:val="00167A34"/>
    <w:rsid w:val="00177EEF"/>
    <w:rsid w:val="00190C40"/>
    <w:rsid w:val="001A5B77"/>
    <w:rsid w:val="001A7870"/>
    <w:rsid w:val="001B004E"/>
    <w:rsid w:val="001B3A00"/>
    <w:rsid w:val="001C1B41"/>
    <w:rsid w:val="001C42DD"/>
    <w:rsid w:val="001D195A"/>
    <w:rsid w:val="001D65EF"/>
    <w:rsid w:val="001E3E7F"/>
    <w:rsid w:val="001E49E7"/>
    <w:rsid w:val="001F271B"/>
    <w:rsid w:val="001F7201"/>
    <w:rsid w:val="00204931"/>
    <w:rsid w:val="00223A29"/>
    <w:rsid w:val="002250A3"/>
    <w:rsid w:val="0022632F"/>
    <w:rsid w:val="00231294"/>
    <w:rsid w:val="00235217"/>
    <w:rsid w:val="002446EC"/>
    <w:rsid w:val="00246D17"/>
    <w:rsid w:val="00246D1F"/>
    <w:rsid w:val="00247403"/>
    <w:rsid w:val="00247542"/>
    <w:rsid w:val="00266B61"/>
    <w:rsid w:val="0026712A"/>
    <w:rsid w:val="002704DB"/>
    <w:rsid w:val="002726AB"/>
    <w:rsid w:val="0027669A"/>
    <w:rsid w:val="00277BDA"/>
    <w:rsid w:val="002812B3"/>
    <w:rsid w:val="0029388E"/>
    <w:rsid w:val="0029575A"/>
    <w:rsid w:val="002A00E7"/>
    <w:rsid w:val="002A0AAE"/>
    <w:rsid w:val="002A5820"/>
    <w:rsid w:val="002B3529"/>
    <w:rsid w:val="002C3350"/>
    <w:rsid w:val="002D2B26"/>
    <w:rsid w:val="002D7EA2"/>
    <w:rsid w:val="002E187C"/>
    <w:rsid w:val="002E7512"/>
    <w:rsid w:val="00302733"/>
    <w:rsid w:val="003121D5"/>
    <w:rsid w:val="00314078"/>
    <w:rsid w:val="0031535D"/>
    <w:rsid w:val="003170F9"/>
    <w:rsid w:val="003239B8"/>
    <w:rsid w:val="0032496A"/>
    <w:rsid w:val="0033169F"/>
    <w:rsid w:val="003340B2"/>
    <w:rsid w:val="0034224A"/>
    <w:rsid w:val="00343438"/>
    <w:rsid w:val="00344977"/>
    <w:rsid w:val="00346C95"/>
    <w:rsid w:val="00347D68"/>
    <w:rsid w:val="00351155"/>
    <w:rsid w:val="00356185"/>
    <w:rsid w:val="00360380"/>
    <w:rsid w:val="0037519E"/>
    <w:rsid w:val="00386C6C"/>
    <w:rsid w:val="00386CF0"/>
    <w:rsid w:val="00387584"/>
    <w:rsid w:val="00394E17"/>
    <w:rsid w:val="003A6337"/>
    <w:rsid w:val="003B49F7"/>
    <w:rsid w:val="003B4FF6"/>
    <w:rsid w:val="003B70FB"/>
    <w:rsid w:val="003C676B"/>
    <w:rsid w:val="003D0A55"/>
    <w:rsid w:val="003D3BC2"/>
    <w:rsid w:val="003E6CA1"/>
    <w:rsid w:val="003F3811"/>
    <w:rsid w:val="004065A8"/>
    <w:rsid w:val="0041531A"/>
    <w:rsid w:val="004165C2"/>
    <w:rsid w:val="00424FEA"/>
    <w:rsid w:val="004304AD"/>
    <w:rsid w:val="00441ECB"/>
    <w:rsid w:val="00445193"/>
    <w:rsid w:val="00447CCF"/>
    <w:rsid w:val="00454240"/>
    <w:rsid w:val="004565BA"/>
    <w:rsid w:val="00462925"/>
    <w:rsid w:val="00462C1B"/>
    <w:rsid w:val="00465540"/>
    <w:rsid w:val="00467B7E"/>
    <w:rsid w:val="00473BB4"/>
    <w:rsid w:val="00476211"/>
    <w:rsid w:val="00477592"/>
    <w:rsid w:val="00483D3D"/>
    <w:rsid w:val="00485779"/>
    <w:rsid w:val="00486F1C"/>
    <w:rsid w:val="00490C9E"/>
    <w:rsid w:val="0049419D"/>
    <w:rsid w:val="004A59CC"/>
    <w:rsid w:val="004A6A54"/>
    <w:rsid w:val="004C20D2"/>
    <w:rsid w:val="004C2312"/>
    <w:rsid w:val="004C4B62"/>
    <w:rsid w:val="004C54C9"/>
    <w:rsid w:val="004C616A"/>
    <w:rsid w:val="004D4ABA"/>
    <w:rsid w:val="004D6025"/>
    <w:rsid w:val="004E19B1"/>
    <w:rsid w:val="004E21D2"/>
    <w:rsid w:val="004E2649"/>
    <w:rsid w:val="00501399"/>
    <w:rsid w:val="00501652"/>
    <w:rsid w:val="0050633D"/>
    <w:rsid w:val="00507BC4"/>
    <w:rsid w:val="005128E4"/>
    <w:rsid w:val="005133DB"/>
    <w:rsid w:val="00517AB6"/>
    <w:rsid w:val="005236AE"/>
    <w:rsid w:val="00525560"/>
    <w:rsid w:val="00531C44"/>
    <w:rsid w:val="005415E6"/>
    <w:rsid w:val="00544216"/>
    <w:rsid w:val="00544C49"/>
    <w:rsid w:val="005516A1"/>
    <w:rsid w:val="00563557"/>
    <w:rsid w:val="0057402A"/>
    <w:rsid w:val="00574CB7"/>
    <w:rsid w:val="005771D0"/>
    <w:rsid w:val="00585DCE"/>
    <w:rsid w:val="0059191A"/>
    <w:rsid w:val="005921FF"/>
    <w:rsid w:val="005A24ED"/>
    <w:rsid w:val="005A6D0E"/>
    <w:rsid w:val="005B0CD5"/>
    <w:rsid w:val="005B37CC"/>
    <w:rsid w:val="005B52B0"/>
    <w:rsid w:val="005B5A0E"/>
    <w:rsid w:val="005B6806"/>
    <w:rsid w:val="005B6D22"/>
    <w:rsid w:val="005C261A"/>
    <w:rsid w:val="005C4039"/>
    <w:rsid w:val="005C4225"/>
    <w:rsid w:val="005C739F"/>
    <w:rsid w:val="005C7989"/>
    <w:rsid w:val="005E0B65"/>
    <w:rsid w:val="005E11B2"/>
    <w:rsid w:val="005E667F"/>
    <w:rsid w:val="005F0DAD"/>
    <w:rsid w:val="005F0F33"/>
    <w:rsid w:val="00600DEB"/>
    <w:rsid w:val="00601A7C"/>
    <w:rsid w:val="006277DE"/>
    <w:rsid w:val="00627C9F"/>
    <w:rsid w:val="006311E9"/>
    <w:rsid w:val="00632354"/>
    <w:rsid w:val="00637573"/>
    <w:rsid w:val="00642810"/>
    <w:rsid w:val="00646822"/>
    <w:rsid w:val="00647756"/>
    <w:rsid w:val="006509DA"/>
    <w:rsid w:val="00652333"/>
    <w:rsid w:val="00654D77"/>
    <w:rsid w:val="006721F5"/>
    <w:rsid w:val="0068009E"/>
    <w:rsid w:val="006819E9"/>
    <w:rsid w:val="00686471"/>
    <w:rsid w:val="00691BBE"/>
    <w:rsid w:val="00692219"/>
    <w:rsid w:val="006A17D2"/>
    <w:rsid w:val="006A73E6"/>
    <w:rsid w:val="006B0849"/>
    <w:rsid w:val="006B2D5C"/>
    <w:rsid w:val="006C4EB1"/>
    <w:rsid w:val="006C64DC"/>
    <w:rsid w:val="006D366F"/>
    <w:rsid w:val="006D50AE"/>
    <w:rsid w:val="006E0166"/>
    <w:rsid w:val="006E7B34"/>
    <w:rsid w:val="00701F59"/>
    <w:rsid w:val="007047E5"/>
    <w:rsid w:val="0070697F"/>
    <w:rsid w:val="00713B7C"/>
    <w:rsid w:val="0072199C"/>
    <w:rsid w:val="00722C9F"/>
    <w:rsid w:val="007253B8"/>
    <w:rsid w:val="00731C30"/>
    <w:rsid w:val="00734BE9"/>
    <w:rsid w:val="0073598C"/>
    <w:rsid w:val="0073741F"/>
    <w:rsid w:val="00746B33"/>
    <w:rsid w:val="0076643F"/>
    <w:rsid w:val="00777F63"/>
    <w:rsid w:val="007852B5"/>
    <w:rsid w:val="007A3EE0"/>
    <w:rsid w:val="007A5817"/>
    <w:rsid w:val="007B05C4"/>
    <w:rsid w:val="007B4157"/>
    <w:rsid w:val="007B60E9"/>
    <w:rsid w:val="007B6CC3"/>
    <w:rsid w:val="007C3334"/>
    <w:rsid w:val="007C402A"/>
    <w:rsid w:val="007D2B98"/>
    <w:rsid w:val="007D7C02"/>
    <w:rsid w:val="007E21BC"/>
    <w:rsid w:val="007E5571"/>
    <w:rsid w:val="007E58FE"/>
    <w:rsid w:val="007E7C82"/>
    <w:rsid w:val="007F588D"/>
    <w:rsid w:val="00802748"/>
    <w:rsid w:val="00803F1C"/>
    <w:rsid w:val="0080600E"/>
    <w:rsid w:val="00807B8B"/>
    <w:rsid w:val="00817612"/>
    <w:rsid w:val="008338A4"/>
    <w:rsid w:val="00834D49"/>
    <w:rsid w:val="00837C45"/>
    <w:rsid w:val="008411F0"/>
    <w:rsid w:val="00844730"/>
    <w:rsid w:val="008457C2"/>
    <w:rsid w:val="00847E63"/>
    <w:rsid w:val="00857A82"/>
    <w:rsid w:val="00871526"/>
    <w:rsid w:val="00873836"/>
    <w:rsid w:val="00885737"/>
    <w:rsid w:val="00890650"/>
    <w:rsid w:val="0089765C"/>
    <w:rsid w:val="00897E12"/>
    <w:rsid w:val="008A0F81"/>
    <w:rsid w:val="008A7E0F"/>
    <w:rsid w:val="008B12F5"/>
    <w:rsid w:val="008B5932"/>
    <w:rsid w:val="008C2039"/>
    <w:rsid w:val="008C5751"/>
    <w:rsid w:val="008D768D"/>
    <w:rsid w:val="008E328A"/>
    <w:rsid w:val="008E3759"/>
    <w:rsid w:val="008E3BFE"/>
    <w:rsid w:val="008E4156"/>
    <w:rsid w:val="008E7900"/>
    <w:rsid w:val="008F1912"/>
    <w:rsid w:val="008F2014"/>
    <w:rsid w:val="008F383C"/>
    <w:rsid w:val="008F524F"/>
    <w:rsid w:val="00901A75"/>
    <w:rsid w:val="0090270B"/>
    <w:rsid w:val="009041DC"/>
    <w:rsid w:val="00917B5A"/>
    <w:rsid w:val="00920A58"/>
    <w:rsid w:val="00920A8C"/>
    <w:rsid w:val="00923FE6"/>
    <w:rsid w:val="00934A2C"/>
    <w:rsid w:val="00935F06"/>
    <w:rsid w:val="00937B3A"/>
    <w:rsid w:val="009518CB"/>
    <w:rsid w:val="00954B82"/>
    <w:rsid w:val="00955DDA"/>
    <w:rsid w:val="00962436"/>
    <w:rsid w:val="0096706E"/>
    <w:rsid w:val="00974491"/>
    <w:rsid w:val="00975C4E"/>
    <w:rsid w:val="00981FBA"/>
    <w:rsid w:val="00997BC5"/>
    <w:rsid w:val="009A3477"/>
    <w:rsid w:val="009A4F41"/>
    <w:rsid w:val="009B348B"/>
    <w:rsid w:val="009B381B"/>
    <w:rsid w:val="009B776C"/>
    <w:rsid w:val="009C2E90"/>
    <w:rsid w:val="009C2FC5"/>
    <w:rsid w:val="009D1753"/>
    <w:rsid w:val="009D6502"/>
    <w:rsid w:val="009D7611"/>
    <w:rsid w:val="009D78A5"/>
    <w:rsid w:val="009E0B61"/>
    <w:rsid w:val="009E53DE"/>
    <w:rsid w:val="009E7C00"/>
    <w:rsid w:val="009F3CC3"/>
    <w:rsid w:val="00A0691C"/>
    <w:rsid w:val="00A11E44"/>
    <w:rsid w:val="00A149BE"/>
    <w:rsid w:val="00A22397"/>
    <w:rsid w:val="00A31B44"/>
    <w:rsid w:val="00A328B3"/>
    <w:rsid w:val="00A348DD"/>
    <w:rsid w:val="00A50FCF"/>
    <w:rsid w:val="00A528D1"/>
    <w:rsid w:val="00A610CD"/>
    <w:rsid w:val="00A625E0"/>
    <w:rsid w:val="00A74947"/>
    <w:rsid w:val="00A758AA"/>
    <w:rsid w:val="00A90187"/>
    <w:rsid w:val="00AA09A2"/>
    <w:rsid w:val="00AA449A"/>
    <w:rsid w:val="00AA7996"/>
    <w:rsid w:val="00AC19CB"/>
    <w:rsid w:val="00AD1886"/>
    <w:rsid w:val="00AE5488"/>
    <w:rsid w:val="00AE6F91"/>
    <w:rsid w:val="00AF5571"/>
    <w:rsid w:val="00B06B4E"/>
    <w:rsid w:val="00B07341"/>
    <w:rsid w:val="00B202B5"/>
    <w:rsid w:val="00B2378C"/>
    <w:rsid w:val="00B2470F"/>
    <w:rsid w:val="00B30539"/>
    <w:rsid w:val="00B314DB"/>
    <w:rsid w:val="00B361F2"/>
    <w:rsid w:val="00B3718B"/>
    <w:rsid w:val="00B3787A"/>
    <w:rsid w:val="00B4632A"/>
    <w:rsid w:val="00B5067D"/>
    <w:rsid w:val="00B530F1"/>
    <w:rsid w:val="00B5754A"/>
    <w:rsid w:val="00B63039"/>
    <w:rsid w:val="00B71A87"/>
    <w:rsid w:val="00B7244B"/>
    <w:rsid w:val="00B736AF"/>
    <w:rsid w:val="00B7611E"/>
    <w:rsid w:val="00B97946"/>
    <w:rsid w:val="00BA276C"/>
    <w:rsid w:val="00BA5544"/>
    <w:rsid w:val="00BB306F"/>
    <w:rsid w:val="00BB3FBD"/>
    <w:rsid w:val="00BC6CD0"/>
    <w:rsid w:val="00BD0655"/>
    <w:rsid w:val="00BD4B89"/>
    <w:rsid w:val="00BD5922"/>
    <w:rsid w:val="00BD76D9"/>
    <w:rsid w:val="00BE1DE2"/>
    <w:rsid w:val="00BF02CB"/>
    <w:rsid w:val="00BF0D9D"/>
    <w:rsid w:val="00BF514A"/>
    <w:rsid w:val="00BF6FD8"/>
    <w:rsid w:val="00BF775D"/>
    <w:rsid w:val="00C03680"/>
    <w:rsid w:val="00C054DF"/>
    <w:rsid w:val="00C10AFC"/>
    <w:rsid w:val="00C21562"/>
    <w:rsid w:val="00C21762"/>
    <w:rsid w:val="00C21FEF"/>
    <w:rsid w:val="00C24543"/>
    <w:rsid w:val="00C256A2"/>
    <w:rsid w:val="00C35A26"/>
    <w:rsid w:val="00C3648F"/>
    <w:rsid w:val="00C51515"/>
    <w:rsid w:val="00C53910"/>
    <w:rsid w:val="00C5660B"/>
    <w:rsid w:val="00C56854"/>
    <w:rsid w:val="00C5788A"/>
    <w:rsid w:val="00C6550D"/>
    <w:rsid w:val="00C66B72"/>
    <w:rsid w:val="00C87AC4"/>
    <w:rsid w:val="00C9567A"/>
    <w:rsid w:val="00CA1C10"/>
    <w:rsid w:val="00CA48A3"/>
    <w:rsid w:val="00CB03F5"/>
    <w:rsid w:val="00CB212D"/>
    <w:rsid w:val="00CB2660"/>
    <w:rsid w:val="00CB60FE"/>
    <w:rsid w:val="00CC5E90"/>
    <w:rsid w:val="00CC7460"/>
    <w:rsid w:val="00CD046C"/>
    <w:rsid w:val="00CD40EA"/>
    <w:rsid w:val="00CE076C"/>
    <w:rsid w:val="00CE5199"/>
    <w:rsid w:val="00CE66D5"/>
    <w:rsid w:val="00CE6EC5"/>
    <w:rsid w:val="00CF637A"/>
    <w:rsid w:val="00D059DE"/>
    <w:rsid w:val="00D05ABD"/>
    <w:rsid w:val="00D11D47"/>
    <w:rsid w:val="00D13FCE"/>
    <w:rsid w:val="00D306D1"/>
    <w:rsid w:val="00D30800"/>
    <w:rsid w:val="00D34786"/>
    <w:rsid w:val="00D37BFC"/>
    <w:rsid w:val="00D409F2"/>
    <w:rsid w:val="00D42822"/>
    <w:rsid w:val="00D47A8E"/>
    <w:rsid w:val="00D52D14"/>
    <w:rsid w:val="00D55256"/>
    <w:rsid w:val="00D712D3"/>
    <w:rsid w:val="00D71422"/>
    <w:rsid w:val="00D72358"/>
    <w:rsid w:val="00D72DC6"/>
    <w:rsid w:val="00D73F5E"/>
    <w:rsid w:val="00D7558D"/>
    <w:rsid w:val="00D77503"/>
    <w:rsid w:val="00D81D92"/>
    <w:rsid w:val="00D876F9"/>
    <w:rsid w:val="00D877B6"/>
    <w:rsid w:val="00D90E05"/>
    <w:rsid w:val="00D97652"/>
    <w:rsid w:val="00DA7B5F"/>
    <w:rsid w:val="00DC11E7"/>
    <w:rsid w:val="00DC3FE5"/>
    <w:rsid w:val="00DC7023"/>
    <w:rsid w:val="00DC769A"/>
    <w:rsid w:val="00DD061E"/>
    <w:rsid w:val="00DD3D86"/>
    <w:rsid w:val="00DE12F0"/>
    <w:rsid w:val="00DE3A16"/>
    <w:rsid w:val="00DE6651"/>
    <w:rsid w:val="00DF1EC4"/>
    <w:rsid w:val="00E01943"/>
    <w:rsid w:val="00E0340B"/>
    <w:rsid w:val="00E04A90"/>
    <w:rsid w:val="00E0551F"/>
    <w:rsid w:val="00E21115"/>
    <w:rsid w:val="00E219C7"/>
    <w:rsid w:val="00E26CCA"/>
    <w:rsid w:val="00E4118C"/>
    <w:rsid w:val="00E43157"/>
    <w:rsid w:val="00E461CE"/>
    <w:rsid w:val="00E55516"/>
    <w:rsid w:val="00E720CA"/>
    <w:rsid w:val="00E7480D"/>
    <w:rsid w:val="00E7625D"/>
    <w:rsid w:val="00E84EB5"/>
    <w:rsid w:val="00E85662"/>
    <w:rsid w:val="00E8789F"/>
    <w:rsid w:val="00E97B71"/>
    <w:rsid w:val="00EA3D34"/>
    <w:rsid w:val="00EB454D"/>
    <w:rsid w:val="00EB4609"/>
    <w:rsid w:val="00EC44D0"/>
    <w:rsid w:val="00EC72AB"/>
    <w:rsid w:val="00ED2F03"/>
    <w:rsid w:val="00ED549D"/>
    <w:rsid w:val="00ED621F"/>
    <w:rsid w:val="00ED6225"/>
    <w:rsid w:val="00ED76BE"/>
    <w:rsid w:val="00ED7B12"/>
    <w:rsid w:val="00ED7F05"/>
    <w:rsid w:val="00EE00E9"/>
    <w:rsid w:val="00EE014D"/>
    <w:rsid w:val="00EF35AB"/>
    <w:rsid w:val="00EF4C44"/>
    <w:rsid w:val="00EF619B"/>
    <w:rsid w:val="00F00B55"/>
    <w:rsid w:val="00F02AD1"/>
    <w:rsid w:val="00F04591"/>
    <w:rsid w:val="00F06354"/>
    <w:rsid w:val="00F253CC"/>
    <w:rsid w:val="00F332EF"/>
    <w:rsid w:val="00F37106"/>
    <w:rsid w:val="00F47BD9"/>
    <w:rsid w:val="00F519CF"/>
    <w:rsid w:val="00F56BA5"/>
    <w:rsid w:val="00F571BB"/>
    <w:rsid w:val="00F60E22"/>
    <w:rsid w:val="00F63B39"/>
    <w:rsid w:val="00F81395"/>
    <w:rsid w:val="00F81887"/>
    <w:rsid w:val="00F81BB8"/>
    <w:rsid w:val="00F917D1"/>
    <w:rsid w:val="00F9342C"/>
    <w:rsid w:val="00F9653B"/>
    <w:rsid w:val="00F97929"/>
    <w:rsid w:val="00FA56EA"/>
    <w:rsid w:val="00FB62CF"/>
    <w:rsid w:val="00FC0F4A"/>
    <w:rsid w:val="00FC3330"/>
    <w:rsid w:val="00FD3C3B"/>
    <w:rsid w:val="00FE07DD"/>
    <w:rsid w:val="00FE35E6"/>
    <w:rsid w:val="00FE6B45"/>
    <w:rsid w:val="00FE77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6672">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200821"/>
    <w:rsid w:val="00251A31"/>
    <w:rsid w:val="00394049"/>
    <w:rsid w:val="00452608"/>
    <w:rsid w:val="004F2DF8"/>
    <w:rsid w:val="00537D3A"/>
    <w:rsid w:val="005A5184"/>
    <w:rsid w:val="005D5B24"/>
    <w:rsid w:val="006E2B51"/>
    <w:rsid w:val="006F5308"/>
    <w:rsid w:val="00942213"/>
    <w:rsid w:val="00961E1D"/>
    <w:rsid w:val="0097453C"/>
    <w:rsid w:val="009A261B"/>
    <w:rsid w:val="00AC15A4"/>
    <w:rsid w:val="00B0048F"/>
    <w:rsid w:val="00B0336C"/>
    <w:rsid w:val="00B64148"/>
    <w:rsid w:val="00BC109B"/>
    <w:rsid w:val="00C11833"/>
    <w:rsid w:val="00C56634"/>
    <w:rsid w:val="00D46351"/>
    <w:rsid w:val="00D74958"/>
    <w:rsid w:val="00E77140"/>
    <w:rsid w:val="00E907ED"/>
    <w:rsid w:val="00EC4056"/>
    <w:rsid w:val="00EC5ECB"/>
    <w:rsid w:val="00F00D2F"/>
    <w:rsid w:val="00F128DF"/>
    <w:rsid w:val="00F91582"/>
    <w:rsid w:val="00FC6C99"/>
    <w:rsid w:val="00FE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EF95-3D76-4C8F-BD43-81B9F0B8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10907</Characters>
  <Application>Microsoft Office Word</Application>
  <DocSecurity>0</DocSecurity>
  <Lines>259</Lines>
  <Paragraphs>84</Paragraphs>
  <ScaleCrop>false</ScaleCrop>
  <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35/20</dc:title>
  <dc:creator/>
  <cp:lastModifiedBy/>
  <cp:revision>1</cp:revision>
  <dcterms:created xsi:type="dcterms:W3CDTF">2020-06-03T14:11:00Z</dcterms:created>
  <dcterms:modified xsi:type="dcterms:W3CDTF">2020-06-03T14:11:00Z</dcterms:modified>
</cp:coreProperties>
</file>