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227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8F6B3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1F1C">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/1</w:t>
                            </w:r>
                            <w:r w:rsidR="00306133">
                              <w:rPr>
                                <w:rFonts w:asciiTheme="majorHAnsi" w:hAnsiTheme="majorHAnsi" w:cs="Arial"/>
                                <w:b/>
                                <w:bCs/>
                                <w:color w:val="0D0D0D" w:themeColor="text1" w:themeTint="F2"/>
                                <w:sz w:val="36"/>
                                <w:szCs w:val="22"/>
                                <w:lang w:val="es-ES_tradnl"/>
                              </w:rPr>
                              <w:t>9</w:t>
                            </w:r>
                          </w:p>
                          <w:p w14:paraId="09C54AB3" w14:textId="5694A5B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0877">
                              <w:rPr>
                                <w:rFonts w:asciiTheme="majorHAnsi" w:hAnsiTheme="majorHAnsi" w:cs="Arial"/>
                                <w:b/>
                                <w:color w:val="0D0D0D" w:themeColor="text1" w:themeTint="F2"/>
                                <w:sz w:val="36"/>
                                <w:szCs w:val="22"/>
                                <w:lang w:val="es-ES_tradnl"/>
                              </w:rPr>
                              <w:t>735</w:t>
                            </w:r>
                            <w:r w:rsidR="00246D1F" w:rsidRPr="004E2649">
                              <w:rPr>
                                <w:rFonts w:asciiTheme="majorHAnsi" w:hAnsiTheme="majorHAnsi" w:cs="Arial"/>
                                <w:b/>
                                <w:color w:val="0D0D0D" w:themeColor="text1" w:themeTint="F2"/>
                                <w:sz w:val="36"/>
                                <w:szCs w:val="22"/>
                                <w:lang w:val="es-ES_tradnl"/>
                              </w:rPr>
                              <w:t>-</w:t>
                            </w:r>
                            <w:r w:rsidR="00840877">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6A868C5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455DF03" w:rsidR="005B52B0" w:rsidRPr="0010736F" w:rsidRDefault="009C72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w:t>
                            </w:r>
                            <w:r w:rsidR="007F6E90" w:rsidRPr="007F6E90">
                              <w:rPr>
                                <w:rFonts w:asciiTheme="majorHAnsi" w:hAnsiTheme="majorHAnsi" w:cs="Arial"/>
                                <w:color w:val="0D0D0D" w:themeColor="text1" w:themeTint="F2"/>
                                <w:szCs w:val="22"/>
                                <w:lang w:val="es-ES_tradnl"/>
                              </w:rPr>
                              <w:t xml:space="preserve">ANDRÉS </w:t>
                            </w:r>
                            <w:r>
                              <w:rPr>
                                <w:rFonts w:asciiTheme="majorHAnsi" w:hAnsiTheme="majorHAnsi" w:cs="Arial"/>
                                <w:color w:val="0D0D0D" w:themeColor="text1" w:themeTint="F2"/>
                                <w:szCs w:val="22"/>
                                <w:lang w:val="es-ES_tradnl"/>
                              </w:rPr>
                              <w:t>MENESES RUIZ</w:t>
                            </w:r>
                          </w:p>
                          <w:bookmarkEnd w:id="1"/>
                          <w:p w14:paraId="35068D0D" w14:textId="24C136E1" w:rsidR="005B52B0" w:rsidRPr="0010736F" w:rsidRDefault="009C72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8F6B3D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1F1C">
                        <w:rPr>
                          <w:rFonts w:asciiTheme="majorHAnsi" w:hAnsiTheme="majorHAnsi" w:cs="Arial"/>
                          <w:b/>
                          <w:bCs/>
                          <w:color w:val="0D0D0D" w:themeColor="text1" w:themeTint="F2"/>
                          <w:sz w:val="36"/>
                          <w:szCs w:val="22"/>
                          <w:lang w:val="es-ES_tradnl"/>
                        </w:rPr>
                        <w:t>20</w:t>
                      </w:r>
                      <w:r w:rsidR="007B05C4">
                        <w:rPr>
                          <w:rFonts w:asciiTheme="majorHAnsi" w:hAnsiTheme="majorHAnsi" w:cs="Arial"/>
                          <w:b/>
                          <w:bCs/>
                          <w:color w:val="0D0D0D" w:themeColor="text1" w:themeTint="F2"/>
                          <w:sz w:val="36"/>
                          <w:szCs w:val="22"/>
                          <w:lang w:val="es-ES_tradnl"/>
                        </w:rPr>
                        <w:t>/1</w:t>
                      </w:r>
                      <w:r w:rsidR="00306133">
                        <w:rPr>
                          <w:rFonts w:asciiTheme="majorHAnsi" w:hAnsiTheme="majorHAnsi" w:cs="Arial"/>
                          <w:b/>
                          <w:bCs/>
                          <w:color w:val="0D0D0D" w:themeColor="text1" w:themeTint="F2"/>
                          <w:sz w:val="36"/>
                          <w:szCs w:val="22"/>
                          <w:lang w:val="es-ES_tradnl"/>
                        </w:rPr>
                        <w:t>9</w:t>
                      </w:r>
                    </w:p>
                    <w:p w14:paraId="09C54AB3" w14:textId="5694A5B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40877">
                        <w:rPr>
                          <w:rFonts w:asciiTheme="majorHAnsi" w:hAnsiTheme="majorHAnsi" w:cs="Arial"/>
                          <w:b/>
                          <w:color w:val="0D0D0D" w:themeColor="text1" w:themeTint="F2"/>
                          <w:sz w:val="36"/>
                          <w:szCs w:val="22"/>
                          <w:lang w:val="es-ES_tradnl"/>
                        </w:rPr>
                        <w:t>735</w:t>
                      </w:r>
                      <w:r w:rsidR="00246D1F" w:rsidRPr="004E2649">
                        <w:rPr>
                          <w:rFonts w:asciiTheme="majorHAnsi" w:hAnsiTheme="majorHAnsi" w:cs="Arial"/>
                          <w:b/>
                          <w:color w:val="0D0D0D" w:themeColor="text1" w:themeTint="F2"/>
                          <w:sz w:val="36"/>
                          <w:szCs w:val="22"/>
                          <w:lang w:val="es-ES_tradnl"/>
                        </w:rPr>
                        <w:t>-</w:t>
                      </w:r>
                      <w:r w:rsidR="00840877">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6A868C5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2455DF03" w:rsidR="005B52B0" w:rsidRPr="0010736F" w:rsidRDefault="009C728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CARLOS </w:t>
                      </w:r>
                      <w:r w:rsidR="007F6E90" w:rsidRPr="007F6E90">
                        <w:rPr>
                          <w:rFonts w:asciiTheme="majorHAnsi" w:hAnsiTheme="majorHAnsi" w:cs="Arial"/>
                          <w:color w:val="0D0D0D" w:themeColor="text1" w:themeTint="F2"/>
                          <w:szCs w:val="22"/>
                          <w:lang w:val="es-ES_tradnl"/>
                        </w:rPr>
                        <w:t xml:space="preserve">ANDRÉS </w:t>
                      </w:r>
                      <w:r>
                        <w:rPr>
                          <w:rFonts w:asciiTheme="majorHAnsi" w:hAnsiTheme="majorHAnsi" w:cs="Arial"/>
                          <w:color w:val="0D0D0D" w:themeColor="text1" w:themeTint="F2"/>
                          <w:szCs w:val="22"/>
                          <w:lang w:val="es-ES_tradnl"/>
                        </w:rPr>
                        <w:t>MENESES RUIZ</w:t>
                      </w:r>
                    </w:p>
                    <w:bookmarkEnd w:id="2"/>
                    <w:p w14:paraId="35068D0D" w14:textId="24C136E1" w:rsidR="005B52B0" w:rsidRPr="0010736F" w:rsidRDefault="009C728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VENEZUELA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3A54F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94F29B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6EC0">
                              <w:rPr>
                                <w:rFonts w:asciiTheme="minorHAnsi" w:hAnsiTheme="minorHAnsi"/>
                                <w:color w:val="FFFFFF" w:themeColor="background1"/>
                                <w:sz w:val="22"/>
                                <w:lang w:val="pt-BR"/>
                              </w:rPr>
                              <w:t>23</w:t>
                            </w:r>
                          </w:p>
                          <w:p w14:paraId="69373ED2" w14:textId="4875D2A5" w:rsidR="00627C9F" w:rsidRPr="004E2649" w:rsidRDefault="000F6EC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306133">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3A54F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194F29B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F6EC0">
                        <w:rPr>
                          <w:rFonts w:asciiTheme="minorHAnsi" w:hAnsiTheme="minorHAnsi"/>
                          <w:color w:val="FFFFFF" w:themeColor="background1"/>
                          <w:sz w:val="22"/>
                          <w:lang w:val="pt-BR"/>
                        </w:rPr>
                        <w:t>23</w:t>
                      </w:r>
                    </w:p>
                    <w:p w14:paraId="69373ED2" w14:textId="4875D2A5" w:rsidR="00627C9F" w:rsidRPr="004E2649" w:rsidRDefault="000F6EC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306133">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CA2B7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C1F1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EC1F1C">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306133">
                              <w:rPr>
                                <w:rFonts w:asciiTheme="majorHAnsi" w:hAnsiTheme="majorHAnsi"/>
                                <w:color w:val="0D0D0D" w:themeColor="text1" w:themeTint="F2"/>
                                <w:sz w:val="18"/>
                                <w:szCs w:val="22"/>
                                <w:lang w:val="es-ES"/>
                              </w:rPr>
                              <w:t>9</w:t>
                            </w:r>
                            <w:r w:rsidR="001D2A9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CA2B79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C1F1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EC1F1C">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306133">
                        <w:rPr>
                          <w:rFonts w:asciiTheme="majorHAnsi" w:hAnsiTheme="majorHAnsi"/>
                          <w:color w:val="0D0D0D" w:themeColor="text1" w:themeTint="F2"/>
                          <w:sz w:val="18"/>
                          <w:szCs w:val="22"/>
                          <w:lang w:val="es-ES"/>
                        </w:rPr>
                        <w:t>9</w:t>
                      </w:r>
                      <w:r w:rsidR="001D2A91">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62FBFB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1F1C" w:rsidRPr="00EC1F1C">
                              <w:rPr>
                                <w:rFonts w:asciiTheme="majorHAnsi" w:hAnsiTheme="majorHAnsi"/>
                                <w:color w:val="595959" w:themeColor="text1" w:themeTint="A6"/>
                                <w:sz w:val="18"/>
                                <w:szCs w:val="18"/>
                                <w:lang w:val="pt-BR"/>
                              </w:rPr>
                              <w:t>20</w:t>
                            </w:r>
                            <w:r w:rsidR="007B05C4" w:rsidRPr="00EC1F1C">
                              <w:rPr>
                                <w:rFonts w:asciiTheme="majorHAnsi" w:hAnsiTheme="majorHAnsi"/>
                                <w:color w:val="595959" w:themeColor="text1" w:themeTint="A6"/>
                                <w:sz w:val="18"/>
                                <w:szCs w:val="18"/>
                                <w:lang w:val="pt-BR"/>
                              </w:rPr>
                              <w:t>/</w:t>
                            </w:r>
                            <w:r w:rsidR="00EC1F1C" w:rsidRPr="00EC1F1C">
                              <w:rPr>
                                <w:rFonts w:asciiTheme="majorHAnsi" w:hAnsiTheme="majorHAnsi"/>
                                <w:color w:val="595959" w:themeColor="text1" w:themeTint="A6"/>
                                <w:sz w:val="18"/>
                                <w:szCs w:val="18"/>
                                <w:lang w:val="pt-BR"/>
                              </w:rPr>
                              <w:t>19</w:t>
                            </w:r>
                            <w:r w:rsidRPr="00EC1F1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EC1F1C">
                              <w:rPr>
                                <w:rFonts w:asciiTheme="majorHAnsi" w:hAnsiTheme="majorHAnsi"/>
                                <w:color w:val="595959" w:themeColor="text1" w:themeTint="A6"/>
                                <w:sz w:val="18"/>
                                <w:szCs w:val="18"/>
                                <w:lang w:val="es-ES"/>
                              </w:rPr>
                              <w:t>735</w:t>
                            </w:r>
                            <w:r w:rsidR="000433C9">
                              <w:rPr>
                                <w:rFonts w:asciiTheme="majorHAnsi" w:hAnsiTheme="majorHAnsi"/>
                                <w:color w:val="595959" w:themeColor="text1" w:themeTint="A6"/>
                                <w:sz w:val="18"/>
                                <w:szCs w:val="18"/>
                                <w:lang w:val="es-ES"/>
                              </w:rPr>
                              <w:t>-</w:t>
                            </w:r>
                            <w:r w:rsidR="00EC1F1C">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C1F1C">
                              <w:rPr>
                                <w:rFonts w:asciiTheme="majorHAnsi" w:hAnsiTheme="majorHAnsi"/>
                                <w:color w:val="595959" w:themeColor="text1" w:themeTint="A6"/>
                                <w:sz w:val="18"/>
                                <w:szCs w:val="18"/>
                                <w:lang w:val="es-ES_tradnl"/>
                              </w:rPr>
                              <w:t>Carlos Andrés Meneses Ruiz</w:t>
                            </w:r>
                            <w:r w:rsidRPr="00890650">
                              <w:rPr>
                                <w:rFonts w:asciiTheme="majorHAnsi" w:hAnsiTheme="majorHAnsi"/>
                                <w:color w:val="595959" w:themeColor="text1" w:themeTint="A6"/>
                                <w:sz w:val="18"/>
                                <w:szCs w:val="18"/>
                                <w:lang w:val="es-ES_tradnl"/>
                              </w:rPr>
                              <w:t xml:space="preserve">. </w:t>
                            </w:r>
                            <w:r w:rsidR="00EC1F1C">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EC1F1C">
                              <w:rPr>
                                <w:rFonts w:asciiTheme="majorHAnsi" w:hAnsiTheme="majorHAnsi"/>
                                <w:color w:val="595959" w:themeColor="text1" w:themeTint="A6"/>
                                <w:sz w:val="18"/>
                                <w:szCs w:val="18"/>
                                <w:lang w:val="es-ES"/>
                              </w:rPr>
                              <w:t>5 de marzo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62FBFB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C1F1C" w:rsidRPr="00EC1F1C">
                        <w:rPr>
                          <w:rFonts w:asciiTheme="majorHAnsi" w:hAnsiTheme="majorHAnsi"/>
                          <w:color w:val="595959" w:themeColor="text1" w:themeTint="A6"/>
                          <w:sz w:val="18"/>
                          <w:szCs w:val="18"/>
                          <w:lang w:val="pt-BR"/>
                        </w:rPr>
                        <w:t>20</w:t>
                      </w:r>
                      <w:r w:rsidR="007B05C4" w:rsidRPr="00EC1F1C">
                        <w:rPr>
                          <w:rFonts w:asciiTheme="majorHAnsi" w:hAnsiTheme="majorHAnsi"/>
                          <w:color w:val="595959" w:themeColor="text1" w:themeTint="A6"/>
                          <w:sz w:val="18"/>
                          <w:szCs w:val="18"/>
                          <w:lang w:val="pt-BR"/>
                        </w:rPr>
                        <w:t>/</w:t>
                      </w:r>
                      <w:r w:rsidR="00EC1F1C" w:rsidRPr="00EC1F1C">
                        <w:rPr>
                          <w:rFonts w:asciiTheme="majorHAnsi" w:hAnsiTheme="majorHAnsi"/>
                          <w:color w:val="595959" w:themeColor="text1" w:themeTint="A6"/>
                          <w:sz w:val="18"/>
                          <w:szCs w:val="18"/>
                          <w:lang w:val="pt-BR"/>
                        </w:rPr>
                        <w:t>19</w:t>
                      </w:r>
                      <w:r w:rsidRPr="00EC1F1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EC1F1C">
                        <w:rPr>
                          <w:rFonts w:asciiTheme="majorHAnsi" w:hAnsiTheme="majorHAnsi"/>
                          <w:color w:val="595959" w:themeColor="text1" w:themeTint="A6"/>
                          <w:sz w:val="18"/>
                          <w:szCs w:val="18"/>
                          <w:lang w:val="es-ES"/>
                        </w:rPr>
                        <w:t>735</w:t>
                      </w:r>
                      <w:r w:rsidR="000433C9">
                        <w:rPr>
                          <w:rFonts w:asciiTheme="majorHAnsi" w:hAnsiTheme="majorHAnsi"/>
                          <w:color w:val="595959" w:themeColor="text1" w:themeTint="A6"/>
                          <w:sz w:val="18"/>
                          <w:szCs w:val="18"/>
                          <w:lang w:val="es-ES"/>
                        </w:rPr>
                        <w:t>-</w:t>
                      </w:r>
                      <w:r w:rsidR="00EC1F1C">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C1F1C">
                        <w:rPr>
                          <w:rFonts w:asciiTheme="majorHAnsi" w:hAnsiTheme="majorHAnsi"/>
                          <w:color w:val="595959" w:themeColor="text1" w:themeTint="A6"/>
                          <w:sz w:val="18"/>
                          <w:szCs w:val="18"/>
                          <w:lang w:val="es-ES_tradnl"/>
                        </w:rPr>
                        <w:t>Carlos Andrés Meneses Ruiz</w:t>
                      </w:r>
                      <w:r w:rsidRPr="00890650">
                        <w:rPr>
                          <w:rFonts w:asciiTheme="majorHAnsi" w:hAnsiTheme="majorHAnsi"/>
                          <w:color w:val="595959" w:themeColor="text1" w:themeTint="A6"/>
                          <w:sz w:val="18"/>
                          <w:szCs w:val="18"/>
                          <w:lang w:val="es-ES_tradnl"/>
                        </w:rPr>
                        <w:t xml:space="preserve">. </w:t>
                      </w:r>
                      <w:r w:rsidR="00EC1F1C">
                        <w:rPr>
                          <w:rFonts w:asciiTheme="majorHAnsi" w:hAnsiTheme="majorHAnsi"/>
                          <w:color w:val="595959" w:themeColor="text1" w:themeTint="A6"/>
                          <w:sz w:val="18"/>
                          <w:szCs w:val="18"/>
                          <w:lang w:val="es-ES_tradnl"/>
                        </w:rPr>
                        <w:t>Venezuela</w:t>
                      </w:r>
                      <w:r w:rsidRPr="00890650">
                        <w:rPr>
                          <w:rFonts w:asciiTheme="majorHAnsi" w:hAnsiTheme="majorHAnsi"/>
                          <w:color w:val="595959" w:themeColor="text1" w:themeTint="A6"/>
                          <w:sz w:val="18"/>
                          <w:szCs w:val="18"/>
                          <w:lang w:val="es-ES_tradnl"/>
                        </w:rPr>
                        <w:t xml:space="preserve">. </w:t>
                      </w:r>
                      <w:r w:rsidR="00EC1F1C">
                        <w:rPr>
                          <w:rFonts w:asciiTheme="majorHAnsi" w:hAnsiTheme="majorHAnsi"/>
                          <w:color w:val="595959" w:themeColor="text1" w:themeTint="A6"/>
                          <w:sz w:val="18"/>
                          <w:szCs w:val="18"/>
                          <w:lang w:val="es-ES"/>
                        </w:rPr>
                        <w:t>5 de marzo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67347FB5" w:rsidR="003239B8" w:rsidRPr="004B3C14" w:rsidRDefault="009C728A" w:rsidP="008D2290">
            <w:pPr>
              <w:jc w:val="both"/>
              <w:rPr>
                <w:rFonts w:ascii="Cambria" w:hAnsi="Cambria"/>
                <w:bCs/>
                <w:sz w:val="20"/>
                <w:szCs w:val="20"/>
              </w:rPr>
            </w:pPr>
            <w:r>
              <w:rPr>
                <w:rFonts w:ascii="Cambria" w:hAnsi="Cambria"/>
                <w:bCs/>
                <w:sz w:val="20"/>
                <w:szCs w:val="20"/>
              </w:rPr>
              <w:t xml:space="preserve">Jose Eliseo Molina Chacón </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3E183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296D1791" w:rsidR="003239B8" w:rsidRPr="004C2312" w:rsidRDefault="009C728A" w:rsidP="008D2290">
            <w:pPr>
              <w:jc w:val="both"/>
              <w:rPr>
                <w:rFonts w:ascii="Cambria" w:hAnsi="Cambria"/>
                <w:bCs/>
                <w:sz w:val="20"/>
                <w:szCs w:val="20"/>
                <w:lang w:val="es-ES"/>
              </w:rPr>
            </w:pPr>
            <w:r>
              <w:rPr>
                <w:rFonts w:ascii="Cambria" w:hAnsi="Cambria"/>
                <w:bCs/>
                <w:sz w:val="20"/>
                <w:szCs w:val="20"/>
                <w:lang w:val="es-ES"/>
              </w:rPr>
              <w:t xml:space="preserve">Carlos </w:t>
            </w:r>
            <w:r w:rsidR="005D0181">
              <w:rPr>
                <w:rFonts w:ascii="Cambria" w:hAnsi="Cambria"/>
                <w:bCs/>
                <w:sz w:val="20"/>
                <w:szCs w:val="20"/>
                <w:lang w:val="es-ES"/>
              </w:rPr>
              <w:t>Andrés Meneses Ruí</w:t>
            </w:r>
            <w:r>
              <w:rPr>
                <w:rFonts w:ascii="Cambria" w:hAnsi="Cambria"/>
                <w:bCs/>
                <w:sz w:val="20"/>
                <w:szCs w:val="20"/>
                <w:lang w:val="es-ES"/>
              </w:rPr>
              <w:t xml:space="preserve">z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4A0111C7" w:rsidR="003239B8" w:rsidRPr="004B3C14" w:rsidRDefault="009C728A" w:rsidP="00301847">
            <w:pPr>
              <w:jc w:val="both"/>
              <w:rPr>
                <w:rFonts w:ascii="Cambria" w:hAnsi="Cambria"/>
                <w:bCs/>
                <w:sz w:val="20"/>
                <w:szCs w:val="20"/>
              </w:rPr>
            </w:pPr>
            <w:r>
              <w:rPr>
                <w:rFonts w:ascii="Cambria" w:hAnsi="Cambria"/>
                <w:bCs/>
                <w:sz w:val="20"/>
                <w:szCs w:val="20"/>
              </w:rPr>
              <w:t>Venezuela</w:t>
            </w:r>
          </w:p>
        </w:tc>
      </w:tr>
      <w:tr w:rsidR="00223A29" w:rsidRPr="001D2A9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251EEF3B" w:rsidR="00223A29" w:rsidRPr="008D4B6A" w:rsidRDefault="008D4B6A" w:rsidP="002267A9">
            <w:pPr>
              <w:jc w:val="both"/>
              <w:rPr>
                <w:rFonts w:ascii="Cambria" w:hAnsi="Cambria"/>
                <w:bCs/>
                <w:sz w:val="20"/>
                <w:szCs w:val="20"/>
                <w:lang w:val="es-AR"/>
              </w:rPr>
            </w:pPr>
            <w:r w:rsidRPr="008D4B6A">
              <w:rPr>
                <w:rFonts w:ascii="Cambria" w:hAnsi="Cambria"/>
                <w:bCs/>
                <w:sz w:val="20"/>
                <w:szCs w:val="20"/>
                <w:lang w:val="es-AR"/>
              </w:rPr>
              <w:t xml:space="preserve">Artículo 8 (debido proceso) </w:t>
            </w:r>
            <w:r w:rsidR="003C35BC">
              <w:rPr>
                <w:rFonts w:ascii="Cambria" w:hAnsi="Cambria"/>
                <w:bCs/>
                <w:sz w:val="20"/>
                <w:szCs w:val="20"/>
                <w:lang w:val="es-AR"/>
              </w:rPr>
              <w:t xml:space="preserve">y 25 (protección judicial) </w:t>
            </w:r>
            <w:r w:rsidRPr="008D4B6A">
              <w:rPr>
                <w:rFonts w:ascii="Cambria" w:hAnsi="Cambria"/>
                <w:bCs/>
                <w:sz w:val="20"/>
                <w:szCs w:val="20"/>
                <w:lang w:val="es-AR"/>
              </w:rPr>
              <w:t>de la Convenci</w:t>
            </w:r>
            <w:r w:rsidR="00053459">
              <w:rPr>
                <w:rFonts w:ascii="Cambria" w:hAnsi="Cambria"/>
                <w:bCs/>
                <w:sz w:val="20"/>
                <w:szCs w:val="20"/>
                <w:lang w:val="es-AR"/>
              </w:rPr>
              <w:t xml:space="preserve">ón Americana </w:t>
            </w:r>
            <w:r w:rsidR="00705C6E">
              <w:rPr>
                <w:rFonts w:ascii="Cambria" w:hAnsi="Cambria"/>
                <w:bCs/>
                <w:sz w:val="20"/>
                <w:szCs w:val="20"/>
                <w:lang w:val="es-AR"/>
              </w:rPr>
              <w:t>sobre</w:t>
            </w:r>
            <w:r w:rsidR="00053459">
              <w:rPr>
                <w:rFonts w:ascii="Cambria" w:hAnsi="Cambria"/>
                <w:bCs/>
                <w:sz w:val="20"/>
                <w:szCs w:val="20"/>
                <w:lang w:val="es-AR"/>
              </w:rPr>
              <w:t xml:space="preserve"> Derechos Humanos</w:t>
            </w:r>
            <w:r w:rsidR="00705C6E">
              <w:rPr>
                <w:rStyle w:val="FootnoteReference"/>
                <w:rFonts w:ascii="Cambria" w:hAnsi="Cambria"/>
                <w:bCs/>
                <w:sz w:val="20"/>
                <w:szCs w:val="20"/>
                <w:lang w:val="es-AR"/>
              </w:rPr>
              <w:footnoteReference w:id="2"/>
            </w:r>
            <w:r w:rsidR="00705C6E" w:rsidRPr="00705C6E">
              <w:rPr>
                <w:lang w:val="es-AR"/>
              </w:rPr>
              <w:t xml:space="preserve"> </w:t>
            </w:r>
            <w:r w:rsidR="00705C6E" w:rsidRPr="00705C6E">
              <w:rPr>
                <w:rFonts w:ascii="Cambria" w:hAnsi="Cambria"/>
                <w:bCs/>
                <w:sz w:val="20"/>
                <w:szCs w:val="20"/>
                <w:lang w:val="es-AR"/>
              </w:rPr>
              <w:t xml:space="preserve">relacionados con </w:t>
            </w:r>
            <w:r w:rsidR="00705C6E">
              <w:rPr>
                <w:rFonts w:ascii="Cambria" w:hAnsi="Cambria"/>
                <w:bCs/>
                <w:sz w:val="20"/>
                <w:szCs w:val="20"/>
                <w:lang w:val="es-AR"/>
              </w:rPr>
              <w:t>el</w:t>
            </w:r>
            <w:r w:rsidR="00705C6E" w:rsidRPr="00705C6E">
              <w:rPr>
                <w:rFonts w:ascii="Cambria" w:hAnsi="Cambria"/>
                <w:bCs/>
                <w:sz w:val="20"/>
                <w:szCs w:val="20"/>
                <w:lang w:val="es-AR"/>
              </w:rPr>
              <w:t xml:space="preserve"> artículo 1.1 del mismo instrumento</w:t>
            </w:r>
            <w:r w:rsidR="00705C6E">
              <w:rPr>
                <w:rFonts w:ascii="Cambria" w:hAnsi="Cambria"/>
                <w:bCs/>
                <w:sz w:val="20"/>
                <w:szCs w:val="20"/>
                <w:lang w:val="es-AR"/>
              </w:rPr>
              <w:t>;</w:t>
            </w:r>
            <w:r w:rsidR="00053459">
              <w:rPr>
                <w:rFonts w:ascii="Cambria" w:hAnsi="Cambria"/>
                <w:bCs/>
                <w:sz w:val="20"/>
                <w:szCs w:val="20"/>
                <w:lang w:val="es-AR"/>
              </w:rPr>
              <w:t xml:space="preserve"> </w:t>
            </w:r>
            <w:r w:rsidR="002267A9">
              <w:rPr>
                <w:rFonts w:ascii="Cambria" w:hAnsi="Cambria"/>
                <w:bCs/>
                <w:sz w:val="20"/>
                <w:szCs w:val="20"/>
                <w:lang w:val="es-AR"/>
              </w:rPr>
              <w:t>A</w:t>
            </w:r>
            <w:r w:rsidRPr="008D4B6A">
              <w:rPr>
                <w:rFonts w:ascii="Cambria" w:hAnsi="Cambria"/>
                <w:bCs/>
                <w:sz w:val="20"/>
                <w:szCs w:val="20"/>
                <w:lang w:val="es-AR"/>
              </w:rPr>
              <w:t xml:space="preserve">rtículo 9 </w:t>
            </w:r>
            <w:r w:rsidR="0049665F">
              <w:rPr>
                <w:rFonts w:ascii="Cambria" w:hAnsi="Cambria"/>
                <w:bCs/>
                <w:sz w:val="20"/>
                <w:szCs w:val="20"/>
                <w:lang w:val="es-AR"/>
              </w:rPr>
              <w:t xml:space="preserve">(derecho a la seguridad social) </w:t>
            </w:r>
            <w:r w:rsidR="00053459">
              <w:rPr>
                <w:rFonts w:ascii="Cambria" w:hAnsi="Cambria"/>
                <w:bCs/>
                <w:sz w:val="20"/>
                <w:szCs w:val="20"/>
                <w:lang w:val="es-AR"/>
              </w:rPr>
              <w:t xml:space="preserve">del Protocolo Adicional de la Convención Americana </w:t>
            </w:r>
            <w:r w:rsidR="00306133">
              <w:rPr>
                <w:rFonts w:ascii="Cambria" w:hAnsi="Cambria"/>
                <w:bCs/>
                <w:sz w:val="20"/>
                <w:szCs w:val="20"/>
                <w:lang w:val="es-AR"/>
              </w:rPr>
              <w:t>sobre</w:t>
            </w:r>
            <w:r w:rsidR="00053459">
              <w:rPr>
                <w:rFonts w:ascii="Cambria" w:hAnsi="Cambria"/>
                <w:bCs/>
                <w:sz w:val="20"/>
                <w:szCs w:val="20"/>
                <w:lang w:val="es-AR"/>
              </w:rPr>
              <w:t xml:space="preserve"> Derechos Humanos en Materia de Derechos Económicos, Sociales y Culturales</w:t>
            </w:r>
            <w:r w:rsidR="00306133">
              <w:rPr>
                <w:rStyle w:val="FootnoteReference"/>
                <w:rFonts w:ascii="Cambria" w:hAnsi="Cambria"/>
                <w:bCs/>
                <w:sz w:val="20"/>
                <w:szCs w:val="20"/>
                <w:lang w:val="es-AR"/>
              </w:rPr>
              <w:footnoteReference w:id="3"/>
            </w:r>
            <w:r w:rsidR="00705C6E">
              <w:rPr>
                <w:rFonts w:ascii="Cambria" w:hAnsi="Cambria"/>
                <w:bCs/>
                <w:sz w:val="20"/>
                <w:szCs w:val="20"/>
                <w:lang w:val="es-AR"/>
              </w:rPr>
              <w:t>;</w:t>
            </w:r>
            <w:r w:rsidR="00A85B42">
              <w:rPr>
                <w:rFonts w:ascii="Cambria" w:hAnsi="Cambria"/>
                <w:bCs/>
                <w:sz w:val="20"/>
                <w:szCs w:val="20"/>
                <w:lang w:val="es-AR"/>
              </w:rPr>
              <w:t xml:space="preserve"> Artículo XVI (seguridad social) de la Declaración Americana de los Derechos y Deberes del Hombre</w:t>
            </w:r>
            <w:r w:rsidR="00705C6E">
              <w:rPr>
                <w:rStyle w:val="FootnoteReference"/>
                <w:rFonts w:ascii="Cambria" w:hAnsi="Cambria"/>
                <w:bCs/>
                <w:sz w:val="20"/>
                <w:szCs w:val="20"/>
                <w:lang w:val="es-AR"/>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8A9265C" w:rsidR="004C2312" w:rsidRPr="003239B8" w:rsidRDefault="00AA4BF0" w:rsidP="002625EA">
            <w:pPr>
              <w:jc w:val="both"/>
              <w:rPr>
                <w:rFonts w:ascii="Cambria" w:hAnsi="Cambria"/>
                <w:bCs/>
                <w:sz w:val="20"/>
                <w:szCs w:val="20"/>
                <w:lang w:val="es-ES"/>
              </w:rPr>
            </w:pPr>
            <w:r>
              <w:rPr>
                <w:rFonts w:ascii="Cambria" w:hAnsi="Cambria"/>
                <w:bCs/>
                <w:sz w:val="20"/>
                <w:szCs w:val="20"/>
                <w:lang w:val="es-ES"/>
              </w:rPr>
              <w:t>24 de Junio de 2008</w:t>
            </w:r>
          </w:p>
        </w:tc>
      </w:tr>
      <w:tr w:rsidR="004C2312" w:rsidRPr="009C728A"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A29E577" w:rsidR="004C2312" w:rsidRPr="003239B8" w:rsidRDefault="00AC29F4" w:rsidP="008D2290">
            <w:pPr>
              <w:jc w:val="both"/>
              <w:rPr>
                <w:rFonts w:ascii="Cambria" w:hAnsi="Cambria"/>
                <w:bCs/>
                <w:sz w:val="20"/>
                <w:szCs w:val="20"/>
                <w:lang w:val="es-ES"/>
              </w:rPr>
            </w:pPr>
            <w:r>
              <w:rPr>
                <w:rFonts w:ascii="Cambria" w:hAnsi="Cambria"/>
                <w:bCs/>
                <w:sz w:val="20"/>
                <w:szCs w:val="20"/>
                <w:lang w:val="es-ES"/>
              </w:rPr>
              <w:t>18 de Junio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6508516" w:rsidR="004C2312" w:rsidRPr="003239B8" w:rsidRDefault="00E63324" w:rsidP="008D2290">
            <w:pPr>
              <w:jc w:val="both"/>
              <w:rPr>
                <w:rFonts w:ascii="Cambria" w:hAnsi="Cambria"/>
                <w:bCs/>
                <w:sz w:val="20"/>
                <w:szCs w:val="20"/>
                <w:lang w:val="es-ES"/>
              </w:rPr>
            </w:pPr>
            <w:r>
              <w:rPr>
                <w:rFonts w:ascii="Cambria" w:hAnsi="Cambria"/>
                <w:bCs/>
                <w:sz w:val="20"/>
                <w:szCs w:val="20"/>
                <w:lang w:val="es-ES"/>
              </w:rPr>
              <w:t>26 de Mayo de 2017</w:t>
            </w:r>
          </w:p>
        </w:tc>
      </w:tr>
      <w:tr w:rsidR="004E788F" w:rsidRPr="00F93E7E" w14:paraId="29C55EB8" w14:textId="77777777" w:rsidTr="004A6A54">
        <w:tc>
          <w:tcPr>
            <w:tcW w:w="3600" w:type="dxa"/>
            <w:tcBorders>
              <w:top w:val="single" w:sz="6" w:space="0" w:color="auto"/>
              <w:bottom w:val="single" w:sz="6" w:space="0" w:color="auto"/>
            </w:tcBorders>
            <w:shd w:val="clear" w:color="auto" w:fill="386294"/>
            <w:vAlign w:val="center"/>
          </w:tcPr>
          <w:p w14:paraId="114462BA" w14:textId="2EFCBA39" w:rsidR="004E788F" w:rsidRDefault="00F93E7E" w:rsidP="004A6A54">
            <w:pPr>
              <w:jc w:val="center"/>
              <w:rPr>
                <w:rFonts w:ascii="Cambria" w:hAnsi="Cambria"/>
                <w:b/>
                <w:color w:val="FFFFFF" w:themeColor="background1"/>
                <w:sz w:val="20"/>
                <w:szCs w:val="20"/>
                <w:lang w:val="es-ES"/>
              </w:rPr>
            </w:pPr>
            <w:r w:rsidRPr="00F93E7E">
              <w:rPr>
                <w:rFonts w:ascii="Cambria" w:hAnsi="Cambria"/>
                <w:b/>
                <w:color w:val="FFFFFF" w:themeColor="background1"/>
                <w:sz w:val="20"/>
                <w:szCs w:val="20"/>
                <w:lang w:val="es-ES"/>
              </w:rPr>
              <w:t>Observaciones adicionales de la parte peticionaria:</w:t>
            </w:r>
          </w:p>
        </w:tc>
        <w:tc>
          <w:tcPr>
            <w:tcW w:w="5760" w:type="dxa"/>
            <w:vAlign w:val="center"/>
          </w:tcPr>
          <w:p w14:paraId="078C3B23" w14:textId="6FC7E51F" w:rsidR="004E788F" w:rsidRDefault="00F93E7E" w:rsidP="00F93E7E">
            <w:pPr>
              <w:jc w:val="both"/>
              <w:rPr>
                <w:rFonts w:ascii="Cambria" w:hAnsi="Cambria"/>
                <w:bCs/>
                <w:sz w:val="20"/>
                <w:szCs w:val="20"/>
                <w:lang w:val="es-ES"/>
              </w:rPr>
            </w:pPr>
            <w:r w:rsidRPr="009762D1">
              <w:rPr>
                <w:rFonts w:ascii="Cambria" w:hAnsi="Cambria"/>
                <w:bCs/>
                <w:sz w:val="20"/>
                <w:szCs w:val="20"/>
                <w:lang w:val="es-ES"/>
              </w:rPr>
              <w:t>13 de octubre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5647BAB3" w:rsidR="003239B8" w:rsidRPr="004B3C14" w:rsidRDefault="00072E03" w:rsidP="00306133">
            <w:pPr>
              <w:rPr>
                <w:rFonts w:ascii="Cambria" w:hAnsi="Cambria"/>
                <w:bCs/>
                <w:sz w:val="20"/>
                <w:szCs w:val="20"/>
              </w:rPr>
            </w:pPr>
            <w:r>
              <w:rPr>
                <w:rFonts w:ascii="Cambria" w:hAnsi="Cambria"/>
                <w:bCs/>
                <w:sz w:val="20"/>
                <w:szCs w:val="20"/>
              </w:rPr>
              <w:t>S</w:t>
            </w:r>
            <w:r w:rsidR="00306133">
              <w:rPr>
                <w:rFonts w:ascii="Cambria" w:hAnsi="Cambria"/>
                <w:bCs/>
                <w:sz w:val="20"/>
                <w:szCs w:val="20"/>
              </w:rPr>
              <w:t>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6D95384F" w:rsidR="003239B8" w:rsidRPr="004B3C14" w:rsidRDefault="00306133"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1B2D3720" w:rsidR="003239B8" w:rsidRPr="00153E77" w:rsidRDefault="00072E03" w:rsidP="00306133">
            <w:pPr>
              <w:rPr>
                <w:bCs/>
                <w:sz w:val="20"/>
                <w:szCs w:val="20"/>
              </w:rPr>
            </w:pPr>
            <w:r>
              <w:rPr>
                <w:bCs/>
                <w:sz w:val="20"/>
                <w:szCs w:val="20"/>
              </w:rPr>
              <w:t>S</w:t>
            </w:r>
            <w:r w:rsidR="00306133">
              <w:rPr>
                <w:bCs/>
                <w:sz w:val="20"/>
                <w:szCs w:val="20"/>
              </w:rPr>
              <w:t>í</w:t>
            </w:r>
          </w:p>
        </w:tc>
      </w:tr>
      <w:tr w:rsidR="003239B8" w:rsidRPr="001D2A91"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4B21A074" w:rsidR="003239B8" w:rsidRPr="004C2312" w:rsidRDefault="00072E03" w:rsidP="00306133">
            <w:pPr>
              <w:jc w:val="both"/>
              <w:rPr>
                <w:rFonts w:ascii="Cambria" w:hAnsi="Cambria"/>
                <w:bCs/>
                <w:sz w:val="20"/>
                <w:szCs w:val="20"/>
                <w:lang w:val="es-ES"/>
              </w:rPr>
            </w:pPr>
            <w:r>
              <w:rPr>
                <w:rFonts w:ascii="Cambria" w:hAnsi="Cambria"/>
                <w:bCs/>
                <w:sz w:val="20"/>
                <w:szCs w:val="20"/>
                <w:lang w:val="es-ES"/>
              </w:rPr>
              <w:t>S</w:t>
            </w:r>
            <w:r w:rsidR="00306133">
              <w:rPr>
                <w:rFonts w:ascii="Cambria" w:hAnsi="Cambria"/>
                <w:bCs/>
                <w:sz w:val="20"/>
                <w:szCs w:val="20"/>
                <w:lang w:val="es-ES"/>
              </w:rPr>
              <w:t>í</w:t>
            </w:r>
            <w:r w:rsidR="006E4F4D">
              <w:rPr>
                <w:rFonts w:ascii="Cambria" w:hAnsi="Cambria"/>
                <w:bCs/>
                <w:sz w:val="20"/>
                <w:szCs w:val="20"/>
                <w:lang w:val="es-ES"/>
              </w:rPr>
              <w:t xml:space="preserve">, </w:t>
            </w:r>
            <w:r w:rsidR="006E4F4D" w:rsidRPr="00CD4B42">
              <w:rPr>
                <w:rFonts w:ascii="Cambria" w:hAnsi="Cambria"/>
                <w:bCs/>
                <w:sz w:val="20"/>
                <w:szCs w:val="20"/>
                <w:lang w:val="es-ES"/>
              </w:rPr>
              <w:t>Convención Americana (depósito de instrumento</w:t>
            </w:r>
            <w:r w:rsidR="006E4F4D">
              <w:rPr>
                <w:rFonts w:ascii="Cambria" w:hAnsi="Cambria"/>
                <w:bCs/>
                <w:sz w:val="20"/>
                <w:szCs w:val="20"/>
                <w:lang w:val="es-ES"/>
              </w:rPr>
              <w:t xml:space="preserve"> de ratificación realizado el 23 de julio de 1977</w:t>
            </w:r>
            <w:r w:rsidR="006E4F4D" w:rsidRPr="00CD4B42">
              <w:rPr>
                <w:rFonts w:ascii="Cambria" w:hAnsi="Cambria"/>
                <w:bCs/>
                <w:sz w:val="20"/>
                <w:szCs w:val="20"/>
                <w:lang w:val="es-ES"/>
              </w:rPr>
              <w:t>).</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9C728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672710C7" w:rsidR="00EE00E9" w:rsidRPr="00EE00E9" w:rsidRDefault="006E4F4D" w:rsidP="008D2290">
            <w:pPr>
              <w:jc w:val="both"/>
              <w:rPr>
                <w:rFonts w:ascii="Cambria" w:hAnsi="Cambria"/>
                <w:bCs/>
                <w:sz w:val="20"/>
                <w:szCs w:val="20"/>
                <w:lang w:val="es-ES"/>
              </w:rPr>
            </w:pPr>
            <w:r>
              <w:rPr>
                <w:rFonts w:ascii="Cambria" w:hAnsi="Cambria"/>
                <w:bCs/>
                <w:sz w:val="20"/>
                <w:szCs w:val="20"/>
                <w:lang w:val="es-ES"/>
              </w:rPr>
              <w:t>No</w:t>
            </w:r>
          </w:p>
        </w:tc>
      </w:tr>
      <w:tr w:rsidR="003239B8" w:rsidRPr="001D2A91"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77F3929F" w:rsidR="003239B8" w:rsidRPr="006B42F9" w:rsidRDefault="00417E4D" w:rsidP="003F60C1">
            <w:pPr>
              <w:jc w:val="both"/>
              <w:rPr>
                <w:rFonts w:ascii="Cambria" w:hAnsi="Cambria"/>
                <w:bCs/>
                <w:sz w:val="20"/>
                <w:szCs w:val="20"/>
                <w:lang w:val="es-AR"/>
              </w:rPr>
            </w:pPr>
            <w:r w:rsidRPr="006B42F9">
              <w:rPr>
                <w:rFonts w:ascii="Cambria" w:hAnsi="Cambria"/>
                <w:bCs/>
                <w:sz w:val="20"/>
                <w:szCs w:val="20"/>
                <w:lang w:val="es-AR"/>
              </w:rPr>
              <w:t xml:space="preserve">Artículo 8 (garantías judiciales), 21 (propiedad privada), 25 (protección judicial) </w:t>
            </w:r>
            <w:r w:rsidR="00705C6E" w:rsidRPr="00705C6E">
              <w:rPr>
                <w:rFonts w:ascii="Cambria" w:hAnsi="Cambria"/>
                <w:bCs/>
                <w:sz w:val="20"/>
                <w:szCs w:val="20"/>
                <w:lang w:val="es-AR"/>
              </w:rPr>
              <w:t>y 26</w:t>
            </w:r>
            <w:r w:rsidR="00705C6E">
              <w:rPr>
                <w:rFonts w:ascii="Cambria" w:hAnsi="Cambria"/>
                <w:bCs/>
                <w:sz w:val="20"/>
                <w:szCs w:val="20"/>
                <w:lang w:val="es-AR"/>
              </w:rPr>
              <w:t xml:space="preserve"> </w:t>
            </w:r>
            <w:r w:rsidR="00705C6E" w:rsidRPr="00705C6E">
              <w:rPr>
                <w:rFonts w:ascii="Cambria" w:hAnsi="Cambria"/>
                <w:bCs/>
                <w:sz w:val="20"/>
                <w:szCs w:val="20"/>
                <w:lang w:val="es-AR"/>
              </w:rPr>
              <w:t xml:space="preserve">de la Convención Americana </w:t>
            </w:r>
            <w:r w:rsidR="00705C6E">
              <w:rPr>
                <w:rFonts w:ascii="Cambria" w:hAnsi="Cambria"/>
                <w:bCs/>
                <w:sz w:val="20"/>
                <w:szCs w:val="20"/>
                <w:lang w:val="es-AR"/>
              </w:rPr>
              <w:t xml:space="preserve">en relación </w:t>
            </w:r>
            <w:r w:rsidR="00705C6E" w:rsidRPr="00705C6E">
              <w:rPr>
                <w:rFonts w:ascii="Cambria" w:hAnsi="Cambria"/>
                <w:bCs/>
                <w:sz w:val="20"/>
                <w:szCs w:val="20"/>
                <w:lang w:val="es-AR"/>
              </w:rPr>
              <w:t xml:space="preserve">con </w:t>
            </w:r>
            <w:r w:rsidR="00705C6E">
              <w:rPr>
                <w:rFonts w:ascii="Cambria" w:hAnsi="Cambria"/>
                <w:bCs/>
                <w:sz w:val="20"/>
                <w:szCs w:val="20"/>
                <w:lang w:val="es-AR"/>
              </w:rPr>
              <w:t xml:space="preserve">su </w:t>
            </w:r>
            <w:r w:rsidR="00705C6E" w:rsidRPr="00705C6E">
              <w:rPr>
                <w:rFonts w:ascii="Cambria" w:hAnsi="Cambria"/>
                <w:bCs/>
                <w:sz w:val="20"/>
                <w:szCs w:val="20"/>
                <w:lang w:val="es-AR"/>
              </w:rPr>
              <w:t xml:space="preserve">artículo 1.1 </w:t>
            </w:r>
            <w:r w:rsidR="00705C6E">
              <w:rPr>
                <w:rFonts w:ascii="Cambria" w:hAnsi="Cambria"/>
                <w:bCs/>
                <w:sz w:val="20"/>
                <w:szCs w:val="20"/>
                <w:lang w:val="es-AR"/>
              </w:rPr>
              <w:t>(obliga</w:t>
            </w:r>
            <w:r w:rsidR="003F60C1">
              <w:rPr>
                <w:rFonts w:ascii="Cambria" w:hAnsi="Cambria"/>
                <w:bCs/>
                <w:sz w:val="20"/>
                <w:szCs w:val="20"/>
                <w:lang w:val="es-AR"/>
              </w:rPr>
              <w:t>ción de respetar los derechos)</w:t>
            </w:r>
          </w:p>
        </w:tc>
      </w:tr>
      <w:tr w:rsidR="003239B8" w:rsidRPr="001D2A91"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41024DD6" w:rsidR="003239B8" w:rsidRPr="00EE00E9" w:rsidRDefault="00C400C3" w:rsidP="00306133">
            <w:pPr>
              <w:rPr>
                <w:rFonts w:ascii="Cambria" w:hAnsi="Cambria"/>
                <w:bCs/>
                <w:sz w:val="20"/>
                <w:szCs w:val="20"/>
                <w:lang w:val="es-ES"/>
              </w:rPr>
            </w:pPr>
            <w:r>
              <w:rPr>
                <w:rFonts w:ascii="Cambria" w:hAnsi="Cambria"/>
                <w:bCs/>
                <w:sz w:val="20"/>
                <w:szCs w:val="20"/>
                <w:lang w:val="es-ES"/>
              </w:rPr>
              <w:t>S</w:t>
            </w:r>
            <w:r w:rsidR="00306133">
              <w:rPr>
                <w:rFonts w:ascii="Cambria" w:hAnsi="Cambria"/>
                <w:bCs/>
                <w:sz w:val="20"/>
                <w:szCs w:val="20"/>
                <w:lang w:val="es-ES"/>
              </w:rPr>
              <w:t>í</w:t>
            </w:r>
            <w:r>
              <w:rPr>
                <w:rFonts w:ascii="Cambria" w:hAnsi="Cambria"/>
                <w:bCs/>
                <w:sz w:val="20"/>
                <w:szCs w:val="20"/>
                <w:lang w:val="es-ES"/>
              </w:rPr>
              <w:t xml:space="preserve">, el </w:t>
            </w:r>
            <w:r w:rsidR="00E022F3">
              <w:rPr>
                <w:rFonts w:ascii="Cambria" w:hAnsi="Cambria"/>
                <w:bCs/>
                <w:sz w:val="20"/>
                <w:szCs w:val="20"/>
                <w:lang w:val="es-ES"/>
              </w:rPr>
              <w:t>21</w:t>
            </w:r>
            <w:r w:rsidR="004D11F4">
              <w:rPr>
                <w:rFonts w:ascii="Cambria" w:hAnsi="Cambria"/>
                <w:sz w:val="20"/>
                <w:szCs w:val="20"/>
                <w:lang w:val="es-AR"/>
              </w:rPr>
              <w:t xml:space="preserve"> de </w:t>
            </w:r>
            <w:r w:rsidR="00E022F3">
              <w:rPr>
                <w:rFonts w:ascii="Cambria" w:hAnsi="Cambria"/>
                <w:sz w:val="20"/>
                <w:szCs w:val="20"/>
                <w:lang w:val="es-AR"/>
              </w:rPr>
              <w:t>febrero</w:t>
            </w:r>
            <w:r>
              <w:rPr>
                <w:rFonts w:ascii="Cambria" w:hAnsi="Cambria"/>
                <w:sz w:val="20"/>
                <w:szCs w:val="20"/>
                <w:lang w:val="es-AR"/>
              </w:rPr>
              <w:t xml:space="preserve"> de 2008</w:t>
            </w:r>
          </w:p>
        </w:tc>
      </w:tr>
      <w:tr w:rsidR="003239B8" w:rsidRPr="001D2A91"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4A7194D4" w:rsidR="003239B8" w:rsidRPr="00C400C3" w:rsidRDefault="00306133" w:rsidP="008D2290">
            <w:pPr>
              <w:rPr>
                <w:bCs/>
                <w:sz w:val="20"/>
                <w:szCs w:val="20"/>
                <w:lang w:val="es-AR"/>
              </w:rPr>
            </w:pPr>
            <w:r>
              <w:rPr>
                <w:bCs/>
                <w:sz w:val="20"/>
                <w:szCs w:val="20"/>
                <w:lang w:val="es-AR"/>
              </w:rPr>
              <w:t>Sí</w:t>
            </w:r>
            <w:r w:rsidR="00705C6E">
              <w:rPr>
                <w:bCs/>
                <w:sz w:val="20"/>
                <w:szCs w:val="20"/>
                <w:lang w:val="es-AR"/>
              </w:rPr>
              <w:t>, en los términos de la sección</w:t>
            </w:r>
            <w:r w:rsidR="00705C6E" w:rsidRPr="007C6865">
              <w:rPr>
                <w:bCs/>
                <w:sz w:val="20"/>
                <w:szCs w:val="20"/>
                <w:lang w:val="es-AR"/>
              </w:rPr>
              <w:t xml:space="preserve">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4878D86" w14:textId="52A93FB6" w:rsidR="00A11E44" w:rsidRPr="007D7869" w:rsidRDefault="00B47F8D" w:rsidP="00B80C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B47F8D">
        <w:rPr>
          <w:rFonts w:ascii="Cambria" w:hAnsi="Cambria"/>
          <w:sz w:val="20"/>
          <w:szCs w:val="20"/>
          <w:lang w:val="es-AR"/>
        </w:rPr>
        <w:t xml:space="preserve">El peticionario </w:t>
      </w:r>
      <w:r w:rsidRPr="00B47F8D">
        <w:rPr>
          <w:rFonts w:ascii="Cambria" w:hAnsi="Cambria"/>
          <w:bCs/>
          <w:sz w:val="20"/>
          <w:szCs w:val="20"/>
          <w:lang w:val="es-AR"/>
        </w:rPr>
        <w:t>Jose Eliseo Molina Chacón</w:t>
      </w:r>
      <w:r>
        <w:rPr>
          <w:rFonts w:ascii="Cambria" w:hAnsi="Cambria"/>
          <w:bCs/>
          <w:sz w:val="20"/>
          <w:szCs w:val="20"/>
          <w:lang w:val="es-AR"/>
        </w:rPr>
        <w:t xml:space="preserve"> </w:t>
      </w:r>
      <w:r w:rsidR="00040A96">
        <w:rPr>
          <w:rFonts w:ascii="Cambria" w:hAnsi="Cambria"/>
          <w:bCs/>
          <w:sz w:val="20"/>
          <w:szCs w:val="20"/>
          <w:lang w:val="es-AR"/>
        </w:rPr>
        <w:t>alega</w:t>
      </w:r>
      <w:r w:rsidR="007D7869">
        <w:rPr>
          <w:rFonts w:ascii="Cambria" w:hAnsi="Cambria"/>
          <w:bCs/>
          <w:sz w:val="20"/>
          <w:szCs w:val="20"/>
          <w:lang w:val="es-AR"/>
        </w:rPr>
        <w:t xml:space="preserve"> </w:t>
      </w:r>
      <w:r w:rsidR="00C23EEF">
        <w:rPr>
          <w:rFonts w:ascii="Cambria" w:hAnsi="Cambria"/>
          <w:bCs/>
          <w:sz w:val="20"/>
          <w:szCs w:val="20"/>
          <w:lang w:val="es-AR"/>
        </w:rPr>
        <w:t>la responsabilidad int</w:t>
      </w:r>
      <w:r w:rsidR="00C26A67">
        <w:rPr>
          <w:rFonts w:ascii="Cambria" w:hAnsi="Cambria"/>
          <w:bCs/>
          <w:sz w:val="20"/>
          <w:szCs w:val="20"/>
          <w:lang w:val="es-AR"/>
        </w:rPr>
        <w:t>ernacional del Estado v</w:t>
      </w:r>
      <w:r w:rsidR="003E7657">
        <w:rPr>
          <w:rFonts w:ascii="Cambria" w:hAnsi="Cambria"/>
          <w:bCs/>
          <w:sz w:val="20"/>
          <w:szCs w:val="20"/>
          <w:lang w:val="es-AR"/>
        </w:rPr>
        <w:t>enezolano</w:t>
      </w:r>
      <w:r w:rsidR="00C23EEF">
        <w:rPr>
          <w:rFonts w:ascii="Cambria" w:hAnsi="Cambria"/>
          <w:bCs/>
          <w:sz w:val="20"/>
          <w:szCs w:val="20"/>
          <w:lang w:val="es-AR"/>
        </w:rPr>
        <w:t xml:space="preserve"> por la modificación arbitraria de</w:t>
      </w:r>
      <w:r w:rsidR="00C26A67">
        <w:rPr>
          <w:rFonts w:ascii="Cambria" w:hAnsi="Cambria"/>
          <w:bCs/>
          <w:sz w:val="20"/>
          <w:szCs w:val="20"/>
          <w:lang w:val="es-AR"/>
        </w:rPr>
        <w:t>l</w:t>
      </w:r>
      <w:r w:rsidR="00C23EEF">
        <w:rPr>
          <w:rFonts w:ascii="Cambria" w:hAnsi="Cambria"/>
          <w:bCs/>
          <w:sz w:val="20"/>
          <w:szCs w:val="20"/>
          <w:lang w:val="es-AR"/>
        </w:rPr>
        <w:t xml:space="preserve"> derecho </w:t>
      </w:r>
      <w:r w:rsidR="00B80C4B" w:rsidRPr="00B80C4B">
        <w:rPr>
          <w:rFonts w:ascii="Cambria" w:hAnsi="Cambria"/>
          <w:bCs/>
          <w:sz w:val="20"/>
          <w:szCs w:val="20"/>
          <w:lang w:val="es-AR"/>
        </w:rPr>
        <w:t>del Señor Carlos Andrés Meneses Ruiz (en adelante “la presunta víctima” o “Sr. Meneses”)</w:t>
      </w:r>
      <w:r w:rsidR="00B80C4B">
        <w:rPr>
          <w:rFonts w:ascii="Cambria" w:hAnsi="Cambria"/>
          <w:bCs/>
          <w:sz w:val="20"/>
          <w:szCs w:val="20"/>
          <w:lang w:val="es-AR"/>
        </w:rPr>
        <w:t xml:space="preserve"> </w:t>
      </w:r>
      <w:r w:rsidR="00C23EEF">
        <w:rPr>
          <w:rFonts w:ascii="Cambria" w:hAnsi="Cambria"/>
          <w:bCs/>
          <w:sz w:val="20"/>
          <w:szCs w:val="20"/>
          <w:lang w:val="es-AR"/>
        </w:rPr>
        <w:t>a percibir un</w:t>
      </w:r>
      <w:r w:rsidR="00C23EEF" w:rsidRPr="00301847">
        <w:rPr>
          <w:rFonts w:ascii="Cambria" w:hAnsi="Cambria"/>
          <w:bCs/>
          <w:sz w:val="20"/>
          <w:szCs w:val="20"/>
          <w:lang w:val="es-AR"/>
        </w:rPr>
        <w:t>a jubilación</w:t>
      </w:r>
      <w:r w:rsidR="007D7869" w:rsidRPr="00301847">
        <w:rPr>
          <w:rFonts w:ascii="Cambria" w:hAnsi="Cambria"/>
          <w:bCs/>
          <w:sz w:val="20"/>
          <w:szCs w:val="20"/>
          <w:lang w:val="es-AR"/>
        </w:rPr>
        <w:t xml:space="preserve"> </w:t>
      </w:r>
      <w:r w:rsidR="00B80C4B" w:rsidRPr="00301847">
        <w:rPr>
          <w:rFonts w:ascii="Cambria" w:hAnsi="Cambria"/>
          <w:bCs/>
          <w:sz w:val="20"/>
          <w:szCs w:val="20"/>
          <w:lang w:val="es-AR"/>
        </w:rPr>
        <w:t xml:space="preserve">que </w:t>
      </w:r>
      <w:r w:rsidR="008A231B">
        <w:rPr>
          <w:rFonts w:ascii="Cambria" w:hAnsi="Cambria"/>
          <w:bCs/>
          <w:sz w:val="20"/>
          <w:szCs w:val="20"/>
          <w:lang w:val="es-AR"/>
        </w:rPr>
        <w:t xml:space="preserve">le </w:t>
      </w:r>
      <w:r w:rsidR="00B80C4B" w:rsidRPr="00301847">
        <w:rPr>
          <w:rFonts w:ascii="Cambria" w:hAnsi="Cambria"/>
          <w:bCs/>
          <w:sz w:val="20"/>
          <w:szCs w:val="20"/>
          <w:lang w:val="es-AR"/>
        </w:rPr>
        <w:t xml:space="preserve">fuera </w:t>
      </w:r>
      <w:r w:rsidR="003E7657" w:rsidRPr="00301847">
        <w:rPr>
          <w:rFonts w:ascii="Cambria" w:hAnsi="Cambria"/>
          <w:bCs/>
          <w:sz w:val="20"/>
          <w:szCs w:val="20"/>
          <w:lang w:val="es-AR"/>
        </w:rPr>
        <w:t>concedida en sed</w:t>
      </w:r>
      <w:r w:rsidR="002E7816" w:rsidRPr="00301847">
        <w:rPr>
          <w:rFonts w:ascii="Cambria" w:hAnsi="Cambria"/>
          <w:bCs/>
          <w:sz w:val="20"/>
          <w:szCs w:val="20"/>
          <w:lang w:val="es-AR"/>
        </w:rPr>
        <w:t>e administrativa</w:t>
      </w:r>
      <w:r w:rsidR="00B80C4B" w:rsidRPr="00301847">
        <w:rPr>
          <w:rFonts w:ascii="Cambria" w:hAnsi="Cambria"/>
          <w:bCs/>
          <w:sz w:val="20"/>
          <w:szCs w:val="20"/>
          <w:lang w:val="es-AR"/>
        </w:rPr>
        <w:t xml:space="preserve">. </w:t>
      </w:r>
      <w:r w:rsidR="00B80C4B" w:rsidRPr="00301847">
        <w:rPr>
          <w:rFonts w:ascii="Cambria" w:hAnsi="Cambria"/>
          <w:bCs/>
          <w:sz w:val="20"/>
          <w:szCs w:val="20"/>
          <w:lang w:val="es-AR"/>
        </w:rPr>
        <w:lastRenderedPageBreak/>
        <w:t>Alega que las posteriores decisiones judiciales carecieron de motivación y que se vulneró el derecho de defensa y acceso a la justicia</w:t>
      </w:r>
      <w:r w:rsidR="00301847" w:rsidRPr="00301847">
        <w:rPr>
          <w:rFonts w:ascii="Cambria" w:hAnsi="Cambria"/>
          <w:bCs/>
          <w:sz w:val="20"/>
          <w:szCs w:val="20"/>
          <w:lang w:val="es-AR"/>
        </w:rPr>
        <w:t xml:space="preserve"> </w:t>
      </w:r>
      <w:r w:rsidR="003C35BC">
        <w:rPr>
          <w:rFonts w:ascii="Cambria" w:hAnsi="Cambria"/>
          <w:bCs/>
          <w:sz w:val="20"/>
          <w:szCs w:val="20"/>
          <w:lang w:val="es-AR"/>
        </w:rPr>
        <w:t>con su consecuente afectación a sus servicios sociales</w:t>
      </w:r>
      <w:r w:rsidR="007D7869">
        <w:rPr>
          <w:rFonts w:ascii="Cambria" w:hAnsi="Cambria"/>
          <w:bCs/>
          <w:sz w:val="20"/>
          <w:szCs w:val="20"/>
          <w:lang w:val="es-AR"/>
        </w:rPr>
        <w:t>.</w:t>
      </w:r>
      <w:r w:rsidR="00842647">
        <w:rPr>
          <w:rFonts w:ascii="Cambria" w:hAnsi="Cambria"/>
          <w:bCs/>
          <w:sz w:val="20"/>
          <w:szCs w:val="20"/>
          <w:lang w:val="es-AR"/>
        </w:rPr>
        <w:t xml:space="preserve"> </w:t>
      </w:r>
    </w:p>
    <w:p w14:paraId="34C4F4E4" w14:textId="4B94D8B9" w:rsidR="007D7869" w:rsidRDefault="00FE1A5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A</w:t>
      </w:r>
      <w:r w:rsidR="005B6772">
        <w:rPr>
          <w:rFonts w:ascii="Cambria" w:hAnsi="Cambria"/>
          <w:sz w:val="20"/>
          <w:szCs w:val="20"/>
          <w:lang w:val="es-AR"/>
        </w:rPr>
        <w:t xml:space="preserve">lega que el Sr. Meneses prestó sus servicios en la empresa pública Cadafe y en el Instituto </w:t>
      </w:r>
      <w:r w:rsidR="00CD0B3B">
        <w:rPr>
          <w:rFonts w:ascii="Cambria" w:hAnsi="Cambria"/>
          <w:sz w:val="20"/>
          <w:szCs w:val="20"/>
          <w:lang w:val="es-AR"/>
        </w:rPr>
        <w:t xml:space="preserve">de </w:t>
      </w:r>
      <w:r w:rsidR="00C400C3">
        <w:rPr>
          <w:rFonts w:ascii="Cambria" w:hAnsi="Cambria"/>
          <w:sz w:val="20"/>
          <w:szCs w:val="20"/>
          <w:lang w:val="es-AR"/>
        </w:rPr>
        <w:t>Beneficencia</w:t>
      </w:r>
      <w:r w:rsidR="00CD0B3B">
        <w:rPr>
          <w:rFonts w:ascii="Cambria" w:hAnsi="Cambria"/>
          <w:sz w:val="20"/>
          <w:szCs w:val="20"/>
          <w:lang w:val="es-AR"/>
        </w:rPr>
        <w:t xml:space="preserve"> y Bienestar Social del Estado de Táchir</w:t>
      </w:r>
      <w:r w:rsidR="009159C7">
        <w:rPr>
          <w:rFonts w:ascii="Cambria" w:hAnsi="Cambria"/>
          <w:sz w:val="20"/>
          <w:szCs w:val="20"/>
          <w:lang w:val="es-AR"/>
        </w:rPr>
        <w:t>a, desde el 16 de julio de</w:t>
      </w:r>
      <w:r w:rsidR="00CD0B3B">
        <w:rPr>
          <w:rFonts w:ascii="Cambria" w:hAnsi="Cambria"/>
          <w:sz w:val="20"/>
          <w:szCs w:val="20"/>
          <w:lang w:val="es-AR"/>
        </w:rPr>
        <w:t xml:space="preserve"> 1961, hasta el 17 de julio de 2000 desempeñando el carg</w:t>
      </w:r>
      <w:r w:rsidR="00306133">
        <w:rPr>
          <w:rFonts w:ascii="Cambria" w:hAnsi="Cambria"/>
          <w:sz w:val="20"/>
          <w:szCs w:val="20"/>
          <w:lang w:val="es-AR"/>
        </w:rPr>
        <w:t xml:space="preserve">o de Gerente General. En fecha </w:t>
      </w:r>
      <w:r w:rsidR="00CD0B3B">
        <w:rPr>
          <w:rFonts w:ascii="Cambria" w:hAnsi="Cambria"/>
          <w:sz w:val="20"/>
          <w:szCs w:val="20"/>
          <w:lang w:val="es-AR"/>
        </w:rPr>
        <w:t>1 de Junio de 2000</w:t>
      </w:r>
      <w:r w:rsidR="009159C7">
        <w:rPr>
          <w:rFonts w:ascii="Cambria" w:hAnsi="Cambria"/>
          <w:sz w:val="20"/>
          <w:szCs w:val="20"/>
          <w:lang w:val="es-AR"/>
        </w:rPr>
        <w:t xml:space="preserve">, la presunta víctima </w:t>
      </w:r>
      <w:r w:rsidR="00306133">
        <w:rPr>
          <w:rFonts w:ascii="Cambria" w:hAnsi="Cambria"/>
          <w:sz w:val="20"/>
          <w:szCs w:val="20"/>
          <w:lang w:val="es-AR"/>
        </w:rPr>
        <w:t>solicitó</w:t>
      </w:r>
      <w:r w:rsidR="009159C7">
        <w:rPr>
          <w:rFonts w:ascii="Cambria" w:hAnsi="Cambria"/>
          <w:sz w:val="20"/>
          <w:szCs w:val="20"/>
          <w:lang w:val="es-AR"/>
        </w:rPr>
        <w:t xml:space="preserve"> al Directorio del Instituto de Beneficencia Pública y Bienestar Social del Estado de Táchira</w:t>
      </w:r>
      <w:r>
        <w:rPr>
          <w:rFonts w:ascii="Cambria" w:hAnsi="Cambria"/>
          <w:sz w:val="20"/>
          <w:szCs w:val="20"/>
          <w:lang w:val="es-AR"/>
        </w:rPr>
        <w:t xml:space="preserve"> (en adelante “Directorio del Instituto”)</w:t>
      </w:r>
      <w:r w:rsidR="009159C7">
        <w:rPr>
          <w:rFonts w:ascii="Cambria" w:hAnsi="Cambria"/>
          <w:sz w:val="20"/>
          <w:szCs w:val="20"/>
          <w:lang w:val="es-AR"/>
        </w:rPr>
        <w:t xml:space="preserve"> el</w:t>
      </w:r>
      <w:r w:rsidR="004514BF">
        <w:rPr>
          <w:rFonts w:ascii="Cambria" w:hAnsi="Cambria"/>
          <w:sz w:val="20"/>
          <w:szCs w:val="20"/>
          <w:lang w:val="es-AR"/>
        </w:rPr>
        <w:t xml:space="preserve"> </w:t>
      </w:r>
      <w:r w:rsidR="009159C7">
        <w:rPr>
          <w:rFonts w:ascii="Cambria" w:hAnsi="Cambria"/>
          <w:sz w:val="20"/>
          <w:szCs w:val="20"/>
          <w:lang w:val="es-AR"/>
        </w:rPr>
        <w:t xml:space="preserve">otorgamiento de su jubilación </w:t>
      </w:r>
      <w:r w:rsidR="007D531D">
        <w:rPr>
          <w:rFonts w:ascii="Cambria" w:hAnsi="Cambria"/>
          <w:sz w:val="20"/>
          <w:szCs w:val="20"/>
          <w:lang w:val="es-AR"/>
        </w:rPr>
        <w:t xml:space="preserve">cumpliendo </w:t>
      </w:r>
      <w:r w:rsidR="00C26A67">
        <w:rPr>
          <w:rFonts w:ascii="Cambria" w:hAnsi="Cambria"/>
          <w:sz w:val="20"/>
          <w:szCs w:val="20"/>
          <w:lang w:val="es-AR"/>
        </w:rPr>
        <w:t xml:space="preserve">con </w:t>
      </w:r>
      <w:r w:rsidR="007D531D">
        <w:rPr>
          <w:rFonts w:ascii="Cambria" w:hAnsi="Cambria"/>
          <w:sz w:val="20"/>
          <w:szCs w:val="20"/>
          <w:lang w:val="es-AR"/>
        </w:rPr>
        <w:t xml:space="preserve">lo establecido en la Constitución de la República Bolivariana de Venezuela y en la ley del Estatuto sobre el Régimen de Jubilaciones y Pensiones de los Funcionarios o Empleados de la Administración Pública Nacional, de los Estados y Municipios. </w:t>
      </w:r>
      <w:r w:rsidR="00BF6086">
        <w:rPr>
          <w:rFonts w:ascii="Cambria" w:hAnsi="Cambria"/>
          <w:sz w:val="20"/>
          <w:szCs w:val="20"/>
          <w:lang w:val="es-AR"/>
        </w:rPr>
        <w:t xml:space="preserve"> El 17 de julio de 2</w:t>
      </w:r>
      <w:r>
        <w:rPr>
          <w:rFonts w:ascii="Cambria" w:hAnsi="Cambria"/>
          <w:sz w:val="20"/>
          <w:szCs w:val="20"/>
          <w:lang w:val="es-AR"/>
        </w:rPr>
        <w:t>000 el Directorio del Instituto</w:t>
      </w:r>
      <w:r w:rsidR="00BF6086">
        <w:rPr>
          <w:rFonts w:ascii="Cambria" w:hAnsi="Cambria"/>
          <w:sz w:val="20"/>
          <w:szCs w:val="20"/>
          <w:lang w:val="es-AR"/>
        </w:rPr>
        <w:t>, en reuni</w:t>
      </w:r>
      <w:r>
        <w:rPr>
          <w:rFonts w:ascii="Cambria" w:hAnsi="Cambria"/>
          <w:sz w:val="20"/>
          <w:szCs w:val="20"/>
          <w:lang w:val="es-AR"/>
        </w:rPr>
        <w:t>ón extraordinaria N°096, aprobó</w:t>
      </w:r>
      <w:r w:rsidR="00BF6086">
        <w:rPr>
          <w:rFonts w:ascii="Cambria" w:hAnsi="Cambria"/>
          <w:sz w:val="20"/>
          <w:szCs w:val="20"/>
          <w:lang w:val="es-AR"/>
        </w:rPr>
        <w:t xml:space="preserve"> otorgarle el Beneficio de la Jubilación, de conformidad con la ley </w:t>
      </w:r>
      <w:r>
        <w:rPr>
          <w:rFonts w:ascii="Cambria" w:hAnsi="Cambria"/>
          <w:sz w:val="20"/>
          <w:szCs w:val="20"/>
          <w:lang w:val="es-AR"/>
        </w:rPr>
        <w:t>d</w:t>
      </w:r>
      <w:r w:rsidR="00BF6086">
        <w:rPr>
          <w:rFonts w:ascii="Cambria" w:hAnsi="Cambria"/>
          <w:sz w:val="20"/>
          <w:szCs w:val="20"/>
          <w:lang w:val="es-AR"/>
        </w:rPr>
        <w:t xml:space="preserve">el Estatuto sobre el Régimen </w:t>
      </w:r>
      <w:r w:rsidR="00145938">
        <w:rPr>
          <w:rFonts w:ascii="Cambria" w:hAnsi="Cambria"/>
          <w:sz w:val="20"/>
          <w:szCs w:val="20"/>
          <w:lang w:val="es-AR"/>
        </w:rPr>
        <w:t>de Jubilaciones en un monto de más de 14.000.000 de bolívares que con la reconversión monetaria ocurrida en Venezuela, quedaría en más de 14000 bolívares (70%</w:t>
      </w:r>
      <w:r w:rsidR="00DE5CEF">
        <w:rPr>
          <w:rFonts w:ascii="Cambria" w:hAnsi="Cambria"/>
          <w:sz w:val="20"/>
          <w:szCs w:val="20"/>
          <w:lang w:val="es-AR"/>
        </w:rPr>
        <w:t xml:space="preserve"> del sueldo promedio), sueldo que debía </w:t>
      </w:r>
      <w:r w:rsidR="00E757B6">
        <w:rPr>
          <w:rFonts w:ascii="Cambria" w:hAnsi="Cambria"/>
          <w:sz w:val="20"/>
          <w:szCs w:val="20"/>
          <w:lang w:val="es-AR"/>
        </w:rPr>
        <w:t xml:space="preserve">empezar a percibir a partir del momento en que fuese designado el nuevo gerente general. </w:t>
      </w:r>
    </w:p>
    <w:p w14:paraId="3410AE7F" w14:textId="161CBA7E" w:rsidR="00AD26E3" w:rsidRDefault="00C26A67" w:rsidP="009237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Indica que e</w:t>
      </w:r>
      <w:r w:rsidR="00DE5CEF">
        <w:rPr>
          <w:rFonts w:ascii="Cambria" w:hAnsi="Cambria"/>
          <w:sz w:val="20"/>
          <w:szCs w:val="20"/>
          <w:lang w:val="es-AR"/>
        </w:rPr>
        <w:t>l</w:t>
      </w:r>
      <w:r w:rsidR="00E757B6">
        <w:rPr>
          <w:rFonts w:ascii="Cambria" w:hAnsi="Cambria"/>
          <w:sz w:val="20"/>
          <w:szCs w:val="20"/>
          <w:lang w:val="es-AR"/>
        </w:rPr>
        <w:t xml:space="preserve"> 13 de </w:t>
      </w:r>
      <w:r>
        <w:rPr>
          <w:rFonts w:ascii="Cambria" w:hAnsi="Cambria"/>
          <w:sz w:val="20"/>
          <w:szCs w:val="20"/>
          <w:lang w:val="es-AR"/>
        </w:rPr>
        <w:t>o</w:t>
      </w:r>
      <w:r w:rsidR="00E757B6">
        <w:rPr>
          <w:rFonts w:ascii="Cambria" w:hAnsi="Cambria"/>
          <w:sz w:val="20"/>
          <w:szCs w:val="20"/>
          <w:lang w:val="es-AR"/>
        </w:rPr>
        <w:t>ctubre de 2000, el Directorio del Instituto, nombr</w:t>
      </w:r>
      <w:r w:rsidR="00306133">
        <w:rPr>
          <w:rFonts w:ascii="Cambria" w:hAnsi="Cambria"/>
          <w:sz w:val="20"/>
          <w:szCs w:val="20"/>
          <w:lang w:val="es-AR"/>
        </w:rPr>
        <w:t>ó</w:t>
      </w:r>
      <w:r w:rsidR="00E757B6">
        <w:rPr>
          <w:rFonts w:ascii="Cambria" w:hAnsi="Cambria"/>
          <w:sz w:val="20"/>
          <w:szCs w:val="20"/>
          <w:lang w:val="es-AR"/>
        </w:rPr>
        <w:t xml:space="preserve"> el nuevo gerente </w:t>
      </w:r>
      <w:r w:rsidR="007A4969">
        <w:rPr>
          <w:rFonts w:ascii="Cambria" w:hAnsi="Cambria"/>
          <w:sz w:val="20"/>
          <w:szCs w:val="20"/>
          <w:lang w:val="es-AR"/>
        </w:rPr>
        <w:t>general,</w:t>
      </w:r>
      <w:r w:rsidR="00E757B6">
        <w:rPr>
          <w:rFonts w:ascii="Cambria" w:hAnsi="Cambria"/>
          <w:sz w:val="20"/>
          <w:szCs w:val="20"/>
          <w:lang w:val="es-AR"/>
        </w:rPr>
        <w:t xml:space="preserve"> pero las nuevas autoridades del Directorio, no tomaron en cuenta el beneficio de jubilación </w:t>
      </w:r>
      <w:r>
        <w:rPr>
          <w:rFonts w:ascii="Cambria" w:hAnsi="Cambria"/>
          <w:sz w:val="20"/>
          <w:szCs w:val="20"/>
          <w:lang w:val="es-AR"/>
        </w:rPr>
        <w:t>otorgado además de no incluirlo</w:t>
      </w:r>
      <w:r w:rsidR="00E757B6">
        <w:rPr>
          <w:rFonts w:ascii="Cambria" w:hAnsi="Cambria"/>
          <w:sz w:val="20"/>
          <w:szCs w:val="20"/>
          <w:lang w:val="es-AR"/>
        </w:rPr>
        <w:t xml:space="preserve"> e</w:t>
      </w:r>
      <w:r w:rsidR="00923791">
        <w:rPr>
          <w:rFonts w:ascii="Cambria" w:hAnsi="Cambria"/>
          <w:sz w:val="20"/>
          <w:szCs w:val="20"/>
          <w:lang w:val="es-AR"/>
        </w:rPr>
        <w:t>n la nómina de jubilados</w:t>
      </w:r>
      <w:r w:rsidR="00FE1A54">
        <w:rPr>
          <w:rFonts w:ascii="Cambria" w:hAnsi="Cambria"/>
          <w:sz w:val="20"/>
          <w:szCs w:val="20"/>
          <w:lang w:val="es-AR"/>
        </w:rPr>
        <w:t xml:space="preserve"> por lo cual </w:t>
      </w:r>
      <w:r w:rsidR="00923791">
        <w:rPr>
          <w:rFonts w:ascii="Cambria" w:hAnsi="Cambria"/>
          <w:sz w:val="20"/>
          <w:szCs w:val="20"/>
          <w:lang w:val="es-AR"/>
        </w:rPr>
        <w:t xml:space="preserve">la presunta </w:t>
      </w:r>
      <w:r w:rsidR="00AD26E3">
        <w:rPr>
          <w:rFonts w:ascii="Cambria" w:hAnsi="Cambria"/>
          <w:sz w:val="20"/>
          <w:szCs w:val="20"/>
          <w:lang w:val="es-AR"/>
        </w:rPr>
        <w:t>víctima realizó l</w:t>
      </w:r>
      <w:r w:rsidR="00306133">
        <w:rPr>
          <w:rFonts w:ascii="Cambria" w:hAnsi="Cambria"/>
          <w:sz w:val="20"/>
          <w:szCs w:val="20"/>
          <w:lang w:val="es-AR"/>
        </w:rPr>
        <w:t>as</w:t>
      </w:r>
      <w:r w:rsidR="00AD26E3">
        <w:rPr>
          <w:rFonts w:ascii="Cambria" w:hAnsi="Cambria"/>
          <w:sz w:val="20"/>
          <w:szCs w:val="20"/>
          <w:lang w:val="es-AR"/>
        </w:rPr>
        <w:t xml:space="preserve"> </w:t>
      </w:r>
      <w:r w:rsidR="00306133">
        <w:rPr>
          <w:rFonts w:ascii="Cambria" w:hAnsi="Cambria"/>
          <w:sz w:val="20"/>
          <w:szCs w:val="20"/>
          <w:lang w:val="es-AR"/>
        </w:rPr>
        <w:t>solicitudes</w:t>
      </w:r>
      <w:r w:rsidR="00AD26E3">
        <w:rPr>
          <w:rFonts w:ascii="Cambria" w:hAnsi="Cambria"/>
          <w:sz w:val="20"/>
          <w:szCs w:val="20"/>
          <w:lang w:val="es-AR"/>
        </w:rPr>
        <w:t xml:space="preserve"> de pago </w:t>
      </w:r>
      <w:r w:rsidR="00FE1A54">
        <w:rPr>
          <w:rFonts w:ascii="Cambria" w:hAnsi="Cambria"/>
          <w:sz w:val="20"/>
          <w:szCs w:val="20"/>
          <w:lang w:val="es-AR"/>
        </w:rPr>
        <w:t>a</w:t>
      </w:r>
      <w:r w:rsidR="00AD26E3">
        <w:rPr>
          <w:rFonts w:ascii="Cambria" w:hAnsi="Cambria"/>
          <w:sz w:val="20"/>
          <w:szCs w:val="20"/>
          <w:lang w:val="es-AR"/>
        </w:rPr>
        <w:t xml:space="preserve"> las nuevas autoridades</w:t>
      </w:r>
      <w:r w:rsidR="00FE1A54">
        <w:rPr>
          <w:rFonts w:ascii="Cambria" w:hAnsi="Cambria"/>
          <w:sz w:val="20"/>
          <w:szCs w:val="20"/>
          <w:lang w:val="es-AR"/>
        </w:rPr>
        <w:t>, sin recibir respuesta</w:t>
      </w:r>
      <w:r w:rsidR="00AD26E3">
        <w:rPr>
          <w:rFonts w:ascii="Cambria" w:hAnsi="Cambria"/>
          <w:sz w:val="20"/>
          <w:szCs w:val="20"/>
          <w:lang w:val="es-AR"/>
        </w:rPr>
        <w:t>.</w:t>
      </w:r>
    </w:p>
    <w:p w14:paraId="031DE5BF" w14:textId="4BCAFBF1" w:rsidR="00842647" w:rsidRDefault="00AD26E3" w:rsidP="002E78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FE1A54">
        <w:rPr>
          <w:rFonts w:ascii="Cambria" w:hAnsi="Cambria"/>
          <w:sz w:val="20"/>
          <w:szCs w:val="20"/>
          <w:lang w:val="es-AR"/>
        </w:rPr>
        <w:t>l</w:t>
      </w:r>
      <w:r w:rsidR="00A47550">
        <w:rPr>
          <w:rFonts w:ascii="Cambria" w:hAnsi="Cambria"/>
          <w:sz w:val="20"/>
          <w:szCs w:val="20"/>
          <w:lang w:val="es-AR"/>
        </w:rPr>
        <w:t xml:space="preserve"> 24 de </w:t>
      </w:r>
      <w:r w:rsidR="00FE1A54">
        <w:rPr>
          <w:rFonts w:ascii="Cambria" w:hAnsi="Cambria"/>
          <w:sz w:val="20"/>
          <w:szCs w:val="20"/>
          <w:lang w:val="es-AR"/>
        </w:rPr>
        <w:t>a</w:t>
      </w:r>
      <w:r w:rsidR="00A47550">
        <w:rPr>
          <w:rFonts w:ascii="Cambria" w:hAnsi="Cambria"/>
          <w:sz w:val="20"/>
          <w:szCs w:val="20"/>
          <w:lang w:val="es-AR"/>
        </w:rPr>
        <w:t>bril de 2001, el nuevo Directorio del Instituto</w:t>
      </w:r>
      <w:r w:rsidR="0026417E">
        <w:rPr>
          <w:rFonts w:ascii="Cambria" w:hAnsi="Cambria"/>
          <w:sz w:val="20"/>
          <w:szCs w:val="20"/>
          <w:lang w:val="es-AR"/>
        </w:rPr>
        <w:t>, public</w:t>
      </w:r>
      <w:r w:rsidR="00306133">
        <w:rPr>
          <w:rFonts w:ascii="Cambria" w:hAnsi="Cambria"/>
          <w:sz w:val="20"/>
          <w:szCs w:val="20"/>
          <w:lang w:val="es-AR"/>
        </w:rPr>
        <w:t>ó</w:t>
      </w:r>
      <w:r w:rsidR="00C26A67">
        <w:rPr>
          <w:rFonts w:ascii="Cambria" w:hAnsi="Cambria"/>
          <w:sz w:val="20"/>
          <w:szCs w:val="20"/>
          <w:lang w:val="es-AR"/>
        </w:rPr>
        <w:t>, en el periódico “Diario la Nación”,</w:t>
      </w:r>
      <w:r w:rsidR="0026417E">
        <w:rPr>
          <w:rFonts w:ascii="Cambria" w:hAnsi="Cambria"/>
          <w:sz w:val="20"/>
          <w:szCs w:val="20"/>
          <w:lang w:val="es-AR"/>
        </w:rPr>
        <w:t xml:space="preserve"> la resolución N°7, </w:t>
      </w:r>
      <w:r w:rsidR="00FE1A54">
        <w:rPr>
          <w:rFonts w:ascii="Cambria" w:hAnsi="Cambria"/>
          <w:sz w:val="20"/>
          <w:szCs w:val="20"/>
          <w:lang w:val="es-AR"/>
        </w:rPr>
        <w:t>de</w:t>
      </w:r>
      <w:r w:rsidR="0026417E">
        <w:rPr>
          <w:rFonts w:ascii="Cambria" w:hAnsi="Cambria"/>
          <w:sz w:val="20"/>
          <w:szCs w:val="20"/>
          <w:lang w:val="es-AR"/>
        </w:rPr>
        <w:t xml:space="preserve"> 22 de marzo de 2001</w:t>
      </w:r>
      <w:r w:rsidR="00AF5B07">
        <w:rPr>
          <w:rFonts w:ascii="Cambria" w:hAnsi="Cambria"/>
          <w:sz w:val="20"/>
          <w:szCs w:val="20"/>
          <w:lang w:val="es-AR"/>
        </w:rPr>
        <w:t xml:space="preserve"> donde le not</w:t>
      </w:r>
      <w:r w:rsidR="0026417E">
        <w:rPr>
          <w:rFonts w:ascii="Cambria" w:hAnsi="Cambria"/>
          <w:sz w:val="20"/>
          <w:szCs w:val="20"/>
          <w:lang w:val="es-AR"/>
        </w:rPr>
        <w:t>ifican a</w:t>
      </w:r>
      <w:r w:rsidR="00FE1A54">
        <w:rPr>
          <w:rFonts w:ascii="Cambria" w:hAnsi="Cambria"/>
          <w:sz w:val="20"/>
          <w:szCs w:val="20"/>
          <w:lang w:val="es-AR"/>
        </w:rPr>
        <w:t xml:space="preserve"> la presunta víctima</w:t>
      </w:r>
      <w:r w:rsidR="0026417E">
        <w:rPr>
          <w:rFonts w:ascii="Cambria" w:hAnsi="Cambria"/>
          <w:sz w:val="20"/>
          <w:szCs w:val="20"/>
          <w:lang w:val="es-AR"/>
        </w:rPr>
        <w:t>, que por un error de cálculo se corregía</w:t>
      </w:r>
      <w:r w:rsidR="00AF5B07">
        <w:rPr>
          <w:rFonts w:ascii="Cambria" w:hAnsi="Cambria"/>
          <w:sz w:val="20"/>
          <w:szCs w:val="20"/>
          <w:lang w:val="es-AR"/>
        </w:rPr>
        <w:t xml:space="preserve"> </w:t>
      </w:r>
      <w:r w:rsidR="00177757">
        <w:rPr>
          <w:rFonts w:ascii="Cambria" w:hAnsi="Cambria"/>
          <w:sz w:val="20"/>
          <w:szCs w:val="20"/>
          <w:lang w:val="es-AR"/>
        </w:rPr>
        <w:t xml:space="preserve">el monto original de su jubilación </w:t>
      </w:r>
      <w:r w:rsidR="00FE1A54">
        <w:rPr>
          <w:rFonts w:ascii="Cambria" w:hAnsi="Cambria"/>
          <w:sz w:val="20"/>
          <w:szCs w:val="20"/>
          <w:lang w:val="es-AR"/>
        </w:rPr>
        <w:t>quedando en</w:t>
      </w:r>
      <w:r w:rsidR="00177757">
        <w:rPr>
          <w:rFonts w:ascii="Cambria" w:hAnsi="Cambria"/>
          <w:sz w:val="20"/>
          <w:szCs w:val="20"/>
          <w:lang w:val="es-AR"/>
        </w:rPr>
        <w:t xml:space="preserve"> 75000 bolívares (tras la revalorización, más de 75 bolívares).</w:t>
      </w:r>
      <w:r w:rsidR="005F4C59">
        <w:rPr>
          <w:rFonts w:ascii="Cambria" w:hAnsi="Cambria"/>
          <w:sz w:val="20"/>
          <w:szCs w:val="20"/>
          <w:lang w:val="es-AR"/>
        </w:rPr>
        <w:t xml:space="preserve"> </w:t>
      </w:r>
      <w:r w:rsidR="003C35BC">
        <w:rPr>
          <w:rFonts w:ascii="Cambria" w:hAnsi="Cambria"/>
          <w:sz w:val="20"/>
          <w:szCs w:val="20"/>
          <w:lang w:val="es-AR"/>
        </w:rPr>
        <w:t>La parte peticionaria a</w:t>
      </w:r>
      <w:r w:rsidR="00842647">
        <w:rPr>
          <w:rFonts w:ascii="Cambria" w:hAnsi="Cambria"/>
          <w:sz w:val="20"/>
          <w:szCs w:val="20"/>
          <w:lang w:val="es-AR"/>
        </w:rPr>
        <w:t xml:space="preserve">duce </w:t>
      </w:r>
      <w:r w:rsidR="003C35BC">
        <w:rPr>
          <w:rFonts w:ascii="Cambria" w:hAnsi="Cambria"/>
          <w:sz w:val="20"/>
          <w:szCs w:val="20"/>
          <w:lang w:val="es-AR"/>
        </w:rPr>
        <w:t xml:space="preserve">que, conforme con la Ley Orgánica de Procedimiento Administrativo, </w:t>
      </w:r>
      <w:r w:rsidR="00842647">
        <w:rPr>
          <w:rFonts w:ascii="Cambria" w:hAnsi="Cambria"/>
          <w:sz w:val="20"/>
          <w:szCs w:val="20"/>
          <w:lang w:val="es-AR"/>
        </w:rPr>
        <w:t>le correspondía a las autoridades del Instituto de Beneficencia Pública y Bienestar Social abrir en vía administrativa uno de los procedimientos establecidos en la ley, ya sea el Procedimiento Ordinario o el Procedimiento Sumario, que le permitiera a</w:t>
      </w:r>
      <w:r w:rsidR="003C35BC">
        <w:rPr>
          <w:rFonts w:ascii="Cambria" w:hAnsi="Cambria"/>
          <w:sz w:val="20"/>
          <w:szCs w:val="20"/>
          <w:lang w:val="es-AR"/>
        </w:rPr>
        <w:t xml:space="preserve"> </w:t>
      </w:r>
      <w:r w:rsidR="00842647">
        <w:rPr>
          <w:rFonts w:ascii="Cambria" w:hAnsi="Cambria"/>
          <w:sz w:val="20"/>
          <w:szCs w:val="20"/>
          <w:lang w:val="es-AR"/>
        </w:rPr>
        <w:t>l</w:t>
      </w:r>
      <w:r w:rsidR="003C35BC">
        <w:rPr>
          <w:rFonts w:ascii="Cambria" w:hAnsi="Cambria"/>
          <w:sz w:val="20"/>
          <w:szCs w:val="20"/>
          <w:lang w:val="es-AR"/>
        </w:rPr>
        <w:t>a</w:t>
      </w:r>
      <w:r w:rsidR="00842647">
        <w:rPr>
          <w:rFonts w:ascii="Cambria" w:hAnsi="Cambria"/>
          <w:sz w:val="20"/>
          <w:szCs w:val="20"/>
          <w:lang w:val="es-AR"/>
        </w:rPr>
        <w:t xml:space="preserve"> </w:t>
      </w:r>
      <w:r w:rsidR="003C35BC">
        <w:rPr>
          <w:rFonts w:ascii="Cambria" w:hAnsi="Cambria"/>
          <w:sz w:val="20"/>
          <w:szCs w:val="20"/>
          <w:lang w:val="es-AR"/>
        </w:rPr>
        <w:t xml:space="preserve">presunta víctima, </w:t>
      </w:r>
      <w:r w:rsidR="00842647">
        <w:rPr>
          <w:rFonts w:ascii="Cambria" w:hAnsi="Cambria"/>
          <w:sz w:val="20"/>
          <w:szCs w:val="20"/>
          <w:lang w:val="es-AR"/>
        </w:rPr>
        <w:t xml:space="preserve">por la rebaja del monto de </w:t>
      </w:r>
      <w:r w:rsidR="003C35BC">
        <w:rPr>
          <w:rFonts w:ascii="Cambria" w:hAnsi="Cambria"/>
          <w:sz w:val="20"/>
          <w:szCs w:val="20"/>
          <w:lang w:val="es-AR"/>
        </w:rPr>
        <w:t xml:space="preserve">su </w:t>
      </w:r>
      <w:r w:rsidR="00842647">
        <w:rPr>
          <w:rFonts w:ascii="Cambria" w:hAnsi="Cambria"/>
          <w:sz w:val="20"/>
          <w:szCs w:val="20"/>
          <w:lang w:val="es-AR"/>
        </w:rPr>
        <w:t>jubilación, exponer sus argumentos de hecho y de derecho. Indica que al no permitir</w:t>
      </w:r>
      <w:r w:rsidR="003C35BC">
        <w:rPr>
          <w:rFonts w:ascii="Cambria" w:hAnsi="Cambria"/>
          <w:sz w:val="20"/>
          <w:szCs w:val="20"/>
          <w:lang w:val="es-AR"/>
        </w:rPr>
        <w:t>le</w:t>
      </w:r>
      <w:r w:rsidR="00842647">
        <w:rPr>
          <w:rFonts w:ascii="Cambria" w:hAnsi="Cambria"/>
          <w:sz w:val="20"/>
          <w:szCs w:val="20"/>
          <w:lang w:val="es-AR"/>
        </w:rPr>
        <w:t xml:space="preserve"> su participación en el Procedimiento Administrativo, el Estado venezolano violent</w:t>
      </w:r>
      <w:r w:rsidR="00306133">
        <w:rPr>
          <w:rFonts w:ascii="Cambria" w:hAnsi="Cambria"/>
          <w:sz w:val="20"/>
          <w:szCs w:val="20"/>
          <w:lang w:val="es-AR"/>
        </w:rPr>
        <w:t>ó</w:t>
      </w:r>
      <w:r w:rsidR="00842647">
        <w:rPr>
          <w:rFonts w:ascii="Cambria" w:hAnsi="Cambria"/>
          <w:sz w:val="20"/>
          <w:szCs w:val="20"/>
          <w:lang w:val="es-AR"/>
        </w:rPr>
        <w:t xml:space="preserve"> su derecho a la defensa y al debido proceso</w:t>
      </w:r>
      <w:r w:rsidR="003C35BC" w:rsidRPr="003C35BC">
        <w:rPr>
          <w:rFonts w:ascii="Cambria" w:hAnsi="Cambria"/>
          <w:sz w:val="20"/>
          <w:szCs w:val="20"/>
          <w:lang w:val="es-AR"/>
        </w:rPr>
        <w:t xml:space="preserve"> </w:t>
      </w:r>
      <w:r w:rsidR="003C35BC">
        <w:rPr>
          <w:rFonts w:ascii="Cambria" w:hAnsi="Cambria"/>
          <w:sz w:val="20"/>
          <w:szCs w:val="20"/>
          <w:lang w:val="es-AR"/>
        </w:rPr>
        <w:t>respecto a la corrección del monto de su jubilación</w:t>
      </w:r>
      <w:r w:rsidR="00842647">
        <w:rPr>
          <w:rFonts w:ascii="Cambria" w:hAnsi="Cambria"/>
          <w:sz w:val="20"/>
          <w:szCs w:val="20"/>
          <w:lang w:val="es-AR"/>
        </w:rPr>
        <w:t xml:space="preserve">. </w:t>
      </w:r>
    </w:p>
    <w:p w14:paraId="772B2BE8" w14:textId="0C980C18" w:rsidR="00923791" w:rsidRDefault="005F4C59" w:rsidP="002E78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Contra esta resolución, </w:t>
      </w:r>
      <w:r w:rsidR="00FE1A54">
        <w:rPr>
          <w:rFonts w:ascii="Cambria" w:hAnsi="Cambria"/>
          <w:sz w:val="20"/>
          <w:szCs w:val="20"/>
          <w:lang w:val="es-AR"/>
        </w:rPr>
        <w:t xml:space="preserve">el 16 de noviembre de 2001 </w:t>
      </w:r>
      <w:r>
        <w:rPr>
          <w:rFonts w:ascii="Cambria" w:hAnsi="Cambria"/>
          <w:sz w:val="20"/>
          <w:szCs w:val="20"/>
          <w:lang w:val="es-AR"/>
        </w:rPr>
        <w:t>la presunta víctima ejerc</w:t>
      </w:r>
      <w:r w:rsidR="003F60C1">
        <w:rPr>
          <w:rFonts w:ascii="Cambria" w:hAnsi="Cambria"/>
          <w:sz w:val="20"/>
          <w:szCs w:val="20"/>
          <w:lang w:val="es-AR"/>
        </w:rPr>
        <w:t>ió</w:t>
      </w:r>
      <w:r>
        <w:rPr>
          <w:rFonts w:ascii="Cambria" w:hAnsi="Cambria"/>
          <w:sz w:val="20"/>
          <w:szCs w:val="20"/>
          <w:lang w:val="es-AR"/>
        </w:rPr>
        <w:t xml:space="preserve"> recurso contencioso administrativo de anulación conjuntamente con acción cautelar de amparo constitucional</w:t>
      </w:r>
      <w:r w:rsidR="00003E8D">
        <w:rPr>
          <w:rFonts w:ascii="Cambria" w:hAnsi="Cambria"/>
          <w:sz w:val="20"/>
          <w:szCs w:val="20"/>
          <w:lang w:val="es-AR"/>
        </w:rPr>
        <w:t xml:space="preserve"> </w:t>
      </w:r>
      <w:r w:rsidR="005C6FE8">
        <w:rPr>
          <w:rFonts w:ascii="Cambria" w:hAnsi="Cambria"/>
          <w:sz w:val="20"/>
          <w:szCs w:val="20"/>
          <w:lang w:val="es-AR"/>
        </w:rPr>
        <w:t>ante el Tribunal Superior Civil y Contencioso Administrativo de la Circunscripción Judicial de la Región de los Andes</w:t>
      </w:r>
      <w:r w:rsidR="00FE1A54">
        <w:rPr>
          <w:rFonts w:ascii="Cambria" w:hAnsi="Cambria"/>
          <w:sz w:val="20"/>
          <w:szCs w:val="20"/>
          <w:lang w:val="es-AR"/>
        </w:rPr>
        <w:t xml:space="preserve"> (en adelante </w:t>
      </w:r>
      <w:r w:rsidR="00FE1A54" w:rsidRPr="00FE1A54">
        <w:rPr>
          <w:rFonts w:ascii="Cambria" w:hAnsi="Cambria"/>
          <w:sz w:val="20"/>
          <w:szCs w:val="20"/>
          <w:lang w:val="es-AR"/>
        </w:rPr>
        <w:t>“T</w:t>
      </w:r>
      <w:r w:rsidR="00FE1A54">
        <w:rPr>
          <w:rFonts w:ascii="Cambria" w:hAnsi="Cambria"/>
          <w:sz w:val="20"/>
          <w:szCs w:val="20"/>
          <w:lang w:val="es-AR"/>
        </w:rPr>
        <w:t>ribunal Superior”)</w:t>
      </w:r>
      <w:r w:rsidR="005C6FE8">
        <w:rPr>
          <w:rFonts w:ascii="Cambria" w:hAnsi="Cambria"/>
          <w:sz w:val="20"/>
          <w:szCs w:val="20"/>
          <w:lang w:val="es-AR"/>
        </w:rPr>
        <w:t xml:space="preserve">, por violación al derecho a la defensa y al </w:t>
      </w:r>
      <w:r w:rsidR="005C6FE8" w:rsidRPr="00B80C4B">
        <w:rPr>
          <w:rFonts w:ascii="Cambria" w:hAnsi="Cambria"/>
          <w:sz w:val="20"/>
          <w:szCs w:val="20"/>
          <w:lang w:val="es-AR"/>
        </w:rPr>
        <w:t>debido proceso, por falta de motivación y por ausencia de notificación personal</w:t>
      </w:r>
      <w:r w:rsidR="00003E8D" w:rsidRPr="00B80C4B">
        <w:rPr>
          <w:rFonts w:ascii="Cambria" w:hAnsi="Cambria"/>
          <w:sz w:val="20"/>
          <w:szCs w:val="20"/>
          <w:lang w:val="es-AR"/>
        </w:rPr>
        <w:t xml:space="preserve">. </w:t>
      </w:r>
      <w:r w:rsidR="00C26A67" w:rsidRPr="00B80C4B">
        <w:rPr>
          <w:rFonts w:ascii="Cambria" w:hAnsi="Cambria"/>
          <w:sz w:val="20"/>
          <w:szCs w:val="20"/>
          <w:lang w:val="es-AR"/>
        </w:rPr>
        <w:t>El</w:t>
      </w:r>
      <w:r w:rsidR="00003E8D" w:rsidRPr="00B80C4B">
        <w:rPr>
          <w:rFonts w:ascii="Cambria" w:hAnsi="Cambria"/>
          <w:sz w:val="20"/>
          <w:szCs w:val="20"/>
          <w:lang w:val="es-AR"/>
        </w:rPr>
        <w:t xml:space="preserve"> 26 de septiembre de 2002,</w:t>
      </w:r>
      <w:r w:rsidR="00C26A67" w:rsidRPr="00B80C4B">
        <w:rPr>
          <w:rFonts w:ascii="Cambria" w:hAnsi="Cambria"/>
          <w:sz w:val="20"/>
          <w:szCs w:val="20"/>
          <w:lang w:val="es-AR"/>
        </w:rPr>
        <w:t xml:space="preserve"> el Tribunal Superior</w:t>
      </w:r>
      <w:r w:rsidR="00003E8D" w:rsidRPr="00B80C4B">
        <w:rPr>
          <w:rFonts w:ascii="Cambria" w:hAnsi="Cambria"/>
          <w:sz w:val="20"/>
          <w:szCs w:val="20"/>
          <w:lang w:val="es-AR"/>
        </w:rPr>
        <w:t xml:space="preserve"> declaró con lugar el recurso en conjunto con la acción cautelar de amparo constitucional</w:t>
      </w:r>
      <w:r w:rsidR="00FF451F" w:rsidRPr="00B80C4B">
        <w:rPr>
          <w:rFonts w:ascii="Cambria" w:hAnsi="Cambria"/>
          <w:sz w:val="20"/>
          <w:szCs w:val="20"/>
          <w:lang w:val="es-AR"/>
        </w:rPr>
        <w:t>,</w:t>
      </w:r>
      <w:r w:rsidR="00C52B2C" w:rsidRPr="00B80C4B">
        <w:rPr>
          <w:rFonts w:ascii="Cambria" w:hAnsi="Cambria"/>
          <w:sz w:val="20"/>
          <w:szCs w:val="20"/>
          <w:lang w:val="es-AR"/>
        </w:rPr>
        <w:t xml:space="preserve"> señalando </w:t>
      </w:r>
      <w:r w:rsidR="003D22BA" w:rsidRPr="00B80C4B">
        <w:rPr>
          <w:rFonts w:ascii="Cambria" w:hAnsi="Cambria"/>
          <w:sz w:val="20"/>
          <w:szCs w:val="20"/>
          <w:lang w:val="es-AR"/>
        </w:rPr>
        <w:t>que al tratarse de una revocación de actos creadores de derechos subjetivos, se habría vulnerado el derecho al debido proceso por efectuarse una modificaci</w:t>
      </w:r>
      <w:r w:rsidR="0071449A" w:rsidRPr="00B80C4B">
        <w:rPr>
          <w:rFonts w:ascii="Cambria" w:hAnsi="Cambria"/>
          <w:sz w:val="20"/>
          <w:szCs w:val="20"/>
          <w:lang w:val="es-AR"/>
        </w:rPr>
        <w:t>ón sin procedimiento alguno en que el afectado pudiera expresar sus alegaciones y</w:t>
      </w:r>
      <w:r w:rsidR="00FF451F" w:rsidRPr="00B80C4B">
        <w:rPr>
          <w:rFonts w:ascii="Cambria" w:hAnsi="Cambria"/>
          <w:sz w:val="20"/>
          <w:szCs w:val="20"/>
          <w:lang w:val="es-AR"/>
        </w:rPr>
        <w:t xml:space="preserve"> ordenando al Instituto </w:t>
      </w:r>
      <w:r w:rsidR="007C6709" w:rsidRPr="00B80C4B">
        <w:rPr>
          <w:rFonts w:ascii="Cambria" w:hAnsi="Cambria"/>
          <w:sz w:val="20"/>
          <w:szCs w:val="20"/>
          <w:lang w:val="es-AR"/>
        </w:rPr>
        <w:t>de Beneficencia Pública y Bienestar Social del Estado de T</w:t>
      </w:r>
      <w:r w:rsidR="007B01D2" w:rsidRPr="00B80C4B">
        <w:rPr>
          <w:rFonts w:ascii="Cambria" w:hAnsi="Cambria"/>
          <w:sz w:val="20"/>
          <w:szCs w:val="20"/>
          <w:lang w:val="es-AR"/>
        </w:rPr>
        <w:t>áchira pagar los montos de la jubilación establecidos en acto administrativo de 17 de j</w:t>
      </w:r>
      <w:r w:rsidR="00C52B2C" w:rsidRPr="00B80C4B">
        <w:rPr>
          <w:rFonts w:ascii="Cambria" w:hAnsi="Cambria"/>
          <w:sz w:val="20"/>
          <w:szCs w:val="20"/>
          <w:lang w:val="es-AR"/>
        </w:rPr>
        <w:t>ulio de 2000</w:t>
      </w:r>
      <w:r w:rsidR="0071449A" w:rsidRPr="00B80C4B">
        <w:rPr>
          <w:rFonts w:ascii="Cambria" w:hAnsi="Cambria"/>
          <w:sz w:val="20"/>
          <w:szCs w:val="20"/>
          <w:lang w:val="es-AR"/>
        </w:rPr>
        <w:t xml:space="preserve">. </w:t>
      </w:r>
      <w:r w:rsidR="002E7816" w:rsidRPr="00B80C4B">
        <w:rPr>
          <w:rFonts w:ascii="Cambria" w:hAnsi="Cambria"/>
          <w:sz w:val="20"/>
          <w:szCs w:val="20"/>
          <w:lang w:val="es-AR"/>
        </w:rPr>
        <w:t>E</w:t>
      </w:r>
      <w:r w:rsidR="00336BF1" w:rsidRPr="00B80C4B">
        <w:rPr>
          <w:rFonts w:ascii="Cambria" w:hAnsi="Cambria"/>
          <w:sz w:val="20"/>
          <w:szCs w:val="20"/>
          <w:lang w:val="es-AR"/>
        </w:rPr>
        <w:t xml:space="preserve">n fecha 23 de </w:t>
      </w:r>
      <w:r w:rsidR="002E7816" w:rsidRPr="00B80C4B">
        <w:rPr>
          <w:rFonts w:ascii="Cambria" w:hAnsi="Cambria"/>
          <w:sz w:val="20"/>
          <w:szCs w:val="20"/>
          <w:lang w:val="es-AR"/>
        </w:rPr>
        <w:t>e</w:t>
      </w:r>
      <w:r w:rsidR="00336BF1" w:rsidRPr="00B80C4B">
        <w:rPr>
          <w:rFonts w:ascii="Cambria" w:hAnsi="Cambria"/>
          <w:sz w:val="20"/>
          <w:szCs w:val="20"/>
          <w:lang w:val="es-AR"/>
        </w:rPr>
        <w:t>nero de 2003</w:t>
      </w:r>
      <w:r w:rsidR="002E7816" w:rsidRPr="00B80C4B">
        <w:rPr>
          <w:rFonts w:ascii="Cambria" w:hAnsi="Cambria"/>
          <w:sz w:val="20"/>
          <w:szCs w:val="20"/>
          <w:lang w:val="es-AR"/>
        </w:rPr>
        <w:t xml:space="preserve"> el</w:t>
      </w:r>
      <w:r w:rsidR="00336BF1" w:rsidRPr="00B80C4B">
        <w:rPr>
          <w:rFonts w:ascii="Cambria" w:hAnsi="Cambria"/>
          <w:sz w:val="20"/>
          <w:szCs w:val="20"/>
          <w:lang w:val="es-AR"/>
        </w:rPr>
        <w:t xml:space="preserve"> </w:t>
      </w:r>
      <w:r w:rsidR="00FE1A54">
        <w:rPr>
          <w:rFonts w:ascii="Cambria" w:hAnsi="Cambria"/>
          <w:sz w:val="20"/>
          <w:szCs w:val="20"/>
          <w:lang w:val="es-AR"/>
        </w:rPr>
        <w:t xml:space="preserve">mencionado </w:t>
      </w:r>
      <w:r w:rsidR="002E7816" w:rsidRPr="00B80C4B">
        <w:rPr>
          <w:rFonts w:ascii="Cambria" w:hAnsi="Cambria"/>
          <w:sz w:val="20"/>
          <w:szCs w:val="20"/>
          <w:lang w:val="es-AR"/>
        </w:rPr>
        <w:t>Instituto</w:t>
      </w:r>
      <w:r w:rsidR="00336BF1">
        <w:rPr>
          <w:rFonts w:ascii="Cambria" w:hAnsi="Cambria"/>
          <w:sz w:val="20"/>
          <w:szCs w:val="20"/>
          <w:lang w:val="es-AR"/>
        </w:rPr>
        <w:t>, env</w:t>
      </w:r>
      <w:r w:rsidR="003F60C1">
        <w:rPr>
          <w:rFonts w:ascii="Cambria" w:hAnsi="Cambria"/>
          <w:sz w:val="20"/>
          <w:szCs w:val="20"/>
          <w:lang w:val="es-AR"/>
        </w:rPr>
        <w:t>ió</w:t>
      </w:r>
      <w:r w:rsidR="002C0335">
        <w:rPr>
          <w:rFonts w:ascii="Cambria" w:hAnsi="Cambria"/>
          <w:sz w:val="20"/>
          <w:szCs w:val="20"/>
          <w:lang w:val="es-AR"/>
        </w:rPr>
        <w:t xml:space="preserve"> la sentencia, bajo el concepto de “consulta obligatoria” a las Cortes de alzada de lo Contencioso Administrativo para su revisión. El 29 de marzo de 2006, la Corte Segunda de lo Contencioso Ad</w:t>
      </w:r>
      <w:r w:rsidR="001B07DA">
        <w:rPr>
          <w:rFonts w:ascii="Cambria" w:hAnsi="Cambria"/>
          <w:sz w:val="20"/>
          <w:szCs w:val="20"/>
          <w:lang w:val="es-AR"/>
        </w:rPr>
        <w:t xml:space="preserve">ministrativo, </w:t>
      </w:r>
      <w:r w:rsidR="00852C6F">
        <w:rPr>
          <w:rFonts w:ascii="Cambria" w:hAnsi="Cambria"/>
          <w:sz w:val="20"/>
          <w:szCs w:val="20"/>
          <w:lang w:val="es-AR"/>
        </w:rPr>
        <w:t>orden</w:t>
      </w:r>
      <w:r w:rsidR="003F60C1">
        <w:rPr>
          <w:rFonts w:ascii="Cambria" w:hAnsi="Cambria"/>
          <w:sz w:val="20"/>
          <w:szCs w:val="20"/>
          <w:lang w:val="es-AR"/>
        </w:rPr>
        <w:t>ó</w:t>
      </w:r>
      <w:r w:rsidR="00852C6F">
        <w:rPr>
          <w:rFonts w:ascii="Cambria" w:hAnsi="Cambria"/>
          <w:sz w:val="20"/>
          <w:szCs w:val="20"/>
          <w:lang w:val="es-AR"/>
        </w:rPr>
        <w:t xml:space="preserve"> revocar </w:t>
      </w:r>
      <w:r w:rsidR="001B07DA">
        <w:rPr>
          <w:rFonts w:ascii="Cambria" w:hAnsi="Cambria"/>
          <w:sz w:val="20"/>
          <w:szCs w:val="20"/>
          <w:lang w:val="es-AR"/>
        </w:rPr>
        <w:t xml:space="preserve">la decisión dictada el 26 de septiembre de 2002 </w:t>
      </w:r>
      <w:r w:rsidR="00E1075E">
        <w:rPr>
          <w:rFonts w:ascii="Cambria" w:hAnsi="Cambria"/>
          <w:sz w:val="20"/>
          <w:szCs w:val="20"/>
          <w:lang w:val="es-AR"/>
        </w:rPr>
        <w:t xml:space="preserve">por el Tribunal Superior </w:t>
      </w:r>
      <w:r w:rsidR="00A35380">
        <w:rPr>
          <w:rFonts w:ascii="Cambria" w:hAnsi="Cambria"/>
          <w:sz w:val="20"/>
          <w:szCs w:val="20"/>
          <w:lang w:val="es-AR"/>
        </w:rPr>
        <w:t xml:space="preserve">aduciendo que al tratarse de una “corrección de errores materiales o de cálculo” por parte de la administración, no era preciso contar con procedimientos en el que participe el interesado ya que sus derechos subjetivos no se verían afectados. Esta resolución </w:t>
      </w:r>
      <w:r w:rsidR="00E1075E">
        <w:rPr>
          <w:rFonts w:ascii="Cambria" w:hAnsi="Cambria"/>
          <w:sz w:val="20"/>
          <w:szCs w:val="20"/>
          <w:lang w:val="es-AR"/>
        </w:rPr>
        <w:t xml:space="preserve">fue </w:t>
      </w:r>
      <w:r w:rsidR="00A35380">
        <w:rPr>
          <w:rFonts w:ascii="Cambria" w:hAnsi="Cambria"/>
          <w:sz w:val="20"/>
          <w:szCs w:val="20"/>
          <w:lang w:val="es-AR"/>
        </w:rPr>
        <w:t>notifica el 2 de mayo de 2006</w:t>
      </w:r>
      <w:r w:rsidR="000C3889">
        <w:rPr>
          <w:rFonts w:ascii="Cambria" w:hAnsi="Cambria"/>
          <w:sz w:val="20"/>
          <w:szCs w:val="20"/>
          <w:lang w:val="es-AR"/>
        </w:rPr>
        <w:t>.</w:t>
      </w:r>
      <w:r w:rsidR="00842647">
        <w:rPr>
          <w:rFonts w:ascii="Cambria" w:hAnsi="Cambria"/>
          <w:sz w:val="20"/>
          <w:szCs w:val="20"/>
          <w:lang w:val="es-AR"/>
        </w:rPr>
        <w:t xml:space="preserve"> </w:t>
      </w:r>
    </w:p>
    <w:p w14:paraId="34A4897E" w14:textId="348463EF" w:rsidR="00F416D2" w:rsidRDefault="003F60C1" w:rsidP="00D841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w:t>
      </w:r>
      <w:r w:rsidR="002E7816">
        <w:rPr>
          <w:rFonts w:ascii="Cambria" w:hAnsi="Cambria"/>
          <w:sz w:val="20"/>
          <w:szCs w:val="20"/>
          <w:lang w:val="es-AR"/>
        </w:rPr>
        <w:t xml:space="preserve">l 26 de </w:t>
      </w:r>
      <w:r w:rsidR="005F5CDB">
        <w:rPr>
          <w:rFonts w:ascii="Cambria" w:hAnsi="Cambria"/>
          <w:sz w:val="20"/>
          <w:szCs w:val="20"/>
          <w:lang w:val="es-AR"/>
        </w:rPr>
        <w:t>s</w:t>
      </w:r>
      <w:r w:rsidR="002E7816">
        <w:rPr>
          <w:rFonts w:ascii="Cambria" w:hAnsi="Cambria"/>
          <w:sz w:val="20"/>
          <w:szCs w:val="20"/>
          <w:lang w:val="es-AR"/>
        </w:rPr>
        <w:t xml:space="preserve">eptiembre de 2006 </w:t>
      </w:r>
      <w:r w:rsidR="005F5CDB">
        <w:rPr>
          <w:rFonts w:ascii="Cambria" w:hAnsi="Cambria"/>
          <w:sz w:val="20"/>
          <w:szCs w:val="20"/>
          <w:lang w:val="es-AR"/>
        </w:rPr>
        <w:t xml:space="preserve">la presunta víctima </w:t>
      </w:r>
      <w:r w:rsidR="00B47B2D">
        <w:rPr>
          <w:rFonts w:ascii="Cambria" w:hAnsi="Cambria"/>
          <w:sz w:val="20"/>
          <w:szCs w:val="20"/>
          <w:lang w:val="es-AR"/>
        </w:rPr>
        <w:t xml:space="preserve">ejerció Acción de Amparo Constitucional ante la </w:t>
      </w:r>
      <w:r w:rsidR="002E7816">
        <w:rPr>
          <w:rFonts w:ascii="Cambria" w:hAnsi="Cambria"/>
          <w:sz w:val="20"/>
          <w:szCs w:val="20"/>
          <w:lang w:val="es-AR"/>
        </w:rPr>
        <w:t>S</w:t>
      </w:r>
      <w:r w:rsidR="00B47B2D">
        <w:rPr>
          <w:rFonts w:ascii="Cambria" w:hAnsi="Cambria"/>
          <w:sz w:val="20"/>
          <w:szCs w:val="20"/>
          <w:lang w:val="es-AR"/>
        </w:rPr>
        <w:t>ala Constitucional del Tribunal Supremo de Justicia</w:t>
      </w:r>
      <w:r w:rsidR="005F5CDB">
        <w:rPr>
          <w:rFonts w:ascii="Cambria" w:hAnsi="Cambria"/>
          <w:sz w:val="20"/>
          <w:szCs w:val="20"/>
          <w:lang w:val="es-AR"/>
        </w:rPr>
        <w:t xml:space="preserve"> (en adelante, “Sala Constitucional”)</w:t>
      </w:r>
      <w:r w:rsidR="002E7816">
        <w:rPr>
          <w:rFonts w:ascii="Cambria" w:hAnsi="Cambria"/>
          <w:sz w:val="20"/>
          <w:szCs w:val="20"/>
          <w:lang w:val="es-AR"/>
        </w:rPr>
        <w:t xml:space="preserve">. </w:t>
      </w:r>
      <w:r w:rsidR="00F40594">
        <w:rPr>
          <w:rFonts w:ascii="Cambria" w:hAnsi="Cambria"/>
          <w:sz w:val="20"/>
          <w:szCs w:val="20"/>
          <w:lang w:val="es-AR"/>
        </w:rPr>
        <w:t xml:space="preserve">El 8 de mayo de 2007 la Sala Constitucional mediante decisión No. </w:t>
      </w:r>
      <w:r w:rsidR="005F5CDB">
        <w:rPr>
          <w:rFonts w:ascii="Cambria" w:hAnsi="Cambria"/>
          <w:sz w:val="20"/>
          <w:szCs w:val="20"/>
          <w:lang w:val="es-AR"/>
        </w:rPr>
        <w:t>868 admit</w:t>
      </w:r>
      <w:r>
        <w:rPr>
          <w:rFonts w:ascii="Cambria" w:hAnsi="Cambria"/>
          <w:sz w:val="20"/>
          <w:szCs w:val="20"/>
          <w:lang w:val="es-AR"/>
        </w:rPr>
        <w:t>ió</w:t>
      </w:r>
      <w:r w:rsidR="005F5CDB">
        <w:rPr>
          <w:rFonts w:ascii="Cambria" w:hAnsi="Cambria"/>
          <w:sz w:val="20"/>
          <w:szCs w:val="20"/>
          <w:lang w:val="es-AR"/>
        </w:rPr>
        <w:t xml:space="preserve"> la acción de amparo y el </w:t>
      </w:r>
      <w:r w:rsidR="002E7816">
        <w:rPr>
          <w:rFonts w:ascii="Cambria" w:hAnsi="Cambria"/>
          <w:sz w:val="20"/>
          <w:szCs w:val="20"/>
          <w:lang w:val="es-AR"/>
        </w:rPr>
        <w:t xml:space="preserve">21 de febrero de 2008, </w:t>
      </w:r>
      <w:r w:rsidR="005F5CDB">
        <w:rPr>
          <w:rFonts w:ascii="Cambria" w:hAnsi="Cambria"/>
          <w:sz w:val="20"/>
          <w:szCs w:val="20"/>
          <w:lang w:val="es-AR"/>
        </w:rPr>
        <w:t>la declar</w:t>
      </w:r>
      <w:r>
        <w:rPr>
          <w:rFonts w:ascii="Cambria" w:hAnsi="Cambria"/>
          <w:sz w:val="20"/>
          <w:szCs w:val="20"/>
          <w:lang w:val="es-AR"/>
        </w:rPr>
        <w:t>ó</w:t>
      </w:r>
      <w:r w:rsidR="005F5CDB">
        <w:rPr>
          <w:rFonts w:ascii="Cambria" w:hAnsi="Cambria"/>
          <w:sz w:val="20"/>
          <w:szCs w:val="20"/>
          <w:lang w:val="es-AR"/>
        </w:rPr>
        <w:t xml:space="preserve"> sin lugar</w:t>
      </w:r>
      <w:r w:rsidR="000C0501">
        <w:rPr>
          <w:rFonts w:ascii="Cambria" w:hAnsi="Cambria"/>
          <w:sz w:val="20"/>
          <w:szCs w:val="20"/>
          <w:lang w:val="es-AR"/>
        </w:rPr>
        <w:t>, alegando que […</w:t>
      </w:r>
      <w:r w:rsidR="00F416D2">
        <w:rPr>
          <w:rFonts w:ascii="Cambria" w:hAnsi="Cambria"/>
          <w:sz w:val="20"/>
          <w:szCs w:val="20"/>
          <w:lang w:val="es-AR"/>
        </w:rPr>
        <w:t xml:space="preserve">] </w:t>
      </w:r>
      <w:r w:rsidR="00F40594">
        <w:rPr>
          <w:rFonts w:ascii="Cambria" w:hAnsi="Cambria"/>
          <w:sz w:val="20"/>
          <w:szCs w:val="20"/>
          <w:lang w:val="es-AR"/>
        </w:rPr>
        <w:t xml:space="preserve">los alegatos esgrimidos por la parte accionante no </w:t>
      </w:r>
      <w:r>
        <w:rPr>
          <w:rFonts w:ascii="Cambria" w:hAnsi="Cambria"/>
          <w:sz w:val="20"/>
          <w:szCs w:val="20"/>
          <w:lang w:val="es-AR"/>
        </w:rPr>
        <w:t>eran</w:t>
      </w:r>
      <w:r w:rsidR="00F40594">
        <w:rPr>
          <w:rFonts w:ascii="Cambria" w:hAnsi="Cambria"/>
          <w:sz w:val="20"/>
          <w:szCs w:val="20"/>
          <w:lang w:val="es-AR"/>
        </w:rPr>
        <w:t xml:space="preserve"> </w:t>
      </w:r>
      <w:r w:rsidR="00301847">
        <w:rPr>
          <w:rFonts w:ascii="Cambria" w:hAnsi="Cambria"/>
          <w:sz w:val="20"/>
          <w:szCs w:val="20"/>
          <w:lang w:val="es-AR"/>
        </w:rPr>
        <w:t>suficientes</w:t>
      </w:r>
      <w:r w:rsidR="00F40594">
        <w:rPr>
          <w:rFonts w:ascii="Cambria" w:hAnsi="Cambria"/>
          <w:sz w:val="20"/>
          <w:szCs w:val="20"/>
          <w:lang w:val="es-AR"/>
        </w:rPr>
        <w:t xml:space="preserve"> para </w:t>
      </w:r>
      <w:r w:rsidR="00301847">
        <w:rPr>
          <w:rFonts w:ascii="Cambria" w:hAnsi="Cambria"/>
          <w:sz w:val="20"/>
          <w:szCs w:val="20"/>
          <w:lang w:val="es-AR"/>
        </w:rPr>
        <w:t>considerar</w:t>
      </w:r>
      <w:r w:rsidR="00F40594">
        <w:rPr>
          <w:rFonts w:ascii="Cambria" w:hAnsi="Cambria"/>
          <w:sz w:val="20"/>
          <w:szCs w:val="20"/>
          <w:lang w:val="es-AR"/>
        </w:rPr>
        <w:t xml:space="preserve"> que existe una lesión constitucional, pues </w:t>
      </w:r>
      <w:r w:rsidR="00F416D2">
        <w:rPr>
          <w:rFonts w:ascii="Cambria" w:hAnsi="Cambria"/>
          <w:sz w:val="20"/>
          <w:szCs w:val="20"/>
          <w:lang w:val="es-AR"/>
        </w:rPr>
        <w:t xml:space="preserve">el supuesto silencio de la prueba no incide en la valoración que hizo la sentencia accionada respecto de cuál era la norma de la Ley Orgánica de </w:t>
      </w:r>
      <w:r w:rsidR="00F416D2">
        <w:rPr>
          <w:rFonts w:ascii="Cambria" w:hAnsi="Cambria"/>
          <w:sz w:val="20"/>
          <w:szCs w:val="20"/>
          <w:lang w:val="es-AR"/>
        </w:rPr>
        <w:lastRenderedPageBreak/>
        <w:t>Procedimientos Administrativos aplicable al caso sometido a</w:t>
      </w:r>
      <w:r w:rsidR="00F40594">
        <w:rPr>
          <w:rFonts w:ascii="Cambria" w:hAnsi="Cambria"/>
          <w:sz w:val="20"/>
          <w:szCs w:val="20"/>
          <w:lang w:val="es-AR"/>
        </w:rPr>
        <w:t xml:space="preserve"> su consideración (artículo 84), que como valoración forma parte de su libertad de juzgamiento</w:t>
      </w:r>
      <w:r w:rsidR="00F416D2">
        <w:rPr>
          <w:rFonts w:ascii="Cambria" w:hAnsi="Cambria"/>
          <w:sz w:val="20"/>
          <w:szCs w:val="20"/>
          <w:lang w:val="es-AR"/>
        </w:rPr>
        <w:t>. Por lo tanto, la discrepancia de la parte accionante […] es, en realidad, un cuestionamiento a esa libertad de juzgamiento que no puede ser objeto de amparo constitucional […]”.</w:t>
      </w:r>
      <w:r w:rsidR="00D841B3">
        <w:rPr>
          <w:rFonts w:ascii="Cambria" w:hAnsi="Cambria"/>
          <w:sz w:val="20"/>
          <w:szCs w:val="20"/>
          <w:lang w:val="es-AR"/>
        </w:rPr>
        <w:t xml:space="preserve"> </w:t>
      </w:r>
      <w:r w:rsidR="009F6DAB">
        <w:rPr>
          <w:rFonts w:ascii="Cambria" w:hAnsi="Cambria"/>
          <w:sz w:val="20"/>
          <w:szCs w:val="20"/>
          <w:lang w:val="es-AR"/>
        </w:rPr>
        <w:t xml:space="preserve">La parte peticionaria aduce </w:t>
      </w:r>
      <w:r w:rsidR="002E7816">
        <w:rPr>
          <w:rFonts w:ascii="Cambria" w:hAnsi="Cambria"/>
          <w:sz w:val="20"/>
          <w:szCs w:val="20"/>
          <w:lang w:val="es-AR"/>
        </w:rPr>
        <w:t>que</w:t>
      </w:r>
      <w:r w:rsidR="00D841B3">
        <w:rPr>
          <w:rFonts w:ascii="Cambria" w:hAnsi="Cambria"/>
          <w:sz w:val="20"/>
          <w:szCs w:val="20"/>
          <w:lang w:val="es-AR"/>
        </w:rPr>
        <w:t xml:space="preserve"> dicha sentencia vino acompañada por un voto salvado de uno de los </w:t>
      </w:r>
      <w:r w:rsidR="002E7816">
        <w:rPr>
          <w:rFonts w:ascii="Cambria" w:hAnsi="Cambria"/>
          <w:sz w:val="20"/>
          <w:szCs w:val="20"/>
          <w:lang w:val="es-AR"/>
        </w:rPr>
        <w:t>M</w:t>
      </w:r>
      <w:r w:rsidR="009F6DAB">
        <w:rPr>
          <w:rFonts w:ascii="Cambria" w:hAnsi="Cambria"/>
          <w:sz w:val="20"/>
          <w:szCs w:val="20"/>
          <w:lang w:val="es-AR"/>
        </w:rPr>
        <w:t>agistrados</w:t>
      </w:r>
      <w:r w:rsidR="00DF4926">
        <w:rPr>
          <w:rFonts w:ascii="Cambria" w:hAnsi="Cambria"/>
          <w:sz w:val="20"/>
          <w:szCs w:val="20"/>
          <w:lang w:val="es-AR"/>
        </w:rPr>
        <w:t>, qui</w:t>
      </w:r>
      <w:r w:rsidR="002E7816">
        <w:rPr>
          <w:rFonts w:ascii="Cambria" w:hAnsi="Cambria"/>
          <w:sz w:val="20"/>
          <w:szCs w:val="20"/>
          <w:lang w:val="es-AR"/>
        </w:rPr>
        <w:t>é</w:t>
      </w:r>
      <w:r w:rsidR="00DF4926">
        <w:rPr>
          <w:rFonts w:ascii="Cambria" w:hAnsi="Cambria"/>
          <w:sz w:val="20"/>
          <w:szCs w:val="20"/>
          <w:lang w:val="es-AR"/>
        </w:rPr>
        <w:t>n consider</w:t>
      </w:r>
      <w:r w:rsidR="009F6DAB">
        <w:rPr>
          <w:rFonts w:ascii="Cambria" w:hAnsi="Cambria"/>
          <w:sz w:val="20"/>
          <w:szCs w:val="20"/>
          <w:lang w:val="es-AR"/>
        </w:rPr>
        <w:t>ó</w:t>
      </w:r>
      <w:r w:rsidR="00DF4926">
        <w:rPr>
          <w:rFonts w:ascii="Cambria" w:hAnsi="Cambria"/>
          <w:sz w:val="20"/>
          <w:szCs w:val="20"/>
          <w:lang w:val="es-AR"/>
        </w:rPr>
        <w:t xml:space="preserve"> que debería haberse confirmado </w:t>
      </w:r>
      <w:r w:rsidR="00003C60">
        <w:rPr>
          <w:rFonts w:ascii="Cambria" w:hAnsi="Cambria"/>
          <w:sz w:val="20"/>
          <w:szCs w:val="20"/>
          <w:lang w:val="es-AR"/>
        </w:rPr>
        <w:t>la sentencia del 1</w:t>
      </w:r>
      <w:r w:rsidR="009F6DAB">
        <w:rPr>
          <w:rFonts w:ascii="Cambria" w:hAnsi="Cambria"/>
          <w:sz w:val="20"/>
          <w:szCs w:val="20"/>
          <w:lang w:val="es-AR"/>
        </w:rPr>
        <w:t>6</w:t>
      </w:r>
      <w:r w:rsidR="00003C60">
        <w:rPr>
          <w:rFonts w:ascii="Cambria" w:hAnsi="Cambria"/>
          <w:sz w:val="20"/>
          <w:szCs w:val="20"/>
          <w:lang w:val="es-AR"/>
        </w:rPr>
        <w:t xml:space="preserve"> noviembre de 2001</w:t>
      </w:r>
      <w:r w:rsidR="00DF4926">
        <w:rPr>
          <w:rFonts w:ascii="Cambria" w:hAnsi="Cambria"/>
          <w:sz w:val="20"/>
          <w:szCs w:val="20"/>
          <w:lang w:val="es-AR"/>
        </w:rPr>
        <w:t xml:space="preserve"> toda vez que </w:t>
      </w:r>
      <w:r>
        <w:rPr>
          <w:rFonts w:ascii="Cambria" w:hAnsi="Cambria"/>
          <w:sz w:val="20"/>
          <w:szCs w:val="20"/>
          <w:lang w:val="es-AR"/>
        </w:rPr>
        <w:t>“</w:t>
      </w:r>
      <w:r w:rsidR="00DF4926">
        <w:rPr>
          <w:rFonts w:ascii="Cambria" w:hAnsi="Cambria"/>
          <w:sz w:val="20"/>
          <w:szCs w:val="20"/>
          <w:lang w:val="es-AR"/>
        </w:rPr>
        <w:t>[…] el cambio de monto de la jubilación obedeció a una modificación del criterio sustantivo acerca del tipo de salario que debía tomarse como base para la determinación de aquél; es decir no se trató de un problema numérico sino de un concepto: la base del cálculo, que reflejó […] un acto intencional, una actuación volitiva y no material que imponía la utilización de la potestad revocatoria […]</w:t>
      </w:r>
      <w:r w:rsidRPr="003F60C1">
        <w:rPr>
          <w:rFonts w:ascii="Cambria" w:hAnsi="Cambria"/>
          <w:sz w:val="20"/>
          <w:szCs w:val="20"/>
          <w:lang w:val="es-AR"/>
        </w:rPr>
        <w:t>”</w:t>
      </w:r>
      <w:r w:rsidR="00DF4926">
        <w:rPr>
          <w:rFonts w:ascii="Cambria" w:hAnsi="Cambria"/>
          <w:sz w:val="20"/>
          <w:szCs w:val="20"/>
          <w:lang w:val="es-AR"/>
        </w:rPr>
        <w:t>.</w:t>
      </w:r>
    </w:p>
    <w:p w14:paraId="2D0E24F9" w14:textId="02F93B92" w:rsidR="006B10D7" w:rsidRDefault="002E7816" w:rsidP="00C5083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su parte el Estado</w:t>
      </w:r>
      <w:r w:rsidR="007A4969">
        <w:rPr>
          <w:rFonts w:ascii="Cambria" w:hAnsi="Cambria"/>
          <w:sz w:val="20"/>
          <w:szCs w:val="20"/>
          <w:lang w:val="es-AR"/>
        </w:rPr>
        <w:t xml:space="preserve"> manifiesta que el peticionario ha incumplido </w:t>
      </w:r>
      <w:r w:rsidR="002F75BA">
        <w:rPr>
          <w:rFonts w:ascii="Cambria" w:hAnsi="Cambria"/>
          <w:sz w:val="20"/>
          <w:szCs w:val="20"/>
          <w:lang w:val="es-AR"/>
        </w:rPr>
        <w:t xml:space="preserve">con el plazo de presentación establecido en </w:t>
      </w:r>
      <w:r w:rsidR="007A4969">
        <w:rPr>
          <w:rFonts w:ascii="Cambria" w:hAnsi="Cambria"/>
          <w:sz w:val="20"/>
          <w:szCs w:val="20"/>
          <w:lang w:val="es-AR"/>
        </w:rPr>
        <w:t xml:space="preserve">el artículo 32.1 del Reglamento </w:t>
      </w:r>
      <w:r w:rsidR="002F75BA">
        <w:rPr>
          <w:rFonts w:ascii="Cambria" w:hAnsi="Cambria"/>
          <w:sz w:val="20"/>
          <w:szCs w:val="20"/>
          <w:lang w:val="es-AR"/>
        </w:rPr>
        <w:t>de la CIDH</w:t>
      </w:r>
      <w:r w:rsidR="007A4969">
        <w:rPr>
          <w:rFonts w:ascii="Cambria" w:hAnsi="Cambria"/>
          <w:sz w:val="20"/>
          <w:szCs w:val="20"/>
          <w:lang w:val="es-AR"/>
        </w:rPr>
        <w:t xml:space="preserve">, pues </w:t>
      </w:r>
      <w:r w:rsidR="00C50839">
        <w:rPr>
          <w:rFonts w:ascii="Cambria" w:hAnsi="Cambria"/>
          <w:sz w:val="20"/>
          <w:szCs w:val="20"/>
          <w:lang w:val="es-AR"/>
        </w:rPr>
        <w:t xml:space="preserve">la petición ante la CIDH </w:t>
      </w:r>
      <w:r w:rsidR="007A4969">
        <w:rPr>
          <w:rFonts w:ascii="Cambria" w:hAnsi="Cambria"/>
          <w:sz w:val="20"/>
          <w:szCs w:val="20"/>
          <w:lang w:val="es-AR"/>
        </w:rPr>
        <w:t xml:space="preserve">fue presentado </w:t>
      </w:r>
      <w:r w:rsidR="002F75BA">
        <w:rPr>
          <w:rFonts w:ascii="Cambria" w:hAnsi="Cambria"/>
          <w:sz w:val="20"/>
          <w:szCs w:val="20"/>
          <w:lang w:val="es-AR"/>
        </w:rPr>
        <w:t>el</w:t>
      </w:r>
      <w:r w:rsidR="007A4969">
        <w:rPr>
          <w:rFonts w:ascii="Cambria" w:hAnsi="Cambria"/>
          <w:sz w:val="20"/>
          <w:szCs w:val="20"/>
          <w:lang w:val="es-AR"/>
        </w:rPr>
        <w:t xml:space="preserve"> 24 de junio de 2008, a pesar </w:t>
      </w:r>
      <w:r w:rsidR="009F6DAB">
        <w:rPr>
          <w:rFonts w:ascii="Cambria" w:hAnsi="Cambria"/>
          <w:sz w:val="20"/>
          <w:szCs w:val="20"/>
          <w:lang w:val="es-AR"/>
        </w:rPr>
        <w:t xml:space="preserve">de </w:t>
      </w:r>
      <w:r w:rsidR="007A4969">
        <w:rPr>
          <w:rFonts w:ascii="Cambria" w:hAnsi="Cambria"/>
          <w:sz w:val="20"/>
          <w:szCs w:val="20"/>
          <w:lang w:val="es-AR"/>
        </w:rPr>
        <w:t xml:space="preserve">que la decisión que agotó el recurso judicial interno ordinario e </w:t>
      </w:r>
      <w:r w:rsidR="006A79A8">
        <w:rPr>
          <w:rFonts w:ascii="Cambria" w:hAnsi="Cambria"/>
          <w:sz w:val="20"/>
          <w:szCs w:val="20"/>
          <w:lang w:val="es-AR"/>
        </w:rPr>
        <w:t xml:space="preserve">idóneo </w:t>
      </w:r>
      <w:r w:rsidR="00C50839">
        <w:rPr>
          <w:rFonts w:ascii="Cambria" w:hAnsi="Cambria"/>
          <w:sz w:val="20"/>
          <w:szCs w:val="20"/>
          <w:lang w:val="es-AR"/>
        </w:rPr>
        <w:t xml:space="preserve">fue </w:t>
      </w:r>
      <w:r w:rsidR="00C50839" w:rsidRPr="00C50839">
        <w:rPr>
          <w:rFonts w:ascii="Cambria" w:hAnsi="Cambria"/>
          <w:sz w:val="20"/>
          <w:szCs w:val="20"/>
          <w:lang w:val="es-AR"/>
        </w:rPr>
        <w:t xml:space="preserve">la </w:t>
      </w:r>
      <w:r w:rsidR="00C50839">
        <w:rPr>
          <w:rFonts w:ascii="Cambria" w:hAnsi="Cambria"/>
          <w:sz w:val="20"/>
          <w:szCs w:val="20"/>
          <w:lang w:val="es-AR"/>
        </w:rPr>
        <w:t xml:space="preserve">emanada de la </w:t>
      </w:r>
      <w:r w:rsidR="00C50839" w:rsidRPr="00C50839">
        <w:rPr>
          <w:rFonts w:ascii="Cambria" w:hAnsi="Cambria"/>
          <w:sz w:val="20"/>
          <w:szCs w:val="20"/>
          <w:lang w:val="es-AR"/>
        </w:rPr>
        <w:t xml:space="preserve">Corte Segunda de lo Contencioso Administrativo </w:t>
      </w:r>
      <w:r w:rsidR="00C50839">
        <w:rPr>
          <w:rFonts w:ascii="Cambria" w:hAnsi="Cambria"/>
          <w:sz w:val="20"/>
          <w:szCs w:val="20"/>
          <w:lang w:val="es-AR"/>
        </w:rPr>
        <w:t>el</w:t>
      </w:r>
      <w:r w:rsidR="009161A9">
        <w:rPr>
          <w:rFonts w:ascii="Cambria" w:hAnsi="Cambria"/>
          <w:sz w:val="20"/>
          <w:szCs w:val="20"/>
          <w:lang w:val="es-AR"/>
        </w:rPr>
        <w:t xml:space="preserve"> 29 de marzo </w:t>
      </w:r>
      <w:r w:rsidR="006A79A8">
        <w:rPr>
          <w:rFonts w:ascii="Cambria" w:hAnsi="Cambria"/>
          <w:sz w:val="20"/>
          <w:szCs w:val="20"/>
          <w:lang w:val="es-AR"/>
        </w:rPr>
        <w:t>de 2006</w:t>
      </w:r>
      <w:r w:rsidR="00C50839">
        <w:rPr>
          <w:rFonts w:ascii="Cambria" w:hAnsi="Cambria"/>
          <w:sz w:val="20"/>
          <w:szCs w:val="20"/>
          <w:lang w:val="es-AR"/>
        </w:rPr>
        <w:t>. Arguye el Estado que</w:t>
      </w:r>
      <w:r w:rsidR="00C50839" w:rsidRPr="00C50839">
        <w:rPr>
          <w:rFonts w:ascii="Cambria" w:hAnsi="Cambria"/>
          <w:sz w:val="20"/>
          <w:szCs w:val="20"/>
          <w:lang w:val="es-AR"/>
        </w:rPr>
        <w:t xml:space="preserve"> </w:t>
      </w:r>
      <w:r w:rsidR="00C50839">
        <w:rPr>
          <w:rFonts w:ascii="Cambria" w:hAnsi="Cambria"/>
          <w:sz w:val="20"/>
          <w:szCs w:val="20"/>
          <w:lang w:val="es-AR"/>
        </w:rPr>
        <w:t>con ésta decisión se generó cosa juzgada formal y material, por lo que contra ella no procedía recurso judicial alguno.</w:t>
      </w:r>
    </w:p>
    <w:p w14:paraId="4F4DD3E9" w14:textId="4EB665DC" w:rsidR="000D717E" w:rsidRDefault="000D717E" w:rsidP="00D841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Además, el Estado sostiene que </w:t>
      </w:r>
      <w:r w:rsidR="00697023">
        <w:rPr>
          <w:rFonts w:ascii="Cambria" w:hAnsi="Cambria"/>
          <w:sz w:val="20"/>
          <w:szCs w:val="20"/>
          <w:lang w:val="es-AR"/>
        </w:rPr>
        <w:t>la petición también debe ser declarada inadmisible por cuanto no expone hechos que caracterizan una violación a los derechos humanos y, en ese sentido, resulta manifiestamente infundada, de conformidad con lo establecido en el artículo 34.</w:t>
      </w:r>
      <w:r w:rsidR="00C50839">
        <w:rPr>
          <w:rFonts w:ascii="Cambria" w:hAnsi="Cambria"/>
          <w:sz w:val="20"/>
          <w:szCs w:val="20"/>
          <w:lang w:val="es-AR"/>
        </w:rPr>
        <w:t xml:space="preserve"> </w:t>
      </w:r>
      <w:r w:rsidR="00697023">
        <w:rPr>
          <w:rFonts w:ascii="Cambria" w:hAnsi="Cambria"/>
          <w:sz w:val="20"/>
          <w:szCs w:val="20"/>
          <w:lang w:val="es-AR"/>
        </w:rPr>
        <w:t xml:space="preserve">a. y b. del Reglamento de la CIDH. </w:t>
      </w:r>
      <w:r w:rsidR="00C50839">
        <w:rPr>
          <w:rFonts w:ascii="Cambria" w:hAnsi="Cambria"/>
          <w:sz w:val="20"/>
          <w:szCs w:val="20"/>
          <w:lang w:val="es-AR"/>
        </w:rPr>
        <w:t>Sostiene que</w:t>
      </w:r>
      <w:r w:rsidR="00697023">
        <w:rPr>
          <w:rFonts w:ascii="Cambria" w:hAnsi="Cambria"/>
          <w:sz w:val="20"/>
          <w:szCs w:val="20"/>
          <w:lang w:val="es-AR"/>
        </w:rPr>
        <w:t xml:space="preserve"> no se ha vulnerado </w:t>
      </w:r>
      <w:r w:rsidR="00C50839">
        <w:rPr>
          <w:rFonts w:ascii="Cambria" w:hAnsi="Cambria"/>
          <w:sz w:val="20"/>
          <w:szCs w:val="20"/>
          <w:lang w:val="es-AR"/>
        </w:rPr>
        <w:t xml:space="preserve">el derecho de la presunta víctima </w:t>
      </w:r>
      <w:r w:rsidR="00697023">
        <w:rPr>
          <w:rFonts w:ascii="Cambria" w:hAnsi="Cambria"/>
          <w:sz w:val="20"/>
          <w:szCs w:val="20"/>
          <w:lang w:val="es-AR"/>
        </w:rPr>
        <w:t xml:space="preserve">a la </w:t>
      </w:r>
      <w:r w:rsidR="00C50839">
        <w:rPr>
          <w:rFonts w:ascii="Cambria" w:hAnsi="Cambria"/>
          <w:sz w:val="20"/>
          <w:szCs w:val="20"/>
          <w:lang w:val="es-AR"/>
        </w:rPr>
        <w:t>s</w:t>
      </w:r>
      <w:r w:rsidR="00697023">
        <w:rPr>
          <w:rFonts w:ascii="Cambria" w:hAnsi="Cambria"/>
          <w:sz w:val="20"/>
          <w:szCs w:val="20"/>
          <w:lang w:val="es-AR"/>
        </w:rPr>
        <w:t xml:space="preserve">eguridad </w:t>
      </w:r>
      <w:r w:rsidR="00C50839">
        <w:rPr>
          <w:rFonts w:ascii="Cambria" w:hAnsi="Cambria"/>
          <w:sz w:val="20"/>
          <w:szCs w:val="20"/>
          <w:lang w:val="es-AR"/>
        </w:rPr>
        <w:t>s</w:t>
      </w:r>
      <w:r w:rsidR="00697023">
        <w:rPr>
          <w:rFonts w:ascii="Cambria" w:hAnsi="Cambria"/>
          <w:sz w:val="20"/>
          <w:szCs w:val="20"/>
          <w:lang w:val="es-AR"/>
        </w:rPr>
        <w:t xml:space="preserve">ocial reconocido en el artículo XVI de la Declaración Americana de los Derechos y </w:t>
      </w:r>
      <w:r w:rsidR="00F4561C">
        <w:rPr>
          <w:rFonts w:ascii="Cambria" w:hAnsi="Cambria"/>
          <w:sz w:val="20"/>
          <w:szCs w:val="20"/>
          <w:lang w:val="es-AR"/>
        </w:rPr>
        <w:t>Deberes del H</w:t>
      </w:r>
      <w:r w:rsidR="00697023">
        <w:rPr>
          <w:rFonts w:ascii="Cambria" w:hAnsi="Cambria"/>
          <w:sz w:val="20"/>
          <w:szCs w:val="20"/>
          <w:lang w:val="es-AR"/>
        </w:rPr>
        <w:t>ombre</w:t>
      </w:r>
      <w:r w:rsidR="00C50839">
        <w:rPr>
          <w:rFonts w:ascii="Cambria" w:hAnsi="Cambria"/>
          <w:sz w:val="20"/>
          <w:szCs w:val="20"/>
          <w:lang w:val="es-AR"/>
        </w:rPr>
        <w:t xml:space="preserve"> toda vez que </w:t>
      </w:r>
      <w:r w:rsidR="009161A9">
        <w:rPr>
          <w:rFonts w:ascii="Cambria" w:hAnsi="Cambria"/>
          <w:sz w:val="20"/>
          <w:szCs w:val="20"/>
          <w:lang w:val="es-AR"/>
        </w:rPr>
        <w:t xml:space="preserve">la presunta víctima </w:t>
      </w:r>
      <w:r w:rsidR="00697023">
        <w:rPr>
          <w:rFonts w:ascii="Cambria" w:hAnsi="Cambria"/>
          <w:sz w:val="20"/>
          <w:szCs w:val="20"/>
          <w:lang w:val="es-AR"/>
        </w:rPr>
        <w:t xml:space="preserve">disfruta, devenga y percibe una jubilación otorgada por el Instituto de Beneficencia Pública y Bienestar Social del estado de Táchira. </w:t>
      </w:r>
      <w:r w:rsidR="00C25D92">
        <w:rPr>
          <w:rFonts w:ascii="Cambria" w:hAnsi="Cambria"/>
          <w:sz w:val="20"/>
          <w:szCs w:val="20"/>
          <w:lang w:val="es-AR"/>
        </w:rPr>
        <w:t xml:space="preserve">Sostiene que </w:t>
      </w:r>
      <w:r w:rsidR="009161A9">
        <w:rPr>
          <w:rFonts w:ascii="Cambria" w:hAnsi="Cambria"/>
          <w:sz w:val="20"/>
          <w:szCs w:val="20"/>
          <w:lang w:val="es-AR"/>
        </w:rPr>
        <w:t>la presunta víctima, a través de su reclamos ante la CIDH,</w:t>
      </w:r>
      <w:r w:rsidR="00F11C6C">
        <w:rPr>
          <w:rFonts w:ascii="Cambria" w:hAnsi="Cambria"/>
          <w:sz w:val="20"/>
          <w:szCs w:val="20"/>
          <w:lang w:val="es-AR"/>
        </w:rPr>
        <w:t xml:space="preserve"> </w:t>
      </w:r>
      <w:r w:rsidR="00C25D92">
        <w:rPr>
          <w:rFonts w:ascii="Cambria" w:hAnsi="Cambria"/>
          <w:sz w:val="20"/>
          <w:szCs w:val="20"/>
          <w:lang w:val="es-AR"/>
        </w:rPr>
        <w:t xml:space="preserve">pretende </w:t>
      </w:r>
      <w:r w:rsidR="00F11C6C">
        <w:rPr>
          <w:rFonts w:ascii="Cambria" w:hAnsi="Cambria"/>
          <w:sz w:val="20"/>
          <w:szCs w:val="20"/>
          <w:lang w:val="es-AR"/>
        </w:rPr>
        <w:t>beneficiarse indebida, ilegítima e ilegalmente de un error cometido por el Directorio del mencionado Instituto, pues el monto de jubilación que le fue concedido por error y del cual pretende sacar provecho en detrimento del patrimonio público, representa</w:t>
      </w:r>
      <w:r w:rsidR="00C25D92">
        <w:rPr>
          <w:rFonts w:ascii="Cambria" w:hAnsi="Cambria"/>
          <w:sz w:val="20"/>
          <w:szCs w:val="20"/>
          <w:lang w:val="es-AR"/>
        </w:rPr>
        <w:t>ba</w:t>
      </w:r>
      <w:r w:rsidR="00F11C6C">
        <w:rPr>
          <w:rFonts w:ascii="Cambria" w:hAnsi="Cambria"/>
          <w:sz w:val="20"/>
          <w:szCs w:val="20"/>
          <w:lang w:val="es-AR"/>
        </w:rPr>
        <w:t xml:space="preserve"> aproximadamente 10</w:t>
      </w:r>
      <w:r w:rsidR="009161A9">
        <w:rPr>
          <w:rFonts w:ascii="Cambria" w:hAnsi="Cambria"/>
          <w:sz w:val="20"/>
          <w:szCs w:val="20"/>
          <w:lang w:val="es-AR"/>
        </w:rPr>
        <w:t>.</w:t>
      </w:r>
      <w:r w:rsidR="00F11C6C">
        <w:rPr>
          <w:rFonts w:ascii="Cambria" w:hAnsi="Cambria"/>
          <w:sz w:val="20"/>
          <w:szCs w:val="20"/>
          <w:lang w:val="es-AR"/>
        </w:rPr>
        <w:t xml:space="preserve">000% más que el salario mínimo vigente en esa fecha. </w:t>
      </w:r>
    </w:p>
    <w:p w14:paraId="31488B67" w14:textId="06B7BADF" w:rsidR="00F11C6C" w:rsidRPr="00D841B3" w:rsidRDefault="00F11C6C" w:rsidP="00D841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Por otra parte, </w:t>
      </w:r>
      <w:r w:rsidR="009161A9">
        <w:rPr>
          <w:rFonts w:ascii="Cambria" w:hAnsi="Cambria"/>
          <w:sz w:val="20"/>
          <w:szCs w:val="20"/>
          <w:lang w:val="es-AR"/>
        </w:rPr>
        <w:t xml:space="preserve">el Estado aduce que </w:t>
      </w:r>
      <w:r>
        <w:rPr>
          <w:rFonts w:ascii="Cambria" w:hAnsi="Cambria"/>
          <w:sz w:val="20"/>
          <w:szCs w:val="20"/>
          <w:lang w:val="es-AR"/>
        </w:rPr>
        <w:t>tampoco los hechos alegados caracterizan vulneración del derecho a las garantías judiciales, pues lo único que se desprende claramente de la petición es que l</w:t>
      </w:r>
      <w:r w:rsidR="00C25D92">
        <w:rPr>
          <w:rFonts w:ascii="Cambria" w:hAnsi="Cambria"/>
          <w:sz w:val="20"/>
          <w:szCs w:val="20"/>
          <w:lang w:val="es-AR"/>
        </w:rPr>
        <w:t>a</w:t>
      </w:r>
      <w:r>
        <w:rPr>
          <w:rFonts w:ascii="Cambria" w:hAnsi="Cambria"/>
          <w:sz w:val="20"/>
          <w:szCs w:val="20"/>
          <w:lang w:val="es-AR"/>
        </w:rPr>
        <w:t xml:space="preserve"> </w:t>
      </w:r>
      <w:r w:rsidR="00C25D92">
        <w:rPr>
          <w:rFonts w:ascii="Cambria" w:hAnsi="Cambria"/>
          <w:sz w:val="20"/>
          <w:szCs w:val="20"/>
          <w:lang w:val="es-AR"/>
        </w:rPr>
        <w:t xml:space="preserve">presunta víctima </w:t>
      </w:r>
      <w:r>
        <w:rPr>
          <w:rFonts w:ascii="Cambria" w:hAnsi="Cambria"/>
          <w:sz w:val="20"/>
          <w:szCs w:val="20"/>
          <w:lang w:val="es-AR"/>
        </w:rPr>
        <w:t xml:space="preserve">está en desacuerdo con el contenido de las sentencias emitidas por los órganos jurisdiccionales que le son contrarias a sus pretensiones. </w:t>
      </w:r>
      <w:r w:rsidR="00C25D92">
        <w:rPr>
          <w:rFonts w:ascii="Cambria" w:hAnsi="Cambria"/>
          <w:sz w:val="20"/>
          <w:szCs w:val="20"/>
          <w:lang w:val="es-AR"/>
        </w:rPr>
        <w:t>Aduce que se</w:t>
      </w:r>
      <w:r w:rsidR="00F02FB2">
        <w:rPr>
          <w:rFonts w:ascii="Cambria" w:hAnsi="Cambria"/>
          <w:sz w:val="20"/>
          <w:szCs w:val="20"/>
          <w:lang w:val="es-AR"/>
        </w:rPr>
        <w:t xml:space="preserve"> pretende hacer creer a la Comisión que la actuación del Tribunal Superior de lo Civil y Contencioso Administrativo fue ilegal y arbitraria, sin tomar en cuenta que en la legislación nacional toda decisión con</w:t>
      </w:r>
      <w:r w:rsidR="00CA48D2">
        <w:rPr>
          <w:rFonts w:ascii="Cambria" w:hAnsi="Cambria"/>
          <w:sz w:val="20"/>
          <w:szCs w:val="20"/>
          <w:lang w:val="es-AR"/>
        </w:rPr>
        <w:t>traria al patrimonio público debe</w:t>
      </w:r>
      <w:r w:rsidR="00F02FB2">
        <w:rPr>
          <w:rFonts w:ascii="Cambria" w:hAnsi="Cambria"/>
          <w:sz w:val="20"/>
          <w:szCs w:val="20"/>
          <w:lang w:val="es-AR"/>
        </w:rPr>
        <w:t xml:space="preserve"> ser sometida a consulta obligatoria ante el Tribunal Superior competente. </w:t>
      </w:r>
      <w:r w:rsidR="00CA48D2">
        <w:rPr>
          <w:rFonts w:ascii="Cambria" w:hAnsi="Cambria"/>
          <w:sz w:val="20"/>
          <w:szCs w:val="20"/>
          <w:lang w:val="es-AR"/>
        </w:rPr>
        <w:t xml:space="preserve">Sumado a lo anterior, el Estado sostiene que las decisiones de los tribunales internos fueron debidamente motivadas por lo que resulta infundado el alegato del peticionario.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9A1BB7C" w14:textId="5188ABFE" w:rsidR="000F7158" w:rsidRPr="000F7158" w:rsidRDefault="00CE0DA4" w:rsidP="00F4561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C30C3E">
        <w:rPr>
          <w:rFonts w:ascii="Cambria" w:hAnsi="Cambria"/>
          <w:sz w:val="20"/>
          <w:szCs w:val="20"/>
          <w:lang w:val="es-ES"/>
        </w:rPr>
        <w:t xml:space="preserve">El Estado </w:t>
      </w:r>
      <w:r w:rsidR="00C30C3E">
        <w:rPr>
          <w:rFonts w:ascii="Cambria" w:hAnsi="Cambria"/>
          <w:sz w:val="20"/>
          <w:szCs w:val="20"/>
          <w:lang w:val="es-ES"/>
        </w:rPr>
        <w:t>alega que la petición debe ser declarada inadmisible dada</w:t>
      </w:r>
      <w:r w:rsidRPr="00C30C3E">
        <w:rPr>
          <w:rFonts w:ascii="Cambria" w:hAnsi="Cambria"/>
          <w:sz w:val="20"/>
          <w:szCs w:val="20"/>
          <w:lang w:val="es-ES"/>
        </w:rPr>
        <w:t xml:space="preserve"> </w:t>
      </w:r>
      <w:r w:rsidR="00F4561C">
        <w:rPr>
          <w:rFonts w:ascii="Cambria" w:hAnsi="Cambria"/>
          <w:sz w:val="20"/>
          <w:szCs w:val="20"/>
          <w:lang w:val="es-ES"/>
        </w:rPr>
        <w:t xml:space="preserve">su </w:t>
      </w:r>
      <w:r w:rsidRPr="00C30C3E">
        <w:rPr>
          <w:rFonts w:ascii="Cambria" w:hAnsi="Cambria"/>
          <w:sz w:val="20"/>
          <w:szCs w:val="20"/>
          <w:lang w:val="es-ES"/>
        </w:rPr>
        <w:t xml:space="preserve">extemporaneidad, puesto que el momento procesal en el que se cerró el debate </w:t>
      </w:r>
      <w:r w:rsidR="00C30C3E" w:rsidRPr="00C30C3E">
        <w:rPr>
          <w:rFonts w:ascii="Cambria" w:hAnsi="Cambria"/>
          <w:sz w:val="20"/>
          <w:szCs w:val="20"/>
          <w:lang w:val="es-ES"/>
        </w:rPr>
        <w:t xml:space="preserve">de la controversia </w:t>
      </w:r>
      <w:r w:rsidR="00F4561C">
        <w:rPr>
          <w:rFonts w:ascii="Cambria" w:hAnsi="Cambria"/>
          <w:sz w:val="20"/>
          <w:szCs w:val="20"/>
          <w:lang w:val="es-ES"/>
        </w:rPr>
        <w:t xml:space="preserve">en sede interna </w:t>
      </w:r>
      <w:r w:rsidRPr="00C30C3E">
        <w:rPr>
          <w:rFonts w:ascii="Cambria" w:hAnsi="Cambria"/>
          <w:sz w:val="20"/>
          <w:szCs w:val="20"/>
          <w:lang w:val="es-ES"/>
        </w:rPr>
        <w:t xml:space="preserve">se produjo con la </w:t>
      </w:r>
      <w:r w:rsidR="00301847" w:rsidRPr="00C30C3E">
        <w:rPr>
          <w:rFonts w:ascii="Cambria" w:hAnsi="Cambria"/>
          <w:sz w:val="20"/>
          <w:szCs w:val="20"/>
          <w:lang w:val="es-ES"/>
        </w:rPr>
        <w:t>sentencia de la Corte de Segunda de</w:t>
      </w:r>
      <w:r w:rsidR="00C30C3E" w:rsidRPr="00C30C3E">
        <w:rPr>
          <w:rFonts w:ascii="Cambria" w:hAnsi="Cambria"/>
          <w:sz w:val="20"/>
          <w:szCs w:val="20"/>
          <w:lang w:val="es-ES"/>
        </w:rPr>
        <w:t xml:space="preserve"> lo Contenciosos Administrativo, la cual </w:t>
      </w:r>
      <w:r w:rsidR="00C30C3E">
        <w:rPr>
          <w:rFonts w:ascii="Cambria" w:hAnsi="Cambria"/>
          <w:sz w:val="20"/>
          <w:szCs w:val="20"/>
          <w:lang w:val="es-ES"/>
        </w:rPr>
        <w:t xml:space="preserve">fue </w:t>
      </w:r>
      <w:r w:rsidR="00301847" w:rsidRPr="00C30C3E">
        <w:rPr>
          <w:rFonts w:ascii="Cambria" w:hAnsi="Cambria"/>
          <w:sz w:val="20"/>
          <w:szCs w:val="20"/>
          <w:lang w:val="es-ES"/>
        </w:rPr>
        <w:t>notificada el 2 de Mayo de 2006</w:t>
      </w:r>
      <w:r w:rsidRPr="00C30C3E">
        <w:rPr>
          <w:rFonts w:ascii="Cambria" w:hAnsi="Cambria"/>
          <w:sz w:val="20"/>
          <w:szCs w:val="20"/>
          <w:lang w:val="es-ES"/>
        </w:rPr>
        <w:t xml:space="preserve">. </w:t>
      </w:r>
      <w:r w:rsidR="00F4561C">
        <w:rPr>
          <w:rFonts w:ascii="Cambria" w:hAnsi="Cambria"/>
          <w:sz w:val="20"/>
          <w:szCs w:val="20"/>
          <w:lang w:val="es-ES"/>
        </w:rPr>
        <w:t xml:space="preserve">Aduce </w:t>
      </w:r>
      <w:r w:rsidR="00C30C3E">
        <w:rPr>
          <w:rFonts w:ascii="Cambria" w:hAnsi="Cambria"/>
          <w:sz w:val="20"/>
          <w:szCs w:val="20"/>
          <w:lang w:val="es-ES"/>
        </w:rPr>
        <w:t xml:space="preserve">que la petición fue presentada a la CIDH </w:t>
      </w:r>
      <w:r w:rsidR="00C30C3E" w:rsidRPr="00C30C3E">
        <w:rPr>
          <w:rFonts w:ascii="Cambria" w:hAnsi="Cambria"/>
          <w:sz w:val="20"/>
          <w:szCs w:val="20"/>
          <w:lang w:val="es-ES"/>
        </w:rPr>
        <w:t>el 24 de junio de 2008, es decir casi dos años después de la</w:t>
      </w:r>
      <w:r w:rsidR="00C30C3E">
        <w:rPr>
          <w:rFonts w:ascii="Cambria" w:hAnsi="Cambria"/>
          <w:sz w:val="20"/>
          <w:szCs w:val="20"/>
          <w:lang w:val="es-AR"/>
        </w:rPr>
        <w:t xml:space="preserve"> </w:t>
      </w:r>
      <w:r w:rsidR="000E5E5D">
        <w:rPr>
          <w:rFonts w:ascii="Cambria" w:hAnsi="Cambria"/>
          <w:sz w:val="20"/>
          <w:szCs w:val="20"/>
          <w:lang w:val="es-AR"/>
        </w:rPr>
        <w:t xml:space="preserve">notificación de la </w:t>
      </w:r>
      <w:r w:rsidR="00C30C3E">
        <w:rPr>
          <w:rFonts w:ascii="Cambria" w:hAnsi="Cambria"/>
          <w:sz w:val="20"/>
          <w:szCs w:val="20"/>
          <w:lang w:val="es-AR"/>
        </w:rPr>
        <w:t xml:space="preserve">decisión que agotó el recurso judicial interno ordinario </w:t>
      </w:r>
      <w:r w:rsidR="00F4561C">
        <w:rPr>
          <w:rFonts w:ascii="Cambria" w:hAnsi="Cambria"/>
          <w:sz w:val="20"/>
          <w:szCs w:val="20"/>
          <w:lang w:val="es-AR"/>
        </w:rPr>
        <w:t xml:space="preserve">por lo que </w:t>
      </w:r>
      <w:r w:rsidRPr="00C30C3E">
        <w:rPr>
          <w:rFonts w:ascii="Cambria" w:hAnsi="Cambria"/>
          <w:sz w:val="20"/>
          <w:szCs w:val="20"/>
          <w:lang w:val="es-ES"/>
        </w:rPr>
        <w:t xml:space="preserve">la denuncia </w:t>
      </w:r>
      <w:r w:rsidR="00C30C3E" w:rsidRPr="00C30C3E">
        <w:rPr>
          <w:rFonts w:ascii="Cambria" w:hAnsi="Cambria"/>
          <w:sz w:val="20"/>
          <w:szCs w:val="20"/>
          <w:lang w:val="es-ES"/>
        </w:rPr>
        <w:t xml:space="preserve">esta </w:t>
      </w:r>
      <w:r w:rsidRPr="00C30C3E">
        <w:rPr>
          <w:rFonts w:ascii="Cambria" w:hAnsi="Cambria"/>
          <w:sz w:val="20"/>
          <w:szCs w:val="20"/>
          <w:lang w:val="es-ES"/>
        </w:rPr>
        <w:t>fuera del plazo de seis meses</w:t>
      </w:r>
      <w:r w:rsidR="00F4561C">
        <w:rPr>
          <w:rFonts w:ascii="Cambria" w:hAnsi="Cambria"/>
          <w:sz w:val="20"/>
          <w:szCs w:val="20"/>
          <w:lang w:val="es-ES"/>
        </w:rPr>
        <w:t xml:space="preserve"> establecido en el </w:t>
      </w:r>
      <w:r w:rsidR="00F4561C" w:rsidRPr="00F4561C">
        <w:rPr>
          <w:rFonts w:ascii="Cambria" w:hAnsi="Cambria"/>
          <w:sz w:val="20"/>
          <w:szCs w:val="20"/>
          <w:lang w:val="es-ES"/>
        </w:rPr>
        <w:t>artículo 32.1 del Reglamento</w:t>
      </w:r>
      <w:r w:rsidR="00F4561C">
        <w:rPr>
          <w:rFonts w:ascii="Cambria" w:hAnsi="Cambria"/>
          <w:sz w:val="20"/>
          <w:szCs w:val="20"/>
          <w:lang w:val="es-ES"/>
        </w:rPr>
        <w:t xml:space="preserve"> de la</w:t>
      </w:r>
      <w:r w:rsidR="00F4561C" w:rsidRPr="00F4561C">
        <w:rPr>
          <w:rFonts w:ascii="Cambria" w:hAnsi="Cambria"/>
          <w:sz w:val="20"/>
          <w:szCs w:val="20"/>
          <w:lang w:val="es-ES"/>
        </w:rPr>
        <w:t xml:space="preserve"> CIDH.</w:t>
      </w:r>
      <w:r w:rsidR="00C30C3E" w:rsidRPr="00F4561C">
        <w:rPr>
          <w:rFonts w:ascii="Cambria" w:hAnsi="Cambria"/>
          <w:sz w:val="20"/>
          <w:szCs w:val="20"/>
          <w:lang w:val="es-ES"/>
        </w:rPr>
        <w:t xml:space="preserve"> </w:t>
      </w:r>
      <w:r w:rsidR="000F7158" w:rsidRPr="00F4561C">
        <w:rPr>
          <w:rFonts w:ascii="Cambria" w:hAnsi="Cambria"/>
          <w:sz w:val="20"/>
          <w:szCs w:val="20"/>
          <w:lang w:val="es-ES"/>
        </w:rPr>
        <w:t xml:space="preserve">Sobre este extremo, la Comisión considera que el hecho que </w:t>
      </w:r>
      <w:r w:rsidR="000E5E5D">
        <w:rPr>
          <w:rFonts w:ascii="Cambria" w:hAnsi="Cambria"/>
          <w:sz w:val="20"/>
          <w:szCs w:val="20"/>
          <w:lang w:val="es-ES"/>
        </w:rPr>
        <w:t xml:space="preserve">el </w:t>
      </w:r>
      <w:r w:rsidR="000F7158" w:rsidRPr="00F4561C">
        <w:rPr>
          <w:rFonts w:ascii="Cambria" w:hAnsi="Cambria"/>
          <w:sz w:val="20"/>
          <w:szCs w:val="20"/>
          <w:lang w:val="es-ES"/>
        </w:rPr>
        <w:t xml:space="preserve">recurso </w:t>
      </w:r>
      <w:r w:rsidR="000E5E5D">
        <w:rPr>
          <w:rFonts w:ascii="Cambria" w:hAnsi="Cambria"/>
          <w:sz w:val="20"/>
          <w:szCs w:val="20"/>
          <w:lang w:val="es-ES"/>
        </w:rPr>
        <w:t xml:space="preserve">extraordinario de Amparo Constitucional fuera </w:t>
      </w:r>
      <w:r w:rsidR="000F7158" w:rsidRPr="00F4561C">
        <w:rPr>
          <w:rFonts w:ascii="Cambria" w:hAnsi="Cambria"/>
          <w:sz w:val="20"/>
          <w:szCs w:val="20"/>
          <w:lang w:val="es-ES"/>
        </w:rPr>
        <w:t xml:space="preserve">admitido a trámite por </w:t>
      </w:r>
      <w:r w:rsidR="000E5E5D">
        <w:rPr>
          <w:rFonts w:ascii="Cambria" w:hAnsi="Cambria"/>
          <w:sz w:val="20"/>
          <w:szCs w:val="20"/>
          <w:lang w:val="es-ES"/>
        </w:rPr>
        <w:t>la Sala Constitucional de Tribunal Supremo de Justicia</w:t>
      </w:r>
      <w:r w:rsidR="000F7158" w:rsidRPr="00F4561C">
        <w:rPr>
          <w:rFonts w:ascii="Cambria" w:hAnsi="Cambria"/>
          <w:sz w:val="20"/>
          <w:szCs w:val="20"/>
          <w:lang w:val="es-ES"/>
        </w:rPr>
        <w:t xml:space="preserve">, conlleva a razonar que </w:t>
      </w:r>
      <w:r w:rsidR="000E5E5D">
        <w:rPr>
          <w:rFonts w:ascii="Cambria" w:hAnsi="Cambria"/>
          <w:sz w:val="20"/>
          <w:szCs w:val="20"/>
          <w:lang w:val="es-ES"/>
        </w:rPr>
        <w:t xml:space="preserve">el </w:t>
      </w:r>
      <w:r w:rsidR="000F7158" w:rsidRPr="00F4561C">
        <w:rPr>
          <w:rFonts w:ascii="Cambria" w:hAnsi="Cambria"/>
          <w:sz w:val="20"/>
          <w:szCs w:val="20"/>
          <w:lang w:val="es-ES"/>
        </w:rPr>
        <w:t xml:space="preserve">mismo fue vía idónea ejercida por la presunta víctima a efectos de plantear sus alegatos a nivel interno. Nada hace pensar a </w:t>
      </w:r>
      <w:r w:rsidR="000F7158" w:rsidRPr="00F4561C">
        <w:rPr>
          <w:rFonts w:ascii="Cambria" w:hAnsi="Cambria"/>
          <w:sz w:val="20"/>
          <w:szCs w:val="20"/>
          <w:lang w:val="es-ES"/>
        </w:rPr>
        <w:lastRenderedPageBreak/>
        <w:t>la Comisión, que su interposición hubiese sido manifiestamente irrazonable o temeraria</w:t>
      </w:r>
      <w:r w:rsidR="00EC40A9" w:rsidRPr="00F4561C">
        <w:rPr>
          <w:rFonts w:ascii="Cambria" w:eastAsia="Calibri" w:hAnsi="Cambria" w:cs="Calibri"/>
          <w:sz w:val="20"/>
          <w:szCs w:val="20"/>
          <w:bdr w:val="none" w:sz="0" w:space="0" w:color="auto"/>
          <w:vertAlign w:val="superscript"/>
          <w:lang w:val="es-ES_tradnl"/>
        </w:rPr>
        <w:footnoteReference w:id="6"/>
      </w:r>
      <w:r w:rsidR="000F7158" w:rsidRPr="00F4561C">
        <w:rPr>
          <w:rFonts w:ascii="Cambria" w:hAnsi="Cambria"/>
          <w:sz w:val="20"/>
          <w:szCs w:val="20"/>
          <w:lang w:val="es-ES"/>
        </w:rPr>
        <w:t>.</w:t>
      </w:r>
      <w:r w:rsidR="000E5E5D">
        <w:rPr>
          <w:rFonts w:ascii="Cambria" w:hAnsi="Cambria"/>
          <w:sz w:val="20"/>
          <w:szCs w:val="20"/>
          <w:lang w:val="es-ES"/>
        </w:rPr>
        <w:t xml:space="preserve"> En vista de lo anterior, la CIDH considera </w:t>
      </w:r>
      <w:r w:rsidR="006B42F9">
        <w:rPr>
          <w:rFonts w:ascii="Cambria" w:hAnsi="Cambria"/>
          <w:sz w:val="20"/>
          <w:szCs w:val="20"/>
          <w:lang w:val="es-ES"/>
        </w:rPr>
        <w:t>que la petición cumple con la</w:t>
      </w:r>
      <w:r w:rsidR="000E5E5D">
        <w:rPr>
          <w:rFonts w:ascii="Cambria" w:hAnsi="Cambria"/>
          <w:sz w:val="20"/>
          <w:szCs w:val="20"/>
          <w:lang w:val="es-ES"/>
        </w:rPr>
        <w:t xml:space="preserve"> regla del plazo de los seis meses dado que la</w:t>
      </w:r>
      <w:r w:rsidR="000F7158" w:rsidRPr="00F4561C">
        <w:rPr>
          <w:rFonts w:ascii="Cambria" w:hAnsi="Cambria"/>
          <w:sz w:val="20"/>
          <w:szCs w:val="20"/>
          <w:lang w:val="es-ES"/>
        </w:rPr>
        <w:t xml:space="preserve"> denuncia ante la Comisión fue presentada el </w:t>
      </w:r>
      <w:r w:rsidR="00F4561C" w:rsidRPr="00F4561C">
        <w:rPr>
          <w:rFonts w:ascii="Cambria" w:hAnsi="Cambria"/>
          <w:sz w:val="20"/>
          <w:szCs w:val="20"/>
          <w:lang w:val="es-ES"/>
        </w:rPr>
        <w:t>2</w:t>
      </w:r>
      <w:r w:rsidR="000F7158" w:rsidRPr="00F4561C">
        <w:rPr>
          <w:rFonts w:ascii="Cambria" w:hAnsi="Cambria"/>
          <w:sz w:val="20"/>
          <w:szCs w:val="20"/>
          <w:lang w:val="es-ES"/>
        </w:rPr>
        <w:t xml:space="preserve">4 de </w:t>
      </w:r>
      <w:r w:rsidR="00F4561C" w:rsidRPr="00F4561C">
        <w:rPr>
          <w:rFonts w:ascii="Cambria" w:hAnsi="Cambria"/>
          <w:sz w:val="20"/>
          <w:szCs w:val="20"/>
          <w:lang w:val="es-ES"/>
        </w:rPr>
        <w:t>junio</w:t>
      </w:r>
      <w:r w:rsidR="000F7158" w:rsidRPr="00F4561C">
        <w:rPr>
          <w:rFonts w:ascii="Cambria" w:hAnsi="Cambria"/>
          <w:sz w:val="20"/>
          <w:szCs w:val="20"/>
          <w:lang w:val="es-ES"/>
        </w:rPr>
        <w:t xml:space="preserve"> de 200</w:t>
      </w:r>
      <w:r w:rsidR="00F4561C" w:rsidRPr="00F4561C">
        <w:rPr>
          <w:rFonts w:ascii="Cambria" w:hAnsi="Cambria"/>
          <w:sz w:val="20"/>
          <w:szCs w:val="20"/>
          <w:lang w:val="es-ES"/>
        </w:rPr>
        <w:t>8</w:t>
      </w:r>
      <w:r w:rsidR="000F7158" w:rsidRPr="00F4561C">
        <w:rPr>
          <w:rFonts w:ascii="Cambria" w:hAnsi="Cambria"/>
          <w:sz w:val="20"/>
          <w:szCs w:val="20"/>
          <w:lang w:val="es-ES"/>
        </w:rPr>
        <w:t xml:space="preserve"> y los recursos internos fueron agotados el </w:t>
      </w:r>
      <w:r w:rsidR="00E022F3">
        <w:rPr>
          <w:rFonts w:ascii="Cambria" w:hAnsi="Cambria"/>
          <w:sz w:val="20"/>
          <w:szCs w:val="20"/>
          <w:lang w:val="es-ES"/>
        </w:rPr>
        <w:t>21</w:t>
      </w:r>
      <w:r w:rsidR="00F4561C" w:rsidRPr="00F4561C">
        <w:rPr>
          <w:rFonts w:ascii="Cambria" w:hAnsi="Cambria"/>
          <w:sz w:val="20"/>
          <w:szCs w:val="20"/>
          <w:lang w:val="es-ES"/>
        </w:rPr>
        <w:t xml:space="preserve"> de </w:t>
      </w:r>
      <w:r w:rsidR="00E022F3">
        <w:rPr>
          <w:rFonts w:ascii="Cambria" w:hAnsi="Cambria"/>
          <w:sz w:val="20"/>
          <w:szCs w:val="20"/>
          <w:lang w:val="es-ES"/>
        </w:rPr>
        <w:t>febrero</w:t>
      </w:r>
      <w:r w:rsidR="00F4561C" w:rsidRPr="00F4561C">
        <w:rPr>
          <w:rFonts w:ascii="Cambria" w:hAnsi="Cambria"/>
          <w:sz w:val="20"/>
          <w:szCs w:val="20"/>
          <w:lang w:val="es-ES"/>
        </w:rPr>
        <w:t xml:space="preserve"> de 200</w:t>
      </w:r>
      <w:r w:rsidR="00E022F3">
        <w:rPr>
          <w:rFonts w:ascii="Cambria" w:hAnsi="Cambria"/>
          <w:sz w:val="20"/>
          <w:szCs w:val="20"/>
          <w:lang w:val="es-ES"/>
        </w:rPr>
        <w:t>8</w:t>
      </w:r>
      <w:r w:rsidR="00F4561C" w:rsidRPr="00F4561C">
        <w:rPr>
          <w:rFonts w:ascii="Cambria" w:hAnsi="Cambria"/>
          <w:sz w:val="20"/>
          <w:szCs w:val="20"/>
          <w:lang w:val="es-ES"/>
        </w:rPr>
        <w:t xml:space="preserve"> </w:t>
      </w:r>
      <w:r w:rsidR="000F7158" w:rsidRPr="00F4561C">
        <w:rPr>
          <w:rFonts w:ascii="Cambria" w:hAnsi="Cambria"/>
          <w:sz w:val="20"/>
          <w:szCs w:val="20"/>
          <w:lang w:val="es-ES"/>
        </w:rPr>
        <w:t xml:space="preserve">con la </w:t>
      </w:r>
      <w:r w:rsidR="00F4561C" w:rsidRPr="00F4561C">
        <w:rPr>
          <w:rFonts w:ascii="Cambria" w:hAnsi="Cambria"/>
          <w:sz w:val="20"/>
          <w:szCs w:val="20"/>
          <w:lang w:val="es-ES"/>
        </w:rPr>
        <w:t>notificación de la sentencia de la Sala Constitucional</w:t>
      </w:r>
      <w:r w:rsidR="00F4561C" w:rsidRPr="00F4561C">
        <w:rPr>
          <w:lang w:val="es-AR"/>
        </w:rPr>
        <w:t xml:space="preserve"> </w:t>
      </w:r>
      <w:r w:rsidR="00F4561C" w:rsidRPr="00F4561C">
        <w:rPr>
          <w:rFonts w:ascii="Cambria" w:hAnsi="Cambria"/>
          <w:sz w:val="20"/>
          <w:szCs w:val="20"/>
          <w:lang w:val="es-ES"/>
        </w:rPr>
        <w:t>del Tribunal Supremo de Justicia que resolvió la Acción de Amparo Constitucional</w:t>
      </w:r>
      <w:r w:rsidR="000F7158" w:rsidRPr="00F4561C">
        <w:rPr>
          <w:rFonts w:ascii="Cambria" w:hAnsi="Cambria"/>
          <w:sz w:val="20"/>
          <w:szCs w:val="20"/>
          <w:lang w:val="es-ES"/>
        </w:rPr>
        <w:t>.</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332B8977" w14:textId="1A050CFE" w:rsidR="00CF6A37" w:rsidRDefault="005F279A" w:rsidP="00CF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F279A">
        <w:rPr>
          <w:rFonts w:ascii="Cambria" w:hAnsi="Cambria"/>
          <w:sz w:val="20"/>
          <w:szCs w:val="20"/>
          <w:lang w:val="es-ES"/>
        </w:rPr>
        <w:t xml:space="preserve">En vista de los elementos de hecho y de derecho presentados y la naturaleza del asunto puesto bajo su conocimiento, la CIDH considera que de ser probados los alegatos planteados por la </w:t>
      </w:r>
      <w:r w:rsidR="005D0181">
        <w:rPr>
          <w:rFonts w:ascii="Cambria" w:hAnsi="Cambria"/>
          <w:sz w:val="20"/>
          <w:szCs w:val="20"/>
          <w:lang w:val="es-ES"/>
        </w:rPr>
        <w:t xml:space="preserve">parte </w:t>
      </w:r>
      <w:r w:rsidRPr="005F279A">
        <w:rPr>
          <w:rFonts w:ascii="Cambria" w:hAnsi="Cambria"/>
          <w:sz w:val="20"/>
          <w:szCs w:val="20"/>
          <w:lang w:val="es-ES"/>
        </w:rPr>
        <w:t>peticionaria relativos a la supuesta vulneración a los derechos al debido proceso</w:t>
      </w:r>
      <w:r w:rsidR="00F9012C">
        <w:rPr>
          <w:rFonts w:ascii="Cambria" w:hAnsi="Cambria"/>
          <w:sz w:val="20"/>
          <w:szCs w:val="20"/>
          <w:lang w:val="es-ES"/>
        </w:rPr>
        <w:t xml:space="preserve">, </w:t>
      </w:r>
      <w:r w:rsidR="0071463C">
        <w:rPr>
          <w:rFonts w:ascii="Cambria" w:hAnsi="Cambria"/>
          <w:sz w:val="20"/>
          <w:szCs w:val="20"/>
          <w:lang w:val="es-ES"/>
        </w:rPr>
        <w:t>protección judicial</w:t>
      </w:r>
      <w:r w:rsidRPr="005F279A">
        <w:rPr>
          <w:rFonts w:ascii="Cambria" w:hAnsi="Cambria"/>
          <w:sz w:val="20"/>
          <w:szCs w:val="20"/>
          <w:lang w:val="es-ES"/>
        </w:rPr>
        <w:t>,</w:t>
      </w:r>
      <w:r w:rsidR="0071463C">
        <w:rPr>
          <w:rFonts w:ascii="Cambria" w:hAnsi="Cambria"/>
          <w:sz w:val="20"/>
          <w:szCs w:val="20"/>
          <w:lang w:val="es-ES"/>
        </w:rPr>
        <w:t xml:space="preserve"> como </w:t>
      </w:r>
      <w:r w:rsidR="00F9012C">
        <w:rPr>
          <w:rFonts w:ascii="Cambria" w:hAnsi="Cambria"/>
          <w:sz w:val="20"/>
          <w:szCs w:val="20"/>
          <w:lang w:val="es-ES"/>
        </w:rPr>
        <w:t>así</w:t>
      </w:r>
      <w:r w:rsidR="0071463C">
        <w:rPr>
          <w:rFonts w:ascii="Cambria" w:hAnsi="Cambria"/>
          <w:sz w:val="20"/>
          <w:szCs w:val="20"/>
          <w:lang w:val="es-ES"/>
        </w:rPr>
        <w:t xml:space="preserve"> </w:t>
      </w:r>
      <w:r w:rsidR="00F9012C">
        <w:rPr>
          <w:rFonts w:ascii="Cambria" w:hAnsi="Cambria"/>
          <w:sz w:val="20"/>
          <w:szCs w:val="20"/>
          <w:lang w:val="es-ES"/>
        </w:rPr>
        <w:t>también</w:t>
      </w:r>
      <w:r w:rsidR="0071463C">
        <w:rPr>
          <w:rFonts w:ascii="Cambria" w:hAnsi="Cambria"/>
          <w:sz w:val="20"/>
          <w:szCs w:val="20"/>
          <w:lang w:val="es-ES"/>
        </w:rPr>
        <w:t xml:space="preserve"> </w:t>
      </w:r>
      <w:r w:rsidR="00F9012C">
        <w:rPr>
          <w:rFonts w:ascii="Cambria" w:hAnsi="Cambria"/>
          <w:sz w:val="20"/>
          <w:szCs w:val="20"/>
          <w:lang w:val="es-ES"/>
        </w:rPr>
        <w:t xml:space="preserve">seguridad social, podrían constituir </w:t>
      </w:r>
      <w:r w:rsidR="00F9012C" w:rsidRPr="00F9012C">
        <w:rPr>
          <w:rFonts w:ascii="Cambria" w:hAnsi="Cambria"/>
          <w:i/>
          <w:sz w:val="20"/>
          <w:szCs w:val="20"/>
          <w:lang w:val="es-ES"/>
        </w:rPr>
        <w:t>prima facie</w:t>
      </w:r>
      <w:r w:rsidR="00F9012C">
        <w:rPr>
          <w:rFonts w:ascii="Cambria" w:hAnsi="Cambria"/>
          <w:sz w:val="20"/>
          <w:szCs w:val="20"/>
          <w:lang w:val="es-ES"/>
        </w:rPr>
        <w:t xml:space="preserve"> </w:t>
      </w:r>
      <w:r w:rsidRPr="005F279A">
        <w:rPr>
          <w:rFonts w:ascii="Cambria" w:hAnsi="Cambria"/>
          <w:sz w:val="20"/>
          <w:szCs w:val="20"/>
          <w:lang w:val="es-ES"/>
        </w:rPr>
        <w:t xml:space="preserve">violaciones a los artículos </w:t>
      </w:r>
      <w:r w:rsidR="005D0181" w:rsidRPr="005D0181">
        <w:rPr>
          <w:rFonts w:ascii="Cambria" w:hAnsi="Cambria"/>
          <w:sz w:val="20"/>
          <w:szCs w:val="20"/>
          <w:lang w:val="es-ES"/>
        </w:rPr>
        <w:t>8 (garantías judiciales), 21 (propiedad privada), 25 (protección judicial)</w:t>
      </w:r>
      <w:r w:rsidR="00F9012C">
        <w:rPr>
          <w:rFonts w:ascii="Cambria" w:hAnsi="Cambria"/>
          <w:sz w:val="20"/>
          <w:szCs w:val="20"/>
          <w:lang w:val="es-ES"/>
        </w:rPr>
        <w:t xml:space="preserve"> y 26 (derechos económicos, sociales y culturales)</w:t>
      </w:r>
      <w:r w:rsidR="005D0181" w:rsidRPr="005D0181">
        <w:rPr>
          <w:rFonts w:ascii="Cambria" w:hAnsi="Cambria"/>
          <w:sz w:val="20"/>
          <w:szCs w:val="20"/>
          <w:lang w:val="es-ES"/>
        </w:rPr>
        <w:t xml:space="preserve"> de la Convención Americana; relacionados con </w:t>
      </w:r>
      <w:r w:rsidR="00335CE5">
        <w:rPr>
          <w:rFonts w:ascii="Cambria" w:hAnsi="Cambria"/>
          <w:sz w:val="20"/>
          <w:szCs w:val="20"/>
          <w:lang w:val="es-ES"/>
        </w:rPr>
        <w:t>el</w:t>
      </w:r>
      <w:r w:rsidR="005D0181" w:rsidRPr="005D0181">
        <w:rPr>
          <w:rFonts w:ascii="Cambria" w:hAnsi="Cambria"/>
          <w:sz w:val="20"/>
          <w:szCs w:val="20"/>
          <w:lang w:val="es-ES"/>
        </w:rPr>
        <w:t xml:space="preserve"> artículo 1.1 (obligación de respetar los derechos) del mismo instrumento</w:t>
      </w:r>
      <w:r w:rsidR="00F9012C">
        <w:rPr>
          <w:rFonts w:ascii="Cambria" w:hAnsi="Cambria"/>
          <w:sz w:val="20"/>
          <w:szCs w:val="20"/>
          <w:lang w:val="es-ES"/>
        </w:rPr>
        <w:t xml:space="preserve"> </w:t>
      </w:r>
      <w:r w:rsidR="005D0181">
        <w:rPr>
          <w:rFonts w:ascii="Cambria" w:hAnsi="Cambria"/>
          <w:sz w:val="20"/>
          <w:szCs w:val="20"/>
          <w:lang w:val="es-ES"/>
        </w:rPr>
        <w:t xml:space="preserve">en perjuicio del Sr. Carlos Andrés Meneses Ruíz. </w:t>
      </w:r>
    </w:p>
    <w:p w14:paraId="44F5732E" w14:textId="77777777" w:rsidR="00F233E3" w:rsidRPr="00F233E3" w:rsidRDefault="006C4BAE" w:rsidP="00CF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F6A37">
        <w:rPr>
          <w:rFonts w:ascii="Cambria" w:hAnsi="Cambria" w:cs="Calibri"/>
          <w:sz w:val="20"/>
          <w:szCs w:val="20"/>
          <w:lang w:val="es-ES_tradnl"/>
        </w:rPr>
        <w:t>En cuanto a los alegatos sobre violaci</w:t>
      </w:r>
      <w:r w:rsidR="00EB7698" w:rsidRPr="00CF6A37">
        <w:rPr>
          <w:rFonts w:ascii="Cambria" w:hAnsi="Cambria" w:cs="Calibri"/>
          <w:sz w:val="20"/>
          <w:szCs w:val="20"/>
          <w:lang w:val="es-ES_tradnl"/>
        </w:rPr>
        <w:t>ones al artículo 9</w:t>
      </w:r>
      <w:r w:rsidR="0071463C" w:rsidRPr="00CF6A37">
        <w:rPr>
          <w:rFonts w:ascii="Cambria" w:hAnsi="Cambria" w:cs="Calibri"/>
          <w:sz w:val="20"/>
          <w:szCs w:val="20"/>
          <w:lang w:val="es-ES_tradnl"/>
        </w:rPr>
        <w:t xml:space="preserve"> (seguridad social) </w:t>
      </w:r>
      <w:r w:rsidRPr="00CF6A37">
        <w:rPr>
          <w:rFonts w:ascii="Cambria" w:hAnsi="Cambria" w:cs="Calibri"/>
          <w:sz w:val="20"/>
          <w:szCs w:val="20"/>
          <w:lang w:val="es-ES_tradnl"/>
        </w:rPr>
        <w:t>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r w:rsidR="0042569E" w:rsidRPr="00CF6A37">
        <w:rPr>
          <w:rFonts w:ascii="Cambria" w:hAnsi="Cambria" w:cs="Calibri"/>
          <w:sz w:val="20"/>
          <w:szCs w:val="20"/>
          <w:lang w:val="es-ES_tradnl"/>
        </w:rPr>
        <w:t xml:space="preserve"> </w:t>
      </w:r>
    </w:p>
    <w:p w14:paraId="0A781C50" w14:textId="35DF95C1" w:rsidR="00CF6A37" w:rsidRDefault="004531D8" w:rsidP="00CF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_tradnl"/>
        </w:rPr>
        <w:t>C</w:t>
      </w:r>
      <w:r w:rsidR="00CF6A37" w:rsidRPr="00CF6A37">
        <w:rPr>
          <w:rFonts w:ascii="Cambria" w:hAnsi="Cambria" w:cs="Calibri"/>
          <w:sz w:val="20"/>
          <w:szCs w:val="20"/>
          <w:lang w:val="es-ES_tradnl"/>
        </w:rPr>
        <w:t xml:space="preserve">on </w:t>
      </w:r>
      <w:r>
        <w:rPr>
          <w:rFonts w:ascii="Cambria" w:hAnsi="Cambria" w:cs="Calibri"/>
          <w:sz w:val="20"/>
          <w:szCs w:val="20"/>
          <w:lang w:val="es-ES_tradnl"/>
        </w:rPr>
        <w:t>respecto a</w:t>
      </w:r>
      <w:r w:rsidR="00CF6A37" w:rsidRPr="00CF6A37">
        <w:rPr>
          <w:rFonts w:ascii="Cambria" w:hAnsi="Cambria" w:cs="Calibri"/>
          <w:sz w:val="20"/>
          <w:szCs w:val="20"/>
          <w:lang w:val="es-ES_tradnl"/>
        </w:rPr>
        <w:t>l reclamo sobre la presunta violación del art</w:t>
      </w:r>
      <w:r w:rsidR="00CF6A37">
        <w:rPr>
          <w:rFonts w:ascii="Cambria" w:hAnsi="Cambria" w:cs="Calibri"/>
          <w:sz w:val="20"/>
          <w:szCs w:val="20"/>
          <w:lang w:val="es-ES_tradnl"/>
        </w:rPr>
        <w:t>ículo X</w:t>
      </w:r>
      <w:r w:rsidR="00CF6A37" w:rsidRPr="00CF6A37">
        <w:rPr>
          <w:rFonts w:ascii="Cambria" w:hAnsi="Cambria" w:cs="Calibri"/>
          <w:sz w:val="20"/>
          <w:szCs w:val="20"/>
          <w:lang w:val="es-ES_tradnl"/>
        </w:rPr>
        <w:t>V</w:t>
      </w:r>
      <w:r w:rsidR="00CF6A37">
        <w:rPr>
          <w:rFonts w:ascii="Cambria" w:hAnsi="Cambria" w:cs="Calibri"/>
          <w:sz w:val="20"/>
          <w:szCs w:val="20"/>
          <w:lang w:val="es-ES_tradnl"/>
        </w:rPr>
        <w:t>I</w:t>
      </w:r>
      <w:r w:rsidR="00CF6A37" w:rsidRPr="00CF6A37">
        <w:rPr>
          <w:rFonts w:ascii="Cambria" w:hAnsi="Cambria" w:cs="Calibri"/>
          <w:sz w:val="20"/>
          <w:szCs w:val="20"/>
          <w:lang w:val="es-ES_tradnl"/>
        </w:rPr>
        <w:t xml:space="preserve"> (seguridad social) de </w:t>
      </w:r>
      <w:r w:rsidR="0042569E" w:rsidRPr="00CF6A37">
        <w:rPr>
          <w:rFonts w:ascii="Cambria" w:hAnsi="Cambria" w:cs="Calibri"/>
          <w:sz w:val="20"/>
          <w:szCs w:val="20"/>
          <w:lang w:val="es-ES_tradnl"/>
        </w:rPr>
        <w:t>la Declaración Americana</w:t>
      </w:r>
      <w:r w:rsidR="00CF6A37" w:rsidRPr="00CF6A37">
        <w:rPr>
          <w:rFonts w:ascii="Cambria" w:hAnsi="Cambria" w:cs="Calibri"/>
          <w:sz w:val="20"/>
          <w:szCs w:val="20"/>
          <w:lang w:val="es-ES_tradnl"/>
        </w:rPr>
        <w:t xml:space="preserve">, </w:t>
      </w:r>
      <w:r w:rsidR="00CF6A37" w:rsidRPr="00CF6A37">
        <w:rPr>
          <w:rFonts w:ascii="Cambria" w:hAnsi="Cambria" w:cs="Cambria"/>
          <w:sz w:val="20"/>
          <w:szCs w:val="20"/>
          <w:lang w:val="es-AR" w:eastAsia="es-ES"/>
        </w:rPr>
        <w:t>la Comisión reitera que una vez que la Convención Americana entra en vigor en relación con un Estado, esta y no la Declaración pasa a ser la fuente primaria de derecho aplicable por la Comisión, siempre que en la petición se aleguen violaciones de derechos sustancialmente idénticos consagrados en los dos instrumentos. Teniendo 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especifica de la Declaración relacionada con el contenido general del articulo 26 antes referido, el análisis de su correspondencia e identidad es propia de la etapa de fondo</w:t>
      </w:r>
      <w:r w:rsidR="00CF6A37">
        <w:rPr>
          <w:rStyle w:val="FootnoteReference"/>
          <w:rFonts w:ascii="Cambria" w:hAnsi="Cambria" w:cs="Cambria"/>
          <w:sz w:val="20"/>
          <w:szCs w:val="20"/>
          <w:lang w:val="es-AR" w:eastAsia="es-ES"/>
        </w:rPr>
        <w:footnoteReference w:id="7"/>
      </w:r>
      <w:r w:rsidR="00CF6A37" w:rsidRPr="00CF6A37">
        <w:rPr>
          <w:rFonts w:ascii="Cambria" w:hAnsi="Cambria" w:cs="Cambria"/>
          <w:sz w:val="20"/>
          <w:szCs w:val="20"/>
          <w:lang w:val="es-AR" w:eastAsia="es-ES"/>
        </w:rPr>
        <w:t>.</w:t>
      </w:r>
    </w:p>
    <w:p w14:paraId="1EFF0B64" w14:textId="3CE2D02D" w:rsidR="009762D1" w:rsidRPr="00CF6A37" w:rsidRDefault="009762D1" w:rsidP="00CF6A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F6A37">
        <w:rPr>
          <w:rFonts w:ascii="Cambria" w:hAnsi="Cambria" w:cs="Calibri"/>
          <w:sz w:val="20"/>
          <w:szCs w:val="20"/>
          <w:lang w:val="es-ES_tradnl"/>
        </w:rPr>
        <w:t xml:space="preserve">Por último, respecto </w:t>
      </w:r>
      <w:r w:rsidR="005D0181" w:rsidRPr="00CF6A37">
        <w:rPr>
          <w:rFonts w:ascii="Cambria" w:hAnsi="Cambria" w:cs="Calibri"/>
          <w:sz w:val="20"/>
          <w:szCs w:val="20"/>
          <w:lang w:val="es-ES_tradnl"/>
        </w:rPr>
        <w:t>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70DA61C" w14:textId="564CE66E" w:rsidR="000419AD" w:rsidRPr="008A2B0D" w:rsidRDefault="003239B8" w:rsidP="00CF6A3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F50E90">
        <w:rPr>
          <w:rFonts w:asciiTheme="majorHAnsi" w:hAnsiTheme="majorHAnsi"/>
          <w:sz w:val="20"/>
          <w:szCs w:val="20"/>
          <w:lang w:val="es-ES"/>
        </w:rPr>
        <w:t>los artículos</w:t>
      </w:r>
      <w:r w:rsidR="005D0181">
        <w:rPr>
          <w:rFonts w:asciiTheme="majorHAnsi" w:hAnsiTheme="majorHAnsi"/>
          <w:sz w:val="20"/>
          <w:szCs w:val="20"/>
          <w:lang w:val="es-ES"/>
        </w:rPr>
        <w:t xml:space="preserve"> </w:t>
      </w:r>
      <w:r w:rsidR="00CF6A37">
        <w:rPr>
          <w:rFonts w:asciiTheme="majorHAnsi" w:hAnsiTheme="majorHAnsi"/>
          <w:sz w:val="20"/>
          <w:szCs w:val="20"/>
          <w:lang w:val="es-ES"/>
        </w:rPr>
        <w:t>8,</w:t>
      </w:r>
      <w:r w:rsidR="00F50E90" w:rsidRPr="00F50E90">
        <w:rPr>
          <w:rFonts w:asciiTheme="majorHAnsi" w:hAnsiTheme="majorHAnsi"/>
          <w:sz w:val="20"/>
          <w:szCs w:val="20"/>
          <w:lang w:val="es-ES"/>
        </w:rPr>
        <w:t xml:space="preserve"> 21</w:t>
      </w:r>
      <w:r w:rsidR="00CF6A37">
        <w:rPr>
          <w:rFonts w:asciiTheme="majorHAnsi" w:hAnsiTheme="majorHAnsi"/>
          <w:sz w:val="20"/>
          <w:szCs w:val="20"/>
          <w:lang w:val="es-ES"/>
        </w:rPr>
        <w:t>, 25 y 26</w:t>
      </w:r>
      <w:r w:rsidR="00F50E90" w:rsidRPr="00F50E90">
        <w:rPr>
          <w:rFonts w:asciiTheme="majorHAnsi" w:hAnsiTheme="majorHAnsi"/>
          <w:sz w:val="20"/>
          <w:szCs w:val="20"/>
          <w:lang w:val="es-ES"/>
        </w:rPr>
        <w:t xml:space="preserve"> de la Convención Americana </w:t>
      </w:r>
      <w:r w:rsidR="0005791C">
        <w:rPr>
          <w:rFonts w:asciiTheme="majorHAnsi" w:hAnsiTheme="majorHAnsi"/>
          <w:sz w:val="20"/>
          <w:szCs w:val="20"/>
          <w:lang w:val="es-ES"/>
        </w:rPr>
        <w:t xml:space="preserve">en relación con su </w:t>
      </w:r>
      <w:r w:rsidR="00F50E90" w:rsidRPr="00F50E90">
        <w:rPr>
          <w:rFonts w:asciiTheme="majorHAnsi" w:hAnsiTheme="majorHAnsi"/>
          <w:sz w:val="20"/>
          <w:szCs w:val="20"/>
          <w:lang w:val="es-ES"/>
        </w:rPr>
        <w:t>artículo 1.1</w:t>
      </w:r>
      <w:r w:rsidR="00F50E90">
        <w:rPr>
          <w:rFonts w:asciiTheme="majorHAnsi" w:hAnsiTheme="majorHAnsi"/>
          <w:sz w:val="20"/>
          <w:szCs w:val="20"/>
          <w:lang w:val="es-ES"/>
        </w:rPr>
        <w:t>.</w:t>
      </w:r>
      <w:r w:rsidR="008A2B0D">
        <w:rPr>
          <w:rFonts w:asciiTheme="majorHAnsi" w:hAnsiTheme="majorHAnsi"/>
          <w:sz w:val="20"/>
          <w:szCs w:val="20"/>
          <w:lang w:val="es-ES"/>
        </w:rPr>
        <w:t xml:space="preserve"> </w:t>
      </w:r>
    </w:p>
    <w:p w14:paraId="12A7002C" w14:textId="7777777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54E21E14" w14:textId="1B772FE1" w:rsidR="00643F1C" w:rsidRPr="002B7B81" w:rsidRDefault="004C5685" w:rsidP="001D2A91">
      <w:pPr>
        <w:rPr>
          <w:rFonts w:ascii="Cambria" w:hAnsi="Cambria"/>
          <w:sz w:val="20"/>
          <w:szCs w:val="20"/>
          <w:lang w:val="es-ES"/>
        </w:rPr>
      </w:pPr>
      <w:r>
        <w:rPr>
          <w:rFonts w:asciiTheme="majorHAnsi" w:hAnsiTheme="majorHAnsi"/>
          <w:sz w:val="20"/>
          <w:szCs w:val="20"/>
          <w:lang w:val="es-ES"/>
        </w:rPr>
        <w:br w:type="page"/>
      </w:r>
      <w:r w:rsidR="00643F1C">
        <w:rPr>
          <w:rFonts w:ascii="Cambria" w:hAnsi="Cambria"/>
          <w:sz w:val="20"/>
          <w:szCs w:val="20"/>
          <w:lang w:val="es-ES"/>
        </w:rPr>
        <w:lastRenderedPageBreak/>
        <w:tab/>
      </w:r>
      <w:r w:rsidR="00643F1C" w:rsidRPr="002B7B81">
        <w:rPr>
          <w:rFonts w:ascii="Cambria" w:hAnsi="Cambria"/>
          <w:sz w:val="20"/>
          <w:szCs w:val="20"/>
          <w:lang w:val="es-ES"/>
        </w:rPr>
        <w:t xml:space="preserve">Aprobado por la Comisión Interamericana de Derechos Humanos a los </w:t>
      </w:r>
      <w:r w:rsidR="00643F1C">
        <w:rPr>
          <w:rFonts w:ascii="Cambria" w:hAnsi="Cambria" w:cs="Arial"/>
          <w:noProof/>
          <w:spacing w:val="-2"/>
          <w:sz w:val="20"/>
          <w:szCs w:val="20"/>
          <w:lang w:val="es-CL"/>
        </w:rPr>
        <w:t>5</w:t>
      </w:r>
      <w:r w:rsidR="00643F1C" w:rsidRPr="002B7B81">
        <w:rPr>
          <w:rFonts w:ascii="Cambria" w:hAnsi="Cambria"/>
          <w:sz w:val="20"/>
          <w:szCs w:val="20"/>
          <w:lang w:val="es-ES"/>
        </w:rPr>
        <w:t xml:space="preserve"> días del mes de </w:t>
      </w:r>
      <w:r w:rsidR="00643F1C">
        <w:rPr>
          <w:rFonts w:ascii="Cambria" w:hAnsi="Cambria" w:cs="Arial"/>
          <w:noProof/>
          <w:spacing w:val="-2"/>
          <w:sz w:val="20"/>
          <w:szCs w:val="20"/>
          <w:lang w:val="es-CL"/>
        </w:rPr>
        <w:t>marzo</w:t>
      </w:r>
      <w:r w:rsidR="00643F1C" w:rsidRPr="002B7B81">
        <w:rPr>
          <w:rFonts w:ascii="Cambria" w:hAnsi="Cambria"/>
          <w:sz w:val="20"/>
          <w:szCs w:val="20"/>
          <w:lang w:val="es-ES"/>
        </w:rPr>
        <w:t xml:space="preserve"> de 201</w:t>
      </w:r>
      <w:r w:rsidR="00643F1C">
        <w:rPr>
          <w:rFonts w:ascii="Cambria" w:hAnsi="Cambria"/>
          <w:sz w:val="20"/>
          <w:szCs w:val="20"/>
          <w:lang w:val="es-ES"/>
        </w:rPr>
        <w:t>9</w:t>
      </w:r>
      <w:r w:rsidR="00643F1C" w:rsidRPr="002B7B81">
        <w:rPr>
          <w:rFonts w:ascii="Cambria" w:hAnsi="Cambria"/>
          <w:sz w:val="20"/>
          <w:szCs w:val="20"/>
          <w:lang w:val="es-ES"/>
        </w:rPr>
        <w:t>.  (Firmado):</w:t>
      </w:r>
      <w:r w:rsidR="00643F1C" w:rsidRPr="003E2D0F">
        <w:rPr>
          <w:rFonts w:ascii="Cambria" w:hAnsi="Cambria"/>
          <w:sz w:val="20"/>
          <w:szCs w:val="20"/>
          <w:lang w:val="es-ES"/>
        </w:rPr>
        <w:t xml:space="preserve"> </w:t>
      </w:r>
      <w:r w:rsidR="00643F1C" w:rsidRPr="002B7B81">
        <w:rPr>
          <w:rFonts w:ascii="Cambria" w:hAnsi="Cambria"/>
          <w:sz w:val="20"/>
          <w:szCs w:val="20"/>
          <w:lang w:val="es-ES"/>
        </w:rPr>
        <w:t>Esmeralda E. Arosemena Bernal de Troitiño, Presidenta; Joel Hernández García</w:t>
      </w:r>
      <w:r w:rsidR="00643F1C">
        <w:rPr>
          <w:rFonts w:ascii="Cambria" w:hAnsi="Cambria"/>
          <w:sz w:val="20"/>
          <w:szCs w:val="20"/>
          <w:lang w:val="es-ES"/>
        </w:rPr>
        <w:t>,</w:t>
      </w:r>
      <w:r w:rsidR="00643F1C" w:rsidRPr="002B7B81">
        <w:rPr>
          <w:rFonts w:ascii="Cambria" w:hAnsi="Cambria"/>
          <w:sz w:val="20"/>
          <w:szCs w:val="20"/>
          <w:lang w:val="es-ES"/>
        </w:rPr>
        <w:t xml:space="preserve"> Primer Vicepresident</w:t>
      </w:r>
      <w:r w:rsidR="00643F1C">
        <w:rPr>
          <w:rFonts w:ascii="Cambria" w:hAnsi="Cambria"/>
          <w:sz w:val="20"/>
          <w:szCs w:val="20"/>
          <w:lang w:val="es-ES"/>
        </w:rPr>
        <w:t>e</w:t>
      </w:r>
      <w:r w:rsidR="00643F1C" w:rsidRPr="002B7B81">
        <w:rPr>
          <w:rFonts w:ascii="Cambria" w:hAnsi="Cambria"/>
          <w:sz w:val="20"/>
          <w:szCs w:val="20"/>
          <w:lang w:val="es-ES"/>
        </w:rPr>
        <w:t>; Antonia Urrejola</w:t>
      </w:r>
      <w:r w:rsidR="00643F1C">
        <w:rPr>
          <w:rFonts w:ascii="Cambria" w:hAnsi="Cambria"/>
          <w:sz w:val="20"/>
          <w:szCs w:val="20"/>
          <w:lang w:val="es-ES"/>
        </w:rPr>
        <w:t xml:space="preserve"> Noguera, Segunda Vicepresidenta;</w:t>
      </w:r>
      <w:r w:rsidR="00643F1C" w:rsidRPr="002B7B81">
        <w:rPr>
          <w:rFonts w:ascii="Cambria" w:hAnsi="Cambria"/>
          <w:sz w:val="20"/>
          <w:szCs w:val="20"/>
          <w:lang w:val="es-ES"/>
        </w:rPr>
        <w:t xml:space="preserve"> Margarette May Macaulay</w:t>
      </w:r>
      <w:r w:rsidR="00643F1C">
        <w:rPr>
          <w:rFonts w:ascii="Cambria" w:hAnsi="Cambria"/>
          <w:sz w:val="20"/>
          <w:szCs w:val="20"/>
          <w:lang w:val="es-ES"/>
        </w:rPr>
        <w:t xml:space="preserve">, </w:t>
      </w:r>
      <w:r w:rsidR="00643F1C" w:rsidRPr="002B7B81">
        <w:rPr>
          <w:rFonts w:ascii="Cambria" w:hAnsi="Cambria"/>
          <w:sz w:val="20"/>
          <w:szCs w:val="20"/>
          <w:lang w:val="es-ES"/>
        </w:rPr>
        <w:t xml:space="preserve">Francisco José Eguiguren Praeli, </w:t>
      </w:r>
      <w:r w:rsidR="00643F1C">
        <w:rPr>
          <w:rFonts w:ascii="Cambria" w:hAnsi="Cambria"/>
          <w:sz w:val="20"/>
          <w:szCs w:val="20"/>
          <w:lang w:val="es-ES"/>
        </w:rPr>
        <w:t>Luis Ernesto Vargas Silva</w:t>
      </w:r>
      <w:r w:rsidR="00643F1C" w:rsidRPr="002B7B81">
        <w:rPr>
          <w:rFonts w:ascii="Cambria" w:hAnsi="Cambria"/>
          <w:sz w:val="20"/>
          <w:szCs w:val="20"/>
          <w:lang w:val="es-ES"/>
        </w:rPr>
        <w:t xml:space="preserve"> y Flávia Piovesan, Miembros de la Comisión.</w:t>
      </w:r>
    </w:p>
    <w:p w14:paraId="01A8BFA2" w14:textId="77777777" w:rsidR="00643F1C" w:rsidRDefault="00643F1C" w:rsidP="00643F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4968C3E" w14:textId="0968FB23" w:rsidR="004C5685" w:rsidRPr="005E7CD5" w:rsidRDefault="00643F1C" w:rsidP="001D2A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pt-BR"/>
        </w:rPr>
      </w:pPr>
      <w:r>
        <w:rPr>
          <w:rFonts w:ascii="Cambria" w:hAnsi="Cambria"/>
          <w:sz w:val="20"/>
          <w:szCs w:val="20"/>
          <w:lang w:val="es-ES"/>
        </w:rPr>
        <w:tab/>
      </w:r>
    </w:p>
    <w:p w14:paraId="40C67F78" w14:textId="77777777" w:rsidR="005E7CD5" w:rsidRPr="005E7CD5" w:rsidRDefault="005E7CD5">
      <w:pPr>
        <w:suppressAutoHyphens/>
        <w:jc w:val="center"/>
        <w:rPr>
          <w:rFonts w:asciiTheme="majorHAnsi" w:hAnsiTheme="majorHAnsi"/>
          <w:sz w:val="20"/>
          <w:szCs w:val="20"/>
          <w:lang w:val="pt-BR"/>
        </w:rPr>
      </w:pPr>
    </w:p>
    <w:sectPr w:rsidR="005E7CD5" w:rsidRPr="005E7CD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DB0F9" w14:textId="77777777" w:rsidR="003E183D" w:rsidRDefault="003E183D">
      <w:r>
        <w:separator/>
      </w:r>
    </w:p>
  </w:endnote>
  <w:endnote w:type="continuationSeparator" w:id="0">
    <w:p w14:paraId="21846F3F" w14:textId="77777777" w:rsidR="003E183D" w:rsidRDefault="003E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3C2C3" w14:textId="77777777" w:rsidR="00D15B34" w:rsidRDefault="00D15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15B34">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773C4" w14:textId="77777777" w:rsidR="003E183D" w:rsidRPr="000F35ED" w:rsidRDefault="003E183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E943CA4" w14:textId="77777777" w:rsidR="003E183D" w:rsidRPr="000F35ED" w:rsidRDefault="003E183D" w:rsidP="000F35ED">
      <w:pPr>
        <w:rPr>
          <w:rFonts w:asciiTheme="majorHAnsi" w:hAnsiTheme="majorHAnsi"/>
          <w:sz w:val="16"/>
          <w:szCs w:val="16"/>
        </w:rPr>
      </w:pPr>
      <w:r w:rsidRPr="000F35ED">
        <w:rPr>
          <w:rFonts w:asciiTheme="majorHAnsi" w:hAnsiTheme="majorHAnsi"/>
          <w:sz w:val="16"/>
          <w:szCs w:val="16"/>
        </w:rPr>
        <w:separator/>
      </w:r>
    </w:p>
    <w:p w14:paraId="37E727BC" w14:textId="77777777" w:rsidR="003E183D" w:rsidRPr="000F35ED" w:rsidRDefault="003E183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4B002B1" w14:textId="77777777" w:rsidR="003E183D" w:rsidRPr="000F35ED" w:rsidRDefault="003E183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8B82585" w14:textId="1A51C130" w:rsidR="00705C6E" w:rsidRPr="00BE4518" w:rsidRDefault="00705C6E" w:rsidP="00705C6E">
      <w:pPr>
        <w:pStyle w:val="FootnoteText"/>
        <w:ind w:firstLine="720"/>
        <w:rPr>
          <w:sz w:val="16"/>
          <w:szCs w:val="16"/>
          <w:lang w:val="es-AR"/>
        </w:rPr>
      </w:pPr>
      <w:r w:rsidRPr="00BE4518">
        <w:rPr>
          <w:rStyle w:val="FootnoteReference"/>
          <w:sz w:val="16"/>
          <w:szCs w:val="16"/>
        </w:rPr>
        <w:footnoteRef/>
      </w:r>
      <w:r w:rsidRPr="00BE4518">
        <w:rPr>
          <w:sz w:val="16"/>
          <w:szCs w:val="16"/>
          <w:lang w:val="es-AR"/>
        </w:rPr>
        <w:t xml:space="preserve"> En adelante “la Convención Americana” o “la Convención”.</w:t>
      </w:r>
    </w:p>
  </w:footnote>
  <w:footnote w:id="3">
    <w:p w14:paraId="2673DDA5" w14:textId="36C5B08C" w:rsidR="00306133" w:rsidRPr="00306133" w:rsidRDefault="00306133" w:rsidP="00306133">
      <w:pPr>
        <w:pStyle w:val="FootnoteText"/>
        <w:ind w:firstLine="720"/>
        <w:rPr>
          <w:lang w:val="es-AR"/>
        </w:rPr>
      </w:pPr>
      <w:r>
        <w:rPr>
          <w:rStyle w:val="FootnoteReference"/>
        </w:rPr>
        <w:footnoteRef/>
      </w:r>
      <w:r w:rsidRPr="00306133">
        <w:rPr>
          <w:lang w:val="es-AR"/>
        </w:rPr>
        <w:t xml:space="preserve"> </w:t>
      </w:r>
      <w:r w:rsidRPr="002267A9">
        <w:rPr>
          <w:rFonts w:ascii="Cambria" w:hAnsi="Cambria"/>
          <w:sz w:val="16"/>
          <w:szCs w:val="16"/>
          <w:lang w:val="es-AR"/>
        </w:rPr>
        <w:t>En adelante “Protocolo de San Salvador”.</w:t>
      </w:r>
    </w:p>
  </w:footnote>
  <w:footnote w:id="4">
    <w:p w14:paraId="5B87391D" w14:textId="6C4421D5" w:rsidR="00705C6E" w:rsidRPr="00BE4518" w:rsidRDefault="00705C6E" w:rsidP="00705C6E">
      <w:pPr>
        <w:pStyle w:val="FootnoteText"/>
        <w:ind w:firstLine="720"/>
        <w:rPr>
          <w:sz w:val="16"/>
          <w:szCs w:val="16"/>
          <w:lang w:val="es-AR"/>
        </w:rPr>
      </w:pPr>
      <w:r w:rsidRPr="00BE4518">
        <w:rPr>
          <w:rStyle w:val="FootnoteReference"/>
          <w:sz w:val="16"/>
          <w:szCs w:val="16"/>
        </w:rPr>
        <w:footnoteRef/>
      </w:r>
      <w:r w:rsidRPr="00BE4518">
        <w:rPr>
          <w:sz w:val="16"/>
          <w:szCs w:val="16"/>
          <w:lang w:val="es-AR"/>
        </w:rPr>
        <w:t xml:space="preserve"> En adelante “la Declaración Americana” o “la Declaración”.</w:t>
      </w:r>
    </w:p>
  </w:footnote>
  <w:footnote w:id="5">
    <w:p w14:paraId="79F07139" w14:textId="77777777" w:rsidR="008E3BFE" w:rsidRPr="00BE4518" w:rsidRDefault="008E3BFE" w:rsidP="0042569E">
      <w:pPr>
        <w:pStyle w:val="FootnoteText"/>
        <w:spacing w:after="120"/>
        <w:ind w:firstLine="720"/>
        <w:jc w:val="both"/>
        <w:rPr>
          <w:rFonts w:ascii="Cambria" w:hAnsi="Cambria"/>
          <w:sz w:val="16"/>
          <w:szCs w:val="16"/>
          <w:lang w:val="es-ES"/>
        </w:rPr>
      </w:pPr>
      <w:r w:rsidRPr="00BE4518">
        <w:rPr>
          <w:rStyle w:val="FootnoteReference"/>
          <w:rFonts w:ascii="Cambria" w:hAnsi="Cambria"/>
          <w:sz w:val="16"/>
          <w:szCs w:val="16"/>
        </w:rPr>
        <w:footnoteRef/>
      </w:r>
      <w:r w:rsidRPr="00BE4518">
        <w:rPr>
          <w:rFonts w:ascii="Cambria" w:hAnsi="Cambria"/>
          <w:sz w:val="16"/>
          <w:szCs w:val="16"/>
          <w:lang w:val="es-ES"/>
        </w:rPr>
        <w:t xml:space="preserve"> Las observaciones de cada parte fueron debidamente trasladadas a la parte contraria.</w:t>
      </w:r>
    </w:p>
  </w:footnote>
  <w:footnote w:id="6">
    <w:p w14:paraId="52B625B5" w14:textId="77777777" w:rsidR="00EC40A9" w:rsidRPr="00BE4518" w:rsidRDefault="00EC40A9" w:rsidP="00EC40A9">
      <w:pPr>
        <w:pStyle w:val="FootnoteText"/>
        <w:jc w:val="both"/>
        <w:rPr>
          <w:rFonts w:ascii="Cambria" w:hAnsi="Cambria"/>
          <w:sz w:val="16"/>
          <w:szCs w:val="16"/>
          <w:lang w:val="es-ES"/>
        </w:rPr>
      </w:pPr>
      <w:r w:rsidRPr="00BE4518">
        <w:rPr>
          <w:rFonts w:ascii="Cambria" w:hAnsi="Cambria"/>
          <w:sz w:val="16"/>
          <w:szCs w:val="16"/>
          <w:lang w:val="es-ES"/>
        </w:rPr>
        <w:tab/>
      </w:r>
      <w:r w:rsidRPr="00BE4518">
        <w:rPr>
          <w:rStyle w:val="FootnoteReference"/>
          <w:rFonts w:ascii="Cambria" w:hAnsi="Cambria"/>
          <w:sz w:val="16"/>
          <w:szCs w:val="16"/>
        </w:rPr>
        <w:footnoteRef/>
      </w:r>
      <w:r w:rsidRPr="00BE4518">
        <w:rPr>
          <w:rFonts w:ascii="Cambria" w:hAnsi="Cambria"/>
          <w:sz w:val="16"/>
          <w:szCs w:val="16"/>
          <w:lang w:val="es-ES"/>
        </w:rPr>
        <w:t xml:space="preserve"> Ver CIDH, Informe No. 27/16, Petición 30-04. Inadmisibilidad. Luis </w:t>
      </w:r>
      <w:proofErr w:type="spellStart"/>
      <w:r w:rsidRPr="00BE4518">
        <w:rPr>
          <w:rFonts w:ascii="Cambria" w:hAnsi="Cambria"/>
          <w:sz w:val="16"/>
          <w:szCs w:val="16"/>
          <w:lang w:val="es-ES"/>
        </w:rPr>
        <w:t>Alexsander</w:t>
      </w:r>
      <w:proofErr w:type="spellEnd"/>
      <w:r w:rsidRPr="00BE4518">
        <w:rPr>
          <w:rFonts w:ascii="Cambria" w:hAnsi="Cambria"/>
          <w:sz w:val="16"/>
          <w:szCs w:val="16"/>
          <w:lang w:val="es-ES"/>
        </w:rPr>
        <w:t xml:space="preserve"> Santillán </w:t>
      </w:r>
      <w:proofErr w:type="spellStart"/>
      <w:r w:rsidRPr="00BE4518">
        <w:rPr>
          <w:rFonts w:ascii="Cambria" w:hAnsi="Cambria"/>
          <w:sz w:val="16"/>
          <w:szCs w:val="16"/>
          <w:lang w:val="es-ES"/>
        </w:rPr>
        <w:t>Hermoza</w:t>
      </w:r>
      <w:proofErr w:type="spellEnd"/>
      <w:r w:rsidRPr="00BE4518">
        <w:rPr>
          <w:rFonts w:ascii="Cambria" w:hAnsi="Cambria"/>
          <w:sz w:val="16"/>
          <w:szCs w:val="16"/>
          <w:lang w:val="es-ES"/>
        </w:rPr>
        <w:t xml:space="preserve">. Perú. 15 de abril de 2016, </w:t>
      </w:r>
      <w:proofErr w:type="spellStart"/>
      <w:r w:rsidRPr="00BE4518">
        <w:rPr>
          <w:rFonts w:ascii="Cambria" w:hAnsi="Cambria"/>
          <w:sz w:val="16"/>
          <w:szCs w:val="16"/>
          <w:lang w:val="es-ES"/>
        </w:rPr>
        <w:t>párrs</w:t>
      </w:r>
      <w:proofErr w:type="spellEnd"/>
      <w:r w:rsidRPr="00BE4518">
        <w:rPr>
          <w:rFonts w:ascii="Cambria" w:hAnsi="Cambria"/>
          <w:sz w:val="16"/>
          <w:szCs w:val="16"/>
          <w:lang w:val="es-ES"/>
        </w:rPr>
        <w:t>. 25 y 26.</w:t>
      </w:r>
      <w:r w:rsidRPr="00BE4518">
        <w:rPr>
          <w:sz w:val="16"/>
          <w:szCs w:val="16"/>
          <w:lang w:val="es-AR"/>
        </w:rPr>
        <w:t xml:space="preserve"> </w:t>
      </w:r>
      <w:r w:rsidRPr="00BE4518">
        <w:rPr>
          <w:rFonts w:ascii="Cambria" w:hAnsi="Cambria"/>
          <w:sz w:val="16"/>
          <w:szCs w:val="16"/>
          <w:lang w:val="es-ES"/>
        </w:rPr>
        <w:t>CIDH, Informe No. 156/17. Admisibilidad. Carlos Alfonso Fonseca Murillo. Ecuador. 30 de noviembre de 2017, párr. 17.</w:t>
      </w:r>
    </w:p>
  </w:footnote>
  <w:footnote w:id="7">
    <w:p w14:paraId="397E213F" w14:textId="4EF1B739" w:rsidR="00CF6A37" w:rsidRPr="00BE4518" w:rsidRDefault="00CF6A37" w:rsidP="00CF6A37">
      <w:pPr>
        <w:pStyle w:val="FootnoteText"/>
        <w:ind w:firstLine="720"/>
        <w:rPr>
          <w:sz w:val="16"/>
          <w:szCs w:val="16"/>
          <w:lang w:val="es-AR"/>
        </w:rPr>
      </w:pPr>
      <w:r w:rsidRPr="00BE4518">
        <w:rPr>
          <w:rStyle w:val="FootnoteReference"/>
          <w:sz w:val="16"/>
          <w:szCs w:val="16"/>
        </w:rPr>
        <w:footnoteRef/>
      </w:r>
      <w:r w:rsidRPr="00BE4518">
        <w:rPr>
          <w:sz w:val="16"/>
          <w:szCs w:val="16"/>
          <w:lang w:val="es-AR"/>
        </w:rPr>
        <w:t xml:space="preserve"> Ver CIDH, Informe No. 34/18, Petición 1018-07. Admisibilidad, Guillermo Juan </w:t>
      </w:r>
      <w:proofErr w:type="spellStart"/>
      <w:r w:rsidRPr="00BE4518">
        <w:rPr>
          <w:sz w:val="16"/>
          <w:szCs w:val="16"/>
          <w:lang w:val="es-AR"/>
        </w:rPr>
        <w:t>Tiscornia</w:t>
      </w:r>
      <w:proofErr w:type="spellEnd"/>
      <w:r w:rsidRPr="00BE4518">
        <w:rPr>
          <w:sz w:val="16"/>
          <w:szCs w:val="16"/>
          <w:lang w:val="es-AR"/>
        </w:rPr>
        <w:t xml:space="preserve"> y Familia. Argentina. 4 de mayo de 2018, </w:t>
      </w:r>
      <w:proofErr w:type="spellStart"/>
      <w:r w:rsidRPr="00BE4518">
        <w:rPr>
          <w:sz w:val="16"/>
          <w:szCs w:val="16"/>
          <w:lang w:val="es-AR"/>
        </w:rPr>
        <w:t>parr</w:t>
      </w:r>
      <w:proofErr w:type="spellEnd"/>
      <w:r w:rsidRPr="00BE4518">
        <w:rPr>
          <w:sz w:val="16"/>
          <w:szCs w:val="16"/>
          <w:lang w:val="es-AR"/>
        </w:rPr>
        <w:t>.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E183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9370" w14:textId="77777777" w:rsidR="00D15B34" w:rsidRDefault="00D15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937A6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C60"/>
    <w:rsid w:val="00003E8D"/>
    <w:rsid w:val="00006E1F"/>
    <w:rsid w:val="000070D7"/>
    <w:rsid w:val="0001380D"/>
    <w:rsid w:val="0001788C"/>
    <w:rsid w:val="00030E18"/>
    <w:rsid w:val="000337EF"/>
    <w:rsid w:val="000374A4"/>
    <w:rsid w:val="00040A96"/>
    <w:rsid w:val="00040C3A"/>
    <w:rsid w:val="000419AD"/>
    <w:rsid w:val="000433C9"/>
    <w:rsid w:val="00053459"/>
    <w:rsid w:val="0005791C"/>
    <w:rsid w:val="000716C5"/>
    <w:rsid w:val="00072E03"/>
    <w:rsid w:val="00075E23"/>
    <w:rsid w:val="0009344A"/>
    <w:rsid w:val="000A392E"/>
    <w:rsid w:val="000A575F"/>
    <w:rsid w:val="000C0501"/>
    <w:rsid w:val="000C3889"/>
    <w:rsid w:val="000D0C55"/>
    <w:rsid w:val="000D10DB"/>
    <w:rsid w:val="000D717E"/>
    <w:rsid w:val="000E5E5D"/>
    <w:rsid w:val="000E5EB5"/>
    <w:rsid w:val="000F35ED"/>
    <w:rsid w:val="000F6EC0"/>
    <w:rsid w:val="000F7158"/>
    <w:rsid w:val="00107131"/>
    <w:rsid w:val="0010736F"/>
    <w:rsid w:val="00113F73"/>
    <w:rsid w:val="00120F15"/>
    <w:rsid w:val="00121CC2"/>
    <w:rsid w:val="00133EE5"/>
    <w:rsid w:val="00145938"/>
    <w:rsid w:val="00167A34"/>
    <w:rsid w:val="00177757"/>
    <w:rsid w:val="001A7870"/>
    <w:rsid w:val="001B07DA"/>
    <w:rsid w:val="001B3A00"/>
    <w:rsid w:val="001C1B41"/>
    <w:rsid w:val="001D2A91"/>
    <w:rsid w:val="001D65EF"/>
    <w:rsid w:val="001E021A"/>
    <w:rsid w:val="001E49E7"/>
    <w:rsid w:val="001F7201"/>
    <w:rsid w:val="00206BC7"/>
    <w:rsid w:val="00223A29"/>
    <w:rsid w:val="002250A3"/>
    <w:rsid w:val="002267A9"/>
    <w:rsid w:val="00235217"/>
    <w:rsid w:val="00246D1F"/>
    <w:rsid w:val="00247403"/>
    <w:rsid w:val="00247542"/>
    <w:rsid w:val="0026417E"/>
    <w:rsid w:val="00266B61"/>
    <w:rsid w:val="0026712A"/>
    <w:rsid w:val="002704DB"/>
    <w:rsid w:val="002A0AAE"/>
    <w:rsid w:val="002A5820"/>
    <w:rsid w:val="002B03F8"/>
    <w:rsid w:val="002C0335"/>
    <w:rsid w:val="002D2B26"/>
    <w:rsid w:val="002D3D4E"/>
    <w:rsid w:val="002D7EA2"/>
    <w:rsid w:val="002E187C"/>
    <w:rsid w:val="002E7816"/>
    <w:rsid w:val="002F75BA"/>
    <w:rsid w:val="00301847"/>
    <w:rsid w:val="00302733"/>
    <w:rsid w:val="00306133"/>
    <w:rsid w:val="00314078"/>
    <w:rsid w:val="0031535D"/>
    <w:rsid w:val="003239B8"/>
    <w:rsid w:val="0033169F"/>
    <w:rsid w:val="00335CE5"/>
    <w:rsid w:val="00336BF1"/>
    <w:rsid w:val="00344977"/>
    <w:rsid w:val="00346C95"/>
    <w:rsid w:val="00356185"/>
    <w:rsid w:val="00360380"/>
    <w:rsid w:val="0037519E"/>
    <w:rsid w:val="00386CF0"/>
    <w:rsid w:val="003A6B29"/>
    <w:rsid w:val="003B70FB"/>
    <w:rsid w:val="003C35BC"/>
    <w:rsid w:val="003C676B"/>
    <w:rsid w:val="003D22BA"/>
    <w:rsid w:val="003D3BC2"/>
    <w:rsid w:val="003E183D"/>
    <w:rsid w:val="003E6CA1"/>
    <w:rsid w:val="003E7657"/>
    <w:rsid w:val="003F60C1"/>
    <w:rsid w:val="004065A8"/>
    <w:rsid w:val="00411378"/>
    <w:rsid w:val="004165C2"/>
    <w:rsid w:val="00417E4D"/>
    <w:rsid w:val="0042569E"/>
    <w:rsid w:val="00441ECB"/>
    <w:rsid w:val="00445193"/>
    <w:rsid w:val="004514BF"/>
    <w:rsid w:val="004531D8"/>
    <w:rsid w:val="00457E35"/>
    <w:rsid w:val="00462C1B"/>
    <w:rsid w:val="00467B7E"/>
    <w:rsid w:val="00473BB4"/>
    <w:rsid w:val="00477592"/>
    <w:rsid w:val="00486F1C"/>
    <w:rsid w:val="0049419D"/>
    <w:rsid w:val="0049665F"/>
    <w:rsid w:val="004A6A54"/>
    <w:rsid w:val="004C20D2"/>
    <w:rsid w:val="004C2312"/>
    <w:rsid w:val="004C4B62"/>
    <w:rsid w:val="004C54C9"/>
    <w:rsid w:val="004C5685"/>
    <w:rsid w:val="004D11F4"/>
    <w:rsid w:val="004D4ABA"/>
    <w:rsid w:val="004D6025"/>
    <w:rsid w:val="004D7CCB"/>
    <w:rsid w:val="004E2649"/>
    <w:rsid w:val="004E788F"/>
    <w:rsid w:val="00501399"/>
    <w:rsid w:val="0050633D"/>
    <w:rsid w:val="00507BC4"/>
    <w:rsid w:val="00510BC1"/>
    <w:rsid w:val="005128E4"/>
    <w:rsid w:val="005133DB"/>
    <w:rsid w:val="00525560"/>
    <w:rsid w:val="00532436"/>
    <w:rsid w:val="00544C49"/>
    <w:rsid w:val="005516A1"/>
    <w:rsid w:val="00563557"/>
    <w:rsid w:val="0057402A"/>
    <w:rsid w:val="005771D0"/>
    <w:rsid w:val="0059191A"/>
    <w:rsid w:val="005921FF"/>
    <w:rsid w:val="005A24ED"/>
    <w:rsid w:val="005A5651"/>
    <w:rsid w:val="005A6D0E"/>
    <w:rsid w:val="005B52B0"/>
    <w:rsid w:val="005B6772"/>
    <w:rsid w:val="005B6806"/>
    <w:rsid w:val="005C4225"/>
    <w:rsid w:val="005C6FE8"/>
    <w:rsid w:val="005D0181"/>
    <w:rsid w:val="005E7CD5"/>
    <w:rsid w:val="005F0DAD"/>
    <w:rsid w:val="005F0F33"/>
    <w:rsid w:val="005F279A"/>
    <w:rsid w:val="005F4C59"/>
    <w:rsid w:val="005F5CDB"/>
    <w:rsid w:val="00600DEB"/>
    <w:rsid w:val="00627C9F"/>
    <w:rsid w:val="006311E9"/>
    <w:rsid w:val="00632354"/>
    <w:rsid w:val="00642810"/>
    <w:rsid w:val="00643F1C"/>
    <w:rsid w:val="006511A0"/>
    <w:rsid w:val="00652333"/>
    <w:rsid w:val="0068009E"/>
    <w:rsid w:val="00692219"/>
    <w:rsid w:val="00697023"/>
    <w:rsid w:val="006A0AF7"/>
    <w:rsid w:val="006A17D2"/>
    <w:rsid w:val="006A3393"/>
    <w:rsid w:val="006A73E6"/>
    <w:rsid w:val="006A79A8"/>
    <w:rsid w:val="006B10D7"/>
    <w:rsid w:val="006B28CD"/>
    <w:rsid w:val="006B2D5C"/>
    <w:rsid w:val="006B42F9"/>
    <w:rsid w:val="006C4BAE"/>
    <w:rsid w:val="006C4EB1"/>
    <w:rsid w:val="006C68CD"/>
    <w:rsid w:val="006D41CE"/>
    <w:rsid w:val="006E0166"/>
    <w:rsid w:val="006E1589"/>
    <w:rsid w:val="006E4F4D"/>
    <w:rsid w:val="006E7B34"/>
    <w:rsid w:val="00705C6E"/>
    <w:rsid w:val="0070697F"/>
    <w:rsid w:val="0071449A"/>
    <w:rsid w:val="0071463C"/>
    <w:rsid w:val="0071787F"/>
    <w:rsid w:val="0072199C"/>
    <w:rsid w:val="00722C9F"/>
    <w:rsid w:val="007253B8"/>
    <w:rsid w:val="0073741F"/>
    <w:rsid w:val="0076643F"/>
    <w:rsid w:val="00777F63"/>
    <w:rsid w:val="007A3A1A"/>
    <w:rsid w:val="007A4969"/>
    <w:rsid w:val="007A5817"/>
    <w:rsid w:val="007B01D2"/>
    <w:rsid w:val="007B05C4"/>
    <w:rsid w:val="007B60E9"/>
    <w:rsid w:val="007B6CC3"/>
    <w:rsid w:val="007B76D3"/>
    <w:rsid w:val="007C0B4E"/>
    <w:rsid w:val="007C3334"/>
    <w:rsid w:val="007C6709"/>
    <w:rsid w:val="007C6865"/>
    <w:rsid w:val="007D2B98"/>
    <w:rsid w:val="007D531D"/>
    <w:rsid w:val="007D7869"/>
    <w:rsid w:val="007E21BC"/>
    <w:rsid w:val="007E7C82"/>
    <w:rsid w:val="007F588D"/>
    <w:rsid w:val="007F6E90"/>
    <w:rsid w:val="00803F1C"/>
    <w:rsid w:val="0080600E"/>
    <w:rsid w:val="00817612"/>
    <w:rsid w:val="00824C7D"/>
    <w:rsid w:val="008338A4"/>
    <w:rsid w:val="00834D49"/>
    <w:rsid w:val="00837C45"/>
    <w:rsid w:val="00840877"/>
    <w:rsid w:val="00842647"/>
    <w:rsid w:val="00844730"/>
    <w:rsid w:val="008457C2"/>
    <w:rsid w:val="00852C6F"/>
    <w:rsid w:val="00857A82"/>
    <w:rsid w:val="00873836"/>
    <w:rsid w:val="00884223"/>
    <w:rsid w:val="00885737"/>
    <w:rsid w:val="00890650"/>
    <w:rsid w:val="00896D7C"/>
    <w:rsid w:val="00897E12"/>
    <w:rsid w:val="008A231B"/>
    <w:rsid w:val="008A2B0D"/>
    <w:rsid w:val="008A7E0F"/>
    <w:rsid w:val="008B12F5"/>
    <w:rsid w:val="008D4B6A"/>
    <w:rsid w:val="008D768D"/>
    <w:rsid w:val="008E3759"/>
    <w:rsid w:val="008E3BFE"/>
    <w:rsid w:val="008F1912"/>
    <w:rsid w:val="0090270B"/>
    <w:rsid w:val="009041DC"/>
    <w:rsid w:val="009159C7"/>
    <w:rsid w:val="009161A9"/>
    <w:rsid w:val="00917B5A"/>
    <w:rsid w:val="00920A58"/>
    <w:rsid w:val="00920A8C"/>
    <w:rsid w:val="00923791"/>
    <w:rsid w:val="00934A2C"/>
    <w:rsid w:val="0095060D"/>
    <w:rsid w:val="00960B3C"/>
    <w:rsid w:val="0096706E"/>
    <w:rsid w:val="00974491"/>
    <w:rsid w:val="00975C4E"/>
    <w:rsid w:val="009762D1"/>
    <w:rsid w:val="00981FBA"/>
    <w:rsid w:val="00997BC5"/>
    <w:rsid w:val="009A4F41"/>
    <w:rsid w:val="009B381B"/>
    <w:rsid w:val="009C728A"/>
    <w:rsid w:val="009C7D03"/>
    <w:rsid w:val="009D1753"/>
    <w:rsid w:val="009D60D9"/>
    <w:rsid w:val="009D7611"/>
    <w:rsid w:val="009E0B61"/>
    <w:rsid w:val="009E53DE"/>
    <w:rsid w:val="009F6DAB"/>
    <w:rsid w:val="00A11212"/>
    <w:rsid w:val="00A11E44"/>
    <w:rsid w:val="00A1650D"/>
    <w:rsid w:val="00A328B3"/>
    <w:rsid w:val="00A35380"/>
    <w:rsid w:val="00A369BB"/>
    <w:rsid w:val="00A4496C"/>
    <w:rsid w:val="00A47550"/>
    <w:rsid w:val="00A50FCF"/>
    <w:rsid w:val="00A528D1"/>
    <w:rsid w:val="00A610CD"/>
    <w:rsid w:val="00A758AA"/>
    <w:rsid w:val="00A85B42"/>
    <w:rsid w:val="00AA09A2"/>
    <w:rsid w:val="00AA4BF0"/>
    <w:rsid w:val="00AA7996"/>
    <w:rsid w:val="00AC1936"/>
    <w:rsid w:val="00AC19CB"/>
    <w:rsid w:val="00AC29F4"/>
    <w:rsid w:val="00AC4B83"/>
    <w:rsid w:val="00AD26E3"/>
    <w:rsid w:val="00AE5488"/>
    <w:rsid w:val="00AE6F91"/>
    <w:rsid w:val="00AF5571"/>
    <w:rsid w:val="00AF5B07"/>
    <w:rsid w:val="00B0625E"/>
    <w:rsid w:val="00B07341"/>
    <w:rsid w:val="00B07F41"/>
    <w:rsid w:val="00B30539"/>
    <w:rsid w:val="00B314DB"/>
    <w:rsid w:val="00B361F2"/>
    <w:rsid w:val="00B3718B"/>
    <w:rsid w:val="00B4632A"/>
    <w:rsid w:val="00B47B2D"/>
    <w:rsid w:val="00B47F8D"/>
    <w:rsid w:val="00B530F1"/>
    <w:rsid w:val="00B80C4B"/>
    <w:rsid w:val="00B92A87"/>
    <w:rsid w:val="00BA276C"/>
    <w:rsid w:val="00BB2415"/>
    <w:rsid w:val="00BB306F"/>
    <w:rsid w:val="00BD4B89"/>
    <w:rsid w:val="00BD5922"/>
    <w:rsid w:val="00BE4518"/>
    <w:rsid w:val="00BF02CB"/>
    <w:rsid w:val="00BF6086"/>
    <w:rsid w:val="00BF6FD8"/>
    <w:rsid w:val="00C03680"/>
    <w:rsid w:val="00C054DF"/>
    <w:rsid w:val="00C21762"/>
    <w:rsid w:val="00C21FEF"/>
    <w:rsid w:val="00C23EEF"/>
    <w:rsid w:val="00C24543"/>
    <w:rsid w:val="00C256A2"/>
    <w:rsid w:val="00C25D92"/>
    <w:rsid w:val="00C26A67"/>
    <w:rsid w:val="00C30C3E"/>
    <w:rsid w:val="00C400C3"/>
    <w:rsid w:val="00C50839"/>
    <w:rsid w:val="00C51515"/>
    <w:rsid w:val="00C52B2C"/>
    <w:rsid w:val="00C5660B"/>
    <w:rsid w:val="00C66B72"/>
    <w:rsid w:val="00C74716"/>
    <w:rsid w:val="00C80E29"/>
    <w:rsid w:val="00C87AC4"/>
    <w:rsid w:val="00C9567A"/>
    <w:rsid w:val="00CA48D2"/>
    <w:rsid w:val="00CB212D"/>
    <w:rsid w:val="00CB2660"/>
    <w:rsid w:val="00CC5E90"/>
    <w:rsid w:val="00CD046C"/>
    <w:rsid w:val="00CD0B3B"/>
    <w:rsid w:val="00CD3856"/>
    <w:rsid w:val="00CE076C"/>
    <w:rsid w:val="00CE0DA4"/>
    <w:rsid w:val="00CE5199"/>
    <w:rsid w:val="00CE66D5"/>
    <w:rsid w:val="00CF637A"/>
    <w:rsid w:val="00CF6A37"/>
    <w:rsid w:val="00D059DE"/>
    <w:rsid w:val="00D05ABD"/>
    <w:rsid w:val="00D13FCE"/>
    <w:rsid w:val="00D15B34"/>
    <w:rsid w:val="00D306D1"/>
    <w:rsid w:val="00D30800"/>
    <w:rsid w:val="00D34786"/>
    <w:rsid w:val="00D37BFC"/>
    <w:rsid w:val="00D47A8E"/>
    <w:rsid w:val="00D52D14"/>
    <w:rsid w:val="00D66ECA"/>
    <w:rsid w:val="00D712D3"/>
    <w:rsid w:val="00D71422"/>
    <w:rsid w:val="00D72DC6"/>
    <w:rsid w:val="00D7558D"/>
    <w:rsid w:val="00D81D92"/>
    <w:rsid w:val="00D841B3"/>
    <w:rsid w:val="00D876F9"/>
    <w:rsid w:val="00DA7B5F"/>
    <w:rsid w:val="00DB73E3"/>
    <w:rsid w:val="00DC11E7"/>
    <w:rsid w:val="00DC7023"/>
    <w:rsid w:val="00DC769A"/>
    <w:rsid w:val="00DD3D86"/>
    <w:rsid w:val="00DD4AD2"/>
    <w:rsid w:val="00DE5CEF"/>
    <w:rsid w:val="00DF1EC4"/>
    <w:rsid w:val="00DF4926"/>
    <w:rsid w:val="00E017C9"/>
    <w:rsid w:val="00E022F3"/>
    <w:rsid w:val="00E0340B"/>
    <w:rsid w:val="00E04A90"/>
    <w:rsid w:val="00E0551F"/>
    <w:rsid w:val="00E1075E"/>
    <w:rsid w:val="00E219C7"/>
    <w:rsid w:val="00E4118C"/>
    <w:rsid w:val="00E43157"/>
    <w:rsid w:val="00E461CE"/>
    <w:rsid w:val="00E63324"/>
    <w:rsid w:val="00E720CA"/>
    <w:rsid w:val="00E757B6"/>
    <w:rsid w:val="00E84EB5"/>
    <w:rsid w:val="00E85662"/>
    <w:rsid w:val="00E8789F"/>
    <w:rsid w:val="00E97B71"/>
    <w:rsid w:val="00E97C05"/>
    <w:rsid w:val="00EA3D34"/>
    <w:rsid w:val="00EA48F0"/>
    <w:rsid w:val="00EB454D"/>
    <w:rsid w:val="00EB7698"/>
    <w:rsid w:val="00EC1F1C"/>
    <w:rsid w:val="00EC40A9"/>
    <w:rsid w:val="00EC72FB"/>
    <w:rsid w:val="00ED549D"/>
    <w:rsid w:val="00ED76BE"/>
    <w:rsid w:val="00EE00E9"/>
    <w:rsid w:val="00EF619B"/>
    <w:rsid w:val="00F00B55"/>
    <w:rsid w:val="00F02AD1"/>
    <w:rsid w:val="00F02FB2"/>
    <w:rsid w:val="00F05F8D"/>
    <w:rsid w:val="00F11C6C"/>
    <w:rsid w:val="00F233E3"/>
    <w:rsid w:val="00F253CC"/>
    <w:rsid w:val="00F37106"/>
    <w:rsid w:val="00F40594"/>
    <w:rsid w:val="00F416D2"/>
    <w:rsid w:val="00F4561C"/>
    <w:rsid w:val="00F50E90"/>
    <w:rsid w:val="00F519CF"/>
    <w:rsid w:val="00F56BA5"/>
    <w:rsid w:val="00F60E22"/>
    <w:rsid w:val="00F81395"/>
    <w:rsid w:val="00F81BB8"/>
    <w:rsid w:val="00F9012C"/>
    <w:rsid w:val="00F917D1"/>
    <w:rsid w:val="00F93E7E"/>
    <w:rsid w:val="00F9653B"/>
    <w:rsid w:val="00FB62CF"/>
    <w:rsid w:val="00FC23FD"/>
    <w:rsid w:val="00FD3C3B"/>
    <w:rsid w:val="00FE07DD"/>
    <w:rsid w:val="00FE1A54"/>
    <w:rsid w:val="00FE6B45"/>
    <w:rsid w:val="00FF451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816"/>
    <w:rPr>
      <w:sz w:val="16"/>
      <w:szCs w:val="16"/>
    </w:rPr>
  </w:style>
  <w:style w:type="paragraph" w:styleId="CommentText">
    <w:name w:val="annotation text"/>
    <w:basedOn w:val="Normal"/>
    <w:link w:val="CommentTextChar"/>
    <w:uiPriority w:val="99"/>
    <w:semiHidden/>
    <w:unhideWhenUsed/>
    <w:rsid w:val="002E7816"/>
    <w:rPr>
      <w:sz w:val="20"/>
      <w:szCs w:val="20"/>
    </w:rPr>
  </w:style>
  <w:style w:type="character" w:customStyle="1" w:styleId="CommentTextChar">
    <w:name w:val="Comment Text Char"/>
    <w:basedOn w:val="DefaultParagraphFont"/>
    <w:link w:val="CommentText"/>
    <w:uiPriority w:val="99"/>
    <w:semiHidden/>
    <w:rsid w:val="002E7816"/>
    <w:rPr>
      <w:lang w:val="en-US" w:eastAsia="en-US"/>
    </w:rPr>
  </w:style>
  <w:style w:type="paragraph" w:styleId="CommentSubject">
    <w:name w:val="annotation subject"/>
    <w:basedOn w:val="CommentText"/>
    <w:next w:val="CommentText"/>
    <w:link w:val="CommentSubjectChar"/>
    <w:uiPriority w:val="99"/>
    <w:semiHidden/>
    <w:unhideWhenUsed/>
    <w:rsid w:val="002E7816"/>
    <w:rPr>
      <w:b/>
      <w:bCs/>
    </w:rPr>
  </w:style>
  <w:style w:type="character" w:customStyle="1" w:styleId="CommentSubjectChar">
    <w:name w:val="Comment Subject Char"/>
    <w:basedOn w:val="CommentTextChar"/>
    <w:link w:val="CommentSubject"/>
    <w:uiPriority w:val="99"/>
    <w:semiHidden/>
    <w:rsid w:val="002E781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341DBF"/>
    <w:rsid w:val="0036792F"/>
    <w:rsid w:val="00394049"/>
    <w:rsid w:val="003A14C3"/>
    <w:rsid w:val="004F2DF8"/>
    <w:rsid w:val="0055372E"/>
    <w:rsid w:val="005C4ED2"/>
    <w:rsid w:val="00600BBD"/>
    <w:rsid w:val="009720BB"/>
    <w:rsid w:val="009A261B"/>
    <w:rsid w:val="00AC15A4"/>
    <w:rsid w:val="00B0336C"/>
    <w:rsid w:val="00C24DF9"/>
    <w:rsid w:val="00CA5A9C"/>
    <w:rsid w:val="00DA43F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97DA-92CF-4842-8488-E3625FF1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2504</Words>
  <Characters>13100</Characters>
  <Application>Microsoft Office Word</Application>
  <DocSecurity>0</DocSecurity>
  <Lines>327</Lines>
  <Paragraphs>120</Paragraphs>
  <ScaleCrop>false</ScaleCrop>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20/19</dc:title>
  <dc:creator/>
  <cp:lastModifiedBy/>
  <cp:revision>1</cp:revision>
  <dcterms:created xsi:type="dcterms:W3CDTF">2019-04-12T12:17:00Z</dcterms:created>
  <dcterms:modified xsi:type="dcterms:W3CDTF">2019-04-12T12:17:00Z</dcterms:modified>
</cp:coreProperties>
</file>