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A10C7B" w:rsidRDefault="00D306D1" w:rsidP="00120783">
      <w:pPr>
        <w:jc w:val="both"/>
        <w:rPr>
          <w:rFonts w:asciiTheme="majorHAnsi" w:hAnsiTheme="majorHAnsi" w:cs="Univers"/>
          <w:b/>
          <w:bCs/>
          <w:sz w:val="20"/>
          <w:szCs w:val="20"/>
          <w:lang w:val="es-ES_tradnl"/>
        </w:rPr>
      </w:pPr>
      <w:bookmarkStart w:id="0" w:name="_GoBack"/>
      <w:bookmarkEnd w:id="0"/>
      <w:r w:rsidRPr="00A10C7B">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613CCABB" wp14:editId="743A637D">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3220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A10C7B">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7F07A067" wp14:editId="62A1822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0C43" w:rsidRDefault="00560C43" w:rsidP="00AE5488">
                            <w:r>
                              <w:rPr>
                                <w:noProof/>
                              </w:rPr>
                              <w:drawing>
                                <wp:inline distT="0" distB="0" distL="0" distR="0" wp14:anchorId="00531B2F" wp14:editId="0F46901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7A06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560C43" w:rsidRDefault="00560C43" w:rsidP="00AE5488">
                      <w:r>
                        <w:rPr>
                          <w:noProof/>
                        </w:rPr>
                        <w:drawing>
                          <wp:inline distT="0" distB="0" distL="0" distR="0" wp14:anchorId="00531B2F" wp14:editId="0F46901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A10C7B" w:rsidRDefault="00040C3A" w:rsidP="00120783">
      <w:pPr>
        <w:tabs>
          <w:tab w:val="center" w:pos="5400"/>
        </w:tabs>
        <w:suppressAutoHyphens/>
        <w:jc w:val="both"/>
        <w:rPr>
          <w:rFonts w:asciiTheme="majorHAnsi" w:hAnsiTheme="majorHAnsi"/>
          <w:sz w:val="20"/>
          <w:szCs w:val="20"/>
          <w:lang w:val="es-ES"/>
        </w:rPr>
      </w:pPr>
    </w:p>
    <w:p w:rsidR="00040C3A" w:rsidRPr="00A10C7B" w:rsidRDefault="00040C3A" w:rsidP="00120783">
      <w:pPr>
        <w:tabs>
          <w:tab w:val="center" w:pos="5400"/>
        </w:tabs>
        <w:suppressAutoHyphens/>
        <w:jc w:val="both"/>
        <w:rPr>
          <w:rFonts w:asciiTheme="majorHAnsi" w:hAnsiTheme="majorHAnsi"/>
          <w:sz w:val="20"/>
          <w:szCs w:val="20"/>
          <w:lang w:val="es-ES"/>
        </w:rPr>
      </w:pPr>
    </w:p>
    <w:p w:rsidR="005128E4" w:rsidRPr="00A10C7B" w:rsidRDefault="005128E4" w:rsidP="00120783">
      <w:pPr>
        <w:tabs>
          <w:tab w:val="center" w:pos="5400"/>
        </w:tabs>
        <w:suppressAutoHyphens/>
        <w:rPr>
          <w:rFonts w:asciiTheme="majorHAnsi" w:hAnsiTheme="majorHAnsi"/>
          <w:sz w:val="20"/>
          <w:szCs w:val="20"/>
          <w:lang w:val="es-ES_tradnl"/>
        </w:rPr>
      </w:pPr>
    </w:p>
    <w:p w:rsidR="005128E4" w:rsidRPr="00A10C7B" w:rsidRDefault="005128E4" w:rsidP="00120783">
      <w:pPr>
        <w:tabs>
          <w:tab w:val="center" w:pos="5400"/>
        </w:tabs>
        <w:suppressAutoHyphens/>
        <w:rPr>
          <w:rFonts w:asciiTheme="majorHAnsi" w:hAnsiTheme="majorHAnsi"/>
          <w:sz w:val="20"/>
          <w:szCs w:val="20"/>
          <w:lang w:val="es-ES_tradnl"/>
        </w:rPr>
      </w:pPr>
    </w:p>
    <w:p w:rsidR="005128E4" w:rsidRPr="00A10C7B" w:rsidRDefault="005128E4" w:rsidP="00120783">
      <w:pPr>
        <w:tabs>
          <w:tab w:val="center" w:pos="5400"/>
        </w:tabs>
        <w:suppressAutoHyphens/>
        <w:rPr>
          <w:rFonts w:asciiTheme="majorHAnsi" w:hAnsiTheme="majorHAnsi"/>
          <w:sz w:val="20"/>
          <w:szCs w:val="20"/>
          <w:lang w:val="es-ES_tradnl"/>
        </w:rPr>
      </w:pPr>
    </w:p>
    <w:p w:rsidR="00040C3A" w:rsidRPr="00A10C7B" w:rsidRDefault="00040C3A" w:rsidP="00120783">
      <w:pPr>
        <w:tabs>
          <w:tab w:val="center" w:pos="5400"/>
        </w:tabs>
        <w:suppressAutoHyphens/>
        <w:jc w:val="center"/>
        <w:rPr>
          <w:rFonts w:asciiTheme="majorHAnsi" w:hAnsiTheme="majorHAnsi"/>
          <w:sz w:val="20"/>
          <w:szCs w:val="20"/>
          <w:lang w:val="es-ES_tradnl"/>
        </w:rPr>
      </w:pPr>
    </w:p>
    <w:p w:rsidR="00040C3A" w:rsidRPr="00A10C7B" w:rsidRDefault="00040C3A" w:rsidP="00120783">
      <w:pPr>
        <w:tabs>
          <w:tab w:val="center" w:pos="5400"/>
        </w:tabs>
        <w:suppressAutoHyphens/>
        <w:jc w:val="center"/>
        <w:rPr>
          <w:rFonts w:asciiTheme="majorHAnsi" w:hAnsiTheme="majorHAnsi"/>
          <w:sz w:val="20"/>
          <w:szCs w:val="20"/>
          <w:lang w:val="es-ES_tradnl"/>
        </w:rPr>
      </w:pPr>
    </w:p>
    <w:p w:rsidR="005B52B0" w:rsidRPr="00A10C7B" w:rsidRDefault="005B52B0" w:rsidP="00120783">
      <w:pPr>
        <w:tabs>
          <w:tab w:val="center" w:pos="5400"/>
        </w:tabs>
        <w:suppressAutoHyphens/>
        <w:jc w:val="center"/>
        <w:rPr>
          <w:rFonts w:asciiTheme="majorHAnsi" w:hAnsiTheme="majorHAnsi"/>
          <w:sz w:val="20"/>
          <w:szCs w:val="20"/>
          <w:lang w:val="es-ES_tradnl"/>
        </w:rPr>
      </w:pPr>
    </w:p>
    <w:p w:rsidR="005B52B0" w:rsidRPr="00A10C7B" w:rsidRDefault="005B52B0" w:rsidP="00120783">
      <w:pPr>
        <w:tabs>
          <w:tab w:val="center" w:pos="5400"/>
        </w:tabs>
        <w:suppressAutoHyphens/>
        <w:jc w:val="center"/>
        <w:rPr>
          <w:rFonts w:asciiTheme="majorHAnsi" w:hAnsiTheme="majorHAnsi"/>
          <w:sz w:val="20"/>
          <w:szCs w:val="20"/>
          <w:lang w:val="es-ES_tradnl"/>
        </w:rPr>
      </w:pPr>
    </w:p>
    <w:p w:rsidR="005B52B0" w:rsidRPr="00A10C7B" w:rsidRDefault="005B52B0" w:rsidP="00120783">
      <w:pPr>
        <w:tabs>
          <w:tab w:val="center" w:pos="5400"/>
        </w:tabs>
        <w:suppressAutoHyphens/>
        <w:jc w:val="center"/>
        <w:rPr>
          <w:rFonts w:asciiTheme="majorHAnsi" w:hAnsiTheme="majorHAnsi"/>
          <w:sz w:val="20"/>
          <w:szCs w:val="20"/>
          <w:lang w:val="es-ES_tradnl"/>
        </w:rPr>
      </w:pPr>
    </w:p>
    <w:p w:rsidR="00040C3A" w:rsidRPr="00A10C7B" w:rsidRDefault="00040C3A" w:rsidP="00120783">
      <w:pPr>
        <w:tabs>
          <w:tab w:val="center" w:pos="5400"/>
        </w:tabs>
        <w:suppressAutoHyphens/>
        <w:jc w:val="center"/>
        <w:rPr>
          <w:rFonts w:asciiTheme="majorHAnsi" w:hAnsiTheme="majorHAnsi"/>
          <w:sz w:val="20"/>
          <w:szCs w:val="20"/>
          <w:lang w:val="es-ES_tradnl"/>
        </w:rPr>
      </w:pPr>
    </w:p>
    <w:p w:rsidR="00040C3A" w:rsidRPr="00A10C7B" w:rsidRDefault="00040C3A" w:rsidP="00120783">
      <w:pPr>
        <w:tabs>
          <w:tab w:val="center" w:pos="5400"/>
        </w:tabs>
        <w:suppressAutoHyphens/>
        <w:jc w:val="center"/>
        <w:rPr>
          <w:rFonts w:asciiTheme="majorHAnsi" w:hAnsiTheme="majorHAnsi"/>
          <w:sz w:val="20"/>
          <w:szCs w:val="20"/>
          <w:lang w:val="es-ES_tradnl"/>
        </w:rPr>
      </w:pPr>
    </w:p>
    <w:p w:rsidR="00040C3A" w:rsidRPr="00A10C7B" w:rsidRDefault="003D3BC2" w:rsidP="00120783">
      <w:pPr>
        <w:tabs>
          <w:tab w:val="center" w:pos="5400"/>
        </w:tabs>
        <w:suppressAutoHyphens/>
        <w:jc w:val="center"/>
        <w:rPr>
          <w:rFonts w:asciiTheme="majorHAnsi" w:hAnsiTheme="majorHAnsi"/>
          <w:sz w:val="20"/>
          <w:szCs w:val="20"/>
          <w:lang w:val="es-ES_tradnl"/>
        </w:rPr>
      </w:pPr>
      <w:r w:rsidRPr="00A10C7B">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690A2FC9" wp14:editId="46D81F44">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0C43" w:rsidRPr="004E2649" w:rsidRDefault="00560C4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3C2EB7">
                              <w:rPr>
                                <w:rFonts w:asciiTheme="majorHAnsi" w:hAnsiTheme="majorHAnsi" w:cs="Arial"/>
                                <w:b/>
                                <w:bCs/>
                                <w:color w:val="0D0D0D" w:themeColor="text1" w:themeTint="F2"/>
                                <w:sz w:val="36"/>
                                <w:szCs w:val="22"/>
                                <w:lang w:val="es-ES_tradnl"/>
                              </w:rPr>
                              <w:t>71</w:t>
                            </w:r>
                            <w:r w:rsidRPr="004E2649">
                              <w:rPr>
                                <w:rFonts w:asciiTheme="majorHAnsi" w:hAnsiTheme="majorHAnsi" w:cs="Arial"/>
                                <w:b/>
                                <w:bCs/>
                                <w:color w:val="0D0D0D" w:themeColor="text1" w:themeTint="F2"/>
                                <w:sz w:val="36"/>
                                <w:szCs w:val="22"/>
                                <w:lang w:val="es-ES_tradnl"/>
                              </w:rPr>
                              <w:t>/1</w:t>
                            </w:r>
                            <w:r>
                              <w:rPr>
                                <w:rFonts w:asciiTheme="majorHAnsi" w:hAnsiTheme="majorHAnsi" w:cs="Arial"/>
                                <w:b/>
                                <w:bCs/>
                                <w:color w:val="0D0D0D" w:themeColor="text1" w:themeTint="F2"/>
                                <w:sz w:val="36"/>
                                <w:szCs w:val="22"/>
                                <w:lang w:val="es-ES_tradnl"/>
                              </w:rPr>
                              <w:t>9</w:t>
                            </w:r>
                          </w:p>
                          <w:p w:rsidR="00560C43" w:rsidRPr="004E2649" w:rsidRDefault="00560C4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12.942</w:t>
                            </w:r>
                          </w:p>
                          <w:p w:rsidR="00560C43" w:rsidRPr="009C6039" w:rsidRDefault="00560C43" w:rsidP="00997BC5">
                            <w:pPr>
                              <w:spacing w:line="276" w:lineRule="auto"/>
                              <w:rPr>
                                <w:rFonts w:asciiTheme="majorHAnsi" w:hAnsiTheme="majorHAnsi" w:cs="Arial"/>
                                <w:color w:val="0D0D0D" w:themeColor="text1" w:themeTint="F2"/>
                                <w:szCs w:val="22"/>
                                <w:lang w:val="es-US"/>
                              </w:rPr>
                            </w:pPr>
                            <w:r w:rsidRPr="0010736F">
                              <w:rPr>
                                <w:rFonts w:asciiTheme="majorHAnsi" w:hAnsiTheme="majorHAnsi" w:cs="Arial"/>
                                <w:color w:val="0D0D0D" w:themeColor="text1" w:themeTint="F2"/>
                                <w:szCs w:val="22"/>
                                <w:lang w:val="es-ES_tradnl"/>
                              </w:rPr>
                              <w:t>INFORME D</w:t>
                            </w:r>
                            <w:r>
                              <w:rPr>
                                <w:rFonts w:asciiTheme="majorHAnsi" w:hAnsiTheme="majorHAnsi" w:cs="Arial"/>
                                <w:color w:val="0D0D0D" w:themeColor="text1" w:themeTint="F2"/>
                                <w:szCs w:val="22"/>
                                <w:lang w:val="es-ES_tradnl"/>
                              </w:rPr>
                              <w:t>E SOLUCI</w:t>
                            </w:r>
                            <w:r>
                              <w:rPr>
                                <w:rFonts w:asciiTheme="majorHAnsi" w:hAnsiTheme="majorHAnsi" w:cs="Arial"/>
                                <w:color w:val="0D0D0D" w:themeColor="text1" w:themeTint="F2"/>
                                <w:szCs w:val="22"/>
                                <w:lang w:val="es-US"/>
                              </w:rPr>
                              <w:t>ÓN AMISTOSA</w:t>
                            </w:r>
                          </w:p>
                          <w:p w:rsidR="00560C43" w:rsidRPr="0010736F" w:rsidRDefault="00560C43" w:rsidP="00997BC5">
                            <w:pPr>
                              <w:spacing w:line="276" w:lineRule="auto"/>
                              <w:rPr>
                                <w:rFonts w:asciiTheme="majorHAnsi" w:hAnsiTheme="majorHAnsi" w:cs="Arial"/>
                                <w:color w:val="0D0D0D" w:themeColor="text1" w:themeTint="F2"/>
                                <w:szCs w:val="22"/>
                                <w:lang w:val="es-ES_tradnl"/>
                              </w:rPr>
                            </w:pPr>
                            <w:bookmarkStart w:id="1" w:name="_ftnref1"/>
                          </w:p>
                          <w:bookmarkEnd w:id="1"/>
                          <w:p w:rsidR="00560C43" w:rsidRDefault="00560C4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EMILIA MORALES CAMPOS</w:t>
                            </w:r>
                          </w:p>
                          <w:p w:rsidR="00560C43" w:rsidRPr="0010736F" w:rsidRDefault="00560C4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rsidR="00560C43" w:rsidRPr="00AE5488" w:rsidRDefault="00560C43"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A2FC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60C43" w:rsidRPr="004E2649" w:rsidRDefault="00560C4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3C2EB7">
                        <w:rPr>
                          <w:rFonts w:asciiTheme="majorHAnsi" w:hAnsiTheme="majorHAnsi" w:cs="Arial"/>
                          <w:b/>
                          <w:bCs/>
                          <w:color w:val="0D0D0D" w:themeColor="text1" w:themeTint="F2"/>
                          <w:sz w:val="36"/>
                          <w:szCs w:val="22"/>
                          <w:lang w:val="es-ES_tradnl"/>
                        </w:rPr>
                        <w:t>71</w:t>
                      </w:r>
                      <w:r w:rsidRPr="004E2649">
                        <w:rPr>
                          <w:rFonts w:asciiTheme="majorHAnsi" w:hAnsiTheme="majorHAnsi" w:cs="Arial"/>
                          <w:b/>
                          <w:bCs/>
                          <w:color w:val="0D0D0D" w:themeColor="text1" w:themeTint="F2"/>
                          <w:sz w:val="36"/>
                          <w:szCs w:val="22"/>
                          <w:lang w:val="es-ES_tradnl"/>
                        </w:rPr>
                        <w:t>/1</w:t>
                      </w:r>
                      <w:r>
                        <w:rPr>
                          <w:rFonts w:asciiTheme="majorHAnsi" w:hAnsiTheme="majorHAnsi" w:cs="Arial"/>
                          <w:b/>
                          <w:bCs/>
                          <w:color w:val="0D0D0D" w:themeColor="text1" w:themeTint="F2"/>
                          <w:sz w:val="36"/>
                          <w:szCs w:val="22"/>
                          <w:lang w:val="es-ES_tradnl"/>
                        </w:rPr>
                        <w:t>9</w:t>
                      </w:r>
                    </w:p>
                    <w:p w:rsidR="00560C43" w:rsidRPr="004E2649" w:rsidRDefault="00560C4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12.942</w:t>
                      </w:r>
                    </w:p>
                    <w:p w:rsidR="00560C43" w:rsidRPr="009C6039" w:rsidRDefault="00560C43" w:rsidP="00997BC5">
                      <w:pPr>
                        <w:spacing w:line="276" w:lineRule="auto"/>
                        <w:rPr>
                          <w:rFonts w:asciiTheme="majorHAnsi" w:hAnsiTheme="majorHAnsi" w:cs="Arial"/>
                          <w:color w:val="0D0D0D" w:themeColor="text1" w:themeTint="F2"/>
                          <w:szCs w:val="22"/>
                          <w:lang w:val="es-US"/>
                        </w:rPr>
                      </w:pPr>
                      <w:r w:rsidRPr="0010736F">
                        <w:rPr>
                          <w:rFonts w:asciiTheme="majorHAnsi" w:hAnsiTheme="majorHAnsi" w:cs="Arial"/>
                          <w:color w:val="0D0D0D" w:themeColor="text1" w:themeTint="F2"/>
                          <w:szCs w:val="22"/>
                          <w:lang w:val="es-ES_tradnl"/>
                        </w:rPr>
                        <w:t>INFORME D</w:t>
                      </w:r>
                      <w:r>
                        <w:rPr>
                          <w:rFonts w:asciiTheme="majorHAnsi" w:hAnsiTheme="majorHAnsi" w:cs="Arial"/>
                          <w:color w:val="0D0D0D" w:themeColor="text1" w:themeTint="F2"/>
                          <w:szCs w:val="22"/>
                          <w:lang w:val="es-ES_tradnl"/>
                        </w:rPr>
                        <w:t>E SOLUCI</w:t>
                      </w:r>
                      <w:r>
                        <w:rPr>
                          <w:rFonts w:asciiTheme="majorHAnsi" w:hAnsiTheme="majorHAnsi" w:cs="Arial"/>
                          <w:color w:val="0D0D0D" w:themeColor="text1" w:themeTint="F2"/>
                          <w:szCs w:val="22"/>
                          <w:lang w:val="es-US"/>
                        </w:rPr>
                        <w:t>ÓN AMISTOSA</w:t>
                      </w:r>
                    </w:p>
                    <w:p w:rsidR="00560C43" w:rsidRPr="0010736F" w:rsidRDefault="00560C43" w:rsidP="00997BC5">
                      <w:pPr>
                        <w:spacing w:line="276" w:lineRule="auto"/>
                        <w:rPr>
                          <w:rFonts w:asciiTheme="majorHAnsi" w:hAnsiTheme="majorHAnsi" w:cs="Arial"/>
                          <w:color w:val="0D0D0D" w:themeColor="text1" w:themeTint="F2"/>
                          <w:szCs w:val="22"/>
                          <w:lang w:val="es-ES_tradnl"/>
                        </w:rPr>
                      </w:pPr>
                      <w:bookmarkStart w:id="2" w:name="_ftnref1"/>
                    </w:p>
                    <w:bookmarkEnd w:id="2"/>
                    <w:p w:rsidR="00560C43" w:rsidRDefault="00560C4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EMILIA MORALES CAMPOS</w:t>
                      </w:r>
                    </w:p>
                    <w:p w:rsidR="00560C43" w:rsidRPr="0010736F" w:rsidRDefault="00560C4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rsidR="00560C43" w:rsidRPr="00AE5488" w:rsidRDefault="00560C43" w:rsidP="007A5817">
                      <w:pPr>
                        <w:rPr>
                          <w:color w:val="0D0D0D" w:themeColor="text1" w:themeTint="F2"/>
                          <w:lang w:val="es-ES_tradnl"/>
                        </w:rPr>
                      </w:pPr>
                    </w:p>
                  </w:txbxContent>
                </v:textbox>
              </v:shape>
            </w:pict>
          </mc:Fallback>
        </mc:AlternateContent>
      </w:r>
      <w:r w:rsidR="004E2649" w:rsidRPr="00A10C7B">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6C344719" wp14:editId="2C986A4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0C43" w:rsidRPr="00A47AAD" w:rsidRDefault="00560C43" w:rsidP="007A5817">
                            <w:pPr>
                              <w:spacing w:line="276" w:lineRule="auto"/>
                              <w:jc w:val="right"/>
                              <w:rPr>
                                <w:rFonts w:asciiTheme="minorHAnsi" w:hAnsiTheme="minorHAnsi"/>
                                <w:color w:val="FFFFFF" w:themeColor="background1"/>
                                <w:sz w:val="22"/>
                                <w:lang w:val="pt-BR"/>
                              </w:rPr>
                            </w:pPr>
                            <w:r w:rsidRPr="00A47AAD">
                              <w:rPr>
                                <w:rFonts w:asciiTheme="minorHAnsi" w:hAnsiTheme="minorHAnsi"/>
                                <w:color w:val="FFFFFF" w:themeColor="background1"/>
                                <w:sz w:val="22"/>
                                <w:lang w:val="pt-BR"/>
                              </w:rPr>
                              <w:t>OEA/Ser.L/V/II.</w:t>
                            </w:r>
                          </w:p>
                          <w:p w:rsidR="00560C43" w:rsidRPr="00A47AAD" w:rsidRDefault="00560C43" w:rsidP="007A5817">
                            <w:pPr>
                              <w:spacing w:line="276" w:lineRule="auto"/>
                              <w:jc w:val="right"/>
                              <w:rPr>
                                <w:rFonts w:asciiTheme="minorHAnsi" w:hAnsiTheme="minorHAnsi"/>
                                <w:color w:val="FFFFFF" w:themeColor="background1"/>
                                <w:sz w:val="22"/>
                                <w:lang w:val="pt-BR"/>
                              </w:rPr>
                            </w:pPr>
                            <w:r w:rsidRPr="00A47AAD">
                              <w:rPr>
                                <w:rFonts w:asciiTheme="minorHAnsi" w:hAnsiTheme="minorHAnsi"/>
                                <w:color w:val="FFFFFF" w:themeColor="background1"/>
                                <w:sz w:val="22"/>
                                <w:lang w:val="pt-BR"/>
                              </w:rPr>
                              <w:t xml:space="preserve">Doc. </w:t>
                            </w:r>
                            <w:r w:rsidR="003C2EB7" w:rsidRPr="00A47AAD">
                              <w:rPr>
                                <w:rFonts w:asciiTheme="minorHAnsi" w:hAnsiTheme="minorHAnsi"/>
                                <w:color w:val="FFFFFF" w:themeColor="background1"/>
                                <w:sz w:val="22"/>
                                <w:lang w:val="pt-BR"/>
                              </w:rPr>
                              <w:t>79</w:t>
                            </w:r>
                          </w:p>
                          <w:p w:rsidR="00560C43" w:rsidRPr="004A147C" w:rsidRDefault="003C2EB7" w:rsidP="007A5817">
                            <w:pPr>
                              <w:spacing w:line="276" w:lineRule="auto"/>
                              <w:jc w:val="right"/>
                              <w:rPr>
                                <w:rFonts w:asciiTheme="minorHAnsi" w:hAnsiTheme="minorHAnsi"/>
                                <w:color w:val="FFFFFF" w:themeColor="background1"/>
                                <w:sz w:val="22"/>
                                <w:lang w:val="es-ES"/>
                              </w:rPr>
                            </w:pPr>
                            <w:r w:rsidRPr="004A147C">
                              <w:rPr>
                                <w:rFonts w:asciiTheme="minorHAnsi" w:hAnsiTheme="minorHAnsi"/>
                                <w:color w:val="FFFFFF" w:themeColor="background1"/>
                                <w:sz w:val="22"/>
                                <w:lang w:val="es-ES"/>
                              </w:rPr>
                              <w:t>15</w:t>
                            </w:r>
                            <w:r w:rsidR="00560C43" w:rsidRPr="004A147C">
                              <w:rPr>
                                <w:rFonts w:asciiTheme="minorHAnsi" w:hAnsiTheme="minorHAnsi"/>
                                <w:color w:val="FFFFFF" w:themeColor="background1"/>
                                <w:sz w:val="22"/>
                                <w:lang w:val="es-ES"/>
                              </w:rPr>
                              <w:t xml:space="preserve"> </w:t>
                            </w:r>
                            <w:r w:rsidRPr="004A147C">
                              <w:rPr>
                                <w:rFonts w:asciiTheme="minorHAnsi" w:hAnsiTheme="minorHAnsi"/>
                                <w:color w:val="FFFFFF" w:themeColor="background1"/>
                                <w:sz w:val="22"/>
                                <w:lang w:val="es-ES"/>
                              </w:rPr>
                              <w:t xml:space="preserve">mayo </w:t>
                            </w:r>
                            <w:r w:rsidR="00560C43" w:rsidRPr="004A147C">
                              <w:rPr>
                                <w:rFonts w:asciiTheme="minorHAnsi" w:hAnsiTheme="minorHAnsi"/>
                                <w:color w:val="FFFFFF" w:themeColor="background1"/>
                                <w:sz w:val="22"/>
                                <w:lang w:val="es-ES"/>
                              </w:rPr>
                              <w:t>2019</w:t>
                            </w:r>
                          </w:p>
                          <w:p w:rsidR="00560C43" w:rsidRPr="004A147C" w:rsidRDefault="00560C43" w:rsidP="007A5817">
                            <w:pPr>
                              <w:spacing w:line="276" w:lineRule="auto"/>
                              <w:jc w:val="right"/>
                              <w:rPr>
                                <w:rFonts w:asciiTheme="minorHAnsi" w:hAnsiTheme="minorHAnsi"/>
                                <w:color w:val="FFFFFF" w:themeColor="background1"/>
                                <w:sz w:val="22"/>
                                <w:lang w:val="es-ES"/>
                              </w:rPr>
                            </w:pPr>
                            <w:r w:rsidRPr="004A147C">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447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560C43" w:rsidRPr="00A47AAD" w:rsidRDefault="00560C43" w:rsidP="007A5817">
                      <w:pPr>
                        <w:spacing w:line="276" w:lineRule="auto"/>
                        <w:jc w:val="right"/>
                        <w:rPr>
                          <w:rFonts w:asciiTheme="minorHAnsi" w:hAnsiTheme="minorHAnsi"/>
                          <w:color w:val="FFFFFF" w:themeColor="background1"/>
                          <w:sz w:val="22"/>
                          <w:lang w:val="pt-BR"/>
                        </w:rPr>
                      </w:pPr>
                      <w:r w:rsidRPr="00A47AAD">
                        <w:rPr>
                          <w:rFonts w:asciiTheme="minorHAnsi" w:hAnsiTheme="minorHAnsi"/>
                          <w:color w:val="FFFFFF" w:themeColor="background1"/>
                          <w:sz w:val="22"/>
                          <w:lang w:val="pt-BR"/>
                        </w:rPr>
                        <w:t>OEA/Ser.L/V/II.</w:t>
                      </w:r>
                    </w:p>
                    <w:p w:rsidR="00560C43" w:rsidRPr="00A47AAD" w:rsidRDefault="00560C43" w:rsidP="007A5817">
                      <w:pPr>
                        <w:spacing w:line="276" w:lineRule="auto"/>
                        <w:jc w:val="right"/>
                        <w:rPr>
                          <w:rFonts w:asciiTheme="minorHAnsi" w:hAnsiTheme="minorHAnsi"/>
                          <w:color w:val="FFFFFF" w:themeColor="background1"/>
                          <w:sz w:val="22"/>
                          <w:lang w:val="pt-BR"/>
                        </w:rPr>
                      </w:pPr>
                      <w:r w:rsidRPr="00A47AAD">
                        <w:rPr>
                          <w:rFonts w:asciiTheme="minorHAnsi" w:hAnsiTheme="minorHAnsi"/>
                          <w:color w:val="FFFFFF" w:themeColor="background1"/>
                          <w:sz w:val="22"/>
                          <w:lang w:val="pt-BR"/>
                        </w:rPr>
                        <w:t xml:space="preserve">Doc. </w:t>
                      </w:r>
                      <w:r w:rsidR="003C2EB7" w:rsidRPr="00A47AAD">
                        <w:rPr>
                          <w:rFonts w:asciiTheme="minorHAnsi" w:hAnsiTheme="minorHAnsi"/>
                          <w:color w:val="FFFFFF" w:themeColor="background1"/>
                          <w:sz w:val="22"/>
                          <w:lang w:val="pt-BR"/>
                        </w:rPr>
                        <w:t>79</w:t>
                      </w:r>
                    </w:p>
                    <w:p w:rsidR="00560C43" w:rsidRPr="004A147C" w:rsidRDefault="003C2EB7" w:rsidP="007A5817">
                      <w:pPr>
                        <w:spacing w:line="276" w:lineRule="auto"/>
                        <w:jc w:val="right"/>
                        <w:rPr>
                          <w:rFonts w:asciiTheme="minorHAnsi" w:hAnsiTheme="minorHAnsi"/>
                          <w:color w:val="FFFFFF" w:themeColor="background1"/>
                          <w:sz w:val="22"/>
                          <w:lang w:val="es-ES"/>
                        </w:rPr>
                      </w:pPr>
                      <w:r w:rsidRPr="004A147C">
                        <w:rPr>
                          <w:rFonts w:asciiTheme="minorHAnsi" w:hAnsiTheme="minorHAnsi"/>
                          <w:color w:val="FFFFFF" w:themeColor="background1"/>
                          <w:sz w:val="22"/>
                          <w:lang w:val="es-ES"/>
                        </w:rPr>
                        <w:t>15</w:t>
                      </w:r>
                      <w:r w:rsidR="00560C43" w:rsidRPr="004A147C">
                        <w:rPr>
                          <w:rFonts w:asciiTheme="minorHAnsi" w:hAnsiTheme="minorHAnsi"/>
                          <w:color w:val="FFFFFF" w:themeColor="background1"/>
                          <w:sz w:val="22"/>
                          <w:lang w:val="es-ES"/>
                        </w:rPr>
                        <w:t xml:space="preserve"> </w:t>
                      </w:r>
                      <w:r w:rsidRPr="004A147C">
                        <w:rPr>
                          <w:rFonts w:asciiTheme="minorHAnsi" w:hAnsiTheme="minorHAnsi"/>
                          <w:color w:val="FFFFFF" w:themeColor="background1"/>
                          <w:sz w:val="22"/>
                          <w:lang w:val="es-ES"/>
                        </w:rPr>
                        <w:t xml:space="preserve">mayo </w:t>
                      </w:r>
                      <w:r w:rsidR="00560C43" w:rsidRPr="004A147C">
                        <w:rPr>
                          <w:rFonts w:asciiTheme="minorHAnsi" w:hAnsiTheme="minorHAnsi"/>
                          <w:color w:val="FFFFFF" w:themeColor="background1"/>
                          <w:sz w:val="22"/>
                          <w:lang w:val="es-ES"/>
                        </w:rPr>
                        <w:t>2019</w:t>
                      </w:r>
                    </w:p>
                    <w:p w:rsidR="00560C43" w:rsidRPr="004A147C" w:rsidRDefault="00560C43" w:rsidP="007A5817">
                      <w:pPr>
                        <w:spacing w:line="276" w:lineRule="auto"/>
                        <w:jc w:val="right"/>
                        <w:rPr>
                          <w:rFonts w:asciiTheme="minorHAnsi" w:hAnsiTheme="minorHAnsi"/>
                          <w:color w:val="FFFFFF" w:themeColor="background1"/>
                          <w:sz w:val="22"/>
                          <w:lang w:val="es-ES"/>
                        </w:rPr>
                      </w:pPr>
                      <w:r w:rsidRPr="004A147C">
                        <w:rPr>
                          <w:rFonts w:asciiTheme="minorHAnsi" w:hAnsiTheme="minorHAnsi"/>
                          <w:color w:val="FFFFFF" w:themeColor="background1"/>
                          <w:sz w:val="22"/>
                          <w:lang w:val="es-ES"/>
                        </w:rPr>
                        <w:t>Original: español</w:t>
                      </w:r>
                    </w:p>
                  </w:txbxContent>
                </v:textbox>
              </v:shape>
            </w:pict>
          </mc:Fallback>
        </mc:AlternateContent>
      </w:r>
    </w:p>
    <w:p w:rsidR="00040C3A" w:rsidRPr="00A10C7B" w:rsidRDefault="00040C3A" w:rsidP="00120783">
      <w:pPr>
        <w:tabs>
          <w:tab w:val="center" w:pos="5400"/>
        </w:tabs>
        <w:suppressAutoHyphens/>
        <w:jc w:val="center"/>
        <w:rPr>
          <w:rFonts w:asciiTheme="majorHAnsi" w:hAnsiTheme="majorHAnsi"/>
          <w:sz w:val="20"/>
          <w:szCs w:val="20"/>
          <w:lang w:val="es-ES_tradnl"/>
        </w:rPr>
      </w:pPr>
    </w:p>
    <w:p w:rsidR="00040C3A" w:rsidRPr="00A10C7B" w:rsidRDefault="00040C3A" w:rsidP="00120783">
      <w:pPr>
        <w:tabs>
          <w:tab w:val="center" w:pos="5400"/>
        </w:tabs>
        <w:suppressAutoHyphens/>
        <w:jc w:val="center"/>
        <w:rPr>
          <w:rFonts w:asciiTheme="majorHAnsi" w:hAnsiTheme="majorHAnsi"/>
          <w:sz w:val="20"/>
          <w:szCs w:val="20"/>
          <w:lang w:val="es-ES_tradnl"/>
        </w:rPr>
      </w:pPr>
    </w:p>
    <w:p w:rsidR="00040C3A" w:rsidRPr="00A10C7B" w:rsidRDefault="00040C3A" w:rsidP="00120783">
      <w:pPr>
        <w:tabs>
          <w:tab w:val="center" w:pos="5400"/>
        </w:tabs>
        <w:suppressAutoHyphens/>
        <w:jc w:val="center"/>
        <w:rPr>
          <w:rFonts w:asciiTheme="majorHAnsi" w:hAnsiTheme="majorHAnsi" w:cs="Arial"/>
          <w:sz w:val="20"/>
          <w:szCs w:val="20"/>
          <w:lang w:val="es-ES_tradnl"/>
        </w:rPr>
      </w:pPr>
    </w:p>
    <w:p w:rsidR="00040C3A" w:rsidRPr="00A10C7B" w:rsidRDefault="00040C3A" w:rsidP="00120783">
      <w:pPr>
        <w:tabs>
          <w:tab w:val="center" w:pos="5400"/>
        </w:tabs>
        <w:suppressAutoHyphens/>
        <w:jc w:val="center"/>
        <w:rPr>
          <w:rFonts w:asciiTheme="majorHAnsi" w:hAnsiTheme="majorHAnsi"/>
          <w:sz w:val="20"/>
          <w:szCs w:val="20"/>
          <w:lang w:val="es-ES_tradnl"/>
        </w:rPr>
      </w:pPr>
    </w:p>
    <w:p w:rsidR="00040C3A" w:rsidRPr="00A10C7B" w:rsidRDefault="00040C3A" w:rsidP="00120783">
      <w:pPr>
        <w:tabs>
          <w:tab w:val="center" w:pos="5400"/>
        </w:tabs>
        <w:suppressAutoHyphens/>
        <w:jc w:val="center"/>
        <w:rPr>
          <w:rFonts w:asciiTheme="majorHAnsi" w:hAnsiTheme="majorHAnsi"/>
          <w:sz w:val="20"/>
          <w:szCs w:val="20"/>
          <w:lang w:val="es-ES_tradnl"/>
        </w:rPr>
      </w:pPr>
    </w:p>
    <w:p w:rsidR="00040C3A" w:rsidRPr="00A10C7B" w:rsidRDefault="00040C3A" w:rsidP="00120783">
      <w:pPr>
        <w:tabs>
          <w:tab w:val="center" w:pos="5400"/>
        </w:tabs>
        <w:suppressAutoHyphens/>
        <w:jc w:val="center"/>
        <w:rPr>
          <w:rFonts w:asciiTheme="majorHAnsi" w:hAnsiTheme="majorHAnsi"/>
          <w:sz w:val="20"/>
          <w:szCs w:val="20"/>
          <w:lang w:val="es-ES_tradnl"/>
        </w:rPr>
      </w:pPr>
    </w:p>
    <w:p w:rsidR="00040C3A" w:rsidRPr="00A10C7B" w:rsidRDefault="00040C3A" w:rsidP="00120783">
      <w:pPr>
        <w:tabs>
          <w:tab w:val="center" w:pos="5400"/>
        </w:tabs>
        <w:suppressAutoHyphens/>
        <w:jc w:val="center"/>
        <w:rPr>
          <w:rFonts w:asciiTheme="majorHAnsi" w:hAnsiTheme="majorHAnsi"/>
          <w:sz w:val="20"/>
          <w:szCs w:val="20"/>
          <w:lang w:val="es-ES_tradnl"/>
        </w:rPr>
      </w:pPr>
    </w:p>
    <w:p w:rsidR="005128E4" w:rsidRPr="00A10C7B" w:rsidRDefault="005128E4" w:rsidP="00120783">
      <w:pPr>
        <w:tabs>
          <w:tab w:val="center" w:pos="5400"/>
        </w:tabs>
        <w:suppressAutoHyphens/>
        <w:jc w:val="center"/>
        <w:rPr>
          <w:rFonts w:asciiTheme="majorHAnsi" w:hAnsiTheme="majorHAnsi"/>
          <w:sz w:val="20"/>
          <w:szCs w:val="20"/>
          <w:lang w:val="es-ES_tradnl"/>
        </w:rPr>
      </w:pPr>
    </w:p>
    <w:p w:rsidR="00040C3A" w:rsidRPr="00A10C7B" w:rsidRDefault="00040C3A" w:rsidP="00120783">
      <w:pPr>
        <w:tabs>
          <w:tab w:val="center" w:pos="5400"/>
        </w:tabs>
        <w:suppressAutoHyphens/>
        <w:jc w:val="center"/>
        <w:rPr>
          <w:rFonts w:asciiTheme="majorHAnsi" w:hAnsiTheme="majorHAnsi"/>
          <w:sz w:val="20"/>
          <w:szCs w:val="20"/>
          <w:lang w:val="es-ES_tradnl"/>
        </w:rPr>
      </w:pPr>
    </w:p>
    <w:p w:rsidR="005128E4" w:rsidRPr="00A10C7B" w:rsidRDefault="005128E4" w:rsidP="00120783">
      <w:pPr>
        <w:tabs>
          <w:tab w:val="center" w:pos="5400"/>
        </w:tabs>
        <w:suppressAutoHyphens/>
        <w:jc w:val="center"/>
        <w:rPr>
          <w:rFonts w:asciiTheme="majorHAnsi" w:hAnsiTheme="majorHAnsi"/>
          <w:sz w:val="20"/>
          <w:szCs w:val="20"/>
          <w:lang w:val="es-ES_tradnl"/>
        </w:rPr>
      </w:pPr>
    </w:p>
    <w:p w:rsidR="005128E4" w:rsidRPr="00A10C7B" w:rsidRDefault="005128E4" w:rsidP="00120783">
      <w:pPr>
        <w:tabs>
          <w:tab w:val="center" w:pos="5400"/>
        </w:tabs>
        <w:suppressAutoHyphens/>
        <w:jc w:val="center"/>
        <w:rPr>
          <w:rFonts w:asciiTheme="majorHAnsi" w:hAnsiTheme="majorHAnsi"/>
          <w:sz w:val="20"/>
          <w:szCs w:val="20"/>
          <w:lang w:val="es-ES_tradnl"/>
        </w:rPr>
      </w:pPr>
    </w:p>
    <w:p w:rsidR="005128E4" w:rsidRPr="00A10C7B" w:rsidRDefault="005128E4" w:rsidP="00120783">
      <w:pPr>
        <w:tabs>
          <w:tab w:val="center" w:pos="5400"/>
        </w:tabs>
        <w:suppressAutoHyphens/>
        <w:jc w:val="center"/>
        <w:rPr>
          <w:rFonts w:asciiTheme="majorHAnsi" w:hAnsiTheme="majorHAnsi"/>
          <w:sz w:val="20"/>
          <w:szCs w:val="20"/>
          <w:lang w:val="es-ES_tradnl"/>
        </w:rPr>
      </w:pPr>
    </w:p>
    <w:p w:rsidR="00040C3A" w:rsidRPr="00A10C7B" w:rsidRDefault="00040C3A" w:rsidP="00120783">
      <w:pPr>
        <w:tabs>
          <w:tab w:val="center" w:pos="5400"/>
        </w:tabs>
        <w:suppressAutoHyphens/>
        <w:jc w:val="center"/>
        <w:rPr>
          <w:rFonts w:asciiTheme="majorHAnsi" w:hAnsiTheme="majorHAnsi"/>
          <w:sz w:val="20"/>
          <w:szCs w:val="20"/>
          <w:lang w:val="es-ES_tradnl"/>
        </w:rPr>
      </w:pPr>
    </w:p>
    <w:p w:rsidR="00040C3A" w:rsidRPr="00A10C7B" w:rsidRDefault="00040C3A" w:rsidP="00120783">
      <w:pPr>
        <w:tabs>
          <w:tab w:val="center" w:pos="5400"/>
        </w:tabs>
        <w:suppressAutoHyphens/>
        <w:jc w:val="center"/>
        <w:rPr>
          <w:rFonts w:asciiTheme="majorHAnsi" w:hAnsiTheme="majorHAnsi"/>
          <w:sz w:val="20"/>
          <w:szCs w:val="20"/>
          <w:lang w:val="es-ES_tradnl"/>
        </w:rPr>
      </w:pPr>
    </w:p>
    <w:p w:rsidR="00A50FCF" w:rsidRPr="00A10C7B" w:rsidRDefault="00A50FCF" w:rsidP="00120783">
      <w:pPr>
        <w:tabs>
          <w:tab w:val="center" w:pos="5400"/>
        </w:tabs>
        <w:suppressAutoHyphens/>
        <w:jc w:val="center"/>
        <w:rPr>
          <w:rFonts w:asciiTheme="majorHAnsi" w:hAnsiTheme="majorHAnsi"/>
          <w:sz w:val="20"/>
          <w:szCs w:val="20"/>
          <w:lang w:val="es-ES_tradnl"/>
        </w:rPr>
      </w:pPr>
    </w:p>
    <w:p w:rsidR="00A50FCF" w:rsidRPr="00A10C7B" w:rsidRDefault="00A50FCF" w:rsidP="00120783">
      <w:pPr>
        <w:tabs>
          <w:tab w:val="center" w:pos="5400"/>
        </w:tabs>
        <w:suppressAutoHyphens/>
        <w:jc w:val="center"/>
        <w:rPr>
          <w:rFonts w:asciiTheme="majorHAnsi" w:hAnsiTheme="majorHAnsi"/>
          <w:sz w:val="20"/>
          <w:szCs w:val="20"/>
          <w:lang w:val="es-ES_tradnl"/>
        </w:rPr>
      </w:pPr>
    </w:p>
    <w:p w:rsidR="00A50FCF" w:rsidRPr="00A10C7B" w:rsidRDefault="00A50FCF" w:rsidP="00120783">
      <w:pPr>
        <w:tabs>
          <w:tab w:val="center" w:pos="5400"/>
        </w:tabs>
        <w:suppressAutoHyphens/>
        <w:jc w:val="center"/>
        <w:rPr>
          <w:rFonts w:asciiTheme="majorHAnsi" w:hAnsiTheme="majorHAnsi"/>
          <w:sz w:val="20"/>
          <w:szCs w:val="20"/>
          <w:lang w:val="es-ES_tradnl"/>
        </w:rPr>
      </w:pPr>
    </w:p>
    <w:p w:rsidR="00A50FCF" w:rsidRPr="00A10C7B" w:rsidRDefault="00A50FCF" w:rsidP="00120783">
      <w:pPr>
        <w:tabs>
          <w:tab w:val="center" w:pos="5400"/>
        </w:tabs>
        <w:suppressAutoHyphens/>
        <w:jc w:val="center"/>
        <w:rPr>
          <w:rFonts w:asciiTheme="majorHAnsi" w:hAnsiTheme="majorHAnsi"/>
          <w:sz w:val="20"/>
          <w:szCs w:val="20"/>
          <w:lang w:val="es-ES_tradnl"/>
        </w:rPr>
      </w:pPr>
    </w:p>
    <w:p w:rsidR="00A50FCF" w:rsidRPr="00A10C7B" w:rsidRDefault="00A50FCF" w:rsidP="00120783">
      <w:pPr>
        <w:tabs>
          <w:tab w:val="center" w:pos="5400"/>
        </w:tabs>
        <w:suppressAutoHyphens/>
        <w:jc w:val="center"/>
        <w:rPr>
          <w:rFonts w:asciiTheme="majorHAnsi" w:hAnsiTheme="majorHAnsi"/>
          <w:sz w:val="20"/>
          <w:szCs w:val="20"/>
          <w:lang w:val="es-ES_tradnl"/>
        </w:rPr>
      </w:pPr>
    </w:p>
    <w:p w:rsidR="00A50FCF" w:rsidRPr="00A10C7B" w:rsidRDefault="00A50FCF" w:rsidP="00120783">
      <w:pPr>
        <w:tabs>
          <w:tab w:val="center" w:pos="5400"/>
        </w:tabs>
        <w:suppressAutoHyphens/>
        <w:jc w:val="center"/>
        <w:rPr>
          <w:rFonts w:asciiTheme="majorHAnsi" w:hAnsiTheme="majorHAnsi"/>
          <w:sz w:val="20"/>
          <w:szCs w:val="20"/>
          <w:lang w:val="es-ES_tradnl"/>
        </w:rPr>
      </w:pPr>
    </w:p>
    <w:p w:rsidR="00A50FCF" w:rsidRPr="00A10C7B" w:rsidRDefault="00A50FCF" w:rsidP="00120783">
      <w:pPr>
        <w:tabs>
          <w:tab w:val="center" w:pos="5400"/>
        </w:tabs>
        <w:suppressAutoHyphens/>
        <w:jc w:val="center"/>
        <w:rPr>
          <w:rFonts w:asciiTheme="majorHAnsi" w:hAnsiTheme="majorHAnsi"/>
          <w:sz w:val="20"/>
          <w:szCs w:val="20"/>
          <w:lang w:val="es-ES_tradnl"/>
        </w:rPr>
      </w:pPr>
    </w:p>
    <w:p w:rsidR="00A50FCF" w:rsidRPr="00A10C7B" w:rsidRDefault="00A50FCF" w:rsidP="00120783">
      <w:pPr>
        <w:tabs>
          <w:tab w:val="center" w:pos="5400"/>
        </w:tabs>
        <w:suppressAutoHyphens/>
        <w:jc w:val="center"/>
        <w:rPr>
          <w:rFonts w:asciiTheme="majorHAnsi" w:hAnsiTheme="majorHAnsi"/>
          <w:sz w:val="20"/>
          <w:szCs w:val="20"/>
          <w:lang w:val="es-ES_tradnl"/>
        </w:rPr>
      </w:pPr>
    </w:p>
    <w:p w:rsidR="00A50FCF" w:rsidRPr="00A10C7B" w:rsidRDefault="00A50FCF" w:rsidP="00120783">
      <w:pPr>
        <w:tabs>
          <w:tab w:val="center" w:pos="5400"/>
        </w:tabs>
        <w:suppressAutoHyphens/>
        <w:jc w:val="center"/>
        <w:rPr>
          <w:rFonts w:asciiTheme="majorHAnsi" w:hAnsiTheme="majorHAnsi"/>
          <w:sz w:val="20"/>
          <w:szCs w:val="20"/>
          <w:lang w:val="es-ES_tradnl"/>
        </w:rPr>
      </w:pPr>
    </w:p>
    <w:p w:rsidR="00A50FCF" w:rsidRPr="00A10C7B" w:rsidRDefault="00A50FCF" w:rsidP="00120783">
      <w:pPr>
        <w:tabs>
          <w:tab w:val="center" w:pos="5400"/>
        </w:tabs>
        <w:suppressAutoHyphens/>
        <w:jc w:val="center"/>
        <w:rPr>
          <w:rFonts w:asciiTheme="majorHAnsi" w:hAnsiTheme="majorHAnsi"/>
          <w:sz w:val="20"/>
          <w:szCs w:val="20"/>
          <w:lang w:val="es-ES_tradnl"/>
        </w:rPr>
      </w:pPr>
    </w:p>
    <w:p w:rsidR="00A50FCF" w:rsidRPr="00A10C7B" w:rsidRDefault="00A50FCF" w:rsidP="00120783">
      <w:pPr>
        <w:tabs>
          <w:tab w:val="center" w:pos="5400"/>
        </w:tabs>
        <w:suppressAutoHyphens/>
        <w:jc w:val="center"/>
        <w:rPr>
          <w:rFonts w:asciiTheme="majorHAnsi" w:hAnsiTheme="majorHAnsi"/>
          <w:sz w:val="20"/>
          <w:szCs w:val="20"/>
          <w:lang w:val="es-ES_tradnl"/>
        </w:rPr>
      </w:pPr>
    </w:p>
    <w:p w:rsidR="00A50FCF" w:rsidRPr="00A10C7B" w:rsidRDefault="00A50FCF" w:rsidP="00120783">
      <w:pPr>
        <w:tabs>
          <w:tab w:val="center" w:pos="5400"/>
        </w:tabs>
        <w:suppressAutoHyphens/>
        <w:jc w:val="center"/>
        <w:rPr>
          <w:rFonts w:asciiTheme="majorHAnsi" w:hAnsiTheme="majorHAnsi"/>
          <w:sz w:val="20"/>
          <w:szCs w:val="20"/>
          <w:lang w:val="es-ES_tradnl"/>
        </w:rPr>
      </w:pPr>
    </w:p>
    <w:p w:rsidR="00A50FCF" w:rsidRPr="00A10C7B" w:rsidRDefault="00A50FCF" w:rsidP="00120783">
      <w:pPr>
        <w:tabs>
          <w:tab w:val="center" w:pos="5400"/>
        </w:tabs>
        <w:suppressAutoHyphens/>
        <w:jc w:val="center"/>
        <w:rPr>
          <w:rFonts w:asciiTheme="majorHAnsi" w:hAnsiTheme="majorHAnsi"/>
          <w:sz w:val="20"/>
          <w:szCs w:val="20"/>
          <w:lang w:val="es-ES_tradnl"/>
        </w:rPr>
      </w:pPr>
    </w:p>
    <w:p w:rsidR="00A50FCF" w:rsidRPr="00A10C7B" w:rsidRDefault="00A50FCF" w:rsidP="00120783">
      <w:pPr>
        <w:tabs>
          <w:tab w:val="center" w:pos="5400"/>
        </w:tabs>
        <w:suppressAutoHyphens/>
        <w:jc w:val="center"/>
        <w:rPr>
          <w:rFonts w:asciiTheme="majorHAnsi" w:hAnsiTheme="majorHAnsi"/>
          <w:sz w:val="20"/>
          <w:szCs w:val="20"/>
          <w:lang w:val="es-ES_tradnl"/>
        </w:rPr>
      </w:pPr>
    </w:p>
    <w:p w:rsidR="00A50FCF" w:rsidRPr="00A10C7B" w:rsidRDefault="0090270B" w:rsidP="00120783">
      <w:pPr>
        <w:tabs>
          <w:tab w:val="center" w:pos="5400"/>
        </w:tabs>
        <w:suppressAutoHyphens/>
        <w:jc w:val="center"/>
        <w:rPr>
          <w:rFonts w:asciiTheme="majorHAnsi" w:hAnsiTheme="majorHAnsi"/>
          <w:sz w:val="20"/>
          <w:szCs w:val="20"/>
          <w:lang w:val="es-ES_tradnl"/>
        </w:rPr>
      </w:pPr>
      <w:r w:rsidRPr="00A10C7B">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6E327B69" wp14:editId="21B565E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0C43" w:rsidRPr="00890650" w:rsidRDefault="00560C43"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w:t>
                            </w:r>
                            <w:r>
                              <w:rPr>
                                <w:rFonts w:asciiTheme="majorHAnsi" w:hAnsiTheme="majorHAnsi"/>
                                <w:color w:val="0D0D0D" w:themeColor="text1" w:themeTint="F2"/>
                                <w:sz w:val="18"/>
                                <w:szCs w:val="22"/>
                                <w:lang w:val="es-ES"/>
                              </w:rPr>
                              <w:t xml:space="preserve"> Comisión el </w:t>
                            </w:r>
                            <w:r w:rsidR="003C2EB7">
                              <w:rPr>
                                <w:rFonts w:asciiTheme="majorHAnsi" w:hAnsiTheme="majorHAnsi"/>
                                <w:color w:val="0D0D0D" w:themeColor="text1" w:themeTint="F2"/>
                                <w:sz w:val="18"/>
                                <w:szCs w:val="22"/>
                                <w:lang w:val="es-ES"/>
                              </w:rPr>
                              <w:t>15</w:t>
                            </w:r>
                            <w:r>
                              <w:rPr>
                                <w:rFonts w:asciiTheme="majorHAnsi" w:hAnsiTheme="majorHAnsi"/>
                                <w:color w:val="0D0D0D" w:themeColor="text1" w:themeTint="F2"/>
                                <w:sz w:val="18"/>
                                <w:szCs w:val="22"/>
                                <w:lang w:val="es-ES"/>
                              </w:rPr>
                              <w:t xml:space="preserve"> de </w:t>
                            </w:r>
                            <w:r w:rsidR="003C2EB7">
                              <w:rPr>
                                <w:rFonts w:asciiTheme="majorHAnsi" w:hAnsiTheme="majorHAnsi"/>
                                <w:color w:val="0D0D0D" w:themeColor="text1" w:themeTint="F2"/>
                                <w:sz w:val="18"/>
                                <w:szCs w:val="22"/>
                                <w:lang w:val="es-ES"/>
                              </w:rPr>
                              <w:t>mayo</w:t>
                            </w:r>
                            <w:r>
                              <w:rPr>
                                <w:rFonts w:asciiTheme="majorHAnsi" w:hAnsiTheme="majorHAnsi"/>
                                <w:color w:val="0D0D0D" w:themeColor="text1" w:themeTint="F2"/>
                                <w:sz w:val="18"/>
                                <w:szCs w:val="22"/>
                                <w:lang w:val="es-ES"/>
                              </w:rPr>
                              <w:t xml:space="preserve"> de 2019</w:t>
                            </w:r>
                            <w:r w:rsidR="00B3060B">
                              <w:rPr>
                                <w:rFonts w:asciiTheme="majorHAnsi" w:hAnsiTheme="majorHAnsi"/>
                                <w:color w:val="0D0D0D" w:themeColor="text1" w:themeTint="F2"/>
                                <w:sz w:val="18"/>
                                <w:szCs w:val="22"/>
                                <w:lang w:val="es-ES"/>
                              </w:rPr>
                              <w:t>.</w:t>
                            </w:r>
                          </w:p>
                          <w:p w:rsidR="00560C43" w:rsidRPr="007A5817" w:rsidRDefault="00560C43" w:rsidP="00247403">
                            <w:pPr>
                              <w:tabs>
                                <w:tab w:val="center" w:pos="5400"/>
                              </w:tabs>
                              <w:suppressAutoHyphens/>
                              <w:spacing w:before="60"/>
                              <w:rPr>
                                <w:rFonts w:asciiTheme="minorHAnsi" w:hAnsiTheme="minorHAnsi" w:cs="Univers"/>
                                <w:color w:val="0D0D0D" w:themeColor="text1" w:themeTint="F2"/>
                                <w:sz w:val="20"/>
                                <w:szCs w:val="20"/>
                                <w:lang w:val="es-ES"/>
                              </w:rPr>
                            </w:pPr>
                          </w:p>
                          <w:p w:rsidR="00560C43" w:rsidRPr="00167A34" w:rsidRDefault="00560C43"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27B6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560C43" w:rsidRPr="00890650" w:rsidRDefault="00560C43"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w:t>
                      </w:r>
                      <w:r>
                        <w:rPr>
                          <w:rFonts w:asciiTheme="majorHAnsi" w:hAnsiTheme="majorHAnsi"/>
                          <w:color w:val="0D0D0D" w:themeColor="text1" w:themeTint="F2"/>
                          <w:sz w:val="18"/>
                          <w:szCs w:val="22"/>
                          <w:lang w:val="es-ES"/>
                        </w:rPr>
                        <w:t xml:space="preserve"> Comisión el </w:t>
                      </w:r>
                      <w:r w:rsidR="003C2EB7">
                        <w:rPr>
                          <w:rFonts w:asciiTheme="majorHAnsi" w:hAnsiTheme="majorHAnsi"/>
                          <w:color w:val="0D0D0D" w:themeColor="text1" w:themeTint="F2"/>
                          <w:sz w:val="18"/>
                          <w:szCs w:val="22"/>
                          <w:lang w:val="es-ES"/>
                        </w:rPr>
                        <w:t>15</w:t>
                      </w:r>
                      <w:r>
                        <w:rPr>
                          <w:rFonts w:asciiTheme="majorHAnsi" w:hAnsiTheme="majorHAnsi"/>
                          <w:color w:val="0D0D0D" w:themeColor="text1" w:themeTint="F2"/>
                          <w:sz w:val="18"/>
                          <w:szCs w:val="22"/>
                          <w:lang w:val="es-ES"/>
                        </w:rPr>
                        <w:t xml:space="preserve"> de </w:t>
                      </w:r>
                      <w:r w:rsidR="003C2EB7">
                        <w:rPr>
                          <w:rFonts w:asciiTheme="majorHAnsi" w:hAnsiTheme="majorHAnsi"/>
                          <w:color w:val="0D0D0D" w:themeColor="text1" w:themeTint="F2"/>
                          <w:sz w:val="18"/>
                          <w:szCs w:val="22"/>
                          <w:lang w:val="es-ES"/>
                        </w:rPr>
                        <w:t>mayo</w:t>
                      </w:r>
                      <w:r>
                        <w:rPr>
                          <w:rFonts w:asciiTheme="majorHAnsi" w:hAnsiTheme="majorHAnsi"/>
                          <w:color w:val="0D0D0D" w:themeColor="text1" w:themeTint="F2"/>
                          <w:sz w:val="18"/>
                          <w:szCs w:val="22"/>
                          <w:lang w:val="es-ES"/>
                        </w:rPr>
                        <w:t xml:space="preserve"> de 2019</w:t>
                      </w:r>
                      <w:r w:rsidR="00B3060B">
                        <w:rPr>
                          <w:rFonts w:asciiTheme="majorHAnsi" w:hAnsiTheme="majorHAnsi"/>
                          <w:color w:val="0D0D0D" w:themeColor="text1" w:themeTint="F2"/>
                          <w:sz w:val="18"/>
                          <w:szCs w:val="22"/>
                          <w:lang w:val="es-ES"/>
                        </w:rPr>
                        <w:t>.</w:t>
                      </w:r>
                    </w:p>
                    <w:p w:rsidR="00560C43" w:rsidRPr="007A5817" w:rsidRDefault="00560C43" w:rsidP="00247403">
                      <w:pPr>
                        <w:tabs>
                          <w:tab w:val="center" w:pos="5400"/>
                        </w:tabs>
                        <w:suppressAutoHyphens/>
                        <w:spacing w:before="60"/>
                        <w:rPr>
                          <w:rFonts w:asciiTheme="minorHAnsi" w:hAnsiTheme="minorHAnsi" w:cs="Univers"/>
                          <w:color w:val="0D0D0D" w:themeColor="text1" w:themeTint="F2"/>
                          <w:sz w:val="20"/>
                          <w:szCs w:val="20"/>
                          <w:lang w:val="es-ES"/>
                        </w:rPr>
                      </w:pPr>
                    </w:p>
                    <w:p w:rsidR="00560C43" w:rsidRPr="00167A34" w:rsidRDefault="00560C43"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A10C7B" w:rsidRDefault="00A50FCF" w:rsidP="00120783">
      <w:pPr>
        <w:tabs>
          <w:tab w:val="center" w:pos="5400"/>
        </w:tabs>
        <w:suppressAutoHyphens/>
        <w:jc w:val="center"/>
        <w:rPr>
          <w:rFonts w:asciiTheme="majorHAnsi" w:hAnsiTheme="majorHAnsi"/>
          <w:sz w:val="20"/>
          <w:szCs w:val="20"/>
          <w:lang w:val="es-ES_tradnl"/>
        </w:rPr>
      </w:pPr>
    </w:p>
    <w:p w:rsidR="00A50FCF" w:rsidRPr="00A10C7B" w:rsidRDefault="00A50FCF" w:rsidP="00120783">
      <w:pPr>
        <w:tabs>
          <w:tab w:val="center" w:pos="5400"/>
        </w:tabs>
        <w:suppressAutoHyphens/>
        <w:jc w:val="center"/>
        <w:rPr>
          <w:rFonts w:asciiTheme="majorHAnsi" w:hAnsiTheme="majorHAnsi"/>
          <w:sz w:val="20"/>
          <w:szCs w:val="20"/>
          <w:lang w:val="es-ES_tradnl"/>
        </w:rPr>
      </w:pPr>
    </w:p>
    <w:p w:rsidR="00A50FCF" w:rsidRPr="00A10C7B" w:rsidRDefault="00A50FCF" w:rsidP="00120783">
      <w:pPr>
        <w:tabs>
          <w:tab w:val="center" w:pos="5400"/>
        </w:tabs>
        <w:suppressAutoHyphens/>
        <w:jc w:val="center"/>
        <w:rPr>
          <w:rFonts w:asciiTheme="majorHAnsi" w:hAnsiTheme="majorHAnsi"/>
          <w:sz w:val="20"/>
          <w:szCs w:val="20"/>
          <w:lang w:val="es-ES_tradnl"/>
        </w:rPr>
      </w:pPr>
    </w:p>
    <w:p w:rsidR="00A50FCF" w:rsidRPr="00A10C7B" w:rsidRDefault="00A50FCF" w:rsidP="00120783">
      <w:pPr>
        <w:tabs>
          <w:tab w:val="center" w:pos="5400"/>
        </w:tabs>
        <w:suppressAutoHyphens/>
        <w:jc w:val="center"/>
        <w:rPr>
          <w:rFonts w:asciiTheme="majorHAnsi" w:hAnsiTheme="majorHAnsi"/>
          <w:sz w:val="20"/>
          <w:szCs w:val="20"/>
          <w:lang w:val="es-ES_tradnl"/>
        </w:rPr>
      </w:pPr>
    </w:p>
    <w:p w:rsidR="00A50FCF" w:rsidRPr="00A10C7B" w:rsidRDefault="0090270B" w:rsidP="00120783">
      <w:pPr>
        <w:tabs>
          <w:tab w:val="center" w:pos="5400"/>
        </w:tabs>
        <w:suppressAutoHyphens/>
        <w:jc w:val="center"/>
        <w:rPr>
          <w:rFonts w:asciiTheme="majorHAnsi" w:hAnsiTheme="majorHAnsi"/>
          <w:sz w:val="20"/>
          <w:szCs w:val="20"/>
          <w:lang w:val="es-ES_tradnl"/>
        </w:rPr>
      </w:pPr>
      <w:r w:rsidRPr="00A10C7B">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47123072" wp14:editId="1FD958BD">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0C43" w:rsidRPr="009C6039" w:rsidRDefault="00560C4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C2EB7">
                              <w:rPr>
                                <w:rFonts w:asciiTheme="majorHAnsi" w:hAnsiTheme="majorHAnsi"/>
                                <w:color w:val="595959" w:themeColor="text1" w:themeTint="A6"/>
                                <w:sz w:val="18"/>
                                <w:szCs w:val="18"/>
                                <w:lang w:val="es-ES_tradnl"/>
                              </w:rPr>
                              <w:t>71</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19</w:t>
                            </w:r>
                            <w:r w:rsidRPr="00890650">
                              <w:rPr>
                                <w:rFonts w:asciiTheme="majorHAnsi" w:hAnsiTheme="majorHAnsi"/>
                                <w:color w:val="595959" w:themeColor="text1" w:themeTint="A6"/>
                                <w:sz w:val="18"/>
                                <w:szCs w:val="18"/>
                                <w:lang w:val="es-ES_tradnl"/>
                              </w:rPr>
                              <w:t>, Caso</w:t>
                            </w:r>
                            <w:r>
                              <w:rPr>
                                <w:rFonts w:asciiTheme="majorHAnsi" w:hAnsiTheme="majorHAnsi"/>
                                <w:color w:val="595959" w:themeColor="text1" w:themeTint="A6"/>
                                <w:sz w:val="18"/>
                                <w:szCs w:val="18"/>
                                <w:lang w:val="es-ES_tradnl"/>
                              </w:rPr>
                              <w:t xml:space="preserve"> 12.942 </w:t>
                            </w:r>
                            <w:r w:rsidRPr="00890650">
                              <w:rPr>
                                <w:rFonts w:asciiTheme="majorHAnsi" w:hAnsiTheme="majorHAnsi"/>
                                <w:color w:val="595959" w:themeColor="text1" w:themeTint="A6"/>
                                <w:sz w:val="18"/>
                                <w:szCs w:val="18"/>
                                <w:lang w:val="es-ES_tradnl"/>
                              </w:rPr>
                              <w:t>Solución Amistosa</w:t>
                            </w:r>
                            <w:r>
                              <w:rPr>
                                <w:rFonts w:asciiTheme="majorHAnsi" w:hAnsiTheme="majorHAnsi"/>
                                <w:color w:val="595959" w:themeColor="text1" w:themeTint="A6"/>
                                <w:sz w:val="18"/>
                                <w:szCs w:val="18"/>
                                <w:lang w:val="es-ES_tradnl"/>
                              </w:rPr>
                              <w:t>. Emilia Morales Campos. Costa Rica.</w:t>
                            </w:r>
                            <w:r w:rsidRPr="00890650">
                              <w:rPr>
                                <w:rFonts w:asciiTheme="majorHAnsi" w:hAnsiTheme="majorHAnsi"/>
                                <w:color w:val="595959" w:themeColor="text1" w:themeTint="A6"/>
                                <w:sz w:val="18"/>
                                <w:szCs w:val="18"/>
                                <w:lang w:val="es-ES_tradnl"/>
                              </w:rPr>
                              <w:t xml:space="preserve"> </w:t>
                            </w:r>
                            <w:r w:rsidR="003C2EB7">
                              <w:rPr>
                                <w:rFonts w:asciiTheme="majorHAnsi" w:hAnsiTheme="majorHAnsi"/>
                                <w:color w:val="595959" w:themeColor="text1" w:themeTint="A6"/>
                                <w:sz w:val="18"/>
                                <w:szCs w:val="18"/>
                                <w:lang w:val="es-ES"/>
                              </w:rPr>
                              <w:t>15 de mayo de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23072"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560C43" w:rsidRPr="009C6039" w:rsidRDefault="00560C4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C2EB7">
                        <w:rPr>
                          <w:rFonts w:asciiTheme="majorHAnsi" w:hAnsiTheme="majorHAnsi"/>
                          <w:color w:val="595959" w:themeColor="text1" w:themeTint="A6"/>
                          <w:sz w:val="18"/>
                          <w:szCs w:val="18"/>
                          <w:lang w:val="es-ES_tradnl"/>
                        </w:rPr>
                        <w:t>71</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19</w:t>
                      </w:r>
                      <w:r w:rsidRPr="00890650">
                        <w:rPr>
                          <w:rFonts w:asciiTheme="majorHAnsi" w:hAnsiTheme="majorHAnsi"/>
                          <w:color w:val="595959" w:themeColor="text1" w:themeTint="A6"/>
                          <w:sz w:val="18"/>
                          <w:szCs w:val="18"/>
                          <w:lang w:val="es-ES_tradnl"/>
                        </w:rPr>
                        <w:t>, Caso</w:t>
                      </w:r>
                      <w:r>
                        <w:rPr>
                          <w:rFonts w:asciiTheme="majorHAnsi" w:hAnsiTheme="majorHAnsi"/>
                          <w:color w:val="595959" w:themeColor="text1" w:themeTint="A6"/>
                          <w:sz w:val="18"/>
                          <w:szCs w:val="18"/>
                          <w:lang w:val="es-ES_tradnl"/>
                        </w:rPr>
                        <w:t xml:space="preserve"> 12.942 </w:t>
                      </w:r>
                      <w:r w:rsidRPr="00890650">
                        <w:rPr>
                          <w:rFonts w:asciiTheme="majorHAnsi" w:hAnsiTheme="majorHAnsi"/>
                          <w:color w:val="595959" w:themeColor="text1" w:themeTint="A6"/>
                          <w:sz w:val="18"/>
                          <w:szCs w:val="18"/>
                          <w:lang w:val="es-ES_tradnl"/>
                        </w:rPr>
                        <w:t>Solución Amistosa</w:t>
                      </w:r>
                      <w:r>
                        <w:rPr>
                          <w:rFonts w:asciiTheme="majorHAnsi" w:hAnsiTheme="majorHAnsi"/>
                          <w:color w:val="595959" w:themeColor="text1" w:themeTint="A6"/>
                          <w:sz w:val="18"/>
                          <w:szCs w:val="18"/>
                          <w:lang w:val="es-ES_tradnl"/>
                        </w:rPr>
                        <w:t>. Emilia Morales Campos. Costa Rica.</w:t>
                      </w:r>
                      <w:r w:rsidRPr="00890650">
                        <w:rPr>
                          <w:rFonts w:asciiTheme="majorHAnsi" w:hAnsiTheme="majorHAnsi"/>
                          <w:color w:val="595959" w:themeColor="text1" w:themeTint="A6"/>
                          <w:sz w:val="18"/>
                          <w:szCs w:val="18"/>
                          <w:lang w:val="es-ES_tradnl"/>
                        </w:rPr>
                        <w:t xml:space="preserve"> </w:t>
                      </w:r>
                      <w:r w:rsidR="003C2EB7">
                        <w:rPr>
                          <w:rFonts w:asciiTheme="majorHAnsi" w:hAnsiTheme="majorHAnsi"/>
                          <w:color w:val="595959" w:themeColor="text1" w:themeTint="A6"/>
                          <w:sz w:val="18"/>
                          <w:szCs w:val="18"/>
                          <w:lang w:val="es-ES"/>
                        </w:rPr>
                        <w:t>15 de mayo de 2019.</w:t>
                      </w:r>
                    </w:p>
                  </w:txbxContent>
                </v:textbox>
              </v:shape>
            </w:pict>
          </mc:Fallback>
        </mc:AlternateContent>
      </w:r>
    </w:p>
    <w:p w:rsidR="00A50FCF" w:rsidRPr="00A10C7B" w:rsidRDefault="00A50FCF" w:rsidP="00120783">
      <w:pPr>
        <w:tabs>
          <w:tab w:val="center" w:pos="5400"/>
        </w:tabs>
        <w:suppressAutoHyphens/>
        <w:jc w:val="center"/>
        <w:rPr>
          <w:rFonts w:asciiTheme="majorHAnsi" w:hAnsiTheme="majorHAnsi"/>
          <w:sz w:val="20"/>
          <w:szCs w:val="20"/>
          <w:lang w:val="es-ES_tradnl"/>
        </w:rPr>
      </w:pPr>
    </w:p>
    <w:p w:rsidR="0070697F" w:rsidRPr="00A10C7B" w:rsidRDefault="00D306D1" w:rsidP="00120783">
      <w:pPr>
        <w:tabs>
          <w:tab w:val="center" w:pos="5400"/>
        </w:tabs>
        <w:suppressAutoHyphens/>
        <w:jc w:val="center"/>
        <w:rPr>
          <w:rFonts w:asciiTheme="majorHAnsi" w:hAnsiTheme="majorHAnsi"/>
          <w:b/>
          <w:sz w:val="20"/>
          <w:szCs w:val="20"/>
          <w:lang w:val="es-ES_tradnl"/>
        </w:rPr>
        <w:sectPr w:rsidR="0070697F" w:rsidRPr="00A10C7B"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sidRPr="00A10C7B">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702DFD89" wp14:editId="2F64576C">
                <wp:simplePos x="0" y="0"/>
                <wp:positionH relativeFrom="column">
                  <wp:posOffset>1282065</wp:posOffset>
                </wp:positionH>
                <wp:positionV relativeFrom="paragraph">
                  <wp:posOffset>190500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0C43" w:rsidRPr="00D72DC6" w:rsidRDefault="00560C43"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04C0506" wp14:editId="4F69784B">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DFD89" id="Text Box 9" o:spid="_x0000_s1031" type="#_x0000_t202" style="position:absolute;left:0;text-align:left;margin-left:100.95pt;margin-top:1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" fillcolor="white [3201]" stroked="f" strokeweight=".5pt">
                <v:textbox>
                  <w:txbxContent>
                    <w:p w:rsidR="00560C43" w:rsidRPr="00D72DC6" w:rsidRDefault="00560C43"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04C0506" wp14:editId="4F69784B">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A10C7B">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377A9E3B" wp14:editId="761508A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0C43" w:rsidRPr="004B7EB6" w:rsidRDefault="00560C4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A9E3B"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560C43" w:rsidRPr="004B7EB6" w:rsidRDefault="00560C4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9C6039" w:rsidRPr="00A10C7B" w:rsidRDefault="009C6039" w:rsidP="00120783">
      <w:pPr>
        <w:tabs>
          <w:tab w:val="center" w:pos="5400"/>
        </w:tabs>
        <w:suppressAutoHyphens/>
        <w:jc w:val="center"/>
        <w:rPr>
          <w:rFonts w:asciiTheme="majorHAnsi" w:hAnsiTheme="majorHAnsi"/>
          <w:b/>
          <w:sz w:val="18"/>
          <w:szCs w:val="18"/>
          <w:lang w:val="es-CO"/>
        </w:rPr>
      </w:pPr>
      <w:r w:rsidRPr="00A10C7B">
        <w:rPr>
          <w:rFonts w:asciiTheme="majorHAnsi" w:hAnsiTheme="majorHAnsi"/>
          <w:b/>
          <w:sz w:val="18"/>
          <w:szCs w:val="18"/>
          <w:lang w:val="es-MX"/>
        </w:rPr>
        <w:lastRenderedPageBreak/>
        <w:t xml:space="preserve">INFORME No. </w:t>
      </w:r>
      <w:r w:rsidR="004A147C">
        <w:rPr>
          <w:rFonts w:asciiTheme="majorHAnsi" w:hAnsiTheme="majorHAnsi"/>
          <w:b/>
          <w:sz w:val="18"/>
          <w:szCs w:val="18"/>
          <w:lang w:val="es-MX"/>
        </w:rPr>
        <w:t>71</w:t>
      </w:r>
      <w:r w:rsidRPr="00A10C7B">
        <w:rPr>
          <w:rFonts w:asciiTheme="majorHAnsi" w:hAnsiTheme="majorHAnsi"/>
          <w:b/>
          <w:sz w:val="18"/>
          <w:szCs w:val="18"/>
          <w:lang w:val="es-US"/>
        </w:rPr>
        <w:t>/19</w:t>
      </w:r>
    </w:p>
    <w:p w:rsidR="009C6039" w:rsidRPr="00A10C7B" w:rsidRDefault="009C6039" w:rsidP="00120783">
      <w:pPr>
        <w:tabs>
          <w:tab w:val="center" w:pos="5400"/>
        </w:tabs>
        <w:suppressAutoHyphens/>
        <w:jc w:val="center"/>
        <w:rPr>
          <w:rFonts w:asciiTheme="majorHAnsi" w:hAnsiTheme="majorHAnsi"/>
          <w:b/>
          <w:sz w:val="18"/>
          <w:szCs w:val="18"/>
          <w:lang w:val="es-MX"/>
        </w:rPr>
      </w:pPr>
      <w:r w:rsidRPr="00A10C7B">
        <w:rPr>
          <w:rFonts w:asciiTheme="majorHAnsi" w:hAnsiTheme="majorHAnsi"/>
          <w:b/>
          <w:sz w:val="18"/>
          <w:szCs w:val="18"/>
          <w:lang w:val="es-MX"/>
        </w:rPr>
        <w:t>CASO 12.942</w:t>
      </w:r>
    </w:p>
    <w:p w:rsidR="009C6039" w:rsidRPr="00A10C7B" w:rsidRDefault="009C6039" w:rsidP="00120783">
      <w:pPr>
        <w:jc w:val="center"/>
        <w:rPr>
          <w:rFonts w:asciiTheme="majorHAnsi" w:hAnsiTheme="majorHAnsi"/>
          <w:sz w:val="18"/>
          <w:szCs w:val="18"/>
          <w:lang w:val="es-ES"/>
        </w:rPr>
      </w:pPr>
      <w:r w:rsidRPr="00A10C7B">
        <w:rPr>
          <w:rFonts w:asciiTheme="majorHAnsi" w:hAnsiTheme="majorHAnsi"/>
          <w:sz w:val="18"/>
          <w:szCs w:val="18"/>
          <w:lang w:val="es-ES"/>
        </w:rPr>
        <w:t xml:space="preserve">SOLUCIÓN AMISTOSA </w:t>
      </w:r>
    </w:p>
    <w:p w:rsidR="009C6039" w:rsidRPr="00A10C7B" w:rsidRDefault="009C6039" w:rsidP="00120783">
      <w:pPr>
        <w:jc w:val="center"/>
        <w:rPr>
          <w:rFonts w:asciiTheme="majorHAnsi" w:hAnsiTheme="majorHAnsi"/>
          <w:sz w:val="18"/>
          <w:szCs w:val="18"/>
          <w:lang w:val="es-VE"/>
        </w:rPr>
      </w:pPr>
      <w:r w:rsidRPr="00A10C7B">
        <w:rPr>
          <w:rFonts w:asciiTheme="majorHAnsi" w:hAnsiTheme="majorHAnsi"/>
          <w:sz w:val="18"/>
          <w:szCs w:val="18"/>
          <w:lang w:val="es-VE"/>
        </w:rPr>
        <w:t>EMILIA MORALES CAMPOS</w:t>
      </w:r>
    </w:p>
    <w:p w:rsidR="009C6039" w:rsidRPr="00A47AAD" w:rsidRDefault="009C6039" w:rsidP="00120783">
      <w:pPr>
        <w:jc w:val="center"/>
        <w:rPr>
          <w:rFonts w:asciiTheme="majorHAnsi" w:hAnsiTheme="majorHAnsi"/>
          <w:sz w:val="18"/>
          <w:szCs w:val="18"/>
          <w:lang w:val="es-VE"/>
        </w:rPr>
      </w:pPr>
      <w:r w:rsidRPr="00A47AAD">
        <w:rPr>
          <w:rFonts w:asciiTheme="majorHAnsi" w:hAnsiTheme="majorHAnsi"/>
          <w:sz w:val="18"/>
          <w:szCs w:val="18"/>
          <w:lang w:val="es-VE"/>
        </w:rPr>
        <w:t>COSTA RICA</w:t>
      </w:r>
    </w:p>
    <w:p w:rsidR="009C6039" w:rsidRPr="00A47AAD" w:rsidRDefault="004A147C" w:rsidP="00120783">
      <w:pPr>
        <w:jc w:val="center"/>
        <w:rPr>
          <w:rFonts w:asciiTheme="majorHAnsi" w:hAnsiTheme="majorHAnsi"/>
          <w:sz w:val="18"/>
          <w:szCs w:val="18"/>
          <w:lang w:val="es-VE"/>
        </w:rPr>
      </w:pPr>
      <w:r w:rsidRPr="00A47AAD">
        <w:rPr>
          <w:rFonts w:asciiTheme="majorHAnsi" w:hAnsiTheme="majorHAnsi"/>
          <w:sz w:val="18"/>
          <w:szCs w:val="18"/>
          <w:lang w:val="es-VE"/>
        </w:rPr>
        <w:t>15</w:t>
      </w:r>
      <w:r w:rsidR="009C6039" w:rsidRPr="00A47AAD">
        <w:rPr>
          <w:rFonts w:asciiTheme="majorHAnsi" w:hAnsiTheme="majorHAnsi"/>
          <w:sz w:val="18"/>
          <w:szCs w:val="18"/>
          <w:lang w:val="es-VE"/>
        </w:rPr>
        <w:t xml:space="preserve"> DE </w:t>
      </w:r>
      <w:r w:rsidRPr="00A47AAD">
        <w:rPr>
          <w:rFonts w:asciiTheme="majorHAnsi" w:hAnsiTheme="majorHAnsi"/>
          <w:sz w:val="18"/>
          <w:szCs w:val="18"/>
          <w:lang w:val="es-VE"/>
        </w:rPr>
        <w:t>MAYO</w:t>
      </w:r>
      <w:r w:rsidR="009C6039" w:rsidRPr="00A47AAD">
        <w:rPr>
          <w:rFonts w:asciiTheme="majorHAnsi" w:hAnsiTheme="majorHAnsi"/>
          <w:sz w:val="18"/>
          <w:szCs w:val="18"/>
          <w:lang w:val="es-VE"/>
        </w:rPr>
        <w:t xml:space="preserve"> DE 2019</w:t>
      </w:r>
    </w:p>
    <w:p w:rsidR="009C6039" w:rsidRDefault="009C6039" w:rsidP="00120783">
      <w:pPr>
        <w:jc w:val="center"/>
        <w:rPr>
          <w:rFonts w:asciiTheme="majorHAnsi" w:hAnsiTheme="majorHAnsi"/>
          <w:sz w:val="20"/>
          <w:szCs w:val="20"/>
          <w:lang w:val="es-ES_tradnl"/>
        </w:rPr>
      </w:pPr>
    </w:p>
    <w:p w:rsidR="00A10C7B" w:rsidRPr="00A10C7B" w:rsidRDefault="00A10C7B" w:rsidP="00120783">
      <w:pPr>
        <w:jc w:val="center"/>
        <w:rPr>
          <w:rFonts w:asciiTheme="majorHAnsi" w:hAnsiTheme="majorHAnsi"/>
          <w:sz w:val="20"/>
          <w:szCs w:val="20"/>
          <w:lang w:val="es-ES_tradnl"/>
        </w:rPr>
      </w:pPr>
    </w:p>
    <w:p w:rsidR="009C6039" w:rsidRPr="00A10C7B" w:rsidRDefault="009C6039" w:rsidP="00A47AA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contextualSpacing/>
        <w:rPr>
          <w:rFonts w:asciiTheme="majorHAnsi" w:hAnsiTheme="majorHAnsi"/>
          <w:b/>
          <w:sz w:val="20"/>
          <w:szCs w:val="20"/>
          <w:lang w:val="es-BO"/>
        </w:rPr>
      </w:pPr>
      <w:r w:rsidRPr="00A10C7B">
        <w:rPr>
          <w:rFonts w:asciiTheme="majorHAnsi" w:hAnsiTheme="majorHAnsi"/>
          <w:b/>
          <w:sz w:val="20"/>
          <w:szCs w:val="20"/>
          <w:lang w:val="es-BO"/>
        </w:rPr>
        <w:t>RESUMEN Y ASPECTOS PROCESALES RELEVANTES DEL PROCESO DE SOLUCIÓN AMISTOSA</w:t>
      </w:r>
    </w:p>
    <w:p w:rsidR="009C6039" w:rsidRPr="00A10C7B" w:rsidRDefault="009C6039" w:rsidP="00120783">
      <w:pPr>
        <w:pStyle w:val="Default"/>
        <w:ind w:firstLine="720"/>
        <w:rPr>
          <w:rFonts w:asciiTheme="majorHAnsi" w:eastAsia="Arial Unicode MS" w:hAnsiTheme="majorHAnsi" w:cs="Cambria"/>
          <w:sz w:val="20"/>
          <w:szCs w:val="20"/>
          <w:bdr w:val="nil"/>
          <w:lang w:val="es-ES" w:eastAsia="es-ES"/>
        </w:rPr>
      </w:pPr>
      <w:r w:rsidRPr="00A10C7B">
        <w:rPr>
          <w:rFonts w:asciiTheme="majorHAnsi" w:hAnsiTheme="majorHAnsi" w:cs="Arial"/>
          <w:sz w:val="20"/>
          <w:szCs w:val="20"/>
          <w:lang w:val="es-PE"/>
        </w:rPr>
        <w:t xml:space="preserve"> </w:t>
      </w:r>
    </w:p>
    <w:p w:rsidR="009C6039" w:rsidRPr="00A10C7B" w:rsidRDefault="009C6039" w:rsidP="00120783">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sz w:val="20"/>
          <w:szCs w:val="20"/>
          <w:lang w:val="es-ES"/>
        </w:rPr>
      </w:pPr>
      <w:r w:rsidRPr="00A10C7B">
        <w:rPr>
          <w:rFonts w:asciiTheme="majorHAnsi" w:hAnsiTheme="majorHAnsi"/>
          <w:sz w:val="20"/>
          <w:szCs w:val="20"/>
          <w:lang w:val="es-ES"/>
        </w:rPr>
        <w:t>El 7 de abril de 2006, la Comisión Interamericana de Derechos Humanos (en adelante “la Comisión”, “Comisión Interamericana” o “CIDH”) recibió una petición presentada por la señora Emilia Morales Campos (en adelante “la peticionaria”) en la cual se alega la responsabilidad de la República de Costa Rica (en adelante “Estado”, “Estado costarricense” o “Costa Rica”) por la alegada violación de garantías consagradas en la Declaración Americana de Derechos y Deberes del Hombre (en adelante la “Declaración” o la “Declaración Americana”), en el marco de la tramitación de una solicitud de un bono familiar de vivienda (en adelante BFV)</w:t>
      </w:r>
      <w:r w:rsidRPr="00A10C7B">
        <w:rPr>
          <w:rStyle w:val="FootnoteReference"/>
          <w:rFonts w:asciiTheme="majorHAnsi" w:hAnsiTheme="majorHAnsi"/>
          <w:sz w:val="20"/>
          <w:szCs w:val="20"/>
          <w:lang w:val="es-ES"/>
        </w:rPr>
        <w:footnoteReference w:id="2"/>
      </w:r>
      <w:r w:rsidRPr="00A10C7B">
        <w:rPr>
          <w:rFonts w:asciiTheme="majorHAnsi" w:hAnsiTheme="majorHAnsi"/>
          <w:sz w:val="20"/>
          <w:szCs w:val="20"/>
          <w:lang w:val="es-ES"/>
        </w:rPr>
        <w:t xml:space="preserve">, presentada </w:t>
      </w:r>
      <w:r w:rsidR="00646F98" w:rsidRPr="00A10C7B">
        <w:rPr>
          <w:rFonts w:asciiTheme="majorHAnsi" w:hAnsiTheme="majorHAnsi"/>
          <w:sz w:val="20"/>
          <w:szCs w:val="20"/>
          <w:lang w:val="es-ES"/>
        </w:rPr>
        <w:t xml:space="preserve">en </w:t>
      </w:r>
      <w:r w:rsidRPr="00A10C7B">
        <w:rPr>
          <w:rFonts w:asciiTheme="majorHAnsi" w:hAnsiTheme="majorHAnsi"/>
          <w:sz w:val="20"/>
          <w:szCs w:val="20"/>
          <w:lang w:val="es-ES"/>
        </w:rPr>
        <w:t>el año 1991 y que no habría sido resuelto a la fecha de la emisión del Informe de Admisibilidad</w:t>
      </w:r>
      <w:r w:rsidRPr="00A10C7B">
        <w:rPr>
          <w:rStyle w:val="FootnoteReference"/>
          <w:rFonts w:asciiTheme="majorHAnsi" w:hAnsiTheme="majorHAnsi"/>
          <w:sz w:val="20"/>
          <w:szCs w:val="20"/>
          <w:lang w:val="es-ES"/>
        </w:rPr>
        <w:footnoteReference w:id="3"/>
      </w:r>
      <w:r w:rsidRPr="00A10C7B">
        <w:rPr>
          <w:rFonts w:asciiTheme="majorHAnsi" w:hAnsiTheme="majorHAnsi"/>
          <w:sz w:val="20"/>
          <w:szCs w:val="20"/>
          <w:lang w:val="es-ES"/>
        </w:rPr>
        <w:t xml:space="preserve">. La peticionaria alegó que el resultado de lo anterior ella y su hija vivían en condiciones precarias desde hace años, lo que perjudicó en especial la salud y los derechos de ambas. </w:t>
      </w:r>
    </w:p>
    <w:p w:rsidR="009C6039" w:rsidRPr="00A10C7B" w:rsidRDefault="009C6039" w:rsidP="00120783">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rPr>
          <w:rFonts w:asciiTheme="majorHAnsi" w:hAnsiTheme="majorHAnsi"/>
          <w:sz w:val="20"/>
          <w:szCs w:val="20"/>
          <w:lang w:val="es-ES"/>
        </w:rPr>
      </w:pPr>
    </w:p>
    <w:p w:rsidR="009C6039" w:rsidRPr="00A10C7B" w:rsidRDefault="009C6039" w:rsidP="00120783">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sz w:val="20"/>
          <w:szCs w:val="20"/>
          <w:lang w:val="es-ES"/>
        </w:rPr>
      </w:pPr>
      <w:r w:rsidRPr="00A10C7B">
        <w:rPr>
          <w:rFonts w:asciiTheme="majorHAnsi" w:hAnsiTheme="majorHAnsi"/>
          <w:sz w:val="20"/>
          <w:szCs w:val="20"/>
          <w:lang w:val="es-ES"/>
        </w:rPr>
        <w:t xml:space="preserve">La peticionaria alegó que el Estado costarricense es responsable por la violación al derecho a la constitución y protección de la familia, a la preservación de la salud y al bienestar, y a la propiedad consagrados en los artículos VI, XI y XXIII de la Declaración Americana, en perjuicio de ella y de su hija, derivada de la falta de respuesta eficaz del Estado en la tramitación de su solicitud. </w:t>
      </w:r>
    </w:p>
    <w:p w:rsidR="009C6039" w:rsidRPr="00A10C7B" w:rsidRDefault="009C6039" w:rsidP="00120783">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rsidR="009C6039" w:rsidRPr="00A10C7B" w:rsidRDefault="009C6039" w:rsidP="00120783">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_tradnl"/>
        </w:rPr>
      </w:pPr>
      <w:r w:rsidRPr="00A10C7B">
        <w:rPr>
          <w:rFonts w:asciiTheme="majorHAnsi" w:hAnsiTheme="majorHAnsi" w:cs="Calibri"/>
          <w:sz w:val="20"/>
          <w:szCs w:val="20"/>
          <w:lang w:val="es-ES_tradnl"/>
        </w:rPr>
        <w:t xml:space="preserve">El 3 de abril de 2014, la CIDH emitió el Informe de Admisibilidad No. 19/14. En su informe, la CIDH concluyó que era competente para examinar la presunta violación de los </w:t>
      </w:r>
      <w:r w:rsidRPr="00A10C7B">
        <w:rPr>
          <w:rFonts w:asciiTheme="majorHAnsi" w:hAnsiTheme="majorHAnsi" w:cs="Arial"/>
          <w:sz w:val="20"/>
          <w:szCs w:val="20"/>
          <w:lang w:val="es-PE"/>
        </w:rPr>
        <w:t>artículos 5 (integridad personal), 8 (garantías judiciales), 19 (derechos del niño), 25 (protección judicial) y 26 (desarrollo progresivo) de la Convención Americana sobre Derechos Humanos (en adelante “la Convención Americana”), todos ellos en concordancia con la obligación general de respetar y garantizar los derechos, prevista en el artículo 1(1) y 2 del mismo instrumento.</w:t>
      </w:r>
    </w:p>
    <w:p w:rsidR="009C6039" w:rsidRPr="00A10C7B" w:rsidRDefault="009C6039" w:rsidP="0012078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Arial"/>
          <w:sz w:val="20"/>
          <w:szCs w:val="20"/>
          <w:lang w:val="es-PE"/>
        </w:rPr>
      </w:pPr>
    </w:p>
    <w:p w:rsidR="009C6039" w:rsidRPr="00A10C7B" w:rsidRDefault="009C6039" w:rsidP="00120783">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4320"/>
        </w:tabs>
        <w:ind w:left="0" w:firstLine="720"/>
        <w:jc w:val="both"/>
        <w:rPr>
          <w:rFonts w:asciiTheme="majorHAnsi" w:hAnsiTheme="majorHAnsi" w:cs="Arial"/>
          <w:sz w:val="20"/>
          <w:szCs w:val="20"/>
          <w:lang w:val="es-PE"/>
        </w:rPr>
      </w:pPr>
      <w:r w:rsidRPr="00A10C7B">
        <w:rPr>
          <w:rFonts w:asciiTheme="majorHAnsi" w:hAnsiTheme="majorHAnsi"/>
          <w:sz w:val="20"/>
          <w:szCs w:val="20"/>
          <w:lang w:val="es-ES_tradnl"/>
        </w:rPr>
        <w:t>El 3 de septiembre de 2015,  las partes iniciaron la búsqueda de una solución amistosa, que se materializó con la firma de un acuerdo de solución amistosa (en adelante “ASA” o “acuerdo”) el 20 de julio de 2018, dentro del marco de la petición</w:t>
      </w:r>
      <w:r w:rsidRPr="00A10C7B">
        <w:rPr>
          <w:rFonts w:asciiTheme="majorHAnsi" w:hAnsiTheme="majorHAnsi"/>
          <w:color w:val="FF0000"/>
          <w:sz w:val="20"/>
          <w:szCs w:val="20"/>
          <w:lang w:val="es-ES_tradnl"/>
        </w:rPr>
        <w:t xml:space="preserve"> </w:t>
      </w:r>
      <w:r w:rsidRPr="00A10C7B">
        <w:rPr>
          <w:rFonts w:asciiTheme="majorHAnsi" w:hAnsiTheme="majorHAnsi"/>
          <w:sz w:val="20"/>
          <w:szCs w:val="20"/>
          <w:lang w:val="es-ES_tradnl"/>
        </w:rPr>
        <w:t>presentada ante la Comisión Interamericana de Derechos Humanos en contra del Estado costarricense.</w:t>
      </w:r>
      <w:r w:rsidRPr="00A10C7B">
        <w:rPr>
          <w:rFonts w:asciiTheme="majorHAnsi" w:hAnsiTheme="majorHAnsi"/>
          <w:color w:val="auto"/>
          <w:sz w:val="20"/>
          <w:szCs w:val="20"/>
          <w:lang w:val="es-ES_tradnl"/>
        </w:rPr>
        <w:t xml:space="preserve"> </w:t>
      </w:r>
    </w:p>
    <w:p w:rsidR="00646F98" w:rsidRPr="00A10C7B" w:rsidRDefault="00646F98" w:rsidP="00120783">
      <w:pPr>
        <w:pStyle w:val="ListParagraph"/>
        <w:rPr>
          <w:rFonts w:asciiTheme="majorHAnsi" w:hAnsiTheme="majorHAnsi" w:cs="Arial"/>
          <w:sz w:val="20"/>
          <w:szCs w:val="20"/>
          <w:lang w:val="es-PE"/>
        </w:rPr>
      </w:pPr>
    </w:p>
    <w:p w:rsidR="00646F98" w:rsidRPr="00A10C7B" w:rsidRDefault="00646F98" w:rsidP="00120783">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4320"/>
        </w:tabs>
        <w:ind w:left="0" w:firstLine="720"/>
        <w:jc w:val="both"/>
        <w:rPr>
          <w:rFonts w:asciiTheme="majorHAnsi" w:hAnsiTheme="majorHAnsi" w:cs="Arial"/>
          <w:sz w:val="20"/>
          <w:szCs w:val="20"/>
          <w:lang w:val="es-PE"/>
        </w:rPr>
      </w:pPr>
      <w:r w:rsidRPr="00A10C7B">
        <w:rPr>
          <w:rFonts w:asciiTheme="majorHAnsi" w:hAnsiTheme="majorHAnsi" w:cs="Arial"/>
          <w:sz w:val="20"/>
          <w:szCs w:val="20"/>
          <w:lang w:val="es-PE"/>
        </w:rPr>
        <w:t xml:space="preserve">Durante el proceso de negociación de la solución amistosa, la peticionaria expresó que su única pretensión era obtener una vivienda digna. </w:t>
      </w:r>
      <w:r w:rsidR="009C6039" w:rsidRPr="00A10C7B">
        <w:rPr>
          <w:rFonts w:asciiTheme="majorHAnsi" w:hAnsiTheme="majorHAnsi" w:cs="Tahoma"/>
          <w:sz w:val="20"/>
          <w:szCs w:val="20"/>
          <w:lang w:val="es-PE"/>
        </w:rPr>
        <w:t>El 20 de julio de 2018, las partes suscribieron un acuerdo de solución amistosa</w:t>
      </w:r>
      <w:r w:rsidRPr="00A10C7B">
        <w:rPr>
          <w:rFonts w:asciiTheme="majorHAnsi" w:hAnsiTheme="majorHAnsi" w:cs="Tahoma"/>
          <w:sz w:val="20"/>
          <w:szCs w:val="20"/>
          <w:lang w:val="es-PE"/>
        </w:rPr>
        <w:t xml:space="preserve"> que incluía la pretensión de la parte peticionaria</w:t>
      </w:r>
      <w:r w:rsidR="009C6039" w:rsidRPr="00A10C7B">
        <w:rPr>
          <w:rFonts w:asciiTheme="majorHAnsi" w:hAnsiTheme="majorHAnsi" w:cs="Tahoma"/>
          <w:sz w:val="20"/>
          <w:szCs w:val="20"/>
          <w:lang w:val="es-PE"/>
        </w:rPr>
        <w:t xml:space="preserve">. </w:t>
      </w:r>
      <w:r w:rsidR="00560C43" w:rsidRPr="00A10C7B">
        <w:rPr>
          <w:rFonts w:asciiTheme="majorHAnsi" w:hAnsiTheme="majorHAnsi" w:cs="Tahoma"/>
          <w:sz w:val="20"/>
          <w:szCs w:val="20"/>
          <w:lang w:val="es-PE"/>
        </w:rPr>
        <w:t>Es de indicar que la Comisión ha destacado que se trata del primer acuerdo de solución amistosa suscrito por el Estado de Costa Rica</w:t>
      </w:r>
      <w:r w:rsidR="00560C43" w:rsidRPr="00A10C7B">
        <w:rPr>
          <w:rStyle w:val="FootnoteReference"/>
          <w:rFonts w:asciiTheme="majorHAnsi" w:hAnsiTheme="majorHAnsi" w:cs="Tahoma"/>
          <w:sz w:val="20"/>
          <w:szCs w:val="20"/>
          <w:lang w:val="es-PE"/>
        </w:rPr>
        <w:footnoteReference w:id="4"/>
      </w:r>
      <w:r w:rsidR="00560C43" w:rsidRPr="00A10C7B">
        <w:rPr>
          <w:rFonts w:asciiTheme="majorHAnsi" w:hAnsiTheme="majorHAnsi" w:cs="Tahoma"/>
          <w:sz w:val="20"/>
          <w:szCs w:val="20"/>
          <w:lang w:val="es-PE"/>
        </w:rPr>
        <w:t xml:space="preserve">. </w:t>
      </w:r>
    </w:p>
    <w:p w:rsidR="00646F98" w:rsidRPr="00A10C7B" w:rsidRDefault="00646F98" w:rsidP="00120783">
      <w:pPr>
        <w:pStyle w:val="ListParagraph"/>
        <w:rPr>
          <w:rFonts w:asciiTheme="majorHAnsi" w:hAnsiTheme="majorHAnsi" w:cs="Tahoma"/>
          <w:sz w:val="20"/>
          <w:szCs w:val="20"/>
          <w:lang w:val="es-VE"/>
        </w:rPr>
      </w:pPr>
    </w:p>
    <w:p w:rsidR="009C6039" w:rsidRPr="00A10C7B" w:rsidRDefault="009C6039" w:rsidP="00120783">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4320"/>
        </w:tabs>
        <w:ind w:left="0" w:firstLine="720"/>
        <w:jc w:val="both"/>
        <w:rPr>
          <w:rFonts w:asciiTheme="majorHAnsi" w:hAnsiTheme="majorHAnsi" w:cs="Arial"/>
          <w:sz w:val="20"/>
          <w:szCs w:val="20"/>
          <w:lang w:val="es-PE"/>
        </w:rPr>
      </w:pPr>
      <w:r w:rsidRPr="00A10C7B">
        <w:rPr>
          <w:rFonts w:asciiTheme="majorHAnsi" w:hAnsiTheme="majorHAnsi" w:cs="Tahoma"/>
          <w:sz w:val="20"/>
          <w:szCs w:val="20"/>
          <w:lang w:val="es-VE"/>
        </w:rPr>
        <w:t>Mediante comunicación del 18 de octubre de 2018, el Estado informó de la firma del ASA con la señora Emilia Morales Campos, y remitió copia del mismo.</w:t>
      </w:r>
    </w:p>
    <w:p w:rsidR="009C6039" w:rsidRPr="00A10C7B" w:rsidRDefault="009C6039" w:rsidP="0012078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Arial"/>
          <w:sz w:val="20"/>
          <w:szCs w:val="20"/>
          <w:lang w:val="es-PE"/>
        </w:rPr>
      </w:pPr>
    </w:p>
    <w:p w:rsidR="009C6039" w:rsidRPr="00A10C7B" w:rsidRDefault="009C6039" w:rsidP="00120783">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0"/>
          <w:tab w:val="left" w:pos="1440"/>
        </w:tabs>
        <w:ind w:left="0" w:firstLine="720"/>
        <w:jc w:val="both"/>
        <w:rPr>
          <w:rFonts w:asciiTheme="majorHAnsi" w:hAnsiTheme="majorHAnsi" w:cs="Arial"/>
          <w:sz w:val="20"/>
          <w:szCs w:val="20"/>
          <w:lang w:val="es-PE"/>
        </w:rPr>
      </w:pPr>
      <w:r w:rsidRPr="00A10C7B">
        <w:rPr>
          <w:rFonts w:asciiTheme="majorHAnsi" w:hAnsiTheme="majorHAnsi" w:cs="Tahoma"/>
          <w:sz w:val="20"/>
          <w:szCs w:val="20"/>
          <w:lang w:val="es-VE"/>
        </w:rPr>
        <w:t xml:space="preserve">El 5 de abril de 2019, el Estado y la peticionaria enviaron un informe firmado por ambas partes, en el cual comunicaron que ese mismo día se realizó el traspaso de la propiedad de la casa de habitación </w:t>
      </w:r>
      <w:r w:rsidRPr="00A10C7B">
        <w:rPr>
          <w:rFonts w:asciiTheme="majorHAnsi" w:hAnsiTheme="majorHAnsi" w:cs="Tahoma"/>
          <w:sz w:val="20"/>
          <w:szCs w:val="20"/>
          <w:lang w:val="es-VE"/>
        </w:rPr>
        <w:lastRenderedPageBreak/>
        <w:t>a la señora Emilia Morales Campos. Asimismo, solicitaron la pronta homologación del acuerdo de solución amistosa firmado el 20 de julio de 2018.</w:t>
      </w:r>
    </w:p>
    <w:p w:rsidR="009C6039" w:rsidRPr="00A10C7B" w:rsidRDefault="009C6039" w:rsidP="00120783">
      <w:pPr>
        <w:pStyle w:val="ListParagraph"/>
        <w:rPr>
          <w:rFonts w:asciiTheme="majorHAnsi" w:hAnsiTheme="majorHAnsi" w:cs="Arial"/>
          <w:sz w:val="20"/>
          <w:szCs w:val="20"/>
          <w:lang w:val="es-PE"/>
        </w:rPr>
      </w:pPr>
    </w:p>
    <w:p w:rsidR="009C6039" w:rsidRPr="00A10C7B" w:rsidRDefault="009C6039" w:rsidP="00120783">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4320"/>
        </w:tabs>
        <w:ind w:left="0" w:firstLine="720"/>
        <w:jc w:val="both"/>
        <w:rPr>
          <w:rFonts w:asciiTheme="majorHAnsi" w:hAnsiTheme="majorHAnsi" w:cs="Arial"/>
          <w:sz w:val="20"/>
          <w:szCs w:val="20"/>
          <w:lang w:val="es-PE"/>
        </w:rPr>
      </w:pPr>
      <w:r w:rsidRPr="00A10C7B">
        <w:rPr>
          <w:rFonts w:asciiTheme="majorHAnsi" w:hAnsiTheme="majorHAnsi"/>
          <w:sz w:val="20"/>
          <w:szCs w:val="20"/>
          <w:lang w:val="es-AR"/>
        </w:rPr>
        <w:t>En el presente informe de solución amistosa, según lo establecido en el artículo 49 de la Convención y en el artículo 40.5 del Reglamento de la Comisión, se efectúa una reseña de los hechos alegados por el peticionario y se transcribe el acuerdo de solución amistosa, suscrito el 20 de julio de 2018 por la peticionaria y representantes del Estado costarricense. Asimismo, se aprueba el acuerdo suscrito entre las partes y se acuerda la publicación del presente informe en el Informe Anual de la CIDH a la Asamblea General de la Organización de los Estados Americanos.</w:t>
      </w:r>
    </w:p>
    <w:p w:rsidR="009C6039" w:rsidRPr="00A10C7B" w:rsidRDefault="009C6039" w:rsidP="0012078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Arial"/>
          <w:sz w:val="20"/>
          <w:szCs w:val="20"/>
          <w:lang w:val="es-PE"/>
        </w:rPr>
      </w:pPr>
    </w:p>
    <w:p w:rsidR="009C6039" w:rsidRPr="00A10C7B" w:rsidRDefault="009C6039" w:rsidP="00A47AA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 w:val="left" w:pos="1440"/>
        </w:tabs>
        <w:ind w:left="0" w:firstLine="720"/>
        <w:contextualSpacing/>
        <w:rPr>
          <w:rFonts w:asciiTheme="majorHAnsi" w:hAnsiTheme="majorHAnsi"/>
          <w:b/>
          <w:sz w:val="20"/>
          <w:szCs w:val="20"/>
          <w:lang w:val="es-BO"/>
        </w:rPr>
      </w:pPr>
      <w:r w:rsidRPr="00A10C7B">
        <w:rPr>
          <w:rFonts w:asciiTheme="majorHAnsi" w:hAnsiTheme="majorHAnsi"/>
          <w:b/>
          <w:sz w:val="20"/>
          <w:szCs w:val="20"/>
          <w:lang w:val="es-BO"/>
        </w:rPr>
        <w:t>LOS HECHOS ALEGADOS</w:t>
      </w:r>
    </w:p>
    <w:p w:rsidR="009C6039" w:rsidRPr="00A10C7B" w:rsidRDefault="009C6039" w:rsidP="00120783">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Calibri"/>
          <w:sz w:val="20"/>
          <w:szCs w:val="20"/>
          <w:lang w:val="es-ES_tradnl"/>
        </w:rPr>
      </w:pPr>
    </w:p>
    <w:p w:rsidR="009C6039" w:rsidRPr="00A10C7B" w:rsidRDefault="009C6039" w:rsidP="004C7506">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Calibri"/>
          <w:sz w:val="20"/>
          <w:szCs w:val="20"/>
          <w:lang w:val="es-ES_tradnl"/>
        </w:rPr>
      </w:pPr>
      <w:r w:rsidRPr="00A10C7B">
        <w:rPr>
          <w:rFonts w:asciiTheme="majorHAnsi" w:hAnsiTheme="majorHAnsi" w:cs="Calibri"/>
          <w:sz w:val="20"/>
          <w:szCs w:val="20"/>
          <w:lang w:val="es-ES_tradnl"/>
        </w:rPr>
        <w:t>La peticionaria alegó que, desde 1991 ha intentado obtener un Bono Familiar de Vivienda (BFV) primero para comprar una casa y luego para realizar mejoras a una propiedad que recibió en donación por parte de particulares, y que el Estado costarricense le habría impedido el acceso a los recursos para obtener dicho beneficio. La peticionaria señala que las condiciones de la vivienda que le fue donada eran muy precarias y representaba un riesgo para ella y para su hija que en ese momento tenía 11 años. La peticionaria señala además que padece de asma bronquial severa, y que las condiciones de la casa representaban un riesgo para su salud.</w:t>
      </w:r>
    </w:p>
    <w:p w:rsidR="009C6039" w:rsidRPr="00A10C7B" w:rsidRDefault="009C6039" w:rsidP="00120783">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Calibri"/>
          <w:sz w:val="20"/>
          <w:szCs w:val="20"/>
          <w:lang w:val="es-ES_tradnl"/>
        </w:rPr>
      </w:pPr>
      <w:r w:rsidRPr="00A10C7B">
        <w:rPr>
          <w:rFonts w:asciiTheme="majorHAnsi" w:hAnsiTheme="majorHAnsi" w:cs="Calibri"/>
          <w:sz w:val="20"/>
          <w:szCs w:val="20"/>
          <w:lang w:val="es-ES_tradnl"/>
        </w:rPr>
        <w:t xml:space="preserve"> </w:t>
      </w:r>
    </w:p>
    <w:p w:rsidR="009C6039" w:rsidRPr="00A10C7B" w:rsidRDefault="009C6039" w:rsidP="004C7506">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Calibri"/>
          <w:sz w:val="20"/>
          <w:szCs w:val="20"/>
          <w:lang w:val="es-ES_tradnl"/>
        </w:rPr>
      </w:pPr>
      <w:r w:rsidRPr="00A10C7B">
        <w:rPr>
          <w:rFonts w:asciiTheme="majorHAnsi" w:hAnsiTheme="majorHAnsi" w:cs="Calibri"/>
          <w:sz w:val="20"/>
          <w:szCs w:val="20"/>
          <w:lang w:val="es-ES_tradnl"/>
        </w:rPr>
        <w:t xml:space="preserve">Expone además que entre 1991 y 1997 intentó conseguir un BFV, </w:t>
      </w:r>
      <w:r w:rsidR="00646F98" w:rsidRPr="00A10C7B">
        <w:rPr>
          <w:rFonts w:asciiTheme="majorHAnsi" w:hAnsiTheme="majorHAnsi" w:cs="Calibri"/>
          <w:sz w:val="20"/>
          <w:szCs w:val="20"/>
          <w:lang w:val="es-ES_tradnl"/>
        </w:rPr>
        <w:t>para lo cual</w:t>
      </w:r>
      <w:r w:rsidRPr="00A10C7B">
        <w:rPr>
          <w:rFonts w:asciiTheme="majorHAnsi" w:hAnsiTheme="majorHAnsi" w:cs="Calibri"/>
          <w:sz w:val="20"/>
          <w:szCs w:val="20"/>
          <w:lang w:val="es-ES_tradnl"/>
        </w:rPr>
        <w:t xml:space="preserve"> contactó </w:t>
      </w:r>
      <w:r w:rsidR="00646F98" w:rsidRPr="00A10C7B">
        <w:rPr>
          <w:rFonts w:asciiTheme="majorHAnsi" w:hAnsiTheme="majorHAnsi" w:cs="Calibri"/>
          <w:sz w:val="20"/>
          <w:szCs w:val="20"/>
          <w:lang w:val="es-ES_tradnl"/>
        </w:rPr>
        <w:t>a</w:t>
      </w:r>
      <w:r w:rsidRPr="00A10C7B">
        <w:rPr>
          <w:rFonts w:asciiTheme="majorHAnsi" w:hAnsiTheme="majorHAnsi" w:cs="Calibri"/>
          <w:sz w:val="20"/>
          <w:szCs w:val="20"/>
          <w:lang w:val="es-ES_tradnl"/>
        </w:rPr>
        <w:t xml:space="preserve"> las autoridades. Sin embargo, la peticionaria señala que estas autoridades solo habrían limitado a girar oficios al Ministerio de Vivienda y Asentamientos Humanos y al Instituto Nacional de la Vivienda y Urbanismo para que colaboraran en el trámite del BFV, pero que no habrían desarrollado ninguna gestión significativa. </w:t>
      </w:r>
    </w:p>
    <w:p w:rsidR="009C6039" w:rsidRPr="00A10C7B" w:rsidRDefault="009C6039" w:rsidP="00120783">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Calibri"/>
          <w:sz w:val="20"/>
          <w:szCs w:val="20"/>
          <w:lang w:val="es-ES_tradnl"/>
        </w:rPr>
      </w:pPr>
    </w:p>
    <w:p w:rsidR="009C6039" w:rsidRPr="00A10C7B" w:rsidRDefault="009C6039" w:rsidP="004C7506">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Calibri"/>
          <w:sz w:val="20"/>
          <w:szCs w:val="20"/>
          <w:lang w:val="es-ES_tradnl"/>
        </w:rPr>
      </w:pPr>
      <w:r w:rsidRPr="00A10C7B">
        <w:rPr>
          <w:rFonts w:asciiTheme="majorHAnsi" w:hAnsiTheme="majorHAnsi" w:cs="Calibri"/>
          <w:sz w:val="20"/>
          <w:szCs w:val="20"/>
          <w:lang w:val="es-ES_tradnl"/>
        </w:rPr>
        <w:t xml:space="preserve">La peticionaria alegó que el 13 de noviembre de 1997, ella y su hija recibieron una casa en donación por parte de particulares que se encontraban a 1.5 metros de distancia de una acequia. Debido a la humedad y a la erosión del suelo, producto del cauce de agua, la casa se encontraba en un avanzado estado de deterioro e inestabilidad, lo cual representaban un riesgo para ella y para su niña. Alegó que su salud se agravaba puesto que las condiciones de la vivienda no eran adecuadas para una persona asmática. La peticionaria relata que, por lo anterior, necesitaba realizarle mejoras a la propiedad. La peticionaria señala que la Dirección de Ingeniería y Operaciones de la Municipalidad de Goicoechea habría realizado una visita de inspección a la propiedad de la peticionaria, y habría formulado un dictamen en fecha 13 de agosto de 1997 estableciendo que la señora Morales Campos debía denunciar o vender la propiedad para adquirir un bono completo de vivienda que le permitiera conseguir una casa en otro lugar. </w:t>
      </w:r>
    </w:p>
    <w:p w:rsidR="009C6039" w:rsidRPr="00A10C7B" w:rsidRDefault="009C6039" w:rsidP="00120783">
      <w:pPr>
        <w:pStyle w:val="ListParagraph"/>
        <w:rPr>
          <w:rFonts w:asciiTheme="majorHAnsi" w:hAnsiTheme="majorHAnsi" w:cs="Calibri"/>
          <w:sz w:val="20"/>
          <w:szCs w:val="20"/>
          <w:lang w:val="es-ES_tradnl"/>
        </w:rPr>
      </w:pPr>
    </w:p>
    <w:p w:rsidR="009C6039" w:rsidRPr="00A10C7B" w:rsidRDefault="009C6039" w:rsidP="004C7506">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Calibri"/>
          <w:sz w:val="20"/>
          <w:szCs w:val="20"/>
          <w:lang w:val="es-ES_tradnl"/>
        </w:rPr>
      </w:pPr>
      <w:r w:rsidRPr="00A10C7B">
        <w:rPr>
          <w:rFonts w:asciiTheme="majorHAnsi" w:hAnsiTheme="majorHAnsi" w:cs="Calibri"/>
          <w:sz w:val="20"/>
          <w:szCs w:val="20"/>
          <w:lang w:val="es-ES_tradnl"/>
        </w:rPr>
        <w:t xml:space="preserve">La peticionaria alegó que el 16 de mayo de 1998, presentó una queja ante la Defensoría de los Habitantes. También señaló que presentó documentos ante una cooperativa pública llamada UNIVICOOP y que ésta los había extraviado, por lo cual no había recibido respuesta de esta institución. </w:t>
      </w:r>
    </w:p>
    <w:p w:rsidR="009C6039" w:rsidRPr="00A10C7B" w:rsidRDefault="009C6039" w:rsidP="00120783">
      <w:pPr>
        <w:pStyle w:val="ListParagraph"/>
        <w:rPr>
          <w:rFonts w:asciiTheme="majorHAnsi" w:hAnsiTheme="majorHAnsi" w:cs="Calibri"/>
          <w:sz w:val="20"/>
          <w:szCs w:val="20"/>
          <w:lang w:val="es-ES_tradnl"/>
        </w:rPr>
      </w:pPr>
    </w:p>
    <w:p w:rsidR="009C6039" w:rsidRPr="00A10C7B" w:rsidRDefault="009C6039" w:rsidP="004C7506">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Calibri"/>
          <w:sz w:val="20"/>
          <w:szCs w:val="20"/>
          <w:lang w:val="es-ES_tradnl"/>
        </w:rPr>
      </w:pPr>
      <w:r w:rsidRPr="00A10C7B">
        <w:rPr>
          <w:rFonts w:asciiTheme="majorHAnsi" w:hAnsiTheme="majorHAnsi" w:cs="Calibri"/>
          <w:sz w:val="20"/>
          <w:szCs w:val="20"/>
          <w:lang w:val="es-ES_tradnl"/>
        </w:rPr>
        <w:t>El 1 de junio de 1998, el subgerente de la cooperativa UNIVICOOP, a través de un oficio dirigido a la Jefatura de la Oficina de Admisibilidad y Defensa Inmediata de la Defensoría de los Habitantes, mencionó que habían corroborado que la peticionaria y su hija aparecían c</w:t>
      </w:r>
      <w:r w:rsidR="00437A11" w:rsidRPr="00A10C7B">
        <w:rPr>
          <w:rFonts w:asciiTheme="majorHAnsi" w:hAnsiTheme="majorHAnsi" w:cs="Calibri"/>
          <w:sz w:val="20"/>
          <w:szCs w:val="20"/>
          <w:lang w:val="es-ES_tradnl"/>
        </w:rPr>
        <w:t>omo copropietarias del inmueble</w:t>
      </w:r>
      <w:r w:rsidRPr="00A10C7B">
        <w:rPr>
          <w:rFonts w:asciiTheme="majorHAnsi" w:hAnsiTheme="majorHAnsi" w:cs="Calibri"/>
          <w:sz w:val="20"/>
          <w:szCs w:val="20"/>
          <w:lang w:val="es-ES_tradnl"/>
        </w:rPr>
        <w:t>, y que el siguiente paso era tramitar una diligencia de utilidad y necesidad porque la niña aparecía como titular del bien, de manera que se pudieran establecer las limitaciones por parte del Banco Hipotecario de Vivienda</w:t>
      </w:r>
      <w:r w:rsidR="00646F98" w:rsidRPr="00A10C7B">
        <w:rPr>
          <w:rFonts w:asciiTheme="majorHAnsi" w:hAnsiTheme="majorHAnsi" w:cs="Calibri"/>
          <w:sz w:val="20"/>
          <w:szCs w:val="20"/>
          <w:lang w:val="es-ES_tradnl"/>
        </w:rPr>
        <w:t xml:space="preserve"> (en adelante BANHVI)</w:t>
      </w:r>
      <w:r w:rsidRPr="00A10C7B">
        <w:rPr>
          <w:rFonts w:asciiTheme="majorHAnsi" w:hAnsiTheme="majorHAnsi" w:cs="Calibri"/>
          <w:sz w:val="20"/>
          <w:szCs w:val="20"/>
          <w:lang w:val="es-ES_tradnl"/>
        </w:rPr>
        <w:t xml:space="preserve">. En el oficio se afirmaba adicionalmente, que la situación se había puesto en conocimiento del abogado que había elaborado la escritura de la vivienda, para que gestionara el trámite. </w:t>
      </w:r>
    </w:p>
    <w:p w:rsidR="009C6039" w:rsidRPr="00A10C7B" w:rsidRDefault="009C6039" w:rsidP="00120783">
      <w:pPr>
        <w:pStyle w:val="ListParagraph"/>
        <w:rPr>
          <w:rFonts w:asciiTheme="majorHAnsi" w:hAnsiTheme="majorHAnsi" w:cs="Calibri"/>
          <w:sz w:val="20"/>
          <w:szCs w:val="20"/>
          <w:lang w:val="es-ES_tradnl"/>
        </w:rPr>
      </w:pPr>
    </w:p>
    <w:p w:rsidR="009C6039" w:rsidRPr="00A10C7B" w:rsidRDefault="00646F98" w:rsidP="004C7506">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Calibri"/>
          <w:sz w:val="20"/>
          <w:szCs w:val="20"/>
          <w:lang w:val="es-ES_tradnl"/>
        </w:rPr>
      </w:pPr>
      <w:r w:rsidRPr="00A10C7B">
        <w:rPr>
          <w:rFonts w:asciiTheme="majorHAnsi" w:hAnsiTheme="majorHAnsi" w:cs="Calibri"/>
          <w:sz w:val="20"/>
          <w:szCs w:val="20"/>
          <w:lang w:val="es-ES_tradnl"/>
        </w:rPr>
        <w:t xml:space="preserve">La peticionaria alegó </w:t>
      </w:r>
      <w:r w:rsidR="009C6039" w:rsidRPr="00A10C7B">
        <w:rPr>
          <w:rFonts w:asciiTheme="majorHAnsi" w:hAnsiTheme="majorHAnsi" w:cs="Calibri"/>
          <w:sz w:val="20"/>
          <w:szCs w:val="20"/>
          <w:lang w:val="es-ES_tradnl"/>
        </w:rPr>
        <w:t xml:space="preserve">que habría adelantado el trámite de utilidad y necesidad ante el Juzgado de Familia del II Circuito Judicial de San José, que dictó sentencia el 15 de junio de 1998, autorizando a la peticionaria para gravar la finca con el fin de obtener un crédito hipotecario para la construcción de una casa de habitación. La peticionaria indicó que, a pesar de haber realizado varios esfuerzos para continuar con el trámite de la solicitud, su situación no habría sido resuelta, y el trámite habría estado colmado de irregularidades, incluyendo la pérdida de su expediente en las instituciones y una demora irracional </w:t>
      </w:r>
      <w:r w:rsidRPr="00A10C7B">
        <w:rPr>
          <w:rFonts w:asciiTheme="majorHAnsi" w:hAnsiTheme="majorHAnsi" w:cs="Calibri"/>
          <w:sz w:val="20"/>
          <w:szCs w:val="20"/>
          <w:lang w:val="es-ES_tradnl"/>
        </w:rPr>
        <w:t>frente a</w:t>
      </w:r>
      <w:r w:rsidR="009C6039" w:rsidRPr="00A10C7B">
        <w:rPr>
          <w:rFonts w:asciiTheme="majorHAnsi" w:hAnsiTheme="majorHAnsi" w:cs="Calibri"/>
          <w:sz w:val="20"/>
          <w:szCs w:val="20"/>
          <w:lang w:val="es-ES_tradnl"/>
        </w:rPr>
        <w:t xml:space="preserve"> </w:t>
      </w:r>
      <w:r w:rsidR="009C6039" w:rsidRPr="00A10C7B">
        <w:rPr>
          <w:rFonts w:asciiTheme="majorHAnsi" w:hAnsiTheme="majorHAnsi" w:cs="Calibri"/>
          <w:sz w:val="20"/>
          <w:szCs w:val="20"/>
          <w:lang w:val="es-ES_tradnl"/>
        </w:rPr>
        <w:lastRenderedPageBreak/>
        <w:t xml:space="preserve">las condiciones de vivienda, su situación de salud, y el riesgo que representaba para ella y para su hija continuar bajo esas circunstancias.  </w:t>
      </w:r>
    </w:p>
    <w:p w:rsidR="009C6039" w:rsidRPr="00A10C7B" w:rsidRDefault="009C6039" w:rsidP="00120783">
      <w:pPr>
        <w:pStyle w:val="ListParagraph"/>
        <w:rPr>
          <w:rFonts w:asciiTheme="majorHAnsi" w:hAnsiTheme="majorHAnsi" w:cs="Calibri"/>
          <w:sz w:val="20"/>
          <w:szCs w:val="20"/>
          <w:lang w:val="es-ES_tradnl"/>
        </w:rPr>
      </w:pPr>
    </w:p>
    <w:p w:rsidR="009C6039" w:rsidRPr="00A10C7B" w:rsidRDefault="009C6039" w:rsidP="004C7506">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Calibri"/>
          <w:sz w:val="20"/>
          <w:szCs w:val="20"/>
          <w:lang w:val="es-ES_tradnl"/>
        </w:rPr>
      </w:pPr>
      <w:r w:rsidRPr="00A10C7B">
        <w:rPr>
          <w:rFonts w:asciiTheme="majorHAnsi" w:hAnsiTheme="majorHAnsi" w:cs="Calibri"/>
          <w:sz w:val="20"/>
          <w:szCs w:val="20"/>
          <w:lang w:val="es-ES_tradnl"/>
        </w:rPr>
        <w:t xml:space="preserve">Por lo anterior, la peticionaria presentó un recurso de amparo ante la Sala Constitucional de la Suprema Corte de Justicia contra el Banco Hipotecario de Vivienda y la cooperativa UNIVICOOP. Sin embargo, la Corte rechazó de plano el recurso por improcedente el 5 de mayo de 1998, señalando que en el fondo su recurso constituía una queja y que el tribunal no era competente para conocer el caso, toda vez que la investigación y posterior amonestación a las autoridades públicas estaban a cargo de otras instancias administrativas, por lo cual debía denunciar los hechos ante las mismas instituciones manifestando su inconformidad, o acudir a la Defensoría de Habitantes. </w:t>
      </w:r>
    </w:p>
    <w:p w:rsidR="009C6039" w:rsidRPr="00A10C7B" w:rsidRDefault="009C6039" w:rsidP="00120783">
      <w:pPr>
        <w:pStyle w:val="ListParagraph"/>
        <w:rPr>
          <w:rFonts w:asciiTheme="majorHAnsi" w:hAnsiTheme="majorHAnsi" w:cs="Calibri"/>
          <w:sz w:val="20"/>
          <w:szCs w:val="20"/>
          <w:lang w:val="es-ES_tradnl"/>
        </w:rPr>
      </w:pPr>
    </w:p>
    <w:p w:rsidR="009C6039" w:rsidRPr="00A10C7B" w:rsidRDefault="009C6039" w:rsidP="004C7506">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Calibri"/>
          <w:sz w:val="20"/>
          <w:szCs w:val="20"/>
          <w:lang w:val="es-ES_tradnl"/>
        </w:rPr>
      </w:pPr>
      <w:r w:rsidRPr="00A10C7B">
        <w:rPr>
          <w:rFonts w:asciiTheme="majorHAnsi" w:hAnsiTheme="majorHAnsi" w:cs="Calibri"/>
          <w:sz w:val="20"/>
          <w:szCs w:val="20"/>
          <w:lang w:val="es-ES_tradnl"/>
        </w:rPr>
        <w:t xml:space="preserve">Por lo anterior, la peticionaria recurrió nuevamente a la Defensoría de Habitantes para que la ayudara a continuar con el trámite del BFV. En la documentación proporcionada por la peticionaria se observa que la Defensoría de Habitantes habría contactado al BANHVI en relación a la solicitud de la peticionaria para obtener el BFV, y le habrían indicado que UNIVICOOP ya no era una entidad facultada para tramitar bonos de vivienda y que su cartera había sido trasladada a la Mutual La Vivienda. La Defensoría habría contactado entonces a la Mutual La Vivienda, donde le habrían informado que el trámite sería muy lento por la cantidad de casos en cartera, y que la Mutual La Vivienda sólo recibía los documentos para dárselos al BANHVI, para que éste a su vez, procediera como correspondiera. </w:t>
      </w:r>
    </w:p>
    <w:p w:rsidR="009C6039" w:rsidRPr="00A10C7B" w:rsidRDefault="009C6039" w:rsidP="00120783">
      <w:pPr>
        <w:pStyle w:val="ListParagraph"/>
        <w:rPr>
          <w:rFonts w:asciiTheme="majorHAnsi" w:hAnsiTheme="majorHAnsi" w:cs="Calibri"/>
          <w:sz w:val="20"/>
          <w:szCs w:val="20"/>
          <w:lang w:val="es-ES_tradnl"/>
        </w:rPr>
      </w:pPr>
    </w:p>
    <w:p w:rsidR="009C6039" w:rsidRPr="00A10C7B" w:rsidRDefault="009C6039" w:rsidP="004C7506">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PE"/>
        </w:rPr>
      </w:pPr>
      <w:r w:rsidRPr="00A10C7B">
        <w:rPr>
          <w:rFonts w:asciiTheme="majorHAnsi" w:hAnsiTheme="majorHAnsi"/>
          <w:sz w:val="20"/>
          <w:szCs w:val="20"/>
          <w:lang w:val="es-PE"/>
        </w:rPr>
        <w:t>El 1 de agosto de 2000, la Defensoría de los Habitantes profirió un informe final con recomendaciones dirigidas tanto el BANHVI, como al UNIVICOOP.</w:t>
      </w:r>
    </w:p>
    <w:p w:rsidR="009C6039" w:rsidRPr="00A10C7B" w:rsidRDefault="009C6039" w:rsidP="00120783">
      <w:pPr>
        <w:pStyle w:val="ListParagraph"/>
        <w:rPr>
          <w:rFonts w:asciiTheme="majorHAnsi" w:hAnsiTheme="majorHAnsi"/>
          <w:sz w:val="20"/>
          <w:szCs w:val="20"/>
          <w:lang w:val="es-PE"/>
        </w:rPr>
      </w:pPr>
    </w:p>
    <w:p w:rsidR="009C6039" w:rsidRPr="00A10C7B" w:rsidRDefault="009C6039" w:rsidP="004C7506">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PE"/>
        </w:rPr>
      </w:pPr>
      <w:r w:rsidRPr="00A10C7B">
        <w:rPr>
          <w:rFonts w:asciiTheme="majorHAnsi" w:hAnsiTheme="majorHAnsi"/>
          <w:sz w:val="20"/>
          <w:szCs w:val="20"/>
          <w:lang w:val="es-PE"/>
        </w:rPr>
        <w:t xml:space="preserve">De la información proporcionada por la peticionaria, se colige que el 21 de marzo de 2001, el Ministerio de Salud realizó nuevamente una diligencia de inspección de la casa de la peticionaria, en la cual se observaron deficiencias como la inseguridad ocasionada por la debilidad y el deterioro de la estructura y se concluyó que la vivienda ocupada por la peticionaria no cumplía con lo establecido en el Código Urbano, por lo cual se declaró la casa inhabitable y se recomendó que se demoliera. El Ministerio de Salud le habría recomendado al Área de Salud de la zona que le colaborara a la señora Morales Campos a gestionar, ante las autoridades competentes, la construcción de una vivienda antes de emitir la orden de demolición. </w:t>
      </w:r>
    </w:p>
    <w:p w:rsidR="009C6039" w:rsidRPr="00A10C7B" w:rsidRDefault="009C6039" w:rsidP="00120783">
      <w:pPr>
        <w:pStyle w:val="ListParagraph"/>
        <w:rPr>
          <w:rFonts w:asciiTheme="majorHAnsi" w:hAnsiTheme="majorHAnsi"/>
          <w:sz w:val="20"/>
          <w:szCs w:val="20"/>
          <w:lang w:val="es-PE"/>
        </w:rPr>
      </w:pPr>
    </w:p>
    <w:p w:rsidR="009C6039" w:rsidRPr="00A10C7B" w:rsidRDefault="009C6039" w:rsidP="004C7506">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PE"/>
        </w:rPr>
      </w:pPr>
      <w:r w:rsidRPr="00A10C7B">
        <w:rPr>
          <w:rFonts w:asciiTheme="majorHAnsi" w:hAnsiTheme="majorHAnsi"/>
          <w:sz w:val="20"/>
          <w:szCs w:val="20"/>
          <w:lang w:val="es-PE"/>
        </w:rPr>
        <w:t>Asimismo, de la documentación otorgada por la peticionaria, se observa que la Comisión Nacional de Prevención de Riesgos y Atención de Emergencias habría realizado otra valoración a la propiedad en febrero de 2002, estableciendo que la vivienda no era segura dada su cercanía con el cauce de la Quebrada Tanque y que el mayor riesgo sobre la vivienda eran las inundaciones. Además, el informe señalaba que todo esto generaba gran riesgo para sus habitantes, y se solicitó a las autoridades del Ministerio de Salud, y del Instituto de Ayuda Social (</w:t>
      </w:r>
      <w:r w:rsidR="00394AF3" w:rsidRPr="00A10C7B">
        <w:rPr>
          <w:rFonts w:asciiTheme="majorHAnsi" w:hAnsiTheme="majorHAnsi"/>
          <w:sz w:val="20"/>
          <w:szCs w:val="20"/>
          <w:lang w:val="es-PE"/>
        </w:rPr>
        <w:t xml:space="preserve">en adelante </w:t>
      </w:r>
      <w:r w:rsidRPr="00A10C7B">
        <w:rPr>
          <w:rFonts w:asciiTheme="majorHAnsi" w:hAnsiTheme="majorHAnsi"/>
          <w:sz w:val="20"/>
          <w:szCs w:val="20"/>
          <w:lang w:val="es-PE"/>
        </w:rPr>
        <w:t xml:space="preserve">IMAS) que intervinieran, en el sentido que la primera institución realizara un informe de declaratoria de inhabitabilidad y que el segundo órgano reubicara lo más pronto posible a la familia. En abril de 2002, la peticionaria recibió una carta del IMAS indicando no contaba con una respuesta a ese problema. </w:t>
      </w:r>
    </w:p>
    <w:p w:rsidR="009C6039" w:rsidRPr="00A10C7B" w:rsidRDefault="009C6039" w:rsidP="00120783">
      <w:pPr>
        <w:pStyle w:val="ListParagraph"/>
        <w:rPr>
          <w:rFonts w:asciiTheme="majorHAnsi" w:hAnsiTheme="majorHAnsi"/>
          <w:sz w:val="20"/>
          <w:szCs w:val="20"/>
          <w:lang w:val="es-PE"/>
        </w:rPr>
      </w:pPr>
    </w:p>
    <w:p w:rsidR="009C6039" w:rsidRPr="00A10C7B" w:rsidRDefault="009C6039" w:rsidP="004C7506">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PE"/>
        </w:rPr>
      </w:pPr>
      <w:r w:rsidRPr="00A10C7B">
        <w:rPr>
          <w:rFonts w:asciiTheme="majorHAnsi" w:hAnsiTheme="majorHAnsi"/>
          <w:sz w:val="20"/>
          <w:szCs w:val="20"/>
          <w:lang w:val="es-PE"/>
        </w:rPr>
        <w:t>La peticionaria alegó haber enviado una petición al BANHVI en fecha 21 de mayo 2002 ante el Programa Integral de Atención a Familias Costarricenses de Ingresos Mínimos en Extrema Necesidad, en la cual manifestaba que recibía una pensión de invalidez, que vivía con su hija de 15 años, explicaba su situación de necesidad, el hecho de que llevaba 10 años tratando de acceder al BFV, que se le había ordenado desalojar la casa por haber sido declarada inhabitable por el Ministerio de Salud y La Comisión Nacional de Emergencias, y solicitando ser incluida en la lista del Programa de Atención a Familias. De la misma forma, la peticionaria manifiesta que el 23 de julio y 21 de septiembre de 2002 habría solicitado nuevamente la asistencia de la Defensoría de Habitantes para que le ayudaran a obtener dicho beneficio.</w:t>
      </w:r>
    </w:p>
    <w:p w:rsidR="009C6039" w:rsidRPr="00A10C7B" w:rsidRDefault="009C6039" w:rsidP="00120783">
      <w:pPr>
        <w:pStyle w:val="ListParagraph"/>
        <w:rPr>
          <w:rFonts w:asciiTheme="majorHAnsi" w:hAnsiTheme="majorHAnsi"/>
          <w:sz w:val="20"/>
          <w:szCs w:val="20"/>
          <w:lang w:val="es-PE"/>
        </w:rPr>
      </w:pPr>
    </w:p>
    <w:p w:rsidR="009C6039" w:rsidRPr="00A10C7B" w:rsidRDefault="009C6039" w:rsidP="004C7506">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PE"/>
        </w:rPr>
      </w:pPr>
      <w:r w:rsidRPr="00A10C7B">
        <w:rPr>
          <w:rFonts w:asciiTheme="majorHAnsi" w:hAnsiTheme="majorHAnsi"/>
          <w:sz w:val="20"/>
          <w:szCs w:val="20"/>
          <w:lang w:val="es-PE"/>
        </w:rPr>
        <w:t>En la información  proporcionada por la peticionaria se observa además que habría enviado una solicitud de información a la Dirección de Auditorías de Calidad del MIVAH y que en diciembre de 2003 habría recibido una nota de la institución indicando “adjunto encontrará un listado de los requisitos que debe aportar para el programa de compra de vivienda existente o compra de lote y construcción a la enti</w:t>
      </w:r>
      <w:r w:rsidR="00394AF3" w:rsidRPr="00A10C7B">
        <w:rPr>
          <w:rFonts w:asciiTheme="majorHAnsi" w:hAnsiTheme="majorHAnsi"/>
          <w:sz w:val="20"/>
          <w:szCs w:val="20"/>
          <w:lang w:val="es-PE"/>
        </w:rPr>
        <w:t xml:space="preserve">dad financiera de su elección”. Sin embargo, </w:t>
      </w:r>
      <w:r w:rsidRPr="00A10C7B">
        <w:rPr>
          <w:rFonts w:asciiTheme="majorHAnsi" w:hAnsiTheme="majorHAnsi"/>
          <w:sz w:val="20"/>
          <w:szCs w:val="20"/>
          <w:lang w:val="es-PE"/>
        </w:rPr>
        <w:t>el oficio no habría incluido información so</w:t>
      </w:r>
      <w:r w:rsidR="004A147C">
        <w:rPr>
          <w:rFonts w:asciiTheme="majorHAnsi" w:hAnsiTheme="majorHAnsi"/>
          <w:sz w:val="20"/>
          <w:szCs w:val="20"/>
          <w:lang w:val="es-PE"/>
        </w:rPr>
        <w:t xml:space="preserve">bre el estado de su solicitud. </w:t>
      </w:r>
    </w:p>
    <w:p w:rsidR="009C6039" w:rsidRPr="00A10C7B" w:rsidRDefault="009C6039" w:rsidP="00120783">
      <w:pPr>
        <w:pStyle w:val="ListParagraph"/>
        <w:rPr>
          <w:rFonts w:asciiTheme="majorHAnsi" w:hAnsiTheme="majorHAnsi"/>
          <w:sz w:val="20"/>
          <w:szCs w:val="20"/>
          <w:lang w:val="es-PE"/>
        </w:rPr>
      </w:pPr>
    </w:p>
    <w:p w:rsidR="009C6039" w:rsidRPr="00A10C7B" w:rsidRDefault="009C6039" w:rsidP="004C7506">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PE"/>
        </w:rPr>
      </w:pPr>
      <w:r w:rsidRPr="00A10C7B">
        <w:rPr>
          <w:rFonts w:asciiTheme="majorHAnsi" w:hAnsiTheme="majorHAnsi"/>
          <w:sz w:val="20"/>
          <w:szCs w:val="20"/>
          <w:lang w:val="es-PE"/>
        </w:rPr>
        <w:t>La peticionaria alega que, en enero de 2004, la Comisión Nacional de Prevención de Riesgos habría efectuado otra visita al predio de la peticionaria, y profirió un informe que establecía el agravamiento de la situación de riesgo y la inseguridad de los habitantes de la casa por el aumento considerable en la erosión y lavado del terreno. Por lo anterior, la mentada Comisión solicitó en el mismo informe al IMAS, al INVU y al MIVAH que prestaran su colaboración al caso.</w:t>
      </w:r>
    </w:p>
    <w:p w:rsidR="009C6039" w:rsidRPr="00A10C7B" w:rsidRDefault="009C6039" w:rsidP="00120783">
      <w:pPr>
        <w:pStyle w:val="ListParagraph"/>
        <w:rPr>
          <w:rFonts w:asciiTheme="majorHAnsi" w:hAnsiTheme="majorHAnsi"/>
          <w:sz w:val="20"/>
          <w:szCs w:val="20"/>
          <w:lang w:val="es-PE"/>
        </w:rPr>
      </w:pPr>
    </w:p>
    <w:p w:rsidR="009C6039" w:rsidRPr="00A10C7B" w:rsidRDefault="009C6039" w:rsidP="004C7506">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PE"/>
        </w:rPr>
      </w:pPr>
      <w:r w:rsidRPr="00A10C7B">
        <w:rPr>
          <w:rFonts w:asciiTheme="majorHAnsi" w:hAnsiTheme="majorHAnsi"/>
          <w:sz w:val="20"/>
          <w:szCs w:val="20"/>
          <w:lang w:val="es-PE"/>
        </w:rPr>
        <w:t xml:space="preserve">La peticionaria alegó haber enviado cartas al alcalde del Municipio de Goicoechea, y que éste le habría manifestado en mayo de 2004 que no era posible para la municipalidad ayudarle, pero que le enviaría cartas de recomendación al INVU y al IMAS para que la ayudaran. Adicionalmente, el alcalde le habría informado el 3 de junio de 2004 que ella era beneficiaria de un bono a través del INVU y que debía presentar una documentación para poder realizar el trámite. </w:t>
      </w:r>
    </w:p>
    <w:p w:rsidR="009C6039" w:rsidRPr="00A10C7B" w:rsidRDefault="009C6039" w:rsidP="00120783">
      <w:pPr>
        <w:pStyle w:val="ListParagraph"/>
        <w:rPr>
          <w:rFonts w:asciiTheme="majorHAnsi" w:hAnsiTheme="majorHAnsi"/>
          <w:sz w:val="20"/>
          <w:szCs w:val="20"/>
          <w:lang w:val="es-PE"/>
        </w:rPr>
      </w:pPr>
    </w:p>
    <w:p w:rsidR="009C6039" w:rsidRPr="00A10C7B" w:rsidRDefault="009C6039" w:rsidP="004C7506">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PE"/>
        </w:rPr>
      </w:pPr>
      <w:r w:rsidRPr="00A10C7B">
        <w:rPr>
          <w:rFonts w:asciiTheme="majorHAnsi" w:hAnsiTheme="majorHAnsi"/>
          <w:sz w:val="20"/>
          <w:szCs w:val="20"/>
          <w:lang w:val="es-PE"/>
        </w:rPr>
        <w:t xml:space="preserve">El 26 de julio de 2005, la peticionaria presentó recurso de amparo ante la Sala Constitucional de la Corte Suprema de Justicia por violación a su derecho a una vivienda digna contra el IMAS y el INVU. Según la información proporcionada por la peticionaria, el IMAS </w:t>
      </w:r>
      <w:r w:rsidR="00394AF3" w:rsidRPr="00A10C7B">
        <w:rPr>
          <w:rFonts w:asciiTheme="majorHAnsi" w:hAnsiTheme="majorHAnsi"/>
          <w:sz w:val="20"/>
          <w:szCs w:val="20"/>
          <w:lang w:val="es-PE"/>
        </w:rPr>
        <w:t>indicó en su</w:t>
      </w:r>
      <w:r w:rsidRPr="00A10C7B">
        <w:rPr>
          <w:rFonts w:asciiTheme="majorHAnsi" w:hAnsiTheme="majorHAnsi"/>
          <w:sz w:val="20"/>
          <w:szCs w:val="20"/>
          <w:lang w:val="es-PE"/>
        </w:rPr>
        <w:t xml:space="preserve"> contestación que esa institución</w:t>
      </w:r>
      <w:r w:rsidR="00394AF3" w:rsidRPr="00A10C7B">
        <w:rPr>
          <w:rFonts w:asciiTheme="majorHAnsi" w:hAnsiTheme="majorHAnsi"/>
          <w:sz w:val="20"/>
          <w:szCs w:val="20"/>
          <w:lang w:val="es-PE"/>
        </w:rPr>
        <w:t xml:space="preserve"> no otorgaba beneficios de BFV y </w:t>
      </w:r>
      <w:r w:rsidRPr="00A10C7B">
        <w:rPr>
          <w:rFonts w:asciiTheme="majorHAnsi" w:hAnsiTheme="majorHAnsi"/>
          <w:sz w:val="20"/>
          <w:szCs w:val="20"/>
          <w:lang w:val="es-PE"/>
        </w:rPr>
        <w:t>que</w:t>
      </w:r>
      <w:r w:rsidR="00394AF3" w:rsidRPr="00A10C7B">
        <w:rPr>
          <w:rFonts w:asciiTheme="majorHAnsi" w:hAnsiTheme="majorHAnsi"/>
          <w:sz w:val="20"/>
          <w:szCs w:val="20"/>
          <w:lang w:val="es-PE"/>
        </w:rPr>
        <w:t xml:space="preserve"> dicha </w:t>
      </w:r>
      <w:r w:rsidRPr="00A10C7B">
        <w:rPr>
          <w:rFonts w:asciiTheme="majorHAnsi" w:hAnsiTheme="majorHAnsi"/>
          <w:sz w:val="20"/>
          <w:szCs w:val="20"/>
          <w:lang w:val="es-PE"/>
        </w:rPr>
        <w:t xml:space="preserve">actividad estaba a cargo de las entidades autorizadas de acuerdo al Sistema Financiero Nacional de la Vivienda. Por otro lado, el INVU </w:t>
      </w:r>
      <w:r w:rsidR="00394AF3" w:rsidRPr="00A10C7B">
        <w:rPr>
          <w:rFonts w:asciiTheme="majorHAnsi" w:hAnsiTheme="majorHAnsi"/>
          <w:sz w:val="20"/>
          <w:szCs w:val="20"/>
          <w:lang w:val="es-PE"/>
        </w:rPr>
        <w:t>indicó</w:t>
      </w:r>
      <w:r w:rsidRPr="00A10C7B">
        <w:rPr>
          <w:rFonts w:asciiTheme="majorHAnsi" w:hAnsiTheme="majorHAnsi"/>
          <w:sz w:val="20"/>
          <w:szCs w:val="20"/>
          <w:lang w:val="es-PE"/>
        </w:rPr>
        <w:t xml:space="preserve"> en su respuesta al recurso de amparo que el BANHVI habría ordenado el 17 de mayo de 2005 que no se admitieran casos nuevos, razón por la cual hasta que el BANHVI no emitiera otra directriz, el INVU se encontraría imposibilitado para recibirlas, y que cualquier excepción, debía ser a su vez autorizada por el BANHVI. Adicionalmente, el INVU alegó que la señora Morales Campos no habría realizado ninguna gestión ante sus oficinas para solucionar el problema y que no contaba en esos momentos con los medios necesarios para atender su caso.</w:t>
      </w:r>
    </w:p>
    <w:p w:rsidR="009C6039" w:rsidRPr="00A10C7B" w:rsidRDefault="009C6039" w:rsidP="00120783">
      <w:pPr>
        <w:pStyle w:val="ListParagraph"/>
        <w:rPr>
          <w:rFonts w:asciiTheme="majorHAnsi" w:hAnsiTheme="majorHAnsi"/>
          <w:sz w:val="20"/>
          <w:szCs w:val="20"/>
          <w:lang w:val="es-PE"/>
        </w:rPr>
      </w:pPr>
    </w:p>
    <w:p w:rsidR="009C6039" w:rsidRPr="00A10C7B" w:rsidRDefault="009C6039" w:rsidP="004C7506">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PE"/>
        </w:rPr>
      </w:pPr>
      <w:r w:rsidRPr="00A10C7B">
        <w:rPr>
          <w:rFonts w:asciiTheme="majorHAnsi" w:hAnsiTheme="majorHAnsi"/>
          <w:sz w:val="20"/>
          <w:szCs w:val="20"/>
          <w:lang w:val="es-PE"/>
        </w:rPr>
        <w:t xml:space="preserve">La Sala Constitucional profirió sentencia el 22 de febrero de 2006 en la cual estableció:  </w:t>
      </w:r>
    </w:p>
    <w:p w:rsidR="009C6039" w:rsidRPr="00A10C7B" w:rsidRDefault="009C6039" w:rsidP="00120783">
      <w:pPr>
        <w:pStyle w:val="ListParagraph"/>
        <w:rPr>
          <w:rFonts w:asciiTheme="majorHAnsi" w:hAnsiTheme="majorHAnsi"/>
          <w:sz w:val="20"/>
          <w:szCs w:val="20"/>
          <w:lang w:val="es-PE"/>
        </w:rPr>
      </w:pPr>
    </w:p>
    <w:p w:rsidR="009C6039" w:rsidRPr="00A10C7B" w:rsidRDefault="009C6039" w:rsidP="00B74185">
      <w:pPr>
        <w:tabs>
          <w:tab w:val="left" w:pos="8640"/>
        </w:tabs>
        <w:ind w:left="720" w:right="720"/>
        <w:contextualSpacing/>
        <w:jc w:val="both"/>
        <w:rPr>
          <w:rFonts w:asciiTheme="majorHAnsi" w:hAnsiTheme="majorHAnsi"/>
          <w:i/>
          <w:sz w:val="20"/>
          <w:szCs w:val="20"/>
          <w:lang w:val="es-PE"/>
        </w:rPr>
      </w:pPr>
      <w:r w:rsidRPr="00A10C7B">
        <w:rPr>
          <w:rFonts w:asciiTheme="majorHAnsi" w:hAnsiTheme="majorHAnsi"/>
          <w:i/>
          <w:sz w:val="20"/>
          <w:szCs w:val="20"/>
          <w:lang w:val="es-PE"/>
        </w:rPr>
        <w:t>[A]</w:t>
      </w:r>
      <w:proofErr w:type="spellStart"/>
      <w:r w:rsidRPr="00A10C7B">
        <w:rPr>
          <w:rFonts w:asciiTheme="majorHAnsi" w:hAnsiTheme="majorHAnsi"/>
          <w:i/>
          <w:sz w:val="20"/>
          <w:szCs w:val="20"/>
          <w:lang w:val="es-PE"/>
        </w:rPr>
        <w:t>unque</w:t>
      </w:r>
      <w:proofErr w:type="spellEnd"/>
      <w:r w:rsidRPr="00A10C7B">
        <w:rPr>
          <w:rFonts w:asciiTheme="majorHAnsi" w:hAnsiTheme="majorHAnsi"/>
          <w:i/>
          <w:sz w:val="20"/>
          <w:szCs w:val="20"/>
          <w:lang w:val="es-PE"/>
        </w:rPr>
        <w:t xml:space="preserve"> el artículo 65 de la Constitución Política establece que el Estado “promoverá la construcción de viviendas populares (…)”, esto no significa que deba proveer de vivienda a todos los habitantes. (…) [</w:t>
      </w:r>
      <w:proofErr w:type="gramStart"/>
      <w:r w:rsidRPr="00A10C7B">
        <w:rPr>
          <w:rFonts w:asciiTheme="majorHAnsi" w:hAnsiTheme="majorHAnsi"/>
          <w:i/>
          <w:sz w:val="20"/>
          <w:szCs w:val="20"/>
          <w:lang w:val="es-PE"/>
        </w:rPr>
        <w:t>en</w:t>
      </w:r>
      <w:proofErr w:type="gramEnd"/>
      <w:r w:rsidRPr="00A10C7B">
        <w:rPr>
          <w:rFonts w:asciiTheme="majorHAnsi" w:hAnsiTheme="majorHAnsi"/>
          <w:i/>
          <w:sz w:val="20"/>
          <w:szCs w:val="20"/>
          <w:lang w:val="es-PE"/>
        </w:rPr>
        <w:t xml:space="preserve"> el caso concreto] lo que procede es desestimar este recurso, al no constar ninguna lesión directa a los derechos fundamentales de la amparada. En efecto, como ya se indicó, aunque la Constitución Política establece la obligación del Estado de promover la construcción de viviendas populares y la justa distribución de riqueza, esto dista sustancialmente de la obligación de comprar terrenos y adjudicarlos a las personas que carecen de una habitación y de solucionar directamente el problema de vivienda, pues en realidad lo que conlleva es a que, existiendo las instituciones estatales, o para coadyuvar en la solución del problema, deba garantizarse el acceso a ellas de todas las personas que reúnan los requisitos al efecto, sin que signifique que se le dará una solución a todo el que acceda pues dependerá, entre otros aspectos, del presupuesto institucional, de la habitación legal, y de que el solicitante satisfaga a cabalidad todos los requisitos exigidos. En el caso de la recurrente, de los hechos que se han tenido por acreditados se concluye que sí ha tenido acceso a los mecanismos estatales establecidos para procurar la solución a su problema habitacional y si no ha sido resuelto aún es porque no ha presentado la totalidad de los requisitos exigidos, tal como fue constatado incluso por la Defensoría de los Habitantes en el estudio de su caso</w:t>
      </w:r>
      <w:r w:rsidRPr="00A10C7B">
        <w:rPr>
          <w:rStyle w:val="FootnoteReference"/>
          <w:rFonts w:asciiTheme="majorHAnsi" w:hAnsiTheme="majorHAnsi"/>
          <w:i/>
          <w:sz w:val="20"/>
          <w:szCs w:val="20"/>
          <w:lang w:val="es-PE"/>
        </w:rPr>
        <w:footnoteReference w:id="5"/>
      </w:r>
      <w:r w:rsidRPr="00A10C7B">
        <w:rPr>
          <w:rFonts w:asciiTheme="majorHAnsi" w:hAnsiTheme="majorHAnsi"/>
          <w:i/>
          <w:sz w:val="20"/>
          <w:szCs w:val="20"/>
          <w:lang w:val="es-PE"/>
        </w:rPr>
        <w:t xml:space="preserve">. </w:t>
      </w:r>
    </w:p>
    <w:p w:rsidR="009C6039" w:rsidRPr="00A10C7B" w:rsidRDefault="009C6039" w:rsidP="00120783">
      <w:pPr>
        <w:ind w:left="900" w:right="720"/>
        <w:contextualSpacing/>
        <w:jc w:val="both"/>
        <w:rPr>
          <w:rFonts w:asciiTheme="majorHAnsi" w:hAnsiTheme="majorHAnsi"/>
          <w:sz w:val="20"/>
          <w:szCs w:val="20"/>
          <w:lang w:val="es-PE"/>
        </w:rPr>
      </w:pPr>
    </w:p>
    <w:p w:rsidR="009C6039" w:rsidRPr="00A10C7B" w:rsidRDefault="009C6039" w:rsidP="004C7506">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PE"/>
        </w:rPr>
      </w:pPr>
      <w:r w:rsidRPr="00A10C7B">
        <w:rPr>
          <w:rFonts w:asciiTheme="majorHAnsi" w:hAnsiTheme="majorHAnsi"/>
          <w:sz w:val="20"/>
          <w:szCs w:val="20"/>
          <w:lang w:val="es-PE"/>
        </w:rPr>
        <w:t xml:space="preserve">La peticionaria alegó que su solicitud de Bono Familiar de Vivienda no fue resuelta, y que las irregularidades en el manejo de su caso se vieron reflejadas no sólo en la falta de resultado, sino en el desorden de la gestión administrativa. Como ejemplo de lo anterior, señala que el 25 de noviembre de 2008 habría sido notificada de un cobro judicial derivado de un proceso ejecutivo contra ella, instaurado por el INVU en fecha el 9 de diciembre de 2003, y del cual no tenía conocimiento hasta la fecha de esta notificación. Al preguntar en las oficinas del INVU el motivo de dicha deuda, se le habría dicho que era porque un lote bajo radicación 15- B Finca CAPRI III aparecía a nombre suyo desde 1993, y que debía cancelar el dinero, aunque no lo hubiera utilizado, e incluso, si el lote estaba habitado, ella tendría que correr con los gastos de desalojar a las personas por vía judicial. La segunda opción que le habrían propuesto era que renunciara al lote para que el INVU se </w:t>
      </w:r>
      <w:r w:rsidRPr="00A10C7B">
        <w:rPr>
          <w:rFonts w:asciiTheme="majorHAnsi" w:hAnsiTheme="majorHAnsi"/>
          <w:sz w:val="20"/>
          <w:szCs w:val="20"/>
          <w:lang w:val="es-PE"/>
        </w:rPr>
        <w:lastRenderedPageBreak/>
        <w:t xml:space="preserve">encargara del desalojo, y que ellos le darían otro lote, pero que no existía seguridad de que hubiera otro lote disponible en ese momento. Es decir que desde 1993, se le habría asignado a la peticionaria un lote, </w:t>
      </w:r>
      <w:r w:rsidR="00394AF3" w:rsidRPr="00A10C7B">
        <w:rPr>
          <w:rFonts w:asciiTheme="majorHAnsi" w:hAnsiTheme="majorHAnsi"/>
          <w:sz w:val="20"/>
          <w:szCs w:val="20"/>
          <w:lang w:val="es-PE"/>
        </w:rPr>
        <w:t>pero no se le habría notificado y</w:t>
      </w:r>
      <w:r w:rsidRPr="00A10C7B">
        <w:rPr>
          <w:rFonts w:asciiTheme="majorHAnsi" w:hAnsiTheme="majorHAnsi"/>
          <w:sz w:val="20"/>
          <w:szCs w:val="20"/>
          <w:lang w:val="es-PE"/>
        </w:rPr>
        <w:t xml:space="preserve"> tampoco </w:t>
      </w:r>
      <w:r w:rsidR="00394AF3" w:rsidRPr="00A10C7B">
        <w:rPr>
          <w:rFonts w:asciiTheme="majorHAnsi" w:hAnsiTheme="majorHAnsi"/>
          <w:sz w:val="20"/>
          <w:szCs w:val="20"/>
          <w:lang w:val="es-PE"/>
        </w:rPr>
        <w:t xml:space="preserve">se habría </w:t>
      </w:r>
      <w:r w:rsidRPr="00A10C7B">
        <w:rPr>
          <w:rFonts w:asciiTheme="majorHAnsi" w:hAnsiTheme="majorHAnsi"/>
          <w:sz w:val="20"/>
          <w:szCs w:val="20"/>
          <w:lang w:val="es-PE"/>
        </w:rPr>
        <w:t>gestionado el bono para realizar la construcción de una casa nueva</w:t>
      </w:r>
      <w:r w:rsidR="00394AF3" w:rsidRPr="00A10C7B">
        <w:rPr>
          <w:rFonts w:asciiTheme="majorHAnsi" w:hAnsiTheme="majorHAnsi"/>
          <w:sz w:val="20"/>
          <w:szCs w:val="20"/>
          <w:lang w:val="es-PE"/>
        </w:rPr>
        <w:t xml:space="preserve"> en dicho lote</w:t>
      </w:r>
      <w:r w:rsidRPr="00A10C7B">
        <w:rPr>
          <w:rFonts w:asciiTheme="majorHAnsi" w:hAnsiTheme="majorHAnsi"/>
          <w:sz w:val="20"/>
          <w:szCs w:val="20"/>
          <w:lang w:val="es-PE"/>
        </w:rPr>
        <w:t xml:space="preserve">.  </w:t>
      </w:r>
    </w:p>
    <w:p w:rsidR="009C6039" w:rsidRPr="00A10C7B" w:rsidRDefault="009C6039" w:rsidP="00120783">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PE"/>
        </w:rPr>
      </w:pPr>
    </w:p>
    <w:p w:rsidR="009C6039" w:rsidRPr="00A10C7B" w:rsidRDefault="009C6039" w:rsidP="004C7506">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PE"/>
        </w:rPr>
      </w:pPr>
      <w:r w:rsidRPr="00A10C7B">
        <w:rPr>
          <w:rFonts w:asciiTheme="majorHAnsi" w:hAnsiTheme="majorHAnsi"/>
          <w:sz w:val="20"/>
          <w:szCs w:val="20"/>
          <w:lang w:val="es-PE"/>
        </w:rPr>
        <w:t xml:space="preserve">La peticionaria alegó que, además de todas las comunicaciones mencionadas, habría acudido personalmente a las instituciones, en donde le habrían dado la información equivocada, o contradictoria, en el sentido que algunos funcionarios afirmaban que calificaba para el bono, mientras que otros le aseguraban que no era así. En particular, respecto al INVU, la peticionaria manifiesta que en varias ocasiones se negaron a recibir los documentos que ella proporcionaba, le dijeron que su pensión de invalidez era muy baja y que por eso no calificaría para el bono, y más recientemente le habrían indicado que ya no califica para el BFV porque ahora vive sola sin su hija, y que tendría que esperar hasta los 65 años para aplicar nuevamente al bono.  </w:t>
      </w:r>
    </w:p>
    <w:p w:rsidR="009C6039" w:rsidRPr="00A10C7B" w:rsidRDefault="009C6039" w:rsidP="00120783">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PE"/>
        </w:rPr>
      </w:pPr>
    </w:p>
    <w:p w:rsidR="009C6039" w:rsidRPr="00A10C7B" w:rsidRDefault="009C6039" w:rsidP="004C7506">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PE"/>
        </w:rPr>
      </w:pPr>
      <w:r w:rsidRPr="00A10C7B">
        <w:rPr>
          <w:rFonts w:asciiTheme="majorHAnsi" w:hAnsiTheme="majorHAnsi"/>
          <w:sz w:val="20"/>
          <w:szCs w:val="20"/>
          <w:lang w:val="es-PE"/>
        </w:rPr>
        <w:t>Adicionalmente, la peticionaria alegó que se le ha</w:t>
      </w:r>
      <w:r w:rsidR="00394AF3" w:rsidRPr="00A10C7B">
        <w:rPr>
          <w:rFonts w:asciiTheme="majorHAnsi" w:hAnsiTheme="majorHAnsi"/>
          <w:sz w:val="20"/>
          <w:szCs w:val="20"/>
          <w:lang w:val="es-PE"/>
        </w:rPr>
        <w:t>bría</w:t>
      </w:r>
      <w:r w:rsidRPr="00A10C7B">
        <w:rPr>
          <w:rFonts w:asciiTheme="majorHAnsi" w:hAnsiTheme="majorHAnsi"/>
          <w:sz w:val="20"/>
          <w:szCs w:val="20"/>
          <w:lang w:val="es-PE"/>
        </w:rPr>
        <w:t xml:space="preserve"> impedido el acceso al derecho a la vivienda digna consagrado en la Constitución, no solo por los obstáculos procesales que </w:t>
      </w:r>
      <w:r w:rsidR="00394AF3" w:rsidRPr="00A10C7B">
        <w:rPr>
          <w:rFonts w:asciiTheme="majorHAnsi" w:hAnsiTheme="majorHAnsi"/>
          <w:sz w:val="20"/>
          <w:szCs w:val="20"/>
          <w:lang w:val="es-PE"/>
        </w:rPr>
        <w:t>enfrentó</w:t>
      </w:r>
      <w:r w:rsidRPr="00A10C7B">
        <w:rPr>
          <w:rFonts w:asciiTheme="majorHAnsi" w:hAnsiTheme="majorHAnsi"/>
          <w:sz w:val="20"/>
          <w:szCs w:val="20"/>
          <w:lang w:val="es-PE"/>
        </w:rPr>
        <w:t>, sino también porque los requisitos que establecía el INVU son imposibles de reunir para ella. Además, la declaración de inhabitabilidad de su propiedad, le habría hecho imposible enajenarla. Finalmente, la peticionaria menciona que le ha tocado pagar peritajes, escrituras, abogados, inscripc</w:t>
      </w:r>
      <w:r w:rsidR="00394AF3" w:rsidRPr="00A10C7B">
        <w:rPr>
          <w:rFonts w:asciiTheme="majorHAnsi" w:hAnsiTheme="majorHAnsi"/>
          <w:sz w:val="20"/>
          <w:szCs w:val="20"/>
          <w:lang w:val="es-PE"/>
        </w:rPr>
        <w:t xml:space="preserve">iones, avalúos y en general </w:t>
      </w:r>
      <w:r w:rsidRPr="00A10C7B">
        <w:rPr>
          <w:rFonts w:asciiTheme="majorHAnsi" w:hAnsiTheme="majorHAnsi"/>
          <w:sz w:val="20"/>
          <w:szCs w:val="20"/>
          <w:lang w:val="es-PE"/>
        </w:rPr>
        <w:t>una gran cantidad de documentos</w:t>
      </w:r>
      <w:r w:rsidR="00394AF3" w:rsidRPr="00A10C7B">
        <w:rPr>
          <w:rFonts w:asciiTheme="majorHAnsi" w:hAnsiTheme="majorHAnsi"/>
          <w:sz w:val="20"/>
          <w:szCs w:val="20"/>
          <w:lang w:val="es-PE"/>
        </w:rPr>
        <w:t xml:space="preserve"> y trámites</w:t>
      </w:r>
      <w:r w:rsidRPr="00A10C7B">
        <w:rPr>
          <w:rFonts w:asciiTheme="majorHAnsi" w:hAnsiTheme="majorHAnsi"/>
          <w:sz w:val="20"/>
          <w:szCs w:val="20"/>
          <w:lang w:val="es-PE"/>
        </w:rPr>
        <w:t>, muchos de los cuales ha pagado con préstamos y que su situación no había sido resuelta.</w:t>
      </w:r>
    </w:p>
    <w:p w:rsidR="009C6039" w:rsidRPr="00A10C7B" w:rsidRDefault="009C6039" w:rsidP="00120783">
      <w:pPr>
        <w:pStyle w:val="ListParagraph"/>
        <w:rPr>
          <w:rFonts w:asciiTheme="majorHAnsi" w:hAnsiTheme="majorHAnsi"/>
          <w:sz w:val="20"/>
          <w:szCs w:val="20"/>
          <w:lang w:val="es-PE"/>
        </w:rPr>
      </w:pPr>
    </w:p>
    <w:p w:rsidR="009C6039" w:rsidRPr="00A10C7B" w:rsidRDefault="009C6039" w:rsidP="004C7506">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PE"/>
        </w:rPr>
      </w:pPr>
      <w:r w:rsidRPr="00A10C7B">
        <w:rPr>
          <w:rFonts w:asciiTheme="majorHAnsi" w:hAnsiTheme="majorHAnsi"/>
          <w:sz w:val="20"/>
          <w:szCs w:val="20"/>
          <w:lang w:val="es-PE"/>
        </w:rPr>
        <w:t>Por todo lo anterior, la peticionaria alegó que se le han violado sus derechos a la protección de la familia, a la preservación de la salud y al bienestar, y a la propiedad consagrados en los artículos VI, XI y XXIII de la Declaración Americana.</w:t>
      </w:r>
    </w:p>
    <w:p w:rsidR="009C6039" w:rsidRPr="00A10C7B" w:rsidRDefault="009C6039" w:rsidP="00120783">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PE"/>
        </w:rPr>
      </w:pPr>
    </w:p>
    <w:p w:rsidR="009C6039" w:rsidRPr="00A10C7B" w:rsidRDefault="009C6039" w:rsidP="00A47AA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contextualSpacing/>
        <w:rPr>
          <w:rFonts w:asciiTheme="majorHAnsi" w:hAnsiTheme="majorHAnsi"/>
          <w:b/>
          <w:sz w:val="20"/>
          <w:szCs w:val="20"/>
          <w:lang w:val="es-BO"/>
        </w:rPr>
      </w:pPr>
      <w:r w:rsidRPr="00A10C7B">
        <w:rPr>
          <w:rFonts w:asciiTheme="majorHAnsi" w:hAnsiTheme="majorHAnsi"/>
          <w:b/>
          <w:sz w:val="20"/>
          <w:szCs w:val="20"/>
          <w:lang w:val="es-BO"/>
        </w:rPr>
        <w:t>SOLUCIÓN AMISTOSA</w:t>
      </w:r>
    </w:p>
    <w:p w:rsidR="009C6039" w:rsidRPr="00A10C7B" w:rsidRDefault="009C6039" w:rsidP="00120783">
      <w:pPr>
        <w:pStyle w:val="ListParagraph"/>
        <w:ind w:left="1080" w:firstLine="720"/>
        <w:rPr>
          <w:rFonts w:asciiTheme="majorHAnsi" w:hAnsiTheme="majorHAnsi"/>
          <w:b/>
          <w:sz w:val="20"/>
          <w:szCs w:val="20"/>
          <w:lang w:val="es-BO"/>
        </w:rPr>
      </w:pPr>
    </w:p>
    <w:p w:rsidR="009C6039" w:rsidRPr="00A10C7B" w:rsidRDefault="009C6039" w:rsidP="004C7506">
      <w:pPr>
        <w:pStyle w:val="ListParagraph"/>
        <w:numPr>
          <w:ilvl w:val="0"/>
          <w:numId w:val="69"/>
        </w:numPr>
        <w:ind w:left="0" w:firstLine="720"/>
        <w:contextualSpacing/>
        <w:jc w:val="both"/>
        <w:rPr>
          <w:rFonts w:asciiTheme="majorHAnsi" w:hAnsiTheme="majorHAnsi" w:cs="Calibri"/>
          <w:sz w:val="20"/>
          <w:szCs w:val="20"/>
          <w:lang w:val="es-ES_tradnl"/>
        </w:rPr>
      </w:pPr>
      <w:r w:rsidRPr="00A10C7B">
        <w:rPr>
          <w:rFonts w:asciiTheme="majorHAnsi" w:hAnsiTheme="majorHAnsi" w:cs="Tahoma"/>
          <w:sz w:val="20"/>
          <w:szCs w:val="20"/>
          <w:lang w:val="es-PE"/>
        </w:rPr>
        <w:t>El 20 de julio de 2018, las partes suscribieron un acuerdo de solución amistosa,</w:t>
      </w:r>
      <w:r w:rsidRPr="00A10C7B">
        <w:rPr>
          <w:rFonts w:asciiTheme="majorHAnsi" w:hAnsiTheme="majorHAnsi" w:cs="Calibri"/>
          <w:sz w:val="20"/>
          <w:szCs w:val="20"/>
          <w:lang w:val="es-ES_tradnl"/>
        </w:rPr>
        <w:t xml:space="preserve"> que establece lo siguiente: </w:t>
      </w:r>
    </w:p>
    <w:p w:rsidR="009C6039" w:rsidRPr="00A10C7B" w:rsidRDefault="009C6039" w:rsidP="00120783">
      <w:pPr>
        <w:pStyle w:val="ListParagraph"/>
        <w:contextualSpacing/>
        <w:jc w:val="both"/>
        <w:rPr>
          <w:rFonts w:asciiTheme="majorHAnsi" w:hAnsiTheme="majorHAnsi" w:cs="Calibri"/>
          <w:sz w:val="20"/>
          <w:szCs w:val="20"/>
          <w:lang w:val="es-ES_tradnl"/>
        </w:rPr>
      </w:pPr>
    </w:p>
    <w:p w:rsidR="009C6039" w:rsidRPr="00A10C7B" w:rsidRDefault="009C6039" w:rsidP="00B74185">
      <w:pPr>
        <w:tabs>
          <w:tab w:val="left" w:pos="8640"/>
        </w:tabs>
        <w:ind w:left="720" w:right="720"/>
        <w:jc w:val="center"/>
        <w:outlineLvl w:val="0"/>
        <w:rPr>
          <w:rFonts w:asciiTheme="majorHAnsi" w:hAnsiTheme="majorHAnsi"/>
          <w:b/>
          <w:sz w:val="20"/>
          <w:szCs w:val="20"/>
          <w:lang w:val="es-ES"/>
        </w:rPr>
      </w:pPr>
      <w:r w:rsidRPr="00A10C7B">
        <w:rPr>
          <w:rFonts w:asciiTheme="majorHAnsi" w:hAnsiTheme="majorHAnsi"/>
          <w:b/>
          <w:sz w:val="20"/>
          <w:szCs w:val="20"/>
          <w:lang w:val="es-ES"/>
        </w:rPr>
        <w:t xml:space="preserve">ACUERDO DE SOLUCIÓN AMISTOSA </w:t>
      </w:r>
    </w:p>
    <w:p w:rsidR="009C6039" w:rsidRPr="00A10C7B" w:rsidRDefault="009C6039" w:rsidP="00B74185">
      <w:pPr>
        <w:tabs>
          <w:tab w:val="left" w:pos="8640"/>
        </w:tabs>
        <w:ind w:left="720" w:right="720"/>
        <w:jc w:val="center"/>
        <w:outlineLvl w:val="0"/>
        <w:rPr>
          <w:rFonts w:asciiTheme="majorHAnsi" w:hAnsiTheme="majorHAnsi"/>
          <w:b/>
          <w:sz w:val="20"/>
          <w:szCs w:val="20"/>
          <w:lang w:val="es-ES"/>
        </w:rPr>
      </w:pPr>
    </w:p>
    <w:p w:rsidR="009C6039" w:rsidRPr="00A10C7B" w:rsidRDefault="009C6039" w:rsidP="00B74185">
      <w:pPr>
        <w:tabs>
          <w:tab w:val="left" w:pos="8640"/>
        </w:tabs>
        <w:suppressAutoHyphens/>
        <w:autoSpaceDN w:val="0"/>
        <w:ind w:left="720" w:right="720"/>
        <w:jc w:val="both"/>
        <w:textAlignment w:val="baseline"/>
        <w:rPr>
          <w:rFonts w:asciiTheme="majorHAnsi" w:hAnsiTheme="majorHAnsi"/>
          <w:sz w:val="20"/>
          <w:szCs w:val="20"/>
          <w:lang w:val="es-ES" w:eastAsia="ar-SA"/>
        </w:rPr>
      </w:pPr>
      <w:r w:rsidRPr="00A10C7B">
        <w:rPr>
          <w:rFonts w:asciiTheme="majorHAnsi" w:hAnsiTheme="majorHAnsi"/>
          <w:sz w:val="20"/>
          <w:szCs w:val="20"/>
          <w:lang w:val="es-ES" w:eastAsia="es-ES"/>
        </w:rPr>
        <w:t>El Estado</w:t>
      </w:r>
      <w:r w:rsidRPr="00A10C7B">
        <w:rPr>
          <w:rFonts w:asciiTheme="majorHAnsi" w:hAnsiTheme="majorHAnsi"/>
          <w:sz w:val="20"/>
          <w:szCs w:val="20"/>
          <w:lang w:val="es-ES" w:eastAsia="ar-SA"/>
        </w:rPr>
        <w:t xml:space="preserve"> costarricense y la parte peticionaria</w:t>
      </w:r>
      <w:r w:rsidRPr="00A10C7B">
        <w:rPr>
          <w:rFonts w:asciiTheme="majorHAnsi" w:hAnsiTheme="majorHAnsi"/>
          <w:sz w:val="20"/>
          <w:szCs w:val="20"/>
          <w:shd w:val="clear" w:color="auto" w:fill="FFFFFF"/>
          <w:lang w:val="es-ES"/>
        </w:rPr>
        <w:t xml:space="preserve"> suscriben el presente</w:t>
      </w:r>
      <w:r w:rsidRPr="00A10C7B">
        <w:rPr>
          <w:rFonts w:asciiTheme="majorHAnsi" w:hAnsiTheme="majorHAnsi"/>
          <w:sz w:val="20"/>
          <w:szCs w:val="20"/>
          <w:lang w:val="es-ES" w:eastAsia="ar-SA"/>
        </w:rPr>
        <w:t xml:space="preserve"> acuerdo de solución amistosa, </w:t>
      </w:r>
      <w:r w:rsidRPr="00A10C7B">
        <w:rPr>
          <w:rFonts w:asciiTheme="majorHAnsi" w:hAnsiTheme="majorHAnsi"/>
          <w:snapToGrid w:val="0"/>
          <w:spacing w:val="-3"/>
          <w:sz w:val="20"/>
          <w:szCs w:val="20"/>
          <w:lang w:val="es-ES"/>
        </w:rPr>
        <w:t xml:space="preserve">respecto de los artículos </w:t>
      </w:r>
      <w:r w:rsidRPr="00A10C7B">
        <w:rPr>
          <w:rFonts w:asciiTheme="majorHAnsi" w:hAnsiTheme="majorHAnsi"/>
          <w:spacing w:val="-3"/>
          <w:sz w:val="20"/>
          <w:szCs w:val="20"/>
          <w:lang w:val="es-GT"/>
        </w:rPr>
        <w:t xml:space="preserve">5, 8, 19, 25 y 26 </w:t>
      </w:r>
      <w:r w:rsidRPr="00A10C7B">
        <w:rPr>
          <w:rFonts w:asciiTheme="majorHAnsi" w:hAnsiTheme="majorHAnsi"/>
          <w:snapToGrid w:val="0"/>
          <w:spacing w:val="-3"/>
          <w:sz w:val="20"/>
          <w:szCs w:val="20"/>
          <w:lang w:val="es-ES"/>
        </w:rPr>
        <w:t xml:space="preserve"> de la Convención Americana en relación con sus artículos 1.1 y 2.</w:t>
      </w:r>
      <w:r w:rsidRPr="00A10C7B">
        <w:rPr>
          <w:rFonts w:asciiTheme="majorHAnsi" w:hAnsiTheme="majorHAnsi"/>
          <w:sz w:val="20"/>
          <w:szCs w:val="20"/>
          <w:lang w:val="es-ES" w:eastAsia="ar-SA"/>
        </w:rPr>
        <w:t xml:space="preserve"> </w:t>
      </w:r>
    </w:p>
    <w:p w:rsidR="00394AF3" w:rsidRPr="00A10C7B" w:rsidRDefault="00394AF3" w:rsidP="00B74185">
      <w:pPr>
        <w:tabs>
          <w:tab w:val="left" w:pos="8640"/>
        </w:tabs>
        <w:suppressAutoHyphens/>
        <w:autoSpaceDN w:val="0"/>
        <w:ind w:left="720" w:right="720"/>
        <w:jc w:val="both"/>
        <w:textAlignment w:val="baseline"/>
        <w:rPr>
          <w:rFonts w:asciiTheme="majorHAnsi" w:hAnsiTheme="majorHAnsi"/>
          <w:sz w:val="20"/>
          <w:szCs w:val="20"/>
          <w:lang w:val="es-ES" w:eastAsia="ar-SA"/>
        </w:rPr>
      </w:pPr>
    </w:p>
    <w:p w:rsidR="009C6039" w:rsidRPr="00A10C7B" w:rsidRDefault="009C6039" w:rsidP="00B74185">
      <w:pPr>
        <w:tabs>
          <w:tab w:val="left" w:pos="8640"/>
        </w:tabs>
        <w:suppressAutoHyphens/>
        <w:autoSpaceDN w:val="0"/>
        <w:ind w:left="720" w:right="720"/>
        <w:jc w:val="both"/>
        <w:textAlignment w:val="baseline"/>
        <w:rPr>
          <w:rFonts w:asciiTheme="majorHAnsi" w:hAnsiTheme="majorHAnsi"/>
          <w:sz w:val="20"/>
          <w:szCs w:val="20"/>
          <w:lang w:val="es-ES"/>
        </w:rPr>
      </w:pPr>
      <w:r w:rsidRPr="00A10C7B">
        <w:rPr>
          <w:rFonts w:asciiTheme="majorHAnsi" w:hAnsiTheme="majorHAnsi"/>
          <w:sz w:val="20"/>
          <w:szCs w:val="20"/>
          <w:lang w:val="es-ES" w:eastAsia="ar-SA"/>
        </w:rPr>
        <w:t>S</w:t>
      </w:r>
      <w:r w:rsidRPr="00A10C7B">
        <w:rPr>
          <w:rFonts w:asciiTheme="majorHAnsi" w:hAnsiTheme="majorHAnsi"/>
          <w:sz w:val="20"/>
          <w:szCs w:val="20"/>
          <w:lang w:val="es-ES"/>
        </w:rPr>
        <w:t xml:space="preserve">egún el contexto actual, </w:t>
      </w:r>
      <w:r w:rsidRPr="00A10C7B">
        <w:rPr>
          <w:rFonts w:asciiTheme="majorHAnsi" w:hAnsiTheme="majorHAnsi"/>
          <w:sz w:val="20"/>
          <w:szCs w:val="20"/>
          <w:lang w:val="es-ES" w:eastAsia="ar-SA"/>
        </w:rPr>
        <w:t xml:space="preserve">las gestiones realizadas </w:t>
      </w:r>
      <w:r w:rsidRPr="00A10C7B">
        <w:rPr>
          <w:rFonts w:asciiTheme="majorHAnsi" w:eastAsia="Times New Roman" w:hAnsiTheme="majorHAnsi"/>
          <w:sz w:val="20"/>
          <w:szCs w:val="20"/>
          <w:lang w:val="es-MX" w:eastAsia="es-ES"/>
        </w:rPr>
        <w:t>con el afán de solucionar el problema habitacional,</w:t>
      </w:r>
      <w:r w:rsidRPr="00A10C7B">
        <w:rPr>
          <w:rFonts w:asciiTheme="majorHAnsi" w:hAnsiTheme="majorHAnsi"/>
          <w:sz w:val="20"/>
          <w:szCs w:val="20"/>
          <w:lang w:val="es-ES"/>
        </w:rPr>
        <w:t xml:space="preserve"> antes de</w:t>
      </w:r>
      <w:r w:rsidRPr="00A10C7B">
        <w:rPr>
          <w:rFonts w:asciiTheme="majorHAnsi" w:hAnsiTheme="majorHAnsi"/>
          <w:sz w:val="20"/>
          <w:szCs w:val="20"/>
          <w:shd w:val="clear" w:color="auto" w:fill="FFFFFF"/>
          <w:lang w:val="es-ES"/>
        </w:rPr>
        <w:t xml:space="preserve"> la presentación de la petición</w:t>
      </w:r>
      <w:r w:rsidRPr="00A10C7B">
        <w:rPr>
          <w:rFonts w:asciiTheme="majorHAnsi" w:hAnsiTheme="majorHAnsi"/>
          <w:sz w:val="20"/>
          <w:szCs w:val="20"/>
          <w:lang w:val="es-ES"/>
        </w:rPr>
        <w:t xml:space="preserve"> el 7 de abril de 2006 ante la CIDH</w:t>
      </w:r>
      <w:r w:rsidRPr="00A10C7B">
        <w:rPr>
          <w:rFonts w:asciiTheme="majorHAnsi" w:hAnsiTheme="majorHAnsi"/>
          <w:sz w:val="20"/>
          <w:szCs w:val="20"/>
          <w:lang w:val="es-ES" w:eastAsia="ar-SA"/>
        </w:rPr>
        <w:t>,</w:t>
      </w:r>
      <w:r w:rsidRPr="00A10C7B">
        <w:rPr>
          <w:rFonts w:asciiTheme="majorHAnsi" w:hAnsiTheme="majorHAnsi"/>
          <w:sz w:val="20"/>
          <w:szCs w:val="20"/>
          <w:shd w:val="clear" w:color="auto" w:fill="FFFFFF"/>
          <w:lang w:val="es-ES"/>
        </w:rPr>
        <w:t xml:space="preserve"> se suscitaron en un contexto donde no existían procedimientos claros (estandarizados) o al menos mecanismos de orientación para las personas usuarias que buscaban soluciones de vivienda. Sobre este tema</w:t>
      </w:r>
      <w:r w:rsidRPr="00A10C7B">
        <w:rPr>
          <w:rFonts w:asciiTheme="majorHAnsi" w:hAnsiTheme="majorHAnsi"/>
          <w:sz w:val="20"/>
          <w:szCs w:val="20"/>
          <w:lang w:val="es-ES"/>
        </w:rPr>
        <w:t>, conviene resaltar las constantes manifestaciones de la peticionaria (Emilia Morales Campos), en las múltiples reuniones con el Equipo Interinstitucional, durante este proceso de</w:t>
      </w:r>
      <w:r w:rsidRPr="00A10C7B">
        <w:rPr>
          <w:rFonts w:asciiTheme="majorHAnsi" w:eastAsia="Times New Roman" w:hAnsiTheme="majorHAnsi"/>
          <w:sz w:val="20"/>
          <w:szCs w:val="20"/>
          <w:lang w:val="es-ES" w:eastAsia="es-ES_tradnl"/>
        </w:rPr>
        <w:t xml:space="preserve"> solución amistosa</w:t>
      </w:r>
      <w:r w:rsidRPr="00A10C7B">
        <w:rPr>
          <w:rFonts w:asciiTheme="majorHAnsi" w:eastAsia="Times New Roman" w:hAnsiTheme="majorHAnsi"/>
          <w:sz w:val="20"/>
          <w:szCs w:val="20"/>
          <w:lang w:val="es-MX" w:eastAsia="es-ES"/>
        </w:rPr>
        <w:t>,</w:t>
      </w:r>
      <w:r w:rsidRPr="00A10C7B">
        <w:rPr>
          <w:rFonts w:asciiTheme="majorHAnsi" w:hAnsiTheme="majorHAnsi"/>
          <w:sz w:val="20"/>
          <w:szCs w:val="20"/>
          <w:lang w:val="es-MX"/>
        </w:rPr>
        <w:t xml:space="preserve"> </w:t>
      </w:r>
      <w:r w:rsidRPr="00A10C7B">
        <w:rPr>
          <w:rFonts w:asciiTheme="majorHAnsi" w:hAnsiTheme="majorHAnsi"/>
          <w:sz w:val="20"/>
          <w:szCs w:val="20"/>
          <w:lang w:val="es-ES"/>
        </w:rPr>
        <w:t xml:space="preserve">al señalar literalmente que: </w:t>
      </w:r>
    </w:p>
    <w:p w:rsidR="00394AF3" w:rsidRPr="00A10C7B" w:rsidRDefault="00394AF3" w:rsidP="00B74185">
      <w:pPr>
        <w:tabs>
          <w:tab w:val="left" w:pos="8640"/>
        </w:tabs>
        <w:suppressAutoHyphens/>
        <w:autoSpaceDN w:val="0"/>
        <w:ind w:left="720" w:right="720"/>
        <w:jc w:val="both"/>
        <w:textAlignment w:val="baseline"/>
        <w:rPr>
          <w:rFonts w:asciiTheme="majorHAnsi" w:hAnsiTheme="majorHAnsi"/>
          <w:sz w:val="20"/>
          <w:szCs w:val="20"/>
          <w:shd w:val="clear" w:color="auto" w:fill="FFFFFF"/>
          <w:lang w:val="es-ES"/>
        </w:rPr>
      </w:pPr>
    </w:p>
    <w:p w:rsidR="009C6039" w:rsidRPr="00A10C7B" w:rsidRDefault="009C6039" w:rsidP="00B74185">
      <w:pPr>
        <w:tabs>
          <w:tab w:val="left" w:pos="7797"/>
          <w:tab w:val="left" w:pos="8640"/>
        </w:tabs>
        <w:ind w:left="720" w:right="720"/>
        <w:jc w:val="both"/>
        <w:rPr>
          <w:rFonts w:asciiTheme="majorHAnsi" w:eastAsia="Times New Roman" w:hAnsiTheme="majorHAnsi"/>
          <w:sz w:val="20"/>
          <w:szCs w:val="20"/>
          <w:lang w:val="es-ES_tradnl" w:eastAsia="es-ES"/>
        </w:rPr>
      </w:pPr>
      <w:r w:rsidRPr="00A10C7B">
        <w:rPr>
          <w:rFonts w:asciiTheme="majorHAnsi" w:hAnsiTheme="majorHAnsi"/>
          <w:i/>
          <w:sz w:val="20"/>
          <w:szCs w:val="20"/>
          <w:lang w:val="es-ES" w:eastAsia="ar-SA"/>
        </w:rPr>
        <w:t xml:space="preserve">“…las gestiones realizadas desde los </w:t>
      </w:r>
      <w:r w:rsidRPr="00A10C7B">
        <w:rPr>
          <w:rFonts w:asciiTheme="majorHAnsi" w:hAnsiTheme="majorHAnsi"/>
          <w:i/>
          <w:sz w:val="20"/>
          <w:szCs w:val="20"/>
          <w:shd w:val="clear" w:color="auto" w:fill="FFFFFF"/>
          <w:lang w:val="es-ES"/>
        </w:rPr>
        <w:t xml:space="preserve">años noventa (específicamente, a partir del año 1991), en cuanto al bono de vivienda </w:t>
      </w:r>
      <w:r w:rsidRPr="00A10C7B">
        <w:rPr>
          <w:rFonts w:asciiTheme="majorHAnsi" w:hAnsiTheme="majorHAnsi"/>
          <w:i/>
          <w:spacing w:val="-3"/>
          <w:sz w:val="20"/>
          <w:szCs w:val="20"/>
          <w:bdr w:val="none" w:sz="0" w:space="0" w:color="auto" w:frame="1"/>
          <w:lang w:val="es-ES"/>
        </w:rPr>
        <w:t>(según mis condiciones de salud, capacidad económica y núcleo familiar)</w:t>
      </w:r>
      <w:r w:rsidRPr="00A10C7B">
        <w:rPr>
          <w:rFonts w:asciiTheme="majorHAnsi" w:hAnsiTheme="majorHAnsi"/>
          <w:i/>
          <w:sz w:val="20"/>
          <w:szCs w:val="20"/>
          <w:shd w:val="clear" w:color="auto" w:fill="FFFFFF"/>
          <w:lang w:val="es-ES"/>
        </w:rPr>
        <w:t xml:space="preserve">, </w:t>
      </w:r>
      <w:r w:rsidRPr="00A10C7B">
        <w:rPr>
          <w:rFonts w:asciiTheme="majorHAnsi" w:eastAsia="Times New Roman" w:hAnsiTheme="majorHAnsi"/>
          <w:i/>
          <w:sz w:val="20"/>
          <w:szCs w:val="20"/>
          <w:lang w:val="es-MX" w:eastAsia="es-ES"/>
        </w:rPr>
        <w:t xml:space="preserve">se solicitaron a través de </w:t>
      </w:r>
      <w:r w:rsidRPr="00A10C7B">
        <w:rPr>
          <w:rFonts w:asciiTheme="majorHAnsi" w:hAnsiTheme="majorHAnsi"/>
          <w:i/>
          <w:spacing w:val="-3"/>
          <w:sz w:val="20"/>
          <w:szCs w:val="20"/>
          <w:bdr w:val="none" w:sz="0" w:space="0" w:color="auto" w:frame="1"/>
          <w:lang w:val="es-ES"/>
        </w:rPr>
        <w:t xml:space="preserve">las </w:t>
      </w:r>
      <w:r w:rsidRPr="00A10C7B">
        <w:rPr>
          <w:rFonts w:asciiTheme="majorHAnsi" w:hAnsiTheme="majorHAnsi"/>
          <w:bCs/>
          <w:i/>
          <w:sz w:val="20"/>
          <w:szCs w:val="20"/>
          <w:lang w:val="es-ES"/>
        </w:rPr>
        <w:t>autoridades competentes del Estado en ese momento (</w:t>
      </w:r>
      <w:r w:rsidRPr="00A10C7B">
        <w:rPr>
          <w:rFonts w:asciiTheme="majorHAnsi" w:hAnsiTheme="majorHAnsi"/>
          <w:i/>
          <w:sz w:val="20"/>
          <w:szCs w:val="20"/>
          <w:lang w:val="es-ES"/>
        </w:rPr>
        <w:t xml:space="preserve">Banco Hipotecario de la Vivienda, el Instituto Nacional de Vivienda y Urbanismo, </w:t>
      </w:r>
      <w:r w:rsidRPr="00A10C7B">
        <w:rPr>
          <w:rFonts w:asciiTheme="majorHAnsi" w:hAnsiTheme="majorHAnsi"/>
          <w:i/>
          <w:iCs/>
          <w:sz w:val="20"/>
          <w:szCs w:val="20"/>
          <w:lang w:val="es-ES" w:eastAsia="es-ES"/>
        </w:rPr>
        <w:t>Comisión Especial de Vivienda</w:t>
      </w:r>
      <w:r w:rsidRPr="00A10C7B">
        <w:rPr>
          <w:rFonts w:asciiTheme="majorHAnsi" w:hAnsiTheme="majorHAnsi"/>
          <w:i/>
          <w:sz w:val="20"/>
          <w:szCs w:val="20"/>
          <w:lang w:val="es-ES"/>
        </w:rPr>
        <w:t>, IMAS y</w:t>
      </w:r>
      <w:r w:rsidRPr="00A10C7B">
        <w:rPr>
          <w:rFonts w:asciiTheme="majorHAnsi" w:hAnsiTheme="majorHAnsi"/>
          <w:b/>
          <w:i/>
          <w:sz w:val="20"/>
          <w:szCs w:val="20"/>
          <w:lang w:val="es-ES" w:eastAsia="es-CO"/>
        </w:rPr>
        <w:t xml:space="preserve"> </w:t>
      </w:r>
      <w:r w:rsidRPr="00A10C7B">
        <w:rPr>
          <w:rFonts w:asciiTheme="majorHAnsi" w:hAnsiTheme="majorHAnsi"/>
          <w:bCs/>
          <w:i/>
          <w:sz w:val="20"/>
          <w:szCs w:val="20"/>
          <w:lang w:val="es-ES"/>
        </w:rPr>
        <w:t>UNIVICOOP),</w:t>
      </w:r>
      <w:r w:rsidRPr="00A10C7B">
        <w:rPr>
          <w:rFonts w:asciiTheme="majorHAnsi" w:eastAsia="Times New Roman" w:hAnsiTheme="majorHAnsi"/>
          <w:i/>
          <w:sz w:val="20"/>
          <w:szCs w:val="20"/>
          <w:lang w:val="es-MX" w:eastAsia="es-ES"/>
        </w:rPr>
        <w:t xml:space="preserve"> con el afán de solucionar</w:t>
      </w:r>
      <w:r w:rsidRPr="00A10C7B">
        <w:rPr>
          <w:rFonts w:asciiTheme="majorHAnsi" w:hAnsiTheme="majorHAnsi"/>
          <w:i/>
          <w:sz w:val="20"/>
          <w:szCs w:val="20"/>
          <w:lang w:val="es-ES"/>
        </w:rPr>
        <w:t xml:space="preserve"> mi problema habitacional, </w:t>
      </w:r>
      <w:r w:rsidRPr="00A10C7B">
        <w:rPr>
          <w:rFonts w:asciiTheme="majorHAnsi" w:eastAsia="Times New Roman" w:hAnsiTheme="majorHAnsi"/>
          <w:i/>
          <w:sz w:val="20"/>
          <w:szCs w:val="20"/>
          <w:lang w:val="es-MX" w:eastAsia="es-ES"/>
        </w:rPr>
        <w:t>y el de mi</w:t>
      </w:r>
      <w:r w:rsidRPr="00A10C7B">
        <w:rPr>
          <w:rFonts w:asciiTheme="majorHAnsi" w:hAnsiTheme="majorHAnsi"/>
          <w:i/>
          <w:sz w:val="20"/>
          <w:szCs w:val="20"/>
          <w:lang w:val="es-ES"/>
        </w:rPr>
        <w:t xml:space="preserve"> hija</w:t>
      </w:r>
      <w:r w:rsidRPr="00A10C7B">
        <w:rPr>
          <w:rFonts w:asciiTheme="majorHAnsi" w:hAnsiTheme="majorHAnsi"/>
          <w:i/>
          <w:sz w:val="20"/>
          <w:szCs w:val="20"/>
          <w:lang w:val="es-ES" w:eastAsia="es-CO"/>
        </w:rPr>
        <w:t xml:space="preserve"> </w:t>
      </w:r>
      <w:r w:rsidRPr="00A10C7B">
        <w:rPr>
          <w:rFonts w:asciiTheme="majorHAnsi" w:hAnsiTheme="majorHAnsi"/>
          <w:i/>
          <w:sz w:val="20"/>
          <w:szCs w:val="20"/>
          <w:lang w:val="es-ES"/>
        </w:rPr>
        <w:t>(</w:t>
      </w:r>
      <w:r w:rsidRPr="00A10C7B">
        <w:rPr>
          <w:rFonts w:asciiTheme="majorHAnsi" w:hAnsiTheme="majorHAnsi"/>
          <w:i/>
          <w:sz w:val="20"/>
          <w:szCs w:val="20"/>
          <w:lang w:val="es-ES" w:eastAsia="es-CO"/>
        </w:rPr>
        <w:t>Jennifer Emilia Morales Campos).</w:t>
      </w:r>
      <w:r w:rsidRPr="00A10C7B">
        <w:rPr>
          <w:rFonts w:asciiTheme="majorHAnsi" w:eastAsia="Times New Roman" w:hAnsiTheme="majorHAnsi"/>
          <w:i/>
          <w:sz w:val="20"/>
          <w:szCs w:val="20"/>
          <w:lang w:val="es-MX" w:eastAsia="es-ES"/>
        </w:rPr>
        <w:t xml:space="preserve"> </w:t>
      </w:r>
      <w:r w:rsidRPr="00A10C7B">
        <w:rPr>
          <w:rFonts w:asciiTheme="majorHAnsi" w:hAnsiTheme="majorHAnsi"/>
          <w:bCs/>
          <w:i/>
          <w:sz w:val="20"/>
          <w:szCs w:val="20"/>
          <w:lang w:val="es-ES"/>
        </w:rPr>
        <w:t>No obstante, las instituciones referidas supra</w:t>
      </w:r>
      <w:r w:rsidRPr="00A10C7B">
        <w:rPr>
          <w:rFonts w:asciiTheme="majorHAnsi" w:hAnsiTheme="majorHAnsi"/>
          <w:i/>
          <w:spacing w:val="-3"/>
          <w:sz w:val="20"/>
          <w:szCs w:val="20"/>
          <w:bdr w:val="none" w:sz="0" w:space="0" w:color="auto" w:frame="1"/>
          <w:lang w:val="es-ES"/>
        </w:rPr>
        <w:t xml:space="preserve">, no me garantizaron los mecanismos, </w:t>
      </w:r>
      <w:r w:rsidRPr="00A10C7B">
        <w:rPr>
          <w:rFonts w:asciiTheme="majorHAnsi" w:hAnsiTheme="majorHAnsi"/>
          <w:i/>
          <w:iCs/>
          <w:sz w:val="20"/>
          <w:szCs w:val="20"/>
          <w:lang w:val="es-ES" w:eastAsia="es-ES"/>
        </w:rPr>
        <w:t xml:space="preserve">la </w:t>
      </w:r>
      <w:r w:rsidRPr="00A10C7B">
        <w:rPr>
          <w:rFonts w:asciiTheme="majorHAnsi" w:hAnsiTheme="majorHAnsi"/>
          <w:i/>
          <w:sz w:val="20"/>
          <w:szCs w:val="20"/>
          <w:lang w:val="es-ES"/>
        </w:rPr>
        <w:t>orientación, ni tampoco el acompañamiento para tener acceso a dicho Bono. Por lo anterior, se demuestra que, mi intención no era que el Estado costarricense me regalara nada; sino simplemente que, el Estado me garantizara el acceso al bono de vivienda”.</w:t>
      </w:r>
      <w:r w:rsidRPr="00A10C7B">
        <w:rPr>
          <w:rFonts w:asciiTheme="majorHAnsi" w:eastAsia="Times New Roman" w:hAnsiTheme="majorHAnsi"/>
          <w:i/>
          <w:sz w:val="20"/>
          <w:szCs w:val="20"/>
          <w:lang w:val="es-ES_tradnl" w:eastAsia="es-ES"/>
        </w:rPr>
        <w:t xml:space="preserve"> </w:t>
      </w:r>
    </w:p>
    <w:p w:rsidR="00394AF3" w:rsidRPr="00A10C7B" w:rsidRDefault="00394AF3" w:rsidP="00B74185">
      <w:pPr>
        <w:tabs>
          <w:tab w:val="left" w:pos="7797"/>
          <w:tab w:val="left" w:pos="8640"/>
        </w:tabs>
        <w:ind w:left="720" w:right="720"/>
        <w:jc w:val="both"/>
        <w:rPr>
          <w:rFonts w:asciiTheme="majorHAnsi" w:eastAsia="Times New Roman" w:hAnsiTheme="majorHAnsi"/>
          <w:sz w:val="20"/>
          <w:szCs w:val="20"/>
          <w:lang w:val="es-ES_tradnl" w:eastAsia="es-ES"/>
        </w:rPr>
      </w:pPr>
    </w:p>
    <w:p w:rsidR="009C6039" w:rsidRPr="00A10C7B" w:rsidRDefault="009C6039" w:rsidP="00B74185">
      <w:pPr>
        <w:tabs>
          <w:tab w:val="left" w:pos="8640"/>
        </w:tabs>
        <w:ind w:left="720" w:right="720"/>
        <w:jc w:val="both"/>
        <w:rPr>
          <w:rFonts w:asciiTheme="majorHAnsi" w:hAnsiTheme="majorHAnsi"/>
          <w:sz w:val="20"/>
          <w:szCs w:val="20"/>
          <w:lang w:val="es-ES"/>
        </w:rPr>
      </w:pPr>
      <w:r w:rsidRPr="00A10C7B">
        <w:rPr>
          <w:rFonts w:asciiTheme="majorHAnsi" w:hAnsiTheme="majorHAnsi"/>
          <w:sz w:val="20"/>
          <w:szCs w:val="20"/>
          <w:shd w:val="clear" w:color="auto" w:fill="FFFFFF"/>
          <w:lang w:val="es-ES"/>
        </w:rPr>
        <w:lastRenderedPageBreak/>
        <w:t>De suma importancia es señalar que</w:t>
      </w:r>
      <w:r w:rsidRPr="00A10C7B">
        <w:rPr>
          <w:rFonts w:asciiTheme="majorHAnsi" w:hAnsiTheme="majorHAnsi"/>
          <w:iCs/>
          <w:sz w:val="20"/>
          <w:szCs w:val="20"/>
          <w:lang w:val="es-ES" w:eastAsia="es-ES"/>
        </w:rPr>
        <w:t xml:space="preserve"> e</w:t>
      </w:r>
      <w:r w:rsidRPr="00A10C7B">
        <w:rPr>
          <w:rFonts w:asciiTheme="majorHAnsi" w:hAnsiTheme="majorHAnsi"/>
          <w:sz w:val="20"/>
          <w:szCs w:val="20"/>
          <w:shd w:val="clear" w:color="auto" w:fill="FFFFFF"/>
          <w:lang w:val="es-ES"/>
        </w:rPr>
        <w:t>l sistema ha venido en franca evolución y el Estado costarricense ha procurado proveer de herramientas y mecanismos más claros de orientación a las personas que buscan soluciones de vivienda, particularmente a las personas con alguna discapacidad. Asimismo,</w:t>
      </w:r>
      <w:r w:rsidRPr="00A10C7B">
        <w:rPr>
          <w:rFonts w:asciiTheme="majorHAnsi" w:hAnsiTheme="majorHAnsi"/>
          <w:sz w:val="20"/>
          <w:szCs w:val="20"/>
          <w:lang w:val="es-ES"/>
        </w:rPr>
        <w:t xml:space="preserve"> el Estado ha tomado consciencia de la situación particular y excepcional del Caso 12.942, </w:t>
      </w:r>
      <w:r w:rsidRPr="00A10C7B">
        <w:rPr>
          <w:rFonts w:asciiTheme="majorHAnsi" w:hAnsiTheme="majorHAnsi"/>
          <w:bCs/>
          <w:sz w:val="20"/>
          <w:szCs w:val="20"/>
          <w:lang w:val="es-ES" w:eastAsia="es-ES"/>
        </w:rPr>
        <w:t xml:space="preserve">que tuvo lugar en un momento que antecedió a la creación del Sistema Financiero Nacional para la Vivienda (SNFV) de Costa Rica. En ese contexto, Costa Rica contó con </w:t>
      </w:r>
      <w:r w:rsidRPr="00A10C7B">
        <w:rPr>
          <w:rFonts w:asciiTheme="majorHAnsi" w:hAnsiTheme="majorHAnsi"/>
          <w:iCs/>
          <w:sz w:val="20"/>
          <w:szCs w:val="20"/>
          <w:lang w:val="es-ES" w:eastAsia="es-ES"/>
        </w:rPr>
        <w:t>la denominada Comisión Especial de Vivienda, (</w:t>
      </w:r>
      <w:r w:rsidRPr="00A10C7B">
        <w:rPr>
          <w:rFonts w:asciiTheme="majorHAnsi" w:hAnsiTheme="majorHAnsi"/>
          <w:sz w:val="20"/>
          <w:szCs w:val="20"/>
          <w:shd w:val="clear" w:color="auto" w:fill="FFFFFF"/>
          <w:lang w:val="es-ES"/>
        </w:rPr>
        <w:t>Decreto Ejecutivo N° 17270-P del 29 de octubre 1986</w:t>
      </w:r>
      <w:r w:rsidRPr="00A10C7B">
        <w:rPr>
          <w:rFonts w:asciiTheme="majorHAnsi" w:hAnsiTheme="majorHAnsi"/>
          <w:sz w:val="20"/>
          <w:szCs w:val="20"/>
          <w:lang w:val="es-ES"/>
        </w:rPr>
        <w:t xml:space="preserve">), la cual </w:t>
      </w:r>
      <w:r w:rsidRPr="00A10C7B">
        <w:rPr>
          <w:rFonts w:asciiTheme="majorHAnsi" w:hAnsiTheme="majorHAnsi"/>
          <w:bCs/>
          <w:sz w:val="20"/>
          <w:szCs w:val="20"/>
          <w:lang w:val="es-ES" w:eastAsia="es-ES"/>
        </w:rPr>
        <w:t xml:space="preserve">no le garantizó a la señora  Emilia Morales Campos </w:t>
      </w:r>
      <w:r w:rsidRPr="00A10C7B">
        <w:rPr>
          <w:rFonts w:asciiTheme="majorHAnsi" w:hAnsiTheme="majorHAnsi"/>
          <w:sz w:val="20"/>
          <w:szCs w:val="20"/>
          <w:lang w:val="es-ES"/>
        </w:rPr>
        <w:t xml:space="preserve">los </w:t>
      </w:r>
      <w:r w:rsidRPr="00A10C7B">
        <w:rPr>
          <w:rFonts w:asciiTheme="majorHAnsi" w:hAnsiTheme="majorHAnsi"/>
          <w:iCs/>
          <w:sz w:val="20"/>
          <w:szCs w:val="20"/>
          <w:lang w:val="es-ES" w:eastAsia="es-ES"/>
        </w:rPr>
        <w:t xml:space="preserve">mecanismos estatales mejorados, la </w:t>
      </w:r>
      <w:r w:rsidRPr="00A10C7B">
        <w:rPr>
          <w:rFonts w:asciiTheme="majorHAnsi" w:hAnsiTheme="majorHAnsi"/>
          <w:sz w:val="20"/>
          <w:szCs w:val="20"/>
          <w:lang w:val="es-ES"/>
        </w:rPr>
        <w:t xml:space="preserve">orientación, ni tampoco el acompañamiento acerca de las soluciones temporales y permanentes de vivienda. </w:t>
      </w:r>
    </w:p>
    <w:p w:rsidR="00394AF3" w:rsidRPr="00A10C7B" w:rsidRDefault="00394AF3" w:rsidP="00B74185">
      <w:pPr>
        <w:tabs>
          <w:tab w:val="left" w:pos="8640"/>
        </w:tabs>
        <w:ind w:left="720" w:right="720"/>
        <w:jc w:val="both"/>
        <w:rPr>
          <w:rFonts w:asciiTheme="majorHAnsi" w:hAnsiTheme="majorHAnsi"/>
          <w:sz w:val="20"/>
          <w:szCs w:val="20"/>
          <w:lang w:val="es-ES"/>
        </w:rPr>
      </w:pPr>
    </w:p>
    <w:p w:rsidR="009C6039" w:rsidRPr="00A10C7B" w:rsidRDefault="009C6039" w:rsidP="00B74185">
      <w:pPr>
        <w:tabs>
          <w:tab w:val="left" w:pos="8640"/>
        </w:tabs>
        <w:ind w:left="720" w:right="720"/>
        <w:jc w:val="both"/>
        <w:rPr>
          <w:rFonts w:asciiTheme="majorHAnsi" w:eastAsia="Times New Roman" w:hAnsiTheme="majorHAnsi"/>
          <w:sz w:val="20"/>
          <w:szCs w:val="20"/>
          <w:lang w:val="es-ES"/>
        </w:rPr>
      </w:pPr>
      <w:r w:rsidRPr="00A10C7B">
        <w:rPr>
          <w:rFonts w:asciiTheme="majorHAnsi" w:eastAsia="Times New Roman" w:hAnsiTheme="majorHAnsi"/>
          <w:sz w:val="20"/>
          <w:szCs w:val="20"/>
          <w:lang w:val="es-ES" w:eastAsia="es-CR"/>
        </w:rPr>
        <w:t>En el contexto actual y dentro del marco del SNFV, la Fundación Promotora de Vivienda está anuente a vender</w:t>
      </w:r>
      <w:r w:rsidRPr="00A10C7B">
        <w:rPr>
          <w:rStyle w:val="FootnoteReference"/>
          <w:rFonts w:asciiTheme="majorHAnsi" w:eastAsia="Times New Roman" w:hAnsiTheme="majorHAnsi"/>
          <w:sz w:val="20"/>
          <w:szCs w:val="20"/>
          <w:lang w:eastAsia="es-CR"/>
        </w:rPr>
        <w:footnoteReference w:id="6"/>
      </w:r>
      <w:r w:rsidRPr="00A10C7B">
        <w:rPr>
          <w:rFonts w:asciiTheme="majorHAnsi" w:eastAsia="Times New Roman" w:hAnsiTheme="majorHAnsi"/>
          <w:sz w:val="20"/>
          <w:szCs w:val="20"/>
          <w:lang w:val="es-ES" w:eastAsia="es-CR"/>
        </w:rPr>
        <w:t xml:space="preserve"> la finca de su propiedad inscrita al partido de Alajuela </w:t>
      </w:r>
      <w:r w:rsidRPr="00A10C7B">
        <w:rPr>
          <w:rFonts w:asciiTheme="majorHAnsi" w:eastAsia="Times New Roman" w:hAnsiTheme="majorHAnsi"/>
          <w:sz w:val="20"/>
          <w:szCs w:val="20"/>
          <w:lang w:val="es-ES"/>
        </w:rPr>
        <w:t>525479-000 situado </w:t>
      </w:r>
      <w:r w:rsidRPr="00A10C7B">
        <w:rPr>
          <w:rFonts w:asciiTheme="majorHAnsi" w:eastAsia="Times New Roman" w:hAnsiTheme="majorHAnsi"/>
          <w:sz w:val="20"/>
          <w:szCs w:val="20"/>
          <w:lang w:val="es-ES_tradnl"/>
        </w:rPr>
        <w:t>en</w:t>
      </w:r>
      <w:r w:rsidRPr="00A10C7B">
        <w:rPr>
          <w:rFonts w:asciiTheme="majorHAnsi" w:eastAsia="Times New Roman" w:hAnsiTheme="majorHAnsi"/>
          <w:sz w:val="20"/>
          <w:szCs w:val="20"/>
          <w:lang w:val="es-ES"/>
        </w:rPr>
        <w:t xml:space="preserve"> Distrito 7 Puente de Piedra, Cantón 3 Grecia, Provincia 2 Alajuela, por medio del  mecanismo del Bono Familiar de Vivienda, a través del programa lote y construcción. </w:t>
      </w:r>
    </w:p>
    <w:p w:rsidR="00394AF3" w:rsidRPr="00A10C7B" w:rsidRDefault="00394AF3" w:rsidP="00B74185">
      <w:pPr>
        <w:tabs>
          <w:tab w:val="left" w:pos="8640"/>
        </w:tabs>
        <w:ind w:left="720" w:right="720"/>
        <w:jc w:val="both"/>
        <w:rPr>
          <w:rFonts w:asciiTheme="majorHAnsi" w:eastAsia="Times New Roman" w:hAnsiTheme="majorHAnsi"/>
          <w:sz w:val="20"/>
          <w:szCs w:val="20"/>
          <w:lang w:val="es-ES"/>
        </w:rPr>
      </w:pPr>
    </w:p>
    <w:p w:rsidR="009C6039" w:rsidRPr="00A10C7B" w:rsidRDefault="009C6039" w:rsidP="00B74185">
      <w:pPr>
        <w:tabs>
          <w:tab w:val="left" w:pos="8640"/>
        </w:tabs>
        <w:ind w:left="720" w:right="720"/>
        <w:jc w:val="both"/>
        <w:rPr>
          <w:rFonts w:asciiTheme="majorHAnsi" w:hAnsiTheme="majorHAnsi"/>
          <w:bCs/>
          <w:sz w:val="20"/>
          <w:szCs w:val="20"/>
          <w:lang w:val="es-ES"/>
        </w:rPr>
      </w:pPr>
      <w:r w:rsidRPr="00A10C7B">
        <w:rPr>
          <w:rFonts w:asciiTheme="majorHAnsi" w:eastAsia="Times New Roman" w:hAnsiTheme="majorHAnsi"/>
          <w:sz w:val="20"/>
          <w:szCs w:val="20"/>
          <w:lang w:val="es-ES" w:eastAsia="es-CR"/>
        </w:rPr>
        <w:t xml:space="preserve">Así, según </w:t>
      </w:r>
      <w:r w:rsidRPr="00A10C7B">
        <w:rPr>
          <w:rFonts w:asciiTheme="majorHAnsi" w:hAnsiTheme="majorHAnsi"/>
          <w:sz w:val="20"/>
          <w:szCs w:val="20"/>
          <w:lang w:val="es-ES"/>
        </w:rPr>
        <w:t>fue acordado en la reunión con la señora Emilia Morales Campos y el Equipo Interinstitucional, celebrada el día 28 de mayo de 2018, en Cancillería,</w:t>
      </w:r>
      <w:r w:rsidRPr="00A10C7B">
        <w:rPr>
          <w:rFonts w:asciiTheme="majorHAnsi" w:eastAsia="Times New Roman" w:hAnsiTheme="majorHAnsi"/>
          <w:sz w:val="20"/>
          <w:szCs w:val="20"/>
          <w:lang w:val="es-ES"/>
        </w:rPr>
        <w:t xml:space="preserve"> e</w:t>
      </w:r>
      <w:r w:rsidRPr="00A10C7B">
        <w:rPr>
          <w:rFonts w:asciiTheme="majorHAnsi" w:eastAsia="Times New Roman" w:hAnsiTheme="majorHAnsi"/>
          <w:sz w:val="20"/>
          <w:szCs w:val="20"/>
          <w:lang w:val="es-ES_tradnl"/>
        </w:rPr>
        <w:t xml:space="preserve">l Estado costarricense </w:t>
      </w:r>
      <w:r w:rsidRPr="00A10C7B">
        <w:rPr>
          <w:rFonts w:asciiTheme="majorHAnsi" w:eastAsia="Times New Roman" w:hAnsiTheme="majorHAnsi"/>
          <w:sz w:val="20"/>
          <w:szCs w:val="20"/>
          <w:lang w:val="es-ES" w:eastAsia="es-ES_tradnl"/>
        </w:rPr>
        <w:t xml:space="preserve">asumiría </w:t>
      </w:r>
      <w:r w:rsidRPr="00A10C7B">
        <w:rPr>
          <w:rFonts w:asciiTheme="majorHAnsi" w:eastAsia="Times New Roman" w:hAnsiTheme="majorHAnsi"/>
          <w:sz w:val="20"/>
          <w:szCs w:val="20"/>
          <w:lang w:val="es-ES"/>
        </w:rPr>
        <w:t>la compra del inmueble mediante el Sistema Financiero Nacional para la Vivienda</w:t>
      </w:r>
      <w:r w:rsidRPr="00A10C7B">
        <w:rPr>
          <w:rFonts w:asciiTheme="majorHAnsi" w:hAnsiTheme="majorHAnsi"/>
          <w:bCs/>
          <w:sz w:val="20"/>
          <w:szCs w:val="20"/>
          <w:lang w:val="es-ES"/>
        </w:rPr>
        <w:t xml:space="preserve">, junto con la construcción de la casa de habitación referida </w:t>
      </w:r>
      <w:r w:rsidRPr="00A10C7B">
        <w:rPr>
          <w:rFonts w:asciiTheme="majorHAnsi" w:hAnsiTheme="majorHAnsi"/>
          <w:bCs/>
          <w:i/>
          <w:sz w:val="20"/>
          <w:szCs w:val="20"/>
          <w:lang w:val="es-ES"/>
        </w:rPr>
        <w:t>supra</w:t>
      </w:r>
      <w:r w:rsidRPr="00A10C7B">
        <w:rPr>
          <w:rFonts w:asciiTheme="majorHAnsi" w:hAnsiTheme="majorHAnsi"/>
          <w:bCs/>
          <w:sz w:val="20"/>
          <w:szCs w:val="20"/>
          <w:lang w:val="es-ES"/>
        </w:rPr>
        <w:t xml:space="preserve">. </w:t>
      </w:r>
      <w:r w:rsidRPr="00A10C7B">
        <w:rPr>
          <w:rFonts w:asciiTheme="majorHAnsi" w:eastAsia="Times New Roman" w:hAnsiTheme="majorHAnsi"/>
          <w:sz w:val="20"/>
          <w:szCs w:val="20"/>
          <w:lang w:val="es-MX" w:eastAsia="es-ES"/>
        </w:rPr>
        <w:t xml:space="preserve">Por lo anterior, la peticionaria (Emilia Morales Campos de 63 años de edad), no deberá desembolsarle al Estado costarricense ningún monto por concepto de </w:t>
      </w:r>
      <w:r w:rsidRPr="00A10C7B">
        <w:rPr>
          <w:rFonts w:asciiTheme="majorHAnsi" w:eastAsia="Times New Roman" w:hAnsiTheme="majorHAnsi"/>
          <w:sz w:val="20"/>
          <w:szCs w:val="20"/>
          <w:lang w:val="es-ES"/>
        </w:rPr>
        <w:t>compra de inmueble</w:t>
      </w:r>
      <w:r w:rsidRPr="00A10C7B">
        <w:rPr>
          <w:rFonts w:asciiTheme="majorHAnsi" w:hAnsiTheme="majorHAnsi"/>
          <w:bCs/>
          <w:sz w:val="20"/>
          <w:szCs w:val="20"/>
          <w:lang w:val="es-ES"/>
        </w:rPr>
        <w:t>, ni tampoco, por construcción de la casa de habitación cumpliendo con las normas de accesibilidad contempladas por la Ley N°7600, la Convención Interamericana para la Eliminación de todas las Formas de Discriminación contra las Personas con discapacidad, y la Convención sobre las Personas con dis</w:t>
      </w:r>
      <w:r w:rsidR="004A147C">
        <w:rPr>
          <w:rFonts w:asciiTheme="majorHAnsi" w:hAnsiTheme="majorHAnsi"/>
          <w:bCs/>
          <w:sz w:val="20"/>
          <w:szCs w:val="20"/>
          <w:lang w:val="es-ES"/>
        </w:rPr>
        <w:t xml:space="preserve">capacidad de Naciones Unidas. </w:t>
      </w:r>
    </w:p>
    <w:p w:rsidR="00394AF3" w:rsidRPr="00A10C7B" w:rsidRDefault="00394AF3" w:rsidP="00B74185">
      <w:pPr>
        <w:tabs>
          <w:tab w:val="left" w:pos="8640"/>
        </w:tabs>
        <w:ind w:left="720" w:right="720"/>
        <w:jc w:val="both"/>
        <w:rPr>
          <w:rFonts w:asciiTheme="majorHAnsi" w:hAnsiTheme="majorHAnsi"/>
          <w:bCs/>
          <w:sz w:val="20"/>
          <w:szCs w:val="20"/>
          <w:lang w:val="es-ES"/>
        </w:rPr>
      </w:pPr>
    </w:p>
    <w:p w:rsidR="009C6039" w:rsidRPr="00A10C7B" w:rsidRDefault="009C6039" w:rsidP="00B74185">
      <w:pPr>
        <w:tabs>
          <w:tab w:val="left" w:pos="1020"/>
          <w:tab w:val="left" w:pos="8640"/>
        </w:tabs>
        <w:ind w:left="720" w:right="720"/>
        <w:contextualSpacing/>
        <w:jc w:val="both"/>
        <w:rPr>
          <w:rFonts w:asciiTheme="majorHAnsi" w:eastAsia="Times New Roman" w:hAnsiTheme="majorHAnsi"/>
          <w:sz w:val="20"/>
          <w:szCs w:val="20"/>
          <w:lang w:val="es-ES" w:eastAsia="es-CR"/>
        </w:rPr>
      </w:pPr>
      <w:r w:rsidRPr="00A10C7B">
        <w:rPr>
          <w:rFonts w:asciiTheme="majorHAnsi" w:eastAsia="Times New Roman" w:hAnsiTheme="majorHAnsi"/>
          <w:sz w:val="20"/>
          <w:szCs w:val="20"/>
          <w:lang w:val="es-ES" w:eastAsia="es-CR"/>
        </w:rPr>
        <w:t xml:space="preserve">Como parte de los acuerdos alcanzados dentro de este proceso de solución amistosa, adicionalmente serán subsidiados (los gastos de formalización, de inscripción registral y compra venta de inmueble, que conlleva el Bono Familiar de Vivienda respecto a </w:t>
      </w:r>
      <w:r w:rsidRPr="00A10C7B">
        <w:rPr>
          <w:rFonts w:asciiTheme="majorHAnsi" w:hAnsiTheme="majorHAnsi"/>
          <w:bCs/>
          <w:sz w:val="20"/>
          <w:szCs w:val="20"/>
          <w:lang w:val="es-ES"/>
        </w:rPr>
        <w:t>la Mutual Cartago de Ahorro y Préstamo)</w:t>
      </w:r>
      <w:r w:rsidRPr="00A10C7B">
        <w:rPr>
          <w:rFonts w:asciiTheme="majorHAnsi" w:eastAsia="Times New Roman" w:hAnsiTheme="majorHAnsi"/>
          <w:sz w:val="20"/>
          <w:szCs w:val="20"/>
          <w:lang w:val="es-ES" w:eastAsia="es-CR"/>
        </w:rPr>
        <w:t xml:space="preserve"> según las </w:t>
      </w:r>
      <w:r w:rsidRPr="00A10C7B">
        <w:rPr>
          <w:rFonts w:asciiTheme="majorHAnsi" w:hAnsiTheme="majorHAnsi"/>
          <w:bCs/>
          <w:sz w:val="20"/>
          <w:szCs w:val="20"/>
          <w:lang w:val="es-ES"/>
        </w:rPr>
        <w:t>disposiciones vigentes del Banco Hipotecario de la Vivienda.</w:t>
      </w:r>
      <w:r w:rsidRPr="00A10C7B">
        <w:rPr>
          <w:rFonts w:asciiTheme="majorHAnsi" w:eastAsia="Times New Roman" w:hAnsiTheme="majorHAnsi"/>
          <w:sz w:val="20"/>
          <w:szCs w:val="20"/>
          <w:lang w:val="es-ES" w:eastAsia="es-CR"/>
        </w:rPr>
        <w:t xml:space="preserve"> </w:t>
      </w:r>
    </w:p>
    <w:p w:rsidR="009C6039" w:rsidRPr="00A10C7B" w:rsidRDefault="009C6039" w:rsidP="00B74185">
      <w:pPr>
        <w:tabs>
          <w:tab w:val="left" w:pos="1020"/>
          <w:tab w:val="left" w:pos="8640"/>
        </w:tabs>
        <w:ind w:left="720" w:right="720"/>
        <w:contextualSpacing/>
        <w:jc w:val="both"/>
        <w:rPr>
          <w:rFonts w:asciiTheme="majorHAnsi" w:eastAsia="Times New Roman" w:hAnsiTheme="majorHAnsi"/>
          <w:sz w:val="20"/>
          <w:szCs w:val="20"/>
          <w:u w:val="single"/>
          <w:lang w:val="es-ES" w:eastAsia="es-CR"/>
        </w:rPr>
      </w:pPr>
    </w:p>
    <w:p w:rsidR="009C6039" w:rsidRPr="00A10C7B" w:rsidRDefault="009C6039" w:rsidP="00B74185">
      <w:pPr>
        <w:tabs>
          <w:tab w:val="left" w:pos="8640"/>
        </w:tabs>
        <w:ind w:left="720" w:right="720"/>
        <w:jc w:val="both"/>
        <w:rPr>
          <w:rFonts w:asciiTheme="majorHAnsi" w:hAnsiTheme="majorHAnsi"/>
          <w:sz w:val="20"/>
          <w:szCs w:val="20"/>
          <w:lang w:val="es-ES"/>
        </w:rPr>
      </w:pPr>
      <w:r w:rsidRPr="00A10C7B">
        <w:rPr>
          <w:rFonts w:asciiTheme="majorHAnsi" w:eastAsia="Times New Roman" w:hAnsiTheme="majorHAnsi"/>
          <w:sz w:val="20"/>
          <w:szCs w:val="20"/>
          <w:lang w:val="es-ES" w:eastAsia="es-CR"/>
        </w:rPr>
        <w:t>E</w:t>
      </w:r>
      <w:r w:rsidRPr="00A10C7B">
        <w:rPr>
          <w:rFonts w:asciiTheme="majorHAnsi" w:eastAsia="Times New Roman" w:hAnsiTheme="majorHAnsi"/>
          <w:sz w:val="20"/>
          <w:szCs w:val="20"/>
          <w:lang w:val="es-ES_tradnl" w:eastAsia="es-CR"/>
        </w:rPr>
        <w:t>l Estado</w:t>
      </w:r>
      <w:r w:rsidRPr="00A10C7B">
        <w:rPr>
          <w:rFonts w:asciiTheme="majorHAnsi" w:hAnsiTheme="majorHAnsi"/>
          <w:sz w:val="20"/>
          <w:szCs w:val="20"/>
          <w:lang w:val="es-ES" w:eastAsia="es-ES"/>
        </w:rPr>
        <w:t xml:space="preserve"> costarricense,</w:t>
      </w:r>
      <w:r w:rsidRPr="00A10C7B">
        <w:rPr>
          <w:rFonts w:asciiTheme="majorHAnsi" w:eastAsia="Times New Roman" w:hAnsiTheme="majorHAnsi"/>
          <w:sz w:val="20"/>
          <w:szCs w:val="20"/>
          <w:lang w:val="es-ES_tradnl" w:eastAsia="es-CR"/>
        </w:rPr>
        <w:t xml:space="preserve"> mediante el Ministerio de Relaciones Exteriores y Culto, reconoce</w:t>
      </w:r>
      <w:r w:rsidRPr="00A10C7B">
        <w:rPr>
          <w:rFonts w:asciiTheme="majorHAnsi" w:hAnsiTheme="majorHAnsi"/>
          <w:sz w:val="20"/>
          <w:szCs w:val="20"/>
          <w:lang w:val="es-ES"/>
        </w:rPr>
        <w:t xml:space="preserve"> en la peticionaria (Emilia Morales Campos de 63 años de edad) su colaboración estrecha en este proceso</w:t>
      </w:r>
      <w:r w:rsidRPr="00A10C7B">
        <w:rPr>
          <w:rFonts w:asciiTheme="majorHAnsi" w:eastAsia="Times New Roman" w:hAnsiTheme="majorHAnsi"/>
          <w:sz w:val="20"/>
          <w:szCs w:val="20"/>
          <w:lang w:val="es-ES_tradnl" w:eastAsia="es-CR"/>
        </w:rPr>
        <w:t xml:space="preserve">, su activismo con perfil de Derechos Humanos, siempre sujeto al principio de legalidad y al sistema democrático costarricense, para </w:t>
      </w:r>
      <w:r w:rsidRPr="00A10C7B">
        <w:rPr>
          <w:rFonts w:asciiTheme="majorHAnsi" w:eastAsia="Times New Roman" w:hAnsiTheme="majorHAnsi"/>
          <w:sz w:val="20"/>
          <w:szCs w:val="20"/>
          <w:lang w:val="es-ES" w:eastAsia="es-ES_tradnl"/>
        </w:rPr>
        <w:t xml:space="preserve">consolidar la solución amistosa </w:t>
      </w:r>
      <w:r w:rsidRPr="00A10C7B">
        <w:rPr>
          <w:rFonts w:asciiTheme="majorHAnsi" w:eastAsia="Times New Roman" w:hAnsiTheme="majorHAnsi"/>
          <w:sz w:val="20"/>
          <w:szCs w:val="20"/>
          <w:lang w:val="es-MX" w:eastAsia="es-ES"/>
        </w:rPr>
        <w:t xml:space="preserve">del Caso 12.942. </w:t>
      </w:r>
      <w:r w:rsidRPr="00A10C7B">
        <w:rPr>
          <w:rFonts w:asciiTheme="majorHAnsi" w:eastAsia="Times New Roman" w:hAnsiTheme="majorHAnsi"/>
          <w:sz w:val="20"/>
          <w:szCs w:val="20"/>
          <w:lang w:val="es-ES" w:eastAsia="es-CR"/>
        </w:rPr>
        <w:t xml:space="preserve">Igualmente, el Estado reconoce la </w:t>
      </w:r>
      <w:r w:rsidRPr="00A10C7B">
        <w:rPr>
          <w:rFonts w:asciiTheme="majorHAnsi" w:eastAsia="Times New Roman" w:hAnsiTheme="majorHAnsi"/>
          <w:sz w:val="20"/>
          <w:szCs w:val="20"/>
          <w:lang w:val="es-MX" w:eastAsia="es-CR"/>
        </w:rPr>
        <w:t>incansable lucha de la peticionaria (Emilia Morales Campos</w:t>
      </w:r>
      <w:r w:rsidRPr="00A10C7B">
        <w:rPr>
          <w:rFonts w:asciiTheme="majorHAnsi" w:hAnsiTheme="majorHAnsi"/>
          <w:sz w:val="20"/>
          <w:szCs w:val="20"/>
          <w:lang w:val="es-ES"/>
        </w:rPr>
        <w:t xml:space="preserve"> de 63 años de edad</w:t>
      </w:r>
      <w:r w:rsidRPr="00A10C7B">
        <w:rPr>
          <w:rFonts w:asciiTheme="majorHAnsi" w:eastAsia="Times New Roman" w:hAnsiTheme="majorHAnsi"/>
          <w:sz w:val="20"/>
          <w:szCs w:val="20"/>
          <w:lang w:val="es-MX" w:eastAsia="es-CR"/>
        </w:rPr>
        <w:t>) durante todo este tiempo</w:t>
      </w:r>
      <w:r w:rsidRPr="00A10C7B">
        <w:rPr>
          <w:rFonts w:asciiTheme="majorHAnsi" w:eastAsia="Times New Roman" w:hAnsiTheme="majorHAnsi"/>
          <w:sz w:val="20"/>
          <w:szCs w:val="20"/>
          <w:lang w:val="es-ES" w:eastAsia="es-ES_tradnl"/>
        </w:rPr>
        <w:t xml:space="preserve"> </w:t>
      </w:r>
      <w:r w:rsidRPr="00A10C7B">
        <w:rPr>
          <w:rFonts w:asciiTheme="majorHAnsi" w:hAnsiTheme="majorHAnsi"/>
          <w:sz w:val="20"/>
          <w:szCs w:val="20"/>
          <w:lang w:val="es-ES"/>
        </w:rPr>
        <w:t>(12 años en la CIDH)</w:t>
      </w:r>
      <w:r w:rsidRPr="00A10C7B">
        <w:rPr>
          <w:rFonts w:asciiTheme="majorHAnsi" w:eastAsia="Times New Roman" w:hAnsiTheme="majorHAnsi"/>
          <w:sz w:val="20"/>
          <w:szCs w:val="20"/>
          <w:lang w:val="es-MX" w:eastAsia="es-CR"/>
        </w:rPr>
        <w:t>, primeramente</w:t>
      </w:r>
      <w:r w:rsidRPr="00A10C7B">
        <w:rPr>
          <w:rFonts w:asciiTheme="majorHAnsi" w:hAnsiTheme="majorHAnsi"/>
          <w:sz w:val="20"/>
          <w:szCs w:val="20"/>
          <w:lang w:val="es-ES"/>
        </w:rPr>
        <w:t xml:space="preserve"> en favor de su hija</w:t>
      </w:r>
      <w:r w:rsidRPr="00A10C7B">
        <w:rPr>
          <w:rFonts w:asciiTheme="majorHAnsi" w:hAnsiTheme="majorHAnsi"/>
          <w:sz w:val="20"/>
          <w:szCs w:val="20"/>
          <w:lang w:val="es-ES" w:eastAsia="es-CO"/>
        </w:rPr>
        <w:t xml:space="preserve"> </w:t>
      </w:r>
      <w:r w:rsidRPr="00A10C7B">
        <w:rPr>
          <w:rFonts w:asciiTheme="majorHAnsi" w:hAnsiTheme="majorHAnsi"/>
          <w:sz w:val="20"/>
          <w:szCs w:val="20"/>
          <w:lang w:val="es-ES"/>
        </w:rPr>
        <w:t>(</w:t>
      </w:r>
      <w:r w:rsidRPr="00A10C7B">
        <w:rPr>
          <w:rFonts w:asciiTheme="majorHAnsi" w:hAnsiTheme="majorHAnsi"/>
          <w:sz w:val="20"/>
          <w:szCs w:val="20"/>
          <w:lang w:val="es-ES" w:eastAsia="es-CO"/>
        </w:rPr>
        <w:t>Jennifer Emilia Morales Campos) cuando era una persona menor de edad al inicio de este proceso,</w:t>
      </w:r>
      <w:r w:rsidRPr="00A10C7B">
        <w:rPr>
          <w:rFonts w:asciiTheme="majorHAnsi" w:hAnsiTheme="majorHAnsi"/>
          <w:sz w:val="20"/>
          <w:szCs w:val="20"/>
          <w:lang w:val="es-ES"/>
        </w:rPr>
        <w:t xml:space="preserve"> y actualmente en favor de su nieta menor de edad (</w:t>
      </w:r>
      <w:r w:rsidR="00991738" w:rsidRPr="00A10C7B">
        <w:rPr>
          <w:rFonts w:asciiTheme="majorHAnsi" w:eastAsia="Times New Roman" w:hAnsiTheme="majorHAnsi"/>
          <w:sz w:val="20"/>
          <w:szCs w:val="20"/>
          <w:lang w:val="es-ES" w:eastAsia="es-CR"/>
        </w:rPr>
        <w:t>IMM</w:t>
      </w:r>
      <w:r w:rsidR="00991738" w:rsidRPr="00A10C7B">
        <w:rPr>
          <w:rStyle w:val="FootnoteReference"/>
          <w:rFonts w:asciiTheme="majorHAnsi" w:eastAsia="Times New Roman" w:hAnsiTheme="majorHAnsi"/>
          <w:sz w:val="20"/>
          <w:szCs w:val="20"/>
          <w:lang w:val="es-ES" w:eastAsia="es-CR"/>
        </w:rPr>
        <w:footnoteReference w:id="7"/>
      </w:r>
      <w:r w:rsidRPr="00A10C7B">
        <w:rPr>
          <w:rFonts w:asciiTheme="majorHAnsi" w:eastAsia="Times New Roman" w:hAnsiTheme="majorHAnsi"/>
          <w:sz w:val="20"/>
          <w:szCs w:val="20"/>
          <w:lang w:val="es-ES" w:eastAsia="es-CR"/>
        </w:rPr>
        <w:t>)</w:t>
      </w:r>
      <w:r w:rsidRPr="00A10C7B">
        <w:rPr>
          <w:rFonts w:asciiTheme="majorHAnsi" w:hAnsiTheme="majorHAnsi"/>
          <w:sz w:val="20"/>
          <w:szCs w:val="20"/>
          <w:lang w:val="es-ES"/>
        </w:rPr>
        <w:t xml:space="preserve">. </w:t>
      </w:r>
    </w:p>
    <w:p w:rsidR="009C6039" w:rsidRPr="00A10C7B" w:rsidRDefault="009C6039" w:rsidP="00B74185">
      <w:pPr>
        <w:tabs>
          <w:tab w:val="left" w:pos="8640"/>
        </w:tabs>
        <w:ind w:left="720" w:right="720"/>
        <w:jc w:val="both"/>
        <w:rPr>
          <w:rFonts w:asciiTheme="majorHAnsi" w:hAnsiTheme="majorHAnsi"/>
          <w:sz w:val="20"/>
          <w:szCs w:val="20"/>
          <w:lang w:val="es-ES"/>
        </w:rPr>
      </w:pPr>
    </w:p>
    <w:p w:rsidR="009C6039" w:rsidRPr="00A10C7B" w:rsidRDefault="009C6039" w:rsidP="00B74185">
      <w:pPr>
        <w:tabs>
          <w:tab w:val="left" w:pos="8640"/>
        </w:tabs>
        <w:ind w:left="720" w:right="720"/>
        <w:jc w:val="both"/>
        <w:rPr>
          <w:rFonts w:asciiTheme="majorHAnsi" w:eastAsia="Times New Roman" w:hAnsiTheme="majorHAnsi"/>
          <w:sz w:val="20"/>
          <w:szCs w:val="20"/>
          <w:lang w:val="es-MX" w:eastAsia="es-ES"/>
        </w:rPr>
      </w:pPr>
      <w:r w:rsidRPr="00A10C7B">
        <w:rPr>
          <w:rFonts w:asciiTheme="majorHAnsi" w:hAnsiTheme="majorHAnsi"/>
          <w:sz w:val="20"/>
          <w:szCs w:val="20"/>
          <w:lang w:val="es-ES"/>
        </w:rPr>
        <w:t xml:space="preserve">Como parte de los acuerdos alcanzados, se publicará un comunicado de prensa al momento de la firma de este Acuerdo de Solución Amistosa. </w:t>
      </w:r>
      <w:r w:rsidRPr="00A10C7B">
        <w:rPr>
          <w:rFonts w:asciiTheme="majorHAnsi" w:eastAsia="Times New Roman" w:hAnsiTheme="majorHAnsi"/>
          <w:sz w:val="20"/>
          <w:szCs w:val="20"/>
          <w:lang w:val="es-ES" w:eastAsia="es-CR"/>
        </w:rPr>
        <w:t>El comunicado de prensa que emita la Cancillería</w:t>
      </w:r>
      <w:r w:rsidRPr="00A10C7B">
        <w:rPr>
          <w:rFonts w:asciiTheme="majorHAnsi" w:hAnsiTheme="majorHAnsi"/>
          <w:sz w:val="20"/>
          <w:szCs w:val="20"/>
          <w:lang w:val="es-ES" w:eastAsia="ar-SA"/>
        </w:rPr>
        <w:t xml:space="preserve"> en relación con el caso 12.942 </w:t>
      </w:r>
      <w:r w:rsidRPr="00A10C7B">
        <w:rPr>
          <w:rFonts w:asciiTheme="majorHAnsi" w:hAnsiTheme="majorHAnsi"/>
          <w:sz w:val="20"/>
          <w:szCs w:val="20"/>
          <w:lang w:val="es-ES"/>
        </w:rPr>
        <w:t>será publicado en el sitio web del Ministerio de Relaciones Exteriores y Culto, del Ministerio de Vivienda y Asentamientos Humanos, y será circulado a los medios de prensa, así como en redes sociales.</w:t>
      </w:r>
    </w:p>
    <w:p w:rsidR="009C6039" w:rsidRPr="00A10C7B" w:rsidRDefault="009C6039" w:rsidP="00B74185">
      <w:pPr>
        <w:tabs>
          <w:tab w:val="left" w:pos="8640"/>
        </w:tabs>
        <w:ind w:left="720" w:right="720"/>
        <w:jc w:val="both"/>
        <w:rPr>
          <w:rFonts w:asciiTheme="majorHAnsi" w:hAnsiTheme="majorHAnsi"/>
          <w:sz w:val="20"/>
          <w:szCs w:val="20"/>
          <w:lang w:val="es-ES"/>
        </w:rPr>
      </w:pPr>
      <w:r w:rsidRPr="00A10C7B">
        <w:rPr>
          <w:rFonts w:asciiTheme="majorHAnsi" w:hAnsiTheme="majorHAnsi"/>
          <w:sz w:val="20"/>
          <w:szCs w:val="20"/>
          <w:lang w:val="es-ES"/>
        </w:rPr>
        <w:t>Las partes llegaron al Acuerdo que se incluye en el presente documento.</w:t>
      </w:r>
    </w:p>
    <w:p w:rsidR="009C6039" w:rsidRPr="00A10C7B" w:rsidRDefault="009C6039" w:rsidP="00B74185">
      <w:pPr>
        <w:tabs>
          <w:tab w:val="left" w:pos="8640"/>
        </w:tabs>
        <w:ind w:left="720" w:right="720"/>
        <w:jc w:val="both"/>
        <w:rPr>
          <w:rFonts w:asciiTheme="majorHAnsi" w:hAnsiTheme="majorHAnsi"/>
          <w:sz w:val="20"/>
          <w:szCs w:val="20"/>
          <w:lang w:val="es-ES"/>
        </w:rPr>
      </w:pPr>
    </w:p>
    <w:p w:rsidR="009C6039" w:rsidRPr="00A10C7B" w:rsidRDefault="009C6039" w:rsidP="00B74185">
      <w:pPr>
        <w:keepNext/>
        <w:keepLines/>
        <w:tabs>
          <w:tab w:val="left" w:pos="8640"/>
        </w:tabs>
        <w:ind w:left="720" w:right="720"/>
        <w:jc w:val="center"/>
        <w:outlineLvl w:val="0"/>
        <w:rPr>
          <w:rFonts w:asciiTheme="majorHAnsi" w:hAnsiTheme="majorHAnsi"/>
          <w:b/>
          <w:sz w:val="20"/>
          <w:szCs w:val="20"/>
          <w:lang w:val="es-ES"/>
        </w:rPr>
      </w:pPr>
      <w:r w:rsidRPr="00A10C7B">
        <w:rPr>
          <w:rFonts w:asciiTheme="majorHAnsi" w:hAnsiTheme="majorHAnsi"/>
          <w:b/>
          <w:sz w:val="20"/>
          <w:szCs w:val="20"/>
          <w:lang w:val="es-ES"/>
        </w:rPr>
        <w:lastRenderedPageBreak/>
        <w:t>Marco de Obligaciones del Estado costarricense.</w:t>
      </w:r>
    </w:p>
    <w:p w:rsidR="00394AF3" w:rsidRPr="00A10C7B" w:rsidRDefault="00394AF3" w:rsidP="00B74185">
      <w:pPr>
        <w:keepNext/>
        <w:keepLines/>
        <w:tabs>
          <w:tab w:val="left" w:pos="8640"/>
        </w:tabs>
        <w:ind w:left="720" w:right="720"/>
        <w:jc w:val="center"/>
        <w:outlineLvl w:val="0"/>
        <w:rPr>
          <w:rFonts w:asciiTheme="majorHAnsi" w:hAnsiTheme="majorHAnsi"/>
          <w:b/>
          <w:sz w:val="20"/>
          <w:szCs w:val="20"/>
          <w:lang w:val="es-ES"/>
        </w:rPr>
      </w:pPr>
    </w:p>
    <w:p w:rsidR="009C6039" w:rsidRPr="00A10C7B" w:rsidRDefault="009C6039" w:rsidP="00B74185">
      <w:pPr>
        <w:tabs>
          <w:tab w:val="left" w:pos="8640"/>
        </w:tabs>
        <w:ind w:left="720" w:right="720"/>
        <w:jc w:val="both"/>
        <w:rPr>
          <w:rFonts w:asciiTheme="majorHAnsi" w:hAnsiTheme="majorHAnsi"/>
          <w:sz w:val="20"/>
          <w:szCs w:val="20"/>
          <w:lang w:val="es-CO"/>
        </w:rPr>
      </w:pPr>
      <w:r w:rsidRPr="00A10C7B">
        <w:rPr>
          <w:rFonts w:asciiTheme="majorHAnsi" w:hAnsiTheme="majorHAnsi"/>
          <w:sz w:val="20"/>
          <w:szCs w:val="20"/>
          <w:lang w:val="es-ES"/>
        </w:rPr>
        <w:t xml:space="preserve">El artículo 7 de la Constitución Política de Costa Rica estipula que los tratados internacionales tienen rango superior a las leyes. Además, la jurisprudencia constitucional ha establecido que los tratados internacionales en materia de derechos humanos, en la medida en que puedan brindar más garantías a las personas, tienen rango superior a la Constitución Política. </w:t>
      </w:r>
      <w:r w:rsidRPr="00A10C7B">
        <w:rPr>
          <w:rFonts w:asciiTheme="majorHAnsi" w:hAnsiTheme="majorHAnsi"/>
          <w:sz w:val="20"/>
          <w:szCs w:val="20"/>
          <w:lang w:val="es-CO"/>
        </w:rPr>
        <w:t>En este sentido, al haber ratificado los instrumentos interamericanos e internacionales de derechos humanos, el Estado costarricense ha incorporado dentro del contenido de su ordenamiento jurídico las disposiciones de la Convención Americana sobre Derechos Humanos</w:t>
      </w:r>
      <w:r w:rsidRPr="00A10C7B">
        <w:rPr>
          <w:rFonts w:asciiTheme="majorHAnsi" w:hAnsiTheme="majorHAnsi"/>
          <w:sz w:val="20"/>
          <w:szCs w:val="20"/>
          <w:vertAlign w:val="superscript"/>
          <w:lang w:val="es-CO"/>
        </w:rPr>
        <w:footnoteReference w:id="8"/>
      </w:r>
      <w:r w:rsidRPr="00A10C7B">
        <w:rPr>
          <w:rFonts w:asciiTheme="majorHAnsi" w:hAnsiTheme="majorHAnsi"/>
          <w:sz w:val="20"/>
          <w:szCs w:val="20"/>
          <w:lang w:val="es-CO"/>
        </w:rPr>
        <w:t>, y otros instrumentos internacionales e interamericanos ratificados por el Estado.</w:t>
      </w:r>
    </w:p>
    <w:p w:rsidR="00394AF3" w:rsidRPr="00A10C7B" w:rsidRDefault="00394AF3" w:rsidP="00B74185">
      <w:pPr>
        <w:tabs>
          <w:tab w:val="left" w:pos="8640"/>
        </w:tabs>
        <w:ind w:left="720" w:right="720"/>
        <w:jc w:val="both"/>
        <w:rPr>
          <w:rFonts w:asciiTheme="majorHAnsi" w:hAnsiTheme="majorHAnsi"/>
          <w:sz w:val="20"/>
          <w:szCs w:val="20"/>
          <w:lang w:val="es-CO"/>
        </w:rPr>
      </w:pPr>
    </w:p>
    <w:p w:rsidR="009C6039" w:rsidRPr="00A10C7B" w:rsidRDefault="009C6039" w:rsidP="00B74185">
      <w:pPr>
        <w:tabs>
          <w:tab w:val="left" w:pos="8640"/>
        </w:tabs>
        <w:ind w:left="720" w:right="720"/>
        <w:jc w:val="both"/>
        <w:rPr>
          <w:rFonts w:asciiTheme="majorHAnsi" w:hAnsiTheme="majorHAnsi"/>
          <w:sz w:val="20"/>
          <w:szCs w:val="20"/>
          <w:lang w:val="es-CO"/>
        </w:rPr>
      </w:pPr>
      <w:r w:rsidRPr="00A10C7B">
        <w:rPr>
          <w:rFonts w:asciiTheme="majorHAnsi" w:hAnsiTheme="majorHAnsi"/>
          <w:sz w:val="20"/>
          <w:szCs w:val="20"/>
          <w:lang w:val="es-CO"/>
        </w:rPr>
        <w:t>Asimismo, estas disposiciones interamericanas y las interpretaciones que de éstas haga la Corte Interamericana de Derechos Humanos (Corte IDH) y la CIDH –órganos encargados de su supervisión- hacen parte del marco de obligaciones del Estado de Costa Rica</w:t>
      </w:r>
      <w:r w:rsidRPr="00A10C7B">
        <w:rPr>
          <w:rFonts w:asciiTheme="majorHAnsi" w:hAnsiTheme="majorHAnsi"/>
          <w:sz w:val="20"/>
          <w:szCs w:val="20"/>
          <w:vertAlign w:val="superscript"/>
          <w:lang w:val="es-CO"/>
        </w:rPr>
        <w:footnoteReference w:id="9"/>
      </w:r>
      <w:r w:rsidRPr="00A10C7B">
        <w:rPr>
          <w:rFonts w:asciiTheme="majorHAnsi" w:hAnsiTheme="majorHAnsi"/>
          <w:sz w:val="20"/>
          <w:szCs w:val="20"/>
          <w:lang w:val="es-CO"/>
        </w:rPr>
        <w:t xml:space="preserve">. Concretamente, la Corte IDH, ha establecido que: </w:t>
      </w:r>
    </w:p>
    <w:p w:rsidR="00394AF3" w:rsidRPr="00A10C7B" w:rsidRDefault="00394AF3" w:rsidP="00B74185">
      <w:pPr>
        <w:tabs>
          <w:tab w:val="left" w:pos="8640"/>
        </w:tabs>
        <w:ind w:left="720" w:right="720"/>
        <w:jc w:val="both"/>
        <w:rPr>
          <w:rFonts w:asciiTheme="majorHAnsi" w:hAnsiTheme="majorHAnsi"/>
          <w:sz w:val="20"/>
          <w:szCs w:val="20"/>
          <w:lang w:val="es-CO"/>
        </w:rPr>
      </w:pPr>
    </w:p>
    <w:p w:rsidR="009C6039" w:rsidRPr="00A10C7B" w:rsidRDefault="009C6039" w:rsidP="00B74185">
      <w:pPr>
        <w:tabs>
          <w:tab w:val="left" w:pos="8640"/>
        </w:tabs>
        <w:ind w:left="720" w:right="720"/>
        <w:jc w:val="both"/>
        <w:rPr>
          <w:rFonts w:asciiTheme="majorHAnsi" w:hAnsiTheme="majorHAnsi"/>
          <w:sz w:val="20"/>
          <w:szCs w:val="20"/>
          <w:lang w:val="es-ES"/>
        </w:rPr>
      </w:pPr>
      <w:r w:rsidRPr="00A10C7B">
        <w:rPr>
          <w:rFonts w:asciiTheme="majorHAnsi" w:hAnsiTheme="majorHAnsi"/>
          <w:sz w:val="20"/>
          <w:szCs w:val="20"/>
          <w:lang w:val="es-ES"/>
        </w:rPr>
        <w:t>“</w:t>
      </w:r>
      <w:r w:rsidRPr="00A10C7B">
        <w:rPr>
          <w:rFonts w:asciiTheme="majorHAnsi" w:hAnsiTheme="majorHAnsi"/>
          <w:i/>
          <w:sz w:val="20"/>
          <w:szCs w:val="20"/>
          <w:lang w:val="es-ES"/>
        </w:rPr>
        <w:t>cuando un Estado es parte de tratados internacionales como la Convención Americana sobre Derechos Humanos, la Convención Interamericana sobre Desaparición Forzada, la Convención Interamericana para Prevenir y Sancionar la Tortura y la Convención Belém do Pará, dichos tratados obligan a todos sus órganos […], cuyos miembros deben velar por que los efectos de las disposiciones de dichos tratados no se vean mermados por la aplicación de normas o interpretaciones contrarias a su objeto y fin</w:t>
      </w:r>
      <w:r w:rsidRPr="00A10C7B">
        <w:rPr>
          <w:rFonts w:asciiTheme="majorHAnsi" w:hAnsiTheme="majorHAnsi"/>
          <w:i/>
          <w:sz w:val="20"/>
          <w:szCs w:val="20"/>
          <w:vertAlign w:val="superscript"/>
        </w:rPr>
        <w:footnoteReference w:id="10"/>
      </w:r>
      <w:r w:rsidRPr="00A10C7B">
        <w:rPr>
          <w:rFonts w:asciiTheme="majorHAnsi" w:hAnsiTheme="majorHAnsi"/>
          <w:i/>
          <w:sz w:val="20"/>
          <w:szCs w:val="20"/>
          <w:lang w:val="es-ES"/>
        </w:rPr>
        <w:t>.</w:t>
      </w:r>
      <w:r w:rsidRPr="00A10C7B">
        <w:rPr>
          <w:rFonts w:asciiTheme="majorHAnsi" w:hAnsiTheme="majorHAnsi"/>
          <w:sz w:val="20"/>
          <w:szCs w:val="20"/>
          <w:lang w:val="es-ES"/>
        </w:rPr>
        <w:t xml:space="preserve"> </w:t>
      </w:r>
    </w:p>
    <w:p w:rsidR="00394AF3" w:rsidRPr="00A10C7B" w:rsidRDefault="00394AF3" w:rsidP="00B74185">
      <w:pPr>
        <w:tabs>
          <w:tab w:val="left" w:pos="8640"/>
        </w:tabs>
        <w:ind w:left="720" w:right="720"/>
        <w:jc w:val="both"/>
        <w:rPr>
          <w:rFonts w:asciiTheme="majorHAnsi" w:hAnsiTheme="majorHAnsi"/>
          <w:sz w:val="20"/>
          <w:szCs w:val="20"/>
          <w:lang w:val="es-CO"/>
        </w:rPr>
      </w:pPr>
    </w:p>
    <w:p w:rsidR="009C6039" w:rsidRPr="00A10C7B" w:rsidRDefault="009C6039" w:rsidP="00B74185">
      <w:pPr>
        <w:tabs>
          <w:tab w:val="left" w:pos="8640"/>
        </w:tabs>
        <w:ind w:left="720" w:right="720"/>
        <w:jc w:val="both"/>
        <w:rPr>
          <w:rFonts w:asciiTheme="majorHAnsi" w:hAnsiTheme="majorHAnsi"/>
          <w:sz w:val="20"/>
          <w:szCs w:val="20"/>
          <w:lang w:val="es-ES"/>
        </w:rPr>
      </w:pPr>
      <w:r w:rsidRPr="00A10C7B">
        <w:rPr>
          <w:rFonts w:asciiTheme="majorHAnsi" w:hAnsiTheme="majorHAnsi"/>
          <w:sz w:val="20"/>
          <w:szCs w:val="20"/>
          <w:lang w:val="es-ES"/>
        </w:rPr>
        <w:t xml:space="preserve">Costa Rica ha sido un Estado históricamente comprometido no solamente con sus obligaciones internacionales generales sino especialmente con el ordenamiento jurídico interamericano. Ha existido en el país una paulatina evolución en el control de convencionalidad y es cada vez una práctica más frecuente que las instancias jurisdiccionales respondan de manera consistente con los estándares interamericanos e internacionales. </w:t>
      </w:r>
    </w:p>
    <w:p w:rsidR="00394AF3" w:rsidRPr="00A10C7B" w:rsidRDefault="00394AF3" w:rsidP="00B74185">
      <w:pPr>
        <w:tabs>
          <w:tab w:val="left" w:pos="8640"/>
        </w:tabs>
        <w:ind w:left="720" w:right="720"/>
        <w:jc w:val="both"/>
        <w:rPr>
          <w:rFonts w:asciiTheme="majorHAnsi" w:hAnsiTheme="majorHAnsi"/>
          <w:sz w:val="20"/>
          <w:szCs w:val="20"/>
          <w:lang w:val="es-ES"/>
        </w:rPr>
      </w:pPr>
    </w:p>
    <w:p w:rsidR="009C6039" w:rsidRPr="00A10C7B" w:rsidRDefault="009C6039" w:rsidP="00B74185">
      <w:pPr>
        <w:tabs>
          <w:tab w:val="left" w:pos="8640"/>
        </w:tabs>
        <w:ind w:left="720" w:right="720"/>
        <w:jc w:val="both"/>
        <w:rPr>
          <w:rFonts w:asciiTheme="majorHAnsi" w:hAnsiTheme="majorHAnsi"/>
          <w:sz w:val="20"/>
          <w:szCs w:val="20"/>
          <w:lang w:val="es-ES"/>
        </w:rPr>
      </w:pPr>
      <w:r w:rsidRPr="00A10C7B">
        <w:rPr>
          <w:rFonts w:asciiTheme="majorHAnsi" w:hAnsiTheme="majorHAnsi"/>
          <w:sz w:val="20"/>
          <w:szCs w:val="20"/>
          <w:lang w:val="es-ES" w:eastAsia="es-ES"/>
        </w:rPr>
        <w:t xml:space="preserve">En razón de lo explicado </w:t>
      </w:r>
      <w:r w:rsidRPr="00A10C7B">
        <w:rPr>
          <w:rFonts w:asciiTheme="majorHAnsi" w:hAnsiTheme="majorHAnsi"/>
          <w:i/>
          <w:sz w:val="20"/>
          <w:szCs w:val="20"/>
          <w:lang w:val="es-ES" w:eastAsia="es-ES"/>
        </w:rPr>
        <w:t>supra</w:t>
      </w:r>
      <w:r w:rsidRPr="00A10C7B">
        <w:rPr>
          <w:rFonts w:asciiTheme="majorHAnsi" w:hAnsiTheme="majorHAnsi"/>
          <w:sz w:val="20"/>
          <w:szCs w:val="20"/>
          <w:lang w:val="es-ES" w:eastAsia="es-ES"/>
        </w:rPr>
        <w:t xml:space="preserve">, </w:t>
      </w:r>
      <w:r w:rsidRPr="00A10C7B">
        <w:rPr>
          <w:rFonts w:asciiTheme="majorHAnsi" w:hAnsiTheme="majorHAnsi"/>
          <w:sz w:val="20"/>
          <w:szCs w:val="20"/>
          <w:lang w:val="es-ES"/>
        </w:rPr>
        <w:t>es importante singularizar las disposiciones de la Convención Americana sobre Derechos Humanos que conforman el marco de obligaciones del Estado en la presente solución amistosa:</w:t>
      </w:r>
    </w:p>
    <w:p w:rsidR="009C6039" w:rsidRPr="00A10C7B" w:rsidRDefault="009C6039" w:rsidP="00B74185">
      <w:pPr>
        <w:tabs>
          <w:tab w:val="left" w:pos="8640"/>
        </w:tabs>
        <w:ind w:left="720" w:right="720"/>
        <w:jc w:val="both"/>
        <w:rPr>
          <w:rFonts w:asciiTheme="majorHAnsi" w:hAnsiTheme="majorHAnsi"/>
          <w:sz w:val="20"/>
          <w:szCs w:val="20"/>
          <w:lang w:val="es-ES"/>
        </w:rPr>
      </w:pPr>
    </w:p>
    <w:p w:rsidR="009C6039" w:rsidRPr="00A10C7B" w:rsidRDefault="009C6039" w:rsidP="00B74185">
      <w:pPr>
        <w:tabs>
          <w:tab w:val="left" w:pos="8640"/>
        </w:tabs>
        <w:ind w:left="720" w:right="720"/>
        <w:jc w:val="both"/>
        <w:rPr>
          <w:rFonts w:asciiTheme="majorHAnsi" w:hAnsiTheme="majorHAnsi"/>
          <w:sz w:val="20"/>
          <w:szCs w:val="20"/>
          <w:lang w:val="es-ES"/>
        </w:rPr>
      </w:pPr>
      <w:r w:rsidRPr="00A10C7B">
        <w:rPr>
          <w:rFonts w:asciiTheme="majorHAnsi" w:hAnsiTheme="majorHAnsi"/>
          <w:sz w:val="20"/>
          <w:szCs w:val="20"/>
          <w:lang w:val="es-ES"/>
        </w:rPr>
        <w:t>El artículo 5 de la CADH, específicamente: Derecho a la Integridad Personal.</w:t>
      </w:r>
    </w:p>
    <w:p w:rsidR="009C6039" w:rsidRPr="00A10C7B" w:rsidRDefault="009C6039" w:rsidP="004E4AEB">
      <w:pPr>
        <w:tabs>
          <w:tab w:val="left" w:pos="1080"/>
          <w:tab w:val="left" w:pos="8640"/>
        </w:tabs>
        <w:ind w:left="720" w:right="720"/>
        <w:jc w:val="both"/>
        <w:rPr>
          <w:rFonts w:asciiTheme="majorHAnsi" w:hAnsiTheme="majorHAnsi"/>
          <w:sz w:val="20"/>
          <w:szCs w:val="20"/>
          <w:lang w:val="es-ES"/>
        </w:rPr>
      </w:pPr>
    </w:p>
    <w:p w:rsidR="009C6039" w:rsidRPr="00A10C7B" w:rsidRDefault="009C6039" w:rsidP="004E4AE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080"/>
          <w:tab w:val="left" w:pos="8640"/>
        </w:tabs>
        <w:suppressAutoHyphens/>
        <w:ind w:right="720" w:firstLine="0"/>
        <w:contextualSpacing/>
        <w:jc w:val="both"/>
        <w:rPr>
          <w:rFonts w:asciiTheme="majorHAnsi" w:hAnsiTheme="majorHAnsi"/>
          <w:i/>
          <w:spacing w:val="-3"/>
          <w:sz w:val="20"/>
          <w:szCs w:val="20"/>
          <w:lang w:val="es-ES"/>
        </w:rPr>
      </w:pPr>
      <w:r w:rsidRPr="00A10C7B">
        <w:rPr>
          <w:rFonts w:asciiTheme="majorHAnsi" w:hAnsiTheme="majorHAnsi"/>
          <w:i/>
          <w:spacing w:val="-3"/>
          <w:sz w:val="20"/>
          <w:szCs w:val="20"/>
          <w:lang w:val="es-ES"/>
        </w:rPr>
        <w:t>Toda persona tiene derecho a que se respete su integridad física, psíquica y moral.</w:t>
      </w:r>
    </w:p>
    <w:p w:rsidR="009C6039" w:rsidRPr="00A10C7B" w:rsidRDefault="009C6039" w:rsidP="004E4AE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080"/>
          <w:tab w:val="left" w:pos="8640"/>
        </w:tabs>
        <w:suppressAutoHyphens/>
        <w:snapToGrid w:val="0"/>
        <w:ind w:right="720" w:firstLine="0"/>
        <w:contextualSpacing/>
        <w:jc w:val="both"/>
        <w:rPr>
          <w:rFonts w:asciiTheme="majorHAnsi" w:hAnsiTheme="majorHAnsi"/>
          <w:i/>
          <w:spacing w:val="-3"/>
          <w:sz w:val="20"/>
          <w:szCs w:val="20"/>
          <w:lang w:val="es-ES"/>
        </w:rPr>
      </w:pPr>
      <w:r w:rsidRPr="00A10C7B">
        <w:rPr>
          <w:rFonts w:asciiTheme="majorHAnsi" w:hAnsiTheme="majorHAnsi"/>
          <w:i/>
          <w:spacing w:val="-3"/>
          <w:sz w:val="20"/>
          <w:szCs w:val="20"/>
          <w:lang w:val="es-ES"/>
        </w:rPr>
        <w:t>Nadie debe ser sometido a torturas ni a penas o tratos crueles, inhumanos o degradantes. Toda persona privada de libertad será tratada con el respeto debido a la dignidad inherente al ser humano.</w:t>
      </w:r>
    </w:p>
    <w:p w:rsidR="009C6039" w:rsidRPr="00A10C7B" w:rsidRDefault="009C6039" w:rsidP="004E4AEB">
      <w:pPr>
        <w:tabs>
          <w:tab w:val="left" w:pos="360"/>
          <w:tab w:val="left" w:pos="1080"/>
          <w:tab w:val="left" w:pos="8640"/>
        </w:tabs>
        <w:suppressAutoHyphens/>
        <w:snapToGrid w:val="0"/>
        <w:ind w:left="720" w:right="720"/>
        <w:contextualSpacing/>
        <w:jc w:val="both"/>
        <w:rPr>
          <w:rFonts w:asciiTheme="majorHAnsi" w:hAnsiTheme="majorHAnsi"/>
          <w:i/>
          <w:spacing w:val="-3"/>
          <w:sz w:val="20"/>
          <w:szCs w:val="20"/>
          <w:lang w:val="es-ES"/>
        </w:rPr>
      </w:pPr>
    </w:p>
    <w:p w:rsidR="009C6039" w:rsidRPr="00A10C7B" w:rsidRDefault="009C6039" w:rsidP="004E4AEB">
      <w:pPr>
        <w:tabs>
          <w:tab w:val="left" w:pos="1080"/>
          <w:tab w:val="left" w:pos="8640"/>
        </w:tabs>
        <w:ind w:left="720" w:right="720"/>
        <w:jc w:val="both"/>
        <w:rPr>
          <w:rFonts w:asciiTheme="majorHAnsi" w:hAnsiTheme="majorHAnsi"/>
          <w:spacing w:val="-3"/>
          <w:sz w:val="20"/>
          <w:szCs w:val="20"/>
          <w:lang w:val="es-ES"/>
        </w:rPr>
      </w:pPr>
      <w:r w:rsidRPr="00A10C7B">
        <w:rPr>
          <w:rFonts w:asciiTheme="majorHAnsi" w:hAnsiTheme="majorHAnsi"/>
          <w:sz w:val="20"/>
          <w:szCs w:val="20"/>
          <w:lang w:val="es-ES"/>
        </w:rPr>
        <w:t>De igual forma, el artículo 8 de la CADH, específicamente:</w:t>
      </w:r>
      <w:r w:rsidRPr="00A10C7B">
        <w:rPr>
          <w:rFonts w:asciiTheme="majorHAnsi" w:hAnsiTheme="majorHAnsi"/>
          <w:spacing w:val="-3"/>
          <w:sz w:val="20"/>
          <w:szCs w:val="20"/>
          <w:lang w:val="es-ES"/>
        </w:rPr>
        <w:t xml:space="preserve"> Garantías Judiciales.</w:t>
      </w:r>
    </w:p>
    <w:p w:rsidR="009C6039" w:rsidRPr="00A10C7B" w:rsidRDefault="009C6039" w:rsidP="004E4AEB">
      <w:pPr>
        <w:tabs>
          <w:tab w:val="left" w:pos="1080"/>
          <w:tab w:val="left" w:pos="8640"/>
        </w:tabs>
        <w:ind w:left="720" w:right="720"/>
        <w:jc w:val="both"/>
        <w:rPr>
          <w:rFonts w:asciiTheme="majorHAnsi" w:hAnsiTheme="majorHAnsi"/>
          <w:i/>
          <w:sz w:val="20"/>
          <w:szCs w:val="20"/>
          <w:lang w:val="es-ES"/>
        </w:rPr>
      </w:pPr>
    </w:p>
    <w:p w:rsidR="009C6039" w:rsidRPr="00A10C7B" w:rsidRDefault="009C6039" w:rsidP="004E4AE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080"/>
          <w:tab w:val="left" w:pos="8640"/>
        </w:tabs>
        <w:suppressAutoHyphens/>
        <w:ind w:right="720" w:firstLine="0"/>
        <w:contextualSpacing/>
        <w:jc w:val="both"/>
        <w:rPr>
          <w:rFonts w:asciiTheme="majorHAnsi" w:hAnsiTheme="majorHAnsi"/>
          <w:sz w:val="20"/>
          <w:szCs w:val="20"/>
          <w:lang w:val="es-ES"/>
        </w:rPr>
      </w:pPr>
      <w:r w:rsidRPr="00A10C7B">
        <w:rPr>
          <w:rFonts w:asciiTheme="majorHAnsi" w:hAnsiTheme="majorHAnsi"/>
          <w:i/>
          <w:spacing w:val="-3"/>
          <w:sz w:val="20"/>
          <w:szCs w:val="20"/>
          <w:lang w:val="es-ES"/>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rsidR="009C6039" w:rsidRPr="00A10C7B" w:rsidRDefault="009C6039" w:rsidP="00B74185">
      <w:pPr>
        <w:tabs>
          <w:tab w:val="left" w:pos="360"/>
          <w:tab w:val="left" w:pos="8640"/>
        </w:tabs>
        <w:suppressAutoHyphens/>
        <w:ind w:left="720" w:right="720"/>
        <w:contextualSpacing/>
        <w:jc w:val="both"/>
        <w:rPr>
          <w:rFonts w:asciiTheme="majorHAnsi" w:hAnsiTheme="majorHAnsi"/>
          <w:sz w:val="20"/>
          <w:szCs w:val="20"/>
          <w:lang w:val="es-ES"/>
        </w:rPr>
      </w:pPr>
    </w:p>
    <w:p w:rsidR="009C6039" w:rsidRPr="00A10C7B" w:rsidRDefault="009C6039" w:rsidP="00B74185">
      <w:pPr>
        <w:tabs>
          <w:tab w:val="left" w:pos="360"/>
          <w:tab w:val="left" w:pos="8640"/>
        </w:tabs>
        <w:ind w:left="720" w:right="720"/>
        <w:jc w:val="both"/>
        <w:rPr>
          <w:rFonts w:asciiTheme="majorHAnsi" w:eastAsia="Times New Roman" w:hAnsiTheme="majorHAnsi"/>
          <w:sz w:val="20"/>
          <w:szCs w:val="20"/>
          <w:lang w:val="es-ES"/>
        </w:rPr>
      </w:pPr>
      <w:r w:rsidRPr="00A10C7B">
        <w:rPr>
          <w:rFonts w:asciiTheme="majorHAnsi" w:hAnsiTheme="majorHAnsi"/>
          <w:sz w:val="20"/>
          <w:szCs w:val="20"/>
          <w:lang w:val="es-ES"/>
        </w:rPr>
        <w:t>Asimismo</w:t>
      </w:r>
      <w:r w:rsidRPr="00A10C7B">
        <w:rPr>
          <w:rFonts w:asciiTheme="majorHAnsi" w:eastAsia="Times New Roman" w:hAnsiTheme="majorHAnsi"/>
          <w:sz w:val="20"/>
          <w:szCs w:val="20"/>
          <w:lang w:val="es-ES"/>
        </w:rPr>
        <w:t>, el artículo 19</w:t>
      </w:r>
      <w:r w:rsidRPr="00A10C7B">
        <w:rPr>
          <w:rFonts w:asciiTheme="majorHAnsi" w:hAnsiTheme="majorHAnsi"/>
          <w:sz w:val="20"/>
          <w:szCs w:val="20"/>
          <w:lang w:val="es-ES"/>
        </w:rPr>
        <w:t xml:space="preserve"> de la CADH</w:t>
      </w:r>
      <w:r w:rsidRPr="00A10C7B">
        <w:rPr>
          <w:rFonts w:asciiTheme="majorHAnsi" w:eastAsia="Times New Roman" w:hAnsiTheme="majorHAnsi"/>
          <w:sz w:val="20"/>
          <w:szCs w:val="20"/>
          <w:lang w:val="es-ES"/>
        </w:rPr>
        <w:t>,</w:t>
      </w:r>
      <w:r w:rsidRPr="00A10C7B">
        <w:rPr>
          <w:rFonts w:asciiTheme="majorHAnsi" w:hAnsiTheme="majorHAnsi"/>
          <w:sz w:val="20"/>
          <w:szCs w:val="20"/>
          <w:lang w:val="es-ES"/>
        </w:rPr>
        <w:t xml:space="preserve"> específicamente:</w:t>
      </w:r>
      <w:r w:rsidRPr="00A10C7B">
        <w:rPr>
          <w:rFonts w:asciiTheme="majorHAnsi" w:eastAsia="Times New Roman" w:hAnsiTheme="majorHAnsi"/>
          <w:sz w:val="20"/>
          <w:szCs w:val="20"/>
          <w:lang w:val="es-ES"/>
        </w:rPr>
        <w:t xml:space="preserve"> Derechos del Niño.</w:t>
      </w:r>
    </w:p>
    <w:p w:rsidR="009C6039" w:rsidRPr="00A10C7B" w:rsidRDefault="009C6039" w:rsidP="00B74185">
      <w:pPr>
        <w:tabs>
          <w:tab w:val="left" w:pos="360"/>
          <w:tab w:val="left" w:pos="8640"/>
        </w:tabs>
        <w:ind w:left="720" w:right="720"/>
        <w:jc w:val="both"/>
        <w:rPr>
          <w:rFonts w:asciiTheme="majorHAnsi" w:eastAsia="Times New Roman" w:hAnsiTheme="majorHAnsi"/>
          <w:sz w:val="20"/>
          <w:szCs w:val="20"/>
          <w:lang w:val="es-ES"/>
        </w:rPr>
      </w:pPr>
    </w:p>
    <w:p w:rsidR="009C6039" w:rsidRPr="00A10C7B" w:rsidRDefault="009C6039" w:rsidP="00B74185">
      <w:pPr>
        <w:tabs>
          <w:tab w:val="left" w:pos="8640"/>
        </w:tabs>
        <w:suppressAutoHyphens/>
        <w:ind w:left="720" w:right="720"/>
        <w:jc w:val="both"/>
        <w:rPr>
          <w:rFonts w:asciiTheme="majorHAnsi" w:eastAsia="Times New Roman" w:hAnsiTheme="majorHAnsi"/>
          <w:i/>
          <w:spacing w:val="-3"/>
          <w:sz w:val="20"/>
          <w:szCs w:val="20"/>
          <w:lang w:val="es-ES"/>
        </w:rPr>
      </w:pPr>
      <w:r w:rsidRPr="00A10C7B">
        <w:rPr>
          <w:rFonts w:asciiTheme="majorHAnsi" w:eastAsia="Times New Roman" w:hAnsiTheme="majorHAnsi"/>
          <w:i/>
          <w:spacing w:val="-3"/>
          <w:sz w:val="20"/>
          <w:szCs w:val="20"/>
          <w:lang w:val="es-ES"/>
        </w:rPr>
        <w:lastRenderedPageBreak/>
        <w:t>Todo niño tiene derecho a las medidas de protección que su condición de menor requieren por parte de su familia, de la sociedad y del Estado.</w:t>
      </w:r>
    </w:p>
    <w:p w:rsidR="009C6039" w:rsidRPr="00A10C7B" w:rsidRDefault="009C6039" w:rsidP="00B74185">
      <w:pPr>
        <w:tabs>
          <w:tab w:val="left" w:pos="8640"/>
        </w:tabs>
        <w:suppressAutoHyphens/>
        <w:ind w:left="720" w:right="720"/>
        <w:jc w:val="both"/>
        <w:rPr>
          <w:rFonts w:asciiTheme="majorHAnsi" w:eastAsia="Times New Roman" w:hAnsiTheme="majorHAnsi"/>
          <w:i/>
          <w:spacing w:val="-3"/>
          <w:sz w:val="20"/>
          <w:szCs w:val="20"/>
          <w:lang w:val="es-ES"/>
        </w:rPr>
      </w:pPr>
    </w:p>
    <w:p w:rsidR="009C6039" w:rsidRPr="00A10C7B" w:rsidRDefault="009C6039" w:rsidP="00B74185">
      <w:pPr>
        <w:tabs>
          <w:tab w:val="left" w:pos="360"/>
          <w:tab w:val="left" w:pos="8640"/>
        </w:tabs>
        <w:suppressAutoHyphens/>
        <w:ind w:left="720" w:right="720"/>
        <w:jc w:val="both"/>
        <w:rPr>
          <w:rFonts w:asciiTheme="majorHAnsi" w:hAnsiTheme="majorHAnsi"/>
          <w:sz w:val="20"/>
          <w:szCs w:val="20"/>
          <w:lang w:val="es-ES"/>
        </w:rPr>
      </w:pPr>
      <w:r w:rsidRPr="00A10C7B">
        <w:rPr>
          <w:rFonts w:asciiTheme="majorHAnsi" w:hAnsiTheme="majorHAnsi"/>
          <w:sz w:val="20"/>
          <w:szCs w:val="20"/>
          <w:lang w:val="es-ES"/>
        </w:rPr>
        <w:t>De igual manera, el artículo 25 de la CADH, específicamente:</w:t>
      </w:r>
      <w:r w:rsidRPr="00A10C7B">
        <w:rPr>
          <w:rFonts w:asciiTheme="majorHAnsi" w:hAnsiTheme="majorHAnsi"/>
          <w:spacing w:val="-3"/>
          <w:sz w:val="20"/>
          <w:szCs w:val="20"/>
          <w:lang w:val="es-ES"/>
        </w:rPr>
        <w:t xml:space="preserve"> </w:t>
      </w:r>
      <w:r w:rsidRPr="00A10C7B">
        <w:rPr>
          <w:rFonts w:asciiTheme="majorHAnsi" w:hAnsiTheme="majorHAnsi"/>
          <w:sz w:val="20"/>
          <w:szCs w:val="20"/>
          <w:lang w:val="es-ES"/>
        </w:rPr>
        <w:t>Protección Judicial.</w:t>
      </w:r>
    </w:p>
    <w:p w:rsidR="009C6039" w:rsidRPr="00A10C7B" w:rsidRDefault="009C6039" w:rsidP="004E4AEB">
      <w:pPr>
        <w:tabs>
          <w:tab w:val="left" w:pos="360"/>
          <w:tab w:val="left" w:pos="1080"/>
          <w:tab w:val="left" w:pos="8640"/>
        </w:tabs>
        <w:suppressAutoHyphens/>
        <w:ind w:left="720" w:right="720"/>
        <w:jc w:val="both"/>
        <w:rPr>
          <w:rFonts w:asciiTheme="majorHAnsi" w:hAnsiTheme="majorHAnsi"/>
          <w:sz w:val="20"/>
          <w:szCs w:val="20"/>
          <w:lang w:val="es-ES"/>
        </w:rPr>
      </w:pPr>
    </w:p>
    <w:p w:rsidR="009C6039" w:rsidRPr="00A10C7B" w:rsidRDefault="009C6039" w:rsidP="004E4AE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080"/>
          <w:tab w:val="left" w:pos="8640"/>
        </w:tabs>
        <w:suppressAutoHyphens/>
        <w:ind w:right="720" w:firstLine="0"/>
        <w:contextualSpacing/>
        <w:jc w:val="both"/>
        <w:rPr>
          <w:rFonts w:asciiTheme="majorHAnsi" w:hAnsiTheme="majorHAnsi"/>
          <w:i/>
          <w:spacing w:val="-3"/>
          <w:sz w:val="20"/>
          <w:szCs w:val="20"/>
          <w:lang w:val="es-ES"/>
        </w:rPr>
      </w:pPr>
      <w:r w:rsidRPr="00A10C7B">
        <w:rPr>
          <w:rFonts w:asciiTheme="majorHAnsi" w:hAnsiTheme="majorHAnsi"/>
          <w:i/>
          <w:spacing w:val="-3"/>
          <w:sz w:val="20"/>
          <w:szCs w:val="20"/>
          <w:lang w:val="es-ES"/>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p w:rsidR="009C6039" w:rsidRPr="00A10C7B" w:rsidRDefault="009C6039" w:rsidP="004E4AEB">
      <w:pPr>
        <w:tabs>
          <w:tab w:val="left" w:pos="360"/>
          <w:tab w:val="left" w:pos="1080"/>
          <w:tab w:val="left" w:pos="8640"/>
        </w:tabs>
        <w:suppressAutoHyphens/>
        <w:ind w:left="720" w:right="720"/>
        <w:contextualSpacing/>
        <w:jc w:val="both"/>
        <w:rPr>
          <w:rFonts w:asciiTheme="majorHAnsi" w:hAnsiTheme="majorHAnsi"/>
          <w:i/>
          <w:spacing w:val="-3"/>
          <w:sz w:val="20"/>
          <w:szCs w:val="20"/>
          <w:lang w:val="es-ES"/>
        </w:rPr>
      </w:pPr>
    </w:p>
    <w:p w:rsidR="009C6039" w:rsidRPr="00A10C7B" w:rsidRDefault="009C6039" w:rsidP="004E4AE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080"/>
          <w:tab w:val="left" w:pos="8640"/>
        </w:tabs>
        <w:suppressAutoHyphens/>
        <w:ind w:right="720" w:firstLine="0"/>
        <w:contextualSpacing/>
        <w:jc w:val="both"/>
        <w:rPr>
          <w:rFonts w:asciiTheme="majorHAnsi" w:hAnsiTheme="majorHAnsi"/>
          <w:i/>
          <w:spacing w:val="-3"/>
          <w:sz w:val="20"/>
          <w:szCs w:val="20"/>
        </w:rPr>
      </w:pPr>
      <w:r w:rsidRPr="00A10C7B">
        <w:rPr>
          <w:rFonts w:asciiTheme="majorHAnsi" w:hAnsiTheme="majorHAnsi"/>
          <w:i/>
          <w:spacing w:val="-3"/>
          <w:sz w:val="20"/>
          <w:szCs w:val="20"/>
        </w:rPr>
        <w:t xml:space="preserve">Los </w:t>
      </w:r>
      <w:proofErr w:type="spellStart"/>
      <w:r w:rsidRPr="00A10C7B">
        <w:rPr>
          <w:rFonts w:asciiTheme="majorHAnsi" w:hAnsiTheme="majorHAnsi"/>
          <w:i/>
          <w:spacing w:val="-3"/>
          <w:sz w:val="20"/>
          <w:szCs w:val="20"/>
        </w:rPr>
        <w:t>Estados</w:t>
      </w:r>
      <w:proofErr w:type="spellEnd"/>
      <w:r w:rsidRPr="00A10C7B">
        <w:rPr>
          <w:rFonts w:asciiTheme="majorHAnsi" w:hAnsiTheme="majorHAnsi"/>
          <w:i/>
          <w:spacing w:val="-3"/>
          <w:sz w:val="20"/>
          <w:szCs w:val="20"/>
        </w:rPr>
        <w:t xml:space="preserve"> </w:t>
      </w:r>
      <w:proofErr w:type="spellStart"/>
      <w:r w:rsidRPr="00A10C7B">
        <w:rPr>
          <w:rFonts w:asciiTheme="majorHAnsi" w:hAnsiTheme="majorHAnsi"/>
          <w:i/>
          <w:spacing w:val="-3"/>
          <w:sz w:val="20"/>
          <w:szCs w:val="20"/>
        </w:rPr>
        <w:t>partes</w:t>
      </w:r>
      <w:proofErr w:type="spellEnd"/>
      <w:r w:rsidRPr="00A10C7B">
        <w:rPr>
          <w:rFonts w:asciiTheme="majorHAnsi" w:hAnsiTheme="majorHAnsi"/>
          <w:i/>
          <w:spacing w:val="-3"/>
          <w:sz w:val="20"/>
          <w:szCs w:val="20"/>
        </w:rPr>
        <w:t xml:space="preserve"> se </w:t>
      </w:r>
      <w:proofErr w:type="spellStart"/>
      <w:r w:rsidRPr="00A10C7B">
        <w:rPr>
          <w:rFonts w:asciiTheme="majorHAnsi" w:hAnsiTheme="majorHAnsi"/>
          <w:i/>
          <w:spacing w:val="-3"/>
          <w:sz w:val="20"/>
          <w:szCs w:val="20"/>
        </w:rPr>
        <w:t>comprometen</w:t>
      </w:r>
      <w:proofErr w:type="spellEnd"/>
      <w:r w:rsidRPr="00A10C7B">
        <w:rPr>
          <w:rFonts w:asciiTheme="majorHAnsi" w:hAnsiTheme="majorHAnsi"/>
          <w:i/>
          <w:spacing w:val="-3"/>
          <w:sz w:val="20"/>
          <w:szCs w:val="20"/>
        </w:rPr>
        <w:t>:</w:t>
      </w:r>
    </w:p>
    <w:p w:rsidR="00394AF3" w:rsidRPr="00A10C7B" w:rsidRDefault="00394AF3" w:rsidP="004E4AE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080"/>
          <w:tab w:val="left" w:pos="8640"/>
        </w:tabs>
        <w:suppressAutoHyphens/>
        <w:ind w:left="720" w:right="720"/>
        <w:contextualSpacing/>
        <w:jc w:val="both"/>
        <w:rPr>
          <w:rFonts w:asciiTheme="majorHAnsi" w:hAnsiTheme="majorHAnsi"/>
          <w:i/>
          <w:spacing w:val="-3"/>
          <w:sz w:val="20"/>
          <w:szCs w:val="20"/>
        </w:rPr>
      </w:pPr>
    </w:p>
    <w:p w:rsidR="009C6039" w:rsidRPr="00A10C7B" w:rsidRDefault="009C6039" w:rsidP="004E4AE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080"/>
          <w:tab w:val="left" w:pos="8640"/>
        </w:tabs>
        <w:suppressAutoHyphens/>
        <w:ind w:left="720" w:right="720" w:firstLine="0"/>
        <w:contextualSpacing/>
        <w:jc w:val="both"/>
        <w:rPr>
          <w:rFonts w:asciiTheme="majorHAnsi" w:hAnsiTheme="majorHAnsi"/>
          <w:i/>
          <w:spacing w:val="-3"/>
          <w:sz w:val="20"/>
          <w:szCs w:val="20"/>
          <w:lang w:val="es-ES"/>
        </w:rPr>
      </w:pPr>
      <w:r w:rsidRPr="00A10C7B">
        <w:rPr>
          <w:rFonts w:asciiTheme="majorHAnsi" w:hAnsiTheme="majorHAnsi"/>
          <w:i/>
          <w:spacing w:val="-3"/>
          <w:sz w:val="20"/>
          <w:szCs w:val="20"/>
          <w:lang w:val="es-ES"/>
        </w:rPr>
        <w:t>a garantizar que la autoridad competente prevista por el sistema legal del Estado decidirá sobre los derechos de toda persona que interponga tal recurso;</w:t>
      </w:r>
    </w:p>
    <w:p w:rsidR="009C6039" w:rsidRPr="00A10C7B" w:rsidRDefault="009C6039" w:rsidP="004E4AE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080"/>
          <w:tab w:val="left" w:pos="8640"/>
        </w:tabs>
        <w:suppressAutoHyphens/>
        <w:ind w:left="720" w:right="720" w:firstLine="0"/>
        <w:contextualSpacing/>
        <w:jc w:val="both"/>
        <w:rPr>
          <w:rFonts w:asciiTheme="majorHAnsi" w:hAnsiTheme="majorHAnsi"/>
          <w:i/>
          <w:spacing w:val="-3"/>
          <w:sz w:val="20"/>
          <w:szCs w:val="20"/>
          <w:lang w:val="es-ES"/>
        </w:rPr>
      </w:pPr>
      <w:r w:rsidRPr="00A10C7B">
        <w:rPr>
          <w:rFonts w:asciiTheme="majorHAnsi" w:hAnsiTheme="majorHAnsi"/>
          <w:i/>
          <w:spacing w:val="-3"/>
          <w:sz w:val="20"/>
          <w:szCs w:val="20"/>
          <w:lang w:val="es-ES"/>
        </w:rPr>
        <w:t>a desarrollar las posibilidades de recurso judicial, y</w:t>
      </w:r>
    </w:p>
    <w:p w:rsidR="009C6039" w:rsidRPr="00A10C7B" w:rsidRDefault="009C6039" w:rsidP="004E4AE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080"/>
          <w:tab w:val="left" w:pos="8640"/>
        </w:tabs>
        <w:suppressAutoHyphens/>
        <w:ind w:left="720" w:right="720" w:firstLine="0"/>
        <w:contextualSpacing/>
        <w:jc w:val="both"/>
        <w:rPr>
          <w:rFonts w:asciiTheme="majorHAnsi" w:hAnsiTheme="majorHAnsi"/>
          <w:i/>
          <w:spacing w:val="-3"/>
          <w:sz w:val="20"/>
          <w:szCs w:val="20"/>
          <w:lang w:val="es-ES"/>
        </w:rPr>
      </w:pPr>
      <w:r w:rsidRPr="00A10C7B">
        <w:rPr>
          <w:rFonts w:asciiTheme="majorHAnsi" w:hAnsiTheme="majorHAnsi"/>
          <w:i/>
          <w:spacing w:val="-3"/>
          <w:sz w:val="20"/>
          <w:szCs w:val="20"/>
          <w:lang w:val="es-ES"/>
        </w:rPr>
        <w:t>a garantizar el cumplimiento, por las autoridades competentes, de toda decisión en que se haya estimado procedente el recurso.</w:t>
      </w:r>
    </w:p>
    <w:p w:rsidR="009C6039" w:rsidRPr="00A10C7B" w:rsidRDefault="009C6039" w:rsidP="004E4AEB">
      <w:pPr>
        <w:tabs>
          <w:tab w:val="left" w:pos="1080"/>
          <w:tab w:val="left" w:pos="8640"/>
        </w:tabs>
        <w:ind w:left="720" w:right="720"/>
        <w:contextualSpacing/>
        <w:jc w:val="both"/>
        <w:rPr>
          <w:rFonts w:asciiTheme="majorHAnsi" w:hAnsiTheme="majorHAnsi"/>
          <w:spacing w:val="-3"/>
          <w:sz w:val="20"/>
          <w:szCs w:val="20"/>
          <w:lang w:val="es-ES"/>
        </w:rPr>
      </w:pPr>
    </w:p>
    <w:p w:rsidR="009C6039" w:rsidRPr="00A10C7B" w:rsidRDefault="009C6039" w:rsidP="004E4AEB">
      <w:pPr>
        <w:tabs>
          <w:tab w:val="left" w:pos="1080"/>
          <w:tab w:val="left" w:pos="8640"/>
        </w:tabs>
        <w:ind w:left="720" w:right="720"/>
        <w:contextualSpacing/>
        <w:jc w:val="both"/>
        <w:rPr>
          <w:rFonts w:asciiTheme="majorHAnsi" w:hAnsiTheme="majorHAnsi"/>
          <w:sz w:val="20"/>
          <w:szCs w:val="20"/>
          <w:lang w:val="es-ES"/>
        </w:rPr>
      </w:pPr>
      <w:r w:rsidRPr="00A10C7B">
        <w:rPr>
          <w:rFonts w:asciiTheme="majorHAnsi" w:hAnsiTheme="majorHAnsi"/>
          <w:sz w:val="20"/>
          <w:szCs w:val="20"/>
          <w:lang w:val="es-ES"/>
        </w:rPr>
        <w:t xml:space="preserve">A los artículos referidos </w:t>
      </w:r>
      <w:r w:rsidRPr="00A10C7B">
        <w:rPr>
          <w:rFonts w:asciiTheme="majorHAnsi" w:hAnsiTheme="majorHAnsi"/>
          <w:i/>
          <w:sz w:val="20"/>
          <w:szCs w:val="20"/>
          <w:lang w:val="es-ES"/>
        </w:rPr>
        <w:t>supra</w:t>
      </w:r>
      <w:r w:rsidRPr="00A10C7B">
        <w:rPr>
          <w:rFonts w:asciiTheme="majorHAnsi" w:hAnsiTheme="majorHAnsi"/>
          <w:sz w:val="20"/>
          <w:szCs w:val="20"/>
          <w:lang w:val="es-ES"/>
        </w:rPr>
        <w:t xml:space="preserve">, debe agregarse el artículo 26 de la CADH (Capítulo III de la CADH, llamado “Derechos Económicos, Sociales y Culturales”), específicamente: Desarrollo Progresivo. </w:t>
      </w:r>
    </w:p>
    <w:p w:rsidR="009C6039" w:rsidRPr="00A10C7B" w:rsidRDefault="009C6039" w:rsidP="00B74185">
      <w:pPr>
        <w:tabs>
          <w:tab w:val="left" w:pos="8640"/>
        </w:tabs>
        <w:ind w:left="720" w:right="720"/>
        <w:contextualSpacing/>
        <w:jc w:val="both"/>
        <w:rPr>
          <w:rFonts w:asciiTheme="majorHAnsi" w:hAnsiTheme="majorHAnsi"/>
          <w:sz w:val="20"/>
          <w:szCs w:val="20"/>
          <w:lang w:val="es-ES"/>
        </w:rPr>
      </w:pPr>
    </w:p>
    <w:p w:rsidR="009C6039" w:rsidRPr="00A10C7B" w:rsidRDefault="009C6039" w:rsidP="00B74185">
      <w:pPr>
        <w:tabs>
          <w:tab w:val="left" w:pos="8640"/>
        </w:tabs>
        <w:ind w:left="720" w:right="720"/>
        <w:contextualSpacing/>
        <w:jc w:val="both"/>
        <w:rPr>
          <w:rFonts w:asciiTheme="majorHAnsi" w:hAnsiTheme="majorHAnsi"/>
          <w:i/>
          <w:sz w:val="20"/>
          <w:szCs w:val="20"/>
          <w:lang w:val="es-ES"/>
        </w:rPr>
      </w:pPr>
      <w:r w:rsidRPr="00A10C7B">
        <w:rPr>
          <w:rFonts w:asciiTheme="majorHAnsi" w:hAnsiTheme="majorHAnsi"/>
          <w:i/>
          <w:sz w:val="20"/>
          <w:szCs w:val="20"/>
          <w:lang w:val="es-ES"/>
        </w:rPr>
        <w:t xml:space="preserve">Los Estados Partes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 </w:t>
      </w:r>
    </w:p>
    <w:p w:rsidR="009C6039" w:rsidRPr="00A10C7B" w:rsidRDefault="009C6039" w:rsidP="00B74185">
      <w:pPr>
        <w:tabs>
          <w:tab w:val="left" w:pos="8640"/>
        </w:tabs>
        <w:ind w:left="720" w:right="720"/>
        <w:contextualSpacing/>
        <w:jc w:val="both"/>
        <w:rPr>
          <w:rFonts w:asciiTheme="majorHAnsi" w:hAnsiTheme="majorHAnsi"/>
          <w:i/>
          <w:sz w:val="20"/>
          <w:szCs w:val="20"/>
          <w:lang w:val="es-ES"/>
        </w:rPr>
      </w:pPr>
    </w:p>
    <w:p w:rsidR="009C6039" w:rsidRPr="00A10C7B" w:rsidRDefault="009C6039" w:rsidP="00B74185">
      <w:pPr>
        <w:tabs>
          <w:tab w:val="left" w:pos="8640"/>
        </w:tabs>
        <w:ind w:left="720" w:right="720"/>
        <w:jc w:val="both"/>
        <w:rPr>
          <w:rFonts w:asciiTheme="majorHAnsi" w:hAnsiTheme="majorHAnsi"/>
          <w:sz w:val="20"/>
          <w:szCs w:val="20"/>
          <w:lang w:val="es-CO"/>
        </w:rPr>
      </w:pPr>
      <w:r w:rsidRPr="00A10C7B">
        <w:rPr>
          <w:rFonts w:asciiTheme="majorHAnsi" w:eastAsia="Times New Roman" w:hAnsiTheme="majorHAnsi"/>
          <w:sz w:val="20"/>
          <w:szCs w:val="20"/>
          <w:lang w:val="es-AR"/>
        </w:rPr>
        <w:t xml:space="preserve">En cuanto a </w:t>
      </w:r>
      <w:r w:rsidRPr="00A10C7B">
        <w:rPr>
          <w:rFonts w:asciiTheme="majorHAnsi" w:hAnsiTheme="majorHAnsi"/>
          <w:sz w:val="20"/>
          <w:szCs w:val="20"/>
          <w:lang w:val="es-ES"/>
        </w:rPr>
        <w:t xml:space="preserve">las disposiciones de la CADH referidas </w:t>
      </w:r>
      <w:r w:rsidRPr="00A10C7B">
        <w:rPr>
          <w:rFonts w:asciiTheme="majorHAnsi" w:hAnsiTheme="majorHAnsi"/>
          <w:i/>
          <w:sz w:val="20"/>
          <w:szCs w:val="20"/>
          <w:lang w:val="es-ES"/>
        </w:rPr>
        <w:t>supra</w:t>
      </w:r>
      <w:r w:rsidRPr="00A10C7B">
        <w:rPr>
          <w:rFonts w:asciiTheme="majorHAnsi" w:hAnsiTheme="majorHAnsi"/>
          <w:sz w:val="20"/>
          <w:szCs w:val="20"/>
          <w:lang w:val="es-ES"/>
        </w:rPr>
        <w:t xml:space="preserve">, </w:t>
      </w:r>
      <w:r w:rsidRPr="00A10C7B">
        <w:rPr>
          <w:rFonts w:asciiTheme="majorHAnsi" w:hAnsiTheme="majorHAnsi"/>
          <w:sz w:val="20"/>
          <w:szCs w:val="20"/>
          <w:lang w:val="es-ES" w:eastAsia="es-ES"/>
        </w:rPr>
        <w:t xml:space="preserve">para el Estado costarricense resulta importante destacar </w:t>
      </w:r>
      <w:r w:rsidRPr="00A10C7B">
        <w:rPr>
          <w:rFonts w:asciiTheme="majorHAnsi" w:hAnsiTheme="majorHAnsi"/>
          <w:sz w:val="20"/>
          <w:szCs w:val="20"/>
          <w:lang w:val="es-ES"/>
        </w:rPr>
        <w:t xml:space="preserve">la </w:t>
      </w:r>
      <w:r w:rsidRPr="00A10C7B">
        <w:rPr>
          <w:rFonts w:asciiTheme="majorHAnsi" w:eastAsia="Times New Roman" w:hAnsiTheme="majorHAnsi"/>
          <w:sz w:val="20"/>
          <w:szCs w:val="20"/>
          <w:lang w:val="es-ES_tradnl" w:eastAsia="es-ES"/>
        </w:rPr>
        <w:t>interdependencia existente entre los derechos civiles y políticos y los económicos, sociales y culturales. Sobre este tema</w:t>
      </w:r>
      <w:r w:rsidRPr="00A10C7B">
        <w:rPr>
          <w:rFonts w:asciiTheme="majorHAnsi" w:hAnsiTheme="majorHAnsi"/>
          <w:sz w:val="20"/>
          <w:szCs w:val="20"/>
          <w:lang w:val="es-ES"/>
        </w:rPr>
        <w:t>,</w:t>
      </w:r>
      <w:r w:rsidRPr="00A10C7B">
        <w:rPr>
          <w:rFonts w:asciiTheme="majorHAnsi" w:hAnsiTheme="majorHAnsi"/>
          <w:sz w:val="20"/>
          <w:szCs w:val="20"/>
          <w:lang w:val="es-ES" w:eastAsia="es-ES"/>
        </w:rPr>
        <w:t xml:space="preserve"> </w:t>
      </w:r>
      <w:r w:rsidRPr="00A10C7B">
        <w:rPr>
          <w:rFonts w:asciiTheme="majorHAnsi" w:hAnsiTheme="majorHAnsi"/>
          <w:sz w:val="20"/>
          <w:szCs w:val="20"/>
          <w:lang w:val="es-CO"/>
        </w:rPr>
        <w:t>la Corte IDH</w:t>
      </w:r>
      <w:r w:rsidRPr="00A10C7B">
        <w:rPr>
          <w:rFonts w:asciiTheme="majorHAnsi" w:hAnsiTheme="majorHAnsi"/>
          <w:bCs/>
          <w:sz w:val="20"/>
          <w:szCs w:val="20"/>
          <w:lang w:val="es-ES"/>
        </w:rPr>
        <w:t xml:space="preserve">, </w:t>
      </w:r>
      <w:r w:rsidRPr="00A10C7B">
        <w:rPr>
          <w:rFonts w:asciiTheme="majorHAnsi" w:hAnsiTheme="majorHAnsi"/>
          <w:sz w:val="20"/>
          <w:szCs w:val="20"/>
          <w:lang w:val="es-CO"/>
        </w:rPr>
        <w:t>ha establecido lo siguiente:</w:t>
      </w:r>
    </w:p>
    <w:p w:rsidR="009C6039" w:rsidRPr="00A10C7B" w:rsidRDefault="009C6039" w:rsidP="00B74185">
      <w:pPr>
        <w:tabs>
          <w:tab w:val="left" w:pos="8640"/>
        </w:tabs>
        <w:ind w:left="720" w:right="720"/>
        <w:jc w:val="both"/>
        <w:rPr>
          <w:rFonts w:asciiTheme="majorHAnsi" w:eastAsia="Times New Roman" w:hAnsiTheme="majorHAnsi"/>
          <w:sz w:val="20"/>
          <w:szCs w:val="20"/>
          <w:lang w:val="es-ES_tradnl" w:eastAsia="es-ES"/>
        </w:rPr>
      </w:pPr>
    </w:p>
    <w:p w:rsidR="009C6039" w:rsidRPr="00A10C7B" w:rsidRDefault="009C6039" w:rsidP="004E4AEB">
      <w:pPr>
        <w:tabs>
          <w:tab w:val="left" w:pos="1080"/>
          <w:tab w:val="left" w:pos="7797"/>
          <w:tab w:val="left" w:pos="8640"/>
        </w:tabs>
        <w:ind w:left="720" w:right="720"/>
        <w:jc w:val="both"/>
        <w:rPr>
          <w:rFonts w:asciiTheme="majorHAnsi" w:eastAsia="Times New Roman" w:hAnsiTheme="majorHAnsi"/>
          <w:sz w:val="20"/>
          <w:szCs w:val="20"/>
          <w:lang w:val="es-ES_tradnl" w:eastAsia="es-ES"/>
        </w:rPr>
      </w:pPr>
      <w:r w:rsidRPr="00A10C7B">
        <w:rPr>
          <w:rFonts w:asciiTheme="majorHAnsi" w:eastAsia="Times New Roman" w:hAnsiTheme="majorHAnsi"/>
          <w:i/>
          <w:sz w:val="20"/>
          <w:szCs w:val="20"/>
          <w:lang w:val="es-ES_tradnl" w:eastAsia="es-ES"/>
        </w:rPr>
        <w:t xml:space="preserve">101. En este sentido, la Corte considera pertinente recordar la interdependencia existente entre los derechos civiles y políticos y los económicos, sociales y culturales, ya que deben ser entendidos integralmente como derechos humanos, </w:t>
      </w:r>
      <w:r w:rsidRPr="00A10C7B">
        <w:rPr>
          <w:rFonts w:asciiTheme="majorHAnsi" w:eastAsia="Times New Roman" w:hAnsiTheme="majorHAnsi"/>
          <w:i/>
          <w:sz w:val="20"/>
          <w:szCs w:val="20"/>
          <w:u w:val="single"/>
          <w:lang w:val="es-ES_tradnl" w:eastAsia="es-ES"/>
        </w:rPr>
        <w:t>sin jerarquía entre sí y exigibles</w:t>
      </w:r>
      <w:r w:rsidRPr="00A10C7B">
        <w:rPr>
          <w:rFonts w:asciiTheme="majorHAnsi" w:eastAsia="Times New Roman" w:hAnsiTheme="majorHAnsi"/>
          <w:i/>
          <w:sz w:val="20"/>
          <w:szCs w:val="20"/>
          <w:lang w:val="es-ES_tradnl" w:eastAsia="es-ES"/>
        </w:rPr>
        <w:t xml:space="preserve"> en todos los casos ante aquellas autoridades que resulten competentes para ello</w:t>
      </w:r>
      <w:r w:rsidRPr="00A10C7B">
        <w:rPr>
          <w:rFonts w:asciiTheme="majorHAnsi" w:eastAsia="Times New Roman" w:hAnsiTheme="majorHAnsi"/>
          <w:sz w:val="20"/>
          <w:szCs w:val="20"/>
          <w:vertAlign w:val="superscript"/>
          <w:lang w:val="es-ES_tradnl" w:eastAsia="es-ES"/>
        </w:rPr>
        <w:footnoteReference w:id="11"/>
      </w:r>
      <w:r w:rsidRPr="00A10C7B">
        <w:rPr>
          <w:rFonts w:asciiTheme="majorHAnsi" w:eastAsia="Times New Roman" w:hAnsiTheme="majorHAnsi"/>
          <w:sz w:val="20"/>
          <w:szCs w:val="20"/>
          <w:lang w:val="es-ES_tradnl" w:eastAsia="es-ES"/>
        </w:rPr>
        <w:t xml:space="preserve">. </w:t>
      </w:r>
    </w:p>
    <w:p w:rsidR="00394AF3" w:rsidRPr="00A10C7B" w:rsidRDefault="00394AF3" w:rsidP="004E4AEB">
      <w:pPr>
        <w:tabs>
          <w:tab w:val="left" w:pos="1080"/>
          <w:tab w:val="left" w:pos="7797"/>
          <w:tab w:val="left" w:pos="8640"/>
        </w:tabs>
        <w:ind w:left="720" w:right="720"/>
        <w:jc w:val="both"/>
        <w:rPr>
          <w:rFonts w:asciiTheme="majorHAnsi" w:eastAsia="Times New Roman" w:hAnsiTheme="majorHAnsi"/>
          <w:sz w:val="20"/>
          <w:szCs w:val="20"/>
          <w:lang w:val="es-ES_tradnl" w:eastAsia="es-ES"/>
        </w:rPr>
      </w:pPr>
    </w:p>
    <w:p w:rsidR="009C6039" w:rsidRPr="00A10C7B" w:rsidRDefault="009C6039" w:rsidP="004E4AEB">
      <w:pPr>
        <w:tabs>
          <w:tab w:val="left" w:pos="1080"/>
          <w:tab w:val="left" w:pos="8640"/>
        </w:tabs>
        <w:ind w:left="720" w:right="720"/>
        <w:jc w:val="both"/>
        <w:rPr>
          <w:rFonts w:asciiTheme="majorHAnsi" w:hAnsiTheme="majorHAnsi"/>
          <w:sz w:val="20"/>
          <w:szCs w:val="20"/>
          <w:lang w:val="es-ES" w:eastAsia="es-ES"/>
        </w:rPr>
      </w:pPr>
      <w:r w:rsidRPr="00A10C7B">
        <w:rPr>
          <w:rFonts w:asciiTheme="majorHAnsi" w:eastAsia="Times New Roman" w:hAnsiTheme="majorHAnsi"/>
          <w:sz w:val="20"/>
          <w:szCs w:val="20"/>
          <w:lang w:val="es-AR"/>
        </w:rPr>
        <w:t xml:space="preserve">En cuanto a </w:t>
      </w:r>
      <w:r w:rsidRPr="00A10C7B">
        <w:rPr>
          <w:rFonts w:asciiTheme="majorHAnsi" w:hAnsiTheme="majorHAnsi"/>
          <w:sz w:val="20"/>
          <w:szCs w:val="20"/>
          <w:lang w:val="es-ES"/>
        </w:rPr>
        <w:t xml:space="preserve">las disposiciones de la Convención Interamericana sobre la Protección de los Derechos Humanos de las Personas Mayores, </w:t>
      </w:r>
      <w:r w:rsidRPr="00A10C7B">
        <w:rPr>
          <w:rFonts w:asciiTheme="majorHAnsi" w:hAnsiTheme="majorHAnsi"/>
          <w:sz w:val="20"/>
          <w:szCs w:val="20"/>
          <w:lang w:val="es-ES" w:eastAsia="es-ES"/>
        </w:rPr>
        <w:t xml:space="preserve">para el Estado costarricense resulta importante hacer mención de los siguientes artículos: </w:t>
      </w:r>
    </w:p>
    <w:p w:rsidR="00394AF3" w:rsidRPr="00A10C7B" w:rsidRDefault="00394AF3" w:rsidP="004E4AEB">
      <w:pPr>
        <w:tabs>
          <w:tab w:val="left" w:pos="1080"/>
          <w:tab w:val="left" w:pos="8640"/>
        </w:tabs>
        <w:ind w:left="720" w:right="720"/>
        <w:jc w:val="both"/>
        <w:rPr>
          <w:rFonts w:asciiTheme="majorHAnsi" w:hAnsiTheme="majorHAnsi"/>
          <w:sz w:val="20"/>
          <w:szCs w:val="20"/>
          <w:lang w:val="es-ES" w:eastAsia="es-ES"/>
        </w:rPr>
      </w:pPr>
    </w:p>
    <w:p w:rsidR="009C6039" w:rsidRPr="00A10C7B" w:rsidRDefault="009C6039" w:rsidP="004E4AEB">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8640"/>
        </w:tabs>
        <w:ind w:right="720" w:firstLine="0"/>
        <w:contextualSpacing/>
        <w:jc w:val="both"/>
        <w:rPr>
          <w:rFonts w:asciiTheme="majorHAnsi" w:hAnsiTheme="majorHAnsi"/>
          <w:color w:val="333333"/>
          <w:sz w:val="20"/>
          <w:szCs w:val="20"/>
          <w:shd w:val="clear" w:color="auto" w:fill="FFFFFF"/>
          <w:lang w:val="es-ES"/>
        </w:rPr>
      </w:pPr>
      <w:r w:rsidRPr="00A10C7B">
        <w:rPr>
          <w:rFonts w:asciiTheme="majorHAnsi" w:hAnsiTheme="majorHAnsi"/>
          <w:color w:val="333333"/>
          <w:sz w:val="20"/>
          <w:szCs w:val="20"/>
          <w:shd w:val="clear" w:color="auto" w:fill="FFFFFF"/>
          <w:lang w:val="es-ES"/>
        </w:rPr>
        <w:t xml:space="preserve">Artículo 6, </w:t>
      </w:r>
      <w:r w:rsidRPr="00A10C7B">
        <w:rPr>
          <w:rFonts w:asciiTheme="majorHAnsi" w:hAnsiTheme="majorHAnsi"/>
          <w:sz w:val="20"/>
          <w:szCs w:val="20"/>
          <w:lang w:val="es-ES"/>
        </w:rPr>
        <w:t>específicamente:</w:t>
      </w:r>
      <w:r w:rsidRPr="00A10C7B">
        <w:rPr>
          <w:rFonts w:asciiTheme="majorHAnsi" w:hAnsiTheme="majorHAnsi"/>
          <w:color w:val="333333"/>
          <w:sz w:val="20"/>
          <w:szCs w:val="20"/>
          <w:shd w:val="clear" w:color="auto" w:fill="FFFFFF"/>
          <w:lang w:val="es-ES"/>
        </w:rPr>
        <w:t xml:space="preserve"> Derecho a la Vida y a la Dignidad en la Vejez.</w:t>
      </w:r>
    </w:p>
    <w:p w:rsidR="009C6039" w:rsidRPr="00A10C7B" w:rsidRDefault="009C6039" w:rsidP="004E4AEB">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8640"/>
        </w:tabs>
        <w:ind w:right="720" w:firstLine="0"/>
        <w:contextualSpacing/>
        <w:jc w:val="both"/>
        <w:rPr>
          <w:rFonts w:asciiTheme="majorHAnsi" w:hAnsiTheme="majorHAnsi"/>
          <w:color w:val="333333"/>
          <w:sz w:val="20"/>
          <w:szCs w:val="20"/>
          <w:shd w:val="clear" w:color="auto" w:fill="FFFFFF"/>
          <w:lang w:val="es-ES"/>
        </w:rPr>
      </w:pPr>
      <w:r w:rsidRPr="00A10C7B">
        <w:rPr>
          <w:rFonts w:asciiTheme="majorHAnsi" w:hAnsiTheme="majorHAnsi"/>
          <w:color w:val="333333"/>
          <w:sz w:val="20"/>
          <w:szCs w:val="20"/>
          <w:shd w:val="clear" w:color="auto" w:fill="FFFFFF"/>
          <w:lang w:val="es-ES"/>
        </w:rPr>
        <w:t xml:space="preserve">Artículo 23, </w:t>
      </w:r>
      <w:r w:rsidRPr="00A10C7B">
        <w:rPr>
          <w:rFonts w:asciiTheme="majorHAnsi" w:hAnsiTheme="majorHAnsi"/>
          <w:sz w:val="20"/>
          <w:szCs w:val="20"/>
          <w:lang w:val="es-ES"/>
        </w:rPr>
        <w:t>específicamente:</w:t>
      </w:r>
      <w:r w:rsidRPr="00A10C7B">
        <w:rPr>
          <w:rFonts w:asciiTheme="majorHAnsi" w:hAnsiTheme="majorHAnsi"/>
          <w:color w:val="333333"/>
          <w:sz w:val="20"/>
          <w:szCs w:val="20"/>
          <w:shd w:val="clear" w:color="auto" w:fill="FFFFFF"/>
          <w:lang w:val="es-ES"/>
        </w:rPr>
        <w:t xml:space="preserve"> Derecho a la Propiedad.</w:t>
      </w:r>
    </w:p>
    <w:p w:rsidR="009C6039" w:rsidRPr="00A10C7B" w:rsidRDefault="009C6039" w:rsidP="004E4AEB">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8640"/>
        </w:tabs>
        <w:ind w:right="720" w:firstLine="0"/>
        <w:contextualSpacing/>
        <w:jc w:val="both"/>
        <w:rPr>
          <w:rFonts w:asciiTheme="majorHAnsi" w:hAnsiTheme="majorHAnsi"/>
          <w:color w:val="333333"/>
          <w:sz w:val="20"/>
          <w:szCs w:val="20"/>
          <w:shd w:val="clear" w:color="auto" w:fill="FFFFFF"/>
          <w:lang w:val="es-ES"/>
        </w:rPr>
      </w:pPr>
      <w:r w:rsidRPr="00A10C7B">
        <w:rPr>
          <w:rFonts w:asciiTheme="majorHAnsi" w:hAnsiTheme="majorHAnsi"/>
          <w:color w:val="333333"/>
          <w:sz w:val="20"/>
          <w:szCs w:val="20"/>
          <w:shd w:val="clear" w:color="auto" w:fill="FFFFFF"/>
          <w:lang w:val="es-ES"/>
        </w:rPr>
        <w:t xml:space="preserve">Artículo 24, </w:t>
      </w:r>
      <w:r w:rsidRPr="00A10C7B">
        <w:rPr>
          <w:rFonts w:asciiTheme="majorHAnsi" w:hAnsiTheme="majorHAnsi"/>
          <w:sz w:val="20"/>
          <w:szCs w:val="20"/>
          <w:lang w:val="es-ES"/>
        </w:rPr>
        <w:t>específicamente:</w:t>
      </w:r>
      <w:r w:rsidRPr="00A10C7B">
        <w:rPr>
          <w:rFonts w:asciiTheme="majorHAnsi" w:hAnsiTheme="majorHAnsi"/>
          <w:color w:val="333333"/>
          <w:sz w:val="20"/>
          <w:szCs w:val="20"/>
          <w:shd w:val="clear" w:color="auto" w:fill="FFFFFF"/>
          <w:lang w:val="es-ES"/>
        </w:rPr>
        <w:t xml:space="preserve"> Derecho a la Vivienda.</w:t>
      </w:r>
    </w:p>
    <w:p w:rsidR="009C6039" w:rsidRPr="00A10C7B" w:rsidRDefault="009C6039" w:rsidP="004E4AEB">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8640"/>
        </w:tabs>
        <w:ind w:right="720" w:firstLine="0"/>
        <w:contextualSpacing/>
        <w:jc w:val="both"/>
        <w:rPr>
          <w:rFonts w:asciiTheme="majorHAnsi" w:hAnsiTheme="majorHAnsi"/>
          <w:color w:val="333333"/>
          <w:sz w:val="20"/>
          <w:szCs w:val="20"/>
          <w:shd w:val="clear" w:color="auto" w:fill="FFFFFF"/>
          <w:lang w:val="es-ES"/>
        </w:rPr>
      </w:pPr>
      <w:r w:rsidRPr="00A10C7B">
        <w:rPr>
          <w:rFonts w:asciiTheme="majorHAnsi" w:hAnsiTheme="majorHAnsi"/>
          <w:color w:val="333333"/>
          <w:sz w:val="20"/>
          <w:szCs w:val="20"/>
          <w:shd w:val="clear" w:color="auto" w:fill="FFFFFF"/>
          <w:lang w:val="es-ES"/>
        </w:rPr>
        <w:t xml:space="preserve">Artículo 29, </w:t>
      </w:r>
      <w:r w:rsidRPr="00A10C7B">
        <w:rPr>
          <w:rFonts w:asciiTheme="majorHAnsi" w:hAnsiTheme="majorHAnsi"/>
          <w:sz w:val="20"/>
          <w:szCs w:val="20"/>
          <w:lang w:val="es-ES"/>
        </w:rPr>
        <w:t>específicamente:</w:t>
      </w:r>
      <w:r w:rsidRPr="00A10C7B">
        <w:rPr>
          <w:rFonts w:asciiTheme="majorHAnsi" w:hAnsiTheme="majorHAnsi"/>
          <w:color w:val="333333"/>
          <w:sz w:val="20"/>
          <w:szCs w:val="20"/>
          <w:shd w:val="clear" w:color="auto" w:fill="FFFFFF"/>
          <w:lang w:val="es-ES"/>
        </w:rPr>
        <w:t xml:space="preserve"> Situaciones de Riesgo y Emergencias Humanitarias.</w:t>
      </w:r>
    </w:p>
    <w:p w:rsidR="009C6039" w:rsidRPr="00A10C7B" w:rsidRDefault="009C6039" w:rsidP="004E4AEB">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8640"/>
        </w:tabs>
        <w:ind w:right="720" w:firstLine="0"/>
        <w:contextualSpacing/>
        <w:jc w:val="both"/>
        <w:rPr>
          <w:rFonts w:asciiTheme="majorHAnsi" w:hAnsiTheme="majorHAnsi"/>
          <w:sz w:val="20"/>
          <w:szCs w:val="20"/>
          <w:lang w:val="es-ES"/>
        </w:rPr>
      </w:pPr>
      <w:r w:rsidRPr="00A10C7B">
        <w:rPr>
          <w:rFonts w:asciiTheme="majorHAnsi" w:hAnsiTheme="majorHAnsi"/>
          <w:color w:val="333333"/>
          <w:sz w:val="20"/>
          <w:szCs w:val="20"/>
          <w:shd w:val="clear" w:color="auto" w:fill="FFFFFF"/>
          <w:lang w:val="es-ES"/>
        </w:rPr>
        <w:t xml:space="preserve">Artículo 31, </w:t>
      </w:r>
      <w:r w:rsidRPr="00A10C7B">
        <w:rPr>
          <w:rFonts w:asciiTheme="majorHAnsi" w:hAnsiTheme="majorHAnsi"/>
          <w:sz w:val="20"/>
          <w:szCs w:val="20"/>
          <w:lang w:val="es-ES"/>
        </w:rPr>
        <w:t>específicamente:</w:t>
      </w:r>
      <w:r w:rsidRPr="00A10C7B">
        <w:rPr>
          <w:rFonts w:asciiTheme="majorHAnsi" w:hAnsiTheme="majorHAnsi"/>
          <w:color w:val="333333"/>
          <w:sz w:val="20"/>
          <w:szCs w:val="20"/>
          <w:shd w:val="clear" w:color="auto" w:fill="FFFFFF"/>
          <w:lang w:val="es-ES"/>
        </w:rPr>
        <w:t xml:space="preserve"> Acceso a la Justicia.</w:t>
      </w:r>
    </w:p>
    <w:p w:rsidR="009C6039" w:rsidRPr="00A10C7B" w:rsidRDefault="009C6039" w:rsidP="004E4AE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8640"/>
        </w:tabs>
        <w:ind w:right="720"/>
        <w:contextualSpacing/>
        <w:jc w:val="both"/>
        <w:rPr>
          <w:rFonts w:asciiTheme="majorHAnsi" w:hAnsiTheme="majorHAnsi"/>
          <w:sz w:val="20"/>
          <w:szCs w:val="20"/>
          <w:lang w:val="es-ES"/>
        </w:rPr>
      </w:pPr>
    </w:p>
    <w:p w:rsidR="009C6039" w:rsidRPr="00A10C7B" w:rsidRDefault="009C6039" w:rsidP="004E4AEB">
      <w:pPr>
        <w:tabs>
          <w:tab w:val="left" w:pos="360"/>
          <w:tab w:val="left" w:pos="1080"/>
          <w:tab w:val="left" w:pos="8640"/>
        </w:tabs>
        <w:snapToGrid w:val="0"/>
        <w:ind w:left="720" w:right="720"/>
        <w:jc w:val="both"/>
        <w:rPr>
          <w:rFonts w:asciiTheme="majorHAnsi" w:hAnsiTheme="majorHAnsi"/>
          <w:sz w:val="20"/>
          <w:szCs w:val="20"/>
          <w:lang w:val="es-ES"/>
        </w:rPr>
      </w:pPr>
      <w:r w:rsidRPr="00A10C7B">
        <w:rPr>
          <w:rFonts w:asciiTheme="majorHAnsi" w:eastAsia="Times New Roman" w:hAnsiTheme="majorHAnsi"/>
          <w:sz w:val="20"/>
          <w:szCs w:val="20"/>
          <w:lang w:val="es-AR"/>
        </w:rPr>
        <w:t xml:space="preserve">En cuanto a </w:t>
      </w:r>
      <w:r w:rsidRPr="00A10C7B">
        <w:rPr>
          <w:rFonts w:asciiTheme="majorHAnsi" w:hAnsiTheme="majorHAnsi"/>
          <w:sz w:val="20"/>
          <w:szCs w:val="20"/>
          <w:lang w:val="es-ES"/>
        </w:rPr>
        <w:t xml:space="preserve">las disposiciones de la Convención Interamericana para la Eliminación de Todas las Formas de Discriminación Contra las Personas con Discapacidad, </w:t>
      </w:r>
      <w:r w:rsidRPr="00A10C7B">
        <w:rPr>
          <w:rFonts w:asciiTheme="majorHAnsi" w:hAnsiTheme="majorHAnsi"/>
          <w:sz w:val="20"/>
          <w:szCs w:val="20"/>
          <w:lang w:val="es-ES" w:eastAsia="es-ES"/>
        </w:rPr>
        <w:t xml:space="preserve">para el Estado costarricense resulta importante ejemplificar el </w:t>
      </w:r>
      <w:r w:rsidRPr="00A10C7B">
        <w:rPr>
          <w:rFonts w:asciiTheme="majorHAnsi" w:hAnsiTheme="majorHAnsi"/>
          <w:color w:val="333333"/>
          <w:sz w:val="20"/>
          <w:szCs w:val="20"/>
          <w:shd w:val="clear" w:color="auto" w:fill="FFFFFF"/>
          <w:lang w:val="es-ES"/>
        </w:rPr>
        <w:t xml:space="preserve">artículo 3 y sus incisos 1.a y 1.b, </w:t>
      </w:r>
      <w:r w:rsidRPr="00A10C7B">
        <w:rPr>
          <w:rFonts w:asciiTheme="majorHAnsi" w:hAnsiTheme="majorHAnsi"/>
          <w:sz w:val="20"/>
          <w:szCs w:val="20"/>
          <w:lang w:val="es-ES"/>
        </w:rPr>
        <w:lastRenderedPageBreak/>
        <w:t xml:space="preserve">específicamente: Para lograr los objetivos de esta Convención, los Estados parte se comprometen a: </w:t>
      </w:r>
    </w:p>
    <w:p w:rsidR="009C6039" w:rsidRPr="00A10C7B" w:rsidRDefault="009C6039" w:rsidP="004E4AEB">
      <w:pPr>
        <w:tabs>
          <w:tab w:val="left" w:pos="360"/>
          <w:tab w:val="left" w:pos="1080"/>
          <w:tab w:val="left" w:pos="8640"/>
        </w:tabs>
        <w:snapToGrid w:val="0"/>
        <w:ind w:left="720" w:right="720"/>
        <w:jc w:val="both"/>
        <w:rPr>
          <w:rFonts w:asciiTheme="majorHAnsi" w:hAnsiTheme="majorHAnsi"/>
          <w:sz w:val="20"/>
          <w:szCs w:val="20"/>
          <w:lang w:val="es-ES"/>
        </w:rPr>
      </w:pPr>
    </w:p>
    <w:p w:rsidR="009C6039" w:rsidRPr="00A10C7B" w:rsidRDefault="009C6039" w:rsidP="001553B6">
      <w:pPr>
        <w:pStyle w:val="ListParagraph"/>
        <w:numPr>
          <w:ilvl w:val="0"/>
          <w:numId w:val="71"/>
        </w:numPr>
        <w:tabs>
          <w:tab w:val="left" w:pos="360"/>
          <w:tab w:val="left" w:pos="1080"/>
          <w:tab w:val="left" w:pos="8640"/>
        </w:tabs>
        <w:snapToGrid w:val="0"/>
        <w:ind w:left="720" w:right="720" w:firstLine="0"/>
        <w:jc w:val="both"/>
        <w:rPr>
          <w:rFonts w:asciiTheme="majorHAnsi" w:hAnsiTheme="majorHAnsi"/>
          <w:i/>
          <w:sz w:val="20"/>
          <w:szCs w:val="20"/>
          <w:lang w:val="es-ES"/>
        </w:rPr>
      </w:pPr>
      <w:r w:rsidRPr="00A10C7B">
        <w:rPr>
          <w:rFonts w:asciiTheme="majorHAnsi" w:hAnsiTheme="majorHAnsi"/>
          <w:i/>
          <w:sz w:val="20"/>
          <w:szCs w:val="20"/>
          <w:lang w:val="es-ES"/>
        </w:rPr>
        <w:t xml:space="preserve">Adoptar las medidas de carácter legislativo, social, educativo, laboral o de cualquier otra índole, necesarias para eliminar la discriminación contra las personas con discapacidad y propiciar su plena integración en la sociedad, incluidas las que se enumeran a continuación, sin que la lista sea taxativa: </w:t>
      </w:r>
    </w:p>
    <w:p w:rsidR="00394AF3" w:rsidRPr="00A10C7B" w:rsidRDefault="00394AF3" w:rsidP="001553B6">
      <w:pPr>
        <w:pStyle w:val="ListParagraph"/>
        <w:tabs>
          <w:tab w:val="left" w:pos="360"/>
          <w:tab w:val="left" w:pos="1080"/>
          <w:tab w:val="left" w:pos="8640"/>
        </w:tabs>
        <w:snapToGrid w:val="0"/>
        <w:ind w:right="720"/>
        <w:jc w:val="both"/>
        <w:rPr>
          <w:rFonts w:asciiTheme="majorHAnsi" w:hAnsiTheme="majorHAnsi"/>
          <w:i/>
          <w:sz w:val="20"/>
          <w:szCs w:val="20"/>
          <w:lang w:val="es-ES"/>
        </w:rPr>
      </w:pPr>
    </w:p>
    <w:p w:rsidR="009C6039" w:rsidRPr="00A10C7B" w:rsidRDefault="009C6039" w:rsidP="001553B6">
      <w:pPr>
        <w:pStyle w:val="ListParagraph"/>
        <w:numPr>
          <w:ilvl w:val="1"/>
          <w:numId w:val="56"/>
        </w:numPr>
        <w:tabs>
          <w:tab w:val="left" w:pos="360"/>
          <w:tab w:val="left" w:pos="1080"/>
          <w:tab w:val="left" w:pos="8640"/>
        </w:tabs>
        <w:snapToGrid w:val="0"/>
        <w:ind w:left="720" w:right="720" w:firstLine="0"/>
        <w:jc w:val="both"/>
        <w:rPr>
          <w:rFonts w:asciiTheme="majorHAnsi" w:hAnsiTheme="majorHAnsi"/>
          <w:i/>
          <w:sz w:val="20"/>
          <w:szCs w:val="20"/>
          <w:lang w:val="es-ES"/>
        </w:rPr>
      </w:pPr>
      <w:r w:rsidRPr="00A10C7B">
        <w:rPr>
          <w:rFonts w:asciiTheme="majorHAnsi" w:hAnsiTheme="majorHAnsi"/>
          <w:i/>
          <w:sz w:val="20"/>
          <w:szCs w:val="20"/>
          <w:lang w:val="es-ES"/>
        </w:rPr>
        <w:t>Medidas para eliminar progresivamente la discriminación y promover la integración por parte de las autoridades gubernamentales y/o entidades privadas en la prestación o suministro de bienes, servicios, instalaciones, programas y actividades, tales como el empleo, el transporte, las comunicaciones, la vivienda, la recreación, la educación, el deporte, el acceso a la justicia y los servicios policiales, y las actividades políticas y de administración;</w:t>
      </w:r>
    </w:p>
    <w:p w:rsidR="00394AF3" w:rsidRPr="00A10C7B" w:rsidRDefault="00394AF3" w:rsidP="001553B6">
      <w:pPr>
        <w:tabs>
          <w:tab w:val="left" w:pos="360"/>
          <w:tab w:val="left" w:pos="1080"/>
          <w:tab w:val="left" w:pos="8640"/>
        </w:tabs>
        <w:snapToGrid w:val="0"/>
        <w:ind w:left="720" w:right="720"/>
        <w:jc w:val="both"/>
        <w:rPr>
          <w:rFonts w:asciiTheme="majorHAnsi" w:hAnsiTheme="majorHAnsi"/>
          <w:i/>
          <w:sz w:val="20"/>
          <w:szCs w:val="20"/>
          <w:lang w:val="es-ES"/>
        </w:rPr>
      </w:pPr>
    </w:p>
    <w:p w:rsidR="009C6039" w:rsidRPr="00A10C7B" w:rsidRDefault="009C6039" w:rsidP="001553B6">
      <w:pPr>
        <w:tabs>
          <w:tab w:val="left" w:pos="360"/>
          <w:tab w:val="left" w:pos="1080"/>
        </w:tabs>
        <w:snapToGrid w:val="0"/>
        <w:ind w:left="720" w:right="720"/>
        <w:jc w:val="both"/>
        <w:rPr>
          <w:rFonts w:asciiTheme="majorHAnsi" w:hAnsiTheme="majorHAnsi"/>
          <w:i/>
          <w:sz w:val="20"/>
          <w:szCs w:val="20"/>
          <w:lang w:val="es-ES"/>
        </w:rPr>
      </w:pPr>
      <w:r w:rsidRPr="00A10C7B">
        <w:rPr>
          <w:rFonts w:asciiTheme="majorHAnsi" w:hAnsiTheme="majorHAnsi"/>
          <w:i/>
          <w:sz w:val="20"/>
          <w:szCs w:val="20"/>
          <w:lang w:val="es-ES"/>
        </w:rPr>
        <w:t>b.</w:t>
      </w:r>
      <w:r w:rsidRPr="00A10C7B">
        <w:rPr>
          <w:rFonts w:asciiTheme="majorHAnsi" w:hAnsiTheme="majorHAnsi"/>
          <w:i/>
          <w:sz w:val="20"/>
          <w:szCs w:val="20"/>
          <w:lang w:val="es-ES"/>
        </w:rPr>
        <w:tab/>
        <w:t>Medidas para que los edificios, vehículos e instalaciones que se construyan o fabriquen en sus territorios respectivos faciliten el transporte, la comunicación y el acceso para las personas con discapacidad;</w:t>
      </w:r>
    </w:p>
    <w:p w:rsidR="009C6039" w:rsidRPr="00A10C7B" w:rsidRDefault="009C6039" w:rsidP="00B74185">
      <w:pPr>
        <w:tabs>
          <w:tab w:val="left" w:pos="360"/>
          <w:tab w:val="left" w:pos="8640"/>
        </w:tabs>
        <w:snapToGrid w:val="0"/>
        <w:ind w:left="720" w:right="720"/>
        <w:jc w:val="both"/>
        <w:rPr>
          <w:rFonts w:asciiTheme="majorHAnsi" w:hAnsiTheme="majorHAnsi"/>
          <w:i/>
          <w:sz w:val="20"/>
          <w:szCs w:val="20"/>
          <w:lang w:val="es-ES"/>
        </w:rPr>
      </w:pPr>
    </w:p>
    <w:p w:rsidR="009C6039" w:rsidRPr="00A10C7B" w:rsidRDefault="009C6039" w:rsidP="00B74185">
      <w:pPr>
        <w:keepNext/>
        <w:keepLines/>
        <w:tabs>
          <w:tab w:val="left" w:pos="8640"/>
        </w:tabs>
        <w:ind w:left="720" w:right="720"/>
        <w:jc w:val="center"/>
        <w:outlineLvl w:val="0"/>
        <w:rPr>
          <w:rFonts w:asciiTheme="majorHAnsi" w:hAnsiTheme="majorHAnsi"/>
          <w:b/>
          <w:sz w:val="20"/>
          <w:szCs w:val="20"/>
          <w:lang w:val="es-ES"/>
        </w:rPr>
      </w:pPr>
      <w:r w:rsidRPr="00A10C7B">
        <w:rPr>
          <w:rFonts w:asciiTheme="majorHAnsi" w:hAnsiTheme="majorHAnsi"/>
          <w:b/>
          <w:sz w:val="20"/>
          <w:szCs w:val="20"/>
          <w:lang w:val="es-ES"/>
        </w:rPr>
        <w:t>RECONOCIMIENTO DEL ESTADO COSTARRICENSE</w:t>
      </w:r>
    </w:p>
    <w:p w:rsidR="00394AF3" w:rsidRPr="00A10C7B" w:rsidRDefault="00394AF3" w:rsidP="00B74185">
      <w:pPr>
        <w:keepNext/>
        <w:keepLines/>
        <w:tabs>
          <w:tab w:val="left" w:pos="8640"/>
        </w:tabs>
        <w:ind w:left="720" w:right="720"/>
        <w:jc w:val="center"/>
        <w:outlineLvl w:val="0"/>
        <w:rPr>
          <w:rFonts w:asciiTheme="majorHAnsi" w:hAnsiTheme="majorHAnsi"/>
          <w:b/>
          <w:sz w:val="20"/>
          <w:szCs w:val="20"/>
          <w:lang w:val="es-ES"/>
        </w:rPr>
      </w:pPr>
    </w:p>
    <w:p w:rsidR="009C6039" w:rsidRPr="00A10C7B" w:rsidRDefault="009C6039" w:rsidP="00B74185">
      <w:pPr>
        <w:tabs>
          <w:tab w:val="left" w:pos="8640"/>
        </w:tabs>
        <w:ind w:left="720" w:right="720"/>
        <w:jc w:val="both"/>
        <w:rPr>
          <w:rFonts w:asciiTheme="majorHAnsi" w:hAnsiTheme="majorHAnsi"/>
          <w:sz w:val="20"/>
          <w:szCs w:val="20"/>
          <w:lang w:val="es-ES"/>
        </w:rPr>
      </w:pPr>
      <w:r w:rsidRPr="00A10C7B">
        <w:rPr>
          <w:rFonts w:asciiTheme="majorHAnsi" w:hAnsiTheme="majorHAnsi"/>
          <w:sz w:val="20"/>
          <w:szCs w:val="20"/>
          <w:lang w:val="es-ES" w:eastAsia="es-ES"/>
        </w:rPr>
        <w:t>El Estado</w:t>
      </w:r>
      <w:r w:rsidRPr="00A10C7B">
        <w:rPr>
          <w:rFonts w:asciiTheme="majorHAnsi" w:hAnsiTheme="majorHAnsi"/>
          <w:sz w:val="20"/>
          <w:szCs w:val="20"/>
          <w:lang w:val="es-ES" w:eastAsia="ar-SA"/>
        </w:rPr>
        <w:t xml:space="preserve"> costarricense suscribe en conjunto con la peticionaria (Emilia Morales Campos)</w:t>
      </w:r>
      <w:r w:rsidRPr="00A10C7B">
        <w:rPr>
          <w:rFonts w:asciiTheme="majorHAnsi" w:hAnsiTheme="majorHAnsi"/>
          <w:sz w:val="20"/>
          <w:szCs w:val="20"/>
          <w:shd w:val="clear" w:color="auto" w:fill="FFFFFF"/>
          <w:lang w:val="es-ES"/>
        </w:rPr>
        <w:t>, el presente</w:t>
      </w:r>
      <w:r w:rsidRPr="00A10C7B">
        <w:rPr>
          <w:rFonts w:asciiTheme="majorHAnsi" w:hAnsiTheme="majorHAnsi"/>
          <w:sz w:val="20"/>
          <w:szCs w:val="20"/>
          <w:lang w:val="es-ES" w:eastAsia="ar-SA"/>
        </w:rPr>
        <w:t xml:space="preserve"> acuerdo de solución amistosa </w:t>
      </w:r>
      <w:r w:rsidRPr="00A10C7B">
        <w:rPr>
          <w:rFonts w:asciiTheme="majorHAnsi" w:hAnsiTheme="majorHAnsi"/>
          <w:sz w:val="20"/>
          <w:szCs w:val="20"/>
          <w:lang w:val="es-ES"/>
        </w:rPr>
        <w:t>(</w:t>
      </w:r>
      <w:r w:rsidRPr="00A10C7B">
        <w:rPr>
          <w:rFonts w:asciiTheme="majorHAnsi" w:hAnsiTheme="majorHAnsi"/>
          <w:snapToGrid w:val="0"/>
          <w:spacing w:val="-3"/>
          <w:sz w:val="20"/>
          <w:szCs w:val="20"/>
          <w:lang w:val="es-ES"/>
        </w:rPr>
        <w:t xml:space="preserve">a partir de los artículos </w:t>
      </w:r>
      <w:r w:rsidRPr="00A10C7B">
        <w:rPr>
          <w:rFonts w:asciiTheme="majorHAnsi" w:hAnsiTheme="majorHAnsi"/>
          <w:spacing w:val="-3"/>
          <w:sz w:val="20"/>
          <w:szCs w:val="20"/>
          <w:lang w:val="es-GT"/>
        </w:rPr>
        <w:t xml:space="preserve">5, 8, 19, 25 y 26 </w:t>
      </w:r>
      <w:r w:rsidRPr="00A10C7B">
        <w:rPr>
          <w:rFonts w:asciiTheme="majorHAnsi" w:hAnsiTheme="majorHAnsi"/>
          <w:snapToGrid w:val="0"/>
          <w:spacing w:val="-3"/>
          <w:sz w:val="20"/>
          <w:szCs w:val="20"/>
          <w:lang w:val="es-ES"/>
        </w:rPr>
        <w:t>de la Convención Americana en relación con los artículos 1.1 y 2)</w:t>
      </w:r>
      <w:r w:rsidRPr="00A10C7B">
        <w:rPr>
          <w:rFonts w:asciiTheme="majorHAnsi" w:hAnsiTheme="majorHAnsi"/>
          <w:sz w:val="20"/>
          <w:szCs w:val="20"/>
          <w:lang w:val="es-ES" w:eastAsia="ar-SA"/>
        </w:rPr>
        <w:t xml:space="preserve">, </w:t>
      </w:r>
      <w:r w:rsidRPr="00A10C7B">
        <w:rPr>
          <w:rFonts w:asciiTheme="majorHAnsi" w:hAnsiTheme="majorHAnsi"/>
          <w:sz w:val="20"/>
          <w:szCs w:val="20"/>
          <w:lang w:val="es-ES"/>
        </w:rPr>
        <w:t xml:space="preserve">por la situación particular y excepcional del Caso 12.942, </w:t>
      </w:r>
      <w:r w:rsidRPr="00A10C7B">
        <w:rPr>
          <w:rFonts w:asciiTheme="majorHAnsi" w:hAnsiTheme="majorHAnsi"/>
          <w:bCs/>
          <w:sz w:val="20"/>
          <w:szCs w:val="20"/>
          <w:lang w:val="es-ES" w:eastAsia="es-ES"/>
        </w:rPr>
        <w:t xml:space="preserve">que antecedió al desarrollo actual del Sistema Financiero Nacional para la Vivienda (SNFV) de Costa Rica. Concretamente, </w:t>
      </w:r>
      <w:r w:rsidRPr="00A10C7B">
        <w:rPr>
          <w:rFonts w:asciiTheme="majorHAnsi" w:hAnsiTheme="majorHAnsi"/>
          <w:iCs/>
          <w:sz w:val="20"/>
          <w:szCs w:val="20"/>
          <w:lang w:val="es-ES" w:eastAsia="es-ES"/>
        </w:rPr>
        <w:t>la denominada Comisión Especial de Vivienda</w:t>
      </w:r>
      <w:r w:rsidRPr="00A10C7B">
        <w:rPr>
          <w:rFonts w:asciiTheme="majorHAnsi" w:hAnsiTheme="majorHAnsi"/>
          <w:iCs/>
          <w:sz w:val="20"/>
          <w:szCs w:val="20"/>
          <w:vertAlign w:val="superscript"/>
          <w:lang w:eastAsia="es-ES"/>
        </w:rPr>
        <w:footnoteReference w:id="12"/>
      </w:r>
      <w:r w:rsidRPr="00A10C7B">
        <w:rPr>
          <w:rFonts w:asciiTheme="majorHAnsi" w:hAnsiTheme="majorHAnsi"/>
          <w:iCs/>
          <w:sz w:val="20"/>
          <w:szCs w:val="20"/>
          <w:lang w:val="es-ES" w:eastAsia="es-ES"/>
        </w:rPr>
        <w:t xml:space="preserve"> </w:t>
      </w:r>
      <w:r w:rsidRPr="00A10C7B">
        <w:rPr>
          <w:rFonts w:asciiTheme="majorHAnsi" w:hAnsiTheme="majorHAnsi"/>
          <w:bCs/>
          <w:sz w:val="20"/>
          <w:szCs w:val="20"/>
          <w:lang w:val="es-ES" w:eastAsia="es-ES"/>
        </w:rPr>
        <w:t xml:space="preserve">no le garantizó a la señora Emilia Morales Campos </w:t>
      </w:r>
      <w:r w:rsidRPr="00A10C7B">
        <w:rPr>
          <w:rFonts w:asciiTheme="majorHAnsi" w:hAnsiTheme="majorHAnsi"/>
          <w:sz w:val="20"/>
          <w:szCs w:val="20"/>
          <w:lang w:val="es-ES"/>
        </w:rPr>
        <w:t xml:space="preserve">los </w:t>
      </w:r>
      <w:r w:rsidRPr="00A10C7B">
        <w:rPr>
          <w:rFonts w:asciiTheme="majorHAnsi" w:hAnsiTheme="majorHAnsi"/>
          <w:iCs/>
          <w:sz w:val="20"/>
          <w:szCs w:val="20"/>
          <w:lang w:val="es-ES" w:eastAsia="es-ES"/>
        </w:rPr>
        <w:t xml:space="preserve">mecanismos estatales mejorados, la </w:t>
      </w:r>
      <w:r w:rsidRPr="00A10C7B">
        <w:rPr>
          <w:rFonts w:asciiTheme="majorHAnsi" w:hAnsiTheme="majorHAnsi"/>
          <w:sz w:val="20"/>
          <w:szCs w:val="20"/>
          <w:lang w:val="es-ES"/>
        </w:rPr>
        <w:t>orientación, ni tampoco el acompañamiento acerca de las soluciones temporales y permanentes de vivienda.</w:t>
      </w:r>
    </w:p>
    <w:p w:rsidR="009C6039" w:rsidRPr="00A10C7B" w:rsidRDefault="009C6039" w:rsidP="00B74185">
      <w:pPr>
        <w:tabs>
          <w:tab w:val="left" w:pos="8640"/>
        </w:tabs>
        <w:ind w:left="720" w:right="720"/>
        <w:jc w:val="both"/>
        <w:rPr>
          <w:rFonts w:asciiTheme="majorHAnsi" w:hAnsiTheme="majorHAnsi"/>
          <w:sz w:val="20"/>
          <w:szCs w:val="20"/>
          <w:lang w:val="es-ES"/>
        </w:rPr>
      </w:pPr>
    </w:p>
    <w:p w:rsidR="009C6039" w:rsidRPr="00A10C7B" w:rsidRDefault="009C6039" w:rsidP="00B74185">
      <w:pPr>
        <w:tabs>
          <w:tab w:val="left" w:pos="8640"/>
        </w:tabs>
        <w:ind w:left="720" w:right="720"/>
        <w:rPr>
          <w:rFonts w:asciiTheme="majorHAnsi" w:hAnsiTheme="majorHAnsi"/>
          <w:bCs/>
          <w:sz w:val="20"/>
          <w:szCs w:val="20"/>
          <w:u w:val="single"/>
          <w:lang w:val="es-ES" w:eastAsia="es-ES"/>
        </w:rPr>
      </w:pPr>
      <w:r w:rsidRPr="00A10C7B">
        <w:rPr>
          <w:rFonts w:asciiTheme="majorHAnsi" w:hAnsiTheme="majorHAnsi"/>
          <w:sz w:val="20"/>
          <w:szCs w:val="20"/>
          <w:u w:val="single"/>
          <w:lang w:val="es-ES"/>
        </w:rPr>
        <w:t xml:space="preserve">Antecedentes a </w:t>
      </w:r>
      <w:r w:rsidRPr="00A10C7B">
        <w:rPr>
          <w:rFonts w:asciiTheme="majorHAnsi" w:hAnsiTheme="majorHAnsi"/>
          <w:iCs/>
          <w:sz w:val="20"/>
          <w:szCs w:val="20"/>
          <w:u w:val="single"/>
          <w:lang w:val="es-ES" w:eastAsia="es-ES"/>
        </w:rPr>
        <w:t>la existencia del</w:t>
      </w:r>
      <w:r w:rsidRPr="00A10C7B">
        <w:rPr>
          <w:rFonts w:asciiTheme="majorHAnsi" w:hAnsiTheme="majorHAnsi"/>
          <w:bCs/>
          <w:sz w:val="20"/>
          <w:szCs w:val="20"/>
          <w:u w:val="single"/>
          <w:lang w:val="es-ES" w:eastAsia="es-ES"/>
        </w:rPr>
        <w:t xml:space="preserve"> Sistema Financiero Nacional para la Vivienda (SNFV).</w:t>
      </w:r>
    </w:p>
    <w:p w:rsidR="00394AF3" w:rsidRPr="00A10C7B" w:rsidRDefault="00394AF3" w:rsidP="00B74185">
      <w:pPr>
        <w:tabs>
          <w:tab w:val="left" w:pos="8640"/>
        </w:tabs>
        <w:ind w:left="720" w:right="720"/>
        <w:rPr>
          <w:rFonts w:asciiTheme="majorHAnsi" w:hAnsiTheme="majorHAnsi"/>
          <w:sz w:val="20"/>
          <w:szCs w:val="20"/>
          <w:u w:val="single"/>
          <w:lang w:val="es-ES"/>
        </w:rPr>
      </w:pPr>
    </w:p>
    <w:p w:rsidR="009C6039" w:rsidRPr="00A10C7B" w:rsidRDefault="009C6039" w:rsidP="00B74185">
      <w:pPr>
        <w:tabs>
          <w:tab w:val="left" w:pos="8640"/>
        </w:tabs>
        <w:ind w:left="720" w:right="720"/>
        <w:jc w:val="both"/>
        <w:rPr>
          <w:rFonts w:asciiTheme="majorHAnsi" w:hAnsiTheme="majorHAnsi"/>
          <w:iCs/>
          <w:sz w:val="20"/>
          <w:szCs w:val="20"/>
          <w:lang w:val="es-ES" w:eastAsia="es-ES"/>
        </w:rPr>
      </w:pPr>
      <w:r w:rsidRPr="00A10C7B">
        <w:rPr>
          <w:rFonts w:asciiTheme="majorHAnsi" w:hAnsiTheme="majorHAnsi"/>
          <w:iCs/>
          <w:sz w:val="20"/>
          <w:szCs w:val="20"/>
          <w:lang w:val="es-ES" w:eastAsia="es-ES"/>
        </w:rPr>
        <w:t xml:space="preserve">El Estado costarricense declaró Emergencia Nacional la problemática de Vivienda en el año 1986. Por lo anterior, se creó </w:t>
      </w:r>
      <w:r w:rsidRPr="00A10C7B">
        <w:rPr>
          <w:rFonts w:asciiTheme="majorHAnsi" w:hAnsiTheme="majorHAnsi"/>
          <w:sz w:val="20"/>
          <w:szCs w:val="20"/>
          <w:lang w:val="es-ES"/>
        </w:rPr>
        <w:t>l</w:t>
      </w:r>
      <w:r w:rsidRPr="00A10C7B">
        <w:rPr>
          <w:rFonts w:asciiTheme="majorHAnsi" w:hAnsiTheme="majorHAnsi"/>
          <w:iCs/>
          <w:sz w:val="20"/>
          <w:szCs w:val="20"/>
          <w:lang w:val="es-ES" w:eastAsia="es-ES"/>
        </w:rPr>
        <w:t>a Comisión Especial de Vivienda</w:t>
      </w:r>
      <w:r w:rsidRPr="00A10C7B">
        <w:rPr>
          <w:rFonts w:asciiTheme="majorHAnsi" w:hAnsiTheme="majorHAnsi"/>
          <w:iCs/>
          <w:sz w:val="20"/>
          <w:szCs w:val="20"/>
          <w:vertAlign w:val="superscript"/>
          <w:lang w:eastAsia="es-ES"/>
        </w:rPr>
        <w:footnoteReference w:id="13"/>
      </w:r>
      <w:r w:rsidRPr="00A10C7B">
        <w:rPr>
          <w:rFonts w:asciiTheme="majorHAnsi" w:hAnsiTheme="majorHAnsi"/>
          <w:iCs/>
          <w:sz w:val="20"/>
          <w:szCs w:val="20"/>
          <w:lang w:val="es-ES" w:eastAsia="es-ES"/>
        </w:rPr>
        <w:t xml:space="preserve">, que atendió en Costa Rica múltiples solicitudes de vivienda popular. No obstante, la Sala Constitucional declaró inconstitucional el Decreto Ejecutivo N°17270-P sobre la creación de dicha Comisión, debido a que </w:t>
      </w:r>
      <w:r w:rsidRPr="00A10C7B">
        <w:rPr>
          <w:rFonts w:asciiTheme="majorHAnsi" w:hAnsiTheme="majorHAnsi"/>
          <w:sz w:val="20"/>
          <w:szCs w:val="20"/>
          <w:lang w:val="es-MX"/>
        </w:rPr>
        <w:t>no eran admisibles trámites de excepción, como los que aplicaba dicha Comisión, para realizar actividad ordinaria de la Administración.</w:t>
      </w:r>
      <w:r w:rsidRPr="00A10C7B">
        <w:rPr>
          <w:rFonts w:asciiTheme="majorHAnsi" w:hAnsiTheme="majorHAnsi"/>
          <w:sz w:val="20"/>
          <w:szCs w:val="20"/>
          <w:vertAlign w:val="superscript"/>
          <w:lang w:val="es-MX"/>
        </w:rPr>
        <w:footnoteReference w:id="14"/>
      </w:r>
      <w:r w:rsidRPr="00A10C7B">
        <w:rPr>
          <w:rFonts w:asciiTheme="majorHAnsi" w:hAnsiTheme="majorHAnsi"/>
          <w:iCs/>
          <w:sz w:val="20"/>
          <w:szCs w:val="20"/>
          <w:lang w:val="es-ES" w:eastAsia="es-ES"/>
        </w:rPr>
        <w:t xml:space="preserve"> </w:t>
      </w:r>
    </w:p>
    <w:p w:rsidR="009C6039" w:rsidRPr="00A10C7B" w:rsidRDefault="009C6039" w:rsidP="00B74185">
      <w:pPr>
        <w:tabs>
          <w:tab w:val="left" w:pos="8640"/>
        </w:tabs>
        <w:ind w:left="720" w:right="720"/>
        <w:jc w:val="both"/>
        <w:rPr>
          <w:rFonts w:asciiTheme="majorHAnsi" w:hAnsiTheme="majorHAnsi"/>
          <w:sz w:val="20"/>
          <w:szCs w:val="20"/>
          <w:lang w:val="es-ES" w:eastAsia="es-ES"/>
        </w:rPr>
      </w:pPr>
      <w:r w:rsidRPr="00A10C7B">
        <w:rPr>
          <w:rFonts w:asciiTheme="majorHAnsi" w:hAnsiTheme="majorHAnsi"/>
          <w:sz w:val="20"/>
          <w:szCs w:val="20"/>
          <w:lang w:val="es-ES" w:eastAsia="es-ES"/>
        </w:rPr>
        <w:t xml:space="preserve">Paralelamente a los esfuerzos que a través de la Comisión Especial de Vivienda realizaba el país en materia de vivienda, se presentó en la Asamblea Legislativa, un proyecto de ley de creación de un Sistema Nacional Financiero para la Vivienda (SNFV). </w:t>
      </w:r>
    </w:p>
    <w:p w:rsidR="009C6039" w:rsidRPr="00A10C7B" w:rsidRDefault="009C6039" w:rsidP="00B74185">
      <w:pPr>
        <w:tabs>
          <w:tab w:val="left" w:pos="8640"/>
        </w:tabs>
        <w:ind w:left="720" w:right="720"/>
        <w:jc w:val="both"/>
        <w:rPr>
          <w:rFonts w:asciiTheme="majorHAnsi" w:hAnsiTheme="majorHAnsi"/>
          <w:sz w:val="20"/>
          <w:szCs w:val="20"/>
          <w:lang w:val="es-ES" w:eastAsia="es-ES"/>
        </w:rPr>
      </w:pPr>
    </w:p>
    <w:p w:rsidR="009C6039" w:rsidRPr="00A10C7B" w:rsidRDefault="009C6039" w:rsidP="00B74185">
      <w:pPr>
        <w:tabs>
          <w:tab w:val="left" w:pos="8640"/>
        </w:tabs>
        <w:ind w:left="720" w:right="720"/>
        <w:rPr>
          <w:rFonts w:asciiTheme="majorHAnsi" w:hAnsiTheme="majorHAnsi"/>
          <w:bCs/>
          <w:sz w:val="20"/>
          <w:szCs w:val="20"/>
          <w:u w:val="single"/>
          <w:lang w:val="es-ES" w:eastAsia="es-ES"/>
        </w:rPr>
      </w:pPr>
      <w:r w:rsidRPr="00A10C7B">
        <w:rPr>
          <w:rFonts w:asciiTheme="majorHAnsi" w:hAnsiTheme="majorHAnsi"/>
          <w:bCs/>
          <w:sz w:val="20"/>
          <w:szCs w:val="20"/>
          <w:u w:val="single"/>
          <w:lang w:val="es-ES" w:eastAsia="es-ES"/>
        </w:rPr>
        <w:t>Entrada en vigencia el Sistema Financiero Nacional para la Vivienda (SNFV).</w:t>
      </w:r>
    </w:p>
    <w:p w:rsidR="00394AF3" w:rsidRPr="00A10C7B" w:rsidRDefault="00394AF3" w:rsidP="00B74185">
      <w:pPr>
        <w:tabs>
          <w:tab w:val="left" w:pos="8640"/>
        </w:tabs>
        <w:ind w:left="720" w:right="720"/>
        <w:rPr>
          <w:rFonts w:asciiTheme="majorHAnsi" w:hAnsiTheme="majorHAnsi"/>
          <w:sz w:val="20"/>
          <w:szCs w:val="20"/>
          <w:u w:val="single"/>
          <w:lang w:val="es-ES" w:eastAsia="es-ES"/>
        </w:rPr>
      </w:pPr>
    </w:p>
    <w:p w:rsidR="009C6039" w:rsidRPr="00A10C7B" w:rsidRDefault="009C6039" w:rsidP="00B74185">
      <w:pPr>
        <w:tabs>
          <w:tab w:val="left" w:pos="8640"/>
        </w:tabs>
        <w:ind w:left="720" w:right="720"/>
        <w:jc w:val="both"/>
        <w:rPr>
          <w:rFonts w:asciiTheme="majorHAnsi" w:hAnsiTheme="majorHAnsi"/>
          <w:sz w:val="20"/>
          <w:szCs w:val="20"/>
          <w:lang w:val="es-ES" w:eastAsia="es-ES"/>
        </w:rPr>
      </w:pPr>
      <w:r w:rsidRPr="00A10C7B">
        <w:rPr>
          <w:rFonts w:asciiTheme="majorHAnsi" w:hAnsiTheme="majorHAnsi"/>
          <w:sz w:val="20"/>
          <w:szCs w:val="20"/>
          <w:lang w:val="es-ES" w:eastAsia="es-ES"/>
        </w:rPr>
        <w:t xml:space="preserve">En noviembre del año 1986, entra en vigencia la Ley N°7052 del Sistema Financiero Nacional para la Vivienda (SNFV), y de creación del Banco Hipotecario de la Vivienda (BANHVI). </w:t>
      </w:r>
    </w:p>
    <w:p w:rsidR="00394AF3" w:rsidRPr="00A10C7B" w:rsidRDefault="00394AF3" w:rsidP="00B74185">
      <w:pPr>
        <w:tabs>
          <w:tab w:val="left" w:pos="8640"/>
        </w:tabs>
        <w:ind w:left="720" w:right="720"/>
        <w:jc w:val="both"/>
        <w:rPr>
          <w:rFonts w:asciiTheme="majorHAnsi" w:hAnsiTheme="majorHAnsi"/>
          <w:sz w:val="20"/>
          <w:szCs w:val="20"/>
          <w:lang w:val="es-ES" w:eastAsia="es-ES"/>
        </w:rPr>
      </w:pPr>
    </w:p>
    <w:p w:rsidR="009C6039" w:rsidRPr="00A10C7B" w:rsidRDefault="009C6039" w:rsidP="00B74185">
      <w:pPr>
        <w:tabs>
          <w:tab w:val="left" w:pos="8640"/>
        </w:tabs>
        <w:ind w:left="720" w:right="720"/>
        <w:jc w:val="both"/>
        <w:rPr>
          <w:rFonts w:asciiTheme="majorHAnsi" w:hAnsiTheme="majorHAnsi"/>
          <w:sz w:val="20"/>
          <w:szCs w:val="20"/>
          <w:lang w:val="es-ES" w:eastAsia="es-ES"/>
        </w:rPr>
      </w:pPr>
      <w:r w:rsidRPr="00A10C7B">
        <w:rPr>
          <w:rFonts w:asciiTheme="majorHAnsi" w:hAnsiTheme="majorHAnsi"/>
          <w:bCs/>
          <w:sz w:val="20"/>
          <w:szCs w:val="20"/>
          <w:lang w:val="es-ES" w:eastAsia="es-ES"/>
        </w:rPr>
        <w:t>El SNFV está llamado a dar las soluciones permanentes de vivienda de interés social dentro del marco de legalidad aplicable.</w:t>
      </w:r>
      <w:r w:rsidRPr="00A10C7B">
        <w:rPr>
          <w:rFonts w:asciiTheme="majorHAnsi" w:hAnsiTheme="majorHAnsi"/>
          <w:sz w:val="20"/>
          <w:szCs w:val="20"/>
          <w:lang w:val="es-ES" w:eastAsia="es-ES"/>
        </w:rPr>
        <w:t xml:space="preserve"> Este sistema está integrado </w:t>
      </w:r>
      <w:r w:rsidRPr="00A10C7B">
        <w:rPr>
          <w:rFonts w:asciiTheme="majorHAnsi" w:hAnsiTheme="majorHAnsi"/>
          <w:iCs/>
          <w:sz w:val="20"/>
          <w:szCs w:val="20"/>
          <w:lang w:val="es-ES" w:eastAsia="es-ES"/>
        </w:rPr>
        <w:t xml:space="preserve">por el Banco Hipotecario de la Vivienda (BANHVI), como ente rector, y las entidades autorizadas </w:t>
      </w:r>
      <w:r w:rsidRPr="00A10C7B">
        <w:rPr>
          <w:rFonts w:asciiTheme="majorHAnsi" w:hAnsiTheme="majorHAnsi"/>
          <w:sz w:val="20"/>
          <w:szCs w:val="20"/>
          <w:lang w:val="es-ES" w:eastAsia="es-ES"/>
        </w:rPr>
        <w:t>(entidades financieras públicas y privadas).</w:t>
      </w:r>
    </w:p>
    <w:p w:rsidR="00394AF3" w:rsidRPr="00A10C7B" w:rsidRDefault="00394AF3" w:rsidP="00B74185">
      <w:pPr>
        <w:tabs>
          <w:tab w:val="left" w:pos="8640"/>
        </w:tabs>
        <w:ind w:left="720" w:right="720"/>
        <w:jc w:val="both"/>
        <w:rPr>
          <w:rFonts w:asciiTheme="majorHAnsi" w:hAnsiTheme="majorHAnsi"/>
          <w:sz w:val="20"/>
          <w:szCs w:val="20"/>
          <w:lang w:val="es-ES" w:eastAsia="es-ES"/>
        </w:rPr>
      </w:pPr>
    </w:p>
    <w:p w:rsidR="009C6039" w:rsidRPr="00A10C7B" w:rsidRDefault="009C6039" w:rsidP="00B74185">
      <w:pPr>
        <w:tabs>
          <w:tab w:val="left" w:pos="8640"/>
        </w:tabs>
        <w:ind w:left="720" w:right="720"/>
        <w:jc w:val="both"/>
        <w:rPr>
          <w:rFonts w:asciiTheme="majorHAnsi" w:hAnsiTheme="majorHAnsi"/>
          <w:iCs/>
          <w:sz w:val="20"/>
          <w:szCs w:val="20"/>
          <w:lang w:val="es-ES" w:eastAsia="es-ES"/>
        </w:rPr>
      </w:pPr>
      <w:r w:rsidRPr="00A10C7B">
        <w:rPr>
          <w:rFonts w:asciiTheme="majorHAnsi" w:hAnsiTheme="majorHAnsi"/>
          <w:iCs/>
          <w:sz w:val="20"/>
          <w:szCs w:val="20"/>
          <w:lang w:val="es-ES" w:eastAsia="es-ES"/>
        </w:rPr>
        <w:lastRenderedPageBreak/>
        <w:t xml:space="preserve">Según </w:t>
      </w:r>
      <w:r w:rsidRPr="00A10C7B">
        <w:rPr>
          <w:rFonts w:asciiTheme="majorHAnsi" w:hAnsiTheme="majorHAnsi"/>
          <w:sz w:val="20"/>
          <w:szCs w:val="20"/>
          <w:lang w:val="es-ES" w:eastAsia="es-ES"/>
        </w:rPr>
        <w:t>el artículo 1 de la Ley N°7052</w:t>
      </w:r>
      <w:r w:rsidRPr="00A10C7B">
        <w:rPr>
          <w:rFonts w:asciiTheme="majorHAnsi" w:hAnsiTheme="majorHAnsi"/>
          <w:iCs/>
          <w:sz w:val="20"/>
          <w:szCs w:val="20"/>
          <w:lang w:val="es-ES" w:eastAsia="es-ES"/>
        </w:rPr>
        <w:t xml:space="preserve">, el BANHVI </w:t>
      </w:r>
      <w:r w:rsidRPr="00A10C7B">
        <w:rPr>
          <w:rFonts w:asciiTheme="majorHAnsi" w:hAnsiTheme="majorHAnsi"/>
          <w:sz w:val="20"/>
          <w:szCs w:val="20"/>
          <w:lang w:val="es-ES" w:eastAsia="es-ES"/>
        </w:rPr>
        <w:t>es “…</w:t>
      </w:r>
      <w:r w:rsidRPr="00A10C7B">
        <w:rPr>
          <w:rFonts w:asciiTheme="majorHAnsi" w:hAnsiTheme="majorHAnsi"/>
          <w:i/>
          <w:iCs/>
          <w:sz w:val="20"/>
          <w:szCs w:val="20"/>
          <w:lang w:val="es-ES" w:eastAsia="es-ES"/>
        </w:rPr>
        <w:t>una entidad de interés público</w:t>
      </w:r>
      <w:r w:rsidRPr="00A10C7B">
        <w:rPr>
          <w:rFonts w:asciiTheme="majorHAnsi" w:hAnsiTheme="majorHAnsi"/>
          <w:iCs/>
          <w:sz w:val="20"/>
          <w:szCs w:val="20"/>
          <w:lang w:val="es-ES" w:eastAsia="es-ES"/>
        </w:rPr>
        <w:t>…”, que se crea para fomentar el ahorro y la inversión a fin de procurar la solución del problema habitacional existente en el país a finales de los años 80 del siglo pasado.</w:t>
      </w:r>
    </w:p>
    <w:p w:rsidR="00394AF3" w:rsidRPr="00A10C7B" w:rsidRDefault="00394AF3" w:rsidP="00B74185">
      <w:pPr>
        <w:tabs>
          <w:tab w:val="left" w:pos="8640"/>
        </w:tabs>
        <w:ind w:left="720" w:right="720"/>
        <w:jc w:val="both"/>
        <w:rPr>
          <w:rFonts w:asciiTheme="majorHAnsi" w:hAnsiTheme="majorHAnsi"/>
          <w:sz w:val="20"/>
          <w:szCs w:val="20"/>
          <w:lang w:val="es-ES" w:eastAsia="es-ES"/>
        </w:rPr>
      </w:pPr>
    </w:p>
    <w:p w:rsidR="009C6039" w:rsidRPr="00A10C7B" w:rsidRDefault="009C6039" w:rsidP="00B74185">
      <w:pPr>
        <w:tabs>
          <w:tab w:val="left" w:pos="8640"/>
        </w:tabs>
        <w:ind w:left="720" w:right="720"/>
        <w:jc w:val="both"/>
        <w:rPr>
          <w:rFonts w:asciiTheme="majorHAnsi" w:hAnsiTheme="majorHAnsi"/>
          <w:iCs/>
          <w:sz w:val="20"/>
          <w:szCs w:val="20"/>
          <w:lang w:val="es-ES" w:eastAsia="es-ES"/>
        </w:rPr>
      </w:pPr>
      <w:r w:rsidRPr="00A10C7B">
        <w:rPr>
          <w:rFonts w:asciiTheme="majorHAnsi" w:hAnsiTheme="majorHAnsi"/>
          <w:iCs/>
          <w:sz w:val="20"/>
          <w:szCs w:val="20"/>
          <w:lang w:val="es-ES" w:eastAsia="es-ES"/>
        </w:rPr>
        <w:t xml:space="preserve">En ese mismo sentido, el BANHVI </w:t>
      </w:r>
      <w:r w:rsidRPr="00A10C7B">
        <w:rPr>
          <w:rFonts w:asciiTheme="majorHAnsi" w:hAnsiTheme="majorHAnsi"/>
          <w:sz w:val="20"/>
          <w:szCs w:val="20"/>
          <w:lang w:val="es-ES"/>
        </w:rPr>
        <w:t>se encarga de</w:t>
      </w:r>
      <w:r w:rsidRPr="00A10C7B">
        <w:rPr>
          <w:rFonts w:asciiTheme="majorHAnsi" w:hAnsiTheme="majorHAnsi"/>
          <w:sz w:val="20"/>
          <w:szCs w:val="20"/>
          <w:lang w:val="es-ES" w:eastAsia="es-ES"/>
        </w:rPr>
        <w:t xml:space="preserve"> la calificación de los beneficiarios a partir de los </w:t>
      </w:r>
      <w:r w:rsidRPr="00A10C7B">
        <w:rPr>
          <w:rFonts w:asciiTheme="majorHAnsi" w:hAnsiTheme="majorHAnsi"/>
          <w:iCs/>
          <w:sz w:val="20"/>
          <w:szCs w:val="20"/>
          <w:lang w:val="es-ES" w:eastAsia="es-ES"/>
        </w:rPr>
        <w:t xml:space="preserve">parámetros y normas generales, previamente establecidas por dicho Banco. </w:t>
      </w:r>
    </w:p>
    <w:p w:rsidR="00394AF3" w:rsidRPr="00A10C7B" w:rsidRDefault="00394AF3" w:rsidP="00B74185">
      <w:pPr>
        <w:tabs>
          <w:tab w:val="left" w:pos="8640"/>
        </w:tabs>
        <w:ind w:left="720" w:right="720"/>
        <w:jc w:val="both"/>
        <w:rPr>
          <w:rFonts w:asciiTheme="majorHAnsi" w:hAnsiTheme="majorHAnsi"/>
          <w:iCs/>
          <w:sz w:val="20"/>
          <w:szCs w:val="20"/>
          <w:lang w:val="es-ES" w:eastAsia="es-ES"/>
        </w:rPr>
      </w:pPr>
    </w:p>
    <w:p w:rsidR="009C6039" w:rsidRPr="00A10C7B" w:rsidRDefault="009C6039" w:rsidP="00B74185">
      <w:pPr>
        <w:tabs>
          <w:tab w:val="left" w:pos="8640"/>
        </w:tabs>
        <w:ind w:left="720" w:right="720"/>
        <w:jc w:val="both"/>
        <w:rPr>
          <w:rFonts w:asciiTheme="majorHAnsi" w:hAnsiTheme="majorHAnsi"/>
          <w:sz w:val="20"/>
          <w:szCs w:val="20"/>
          <w:lang w:val="es-ES" w:eastAsia="es-ES"/>
        </w:rPr>
      </w:pPr>
      <w:r w:rsidRPr="00A10C7B">
        <w:rPr>
          <w:rFonts w:asciiTheme="majorHAnsi" w:hAnsiTheme="majorHAnsi"/>
          <w:iCs/>
          <w:sz w:val="20"/>
          <w:szCs w:val="20"/>
          <w:lang w:val="es-ES" w:eastAsia="es-ES"/>
        </w:rPr>
        <w:t xml:space="preserve">Asimismo, a </w:t>
      </w:r>
      <w:r w:rsidRPr="00A10C7B">
        <w:rPr>
          <w:rFonts w:asciiTheme="majorHAnsi" w:hAnsiTheme="majorHAnsi"/>
          <w:sz w:val="20"/>
          <w:szCs w:val="20"/>
          <w:lang w:val="es-ES" w:eastAsia="es-ES"/>
        </w:rPr>
        <w:t>las entidades autorizadas (públicas y privadas)</w:t>
      </w:r>
      <w:r w:rsidRPr="00A10C7B">
        <w:rPr>
          <w:rFonts w:asciiTheme="majorHAnsi" w:hAnsiTheme="majorHAnsi"/>
          <w:iCs/>
          <w:sz w:val="20"/>
          <w:szCs w:val="20"/>
          <w:lang w:val="es-ES" w:eastAsia="es-ES"/>
        </w:rPr>
        <w:t>,</w:t>
      </w:r>
      <w:r w:rsidRPr="00A10C7B">
        <w:rPr>
          <w:rFonts w:asciiTheme="majorHAnsi" w:hAnsiTheme="majorHAnsi"/>
          <w:sz w:val="20"/>
          <w:szCs w:val="20"/>
          <w:lang w:val="es-ES" w:eastAsia="es-ES"/>
        </w:rPr>
        <w:t xml:space="preserve"> se les asignó la tramitación de las solicitudes de bono y se canalizó los recursos financieros en el Fondo de Subsidios para la Vivienda (FOSUVI), para subsidiar viviendas a las familias más necesitadas. </w:t>
      </w:r>
    </w:p>
    <w:p w:rsidR="00394AF3" w:rsidRPr="00A10C7B" w:rsidRDefault="00394AF3" w:rsidP="00B74185">
      <w:pPr>
        <w:tabs>
          <w:tab w:val="left" w:pos="8640"/>
        </w:tabs>
        <w:ind w:left="720" w:right="720"/>
        <w:jc w:val="both"/>
        <w:rPr>
          <w:rFonts w:asciiTheme="majorHAnsi" w:hAnsiTheme="majorHAnsi"/>
          <w:sz w:val="20"/>
          <w:szCs w:val="20"/>
          <w:lang w:val="es-ES"/>
        </w:rPr>
      </w:pPr>
    </w:p>
    <w:p w:rsidR="009C6039" w:rsidRPr="00A10C7B" w:rsidRDefault="009C6039" w:rsidP="00B74185">
      <w:pPr>
        <w:tabs>
          <w:tab w:val="left" w:pos="8640"/>
        </w:tabs>
        <w:ind w:left="720" w:right="720"/>
        <w:jc w:val="both"/>
        <w:rPr>
          <w:rFonts w:asciiTheme="majorHAnsi" w:hAnsiTheme="majorHAnsi"/>
          <w:iCs/>
          <w:sz w:val="20"/>
          <w:szCs w:val="20"/>
          <w:lang w:val="es-ES" w:eastAsia="es-ES"/>
        </w:rPr>
      </w:pPr>
      <w:r w:rsidRPr="00A10C7B">
        <w:rPr>
          <w:rFonts w:asciiTheme="majorHAnsi" w:hAnsiTheme="majorHAnsi"/>
          <w:sz w:val="20"/>
          <w:szCs w:val="20"/>
          <w:lang w:val="es-ES"/>
        </w:rPr>
        <w:t>Los aspectos que se han venido apuntando adquieren una especial connotación, debido a que una de las cooperativas autorizadas del sistema (</w:t>
      </w:r>
      <w:r w:rsidRPr="00A10C7B">
        <w:rPr>
          <w:rFonts w:asciiTheme="majorHAnsi" w:hAnsiTheme="majorHAnsi"/>
          <w:iCs/>
          <w:sz w:val="20"/>
          <w:szCs w:val="20"/>
          <w:lang w:val="es-ES"/>
        </w:rPr>
        <w:t xml:space="preserve">UNIVICOOP), indicada </w:t>
      </w:r>
      <w:r w:rsidRPr="00A10C7B">
        <w:rPr>
          <w:rFonts w:asciiTheme="majorHAnsi" w:hAnsiTheme="majorHAnsi"/>
          <w:iCs/>
          <w:sz w:val="20"/>
          <w:szCs w:val="20"/>
          <w:lang w:val="es-ES" w:eastAsia="es-ES"/>
        </w:rPr>
        <w:t>en la petición de la señora Emilia Morales Campos, fue liquidada por quiebra en los años noventa.</w:t>
      </w:r>
    </w:p>
    <w:p w:rsidR="00394AF3" w:rsidRPr="00A10C7B" w:rsidRDefault="00394AF3" w:rsidP="00B74185">
      <w:pPr>
        <w:tabs>
          <w:tab w:val="left" w:pos="8640"/>
        </w:tabs>
        <w:ind w:left="720" w:right="720"/>
        <w:jc w:val="both"/>
        <w:rPr>
          <w:rFonts w:asciiTheme="majorHAnsi" w:hAnsiTheme="majorHAnsi"/>
          <w:sz w:val="20"/>
          <w:szCs w:val="20"/>
          <w:lang w:val="es-ES"/>
        </w:rPr>
      </w:pPr>
    </w:p>
    <w:p w:rsidR="009C6039" w:rsidRPr="00A10C7B" w:rsidRDefault="009C6039" w:rsidP="00B74185">
      <w:pPr>
        <w:tabs>
          <w:tab w:val="left" w:pos="8640"/>
        </w:tabs>
        <w:ind w:left="720" w:right="720"/>
        <w:jc w:val="both"/>
        <w:rPr>
          <w:rFonts w:asciiTheme="majorHAnsi" w:hAnsiTheme="majorHAnsi"/>
          <w:sz w:val="20"/>
          <w:szCs w:val="20"/>
          <w:lang w:val="es-ES"/>
        </w:rPr>
      </w:pPr>
      <w:r w:rsidRPr="00A10C7B">
        <w:rPr>
          <w:rFonts w:asciiTheme="majorHAnsi" w:hAnsiTheme="majorHAnsi"/>
          <w:sz w:val="20"/>
          <w:szCs w:val="20"/>
          <w:lang w:val="es-ES" w:eastAsia="es-ES"/>
        </w:rPr>
        <w:t>El Estado costarricense considera fundamental</w:t>
      </w:r>
      <w:r w:rsidRPr="00A10C7B">
        <w:rPr>
          <w:rFonts w:asciiTheme="majorHAnsi" w:hAnsiTheme="majorHAnsi"/>
          <w:sz w:val="20"/>
          <w:szCs w:val="20"/>
          <w:lang w:val="es-ES"/>
        </w:rPr>
        <w:t xml:space="preserve"> señalar que la</w:t>
      </w:r>
      <w:r w:rsidRPr="00A10C7B">
        <w:rPr>
          <w:rFonts w:asciiTheme="majorHAnsi" w:hAnsiTheme="majorHAnsi"/>
          <w:iCs/>
          <w:sz w:val="20"/>
          <w:szCs w:val="20"/>
          <w:lang w:val="es-ES" w:eastAsia="es-ES"/>
        </w:rPr>
        <w:t xml:space="preserve"> quiebra de la cooperativa UNIVICOOP, así como de otras </w:t>
      </w:r>
      <w:r w:rsidRPr="00A10C7B">
        <w:rPr>
          <w:rFonts w:asciiTheme="majorHAnsi" w:hAnsiTheme="majorHAnsi"/>
          <w:sz w:val="20"/>
          <w:szCs w:val="20"/>
          <w:lang w:val="es-ES" w:eastAsia="es-ES"/>
        </w:rPr>
        <w:t>entidades autorizadas</w:t>
      </w:r>
      <w:r w:rsidRPr="00A10C7B">
        <w:rPr>
          <w:rFonts w:asciiTheme="majorHAnsi" w:hAnsiTheme="majorHAnsi"/>
          <w:iCs/>
          <w:sz w:val="20"/>
          <w:szCs w:val="20"/>
          <w:lang w:val="es-ES" w:eastAsia="es-ES"/>
        </w:rPr>
        <w:t xml:space="preserve"> en dicho período, implicó una serie de adaptaciones y cambios posteriores que fortalecieron al Sistema Financiero Nacional para la Vivienda (SNFV).</w:t>
      </w:r>
      <w:r w:rsidRPr="00A10C7B">
        <w:rPr>
          <w:rFonts w:asciiTheme="majorHAnsi" w:hAnsiTheme="majorHAnsi"/>
          <w:sz w:val="20"/>
          <w:szCs w:val="20"/>
          <w:lang w:val="es-ES"/>
        </w:rPr>
        <w:t xml:space="preserve"> </w:t>
      </w:r>
    </w:p>
    <w:p w:rsidR="009C6039" w:rsidRPr="00A10C7B" w:rsidRDefault="009C6039" w:rsidP="00B74185">
      <w:pPr>
        <w:tabs>
          <w:tab w:val="left" w:pos="8640"/>
        </w:tabs>
        <w:ind w:left="720" w:right="720"/>
        <w:jc w:val="both"/>
        <w:rPr>
          <w:rFonts w:asciiTheme="majorHAnsi" w:hAnsiTheme="majorHAnsi"/>
          <w:sz w:val="20"/>
          <w:szCs w:val="20"/>
          <w:lang w:val="es-ES"/>
        </w:rPr>
      </w:pPr>
    </w:p>
    <w:p w:rsidR="009C6039" w:rsidRPr="00A10C7B" w:rsidRDefault="009C6039" w:rsidP="00B74185">
      <w:pPr>
        <w:tabs>
          <w:tab w:val="left" w:pos="8640"/>
        </w:tabs>
        <w:ind w:left="720" w:right="720"/>
        <w:jc w:val="both"/>
        <w:rPr>
          <w:rFonts w:asciiTheme="majorHAnsi" w:eastAsia="Times New Roman" w:hAnsiTheme="majorHAnsi"/>
          <w:sz w:val="20"/>
          <w:szCs w:val="20"/>
          <w:lang w:val="es-ES" w:eastAsia="es-ES"/>
        </w:rPr>
      </w:pPr>
      <w:r w:rsidRPr="00A10C7B">
        <w:rPr>
          <w:rFonts w:asciiTheme="majorHAnsi" w:hAnsiTheme="majorHAnsi"/>
          <w:sz w:val="20"/>
          <w:szCs w:val="20"/>
          <w:lang w:val="es-ES"/>
        </w:rPr>
        <w:t xml:space="preserve">De </w:t>
      </w:r>
      <w:r w:rsidRPr="00A10C7B">
        <w:rPr>
          <w:rFonts w:asciiTheme="majorHAnsi" w:hAnsiTheme="majorHAnsi"/>
          <w:sz w:val="20"/>
          <w:szCs w:val="20"/>
          <w:lang w:val="es-UY" w:eastAsia="es-CR"/>
        </w:rPr>
        <w:t xml:space="preserve">lo anterior es relevante destacar que </w:t>
      </w:r>
      <w:r w:rsidRPr="00A10C7B">
        <w:rPr>
          <w:rFonts w:asciiTheme="majorHAnsi" w:hAnsiTheme="majorHAnsi"/>
          <w:sz w:val="20"/>
          <w:szCs w:val="20"/>
          <w:shd w:val="clear" w:color="auto" w:fill="FFFFFF"/>
          <w:lang w:val="es-ES"/>
        </w:rPr>
        <w:t xml:space="preserve">el </w:t>
      </w:r>
      <w:r w:rsidRPr="00A10C7B">
        <w:rPr>
          <w:rFonts w:asciiTheme="majorHAnsi" w:hAnsiTheme="majorHAnsi"/>
          <w:iCs/>
          <w:sz w:val="20"/>
          <w:szCs w:val="20"/>
          <w:lang w:val="es-ES" w:eastAsia="es-ES"/>
        </w:rPr>
        <w:t>SNFV</w:t>
      </w:r>
      <w:r w:rsidRPr="00A10C7B">
        <w:rPr>
          <w:rFonts w:asciiTheme="majorHAnsi" w:hAnsiTheme="majorHAnsi"/>
          <w:sz w:val="20"/>
          <w:szCs w:val="20"/>
          <w:shd w:val="clear" w:color="auto" w:fill="FFFFFF"/>
          <w:lang w:val="es-ES"/>
        </w:rPr>
        <w:t xml:space="preserve"> ha venido en franca evolución y ha procurado proveer de herramientas y mecanismos más claros de orientación para las personas que buscan soluciones de vivienda. Asimismo, </w:t>
      </w:r>
      <w:r w:rsidRPr="00A10C7B">
        <w:rPr>
          <w:rFonts w:asciiTheme="majorHAnsi" w:hAnsiTheme="majorHAnsi"/>
          <w:iCs/>
          <w:sz w:val="20"/>
          <w:szCs w:val="20"/>
          <w:lang w:val="es-ES" w:eastAsia="es-ES"/>
        </w:rPr>
        <w:t>el Estado costarricense ha instrumentalizado lo dispuesto en el artículo 65 de la Constitución Política</w:t>
      </w:r>
      <w:r w:rsidRPr="00A10C7B">
        <w:rPr>
          <w:rFonts w:asciiTheme="majorHAnsi" w:hAnsiTheme="majorHAnsi"/>
          <w:iCs/>
          <w:sz w:val="20"/>
          <w:szCs w:val="20"/>
          <w:vertAlign w:val="superscript"/>
          <w:lang w:eastAsia="es-ES"/>
        </w:rPr>
        <w:footnoteReference w:id="15"/>
      </w:r>
      <w:r w:rsidRPr="00A10C7B">
        <w:rPr>
          <w:rFonts w:asciiTheme="majorHAnsi" w:hAnsiTheme="majorHAnsi"/>
          <w:iCs/>
          <w:sz w:val="20"/>
          <w:szCs w:val="20"/>
          <w:lang w:val="es-ES" w:eastAsia="es-ES"/>
        </w:rPr>
        <w:t xml:space="preserve"> de la República de Costa Rica, y según sus capacidades económicas,</w:t>
      </w:r>
      <w:r w:rsidRPr="00A10C7B">
        <w:rPr>
          <w:rFonts w:asciiTheme="majorHAnsi" w:hAnsiTheme="majorHAnsi"/>
          <w:sz w:val="20"/>
          <w:szCs w:val="20"/>
          <w:lang w:val="es-ES"/>
        </w:rPr>
        <w:t xml:space="preserve"> se ha permitido que a lo largo de la historia del Sistema Financiero Nacional para la Vivienda (SNFV) se haya solucionado en Costa Rica un total de 342.201</w:t>
      </w:r>
      <w:r w:rsidRPr="00A10C7B">
        <w:rPr>
          <w:rStyle w:val="FootnoteReference"/>
          <w:rFonts w:asciiTheme="majorHAnsi" w:hAnsiTheme="majorHAnsi"/>
          <w:sz w:val="20"/>
          <w:szCs w:val="20"/>
        </w:rPr>
        <w:footnoteReference w:id="16"/>
      </w:r>
      <w:r w:rsidRPr="00A10C7B">
        <w:rPr>
          <w:rFonts w:asciiTheme="majorHAnsi" w:hAnsiTheme="majorHAnsi"/>
          <w:sz w:val="20"/>
          <w:szCs w:val="20"/>
          <w:lang w:val="es-ES"/>
        </w:rPr>
        <w:t xml:space="preserve"> situaciones de vivienda con cargo a fondos públicos</w:t>
      </w:r>
      <w:r w:rsidRPr="00A10C7B">
        <w:rPr>
          <w:rFonts w:asciiTheme="majorHAnsi" w:hAnsiTheme="majorHAnsi"/>
          <w:iCs/>
          <w:sz w:val="20"/>
          <w:szCs w:val="20"/>
          <w:lang w:val="es-ES" w:eastAsia="es-ES"/>
        </w:rPr>
        <w:t>.</w:t>
      </w:r>
      <w:r w:rsidRPr="00A10C7B">
        <w:rPr>
          <w:rFonts w:asciiTheme="majorHAnsi" w:eastAsia="Times New Roman" w:hAnsiTheme="majorHAnsi"/>
          <w:sz w:val="20"/>
          <w:szCs w:val="20"/>
          <w:lang w:val="es-ES" w:eastAsia="es-ES"/>
        </w:rPr>
        <w:t xml:space="preserve"> </w:t>
      </w:r>
    </w:p>
    <w:p w:rsidR="009C6039" w:rsidRPr="00A10C7B" w:rsidRDefault="009C6039" w:rsidP="00B74185">
      <w:pPr>
        <w:tabs>
          <w:tab w:val="left" w:pos="8640"/>
        </w:tabs>
        <w:ind w:left="720" w:right="720"/>
        <w:jc w:val="both"/>
        <w:rPr>
          <w:rFonts w:asciiTheme="majorHAnsi" w:eastAsia="Times New Roman" w:hAnsiTheme="majorHAnsi"/>
          <w:sz w:val="20"/>
          <w:szCs w:val="20"/>
          <w:lang w:val="es-ES" w:eastAsia="es-ES"/>
        </w:rPr>
      </w:pPr>
    </w:p>
    <w:p w:rsidR="009C6039" w:rsidRPr="00A10C7B" w:rsidRDefault="009C6039" w:rsidP="00B74185">
      <w:pPr>
        <w:tabs>
          <w:tab w:val="left" w:pos="8640"/>
        </w:tabs>
        <w:ind w:left="720" w:right="720"/>
        <w:jc w:val="both"/>
        <w:rPr>
          <w:rFonts w:asciiTheme="majorHAnsi" w:hAnsiTheme="majorHAnsi"/>
          <w:sz w:val="20"/>
          <w:szCs w:val="20"/>
          <w:shd w:val="clear" w:color="auto" w:fill="FFFFFF"/>
          <w:lang w:val="es-ES"/>
        </w:rPr>
      </w:pPr>
      <w:r w:rsidRPr="00A10C7B">
        <w:rPr>
          <w:rFonts w:asciiTheme="majorHAnsi" w:hAnsiTheme="majorHAnsi"/>
          <w:sz w:val="20"/>
          <w:szCs w:val="20"/>
          <w:lang w:val="es-ES"/>
        </w:rPr>
        <w:t>El Estado</w:t>
      </w:r>
      <w:r w:rsidRPr="00A10C7B">
        <w:rPr>
          <w:rFonts w:asciiTheme="majorHAnsi" w:eastAsia="Times New Roman" w:hAnsiTheme="majorHAnsi"/>
          <w:sz w:val="20"/>
          <w:szCs w:val="20"/>
          <w:lang w:val="es-ES" w:eastAsia="es-ES"/>
        </w:rPr>
        <w:t xml:space="preserve"> ha venido actuando con la mayor buena fe y ha venido tomando todas las medidas a su alcance desde toda su institucionalidad para atender lo dispuesto en </w:t>
      </w:r>
      <w:r w:rsidRPr="00A10C7B">
        <w:rPr>
          <w:rFonts w:asciiTheme="majorHAnsi" w:hAnsiTheme="majorHAnsi"/>
          <w:sz w:val="20"/>
          <w:szCs w:val="20"/>
          <w:lang w:val="es-ES"/>
        </w:rPr>
        <w:t>el artículo 2 de la Convención Americana.</w:t>
      </w:r>
      <w:r w:rsidRPr="00A10C7B">
        <w:rPr>
          <w:rFonts w:asciiTheme="majorHAnsi" w:eastAsia="Times New Roman" w:hAnsiTheme="majorHAnsi"/>
          <w:sz w:val="20"/>
          <w:szCs w:val="20"/>
          <w:lang w:val="es-ES" w:eastAsia="es-ES"/>
        </w:rPr>
        <w:t xml:space="preserve"> No obstante</w:t>
      </w:r>
      <w:r w:rsidRPr="00A10C7B">
        <w:rPr>
          <w:rFonts w:asciiTheme="majorHAnsi" w:hAnsiTheme="majorHAnsi"/>
          <w:sz w:val="20"/>
          <w:szCs w:val="20"/>
          <w:lang w:val="es-ES"/>
        </w:rPr>
        <w:t>, frente al particular y</w:t>
      </w:r>
      <w:r w:rsidRPr="00A10C7B">
        <w:rPr>
          <w:rFonts w:asciiTheme="majorHAnsi" w:hAnsiTheme="majorHAnsi"/>
          <w:sz w:val="20"/>
          <w:szCs w:val="20"/>
          <w:lang w:val="es-AR"/>
        </w:rPr>
        <w:t xml:space="preserve"> </w:t>
      </w:r>
      <w:r w:rsidRPr="00A10C7B">
        <w:rPr>
          <w:rFonts w:asciiTheme="majorHAnsi" w:hAnsiTheme="majorHAnsi"/>
          <w:sz w:val="20"/>
          <w:szCs w:val="20"/>
          <w:lang w:val="es-ES"/>
        </w:rPr>
        <w:t>excepcional Caso 12.942, según el contexto actual, el Estado no puede obviar que, a</w:t>
      </w:r>
      <w:r w:rsidRPr="00A10C7B">
        <w:rPr>
          <w:rFonts w:asciiTheme="majorHAnsi" w:hAnsiTheme="majorHAnsi"/>
          <w:iCs/>
          <w:sz w:val="20"/>
          <w:szCs w:val="20"/>
          <w:lang w:val="es-ES" w:eastAsia="es-ES"/>
        </w:rPr>
        <w:t xml:space="preserve"> pesar de que la señora Emilia Morales Campos tuvo acceso a los mecanismos estatales para la obtención de una vivienda digna,</w:t>
      </w:r>
      <w:r w:rsidRPr="00A10C7B">
        <w:rPr>
          <w:rFonts w:asciiTheme="majorHAnsi" w:hAnsiTheme="majorHAnsi"/>
          <w:sz w:val="20"/>
          <w:szCs w:val="20"/>
          <w:shd w:val="clear" w:color="auto" w:fill="FFFFFF"/>
          <w:lang w:val="es-ES"/>
        </w:rPr>
        <w:t xml:space="preserve"> la situación de la peticionaria (Emilia Morales Campos) se dio en un contexto donde no existían procedimientos claros (estandarizados) o al menos mecanismos de orientación para las personas usuarias que buscaban soluciones de vivienda. </w:t>
      </w:r>
    </w:p>
    <w:p w:rsidR="009C6039" w:rsidRPr="00A10C7B" w:rsidRDefault="009C6039" w:rsidP="00B74185">
      <w:pPr>
        <w:tabs>
          <w:tab w:val="left" w:pos="8640"/>
        </w:tabs>
        <w:ind w:left="720" w:right="720"/>
        <w:jc w:val="both"/>
        <w:rPr>
          <w:rFonts w:asciiTheme="majorHAnsi" w:eastAsia="Times New Roman" w:hAnsiTheme="majorHAnsi"/>
          <w:sz w:val="20"/>
          <w:szCs w:val="20"/>
          <w:lang w:val="es-ES" w:eastAsia="es-ES"/>
        </w:rPr>
      </w:pPr>
    </w:p>
    <w:p w:rsidR="009C6039" w:rsidRPr="00A10C7B" w:rsidRDefault="009C6039" w:rsidP="00B74185">
      <w:pPr>
        <w:tabs>
          <w:tab w:val="left" w:pos="8640"/>
        </w:tabs>
        <w:ind w:left="720" w:right="720"/>
        <w:jc w:val="both"/>
        <w:rPr>
          <w:rFonts w:asciiTheme="majorHAnsi" w:hAnsiTheme="majorHAnsi"/>
          <w:sz w:val="20"/>
          <w:szCs w:val="20"/>
          <w:lang w:val="es-ES"/>
        </w:rPr>
      </w:pPr>
      <w:r w:rsidRPr="00A10C7B">
        <w:rPr>
          <w:rFonts w:asciiTheme="majorHAnsi" w:hAnsiTheme="majorHAnsi"/>
          <w:sz w:val="20"/>
          <w:szCs w:val="20"/>
          <w:lang w:val="es-ES"/>
        </w:rPr>
        <w:t xml:space="preserve">En acuerdo con la peticionaria (Emilia Morales Campos), el Estado costarricense mediante el Ministerio de Relaciones Exteriores y Culto se compromete en el momento de suscripción de este Acuerdo de Solución Amistosa, a emitir un comunicado de prensa, </w:t>
      </w:r>
      <w:r w:rsidRPr="00A10C7B">
        <w:rPr>
          <w:rFonts w:asciiTheme="majorHAnsi" w:eastAsia="Times New Roman" w:hAnsiTheme="majorHAnsi"/>
          <w:sz w:val="20"/>
          <w:szCs w:val="20"/>
          <w:lang w:val="es-ES_tradnl" w:eastAsia="es-CR"/>
        </w:rPr>
        <w:t xml:space="preserve">reconociendo </w:t>
      </w:r>
      <w:r w:rsidRPr="00A10C7B">
        <w:rPr>
          <w:rFonts w:asciiTheme="majorHAnsi" w:hAnsiTheme="majorHAnsi"/>
          <w:sz w:val="20"/>
          <w:szCs w:val="20"/>
          <w:lang w:val="es-ES"/>
        </w:rPr>
        <w:t>a la peticionaria (Emilia Morales Campos de 63 años de edad), su colaboración estrecha en este proceso</w:t>
      </w:r>
      <w:r w:rsidRPr="00A10C7B">
        <w:rPr>
          <w:rFonts w:asciiTheme="majorHAnsi" w:eastAsia="Times New Roman" w:hAnsiTheme="majorHAnsi"/>
          <w:sz w:val="20"/>
          <w:szCs w:val="20"/>
          <w:lang w:val="es-ES_tradnl" w:eastAsia="es-CR"/>
        </w:rPr>
        <w:t xml:space="preserve">, su activismo con perfil de Derechos Humanos, siempre sujeto al principio de legalidad y al sistema democrático costarricense, para </w:t>
      </w:r>
      <w:r w:rsidRPr="00A10C7B">
        <w:rPr>
          <w:rFonts w:asciiTheme="majorHAnsi" w:eastAsia="Times New Roman" w:hAnsiTheme="majorHAnsi"/>
          <w:sz w:val="20"/>
          <w:szCs w:val="20"/>
          <w:lang w:val="es-ES" w:eastAsia="es-ES_tradnl"/>
        </w:rPr>
        <w:t xml:space="preserve">consolidar la solución amistosa </w:t>
      </w:r>
      <w:r w:rsidRPr="00A10C7B">
        <w:rPr>
          <w:rFonts w:asciiTheme="majorHAnsi" w:eastAsia="Times New Roman" w:hAnsiTheme="majorHAnsi"/>
          <w:sz w:val="20"/>
          <w:szCs w:val="20"/>
          <w:lang w:val="es-MX" w:eastAsia="es-ES"/>
        </w:rPr>
        <w:t>del Caso 12.942.</w:t>
      </w:r>
      <w:r w:rsidRPr="00A10C7B">
        <w:rPr>
          <w:rFonts w:asciiTheme="majorHAnsi" w:hAnsiTheme="majorHAnsi"/>
          <w:sz w:val="20"/>
          <w:szCs w:val="20"/>
          <w:lang w:val="es-ES"/>
        </w:rPr>
        <w:t xml:space="preserve"> </w:t>
      </w:r>
      <w:r w:rsidRPr="00A10C7B">
        <w:rPr>
          <w:rFonts w:asciiTheme="majorHAnsi" w:eastAsia="Times New Roman" w:hAnsiTheme="majorHAnsi"/>
          <w:sz w:val="20"/>
          <w:szCs w:val="20"/>
          <w:lang w:val="es-ES" w:eastAsia="es-CR"/>
        </w:rPr>
        <w:t xml:space="preserve">Igualmente, el Estado reconoce la </w:t>
      </w:r>
      <w:r w:rsidRPr="00A10C7B">
        <w:rPr>
          <w:rFonts w:asciiTheme="majorHAnsi" w:eastAsia="Times New Roman" w:hAnsiTheme="majorHAnsi"/>
          <w:sz w:val="20"/>
          <w:szCs w:val="20"/>
          <w:lang w:val="es-MX" w:eastAsia="es-CR"/>
        </w:rPr>
        <w:t>incansable lucha de la peticionaria (Emilia Morales Campos</w:t>
      </w:r>
      <w:r w:rsidRPr="00A10C7B">
        <w:rPr>
          <w:rFonts w:asciiTheme="majorHAnsi" w:hAnsiTheme="majorHAnsi"/>
          <w:sz w:val="20"/>
          <w:szCs w:val="20"/>
          <w:lang w:val="es-ES"/>
        </w:rPr>
        <w:t xml:space="preserve"> de 63 años de edad</w:t>
      </w:r>
      <w:r w:rsidRPr="00A10C7B">
        <w:rPr>
          <w:rFonts w:asciiTheme="majorHAnsi" w:eastAsia="Times New Roman" w:hAnsiTheme="majorHAnsi"/>
          <w:sz w:val="20"/>
          <w:szCs w:val="20"/>
          <w:lang w:val="es-MX" w:eastAsia="es-CR"/>
        </w:rPr>
        <w:t>)</w:t>
      </w:r>
      <w:r w:rsidRPr="00A10C7B">
        <w:rPr>
          <w:rFonts w:asciiTheme="majorHAnsi" w:eastAsia="Times New Roman" w:hAnsiTheme="majorHAnsi"/>
          <w:sz w:val="20"/>
          <w:szCs w:val="20"/>
          <w:lang w:val="es-ES" w:eastAsia="es-CR"/>
        </w:rPr>
        <w:t xml:space="preserve"> </w:t>
      </w:r>
      <w:r w:rsidRPr="00A10C7B">
        <w:rPr>
          <w:rFonts w:asciiTheme="majorHAnsi" w:eastAsia="Times New Roman" w:hAnsiTheme="majorHAnsi"/>
          <w:sz w:val="20"/>
          <w:szCs w:val="20"/>
          <w:lang w:val="es-MX" w:eastAsia="es-CR"/>
        </w:rPr>
        <w:t>durante todo este tiempo</w:t>
      </w:r>
      <w:r w:rsidRPr="00A10C7B">
        <w:rPr>
          <w:rFonts w:asciiTheme="majorHAnsi" w:eastAsia="Times New Roman" w:hAnsiTheme="majorHAnsi"/>
          <w:sz w:val="20"/>
          <w:szCs w:val="20"/>
          <w:lang w:val="es-ES" w:eastAsia="es-ES_tradnl"/>
        </w:rPr>
        <w:t xml:space="preserve"> </w:t>
      </w:r>
      <w:r w:rsidRPr="00A10C7B">
        <w:rPr>
          <w:rFonts w:asciiTheme="majorHAnsi" w:hAnsiTheme="majorHAnsi"/>
          <w:sz w:val="20"/>
          <w:szCs w:val="20"/>
          <w:lang w:val="es-ES"/>
        </w:rPr>
        <w:t>(12 años en la CIDH)</w:t>
      </w:r>
      <w:r w:rsidRPr="00A10C7B">
        <w:rPr>
          <w:rFonts w:asciiTheme="majorHAnsi" w:eastAsia="Times New Roman" w:hAnsiTheme="majorHAnsi"/>
          <w:sz w:val="20"/>
          <w:szCs w:val="20"/>
          <w:lang w:val="es-MX" w:eastAsia="es-CR"/>
        </w:rPr>
        <w:t>, primeramente</w:t>
      </w:r>
      <w:r w:rsidRPr="00A10C7B">
        <w:rPr>
          <w:rFonts w:asciiTheme="majorHAnsi" w:hAnsiTheme="majorHAnsi"/>
          <w:sz w:val="20"/>
          <w:szCs w:val="20"/>
          <w:lang w:val="es-ES"/>
        </w:rPr>
        <w:t xml:space="preserve"> en favor de su hija</w:t>
      </w:r>
      <w:r w:rsidRPr="00A10C7B">
        <w:rPr>
          <w:rFonts w:asciiTheme="majorHAnsi" w:hAnsiTheme="majorHAnsi"/>
          <w:sz w:val="20"/>
          <w:szCs w:val="20"/>
          <w:lang w:val="es-ES" w:eastAsia="es-CO"/>
        </w:rPr>
        <w:t xml:space="preserve"> </w:t>
      </w:r>
      <w:r w:rsidRPr="00A10C7B">
        <w:rPr>
          <w:rFonts w:asciiTheme="majorHAnsi" w:hAnsiTheme="majorHAnsi"/>
          <w:sz w:val="20"/>
          <w:szCs w:val="20"/>
          <w:lang w:val="es-ES"/>
        </w:rPr>
        <w:t>(</w:t>
      </w:r>
      <w:r w:rsidRPr="00A10C7B">
        <w:rPr>
          <w:rFonts w:asciiTheme="majorHAnsi" w:hAnsiTheme="majorHAnsi"/>
          <w:sz w:val="20"/>
          <w:szCs w:val="20"/>
          <w:lang w:val="es-ES" w:eastAsia="es-CO"/>
        </w:rPr>
        <w:t>Jennifer Emilia Morales Campos) persona menor edad al inicio de este proceso,</w:t>
      </w:r>
      <w:r w:rsidRPr="00A10C7B">
        <w:rPr>
          <w:rFonts w:asciiTheme="majorHAnsi" w:hAnsiTheme="majorHAnsi"/>
          <w:sz w:val="20"/>
          <w:szCs w:val="20"/>
          <w:lang w:val="es-ES"/>
        </w:rPr>
        <w:t xml:space="preserve"> y actualmente en favor de su nieta menor de edad (</w:t>
      </w:r>
      <w:r w:rsidR="00991738" w:rsidRPr="00A10C7B">
        <w:rPr>
          <w:rFonts w:asciiTheme="majorHAnsi" w:eastAsia="Times New Roman" w:hAnsiTheme="majorHAnsi"/>
          <w:sz w:val="20"/>
          <w:szCs w:val="20"/>
          <w:lang w:val="es-ES" w:eastAsia="es-CR"/>
        </w:rPr>
        <w:t>IMM</w:t>
      </w:r>
      <w:r w:rsidRPr="00A10C7B">
        <w:rPr>
          <w:rFonts w:asciiTheme="majorHAnsi" w:eastAsia="Times New Roman" w:hAnsiTheme="majorHAnsi"/>
          <w:sz w:val="20"/>
          <w:szCs w:val="20"/>
          <w:lang w:val="es-ES" w:eastAsia="es-CR"/>
        </w:rPr>
        <w:t>)</w:t>
      </w:r>
      <w:r w:rsidRPr="00A10C7B">
        <w:rPr>
          <w:rFonts w:asciiTheme="majorHAnsi" w:hAnsiTheme="majorHAnsi"/>
          <w:sz w:val="20"/>
          <w:szCs w:val="20"/>
          <w:lang w:val="es-ES"/>
        </w:rPr>
        <w:t xml:space="preserve">. </w:t>
      </w:r>
      <w:r w:rsidRPr="00A10C7B">
        <w:rPr>
          <w:rFonts w:asciiTheme="majorHAnsi" w:eastAsia="Times New Roman" w:hAnsiTheme="majorHAnsi"/>
          <w:sz w:val="20"/>
          <w:szCs w:val="20"/>
          <w:lang w:val="es-ES" w:eastAsia="es-CR"/>
        </w:rPr>
        <w:t>El comunicado de prensa que emita la Cancillería</w:t>
      </w:r>
      <w:r w:rsidRPr="00A10C7B">
        <w:rPr>
          <w:rFonts w:asciiTheme="majorHAnsi" w:hAnsiTheme="majorHAnsi"/>
          <w:sz w:val="20"/>
          <w:szCs w:val="20"/>
          <w:lang w:val="es-ES" w:eastAsia="ar-SA"/>
        </w:rPr>
        <w:t xml:space="preserve"> en relación con el caso 12.942 </w:t>
      </w:r>
      <w:r w:rsidRPr="00A10C7B">
        <w:rPr>
          <w:rFonts w:asciiTheme="majorHAnsi" w:hAnsiTheme="majorHAnsi"/>
          <w:sz w:val="20"/>
          <w:szCs w:val="20"/>
          <w:lang w:val="es-ES"/>
        </w:rPr>
        <w:t>será publicado en el sitio web del Ministerio de Relaciones Exteriores y Culto y será circulado a los medios de prensa, así como en redes sociales.</w:t>
      </w:r>
    </w:p>
    <w:p w:rsidR="009C6039" w:rsidRPr="00A10C7B" w:rsidRDefault="009C6039" w:rsidP="00B74185">
      <w:pPr>
        <w:tabs>
          <w:tab w:val="left" w:pos="8640"/>
        </w:tabs>
        <w:ind w:left="720" w:right="720"/>
        <w:jc w:val="both"/>
        <w:rPr>
          <w:rFonts w:asciiTheme="majorHAnsi" w:eastAsia="Times New Roman" w:hAnsiTheme="majorHAnsi"/>
          <w:sz w:val="20"/>
          <w:szCs w:val="20"/>
          <w:lang w:val="es-MX" w:eastAsia="es-ES"/>
        </w:rPr>
      </w:pPr>
    </w:p>
    <w:p w:rsidR="009C6039" w:rsidRPr="00A10C7B" w:rsidRDefault="009C6039" w:rsidP="00B74185">
      <w:pPr>
        <w:keepNext/>
        <w:keepLines/>
        <w:tabs>
          <w:tab w:val="left" w:pos="8640"/>
        </w:tabs>
        <w:ind w:left="720" w:right="720"/>
        <w:jc w:val="center"/>
        <w:outlineLvl w:val="0"/>
        <w:rPr>
          <w:rFonts w:asciiTheme="majorHAnsi" w:hAnsiTheme="majorHAnsi"/>
          <w:b/>
          <w:sz w:val="20"/>
          <w:szCs w:val="20"/>
        </w:rPr>
      </w:pPr>
      <w:r w:rsidRPr="00A10C7B">
        <w:rPr>
          <w:rFonts w:asciiTheme="majorHAnsi" w:hAnsiTheme="majorHAnsi"/>
          <w:b/>
          <w:sz w:val="20"/>
          <w:szCs w:val="20"/>
        </w:rPr>
        <w:lastRenderedPageBreak/>
        <w:t>MEDIDA DE REPARACIÓN INDIVIDUAL</w:t>
      </w:r>
    </w:p>
    <w:p w:rsidR="00394AF3" w:rsidRPr="00A10C7B" w:rsidRDefault="00394AF3" w:rsidP="00B74185">
      <w:pPr>
        <w:keepNext/>
        <w:keepLines/>
        <w:tabs>
          <w:tab w:val="left" w:pos="1080"/>
        </w:tabs>
        <w:ind w:left="720" w:right="720"/>
        <w:jc w:val="center"/>
        <w:outlineLvl w:val="0"/>
        <w:rPr>
          <w:rFonts w:asciiTheme="majorHAnsi" w:hAnsiTheme="majorHAnsi"/>
          <w:b/>
          <w:sz w:val="20"/>
          <w:szCs w:val="20"/>
        </w:rPr>
      </w:pPr>
    </w:p>
    <w:p w:rsidR="009C6039" w:rsidRPr="00A10C7B" w:rsidRDefault="009C6039" w:rsidP="00B74185">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firstLine="0"/>
        <w:contextualSpacing/>
        <w:jc w:val="both"/>
        <w:rPr>
          <w:rFonts w:asciiTheme="majorHAnsi" w:hAnsiTheme="majorHAnsi"/>
          <w:sz w:val="20"/>
          <w:szCs w:val="20"/>
          <w:lang w:val="es-MX"/>
        </w:rPr>
      </w:pPr>
      <w:r w:rsidRPr="00A10C7B">
        <w:rPr>
          <w:rFonts w:asciiTheme="majorHAnsi" w:eastAsia="Times New Roman" w:hAnsiTheme="majorHAnsi"/>
          <w:sz w:val="20"/>
          <w:szCs w:val="20"/>
          <w:lang w:val="es-ES_tradnl" w:eastAsia="es-CR"/>
        </w:rPr>
        <w:t>Una medida de reparación es el reconocimiento que hace el Estado</w:t>
      </w:r>
      <w:r w:rsidRPr="00A10C7B">
        <w:rPr>
          <w:rFonts w:asciiTheme="majorHAnsi" w:eastAsia="Calibri" w:hAnsiTheme="majorHAnsi"/>
          <w:sz w:val="20"/>
          <w:szCs w:val="20"/>
          <w:lang w:val="es-ES"/>
        </w:rPr>
        <w:t xml:space="preserve"> costarricense,</w:t>
      </w:r>
      <w:r w:rsidRPr="00A10C7B">
        <w:rPr>
          <w:rFonts w:asciiTheme="majorHAnsi" w:eastAsia="Times New Roman" w:hAnsiTheme="majorHAnsi"/>
          <w:sz w:val="20"/>
          <w:szCs w:val="20"/>
          <w:lang w:val="es-ES_tradnl" w:eastAsia="es-CR"/>
        </w:rPr>
        <w:t xml:space="preserve"> mediante el Ministerio de Relaciones Exteriores y Culto, de la </w:t>
      </w:r>
      <w:r w:rsidRPr="00A10C7B">
        <w:rPr>
          <w:rFonts w:asciiTheme="majorHAnsi" w:hAnsiTheme="majorHAnsi"/>
          <w:sz w:val="20"/>
          <w:szCs w:val="20"/>
          <w:lang w:val="es-ES"/>
        </w:rPr>
        <w:t>colaboración estrecha</w:t>
      </w:r>
      <w:r w:rsidRPr="00A10C7B">
        <w:rPr>
          <w:rFonts w:asciiTheme="majorHAnsi" w:eastAsia="Calibri" w:hAnsiTheme="majorHAnsi"/>
          <w:sz w:val="20"/>
          <w:szCs w:val="20"/>
          <w:lang w:val="es-ES" w:eastAsia="en-US"/>
        </w:rPr>
        <w:t xml:space="preserve"> de la peticionaria Emilia Morales Campos de 63 años de edad en este proceso</w:t>
      </w:r>
      <w:r w:rsidRPr="00A10C7B">
        <w:rPr>
          <w:rFonts w:asciiTheme="majorHAnsi" w:eastAsia="Times New Roman" w:hAnsiTheme="majorHAnsi"/>
          <w:sz w:val="20"/>
          <w:szCs w:val="20"/>
          <w:lang w:val="es-ES_tradnl" w:eastAsia="es-CR"/>
        </w:rPr>
        <w:t xml:space="preserve">, su activismo con perfil de Derechos Humanos, siempre sujeto al principio de legalidad y al sistema democrático costarricense, para </w:t>
      </w:r>
      <w:r w:rsidRPr="00A10C7B">
        <w:rPr>
          <w:rFonts w:asciiTheme="majorHAnsi" w:eastAsia="Times New Roman" w:hAnsiTheme="majorHAnsi"/>
          <w:sz w:val="20"/>
          <w:szCs w:val="20"/>
          <w:lang w:val="es-ES" w:eastAsia="es-ES_tradnl"/>
        </w:rPr>
        <w:t xml:space="preserve">consolidar la solución amistosa </w:t>
      </w:r>
      <w:r w:rsidRPr="00A10C7B">
        <w:rPr>
          <w:rFonts w:asciiTheme="majorHAnsi" w:eastAsia="Times New Roman" w:hAnsiTheme="majorHAnsi"/>
          <w:sz w:val="20"/>
          <w:szCs w:val="20"/>
          <w:lang w:val="es-MX"/>
        </w:rPr>
        <w:t>del Caso 12.942.</w:t>
      </w:r>
    </w:p>
    <w:p w:rsidR="009C6039" w:rsidRPr="00A10C7B" w:rsidRDefault="009C6039" w:rsidP="00B74185">
      <w:pPr>
        <w:pStyle w:val="ListParagraph"/>
        <w:tabs>
          <w:tab w:val="left" w:pos="1080"/>
        </w:tabs>
        <w:ind w:right="720"/>
        <w:contextualSpacing/>
        <w:jc w:val="both"/>
        <w:rPr>
          <w:rFonts w:asciiTheme="majorHAnsi" w:hAnsiTheme="majorHAnsi"/>
          <w:sz w:val="20"/>
          <w:szCs w:val="20"/>
          <w:u w:val="single"/>
          <w:lang w:val="es-MX"/>
        </w:rPr>
      </w:pPr>
    </w:p>
    <w:p w:rsidR="009C6039" w:rsidRPr="00A10C7B" w:rsidRDefault="009C6039" w:rsidP="00B74185">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firstLine="0"/>
        <w:contextualSpacing/>
        <w:jc w:val="both"/>
        <w:rPr>
          <w:rFonts w:asciiTheme="majorHAnsi" w:eastAsia="Times New Roman" w:hAnsiTheme="majorHAnsi"/>
          <w:bCs/>
          <w:sz w:val="20"/>
          <w:szCs w:val="20"/>
          <w:lang w:val="es-ES"/>
        </w:rPr>
      </w:pPr>
      <w:r w:rsidRPr="00A10C7B">
        <w:rPr>
          <w:rFonts w:asciiTheme="majorHAnsi" w:eastAsia="Times New Roman" w:hAnsiTheme="majorHAnsi"/>
          <w:sz w:val="20"/>
          <w:szCs w:val="20"/>
          <w:lang w:val="es-ES" w:eastAsia="es-CR"/>
        </w:rPr>
        <w:t>La segunda medida de reparación es la entrega de una casa de habitación bajo el esquema de Bono Familiar de Vivienda del SFNV, que se construirá en</w:t>
      </w:r>
      <w:r w:rsidRPr="00A10C7B">
        <w:rPr>
          <w:rFonts w:asciiTheme="majorHAnsi" w:eastAsia="Times New Roman" w:hAnsiTheme="majorHAnsi"/>
          <w:bCs/>
          <w:sz w:val="20"/>
          <w:szCs w:val="20"/>
          <w:lang w:val="es-ES"/>
        </w:rPr>
        <w:t xml:space="preserve"> el</w:t>
      </w:r>
      <w:r w:rsidRPr="00A10C7B">
        <w:rPr>
          <w:rFonts w:asciiTheme="majorHAnsi" w:eastAsia="Times New Roman" w:hAnsiTheme="majorHAnsi"/>
          <w:sz w:val="20"/>
          <w:szCs w:val="20"/>
          <w:lang w:val="es-ES"/>
        </w:rPr>
        <w:t xml:space="preserve"> Lote N°4 </w:t>
      </w:r>
      <w:r w:rsidRPr="00A10C7B">
        <w:rPr>
          <w:rFonts w:asciiTheme="majorHAnsi" w:hAnsiTheme="majorHAnsi"/>
          <w:color w:val="222222"/>
          <w:sz w:val="20"/>
          <w:szCs w:val="20"/>
          <w:lang w:val="es-ES"/>
        </w:rPr>
        <w:t xml:space="preserve">del Proyecto de Calle La </w:t>
      </w:r>
      <w:proofErr w:type="spellStart"/>
      <w:r w:rsidRPr="00A10C7B">
        <w:rPr>
          <w:rFonts w:asciiTheme="majorHAnsi" w:hAnsiTheme="majorHAnsi"/>
          <w:color w:val="222222"/>
          <w:sz w:val="20"/>
          <w:szCs w:val="20"/>
          <w:lang w:val="es-ES"/>
        </w:rPr>
        <w:t>Cedeña</w:t>
      </w:r>
      <w:proofErr w:type="spellEnd"/>
      <w:r w:rsidRPr="00A10C7B">
        <w:rPr>
          <w:rFonts w:asciiTheme="majorHAnsi" w:eastAsia="Times New Roman" w:hAnsiTheme="majorHAnsi"/>
          <w:bCs/>
          <w:sz w:val="20"/>
          <w:szCs w:val="20"/>
          <w:lang w:val="es-ES"/>
        </w:rPr>
        <w:t>. La escogencia y aceptación de este lote por la parte peticionaria se da por l</w:t>
      </w:r>
      <w:r w:rsidRPr="00A10C7B">
        <w:rPr>
          <w:rFonts w:asciiTheme="majorHAnsi" w:hAnsiTheme="majorHAnsi"/>
          <w:sz w:val="20"/>
          <w:szCs w:val="20"/>
          <w:lang w:val="es-ES_tradnl"/>
        </w:rPr>
        <w:t>as </w:t>
      </w:r>
      <w:r w:rsidRPr="00A10C7B">
        <w:rPr>
          <w:rFonts w:asciiTheme="majorHAnsi" w:hAnsiTheme="majorHAnsi"/>
          <w:sz w:val="20"/>
          <w:szCs w:val="20"/>
          <w:lang w:val="es-ES"/>
        </w:rPr>
        <w:t>características</w:t>
      </w:r>
      <w:r w:rsidRPr="00A10C7B">
        <w:rPr>
          <w:rFonts w:asciiTheme="majorHAnsi" w:hAnsiTheme="majorHAnsi"/>
          <w:sz w:val="20"/>
          <w:szCs w:val="20"/>
          <w:lang w:val="es-ES_tradnl"/>
        </w:rPr>
        <w:t> </w:t>
      </w:r>
      <w:r w:rsidRPr="00A10C7B">
        <w:rPr>
          <w:rFonts w:asciiTheme="majorHAnsi" w:hAnsiTheme="majorHAnsi"/>
          <w:sz w:val="20"/>
          <w:szCs w:val="20"/>
          <w:lang w:val="es-ES"/>
        </w:rPr>
        <w:t>puntualizadas a continuación:</w:t>
      </w:r>
    </w:p>
    <w:p w:rsidR="009C6039" w:rsidRPr="00A10C7B" w:rsidRDefault="009C6039" w:rsidP="00B7418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contextualSpacing/>
        <w:jc w:val="both"/>
        <w:rPr>
          <w:rFonts w:asciiTheme="majorHAnsi" w:eastAsia="Times New Roman" w:hAnsiTheme="majorHAnsi"/>
          <w:bCs/>
          <w:sz w:val="20"/>
          <w:szCs w:val="20"/>
          <w:lang w:val="es-ES"/>
        </w:rPr>
      </w:pPr>
    </w:p>
    <w:p w:rsidR="009C6039" w:rsidRPr="00A10C7B" w:rsidRDefault="009C6039" w:rsidP="00B7418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080"/>
        </w:tabs>
        <w:ind w:right="720" w:firstLine="0"/>
        <w:contextualSpacing/>
        <w:jc w:val="both"/>
        <w:rPr>
          <w:rFonts w:asciiTheme="majorHAnsi" w:eastAsia="Times New Roman" w:hAnsiTheme="majorHAnsi"/>
          <w:sz w:val="20"/>
          <w:szCs w:val="20"/>
          <w:lang w:val="es-ES_tradnl" w:eastAsia="es-ES_tradnl"/>
        </w:rPr>
      </w:pPr>
      <w:r w:rsidRPr="00A10C7B">
        <w:rPr>
          <w:rFonts w:asciiTheme="majorHAnsi" w:eastAsia="Times New Roman" w:hAnsiTheme="majorHAnsi"/>
          <w:sz w:val="20"/>
          <w:szCs w:val="20"/>
          <w:lang w:val="es-ES" w:eastAsia="es-CR"/>
        </w:rPr>
        <w:t xml:space="preserve">Con </w:t>
      </w:r>
      <w:r w:rsidRPr="00A10C7B">
        <w:rPr>
          <w:rFonts w:asciiTheme="majorHAnsi" w:eastAsia="Times New Roman" w:hAnsiTheme="majorHAnsi"/>
          <w:sz w:val="20"/>
          <w:szCs w:val="20"/>
          <w:lang w:val="es-ES_tradnl" w:eastAsia="es-ES_tradnl"/>
        </w:rPr>
        <w:t>excelente clima</w:t>
      </w:r>
      <w:r w:rsidRPr="00A10C7B">
        <w:rPr>
          <w:rFonts w:asciiTheme="majorHAnsi" w:eastAsia="Times New Roman" w:hAnsiTheme="majorHAnsi"/>
          <w:sz w:val="20"/>
          <w:szCs w:val="20"/>
          <w:lang w:val="es-ES" w:eastAsia="es-CR"/>
        </w:rPr>
        <w:t xml:space="preserve"> y </w:t>
      </w:r>
      <w:r w:rsidRPr="00A10C7B">
        <w:rPr>
          <w:rFonts w:asciiTheme="majorHAnsi" w:eastAsia="Times New Roman" w:hAnsiTheme="majorHAnsi"/>
          <w:sz w:val="20"/>
          <w:szCs w:val="20"/>
          <w:lang w:val="es-ES_tradnl" w:eastAsia="es-ES_tradnl"/>
        </w:rPr>
        <w:t>crecimiento habitacional.</w:t>
      </w:r>
    </w:p>
    <w:p w:rsidR="009C6039" w:rsidRPr="00A10C7B" w:rsidRDefault="009C6039" w:rsidP="00B7418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080"/>
        </w:tabs>
        <w:ind w:right="720" w:firstLine="0"/>
        <w:contextualSpacing/>
        <w:jc w:val="both"/>
        <w:rPr>
          <w:rFonts w:asciiTheme="majorHAnsi" w:eastAsia="Times New Roman" w:hAnsiTheme="majorHAnsi"/>
          <w:sz w:val="20"/>
          <w:szCs w:val="20"/>
          <w:lang w:val="es-ES_tradnl" w:eastAsia="es-ES_tradnl"/>
        </w:rPr>
      </w:pPr>
      <w:proofErr w:type="spellStart"/>
      <w:r w:rsidRPr="00A10C7B">
        <w:rPr>
          <w:rFonts w:asciiTheme="majorHAnsi" w:hAnsiTheme="majorHAnsi"/>
          <w:sz w:val="20"/>
          <w:szCs w:val="20"/>
        </w:rPr>
        <w:t>Cercanía</w:t>
      </w:r>
      <w:proofErr w:type="spellEnd"/>
      <w:r w:rsidRPr="00A10C7B">
        <w:rPr>
          <w:rFonts w:asciiTheme="majorHAnsi" w:hAnsiTheme="majorHAnsi"/>
          <w:sz w:val="20"/>
          <w:szCs w:val="20"/>
        </w:rPr>
        <w:t xml:space="preserve"> de </w:t>
      </w:r>
      <w:proofErr w:type="spellStart"/>
      <w:r w:rsidRPr="00A10C7B">
        <w:rPr>
          <w:rFonts w:asciiTheme="majorHAnsi" w:hAnsiTheme="majorHAnsi"/>
          <w:sz w:val="20"/>
          <w:szCs w:val="20"/>
        </w:rPr>
        <w:t>los</w:t>
      </w:r>
      <w:proofErr w:type="spellEnd"/>
      <w:r w:rsidRPr="00A10C7B">
        <w:rPr>
          <w:rFonts w:asciiTheme="majorHAnsi" w:hAnsiTheme="majorHAnsi"/>
          <w:sz w:val="20"/>
          <w:szCs w:val="20"/>
        </w:rPr>
        <w:t xml:space="preserve"> </w:t>
      </w:r>
      <w:proofErr w:type="spellStart"/>
      <w:r w:rsidRPr="00A10C7B">
        <w:rPr>
          <w:rFonts w:asciiTheme="majorHAnsi" w:hAnsiTheme="majorHAnsi"/>
          <w:sz w:val="20"/>
          <w:szCs w:val="20"/>
        </w:rPr>
        <w:t>servicios</w:t>
      </w:r>
      <w:proofErr w:type="spellEnd"/>
      <w:r w:rsidRPr="00A10C7B">
        <w:rPr>
          <w:rFonts w:asciiTheme="majorHAnsi" w:hAnsiTheme="majorHAnsi"/>
          <w:sz w:val="20"/>
          <w:szCs w:val="20"/>
        </w:rPr>
        <w:t xml:space="preserve"> </w:t>
      </w:r>
      <w:proofErr w:type="spellStart"/>
      <w:r w:rsidRPr="00A10C7B">
        <w:rPr>
          <w:rFonts w:asciiTheme="majorHAnsi" w:hAnsiTheme="majorHAnsi"/>
          <w:sz w:val="20"/>
          <w:szCs w:val="20"/>
        </w:rPr>
        <w:t>médicos</w:t>
      </w:r>
      <w:proofErr w:type="spellEnd"/>
      <w:r w:rsidRPr="00A10C7B">
        <w:rPr>
          <w:rFonts w:asciiTheme="majorHAnsi" w:hAnsiTheme="majorHAnsi"/>
          <w:sz w:val="20"/>
          <w:szCs w:val="20"/>
        </w:rPr>
        <w:t xml:space="preserve"> </w:t>
      </w:r>
      <w:proofErr w:type="spellStart"/>
      <w:r w:rsidRPr="00A10C7B">
        <w:rPr>
          <w:rFonts w:asciiTheme="majorHAnsi" w:hAnsiTheme="majorHAnsi"/>
          <w:sz w:val="20"/>
          <w:szCs w:val="20"/>
        </w:rPr>
        <w:t>públicos</w:t>
      </w:r>
      <w:proofErr w:type="spellEnd"/>
      <w:r w:rsidRPr="00A10C7B">
        <w:rPr>
          <w:rFonts w:asciiTheme="majorHAnsi" w:hAnsiTheme="majorHAnsi"/>
          <w:sz w:val="20"/>
          <w:szCs w:val="20"/>
        </w:rPr>
        <w:t xml:space="preserve"> (EBAIS de </w:t>
      </w:r>
      <w:proofErr w:type="spellStart"/>
      <w:r w:rsidRPr="00A10C7B">
        <w:rPr>
          <w:rFonts w:asciiTheme="majorHAnsi" w:hAnsiTheme="majorHAnsi"/>
          <w:sz w:val="20"/>
          <w:szCs w:val="20"/>
        </w:rPr>
        <w:t>Grecia</w:t>
      </w:r>
      <w:proofErr w:type="spellEnd"/>
      <w:r w:rsidRPr="00A10C7B">
        <w:rPr>
          <w:rFonts w:asciiTheme="majorHAnsi" w:hAnsiTheme="majorHAnsi"/>
          <w:sz w:val="20"/>
          <w:szCs w:val="20"/>
        </w:rPr>
        <w:t>).</w:t>
      </w:r>
      <w:r w:rsidRPr="00A10C7B">
        <w:rPr>
          <w:rFonts w:asciiTheme="majorHAnsi" w:eastAsia="Times New Roman" w:hAnsiTheme="majorHAnsi"/>
          <w:sz w:val="20"/>
          <w:szCs w:val="20"/>
          <w:lang w:eastAsia="es-CR"/>
        </w:rPr>
        <w:t xml:space="preserve"> </w:t>
      </w:r>
    </w:p>
    <w:p w:rsidR="009C6039" w:rsidRPr="00A10C7B" w:rsidRDefault="009C6039" w:rsidP="00B7418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080"/>
        </w:tabs>
        <w:ind w:right="720" w:firstLine="0"/>
        <w:contextualSpacing/>
        <w:jc w:val="both"/>
        <w:rPr>
          <w:rFonts w:asciiTheme="majorHAnsi" w:eastAsia="Times New Roman" w:hAnsiTheme="majorHAnsi"/>
          <w:sz w:val="20"/>
          <w:szCs w:val="20"/>
          <w:lang w:val="es-ES_tradnl" w:eastAsia="es-ES_tradnl"/>
        </w:rPr>
      </w:pPr>
      <w:r w:rsidRPr="00A10C7B">
        <w:rPr>
          <w:rFonts w:asciiTheme="majorHAnsi" w:eastAsia="Times New Roman" w:hAnsiTheme="majorHAnsi"/>
          <w:sz w:val="20"/>
          <w:szCs w:val="20"/>
          <w:lang w:val="es-ES_tradnl" w:eastAsia="es-ES_tradnl"/>
        </w:rPr>
        <w:t>Según las condiciones de salud y edad de la señora Emilia Morales y previendo que más adelante, podría utilizar silla de ruedas para su desplazamiento, el acceso a dicha propiedad resulta viable.</w:t>
      </w:r>
    </w:p>
    <w:p w:rsidR="009C6039" w:rsidRPr="00A10C7B" w:rsidRDefault="009C6039" w:rsidP="00B7418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0"/>
        <w:contextualSpacing/>
        <w:jc w:val="both"/>
        <w:rPr>
          <w:rFonts w:asciiTheme="majorHAnsi" w:eastAsia="Times New Roman" w:hAnsiTheme="majorHAnsi"/>
          <w:sz w:val="20"/>
          <w:szCs w:val="20"/>
          <w:lang w:val="es-ES_tradnl" w:eastAsia="es-CR"/>
        </w:rPr>
      </w:pPr>
      <w:r w:rsidRPr="00A10C7B">
        <w:rPr>
          <w:rFonts w:asciiTheme="majorHAnsi" w:eastAsia="Times New Roman" w:hAnsiTheme="majorHAnsi"/>
          <w:sz w:val="20"/>
          <w:szCs w:val="20"/>
          <w:lang w:val="es-ES_tradnl" w:eastAsia="es-CR"/>
        </w:rPr>
        <w:t>Situado</w:t>
      </w:r>
      <w:r w:rsidRPr="00A10C7B">
        <w:rPr>
          <w:rFonts w:asciiTheme="majorHAnsi" w:eastAsia="Times New Roman" w:hAnsiTheme="majorHAnsi"/>
          <w:sz w:val="20"/>
          <w:szCs w:val="20"/>
          <w:lang w:val="es-ES" w:eastAsia="es-CR"/>
        </w:rPr>
        <w:t xml:space="preserve"> en una zona de buen acceso para una persona sin vehículo.</w:t>
      </w:r>
    </w:p>
    <w:p w:rsidR="009C6039" w:rsidRPr="00A10C7B" w:rsidRDefault="009C6039" w:rsidP="00B7418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080"/>
        </w:tabs>
        <w:ind w:right="720" w:firstLine="0"/>
        <w:contextualSpacing/>
        <w:jc w:val="both"/>
        <w:rPr>
          <w:rFonts w:asciiTheme="majorHAnsi" w:hAnsiTheme="majorHAnsi"/>
          <w:sz w:val="20"/>
          <w:szCs w:val="20"/>
          <w:lang w:val="es-ES_tradnl"/>
        </w:rPr>
      </w:pPr>
      <w:r w:rsidRPr="00A10C7B">
        <w:rPr>
          <w:rFonts w:asciiTheme="majorHAnsi" w:eastAsia="Times New Roman" w:hAnsiTheme="majorHAnsi"/>
          <w:sz w:val="20"/>
          <w:szCs w:val="20"/>
          <w:lang w:val="es-ES_tradnl" w:eastAsia="es-CR"/>
        </w:rPr>
        <w:t>Cercanía de las paradas de autobús. No obstante,</w:t>
      </w:r>
      <w:r w:rsidRPr="00A10C7B">
        <w:rPr>
          <w:rFonts w:asciiTheme="majorHAnsi" w:eastAsia="Times New Roman" w:hAnsiTheme="majorHAnsi"/>
          <w:sz w:val="20"/>
          <w:szCs w:val="20"/>
          <w:lang w:val="es-ES" w:eastAsia="es-ES_tradnl"/>
        </w:rPr>
        <w:t xml:space="preserve"> actualmente</w:t>
      </w:r>
      <w:r w:rsidRPr="00A10C7B">
        <w:rPr>
          <w:rFonts w:asciiTheme="majorHAnsi" w:eastAsia="Times New Roman" w:hAnsiTheme="majorHAnsi"/>
          <w:sz w:val="20"/>
          <w:szCs w:val="20"/>
          <w:lang w:val="es-ES_tradnl" w:eastAsia="es-CR"/>
        </w:rPr>
        <w:t xml:space="preserve"> no es frecuente el servicio de autobús, debido a la ampliación de la calle pública conocida como “La </w:t>
      </w:r>
      <w:proofErr w:type="spellStart"/>
      <w:r w:rsidRPr="00A10C7B">
        <w:rPr>
          <w:rFonts w:asciiTheme="majorHAnsi" w:eastAsia="Times New Roman" w:hAnsiTheme="majorHAnsi"/>
          <w:sz w:val="20"/>
          <w:szCs w:val="20"/>
          <w:lang w:val="es-ES_tradnl" w:eastAsia="es-CR"/>
        </w:rPr>
        <w:t>Cedeña</w:t>
      </w:r>
      <w:proofErr w:type="spellEnd"/>
      <w:r w:rsidRPr="00A10C7B">
        <w:rPr>
          <w:rFonts w:asciiTheme="majorHAnsi" w:eastAsia="Times New Roman" w:hAnsiTheme="majorHAnsi"/>
          <w:sz w:val="20"/>
          <w:szCs w:val="20"/>
          <w:lang w:val="es-ES_tradnl" w:eastAsia="es-CR"/>
        </w:rPr>
        <w:t>” hasta la calle pública conocida como “Los Rosales”, en Puente Piedra de Grecia</w:t>
      </w:r>
      <w:r w:rsidRPr="00A10C7B">
        <w:rPr>
          <w:rFonts w:asciiTheme="majorHAnsi" w:eastAsia="Times New Roman" w:hAnsiTheme="majorHAnsi"/>
          <w:sz w:val="20"/>
          <w:szCs w:val="20"/>
          <w:lang w:val="es-ES" w:eastAsia="es-CR"/>
        </w:rPr>
        <w:t xml:space="preserve">. Ahora bien, en cuanto al tema de transporte público, las peticionarias están de acuerdo por ser una situación temporal, por motivo de ampliación de la vía pública. </w:t>
      </w:r>
    </w:p>
    <w:p w:rsidR="009C6039" w:rsidRPr="00A10C7B" w:rsidRDefault="009C6039" w:rsidP="00B74185">
      <w:pPr>
        <w:shd w:val="clear" w:color="auto" w:fill="FFFFFF"/>
        <w:tabs>
          <w:tab w:val="left" w:pos="8640"/>
        </w:tabs>
        <w:ind w:left="720" w:right="720"/>
        <w:contextualSpacing/>
        <w:jc w:val="both"/>
        <w:rPr>
          <w:rFonts w:asciiTheme="majorHAnsi" w:hAnsiTheme="majorHAnsi"/>
          <w:sz w:val="20"/>
          <w:szCs w:val="20"/>
          <w:lang w:val="es-ES_tradnl"/>
        </w:rPr>
      </w:pPr>
    </w:p>
    <w:p w:rsidR="009C6039" w:rsidRPr="00A10C7B" w:rsidRDefault="009C6039" w:rsidP="00B74185">
      <w:pPr>
        <w:shd w:val="clear" w:color="auto" w:fill="FFFFFF"/>
        <w:tabs>
          <w:tab w:val="left" w:pos="8640"/>
        </w:tabs>
        <w:ind w:left="720" w:right="720"/>
        <w:jc w:val="both"/>
        <w:rPr>
          <w:rFonts w:asciiTheme="majorHAnsi" w:eastAsia="Times New Roman" w:hAnsiTheme="majorHAnsi"/>
          <w:sz w:val="20"/>
          <w:szCs w:val="20"/>
          <w:lang w:val="es-ES_tradnl" w:eastAsia="es-ES_tradnl"/>
        </w:rPr>
      </w:pPr>
      <w:r w:rsidRPr="00A10C7B">
        <w:rPr>
          <w:rFonts w:asciiTheme="majorHAnsi" w:hAnsiTheme="majorHAnsi"/>
          <w:sz w:val="20"/>
          <w:szCs w:val="20"/>
          <w:lang w:val="es-ES"/>
        </w:rPr>
        <w:t xml:space="preserve">Una vez que el Banco Hipotecario de la Vivienda apruebe el Bono Familiar de Vivienda a favor de la señora  </w:t>
      </w:r>
      <w:r w:rsidRPr="00A10C7B">
        <w:rPr>
          <w:rFonts w:asciiTheme="majorHAnsi" w:eastAsia="Times New Roman" w:hAnsiTheme="majorHAnsi"/>
          <w:sz w:val="20"/>
          <w:szCs w:val="20"/>
          <w:lang w:val="es-ES_tradnl" w:eastAsia="es-ES_tradnl"/>
        </w:rPr>
        <w:t xml:space="preserve">Emilia Morales Campos, y habiéndose presentado los permisos de construcción, la Mutual Cartago de Ahorro y Crédito formalizará el caso para que la peticionaria pueda adquirir el inmueble inscrito al partido de Alajuela folio real </w:t>
      </w:r>
      <w:r w:rsidRPr="00A10C7B">
        <w:rPr>
          <w:rFonts w:asciiTheme="majorHAnsi" w:eastAsia="Times New Roman" w:hAnsiTheme="majorHAnsi"/>
          <w:sz w:val="20"/>
          <w:szCs w:val="20"/>
          <w:lang w:val="es-ES"/>
        </w:rPr>
        <w:t xml:space="preserve">525479-000 </w:t>
      </w:r>
      <w:r w:rsidRPr="00A10C7B">
        <w:rPr>
          <w:rFonts w:asciiTheme="majorHAnsi" w:eastAsia="Times New Roman" w:hAnsiTheme="majorHAnsi"/>
          <w:sz w:val="20"/>
          <w:szCs w:val="20"/>
          <w:lang w:val="es-ES_tradnl" w:eastAsia="es-ES_tradnl"/>
        </w:rPr>
        <w:t xml:space="preserve">que le venderá la Fundación Promotora de Vivienda. Asimismo, una vez aprobados los permisos de construcción, se avanzará con la construcción de la vivienda. La adquisición del inmueble por parte de la señora Emilia Morales, se hará cumpliendo las disposiciones de la Ley N°7052, y la construcción se ajustará a las disposiciones legales que rigen la normativa del Bono Familiar de Vivienda y que han sido aprobadas por el  Banco Hipotecario de la Vivienda. </w:t>
      </w:r>
    </w:p>
    <w:p w:rsidR="009C6039" w:rsidRPr="00A10C7B" w:rsidRDefault="009C6039" w:rsidP="00B74185">
      <w:pPr>
        <w:shd w:val="clear" w:color="auto" w:fill="FFFFFF"/>
        <w:tabs>
          <w:tab w:val="left" w:pos="8640"/>
        </w:tabs>
        <w:ind w:left="720" w:right="720"/>
        <w:jc w:val="both"/>
        <w:rPr>
          <w:rFonts w:asciiTheme="majorHAnsi" w:eastAsia="Times New Roman" w:hAnsiTheme="majorHAnsi"/>
          <w:sz w:val="20"/>
          <w:szCs w:val="20"/>
          <w:lang w:val="es-ES_tradnl" w:eastAsia="es-ES_tradnl"/>
        </w:rPr>
      </w:pPr>
    </w:p>
    <w:p w:rsidR="009C6039" w:rsidRPr="00A10C7B" w:rsidRDefault="009C6039" w:rsidP="00B74185">
      <w:pPr>
        <w:shd w:val="clear" w:color="auto" w:fill="FFFFFF"/>
        <w:tabs>
          <w:tab w:val="left" w:pos="8640"/>
        </w:tabs>
        <w:ind w:left="720" w:right="720"/>
        <w:jc w:val="both"/>
        <w:rPr>
          <w:rFonts w:asciiTheme="majorHAnsi" w:eastAsia="Times New Roman" w:hAnsiTheme="majorHAnsi"/>
          <w:sz w:val="20"/>
          <w:szCs w:val="20"/>
          <w:shd w:val="clear" w:color="auto" w:fill="FFFFFF"/>
          <w:lang w:val="es-ES"/>
        </w:rPr>
      </w:pPr>
      <w:r w:rsidRPr="00A10C7B">
        <w:rPr>
          <w:rFonts w:asciiTheme="majorHAnsi" w:hAnsiTheme="majorHAnsi"/>
          <w:sz w:val="20"/>
          <w:szCs w:val="20"/>
          <w:lang w:val="es-ES"/>
        </w:rPr>
        <w:t xml:space="preserve">Ahora bien, una vez construida la casa de habitación en el inmueble referido </w:t>
      </w:r>
      <w:r w:rsidRPr="00A10C7B">
        <w:rPr>
          <w:rFonts w:asciiTheme="majorHAnsi" w:hAnsiTheme="majorHAnsi"/>
          <w:i/>
          <w:sz w:val="20"/>
          <w:szCs w:val="20"/>
          <w:lang w:val="es-ES"/>
        </w:rPr>
        <w:t>supra</w:t>
      </w:r>
      <w:r w:rsidRPr="00A10C7B">
        <w:rPr>
          <w:rFonts w:asciiTheme="majorHAnsi" w:hAnsiTheme="majorHAnsi"/>
          <w:sz w:val="20"/>
          <w:szCs w:val="20"/>
          <w:lang w:val="es-ES"/>
        </w:rPr>
        <w:t xml:space="preserve">, cumpliendo </w:t>
      </w:r>
      <w:r w:rsidRPr="00A10C7B">
        <w:rPr>
          <w:rFonts w:asciiTheme="majorHAnsi" w:eastAsia="Times New Roman" w:hAnsiTheme="majorHAnsi"/>
          <w:sz w:val="20"/>
          <w:szCs w:val="20"/>
          <w:shd w:val="clear" w:color="auto" w:fill="FFFFFF"/>
          <w:lang w:val="es-ES"/>
        </w:rPr>
        <w:t xml:space="preserve">con </w:t>
      </w:r>
      <w:r w:rsidRPr="00A10C7B">
        <w:rPr>
          <w:rFonts w:asciiTheme="majorHAnsi" w:eastAsia="Times New Roman" w:hAnsiTheme="majorHAnsi"/>
          <w:sz w:val="20"/>
          <w:szCs w:val="20"/>
          <w:lang w:val="es-ES" w:eastAsia="es-ES"/>
        </w:rPr>
        <w:t>la Ley de Igualdad de Oportunidades para personas con Discapacidad (Ley N°7600)</w:t>
      </w:r>
      <w:r w:rsidRPr="00A10C7B">
        <w:rPr>
          <w:rFonts w:asciiTheme="majorHAnsi" w:hAnsiTheme="majorHAnsi"/>
          <w:sz w:val="20"/>
          <w:szCs w:val="20"/>
          <w:lang w:val="es-ES"/>
        </w:rPr>
        <w:t xml:space="preserve">; </w:t>
      </w:r>
      <w:r w:rsidRPr="00A10C7B">
        <w:rPr>
          <w:rFonts w:asciiTheme="majorHAnsi" w:eastAsia="Times New Roman" w:hAnsiTheme="majorHAnsi"/>
          <w:sz w:val="20"/>
          <w:szCs w:val="20"/>
          <w:shd w:val="clear" w:color="auto" w:fill="FFFFFF"/>
          <w:lang w:val="es-ES"/>
        </w:rPr>
        <w:t xml:space="preserve">se </w:t>
      </w:r>
      <w:r w:rsidRPr="00A10C7B">
        <w:rPr>
          <w:rFonts w:asciiTheme="majorHAnsi" w:hAnsiTheme="majorHAnsi"/>
          <w:sz w:val="20"/>
          <w:szCs w:val="20"/>
          <w:lang w:val="es-ES"/>
        </w:rPr>
        <w:t xml:space="preserve">soluciona de manera definitiva el problema habitacional de la peticionaria </w:t>
      </w:r>
      <w:r w:rsidRPr="00A10C7B">
        <w:rPr>
          <w:rFonts w:asciiTheme="majorHAnsi" w:eastAsia="Times New Roman" w:hAnsiTheme="majorHAnsi"/>
          <w:sz w:val="20"/>
          <w:szCs w:val="20"/>
          <w:lang w:val="es-MX" w:eastAsia="es-ES"/>
        </w:rPr>
        <w:t>Emilia Morales Campos</w:t>
      </w:r>
      <w:r w:rsidRPr="00A10C7B">
        <w:rPr>
          <w:rFonts w:asciiTheme="majorHAnsi" w:hAnsiTheme="majorHAnsi"/>
          <w:sz w:val="20"/>
          <w:szCs w:val="20"/>
          <w:lang w:val="es-ES"/>
        </w:rPr>
        <w:t>.</w:t>
      </w:r>
      <w:r w:rsidRPr="00A10C7B">
        <w:rPr>
          <w:rFonts w:asciiTheme="majorHAnsi" w:eastAsia="Times New Roman" w:hAnsiTheme="majorHAnsi"/>
          <w:sz w:val="20"/>
          <w:szCs w:val="20"/>
          <w:shd w:val="clear" w:color="auto" w:fill="FFFFFF"/>
          <w:lang w:val="es-ES"/>
        </w:rPr>
        <w:t xml:space="preserve"> </w:t>
      </w:r>
    </w:p>
    <w:p w:rsidR="009C6039" w:rsidRPr="00A10C7B" w:rsidRDefault="009C6039" w:rsidP="00B74185">
      <w:pPr>
        <w:shd w:val="clear" w:color="auto" w:fill="FFFFFF"/>
        <w:tabs>
          <w:tab w:val="left" w:pos="8640"/>
        </w:tabs>
        <w:ind w:left="720" w:right="720"/>
        <w:jc w:val="both"/>
        <w:rPr>
          <w:rFonts w:asciiTheme="majorHAnsi" w:eastAsia="Times New Roman" w:hAnsiTheme="majorHAnsi"/>
          <w:sz w:val="20"/>
          <w:szCs w:val="20"/>
          <w:shd w:val="clear" w:color="auto" w:fill="FFFFFF"/>
          <w:lang w:val="es-ES"/>
        </w:rPr>
      </w:pPr>
    </w:p>
    <w:p w:rsidR="009C6039" w:rsidRPr="00A10C7B" w:rsidRDefault="009C6039" w:rsidP="00B74185">
      <w:pPr>
        <w:shd w:val="clear" w:color="auto" w:fill="FFFFFF"/>
        <w:tabs>
          <w:tab w:val="left" w:pos="8640"/>
        </w:tabs>
        <w:ind w:left="720" w:right="720"/>
        <w:jc w:val="both"/>
        <w:rPr>
          <w:rFonts w:asciiTheme="majorHAnsi" w:hAnsiTheme="majorHAnsi"/>
          <w:sz w:val="20"/>
          <w:szCs w:val="20"/>
          <w:lang w:val="es-ES"/>
        </w:rPr>
      </w:pPr>
      <w:r w:rsidRPr="00A10C7B">
        <w:rPr>
          <w:rFonts w:asciiTheme="majorHAnsi" w:eastAsia="Times New Roman" w:hAnsiTheme="majorHAnsi"/>
          <w:sz w:val="20"/>
          <w:szCs w:val="20"/>
          <w:shd w:val="clear" w:color="auto" w:fill="FFFFFF"/>
          <w:lang w:val="es-ES"/>
        </w:rPr>
        <w:t>La vivienda se podrá construir bajo las siguientes características</w:t>
      </w:r>
      <w:r w:rsidRPr="00A10C7B">
        <w:rPr>
          <w:rFonts w:asciiTheme="majorHAnsi" w:hAnsiTheme="majorHAnsi"/>
          <w:sz w:val="20"/>
          <w:szCs w:val="20"/>
          <w:lang w:val="es-ES"/>
        </w:rPr>
        <w:t>:</w:t>
      </w:r>
    </w:p>
    <w:p w:rsidR="00394AF3" w:rsidRPr="00A10C7B" w:rsidRDefault="00394AF3" w:rsidP="00B74185">
      <w:pPr>
        <w:shd w:val="clear" w:color="auto" w:fill="FFFFFF"/>
        <w:tabs>
          <w:tab w:val="left" w:pos="1080"/>
        </w:tabs>
        <w:ind w:left="720" w:right="720"/>
        <w:jc w:val="both"/>
        <w:rPr>
          <w:rFonts w:asciiTheme="majorHAnsi" w:hAnsiTheme="majorHAnsi"/>
          <w:sz w:val="20"/>
          <w:szCs w:val="20"/>
          <w:lang w:val="es-ES"/>
        </w:rPr>
      </w:pPr>
    </w:p>
    <w:p w:rsidR="009C6039" w:rsidRPr="00A10C7B" w:rsidRDefault="009C6039" w:rsidP="00B74185">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0"/>
        <w:contextualSpacing/>
        <w:jc w:val="both"/>
        <w:rPr>
          <w:rFonts w:asciiTheme="majorHAnsi" w:hAnsiTheme="majorHAnsi"/>
          <w:sz w:val="20"/>
          <w:szCs w:val="20"/>
          <w:lang w:val="es-ES"/>
        </w:rPr>
      </w:pPr>
      <w:r w:rsidRPr="00A10C7B">
        <w:rPr>
          <w:rFonts w:asciiTheme="majorHAnsi" w:hAnsiTheme="majorHAnsi"/>
          <w:sz w:val="20"/>
          <w:szCs w:val="20"/>
          <w:lang w:val="es-ES"/>
        </w:rPr>
        <w:t xml:space="preserve">En cuanto a la distribución de la vivienda, tiene 1 habitación principal, 1 habitación adicional, 1 sala, 1 comedor, 1 cocina, 1 cuarto de pilas y área común. </w:t>
      </w:r>
    </w:p>
    <w:p w:rsidR="009C6039" w:rsidRPr="00A10C7B" w:rsidRDefault="009C6039" w:rsidP="00B74185">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0"/>
        <w:contextualSpacing/>
        <w:jc w:val="both"/>
        <w:rPr>
          <w:rFonts w:asciiTheme="majorHAnsi" w:hAnsiTheme="majorHAnsi"/>
          <w:sz w:val="20"/>
          <w:szCs w:val="20"/>
        </w:rPr>
      </w:pPr>
      <w:r w:rsidRPr="00A10C7B">
        <w:rPr>
          <w:rFonts w:asciiTheme="majorHAnsi" w:hAnsiTheme="majorHAnsi"/>
          <w:sz w:val="20"/>
          <w:szCs w:val="20"/>
          <w:lang w:val="es-ES"/>
        </w:rPr>
        <w:t xml:space="preserve">En cuanto al diseño de la vivienda, tiene un diseño simplificado (ocupará un mínimo de 35 centímetros de ancho y se le colocarán 4 varillas número 3). </w:t>
      </w:r>
      <w:proofErr w:type="spellStart"/>
      <w:r w:rsidRPr="00A10C7B">
        <w:rPr>
          <w:rFonts w:asciiTheme="majorHAnsi" w:hAnsiTheme="majorHAnsi"/>
          <w:sz w:val="20"/>
          <w:szCs w:val="20"/>
        </w:rPr>
        <w:t>Asimismo</w:t>
      </w:r>
      <w:proofErr w:type="spellEnd"/>
      <w:r w:rsidRPr="00A10C7B">
        <w:rPr>
          <w:rFonts w:asciiTheme="majorHAnsi" w:hAnsiTheme="majorHAnsi"/>
          <w:sz w:val="20"/>
          <w:szCs w:val="20"/>
        </w:rPr>
        <w:t xml:space="preserve">, </w:t>
      </w:r>
      <w:proofErr w:type="spellStart"/>
      <w:r w:rsidRPr="00A10C7B">
        <w:rPr>
          <w:rFonts w:asciiTheme="majorHAnsi" w:hAnsiTheme="majorHAnsi"/>
          <w:sz w:val="20"/>
          <w:szCs w:val="20"/>
        </w:rPr>
        <w:t>tiene</w:t>
      </w:r>
      <w:proofErr w:type="spellEnd"/>
      <w:r w:rsidRPr="00A10C7B">
        <w:rPr>
          <w:rFonts w:asciiTheme="majorHAnsi" w:hAnsiTheme="majorHAnsi"/>
          <w:sz w:val="20"/>
          <w:szCs w:val="20"/>
        </w:rPr>
        <w:t xml:space="preserve"> 1 </w:t>
      </w:r>
      <w:proofErr w:type="spellStart"/>
      <w:r w:rsidRPr="00A10C7B">
        <w:rPr>
          <w:rFonts w:asciiTheme="majorHAnsi" w:hAnsiTheme="majorHAnsi"/>
          <w:sz w:val="20"/>
          <w:szCs w:val="20"/>
        </w:rPr>
        <w:t>fachada</w:t>
      </w:r>
      <w:proofErr w:type="spellEnd"/>
      <w:r w:rsidRPr="00A10C7B">
        <w:rPr>
          <w:rFonts w:asciiTheme="majorHAnsi" w:hAnsiTheme="majorHAnsi"/>
          <w:sz w:val="20"/>
          <w:szCs w:val="20"/>
        </w:rPr>
        <w:t xml:space="preserve"> principal y 1 </w:t>
      </w:r>
      <w:proofErr w:type="spellStart"/>
      <w:r w:rsidRPr="00A10C7B">
        <w:rPr>
          <w:rFonts w:asciiTheme="majorHAnsi" w:hAnsiTheme="majorHAnsi"/>
          <w:sz w:val="20"/>
          <w:szCs w:val="20"/>
        </w:rPr>
        <w:t>fachada</w:t>
      </w:r>
      <w:proofErr w:type="spellEnd"/>
      <w:r w:rsidRPr="00A10C7B">
        <w:rPr>
          <w:rFonts w:asciiTheme="majorHAnsi" w:hAnsiTheme="majorHAnsi"/>
          <w:sz w:val="20"/>
          <w:szCs w:val="20"/>
        </w:rPr>
        <w:t xml:space="preserve"> posterior.</w:t>
      </w:r>
    </w:p>
    <w:p w:rsidR="009C6039" w:rsidRPr="00A10C7B" w:rsidRDefault="009C6039" w:rsidP="00B74185">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0"/>
        <w:contextualSpacing/>
        <w:jc w:val="both"/>
        <w:rPr>
          <w:rFonts w:asciiTheme="majorHAnsi" w:hAnsiTheme="majorHAnsi"/>
          <w:sz w:val="20"/>
          <w:szCs w:val="20"/>
          <w:lang w:val="es-ES"/>
        </w:rPr>
      </w:pPr>
      <w:r w:rsidRPr="00A10C7B">
        <w:rPr>
          <w:rFonts w:asciiTheme="majorHAnsi" w:eastAsia="Times New Roman" w:hAnsiTheme="majorHAnsi"/>
          <w:sz w:val="20"/>
          <w:szCs w:val="20"/>
          <w:lang w:val="es-ES"/>
        </w:rPr>
        <w:t xml:space="preserve">En cuanto al sistema constructivo de la vivienda, se utiliza mampostería integrada </w:t>
      </w:r>
      <w:r w:rsidRPr="00A10C7B">
        <w:rPr>
          <w:rFonts w:asciiTheme="majorHAnsi" w:hAnsiTheme="majorHAnsi"/>
          <w:sz w:val="20"/>
          <w:szCs w:val="20"/>
          <w:lang w:val="es-ES"/>
        </w:rPr>
        <w:t>(clase a o b, con espesor de 12 centímetros).</w:t>
      </w:r>
    </w:p>
    <w:p w:rsidR="009C6039" w:rsidRPr="00A10C7B" w:rsidRDefault="009C6039" w:rsidP="00B74185">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0"/>
        <w:contextualSpacing/>
        <w:jc w:val="both"/>
        <w:rPr>
          <w:rFonts w:asciiTheme="majorHAnsi" w:hAnsiTheme="majorHAnsi"/>
          <w:sz w:val="20"/>
          <w:szCs w:val="20"/>
          <w:lang w:val="es-ES"/>
        </w:rPr>
      </w:pPr>
      <w:r w:rsidRPr="00A10C7B">
        <w:rPr>
          <w:rFonts w:asciiTheme="majorHAnsi" w:eastAsia="Times New Roman" w:hAnsiTheme="majorHAnsi"/>
          <w:sz w:val="20"/>
          <w:szCs w:val="20"/>
          <w:lang w:val="es-ES"/>
        </w:rPr>
        <w:t>En cuanto a la extensión de la vivienda, es de 47 metros cuadrados.</w:t>
      </w:r>
      <w:r w:rsidRPr="00A10C7B">
        <w:rPr>
          <w:rFonts w:asciiTheme="majorHAnsi" w:hAnsiTheme="majorHAnsi"/>
          <w:sz w:val="20"/>
          <w:szCs w:val="20"/>
          <w:lang w:val="es-ES"/>
        </w:rPr>
        <w:t xml:space="preserve"> </w:t>
      </w:r>
    </w:p>
    <w:p w:rsidR="009C6039" w:rsidRPr="00A10C7B" w:rsidRDefault="009C6039" w:rsidP="00B74185">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0"/>
        <w:contextualSpacing/>
        <w:jc w:val="both"/>
        <w:rPr>
          <w:rFonts w:asciiTheme="majorHAnsi" w:hAnsiTheme="majorHAnsi"/>
          <w:sz w:val="20"/>
          <w:szCs w:val="20"/>
          <w:lang w:val="es-ES"/>
        </w:rPr>
      </w:pPr>
      <w:r w:rsidRPr="00A10C7B">
        <w:rPr>
          <w:rFonts w:asciiTheme="majorHAnsi" w:eastAsia="Times New Roman" w:hAnsiTheme="majorHAnsi"/>
          <w:sz w:val="20"/>
          <w:szCs w:val="20"/>
          <w:lang w:val="es-ES"/>
        </w:rPr>
        <w:t>En cuanto a la estructura del techo, se utiliza</w:t>
      </w:r>
      <w:r w:rsidRPr="00A10C7B">
        <w:rPr>
          <w:rFonts w:asciiTheme="majorHAnsi" w:hAnsiTheme="majorHAnsi"/>
          <w:sz w:val="20"/>
          <w:szCs w:val="20"/>
          <w:lang w:val="es-ES"/>
        </w:rPr>
        <w:t xml:space="preserve"> tablilla de PVC,</w:t>
      </w:r>
      <w:r w:rsidRPr="00A10C7B">
        <w:rPr>
          <w:rFonts w:asciiTheme="majorHAnsi" w:eastAsia="Times New Roman" w:hAnsiTheme="majorHAnsi"/>
          <w:sz w:val="20"/>
          <w:szCs w:val="20"/>
          <w:lang w:val="es-ES"/>
        </w:rPr>
        <w:t xml:space="preserve"> acero denominado “</w:t>
      </w:r>
      <w:proofErr w:type="spellStart"/>
      <w:r w:rsidRPr="00A10C7B">
        <w:rPr>
          <w:rFonts w:asciiTheme="majorHAnsi" w:eastAsia="Times New Roman" w:hAnsiTheme="majorHAnsi"/>
          <w:sz w:val="20"/>
          <w:szCs w:val="20"/>
          <w:lang w:val="es-ES"/>
        </w:rPr>
        <w:t>perlin</w:t>
      </w:r>
      <w:proofErr w:type="spellEnd"/>
      <w:r w:rsidRPr="00A10C7B">
        <w:rPr>
          <w:rFonts w:asciiTheme="majorHAnsi" w:eastAsia="Times New Roman" w:hAnsiTheme="majorHAnsi"/>
          <w:sz w:val="20"/>
          <w:szCs w:val="20"/>
          <w:lang w:val="es-ES"/>
        </w:rPr>
        <w:t xml:space="preserve">”, cercha en tubo cuadrado y lámina ondulada de acero galvanizado. </w:t>
      </w:r>
    </w:p>
    <w:p w:rsidR="009C6039" w:rsidRPr="00A10C7B" w:rsidRDefault="009C6039" w:rsidP="00B74185">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0"/>
        <w:contextualSpacing/>
        <w:jc w:val="both"/>
        <w:rPr>
          <w:rFonts w:asciiTheme="majorHAnsi" w:hAnsiTheme="majorHAnsi"/>
          <w:sz w:val="20"/>
          <w:szCs w:val="20"/>
          <w:lang w:val="es-ES"/>
        </w:rPr>
      </w:pPr>
      <w:r w:rsidRPr="00A10C7B">
        <w:rPr>
          <w:rFonts w:asciiTheme="majorHAnsi" w:eastAsia="Times New Roman" w:hAnsiTheme="majorHAnsi"/>
          <w:sz w:val="20"/>
          <w:szCs w:val="20"/>
          <w:lang w:val="es-ES"/>
        </w:rPr>
        <w:t>En cuanto a la estructura de cimientos, columnas y vigas, se utiliza block tipo A</w:t>
      </w:r>
      <w:r w:rsidRPr="00A10C7B">
        <w:rPr>
          <w:rFonts w:asciiTheme="majorHAnsi" w:hAnsiTheme="majorHAnsi"/>
          <w:sz w:val="20"/>
          <w:szCs w:val="20"/>
          <w:lang w:val="es-ES"/>
        </w:rPr>
        <w:t xml:space="preserve"> (resistente al fuego)</w:t>
      </w:r>
      <w:r w:rsidRPr="00A10C7B">
        <w:rPr>
          <w:rFonts w:asciiTheme="majorHAnsi" w:eastAsia="Times New Roman" w:hAnsiTheme="majorHAnsi"/>
          <w:sz w:val="20"/>
          <w:szCs w:val="20"/>
          <w:lang w:val="es-ES"/>
        </w:rPr>
        <w:t xml:space="preserve"> y varilla número 3.</w:t>
      </w:r>
    </w:p>
    <w:p w:rsidR="009C6039" w:rsidRPr="00A10C7B" w:rsidRDefault="009C6039" w:rsidP="00B74185">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0"/>
        <w:contextualSpacing/>
        <w:jc w:val="both"/>
        <w:rPr>
          <w:rFonts w:asciiTheme="majorHAnsi" w:hAnsiTheme="majorHAnsi"/>
          <w:sz w:val="20"/>
          <w:szCs w:val="20"/>
        </w:rPr>
      </w:pPr>
      <w:r w:rsidRPr="00A10C7B">
        <w:rPr>
          <w:rFonts w:asciiTheme="majorHAnsi" w:eastAsia="Times New Roman" w:hAnsiTheme="majorHAnsi"/>
          <w:sz w:val="20"/>
          <w:szCs w:val="20"/>
          <w:lang w:val="es-ES"/>
        </w:rPr>
        <w:lastRenderedPageBreak/>
        <w:t>En cuanto a la estructura de las paredes, se utiliza block tipo A</w:t>
      </w:r>
      <w:r w:rsidRPr="00A10C7B">
        <w:rPr>
          <w:rFonts w:asciiTheme="majorHAnsi" w:hAnsiTheme="majorHAnsi"/>
          <w:sz w:val="20"/>
          <w:szCs w:val="20"/>
          <w:lang w:val="es-ES"/>
        </w:rPr>
        <w:t xml:space="preserve"> (resistente al fuego) y </w:t>
      </w:r>
      <w:r w:rsidRPr="00A10C7B">
        <w:rPr>
          <w:rFonts w:asciiTheme="majorHAnsi" w:eastAsia="Times New Roman" w:hAnsiTheme="majorHAnsi"/>
          <w:sz w:val="20"/>
          <w:szCs w:val="20"/>
          <w:lang w:val="es-ES"/>
        </w:rPr>
        <w:t xml:space="preserve">varilla número 3 </w:t>
      </w:r>
      <w:r w:rsidRPr="00A10C7B">
        <w:rPr>
          <w:rFonts w:asciiTheme="majorHAnsi" w:hAnsiTheme="majorHAnsi"/>
          <w:sz w:val="20"/>
          <w:szCs w:val="20"/>
          <w:lang w:val="es-ES"/>
        </w:rPr>
        <w:t>(dentro de las paredes, todas las celdas con varillas están rellenas).</w:t>
      </w:r>
      <w:r w:rsidRPr="00A10C7B">
        <w:rPr>
          <w:rFonts w:asciiTheme="majorHAnsi" w:eastAsia="Times New Roman" w:hAnsiTheme="majorHAnsi"/>
          <w:sz w:val="20"/>
          <w:szCs w:val="20"/>
          <w:lang w:val="es-ES"/>
        </w:rPr>
        <w:t xml:space="preserve"> </w:t>
      </w:r>
      <w:proofErr w:type="spellStart"/>
      <w:r w:rsidRPr="00A10C7B">
        <w:rPr>
          <w:rFonts w:asciiTheme="majorHAnsi" w:eastAsia="Times New Roman" w:hAnsiTheme="majorHAnsi"/>
          <w:sz w:val="20"/>
          <w:szCs w:val="20"/>
        </w:rPr>
        <w:t>Asimismo</w:t>
      </w:r>
      <w:proofErr w:type="spellEnd"/>
      <w:r w:rsidRPr="00A10C7B">
        <w:rPr>
          <w:rFonts w:asciiTheme="majorHAnsi" w:eastAsia="Times New Roman" w:hAnsiTheme="majorHAnsi"/>
          <w:sz w:val="20"/>
          <w:szCs w:val="20"/>
        </w:rPr>
        <w:t xml:space="preserve">, se </w:t>
      </w:r>
      <w:proofErr w:type="spellStart"/>
      <w:r w:rsidRPr="00A10C7B">
        <w:rPr>
          <w:rFonts w:asciiTheme="majorHAnsi" w:eastAsia="Times New Roman" w:hAnsiTheme="majorHAnsi"/>
          <w:sz w:val="20"/>
          <w:szCs w:val="20"/>
        </w:rPr>
        <w:t>utiliza</w:t>
      </w:r>
      <w:proofErr w:type="spellEnd"/>
      <w:r w:rsidRPr="00A10C7B">
        <w:rPr>
          <w:rFonts w:asciiTheme="majorHAnsi" w:hAnsiTheme="majorHAnsi"/>
          <w:sz w:val="20"/>
          <w:szCs w:val="20"/>
        </w:rPr>
        <w:t xml:space="preserve"> </w:t>
      </w:r>
      <w:proofErr w:type="spellStart"/>
      <w:r w:rsidRPr="00A10C7B">
        <w:rPr>
          <w:rFonts w:asciiTheme="majorHAnsi" w:hAnsiTheme="majorHAnsi"/>
          <w:sz w:val="20"/>
          <w:szCs w:val="20"/>
        </w:rPr>
        <w:t>repello</w:t>
      </w:r>
      <w:proofErr w:type="spellEnd"/>
      <w:r w:rsidRPr="00A10C7B">
        <w:rPr>
          <w:rFonts w:asciiTheme="majorHAnsi" w:hAnsiTheme="majorHAnsi"/>
          <w:sz w:val="20"/>
          <w:szCs w:val="20"/>
        </w:rPr>
        <w:t xml:space="preserve"> </w:t>
      </w:r>
      <w:proofErr w:type="spellStart"/>
      <w:r w:rsidRPr="00A10C7B">
        <w:rPr>
          <w:rFonts w:asciiTheme="majorHAnsi" w:hAnsiTheme="majorHAnsi"/>
          <w:sz w:val="20"/>
          <w:szCs w:val="20"/>
        </w:rPr>
        <w:t>externo</w:t>
      </w:r>
      <w:proofErr w:type="spellEnd"/>
      <w:r w:rsidRPr="00A10C7B">
        <w:rPr>
          <w:rFonts w:asciiTheme="majorHAnsi" w:hAnsiTheme="majorHAnsi"/>
          <w:sz w:val="20"/>
          <w:szCs w:val="20"/>
        </w:rPr>
        <w:t>.</w:t>
      </w:r>
    </w:p>
    <w:p w:rsidR="009C6039" w:rsidRPr="00A10C7B" w:rsidRDefault="009C6039" w:rsidP="00B74185">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0"/>
        <w:contextualSpacing/>
        <w:jc w:val="both"/>
        <w:rPr>
          <w:rFonts w:asciiTheme="majorHAnsi" w:hAnsiTheme="majorHAnsi"/>
          <w:sz w:val="20"/>
          <w:szCs w:val="20"/>
          <w:lang w:val="es-ES"/>
        </w:rPr>
      </w:pPr>
      <w:r w:rsidRPr="00A10C7B">
        <w:rPr>
          <w:rFonts w:asciiTheme="majorHAnsi" w:eastAsia="Times New Roman" w:hAnsiTheme="majorHAnsi"/>
          <w:sz w:val="20"/>
          <w:szCs w:val="20"/>
          <w:lang w:val="es-ES"/>
        </w:rPr>
        <w:t xml:space="preserve">En cuanto a la pintura y sellador de la vivienda, se utiliza pintura lanco (mate, </w:t>
      </w:r>
      <w:r w:rsidRPr="00A10C7B">
        <w:rPr>
          <w:rFonts w:asciiTheme="majorHAnsi" w:hAnsiTheme="majorHAnsi"/>
          <w:sz w:val="20"/>
          <w:szCs w:val="20"/>
          <w:lang w:val="es-ES"/>
        </w:rPr>
        <w:t xml:space="preserve">ininflamable, </w:t>
      </w:r>
      <w:r w:rsidRPr="00A10C7B">
        <w:rPr>
          <w:rFonts w:asciiTheme="majorHAnsi" w:eastAsia="Times New Roman" w:hAnsiTheme="majorHAnsi"/>
          <w:sz w:val="20"/>
          <w:szCs w:val="20"/>
          <w:lang w:val="es-ES"/>
        </w:rPr>
        <w:t xml:space="preserve">impermeabilizante), y sellador acrílico blanco. </w:t>
      </w:r>
    </w:p>
    <w:p w:rsidR="009C6039" w:rsidRPr="00A10C7B" w:rsidRDefault="009C6039" w:rsidP="00B74185">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0"/>
        <w:contextualSpacing/>
        <w:jc w:val="both"/>
        <w:rPr>
          <w:rFonts w:asciiTheme="majorHAnsi" w:hAnsiTheme="majorHAnsi"/>
          <w:sz w:val="20"/>
          <w:szCs w:val="20"/>
          <w:lang w:val="es-ES"/>
        </w:rPr>
      </w:pPr>
      <w:r w:rsidRPr="00A10C7B">
        <w:rPr>
          <w:rFonts w:asciiTheme="majorHAnsi" w:eastAsia="Times New Roman" w:hAnsiTheme="majorHAnsi"/>
          <w:sz w:val="20"/>
          <w:szCs w:val="20"/>
          <w:lang w:val="es-ES"/>
        </w:rPr>
        <w:t>En cuanto a las 3 puertas de la vivienda,</w:t>
      </w:r>
      <w:r w:rsidRPr="00A10C7B">
        <w:rPr>
          <w:rFonts w:asciiTheme="majorHAnsi" w:hAnsiTheme="majorHAnsi"/>
          <w:sz w:val="20"/>
          <w:szCs w:val="20"/>
          <w:lang w:val="es-ES"/>
        </w:rPr>
        <w:t xml:space="preserve"> se utiliza madera laurel para la puerta de acceso principal y puerta de acceso posterior, ambas con llavín de doble paso, y “</w:t>
      </w:r>
      <w:proofErr w:type="spellStart"/>
      <w:r w:rsidRPr="00A10C7B">
        <w:rPr>
          <w:rFonts w:asciiTheme="majorHAnsi" w:hAnsiTheme="majorHAnsi"/>
          <w:sz w:val="20"/>
          <w:szCs w:val="20"/>
          <w:lang w:val="es-ES"/>
        </w:rPr>
        <w:t>plywood</w:t>
      </w:r>
      <w:proofErr w:type="spellEnd"/>
      <w:r w:rsidRPr="00A10C7B">
        <w:rPr>
          <w:rFonts w:asciiTheme="majorHAnsi" w:hAnsiTheme="majorHAnsi"/>
          <w:sz w:val="20"/>
          <w:szCs w:val="20"/>
          <w:lang w:val="es-ES"/>
        </w:rPr>
        <w:t>”</w:t>
      </w:r>
      <w:r w:rsidRPr="00A10C7B">
        <w:rPr>
          <w:rFonts w:asciiTheme="majorHAnsi" w:eastAsia="Times New Roman" w:hAnsiTheme="majorHAnsi"/>
          <w:sz w:val="20"/>
          <w:szCs w:val="20"/>
          <w:lang w:val="es-ES"/>
        </w:rPr>
        <w:t xml:space="preserve"> para l</w:t>
      </w:r>
      <w:r w:rsidRPr="00A10C7B">
        <w:rPr>
          <w:rFonts w:asciiTheme="majorHAnsi" w:hAnsiTheme="majorHAnsi"/>
          <w:sz w:val="20"/>
          <w:szCs w:val="20"/>
          <w:lang w:val="es-ES"/>
        </w:rPr>
        <w:t>a puerta del baño.</w:t>
      </w:r>
    </w:p>
    <w:p w:rsidR="009C6039" w:rsidRPr="00A10C7B" w:rsidRDefault="009C6039" w:rsidP="00B74185">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0"/>
        <w:contextualSpacing/>
        <w:jc w:val="both"/>
        <w:rPr>
          <w:rFonts w:asciiTheme="majorHAnsi" w:hAnsiTheme="majorHAnsi"/>
          <w:sz w:val="20"/>
          <w:szCs w:val="20"/>
          <w:lang w:val="es-ES"/>
        </w:rPr>
      </w:pPr>
      <w:r w:rsidRPr="00A10C7B">
        <w:rPr>
          <w:rFonts w:asciiTheme="majorHAnsi" w:eastAsia="Times New Roman" w:hAnsiTheme="majorHAnsi"/>
          <w:sz w:val="20"/>
          <w:szCs w:val="20"/>
          <w:lang w:val="es-ES"/>
        </w:rPr>
        <w:t>En cuanto a la estructura del piso de la vivienda y cuarto de pilas, se utiliza cerámica antideslizante, color: terracota, textura: mate.</w:t>
      </w:r>
    </w:p>
    <w:p w:rsidR="009C6039" w:rsidRPr="00A10C7B" w:rsidRDefault="009C6039" w:rsidP="00B74185">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0"/>
        <w:contextualSpacing/>
        <w:jc w:val="both"/>
        <w:rPr>
          <w:rFonts w:asciiTheme="majorHAnsi" w:hAnsiTheme="majorHAnsi"/>
          <w:sz w:val="20"/>
          <w:szCs w:val="20"/>
          <w:lang w:val="es-ES"/>
        </w:rPr>
      </w:pPr>
      <w:r w:rsidRPr="00A10C7B">
        <w:rPr>
          <w:rFonts w:asciiTheme="majorHAnsi" w:eastAsia="Times New Roman" w:hAnsiTheme="majorHAnsi"/>
          <w:sz w:val="20"/>
          <w:szCs w:val="20"/>
          <w:lang w:val="es-ES"/>
        </w:rPr>
        <w:t>En cuanto a la instalación eléctrica, se cumple con la última versión del código eléctrico nacional (NFPA70)”.</w:t>
      </w:r>
    </w:p>
    <w:p w:rsidR="009C6039" w:rsidRPr="00A10C7B" w:rsidRDefault="009C6039" w:rsidP="00B74185">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0"/>
        <w:contextualSpacing/>
        <w:jc w:val="both"/>
        <w:rPr>
          <w:rFonts w:asciiTheme="majorHAnsi" w:hAnsiTheme="majorHAnsi"/>
          <w:sz w:val="20"/>
          <w:szCs w:val="20"/>
          <w:lang w:val="es-ES"/>
        </w:rPr>
      </w:pPr>
      <w:r w:rsidRPr="00A10C7B">
        <w:rPr>
          <w:rFonts w:asciiTheme="majorHAnsi" w:eastAsia="Times New Roman" w:hAnsiTheme="majorHAnsi"/>
          <w:sz w:val="20"/>
          <w:szCs w:val="20"/>
          <w:lang w:val="es-ES"/>
        </w:rPr>
        <w:t>En cuanto al tanque séptico de la vivienda</w:t>
      </w:r>
      <w:r w:rsidRPr="00A10C7B">
        <w:rPr>
          <w:rFonts w:asciiTheme="majorHAnsi" w:hAnsiTheme="majorHAnsi"/>
          <w:sz w:val="20"/>
          <w:szCs w:val="20"/>
          <w:lang w:val="es-ES"/>
        </w:rPr>
        <w:t>, se instaló 1 tanque séptico con una fosa adicional.</w:t>
      </w:r>
    </w:p>
    <w:p w:rsidR="009C6039" w:rsidRPr="00A10C7B" w:rsidRDefault="009C6039" w:rsidP="00B74185">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0"/>
        <w:contextualSpacing/>
        <w:jc w:val="both"/>
        <w:rPr>
          <w:rFonts w:asciiTheme="majorHAnsi" w:hAnsiTheme="majorHAnsi"/>
          <w:sz w:val="20"/>
          <w:szCs w:val="20"/>
          <w:lang w:val="es-ES"/>
        </w:rPr>
      </w:pPr>
      <w:r w:rsidRPr="00A10C7B">
        <w:rPr>
          <w:rFonts w:asciiTheme="majorHAnsi" w:eastAsia="Times New Roman" w:hAnsiTheme="majorHAnsi"/>
          <w:sz w:val="20"/>
          <w:szCs w:val="20"/>
          <w:lang w:val="es-ES"/>
        </w:rPr>
        <w:t>En cuanto a la estructura de la vivienda</w:t>
      </w:r>
      <w:r w:rsidRPr="00A10C7B">
        <w:rPr>
          <w:rFonts w:asciiTheme="majorHAnsi" w:hAnsiTheme="majorHAnsi"/>
          <w:sz w:val="20"/>
          <w:szCs w:val="20"/>
          <w:lang w:val="es-ES"/>
        </w:rPr>
        <w:t>,</w:t>
      </w:r>
      <w:r w:rsidRPr="00A10C7B">
        <w:rPr>
          <w:rFonts w:asciiTheme="majorHAnsi" w:eastAsia="Times New Roman" w:hAnsiTheme="majorHAnsi"/>
          <w:sz w:val="20"/>
          <w:szCs w:val="20"/>
          <w:shd w:val="clear" w:color="auto" w:fill="FFFFFF"/>
          <w:lang w:val="es-ES"/>
        </w:rPr>
        <w:t xml:space="preserve"> según </w:t>
      </w:r>
      <w:r w:rsidRPr="00A10C7B">
        <w:rPr>
          <w:rFonts w:asciiTheme="majorHAnsi" w:eastAsia="Times New Roman" w:hAnsiTheme="majorHAnsi"/>
          <w:sz w:val="20"/>
          <w:szCs w:val="20"/>
          <w:lang w:val="es-ES"/>
        </w:rPr>
        <w:t>la Ley de Igualdad de Oportunidades para personas con Discapacidad (Ley N°7600),</w:t>
      </w:r>
      <w:r w:rsidRPr="00A10C7B">
        <w:rPr>
          <w:rFonts w:asciiTheme="majorHAnsi" w:hAnsiTheme="majorHAnsi"/>
          <w:sz w:val="20"/>
          <w:szCs w:val="20"/>
          <w:lang w:val="es-ES"/>
        </w:rPr>
        <w:t xml:space="preserve"> es importante señalar que:  </w:t>
      </w:r>
    </w:p>
    <w:p w:rsidR="009C6039" w:rsidRPr="00A10C7B" w:rsidRDefault="009C6039" w:rsidP="00B74185">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080"/>
        </w:tabs>
        <w:ind w:left="720" w:right="720" w:firstLine="0"/>
        <w:contextualSpacing/>
        <w:jc w:val="both"/>
        <w:rPr>
          <w:rFonts w:asciiTheme="majorHAnsi" w:eastAsia="Times New Roman" w:hAnsiTheme="majorHAnsi"/>
          <w:sz w:val="20"/>
          <w:szCs w:val="20"/>
          <w:lang w:val="es-ES"/>
        </w:rPr>
      </w:pPr>
      <w:r w:rsidRPr="00A10C7B">
        <w:rPr>
          <w:rFonts w:asciiTheme="majorHAnsi" w:eastAsia="Times New Roman" w:hAnsiTheme="majorHAnsi"/>
          <w:sz w:val="20"/>
          <w:szCs w:val="20"/>
          <w:lang w:val="es-ES"/>
        </w:rPr>
        <w:t>El baño de la vivienda tiene</w:t>
      </w:r>
      <w:r w:rsidRPr="00A10C7B">
        <w:rPr>
          <w:rFonts w:asciiTheme="majorHAnsi" w:hAnsiTheme="majorHAnsi"/>
          <w:sz w:val="20"/>
          <w:szCs w:val="20"/>
          <w:lang w:val="es-ES"/>
        </w:rPr>
        <w:t xml:space="preserve"> enchape a 1.80 metros, con fácil acceso para ingresar con silla de ruedas.</w:t>
      </w:r>
    </w:p>
    <w:p w:rsidR="009C6039" w:rsidRPr="00A10C7B" w:rsidRDefault="009C6039" w:rsidP="00B74185">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080"/>
        </w:tabs>
        <w:ind w:left="720" w:right="720" w:firstLine="0"/>
        <w:contextualSpacing/>
        <w:jc w:val="both"/>
        <w:rPr>
          <w:rFonts w:asciiTheme="majorHAnsi" w:eastAsia="Times New Roman" w:hAnsiTheme="majorHAnsi"/>
          <w:sz w:val="20"/>
          <w:szCs w:val="20"/>
        </w:rPr>
      </w:pPr>
      <w:r w:rsidRPr="00A10C7B">
        <w:rPr>
          <w:rFonts w:asciiTheme="majorHAnsi" w:hAnsiTheme="majorHAnsi"/>
          <w:sz w:val="20"/>
          <w:szCs w:val="20"/>
        </w:rPr>
        <w:t xml:space="preserve">Se </w:t>
      </w:r>
      <w:proofErr w:type="spellStart"/>
      <w:r w:rsidRPr="00A10C7B">
        <w:rPr>
          <w:rFonts w:asciiTheme="majorHAnsi" w:hAnsiTheme="majorHAnsi"/>
          <w:sz w:val="20"/>
          <w:szCs w:val="20"/>
        </w:rPr>
        <w:t>instala</w:t>
      </w:r>
      <w:proofErr w:type="spellEnd"/>
      <w:r w:rsidRPr="00A10C7B">
        <w:rPr>
          <w:rFonts w:asciiTheme="majorHAnsi" w:hAnsiTheme="majorHAnsi"/>
          <w:sz w:val="20"/>
          <w:szCs w:val="20"/>
        </w:rPr>
        <w:t xml:space="preserve"> 1 </w:t>
      </w:r>
      <w:proofErr w:type="spellStart"/>
      <w:r w:rsidRPr="00A10C7B">
        <w:rPr>
          <w:rFonts w:asciiTheme="majorHAnsi" w:hAnsiTheme="majorHAnsi"/>
          <w:sz w:val="20"/>
          <w:szCs w:val="20"/>
        </w:rPr>
        <w:t>termo</w:t>
      </w:r>
      <w:proofErr w:type="spellEnd"/>
      <w:r w:rsidRPr="00A10C7B">
        <w:rPr>
          <w:rFonts w:asciiTheme="majorHAnsi" w:hAnsiTheme="majorHAnsi"/>
          <w:sz w:val="20"/>
          <w:szCs w:val="20"/>
        </w:rPr>
        <w:t xml:space="preserve"> </w:t>
      </w:r>
      <w:proofErr w:type="spellStart"/>
      <w:r w:rsidRPr="00A10C7B">
        <w:rPr>
          <w:rFonts w:asciiTheme="majorHAnsi" w:hAnsiTheme="majorHAnsi"/>
          <w:sz w:val="20"/>
          <w:szCs w:val="20"/>
        </w:rPr>
        <w:t>ducha</w:t>
      </w:r>
      <w:proofErr w:type="spellEnd"/>
      <w:r w:rsidRPr="00A10C7B">
        <w:rPr>
          <w:rFonts w:asciiTheme="majorHAnsi" w:hAnsiTheme="majorHAnsi"/>
          <w:sz w:val="20"/>
          <w:szCs w:val="20"/>
        </w:rPr>
        <w:t xml:space="preserve">, para </w:t>
      </w:r>
      <w:proofErr w:type="spellStart"/>
      <w:r w:rsidRPr="00A10C7B">
        <w:rPr>
          <w:rFonts w:asciiTheme="majorHAnsi" w:hAnsiTheme="majorHAnsi"/>
          <w:sz w:val="20"/>
          <w:szCs w:val="20"/>
        </w:rPr>
        <w:t>agua</w:t>
      </w:r>
      <w:proofErr w:type="spellEnd"/>
      <w:r w:rsidRPr="00A10C7B">
        <w:rPr>
          <w:rFonts w:asciiTheme="majorHAnsi" w:hAnsiTheme="majorHAnsi"/>
          <w:sz w:val="20"/>
          <w:szCs w:val="20"/>
        </w:rPr>
        <w:t xml:space="preserve"> </w:t>
      </w:r>
      <w:proofErr w:type="spellStart"/>
      <w:r w:rsidRPr="00A10C7B">
        <w:rPr>
          <w:rFonts w:asciiTheme="majorHAnsi" w:hAnsiTheme="majorHAnsi"/>
          <w:sz w:val="20"/>
          <w:szCs w:val="20"/>
        </w:rPr>
        <w:t>caliente</w:t>
      </w:r>
      <w:proofErr w:type="spellEnd"/>
      <w:r w:rsidRPr="00A10C7B">
        <w:rPr>
          <w:rFonts w:asciiTheme="majorHAnsi" w:hAnsiTheme="majorHAnsi"/>
          <w:sz w:val="20"/>
          <w:szCs w:val="20"/>
        </w:rPr>
        <w:t xml:space="preserve">. </w:t>
      </w:r>
    </w:p>
    <w:p w:rsidR="009C6039" w:rsidRPr="00A10C7B" w:rsidRDefault="009C6039" w:rsidP="00B74185">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080"/>
        </w:tabs>
        <w:ind w:left="720" w:right="720" w:firstLine="0"/>
        <w:contextualSpacing/>
        <w:jc w:val="both"/>
        <w:rPr>
          <w:rFonts w:asciiTheme="majorHAnsi" w:eastAsia="Times New Roman" w:hAnsiTheme="majorHAnsi"/>
          <w:sz w:val="20"/>
          <w:szCs w:val="20"/>
          <w:lang w:val="es-ES"/>
        </w:rPr>
      </w:pPr>
      <w:r w:rsidRPr="00A10C7B">
        <w:rPr>
          <w:rFonts w:asciiTheme="majorHAnsi" w:hAnsiTheme="majorHAnsi"/>
          <w:sz w:val="20"/>
          <w:szCs w:val="20"/>
          <w:lang w:val="es-ES"/>
        </w:rPr>
        <w:t xml:space="preserve">Se instala 1 par de barras de seguridad en la ducha e inodoro. </w:t>
      </w:r>
    </w:p>
    <w:p w:rsidR="009C6039" w:rsidRPr="00A10C7B" w:rsidRDefault="009C6039" w:rsidP="00B74185">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080"/>
        </w:tabs>
        <w:ind w:left="720" w:right="720" w:firstLine="0"/>
        <w:contextualSpacing/>
        <w:jc w:val="both"/>
        <w:rPr>
          <w:rFonts w:asciiTheme="majorHAnsi" w:eastAsia="Times New Roman" w:hAnsiTheme="majorHAnsi"/>
          <w:sz w:val="20"/>
          <w:szCs w:val="20"/>
          <w:lang w:val="es-ES"/>
        </w:rPr>
      </w:pPr>
      <w:r w:rsidRPr="00A10C7B">
        <w:rPr>
          <w:rFonts w:asciiTheme="majorHAnsi" w:hAnsiTheme="majorHAnsi"/>
          <w:sz w:val="20"/>
          <w:szCs w:val="20"/>
          <w:lang w:val="es-ES"/>
        </w:rPr>
        <w:t>Se instala 1 timbre de emergencia, en el baño y cuarto principal.</w:t>
      </w:r>
    </w:p>
    <w:p w:rsidR="009C6039" w:rsidRPr="00A10C7B" w:rsidRDefault="009C6039" w:rsidP="00B74185">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080"/>
        </w:tabs>
        <w:ind w:left="720" w:right="720" w:firstLine="0"/>
        <w:contextualSpacing/>
        <w:jc w:val="both"/>
        <w:rPr>
          <w:rFonts w:asciiTheme="majorHAnsi" w:eastAsia="Times New Roman" w:hAnsiTheme="majorHAnsi"/>
          <w:sz w:val="20"/>
          <w:szCs w:val="20"/>
          <w:lang w:val="es-ES"/>
        </w:rPr>
      </w:pPr>
      <w:r w:rsidRPr="00A10C7B">
        <w:rPr>
          <w:rFonts w:asciiTheme="majorHAnsi" w:hAnsiTheme="majorHAnsi"/>
          <w:sz w:val="20"/>
          <w:szCs w:val="20"/>
          <w:lang w:val="es-ES"/>
        </w:rPr>
        <w:t>Se instala 1 rampa con baranda para el ingreso y salida de la vivienda.</w:t>
      </w:r>
    </w:p>
    <w:p w:rsidR="009C6039" w:rsidRPr="00A10C7B" w:rsidRDefault="009C6039" w:rsidP="00B74185">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080"/>
        </w:tabs>
        <w:ind w:left="720" w:right="720" w:firstLine="0"/>
        <w:contextualSpacing/>
        <w:jc w:val="both"/>
        <w:rPr>
          <w:rFonts w:asciiTheme="majorHAnsi" w:hAnsiTheme="majorHAnsi"/>
          <w:sz w:val="20"/>
          <w:szCs w:val="20"/>
          <w:lang w:val="es-ES"/>
        </w:rPr>
      </w:pPr>
      <w:r w:rsidRPr="00A10C7B">
        <w:rPr>
          <w:rFonts w:asciiTheme="majorHAnsi" w:hAnsiTheme="majorHAnsi"/>
          <w:sz w:val="20"/>
          <w:szCs w:val="20"/>
          <w:lang w:val="es-ES"/>
        </w:rPr>
        <w:t>Se instala los tomacorrientes a una altura mayor, para facilitar su uso.</w:t>
      </w:r>
    </w:p>
    <w:p w:rsidR="009C6039" w:rsidRPr="00A10C7B" w:rsidRDefault="009C6039" w:rsidP="00B74185">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080"/>
        </w:tabs>
        <w:ind w:right="720"/>
        <w:contextualSpacing/>
        <w:jc w:val="both"/>
        <w:rPr>
          <w:rFonts w:asciiTheme="majorHAnsi" w:hAnsiTheme="majorHAnsi"/>
          <w:sz w:val="20"/>
          <w:szCs w:val="20"/>
          <w:lang w:val="es-ES"/>
        </w:rPr>
      </w:pPr>
    </w:p>
    <w:p w:rsidR="009C6039" w:rsidRPr="00A10C7B" w:rsidRDefault="009C6039" w:rsidP="00B74185">
      <w:pPr>
        <w:tabs>
          <w:tab w:val="left" w:pos="1080"/>
        </w:tabs>
        <w:ind w:left="720" w:right="720"/>
        <w:jc w:val="both"/>
        <w:rPr>
          <w:rFonts w:asciiTheme="majorHAnsi" w:hAnsiTheme="majorHAnsi"/>
          <w:sz w:val="20"/>
          <w:szCs w:val="20"/>
          <w:lang w:val="es-ES"/>
        </w:rPr>
      </w:pPr>
      <w:r w:rsidRPr="00A10C7B">
        <w:rPr>
          <w:rFonts w:asciiTheme="majorHAnsi" w:hAnsiTheme="majorHAnsi"/>
          <w:sz w:val="20"/>
          <w:szCs w:val="20"/>
          <w:lang w:val="es-ES"/>
        </w:rPr>
        <w:t xml:space="preserve">Es necesario señalar que el cronograma sobre el proceso de construcción de la vivienda expuesto a continuación rige </w:t>
      </w:r>
      <w:r w:rsidRPr="00A10C7B">
        <w:rPr>
          <w:rFonts w:asciiTheme="majorHAnsi" w:eastAsia="Times New Roman" w:hAnsiTheme="majorHAnsi"/>
          <w:sz w:val="20"/>
          <w:szCs w:val="20"/>
          <w:lang w:val="es-ES"/>
        </w:rPr>
        <w:t>una vez sean aprobados los permisos de construcción por la Municipalidad de Grecia</w:t>
      </w:r>
      <w:r w:rsidRPr="00A10C7B">
        <w:rPr>
          <w:rFonts w:asciiTheme="majorHAnsi" w:hAnsiTheme="majorHAnsi"/>
          <w:sz w:val="20"/>
          <w:szCs w:val="20"/>
          <w:lang w:val="es-ES"/>
        </w:rPr>
        <w:t>.</w:t>
      </w:r>
    </w:p>
    <w:p w:rsidR="009C6039" w:rsidRPr="00A10C7B" w:rsidRDefault="009C6039" w:rsidP="00B74185">
      <w:pPr>
        <w:tabs>
          <w:tab w:val="left" w:pos="8640"/>
        </w:tabs>
        <w:ind w:left="720" w:right="720"/>
        <w:jc w:val="both"/>
        <w:rPr>
          <w:rFonts w:asciiTheme="majorHAnsi" w:hAnsiTheme="majorHAnsi"/>
          <w:sz w:val="20"/>
          <w:szCs w:val="20"/>
          <w:lang w:val="es-ES"/>
        </w:rPr>
      </w:pPr>
    </w:p>
    <w:p w:rsidR="009C6039" w:rsidRPr="00A10C7B" w:rsidRDefault="009C6039" w:rsidP="00B74185">
      <w:pPr>
        <w:tabs>
          <w:tab w:val="left" w:pos="8640"/>
        </w:tabs>
        <w:ind w:left="720" w:right="720"/>
        <w:jc w:val="center"/>
        <w:rPr>
          <w:rFonts w:asciiTheme="majorHAnsi" w:hAnsiTheme="majorHAnsi"/>
          <w:sz w:val="20"/>
          <w:szCs w:val="20"/>
          <w:lang w:val="es-ES_tradnl"/>
        </w:rPr>
      </w:pPr>
      <w:r w:rsidRPr="00A10C7B">
        <w:rPr>
          <w:rFonts w:asciiTheme="majorHAnsi" w:hAnsiTheme="majorHAnsi"/>
          <w:noProof/>
          <w:sz w:val="20"/>
          <w:szCs w:val="20"/>
        </w:rPr>
        <w:drawing>
          <wp:inline distT="0" distB="0" distL="0" distR="0" wp14:anchorId="1FFA2353" wp14:editId="5A29D83B">
            <wp:extent cx="4905375" cy="2028825"/>
            <wp:effectExtent l="0" t="0" r="9525" b="9525"/>
            <wp:docPr id="2" name="Picture 2"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9981" cy="2030730"/>
                    </a:xfrm>
                    <a:prstGeom prst="rect">
                      <a:avLst/>
                    </a:prstGeom>
                    <a:noFill/>
                    <a:ln>
                      <a:noFill/>
                    </a:ln>
                  </pic:spPr>
                </pic:pic>
              </a:graphicData>
            </a:graphic>
          </wp:inline>
        </w:drawing>
      </w:r>
    </w:p>
    <w:p w:rsidR="009C6039" w:rsidRPr="00A10C7B" w:rsidRDefault="009C6039" w:rsidP="00B74185">
      <w:pPr>
        <w:tabs>
          <w:tab w:val="left" w:pos="8640"/>
        </w:tabs>
        <w:ind w:left="720" w:right="720"/>
        <w:jc w:val="both"/>
        <w:rPr>
          <w:rFonts w:asciiTheme="majorHAnsi" w:eastAsia="Times New Roman" w:hAnsiTheme="majorHAnsi"/>
          <w:sz w:val="20"/>
          <w:szCs w:val="20"/>
          <w:lang w:eastAsia="es-CR"/>
        </w:rPr>
      </w:pPr>
    </w:p>
    <w:p w:rsidR="009C6039" w:rsidRPr="00A10C7B" w:rsidRDefault="009C6039" w:rsidP="00B74185">
      <w:pPr>
        <w:tabs>
          <w:tab w:val="left" w:pos="8640"/>
        </w:tabs>
        <w:ind w:left="720" w:right="720"/>
        <w:jc w:val="both"/>
        <w:rPr>
          <w:rFonts w:asciiTheme="majorHAnsi" w:hAnsiTheme="majorHAnsi"/>
          <w:bCs/>
          <w:sz w:val="20"/>
          <w:szCs w:val="20"/>
          <w:lang w:val="es-ES"/>
        </w:rPr>
      </w:pPr>
      <w:r w:rsidRPr="00A10C7B">
        <w:rPr>
          <w:rFonts w:asciiTheme="majorHAnsi" w:eastAsia="Times New Roman" w:hAnsiTheme="majorHAnsi"/>
          <w:sz w:val="20"/>
          <w:szCs w:val="20"/>
          <w:lang w:val="es-ES" w:eastAsia="es-CR"/>
        </w:rPr>
        <w:t xml:space="preserve">La fiscalización y supervisión del proceso constructivo de la casa de habitación </w:t>
      </w:r>
      <w:r w:rsidRPr="00A10C7B">
        <w:rPr>
          <w:rFonts w:asciiTheme="majorHAnsi" w:eastAsia="Times New Roman" w:hAnsiTheme="majorHAnsi"/>
          <w:sz w:val="20"/>
          <w:szCs w:val="20"/>
          <w:shd w:val="clear" w:color="auto" w:fill="FFFFFF"/>
          <w:lang w:val="es-ES"/>
        </w:rPr>
        <w:t xml:space="preserve">con </w:t>
      </w:r>
      <w:r w:rsidRPr="00A10C7B">
        <w:rPr>
          <w:rFonts w:asciiTheme="majorHAnsi" w:eastAsia="Times New Roman" w:hAnsiTheme="majorHAnsi"/>
          <w:sz w:val="20"/>
          <w:szCs w:val="20"/>
          <w:lang w:val="es-ES" w:eastAsia="es-ES"/>
        </w:rPr>
        <w:t>la Ley N°7600,</w:t>
      </w:r>
      <w:r w:rsidRPr="00A10C7B">
        <w:rPr>
          <w:rFonts w:asciiTheme="majorHAnsi" w:hAnsiTheme="majorHAnsi"/>
          <w:bCs/>
          <w:sz w:val="20"/>
          <w:szCs w:val="20"/>
          <w:lang w:val="es-ES"/>
        </w:rPr>
        <w:t xml:space="preserve"> </w:t>
      </w:r>
      <w:r w:rsidRPr="00A10C7B">
        <w:rPr>
          <w:rFonts w:asciiTheme="majorHAnsi" w:eastAsia="Times New Roman" w:hAnsiTheme="majorHAnsi"/>
          <w:sz w:val="20"/>
          <w:szCs w:val="20"/>
          <w:lang w:val="es-ES" w:eastAsia="es-CR"/>
        </w:rPr>
        <w:t xml:space="preserve">que se construirá en </w:t>
      </w:r>
      <w:r w:rsidRPr="00A10C7B">
        <w:rPr>
          <w:rFonts w:asciiTheme="majorHAnsi" w:eastAsia="Times New Roman" w:hAnsiTheme="majorHAnsi"/>
          <w:sz w:val="20"/>
          <w:szCs w:val="20"/>
          <w:lang w:val="es-ES_tradnl" w:eastAsia="es-ES_tradnl"/>
        </w:rPr>
        <w:t xml:space="preserve">el </w:t>
      </w:r>
      <w:r w:rsidRPr="00A10C7B">
        <w:rPr>
          <w:rFonts w:asciiTheme="majorHAnsi" w:eastAsia="Times New Roman" w:hAnsiTheme="majorHAnsi"/>
          <w:sz w:val="20"/>
          <w:szCs w:val="20"/>
          <w:lang w:val="es-ES"/>
        </w:rPr>
        <w:t xml:space="preserve">Lote N°4 </w:t>
      </w:r>
      <w:r w:rsidRPr="00A10C7B">
        <w:rPr>
          <w:rFonts w:asciiTheme="majorHAnsi" w:hAnsiTheme="majorHAnsi"/>
          <w:color w:val="222222"/>
          <w:sz w:val="20"/>
          <w:szCs w:val="20"/>
          <w:lang w:val="es-ES"/>
        </w:rPr>
        <w:t xml:space="preserve">del Proyecto de Calle La </w:t>
      </w:r>
      <w:proofErr w:type="spellStart"/>
      <w:r w:rsidRPr="00A10C7B">
        <w:rPr>
          <w:rFonts w:asciiTheme="majorHAnsi" w:hAnsiTheme="majorHAnsi"/>
          <w:color w:val="222222"/>
          <w:sz w:val="20"/>
          <w:szCs w:val="20"/>
          <w:lang w:val="es-ES"/>
        </w:rPr>
        <w:t>Cedeña</w:t>
      </w:r>
      <w:proofErr w:type="spellEnd"/>
      <w:r w:rsidRPr="00A10C7B">
        <w:rPr>
          <w:rFonts w:asciiTheme="majorHAnsi" w:hAnsiTheme="majorHAnsi"/>
          <w:color w:val="222222"/>
          <w:sz w:val="20"/>
          <w:szCs w:val="20"/>
          <w:lang w:val="es-ES"/>
        </w:rPr>
        <w:t xml:space="preserve">, </w:t>
      </w:r>
      <w:r w:rsidRPr="00A10C7B">
        <w:rPr>
          <w:rFonts w:asciiTheme="majorHAnsi" w:eastAsia="Times New Roman" w:hAnsiTheme="majorHAnsi"/>
          <w:sz w:val="20"/>
          <w:szCs w:val="20"/>
          <w:lang w:val="es-ES" w:eastAsia="es-CR"/>
        </w:rPr>
        <w:t>e</w:t>
      </w:r>
      <w:r w:rsidRPr="00A10C7B">
        <w:rPr>
          <w:rFonts w:asciiTheme="majorHAnsi" w:hAnsiTheme="majorHAnsi"/>
          <w:bCs/>
          <w:sz w:val="20"/>
          <w:szCs w:val="20"/>
          <w:lang w:val="es-ES"/>
        </w:rPr>
        <w:t>starán a cargo de la Mutual Cartago de Ahorro y Préstamo (MUCAP).</w:t>
      </w:r>
    </w:p>
    <w:p w:rsidR="009C6039" w:rsidRPr="00A10C7B" w:rsidRDefault="009C6039" w:rsidP="00B74185">
      <w:pPr>
        <w:tabs>
          <w:tab w:val="left" w:pos="8640"/>
        </w:tabs>
        <w:ind w:left="720" w:right="720"/>
        <w:jc w:val="both"/>
        <w:rPr>
          <w:rFonts w:asciiTheme="majorHAnsi" w:hAnsiTheme="majorHAnsi"/>
          <w:bCs/>
          <w:sz w:val="20"/>
          <w:szCs w:val="20"/>
          <w:lang w:val="es-ES"/>
        </w:rPr>
      </w:pPr>
    </w:p>
    <w:p w:rsidR="009C6039" w:rsidRPr="00A10C7B" w:rsidRDefault="009C6039" w:rsidP="00B74185">
      <w:pPr>
        <w:tabs>
          <w:tab w:val="decimal" w:pos="1656"/>
          <w:tab w:val="left" w:pos="8640"/>
        </w:tabs>
        <w:ind w:left="720" w:right="720"/>
        <w:jc w:val="both"/>
        <w:rPr>
          <w:rFonts w:asciiTheme="majorHAnsi" w:hAnsiTheme="majorHAnsi"/>
          <w:sz w:val="20"/>
          <w:szCs w:val="20"/>
          <w:lang w:val="es-ES"/>
        </w:rPr>
      </w:pPr>
      <w:r w:rsidRPr="00A10C7B">
        <w:rPr>
          <w:rFonts w:asciiTheme="majorHAnsi" w:hAnsiTheme="majorHAnsi"/>
          <w:sz w:val="20"/>
          <w:szCs w:val="20"/>
          <w:lang w:val="es-ES" w:eastAsia="es-ES"/>
        </w:rPr>
        <w:t>De igual manera</w:t>
      </w:r>
      <w:r w:rsidRPr="00A10C7B">
        <w:rPr>
          <w:rFonts w:asciiTheme="majorHAnsi" w:eastAsia="Times New Roman" w:hAnsiTheme="majorHAnsi"/>
          <w:sz w:val="20"/>
          <w:szCs w:val="20"/>
          <w:lang w:val="es-ES" w:eastAsia="es-CR"/>
        </w:rPr>
        <w:t xml:space="preserve">, </w:t>
      </w:r>
      <w:r w:rsidRPr="00A10C7B">
        <w:rPr>
          <w:rFonts w:asciiTheme="majorHAnsi" w:hAnsiTheme="majorHAnsi"/>
          <w:sz w:val="20"/>
          <w:szCs w:val="20"/>
          <w:lang w:val="es-ES"/>
        </w:rPr>
        <w:t>resulta necesario simplificar</w:t>
      </w:r>
      <w:r w:rsidRPr="00A10C7B">
        <w:rPr>
          <w:rFonts w:asciiTheme="majorHAnsi" w:eastAsia="Times New Roman" w:hAnsiTheme="majorHAnsi"/>
          <w:bCs/>
          <w:sz w:val="20"/>
          <w:szCs w:val="20"/>
          <w:lang w:val="es-ES"/>
        </w:rPr>
        <w:t xml:space="preserve"> e</w:t>
      </w:r>
      <w:r w:rsidRPr="00A10C7B">
        <w:rPr>
          <w:rFonts w:asciiTheme="majorHAnsi" w:hAnsiTheme="majorHAnsi"/>
          <w:sz w:val="20"/>
          <w:szCs w:val="20"/>
          <w:lang w:val="es-ES"/>
        </w:rPr>
        <w:t>l procedimiento de formalización</w:t>
      </w:r>
      <w:r w:rsidRPr="00A10C7B">
        <w:rPr>
          <w:rFonts w:asciiTheme="majorHAnsi" w:eastAsia="Times New Roman" w:hAnsiTheme="majorHAnsi"/>
          <w:sz w:val="20"/>
          <w:szCs w:val="20"/>
          <w:lang w:val="es-ES" w:eastAsia="es-CR"/>
        </w:rPr>
        <w:t xml:space="preserve">, </w:t>
      </w:r>
      <w:r w:rsidRPr="00A10C7B">
        <w:rPr>
          <w:rFonts w:asciiTheme="majorHAnsi" w:hAnsiTheme="majorHAnsi"/>
          <w:sz w:val="20"/>
          <w:szCs w:val="20"/>
          <w:lang w:val="es-ES"/>
        </w:rPr>
        <w:t>puntualizado a continuación:</w:t>
      </w:r>
    </w:p>
    <w:p w:rsidR="009C6039" w:rsidRPr="00A10C7B" w:rsidRDefault="009C6039" w:rsidP="00B74185">
      <w:pPr>
        <w:tabs>
          <w:tab w:val="decimal" w:pos="1656"/>
          <w:tab w:val="left" w:pos="8640"/>
        </w:tabs>
        <w:ind w:left="720" w:right="720"/>
        <w:jc w:val="both"/>
        <w:rPr>
          <w:rFonts w:asciiTheme="majorHAnsi" w:hAnsiTheme="majorHAnsi"/>
          <w:sz w:val="20"/>
          <w:szCs w:val="20"/>
          <w:lang w:val="es-ES"/>
        </w:rPr>
      </w:pPr>
    </w:p>
    <w:p w:rsidR="009C6039" w:rsidRPr="00A10C7B" w:rsidRDefault="009C6039" w:rsidP="00B74185">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0"/>
        <w:jc w:val="both"/>
        <w:rPr>
          <w:rFonts w:asciiTheme="majorHAnsi" w:hAnsiTheme="majorHAnsi"/>
          <w:bCs/>
          <w:sz w:val="20"/>
          <w:szCs w:val="20"/>
          <w:lang w:val="es-ES"/>
        </w:rPr>
      </w:pPr>
      <w:r w:rsidRPr="00A10C7B">
        <w:rPr>
          <w:rFonts w:asciiTheme="majorHAnsi" w:eastAsia="Times New Roman" w:hAnsiTheme="majorHAnsi"/>
          <w:sz w:val="20"/>
          <w:szCs w:val="20"/>
          <w:lang w:val="es-ES" w:eastAsia="es-CR"/>
        </w:rPr>
        <w:t>Los</w:t>
      </w:r>
      <w:r w:rsidRPr="00A10C7B">
        <w:rPr>
          <w:rFonts w:asciiTheme="majorHAnsi" w:hAnsiTheme="majorHAnsi"/>
          <w:bCs/>
          <w:sz w:val="20"/>
          <w:szCs w:val="20"/>
          <w:lang w:val="es-ES"/>
        </w:rPr>
        <w:t xml:space="preserve"> trámites de formalización estarán a cargo de la Mutual Cartago de Ahorro y Préstamo (MUCAP), que es la Entidad Autorizada encargada de dicho trámite, a través de su oficina. Es importante señalar que MUCAP recibe el expediente con la documentación completa y actualizada del núcleo familiar e inmueble, para su revisión y presentación ante el BANHVI. </w:t>
      </w:r>
      <w:r w:rsidRPr="00A10C7B">
        <w:rPr>
          <w:rFonts w:asciiTheme="majorHAnsi" w:hAnsiTheme="majorHAnsi"/>
          <w:bCs/>
          <w:sz w:val="20"/>
          <w:szCs w:val="20"/>
          <w:lang w:val="es-ES"/>
        </w:rPr>
        <w:lastRenderedPageBreak/>
        <w:t>Por ende, la formalización deberá ajustarse a las disposiciones vigentes del Banco Hipotecario de la Vivienda.</w:t>
      </w:r>
    </w:p>
    <w:p w:rsidR="00394AF3" w:rsidRPr="00A10C7B" w:rsidRDefault="00394AF3" w:rsidP="00B74185">
      <w:pPr>
        <w:pBdr>
          <w:top w:val="none" w:sz="0" w:space="0" w:color="auto"/>
          <w:left w:val="none" w:sz="0" w:space="0" w:color="auto"/>
          <w:bottom w:val="none" w:sz="0" w:space="0" w:color="auto"/>
          <w:right w:val="none" w:sz="0" w:space="0" w:color="auto"/>
          <w:between w:val="none" w:sz="0" w:space="0" w:color="auto"/>
          <w:bar w:val="none" w:sz="0" w:color="auto"/>
        </w:pBdr>
        <w:tabs>
          <w:tab w:val="left" w:pos="8640"/>
        </w:tabs>
        <w:ind w:left="720" w:right="720"/>
        <w:jc w:val="both"/>
        <w:rPr>
          <w:rFonts w:asciiTheme="majorHAnsi" w:hAnsiTheme="majorHAnsi"/>
          <w:bCs/>
          <w:sz w:val="20"/>
          <w:szCs w:val="20"/>
          <w:lang w:val="es-ES"/>
        </w:rPr>
      </w:pPr>
    </w:p>
    <w:p w:rsidR="009C6039" w:rsidRPr="00A10C7B" w:rsidRDefault="009C6039" w:rsidP="00B74185">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080"/>
        </w:tabs>
        <w:ind w:right="720" w:firstLine="0"/>
        <w:contextualSpacing/>
        <w:jc w:val="both"/>
        <w:rPr>
          <w:rFonts w:asciiTheme="majorHAnsi" w:hAnsiTheme="majorHAnsi"/>
          <w:sz w:val="20"/>
          <w:szCs w:val="20"/>
          <w:lang w:val="es-ES"/>
        </w:rPr>
      </w:pPr>
      <w:r w:rsidRPr="00A10C7B">
        <w:rPr>
          <w:rFonts w:asciiTheme="majorHAnsi" w:eastAsia="Times New Roman" w:hAnsiTheme="majorHAnsi"/>
          <w:sz w:val="20"/>
          <w:szCs w:val="20"/>
          <w:lang w:val="es-ES" w:eastAsia="es-CR"/>
        </w:rPr>
        <w:t>Una vez sea propietaria</w:t>
      </w:r>
      <w:r w:rsidRPr="00A10C7B">
        <w:rPr>
          <w:rFonts w:asciiTheme="majorHAnsi" w:hAnsiTheme="majorHAnsi"/>
          <w:sz w:val="20"/>
          <w:szCs w:val="20"/>
          <w:lang w:val="es-ES"/>
        </w:rPr>
        <w:t xml:space="preserve"> Emilia Morales Campos, </w:t>
      </w:r>
      <w:r w:rsidRPr="00A10C7B">
        <w:rPr>
          <w:rFonts w:asciiTheme="majorHAnsi" w:eastAsia="Times New Roman" w:hAnsiTheme="majorHAnsi"/>
          <w:sz w:val="20"/>
          <w:szCs w:val="20"/>
          <w:lang w:val="es-ES" w:eastAsia="es-CR"/>
        </w:rPr>
        <w:t xml:space="preserve">la Fundación Promotora de Vivienda colaborará con la señora Morales Campos, </w:t>
      </w:r>
      <w:r w:rsidRPr="00A10C7B">
        <w:rPr>
          <w:rFonts w:asciiTheme="majorHAnsi" w:hAnsiTheme="majorHAnsi"/>
          <w:sz w:val="20"/>
          <w:szCs w:val="20"/>
          <w:lang w:val="es-ES"/>
        </w:rPr>
        <w:t>para que los servicios básicos queden a nombre de ella, para lo cual deberá la peticionaria (Emilia Morales Campos) presentar la documentación del caso ante las instancias correspondientes.</w:t>
      </w:r>
    </w:p>
    <w:p w:rsidR="009C6039" w:rsidRPr="00A10C7B" w:rsidRDefault="009C6039" w:rsidP="00B74185">
      <w:pPr>
        <w:tabs>
          <w:tab w:val="left" w:pos="1020"/>
          <w:tab w:val="left" w:pos="8640"/>
        </w:tabs>
        <w:ind w:left="720" w:right="720"/>
        <w:contextualSpacing/>
        <w:jc w:val="both"/>
        <w:rPr>
          <w:rFonts w:asciiTheme="majorHAnsi" w:eastAsia="Times New Roman" w:hAnsiTheme="majorHAnsi"/>
          <w:sz w:val="20"/>
          <w:szCs w:val="20"/>
          <w:lang w:val="es-ES" w:eastAsia="es-CR"/>
        </w:rPr>
      </w:pPr>
    </w:p>
    <w:p w:rsidR="009C6039" w:rsidRPr="00A10C7B" w:rsidRDefault="009C6039" w:rsidP="00B74185">
      <w:pPr>
        <w:tabs>
          <w:tab w:val="left" w:pos="8640"/>
        </w:tabs>
        <w:ind w:left="720" w:right="720"/>
        <w:jc w:val="both"/>
        <w:rPr>
          <w:rFonts w:asciiTheme="majorHAnsi" w:eastAsia="Times New Roman" w:hAnsiTheme="majorHAnsi"/>
          <w:sz w:val="20"/>
          <w:szCs w:val="20"/>
          <w:lang w:val="es-ES" w:eastAsia="es-CR"/>
        </w:rPr>
      </w:pPr>
      <w:r w:rsidRPr="00A10C7B">
        <w:rPr>
          <w:rFonts w:asciiTheme="majorHAnsi" w:eastAsia="Times New Roman" w:hAnsiTheme="majorHAnsi"/>
          <w:sz w:val="20"/>
          <w:szCs w:val="20"/>
          <w:lang w:val="es-ES" w:eastAsia="es-CR"/>
        </w:rPr>
        <w:t xml:space="preserve">Tal y como lo ha manifestado la peticionaria (Emilia Morales Campos) en este proceso de solución amistosa, ante un eventual fallecimiento de la peticionaria referida </w:t>
      </w:r>
      <w:r w:rsidRPr="00A10C7B">
        <w:rPr>
          <w:rFonts w:asciiTheme="majorHAnsi" w:eastAsia="Times New Roman" w:hAnsiTheme="majorHAnsi"/>
          <w:i/>
          <w:sz w:val="20"/>
          <w:szCs w:val="20"/>
          <w:lang w:val="es-ES" w:eastAsia="es-CR"/>
        </w:rPr>
        <w:t>supra</w:t>
      </w:r>
      <w:r w:rsidRPr="00A10C7B">
        <w:rPr>
          <w:rFonts w:asciiTheme="majorHAnsi" w:eastAsia="Times New Roman" w:hAnsiTheme="majorHAnsi"/>
          <w:sz w:val="20"/>
          <w:szCs w:val="20"/>
          <w:lang w:val="es-ES" w:eastAsia="es-CR"/>
        </w:rPr>
        <w:t xml:space="preserve">, antes de homologado este acuerdo ante la CIDH, el núcleo familiar de la señora Emilia Morales Campos (específicamente, la peticionaria Jennifer Emilia Morales Campos y la señorita </w:t>
      </w:r>
      <w:r w:rsidR="00991738" w:rsidRPr="00A10C7B">
        <w:rPr>
          <w:rFonts w:asciiTheme="majorHAnsi" w:eastAsia="Times New Roman" w:hAnsiTheme="majorHAnsi"/>
          <w:sz w:val="20"/>
          <w:szCs w:val="20"/>
          <w:lang w:val="es-ES" w:eastAsia="es-CR"/>
        </w:rPr>
        <w:t>IMM</w:t>
      </w:r>
      <w:r w:rsidRPr="00A10C7B">
        <w:rPr>
          <w:rFonts w:asciiTheme="majorHAnsi" w:eastAsia="Times New Roman" w:hAnsiTheme="majorHAnsi"/>
          <w:sz w:val="20"/>
          <w:szCs w:val="20"/>
          <w:lang w:val="es-ES" w:eastAsia="es-CR"/>
        </w:rPr>
        <w:t xml:space="preserve">), serán las únicas beneficiarias legitimadas para gestionar cualquier aspecto derivado del seguimiento e implementación del proceso de solución amistosa. </w:t>
      </w:r>
    </w:p>
    <w:p w:rsidR="00394AF3" w:rsidRPr="00A10C7B" w:rsidRDefault="00394AF3" w:rsidP="00B74185">
      <w:pPr>
        <w:tabs>
          <w:tab w:val="left" w:pos="8640"/>
        </w:tabs>
        <w:ind w:left="720" w:right="720"/>
        <w:jc w:val="both"/>
        <w:rPr>
          <w:rFonts w:asciiTheme="majorHAnsi" w:eastAsia="Times New Roman" w:hAnsiTheme="majorHAnsi"/>
          <w:sz w:val="20"/>
          <w:szCs w:val="20"/>
          <w:lang w:val="es-ES" w:eastAsia="es-CR"/>
        </w:rPr>
      </w:pPr>
    </w:p>
    <w:p w:rsidR="009C6039" w:rsidRPr="00A10C7B" w:rsidRDefault="009C6039" w:rsidP="00B74185">
      <w:pPr>
        <w:keepNext/>
        <w:keepLines/>
        <w:tabs>
          <w:tab w:val="left" w:pos="8640"/>
        </w:tabs>
        <w:ind w:left="720" w:right="720"/>
        <w:jc w:val="center"/>
        <w:outlineLvl w:val="0"/>
        <w:rPr>
          <w:rFonts w:asciiTheme="majorHAnsi" w:hAnsiTheme="majorHAnsi"/>
          <w:b/>
          <w:sz w:val="20"/>
          <w:szCs w:val="20"/>
          <w:lang w:val="es-ES"/>
        </w:rPr>
      </w:pPr>
      <w:r w:rsidRPr="00A10C7B">
        <w:rPr>
          <w:rFonts w:asciiTheme="majorHAnsi" w:hAnsiTheme="majorHAnsi"/>
          <w:b/>
          <w:sz w:val="20"/>
          <w:szCs w:val="20"/>
          <w:lang w:val="es-ES"/>
        </w:rPr>
        <w:t>CUMPLIMIENTO DEL ESTADO COSTARRICENSE DE LAS MEDIDAS DE NO REPETICIÓN</w:t>
      </w:r>
    </w:p>
    <w:p w:rsidR="00394AF3" w:rsidRPr="00A10C7B" w:rsidRDefault="00394AF3" w:rsidP="00B74185">
      <w:pPr>
        <w:keepNext/>
        <w:keepLines/>
        <w:tabs>
          <w:tab w:val="left" w:pos="8640"/>
        </w:tabs>
        <w:ind w:left="720" w:right="720"/>
        <w:jc w:val="center"/>
        <w:outlineLvl w:val="0"/>
        <w:rPr>
          <w:rFonts w:asciiTheme="majorHAnsi" w:hAnsiTheme="majorHAnsi"/>
          <w:b/>
          <w:sz w:val="20"/>
          <w:szCs w:val="20"/>
          <w:lang w:val="es-ES"/>
        </w:rPr>
      </w:pPr>
    </w:p>
    <w:p w:rsidR="009C6039" w:rsidRPr="00A10C7B" w:rsidRDefault="009C6039" w:rsidP="00B74185">
      <w:pPr>
        <w:tabs>
          <w:tab w:val="left" w:pos="8640"/>
        </w:tabs>
        <w:ind w:left="720" w:right="720"/>
        <w:jc w:val="both"/>
        <w:rPr>
          <w:rFonts w:asciiTheme="majorHAnsi" w:hAnsiTheme="majorHAnsi"/>
          <w:sz w:val="20"/>
          <w:szCs w:val="20"/>
          <w:lang w:val="es-ES"/>
        </w:rPr>
      </w:pPr>
      <w:r w:rsidRPr="00A10C7B">
        <w:rPr>
          <w:rFonts w:asciiTheme="majorHAnsi" w:hAnsiTheme="majorHAnsi"/>
          <w:sz w:val="20"/>
          <w:szCs w:val="20"/>
          <w:lang w:val="es-ES"/>
        </w:rPr>
        <w:t>Ambas peticionarias le han donado a la Municipalidad de Goicoechea</w:t>
      </w:r>
      <w:r w:rsidRPr="00A10C7B">
        <w:rPr>
          <w:rFonts w:asciiTheme="majorHAnsi" w:eastAsia="Times New Roman" w:hAnsiTheme="majorHAnsi"/>
          <w:sz w:val="20"/>
          <w:szCs w:val="20"/>
          <w:lang w:val="es-ES"/>
        </w:rPr>
        <w:t xml:space="preserve"> </w:t>
      </w:r>
      <w:r w:rsidRPr="00A10C7B">
        <w:rPr>
          <w:rFonts w:asciiTheme="majorHAnsi" w:hAnsiTheme="majorHAnsi"/>
          <w:sz w:val="20"/>
          <w:szCs w:val="20"/>
          <w:lang w:val="es-ES"/>
        </w:rPr>
        <w:t>el</w:t>
      </w:r>
      <w:r w:rsidRPr="00A10C7B">
        <w:rPr>
          <w:rFonts w:asciiTheme="majorHAnsi" w:eastAsia="Times New Roman" w:hAnsiTheme="majorHAnsi"/>
          <w:sz w:val="20"/>
          <w:szCs w:val="20"/>
          <w:lang w:val="es-ES"/>
        </w:rPr>
        <w:t xml:space="preserve"> inmueble identificado bajo la matrícula número </w:t>
      </w:r>
      <w:r w:rsidRPr="00A10C7B">
        <w:rPr>
          <w:rFonts w:asciiTheme="majorHAnsi" w:hAnsiTheme="majorHAnsi"/>
          <w:sz w:val="20"/>
          <w:szCs w:val="20"/>
          <w:lang w:val="es-ES"/>
        </w:rPr>
        <w:t>240792-001-002</w:t>
      </w:r>
      <w:r w:rsidRPr="00A10C7B">
        <w:rPr>
          <w:rFonts w:asciiTheme="majorHAnsi" w:eastAsia="Times New Roman" w:hAnsiTheme="majorHAnsi"/>
          <w:sz w:val="20"/>
          <w:szCs w:val="20"/>
          <w:lang w:val="es-ES"/>
        </w:rPr>
        <w:t xml:space="preserve"> situado </w:t>
      </w:r>
      <w:r w:rsidRPr="00A10C7B">
        <w:rPr>
          <w:rFonts w:asciiTheme="majorHAnsi" w:eastAsia="Times New Roman" w:hAnsiTheme="majorHAnsi"/>
          <w:sz w:val="20"/>
          <w:szCs w:val="20"/>
          <w:lang w:val="es-ES_tradnl"/>
        </w:rPr>
        <w:t>en</w:t>
      </w:r>
      <w:r w:rsidRPr="00A10C7B">
        <w:rPr>
          <w:rFonts w:asciiTheme="majorHAnsi" w:hAnsiTheme="majorHAnsi"/>
          <w:sz w:val="20"/>
          <w:szCs w:val="20"/>
          <w:lang w:val="es-ES"/>
        </w:rPr>
        <w:t xml:space="preserve">  Distrito 7 </w:t>
      </w:r>
      <w:proofErr w:type="spellStart"/>
      <w:r w:rsidRPr="00A10C7B">
        <w:rPr>
          <w:rFonts w:asciiTheme="majorHAnsi" w:hAnsiTheme="majorHAnsi"/>
          <w:sz w:val="20"/>
          <w:szCs w:val="20"/>
          <w:lang w:val="es-ES"/>
        </w:rPr>
        <w:t>Purral</w:t>
      </w:r>
      <w:proofErr w:type="spellEnd"/>
      <w:r w:rsidRPr="00A10C7B">
        <w:rPr>
          <w:rFonts w:asciiTheme="majorHAnsi" w:hAnsiTheme="majorHAnsi"/>
          <w:sz w:val="20"/>
          <w:szCs w:val="20"/>
          <w:lang w:val="es-ES"/>
        </w:rPr>
        <w:t xml:space="preserve">, Cantón 8 Goicochea, Provincia 1 San José. Lo anterior, por la condición de riesgo, amenaza e inhabitabilidad que presenta el inmueble referido </w:t>
      </w:r>
      <w:r w:rsidRPr="00A10C7B">
        <w:rPr>
          <w:rFonts w:asciiTheme="majorHAnsi" w:hAnsiTheme="majorHAnsi"/>
          <w:i/>
          <w:sz w:val="20"/>
          <w:szCs w:val="20"/>
          <w:lang w:val="es-ES"/>
        </w:rPr>
        <w:t>supra</w:t>
      </w:r>
      <w:r w:rsidRPr="00A10C7B">
        <w:rPr>
          <w:rFonts w:asciiTheme="majorHAnsi" w:hAnsiTheme="majorHAnsi"/>
          <w:sz w:val="20"/>
          <w:szCs w:val="20"/>
          <w:lang w:val="es-ES"/>
        </w:rPr>
        <w:t xml:space="preserve">, a efecto de que no sea utilizado por ninguna otra persona para habitación, y se recibió por la Municipalidad de Goicochea bajo esa condición. </w:t>
      </w:r>
    </w:p>
    <w:p w:rsidR="009C6039" w:rsidRPr="00A10C7B" w:rsidRDefault="009C6039" w:rsidP="00B74185">
      <w:pPr>
        <w:tabs>
          <w:tab w:val="left" w:pos="8640"/>
        </w:tabs>
        <w:ind w:left="720" w:right="720"/>
        <w:jc w:val="both"/>
        <w:rPr>
          <w:rFonts w:asciiTheme="majorHAnsi" w:hAnsiTheme="majorHAnsi"/>
          <w:sz w:val="20"/>
          <w:szCs w:val="20"/>
          <w:lang w:val="es-ES"/>
        </w:rPr>
      </w:pPr>
    </w:p>
    <w:p w:rsidR="009C6039" w:rsidRPr="00A10C7B" w:rsidRDefault="009C6039" w:rsidP="00B74185">
      <w:pPr>
        <w:tabs>
          <w:tab w:val="left" w:pos="8640"/>
        </w:tabs>
        <w:ind w:left="720" w:right="720"/>
        <w:jc w:val="both"/>
        <w:rPr>
          <w:rFonts w:asciiTheme="majorHAnsi" w:hAnsiTheme="majorHAnsi"/>
          <w:sz w:val="20"/>
          <w:szCs w:val="20"/>
          <w:lang w:val="es-ES"/>
        </w:rPr>
      </w:pPr>
      <w:r w:rsidRPr="00A10C7B">
        <w:rPr>
          <w:rFonts w:asciiTheme="majorHAnsi" w:eastAsia="Times New Roman" w:hAnsiTheme="majorHAnsi"/>
          <w:sz w:val="20"/>
          <w:szCs w:val="20"/>
          <w:lang w:val="es-ES_tradnl"/>
        </w:rPr>
        <w:t xml:space="preserve">El Estado costarricense mediante </w:t>
      </w:r>
      <w:r w:rsidRPr="00A10C7B">
        <w:rPr>
          <w:rFonts w:asciiTheme="majorHAnsi" w:eastAsia="Times New Roman" w:hAnsiTheme="majorHAnsi"/>
          <w:sz w:val="20"/>
          <w:szCs w:val="20"/>
          <w:lang w:val="es-ES" w:eastAsia="es-ES_tradnl"/>
        </w:rPr>
        <w:t xml:space="preserve">la Municipalidad de Goicoechea asumió los costos correspondientes a honorarios de abogado, timbres, impuestos y tributos municipales, entre otros, en cuanto al traspaso del inmueble referido </w:t>
      </w:r>
      <w:r w:rsidRPr="00A10C7B">
        <w:rPr>
          <w:rFonts w:asciiTheme="majorHAnsi" w:eastAsia="Times New Roman" w:hAnsiTheme="majorHAnsi"/>
          <w:i/>
          <w:sz w:val="20"/>
          <w:szCs w:val="20"/>
          <w:lang w:val="es-ES" w:eastAsia="es-ES_tradnl"/>
        </w:rPr>
        <w:t>supra</w:t>
      </w:r>
      <w:r w:rsidRPr="00A10C7B">
        <w:rPr>
          <w:rFonts w:asciiTheme="majorHAnsi" w:eastAsia="Times New Roman" w:hAnsiTheme="majorHAnsi"/>
          <w:sz w:val="20"/>
          <w:szCs w:val="20"/>
          <w:lang w:val="es-ES" w:eastAsia="es-ES_tradnl"/>
        </w:rPr>
        <w:t xml:space="preserve">, a la Municipalidad de Goicoechea. </w:t>
      </w:r>
      <w:r w:rsidRPr="00A10C7B">
        <w:rPr>
          <w:rFonts w:asciiTheme="majorHAnsi" w:hAnsiTheme="majorHAnsi"/>
          <w:sz w:val="20"/>
          <w:szCs w:val="20"/>
          <w:lang w:val="es-ES"/>
        </w:rPr>
        <w:t>Lo anterior fue acordado en sesión Ordinaria N° 46-17, celebrada el día 13 de noviembre de 2017, Articulo 12°, que en lo que interesa, se establece:</w:t>
      </w:r>
    </w:p>
    <w:p w:rsidR="009C6039" w:rsidRPr="00A10C7B" w:rsidRDefault="009C6039" w:rsidP="00B74185">
      <w:pPr>
        <w:tabs>
          <w:tab w:val="left" w:pos="8640"/>
        </w:tabs>
        <w:ind w:left="720" w:right="720"/>
        <w:jc w:val="both"/>
        <w:rPr>
          <w:rFonts w:asciiTheme="majorHAnsi" w:eastAsia="Times New Roman" w:hAnsiTheme="majorHAnsi"/>
          <w:sz w:val="20"/>
          <w:szCs w:val="20"/>
          <w:lang w:val="es-ES" w:eastAsia="es-ES_tradnl"/>
        </w:rPr>
      </w:pPr>
    </w:p>
    <w:p w:rsidR="009C6039" w:rsidRPr="00A10C7B" w:rsidRDefault="009C6039" w:rsidP="00B7418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0"/>
        <w:contextualSpacing/>
        <w:jc w:val="both"/>
        <w:rPr>
          <w:rFonts w:asciiTheme="majorHAnsi" w:hAnsiTheme="majorHAnsi"/>
          <w:i/>
          <w:sz w:val="20"/>
          <w:szCs w:val="20"/>
          <w:lang w:val="es-ES"/>
        </w:rPr>
      </w:pPr>
      <w:r w:rsidRPr="00A10C7B">
        <w:rPr>
          <w:rFonts w:asciiTheme="majorHAnsi" w:hAnsiTheme="majorHAnsi"/>
          <w:i/>
          <w:sz w:val="20"/>
          <w:szCs w:val="20"/>
          <w:lang w:val="es-ES"/>
        </w:rPr>
        <w:t>Por unanimidad y con carácter firme se aprobó el Por tanto del dictamen N° 49-17 de la Comisión de Hacienda y Presupuesto, como se detalla a continuación:</w:t>
      </w:r>
    </w:p>
    <w:p w:rsidR="009C6039" w:rsidRPr="00A10C7B" w:rsidRDefault="009C6039" w:rsidP="00B74185">
      <w:pPr>
        <w:tabs>
          <w:tab w:val="left" w:pos="8640"/>
        </w:tabs>
        <w:ind w:left="720" w:right="720"/>
        <w:contextualSpacing/>
        <w:jc w:val="both"/>
        <w:rPr>
          <w:rFonts w:asciiTheme="majorHAnsi" w:hAnsiTheme="majorHAnsi"/>
          <w:b/>
          <w:i/>
          <w:sz w:val="20"/>
          <w:szCs w:val="20"/>
          <w:lang w:val="es-ES"/>
        </w:rPr>
      </w:pPr>
    </w:p>
    <w:p w:rsidR="009C6039" w:rsidRPr="00A10C7B" w:rsidRDefault="009C6039" w:rsidP="00B74185">
      <w:pPr>
        <w:tabs>
          <w:tab w:val="left" w:pos="8640"/>
        </w:tabs>
        <w:ind w:left="720" w:right="720"/>
        <w:jc w:val="both"/>
        <w:rPr>
          <w:rFonts w:asciiTheme="majorHAnsi" w:hAnsiTheme="majorHAnsi"/>
          <w:b/>
          <w:i/>
          <w:sz w:val="20"/>
          <w:szCs w:val="20"/>
          <w:lang w:val="es-ES"/>
        </w:rPr>
      </w:pPr>
      <w:r w:rsidRPr="00A10C7B">
        <w:rPr>
          <w:rFonts w:asciiTheme="majorHAnsi" w:hAnsiTheme="majorHAnsi"/>
          <w:b/>
          <w:i/>
          <w:sz w:val="20"/>
          <w:szCs w:val="20"/>
          <w:lang w:val="es-ES"/>
        </w:rPr>
        <w:t>ACUERDO N° 7</w:t>
      </w:r>
    </w:p>
    <w:p w:rsidR="00394AF3" w:rsidRPr="00A10C7B" w:rsidRDefault="00394AF3" w:rsidP="00B74185">
      <w:pPr>
        <w:tabs>
          <w:tab w:val="left" w:pos="8640"/>
        </w:tabs>
        <w:ind w:left="720" w:right="720"/>
        <w:jc w:val="both"/>
        <w:rPr>
          <w:rFonts w:asciiTheme="majorHAnsi" w:hAnsiTheme="majorHAnsi"/>
          <w:b/>
          <w:i/>
          <w:sz w:val="20"/>
          <w:szCs w:val="20"/>
          <w:lang w:val="es-ES"/>
        </w:rPr>
      </w:pPr>
    </w:p>
    <w:p w:rsidR="009C6039" w:rsidRPr="00A10C7B" w:rsidRDefault="009C6039" w:rsidP="00B74185">
      <w:pPr>
        <w:tabs>
          <w:tab w:val="left" w:pos="8640"/>
        </w:tabs>
        <w:ind w:left="720" w:right="720"/>
        <w:jc w:val="both"/>
        <w:rPr>
          <w:rFonts w:asciiTheme="majorHAnsi" w:hAnsiTheme="majorHAnsi"/>
          <w:i/>
          <w:sz w:val="20"/>
          <w:szCs w:val="20"/>
          <w:lang w:val="es-ES"/>
        </w:rPr>
      </w:pPr>
      <w:r w:rsidRPr="00A10C7B">
        <w:rPr>
          <w:rFonts w:asciiTheme="majorHAnsi" w:hAnsiTheme="majorHAnsi"/>
          <w:b/>
          <w:i/>
          <w:sz w:val="20"/>
          <w:szCs w:val="20"/>
          <w:lang w:val="es-ES"/>
        </w:rPr>
        <w:t>“POR TANTO</w:t>
      </w:r>
      <w:r w:rsidRPr="00A10C7B">
        <w:rPr>
          <w:rFonts w:asciiTheme="majorHAnsi" w:hAnsiTheme="majorHAnsi"/>
          <w:i/>
          <w:sz w:val="20"/>
          <w:szCs w:val="20"/>
          <w:lang w:val="es-ES"/>
        </w:rPr>
        <w:t xml:space="preserve">; esta Comisión recomienda al Concejo Municipal que: </w:t>
      </w:r>
    </w:p>
    <w:p w:rsidR="009C6039" w:rsidRPr="00A10C7B" w:rsidRDefault="009C6039" w:rsidP="00B74185">
      <w:pPr>
        <w:tabs>
          <w:tab w:val="left" w:pos="8640"/>
        </w:tabs>
        <w:ind w:left="720" w:right="720"/>
        <w:jc w:val="both"/>
        <w:rPr>
          <w:rFonts w:asciiTheme="majorHAnsi" w:hAnsiTheme="majorHAnsi"/>
          <w:i/>
          <w:sz w:val="20"/>
          <w:szCs w:val="20"/>
          <w:lang w:val="es-ES"/>
        </w:rPr>
      </w:pPr>
      <w:r w:rsidRPr="00A10C7B">
        <w:rPr>
          <w:rFonts w:asciiTheme="majorHAnsi" w:hAnsiTheme="majorHAnsi"/>
          <w:i/>
          <w:sz w:val="20"/>
          <w:szCs w:val="20"/>
          <w:lang w:val="es-ES"/>
        </w:rPr>
        <w:t xml:space="preserve">1°.  Se autorice a la Alcaldesa Municipal a realizar los trámites notariales para el traspaso del inmueble identificado bajo la matricula número 001-240792-001-002, sita distrito 7° </w:t>
      </w:r>
      <w:proofErr w:type="spellStart"/>
      <w:r w:rsidRPr="00A10C7B">
        <w:rPr>
          <w:rFonts w:asciiTheme="majorHAnsi" w:hAnsiTheme="majorHAnsi"/>
          <w:i/>
          <w:sz w:val="20"/>
          <w:szCs w:val="20"/>
          <w:lang w:val="es-ES"/>
        </w:rPr>
        <w:t>Purral</w:t>
      </w:r>
      <w:proofErr w:type="spellEnd"/>
      <w:r w:rsidRPr="00A10C7B">
        <w:rPr>
          <w:rFonts w:asciiTheme="majorHAnsi" w:hAnsiTheme="majorHAnsi"/>
          <w:i/>
          <w:sz w:val="20"/>
          <w:szCs w:val="20"/>
          <w:lang w:val="es-ES"/>
        </w:rPr>
        <w:t>, de 136.90 metros cuadrados de área, con plano catastro SJ-378673-97, ubicado en la denominada Calle Morales hacia este Municipio.</w:t>
      </w:r>
    </w:p>
    <w:p w:rsidR="009C6039" w:rsidRPr="00A10C7B" w:rsidRDefault="009C6039" w:rsidP="00B74185">
      <w:pPr>
        <w:tabs>
          <w:tab w:val="left" w:pos="8640"/>
        </w:tabs>
        <w:ind w:left="720" w:right="720"/>
        <w:rPr>
          <w:rFonts w:asciiTheme="majorHAnsi" w:hAnsiTheme="majorHAnsi"/>
          <w:sz w:val="20"/>
          <w:szCs w:val="20"/>
          <w:lang w:val="es-ES"/>
        </w:rPr>
      </w:pPr>
      <w:r w:rsidRPr="00A10C7B">
        <w:rPr>
          <w:rFonts w:asciiTheme="majorHAnsi" w:hAnsiTheme="majorHAnsi"/>
          <w:i/>
          <w:sz w:val="20"/>
          <w:szCs w:val="20"/>
          <w:lang w:val="es-ES"/>
        </w:rPr>
        <w:t>(…)”</w:t>
      </w:r>
    </w:p>
    <w:p w:rsidR="00394AF3" w:rsidRPr="00A10C7B" w:rsidRDefault="00394AF3" w:rsidP="00B74185">
      <w:pPr>
        <w:tabs>
          <w:tab w:val="left" w:pos="8640"/>
        </w:tabs>
        <w:ind w:left="720" w:right="720"/>
        <w:rPr>
          <w:rFonts w:asciiTheme="majorHAnsi" w:hAnsiTheme="majorHAnsi"/>
          <w:b/>
          <w:sz w:val="20"/>
          <w:szCs w:val="20"/>
          <w:lang w:val="es-ES"/>
        </w:rPr>
      </w:pPr>
    </w:p>
    <w:p w:rsidR="009C6039" w:rsidRPr="00A10C7B" w:rsidRDefault="009C6039" w:rsidP="00B74185">
      <w:pPr>
        <w:keepNext/>
        <w:keepLines/>
        <w:tabs>
          <w:tab w:val="left" w:pos="8640"/>
        </w:tabs>
        <w:ind w:left="720" w:right="720"/>
        <w:jc w:val="center"/>
        <w:outlineLvl w:val="0"/>
        <w:rPr>
          <w:rFonts w:asciiTheme="majorHAnsi" w:hAnsiTheme="majorHAnsi"/>
          <w:b/>
          <w:sz w:val="20"/>
          <w:szCs w:val="20"/>
          <w:lang w:val="es-ES"/>
        </w:rPr>
      </w:pPr>
      <w:r w:rsidRPr="00A10C7B">
        <w:rPr>
          <w:rFonts w:asciiTheme="majorHAnsi" w:hAnsiTheme="majorHAnsi"/>
          <w:b/>
          <w:sz w:val="20"/>
          <w:szCs w:val="20"/>
          <w:lang w:val="es-ES"/>
        </w:rPr>
        <w:t>SEGUIMIENTO DE LA IMPLEMENTACIÓN DEL ACUERDO DE SOLUCIÓN AMISTOSA</w:t>
      </w:r>
    </w:p>
    <w:p w:rsidR="00394AF3" w:rsidRPr="00A10C7B" w:rsidRDefault="00394AF3" w:rsidP="00B74185">
      <w:pPr>
        <w:keepNext/>
        <w:keepLines/>
        <w:tabs>
          <w:tab w:val="left" w:pos="8640"/>
        </w:tabs>
        <w:ind w:left="720" w:right="720"/>
        <w:jc w:val="center"/>
        <w:outlineLvl w:val="0"/>
        <w:rPr>
          <w:rFonts w:asciiTheme="majorHAnsi" w:hAnsiTheme="majorHAnsi"/>
          <w:b/>
          <w:sz w:val="20"/>
          <w:szCs w:val="20"/>
          <w:lang w:val="es-ES"/>
        </w:rPr>
      </w:pPr>
    </w:p>
    <w:p w:rsidR="009C6039" w:rsidRPr="00A10C7B" w:rsidRDefault="009C6039" w:rsidP="00B74185">
      <w:pPr>
        <w:tabs>
          <w:tab w:val="left" w:pos="8640"/>
        </w:tabs>
        <w:ind w:left="720" w:right="720"/>
        <w:contextualSpacing/>
        <w:jc w:val="both"/>
        <w:rPr>
          <w:rFonts w:asciiTheme="majorHAnsi" w:hAnsiTheme="majorHAnsi"/>
          <w:sz w:val="20"/>
          <w:szCs w:val="20"/>
          <w:lang w:val="es-ES"/>
        </w:rPr>
      </w:pPr>
      <w:r w:rsidRPr="00A10C7B">
        <w:rPr>
          <w:rFonts w:asciiTheme="majorHAnsi" w:hAnsiTheme="majorHAnsi"/>
          <w:sz w:val="20"/>
          <w:szCs w:val="20"/>
          <w:lang w:val="es-ES"/>
        </w:rPr>
        <w:t xml:space="preserve">La celebración del presente acuerdo de solución amistosa y su efectivo cumplimiento, permitirá a </w:t>
      </w:r>
      <w:r w:rsidRPr="00A10C7B">
        <w:rPr>
          <w:rFonts w:asciiTheme="majorHAnsi" w:hAnsiTheme="majorHAnsi"/>
          <w:sz w:val="20"/>
          <w:szCs w:val="20"/>
          <w:lang w:val="es-ES" w:eastAsia="es-CO"/>
        </w:rPr>
        <w:t xml:space="preserve">las peticionarias </w:t>
      </w:r>
      <w:r w:rsidRPr="00A10C7B">
        <w:rPr>
          <w:rFonts w:asciiTheme="majorHAnsi" w:hAnsiTheme="majorHAnsi"/>
          <w:sz w:val="20"/>
          <w:szCs w:val="20"/>
          <w:lang w:val="es-ES"/>
        </w:rPr>
        <w:t>(</w:t>
      </w:r>
      <w:r w:rsidRPr="00A10C7B">
        <w:rPr>
          <w:rFonts w:asciiTheme="majorHAnsi" w:eastAsia="Times New Roman" w:hAnsiTheme="majorHAnsi"/>
          <w:sz w:val="20"/>
          <w:szCs w:val="20"/>
          <w:lang w:val="es-MX" w:eastAsia="es-ES"/>
        </w:rPr>
        <w:t>Emilia Morales Campos y Jennifer Emilia Morales Campos) de este caso, y a</w:t>
      </w:r>
      <w:r w:rsidRPr="00A10C7B">
        <w:rPr>
          <w:rFonts w:asciiTheme="majorHAnsi" w:eastAsia="Times New Roman" w:hAnsiTheme="majorHAnsi"/>
          <w:sz w:val="20"/>
          <w:szCs w:val="20"/>
          <w:lang w:val="es-ES" w:eastAsia="es-CR"/>
        </w:rPr>
        <w:t xml:space="preserve"> la señorita </w:t>
      </w:r>
      <w:proofErr w:type="spellStart"/>
      <w:r w:rsidRPr="00A10C7B">
        <w:rPr>
          <w:rFonts w:asciiTheme="majorHAnsi" w:eastAsia="Times New Roman" w:hAnsiTheme="majorHAnsi"/>
          <w:sz w:val="20"/>
          <w:szCs w:val="20"/>
          <w:lang w:val="es-ES" w:eastAsia="es-CR"/>
        </w:rPr>
        <w:t>Ivannia</w:t>
      </w:r>
      <w:proofErr w:type="spellEnd"/>
      <w:r w:rsidRPr="00A10C7B">
        <w:rPr>
          <w:rFonts w:asciiTheme="majorHAnsi" w:eastAsia="Times New Roman" w:hAnsiTheme="majorHAnsi"/>
          <w:sz w:val="20"/>
          <w:szCs w:val="20"/>
          <w:lang w:val="es-ES" w:eastAsia="es-CR"/>
        </w:rPr>
        <w:t xml:space="preserve"> Moya Morales (nieta de la señora Morales Campos), </w:t>
      </w:r>
      <w:r w:rsidRPr="00A10C7B">
        <w:rPr>
          <w:rFonts w:asciiTheme="majorHAnsi" w:hAnsiTheme="majorHAnsi"/>
          <w:sz w:val="20"/>
          <w:szCs w:val="20"/>
          <w:lang w:val="es-ES"/>
        </w:rPr>
        <w:t>recibir del Estado costarricense, la solución definitiva del problema habitacional.</w:t>
      </w:r>
    </w:p>
    <w:p w:rsidR="009C6039" w:rsidRPr="00A10C7B" w:rsidRDefault="009C6039" w:rsidP="00B74185">
      <w:pPr>
        <w:tabs>
          <w:tab w:val="left" w:pos="8640"/>
        </w:tabs>
        <w:ind w:left="720" w:right="720"/>
        <w:contextualSpacing/>
        <w:jc w:val="both"/>
        <w:rPr>
          <w:rFonts w:asciiTheme="majorHAnsi" w:hAnsiTheme="majorHAnsi"/>
          <w:sz w:val="20"/>
          <w:szCs w:val="20"/>
          <w:lang w:val="es-ES"/>
        </w:rPr>
      </w:pPr>
    </w:p>
    <w:p w:rsidR="009C6039" w:rsidRPr="00A10C7B" w:rsidRDefault="009C6039" w:rsidP="00B74185">
      <w:pPr>
        <w:tabs>
          <w:tab w:val="left" w:pos="8640"/>
        </w:tabs>
        <w:ind w:left="720" w:right="720"/>
        <w:jc w:val="both"/>
        <w:rPr>
          <w:rFonts w:asciiTheme="majorHAnsi" w:hAnsiTheme="majorHAnsi"/>
          <w:sz w:val="20"/>
          <w:szCs w:val="20"/>
          <w:lang w:val="es-ES"/>
        </w:rPr>
      </w:pPr>
      <w:r w:rsidRPr="00A10C7B">
        <w:rPr>
          <w:rFonts w:asciiTheme="majorHAnsi" w:hAnsiTheme="majorHAnsi"/>
          <w:sz w:val="20"/>
          <w:szCs w:val="20"/>
          <w:lang w:val="es-ES"/>
        </w:rPr>
        <w:t>Al mismo tiempo, el presente acuerdo de solución amistosa, permitirá al Estado, en palabras de la CIDH, “demostrar su compromiso de respeto y garantía de los derechos humanos y el cumplimiento de buena fe de las obligaciones asumidas en la Convención Americana y otros instrumentos regionales de protección de los derechos humanos”</w:t>
      </w:r>
      <w:r w:rsidRPr="00A10C7B">
        <w:rPr>
          <w:rFonts w:asciiTheme="majorHAnsi" w:hAnsiTheme="majorHAnsi"/>
          <w:sz w:val="20"/>
          <w:szCs w:val="20"/>
          <w:vertAlign w:val="superscript"/>
        </w:rPr>
        <w:footnoteReference w:id="17"/>
      </w:r>
      <w:r w:rsidRPr="00A10C7B">
        <w:rPr>
          <w:rFonts w:asciiTheme="majorHAnsi" w:hAnsiTheme="majorHAnsi"/>
          <w:sz w:val="20"/>
          <w:szCs w:val="20"/>
          <w:lang w:val="es-ES"/>
        </w:rPr>
        <w:t xml:space="preserve">. </w:t>
      </w:r>
    </w:p>
    <w:p w:rsidR="00394AF3" w:rsidRPr="00A10C7B" w:rsidRDefault="00394AF3" w:rsidP="00B74185">
      <w:pPr>
        <w:tabs>
          <w:tab w:val="left" w:pos="8640"/>
        </w:tabs>
        <w:ind w:left="720" w:right="720"/>
        <w:jc w:val="both"/>
        <w:rPr>
          <w:rFonts w:asciiTheme="majorHAnsi" w:hAnsiTheme="majorHAnsi"/>
          <w:sz w:val="20"/>
          <w:szCs w:val="20"/>
          <w:lang w:val="es-ES"/>
        </w:rPr>
      </w:pPr>
    </w:p>
    <w:p w:rsidR="009C6039" w:rsidRPr="00A10C7B" w:rsidRDefault="009C6039" w:rsidP="00B74185">
      <w:pPr>
        <w:tabs>
          <w:tab w:val="left" w:pos="8640"/>
        </w:tabs>
        <w:ind w:left="720" w:right="720"/>
        <w:jc w:val="both"/>
        <w:rPr>
          <w:rFonts w:asciiTheme="majorHAnsi" w:hAnsiTheme="majorHAnsi"/>
          <w:sz w:val="20"/>
          <w:szCs w:val="20"/>
          <w:lang w:val="es-ES"/>
        </w:rPr>
      </w:pPr>
      <w:r w:rsidRPr="00A10C7B">
        <w:rPr>
          <w:rFonts w:asciiTheme="majorHAnsi" w:hAnsiTheme="majorHAnsi"/>
          <w:sz w:val="20"/>
          <w:szCs w:val="20"/>
          <w:lang w:val="es-ES"/>
        </w:rPr>
        <w:t>Tal y como la CIDH ha señalado, la efectividad del mecanismo de solución amistosa, reposa tanto en la voluntad de las partes de llegar a una solución amistosa en el asunto, como en el cumplimiento de las medidas de reparación que dicho acuerdo contempla. Lo anterior, ya que “los Estados tienen el deber de cumplir cabalmente y de buena fe con los compromisos asumidos en este”</w:t>
      </w:r>
      <w:r w:rsidRPr="00A10C7B">
        <w:rPr>
          <w:rFonts w:asciiTheme="majorHAnsi" w:hAnsiTheme="majorHAnsi"/>
          <w:sz w:val="20"/>
          <w:szCs w:val="20"/>
          <w:vertAlign w:val="superscript"/>
        </w:rPr>
        <w:footnoteReference w:id="18"/>
      </w:r>
      <w:r w:rsidRPr="00A10C7B">
        <w:rPr>
          <w:rFonts w:asciiTheme="majorHAnsi" w:hAnsiTheme="majorHAnsi"/>
          <w:sz w:val="20"/>
          <w:szCs w:val="20"/>
          <w:lang w:val="es-ES"/>
        </w:rPr>
        <w:t>.</w:t>
      </w:r>
    </w:p>
    <w:p w:rsidR="00394AF3" w:rsidRPr="00A10C7B" w:rsidRDefault="00394AF3" w:rsidP="00B74185">
      <w:pPr>
        <w:tabs>
          <w:tab w:val="left" w:pos="8640"/>
        </w:tabs>
        <w:ind w:left="720" w:right="720"/>
        <w:jc w:val="both"/>
        <w:rPr>
          <w:rFonts w:asciiTheme="majorHAnsi" w:hAnsiTheme="majorHAnsi"/>
          <w:sz w:val="20"/>
          <w:szCs w:val="20"/>
          <w:lang w:val="es-ES"/>
        </w:rPr>
      </w:pPr>
    </w:p>
    <w:p w:rsidR="009C6039" w:rsidRPr="00A10C7B" w:rsidRDefault="009C6039" w:rsidP="00B74185">
      <w:pPr>
        <w:tabs>
          <w:tab w:val="left" w:pos="8640"/>
        </w:tabs>
        <w:ind w:left="720" w:right="720"/>
        <w:jc w:val="both"/>
        <w:rPr>
          <w:rFonts w:asciiTheme="majorHAnsi" w:hAnsiTheme="majorHAnsi"/>
          <w:sz w:val="20"/>
          <w:szCs w:val="20"/>
          <w:lang w:val="es-ES"/>
        </w:rPr>
      </w:pPr>
      <w:r w:rsidRPr="00A10C7B">
        <w:rPr>
          <w:rFonts w:asciiTheme="majorHAnsi" w:hAnsiTheme="majorHAnsi"/>
          <w:sz w:val="20"/>
          <w:szCs w:val="20"/>
          <w:lang w:val="es-ES"/>
        </w:rPr>
        <w:t>Así, para garantizar el cumplimiento de las medidas acordadas a través del presente acuerdo de conformidad con el principio de buena fe, y a efectos de garantizar el adecuado seguimiento en su implementación, las partes:</w:t>
      </w:r>
    </w:p>
    <w:p w:rsidR="009C6039" w:rsidRPr="00A10C7B" w:rsidRDefault="009C6039" w:rsidP="00B74185">
      <w:pPr>
        <w:tabs>
          <w:tab w:val="left" w:pos="8640"/>
        </w:tabs>
        <w:ind w:left="720" w:right="720"/>
        <w:jc w:val="both"/>
        <w:rPr>
          <w:rFonts w:asciiTheme="majorHAnsi" w:hAnsiTheme="majorHAnsi"/>
          <w:sz w:val="20"/>
          <w:szCs w:val="20"/>
          <w:lang w:val="es-ES"/>
        </w:rPr>
      </w:pPr>
    </w:p>
    <w:p w:rsidR="009C6039" w:rsidRPr="00A10C7B" w:rsidRDefault="009C6039" w:rsidP="00B74185">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1170"/>
        </w:tabs>
        <w:ind w:right="720" w:firstLine="0"/>
        <w:contextualSpacing/>
        <w:jc w:val="both"/>
        <w:rPr>
          <w:rFonts w:asciiTheme="majorHAnsi" w:hAnsiTheme="majorHAnsi"/>
          <w:sz w:val="20"/>
          <w:szCs w:val="20"/>
          <w:lang w:val="es-ES"/>
        </w:rPr>
      </w:pPr>
      <w:r w:rsidRPr="00A10C7B">
        <w:rPr>
          <w:rFonts w:asciiTheme="majorHAnsi" w:hAnsiTheme="majorHAnsi"/>
          <w:sz w:val="20"/>
          <w:szCs w:val="20"/>
          <w:lang w:val="es-ES"/>
        </w:rPr>
        <w:t xml:space="preserve">Informarán a la Comisión Interamericana de Derechos Humanos sobre los avances en el cumplimiento del presente acuerdo de solución amistosa. </w:t>
      </w:r>
    </w:p>
    <w:p w:rsidR="009C6039" w:rsidRPr="00A10C7B" w:rsidRDefault="009C6039" w:rsidP="00B74185">
      <w:pPr>
        <w:tabs>
          <w:tab w:val="left" w:pos="8640"/>
        </w:tabs>
        <w:ind w:left="720" w:right="720"/>
        <w:contextualSpacing/>
        <w:jc w:val="both"/>
        <w:rPr>
          <w:rFonts w:asciiTheme="majorHAnsi" w:hAnsiTheme="majorHAnsi"/>
          <w:sz w:val="20"/>
          <w:szCs w:val="20"/>
          <w:lang w:val="es-ES"/>
        </w:rPr>
      </w:pPr>
    </w:p>
    <w:p w:rsidR="009C6039" w:rsidRPr="00A10C7B" w:rsidRDefault="009C6039" w:rsidP="00B74185">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0"/>
        <w:contextualSpacing/>
        <w:jc w:val="both"/>
        <w:rPr>
          <w:rFonts w:asciiTheme="majorHAnsi" w:eastAsia="Times New Roman" w:hAnsiTheme="majorHAnsi"/>
          <w:sz w:val="20"/>
          <w:szCs w:val="20"/>
          <w:lang w:val="es-ES_tradnl" w:eastAsia="es-ES_tradnl"/>
        </w:rPr>
      </w:pPr>
      <w:r w:rsidRPr="00A10C7B">
        <w:rPr>
          <w:rFonts w:asciiTheme="majorHAnsi" w:hAnsiTheme="majorHAnsi"/>
          <w:sz w:val="20"/>
          <w:szCs w:val="20"/>
          <w:lang w:val="es-ES"/>
        </w:rPr>
        <w:t xml:space="preserve">Únicamente solicitarán la homologación del presente acuerdo a la Comisión Interamericana de Derechos Humanos, conjuntamente y por escrito, cuando se produzca un cumplimiento de la medida contenida, según la cual: se haya hecho </w:t>
      </w:r>
      <w:r w:rsidRPr="00A10C7B">
        <w:rPr>
          <w:rFonts w:asciiTheme="majorHAnsi" w:eastAsia="Times New Roman" w:hAnsiTheme="majorHAnsi"/>
          <w:sz w:val="20"/>
          <w:szCs w:val="20"/>
          <w:lang w:val="es-ES" w:eastAsia="es-CR"/>
        </w:rPr>
        <w:t xml:space="preserve">entrega de una casa de habitación </w:t>
      </w:r>
      <w:r w:rsidRPr="00A10C7B">
        <w:rPr>
          <w:rFonts w:asciiTheme="majorHAnsi" w:hAnsiTheme="majorHAnsi"/>
          <w:sz w:val="20"/>
          <w:szCs w:val="20"/>
          <w:lang w:val="es-ES"/>
        </w:rPr>
        <w:t xml:space="preserve">cumpliendo </w:t>
      </w:r>
      <w:r w:rsidRPr="00A10C7B">
        <w:rPr>
          <w:rFonts w:asciiTheme="majorHAnsi" w:eastAsia="Times New Roman" w:hAnsiTheme="majorHAnsi"/>
          <w:sz w:val="20"/>
          <w:szCs w:val="20"/>
          <w:shd w:val="clear" w:color="auto" w:fill="FFFFFF"/>
          <w:lang w:val="es-ES"/>
        </w:rPr>
        <w:t xml:space="preserve">con </w:t>
      </w:r>
      <w:r w:rsidRPr="00A10C7B">
        <w:rPr>
          <w:rFonts w:asciiTheme="majorHAnsi" w:eastAsia="Times New Roman" w:hAnsiTheme="majorHAnsi"/>
          <w:sz w:val="20"/>
          <w:szCs w:val="20"/>
          <w:lang w:val="es-ES" w:eastAsia="es-ES"/>
        </w:rPr>
        <w:t xml:space="preserve">la Ley N°7600, </w:t>
      </w:r>
      <w:r w:rsidRPr="00A10C7B">
        <w:rPr>
          <w:rFonts w:asciiTheme="majorHAnsi" w:eastAsia="Times New Roman" w:hAnsiTheme="majorHAnsi"/>
          <w:sz w:val="20"/>
          <w:szCs w:val="20"/>
          <w:lang w:val="es-ES" w:eastAsia="es-CR"/>
        </w:rPr>
        <w:t xml:space="preserve">bajo el esquema de Bono Familiar de Vivienda, que se construirá en </w:t>
      </w:r>
      <w:r w:rsidRPr="00A10C7B">
        <w:rPr>
          <w:rFonts w:asciiTheme="majorHAnsi" w:eastAsia="Times New Roman" w:hAnsiTheme="majorHAnsi"/>
          <w:sz w:val="20"/>
          <w:szCs w:val="20"/>
          <w:lang w:val="es-ES_tradnl" w:eastAsia="es-ES_tradnl"/>
        </w:rPr>
        <w:t xml:space="preserve">el </w:t>
      </w:r>
      <w:r w:rsidRPr="00A10C7B">
        <w:rPr>
          <w:rFonts w:asciiTheme="majorHAnsi" w:eastAsia="Times New Roman" w:hAnsiTheme="majorHAnsi"/>
          <w:sz w:val="20"/>
          <w:szCs w:val="20"/>
          <w:lang w:val="es-ES"/>
        </w:rPr>
        <w:t xml:space="preserve">Lote N°4 </w:t>
      </w:r>
      <w:r w:rsidRPr="00A10C7B">
        <w:rPr>
          <w:rFonts w:asciiTheme="majorHAnsi" w:hAnsiTheme="majorHAnsi"/>
          <w:color w:val="222222"/>
          <w:sz w:val="20"/>
          <w:szCs w:val="20"/>
          <w:lang w:val="es-ES"/>
        </w:rPr>
        <w:t xml:space="preserve">del Proyecto de Calle La </w:t>
      </w:r>
      <w:proofErr w:type="spellStart"/>
      <w:r w:rsidRPr="00A10C7B">
        <w:rPr>
          <w:rFonts w:asciiTheme="majorHAnsi" w:hAnsiTheme="majorHAnsi"/>
          <w:color w:val="222222"/>
          <w:sz w:val="20"/>
          <w:szCs w:val="20"/>
          <w:lang w:val="es-ES"/>
        </w:rPr>
        <w:t>Cedeña</w:t>
      </w:r>
      <w:proofErr w:type="spellEnd"/>
      <w:r w:rsidRPr="00A10C7B">
        <w:rPr>
          <w:rFonts w:asciiTheme="majorHAnsi" w:hAnsiTheme="majorHAnsi"/>
          <w:color w:val="222222"/>
          <w:sz w:val="20"/>
          <w:szCs w:val="20"/>
          <w:lang w:val="es-ES"/>
        </w:rPr>
        <w:t xml:space="preserve"> (</w:t>
      </w:r>
      <w:r w:rsidRPr="00A10C7B">
        <w:rPr>
          <w:rFonts w:asciiTheme="majorHAnsi" w:eastAsia="Times New Roman" w:hAnsiTheme="majorHAnsi"/>
          <w:sz w:val="20"/>
          <w:szCs w:val="20"/>
          <w:lang w:val="es-ES_tradnl" w:eastAsia="es-ES_tradnl"/>
        </w:rPr>
        <w:t xml:space="preserve">inmueble inscrito al partido de Alajuela folio real </w:t>
      </w:r>
      <w:r w:rsidRPr="00A10C7B">
        <w:rPr>
          <w:rFonts w:asciiTheme="majorHAnsi" w:eastAsia="Times New Roman" w:hAnsiTheme="majorHAnsi"/>
          <w:sz w:val="20"/>
          <w:szCs w:val="20"/>
          <w:lang w:val="es-ES"/>
        </w:rPr>
        <w:t>525479-000, situado en Distrito 7 Puente Piedra, Cantón 3 Grecia, Provincia 2 Alajuela</w:t>
      </w:r>
      <w:r w:rsidRPr="00A10C7B">
        <w:rPr>
          <w:rFonts w:asciiTheme="majorHAnsi" w:hAnsiTheme="majorHAnsi"/>
          <w:sz w:val="20"/>
          <w:szCs w:val="20"/>
          <w:lang w:val="es-ES"/>
        </w:rPr>
        <w:t>). Tal y como fue explicado ampliamente en el acápite de Medidas de Reparación Individual, del presente acuerdo de solución amistosa.</w:t>
      </w:r>
    </w:p>
    <w:p w:rsidR="00394AF3" w:rsidRPr="00A10C7B" w:rsidRDefault="00394AF3" w:rsidP="00120783">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ajorHAnsi" w:hAnsiTheme="majorHAnsi"/>
          <w:b/>
          <w:sz w:val="20"/>
          <w:szCs w:val="20"/>
          <w:lang w:val="es-BO"/>
        </w:rPr>
      </w:pPr>
    </w:p>
    <w:p w:rsidR="009C6039" w:rsidRPr="00A10C7B" w:rsidRDefault="009C6039" w:rsidP="004E4AE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contextualSpacing/>
        <w:rPr>
          <w:rFonts w:asciiTheme="majorHAnsi" w:hAnsiTheme="majorHAnsi"/>
          <w:b/>
          <w:sz w:val="20"/>
          <w:szCs w:val="20"/>
          <w:lang w:val="es-BO"/>
        </w:rPr>
      </w:pPr>
      <w:r w:rsidRPr="00A10C7B">
        <w:rPr>
          <w:rFonts w:asciiTheme="majorHAnsi" w:hAnsiTheme="majorHAnsi"/>
          <w:b/>
          <w:sz w:val="20"/>
          <w:szCs w:val="20"/>
          <w:lang w:val="es-BO"/>
        </w:rPr>
        <w:t>DETERMINACIÓN DE COMPATIBILIDAD Y CUMPLIMIENTO</w:t>
      </w:r>
    </w:p>
    <w:p w:rsidR="009C6039" w:rsidRPr="00A10C7B" w:rsidRDefault="009C6039" w:rsidP="00120783">
      <w:pPr>
        <w:pStyle w:val="ListParagraph"/>
        <w:ind w:left="0" w:firstLine="720"/>
        <w:rPr>
          <w:rFonts w:asciiTheme="majorHAnsi" w:hAnsiTheme="majorHAnsi"/>
          <w:b/>
          <w:sz w:val="20"/>
          <w:szCs w:val="20"/>
          <w:lang w:val="es-BO"/>
        </w:rPr>
      </w:pPr>
    </w:p>
    <w:p w:rsidR="009C6039" w:rsidRPr="00A10C7B" w:rsidRDefault="009C6039" w:rsidP="004C7506">
      <w:pPr>
        <w:pStyle w:val="ListParagraph"/>
        <w:numPr>
          <w:ilvl w:val="0"/>
          <w:numId w:val="69"/>
        </w:numPr>
        <w:tabs>
          <w:tab w:val="left" w:pos="720"/>
          <w:tab w:val="left" w:pos="810"/>
        </w:tabs>
        <w:ind w:left="0" w:firstLine="720"/>
        <w:jc w:val="both"/>
        <w:rPr>
          <w:rFonts w:asciiTheme="majorHAnsi" w:hAnsiTheme="majorHAnsi" w:cs="Calibri"/>
          <w:sz w:val="20"/>
          <w:szCs w:val="20"/>
          <w:lang w:val="es-ES_tradnl"/>
        </w:rPr>
      </w:pPr>
      <w:r w:rsidRPr="00A10C7B">
        <w:rPr>
          <w:rFonts w:asciiTheme="majorHAnsi" w:hAnsiTheme="majorHAnsi" w:cs="Calibri"/>
          <w:sz w:val="20"/>
          <w:szCs w:val="20"/>
          <w:lang w:val="es-ES_tradnl"/>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A10C7B">
        <w:rPr>
          <w:rFonts w:asciiTheme="majorHAnsi" w:hAnsiTheme="majorHAnsi" w:cs="Calibri"/>
          <w:i/>
          <w:sz w:val="20"/>
          <w:szCs w:val="20"/>
          <w:lang w:val="es-ES_tradnl"/>
        </w:rPr>
        <w:t xml:space="preserve">pacta </w:t>
      </w:r>
      <w:proofErr w:type="spellStart"/>
      <w:r w:rsidRPr="00A10C7B">
        <w:rPr>
          <w:rFonts w:asciiTheme="majorHAnsi" w:hAnsiTheme="majorHAnsi" w:cs="Calibri"/>
          <w:i/>
          <w:sz w:val="20"/>
          <w:szCs w:val="20"/>
          <w:lang w:val="es-ES_tradnl"/>
        </w:rPr>
        <w:t>sunt</w:t>
      </w:r>
      <w:proofErr w:type="spellEnd"/>
      <w:r w:rsidRPr="00A10C7B">
        <w:rPr>
          <w:rFonts w:asciiTheme="majorHAnsi" w:hAnsiTheme="majorHAnsi" w:cs="Calibri"/>
          <w:i/>
          <w:sz w:val="20"/>
          <w:szCs w:val="20"/>
          <w:lang w:val="es-ES_tradnl"/>
        </w:rPr>
        <w:t xml:space="preserve"> </w:t>
      </w:r>
      <w:proofErr w:type="spellStart"/>
      <w:r w:rsidRPr="00A10C7B">
        <w:rPr>
          <w:rFonts w:asciiTheme="majorHAnsi" w:hAnsiTheme="majorHAnsi" w:cs="Calibri"/>
          <w:i/>
          <w:sz w:val="20"/>
          <w:szCs w:val="20"/>
          <w:lang w:val="es-ES_tradnl"/>
        </w:rPr>
        <w:t>servanda</w:t>
      </w:r>
      <w:proofErr w:type="spellEnd"/>
      <w:r w:rsidRPr="00A10C7B">
        <w:rPr>
          <w:rFonts w:asciiTheme="majorHAnsi" w:hAnsiTheme="majorHAnsi" w:cs="Calibri"/>
          <w:sz w:val="20"/>
          <w:szCs w:val="20"/>
          <w:lang w:val="es-ES_tradnl"/>
        </w:rPr>
        <w:t>, por el cual los Estados deben cumplir de buena fe las obligaciones asumidas en los tratados</w:t>
      </w:r>
      <w:r w:rsidRPr="00A10C7B">
        <w:rPr>
          <w:rStyle w:val="FootnoteReference"/>
          <w:rFonts w:asciiTheme="majorHAnsi" w:hAnsiTheme="majorHAnsi" w:cs="Calibri"/>
          <w:sz w:val="20"/>
          <w:szCs w:val="20"/>
          <w:lang w:val="es-ES_tradnl"/>
        </w:rPr>
        <w:footnoteReference w:id="19"/>
      </w:r>
      <w:r w:rsidRPr="00A10C7B">
        <w:rPr>
          <w:rFonts w:asciiTheme="majorHAnsi" w:hAnsiTheme="majorHAnsi" w:cs="Calibri"/>
          <w:sz w:val="20"/>
          <w:szCs w:val="20"/>
          <w:lang w:val="es-ES_tradnl"/>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9C6039" w:rsidRPr="00A10C7B" w:rsidRDefault="009C6039" w:rsidP="00120783">
      <w:pPr>
        <w:pStyle w:val="ListParagraph"/>
        <w:tabs>
          <w:tab w:val="left" w:pos="0"/>
          <w:tab w:val="left" w:pos="180"/>
          <w:tab w:val="left" w:pos="810"/>
        </w:tabs>
        <w:ind w:left="0" w:firstLine="720"/>
        <w:jc w:val="both"/>
        <w:rPr>
          <w:rFonts w:asciiTheme="majorHAnsi" w:hAnsiTheme="majorHAnsi" w:cs="Calibri"/>
          <w:sz w:val="20"/>
          <w:szCs w:val="20"/>
          <w:lang w:val="es-ES_tradnl"/>
        </w:rPr>
      </w:pPr>
    </w:p>
    <w:p w:rsidR="009C6039" w:rsidRPr="00A10C7B" w:rsidRDefault="009C6039" w:rsidP="004C7506">
      <w:pPr>
        <w:pStyle w:val="ListParagraph"/>
        <w:numPr>
          <w:ilvl w:val="0"/>
          <w:numId w:val="69"/>
        </w:numPr>
        <w:tabs>
          <w:tab w:val="left" w:pos="0"/>
          <w:tab w:val="left" w:pos="810"/>
        </w:tabs>
        <w:ind w:left="0" w:firstLine="720"/>
        <w:jc w:val="both"/>
        <w:rPr>
          <w:rFonts w:asciiTheme="majorHAnsi" w:hAnsiTheme="majorHAnsi" w:cs="Calibri"/>
          <w:sz w:val="20"/>
          <w:szCs w:val="20"/>
          <w:lang w:val="es-ES_tradnl"/>
        </w:rPr>
      </w:pPr>
      <w:r w:rsidRPr="00A10C7B">
        <w:rPr>
          <w:rFonts w:asciiTheme="majorHAnsi" w:hAnsiTheme="majorHAnsi" w:cs="Calibri"/>
          <w:sz w:val="20"/>
          <w:szCs w:val="20"/>
          <w:lang w:val="es-ES_tradnl"/>
        </w:rPr>
        <w:t>La Comisión Interamericana valora altamente los esfuerzos desplegados por ambas partes durante la negociación del acuerdo para alcanzar esta solución amistosa que resulta compatible con el objeto y fin de la Convención.</w:t>
      </w:r>
    </w:p>
    <w:p w:rsidR="009C6039" w:rsidRPr="00A10C7B" w:rsidRDefault="009C6039" w:rsidP="00120783">
      <w:pPr>
        <w:pStyle w:val="ListParagraph"/>
        <w:tabs>
          <w:tab w:val="left" w:pos="0"/>
          <w:tab w:val="left" w:pos="810"/>
        </w:tabs>
        <w:jc w:val="both"/>
        <w:rPr>
          <w:rFonts w:asciiTheme="majorHAnsi" w:hAnsiTheme="majorHAnsi" w:cs="Calibri"/>
          <w:sz w:val="20"/>
          <w:szCs w:val="20"/>
          <w:lang w:val="es-ES_tradnl"/>
        </w:rPr>
      </w:pPr>
    </w:p>
    <w:p w:rsidR="009C6039" w:rsidRPr="00A10C7B" w:rsidRDefault="009C6039" w:rsidP="004C7506">
      <w:pPr>
        <w:pStyle w:val="ListParagraph"/>
        <w:numPr>
          <w:ilvl w:val="0"/>
          <w:numId w:val="69"/>
        </w:numPr>
        <w:tabs>
          <w:tab w:val="left" w:pos="0"/>
          <w:tab w:val="left" w:pos="810"/>
        </w:tabs>
        <w:ind w:left="0" w:firstLine="720"/>
        <w:jc w:val="both"/>
        <w:rPr>
          <w:rFonts w:asciiTheme="majorHAnsi" w:hAnsiTheme="majorHAnsi" w:cs="Calibri"/>
          <w:sz w:val="20"/>
          <w:szCs w:val="20"/>
          <w:lang w:val="es-ES_tradnl"/>
        </w:rPr>
      </w:pPr>
      <w:r w:rsidRPr="00A10C7B">
        <w:rPr>
          <w:rFonts w:asciiTheme="majorHAnsi" w:hAnsiTheme="majorHAnsi" w:cs="Calibri"/>
          <w:sz w:val="20"/>
          <w:szCs w:val="20"/>
          <w:lang w:val="es-ES_tradnl"/>
        </w:rPr>
        <w:t>De conformidad a lo establecido en el acuerdo de solución amistosa, las partes han solicitado conjuntamente a la Comisión que adopte el informe contemplado en el artículo 49 de la Convención Americana.</w:t>
      </w:r>
    </w:p>
    <w:p w:rsidR="009C6039" w:rsidRPr="00A10C7B" w:rsidRDefault="009C6039" w:rsidP="00120783">
      <w:pPr>
        <w:pStyle w:val="ListParagraph"/>
        <w:tabs>
          <w:tab w:val="left" w:pos="0"/>
          <w:tab w:val="left" w:pos="180"/>
          <w:tab w:val="left" w:pos="810"/>
        </w:tabs>
        <w:jc w:val="both"/>
        <w:rPr>
          <w:rFonts w:asciiTheme="majorHAnsi" w:hAnsiTheme="majorHAnsi" w:cs="Calibri"/>
          <w:sz w:val="20"/>
          <w:szCs w:val="20"/>
          <w:lang w:val="es-ES_tradnl"/>
        </w:rPr>
      </w:pPr>
    </w:p>
    <w:p w:rsidR="009C6039" w:rsidRPr="00A10C7B" w:rsidRDefault="009C6039" w:rsidP="004C7506">
      <w:pPr>
        <w:pStyle w:val="ListParagraph"/>
        <w:numPr>
          <w:ilvl w:val="0"/>
          <w:numId w:val="69"/>
        </w:numPr>
        <w:tabs>
          <w:tab w:val="left" w:pos="0"/>
          <w:tab w:val="left" w:pos="810"/>
        </w:tabs>
        <w:ind w:left="0" w:firstLine="720"/>
        <w:jc w:val="both"/>
        <w:rPr>
          <w:rFonts w:asciiTheme="majorHAnsi" w:hAnsiTheme="majorHAnsi" w:cs="Calibri"/>
          <w:sz w:val="20"/>
          <w:szCs w:val="20"/>
          <w:lang w:val="es-ES_tradnl"/>
        </w:rPr>
      </w:pPr>
      <w:r w:rsidRPr="00A10C7B">
        <w:rPr>
          <w:rFonts w:asciiTheme="majorHAnsi" w:hAnsiTheme="majorHAnsi" w:cs="Calibri"/>
          <w:sz w:val="20"/>
          <w:szCs w:val="20"/>
          <w:lang w:val="es-ES_tradnl"/>
        </w:rPr>
        <w:t>La CIDH observa que dada la información suministrada por las partes hasta este momento y la solicitud de homologación del ASA sometida por las partes a la Comisión, corresponde valorar el cumplimiento de los compromisos establecidos en el acuerdo de solución amistosa.</w:t>
      </w:r>
    </w:p>
    <w:p w:rsidR="00866ECB" w:rsidRPr="00A10C7B" w:rsidRDefault="00866ECB" w:rsidP="00120783">
      <w:pPr>
        <w:rPr>
          <w:rFonts w:asciiTheme="majorHAnsi" w:hAnsiTheme="majorHAnsi" w:cs="Calibri"/>
          <w:sz w:val="20"/>
          <w:szCs w:val="20"/>
          <w:lang w:val="es-ES_tradnl"/>
        </w:rPr>
      </w:pPr>
    </w:p>
    <w:p w:rsidR="00E527A2" w:rsidRPr="00A10C7B" w:rsidRDefault="00E527A2" w:rsidP="004C7506">
      <w:pPr>
        <w:pStyle w:val="ListParagraph"/>
        <w:numPr>
          <w:ilvl w:val="0"/>
          <w:numId w:val="69"/>
        </w:numPr>
        <w:tabs>
          <w:tab w:val="left" w:pos="0"/>
          <w:tab w:val="left" w:pos="810"/>
        </w:tabs>
        <w:ind w:left="0" w:firstLine="720"/>
        <w:jc w:val="both"/>
        <w:rPr>
          <w:rFonts w:asciiTheme="majorHAnsi" w:hAnsiTheme="majorHAnsi" w:cs="Calibri"/>
          <w:sz w:val="20"/>
          <w:szCs w:val="20"/>
          <w:lang w:val="es-ES_tradnl"/>
        </w:rPr>
      </w:pPr>
      <w:r w:rsidRPr="00A10C7B">
        <w:rPr>
          <w:rFonts w:asciiTheme="majorHAnsi" w:hAnsiTheme="majorHAnsi" w:cs="Calibri"/>
          <w:sz w:val="20"/>
          <w:szCs w:val="20"/>
          <w:lang w:val="es-ES_tradnl"/>
        </w:rPr>
        <w:t xml:space="preserve">Según el informe del Estado de 20 de julio de 2018, durante el acto de firma del acuerdo de </w:t>
      </w:r>
      <w:r w:rsidR="00560C43" w:rsidRPr="00A10C7B">
        <w:rPr>
          <w:rFonts w:asciiTheme="majorHAnsi" w:hAnsiTheme="majorHAnsi" w:cs="Calibri"/>
          <w:sz w:val="20"/>
          <w:szCs w:val="20"/>
          <w:lang w:val="es-ES_tradnl"/>
        </w:rPr>
        <w:t>solución</w:t>
      </w:r>
      <w:r w:rsidRPr="00A10C7B">
        <w:rPr>
          <w:rFonts w:asciiTheme="majorHAnsi" w:hAnsiTheme="majorHAnsi" w:cs="Calibri"/>
          <w:sz w:val="20"/>
          <w:szCs w:val="20"/>
          <w:lang w:val="es-ES_tradnl"/>
        </w:rPr>
        <w:t xml:space="preserve"> amistosa, que fue acompañado por la Comisionada Esmeralda Arosemena de </w:t>
      </w:r>
      <w:proofErr w:type="spellStart"/>
      <w:r w:rsidRPr="00A10C7B">
        <w:rPr>
          <w:rFonts w:asciiTheme="majorHAnsi" w:hAnsiTheme="majorHAnsi" w:cs="Calibri"/>
          <w:sz w:val="20"/>
          <w:szCs w:val="20"/>
          <w:lang w:val="es-ES_tradnl"/>
        </w:rPr>
        <w:t>Troitiño</w:t>
      </w:r>
      <w:proofErr w:type="spellEnd"/>
      <w:r w:rsidRPr="00A10C7B">
        <w:rPr>
          <w:rFonts w:asciiTheme="majorHAnsi" w:hAnsiTheme="majorHAnsi" w:cs="Calibri"/>
          <w:sz w:val="20"/>
          <w:szCs w:val="20"/>
          <w:lang w:val="es-ES_tradnl"/>
        </w:rPr>
        <w:t xml:space="preserve"> en calidad de testigo de honor, la Primera Vicepresidenta y el Ex canciller de la República de Costa Rica, le ofrecieron disculpas a la peticionaria Emilia Morales Campos, en nombre del Estado de Costa Rica. En dicho acto se señaló expresamente que: </w:t>
      </w:r>
    </w:p>
    <w:p w:rsidR="00E527A2" w:rsidRPr="00A10C7B" w:rsidRDefault="00E527A2" w:rsidP="00120783">
      <w:pPr>
        <w:pStyle w:val="ListParagraph"/>
        <w:rPr>
          <w:rFonts w:asciiTheme="majorHAnsi" w:hAnsiTheme="majorHAnsi" w:cs="Calibri"/>
          <w:sz w:val="20"/>
          <w:szCs w:val="20"/>
          <w:lang w:val="es-ES_tradnl"/>
        </w:rPr>
      </w:pPr>
    </w:p>
    <w:p w:rsidR="00E527A2" w:rsidRPr="00A10C7B" w:rsidRDefault="00EF1605" w:rsidP="00120783">
      <w:pPr>
        <w:tabs>
          <w:tab w:val="num" w:pos="180"/>
          <w:tab w:val="left" w:pos="810"/>
        </w:tabs>
        <w:ind w:left="720" w:right="720"/>
        <w:jc w:val="both"/>
        <w:rPr>
          <w:rFonts w:asciiTheme="majorHAnsi" w:hAnsiTheme="majorHAnsi" w:cs="Calibri"/>
          <w:sz w:val="20"/>
          <w:szCs w:val="20"/>
          <w:lang w:val="es-ES_tradnl"/>
        </w:rPr>
      </w:pPr>
      <w:r w:rsidRPr="00A10C7B">
        <w:rPr>
          <w:rFonts w:asciiTheme="majorHAnsi" w:hAnsiTheme="majorHAnsi" w:cs="Calibri"/>
          <w:sz w:val="20"/>
          <w:szCs w:val="20"/>
          <w:lang w:val="es-ES_tradnl"/>
        </w:rPr>
        <w:t>[E]</w:t>
      </w:r>
      <w:r w:rsidR="00E527A2" w:rsidRPr="00A10C7B">
        <w:rPr>
          <w:rFonts w:asciiTheme="majorHAnsi" w:hAnsiTheme="majorHAnsi" w:cs="Calibri"/>
          <w:sz w:val="20"/>
          <w:szCs w:val="20"/>
          <w:lang w:val="es-ES_tradnl"/>
        </w:rPr>
        <w:t>n representación del Estado costarricense, le pido disculpas a la señora Emilia Morales Campos por el Caso 12.942. Doña Emilia ha luchado por años por que el Estado respondiera a una solicitud donde lo que resulta central es la protección de los derechos humanos de las personas. Doña Emilia por lo que ha reclamado al Estado es por un acceso claro, digno y seguro a sus derechos y sobre todo para la protección de su integridad personal, la de su hija y ahora la de su nieta. El Estado debe garantizar procedimientos claros para las personas. En la actualidad, así lo hace el Estado costarricense, pero doña Emilia experimentó una situación particular y excepcional, que antecedió al desarrollo actual del Sistema Financiero Nacional de la Vivienda (SNFV) en Costa Rica y en un contexto donde no se le garantizó a la peticionaria los mecanismos estatales mejorados, la orientación, ni tampoco el acompañamiento para acceder a las soluciones temporales o permanentes de vivienda. Por ello, como medida de reparación específica, el Estado costarricense está facilitando la entrega de una casa de habitación bajo el esquema de Bono Familiar de Vivienda del SFNV a doña Emilia Morales y con esto, Costa Rica cumple con sus obligaciones de derechos humanos en el marco no solo de su legislación sino del Sistema Interamericano de Derechos Humanos […].</w:t>
      </w:r>
    </w:p>
    <w:p w:rsidR="00E527A2" w:rsidRPr="00A10C7B" w:rsidRDefault="00E527A2" w:rsidP="00120783">
      <w:pPr>
        <w:pStyle w:val="ListParagraph"/>
        <w:rPr>
          <w:rFonts w:asciiTheme="majorHAnsi" w:hAnsiTheme="majorHAnsi" w:cs="Calibri"/>
          <w:sz w:val="20"/>
          <w:szCs w:val="20"/>
          <w:lang w:val="es-ES_tradnl"/>
        </w:rPr>
      </w:pPr>
    </w:p>
    <w:p w:rsidR="00E527A2" w:rsidRPr="00A10C7B" w:rsidRDefault="00E527A2" w:rsidP="004C7506">
      <w:pPr>
        <w:pStyle w:val="ListParagraph"/>
        <w:numPr>
          <w:ilvl w:val="0"/>
          <w:numId w:val="69"/>
        </w:numPr>
        <w:tabs>
          <w:tab w:val="left" w:pos="0"/>
          <w:tab w:val="left" w:pos="810"/>
        </w:tabs>
        <w:ind w:left="0" w:firstLine="720"/>
        <w:jc w:val="both"/>
        <w:rPr>
          <w:rFonts w:asciiTheme="majorHAnsi" w:hAnsiTheme="majorHAnsi" w:cs="Calibri"/>
          <w:sz w:val="20"/>
          <w:szCs w:val="20"/>
          <w:lang w:val="es-ES_tradnl"/>
        </w:rPr>
      </w:pPr>
      <w:r w:rsidRPr="00A10C7B">
        <w:rPr>
          <w:rFonts w:asciiTheme="majorHAnsi" w:hAnsiTheme="majorHAnsi" w:cs="Calibri"/>
          <w:sz w:val="20"/>
          <w:szCs w:val="20"/>
          <w:lang w:val="es-ES_tradnl"/>
        </w:rPr>
        <w:t xml:space="preserve">Al respecto, al </w:t>
      </w:r>
      <w:r w:rsidR="00560C43" w:rsidRPr="00A10C7B">
        <w:rPr>
          <w:rFonts w:asciiTheme="majorHAnsi" w:hAnsiTheme="majorHAnsi" w:cs="Calibri"/>
          <w:sz w:val="20"/>
          <w:szCs w:val="20"/>
          <w:lang w:val="es-ES_tradnl"/>
        </w:rPr>
        <w:t>Comisión</w:t>
      </w:r>
      <w:r w:rsidRPr="00A10C7B">
        <w:rPr>
          <w:rFonts w:asciiTheme="majorHAnsi" w:hAnsiTheme="majorHAnsi" w:cs="Calibri"/>
          <w:sz w:val="20"/>
          <w:szCs w:val="20"/>
          <w:lang w:val="es-ES_tradnl"/>
        </w:rPr>
        <w:t xml:space="preserve"> valora el ofrecimiento de disculpas por parte del Estado de Costa Rica </w:t>
      </w:r>
      <w:r w:rsidR="00560C43" w:rsidRPr="00A10C7B">
        <w:rPr>
          <w:rFonts w:asciiTheme="majorHAnsi" w:hAnsiTheme="majorHAnsi" w:cs="Calibri"/>
          <w:sz w:val="20"/>
          <w:szCs w:val="20"/>
          <w:lang w:val="es-ES_tradnl"/>
        </w:rPr>
        <w:t xml:space="preserve">y la dignificación de la señora Emilia Morales y de su lucha en la reivindicación de sus derechos, tanto en el contenido declarativo del acuerdo de solución amistosa como en las palabras de las autoridades que acompañaron el acto de firma de dicho acuerdo.  </w:t>
      </w:r>
    </w:p>
    <w:p w:rsidR="00560C43" w:rsidRPr="00A10C7B" w:rsidRDefault="00560C43" w:rsidP="00120783">
      <w:pPr>
        <w:pStyle w:val="ListParagraph"/>
        <w:tabs>
          <w:tab w:val="left" w:pos="0"/>
          <w:tab w:val="left" w:pos="810"/>
        </w:tabs>
        <w:jc w:val="both"/>
        <w:rPr>
          <w:rFonts w:asciiTheme="majorHAnsi" w:hAnsiTheme="majorHAnsi" w:cs="Calibri"/>
          <w:sz w:val="20"/>
          <w:szCs w:val="20"/>
          <w:lang w:val="es-ES_tradnl"/>
        </w:rPr>
      </w:pPr>
    </w:p>
    <w:p w:rsidR="009C6039" w:rsidRPr="00A10C7B" w:rsidRDefault="00E2193A" w:rsidP="004C7506">
      <w:pPr>
        <w:pStyle w:val="ListParagraph"/>
        <w:numPr>
          <w:ilvl w:val="0"/>
          <w:numId w:val="69"/>
        </w:numPr>
        <w:tabs>
          <w:tab w:val="left" w:pos="0"/>
          <w:tab w:val="left" w:pos="810"/>
        </w:tabs>
        <w:ind w:left="0" w:firstLine="720"/>
        <w:jc w:val="both"/>
        <w:rPr>
          <w:rFonts w:asciiTheme="majorHAnsi" w:hAnsiTheme="majorHAnsi" w:cs="Calibri"/>
          <w:sz w:val="20"/>
          <w:szCs w:val="20"/>
          <w:lang w:val="es-ES_tradnl"/>
        </w:rPr>
      </w:pPr>
      <w:r w:rsidRPr="00A10C7B">
        <w:rPr>
          <w:rFonts w:asciiTheme="majorHAnsi" w:hAnsiTheme="majorHAnsi" w:cs="Calibri"/>
          <w:sz w:val="20"/>
          <w:szCs w:val="20"/>
          <w:lang w:val="es-ES_tradnl"/>
        </w:rPr>
        <w:t>En relación a</w:t>
      </w:r>
      <w:r w:rsidR="00D733DE" w:rsidRPr="00A10C7B">
        <w:rPr>
          <w:rFonts w:asciiTheme="majorHAnsi" w:hAnsiTheme="majorHAnsi" w:cs="Calibri"/>
          <w:sz w:val="20"/>
          <w:szCs w:val="20"/>
          <w:lang w:val="es-ES_tradnl"/>
        </w:rPr>
        <w:t xml:space="preserve"> la </w:t>
      </w:r>
      <w:r w:rsidRPr="00A10C7B">
        <w:rPr>
          <w:rFonts w:asciiTheme="majorHAnsi" w:hAnsiTheme="majorHAnsi" w:cs="Calibri"/>
          <w:sz w:val="20"/>
          <w:szCs w:val="20"/>
          <w:lang w:val="es-ES_tradnl"/>
        </w:rPr>
        <w:t xml:space="preserve">cláusula II sobre la </w:t>
      </w:r>
      <w:r w:rsidR="009C6039" w:rsidRPr="00A10C7B">
        <w:rPr>
          <w:rFonts w:asciiTheme="majorHAnsi" w:hAnsiTheme="majorHAnsi" w:cs="Calibri"/>
          <w:sz w:val="20"/>
          <w:szCs w:val="20"/>
          <w:lang w:val="es-ES_tradnl"/>
        </w:rPr>
        <w:t>medida de reparación individual, el 24 de octubre de 2018, la peticionaria informó que, la casa estaba en proceso de construcción y que se l</w:t>
      </w:r>
      <w:r w:rsidRPr="00A10C7B">
        <w:rPr>
          <w:rFonts w:asciiTheme="majorHAnsi" w:hAnsiTheme="majorHAnsi" w:cs="Calibri"/>
          <w:sz w:val="20"/>
          <w:szCs w:val="20"/>
          <w:lang w:val="es-ES_tradnl"/>
        </w:rPr>
        <w:t>a</w:t>
      </w:r>
      <w:r w:rsidR="009C6039" w:rsidRPr="00A10C7B">
        <w:rPr>
          <w:rFonts w:asciiTheme="majorHAnsi" w:hAnsiTheme="majorHAnsi" w:cs="Calibri"/>
          <w:sz w:val="20"/>
          <w:szCs w:val="20"/>
          <w:lang w:val="es-ES_tradnl"/>
        </w:rPr>
        <w:t xml:space="preserve"> entregarían en 22 días, debido a que todavía se encontraban construyendo el muro de contención.</w:t>
      </w:r>
      <w:r w:rsidRPr="00A10C7B">
        <w:rPr>
          <w:rFonts w:asciiTheme="majorHAnsi" w:hAnsiTheme="majorHAnsi" w:cs="Calibri"/>
          <w:sz w:val="20"/>
          <w:szCs w:val="20"/>
          <w:lang w:val="es-ES_tradnl"/>
        </w:rPr>
        <w:t xml:space="preserve"> Asimismo, expresó su satisfacción  con el proceso adelantado y remitió registro </w:t>
      </w:r>
      <w:r w:rsidR="00E527A2" w:rsidRPr="00A10C7B">
        <w:rPr>
          <w:rFonts w:asciiTheme="majorHAnsi" w:hAnsiTheme="majorHAnsi" w:cs="Calibri"/>
          <w:sz w:val="20"/>
          <w:szCs w:val="20"/>
          <w:lang w:val="es-ES_tradnl"/>
        </w:rPr>
        <w:t>fotográfico</w:t>
      </w:r>
      <w:r w:rsidRPr="00A10C7B">
        <w:rPr>
          <w:rFonts w:asciiTheme="majorHAnsi" w:hAnsiTheme="majorHAnsi" w:cs="Calibri"/>
          <w:sz w:val="20"/>
          <w:szCs w:val="20"/>
          <w:lang w:val="es-ES_tradnl"/>
        </w:rPr>
        <w:t xml:space="preserve"> de los avances para la adecuación de la vivienda a sus necesidades y al contenido del</w:t>
      </w:r>
      <w:r w:rsidR="009B50C6">
        <w:rPr>
          <w:rFonts w:asciiTheme="majorHAnsi" w:hAnsiTheme="majorHAnsi" w:cs="Calibri"/>
          <w:sz w:val="20"/>
          <w:szCs w:val="20"/>
          <w:lang w:val="es-ES_tradnl"/>
        </w:rPr>
        <w:t xml:space="preserve"> acuerdo de solución amistosa. </w:t>
      </w:r>
    </w:p>
    <w:p w:rsidR="00E527A2" w:rsidRPr="00A10C7B" w:rsidRDefault="00E527A2" w:rsidP="00120783">
      <w:pPr>
        <w:pStyle w:val="ListParagraph"/>
        <w:rPr>
          <w:rFonts w:asciiTheme="majorHAnsi" w:hAnsiTheme="majorHAnsi" w:cs="Calibri"/>
          <w:sz w:val="20"/>
          <w:szCs w:val="20"/>
          <w:lang w:val="es-ES_tradnl"/>
        </w:rPr>
      </w:pPr>
    </w:p>
    <w:p w:rsidR="00E527A2" w:rsidRPr="00A10C7B" w:rsidRDefault="00E527A2" w:rsidP="004C7506">
      <w:pPr>
        <w:pStyle w:val="ListParagraph"/>
        <w:numPr>
          <w:ilvl w:val="0"/>
          <w:numId w:val="69"/>
        </w:numPr>
        <w:tabs>
          <w:tab w:val="left" w:pos="0"/>
          <w:tab w:val="left" w:pos="810"/>
        </w:tabs>
        <w:ind w:left="0" w:firstLine="720"/>
        <w:jc w:val="both"/>
        <w:rPr>
          <w:rFonts w:asciiTheme="majorHAnsi" w:hAnsiTheme="majorHAnsi" w:cs="Calibri"/>
          <w:sz w:val="20"/>
          <w:szCs w:val="20"/>
          <w:lang w:val="es-ES_tradnl"/>
        </w:rPr>
      </w:pPr>
      <w:r w:rsidRPr="00A10C7B">
        <w:rPr>
          <w:rFonts w:asciiTheme="majorHAnsi" w:hAnsiTheme="majorHAnsi" w:cs="Calibri"/>
          <w:sz w:val="20"/>
          <w:szCs w:val="20"/>
          <w:lang w:val="es-ES_tradnl"/>
        </w:rPr>
        <w:t xml:space="preserve">El 18 de enero de 2019, el Estado informó que </w:t>
      </w:r>
      <w:r w:rsidR="00560C43" w:rsidRPr="00A10C7B">
        <w:rPr>
          <w:rFonts w:asciiTheme="majorHAnsi" w:hAnsiTheme="majorHAnsi" w:cs="Calibri"/>
          <w:sz w:val="20"/>
          <w:szCs w:val="20"/>
          <w:lang w:val="es-ES_tradnl"/>
        </w:rPr>
        <w:t xml:space="preserve">el 30 </w:t>
      </w:r>
      <w:r w:rsidR="00EF1605" w:rsidRPr="00A10C7B">
        <w:rPr>
          <w:rFonts w:asciiTheme="majorHAnsi" w:hAnsiTheme="majorHAnsi" w:cs="Calibri"/>
          <w:sz w:val="20"/>
          <w:szCs w:val="20"/>
          <w:lang w:val="es-ES_tradnl"/>
        </w:rPr>
        <w:t>de noviembre de 2018, se hizo el acto de</w:t>
      </w:r>
      <w:r w:rsidR="00560C43" w:rsidRPr="00A10C7B">
        <w:rPr>
          <w:rFonts w:asciiTheme="majorHAnsi" w:hAnsiTheme="majorHAnsi" w:cs="Calibri"/>
          <w:sz w:val="20"/>
          <w:szCs w:val="20"/>
          <w:lang w:val="es-ES_tradnl"/>
        </w:rPr>
        <w:t xml:space="preserve"> entrega formal de la casa de habitación a la señora Emilia Morales, con las adecuaciones comprometidas en el acuerdo de solución amistosa suscrito entre las partes. El Estado proporcionó un amplio registro fotográfico, de video y documental sobre la entrega de </w:t>
      </w:r>
      <w:r w:rsidR="009B50C6">
        <w:rPr>
          <w:rFonts w:asciiTheme="majorHAnsi" w:hAnsiTheme="majorHAnsi" w:cs="Calibri"/>
          <w:sz w:val="20"/>
          <w:szCs w:val="20"/>
          <w:lang w:val="es-ES_tradnl"/>
        </w:rPr>
        <w:t xml:space="preserve">la vivienda a la peticionaria. </w:t>
      </w:r>
      <w:r w:rsidR="00560C43" w:rsidRPr="00A10C7B">
        <w:rPr>
          <w:rFonts w:asciiTheme="majorHAnsi" w:hAnsiTheme="majorHAnsi" w:cs="Calibri"/>
          <w:sz w:val="20"/>
          <w:szCs w:val="20"/>
          <w:lang w:val="es-ES_tradnl"/>
        </w:rPr>
        <w:t>Dicho acto fue publicado en las páginas web del Ministerio de Relaciones Exteriores y Culto y circulado tanto en medios de prensa como en redes sociales</w:t>
      </w:r>
      <w:r w:rsidR="00560C43" w:rsidRPr="00A10C7B">
        <w:rPr>
          <w:rStyle w:val="FootnoteReference"/>
          <w:rFonts w:asciiTheme="majorHAnsi" w:hAnsiTheme="majorHAnsi" w:cs="Calibri"/>
          <w:sz w:val="20"/>
          <w:szCs w:val="20"/>
          <w:lang w:val="es-ES_tradnl"/>
        </w:rPr>
        <w:footnoteReference w:id="20"/>
      </w:r>
      <w:r w:rsidR="00560C43" w:rsidRPr="00A10C7B">
        <w:rPr>
          <w:rFonts w:asciiTheme="majorHAnsi" w:hAnsiTheme="majorHAnsi" w:cs="Calibri"/>
          <w:sz w:val="20"/>
          <w:szCs w:val="20"/>
          <w:lang w:val="es-ES_tradnl"/>
        </w:rPr>
        <w:t xml:space="preserve">. </w:t>
      </w:r>
    </w:p>
    <w:p w:rsidR="00E527A2" w:rsidRPr="00A10C7B" w:rsidRDefault="00E527A2" w:rsidP="00120783">
      <w:pPr>
        <w:pStyle w:val="ListParagraph"/>
        <w:rPr>
          <w:rFonts w:asciiTheme="majorHAnsi" w:hAnsiTheme="majorHAnsi" w:cs="Calibri"/>
          <w:sz w:val="20"/>
          <w:szCs w:val="20"/>
          <w:lang w:val="es-ES_tradnl"/>
        </w:rPr>
      </w:pPr>
    </w:p>
    <w:p w:rsidR="00E527A2" w:rsidRPr="00A10C7B" w:rsidRDefault="00E527A2" w:rsidP="004C7506">
      <w:pPr>
        <w:pStyle w:val="ListParagraph"/>
        <w:numPr>
          <w:ilvl w:val="0"/>
          <w:numId w:val="69"/>
        </w:numPr>
        <w:tabs>
          <w:tab w:val="left" w:pos="0"/>
          <w:tab w:val="left" w:pos="810"/>
        </w:tabs>
        <w:ind w:left="0" w:firstLine="720"/>
        <w:jc w:val="both"/>
        <w:rPr>
          <w:rFonts w:asciiTheme="majorHAnsi" w:hAnsiTheme="majorHAnsi" w:cs="Calibri"/>
          <w:i/>
          <w:sz w:val="20"/>
          <w:szCs w:val="20"/>
          <w:lang w:val="es-ES_tradnl"/>
        </w:rPr>
      </w:pPr>
      <w:r w:rsidRPr="00A10C7B">
        <w:rPr>
          <w:rFonts w:asciiTheme="majorHAnsi" w:hAnsiTheme="majorHAnsi" w:cs="Calibri"/>
          <w:sz w:val="20"/>
          <w:szCs w:val="20"/>
          <w:lang w:val="es-ES_tradnl"/>
        </w:rPr>
        <w:t xml:space="preserve">El 23 de enero de 2019, la peticionaria indicó que ya tenía acceso a la vivienda digna y a mejor calidad de vida. Asimismo, indicó que su familia, y en particular su nieta, </w:t>
      </w:r>
      <w:r w:rsidR="00EF1605" w:rsidRPr="00A10C7B">
        <w:rPr>
          <w:rFonts w:asciiTheme="majorHAnsi" w:hAnsiTheme="majorHAnsi" w:cs="Calibri"/>
          <w:i/>
          <w:sz w:val="20"/>
          <w:szCs w:val="20"/>
          <w:lang w:val="es-ES_tradnl"/>
        </w:rPr>
        <w:t>“</w:t>
      </w:r>
      <w:r w:rsidRPr="00A10C7B">
        <w:rPr>
          <w:rFonts w:asciiTheme="majorHAnsi" w:hAnsiTheme="majorHAnsi" w:cs="Calibri"/>
          <w:i/>
          <w:sz w:val="20"/>
          <w:szCs w:val="20"/>
          <w:lang w:val="es-ES_tradnl"/>
        </w:rPr>
        <w:t>tiene ahora un espacio precioso para jugar, un dormitorio digno y un lugar para hacer las tareas y trabajos de la escuela</w:t>
      </w:r>
      <w:r w:rsidR="00EF1605" w:rsidRPr="00A10C7B">
        <w:rPr>
          <w:rFonts w:asciiTheme="majorHAnsi" w:hAnsiTheme="majorHAnsi" w:cs="Calibri"/>
          <w:i/>
          <w:sz w:val="20"/>
          <w:szCs w:val="20"/>
          <w:lang w:val="es-ES_tradnl"/>
        </w:rPr>
        <w:t>”</w:t>
      </w:r>
      <w:r w:rsidRPr="00A10C7B">
        <w:rPr>
          <w:rFonts w:asciiTheme="majorHAnsi" w:hAnsiTheme="majorHAnsi" w:cs="Calibri"/>
          <w:i/>
          <w:sz w:val="20"/>
          <w:szCs w:val="20"/>
          <w:lang w:val="es-ES_tradnl"/>
        </w:rPr>
        <w:t xml:space="preserve">. </w:t>
      </w:r>
    </w:p>
    <w:p w:rsidR="009C6039" w:rsidRPr="00A10C7B" w:rsidRDefault="009C6039" w:rsidP="00120783">
      <w:pPr>
        <w:pStyle w:val="ListParagraph"/>
        <w:tabs>
          <w:tab w:val="left" w:pos="0"/>
          <w:tab w:val="left" w:pos="810"/>
        </w:tabs>
        <w:jc w:val="both"/>
        <w:rPr>
          <w:rFonts w:asciiTheme="majorHAnsi" w:hAnsiTheme="majorHAnsi" w:cs="Calibri"/>
          <w:sz w:val="20"/>
          <w:szCs w:val="20"/>
          <w:lang w:val="es-ES_tradnl"/>
        </w:rPr>
      </w:pPr>
    </w:p>
    <w:p w:rsidR="009C6039" w:rsidRPr="00A10C7B" w:rsidRDefault="009C6039" w:rsidP="004C7506">
      <w:pPr>
        <w:pStyle w:val="ListParagraph"/>
        <w:numPr>
          <w:ilvl w:val="0"/>
          <w:numId w:val="69"/>
        </w:numPr>
        <w:tabs>
          <w:tab w:val="left" w:pos="0"/>
          <w:tab w:val="left" w:pos="810"/>
        </w:tabs>
        <w:ind w:left="0" w:firstLine="720"/>
        <w:jc w:val="both"/>
        <w:rPr>
          <w:rFonts w:asciiTheme="majorHAnsi" w:hAnsiTheme="majorHAnsi" w:cs="Calibri"/>
          <w:sz w:val="20"/>
          <w:szCs w:val="20"/>
          <w:lang w:val="es-ES_tradnl"/>
        </w:rPr>
      </w:pPr>
      <w:r w:rsidRPr="00A10C7B">
        <w:rPr>
          <w:rFonts w:asciiTheme="majorHAnsi" w:hAnsiTheme="majorHAnsi" w:cs="Calibri"/>
          <w:sz w:val="20"/>
          <w:szCs w:val="20"/>
          <w:lang w:val="es-ES_tradnl"/>
        </w:rPr>
        <w:t xml:space="preserve">Finalmente, el 5 de abril de 2019, el Estado y la </w:t>
      </w:r>
      <w:r w:rsidR="00866ECB" w:rsidRPr="00A10C7B">
        <w:rPr>
          <w:rFonts w:asciiTheme="majorHAnsi" w:hAnsiTheme="majorHAnsi" w:cs="Calibri"/>
          <w:sz w:val="20"/>
          <w:szCs w:val="20"/>
          <w:lang w:val="es-ES_tradnl"/>
        </w:rPr>
        <w:t>peticionaria remitieron</w:t>
      </w:r>
      <w:r w:rsidRPr="00A10C7B">
        <w:rPr>
          <w:rFonts w:asciiTheme="majorHAnsi" w:hAnsiTheme="majorHAnsi" w:cs="Calibri"/>
          <w:sz w:val="20"/>
          <w:szCs w:val="20"/>
          <w:lang w:val="es-ES_tradnl"/>
        </w:rPr>
        <w:t xml:space="preserve"> </w:t>
      </w:r>
      <w:r w:rsidR="00866ECB" w:rsidRPr="00A10C7B">
        <w:rPr>
          <w:rFonts w:asciiTheme="majorHAnsi" w:hAnsiTheme="majorHAnsi" w:cs="Calibri"/>
          <w:sz w:val="20"/>
          <w:szCs w:val="20"/>
          <w:lang w:val="es-ES_tradnl"/>
        </w:rPr>
        <w:t xml:space="preserve">conjuntamente </w:t>
      </w:r>
      <w:r w:rsidRPr="00A10C7B">
        <w:rPr>
          <w:rFonts w:asciiTheme="majorHAnsi" w:hAnsiTheme="majorHAnsi" w:cs="Calibri"/>
          <w:sz w:val="20"/>
          <w:szCs w:val="20"/>
          <w:lang w:val="es-ES_tradnl"/>
        </w:rPr>
        <w:t xml:space="preserve">un </w:t>
      </w:r>
      <w:r w:rsidR="00866ECB" w:rsidRPr="00A10C7B">
        <w:rPr>
          <w:rFonts w:asciiTheme="majorHAnsi" w:hAnsiTheme="majorHAnsi" w:cs="Calibri"/>
          <w:sz w:val="20"/>
          <w:szCs w:val="20"/>
          <w:lang w:val="es-ES_tradnl"/>
        </w:rPr>
        <w:t>escrito</w:t>
      </w:r>
      <w:r w:rsidR="00EF1605" w:rsidRPr="00A10C7B">
        <w:rPr>
          <w:rFonts w:asciiTheme="majorHAnsi" w:hAnsiTheme="majorHAnsi" w:cs="Calibri"/>
          <w:sz w:val="20"/>
          <w:szCs w:val="20"/>
          <w:lang w:val="es-ES_tradnl"/>
        </w:rPr>
        <w:t xml:space="preserve"> en el cual</w:t>
      </w:r>
      <w:r w:rsidRPr="00A10C7B">
        <w:rPr>
          <w:rFonts w:asciiTheme="majorHAnsi" w:hAnsiTheme="majorHAnsi" w:cs="Calibri"/>
          <w:sz w:val="20"/>
          <w:szCs w:val="20"/>
          <w:lang w:val="es-ES_tradnl"/>
        </w:rPr>
        <w:t xml:space="preserve"> </w:t>
      </w:r>
      <w:r w:rsidR="00866ECB" w:rsidRPr="00A10C7B">
        <w:rPr>
          <w:rFonts w:asciiTheme="majorHAnsi" w:hAnsiTheme="majorHAnsi" w:cs="Calibri"/>
          <w:sz w:val="20"/>
          <w:szCs w:val="20"/>
          <w:lang w:val="es-ES_tradnl"/>
        </w:rPr>
        <w:t>indicaron</w:t>
      </w:r>
      <w:r w:rsidRPr="00A10C7B">
        <w:rPr>
          <w:rFonts w:asciiTheme="majorHAnsi" w:hAnsiTheme="majorHAnsi" w:cs="Calibri"/>
          <w:sz w:val="20"/>
          <w:szCs w:val="20"/>
          <w:lang w:val="es-ES_tradnl"/>
        </w:rPr>
        <w:t xml:space="preserve"> que en la misma fecha, el Estado realizó el traspaso de la casa de habitación a la señora Emilia Morales Campos, bajo el esquema de Bono Familiar de Vivienda del Sistema Financiero Nacional de la Vivienda, </w:t>
      </w:r>
      <w:r w:rsidR="00866ECB" w:rsidRPr="00A10C7B">
        <w:rPr>
          <w:rFonts w:asciiTheme="majorHAnsi" w:hAnsiTheme="majorHAnsi" w:cs="Calibri"/>
          <w:sz w:val="20"/>
          <w:szCs w:val="20"/>
          <w:lang w:val="es-ES_tradnl"/>
        </w:rPr>
        <w:t xml:space="preserve">dando el detalle de la ubicación de la </w:t>
      </w:r>
      <w:r w:rsidR="00EF1605" w:rsidRPr="00A10C7B">
        <w:rPr>
          <w:rFonts w:asciiTheme="majorHAnsi" w:hAnsiTheme="majorHAnsi" w:cs="Calibri"/>
          <w:sz w:val="20"/>
          <w:szCs w:val="20"/>
          <w:lang w:val="es-ES_tradnl"/>
        </w:rPr>
        <w:t>casa</w:t>
      </w:r>
      <w:r w:rsidR="00866ECB" w:rsidRPr="00A10C7B">
        <w:rPr>
          <w:rFonts w:asciiTheme="majorHAnsi" w:hAnsiTheme="majorHAnsi" w:cs="Calibri"/>
          <w:sz w:val="20"/>
          <w:szCs w:val="20"/>
          <w:lang w:val="es-ES_tradnl"/>
        </w:rPr>
        <w:t xml:space="preserve"> en la Provincia 2 Alajuela. En ese sentido, las partes informaron a la Comisión que en la actualidad </w:t>
      </w:r>
      <w:r w:rsidRPr="00A10C7B">
        <w:rPr>
          <w:rFonts w:asciiTheme="majorHAnsi" w:hAnsiTheme="majorHAnsi" w:cs="Calibri"/>
          <w:sz w:val="20"/>
          <w:szCs w:val="20"/>
          <w:lang w:val="es-ES_tradnl"/>
        </w:rPr>
        <w:t xml:space="preserve">la señora Emilia Morales Campos es la propietaria registral </w:t>
      </w:r>
      <w:r w:rsidR="00866ECB" w:rsidRPr="00A10C7B">
        <w:rPr>
          <w:rFonts w:asciiTheme="majorHAnsi" w:hAnsiTheme="majorHAnsi" w:cs="Calibri"/>
          <w:sz w:val="20"/>
          <w:szCs w:val="20"/>
          <w:lang w:val="es-ES_tradnl"/>
        </w:rPr>
        <w:t>de su vivienda</w:t>
      </w:r>
      <w:r w:rsidRPr="00A10C7B">
        <w:rPr>
          <w:rFonts w:asciiTheme="majorHAnsi" w:hAnsiTheme="majorHAnsi" w:cs="Calibri"/>
          <w:sz w:val="20"/>
          <w:szCs w:val="20"/>
          <w:lang w:val="es-ES_tradnl"/>
        </w:rPr>
        <w:t>, y</w:t>
      </w:r>
      <w:r w:rsidR="00866ECB" w:rsidRPr="00A10C7B">
        <w:rPr>
          <w:rFonts w:asciiTheme="majorHAnsi" w:hAnsiTheme="majorHAnsi" w:cs="Calibri"/>
          <w:sz w:val="20"/>
          <w:szCs w:val="20"/>
          <w:lang w:val="es-ES_tradnl"/>
        </w:rPr>
        <w:t xml:space="preserve"> por tal razón se daba</w:t>
      </w:r>
      <w:r w:rsidRPr="00A10C7B">
        <w:rPr>
          <w:rFonts w:asciiTheme="majorHAnsi" w:hAnsiTheme="majorHAnsi" w:cs="Calibri"/>
          <w:sz w:val="20"/>
          <w:szCs w:val="20"/>
          <w:lang w:val="es-ES_tradnl"/>
        </w:rPr>
        <w:t xml:space="preserve"> por satisfecha</w:t>
      </w:r>
      <w:r w:rsidR="00866ECB" w:rsidRPr="00A10C7B">
        <w:rPr>
          <w:rFonts w:asciiTheme="majorHAnsi" w:hAnsiTheme="majorHAnsi" w:cs="Calibri"/>
          <w:sz w:val="20"/>
          <w:szCs w:val="20"/>
          <w:lang w:val="es-ES_tradnl"/>
        </w:rPr>
        <w:t xml:space="preserve"> habiendo encontrado en la solución amistosa una solución a su problema habitacional. </w:t>
      </w:r>
      <w:r w:rsidRPr="00A10C7B">
        <w:rPr>
          <w:rFonts w:asciiTheme="majorHAnsi" w:hAnsiTheme="majorHAnsi" w:cs="Calibri"/>
          <w:sz w:val="20"/>
          <w:szCs w:val="20"/>
          <w:lang w:val="es-ES_tradnl"/>
        </w:rPr>
        <w:t xml:space="preserve">Tomando en consideración los elementos de información anteriormente descritos, la comisión </w:t>
      </w:r>
      <w:r w:rsidR="00866ECB" w:rsidRPr="00A10C7B">
        <w:rPr>
          <w:rFonts w:asciiTheme="majorHAnsi" w:hAnsiTheme="majorHAnsi" w:cs="Calibri"/>
          <w:sz w:val="20"/>
          <w:szCs w:val="20"/>
          <w:lang w:val="es-ES_tradnl"/>
        </w:rPr>
        <w:t>considera</w:t>
      </w:r>
      <w:r w:rsidRPr="00A10C7B">
        <w:rPr>
          <w:rFonts w:asciiTheme="majorHAnsi" w:hAnsiTheme="majorHAnsi" w:cs="Calibri"/>
          <w:sz w:val="20"/>
          <w:szCs w:val="20"/>
          <w:lang w:val="es-ES_tradnl"/>
        </w:rPr>
        <w:t xml:space="preserve"> que la cláusula II del acuerdo de solución amistosa se encuentran cumplida totalmente</w:t>
      </w:r>
      <w:r w:rsidR="00866ECB" w:rsidRPr="00A10C7B">
        <w:rPr>
          <w:rFonts w:asciiTheme="majorHAnsi" w:hAnsiTheme="majorHAnsi" w:cs="Calibri"/>
          <w:sz w:val="20"/>
          <w:szCs w:val="20"/>
          <w:lang w:val="es-ES_tradnl"/>
        </w:rPr>
        <w:t xml:space="preserve"> y así lo declara</w:t>
      </w:r>
      <w:r w:rsidRPr="00A10C7B">
        <w:rPr>
          <w:rFonts w:asciiTheme="majorHAnsi" w:hAnsiTheme="majorHAnsi" w:cs="Calibri"/>
          <w:sz w:val="20"/>
          <w:szCs w:val="20"/>
          <w:lang w:val="es-ES_tradnl"/>
        </w:rPr>
        <w:t>.</w:t>
      </w:r>
    </w:p>
    <w:p w:rsidR="00866ECB" w:rsidRPr="00A10C7B" w:rsidRDefault="00866ECB" w:rsidP="00120783">
      <w:pPr>
        <w:pStyle w:val="ListParagraph"/>
        <w:rPr>
          <w:rFonts w:asciiTheme="majorHAnsi" w:hAnsiTheme="majorHAnsi" w:cs="Calibri"/>
          <w:sz w:val="20"/>
          <w:szCs w:val="20"/>
          <w:lang w:val="es-ES_tradnl"/>
        </w:rPr>
      </w:pPr>
    </w:p>
    <w:p w:rsidR="00866ECB" w:rsidRPr="00A10C7B" w:rsidRDefault="009B50C6" w:rsidP="004C7506">
      <w:pPr>
        <w:pStyle w:val="ListParagraph"/>
        <w:numPr>
          <w:ilvl w:val="0"/>
          <w:numId w:val="69"/>
        </w:numPr>
        <w:tabs>
          <w:tab w:val="left" w:pos="0"/>
          <w:tab w:val="left" w:pos="810"/>
        </w:tabs>
        <w:ind w:left="0" w:firstLine="720"/>
        <w:jc w:val="both"/>
        <w:rPr>
          <w:rFonts w:asciiTheme="majorHAnsi" w:hAnsiTheme="majorHAnsi" w:cs="Calibri"/>
          <w:sz w:val="20"/>
          <w:szCs w:val="20"/>
          <w:lang w:val="es-ES_tradnl"/>
        </w:rPr>
      </w:pPr>
      <w:r>
        <w:rPr>
          <w:rFonts w:asciiTheme="majorHAnsi" w:hAnsiTheme="majorHAnsi" w:cs="Calibri"/>
          <w:sz w:val="20"/>
          <w:szCs w:val="20"/>
          <w:lang w:val="es-ES_tradnl"/>
        </w:rPr>
        <w:lastRenderedPageBreak/>
        <w:t xml:space="preserve">Por </w:t>
      </w:r>
      <w:r w:rsidR="00866ECB" w:rsidRPr="00A10C7B">
        <w:rPr>
          <w:rFonts w:asciiTheme="majorHAnsi" w:hAnsiTheme="majorHAnsi" w:cs="Calibri"/>
          <w:sz w:val="20"/>
          <w:szCs w:val="20"/>
          <w:lang w:val="es-ES_tradnl"/>
        </w:rPr>
        <w:t xml:space="preserve">otro lado, la Comisión considera que el resto del contenido del acuerdo es de carácter declarativo y así lo declara. </w:t>
      </w:r>
    </w:p>
    <w:p w:rsidR="009C6039" w:rsidRPr="00A10C7B" w:rsidRDefault="009C6039" w:rsidP="00120783">
      <w:pPr>
        <w:tabs>
          <w:tab w:val="left" w:pos="0"/>
          <w:tab w:val="left" w:pos="810"/>
        </w:tabs>
        <w:jc w:val="both"/>
        <w:rPr>
          <w:rFonts w:asciiTheme="majorHAnsi" w:hAnsiTheme="majorHAnsi" w:cs="Calibri"/>
          <w:sz w:val="20"/>
          <w:szCs w:val="20"/>
          <w:lang w:val="es-ES_tradnl"/>
        </w:rPr>
      </w:pPr>
    </w:p>
    <w:p w:rsidR="009C6039" w:rsidRPr="00A10C7B" w:rsidRDefault="009C6039" w:rsidP="004C7506">
      <w:pPr>
        <w:pStyle w:val="ListParagraph"/>
        <w:numPr>
          <w:ilvl w:val="0"/>
          <w:numId w:val="69"/>
        </w:numPr>
        <w:tabs>
          <w:tab w:val="left" w:pos="0"/>
          <w:tab w:val="left" w:pos="810"/>
        </w:tabs>
        <w:ind w:left="0" w:firstLine="720"/>
        <w:jc w:val="both"/>
        <w:rPr>
          <w:rFonts w:asciiTheme="majorHAnsi" w:hAnsiTheme="majorHAnsi" w:cs="Calibri"/>
          <w:sz w:val="20"/>
          <w:szCs w:val="20"/>
          <w:lang w:val="es-ES_tradnl"/>
        </w:rPr>
      </w:pPr>
      <w:r w:rsidRPr="00A10C7B">
        <w:rPr>
          <w:rFonts w:asciiTheme="majorHAnsi" w:hAnsiTheme="majorHAnsi" w:cs="Calibri"/>
          <w:sz w:val="20"/>
          <w:szCs w:val="20"/>
          <w:lang w:val="es-ES_tradnl"/>
        </w:rPr>
        <w:t>Por las razones anteriores, la CIDH considera</w:t>
      </w:r>
      <w:r w:rsidR="00866ECB" w:rsidRPr="00A10C7B">
        <w:rPr>
          <w:rFonts w:asciiTheme="majorHAnsi" w:hAnsiTheme="majorHAnsi" w:cs="Calibri"/>
          <w:sz w:val="20"/>
          <w:szCs w:val="20"/>
          <w:lang w:val="es-ES_tradnl"/>
        </w:rPr>
        <w:t xml:space="preserve"> e</w:t>
      </w:r>
      <w:r w:rsidRPr="00A10C7B">
        <w:rPr>
          <w:rFonts w:asciiTheme="majorHAnsi" w:hAnsiTheme="majorHAnsi" w:cs="Calibri"/>
          <w:sz w:val="20"/>
          <w:szCs w:val="20"/>
          <w:lang w:val="es-ES_tradnl"/>
        </w:rPr>
        <w:t xml:space="preserve">l acuerdo de solución amistosa se encuentra totalmente cumplido. </w:t>
      </w:r>
    </w:p>
    <w:p w:rsidR="00866ECB" w:rsidRPr="00A10C7B" w:rsidRDefault="00866ECB" w:rsidP="00120783">
      <w:pPr>
        <w:pStyle w:val="ListParagraph"/>
        <w:rPr>
          <w:rFonts w:asciiTheme="majorHAnsi" w:hAnsiTheme="majorHAnsi" w:cs="Calibri"/>
          <w:sz w:val="20"/>
          <w:szCs w:val="20"/>
          <w:lang w:val="es-ES_tradnl"/>
        </w:rPr>
      </w:pPr>
    </w:p>
    <w:p w:rsidR="00866ECB" w:rsidRPr="00A10C7B" w:rsidRDefault="00866ECB" w:rsidP="004C7506">
      <w:pPr>
        <w:pStyle w:val="ListParagraph"/>
        <w:numPr>
          <w:ilvl w:val="0"/>
          <w:numId w:val="69"/>
        </w:numPr>
        <w:tabs>
          <w:tab w:val="left" w:pos="0"/>
          <w:tab w:val="left" w:pos="810"/>
        </w:tabs>
        <w:ind w:left="0" w:firstLine="720"/>
        <w:jc w:val="both"/>
        <w:rPr>
          <w:rFonts w:asciiTheme="majorHAnsi" w:hAnsiTheme="majorHAnsi" w:cs="Calibri"/>
          <w:sz w:val="20"/>
          <w:szCs w:val="20"/>
          <w:lang w:val="es-ES_tradnl"/>
        </w:rPr>
      </w:pPr>
      <w:r w:rsidRPr="00A10C7B">
        <w:rPr>
          <w:rFonts w:asciiTheme="majorHAnsi" w:hAnsiTheme="majorHAnsi" w:cs="Calibri"/>
          <w:sz w:val="20"/>
          <w:szCs w:val="20"/>
          <w:lang w:val="es-ES_tradnl"/>
        </w:rPr>
        <w:t>La Comisión valora positivamente la firma del primer acuerdo de solución amistosa por parte del Estado de Costa Rica, y los avances el cumplimiento total del mismo.</w:t>
      </w:r>
    </w:p>
    <w:p w:rsidR="009C6039" w:rsidRPr="00A10C7B" w:rsidRDefault="009C6039" w:rsidP="00120783">
      <w:pPr>
        <w:pStyle w:val="ListParagraph"/>
        <w:tabs>
          <w:tab w:val="left" w:pos="0"/>
          <w:tab w:val="left" w:pos="180"/>
          <w:tab w:val="left" w:pos="810"/>
        </w:tabs>
        <w:jc w:val="both"/>
        <w:rPr>
          <w:rFonts w:asciiTheme="majorHAnsi" w:hAnsiTheme="majorHAnsi" w:cs="Calibri"/>
          <w:sz w:val="20"/>
          <w:szCs w:val="20"/>
          <w:lang w:val="es-ES_tradnl"/>
        </w:rPr>
      </w:pPr>
    </w:p>
    <w:p w:rsidR="009C6039" w:rsidRPr="00A10C7B" w:rsidRDefault="009C6039" w:rsidP="00120783">
      <w:pPr>
        <w:pStyle w:val="ListParagraph"/>
        <w:numPr>
          <w:ilvl w:val="0"/>
          <w:numId w:val="56"/>
        </w:numPr>
        <w:tabs>
          <w:tab w:val="left" w:pos="720"/>
        </w:tabs>
        <w:ind w:left="0" w:firstLine="720"/>
        <w:jc w:val="both"/>
        <w:rPr>
          <w:rFonts w:asciiTheme="majorHAnsi" w:hAnsiTheme="majorHAnsi" w:cs="Calibri"/>
          <w:b/>
          <w:sz w:val="20"/>
          <w:szCs w:val="20"/>
          <w:lang w:val="es-ES_tradnl"/>
        </w:rPr>
      </w:pPr>
      <w:r w:rsidRPr="00A10C7B">
        <w:rPr>
          <w:rFonts w:asciiTheme="majorHAnsi" w:hAnsiTheme="majorHAnsi" w:cs="Calibri"/>
          <w:b/>
          <w:sz w:val="20"/>
          <w:szCs w:val="20"/>
          <w:lang w:val="es-ES_tradnl"/>
        </w:rPr>
        <w:t xml:space="preserve">CONCLUSIONES </w:t>
      </w:r>
    </w:p>
    <w:p w:rsidR="009C6039" w:rsidRPr="00A10C7B" w:rsidRDefault="009C6039" w:rsidP="00120783">
      <w:pPr>
        <w:pStyle w:val="ListParagraph"/>
        <w:tabs>
          <w:tab w:val="left" w:pos="720"/>
        </w:tabs>
        <w:ind w:left="0" w:firstLine="720"/>
        <w:jc w:val="both"/>
        <w:rPr>
          <w:rFonts w:asciiTheme="majorHAnsi" w:hAnsiTheme="majorHAnsi" w:cs="Calibri"/>
          <w:b/>
          <w:sz w:val="20"/>
          <w:szCs w:val="20"/>
          <w:lang w:val="es-ES_tradnl"/>
        </w:rPr>
      </w:pPr>
    </w:p>
    <w:p w:rsidR="009C6039" w:rsidRPr="00A10C7B" w:rsidRDefault="009C6039" w:rsidP="004C7506">
      <w:pPr>
        <w:pStyle w:val="ListParagraph"/>
        <w:numPr>
          <w:ilvl w:val="0"/>
          <w:numId w:val="69"/>
        </w:numPr>
        <w:tabs>
          <w:tab w:val="left" w:pos="720"/>
        </w:tabs>
        <w:ind w:left="0" w:firstLine="720"/>
        <w:jc w:val="both"/>
        <w:rPr>
          <w:rFonts w:asciiTheme="majorHAnsi" w:hAnsiTheme="majorHAnsi" w:cs="Calibri"/>
          <w:b/>
          <w:sz w:val="20"/>
          <w:szCs w:val="20"/>
          <w:lang w:val="es-ES_tradnl"/>
        </w:rPr>
      </w:pPr>
      <w:r w:rsidRPr="00A10C7B">
        <w:rPr>
          <w:rFonts w:asciiTheme="majorHAnsi" w:hAnsiTheme="majorHAnsi"/>
          <w:sz w:val="20"/>
          <w:szCs w:val="20"/>
          <w:lang w:val="es-ES"/>
        </w:rPr>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w:t>
      </w:r>
    </w:p>
    <w:p w:rsidR="009C6039" w:rsidRPr="00A10C7B" w:rsidRDefault="009C6039" w:rsidP="00120783">
      <w:pPr>
        <w:pStyle w:val="ListParagraph"/>
        <w:tabs>
          <w:tab w:val="left" w:pos="720"/>
        </w:tabs>
        <w:jc w:val="both"/>
        <w:rPr>
          <w:rFonts w:asciiTheme="majorHAnsi" w:hAnsiTheme="majorHAnsi" w:cs="Calibri"/>
          <w:b/>
          <w:sz w:val="20"/>
          <w:szCs w:val="20"/>
          <w:lang w:val="es-ES_tradnl"/>
        </w:rPr>
      </w:pPr>
    </w:p>
    <w:p w:rsidR="009C6039" w:rsidRPr="00A10C7B" w:rsidRDefault="009C6039" w:rsidP="004C7506">
      <w:pPr>
        <w:pStyle w:val="ListParagraph"/>
        <w:numPr>
          <w:ilvl w:val="0"/>
          <w:numId w:val="69"/>
        </w:numPr>
        <w:tabs>
          <w:tab w:val="left" w:pos="720"/>
        </w:tabs>
        <w:ind w:left="0" w:firstLine="720"/>
        <w:jc w:val="both"/>
        <w:rPr>
          <w:rFonts w:asciiTheme="majorHAnsi" w:hAnsiTheme="majorHAnsi" w:cs="Calibri"/>
          <w:b/>
          <w:sz w:val="20"/>
          <w:szCs w:val="20"/>
          <w:lang w:val="es-ES_tradnl"/>
        </w:rPr>
      </w:pPr>
      <w:r w:rsidRPr="00A10C7B">
        <w:rPr>
          <w:rFonts w:asciiTheme="majorHAnsi" w:hAnsiTheme="majorHAnsi"/>
          <w:sz w:val="20"/>
          <w:szCs w:val="20"/>
          <w:lang w:val="es-ES"/>
        </w:rPr>
        <w:t xml:space="preserve">En virtud de las consideraciones y conclusiones expuestas en este informe, </w:t>
      </w:r>
    </w:p>
    <w:p w:rsidR="009C6039" w:rsidRPr="00A10C7B" w:rsidRDefault="009C6039" w:rsidP="00120783">
      <w:pPr>
        <w:pStyle w:val="ListParagraph"/>
        <w:tabs>
          <w:tab w:val="left" w:pos="720"/>
        </w:tabs>
        <w:jc w:val="both"/>
        <w:rPr>
          <w:rFonts w:asciiTheme="majorHAnsi" w:hAnsiTheme="majorHAnsi" w:cs="Calibri"/>
          <w:b/>
          <w:sz w:val="20"/>
          <w:szCs w:val="20"/>
          <w:lang w:val="es-ES_tradnl"/>
        </w:rPr>
      </w:pPr>
    </w:p>
    <w:p w:rsidR="009C6039" w:rsidRPr="00A10C7B" w:rsidRDefault="009C6039" w:rsidP="00120783">
      <w:pPr>
        <w:tabs>
          <w:tab w:val="left" w:pos="720"/>
          <w:tab w:val="left" w:pos="1440"/>
        </w:tabs>
        <w:jc w:val="center"/>
        <w:rPr>
          <w:rFonts w:asciiTheme="majorHAnsi" w:hAnsiTheme="majorHAnsi"/>
          <w:b/>
          <w:bCs/>
          <w:sz w:val="20"/>
          <w:szCs w:val="20"/>
          <w:lang w:val="es-ES"/>
        </w:rPr>
      </w:pPr>
      <w:r w:rsidRPr="00A10C7B">
        <w:rPr>
          <w:rFonts w:asciiTheme="majorHAnsi" w:hAnsiTheme="majorHAnsi"/>
          <w:b/>
          <w:bCs/>
          <w:sz w:val="20"/>
          <w:szCs w:val="20"/>
          <w:lang w:val="es-ES"/>
        </w:rPr>
        <w:t>LA COMISIÓN INTERAMERICANA DE DERECHOS HUMANOS</w:t>
      </w:r>
    </w:p>
    <w:p w:rsidR="009C6039" w:rsidRPr="00A10C7B" w:rsidRDefault="009C6039" w:rsidP="00120783">
      <w:pPr>
        <w:tabs>
          <w:tab w:val="left" w:pos="720"/>
          <w:tab w:val="left" w:pos="1440"/>
        </w:tabs>
        <w:jc w:val="center"/>
        <w:rPr>
          <w:rFonts w:asciiTheme="majorHAnsi" w:hAnsiTheme="majorHAnsi"/>
          <w:b/>
          <w:bCs/>
          <w:sz w:val="20"/>
          <w:szCs w:val="20"/>
          <w:lang w:val="es-ES"/>
        </w:rPr>
      </w:pPr>
    </w:p>
    <w:p w:rsidR="009C6039" w:rsidRPr="00A10C7B" w:rsidRDefault="009C6039" w:rsidP="00120783">
      <w:pPr>
        <w:tabs>
          <w:tab w:val="left" w:pos="720"/>
          <w:tab w:val="left" w:pos="1440"/>
        </w:tabs>
        <w:rPr>
          <w:rFonts w:asciiTheme="majorHAnsi" w:hAnsiTheme="majorHAnsi"/>
          <w:b/>
          <w:bCs/>
          <w:sz w:val="20"/>
          <w:szCs w:val="20"/>
        </w:rPr>
      </w:pPr>
      <w:r w:rsidRPr="00A10C7B">
        <w:rPr>
          <w:rFonts w:asciiTheme="majorHAnsi" w:hAnsiTheme="majorHAnsi"/>
          <w:b/>
          <w:bCs/>
          <w:sz w:val="20"/>
          <w:szCs w:val="20"/>
        </w:rPr>
        <w:t>DECIDE:</w:t>
      </w:r>
    </w:p>
    <w:p w:rsidR="009C6039" w:rsidRPr="00A10C7B" w:rsidRDefault="009C6039" w:rsidP="00120783">
      <w:pPr>
        <w:tabs>
          <w:tab w:val="left" w:pos="720"/>
          <w:tab w:val="left" w:pos="1440"/>
        </w:tabs>
        <w:rPr>
          <w:rFonts w:asciiTheme="majorHAnsi" w:hAnsiTheme="majorHAnsi"/>
          <w:b/>
          <w:bCs/>
          <w:sz w:val="20"/>
          <w:szCs w:val="20"/>
        </w:rPr>
      </w:pPr>
    </w:p>
    <w:p w:rsidR="009C6039" w:rsidRPr="00A10C7B" w:rsidRDefault="009C6039" w:rsidP="00120783">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rPr>
          <w:rFonts w:asciiTheme="majorHAnsi" w:hAnsiTheme="majorHAnsi"/>
          <w:sz w:val="20"/>
          <w:szCs w:val="20"/>
          <w:lang w:val="es-ES"/>
        </w:rPr>
      </w:pPr>
      <w:r w:rsidRPr="00A10C7B">
        <w:rPr>
          <w:rFonts w:asciiTheme="majorHAnsi" w:hAnsiTheme="majorHAnsi"/>
          <w:sz w:val="20"/>
          <w:szCs w:val="20"/>
          <w:lang w:val="es-ES"/>
        </w:rPr>
        <w:t>Aprobar los términos del acuerdo suscrito por las partes el 20 de julio de 2018.</w:t>
      </w:r>
    </w:p>
    <w:p w:rsidR="009C6039" w:rsidRPr="00A10C7B" w:rsidRDefault="009C6039" w:rsidP="00120783">
      <w:pPr>
        <w:tabs>
          <w:tab w:val="left" w:pos="0"/>
          <w:tab w:val="left" w:pos="1440"/>
        </w:tabs>
        <w:ind w:left="720"/>
        <w:rPr>
          <w:rFonts w:asciiTheme="majorHAnsi" w:hAnsiTheme="majorHAnsi"/>
          <w:sz w:val="20"/>
          <w:szCs w:val="20"/>
          <w:lang w:val="es-ES"/>
        </w:rPr>
      </w:pPr>
    </w:p>
    <w:p w:rsidR="00A47AAD" w:rsidRDefault="009C6039" w:rsidP="00A47AAD">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ind w:left="0" w:firstLine="720"/>
        <w:jc w:val="both"/>
        <w:rPr>
          <w:rFonts w:asciiTheme="majorHAnsi" w:hAnsiTheme="majorHAnsi"/>
          <w:sz w:val="20"/>
          <w:szCs w:val="20"/>
          <w:lang w:val="es-ES"/>
        </w:rPr>
      </w:pPr>
      <w:r w:rsidRPr="00A10C7B">
        <w:rPr>
          <w:rFonts w:asciiTheme="majorHAnsi" w:hAnsiTheme="majorHAnsi"/>
          <w:sz w:val="20"/>
          <w:szCs w:val="20"/>
          <w:lang w:val="es-ES"/>
        </w:rPr>
        <w:t>Declarar cumplida totalmente la cláusula</w:t>
      </w:r>
      <w:r w:rsidRPr="00A10C7B">
        <w:rPr>
          <w:rFonts w:asciiTheme="majorHAnsi" w:hAnsiTheme="majorHAnsi" w:cs="Calibri"/>
          <w:sz w:val="20"/>
          <w:szCs w:val="20"/>
          <w:lang w:val="es-ES_tradnl"/>
        </w:rPr>
        <w:t xml:space="preserve"> II del acuerdo de solución amistosa </w:t>
      </w:r>
      <w:r w:rsidRPr="00A10C7B">
        <w:rPr>
          <w:rFonts w:asciiTheme="majorHAnsi" w:hAnsiTheme="majorHAnsi"/>
          <w:sz w:val="20"/>
          <w:szCs w:val="20"/>
          <w:lang w:val="es-ES"/>
        </w:rPr>
        <w:t>sobre</w:t>
      </w:r>
      <w:r w:rsidR="00EF1605" w:rsidRPr="00A10C7B">
        <w:rPr>
          <w:rFonts w:asciiTheme="majorHAnsi" w:hAnsiTheme="majorHAnsi"/>
          <w:sz w:val="20"/>
          <w:szCs w:val="20"/>
          <w:lang w:val="es-ES"/>
        </w:rPr>
        <w:t xml:space="preserve"> la</w:t>
      </w:r>
      <w:r w:rsidRPr="00A10C7B">
        <w:rPr>
          <w:rFonts w:asciiTheme="majorHAnsi" w:hAnsiTheme="majorHAnsi"/>
          <w:sz w:val="20"/>
          <w:szCs w:val="20"/>
          <w:lang w:val="es-ES"/>
        </w:rPr>
        <w:t xml:space="preserve"> medida de reparación individual</w:t>
      </w:r>
      <w:r w:rsidRPr="00A10C7B">
        <w:rPr>
          <w:rFonts w:asciiTheme="majorHAnsi" w:hAnsiTheme="majorHAnsi"/>
          <w:sz w:val="20"/>
          <w:szCs w:val="20"/>
          <w:lang w:val="es-CO"/>
        </w:rPr>
        <w:t>, de acuerdo al análisis contenido en este informe.</w:t>
      </w:r>
    </w:p>
    <w:p w:rsidR="00A47AAD" w:rsidRDefault="00A47AAD" w:rsidP="00A47AAD">
      <w:pPr>
        <w:pStyle w:val="ListParagraph"/>
        <w:rPr>
          <w:rFonts w:asciiTheme="majorHAnsi" w:hAnsiTheme="majorHAnsi"/>
          <w:sz w:val="20"/>
          <w:szCs w:val="20"/>
          <w:lang w:val="es-ES"/>
        </w:rPr>
      </w:pPr>
    </w:p>
    <w:p w:rsidR="00120783" w:rsidRPr="00A47AAD" w:rsidRDefault="00120783" w:rsidP="00A47AAD">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ind w:left="0" w:firstLine="720"/>
        <w:jc w:val="both"/>
        <w:rPr>
          <w:rFonts w:asciiTheme="majorHAnsi" w:hAnsiTheme="majorHAnsi"/>
          <w:sz w:val="20"/>
          <w:szCs w:val="20"/>
          <w:lang w:val="es-ES"/>
        </w:rPr>
      </w:pPr>
      <w:r w:rsidRPr="00A47AAD">
        <w:rPr>
          <w:rFonts w:asciiTheme="majorHAnsi" w:hAnsiTheme="majorHAnsi"/>
          <w:sz w:val="20"/>
          <w:szCs w:val="20"/>
          <w:lang w:val="es-ES"/>
        </w:rPr>
        <w:t xml:space="preserve">Declarar cumplido totalmente el acuerdo de solución amistosa. </w:t>
      </w:r>
    </w:p>
    <w:p w:rsidR="009C6039" w:rsidRPr="00A10C7B" w:rsidRDefault="009C6039" w:rsidP="00120783">
      <w:pPr>
        <w:tabs>
          <w:tab w:val="left" w:pos="1440"/>
        </w:tabs>
        <w:ind w:left="720"/>
        <w:jc w:val="both"/>
        <w:rPr>
          <w:rFonts w:asciiTheme="majorHAnsi" w:hAnsiTheme="majorHAnsi"/>
          <w:sz w:val="20"/>
          <w:szCs w:val="20"/>
          <w:lang w:val="es-ES"/>
        </w:rPr>
      </w:pPr>
    </w:p>
    <w:p w:rsidR="009C6039" w:rsidRPr="00A10C7B" w:rsidRDefault="009C6039" w:rsidP="00120783">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1440"/>
        </w:tabs>
        <w:suppressAutoHyphens/>
        <w:ind w:left="0" w:firstLine="720"/>
        <w:jc w:val="both"/>
        <w:rPr>
          <w:rFonts w:asciiTheme="majorHAnsi" w:hAnsiTheme="majorHAnsi"/>
          <w:sz w:val="20"/>
          <w:szCs w:val="20"/>
          <w:lang w:val="es-ES"/>
        </w:rPr>
      </w:pPr>
      <w:r w:rsidRPr="00A10C7B">
        <w:rPr>
          <w:rFonts w:asciiTheme="majorHAnsi" w:hAnsiTheme="majorHAnsi"/>
          <w:sz w:val="20"/>
          <w:szCs w:val="20"/>
          <w:lang w:val="es-ES"/>
        </w:rPr>
        <w:t>Hacer público el presente informe e incluirlo en su Informe Anual a la Asamblea General de la OEA.</w:t>
      </w:r>
    </w:p>
    <w:p w:rsidR="009C6039" w:rsidRPr="00A10C7B" w:rsidRDefault="009C6039" w:rsidP="00120783">
      <w:pPr>
        <w:tabs>
          <w:tab w:val="left" w:pos="0"/>
        </w:tabs>
        <w:suppressAutoHyphens/>
        <w:ind w:left="720"/>
        <w:jc w:val="both"/>
        <w:rPr>
          <w:rFonts w:asciiTheme="majorHAnsi" w:hAnsiTheme="majorHAnsi"/>
          <w:sz w:val="20"/>
          <w:szCs w:val="20"/>
          <w:lang w:val="es-ES"/>
        </w:rPr>
      </w:pPr>
    </w:p>
    <w:p w:rsidR="00934A2C" w:rsidRPr="00A10C7B" w:rsidRDefault="00CE7A65" w:rsidP="00B3060B">
      <w:pPr>
        <w:tabs>
          <w:tab w:val="left" w:pos="0"/>
        </w:tabs>
        <w:suppressAutoHyphens/>
        <w:ind w:firstLine="720"/>
        <w:jc w:val="both"/>
        <w:rPr>
          <w:rFonts w:asciiTheme="majorHAnsi" w:hAnsiTheme="majorHAnsi"/>
          <w:sz w:val="20"/>
          <w:szCs w:val="20"/>
          <w:lang w:val="es-ES_tradnl"/>
        </w:rPr>
      </w:pPr>
      <w:r w:rsidRPr="00A10C7B">
        <w:rPr>
          <w:rFonts w:asciiTheme="majorHAnsi" w:hAnsiTheme="majorHAnsi"/>
          <w:sz w:val="20"/>
          <w:szCs w:val="20"/>
          <w:lang w:val="es-ES"/>
        </w:rPr>
        <w:t xml:space="preserve">Aprobado por la Comisión Interamericana de Derechos Humanos a los </w:t>
      </w:r>
      <w:r w:rsidR="00B3060B">
        <w:rPr>
          <w:rFonts w:asciiTheme="majorHAnsi" w:hAnsiTheme="majorHAnsi"/>
          <w:sz w:val="20"/>
          <w:szCs w:val="20"/>
          <w:lang w:val="es-ES"/>
        </w:rPr>
        <w:t>15</w:t>
      </w:r>
      <w:r w:rsidRPr="00A10C7B">
        <w:rPr>
          <w:rFonts w:asciiTheme="majorHAnsi" w:hAnsiTheme="majorHAnsi"/>
          <w:sz w:val="20"/>
          <w:szCs w:val="20"/>
          <w:lang w:val="es-ES"/>
        </w:rPr>
        <w:t xml:space="preserve"> días del mes de </w:t>
      </w:r>
      <w:r w:rsidR="00B3060B">
        <w:rPr>
          <w:rFonts w:asciiTheme="majorHAnsi" w:hAnsiTheme="majorHAnsi" w:cs="Arial"/>
          <w:noProof/>
          <w:spacing w:val="-2"/>
          <w:sz w:val="20"/>
          <w:szCs w:val="20"/>
          <w:lang w:val="es-CL"/>
        </w:rPr>
        <w:t>mayo</w:t>
      </w:r>
      <w:r w:rsidRPr="00A10C7B">
        <w:rPr>
          <w:rFonts w:asciiTheme="majorHAnsi" w:hAnsiTheme="majorHAnsi"/>
          <w:sz w:val="20"/>
          <w:szCs w:val="20"/>
          <w:lang w:val="es-ES"/>
        </w:rPr>
        <w:t xml:space="preserve"> de 2019. </w:t>
      </w:r>
      <w:r w:rsidRPr="00E450C4">
        <w:rPr>
          <w:rFonts w:asciiTheme="majorHAnsi" w:hAnsiTheme="majorHAnsi"/>
          <w:sz w:val="20"/>
          <w:szCs w:val="20"/>
          <w:lang w:val="es-VE"/>
        </w:rPr>
        <w:t xml:space="preserve">(Firmado): </w:t>
      </w:r>
      <w:r w:rsidRPr="00CE7A65">
        <w:rPr>
          <w:rFonts w:asciiTheme="majorHAnsi" w:hAnsiTheme="majorHAnsi"/>
          <w:sz w:val="20"/>
          <w:szCs w:val="20"/>
          <w:lang w:val="es-ES"/>
        </w:rPr>
        <w:t xml:space="preserve">Esmeralda E. Arosemena Bernal de </w:t>
      </w:r>
      <w:proofErr w:type="spellStart"/>
      <w:r w:rsidRPr="00CE7A65">
        <w:rPr>
          <w:rFonts w:asciiTheme="majorHAnsi" w:hAnsiTheme="majorHAnsi"/>
          <w:sz w:val="20"/>
          <w:szCs w:val="20"/>
          <w:lang w:val="es-ES"/>
        </w:rPr>
        <w:t>Troitiño</w:t>
      </w:r>
      <w:proofErr w:type="spellEnd"/>
      <w:r w:rsidRPr="00CE7A65">
        <w:rPr>
          <w:rFonts w:asciiTheme="majorHAnsi" w:hAnsiTheme="majorHAnsi"/>
          <w:sz w:val="20"/>
          <w:szCs w:val="20"/>
          <w:lang w:val="es-ES"/>
        </w:rPr>
        <w:t xml:space="preserve">, Presidenta; Joel Hernández, Primer Vicepresidente; Antonia Urrejola, Segunda Vicepresidenta; Margarette </w:t>
      </w:r>
      <w:proofErr w:type="spellStart"/>
      <w:r w:rsidRPr="00CE7A65">
        <w:rPr>
          <w:rFonts w:asciiTheme="majorHAnsi" w:hAnsiTheme="majorHAnsi"/>
          <w:sz w:val="20"/>
          <w:szCs w:val="20"/>
          <w:lang w:val="es-ES"/>
        </w:rPr>
        <w:t>May</w:t>
      </w:r>
      <w:proofErr w:type="spellEnd"/>
      <w:r w:rsidRPr="00CE7A65">
        <w:rPr>
          <w:rFonts w:asciiTheme="majorHAnsi" w:hAnsiTheme="majorHAnsi"/>
          <w:sz w:val="20"/>
          <w:szCs w:val="20"/>
          <w:lang w:val="es-ES"/>
        </w:rPr>
        <w:t xml:space="preserve"> Macaulay, Francisco José Eguiguren</w:t>
      </w:r>
      <w:r w:rsidR="00950E1A">
        <w:rPr>
          <w:rFonts w:asciiTheme="majorHAnsi" w:hAnsiTheme="majorHAnsi"/>
          <w:sz w:val="20"/>
          <w:szCs w:val="20"/>
          <w:lang w:val="es-ES"/>
        </w:rPr>
        <w:t xml:space="preserve">, </w:t>
      </w:r>
      <w:proofErr w:type="spellStart"/>
      <w:r w:rsidR="00950E1A">
        <w:rPr>
          <w:rFonts w:asciiTheme="majorHAnsi" w:hAnsiTheme="majorHAnsi"/>
          <w:sz w:val="20"/>
          <w:szCs w:val="20"/>
          <w:lang w:val="es-ES"/>
        </w:rPr>
        <w:t>Flávia</w:t>
      </w:r>
      <w:proofErr w:type="spellEnd"/>
      <w:r w:rsidR="00950E1A">
        <w:rPr>
          <w:rFonts w:asciiTheme="majorHAnsi" w:hAnsiTheme="majorHAnsi"/>
          <w:sz w:val="20"/>
          <w:szCs w:val="20"/>
          <w:lang w:val="es-ES"/>
        </w:rPr>
        <w:t xml:space="preserve"> </w:t>
      </w:r>
      <w:proofErr w:type="spellStart"/>
      <w:r w:rsidR="00950E1A">
        <w:rPr>
          <w:rFonts w:asciiTheme="majorHAnsi" w:hAnsiTheme="majorHAnsi"/>
          <w:sz w:val="20"/>
          <w:szCs w:val="20"/>
          <w:lang w:val="es-ES"/>
        </w:rPr>
        <w:t>Piovesan</w:t>
      </w:r>
      <w:proofErr w:type="spellEnd"/>
      <w:r w:rsidR="00950E1A">
        <w:rPr>
          <w:rFonts w:asciiTheme="majorHAnsi" w:hAnsiTheme="majorHAnsi"/>
          <w:sz w:val="20"/>
          <w:szCs w:val="20"/>
          <w:lang w:val="es-ES"/>
        </w:rPr>
        <w:t xml:space="preserve"> y Luis Ernesto Vargas</w:t>
      </w:r>
      <w:r w:rsidR="00EB4A51">
        <w:rPr>
          <w:rFonts w:asciiTheme="majorHAnsi" w:hAnsiTheme="majorHAnsi"/>
          <w:sz w:val="20"/>
          <w:szCs w:val="20"/>
          <w:lang w:val="es-ES"/>
        </w:rPr>
        <w:t xml:space="preserve">, </w:t>
      </w:r>
      <w:r w:rsidRPr="00CE7A65">
        <w:rPr>
          <w:rFonts w:asciiTheme="majorHAnsi" w:hAnsiTheme="majorHAnsi"/>
          <w:sz w:val="20"/>
          <w:szCs w:val="20"/>
          <w:lang w:val="es-ES"/>
        </w:rPr>
        <w:t>Miembros de la Comisión.</w:t>
      </w:r>
    </w:p>
    <w:sectPr w:rsidR="00934A2C" w:rsidRPr="00A10C7B" w:rsidSect="00560C43">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BF6" w:rsidRDefault="00A66BF6">
      <w:r>
        <w:separator/>
      </w:r>
    </w:p>
  </w:endnote>
  <w:endnote w:type="continuationSeparator" w:id="0">
    <w:p w:rsidR="00A66BF6" w:rsidRDefault="00A66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D52" w:rsidRDefault="00FC7D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560C43" w:rsidRPr="00934A2C" w:rsidRDefault="00560C4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C7D52">
          <w:rPr>
            <w:noProof/>
            <w:sz w:val="16"/>
            <w:szCs w:val="22"/>
          </w:rPr>
          <w:t>1</w:t>
        </w:r>
        <w:r w:rsidRPr="00934A2C">
          <w:rPr>
            <w:noProof/>
            <w:sz w:val="16"/>
            <w:szCs w:val="22"/>
          </w:rPr>
          <w:fldChar w:fldCharType="end"/>
        </w:r>
      </w:p>
    </w:sdtContent>
  </w:sdt>
  <w:p w:rsidR="00560C43" w:rsidRDefault="00560C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C43" w:rsidRPr="00934A2C" w:rsidRDefault="00560C43">
    <w:pPr>
      <w:pStyle w:val="Footer"/>
      <w:jc w:val="center"/>
      <w:rPr>
        <w:sz w:val="16"/>
        <w:szCs w:val="22"/>
      </w:rPr>
    </w:pPr>
  </w:p>
  <w:p w:rsidR="00560C43" w:rsidRDefault="00560C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BF6" w:rsidRDefault="00A66BF6">
      <w:r>
        <w:separator/>
      </w:r>
    </w:p>
  </w:footnote>
  <w:footnote w:type="continuationSeparator" w:id="0">
    <w:p w:rsidR="00A66BF6" w:rsidRDefault="00A66BF6">
      <w:r>
        <w:continuationSeparator/>
      </w:r>
    </w:p>
  </w:footnote>
  <w:footnote w:type="continuationNotice" w:id="1">
    <w:p w:rsidR="00A66BF6" w:rsidRDefault="00A66BF6"/>
  </w:footnote>
  <w:footnote w:id="2">
    <w:p w:rsidR="00560C43" w:rsidRPr="00120783" w:rsidRDefault="00560C43" w:rsidP="00120783">
      <w:pPr>
        <w:pStyle w:val="FootnoteText"/>
        <w:jc w:val="both"/>
        <w:rPr>
          <w:rFonts w:asciiTheme="majorHAnsi" w:hAnsiTheme="majorHAnsi"/>
          <w:sz w:val="16"/>
          <w:szCs w:val="16"/>
          <w:lang w:val="es-ES"/>
        </w:rPr>
      </w:pPr>
      <w:r w:rsidRPr="00120783">
        <w:rPr>
          <w:rStyle w:val="FootnoteReference"/>
          <w:rFonts w:asciiTheme="majorHAnsi" w:hAnsiTheme="majorHAnsi"/>
          <w:sz w:val="16"/>
          <w:szCs w:val="16"/>
        </w:rPr>
        <w:footnoteRef/>
      </w:r>
      <w:r w:rsidRPr="00120783">
        <w:rPr>
          <w:rFonts w:asciiTheme="majorHAnsi" w:hAnsiTheme="majorHAnsi"/>
          <w:sz w:val="16"/>
          <w:szCs w:val="16"/>
          <w:lang w:val="es-ES"/>
        </w:rPr>
        <w:t xml:space="preserve"> El Bono Familiar de Vivienda es un subsidio para la solicitud de viviendas de interés social, que se otorga a petición de parte, para la compra de casa, lote, reparación o ampliación de casa de habitación.  </w:t>
      </w:r>
    </w:p>
  </w:footnote>
  <w:footnote w:id="3">
    <w:p w:rsidR="00560C43" w:rsidRPr="00120783" w:rsidRDefault="00560C43" w:rsidP="00120783">
      <w:pPr>
        <w:pStyle w:val="FootnoteText"/>
        <w:jc w:val="both"/>
        <w:rPr>
          <w:rFonts w:asciiTheme="majorHAnsi" w:hAnsiTheme="majorHAnsi"/>
          <w:sz w:val="16"/>
          <w:szCs w:val="16"/>
          <w:lang w:val="es-ES"/>
        </w:rPr>
      </w:pPr>
      <w:r w:rsidRPr="00120783">
        <w:rPr>
          <w:rStyle w:val="FootnoteReference"/>
          <w:rFonts w:asciiTheme="majorHAnsi" w:hAnsiTheme="majorHAnsi"/>
          <w:sz w:val="16"/>
          <w:szCs w:val="16"/>
        </w:rPr>
        <w:footnoteRef/>
      </w:r>
      <w:r w:rsidRPr="00120783">
        <w:rPr>
          <w:rFonts w:asciiTheme="majorHAnsi" w:hAnsiTheme="majorHAnsi"/>
          <w:sz w:val="16"/>
          <w:szCs w:val="16"/>
          <w:lang w:val="es-ES"/>
        </w:rPr>
        <w:t xml:space="preserve"> Ver Informe de Admisibilidad N° 19/14 del 3 de abril de 2014, Caso N° 12.492 - Emilia Morales Campos y Jennifer Emilia Morales Campos vs. Costa Rica.</w:t>
      </w:r>
    </w:p>
  </w:footnote>
  <w:footnote w:id="4">
    <w:p w:rsidR="00560C43" w:rsidRPr="00120783" w:rsidRDefault="00560C43" w:rsidP="00120783">
      <w:pPr>
        <w:pStyle w:val="FootnoteText"/>
        <w:rPr>
          <w:rFonts w:asciiTheme="majorHAnsi" w:hAnsiTheme="majorHAnsi"/>
          <w:sz w:val="16"/>
          <w:szCs w:val="16"/>
          <w:lang w:val="es-ES"/>
        </w:rPr>
      </w:pPr>
      <w:r w:rsidRPr="00120783">
        <w:rPr>
          <w:rStyle w:val="FootnoteReference"/>
          <w:rFonts w:asciiTheme="majorHAnsi" w:hAnsiTheme="majorHAnsi"/>
          <w:sz w:val="16"/>
          <w:szCs w:val="16"/>
        </w:rPr>
        <w:footnoteRef/>
      </w:r>
      <w:r w:rsidRPr="00120783">
        <w:rPr>
          <w:rFonts w:asciiTheme="majorHAnsi" w:hAnsiTheme="majorHAnsi"/>
          <w:sz w:val="16"/>
          <w:szCs w:val="16"/>
          <w:lang w:val="es-ES"/>
        </w:rPr>
        <w:t xml:space="preserve"> Ver, CIDH, CIDH Saluda avances de Costa Rica en la Implementación del acuerdo de solución amistosa en el caso de Emilia Morales Campos. 4 de febrero de 2019. Disponible electrónicamente en: </w:t>
      </w:r>
      <w:hyperlink r:id="rId1" w:history="1">
        <w:r w:rsidRPr="00120783">
          <w:rPr>
            <w:rStyle w:val="Hyperlink"/>
            <w:rFonts w:asciiTheme="majorHAnsi" w:hAnsiTheme="majorHAnsi"/>
            <w:sz w:val="16"/>
            <w:szCs w:val="16"/>
            <w:lang w:val="es-ES"/>
          </w:rPr>
          <w:t>http://www.oas.org/es/cidh/prensa/comunicados/2019/025.asp</w:t>
        </w:r>
      </w:hyperlink>
      <w:r w:rsidRPr="00120783">
        <w:rPr>
          <w:rFonts w:asciiTheme="majorHAnsi" w:hAnsiTheme="majorHAnsi"/>
          <w:sz w:val="16"/>
          <w:szCs w:val="16"/>
          <w:lang w:val="es-ES"/>
        </w:rPr>
        <w:t xml:space="preserve"> </w:t>
      </w:r>
    </w:p>
  </w:footnote>
  <w:footnote w:id="5">
    <w:p w:rsidR="00560C43" w:rsidRPr="00120783" w:rsidRDefault="00560C43" w:rsidP="00120783">
      <w:pPr>
        <w:pStyle w:val="FootnoteText"/>
        <w:jc w:val="both"/>
        <w:rPr>
          <w:rFonts w:asciiTheme="majorHAnsi" w:hAnsiTheme="majorHAnsi"/>
          <w:sz w:val="16"/>
          <w:szCs w:val="16"/>
          <w:lang w:val="es-ES"/>
        </w:rPr>
      </w:pPr>
      <w:r w:rsidRPr="00120783">
        <w:rPr>
          <w:rStyle w:val="FootnoteReference"/>
          <w:rFonts w:asciiTheme="majorHAnsi" w:hAnsiTheme="majorHAnsi"/>
          <w:sz w:val="16"/>
          <w:szCs w:val="16"/>
        </w:rPr>
        <w:footnoteRef/>
      </w:r>
      <w:r w:rsidRPr="00120783">
        <w:rPr>
          <w:rFonts w:asciiTheme="majorHAnsi" w:hAnsiTheme="majorHAnsi"/>
          <w:sz w:val="16"/>
          <w:szCs w:val="16"/>
          <w:lang w:val="es-ES"/>
        </w:rPr>
        <w:t xml:space="preserve"> Res. No. 002619-2006 de la Sala Constitucional de la Corte Suprema de Justicia de fecha 28 de febrero de 2006.</w:t>
      </w:r>
    </w:p>
  </w:footnote>
  <w:footnote w:id="6">
    <w:p w:rsidR="00560C43" w:rsidRPr="00120783" w:rsidRDefault="00560C43" w:rsidP="00120783">
      <w:pPr>
        <w:pStyle w:val="FootnoteText"/>
        <w:jc w:val="both"/>
        <w:rPr>
          <w:rFonts w:asciiTheme="majorHAnsi" w:hAnsiTheme="majorHAnsi"/>
          <w:sz w:val="16"/>
          <w:szCs w:val="16"/>
          <w:lang w:val="es-ES"/>
        </w:rPr>
      </w:pPr>
      <w:r w:rsidRPr="00120783">
        <w:rPr>
          <w:rStyle w:val="FootnoteReference"/>
          <w:rFonts w:asciiTheme="majorHAnsi" w:hAnsiTheme="majorHAnsi"/>
          <w:sz w:val="16"/>
          <w:szCs w:val="16"/>
        </w:rPr>
        <w:footnoteRef/>
      </w:r>
      <w:r w:rsidRPr="00120783">
        <w:rPr>
          <w:rFonts w:asciiTheme="majorHAnsi" w:hAnsiTheme="majorHAnsi"/>
          <w:sz w:val="16"/>
          <w:szCs w:val="16"/>
          <w:lang w:val="es-ES"/>
        </w:rPr>
        <w:t xml:space="preserve"> Este es el término legalmente utilizado en estos procedimientos, pero no implica dificultad u obstáculo alguno al acceso que tendrá la señora Emilia Morales Campos al trámite correspondiente.</w:t>
      </w:r>
    </w:p>
  </w:footnote>
  <w:footnote w:id="7">
    <w:p w:rsidR="00560C43" w:rsidRPr="00120783" w:rsidRDefault="00560C43" w:rsidP="00120783">
      <w:pPr>
        <w:pStyle w:val="FootnoteText"/>
        <w:jc w:val="both"/>
        <w:rPr>
          <w:rFonts w:asciiTheme="majorHAnsi" w:hAnsiTheme="majorHAnsi"/>
          <w:sz w:val="16"/>
          <w:szCs w:val="16"/>
          <w:lang w:val="es-ES"/>
        </w:rPr>
      </w:pPr>
      <w:r w:rsidRPr="00120783">
        <w:rPr>
          <w:rStyle w:val="FootnoteReference"/>
          <w:rFonts w:asciiTheme="majorHAnsi" w:hAnsiTheme="majorHAnsi"/>
          <w:sz w:val="16"/>
          <w:szCs w:val="16"/>
        </w:rPr>
        <w:footnoteRef/>
      </w:r>
      <w:r w:rsidRPr="00120783">
        <w:rPr>
          <w:rFonts w:asciiTheme="majorHAnsi" w:hAnsiTheme="majorHAnsi"/>
          <w:sz w:val="16"/>
          <w:szCs w:val="16"/>
          <w:lang w:val="es-ES"/>
        </w:rPr>
        <w:t xml:space="preserve"> La CIDH reserva el nombre de la nieta de la víctima por ser menor de edad al momento de la aprobación de este informe.</w:t>
      </w:r>
    </w:p>
  </w:footnote>
  <w:footnote w:id="8">
    <w:p w:rsidR="00560C43" w:rsidRPr="00120783" w:rsidRDefault="00560C43" w:rsidP="00120783">
      <w:pPr>
        <w:pStyle w:val="FootnoteText"/>
        <w:jc w:val="both"/>
        <w:rPr>
          <w:rFonts w:asciiTheme="majorHAnsi" w:hAnsiTheme="majorHAnsi"/>
          <w:sz w:val="16"/>
          <w:szCs w:val="16"/>
          <w:lang w:val="es-ES"/>
        </w:rPr>
      </w:pPr>
      <w:r w:rsidRPr="00120783">
        <w:rPr>
          <w:rStyle w:val="FootnoteReference"/>
          <w:rFonts w:asciiTheme="majorHAnsi" w:hAnsiTheme="majorHAnsi"/>
          <w:sz w:val="16"/>
          <w:szCs w:val="16"/>
        </w:rPr>
        <w:footnoteRef/>
      </w:r>
      <w:r w:rsidRPr="00120783">
        <w:rPr>
          <w:rFonts w:asciiTheme="majorHAnsi" w:hAnsiTheme="majorHAnsi"/>
          <w:sz w:val="16"/>
          <w:szCs w:val="16"/>
          <w:lang w:val="es-ES"/>
        </w:rPr>
        <w:t xml:space="preserve"> Costa Rica es Estado Parte de la Convención Americana sobre Derechos Humanos desde el 8 de abril de 1970.</w:t>
      </w:r>
    </w:p>
  </w:footnote>
  <w:footnote w:id="9">
    <w:p w:rsidR="00560C43" w:rsidRPr="00120783" w:rsidRDefault="00560C43" w:rsidP="00120783">
      <w:pPr>
        <w:pStyle w:val="FootnoteText"/>
        <w:jc w:val="both"/>
        <w:rPr>
          <w:rFonts w:asciiTheme="majorHAnsi" w:hAnsiTheme="majorHAnsi"/>
          <w:sz w:val="16"/>
          <w:szCs w:val="16"/>
          <w:lang w:val="es-CO"/>
        </w:rPr>
      </w:pPr>
      <w:r w:rsidRPr="00120783">
        <w:rPr>
          <w:rStyle w:val="FootnoteReference"/>
          <w:rFonts w:asciiTheme="majorHAnsi" w:hAnsiTheme="majorHAnsi"/>
          <w:sz w:val="16"/>
          <w:szCs w:val="16"/>
        </w:rPr>
        <w:footnoteRef/>
      </w:r>
      <w:r w:rsidRPr="00120783">
        <w:rPr>
          <w:rFonts w:asciiTheme="majorHAnsi" w:hAnsiTheme="majorHAnsi"/>
          <w:sz w:val="16"/>
          <w:szCs w:val="16"/>
          <w:lang w:val="es-ES"/>
        </w:rPr>
        <w:t xml:space="preserve"> </w:t>
      </w:r>
      <w:r w:rsidRPr="00120783">
        <w:rPr>
          <w:rFonts w:asciiTheme="majorHAnsi" w:hAnsiTheme="majorHAnsi"/>
          <w:sz w:val="16"/>
          <w:szCs w:val="16"/>
          <w:lang w:val="es-CO"/>
        </w:rPr>
        <w:t xml:space="preserve">Ver, por ejemplo, </w:t>
      </w:r>
      <w:r w:rsidRPr="00120783">
        <w:rPr>
          <w:rFonts w:asciiTheme="majorHAnsi" w:hAnsiTheme="majorHAnsi"/>
          <w:sz w:val="16"/>
          <w:szCs w:val="16"/>
          <w:lang w:val="es-ES"/>
        </w:rPr>
        <w:t>Corte Suprema de Justicia de Costa Rica. Acción Inconstitucional. Voto 2313-95 (Expediente 0421-S-90), considerando VII.</w:t>
      </w:r>
    </w:p>
  </w:footnote>
  <w:footnote w:id="10">
    <w:p w:rsidR="00560C43" w:rsidRPr="00120783" w:rsidRDefault="00560C43" w:rsidP="00120783">
      <w:pPr>
        <w:pStyle w:val="FootnoteText"/>
        <w:jc w:val="both"/>
        <w:rPr>
          <w:rFonts w:asciiTheme="majorHAnsi" w:hAnsiTheme="majorHAnsi"/>
          <w:sz w:val="16"/>
          <w:szCs w:val="16"/>
          <w:lang w:val="es-ES"/>
        </w:rPr>
      </w:pPr>
      <w:r w:rsidRPr="00120783">
        <w:rPr>
          <w:rStyle w:val="FootnoteReference"/>
          <w:rFonts w:asciiTheme="majorHAnsi" w:hAnsiTheme="majorHAnsi"/>
          <w:sz w:val="16"/>
          <w:szCs w:val="16"/>
        </w:rPr>
        <w:footnoteRef/>
      </w:r>
      <w:r w:rsidRPr="00120783">
        <w:rPr>
          <w:rFonts w:asciiTheme="majorHAnsi" w:hAnsiTheme="majorHAnsi"/>
          <w:sz w:val="16"/>
          <w:szCs w:val="16"/>
          <w:lang w:val="es-ES"/>
        </w:rPr>
        <w:t xml:space="preserve"> Corte IDH. Caso </w:t>
      </w:r>
      <w:proofErr w:type="spellStart"/>
      <w:r w:rsidRPr="00120783">
        <w:rPr>
          <w:rFonts w:asciiTheme="majorHAnsi" w:hAnsiTheme="majorHAnsi"/>
          <w:sz w:val="16"/>
          <w:szCs w:val="16"/>
          <w:lang w:val="es-ES"/>
        </w:rPr>
        <w:t>Gudiel</w:t>
      </w:r>
      <w:proofErr w:type="spellEnd"/>
      <w:r w:rsidRPr="00120783">
        <w:rPr>
          <w:rFonts w:asciiTheme="majorHAnsi" w:hAnsiTheme="majorHAnsi"/>
          <w:sz w:val="16"/>
          <w:szCs w:val="16"/>
          <w:lang w:val="es-ES"/>
        </w:rPr>
        <w:t xml:space="preserve"> Álvarez y otros (“Diario Militar”) Vs. Guatemala. Fondo, Reparaciones y Costas. </w:t>
      </w:r>
      <w:r w:rsidRPr="00120783">
        <w:rPr>
          <w:rFonts w:asciiTheme="majorHAnsi" w:hAnsiTheme="majorHAnsi"/>
          <w:sz w:val="16"/>
          <w:szCs w:val="16"/>
          <w:lang w:val="es-CO"/>
        </w:rPr>
        <w:t>Sentencia de 20 noviembre de 2012, párr. 330.</w:t>
      </w:r>
    </w:p>
  </w:footnote>
  <w:footnote w:id="11">
    <w:p w:rsidR="00560C43" w:rsidRPr="00120783" w:rsidRDefault="00560C43" w:rsidP="00120783">
      <w:pPr>
        <w:pStyle w:val="FootnoteText"/>
        <w:jc w:val="both"/>
        <w:rPr>
          <w:rFonts w:asciiTheme="majorHAnsi" w:hAnsiTheme="majorHAnsi"/>
          <w:bCs/>
          <w:sz w:val="16"/>
          <w:szCs w:val="16"/>
          <w:lang w:val="es-ES"/>
        </w:rPr>
      </w:pPr>
      <w:r w:rsidRPr="00120783">
        <w:rPr>
          <w:rStyle w:val="FootnoteReference"/>
          <w:rFonts w:asciiTheme="majorHAnsi" w:hAnsiTheme="majorHAnsi"/>
          <w:sz w:val="16"/>
          <w:szCs w:val="16"/>
        </w:rPr>
        <w:footnoteRef/>
      </w:r>
      <w:r w:rsidRPr="00120783">
        <w:rPr>
          <w:rFonts w:asciiTheme="majorHAnsi" w:hAnsiTheme="majorHAnsi"/>
          <w:sz w:val="16"/>
          <w:szCs w:val="16"/>
          <w:lang w:val="es-ES"/>
        </w:rPr>
        <w:t xml:space="preserve"> </w:t>
      </w:r>
      <w:r w:rsidRPr="00120783">
        <w:rPr>
          <w:rFonts w:asciiTheme="majorHAnsi" w:hAnsiTheme="majorHAnsi"/>
          <w:bCs/>
          <w:sz w:val="16"/>
          <w:szCs w:val="16"/>
          <w:lang w:val="es-ES"/>
        </w:rPr>
        <w:t xml:space="preserve">Corte IDH. Caso Acevedo Buendía y otros (“Cesantes y Jubilados de la Contraloría”) Vs. Perú. Excepción Preliminar, Fondo, Reparaciones y Costas. Sentencia de 1 de julio de 2009. Serie C No. 198, </w:t>
      </w:r>
      <w:proofErr w:type="spellStart"/>
      <w:r w:rsidRPr="00120783">
        <w:rPr>
          <w:rFonts w:asciiTheme="majorHAnsi" w:hAnsiTheme="majorHAnsi"/>
          <w:bCs/>
          <w:sz w:val="16"/>
          <w:szCs w:val="16"/>
          <w:lang w:val="es-ES"/>
        </w:rPr>
        <w:t>párrs</w:t>
      </w:r>
      <w:proofErr w:type="spellEnd"/>
      <w:r w:rsidRPr="00120783">
        <w:rPr>
          <w:rFonts w:asciiTheme="majorHAnsi" w:hAnsiTheme="majorHAnsi"/>
          <w:bCs/>
          <w:sz w:val="16"/>
          <w:szCs w:val="16"/>
          <w:lang w:val="es-ES"/>
        </w:rPr>
        <w:t xml:space="preserve">. 100, 101 y 102. </w:t>
      </w:r>
    </w:p>
  </w:footnote>
  <w:footnote w:id="12">
    <w:p w:rsidR="00560C43" w:rsidRPr="00120783" w:rsidRDefault="00560C43" w:rsidP="00120783">
      <w:pPr>
        <w:jc w:val="both"/>
        <w:rPr>
          <w:rFonts w:asciiTheme="majorHAnsi" w:hAnsiTheme="majorHAnsi"/>
          <w:sz w:val="16"/>
          <w:szCs w:val="16"/>
          <w:lang w:val="es-ES"/>
        </w:rPr>
      </w:pPr>
      <w:r w:rsidRPr="00120783">
        <w:rPr>
          <w:rStyle w:val="FootnoteReference"/>
          <w:rFonts w:asciiTheme="majorHAnsi" w:hAnsiTheme="majorHAnsi"/>
          <w:sz w:val="16"/>
          <w:szCs w:val="16"/>
        </w:rPr>
        <w:footnoteRef/>
      </w:r>
      <w:r w:rsidRPr="00120783">
        <w:rPr>
          <w:rFonts w:asciiTheme="majorHAnsi" w:hAnsiTheme="majorHAnsi"/>
          <w:sz w:val="16"/>
          <w:szCs w:val="16"/>
          <w:lang w:val="es-ES"/>
        </w:rPr>
        <w:t xml:space="preserve"> </w:t>
      </w:r>
      <w:r w:rsidRPr="00120783">
        <w:rPr>
          <w:rFonts w:asciiTheme="majorHAnsi" w:hAnsiTheme="majorHAnsi"/>
          <w:sz w:val="16"/>
          <w:szCs w:val="16"/>
          <w:shd w:val="clear" w:color="auto" w:fill="FFFFFF"/>
          <w:lang w:val="es-ES"/>
        </w:rPr>
        <w:t>Decreto Ejecutivo N° 17270-P del 29 de octubre 1986.</w:t>
      </w:r>
    </w:p>
  </w:footnote>
  <w:footnote w:id="13">
    <w:p w:rsidR="00560C43" w:rsidRPr="00120783" w:rsidRDefault="00560C43" w:rsidP="00120783">
      <w:pPr>
        <w:jc w:val="both"/>
        <w:rPr>
          <w:rFonts w:asciiTheme="majorHAnsi" w:hAnsiTheme="majorHAnsi"/>
          <w:sz w:val="16"/>
          <w:szCs w:val="16"/>
          <w:lang w:val="es-ES"/>
        </w:rPr>
      </w:pPr>
      <w:r w:rsidRPr="00120783">
        <w:rPr>
          <w:rStyle w:val="FootnoteReference"/>
          <w:rFonts w:asciiTheme="majorHAnsi" w:hAnsiTheme="majorHAnsi"/>
          <w:sz w:val="16"/>
          <w:szCs w:val="16"/>
        </w:rPr>
        <w:footnoteRef/>
      </w:r>
      <w:r w:rsidRPr="00120783">
        <w:rPr>
          <w:rFonts w:asciiTheme="majorHAnsi" w:hAnsiTheme="majorHAnsi"/>
          <w:sz w:val="16"/>
          <w:szCs w:val="16"/>
          <w:lang w:val="es-ES"/>
        </w:rPr>
        <w:t xml:space="preserve"> </w:t>
      </w:r>
      <w:r w:rsidRPr="00120783">
        <w:rPr>
          <w:rFonts w:asciiTheme="majorHAnsi" w:hAnsiTheme="majorHAnsi"/>
          <w:sz w:val="16"/>
          <w:szCs w:val="16"/>
          <w:shd w:val="clear" w:color="auto" w:fill="FFFFFF"/>
          <w:lang w:val="es-ES"/>
        </w:rPr>
        <w:t>Decreto Ejecutivo N° 17270-P del 29 de octubre 1986.</w:t>
      </w:r>
    </w:p>
  </w:footnote>
  <w:footnote w:id="14">
    <w:p w:rsidR="00560C43" w:rsidRPr="00120783" w:rsidRDefault="00560C43" w:rsidP="00120783">
      <w:pPr>
        <w:jc w:val="both"/>
        <w:rPr>
          <w:rFonts w:asciiTheme="majorHAnsi" w:hAnsiTheme="majorHAnsi"/>
          <w:iCs/>
          <w:sz w:val="16"/>
          <w:szCs w:val="16"/>
          <w:lang w:val="es-ES" w:eastAsia="es-ES"/>
        </w:rPr>
      </w:pPr>
      <w:r w:rsidRPr="00120783">
        <w:rPr>
          <w:rStyle w:val="FootnoteReference"/>
          <w:rFonts w:asciiTheme="majorHAnsi" w:hAnsiTheme="majorHAnsi"/>
          <w:sz w:val="16"/>
          <w:szCs w:val="16"/>
        </w:rPr>
        <w:footnoteRef/>
      </w:r>
      <w:r w:rsidRPr="00120783">
        <w:rPr>
          <w:rFonts w:asciiTheme="majorHAnsi" w:hAnsiTheme="majorHAnsi"/>
          <w:sz w:val="16"/>
          <w:szCs w:val="16"/>
          <w:lang w:val="es-ES"/>
        </w:rPr>
        <w:t xml:space="preserve"> Resolución Nº3410-92 de las 14:45 horas del 10 de noviembre de 1992.</w:t>
      </w:r>
    </w:p>
  </w:footnote>
  <w:footnote w:id="15">
    <w:p w:rsidR="00560C43" w:rsidRPr="00120783" w:rsidRDefault="00560C43" w:rsidP="00120783">
      <w:pPr>
        <w:jc w:val="both"/>
        <w:rPr>
          <w:rFonts w:asciiTheme="majorHAnsi" w:hAnsiTheme="majorHAnsi"/>
          <w:i/>
          <w:sz w:val="16"/>
          <w:szCs w:val="16"/>
          <w:lang w:val="es-ES"/>
        </w:rPr>
      </w:pPr>
      <w:r w:rsidRPr="00120783">
        <w:rPr>
          <w:rStyle w:val="FootnoteReference"/>
          <w:rFonts w:asciiTheme="majorHAnsi" w:hAnsiTheme="majorHAnsi"/>
          <w:sz w:val="16"/>
          <w:szCs w:val="16"/>
        </w:rPr>
        <w:footnoteRef/>
      </w:r>
      <w:r w:rsidRPr="00120783">
        <w:rPr>
          <w:rFonts w:asciiTheme="majorHAnsi" w:hAnsiTheme="majorHAnsi"/>
          <w:sz w:val="16"/>
          <w:szCs w:val="16"/>
          <w:lang w:val="es-ES"/>
        </w:rPr>
        <w:t xml:space="preserve"> </w:t>
      </w:r>
      <w:r w:rsidRPr="00120783">
        <w:rPr>
          <w:rFonts w:asciiTheme="majorHAnsi" w:hAnsiTheme="majorHAnsi"/>
          <w:color w:val="000000"/>
          <w:sz w:val="16"/>
          <w:szCs w:val="16"/>
          <w:shd w:val="clear" w:color="auto" w:fill="FFFFFF"/>
          <w:lang w:val="es-ES"/>
        </w:rPr>
        <w:t xml:space="preserve">Constitución Política de Costa Rica, Articulo 65. </w:t>
      </w:r>
      <w:r w:rsidRPr="00120783">
        <w:rPr>
          <w:rFonts w:asciiTheme="majorHAnsi" w:hAnsiTheme="majorHAnsi"/>
          <w:i/>
          <w:color w:val="000000"/>
          <w:sz w:val="16"/>
          <w:szCs w:val="16"/>
          <w:shd w:val="clear" w:color="auto" w:fill="FFFFFF"/>
          <w:lang w:val="es-ES"/>
        </w:rPr>
        <w:t>El Estado promoverá la construcción de viviendas populares y creará el patrimonio familiar del trabajador.</w:t>
      </w:r>
    </w:p>
  </w:footnote>
  <w:footnote w:id="16">
    <w:p w:rsidR="00560C43" w:rsidRPr="00120783" w:rsidRDefault="00560C43" w:rsidP="00120783">
      <w:pPr>
        <w:pStyle w:val="FootnoteText"/>
        <w:jc w:val="both"/>
        <w:rPr>
          <w:rFonts w:asciiTheme="majorHAnsi" w:hAnsiTheme="majorHAnsi"/>
          <w:sz w:val="16"/>
          <w:szCs w:val="16"/>
          <w:lang w:val="es-ES"/>
        </w:rPr>
      </w:pPr>
      <w:r w:rsidRPr="00120783">
        <w:rPr>
          <w:rStyle w:val="FootnoteReference"/>
          <w:rFonts w:asciiTheme="majorHAnsi" w:hAnsiTheme="majorHAnsi"/>
          <w:sz w:val="16"/>
          <w:szCs w:val="16"/>
        </w:rPr>
        <w:footnoteRef/>
      </w:r>
      <w:r w:rsidRPr="00120783">
        <w:rPr>
          <w:rFonts w:asciiTheme="majorHAnsi" w:hAnsiTheme="majorHAnsi"/>
          <w:sz w:val="16"/>
          <w:szCs w:val="16"/>
          <w:lang w:val="es-ES"/>
        </w:rPr>
        <w:t xml:space="preserve"> A junio de 2018.</w:t>
      </w:r>
    </w:p>
  </w:footnote>
  <w:footnote w:id="17">
    <w:p w:rsidR="00560C43" w:rsidRPr="00120783" w:rsidRDefault="00560C43" w:rsidP="00120783">
      <w:pPr>
        <w:pStyle w:val="FootnoteText"/>
        <w:jc w:val="both"/>
        <w:rPr>
          <w:rFonts w:asciiTheme="majorHAnsi" w:hAnsiTheme="majorHAnsi"/>
          <w:sz w:val="16"/>
          <w:szCs w:val="16"/>
          <w:lang w:val="es-ES"/>
        </w:rPr>
      </w:pPr>
      <w:r w:rsidRPr="00120783">
        <w:rPr>
          <w:rStyle w:val="FootnoteReference"/>
          <w:rFonts w:asciiTheme="majorHAnsi" w:hAnsiTheme="majorHAnsi"/>
          <w:sz w:val="16"/>
          <w:szCs w:val="16"/>
        </w:rPr>
        <w:footnoteRef/>
      </w:r>
      <w:r w:rsidRPr="00120783">
        <w:rPr>
          <w:rFonts w:asciiTheme="majorHAnsi" w:hAnsiTheme="majorHAnsi"/>
          <w:sz w:val="16"/>
          <w:szCs w:val="16"/>
          <w:lang w:val="es-ES"/>
        </w:rPr>
        <w:t xml:space="preserve"> CIDH, “Impacto del procedimiento de solución amistosa”. OEA/</w:t>
      </w:r>
      <w:proofErr w:type="spellStart"/>
      <w:r w:rsidRPr="00120783">
        <w:rPr>
          <w:rFonts w:asciiTheme="majorHAnsi" w:hAnsiTheme="majorHAnsi"/>
          <w:sz w:val="16"/>
          <w:szCs w:val="16"/>
          <w:lang w:val="es-ES"/>
        </w:rPr>
        <w:t>Ser.L</w:t>
      </w:r>
      <w:proofErr w:type="spellEnd"/>
      <w:r w:rsidRPr="00120783">
        <w:rPr>
          <w:rFonts w:asciiTheme="majorHAnsi" w:hAnsiTheme="majorHAnsi"/>
          <w:sz w:val="16"/>
          <w:szCs w:val="16"/>
          <w:lang w:val="es-ES"/>
        </w:rPr>
        <w:t xml:space="preserve">/V/II. Doc. 45/13, 18 diciembre 2013, párr. 5 </w:t>
      </w:r>
      <w:r w:rsidRPr="00120783">
        <w:rPr>
          <w:rFonts w:asciiTheme="majorHAnsi" w:hAnsiTheme="majorHAnsi"/>
          <w:i/>
          <w:sz w:val="16"/>
          <w:szCs w:val="16"/>
          <w:lang w:val="es-ES"/>
        </w:rPr>
        <w:t>disponible en:</w:t>
      </w:r>
      <w:r w:rsidRPr="00120783">
        <w:rPr>
          <w:rFonts w:asciiTheme="majorHAnsi" w:hAnsiTheme="majorHAnsi"/>
          <w:sz w:val="16"/>
          <w:szCs w:val="16"/>
          <w:lang w:val="es-ES"/>
        </w:rPr>
        <w:t xml:space="preserve"> </w:t>
      </w:r>
      <w:hyperlink r:id="rId2" w:history="1">
        <w:r w:rsidRPr="00120783">
          <w:rPr>
            <w:rStyle w:val="Hyperlink"/>
            <w:rFonts w:asciiTheme="majorHAnsi" w:hAnsiTheme="majorHAnsi"/>
            <w:sz w:val="16"/>
            <w:szCs w:val="16"/>
            <w:lang w:val="es-ES"/>
          </w:rPr>
          <w:t>http://www.oas.org/es/cidh/soluciones_amistosas/docs/Informe-Soluciones-Amistosas.pdf</w:t>
        </w:r>
      </w:hyperlink>
    </w:p>
  </w:footnote>
  <w:footnote w:id="18">
    <w:p w:rsidR="00560C43" w:rsidRPr="00120783" w:rsidRDefault="00560C43" w:rsidP="00120783">
      <w:pPr>
        <w:pStyle w:val="FootnoteText"/>
        <w:jc w:val="both"/>
        <w:rPr>
          <w:rFonts w:asciiTheme="majorHAnsi" w:hAnsiTheme="majorHAnsi" w:cs="Arial"/>
          <w:sz w:val="16"/>
          <w:szCs w:val="16"/>
          <w:lang w:val="es-ES"/>
        </w:rPr>
      </w:pPr>
      <w:r w:rsidRPr="00120783">
        <w:rPr>
          <w:rStyle w:val="FootnoteReference"/>
          <w:rFonts w:asciiTheme="majorHAnsi" w:hAnsiTheme="majorHAnsi"/>
          <w:sz w:val="16"/>
          <w:szCs w:val="16"/>
        </w:rPr>
        <w:footnoteRef/>
      </w:r>
      <w:r w:rsidRPr="00120783">
        <w:rPr>
          <w:rFonts w:asciiTheme="majorHAnsi" w:hAnsiTheme="majorHAnsi"/>
          <w:sz w:val="16"/>
          <w:szCs w:val="16"/>
          <w:lang w:val="es-ES"/>
        </w:rPr>
        <w:t xml:space="preserve"> CIDH, “Impacto del procedimiento de solución amistosa”. OEA/</w:t>
      </w:r>
      <w:proofErr w:type="spellStart"/>
      <w:r w:rsidRPr="00120783">
        <w:rPr>
          <w:rFonts w:asciiTheme="majorHAnsi" w:hAnsiTheme="majorHAnsi"/>
          <w:sz w:val="16"/>
          <w:szCs w:val="16"/>
          <w:lang w:val="es-ES"/>
        </w:rPr>
        <w:t>Ser.L</w:t>
      </w:r>
      <w:proofErr w:type="spellEnd"/>
      <w:r w:rsidRPr="00120783">
        <w:rPr>
          <w:rFonts w:asciiTheme="majorHAnsi" w:hAnsiTheme="majorHAnsi"/>
          <w:sz w:val="16"/>
          <w:szCs w:val="16"/>
          <w:lang w:val="es-ES"/>
        </w:rPr>
        <w:t xml:space="preserve">/V/II. Doc. 45/13, 18 diciembre 2013, </w:t>
      </w:r>
      <w:proofErr w:type="spellStart"/>
      <w:r w:rsidRPr="00120783">
        <w:rPr>
          <w:rFonts w:asciiTheme="majorHAnsi" w:hAnsiTheme="majorHAnsi"/>
          <w:sz w:val="16"/>
          <w:szCs w:val="16"/>
          <w:lang w:val="es-ES"/>
        </w:rPr>
        <w:t>párrs</w:t>
      </w:r>
      <w:proofErr w:type="spellEnd"/>
      <w:r w:rsidRPr="00120783">
        <w:rPr>
          <w:rFonts w:asciiTheme="majorHAnsi" w:hAnsiTheme="majorHAnsi"/>
          <w:sz w:val="16"/>
          <w:szCs w:val="16"/>
          <w:lang w:val="es-ES"/>
        </w:rPr>
        <w:t xml:space="preserve">. 6 y 230 </w:t>
      </w:r>
      <w:r w:rsidRPr="00120783">
        <w:rPr>
          <w:rFonts w:asciiTheme="majorHAnsi" w:hAnsiTheme="majorHAnsi"/>
          <w:i/>
          <w:sz w:val="16"/>
          <w:szCs w:val="16"/>
          <w:lang w:val="es-ES"/>
        </w:rPr>
        <w:t>disponible en:</w:t>
      </w:r>
      <w:r w:rsidRPr="00120783">
        <w:rPr>
          <w:rFonts w:asciiTheme="majorHAnsi" w:hAnsiTheme="majorHAnsi"/>
          <w:sz w:val="16"/>
          <w:szCs w:val="16"/>
          <w:lang w:val="es-ES"/>
        </w:rPr>
        <w:t xml:space="preserve"> </w:t>
      </w:r>
      <w:hyperlink r:id="rId3" w:history="1">
        <w:r w:rsidRPr="00120783">
          <w:rPr>
            <w:rStyle w:val="Hyperlink"/>
            <w:rFonts w:asciiTheme="majorHAnsi" w:hAnsiTheme="majorHAnsi"/>
            <w:sz w:val="16"/>
            <w:szCs w:val="16"/>
            <w:lang w:val="es-ES"/>
          </w:rPr>
          <w:t>http://www.oas.org/es/cidh/soluciones_amistosas/docs/Informe-Soluciones-Amistosas.pdf</w:t>
        </w:r>
      </w:hyperlink>
    </w:p>
  </w:footnote>
  <w:footnote w:id="19">
    <w:p w:rsidR="00560C43" w:rsidRPr="00120783" w:rsidRDefault="00560C43" w:rsidP="00120783">
      <w:pPr>
        <w:pStyle w:val="FootnoteText"/>
        <w:jc w:val="both"/>
        <w:rPr>
          <w:rFonts w:asciiTheme="majorHAnsi" w:hAnsiTheme="majorHAnsi"/>
          <w:sz w:val="16"/>
          <w:szCs w:val="16"/>
          <w:lang w:val="es-ES"/>
        </w:rPr>
      </w:pPr>
      <w:r w:rsidRPr="00120783">
        <w:rPr>
          <w:rStyle w:val="FootnoteReference"/>
          <w:rFonts w:asciiTheme="majorHAnsi" w:hAnsiTheme="majorHAnsi"/>
          <w:sz w:val="16"/>
          <w:szCs w:val="16"/>
        </w:rPr>
        <w:footnoteRef/>
      </w:r>
      <w:r w:rsidRPr="00120783">
        <w:rPr>
          <w:rFonts w:asciiTheme="majorHAnsi" w:hAnsiTheme="majorHAnsi"/>
          <w:sz w:val="16"/>
          <w:szCs w:val="16"/>
          <w:lang w:val="es-ES"/>
        </w:rPr>
        <w:t xml:space="preserve"> Convención de Viena sobre el Derecho de los Tratados, U.N. </w:t>
      </w:r>
      <w:proofErr w:type="spellStart"/>
      <w:r w:rsidRPr="00120783">
        <w:rPr>
          <w:rFonts w:asciiTheme="majorHAnsi" w:hAnsiTheme="majorHAnsi"/>
          <w:sz w:val="16"/>
          <w:szCs w:val="16"/>
          <w:lang w:val="es-ES"/>
        </w:rPr>
        <w:t>Doc</w:t>
      </w:r>
      <w:proofErr w:type="spellEnd"/>
      <w:r w:rsidRPr="00120783">
        <w:rPr>
          <w:rFonts w:asciiTheme="majorHAnsi" w:hAnsiTheme="majorHAnsi"/>
          <w:sz w:val="16"/>
          <w:szCs w:val="16"/>
          <w:lang w:val="es-ES"/>
        </w:rPr>
        <w:t xml:space="preserve"> A/CONF.39/27 (1969), Artículo 26: </w:t>
      </w:r>
      <w:r w:rsidRPr="00120783">
        <w:rPr>
          <w:rFonts w:asciiTheme="majorHAnsi" w:hAnsiTheme="majorHAnsi"/>
          <w:b/>
          <w:sz w:val="16"/>
          <w:szCs w:val="16"/>
          <w:lang w:val="es-ES"/>
        </w:rPr>
        <w:t xml:space="preserve">"Pacta </w:t>
      </w:r>
      <w:proofErr w:type="spellStart"/>
      <w:r w:rsidRPr="00120783">
        <w:rPr>
          <w:rFonts w:asciiTheme="majorHAnsi" w:hAnsiTheme="majorHAnsi"/>
          <w:b/>
          <w:sz w:val="16"/>
          <w:szCs w:val="16"/>
          <w:lang w:val="es-ES"/>
        </w:rPr>
        <w:t>sunt</w:t>
      </w:r>
      <w:proofErr w:type="spellEnd"/>
      <w:r w:rsidRPr="00120783">
        <w:rPr>
          <w:rFonts w:asciiTheme="majorHAnsi" w:hAnsiTheme="majorHAnsi"/>
          <w:b/>
          <w:sz w:val="16"/>
          <w:szCs w:val="16"/>
          <w:lang w:val="es-ES"/>
        </w:rPr>
        <w:t xml:space="preserve"> </w:t>
      </w:r>
      <w:proofErr w:type="spellStart"/>
      <w:r w:rsidRPr="00120783">
        <w:rPr>
          <w:rFonts w:asciiTheme="majorHAnsi" w:hAnsiTheme="majorHAnsi"/>
          <w:b/>
          <w:sz w:val="16"/>
          <w:szCs w:val="16"/>
          <w:lang w:val="es-ES"/>
        </w:rPr>
        <w:t>servanda</w:t>
      </w:r>
      <w:proofErr w:type="spellEnd"/>
      <w:r w:rsidRPr="00120783">
        <w:rPr>
          <w:rFonts w:asciiTheme="majorHAnsi" w:hAnsiTheme="majorHAnsi"/>
          <w:b/>
          <w:sz w:val="16"/>
          <w:szCs w:val="16"/>
          <w:lang w:val="es-ES"/>
        </w:rPr>
        <w:t xml:space="preserve">". </w:t>
      </w:r>
      <w:r w:rsidRPr="00120783">
        <w:rPr>
          <w:rFonts w:asciiTheme="majorHAnsi" w:hAnsiTheme="majorHAnsi"/>
          <w:i/>
          <w:sz w:val="16"/>
          <w:szCs w:val="16"/>
          <w:lang w:val="es-ES"/>
        </w:rPr>
        <w:t>Todo tratado en vigor obliga a las partes y debe ser cumplido por ellas de buena fe.</w:t>
      </w:r>
    </w:p>
  </w:footnote>
  <w:footnote w:id="20">
    <w:p w:rsidR="00560C43" w:rsidRPr="00120783" w:rsidRDefault="00560C43" w:rsidP="00120783">
      <w:pPr>
        <w:pStyle w:val="FootnoteText"/>
        <w:jc w:val="both"/>
        <w:rPr>
          <w:rFonts w:asciiTheme="majorHAnsi" w:hAnsiTheme="majorHAnsi"/>
          <w:sz w:val="16"/>
          <w:szCs w:val="16"/>
          <w:lang w:val="es-ES"/>
        </w:rPr>
      </w:pPr>
      <w:r w:rsidRPr="00120783">
        <w:rPr>
          <w:rStyle w:val="FootnoteReference"/>
          <w:rFonts w:asciiTheme="majorHAnsi" w:hAnsiTheme="majorHAnsi"/>
          <w:sz w:val="16"/>
          <w:szCs w:val="16"/>
        </w:rPr>
        <w:footnoteRef/>
      </w:r>
      <w:r w:rsidRPr="00120783">
        <w:rPr>
          <w:rFonts w:asciiTheme="majorHAnsi" w:hAnsiTheme="majorHAnsi"/>
          <w:sz w:val="16"/>
          <w:szCs w:val="16"/>
          <w:lang w:val="es-ES"/>
        </w:rPr>
        <w:t xml:space="preserve"> Al respecto ver, Comunicado de Prensa, Pagina web ministerio de relaciones Exteriores de Costa Rica. “Comunicado de Prensa “Costa Rica cumple con medida de reparación, según lo acordado tras la firma del acuerdo de solución amistosa</w:t>
      </w:r>
      <w:r w:rsidR="00866ECB" w:rsidRPr="00120783">
        <w:rPr>
          <w:rFonts w:asciiTheme="majorHAnsi" w:hAnsiTheme="majorHAnsi"/>
          <w:sz w:val="16"/>
          <w:szCs w:val="16"/>
          <w:lang w:val="es-ES"/>
        </w:rPr>
        <w:t>”.</w:t>
      </w:r>
      <w:r w:rsidRPr="00120783">
        <w:rPr>
          <w:rFonts w:asciiTheme="majorHAnsi" w:hAnsiTheme="majorHAnsi"/>
          <w:sz w:val="16"/>
          <w:szCs w:val="16"/>
          <w:lang w:val="es-ES"/>
        </w:rPr>
        <w:t xml:space="preserve"> 20 de julio de 2018”. Disponible electrónicamente en: </w:t>
      </w:r>
      <w:hyperlink r:id="rId4" w:history="1">
        <w:r w:rsidRPr="00120783">
          <w:rPr>
            <w:rStyle w:val="Hyperlink"/>
            <w:rFonts w:asciiTheme="majorHAnsi" w:hAnsiTheme="majorHAnsi"/>
            <w:sz w:val="16"/>
            <w:szCs w:val="16"/>
            <w:lang w:val="es-ES"/>
          </w:rPr>
          <w:t>https://www.rree.go.cr/?sec=servicios&amp;cat=prensa&amp;cont=593&amp;id=4345</w:t>
        </w:r>
      </w:hyperlink>
      <w:r w:rsidRPr="00120783">
        <w:rPr>
          <w:rFonts w:asciiTheme="majorHAnsi" w:hAnsiTheme="majorHAnsi"/>
          <w:sz w:val="16"/>
          <w:szCs w:val="16"/>
          <w:lang w:val="es-ES"/>
        </w:rPr>
        <w:t xml:space="preserve"> </w:t>
      </w:r>
    </w:p>
    <w:p w:rsidR="00866ECB" w:rsidRPr="00120783" w:rsidRDefault="00866ECB" w:rsidP="00120783">
      <w:pPr>
        <w:pStyle w:val="FootnoteText"/>
        <w:jc w:val="both"/>
        <w:rPr>
          <w:rFonts w:asciiTheme="majorHAnsi" w:hAnsiTheme="majorHAnsi"/>
          <w:sz w:val="16"/>
          <w:szCs w:val="16"/>
          <w:lang w:val="es-ES"/>
        </w:rPr>
      </w:pPr>
      <w:r w:rsidRPr="00120783">
        <w:rPr>
          <w:rFonts w:asciiTheme="majorHAnsi" w:hAnsiTheme="majorHAnsi"/>
          <w:sz w:val="16"/>
          <w:szCs w:val="16"/>
          <w:lang w:val="es-ES"/>
        </w:rPr>
        <w:t xml:space="preserve">Ver también, </w:t>
      </w:r>
      <w:r w:rsidR="00560C43" w:rsidRPr="00120783">
        <w:rPr>
          <w:rFonts w:asciiTheme="majorHAnsi" w:hAnsiTheme="majorHAnsi"/>
          <w:sz w:val="16"/>
          <w:szCs w:val="16"/>
          <w:lang w:val="es-ES"/>
        </w:rPr>
        <w:t xml:space="preserve">Página de Facebook de FUPROPI Disponible electrónicamente en : </w:t>
      </w:r>
    </w:p>
    <w:p w:rsidR="00560C43" w:rsidRPr="00120783" w:rsidRDefault="00A66BF6" w:rsidP="00B3060B">
      <w:pPr>
        <w:pStyle w:val="FootnoteText"/>
        <w:jc w:val="both"/>
        <w:rPr>
          <w:rFonts w:asciiTheme="majorHAnsi" w:hAnsiTheme="majorHAnsi"/>
          <w:sz w:val="16"/>
          <w:szCs w:val="16"/>
          <w:lang w:val="es-ES"/>
        </w:rPr>
      </w:pPr>
      <w:hyperlink r:id="rId5" w:history="1">
        <w:r w:rsidR="00560C43" w:rsidRPr="00120783">
          <w:rPr>
            <w:rStyle w:val="Hyperlink"/>
            <w:rFonts w:asciiTheme="majorHAnsi" w:hAnsiTheme="majorHAnsi"/>
            <w:sz w:val="16"/>
            <w:szCs w:val="16"/>
            <w:lang w:val="es-ES"/>
          </w:rPr>
          <w:t>https://www.facebook.com/140861025933522/videos/vb.140861025933522/487467208413326/?type=2&amp;theater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C43" w:rsidRDefault="00560C43" w:rsidP="00560C4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560C43" w:rsidRDefault="00560C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C43" w:rsidRDefault="00560C43" w:rsidP="00A50FCF">
    <w:pPr>
      <w:pStyle w:val="Header"/>
      <w:tabs>
        <w:tab w:val="clear" w:pos="4320"/>
        <w:tab w:val="clear" w:pos="8640"/>
      </w:tabs>
      <w:jc w:val="center"/>
      <w:rPr>
        <w:sz w:val="22"/>
        <w:szCs w:val="22"/>
      </w:rPr>
    </w:pPr>
    <w:r>
      <w:rPr>
        <w:noProof/>
        <w:sz w:val="22"/>
        <w:szCs w:val="22"/>
      </w:rPr>
      <w:drawing>
        <wp:inline distT="0" distB="0" distL="0" distR="0" wp14:anchorId="3EEB3124" wp14:editId="5FC9070C">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560C43" w:rsidRPr="00EC7D62" w:rsidRDefault="00A66BF6"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D52" w:rsidRDefault="00FC7D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47CEC"/>
    <w:multiLevelType w:val="hybridMultilevel"/>
    <w:tmpl w:val="6ABAD2EE"/>
    <w:lvl w:ilvl="0" w:tplc="6D1EA756">
      <w:start w:val="1"/>
      <w:numFmt w:val="decimal"/>
      <w:lvlText w:val="%1."/>
      <w:lvlJc w:val="left"/>
      <w:pPr>
        <w:ind w:left="720" w:hanging="360"/>
      </w:pPr>
      <w:rPr>
        <w:rFonts w:ascii="Cambria" w:hAnsi="Cambria" w:cs="Times New Roman" w:hint="default"/>
        <w:b w:val="0"/>
        <w:i w:val="0"/>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A27CA4"/>
    <w:multiLevelType w:val="hybridMultilevel"/>
    <w:tmpl w:val="2EA2446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7393C72"/>
    <w:multiLevelType w:val="hybridMultilevel"/>
    <w:tmpl w:val="2B940FF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1A26E98"/>
    <w:multiLevelType w:val="hybridMultilevel"/>
    <w:tmpl w:val="141026F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58671E4"/>
    <w:multiLevelType w:val="hybridMultilevel"/>
    <w:tmpl w:val="B41E6E86"/>
    <w:lvl w:ilvl="0" w:tplc="3C92223C">
      <w:start w:val="1"/>
      <w:numFmt w:val="upperRoman"/>
      <w:lvlText w:val="%1."/>
      <w:lvlJc w:val="left"/>
      <w:pPr>
        <w:ind w:left="1080" w:hanging="720"/>
      </w:pPr>
      <w:rPr>
        <w:rFonts w:eastAsia="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22D5301"/>
    <w:multiLevelType w:val="hybridMultilevel"/>
    <w:tmpl w:val="3D04457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5" w15:restartNumberingAfterBreak="0">
    <w:nsid w:val="541A23FA"/>
    <w:multiLevelType w:val="hybridMultilevel"/>
    <w:tmpl w:val="F2D8FBC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5090EAF"/>
    <w:multiLevelType w:val="hybridMultilevel"/>
    <w:tmpl w:val="558674BA"/>
    <w:lvl w:ilvl="0" w:tplc="A4FA7A24">
      <w:start w:val="1"/>
      <w:numFmt w:val="decimal"/>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213CF1"/>
    <w:multiLevelType w:val="hybridMultilevel"/>
    <w:tmpl w:val="C5EA172E"/>
    <w:lvl w:ilvl="0" w:tplc="6D1EA756">
      <w:start w:val="1"/>
      <w:numFmt w:val="decimal"/>
      <w:lvlText w:val="%1."/>
      <w:lvlJc w:val="left"/>
      <w:pPr>
        <w:ind w:left="720" w:hanging="360"/>
      </w:pPr>
      <w:rPr>
        <w:rFonts w:ascii="Cambria" w:hAnsi="Cambria" w:cs="Times New Roman" w:hint="default"/>
        <w:b w:val="0"/>
        <w:i w:val="0"/>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CDB12F8"/>
    <w:multiLevelType w:val="hybridMultilevel"/>
    <w:tmpl w:val="31C2291A"/>
    <w:lvl w:ilvl="0" w:tplc="1730E96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2" w15:restartNumberingAfterBreak="0">
    <w:nsid w:val="5E645E6C"/>
    <w:multiLevelType w:val="hybridMultilevel"/>
    <w:tmpl w:val="6EB2467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BF15681"/>
    <w:multiLevelType w:val="hybridMultilevel"/>
    <w:tmpl w:val="C924FEF6"/>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CF2FFF"/>
    <w:multiLevelType w:val="multilevel"/>
    <w:tmpl w:val="98FA20A6"/>
    <w:lvl w:ilvl="0">
      <w:start w:val="1"/>
      <w:numFmt w:val="decimal"/>
      <w:lvlText w:val="%1."/>
      <w:lvlJc w:val="left"/>
      <w:pPr>
        <w:ind w:left="720" w:firstLine="360"/>
      </w:pPr>
      <w:rPr>
        <w:rFonts w:hint="default"/>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60" w15:restartNumberingAfterBreak="0">
    <w:nsid w:val="741935A5"/>
    <w:multiLevelType w:val="hybridMultilevel"/>
    <w:tmpl w:val="5F522680"/>
    <w:lvl w:ilvl="0" w:tplc="140A0017">
      <w:start w:val="1"/>
      <w:numFmt w:val="lowerLetter"/>
      <w:lvlText w:val="%1)"/>
      <w:lvlJc w:val="left"/>
      <w:pPr>
        <w:ind w:left="1068" w:hanging="360"/>
      </w:p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6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5A871ED"/>
    <w:multiLevelType w:val="hybridMultilevel"/>
    <w:tmpl w:val="DA800DA6"/>
    <w:lvl w:ilvl="0" w:tplc="140A0003">
      <w:start w:val="1"/>
      <w:numFmt w:val="bullet"/>
      <w:lvlText w:val="o"/>
      <w:lvlJc w:val="left"/>
      <w:pPr>
        <w:ind w:left="1440" w:hanging="360"/>
      </w:pPr>
      <w:rPr>
        <w:rFonts w:ascii="Courier New" w:hAnsi="Courier New" w:cs="Courier New" w:hint="default"/>
      </w:rPr>
    </w:lvl>
    <w:lvl w:ilvl="1" w:tplc="140A0003">
      <w:start w:val="1"/>
      <w:numFmt w:val="bullet"/>
      <w:lvlText w:val="o"/>
      <w:lvlJc w:val="left"/>
      <w:pPr>
        <w:ind w:left="2160" w:hanging="360"/>
      </w:pPr>
      <w:rPr>
        <w:rFonts w:ascii="Courier New" w:hAnsi="Courier New" w:cs="Courier New" w:hint="default"/>
      </w:rPr>
    </w:lvl>
    <w:lvl w:ilvl="2" w:tplc="140A0005">
      <w:start w:val="1"/>
      <w:numFmt w:val="bullet"/>
      <w:lvlText w:val=""/>
      <w:lvlJc w:val="left"/>
      <w:pPr>
        <w:ind w:left="2880" w:hanging="360"/>
      </w:pPr>
      <w:rPr>
        <w:rFonts w:ascii="Wingdings" w:hAnsi="Wingdings" w:hint="default"/>
      </w:rPr>
    </w:lvl>
    <w:lvl w:ilvl="3" w:tplc="140A0001">
      <w:start w:val="1"/>
      <w:numFmt w:val="bullet"/>
      <w:lvlText w:val=""/>
      <w:lvlJc w:val="left"/>
      <w:pPr>
        <w:ind w:left="3600" w:hanging="360"/>
      </w:pPr>
      <w:rPr>
        <w:rFonts w:ascii="Symbol" w:hAnsi="Symbol" w:hint="default"/>
      </w:rPr>
    </w:lvl>
    <w:lvl w:ilvl="4" w:tplc="140A0003">
      <w:start w:val="1"/>
      <w:numFmt w:val="bullet"/>
      <w:lvlText w:val="o"/>
      <w:lvlJc w:val="left"/>
      <w:pPr>
        <w:ind w:left="4320" w:hanging="360"/>
      </w:pPr>
      <w:rPr>
        <w:rFonts w:ascii="Courier New" w:hAnsi="Courier New" w:cs="Courier New" w:hint="default"/>
      </w:rPr>
    </w:lvl>
    <w:lvl w:ilvl="5" w:tplc="140A0005">
      <w:start w:val="1"/>
      <w:numFmt w:val="bullet"/>
      <w:lvlText w:val=""/>
      <w:lvlJc w:val="left"/>
      <w:pPr>
        <w:ind w:left="5040" w:hanging="360"/>
      </w:pPr>
      <w:rPr>
        <w:rFonts w:ascii="Wingdings" w:hAnsi="Wingdings" w:hint="default"/>
      </w:rPr>
    </w:lvl>
    <w:lvl w:ilvl="6" w:tplc="140A0001">
      <w:start w:val="1"/>
      <w:numFmt w:val="bullet"/>
      <w:lvlText w:val=""/>
      <w:lvlJc w:val="left"/>
      <w:pPr>
        <w:ind w:left="5760" w:hanging="360"/>
      </w:pPr>
      <w:rPr>
        <w:rFonts w:ascii="Symbol" w:hAnsi="Symbol" w:hint="default"/>
      </w:rPr>
    </w:lvl>
    <w:lvl w:ilvl="7" w:tplc="140A0003">
      <w:start w:val="1"/>
      <w:numFmt w:val="bullet"/>
      <w:lvlText w:val="o"/>
      <w:lvlJc w:val="left"/>
      <w:pPr>
        <w:ind w:left="6480" w:hanging="360"/>
      </w:pPr>
      <w:rPr>
        <w:rFonts w:ascii="Courier New" w:hAnsi="Courier New" w:cs="Courier New" w:hint="default"/>
      </w:rPr>
    </w:lvl>
    <w:lvl w:ilvl="8" w:tplc="140A0005">
      <w:start w:val="1"/>
      <w:numFmt w:val="bullet"/>
      <w:lvlText w:val=""/>
      <w:lvlJc w:val="left"/>
      <w:pPr>
        <w:ind w:left="7200" w:hanging="360"/>
      </w:pPr>
      <w:rPr>
        <w:rFonts w:ascii="Wingdings" w:hAnsi="Wingdings" w:hint="default"/>
      </w:rPr>
    </w:lvl>
  </w:abstractNum>
  <w:abstractNum w:abstractNumId="63" w15:restartNumberingAfterBreak="0">
    <w:nsid w:val="76FA2013"/>
    <w:multiLevelType w:val="hybridMultilevel"/>
    <w:tmpl w:val="2148393A"/>
    <w:lvl w:ilvl="0" w:tplc="54AEE81C">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4"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6"/>
  </w:num>
  <w:num w:numId="2">
    <w:abstractNumId w:val="7"/>
  </w:num>
  <w:num w:numId="3">
    <w:abstractNumId w:val="66"/>
  </w:num>
  <w:num w:numId="4">
    <w:abstractNumId w:val="24"/>
  </w:num>
  <w:num w:numId="5">
    <w:abstractNumId w:val="54"/>
  </w:num>
  <w:num w:numId="6">
    <w:abstractNumId w:val="29"/>
  </w:num>
  <w:num w:numId="7">
    <w:abstractNumId w:val="8"/>
  </w:num>
  <w:num w:numId="8">
    <w:abstractNumId w:val="20"/>
  </w:num>
  <w:num w:numId="9">
    <w:abstractNumId w:val="46"/>
  </w:num>
  <w:num w:numId="10">
    <w:abstractNumId w:val="2"/>
  </w:num>
  <w:num w:numId="11">
    <w:abstractNumId w:val="39"/>
  </w:num>
  <w:num w:numId="12">
    <w:abstractNumId w:val="40"/>
  </w:num>
  <w:num w:numId="13">
    <w:abstractNumId w:val="48"/>
  </w:num>
  <w:num w:numId="14">
    <w:abstractNumId w:val="3"/>
  </w:num>
  <w:num w:numId="15">
    <w:abstractNumId w:val="5"/>
  </w:num>
  <w:num w:numId="16">
    <w:abstractNumId w:val="9"/>
  </w:num>
  <w:num w:numId="17">
    <w:abstractNumId w:val="10"/>
  </w:num>
  <w:num w:numId="18">
    <w:abstractNumId w:val="11"/>
  </w:num>
  <w:num w:numId="19">
    <w:abstractNumId w:val="12"/>
  </w:num>
  <w:num w:numId="20">
    <w:abstractNumId w:val="13"/>
  </w:num>
  <w:num w:numId="21">
    <w:abstractNumId w:val="15"/>
  </w:num>
  <w:num w:numId="22">
    <w:abstractNumId w:val="16"/>
  </w:num>
  <w:num w:numId="23">
    <w:abstractNumId w:val="17"/>
  </w:num>
  <w:num w:numId="24">
    <w:abstractNumId w:val="18"/>
  </w:num>
  <w:num w:numId="25">
    <w:abstractNumId w:val="21"/>
  </w:num>
  <w:num w:numId="26">
    <w:abstractNumId w:val="22"/>
  </w:num>
  <w:num w:numId="27">
    <w:abstractNumId w:val="25"/>
  </w:num>
  <w:num w:numId="28">
    <w:abstractNumId w:val="26"/>
  </w:num>
  <w:num w:numId="29">
    <w:abstractNumId w:val="27"/>
  </w:num>
  <w:num w:numId="30">
    <w:abstractNumId w:val="28"/>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7"/>
  </w:num>
  <w:num w:numId="38">
    <w:abstractNumId w:val="38"/>
  </w:num>
  <w:num w:numId="39">
    <w:abstractNumId w:val="41"/>
  </w:num>
  <w:num w:numId="40">
    <w:abstractNumId w:val="42"/>
  </w:num>
  <w:num w:numId="41">
    <w:abstractNumId w:val="53"/>
  </w:num>
  <w:num w:numId="42">
    <w:abstractNumId w:val="55"/>
  </w:num>
  <w:num w:numId="43">
    <w:abstractNumId w:val="57"/>
  </w:num>
  <w:num w:numId="44">
    <w:abstractNumId w:val="61"/>
  </w:num>
  <w:num w:numId="45">
    <w:abstractNumId w:val="65"/>
  </w:num>
  <w:num w:numId="46">
    <w:abstractNumId w:val="67"/>
  </w:num>
  <w:num w:numId="47">
    <w:abstractNumId w:val="68"/>
  </w:num>
  <w:num w:numId="48">
    <w:abstractNumId w:val="69"/>
  </w:num>
  <w:num w:numId="49">
    <w:abstractNumId w:val="70"/>
  </w:num>
  <w:num w:numId="50">
    <w:abstractNumId w:val="71"/>
  </w:num>
  <w:num w:numId="51">
    <w:abstractNumId w:val="23"/>
  </w:num>
  <w:num w:numId="52">
    <w:abstractNumId w:val="43"/>
  </w:num>
  <w:num w:numId="53">
    <w:abstractNumId w:val="58"/>
  </w:num>
  <w:num w:numId="54">
    <w:abstractNumId w:val="50"/>
  </w:num>
  <w:num w:numId="55">
    <w:abstractNumId w:val="56"/>
  </w:num>
  <w:num w:numId="56">
    <w:abstractNumId w:val="64"/>
  </w:num>
  <w:num w:numId="57">
    <w:abstractNumId w:val="44"/>
  </w:num>
  <w:num w:numId="58">
    <w:abstractNumId w:val="45"/>
  </w:num>
  <w:num w:numId="59">
    <w:abstractNumId w:val="52"/>
  </w:num>
  <w:num w:numId="60">
    <w:abstractNumId w:val="1"/>
  </w:num>
  <w:num w:numId="61">
    <w:abstractNumId w:val="60"/>
  </w:num>
  <w:num w:numId="62">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num>
  <w:num w:numId="64">
    <w:abstractNumId w:val="62"/>
  </w:num>
  <w:num w:numId="65">
    <w:abstractNumId w:val="35"/>
  </w:num>
  <w:num w:numId="66">
    <w:abstractNumId w:val="51"/>
  </w:num>
  <w:num w:numId="67">
    <w:abstractNumId w:val="59"/>
  </w:num>
  <w:num w:numId="68">
    <w:abstractNumId w:val="4"/>
  </w:num>
  <w:num w:numId="69">
    <w:abstractNumId w:val="0"/>
  </w:num>
  <w:num w:numId="70">
    <w:abstractNumId w:val="49"/>
  </w:num>
  <w:num w:numId="71">
    <w:abstractNumId w:val="47"/>
  </w:num>
  <w:num w:numId="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40C3A"/>
    <w:rsid w:val="000716C5"/>
    <w:rsid w:val="00075E23"/>
    <w:rsid w:val="000824F0"/>
    <w:rsid w:val="0009344A"/>
    <w:rsid w:val="000A392E"/>
    <w:rsid w:val="000A575F"/>
    <w:rsid w:val="000D10DB"/>
    <w:rsid w:val="000E5EB5"/>
    <w:rsid w:val="00107131"/>
    <w:rsid w:val="0010736F"/>
    <w:rsid w:val="00113F73"/>
    <w:rsid w:val="00120783"/>
    <w:rsid w:val="00120BA4"/>
    <w:rsid w:val="00121CC2"/>
    <w:rsid w:val="00133EE5"/>
    <w:rsid w:val="001553B6"/>
    <w:rsid w:val="00167A34"/>
    <w:rsid w:val="001A7870"/>
    <w:rsid w:val="001C1B41"/>
    <w:rsid w:val="001D65EF"/>
    <w:rsid w:val="001E50B8"/>
    <w:rsid w:val="002250A3"/>
    <w:rsid w:val="00235217"/>
    <w:rsid w:val="00246D1F"/>
    <w:rsid w:val="00247403"/>
    <w:rsid w:val="00247542"/>
    <w:rsid w:val="00266B61"/>
    <w:rsid w:val="0026712A"/>
    <w:rsid w:val="002704DB"/>
    <w:rsid w:val="00286C4D"/>
    <w:rsid w:val="002A0AAE"/>
    <w:rsid w:val="002A5820"/>
    <w:rsid w:val="002D2B26"/>
    <w:rsid w:val="002D7EA2"/>
    <w:rsid w:val="002E187C"/>
    <w:rsid w:val="002E75C6"/>
    <w:rsid w:val="00302733"/>
    <w:rsid w:val="00314078"/>
    <w:rsid w:val="0033169F"/>
    <w:rsid w:val="00346C95"/>
    <w:rsid w:val="00356185"/>
    <w:rsid w:val="00360380"/>
    <w:rsid w:val="00386CF0"/>
    <w:rsid w:val="00394AF3"/>
    <w:rsid w:val="003C2EB7"/>
    <w:rsid w:val="003C676B"/>
    <w:rsid w:val="003D3BC2"/>
    <w:rsid w:val="003E6CA1"/>
    <w:rsid w:val="004117F2"/>
    <w:rsid w:val="004165C2"/>
    <w:rsid w:val="00437A11"/>
    <w:rsid w:val="00441ECB"/>
    <w:rsid w:val="00467B7E"/>
    <w:rsid w:val="00477592"/>
    <w:rsid w:val="00486F1C"/>
    <w:rsid w:val="0049419D"/>
    <w:rsid w:val="004A147C"/>
    <w:rsid w:val="004A349E"/>
    <w:rsid w:val="004C20D2"/>
    <w:rsid w:val="004C4B62"/>
    <w:rsid w:val="004C54C9"/>
    <w:rsid w:val="004C7506"/>
    <w:rsid w:val="004D6025"/>
    <w:rsid w:val="004E2649"/>
    <w:rsid w:val="004E4AEB"/>
    <w:rsid w:val="00501399"/>
    <w:rsid w:val="0050633D"/>
    <w:rsid w:val="00507BC4"/>
    <w:rsid w:val="005128E4"/>
    <w:rsid w:val="005133DB"/>
    <w:rsid w:val="005174EB"/>
    <w:rsid w:val="00525560"/>
    <w:rsid w:val="00544C49"/>
    <w:rsid w:val="005516A1"/>
    <w:rsid w:val="00560C43"/>
    <w:rsid w:val="0057402A"/>
    <w:rsid w:val="005771D0"/>
    <w:rsid w:val="00586C1F"/>
    <w:rsid w:val="0059191A"/>
    <w:rsid w:val="005921FF"/>
    <w:rsid w:val="005A6D0E"/>
    <w:rsid w:val="005B52B0"/>
    <w:rsid w:val="005B6806"/>
    <w:rsid w:val="005C4225"/>
    <w:rsid w:val="005F0DAD"/>
    <w:rsid w:val="005F0F33"/>
    <w:rsid w:val="00600DEB"/>
    <w:rsid w:val="00627C9F"/>
    <w:rsid w:val="006311E9"/>
    <w:rsid w:val="00632354"/>
    <w:rsid w:val="00642810"/>
    <w:rsid w:val="00646F98"/>
    <w:rsid w:val="00652333"/>
    <w:rsid w:val="0068009E"/>
    <w:rsid w:val="006A17D2"/>
    <w:rsid w:val="006A73E6"/>
    <w:rsid w:val="006B2D5C"/>
    <w:rsid w:val="006C4EB1"/>
    <w:rsid w:val="006E0166"/>
    <w:rsid w:val="006E7B34"/>
    <w:rsid w:val="0070697F"/>
    <w:rsid w:val="0072199C"/>
    <w:rsid w:val="007253B8"/>
    <w:rsid w:val="0073741F"/>
    <w:rsid w:val="0076643F"/>
    <w:rsid w:val="007709C3"/>
    <w:rsid w:val="00792EB3"/>
    <w:rsid w:val="007A5817"/>
    <w:rsid w:val="007B60E9"/>
    <w:rsid w:val="007B6CC3"/>
    <w:rsid w:val="007C3334"/>
    <w:rsid w:val="007D2B98"/>
    <w:rsid w:val="007E21BC"/>
    <w:rsid w:val="00803F1C"/>
    <w:rsid w:val="0080600E"/>
    <w:rsid w:val="00817612"/>
    <w:rsid w:val="008338A4"/>
    <w:rsid w:val="00837C45"/>
    <w:rsid w:val="00841E30"/>
    <w:rsid w:val="00844730"/>
    <w:rsid w:val="008457C2"/>
    <w:rsid w:val="00857A82"/>
    <w:rsid w:val="00862614"/>
    <w:rsid w:val="00866ECB"/>
    <w:rsid w:val="00873836"/>
    <w:rsid w:val="00885737"/>
    <w:rsid w:val="00890650"/>
    <w:rsid w:val="00897E12"/>
    <w:rsid w:val="008A7E0F"/>
    <w:rsid w:val="008B12F5"/>
    <w:rsid w:val="008E3759"/>
    <w:rsid w:val="008F1912"/>
    <w:rsid w:val="0090270B"/>
    <w:rsid w:val="009041DC"/>
    <w:rsid w:val="00920A58"/>
    <w:rsid w:val="00920A8C"/>
    <w:rsid w:val="00924DDC"/>
    <w:rsid w:val="00934A2C"/>
    <w:rsid w:val="00950E1A"/>
    <w:rsid w:val="0096706E"/>
    <w:rsid w:val="00975C4E"/>
    <w:rsid w:val="00981FBA"/>
    <w:rsid w:val="00984F87"/>
    <w:rsid w:val="00991738"/>
    <w:rsid w:val="00997BC5"/>
    <w:rsid w:val="009A4F41"/>
    <w:rsid w:val="009B381B"/>
    <w:rsid w:val="009B50C6"/>
    <w:rsid w:val="009C6039"/>
    <w:rsid w:val="009D7611"/>
    <w:rsid w:val="009E0B61"/>
    <w:rsid w:val="009E53DE"/>
    <w:rsid w:val="00A10C7B"/>
    <w:rsid w:val="00A328B3"/>
    <w:rsid w:val="00A47AAD"/>
    <w:rsid w:val="00A50FCF"/>
    <w:rsid w:val="00A528D1"/>
    <w:rsid w:val="00A610CD"/>
    <w:rsid w:val="00A66BF6"/>
    <w:rsid w:val="00AA09A2"/>
    <w:rsid w:val="00AC19CB"/>
    <w:rsid w:val="00AE5488"/>
    <w:rsid w:val="00AE6F91"/>
    <w:rsid w:val="00AF5571"/>
    <w:rsid w:val="00B30539"/>
    <w:rsid w:val="00B3060B"/>
    <w:rsid w:val="00B314DB"/>
    <w:rsid w:val="00B3718B"/>
    <w:rsid w:val="00B4632A"/>
    <w:rsid w:val="00B530F1"/>
    <w:rsid w:val="00B74185"/>
    <w:rsid w:val="00BA276C"/>
    <w:rsid w:val="00BB306F"/>
    <w:rsid w:val="00BD4B89"/>
    <w:rsid w:val="00BF6FD8"/>
    <w:rsid w:val="00C03680"/>
    <w:rsid w:val="00C054DF"/>
    <w:rsid w:val="00C21762"/>
    <w:rsid w:val="00C24543"/>
    <w:rsid w:val="00C256A2"/>
    <w:rsid w:val="00C51515"/>
    <w:rsid w:val="00C5660B"/>
    <w:rsid w:val="00C66B72"/>
    <w:rsid w:val="00C9567A"/>
    <w:rsid w:val="00CB212D"/>
    <w:rsid w:val="00CB2660"/>
    <w:rsid w:val="00CC5E90"/>
    <w:rsid w:val="00CD046C"/>
    <w:rsid w:val="00CE076C"/>
    <w:rsid w:val="00CE5199"/>
    <w:rsid w:val="00CE66D5"/>
    <w:rsid w:val="00CE7A65"/>
    <w:rsid w:val="00CF637A"/>
    <w:rsid w:val="00D059DE"/>
    <w:rsid w:val="00D13FCE"/>
    <w:rsid w:val="00D306D1"/>
    <w:rsid w:val="00D321EE"/>
    <w:rsid w:val="00D34786"/>
    <w:rsid w:val="00D47A8E"/>
    <w:rsid w:val="00D52D14"/>
    <w:rsid w:val="00D712D3"/>
    <w:rsid w:val="00D71422"/>
    <w:rsid w:val="00D72DC6"/>
    <w:rsid w:val="00D733DE"/>
    <w:rsid w:val="00D7558D"/>
    <w:rsid w:val="00D81D92"/>
    <w:rsid w:val="00DA36F4"/>
    <w:rsid w:val="00DA7B5F"/>
    <w:rsid w:val="00DC11E7"/>
    <w:rsid w:val="00DC7023"/>
    <w:rsid w:val="00DC769A"/>
    <w:rsid w:val="00DD3D86"/>
    <w:rsid w:val="00E0340B"/>
    <w:rsid w:val="00E2193A"/>
    <w:rsid w:val="00E219C7"/>
    <w:rsid w:val="00E43157"/>
    <w:rsid w:val="00E450C4"/>
    <w:rsid w:val="00E461CE"/>
    <w:rsid w:val="00E527A2"/>
    <w:rsid w:val="00E720CA"/>
    <w:rsid w:val="00E84EB5"/>
    <w:rsid w:val="00E85662"/>
    <w:rsid w:val="00E8789F"/>
    <w:rsid w:val="00E97B71"/>
    <w:rsid w:val="00EA3D34"/>
    <w:rsid w:val="00EB454D"/>
    <w:rsid w:val="00EB4A51"/>
    <w:rsid w:val="00ED76BE"/>
    <w:rsid w:val="00EF1605"/>
    <w:rsid w:val="00EF619B"/>
    <w:rsid w:val="00F00B55"/>
    <w:rsid w:val="00F02AD1"/>
    <w:rsid w:val="00F253CC"/>
    <w:rsid w:val="00F37106"/>
    <w:rsid w:val="00F519CF"/>
    <w:rsid w:val="00F56BA5"/>
    <w:rsid w:val="00F60E22"/>
    <w:rsid w:val="00F917D1"/>
    <w:rsid w:val="00F9653B"/>
    <w:rsid w:val="00FB62CF"/>
    <w:rsid w:val="00FC7D52"/>
    <w:rsid w:val="00FD3C3B"/>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rsid w:val="009C6039"/>
    <w:rPr>
      <w:rFonts w:ascii="Calibri" w:eastAsia="Calibri" w:hAnsi="Calibri" w:cs="Calibri"/>
      <w:color w:val="000000"/>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link w:val="4GChar"/>
    <w:uiPriority w:val="99"/>
    <w:unhideWhenUsed/>
    <w:qFormat/>
    <w:rsid w:val="009C6039"/>
    <w:rPr>
      <w:vertAlign w:val="superscript"/>
    </w:rPr>
  </w:style>
  <w:style w:type="paragraph" w:customStyle="1" w:styleId="Default">
    <w:name w:val="Default"/>
    <w:link w:val="DefaultChar"/>
    <w:rsid w:val="009C603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DefaultChar">
    <w:name w:val="Default Char"/>
    <w:link w:val="Default"/>
    <w:rsid w:val="009C6039"/>
    <w:rPr>
      <w:rFonts w:eastAsia="Times New Roman"/>
      <w:color w:val="000000"/>
      <w:sz w:val="24"/>
      <w:szCs w:val="24"/>
      <w:bdr w:val="none" w:sz="0" w:space="0" w:color="auto"/>
      <w:lang w:val="en-US" w:eastAsia="en-US"/>
    </w:rPr>
  </w:style>
  <w:style w:type="character" w:customStyle="1" w:styleId="ListParagraphChar">
    <w:name w:val="List Paragraph Char"/>
    <w:link w:val="ListParagraph"/>
    <w:uiPriority w:val="34"/>
    <w:rsid w:val="009C6039"/>
    <w:rPr>
      <w:rFonts w:ascii="Cambria" w:eastAsia="Cambria" w:hAnsi="Cambria" w:cs="Cambria"/>
      <w:color w:val="000000"/>
      <w:sz w:val="24"/>
      <w:szCs w:val="24"/>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9C6039"/>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soluciones_amistosas/docs/Informe-Soluciones-Amistosas.pdf" TargetMode="External"/><Relationship Id="rId2" Type="http://schemas.openxmlformats.org/officeDocument/2006/relationships/hyperlink" Target="http://www.oas.org/es/cidh/soluciones_amistosas/docs/Informe-Soluciones-Amistosas.pdf" TargetMode="External"/><Relationship Id="rId1" Type="http://schemas.openxmlformats.org/officeDocument/2006/relationships/hyperlink" Target="http://www.oas.org/es/cidh/prensa/comunicados/2019/025.asp" TargetMode="External"/><Relationship Id="rId5" Type="http://schemas.openxmlformats.org/officeDocument/2006/relationships/hyperlink" Target="https://www.facebook.com/140861025933522/videos/vb.140861025933522/487467208413326/?type=2&amp;theater" TargetMode="External"/><Relationship Id="rId4" Type="http://schemas.openxmlformats.org/officeDocument/2006/relationships/hyperlink" Target="https://www.rree.go.cr/?sec=servicios&amp;cat=prensa&amp;cont=593&amp;id=434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EB936-879C-4CC1-8119-8E153EDE9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8327</Words>
  <Characters>47467</Characters>
  <Application>Microsoft Office Word</Application>
  <DocSecurity>0</DocSecurity>
  <Lines>395</Lines>
  <Paragraphs>111</Paragraphs>
  <ScaleCrop>false</ScaleCrop>
  <Company/>
  <LinksUpToDate>false</LinksUpToDate>
  <CharactersWithSpaces>55683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71/19</dc:title>
  <dc:creator/>
  <cp:lastModifiedBy/>
  <cp:revision>1</cp:revision>
  <dcterms:created xsi:type="dcterms:W3CDTF">2019-05-21T16:31:00Z</dcterms:created>
  <dcterms:modified xsi:type="dcterms:W3CDTF">2019-05-21T16:31:00Z</dcterms:modified>
</cp:coreProperties>
</file>