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F68FF" w:rsidRDefault="00D306D1" w:rsidP="00627C9F">
      <w:pPr>
        <w:jc w:val="both"/>
        <w:rPr>
          <w:rFonts w:asciiTheme="majorHAnsi" w:hAnsiTheme="majorHAnsi" w:cs="Univers"/>
          <w:b/>
          <w:bCs/>
          <w:sz w:val="20"/>
          <w:szCs w:val="20"/>
          <w:lang w:val="es-ES"/>
        </w:rPr>
      </w:pPr>
      <w:bookmarkStart w:id="0" w:name="_GoBack"/>
      <w:bookmarkEnd w:id="0"/>
      <w:r w:rsidRPr="000F68FF">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21C6EA4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87C8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F68FF">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418628FB" w:rsidR="00D71E30" w:rsidRDefault="00D71E30" w:rsidP="00AE5488">
                            <w:r w:rsidRPr="0030572C">
                              <w:rPr>
                                <w:noProof/>
                              </w:rPr>
                              <w:drawing>
                                <wp:inline distT="0" distB="0" distL="0" distR="0" wp14:anchorId="52DEEF23" wp14:editId="4D88F645">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418628FB" w:rsidR="00D71E30" w:rsidRDefault="00D71E30" w:rsidP="00AE5488">
                      <w:r w:rsidRPr="0030572C">
                        <w:rPr>
                          <w:noProof/>
                        </w:rPr>
                        <w:drawing>
                          <wp:inline distT="0" distB="0" distL="0" distR="0" wp14:anchorId="52DEEF23" wp14:editId="4D88F645">
                            <wp:extent cx="2647950" cy="514350"/>
                            <wp:effectExtent l="0" t="0" r="0" b="0"/>
                            <wp:docPr id="2" name="Picture 2"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F68FF"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0F68FF"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0F68FF" w:rsidRDefault="005128E4" w:rsidP="00040C3A">
      <w:pPr>
        <w:tabs>
          <w:tab w:val="center" w:pos="5400"/>
        </w:tabs>
        <w:suppressAutoHyphens/>
        <w:rPr>
          <w:rFonts w:asciiTheme="majorHAnsi" w:hAnsiTheme="majorHAnsi"/>
          <w:sz w:val="20"/>
          <w:szCs w:val="20"/>
          <w:lang w:val="es-ES"/>
        </w:rPr>
      </w:pPr>
    </w:p>
    <w:p w14:paraId="12A36B24" w14:textId="77777777" w:rsidR="005128E4" w:rsidRPr="000F68FF" w:rsidRDefault="005128E4" w:rsidP="00040C3A">
      <w:pPr>
        <w:tabs>
          <w:tab w:val="center" w:pos="5400"/>
        </w:tabs>
        <w:suppressAutoHyphens/>
        <w:rPr>
          <w:rFonts w:asciiTheme="majorHAnsi" w:hAnsiTheme="majorHAnsi"/>
          <w:sz w:val="20"/>
          <w:szCs w:val="20"/>
          <w:lang w:val="es-ES"/>
        </w:rPr>
      </w:pPr>
    </w:p>
    <w:p w14:paraId="2252093D" w14:textId="77777777" w:rsidR="005128E4" w:rsidRPr="000F68FF" w:rsidRDefault="005128E4" w:rsidP="00040C3A">
      <w:pPr>
        <w:tabs>
          <w:tab w:val="center" w:pos="5400"/>
        </w:tabs>
        <w:suppressAutoHyphens/>
        <w:rPr>
          <w:rFonts w:asciiTheme="majorHAnsi" w:hAnsiTheme="majorHAnsi"/>
          <w:sz w:val="20"/>
          <w:szCs w:val="20"/>
          <w:lang w:val="es-ES"/>
        </w:rPr>
      </w:pPr>
    </w:p>
    <w:p w14:paraId="403935BD" w14:textId="77777777" w:rsidR="00040C3A" w:rsidRPr="000F68FF" w:rsidRDefault="00040C3A" w:rsidP="005128E4">
      <w:pPr>
        <w:tabs>
          <w:tab w:val="center" w:pos="5400"/>
        </w:tabs>
        <w:suppressAutoHyphens/>
        <w:jc w:val="center"/>
        <w:rPr>
          <w:rFonts w:asciiTheme="majorHAnsi" w:hAnsiTheme="majorHAnsi"/>
          <w:sz w:val="20"/>
          <w:szCs w:val="20"/>
          <w:lang w:val="es-ES"/>
        </w:rPr>
      </w:pPr>
    </w:p>
    <w:p w14:paraId="6DCF5F8F" w14:textId="77777777" w:rsidR="00040C3A" w:rsidRPr="000F68FF" w:rsidRDefault="00040C3A" w:rsidP="005128E4">
      <w:pPr>
        <w:tabs>
          <w:tab w:val="center" w:pos="5400"/>
        </w:tabs>
        <w:suppressAutoHyphens/>
        <w:jc w:val="center"/>
        <w:rPr>
          <w:rFonts w:asciiTheme="majorHAnsi" w:hAnsiTheme="majorHAnsi"/>
          <w:sz w:val="20"/>
          <w:szCs w:val="20"/>
          <w:lang w:val="es-ES"/>
        </w:rPr>
      </w:pPr>
    </w:p>
    <w:p w14:paraId="4791F13A" w14:textId="77777777" w:rsidR="005B52B0" w:rsidRPr="000F68FF" w:rsidRDefault="005B52B0" w:rsidP="005128E4">
      <w:pPr>
        <w:tabs>
          <w:tab w:val="center" w:pos="5400"/>
        </w:tabs>
        <w:suppressAutoHyphens/>
        <w:jc w:val="center"/>
        <w:rPr>
          <w:rFonts w:asciiTheme="majorHAnsi" w:hAnsiTheme="majorHAnsi"/>
          <w:sz w:val="20"/>
          <w:szCs w:val="20"/>
          <w:lang w:val="es-ES"/>
        </w:rPr>
      </w:pPr>
    </w:p>
    <w:p w14:paraId="44E016B6" w14:textId="77777777" w:rsidR="005B52B0" w:rsidRPr="000F68FF" w:rsidRDefault="005B52B0" w:rsidP="005128E4">
      <w:pPr>
        <w:tabs>
          <w:tab w:val="center" w:pos="5400"/>
        </w:tabs>
        <w:suppressAutoHyphens/>
        <w:jc w:val="center"/>
        <w:rPr>
          <w:rFonts w:asciiTheme="majorHAnsi" w:hAnsiTheme="majorHAnsi"/>
          <w:sz w:val="20"/>
          <w:szCs w:val="20"/>
          <w:lang w:val="es-ES"/>
        </w:rPr>
      </w:pPr>
    </w:p>
    <w:p w14:paraId="63D41962" w14:textId="77777777" w:rsidR="005B52B0" w:rsidRPr="000F68FF" w:rsidRDefault="005B52B0" w:rsidP="005128E4">
      <w:pPr>
        <w:tabs>
          <w:tab w:val="center" w:pos="5400"/>
        </w:tabs>
        <w:suppressAutoHyphens/>
        <w:jc w:val="center"/>
        <w:rPr>
          <w:rFonts w:asciiTheme="majorHAnsi" w:hAnsiTheme="majorHAnsi"/>
          <w:sz w:val="20"/>
          <w:szCs w:val="20"/>
          <w:lang w:val="es-ES"/>
        </w:rPr>
      </w:pPr>
    </w:p>
    <w:p w14:paraId="5ADEB990"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2D81B7E8"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64791D04" w14:textId="77777777" w:rsidR="00040C3A" w:rsidRPr="000F68FF" w:rsidRDefault="003D3BC2" w:rsidP="00040C3A">
      <w:pPr>
        <w:tabs>
          <w:tab w:val="center" w:pos="5400"/>
        </w:tabs>
        <w:suppressAutoHyphens/>
        <w:jc w:val="center"/>
        <w:rPr>
          <w:rFonts w:asciiTheme="majorHAnsi" w:hAnsiTheme="majorHAnsi"/>
          <w:sz w:val="20"/>
          <w:szCs w:val="20"/>
          <w:lang w:val="es-ES"/>
        </w:rPr>
      </w:pPr>
      <w:r w:rsidRPr="000F68F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18D4D33" w:rsidR="00D71E30" w:rsidRPr="001625B5" w:rsidRDefault="00D71E30" w:rsidP="00997BC5">
                            <w:pPr>
                              <w:spacing w:line="276" w:lineRule="auto"/>
                              <w:rPr>
                                <w:rFonts w:asciiTheme="majorHAnsi" w:hAnsiTheme="majorHAnsi" w:cs="Arial"/>
                                <w:b/>
                                <w:bCs/>
                                <w:color w:val="0D0D0D" w:themeColor="text1" w:themeTint="F2"/>
                                <w:sz w:val="36"/>
                                <w:szCs w:val="22"/>
                                <w:lang w:val="es-ES"/>
                              </w:rPr>
                            </w:pPr>
                            <w:r w:rsidRPr="001625B5">
                              <w:rPr>
                                <w:rFonts w:asciiTheme="majorHAnsi" w:hAnsiTheme="majorHAnsi" w:cs="Arial"/>
                                <w:b/>
                                <w:bCs/>
                                <w:color w:val="0D0D0D" w:themeColor="text1" w:themeTint="F2"/>
                                <w:sz w:val="36"/>
                                <w:szCs w:val="22"/>
                                <w:lang w:val="es-ES"/>
                              </w:rPr>
                              <w:t xml:space="preserve">INFORME </w:t>
                            </w:r>
                            <w:r w:rsidRPr="001625B5">
                              <w:rPr>
                                <w:rFonts w:asciiTheme="majorHAnsi" w:hAnsiTheme="majorHAnsi" w:cs="Arial"/>
                                <w:b/>
                                <w:bCs/>
                                <w:color w:val="0D0D0D" w:themeColor="text1" w:themeTint="F2"/>
                                <w:sz w:val="36"/>
                                <w:szCs w:val="40"/>
                                <w:lang w:val="es-ES"/>
                              </w:rPr>
                              <w:t>No.</w:t>
                            </w:r>
                            <w:r w:rsidRPr="001625B5">
                              <w:rPr>
                                <w:rFonts w:asciiTheme="majorHAnsi" w:hAnsiTheme="majorHAnsi" w:cs="Arial"/>
                                <w:b/>
                                <w:bCs/>
                                <w:color w:val="0D0D0D" w:themeColor="text1" w:themeTint="F2"/>
                                <w:sz w:val="36"/>
                                <w:szCs w:val="22"/>
                                <w:lang w:val="es-ES"/>
                              </w:rPr>
                              <w:t xml:space="preserve"> </w:t>
                            </w:r>
                            <w:r w:rsidR="001625B5">
                              <w:rPr>
                                <w:rFonts w:asciiTheme="majorHAnsi" w:hAnsiTheme="majorHAnsi" w:cs="Arial"/>
                                <w:b/>
                                <w:bCs/>
                                <w:color w:val="0D0D0D" w:themeColor="text1" w:themeTint="F2"/>
                                <w:sz w:val="36"/>
                                <w:szCs w:val="22"/>
                                <w:lang w:val="es-ES"/>
                              </w:rPr>
                              <w:t>44</w:t>
                            </w:r>
                            <w:r w:rsidRPr="001625B5">
                              <w:rPr>
                                <w:rFonts w:asciiTheme="majorHAnsi" w:hAnsiTheme="majorHAnsi" w:cs="Arial"/>
                                <w:b/>
                                <w:bCs/>
                                <w:color w:val="0D0D0D" w:themeColor="text1" w:themeTint="F2"/>
                                <w:sz w:val="36"/>
                                <w:szCs w:val="22"/>
                                <w:lang w:val="es-ES"/>
                              </w:rPr>
                              <w:t>/19</w:t>
                            </w:r>
                          </w:p>
                          <w:p w14:paraId="09C54AB3" w14:textId="20408F1D" w:rsidR="00D71E30" w:rsidRPr="001625B5" w:rsidRDefault="00D71E30" w:rsidP="00997BC5">
                            <w:pPr>
                              <w:spacing w:line="276" w:lineRule="auto"/>
                              <w:rPr>
                                <w:rFonts w:asciiTheme="majorHAnsi" w:hAnsiTheme="majorHAnsi" w:cs="Arial"/>
                                <w:b/>
                                <w:color w:val="0D0D0D" w:themeColor="text1" w:themeTint="F2"/>
                                <w:sz w:val="36"/>
                                <w:szCs w:val="22"/>
                                <w:lang w:val="es-ES"/>
                              </w:rPr>
                            </w:pPr>
                            <w:r w:rsidRPr="001625B5">
                              <w:rPr>
                                <w:rFonts w:asciiTheme="majorHAnsi" w:hAnsiTheme="majorHAnsi" w:cs="Arial"/>
                                <w:b/>
                                <w:color w:val="0D0D0D" w:themeColor="text1" w:themeTint="F2"/>
                                <w:sz w:val="36"/>
                                <w:szCs w:val="22"/>
                                <w:lang w:val="es-ES"/>
                              </w:rPr>
                              <w:t xml:space="preserve">PETICIÓN </w:t>
                            </w:r>
                            <w:r w:rsidRPr="001625B5">
                              <w:rPr>
                                <w:rFonts w:asciiTheme="majorHAnsi" w:hAnsiTheme="majorHAnsi" w:cs="Arial"/>
                                <w:b/>
                                <w:bCs/>
                                <w:color w:val="0D0D0D" w:themeColor="text1" w:themeTint="F2"/>
                                <w:sz w:val="36"/>
                                <w:szCs w:val="22"/>
                                <w:lang w:val="es-ES"/>
                              </w:rPr>
                              <w:t>1185</w:t>
                            </w:r>
                            <w:r w:rsidRPr="001625B5">
                              <w:rPr>
                                <w:rFonts w:asciiTheme="majorHAnsi" w:hAnsiTheme="majorHAnsi" w:cs="Arial"/>
                                <w:b/>
                                <w:color w:val="0D0D0D" w:themeColor="text1" w:themeTint="F2"/>
                                <w:sz w:val="36"/>
                                <w:szCs w:val="22"/>
                                <w:lang w:val="es-ES"/>
                              </w:rPr>
                              <w:t>-08</w:t>
                            </w:r>
                          </w:p>
                          <w:p w14:paraId="70CF6833" w14:textId="0D540DE0" w:rsidR="00D71E30" w:rsidRPr="001625B5" w:rsidRDefault="00D71E30" w:rsidP="00997BC5">
                            <w:pPr>
                              <w:spacing w:line="276" w:lineRule="auto"/>
                              <w:rPr>
                                <w:rFonts w:asciiTheme="majorHAnsi" w:hAnsiTheme="majorHAnsi" w:cs="Arial"/>
                                <w:color w:val="0D0D0D" w:themeColor="text1" w:themeTint="F2"/>
                                <w:szCs w:val="22"/>
                                <w:lang w:val="es-ES"/>
                              </w:rPr>
                            </w:pPr>
                            <w:r w:rsidRPr="001625B5">
                              <w:rPr>
                                <w:rFonts w:asciiTheme="majorHAnsi" w:hAnsiTheme="majorHAnsi" w:cs="Arial"/>
                                <w:color w:val="0D0D0D" w:themeColor="text1" w:themeTint="F2"/>
                                <w:szCs w:val="22"/>
                                <w:lang w:val="es-ES"/>
                              </w:rPr>
                              <w:t>INFORME DE ADMISIBILIDAD</w:t>
                            </w:r>
                          </w:p>
                          <w:p w14:paraId="5FDD6F0D" w14:textId="77777777" w:rsidR="00D71E30" w:rsidRPr="001625B5" w:rsidRDefault="00D71E30" w:rsidP="00997BC5">
                            <w:pPr>
                              <w:spacing w:line="276" w:lineRule="auto"/>
                              <w:rPr>
                                <w:rFonts w:asciiTheme="majorHAnsi" w:hAnsiTheme="majorHAnsi" w:cs="Arial"/>
                                <w:color w:val="0D0D0D" w:themeColor="text1" w:themeTint="F2"/>
                                <w:szCs w:val="22"/>
                                <w:lang w:val="es-ES"/>
                              </w:rPr>
                            </w:pPr>
                            <w:bookmarkStart w:id="1" w:name="_ftnref1"/>
                          </w:p>
                          <w:p w14:paraId="4CFA2FBF" w14:textId="3109CF6B" w:rsidR="00D71E30" w:rsidRPr="007665A8" w:rsidRDefault="00D71E3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GERSON MENDONÇA DE FREITAS FILHO</w:t>
                            </w:r>
                          </w:p>
                          <w:bookmarkEnd w:id="1"/>
                          <w:p w14:paraId="35068D0D" w14:textId="55B42E82" w:rsidR="00D71E30" w:rsidRPr="007665A8" w:rsidRDefault="00D71E3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D71E30" w:rsidRPr="007665A8" w:rsidRDefault="00D71E30"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18D4D33" w:rsidR="00D71E30" w:rsidRPr="001625B5" w:rsidRDefault="00D71E30" w:rsidP="00997BC5">
                      <w:pPr>
                        <w:spacing w:line="276" w:lineRule="auto"/>
                        <w:rPr>
                          <w:rFonts w:asciiTheme="majorHAnsi" w:hAnsiTheme="majorHAnsi" w:cs="Arial"/>
                          <w:b/>
                          <w:bCs/>
                          <w:color w:val="0D0D0D" w:themeColor="text1" w:themeTint="F2"/>
                          <w:sz w:val="36"/>
                          <w:szCs w:val="22"/>
                          <w:lang w:val="es-ES"/>
                        </w:rPr>
                      </w:pPr>
                      <w:r w:rsidRPr="001625B5">
                        <w:rPr>
                          <w:rFonts w:asciiTheme="majorHAnsi" w:hAnsiTheme="majorHAnsi" w:cs="Arial"/>
                          <w:b/>
                          <w:bCs/>
                          <w:color w:val="0D0D0D" w:themeColor="text1" w:themeTint="F2"/>
                          <w:sz w:val="36"/>
                          <w:szCs w:val="22"/>
                          <w:lang w:val="es-ES"/>
                        </w:rPr>
                        <w:t xml:space="preserve">INFORME </w:t>
                      </w:r>
                      <w:r w:rsidRPr="001625B5">
                        <w:rPr>
                          <w:rFonts w:asciiTheme="majorHAnsi" w:hAnsiTheme="majorHAnsi" w:cs="Arial"/>
                          <w:b/>
                          <w:bCs/>
                          <w:color w:val="0D0D0D" w:themeColor="text1" w:themeTint="F2"/>
                          <w:sz w:val="36"/>
                          <w:szCs w:val="40"/>
                          <w:lang w:val="es-ES"/>
                        </w:rPr>
                        <w:t>No.</w:t>
                      </w:r>
                      <w:r w:rsidRPr="001625B5">
                        <w:rPr>
                          <w:rFonts w:asciiTheme="majorHAnsi" w:hAnsiTheme="majorHAnsi" w:cs="Arial"/>
                          <w:b/>
                          <w:bCs/>
                          <w:color w:val="0D0D0D" w:themeColor="text1" w:themeTint="F2"/>
                          <w:sz w:val="36"/>
                          <w:szCs w:val="22"/>
                          <w:lang w:val="es-ES"/>
                        </w:rPr>
                        <w:t xml:space="preserve"> </w:t>
                      </w:r>
                      <w:r w:rsidR="001625B5">
                        <w:rPr>
                          <w:rFonts w:asciiTheme="majorHAnsi" w:hAnsiTheme="majorHAnsi" w:cs="Arial"/>
                          <w:b/>
                          <w:bCs/>
                          <w:color w:val="0D0D0D" w:themeColor="text1" w:themeTint="F2"/>
                          <w:sz w:val="36"/>
                          <w:szCs w:val="22"/>
                          <w:lang w:val="es-ES"/>
                        </w:rPr>
                        <w:t>44</w:t>
                      </w:r>
                      <w:r w:rsidRPr="001625B5">
                        <w:rPr>
                          <w:rFonts w:asciiTheme="majorHAnsi" w:hAnsiTheme="majorHAnsi" w:cs="Arial"/>
                          <w:b/>
                          <w:bCs/>
                          <w:color w:val="0D0D0D" w:themeColor="text1" w:themeTint="F2"/>
                          <w:sz w:val="36"/>
                          <w:szCs w:val="22"/>
                          <w:lang w:val="es-ES"/>
                        </w:rPr>
                        <w:t>/19</w:t>
                      </w:r>
                    </w:p>
                    <w:p w14:paraId="09C54AB3" w14:textId="20408F1D" w:rsidR="00D71E30" w:rsidRPr="001625B5" w:rsidRDefault="00D71E30" w:rsidP="00997BC5">
                      <w:pPr>
                        <w:spacing w:line="276" w:lineRule="auto"/>
                        <w:rPr>
                          <w:rFonts w:asciiTheme="majorHAnsi" w:hAnsiTheme="majorHAnsi" w:cs="Arial"/>
                          <w:b/>
                          <w:color w:val="0D0D0D" w:themeColor="text1" w:themeTint="F2"/>
                          <w:sz w:val="36"/>
                          <w:szCs w:val="22"/>
                          <w:lang w:val="es-ES"/>
                        </w:rPr>
                      </w:pPr>
                      <w:r w:rsidRPr="001625B5">
                        <w:rPr>
                          <w:rFonts w:asciiTheme="majorHAnsi" w:hAnsiTheme="majorHAnsi" w:cs="Arial"/>
                          <w:b/>
                          <w:color w:val="0D0D0D" w:themeColor="text1" w:themeTint="F2"/>
                          <w:sz w:val="36"/>
                          <w:szCs w:val="22"/>
                          <w:lang w:val="es-ES"/>
                        </w:rPr>
                        <w:t xml:space="preserve">PETICIÓN </w:t>
                      </w:r>
                      <w:r w:rsidRPr="001625B5">
                        <w:rPr>
                          <w:rFonts w:asciiTheme="majorHAnsi" w:hAnsiTheme="majorHAnsi" w:cs="Arial"/>
                          <w:b/>
                          <w:bCs/>
                          <w:color w:val="0D0D0D" w:themeColor="text1" w:themeTint="F2"/>
                          <w:sz w:val="36"/>
                          <w:szCs w:val="22"/>
                          <w:lang w:val="es-ES"/>
                        </w:rPr>
                        <w:t>1185</w:t>
                      </w:r>
                      <w:r w:rsidRPr="001625B5">
                        <w:rPr>
                          <w:rFonts w:asciiTheme="majorHAnsi" w:hAnsiTheme="majorHAnsi" w:cs="Arial"/>
                          <w:b/>
                          <w:color w:val="0D0D0D" w:themeColor="text1" w:themeTint="F2"/>
                          <w:sz w:val="36"/>
                          <w:szCs w:val="22"/>
                          <w:lang w:val="es-ES"/>
                        </w:rPr>
                        <w:t>-08</w:t>
                      </w:r>
                    </w:p>
                    <w:p w14:paraId="70CF6833" w14:textId="0D540DE0" w:rsidR="00D71E30" w:rsidRPr="001625B5" w:rsidRDefault="00D71E30" w:rsidP="00997BC5">
                      <w:pPr>
                        <w:spacing w:line="276" w:lineRule="auto"/>
                        <w:rPr>
                          <w:rFonts w:asciiTheme="majorHAnsi" w:hAnsiTheme="majorHAnsi" w:cs="Arial"/>
                          <w:color w:val="0D0D0D" w:themeColor="text1" w:themeTint="F2"/>
                          <w:szCs w:val="22"/>
                          <w:lang w:val="es-ES"/>
                        </w:rPr>
                      </w:pPr>
                      <w:r w:rsidRPr="001625B5">
                        <w:rPr>
                          <w:rFonts w:asciiTheme="majorHAnsi" w:hAnsiTheme="majorHAnsi" w:cs="Arial"/>
                          <w:color w:val="0D0D0D" w:themeColor="text1" w:themeTint="F2"/>
                          <w:szCs w:val="22"/>
                          <w:lang w:val="es-ES"/>
                        </w:rPr>
                        <w:t>INFORME DE ADMISIBILIDAD</w:t>
                      </w:r>
                    </w:p>
                    <w:p w14:paraId="5FDD6F0D" w14:textId="77777777" w:rsidR="00D71E30" w:rsidRPr="001625B5" w:rsidRDefault="00D71E30" w:rsidP="00997BC5">
                      <w:pPr>
                        <w:spacing w:line="276" w:lineRule="auto"/>
                        <w:rPr>
                          <w:rFonts w:asciiTheme="majorHAnsi" w:hAnsiTheme="majorHAnsi" w:cs="Arial"/>
                          <w:color w:val="0D0D0D" w:themeColor="text1" w:themeTint="F2"/>
                          <w:szCs w:val="22"/>
                          <w:lang w:val="es-ES"/>
                        </w:rPr>
                      </w:pPr>
                      <w:bookmarkStart w:id="2" w:name="_ftnref1"/>
                    </w:p>
                    <w:p w14:paraId="4CFA2FBF" w14:textId="3109CF6B" w:rsidR="00D71E30" w:rsidRPr="007665A8" w:rsidRDefault="00D71E3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GERSON MENDONÇA DE FREITAS FILHO</w:t>
                      </w:r>
                    </w:p>
                    <w:bookmarkEnd w:id="2"/>
                    <w:p w14:paraId="35068D0D" w14:textId="55B42E82" w:rsidR="00D71E30" w:rsidRPr="007665A8" w:rsidRDefault="00D71E30"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14:paraId="575DFD52" w14:textId="77777777" w:rsidR="00D71E30" w:rsidRPr="007665A8" w:rsidRDefault="00D71E30" w:rsidP="007A5817">
                      <w:pPr>
                        <w:rPr>
                          <w:color w:val="0D0D0D" w:themeColor="text1" w:themeTint="F2"/>
                          <w:lang w:val="pt-BR"/>
                        </w:rPr>
                      </w:pPr>
                    </w:p>
                  </w:txbxContent>
                </v:textbox>
              </v:shape>
            </w:pict>
          </mc:Fallback>
        </mc:AlternateContent>
      </w:r>
      <w:r w:rsidR="004E2649" w:rsidRPr="000F68FF">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6148FBF" w:rsidR="00D71E30" w:rsidRPr="004C700A" w:rsidRDefault="00D71E30" w:rsidP="007A5817">
                            <w:pPr>
                              <w:spacing w:line="276" w:lineRule="auto"/>
                              <w:jc w:val="right"/>
                              <w:rPr>
                                <w:rFonts w:asciiTheme="minorHAnsi" w:hAnsiTheme="minorHAnsi"/>
                                <w:color w:val="FFFFFF" w:themeColor="background1"/>
                                <w:sz w:val="22"/>
                                <w:lang w:val="pt-BR"/>
                              </w:rPr>
                            </w:pPr>
                            <w:r w:rsidRPr="004C700A">
                              <w:rPr>
                                <w:rFonts w:asciiTheme="minorHAnsi" w:hAnsiTheme="minorHAnsi"/>
                                <w:color w:val="FFFFFF" w:themeColor="background1"/>
                                <w:sz w:val="22"/>
                                <w:lang w:val="pt-BR"/>
                              </w:rPr>
                              <w:t>OEA/Ser.L/V/II.</w:t>
                            </w:r>
                          </w:p>
                          <w:p w14:paraId="6A41611B" w14:textId="7827A496" w:rsidR="00D71E30" w:rsidRPr="004C700A" w:rsidRDefault="001625B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53</w:t>
                            </w:r>
                          </w:p>
                          <w:p w14:paraId="69373ED2" w14:textId="2513D990" w:rsidR="00D71E30" w:rsidRPr="004C700A" w:rsidRDefault="001625B5"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 abril</w:t>
                            </w:r>
                            <w:r w:rsidR="00D71E30" w:rsidRPr="004C700A">
                              <w:rPr>
                                <w:rFonts w:asciiTheme="minorHAnsi" w:hAnsiTheme="minorHAnsi"/>
                                <w:color w:val="FFFFFF" w:themeColor="background1"/>
                                <w:sz w:val="22"/>
                                <w:lang w:val="es-US"/>
                              </w:rPr>
                              <w:t xml:space="preserve"> 2019</w:t>
                            </w:r>
                          </w:p>
                          <w:p w14:paraId="0771DB5B" w14:textId="74A6B60F" w:rsidR="00D71E30" w:rsidRPr="004C700A" w:rsidRDefault="00D71E30" w:rsidP="007A5817">
                            <w:pPr>
                              <w:spacing w:line="276" w:lineRule="auto"/>
                              <w:jc w:val="right"/>
                              <w:rPr>
                                <w:rFonts w:asciiTheme="minorHAnsi" w:hAnsiTheme="minorHAnsi"/>
                                <w:color w:val="FFFFFF" w:themeColor="background1"/>
                                <w:sz w:val="22"/>
                                <w:lang w:val="es-ES"/>
                              </w:rPr>
                            </w:pPr>
                            <w:r w:rsidRPr="004C700A">
                              <w:rPr>
                                <w:rFonts w:asciiTheme="minorHAnsi" w:hAnsiTheme="minorHAnsi"/>
                                <w:color w:val="FFFFFF" w:themeColor="background1"/>
                                <w:sz w:val="22"/>
                                <w:lang w:val="es-US"/>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6148FBF" w:rsidR="00D71E30" w:rsidRPr="004C700A" w:rsidRDefault="00D71E30" w:rsidP="007A5817">
                      <w:pPr>
                        <w:spacing w:line="276" w:lineRule="auto"/>
                        <w:jc w:val="right"/>
                        <w:rPr>
                          <w:rFonts w:asciiTheme="minorHAnsi" w:hAnsiTheme="minorHAnsi"/>
                          <w:color w:val="FFFFFF" w:themeColor="background1"/>
                          <w:sz w:val="22"/>
                          <w:lang w:val="pt-BR"/>
                        </w:rPr>
                      </w:pPr>
                      <w:r w:rsidRPr="004C700A">
                        <w:rPr>
                          <w:rFonts w:asciiTheme="minorHAnsi" w:hAnsiTheme="minorHAnsi"/>
                          <w:color w:val="FFFFFF" w:themeColor="background1"/>
                          <w:sz w:val="22"/>
                          <w:lang w:val="pt-BR"/>
                        </w:rPr>
                        <w:t>OEA/Ser.L/V/II.</w:t>
                      </w:r>
                    </w:p>
                    <w:p w14:paraId="6A41611B" w14:textId="7827A496" w:rsidR="00D71E30" w:rsidRPr="004C700A" w:rsidRDefault="001625B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53</w:t>
                      </w:r>
                    </w:p>
                    <w:p w14:paraId="69373ED2" w14:textId="2513D990" w:rsidR="00D71E30" w:rsidRPr="004C700A" w:rsidRDefault="001625B5"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24 abril</w:t>
                      </w:r>
                      <w:r w:rsidR="00D71E30" w:rsidRPr="004C700A">
                        <w:rPr>
                          <w:rFonts w:asciiTheme="minorHAnsi" w:hAnsiTheme="minorHAnsi"/>
                          <w:color w:val="FFFFFF" w:themeColor="background1"/>
                          <w:sz w:val="22"/>
                          <w:lang w:val="es-US"/>
                        </w:rPr>
                        <w:t xml:space="preserve"> 2019</w:t>
                      </w:r>
                    </w:p>
                    <w:p w14:paraId="0771DB5B" w14:textId="74A6B60F" w:rsidR="00D71E30" w:rsidRPr="004C700A" w:rsidRDefault="00D71E30" w:rsidP="007A5817">
                      <w:pPr>
                        <w:spacing w:line="276" w:lineRule="auto"/>
                        <w:jc w:val="right"/>
                        <w:rPr>
                          <w:rFonts w:asciiTheme="minorHAnsi" w:hAnsiTheme="minorHAnsi"/>
                          <w:color w:val="FFFFFF" w:themeColor="background1"/>
                          <w:sz w:val="22"/>
                          <w:lang w:val="es-ES"/>
                        </w:rPr>
                      </w:pPr>
                      <w:r w:rsidRPr="004C700A">
                        <w:rPr>
                          <w:rFonts w:asciiTheme="minorHAnsi" w:hAnsiTheme="minorHAnsi"/>
                          <w:color w:val="FFFFFF" w:themeColor="background1"/>
                          <w:sz w:val="22"/>
                          <w:lang w:val="es-US"/>
                        </w:rPr>
                        <w:t>Original: portugués</w:t>
                      </w:r>
                    </w:p>
                  </w:txbxContent>
                </v:textbox>
              </v:shape>
            </w:pict>
          </mc:Fallback>
        </mc:AlternateContent>
      </w:r>
    </w:p>
    <w:p w14:paraId="155B0536"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5FE3AB87"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3C383BC0" w14:textId="77777777" w:rsidR="00040C3A" w:rsidRPr="000F68FF" w:rsidRDefault="00040C3A" w:rsidP="00040C3A">
      <w:pPr>
        <w:tabs>
          <w:tab w:val="center" w:pos="5400"/>
        </w:tabs>
        <w:suppressAutoHyphens/>
        <w:jc w:val="center"/>
        <w:rPr>
          <w:rFonts w:asciiTheme="majorHAnsi" w:hAnsiTheme="majorHAnsi" w:cs="Arial"/>
          <w:sz w:val="20"/>
          <w:szCs w:val="20"/>
          <w:lang w:val="es-ES"/>
        </w:rPr>
      </w:pPr>
    </w:p>
    <w:p w14:paraId="54590931"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76C291D6"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2161B44F"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3C4EEE07"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3B0E4647" w14:textId="77777777" w:rsidR="005128E4" w:rsidRPr="000F68FF" w:rsidRDefault="005128E4" w:rsidP="00040C3A">
      <w:pPr>
        <w:tabs>
          <w:tab w:val="center" w:pos="5400"/>
        </w:tabs>
        <w:suppressAutoHyphens/>
        <w:jc w:val="center"/>
        <w:rPr>
          <w:rFonts w:asciiTheme="majorHAnsi" w:hAnsiTheme="majorHAnsi"/>
          <w:sz w:val="20"/>
          <w:szCs w:val="20"/>
          <w:lang w:val="es-ES"/>
        </w:rPr>
      </w:pPr>
    </w:p>
    <w:p w14:paraId="2DAAF36D"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12496A14" w14:textId="77777777" w:rsidR="005128E4" w:rsidRPr="000F68FF" w:rsidRDefault="005128E4" w:rsidP="00040C3A">
      <w:pPr>
        <w:tabs>
          <w:tab w:val="center" w:pos="5400"/>
        </w:tabs>
        <w:suppressAutoHyphens/>
        <w:jc w:val="center"/>
        <w:rPr>
          <w:rFonts w:asciiTheme="majorHAnsi" w:hAnsiTheme="majorHAnsi"/>
          <w:sz w:val="20"/>
          <w:szCs w:val="20"/>
          <w:lang w:val="es-ES"/>
        </w:rPr>
      </w:pPr>
    </w:p>
    <w:p w14:paraId="25772DB3" w14:textId="77777777" w:rsidR="005128E4" w:rsidRPr="000F68FF" w:rsidRDefault="005128E4" w:rsidP="00040C3A">
      <w:pPr>
        <w:tabs>
          <w:tab w:val="center" w:pos="5400"/>
        </w:tabs>
        <w:suppressAutoHyphens/>
        <w:jc w:val="center"/>
        <w:rPr>
          <w:rFonts w:asciiTheme="majorHAnsi" w:hAnsiTheme="majorHAnsi"/>
          <w:sz w:val="20"/>
          <w:szCs w:val="20"/>
          <w:lang w:val="es-ES"/>
        </w:rPr>
      </w:pPr>
    </w:p>
    <w:p w14:paraId="6820FADA" w14:textId="77777777" w:rsidR="005128E4" w:rsidRPr="000F68FF" w:rsidRDefault="005128E4" w:rsidP="00040C3A">
      <w:pPr>
        <w:tabs>
          <w:tab w:val="center" w:pos="5400"/>
        </w:tabs>
        <w:suppressAutoHyphens/>
        <w:jc w:val="center"/>
        <w:rPr>
          <w:rFonts w:asciiTheme="majorHAnsi" w:hAnsiTheme="majorHAnsi"/>
          <w:sz w:val="20"/>
          <w:szCs w:val="20"/>
          <w:lang w:val="es-ES"/>
        </w:rPr>
      </w:pPr>
    </w:p>
    <w:p w14:paraId="54445A55"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5D4A4040" w14:textId="77777777" w:rsidR="00040C3A" w:rsidRPr="000F68FF" w:rsidRDefault="00040C3A" w:rsidP="00040C3A">
      <w:pPr>
        <w:tabs>
          <w:tab w:val="center" w:pos="5400"/>
        </w:tabs>
        <w:suppressAutoHyphens/>
        <w:jc w:val="center"/>
        <w:rPr>
          <w:rFonts w:asciiTheme="majorHAnsi" w:hAnsiTheme="majorHAnsi"/>
          <w:sz w:val="20"/>
          <w:szCs w:val="20"/>
          <w:lang w:val="es-ES"/>
        </w:rPr>
      </w:pPr>
    </w:p>
    <w:p w14:paraId="048FBB22"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190ABFB3"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4C690048"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733CA438"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7874DEEB"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3698D0D6"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1F907823"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045D9AC1"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16068EE5"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14A4A430"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0B3B735F"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02C5C441"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7806A2B0"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319C392B"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514A0182" w14:textId="77777777" w:rsidR="00A50FCF" w:rsidRPr="000F68FF" w:rsidRDefault="0090270B" w:rsidP="00040C3A">
      <w:pPr>
        <w:tabs>
          <w:tab w:val="center" w:pos="5400"/>
        </w:tabs>
        <w:suppressAutoHyphens/>
        <w:jc w:val="center"/>
        <w:rPr>
          <w:rFonts w:asciiTheme="majorHAnsi" w:hAnsiTheme="majorHAnsi"/>
          <w:sz w:val="20"/>
          <w:szCs w:val="20"/>
          <w:lang w:val="es-ES"/>
        </w:rPr>
      </w:pPr>
      <w:r w:rsidRPr="000F68FF">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02F761D" w:rsidR="00D71E30" w:rsidRPr="001625B5" w:rsidRDefault="00D71E30" w:rsidP="000F68FF">
                            <w:pPr>
                              <w:tabs>
                                <w:tab w:val="center" w:pos="5400"/>
                              </w:tabs>
                              <w:suppressAutoHyphens/>
                              <w:spacing w:before="60"/>
                              <w:rPr>
                                <w:rFonts w:asciiTheme="majorHAnsi" w:hAnsiTheme="majorHAnsi"/>
                                <w:color w:val="0D0D0D" w:themeColor="text1" w:themeTint="F2"/>
                                <w:sz w:val="18"/>
                                <w:szCs w:val="22"/>
                                <w:lang w:val="es-ES"/>
                              </w:rPr>
                            </w:pPr>
                            <w:r w:rsidRPr="001625B5">
                              <w:rPr>
                                <w:rFonts w:asciiTheme="majorHAnsi" w:hAnsiTheme="majorHAnsi"/>
                                <w:color w:val="0D0D0D" w:themeColor="text1" w:themeTint="F2"/>
                                <w:sz w:val="18"/>
                                <w:szCs w:val="20"/>
                                <w:lang w:val="es-ES"/>
                              </w:rPr>
                              <w:t>Aprobado elec</w:t>
                            </w:r>
                            <w:r w:rsidR="000E43B1">
                              <w:rPr>
                                <w:rFonts w:asciiTheme="majorHAnsi" w:hAnsiTheme="majorHAnsi"/>
                                <w:color w:val="0D0D0D" w:themeColor="text1" w:themeTint="F2"/>
                                <w:sz w:val="18"/>
                                <w:szCs w:val="20"/>
                                <w:lang w:val="es-ES"/>
                              </w:rPr>
                              <w:t>t</w:t>
                            </w:r>
                            <w:r w:rsidRPr="001625B5">
                              <w:rPr>
                                <w:rFonts w:asciiTheme="majorHAnsi" w:hAnsiTheme="majorHAnsi"/>
                                <w:color w:val="0D0D0D" w:themeColor="text1" w:themeTint="F2"/>
                                <w:sz w:val="18"/>
                                <w:szCs w:val="20"/>
                                <w:lang w:val="es-ES"/>
                              </w:rPr>
                              <w:t xml:space="preserve">rónicamente por la Comisión el </w:t>
                            </w:r>
                            <w:r w:rsidR="000E43B1">
                              <w:rPr>
                                <w:rFonts w:asciiTheme="majorHAnsi" w:hAnsiTheme="majorHAnsi"/>
                                <w:color w:val="0D0D0D" w:themeColor="text1" w:themeTint="F2"/>
                                <w:sz w:val="18"/>
                                <w:szCs w:val="20"/>
                                <w:lang w:val="es-ES"/>
                              </w:rPr>
                              <w:t>24</w:t>
                            </w:r>
                            <w:r w:rsidRPr="001625B5">
                              <w:rPr>
                                <w:rFonts w:asciiTheme="majorHAnsi" w:hAnsiTheme="majorHAnsi"/>
                                <w:color w:val="0D0D0D" w:themeColor="text1" w:themeTint="F2"/>
                                <w:sz w:val="18"/>
                                <w:szCs w:val="20"/>
                                <w:lang w:val="es-ES"/>
                              </w:rPr>
                              <w:t xml:space="preserve"> de </w:t>
                            </w:r>
                            <w:r w:rsidR="000E43B1">
                              <w:rPr>
                                <w:rFonts w:asciiTheme="majorHAnsi" w:hAnsiTheme="majorHAnsi"/>
                                <w:color w:val="0D0D0D" w:themeColor="text1" w:themeTint="F2"/>
                                <w:sz w:val="18"/>
                                <w:szCs w:val="20"/>
                                <w:lang w:val="es-ES"/>
                              </w:rPr>
                              <w:t>abril</w:t>
                            </w:r>
                            <w:r w:rsidRPr="001625B5">
                              <w:rPr>
                                <w:rFonts w:asciiTheme="majorHAnsi" w:hAnsiTheme="majorHAnsi"/>
                                <w:color w:val="0D0D0D" w:themeColor="text1" w:themeTint="F2"/>
                                <w:sz w:val="18"/>
                                <w:szCs w:val="20"/>
                                <w:lang w:val="es-ES"/>
                              </w:rPr>
                              <w:t xml:space="preserve"> de</w:t>
                            </w:r>
                            <w:r w:rsidRPr="001625B5">
                              <w:rPr>
                                <w:rFonts w:asciiTheme="majorHAnsi" w:hAnsiTheme="majorHAnsi"/>
                                <w:color w:val="0D0D0D" w:themeColor="text1" w:themeTint="F2"/>
                                <w:sz w:val="18"/>
                                <w:szCs w:val="22"/>
                                <w:lang w:val="es-ES"/>
                              </w:rPr>
                              <w:t xml:space="preserve"> 2019.</w:t>
                            </w:r>
                          </w:p>
                          <w:p w14:paraId="4BDF3581" w14:textId="77777777" w:rsidR="00D71E30" w:rsidRPr="001625B5" w:rsidRDefault="00D71E3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71E30" w:rsidRPr="001625B5" w:rsidRDefault="00D71E3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02F761D" w:rsidR="00D71E30" w:rsidRPr="001625B5" w:rsidRDefault="00D71E30" w:rsidP="000F68FF">
                      <w:pPr>
                        <w:tabs>
                          <w:tab w:val="center" w:pos="5400"/>
                        </w:tabs>
                        <w:suppressAutoHyphens/>
                        <w:spacing w:before="60"/>
                        <w:rPr>
                          <w:rFonts w:asciiTheme="majorHAnsi" w:hAnsiTheme="majorHAnsi"/>
                          <w:color w:val="0D0D0D" w:themeColor="text1" w:themeTint="F2"/>
                          <w:sz w:val="18"/>
                          <w:szCs w:val="22"/>
                          <w:lang w:val="es-ES"/>
                        </w:rPr>
                      </w:pPr>
                      <w:r w:rsidRPr="001625B5">
                        <w:rPr>
                          <w:rFonts w:asciiTheme="majorHAnsi" w:hAnsiTheme="majorHAnsi"/>
                          <w:color w:val="0D0D0D" w:themeColor="text1" w:themeTint="F2"/>
                          <w:sz w:val="18"/>
                          <w:szCs w:val="20"/>
                          <w:lang w:val="es-ES"/>
                        </w:rPr>
                        <w:t>Aprobado elec</w:t>
                      </w:r>
                      <w:r w:rsidR="000E43B1">
                        <w:rPr>
                          <w:rFonts w:asciiTheme="majorHAnsi" w:hAnsiTheme="majorHAnsi"/>
                          <w:color w:val="0D0D0D" w:themeColor="text1" w:themeTint="F2"/>
                          <w:sz w:val="18"/>
                          <w:szCs w:val="20"/>
                          <w:lang w:val="es-ES"/>
                        </w:rPr>
                        <w:t>t</w:t>
                      </w:r>
                      <w:r w:rsidRPr="001625B5">
                        <w:rPr>
                          <w:rFonts w:asciiTheme="majorHAnsi" w:hAnsiTheme="majorHAnsi"/>
                          <w:color w:val="0D0D0D" w:themeColor="text1" w:themeTint="F2"/>
                          <w:sz w:val="18"/>
                          <w:szCs w:val="20"/>
                          <w:lang w:val="es-ES"/>
                        </w:rPr>
                        <w:t xml:space="preserve">rónicamente por la Comisión el </w:t>
                      </w:r>
                      <w:r w:rsidR="000E43B1">
                        <w:rPr>
                          <w:rFonts w:asciiTheme="majorHAnsi" w:hAnsiTheme="majorHAnsi"/>
                          <w:color w:val="0D0D0D" w:themeColor="text1" w:themeTint="F2"/>
                          <w:sz w:val="18"/>
                          <w:szCs w:val="20"/>
                          <w:lang w:val="es-ES"/>
                        </w:rPr>
                        <w:t>24</w:t>
                      </w:r>
                      <w:r w:rsidRPr="001625B5">
                        <w:rPr>
                          <w:rFonts w:asciiTheme="majorHAnsi" w:hAnsiTheme="majorHAnsi"/>
                          <w:color w:val="0D0D0D" w:themeColor="text1" w:themeTint="F2"/>
                          <w:sz w:val="18"/>
                          <w:szCs w:val="20"/>
                          <w:lang w:val="es-ES"/>
                        </w:rPr>
                        <w:t xml:space="preserve"> de </w:t>
                      </w:r>
                      <w:r w:rsidR="000E43B1">
                        <w:rPr>
                          <w:rFonts w:asciiTheme="majorHAnsi" w:hAnsiTheme="majorHAnsi"/>
                          <w:color w:val="0D0D0D" w:themeColor="text1" w:themeTint="F2"/>
                          <w:sz w:val="18"/>
                          <w:szCs w:val="20"/>
                          <w:lang w:val="es-ES"/>
                        </w:rPr>
                        <w:t>abril</w:t>
                      </w:r>
                      <w:r w:rsidRPr="001625B5">
                        <w:rPr>
                          <w:rFonts w:asciiTheme="majorHAnsi" w:hAnsiTheme="majorHAnsi"/>
                          <w:color w:val="0D0D0D" w:themeColor="text1" w:themeTint="F2"/>
                          <w:sz w:val="18"/>
                          <w:szCs w:val="20"/>
                          <w:lang w:val="es-ES"/>
                        </w:rPr>
                        <w:t xml:space="preserve"> de</w:t>
                      </w:r>
                      <w:r w:rsidRPr="001625B5">
                        <w:rPr>
                          <w:rFonts w:asciiTheme="majorHAnsi" w:hAnsiTheme="majorHAnsi"/>
                          <w:color w:val="0D0D0D" w:themeColor="text1" w:themeTint="F2"/>
                          <w:sz w:val="18"/>
                          <w:szCs w:val="22"/>
                          <w:lang w:val="es-ES"/>
                        </w:rPr>
                        <w:t xml:space="preserve"> 2019.</w:t>
                      </w:r>
                    </w:p>
                    <w:p w14:paraId="4BDF3581" w14:textId="77777777" w:rsidR="00D71E30" w:rsidRPr="001625B5" w:rsidRDefault="00D71E30"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D71E30" w:rsidRPr="001625B5" w:rsidRDefault="00D71E3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7929D1FD"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5469D0BE"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7A79F059"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330672AE" w14:textId="77777777" w:rsidR="00A50FCF" w:rsidRPr="000F68FF" w:rsidRDefault="0090270B" w:rsidP="00040C3A">
      <w:pPr>
        <w:tabs>
          <w:tab w:val="center" w:pos="5400"/>
        </w:tabs>
        <w:suppressAutoHyphens/>
        <w:jc w:val="center"/>
        <w:rPr>
          <w:rFonts w:asciiTheme="majorHAnsi" w:hAnsiTheme="majorHAnsi"/>
          <w:sz w:val="20"/>
          <w:szCs w:val="20"/>
          <w:lang w:val="es-ES"/>
        </w:rPr>
      </w:pPr>
      <w:r w:rsidRPr="000F68FF">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7533726" w:rsidR="00D71E30" w:rsidRPr="0038709A" w:rsidRDefault="00D71E30"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0E43B1">
                              <w:rPr>
                                <w:rFonts w:asciiTheme="majorHAnsi" w:hAnsiTheme="majorHAnsi"/>
                                <w:color w:val="595959" w:themeColor="text1" w:themeTint="A6"/>
                                <w:sz w:val="18"/>
                                <w:szCs w:val="18"/>
                                <w:lang w:val="pt-BR"/>
                              </w:rPr>
                              <w:t>44</w:t>
                            </w:r>
                            <w:r w:rsidRPr="0038709A">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 xml:space="preserve">ción </w:t>
                            </w:r>
                            <w:r w:rsidR="00A3034D">
                              <w:rPr>
                                <w:rFonts w:asciiTheme="majorHAnsi" w:hAnsiTheme="majorHAnsi"/>
                                <w:color w:val="595959" w:themeColor="text1" w:themeTint="A6"/>
                                <w:sz w:val="18"/>
                                <w:szCs w:val="18"/>
                                <w:lang w:val="pt-BR"/>
                              </w:rPr>
                              <w:t>1</w:t>
                            </w:r>
                            <w:r>
                              <w:rPr>
                                <w:rFonts w:asciiTheme="majorHAnsi" w:hAnsiTheme="majorHAnsi"/>
                                <w:color w:val="595959" w:themeColor="text1" w:themeTint="A6"/>
                                <w:sz w:val="18"/>
                                <w:szCs w:val="18"/>
                                <w:lang w:val="pt-BR"/>
                              </w:rPr>
                              <w:t>185-08</w:t>
                            </w:r>
                            <w:r w:rsidRPr="0038709A">
                              <w:rPr>
                                <w:rFonts w:asciiTheme="majorHAnsi" w:hAnsiTheme="majorHAnsi"/>
                                <w:color w:val="595959" w:themeColor="text1" w:themeTint="A6"/>
                                <w:sz w:val="18"/>
                                <w:szCs w:val="18"/>
                                <w:lang w:val="pt-BR"/>
                              </w:rPr>
                              <w:t>. Admisibilidad</w:t>
                            </w:r>
                            <w:r>
                              <w:rPr>
                                <w:rFonts w:asciiTheme="majorHAnsi" w:hAnsiTheme="majorHAnsi"/>
                                <w:color w:val="595959" w:themeColor="text1" w:themeTint="A6"/>
                                <w:sz w:val="18"/>
                                <w:szCs w:val="18"/>
                                <w:lang w:val="pt-BR"/>
                              </w:rPr>
                              <w:t>. Gerson Mendonça de Freitas Filho. Brasil</w:t>
                            </w:r>
                            <w:r w:rsidRPr="0038709A">
                              <w:rPr>
                                <w:rFonts w:asciiTheme="majorHAnsi" w:hAnsiTheme="majorHAnsi"/>
                                <w:color w:val="595959" w:themeColor="text1" w:themeTint="A6"/>
                                <w:sz w:val="18"/>
                                <w:szCs w:val="18"/>
                                <w:lang w:val="pt-BR"/>
                              </w:rPr>
                              <w:t xml:space="preserve">. </w:t>
                            </w:r>
                            <w:r w:rsidR="000E43B1">
                              <w:rPr>
                                <w:rFonts w:asciiTheme="majorHAnsi" w:hAnsiTheme="majorHAnsi"/>
                                <w:color w:val="595959" w:themeColor="text1" w:themeTint="A6"/>
                                <w:sz w:val="18"/>
                                <w:szCs w:val="18"/>
                                <w:lang w:val="pt-BR"/>
                              </w:rPr>
                              <w:t>24 de abril de 2019</w:t>
                            </w:r>
                            <w:r w:rsidRPr="0038709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7533726" w:rsidR="00D71E30" w:rsidRPr="0038709A" w:rsidRDefault="00D71E30"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0E43B1">
                        <w:rPr>
                          <w:rFonts w:asciiTheme="majorHAnsi" w:hAnsiTheme="majorHAnsi"/>
                          <w:color w:val="595959" w:themeColor="text1" w:themeTint="A6"/>
                          <w:sz w:val="18"/>
                          <w:szCs w:val="18"/>
                          <w:lang w:val="pt-BR"/>
                        </w:rPr>
                        <w:t>44</w:t>
                      </w:r>
                      <w:r w:rsidRPr="0038709A">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 xml:space="preserve">ción </w:t>
                      </w:r>
                      <w:r w:rsidR="00A3034D">
                        <w:rPr>
                          <w:rFonts w:asciiTheme="majorHAnsi" w:hAnsiTheme="majorHAnsi"/>
                          <w:color w:val="595959" w:themeColor="text1" w:themeTint="A6"/>
                          <w:sz w:val="18"/>
                          <w:szCs w:val="18"/>
                          <w:lang w:val="pt-BR"/>
                        </w:rPr>
                        <w:t>1</w:t>
                      </w:r>
                      <w:r>
                        <w:rPr>
                          <w:rFonts w:asciiTheme="majorHAnsi" w:hAnsiTheme="majorHAnsi"/>
                          <w:color w:val="595959" w:themeColor="text1" w:themeTint="A6"/>
                          <w:sz w:val="18"/>
                          <w:szCs w:val="18"/>
                          <w:lang w:val="pt-BR"/>
                        </w:rPr>
                        <w:t>185-08</w:t>
                      </w:r>
                      <w:r w:rsidRPr="0038709A">
                        <w:rPr>
                          <w:rFonts w:asciiTheme="majorHAnsi" w:hAnsiTheme="majorHAnsi"/>
                          <w:color w:val="595959" w:themeColor="text1" w:themeTint="A6"/>
                          <w:sz w:val="18"/>
                          <w:szCs w:val="18"/>
                          <w:lang w:val="pt-BR"/>
                        </w:rPr>
                        <w:t>. Admisibilidad</w:t>
                      </w:r>
                      <w:r>
                        <w:rPr>
                          <w:rFonts w:asciiTheme="majorHAnsi" w:hAnsiTheme="majorHAnsi"/>
                          <w:color w:val="595959" w:themeColor="text1" w:themeTint="A6"/>
                          <w:sz w:val="18"/>
                          <w:szCs w:val="18"/>
                          <w:lang w:val="pt-BR"/>
                        </w:rPr>
                        <w:t>. Gerson Mendonça de Freitas Filho. Brasil</w:t>
                      </w:r>
                      <w:r w:rsidRPr="0038709A">
                        <w:rPr>
                          <w:rFonts w:asciiTheme="majorHAnsi" w:hAnsiTheme="majorHAnsi"/>
                          <w:color w:val="595959" w:themeColor="text1" w:themeTint="A6"/>
                          <w:sz w:val="18"/>
                          <w:szCs w:val="18"/>
                          <w:lang w:val="pt-BR"/>
                        </w:rPr>
                        <w:t xml:space="preserve">. </w:t>
                      </w:r>
                      <w:r w:rsidR="000E43B1">
                        <w:rPr>
                          <w:rFonts w:asciiTheme="majorHAnsi" w:hAnsiTheme="majorHAnsi"/>
                          <w:color w:val="595959" w:themeColor="text1" w:themeTint="A6"/>
                          <w:sz w:val="18"/>
                          <w:szCs w:val="18"/>
                          <w:lang w:val="pt-BR"/>
                        </w:rPr>
                        <w:t>24 de abril de 2019</w:t>
                      </w:r>
                      <w:r w:rsidRPr="0038709A">
                        <w:rPr>
                          <w:rFonts w:asciiTheme="majorHAnsi" w:hAnsiTheme="majorHAnsi"/>
                          <w:color w:val="595959" w:themeColor="text1" w:themeTint="A6"/>
                          <w:sz w:val="18"/>
                          <w:szCs w:val="18"/>
                          <w:lang w:val="pt-BR"/>
                        </w:rPr>
                        <w:t>.</w:t>
                      </w:r>
                    </w:p>
                  </w:txbxContent>
                </v:textbox>
              </v:shape>
            </w:pict>
          </mc:Fallback>
        </mc:AlternateContent>
      </w:r>
    </w:p>
    <w:p w14:paraId="196A49DE" w14:textId="77777777" w:rsidR="00A50FCF" w:rsidRPr="000F68FF" w:rsidRDefault="00A50FCF" w:rsidP="00040C3A">
      <w:pPr>
        <w:tabs>
          <w:tab w:val="center" w:pos="5400"/>
        </w:tabs>
        <w:suppressAutoHyphens/>
        <w:jc w:val="center"/>
        <w:rPr>
          <w:rFonts w:asciiTheme="majorHAnsi" w:hAnsiTheme="majorHAnsi"/>
          <w:sz w:val="20"/>
          <w:szCs w:val="20"/>
          <w:lang w:val="es-ES"/>
        </w:rPr>
      </w:pPr>
    </w:p>
    <w:p w14:paraId="1DA07629" w14:textId="77777777" w:rsidR="0090270B" w:rsidRPr="000F68FF" w:rsidRDefault="00D306D1" w:rsidP="005516A1">
      <w:pPr>
        <w:tabs>
          <w:tab w:val="center" w:pos="5400"/>
        </w:tabs>
        <w:suppressAutoHyphens/>
        <w:jc w:val="center"/>
        <w:rPr>
          <w:rFonts w:asciiTheme="majorHAnsi" w:hAnsiTheme="majorHAnsi"/>
          <w:b/>
          <w:sz w:val="20"/>
          <w:szCs w:val="20"/>
          <w:lang w:val="es-ES"/>
        </w:rPr>
      </w:pPr>
      <w:r w:rsidRPr="000F68FF">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23FD0BA0" w:rsidR="00D71E30" w:rsidRPr="00D72DC6" w:rsidRDefault="00D71E3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B3C028" wp14:editId="1E1C087E">
                                  <wp:extent cx="1761808" cy="45322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6822" cy="4519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23FD0BA0" w:rsidR="00D71E30" w:rsidRPr="00D72DC6" w:rsidRDefault="00D71E3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DB3C028" wp14:editId="1E1C087E">
                            <wp:extent cx="1761808" cy="45322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6822" cy="451941"/>
                                    </a:xfrm>
                                    <a:prstGeom prst="rect">
                                      <a:avLst/>
                                    </a:prstGeom>
                                    <a:noFill/>
                                    <a:ln>
                                      <a:noFill/>
                                    </a:ln>
                                  </pic:spPr>
                                </pic:pic>
                              </a:graphicData>
                            </a:graphic>
                          </wp:inline>
                        </w:drawing>
                      </w:r>
                    </w:p>
                  </w:txbxContent>
                </v:textbox>
              </v:shape>
            </w:pict>
          </mc:Fallback>
        </mc:AlternateContent>
      </w:r>
      <w:r w:rsidRPr="000F68FF">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71E30" w:rsidRPr="004C700A" w:rsidRDefault="00D71E30" w:rsidP="00D306D1">
                            <w:pPr>
                              <w:jc w:val="center"/>
                              <w:rPr>
                                <w:rFonts w:asciiTheme="minorHAnsi" w:hAnsiTheme="minorHAnsi"/>
                                <w:b/>
                                <w:color w:val="FFFFFF" w:themeColor="background1"/>
                              </w:rPr>
                            </w:pPr>
                            <w:r w:rsidRPr="004C700A">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71E30" w:rsidRPr="004C700A" w:rsidRDefault="00D71E30" w:rsidP="00D306D1">
                      <w:pPr>
                        <w:jc w:val="center"/>
                        <w:rPr>
                          <w:rFonts w:asciiTheme="minorHAnsi" w:hAnsiTheme="minorHAnsi"/>
                          <w:b/>
                          <w:color w:val="FFFFFF" w:themeColor="background1"/>
                        </w:rPr>
                      </w:pPr>
                      <w:r w:rsidRPr="004C700A">
                        <w:rPr>
                          <w:rFonts w:asciiTheme="minorHAnsi" w:hAnsiTheme="minorHAnsi"/>
                          <w:b/>
                          <w:color w:val="FFFFFF" w:themeColor="background1"/>
                          <w:lang w:val="pt-BR"/>
                        </w:rPr>
                        <w:t>www.cidh.org</w:t>
                      </w:r>
                    </w:p>
                  </w:txbxContent>
                </v:textbox>
              </v:shape>
            </w:pict>
          </mc:Fallback>
        </mc:AlternateContent>
      </w:r>
    </w:p>
    <w:p w14:paraId="2FE1B253" w14:textId="4E43B8E7" w:rsidR="0070697F" w:rsidRPr="000F68FF" w:rsidRDefault="004A6A54" w:rsidP="005516A1">
      <w:pPr>
        <w:tabs>
          <w:tab w:val="center" w:pos="5400"/>
        </w:tabs>
        <w:suppressAutoHyphens/>
        <w:jc w:val="center"/>
        <w:rPr>
          <w:rFonts w:asciiTheme="majorHAnsi" w:hAnsiTheme="majorHAnsi"/>
          <w:b/>
          <w:sz w:val="20"/>
          <w:szCs w:val="20"/>
          <w:lang w:val="es-ES"/>
        </w:rPr>
        <w:sectPr w:rsidR="0070697F" w:rsidRPr="000F68FF" w:rsidSect="00C054DF">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docGrid w:linePitch="326"/>
        </w:sectPr>
      </w:pPr>
      <w:r w:rsidRPr="000F68FF">
        <w:rPr>
          <w:rFonts w:asciiTheme="majorHAnsi" w:hAnsiTheme="majorHAnsi"/>
          <w:b/>
          <w:sz w:val="20"/>
          <w:szCs w:val="20"/>
          <w:lang w:val="es-ES"/>
        </w:rPr>
        <w:tab/>
      </w:r>
    </w:p>
    <w:p w14:paraId="376DDC8B" w14:textId="3C69FEE3" w:rsidR="003239B8" w:rsidRPr="004C700A" w:rsidRDefault="00A37F2E" w:rsidP="004C700A">
      <w:pPr>
        <w:spacing w:after="120"/>
        <w:ind w:firstLine="720"/>
        <w:jc w:val="both"/>
        <w:rPr>
          <w:rFonts w:asciiTheme="majorHAnsi" w:hAnsiTheme="majorHAnsi"/>
          <w:b/>
          <w:bCs/>
          <w:sz w:val="19"/>
          <w:szCs w:val="19"/>
          <w:lang w:val="es-ES"/>
        </w:rPr>
      </w:pPr>
      <w:r w:rsidRPr="004C700A">
        <w:rPr>
          <w:rFonts w:asciiTheme="majorHAnsi" w:hAnsiTheme="majorHAnsi"/>
          <w:b/>
          <w:bCs/>
          <w:sz w:val="19"/>
          <w:szCs w:val="19"/>
          <w:lang w:val="es-ES"/>
        </w:rPr>
        <w:lastRenderedPageBreak/>
        <w:t>I.</w:t>
      </w:r>
      <w:r w:rsidRPr="004C700A">
        <w:rPr>
          <w:rFonts w:asciiTheme="majorHAnsi" w:hAnsiTheme="majorHAnsi"/>
          <w:b/>
          <w:bCs/>
          <w:sz w:val="19"/>
          <w:szCs w:val="19"/>
          <w:lang w:val="es-ES"/>
        </w:rPr>
        <w:tab/>
      </w:r>
      <w:r w:rsidR="000F68FF" w:rsidRPr="004C700A">
        <w:rPr>
          <w:rFonts w:asciiTheme="majorHAnsi" w:hAnsiTheme="majorHAnsi"/>
          <w:b/>
          <w:bCs/>
          <w:sz w:val="19"/>
          <w:szCs w:val="19"/>
          <w:lang w:val="es-ES"/>
        </w:rPr>
        <w:t>DATOS DE LA PETICIÓN</w:t>
      </w:r>
      <w:r w:rsidR="003239B8" w:rsidRPr="004C700A">
        <w:rPr>
          <w:rFonts w:asciiTheme="majorHAnsi" w:hAnsiTheme="majorHAnsi"/>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625B5" w14:paraId="5A79D1F7" w14:textId="77777777" w:rsidTr="004C700A">
        <w:tc>
          <w:tcPr>
            <w:tcW w:w="3600" w:type="dxa"/>
            <w:tcBorders>
              <w:top w:val="single" w:sz="4" w:space="0" w:color="auto"/>
              <w:bottom w:val="single" w:sz="6" w:space="0" w:color="auto"/>
            </w:tcBorders>
            <w:shd w:val="clear" w:color="auto" w:fill="4A7194"/>
            <w:vAlign w:val="center"/>
          </w:tcPr>
          <w:p w14:paraId="0CB2A43B" w14:textId="5C270358" w:rsidR="003239B8" w:rsidRPr="004C700A" w:rsidRDefault="00A37F2E"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 xml:space="preserve">Parte </w:t>
            </w:r>
            <w:r w:rsidR="000F68FF" w:rsidRPr="004C700A">
              <w:rPr>
                <w:rFonts w:asciiTheme="majorHAnsi" w:hAnsiTheme="majorHAnsi"/>
                <w:b/>
                <w:bCs/>
                <w:color w:val="FFFFFF" w:themeColor="background1"/>
                <w:sz w:val="19"/>
                <w:szCs w:val="19"/>
                <w:lang w:val="es-ES"/>
              </w:rPr>
              <w:t>peticionaria</w:t>
            </w:r>
            <w:r w:rsidR="003239B8" w:rsidRPr="004C700A">
              <w:rPr>
                <w:rFonts w:asciiTheme="majorHAnsi" w:hAnsiTheme="majorHAnsi"/>
                <w:b/>
                <w:bCs/>
                <w:color w:val="FFFFFF" w:themeColor="background1"/>
                <w:sz w:val="19"/>
                <w:szCs w:val="19"/>
                <w:lang w:val="es-ES"/>
              </w:rPr>
              <w:t>:</w:t>
            </w:r>
          </w:p>
        </w:tc>
        <w:tc>
          <w:tcPr>
            <w:tcW w:w="5760" w:type="dxa"/>
            <w:vAlign w:val="center"/>
          </w:tcPr>
          <w:p w14:paraId="3C5315D8" w14:textId="340DF5EF" w:rsidR="003239B8" w:rsidRPr="004C700A" w:rsidRDefault="00671A1D" w:rsidP="00134AB1">
            <w:pPr>
              <w:jc w:val="both"/>
              <w:rPr>
                <w:rFonts w:asciiTheme="majorHAnsi" w:hAnsiTheme="majorHAnsi"/>
                <w:bCs/>
                <w:sz w:val="19"/>
                <w:szCs w:val="19"/>
                <w:lang w:val="es-ES"/>
              </w:rPr>
            </w:pPr>
            <w:r w:rsidRPr="004C700A">
              <w:rPr>
                <w:rFonts w:asciiTheme="majorHAnsi" w:hAnsiTheme="majorHAnsi"/>
                <w:bCs/>
                <w:sz w:val="19"/>
                <w:szCs w:val="19"/>
                <w:lang w:val="es-ES"/>
              </w:rPr>
              <w:t xml:space="preserve">Sonia Kodaira </w:t>
            </w:r>
            <w:r w:rsidR="000F68FF" w:rsidRPr="004C700A">
              <w:rPr>
                <w:rFonts w:asciiTheme="majorHAnsi" w:hAnsiTheme="majorHAnsi"/>
                <w:bCs/>
                <w:sz w:val="19"/>
                <w:szCs w:val="19"/>
                <w:lang w:val="es-ES"/>
              </w:rPr>
              <w:t>y</w:t>
            </w:r>
            <w:r w:rsidRPr="004C700A">
              <w:rPr>
                <w:rFonts w:asciiTheme="majorHAnsi" w:hAnsiTheme="majorHAnsi"/>
                <w:bCs/>
                <w:sz w:val="19"/>
                <w:szCs w:val="19"/>
                <w:lang w:val="es-ES"/>
              </w:rPr>
              <w:t xml:space="preserve"> Conectas D</w:t>
            </w:r>
            <w:r w:rsidR="00134AB1" w:rsidRPr="004C700A">
              <w:rPr>
                <w:rFonts w:asciiTheme="majorHAnsi" w:hAnsiTheme="majorHAnsi"/>
                <w:bCs/>
                <w:sz w:val="19"/>
                <w:szCs w:val="19"/>
                <w:lang w:val="es-ES"/>
              </w:rPr>
              <w:t>erechos</w:t>
            </w:r>
            <w:r w:rsidRPr="004C700A">
              <w:rPr>
                <w:rFonts w:asciiTheme="majorHAnsi" w:hAnsiTheme="majorHAnsi"/>
                <w:bCs/>
                <w:sz w:val="19"/>
                <w:szCs w:val="19"/>
                <w:lang w:val="es-ES"/>
              </w:rPr>
              <w:t xml:space="preserve"> Humanos</w:t>
            </w:r>
          </w:p>
        </w:tc>
      </w:tr>
      <w:tr w:rsidR="003239B8" w:rsidRPr="001625B5" w14:paraId="593A7E45" w14:textId="77777777" w:rsidTr="004C700A">
        <w:tc>
          <w:tcPr>
            <w:tcW w:w="3600" w:type="dxa"/>
            <w:tcBorders>
              <w:top w:val="single" w:sz="6" w:space="0" w:color="auto"/>
              <w:bottom w:val="single" w:sz="6" w:space="0" w:color="auto"/>
            </w:tcBorders>
            <w:shd w:val="clear" w:color="auto" w:fill="4A7194"/>
            <w:vAlign w:val="center"/>
          </w:tcPr>
          <w:p w14:paraId="0E78CA0C" w14:textId="3635A238" w:rsidR="003239B8" w:rsidRPr="004C700A" w:rsidRDefault="000F68F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Presunta víctima</w:t>
            </w:r>
            <w:r w:rsidR="003239B8" w:rsidRPr="004C700A">
              <w:rPr>
                <w:rFonts w:asciiTheme="majorHAnsi" w:hAnsiTheme="majorHAnsi"/>
                <w:b/>
                <w:bCs/>
                <w:color w:val="FFFFFF" w:themeColor="background1"/>
                <w:sz w:val="19"/>
                <w:szCs w:val="19"/>
                <w:lang w:val="es-ES"/>
              </w:rPr>
              <w:t>:</w:t>
            </w:r>
          </w:p>
        </w:tc>
        <w:tc>
          <w:tcPr>
            <w:tcW w:w="5760" w:type="dxa"/>
            <w:vAlign w:val="center"/>
          </w:tcPr>
          <w:p w14:paraId="4AEBF59E" w14:textId="490E7893" w:rsidR="003239B8" w:rsidRPr="001625B5" w:rsidRDefault="00671A1D" w:rsidP="00314D9D">
            <w:pPr>
              <w:jc w:val="both"/>
              <w:rPr>
                <w:rFonts w:asciiTheme="majorHAnsi" w:hAnsiTheme="majorHAnsi"/>
                <w:bCs/>
                <w:sz w:val="19"/>
                <w:szCs w:val="19"/>
                <w:lang w:val="pt-BR"/>
              </w:rPr>
            </w:pPr>
            <w:r w:rsidRPr="001625B5">
              <w:rPr>
                <w:rFonts w:asciiTheme="majorHAnsi" w:hAnsiTheme="majorHAnsi"/>
                <w:bCs/>
                <w:sz w:val="19"/>
                <w:szCs w:val="19"/>
                <w:lang w:val="pt-BR"/>
              </w:rPr>
              <w:t>Gerson Mendonça de Freitas Filho</w:t>
            </w:r>
          </w:p>
        </w:tc>
      </w:tr>
      <w:tr w:rsidR="003239B8" w:rsidRPr="004C700A" w14:paraId="3E62E1D3" w14:textId="77777777" w:rsidTr="004C700A">
        <w:tc>
          <w:tcPr>
            <w:tcW w:w="3600" w:type="dxa"/>
            <w:tcBorders>
              <w:top w:val="single" w:sz="6" w:space="0" w:color="auto"/>
              <w:bottom w:val="single" w:sz="6" w:space="0" w:color="auto"/>
            </w:tcBorders>
            <w:shd w:val="clear" w:color="auto" w:fill="4A7194"/>
            <w:vAlign w:val="center"/>
          </w:tcPr>
          <w:p w14:paraId="340B0F09" w14:textId="77777777" w:rsidR="003239B8" w:rsidRPr="004C700A" w:rsidRDefault="003239B8"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Estado denunciado:</w:t>
            </w:r>
          </w:p>
        </w:tc>
        <w:tc>
          <w:tcPr>
            <w:tcW w:w="5760" w:type="dxa"/>
            <w:vAlign w:val="center"/>
          </w:tcPr>
          <w:p w14:paraId="274C8A50" w14:textId="0B30EFC8" w:rsidR="003239B8" w:rsidRPr="004C700A" w:rsidRDefault="006A20E7" w:rsidP="00314D9D">
            <w:pPr>
              <w:jc w:val="both"/>
              <w:rPr>
                <w:rFonts w:asciiTheme="majorHAnsi" w:hAnsiTheme="majorHAnsi"/>
                <w:bCs/>
                <w:sz w:val="19"/>
                <w:szCs w:val="19"/>
                <w:lang w:val="es-ES"/>
              </w:rPr>
            </w:pPr>
            <w:r w:rsidRPr="004C700A">
              <w:rPr>
                <w:rFonts w:asciiTheme="majorHAnsi" w:hAnsiTheme="majorHAnsi"/>
                <w:bCs/>
                <w:sz w:val="19"/>
                <w:szCs w:val="19"/>
                <w:lang w:val="es-ES"/>
              </w:rPr>
              <w:t>Brasil</w:t>
            </w:r>
            <w:r w:rsidR="004A6A54" w:rsidRPr="004C700A">
              <w:rPr>
                <w:rStyle w:val="FootnoteReference"/>
                <w:rFonts w:asciiTheme="majorHAnsi" w:hAnsiTheme="majorHAnsi"/>
                <w:bCs/>
                <w:sz w:val="19"/>
                <w:szCs w:val="19"/>
                <w:lang w:val="es-ES"/>
              </w:rPr>
              <w:footnoteReference w:id="2"/>
            </w:r>
          </w:p>
        </w:tc>
      </w:tr>
      <w:tr w:rsidR="00223A29" w:rsidRPr="001625B5" w14:paraId="632511BC" w14:textId="77777777" w:rsidTr="004C700A">
        <w:tc>
          <w:tcPr>
            <w:tcW w:w="3600" w:type="dxa"/>
            <w:tcBorders>
              <w:top w:val="single" w:sz="6" w:space="0" w:color="auto"/>
              <w:bottom w:val="single" w:sz="6" w:space="0" w:color="auto"/>
            </w:tcBorders>
            <w:shd w:val="clear" w:color="auto" w:fill="4A7194"/>
            <w:vAlign w:val="center"/>
          </w:tcPr>
          <w:p w14:paraId="727E2F6B" w14:textId="21F885B9" w:rsidR="00223A29" w:rsidRPr="004C700A" w:rsidRDefault="000F68F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Derechos invocados</w:t>
            </w:r>
            <w:r w:rsidR="001B3A00" w:rsidRPr="004C700A">
              <w:rPr>
                <w:rFonts w:asciiTheme="majorHAnsi" w:hAnsiTheme="majorHAnsi"/>
                <w:b/>
                <w:bCs/>
                <w:color w:val="FFFFFF" w:themeColor="background1"/>
                <w:sz w:val="19"/>
                <w:szCs w:val="19"/>
                <w:lang w:val="es-ES"/>
              </w:rPr>
              <w:t>:</w:t>
            </w:r>
          </w:p>
        </w:tc>
        <w:tc>
          <w:tcPr>
            <w:tcW w:w="5760" w:type="dxa"/>
            <w:vAlign w:val="center"/>
          </w:tcPr>
          <w:p w14:paraId="6DEE1EEB" w14:textId="089B30FE" w:rsidR="00223A29" w:rsidRPr="004C700A" w:rsidRDefault="000F68FF" w:rsidP="00617BF2">
            <w:pPr>
              <w:jc w:val="both"/>
              <w:rPr>
                <w:rFonts w:asciiTheme="majorHAnsi" w:hAnsiTheme="majorHAnsi"/>
                <w:bCs/>
                <w:sz w:val="19"/>
                <w:szCs w:val="19"/>
                <w:lang w:val="es-ES"/>
              </w:rPr>
            </w:pPr>
            <w:r w:rsidRPr="004C700A">
              <w:rPr>
                <w:rFonts w:asciiTheme="majorHAnsi" w:hAnsiTheme="majorHAnsi"/>
                <w:bCs/>
                <w:sz w:val="19"/>
                <w:szCs w:val="19"/>
                <w:lang w:val="es-ES"/>
              </w:rPr>
              <w:t>Artículo</w:t>
            </w:r>
            <w:r w:rsidR="00671A1D" w:rsidRPr="004C700A">
              <w:rPr>
                <w:rFonts w:asciiTheme="majorHAnsi" w:hAnsiTheme="majorHAnsi"/>
                <w:bCs/>
                <w:sz w:val="19"/>
                <w:szCs w:val="19"/>
                <w:lang w:val="es-ES"/>
              </w:rPr>
              <w:t xml:space="preserve">s 4 </w:t>
            </w:r>
            <w:r w:rsidR="00C44F5F" w:rsidRPr="004C700A">
              <w:rPr>
                <w:rFonts w:asciiTheme="majorHAnsi" w:hAnsiTheme="majorHAnsi"/>
                <w:bCs/>
                <w:sz w:val="19"/>
                <w:szCs w:val="19"/>
                <w:lang w:val="es-ES"/>
              </w:rPr>
              <w:t>(derecho a la vida)</w:t>
            </w:r>
            <w:r w:rsidR="00671A1D" w:rsidRPr="004C700A">
              <w:rPr>
                <w:rFonts w:asciiTheme="majorHAnsi" w:hAnsiTheme="majorHAnsi"/>
                <w:bCs/>
                <w:sz w:val="19"/>
                <w:szCs w:val="19"/>
                <w:lang w:val="es-ES"/>
              </w:rPr>
              <w:t xml:space="preserve"> </w:t>
            </w:r>
            <w:r w:rsidR="00C44F5F" w:rsidRPr="004C700A">
              <w:rPr>
                <w:rFonts w:asciiTheme="majorHAnsi" w:hAnsiTheme="majorHAnsi"/>
                <w:bCs/>
                <w:sz w:val="19"/>
                <w:szCs w:val="19"/>
                <w:lang w:val="es-ES"/>
              </w:rPr>
              <w:t>y</w:t>
            </w:r>
            <w:r w:rsidR="00671A1D" w:rsidRPr="004C700A">
              <w:rPr>
                <w:rFonts w:asciiTheme="majorHAnsi" w:hAnsiTheme="majorHAnsi"/>
                <w:bCs/>
                <w:sz w:val="19"/>
                <w:szCs w:val="19"/>
                <w:lang w:val="es-ES"/>
              </w:rPr>
              <w:t xml:space="preserve"> 25 (</w:t>
            </w:r>
            <w:r w:rsidR="00C44F5F" w:rsidRPr="004C700A">
              <w:rPr>
                <w:rFonts w:asciiTheme="majorHAnsi" w:hAnsiTheme="majorHAnsi"/>
                <w:bCs/>
                <w:sz w:val="19"/>
                <w:szCs w:val="19"/>
                <w:lang w:val="es-ES"/>
              </w:rPr>
              <w:t>protección</w:t>
            </w:r>
            <w:r w:rsidR="00671A1D" w:rsidRPr="004C700A">
              <w:rPr>
                <w:rFonts w:asciiTheme="majorHAnsi" w:hAnsiTheme="majorHAnsi"/>
                <w:bCs/>
                <w:sz w:val="19"/>
                <w:szCs w:val="19"/>
                <w:lang w:val="es-ES"/>
              </w:rPr>
              <w:t xml:space="preserve"> judicial)</w:t>
            </w:r>
            <w:r w:rsidR="008D298A" w:rsidRPr="004C700A">
              <w:rPr>
                <w:rFonts w:asciiTheme="majorHAnsi" w:hAnsiTheme="majorHAnsi"/>
                <w:bCs/>
                <w:sz w:val="19"/>
                <w:szCs w:val="19"/>
                <w:lang w:val="es-ES"/>
              </w:rPr>
              <w:t>,</w:t>
            </w:r>
            <w:r w:rsidR="00671A1D" w:rsidRPr="004C700A">
              <w:rPr>
                <w:rFonts w:asciiTheme="majorHAnsi" w:hAnsiTheme="majorHAnsi"/>
                <w:bCs/>
                <w:sz w:val="19"/>
                <w:szCs w:val="19"/>
                <w:lang w:val="es-ES"/>
              </w:rPr>
              <w:t xml:space="preserve"> relacionados co</w:t>
            </w:r>
            <w:r w:rsidR="00C44F5F" w:rsidRPr="004C700A">
              <w:rPr>
                <w:rFonts w:asciiTheme="majorHAnsi" w:hAnsiTheme="majorHAnsi"/>
                <w:bCs/>
                <w:sz w:val="19"/>
                <w:szCs w:val="19"/>
                <w:lang w:val="es-ES"/>
              </w:rPr>
              <w:t xml:space="preserve">n el </w:t>
            </w:r>
            <w:r w:rsidRPr="004C700A">
              <w:rPr>
                <w:rFonts w:asciiTheme="majorHAnsi" w:hAnsiTheme="majorHAnsi"/>
                <w:bCs/>
                <w:sz w:val="19"/>
                <w:szCs w:val="19"/>
                <w:lang w:val="es-ES"/>
              </w:rPr>
              <w:t>artículo</w:t>
            </w:r>
            <w:r w:rsidR="00671A1D" w:rsidRPr="004C700A">
              <w:rPr>
                <w:rFonts w:asciiTheme="majorHAnsi" w:hAnsiTheme="majorHAnsi"/>
                <w:bCs/>
                <w:sz w:val="19"/>
                <w:szCs w:val="19"/>
                <w:lang w:val="es-ES"/>
              </w:rPr>
              <w:t xml:space="preserve"> 1.1 </w:t>
            </w:r>
            <w:r w:rsidR="004C700A">
              <w:rPr>
                <w:rFonts w:asciiTheme="majorHAnsi" w:hAnsiTheme="majorHAnsi"/>
                <w:bCs/>
                <w:sz w:val="19"/>
                <w:szCs w:val="19"/>
                <w:lang w:val="es-ES"/>
              </w:rPr>
              <w:t>(</w:t>
            </w:r>
            <w:r w:rsidR="00617BF2">
              <w:rPr>
                <w:rFonts w:asciiTheme="majorHAnsi" w:hAnsiTheme="majorHAnsi"/>
                <w:bCs/>
                <w:sz w:val="19"/>
                <w:szCs w:val="19"/>
                <w:lang w:val="es-ES"/>
              </w:rPr>
              <w:t>obligación</w:t>
            </w:r>
            <w:r w:rsidR="004C700A">
              <w:rPr>
                <w:rFonts w:asciiTheme="majorHAnsi" w:hAnsiTheme="majorHAnsi"/>
                <w:bCs/>
                <w:sz w:val="19"/>
                <w:szCs w:val="19"/>
                <w:lang w:val="es-ES"/>
              </w:rPr>
              <w:t xml:space="preserve"> de respetar los derechos) </w:t>
            </w:r>
            <w:r w:rsidR="00671A1D" w:rsidRPr="004C700A">
              <w:rPr>
                <w:rFonts w:asciiTheme="majorHAnsi" w:hAnsiTheme="majorHAnsi"/>
                <w:bCs/>
                <w:sz w:val="19"/>
                <w:szCs w:val="19"/>
                <w:lang w:val="es-ES"/>
              </w:rPr>
              <w:t>d</w:t>
            </w:r>
            <w:r w:rsidR="00C44F5F" w:rsidRPr="004C700A">
              <w:rPr>
                <w:rFonts w:asciiTheme="majorHAnsi" w:hAnsiTheme="majorHAnsi"/>
                <w:bCs/>
                <w:sz w:val="19"/>
                <w:szCs w:val="19"/>
                <w:lang w:val="es-ES"/>
              </w:rPr>
              <w:t>e l</w:t>
            </w:r>
            <w:r w:rsidR="00671A1D" w:rsidRPr="004C700A">
              <w:rPr>
                <w:rFonts w:asciiTheme="majorHAnsi" w:hAnsiTheme="majorHAnsi"/>
                <w:bCs/>
                <w:sz w:val="19"/>
                <w:szCs w:val="19"/>
                <w:lang w:val="es-ES"/>
              </w:rPr>
              <w:t xml:space="preserve">a </w:t>
            </w:r>
            <w:r w:rsidRPr="004C700A">
              <w:rPr>
                <w:rFonts w:asciiTheme="majorHAnsi" w:hAnsiTheme="majorHAnsi"/>
                <w:bCs/>
                <w:sz w:val="19"/>
                <w:szCs w:val="19"/>
                <w:lang w:val="es-ES"/>
              </w:rPr>
              <w:t>Convención Americana</w:t>
            </w:r>
            <w:r w:rsidR="00671A1D" w:rsidRPr="004C700A">
              <w:rPr>
                <w:rFonts w:asciiTheme="majorHAnsi" w:hAnsiTheme="majorHAnsi"/>
                <w:bCs/>
                <w:sz w:val="19"/>
                <w:szCs w:val="19"/>
                <w:lang w:val="es-ES"/>
              </w:rPr>
              <w:t xml:space="preserve"> </w:t>
            </w:r>
            <w:r w:rsidR="00C44F5F" w:rsidRPr="004C700A">
              <w:rPr>
                <w:rFonts w:asciiTheme="majorHAnsi" w:hAnsiTheme="majorHAnsi"/>
                <w:bCs/>
                <w:sz w:val="19"/>
                <w:szCs w:val="19"/>
                <w:lang w:val="es-ES"/>
              </w:rPr>
              <w:t>sobre</w:t>
            </w:r>
            <w:r w:rsidR="00671A1D" w:rsidRPr="004C700A">
              <w:rPr>
                <w:rFonts w:asciiTheme="majorHAnsi" w:hAnsiTheme="majorHAnsi"/>
                <w:bCs/>
                <w:sz w:val="19"/>
                <w:szCs w:val="19"/>
                <w:lang w:val="es-ES"/>
              </w:rPr>
              <w:t xml:space="preserve"> </w:t>
            </w:r>
            <w:r w:rsidR="00C44F5F" w:rsidRPr="004C700A">
              <w:rPr>
                <w:rFonts w:asciiTheme="majorHAnsi" w:hAnsiTheme="majorHAnsi"/>
                <w:bCs/>
                <w:sz w:val="19"/>
                <w:szCs w:val="19"/>
                <w:lang w:val="es-ES"/>
              </w:rPr>
              <w:t>Derechos</w:t>
            </w:r>
            <w:r w:rsidR="00671A1D" w:rsidRPr="004C700A">
              <w:rPr>
                <w:rFonts w:asciiTheme="majorHAnsi" w:hAnsiTheme="majorHAnsi"/>
                <w:bCs/>
                <w:sz w:val="19"/>
                <w:szCs w:val="19"/>
                <w:lang w:val="es-ES"/>
              </w:rPr>
              <w:t xml:space="preserve"> Humanos</w:t>
            </w:r>
            <w:r w:rsidR="00671A1D" w:rsidRPr="004C700A">
              <w:rPr>
                <w:rStyle w:val="FootnoteReference"/>
                <w:rFonts w:asciiTheme="majorHAnsi" w:hAnsiTheme="majorHAnsi"/>
                <w:bCs/>
                <w:sz w:val="19"/>
                <w:szCs w:val="19"/>
                <w:lang w:val="es-ES"/>
              </w:rPr>
              <w:footnoteReference w:id="3"/>
            </w:r>
          </w:p>
        </w:tc>
      </w:tr>
    </w:tbl>
    <w:p w14:paraId="20263696" w14:textId="7F314AE1" w:rsidR="003239B8" w:rsidRPr="004C700A" w:rsidRDefault="00A37F2E" w:rsidP="004C700A">
      <w:pPr>
        <w:spacing w:before="120" w:after="120"/>
        <w:ind w:firstLine="720"/>
        <w:jc w:val="both"/>
        <w:rPr>
          <w:rFonts w:asciiTheme="majorHAnsi" w:hAnsiTheme="majorHAnsi"/>
          <w:b/>
          <w:bCs/>
          <w:sz w:val="19"/>
          <w:szCs w:val="19"/>
          <w:lang w:val="es-ES"/>
        </w:rPr>
      </w:pPr>
      <w:r w:rsidRPr="004C700A">
        <w:rPr>
          <w:rFonts w:asciiTheme="majorHAnsi" w:hAnsiTheme="majorHAnsi"/>
          <w:b/>
          <w:bCs/>
          <w:sz w:val="19"/>
          <w:szCs w:val="19"/>
          <w:lang w:val="es-ES"/>
        </w:rPr>
        <w:t>II.</w:t>
      </w:r>
      <w:r w:rsidRPr="004C700A">
        <w:rPr>
          <w:rFonts w:asciiTheme="majorHAnsi" w:hAnsiTheme="majorHAnsi"/>
          <w:b/>
          <w:bCs/>
          <w:sz w:val="19"/>
          <w:szCs w:val="19"/>
          <w:lang w:val="es-ES"/>
        </w:rPr>
        <w:tab/>
      </w:r>
      <w:r w:rsidR="000F68FF" w:rsidRPr="004C700A">
        <w:rPr>
          <w:rFonts w:asciiTheme="majorHAnsi" w:hAnsiTheme="majorHAnsi"/>
          <w:b/>
          <w:bCs/>
          <w:sz w:val="19"/>
          <w:szCs w:val="19"/>
          <w:lang w:val="es-ES"/>
        </w:rPr>
        <w:t>TRÁMITE</w:t>
      </w:r>
      <w:r w:rsidRPr="004C700A">
        <w:rPr>
          <w:rFonts w:asciiTheme="majorHAnsi" w:hAnsiTheme="majorHAnsi"/>
          <w:b/>
          <w:bCs/>
          <w:sz w:val="19"/>
          <w:szCs w:val="19"/>
          <w:lang w:val="es-ES"/>
        </w:rPr>
        <w:t xml:space="preserve"> ANTE </w:t>
      </w:r>
      <w:r w:rsidR="000F68FF" w:rsidRPr="004C700A">
        <w:rPr>
          <w:rFonts w:asciiTheme="majorHAnsi" w:hAnsiTheme="majorHAnsi"/>
          <w:b/>
          <w:bCs/>
          <w:sz w:val="19"/>
          <w:szCs w:val="19"/>
          <w:lang w:val="es-ES"/>
        </w:rPr>
        <w:t>L</w:t>
      </w:r>
      <w:r w:rsidRPr="004C700A">
        <w:rPr>
          <w:rFonts w:asciiTheme="majorHAnsi" w:hAnsiTheme="majorHAnsi"/>
          <w:b/>
          <w:bCs/>
          <w:sz w:val="19"/>
          <w:szCs w:val="19"/>
          <w:lang w:val="es-ES"/>
        </w:rPr>
        <w:t>A</w:t>
      </w:r>
      <w:r w:rsidR="003239B8" w:rsidRPr="004C700A">
        <w:rPr>
          <w:rFonts w:asciiTheme="majorHAnsi" w:hAnsiTheme="majorHAnsi"/>
          <w:b/>
          <w:bCs/>
          <w:sz w:val="19"/>
          <w:szCs w:val="19"/>
          <w:lang w:val="es-ES"/>
        </w:rPr>
        <w:t xml:space="preserve"> CIDH</w:t>
      </w:r>
      <w:r w:rsidR="008E3BFE" w:rsidRPr="004C700A">
        <w:rPr>
          <w:rStyle w:val="FootnoteReference"/>
          <w:rFonts w:asciiTheme="majorHAnsi" w:hAnsiTheme="majorHAnsi"/>
          <w:b/>
          <w:sz w:val="19"/>
          <w:szCs w:val="19"/>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C700A" w14:paraId="306EFCB0" w14:textId="77777777" w:rsidTr="004C700A">
        <w:tc>
          <w:tcPr>
            <w:tcW w:w="3600" w:type="dxa"/>
            <w:tcBorders>
              <w:top w:val="single" w:sz="6" w:space="0" w:color="auto"/>
              <w:bottom w:val="single" w:sz="6" w:space="0" w:color="auto"/>
            </w:tcBorders>
            <w:shd w:val="clear" w:color="auto" w:fill="4A7194"/>
            <w:vAlign w:val="center"/>
          </w:tcPr>
          <w:p w14:paraId="7508D16F" w14:textId="6DA82C45" w:rsidR="004C2312" w:rsidRPr="004C700A" w:rsidRDefault="002C4DEC" w:rsidP="002C4DEC">
            <w:pPr>
              <w:jc w:val="center"/>
              <w:rPr>
                <w:rFonts w:asciiTheme="majorHAnsi" w:hAnsiTheme="majorHAnsi"/>
                <w:b/>
                <w:bCs/>
                <w:color w:val="FFFFFF" w:themeColor="background1"/>
                <w:sz w:val="19"/>
                <w:szCs w:val="19"/>
                <w:lang w:val="es-ES"/>
              </w:rPr>
            </w:pPr>
            <w:r>
              <w:rPr>
                <w:rFonts w:asciiTheme="majorHAnsi" w:hAnsiTheme="majorHAnsi"/>
                <w:b/>
                <w:bCs/>
                <w:color w:val="FFFFFF" w:themeColor="background1"/>
                <w:sz w:val="19"/>
                <w:szCs w:val="19"/>
                <w:lang w:val="es-ES"/>
              </w:rPr>
              <w:t>P</w:t>
            </w:r>
            <w:r w:rsidR="000F68FF" w:rsidRPr="004C700A">
              <w:rPr>
                <w:rFonts w:asciiTheme="majorHAnsi" w:hAnsiTheme="majorHAnsi"/>
                <w:b/>
                <w:bCs/>
                <w:color w:val="FFFFFF" w:themeColor="background1"/>
                <w:sz w:val="19"/>
                <w:szCs w:val="19"/>
                <w:lang w:val="es-ES"/>
              </w:rPr>
              <w:t>resentación</w:t>
            </w:r>
            <w:r>
              <w:rPr>
                <w:rFonts w:asciiTheme="majorHAnsi" w:hAnsiTheme="majorHAnsi"/>
                <w:b/>
                <w:bCs/>
                <w:color w:val="FFFFFF" w:themeColor="background1"/>
                <w:sz w:val="19"/>
                <w:szCs w:val="19"/>
                <w:lang w:val="es-ES"/>
              </w:rPr>
              <w:t xml:space="preserve"> </w:t>
            </w:r>
            <w:r w:rsidR="000F68FF" w:rsidRPr="004C700A">
              <w:rPr>
                <w:rFonts w:asciiTheme="majorHAnsi" w:hAnsiTheme="majorHAnsi"/>
                <w:b/>
                <w:bCs/>
                <w:color w:val="FFFFFF" w:themeColor="background1"/>
                <w:sz w:val="19"/>
                <w:szCs w:val="19"/>
                <w:lang w:val="es-ES"/>
              </w:rPr>
              <w:t>de la petición</w:t>
            </w:r>
            <w:r w:rsidR="00A37F2E" w:rsidRPr="004C700A">
              <w:rPr>
                <w:rFonts w:asciiTheme="majorHAnsi" w:hAnsiTheme="majorHAnsi"/>
                <w:b/>
                <w:bCs/>
                <w:color w:val="FFFFFF" w:themeColor="background1"/>
                <w:sz w:val="19"/>
                <w:szCs w:val="19"/>
                <w:lang w:val="es-ES"/>
              </w:rPr>
              <w:t>:</w:t>
            </w:r>
          </w:p>
        </w:tc>
        <w:tc>
          <w:tcPr>
            <w:tcW w:w="5760" w:type="dxa"/>
            <w:vAlign w:val="center"/>
          </w:tcPr>
          <w:p w14:paraId="6E579153" w14:textId="3ECF3344" w:rsidR="006B2EF2" w:rsidRPr="004C700A" w:rsidRDefault="00032E1F" w:rsidP="00314D9D">
            <w:pPr>
              <w:jc w:val="both"/>
              <w:rPr>
                <w:rFonts w:asciiTheme="majorHAnsi" w:hAnsiTheme="majorHAnsi"/>
                <w:bCs/>
                <w:sz w:val="19"/>
                <w:szCs w:val="19"/>
                <w:lang w:val="es-ES"/>
              </w:rPr>
            </w:pPr>
            <w:r w:rsidRPr="004C700A">
              <w:rPr>
                <w:rFonts w:asciiTheme="majorHAnsi" w:hAnsiTheme="majorHAnsi"/>
                <w:bCs/>
                <w:sz w:val="19"/>
                <w:szCs w:val="19"/>
                <w:lang w:val="es-ES"/>
              </w:rPr>
              <w:t xml:space="preserve">8 de </w:t>
            </w:r>
            <w:r w:rsidR="000F68FF" w:rsidRPr="004C700A">
              <w:rPr>
                <w:rFonts w:asciiTheme="majorHAnsi" w:hAnsiTheme="majorHAnsi"/>
                <w:bCs/>
                <w:sz w:val="19"/>
                <w:szCs w:val="19"/>
                <w:lang w:val="es-ES"/>
              </w:rPr>
              <w:t>octubre</w:t>
            </w:r>
            <w:r w:rsidRPr="004C700A">
              <w:rPr>
                <w:rFonts w:asciiTheme="majorHAnsi" w:hAnsiTheme="majorHAnsi"/>
                <w:bCs/>
                <w:sz w:val="19"/>
                <w:szCs w:val="19"/>
                <w:lang w:val="es-ES"/>
              </w:rPr>
              <w:t xml:space="preserve"> de 2008</w:t>
            </w:r>
          </w:p>
        </w:tc>
      </w:tr>
      <w:tr w:rsidR="000F68FF" w:rsidRPr="004C700A" w14:paraId="1BDCD5C6" w14:textId="77777777" w:rsidTr="004C700A">
        <w:tc>
          <w:tcPr>
            <w:tcW w:w="3600" w:type="dxa"/>
            <w:tcBorders>
              <w:top w:val="single" w:sz="6" w:space="0" w:color="auto"/>
              <w:bottom w:val="single" w:sz="6" w:space="0" w:color="auto"/>
            </w:tcBorders>
            <w:shd w:val="clear" w:color="auto" w:fill="4A7194"/>
          </w:tcPr>
          <w:p w14:paraId="7A18664F" w14:textId="202A2273" w:rsidR="000F68FF" w:rsidRPr="004C700A" w:rsidRDefault="002C4DEC" w:rsidP="004C700A">
            <w:pPr>
              <w:jc w:val="center"/>
              <w:rPr>
                <w:rFonts w:asciiTheme="majorHAnsi" w:hAnsiTheme="majorHAnsi"/>
                <w:b/>
                <w:color w:val="FFFFFF" w:themeColor="background1"/>
                <w:sz w:val="19"/>
                <w:szCs w:val="19"/>
                <w:lang w:val="es-ES"/>
              </w:rPr>
            </w:pPr>
            <w:r>
              <w:rPr>
                <w:rFonts w:asciiTheme="majorHAnsi" w:hAnsiTheme="majorHAnsi"/>
                <w:b/>
                <w:color w:val="FFFFFF" w:themeColor="background1"/>
                <w:sz w:val="19"/>
                <w:szCs w:val="19"/>
                <w:lang w:val="es-ES"/>
              </w:rPr>
              <w:t>N</w:t>
            </w:r>
            <w:r w:rsidR="000F68FF" w:rsidRPr="004C700A">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212F8DF0" w:rsidR="000F68FF" w:rsidRPr="004C700A" w:rsidRDefault="000F68FF" w:rsidP="00314D9D">
            <w:pPr>
              <w:jc w:val="both"/>
              <w:rPr>
                <w:rFonts w:asciiTheme="majorHAnsi" w:hAnsiTheme="majorHAnsi"/>
                <w:bCs/>
                <w:sz w:val="19"/>
                <w:szCs w:val="19"/>
                <w:lang w:val="es-ES"/>
              </w:rPr>
            </w:pPr>
            <w:r w:rsidRPr="004C700A">
              <w:rPr>
                <w:rFonts w:asciiTheme="majorHAnsi" w:hAnsiTheme="majorHAnsi"/>
                <w:bCs/>
                <w:sz w:val="19"/>
                <w:szCs w:val="19"/>
                <w:lang w:val="es-ES"/>
              </w:rPr>
              <w:t>23 de abril de 2013</w:t>
            </w:r>
          </w:p>
        </w:tc>
      </w:tr>
      <w:tr w:rsidR="000F68FF" w:rsidRPr="004C700A" w14:paraId="6147A8D5" w14:textId="77777777" w:rsidTr="004C700A">
        <w:tc>
          <w:tcPr>
            <w:tcW w:w="3600" w:type="dxa"/>
            <w:tcBorders>
              <w:top w:val="single" w:sz="6" w:space="0" w:color="auto"/>
              <w:bottom w:val="single" w:sz="6" w:space="0" w:color="auto"/>
            </w:tcBorders>
            <w:shd w:val="clear" w:color="auto" w:fill="4A7194"/>
          </w:tcPr>
          <w:p w14:paraId="0201C86D" w14:textId="5A267FAD" w:rsidR="000F68FF" w:rsidRPr="004C700A" w:rsidRDefault="002C4DEC" w:rsidP="002C4DEC">
            <w:pPr>
              <w:jc w:val="center"/>
              <w:rPr>
                <w:rFonts w:asciiTheme="majorHAnsi" w:hAnsiTheme="majorHAnsi"/>
                <w:b/>
                <w:bCs/>
                <w:color w:val="FFFFFF" w:themeColor="background1"/>
                <w:sz w:val="19"/>
                <w:szCs w:val="19"/>
                <w:lang w:val="es-ES"/>
              </w:rPr>
            </w:pPr>
            <w:r>
              <w:rPr>
                <w:rFonts w:asciiTheme="majorHAnsi" w:hAnsiTheme="majorHAnsi"/>
                <w:b/>
                <w:color w:val="FFFFFF" w:themeColor="background1"/>
                <w:sz w:val="19"/>
                <w:szCs w:val="19"/>
                <w:lang w:val="es-ES"/>
              </w:rPr>
              <w:t>P</w:t>
            </w:r>
            <w:r w:rsidR="000F68FF" w:rsidRPr="004C700A">
              <w:rPr>
                <w:rFonts w:asciiTheme="majorHAnsi" w:hAnsiTheme="majorHAnsi"/>
                <w:b/>
                <w:color w:val="FFFFFF" w:themeColor="background1"/>
                <w:sz w:val="19"/>
                <w:szCs w:val="19"/>
                <w:lang w:val="es-ES"/>
              </w:rPr>
              <w:t>rimera respuesta</w:t>
            </w:r>
            <w:r>
              <w:rPr>
                <w:rFonts w:asciiTheme="majorHAnsi" w:hAnsiTheme="majorHAnsi"/>
                <w:b/>
                <w:color w:val="FFFFFF" w:themeColor="background1"/>
                <w:sz w:val="19"/>
                <w:szCs w:val="19"/>
                <w:lang w:val="es-ES"/>
              </w:rPr>
              <w:t xml:space="preserve"> </w:t>
            </w:r>
            <w:r w:rsidR="000F68FF" w:rsidRPr="004C700A">
              <w:rPr>
                <w:rFonts w:asciiTheme="majorHAnsi" w:hAnsiTheme="majorHAnsi"/>
                <w:b/>
                <w:color w:val="FFFFFF" w:themeColor="background1"/>
                <w:sz w:val="19"/>
                <w:szCs w:val="19"/>
                <w:lang w:val="es-ES"/>
              </w:rPr>
              <w:t>del Estado:</w:t>
            </w:r>
          </w:p>
        </w:tc>
        <w:tc>
          <w:tcPr>
            <w:tcW w:w="5760" w:type="dxa"/>
            <w:vAlign w:val="center"/>
          </w:tcPr>
          <w:p w14:paraId="1972B99E" w14:textId="32CB64C2" w:rsidR="000F68FF" w:rsidRPr="004C700A" w:rsidRDefault="000F68FF" w:rsidP="00314D9D">
            <w:pPr>
              <w:jc w:val="both"/>
              <w:rPr>
                <w:rFonts w:asciiTheme="majorHAnsi" w:hAnsiTheme="majorHAnsi"/>
                <w:bCs/>
                <w:sz w:val="19"/>
                <w:szCs w:val="19"/>
                <w:lang w:val="es-ES"/>
              </w:rPr>
            </w:pPr>
            <w:r w:rsidRPr="004C700A">
              <w:rPr>
                <w:rFonts w:asciiTheme="majorHAnsi" w:hAnsiTheme="majorHAnsi"/>
                <w:bCs/>
                <w:sz w:val="19"/>
                <w:szCs w:val="19"/>
                <w:lang w:val="es-ES"/>
              </w:rPr>
              <w:t>1 de julio de 2013</w:t>
            </w:r>
          </w:p>
        </w:tc>
      </w:tr>
      <w:tr w:rsidR="000F68FF" w:rsidRPr="001625B5" w14:paraId="322668B6" w14:textId="77777777" w:rsidTr="004C700A">
        <w:tc>
          <w:tcPr>
            <w:tcW w:w="3600" w:type="dxa"/>
            <w:tcBorders>
              <w:top w:val="single" w:sz="6" w:space="0" w:color="auto"/>
              <w:bottom w:val="single" w:sz="6" w:space="0" w:color="auto"/>
            </w:tcBorders>
            <w:shd w:val="clear" w:color="auto" w:fill="4A7194"/>
          </w:tcPr>
          <w:p w14:paraId="04E25AFA" w14:textId="77777777" w:rsidR="000F68FF" w:rsidRPr="004C700A" w:rsidRDefault="000F68F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Observaciones adicionales</w:t>
            </w:r>
          </w:p>
          <w:p w14:paraId="1524DA55" w14:textId="7AC8E62F" w:rsidR="000F68FF" w:rsidRPr="004C700A" w:rsidRDefault="000F68F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de la parte peticionaria:</w:t>
            </w:r>
          </w:p>
        </w:tc>
        <w:tc>
          <w:tcPr>
            <w:tcW w:w="5760" w:type="dxa"/>
            <w:vAlign w:val="center"/>
          </w:tcPr>
          <w:p w14:paraId="41D8B862" w14:textId="5B819CA6" w:rsidR="000F68FF" w:rsidRPr="004C700A" w:rsidRDefault="000F68FF" w:rsidP="00314D9D">
            <w:pPr>
              <w:jc w:val="both"/>
              <w:rPr>
                <w:rFonts w:asciiTheme="majorHAnsi" w:hAnsiTheme="majorHAnsi"/>
                <w:bCs/>
                <w:sz w:val="19"/>
                <w:szCs w:val="19"/>
                <w:lang w:val="es-ES"/>
              </w:rPr>
            </w:pPr>
            <w:r w:rsidRPr="004C700A">
              <w:rPr>
                <w:rFonts w:asciiTheme="majorHAnsi" w:hAnsiTheme="majorHAnsi"/>
                <w:bCs/>
                <w:sz w:val="19"/>
                <w:szCs w:val="19"/>
                <w:lang w:val="es-ES"/>
              </w:rPr>
              <w:t xml:space="preserve">26 de agosto </w:t>
            </w:r>
            <w:r w:rsidR="00C44F5F" w:rsidRPr="004C700A">
              <w:rPr>
                <w:rFonts w:asciiTheme="majorHAnsi" w:hAnsiTheme="majorHAnsi"/>
                <w:bCs/>
                <w:sz w:val="19"/>
                <w:szCs w:val="19"/>
                <w:lang w:val="es-ES"/>
              </w:rPr>
              <w:t>y</w:t>
            </w:r>
            <w:r w:rsidRPr="004C700A">
              <w:rPr>
                <w:rFonts w:asciiTheme="majorHAnsi" w:hAnsiTheme="majorHAnsi"/>
                <w:bCs/>
                <w:sz w:val="19"/>
                <w:szCs w:val="19"/>
                <w:lang w:val="es-ES"/>
              </w:rPr>
              <w:t xml:space="preserve"> 24 de </w:t>
            </w:r>
            <w:r w:rsidR="00C44F5F" w:rsidRPr="004C700A">
              <w:rPr>
                <w:rFonts w:asciiTheme="majorHAnsi" w:hAnsiTheme="majorHAnsi"/>
                <w:bCs/>
                <w:sz w:val="19"/>
                <w:szCs w:val="19"/>
                <w:lang w:val="es-ES"/>
              </w:rPr>
              <w:t>diciembre</w:t>
            </w:r>
            <w:r w:rsidRPr="004C700A">
              <w:rPr>
                <w:rFonts w:asciiTheme="majorHAnsi" w:hAnsiTheme="majorHAnsi"/>
                <w:bCs/>
                <w:sz w:val="19"/>
                <w:szCs w:val="19"/>
                <w:lang w:val="es-ES"/>
              </w:rPr>
              <w:t xml:space="preserve"> de 2013</w:t>
            </w:r>
          </w:p>
        </w:tc>
      </w:tr>
      <w:tr w:rsidR="004C2312" w:rsidRPr="001625B5" w14:paraId="291ACE7A" w14:textId="77777777" w:rsidTr="004C700A">
        <w:tc>
          <w:tcPr>
            <w:tcW w:w="3600" w:type="dxa"/>
            <w:tcBorders>
              <w:top w:val="single" w:sz="6" w:space="0" w:color="auto"/>
              <w:bottom w:val="single" w:sz="6" w:space="0" w:color="auto"/>
            </w:tcBorders>
            <w:shd w:val="clear" w:color="auto" w:fill="4A7194"/>
            <w:vAlign w:val="center"/>
          </w:tcPr>
          <w:p w14:paraId="068BD12F" w14:textId="6D8DCD31" w:rsidR="004C2312" w:rsidRPr="004C700A" w:rsidRDefault="000F68F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Observaciones adicionales</w:t>
            </w:r>
            <w:r w:rsidR="00A37F2E" w:rsidRPr="004C700A">
              <w:rPr>
                <w:rFonts w:asciiTheme="majorHAnsi" w:hAnsiTheme="majorHAnsi"/>
                <w:b/>
                <w:bCs/>
                <w:color w:val="FFFFFF" w:themeColor="background1"/>
                <w:sz w:val="19"/>
                <w:szCs w:val="19"/>
                <w:lang w:val="es-ES"/>
              </w:rPr>
              <w:t xml:space="preserve"> d</w:t>
            </w:r>
            <w:r w:rsidRPr="004C700A">
              <w:rPr>
                <w:rFonts w:asciiTheme="majorHAnsi" w:hAnsiTheme="majorHAnsi"/>
                <w:b/>
                <w:bCs/>
                <w:color w:val="FFFFFF" w:themeColor="background1"/>
                <w:sz w:val="19"/>
                <w:szCs w:val="19"/>
                <w:lang w:val="es-ES"/>
              </w:rPr>
              <w:t>el</w:t>
            </w:r>
            <w:r w:rsidR="004C2312" w:rsidRPr="004C700A">
              <w:rPr>
                <w:rFonts w:asciiTheme="majorHAnsi" w:hAnsiTheme="majorHAnsi"/>
                <w:b/>
                <w:bCs/>
                <w:color w:val="FFFFFF" w:themeColor="background1"/>
                <w:sz w:val="19"/>
                <w:szCs w:val="19"/>
                <w:lang w:val="es-ES"/>
              </w:rPr>
              <w:t xml:space="preserve"> Estado:</w:t>
            </w:r>
          </w:p>
        </w:tc>
        <w:tc>
          <w:tcPr>
            <w:tcW w:w="5760" w:type="dxa"/>
            <w:vAlign w:val="center"/>
          </w:tcPr>
          <w:p w14:paraId="3CE49AFE" w14:textId="0EDCB20A" w:rsidR="004C2312" w:rsidRPr="004C700A" w:rsidRDefault="00032E1F" w:rsidP="00314D9D">
            <w:pPr>
              <w:jc w:val="both"/>
              <w:rPr>
                <w:rFonts w:asciiTheme="majorHAnsi" w:hAnsiTheme="majorHAnsi"/>
                <w:bCs/>
                <w:sz w:val="19"/>
                <w:szCs w:val="19"/>
                <w:lang w:val="es-ES"/>
              </w:rPr>
            </w:pPr>
            <w:r w:rsidRPr="004C700A">
              <w:rPr>
                <w:rFonts w:asciiTheme="majorHAnsi" w:hAnsiTheme="majorHAnsi"/>
                <w:bCs/>
                <w:sz w:val="19"/>
                <w:szCs w:val="19"/>
                <w:lang w:val="es-ES"/>
              </w:rPr>
              <w:t xml:space="preserve">5 de </w:t>
            </w:r>
            <w:r w:rsidR="00C44F5F" w:rsidRPr="004C700A">
              <w:rPr>
                <w:rFonts w:asciiTheme="majorHAnsi" w:hAnsiTheme="majorHAnsi"/>
                <w:bCs/>
                <w:sz w:val="19"/>
                <w:szCs w:val="19"/>
                <w:lang w:val="es-ES"/>
              </w:rPr>
              <w:t>noviembre</w:t>
            </w:r>
            <w:r w:rsidRPr="004C700A">
              <w:rPr>
                <w:rFonts w:asciiTheme="majorHAnsi" w:hAnsiTheme="majorHAnsi"/>
                <w:bCs/>
                <w:sz w:val="19"/>
                <w:szCs w:val="19"/>
                <w:lang w:val="es-ES"/>
              </w:rPr>
              <w:t xml:space="preserve"> de 2013 </w:t>
            </w:r>
            <w:r w:rsidR="00C44F5F" w:rsidRPr="004C700A">
              <w:rPr>
                <w:rFonts w:asciiTheme="majorHAnsi" w:hAnsiTheme="majorHAnsi"/>
                <w:bCs/>
                <w:sz w:val="19"/>
                <w:szCs w:val="19"/>
                <w:lang w:val="es-ES"/>
              </w:rPr>
              <w:t>y</w:t>
            </w:r>
            <w:r w:rsidRPr="004C700A">
              <w:rPr>
                <w:rFonts w:asciiTheme="majorHAnsi" w:hAnsiTheme="majorHAnsi"/>
                <w:bCs/>
                <w:sz w:val="19"/>
                <w:szCs w:val="19"/>
                <w:lang w:val="es-ES"/>
              </w:rPr>
              <w:t xml:space="preserve"> 28 de </w:t>
            </w:r>
            <w:r w:rsidR="00C44F5F" w:rsidRPr="004C700A">
              <w:rPr>
                <w:rFonts w:asciiTheme="majorHAnsi" w:hAnsiTheme="majorHAnsi"/>
                <w:bCs/>
                <w:sz w:val="19"/>
                <w:szCs w:val="19"/>
                <w:lang w:val="es-ES"/>
              </w:rPr>
              <w:t>febrero</w:t>
            </w:r>
            <w:r w:rsidRPr="004C700A">
              <w:rPr>
                <w:rFonts w:asciiTheme="majorHAnsi" w:hAnsiTheme="majorHAnsi"/>
                <w:bCs/>
                <w:sz w:val="19"/>
                <w:szCs w:val="19"/>
                <w:lang w:val="es-ES"/>
              </w:rPr>
              <w:t xml:space="preserve"> de 2014</w:t>
            </w:r>
          </w:p>
        </w:tc>
      </w:tr>
      <w:tr w:rsidR="006B2EF2" w:rsidRPr="001625B5" w14:paraId="172542CD" w14:textId="77777777" w:rsidTr="004C700A">
        <w:tblPrEx>
          <w:tblBorders>
            <w:insideH w:val="single" w:sz="4" w:space="0" w:color="auto"/>
            <w:insideV w:val="single" w:sz="4" w:space="0" w:color="auto"/>
          </w:tblBorders>
        </w:tblPrEx>
        <w:tc>
          <w:tcPr>
            <w:tcW w:w="3600" w:type="dxa"/>
            <w:shd w:val="clear" w:color="auto" w:fill="4A7194"/>
          </w:tcPr>
          <w:p w14:paraId="758C473E" w14:textId="518DDEE3" w:rsidR="006B2EF2" w:rsidRPr="004C700A" w:rsidRDefault="00C44F5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Advertencia</w:t>
            </w:r>
            <w:r w:rsidR="006B2EF2" w:rsidRPr="004C700A">
              <w:rPr>
                <w:rFonts w:asciiTheme="majorHAnsi" w:hAnsiTheme="majorHAnsi"/>
                <w:b/>
                <w:bCs/>
                <w:color w:val="FFFFFF" w:themeColor="background1"/>
                <w:sz w:val="19"/>
                <w:szCs w:val="19"/>
                <w:lang w:val="es-ES"/>
              </w:rPr>
              <w:t xml:space="preserve"> </w:t>
            </w:r>
            <w:r w:rsidR="00D71E30" w:rsidRPr="004C700A">
              <w:rPr>
                <w:rFonts w:asciiTheme="majorHAnsi" w:hAnsiTheme="majorHAnsi"/>
                <w:b/>
                <w:bCs/>
                <w:color w:val="FFFFFF" w:themeColor="background1"/>
                <w:sz w:val="19"/>
                <w:szCs w:val="19"/>
                <w:lang w:val="es-ES"/>
              </w:rPr>
              <w:t xml:space="preserve">de </w:t>
            </w:r>
            <w:r w:rsidRPr="004C700A">
              <w:rPr>
                <w:rFonts w:asciiTheme="majorHAnsi" w:hAnsiTheme="majorHAnsi"/>
                <w:b/>
                <w:bCs/>
                <w:color w:val="FFFFFF" w:themeColor="background1"/>
                <w:sz w:val="19"/>
                <w:szCs w:val="19"/>
                <w:lang w:val="es-ES"/>
              </w:rPr>
              <w:t>posible</w:t>
            </w:r>
            <w:r w:rsidR="006B2EF2" w:rsidRPr="004C700A">
              <w:rPr>
                <w:rFonts w:asciiTheme="majorHAnsi" w:hAnsiTheme="majorHAnsi"/>
                <w:b/>
                <w:bCs/>
                <w:color w:val="FFFFFF" w:themeColor="background1"/>
                <w:sz w:val="19"/>
                <w:szCs w:val="19"/>
                <w:lang w:val="es-ES"/>
              </w:rPr>
              <w:t xml:space="preserve"> ar</w:t>
            </w:r>
            <w:r w:rsidRPr="004C700A">
              <w:rPr>
                <w:rFonts w:asciiTheme="majorHAnsi" w:hAnsiTheme="majorHAnsi"/>
                <w:b/>
                <w:bCs/>
                <w:color w:val="FFFFFF" w:themeColor="background1"/>
                <w:sz w:val="19"/>
                <w:szCs w:val="19"/>
                <w:lang w:val="es-ES"/>
              </w:rPr>
              <w:t>chivamiento</w:t>
            </w:r>
            <w:r w:rsidR="006B2EF2" w:rsidRPr="004C700A">
              <w:rPr>
                <w:rFonts w:asciiTheme="majorHAnsi" w:hAnsiTheme="majorHAnsi"/>
                <w:b/>
                <w:bCs/>
                <w:color w:val="FFFFFF" w:themeColor="background1"/>
                <w:sz w:val="19"/>
                <w:szCs w:val="19"/>
                <w:lang w:val="es-ES"/>
              </w:rPr>
              <w:t>:</w:t>
            </w:r>
          </w:p>
        </w:tc>
        <w:tc>
          <w:tcPr>
            <w:tcW w:w="5760" w:type="dxa"/>
          </w:tcPr>
          <w:p w14:paraId="21961EB8" w14:textId="74F8BBC5" w:rsidR="006B2EF2" w:rsidRPr="004C700A" w:rsidRDefault="00A24DF1" w:rsidP="00FF1013">
            <w:pPr>
              <w:jc w:val="both"/>
              <w:rPr>
                <w:rFonts w:asciiTheme="majorHAnsi" w:hAnsiTheme="majorHAnsi"/>
                <w:bCs/>
                <w:sz w:val="19"/>
                <w:szCs w:val="19"/>
                <w:lang w:val="es-ES"/>
              </w:rPr>
            </w:pPr>
            <w:r w:rsidRPr="004C700A">
              <w:rPr>
                <w:rFonts w:asciiTheme="majorHAnsi" w:hAnsiTheme="majorHAnsi"/>
                <w:bCs/>
                <w:sz w:val="19"/>
                <w:szCs w:val="19"/>
                <w:lang w:val="es-ES"/>
              </w:rPr>
              <w:t xml:space="preserve">26 de </w:t>
            </w:r>
            <w:r w:rsidR="00C44F5F" w:rsidRPr="004C700A">
              <w:rPr>
                <w:rFonts w:asciiTheme="majorHAnsi" w:hAnsiTheme="majorHAnsi"/>
                <w:bCs/>
                <w:sz w:val="19"/>
                <w:szCs w:val="19"/>
                <w:lang w:val="es-ES"/>
              </w:rPr>
              <w:t>mayo</w:t>
            </w:r>
            <w:r w:rsidRPr="004C700A">
              <w:rPr>
                <w:rFonts w:asciiTheme="majorHAnsi" w:hAnsiTheme="majorHAnsi"/>
                <w:bCs/>
                <w:sz w:val="19"/>
                <w:szCs w:val="19"/>
                <w:lang w:val="es-ES"/>
              </w:rPr>
              <w:t xml:space="preserve"> de 2017; </w:t>
            </w:r>
            <w:r w:rsidR="006B2EF2" w:rsidRPr="004C700A">
              <w:rPr>
                <w:rFonts w:asciiTheme="majorHAnsi" w:hAnsiTheme="majorHAnsi"/>
                <w:bCs/>
                <w:sz w:val="19"/>
                <w:szCs w:val="19"/>
                <w:lang w:val="es-ES"/>
              </w:rPr>
              <w:t xml:space="preserve">12 de </w:t>
            </w:r>
            <w:r w:rsidR="00C44F5F" w:rsidRPr="004C700A">
              <w:rPr>
                <w:rFonts w:asciiTheme="majorHAnsi" w:hAnsiTheme="majorHAnsi"/>
                <w:bCs/>
                <w:sz w:val="19"/>
                <w:szCs w:val="19"/>
                <w:lang w:val="es-ES"/>
              </w:rPr>
              <w:t>noviembre</w:t>
            </w:r>
            <w:r w:rsidR="006B2EF2" w:rsidRPr="004C700A">
              <w:rPr>
                <w:rFonts w:asciiTheme="majorHAnsi" w:hAnsiTheme="majorHAnsi"/>
                <w:bCs/>
                <w:sz w:val="19"/>
                <w:szCs w:val="19"/>
                <w:lang w:val="es-ES"/>
              </w:rPr>
              <w:t xml:space="preserve"> de 2018</w:t>
            </w:r>
          </w:p>
        </w:tc>
      </w:tr>
      <w:tr w:rsidR="006B2EF2" w:rsidRPr="004C700A" w14:paraId="118B2609" w14:textId="77777777" w:rsidTr="004C700A">
        <w:tblPrEx>
          <w:tblBorders>
            <w:insideH w:val="single" w:sz="4" w:space="0" w:color="auto"/>
            <w:insideV w:val="single" w:sz="4" w:space="0" w:color="auto"/>
          </w:tblBorders>
        </w:tblPrEx>
        <w:tc>
          <w:tcPr>
            <w:tcW w:w="3600" w:type="dxa"/>
            <w:shd w:val="clear" w:color="auto" w:fill="4A7194"/>
          </w:tcPr>
          <w:p w14:paraId="0B8070AB" w14:textId="1D9199F6" w:rsidR="006B2EF2" w:rsidRPr="004C700A" w:rsidRDefault="00C44F5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Respuesta</w:t>
            </w:r>
            <w:r w:rsidR="006B2EF2" w:rsidRPr="004C700A">
              <w:rPr>
                <w:rFonts w:asciiTheme="majorHAnsi" w:hAnsiTheme="majorHAnsi"/>
                <w:b/>
                <w:bCs/>
                <w:color w:val="FFFFFF" w:themeColor="background1"/>
                <w:sz w:val="19"/>
                <w:szCs w:val="19"/>
                <w:lang w:val="es-ES"/>
              </w:rPr>
              <w:t xml:space="preserve"> d</w:t>
            </w:r>
            <w:r w:rsidRPr="004C700A">
              <w:rPr>
                <w:rFonts w:asciiTheme="majorHAnsi" w:hAnsiTheme="majorHAnsi"/>
                <w:b/>
                <w:bCs/>
                <w:color w:val="FFFFFF" w:themeColor="background1"/>
                <w:sz w:val="19"/>
                <w:szCs w:val="19"/>
                <w:lang w:val="es-ES"/>
              </w:rPr>
              <w:t>e la</w:t>
            </w:r>
            <w:r w:rsidR="006B2EF2" w:rsidRPr="004C700A">
              <w:rPr>
                <w:rFonts w:asciiTheme="majorHAnsi" w:hAnsiTheme="majorHAnsi"/>
                <w:b/>
                <w:bCs/>
                <w:color w:val="FFFFFF" w:themeColor="background1"/>
                <w:sz w:val="19"/>
                <w:szCs w:val="19"/>
                <w:lang w:val="es-ES"/>
              </w:rPr>
              <w:t xml:space="preserve"> parte </w:t>
            </w:r>
            <w:r w:rsidRPr="004C700A">
              <w:rPr>
                <w:rFonts w:asciiTheme="majorHAnsi" w:hAnsiTheme="majorHAnsi"/>
                <w:b/>
                <w:bCs/>
                <w:color w:val="FFFFFF" w:themeColor="background1"/>
                <w:sz w:val="19"/>
                <w:szCs w:val="19"/>
                <w:lang w:val="es-ES"/>
              </w:rPr>
              <w:t>peticionaria</w:t>
            </w:r>
            <w:r w:rsidR="006B2EF2" w:rsidRPr="004C700A">
              <w:rPr>
                <w:rFonts w:asciiTheme="majorHAnsi" w:hAnsiTheme="majorHAnsi"/>
                <w:b/>
                <w:bCs/>
                <w:color w:val="FFFFFF" w:themeColor="background1"/>
                <w:sz w:val="19"/>
                <w:szCs w:val="19"/>
                <w:lang w:val="es-ES"/>
              </w:rPr>
              <w:t xml:space="preserve"> </w:t>
            </w:r>
            <w:r w:rsidR="00D71E30" w:rsidRPr="004C700A">
              <w:rPr>
                <w:rFonts w:asciiTheme="majorHAnsi" w:hAnsiTheme="majorHAnsi"/>
                <w:b/>
                <w:bCs/>
                <w:color w:val="FFFFFF" w:themeColor="background1"/>
                <w:sz w:val="19"/>
                <w:szCs w:val="19"/>
                <w:lang w:val="es-ES"/>
              </w:rPr>
              <w:t>a</w:t>
            </w:r>
            <w:r w:rsidR="006B2EF2" w:rsidRPr="004C700A">
              <w:rPr>
                <w:rFonts w:asciiTheme="majorHAnsi" w:hAnsiTheme="majorHAnsi"/>
                <w:b/>
                <w:bCs/>
                <w:color w:val="FFFFFF" w:themeColor="background1"/>
                <w:sz w:val="19"/>
                <w:szCs w:val="19"/>
                <w:lang w:val="es-ES"/>
              </w:rPr>
              <w:t xml:space="preserve"> </w:t>
            </w:r>
            <w:r w:rsidR="002B130C" w:rsidRPr="004C700A">
              <w:rPr>
                <w:rFonts w:asciiTheme="majorHAnsi" w:hAnsiTheme="majorHAnsi"/>
                <w:b/>
                <w:bCs/>
                <w:color w:val="FFFFFF" w:themeColor="background1"/>
                <w:sz w:val="19"/>
                <w:szCs w:val="19"/>
                <w:lang w:val="es-ES"/>
              </w:rPr>
              <w:t>la advertencia</w:t>
            </w:r>
            <w:r w:rsidR="006B2EF2" w:rsidRPr="004C700A">
              <w:rPr>
                <w:rFonts w:asciiTheme="majorHAnsi" w:hAnsiTheme="majorHAnsi"/>
                <w:b/>
                <w:bCs/>
                <w:color w:val="FFFFFF" w:themeColor="background1"/>
                <w:sz w:val="19"/>
                <w:szCs w:val="19"/>
                <w:lang w:val="es-ES"/>
              </w:rPr>
              <w:t xml:space="preserve"> de </w:t>
            </w:r>
            <w:r w:rsidR="002B130C" w:rsidRPr="004C700A">
              <w:rPr>
                <w:rFonts w:asciiTheme="majorHAnsi" w:hAnsiTheme="majorHAnsi"/>
                <w:b/>
                <w:bCs/>
                <w:color w:val="FFFFFF" w:themeColor="background1"/>
                <w:sz w:val="19"/>
                <w:szCs w:val="19"/>
                <w:lang w:val="es-ES"/>
              </w:rPr>
              <w:t>posible</w:t>
            </w:r>
            <w:r w:rsidR="006B2EF2" w:rsidRPr="004C700A">
              <w:rPr>
                <w:rFonts w:asciiTheme="majorHAnsi" w:hAnsiTheme="majorHAnsi"/>
                <w:b/>
                <w:bCs/>
                <w:color w:val="FFFFFF" w:themeColor="background1"/>
                <w:sz w:val="19"/>
                <w:szCs w:val="19"/>
                <w:lang w:val="es-ES"/>
              </w:rPr>
              <w:t xml:space="preserve"> ar</w:t>
            </w:r>
            <w:r w:rsidR="002B130C" w:rsidRPr="004C700A">
              <w:rPr>
                <w:rFonts w:asciiTheme="majorHAnsi" w:hAnsiTheme="majorHAnsi"/>
                <w:b/>
                <w:bCs/>
                <w:color w:val="FFFFFF" w:themeColor="background1"/>
                <w:sz w:val="19"/>
                <w:szCs w:val="19"/>
                <w:lang w:val="es-ES"/>
              </w:rPr>
              <w:t>chivamiento</w:t>
            </w:r>
            <w:r w:rsidR="006B2EF2" w:rsidRPr="004C700A">
              <w:rPr>
                <w:rFonts w:asciiTheme="majorHAnsi" w:hAnsiTheme="majorHAnsi"/>
                <w:b/>
                <w:bCs/>
                <w:color w:val="FFFFFF" w:themeColor="background1"/>
                <w:sz w:val="19"/>
                <w:szCs w:val="19"/>
                <w:lang w:val="es-ES"/>
              </w:rPr>
              <w:t>:</w:t>
            </w:r>
          </w:p>
        </w:tc>
        <w:tc>
          <w:tcPr>
            <w:tcW w:w="5760" w:type="dxa"/>
          </w:tcPr>
          <w:p w14:paraId="596EFA74" w14:textId="02E1769C" w:rsidR="006B2EF2" w:rsidRPr="004C700A" w:rsidRDefault="006B2EF2" w:rsidP="00FF1013">
            <w:pPr>
              <w:jc w:val="both"/>
              <w:rPr>
                <w:rFonts w:asciiTheme="majorHAnsi" w:hAnsiTheme="majorHAnsi"/>
                <w:bCs/>
                <w:sz w:val="19"/>
                <w:szCs w:val="19"/>
                <w:lang w:val="es-ES"/>
              </w:rPr>
            </w:pPr>
            <w:r w:rsidRPr="004C700A">
              <w:rPr>
                <w:rFonts w:asciiTheme="majorHAnsi" w:hAnsiTheme="majorHAnsi"/>
                <w:bCs/>
                <w:sz w:val="19"/>
                <w:szCs w:val="19"/>
                <w:lang w:val="es-ES"/>
              </w:rPr>
              <w:t xml:space="preserve">7 de </w:t>
            </w:r>
            <w:r w:rsidR="00C44F5F" w:rsidRPr="004C700A">
              <w:rPr>
                <w:rFonts w:asciiTheme="majorHAnsi" w:hAnsiTheme="majorHAnsi"/>
                <w:bCs/>
                <w:sz w:val="19"/>
                <w:szCs w:val="19"/>
                <w:lang w:val="es-ES"/>
              </w:rPr>
              <w:t>diciembre</w:t>
            </w:r>
            <w:r w:rsidRPr="004C700A">
              <w:rPr>
                <w:rFonts w:asciiTheme="majorHAnsi" w:hAnsiTheme="majorHAnsi"/>
                <w:bCs/>
                <w:sz w:val="19"/>
                <w:szCs w:val="19"/>
                <w:lang w:val="es-ES"/>
              </w:rPr>
              <w:t xml:space="preserve"> de 2018</w:t>
            </w:r>
          </w:p>
        </w:tc>
      </w:tr>
    </w:tbl>
    <w:p w14:paraId="21DAA666" w14:textId="32E17D23" w:rsidR="003239B8" w:rsidRPr="004C700A" w:rsidRDefault="00D358AF" w:rsidP="004C700A">
      <w:pPr>
        <w:spacing w:before="120" w:after="120"/>
        <w:ind w:firstLine="720"/>
        <w:jc w:val="both"/>
        <w:rPr>
          <w:rFonts w:asciiTheme="majorHAnsi" w:hAnsiTheme="majorHAnsi"/>
          <w:b/>
          <w:bCs/>
          <w:sz w:val="19"/>
          <w:szCs w:val="19"/>
          <w:lang w:val="es-ES"/>
        </w:rPr>
      </w:pPr>
      <w:r w:rsidRPr="004C700A">
        <w:rPr>
          <w:rFonts w:asciiTheme="majorHAnsi" w:hAnsiTheme="majorHAnsi"/>
          <w:b/>
          <w:bCs/>
          <w:sz w:val="19"/>
          <w:szCs w:val="19"/>
          <w:lang w:val="es-ES"/>
        </w:rPr>
        <w:t xml:space="preserve">III. </w:t>
      </w:r>
      <w:r w:rsidRPr="004C700A">
        <w:rPr>
          <w:rFonts w:asciiTheme="majorHAnsi" w:hAnsiTheme="majorHAnsi"/>
          <w:b/>
          <w:bCs/>
          <w:sz w:val="19"/>
          <w:szCs w:val="19"/>
          <w:lang w:val="es-ES"/>
        </w:rPr>
        <w:tab/>
      </w:r>
      <w:r w:rsidR="000F68FF" w:rsidRPr="004C700A">
        <w:rPr>
          <w:rFonts w:asciiTheme="majorHAnsi" w:hAnsiTheme="majorHAnsi"/>
          <w:b/>
          <w:bCs/>
          <w:sz w:val="19"/>
          <w:szCs w:val="19"/>
          <w:lang w:val="es-ES"/>
        </w:rPr>
        <w:t>COMPETENCIA</w:t>
      </w:r>
      <w:r w:rsidR="00EE00E9" w:rsidRPr="004C700A">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C700A" w14:paraId="072532AD" w14:textId="77777777" w:rsidTr="004C700A">
        <w:trPr>
          <w:cantSplit/>
        </w:trPr>
        <w:tc>
          <w:tcPr>
            <w:tcW w:w="3600" w:type="dxa"/>
            <w:tcBorders>
              <w:top w:val="single" w:sz="4" w:space="0" w:color="auto"/>
              <w:bottom w:val="single" w:sz="6" w:space="0" w:color="auto"/>
            </w:tcBorders>
            <w:shd w:val="clear" w:color="auto" w:fill="4A7194"/>
            <w:vAlign w:val="center"/>
          </w:tcPr>
          <w:p w14:paraId="5C2E4B34" w14:textId="7EAFA799" w:rsidR="003239B8" w:rsidRPr="004C700A" w:rsidRDefault="000F68FF" w:rsidP="004C700A">
            <w:pPr>
              <w:jc w:val="center"/>
              <w:rPr>
                <w:rFonts w:asciiTheme="majorHAnsi" w:hAnsiTheme="majorHAnsi"/>
                <w:b/>
                <w:bCs/>
                <w:i/>
                <w:color w:val="FFFFFF" w:themeColor="background1"/>
                <w:sz w:val="19"/>
                <w:szCs w:val="19"/>
                <w:lang w:val="es-ES"/>
              </w:rPr>
            </w:pPr>
            <w:r w:rsidRPr="004C700A">
              <w:rPr>
                <w:rFonts w:asciiTheme="majorHAnsi" w:hAnsiTheme="majorHAnsi"/>
                <w:b/>
                <w:bCs/>
                <w:color w:val="FFFFFF" w:themeColor="background1"/>
                <w:sz w:val="19"/>
                <w:szCs w:val="19"/>
                <w:lang w:val="es-ES"/>
              </w:rPr>
              <w:t>Competencia</w:t>
            </w:r>
            <w:r w:rsidRPr="004C700A">
              <w:rPr>
                <w:rFonts w:asciiTheme="majorHAnsi" w:hAnsiTheme="majorHAnsi"/>
                <w:b/>
                <w:bCs/>
                <w:i/>
                <w:color w:val="FFFFFF" w:themeColor="background1"/>
                <w:sz w:val="19"/>
                <w:szCs w:val="19"/>
                <w:lang w:val="es-ES"/>
              </w:rPr>
              <w:t xml:space="preserve"> r</w:t>
            </w:r>
            <w:r w:rsidR="003239B8" w:rsidRPr="004C700A">
              <w:rPr>
                <w:rFonts w:asciiTheme="majorHAnsi" w:hAnsiTheme="majorHAnsi"/>
                <w:b/>
                <w:bCs/>
                <w:i/>
                <w:color w:val="FFFFFF" w:themeColor="background1"/>
                <w:sz w:val="19"/>
                <w:szCs w:val="19"/>
                <w:lang w:val="es-ES"/>
              </w:rPr>
              <w:t>atione personae:</w:t>
            </w:r>
          </w:p>
        </w:tc>
        <w:tc>
          <w:tcPr>
            <w:tcW w:w="5760" w:type="dxa"/>
            <w:vAlign w:val="center"/>
          </w:tcPr>
          <w:p w14:paraId="7707F3E9" w14:textId="23B79F55" w:rsidR="003239B8" w:rsidRPr="004C700A" w:rsidRDefault="00671A1D" w:rsidP="00C44F5F">
            <w:pPr>
              <w:jc w:val="both"/>
              <w:rPr>
                <w:rFonts w:asciiTheme="majorHAnsi" w:hAnsiTheme="majorHAnsi"/>
                <w:bCs/>
                <w:sz w:val="19"/>
                <w:szCs w:val="19"/>
                <w:lang w:val="es-ES"/>
              </w:rPr>
            </w:pPr>
            <w:r w:rsidRPr="004C700A">
              <w:rPr>
                <w:rFonts w:asciiTheme="majorHAnsi" w:hAnsiTheme="majorHAnsi"/>
                <w:bCs/>
                <w:sz w:val="19"/>
                <w:szCs w:val="19"/>
                <w:lang w:val="es-ES"/>
              </w:rPr>
              <w:t>S</w:t>
            </w:r>
            <w:r w:rsidR="00C44F5F" w:rsidRPr="004C700A">
              <w:rPr>
                <w:rFonts w:asciiTheme="majorHAnsi" w:hAnsiTheme="majorHAnsi"/>
                <w:bCs/>
                <w:sz w:val="19"/>
                <w:szCs w:val="19"/>
                <w:lang w:val="es-ES"/>
              </w:rPr>
              <w:t>í</w:t>
            </w:r>
          </w:p>
        </w:tc>
      </w:tr>
      <w:tr w:rsidR="003239B8" w:rsidRPr="004C700A" w14:paraId="4B8802DA" w14:textId="77777777" w:rsidTr="004C700A">
        <w:trPr>
          <w:cantSplit/>
        </w:trPr>
        <w:tc>
          <w:tcPr>
            <w:tcW w:w="3600" w:type="dxa"/>
            <w:tcBorders>
              <w:top w:val="single" w:sz="6" w:space="0" w:color="auto"/>
              <w:bottom w:val="single" w:sz="6" w:space="0" w:color="auto"/>
            </w:tcBorders>
            <w:shd w:val="clear" w:color="auto" w:fill="4A7194"/>
            <w:vAlign w:val="center"/>
          </w:tcPr>
          <w:p w14:paraId="3915C23B" w14:textId="696DA95D" w:rsidR="003239B8" w:rsidRPr="004C700A" w:rsidRDefault="000F68F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Competencia</w:t>
            </w:r>
            <w:r w:rsidRPr="004C700A">
              <w:rPr>
                <w:rFonts w:asciiTheme="majorHAnsi" w:hAnsiTheme="majorHAnsi"/>
                <w:b/>
                <w:bCs/>
                <w:i/>
                <w:color w:val="FFFFFF" w:themeColor="background1"/>
                <w:sz w:val="19"/>
                <w:szCs w:val="19"/>
                <w:lang w:val="es-ES"/>
              </w:rPr>
              <w:t xml:space="preserve"> r</w:t>
            </w:r>
            <w:r w:rsidR="003239B8" w:rsidRPr="004C700A">
              <w:rPr>
                <w:rFonts w:asciiTheme="majorHAnsi" w:hAnsiTheme="majorHAnsi"/>
                <w:b/>
                <w:bCs/>
                <w:i/>
                <w:color w:val="FFFFFF" w:themeColor="background1"/>
                <w:sz w:val="19"/>
                <w:szCs w:val="19"/>
                <w:lang w:val="es-ES"/>
              </w:rPr>
              <w:t>atione loci</w:t>
            </w:r>
            <w:r w:rsidR="003239B8" w:rsidRPr="004C700A">
              <w:rPr>
                <w:rFonts w:asciiTheme="majorHAnsi" w:hAnsiTheme="majorHAnsi"/>
                <w:b/>
                <w:bCs/>
                <w:color w:val="FFFFFF" w:themeColor="background1"/>
                <w:sz w:val="19"/>
                <w:szCs w:val="19"/>
                <w:lang w:val="es-ES"/>
              </w:rPr>
              <w:t>:</w:t>
            </w:r>
          </w:p>
        </w:tc>
        <w:tc>
          <w:tcPr>
            <w:tcW w:w="5760" w:type="dxa"/>
            <w:vAlign w:val="center"/>
          </w:tcPr>
          <w:p w14:paraId="12C931CB" w14:textId="278E4184" w:rsidR="003239B8" w:rsidRPr="004C700A" w:rsidRDefault="00671A1D" w:rsidP="00C44F5F">
            <w:pPr>
              <w:jc w:val="both"/>
              <w:rPr>
                <w:rFonts w:asciiTheme="majorHAnsi" w:hAnsiTheme="majorHAnsi"/>
                <w:bCs/>
                <w:sz w:val="19"/>
                <w:szCs w:val="19"/>
                <w:lang w:val="es-ES"/>
              </w:rPr>
            </w:pPr>
            <w:r w:rsidRPr="004C700A">
              <w:rPr>
                <w:rFonts w:asciiTheme="majorHAnsi" w:hAnsiTheme="majorHAnsi"/>
                <w:bCs/>
                <w:sz w:val="19"/>
                <w:szCs w:val="19"/>
                <w:lang w:val="es-ES"/>
              </w:rPr>
              <w:t>S</w:t>
            </w:r>
            <w:r w:rsidR="00C44F5F" w:rsidRPr="004C700A">
              <w:rPr>
                <w:rFonts w:asciiTheme="majorHAnsi" w:hAnsiTheme="majorHAnsi"/>
                <w:bCs/>
                <w:sz w:val="19"/>
                <w:szCs w:val="19"/>
                <w:lang w:val="es-ES"/>
              </w:rPr>
              <w:t>í</w:t>
            </w:r>
          </w:p>
        </w:tc>
      </w:tr>
      <w:tr w:rsidR="003239B8" w:rsidRPr="004C700A" w14:paraId="4362FDF3" w14:textId="77777777" w:rsidTr="004C700A">
        <w:trPr>
          <w:cantSplit/>
        </w:trPr>
        <w:tc>
          <w:tcPr>
            <w:tcW w:w="3600" w:type="dxa"/>
            <w:tcBorders>
              <w:top w:val="single" w:sz="6" w:space="0" w:color="auto"/>
              <w:bottom w:val="single" w:sz="6" w:space="0" w:color="auto"/>
            </w:tcBorders>
            <w:shd w:val="clear" w:color="auto" w:fill="4A7194"/>
            <w:vAlign w:val="center"/>
          </w:tcPr>
          <w:p w14:paraId="3BE23153" w14:textId="68F52206" w:rsidR="003239B8" w:rsidRPr="004C700A" w:rsidRDefault="000F68F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Competencia</w:t>
            </w:r>
            <w:r w:rsidRPr="004C700A">
              <w:rPr>
                <w:rFonts w:asciiTheme="majorHAnsi" w:hAnsiTheme="majorHAnsi"/>
                <w:b/>
                <w:bCs/>
                <w:i/>
                <w:color w:val="FFFFFF" w:themeColor="background1"/>
                <w:sz w:val="19"/>
                <w:szCs w:val="19"/>
                <w:lang w:val="es-ES"/>
              </w:rPr>
              <w:t xml:space="preserve"> r</w:t>
            </w:r>
            <w:r w:rsidR="003239B8" w:rsidRPr="004C700A">
              <w:rPr>
                <w:rFonts w:asciiTheme="majorHAnsi" w:hAnsiTheme="majorHAnsi"/>
                <w:b/>
                <w:bCs/>
                <w:i/>
                <w:color w:val="FFFFFF" w:themeColor="background1"/>
                <w:sz w:val="19"/>
                <w:szCs w:val="19"/>
                <w:lang w:val="es-ES"/>
              </w:rPr>
              <w:t>atione temporis</w:t>
            </w:r>
            <w:r w:rsidR="003239B8" w:rsidRPr="004C700A">
              <w:rPr>
                <w:rFonts w:asciiTheme="majorHAnsi" w:hAnsiTheme="majorHAnsi"/>
                <w:b/>
                <w:bCs/>
                <w:color w:val="FFFFFF" w:themeColor="background1"/>
                <w:sz w:val="19"/>
                <w:szCs w:val="19"/>
                <w:lang w:val="es-ES"/>
              </w:rPr>
              <w:t>:</w:t>
            </w:r>
          </w:p>
        </w:tc>
        <w:tc>
          <w:tcPr>
            <w:tcW w:w="5760" w:type="dxa"/>
            <w:vAlign w:val="center"/>
          </w:tcPr>
          <w:p w14:paraId="6F8B059B" w14:textId="443E3E06" w:rsidR="003239B8" w:rsidRPr="004C700A" w:rsidRDefault="00671A1D" w:rsidP="00C44F5F">
            <w:pPr>
              <w:jc w:val="both"/>
              <w:rPr>
                <w:rFonts w:asciiTheme="majorHAnsi" w:hAnsiTheme="majorHAnsi"/>
                <w:bCs/>
                <w:sz w:val="19"/>
                <w:szCs w:val="19"/>
                <w:lang w:val="es-ES"/>
              </w:rPr>
            </w:pPr>
            <w:r w:rsidRPr="004C700A">
              <w:rPr>
                <w:rFonts w:asciiTheme="majorHAnsi" w:hAnsiTheme="majorHAnsi"/>
                <w:bCs/>
                <w:sz w:val="19"/>
                <w:szCs w:val="19"/>
                <w:lang w:val="es-ES"/>
              </w:rPr>
              <w:t>S</w:t>
            </w:r>
            <w:r w:rsidR="00C44F5F" w:rsidRPr="004C700A">
              <w:rPr>
                <w:rFonts w:asciiTheme="majorHAnsi" w:hAnsiTheme="majorHAnsi"/>
                <w:bCs/>
                <w:sz w:val="19"/>
                <w:szCs w:val="19"/>
                <w:lang w:val="es-ES"/>
              </w:rPr>
              <w:t>í</w:t>
            </w:r>
          </w:p>
        </w:tc>
      </w:tr>
      <w:tr w:rsidR="003239B8" w:rsidRPr="001625B5" w14:paraId="30ABEC3E" w14:textId="77777777" w:rsidTr="004C700A">
        <w:trPr>
          <w:cantSplit/>
        </w:trPr>
        <w:tc>
          <w:tcPr>
            <w:tcW w:w="3600" w:type="dxa"/>
            <w:tcBorders>
              <w:top w:val="single" w:sz="6" w:space="0" w:color="auto"/>
              <w:bottom w:val="single" w:sz="6" w:space="0" w:color="auto"/>
            </w:tcBorders>
            <w:shd w:val="clear" w:color="auto" w:fill="4A7194"/>
            <w:vAlign w:val="center"/>
          </w:tcPr>
          <w:p w14:paraId="47B529D2" w14:textId="7CA33E57" w:rsidR="003239B8" w:rsidRPr="004C700A" w:rsidRDefault="000F68FF"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Competencia</w:t>
            </w:r>
            <w:r w:rsidRPr="004C700A">
              <w:rPr>
                <w:rFonts w:asciiTheme="majorHAnsi" w:hAnsiTheme="majorHAnsi"/>
                <w:b/>
                <w:bCs/>
                <w:i/>
                <w:color w:val="FFFFFF" w:themeColor="background1"/>
                <w:sz w:val="19"/>
                <w:szCs w:val="19"/>
                <w:lang w:val="es-ES"/>
              </w:rPr>
              <w:t xml:space="preserve"> r</w:t>
            </w:r>
            <w:r w:rsidR="003239B8" w:rsidRPr="004C700A">
              <w:rPr>
                <w:rFonts w:asciiTheme="majorHAnsi" w:hAnsiTheme="majorHAnsi"/>
                <w:b/>
                <w:bCs/>
                <w:i/>
                <w:color w:val="FFFFFF" w:themeColor="background1"/>
                <w:sz w:val="19"/>
                <w:szCs w:val="19"/>
                <w:lang w:val="es-ES"/>
              </w:rPr>
              <w:t>atione materia</w:t>
            </w:r>
            <w:r w:rsidR="00EE00E9" w:rsidRPr="004C700A">
              <w:rPr>
                <w:rFonts w:asciiTheme="majorHAnsi" w:hAnsiTheme="majorHAnsi"/>
                <w:b/>
                <w:bCs/>
                <w:i/>
                <w:color w:val="FFFFFF" w:themeColor="background1"/>
                <w:sz w:val="19"/>
                <w:szCs w:val="19"/>
                <w:lang w:val="es-ES"/>
              </w:rPr>
              <w:t>e</w:t>
            </w:r>
            <w:r w:rsidR="003239B8" w:rsidRPr="004C700A">
              <w:rPr>
                <w:rFonts w:asciiTheme="majorHAnsi" w:hAnsiTheme="majorHAnsi"/>
                <w:b/>
                <w:bCs/>
                <w:color w:val="FFFFFF" w:themeColor="background1"/>
                <w:sz w:val="19"/>
                <w:szCs w:val="19"/>
                <w:lang w:val="es-ES"/>
              </w:rPr>
              <w:t>:</w:t>
            </w:r>
          </w:p>
        </w:tc>
        <w:tc>
          <w:tcPr>
            <w:tcW w:w="5760" w:type="dxa"/>
            <w:vAlign w:val="center"/>
          </w:tcPr>
          <w:p w14:paraId="0C122F44" w14:textId="08E89AAB" w:rsidR="003239B8" w:rsidRPr="004C700A" w:rsidRDefault="00671A1D" w:rsidP="00C44F5F">
            <w:pPr>
              <w:jc w:val="both"/>
              <w:rPr>
                <w:rFonts w:asciiTheme="majorHAnsi" w:hAnsiTheme="majorHAnsi"/>
                <w:bCs/>
                <w:sz w:val="19"/>
                <w:szCs w:val="19"/>
                <w:lang w:val="es-ES"/>
              </w:rPr>
            </w:pPr>
            <w:r w:rsidRPr="004C700A">
              <w:rPr>
                <w:rFonts w:asciiTheme="majorHAnsi" w:hAnsiTheme="majorHAnsi"/>
                <w:bCs/>
                <w:sz w:val="19"/>
                <w:szCs w:val="19"/>
                <w:lang w:val="es-ES"/>
              </w:rPr>
              <w:t>S</w:t>
            </w:r>
            <w:r w:rsidR="00C44F5F" w:rsidRPr="004C700A">
              <w:rPr>
                <w:rFonts w:asciiTheme="majorHAnsi" w:hAnsiTheme="majorHAnsi"/>
                <w:bCs/>
                <w:sz w:val="19"/>
                <w:szCs w:val="19"/>
                <w:lang w:val="es-ES"/>
              </w:rPr>
              <w:t>í</w:t>
            </w:r>
            <w:r w:rsidRPr="004C700A">
              <w:rPr>
                <w:rFonts w:asciiTheme="majorHAnsi" w:hAnsiTheme="majorHAnsi"/>
                <w:bCs/>
                <w:sz w:val="19"/>
                <w:szCs w:val="19"/>
                <w:lang w:val="es-ES"/>
              </w:rPr>
              <w:t xml:space="preserve">, </w:t>
            </w:r>
            <w:r w:rsidR="000F68FF" w:rsidRPr="004C700A">
              <w:rPr>
                <w:rFonts w:asciiTheme="majorHAnsi" w:hAnsiTheme="majorHAnsi"/>
                <w:bCs/>
                <w:sz w:val="19"/>
                <w:szCs w:val="19"/>
                <w:lang w:val="es-ES"/>
              </w:rPr>
              <w:t>Convención Americana</w:t>
            </w:r>
            <w:r w:rsidRPr="004C700A">
              <w:rPr>
                <w:rFonts w:asciiTheme="majorHAnsi" w:hAnsiTheme="majorHAnsi"/>
                <w:bCs/>
                <w:sz w:val="19"/>
                <w:szCs w:val="19"/>
                <w:lang w:val="es-ES"/>
              </w:rPr>
              <w:t xml:space="preserve"> (instrumento </w:t>
            </w:r>
            <w:r w:rsidR="00C44F5F" w:rsidRPr="004C700A">
              <w:rPr>
                <w:rFonts w:asciiTheme="majorHAnsi" w:hAnsiTheme="majorHAnsi"/>
                <w:bCs/>
                <w:sz w:val="19"/>
                <w:szCs w:val="19"/>
                <w:lang w:val="es-ES"/>
              </w:rPr>
              <w:t>adoptado</w:t>
            </w:r>
            <w:r w:rsidRPr="004C700A">
              <w:rPr>
                <w:rFonts w:asciiTheme="majorHAnsi" w:hAnsiTheme="majorHAnsi"/>
                <w:bCs/>
                <w:sz w:val="19"/>
                <w:szCs w:val="19"/>
                <w:lang w:val="es-ES"/>
              </w:rPr>
              <w:t xml:space="preserve"> </w:t>
            </w:r>
            <w:r w:rsidR="00C44F5F" w:rsidRPr="004C700A">
              <w:rPr>
                <w:rFonts w:asciiTheme="majorHAnsi" w:hAnsiTheme="majorHAnsi"/>
                <w:bCs/>
                <w:sz w:val="19"/>
                <w:szCs w:val="19"/>
                <w:lang w:val="es-ES"/>
              </w:rPr>
              <w:t xml:space="preserve">el </w:t>
            </w:r>
            <w:r w:rsidRPr="004C700A">
              <w:rPr>
                <w:rFonts w:asciiTheme="majorHAnsi" w:hAnsiTheme="majorHAnsi"/>
                <w:bCs/>
                <w:sz w:val="19"/>
                <w:szCs w:val="19"/>
                <w:lang w:val="es-ES"/>
              </w:rPr>
              <w:t xml:space="preserve">25 de </w:t>
            </w:r>
            <w:r w:rsidR="00C44F5F" w:rsidRPr="004C700A">
              <w:rPr>
                <w:rFonts w:asciiTheme="majorHAnsi" w:hAnsiTheme="majorHAnsi"/>
                <w:bCs/>
                <w:sz w:val="19"/>
                <w:szCs w:val="19"/>
                <w:lang w:val="es-ES"/>
              </w:rPr>
              <w:t>septiembre</w:t>
            </w:r>
            <w:r w:rsidRPr="004C700A">
              <w:rPr>
                <w:rFonts w:asciiTheme="majorHAnsi" w:hAnsiTheme="majorHAnsi"/>
                <w:bCs/>
                <w:sz w:val="19"/>
                <w:szCs w:val="19"/>
                <w:lang w:val="es-ES"/>
              </w:rPr>
              <w:t xml:space="preserve"> de 1992)</w:t>
            </w:r>
          </w:p>
        </w:tc>
      </w:tr>
    </w:tbl>
    <w:p w14:paraId="4E92C444" w14:textId="01BEFA43" w:rsidR="003239B8" w:rsidRPr="004C700A" w:rsidRDefault="003239B8" w:rsidP="004C700A">
      <w:pPr>
        <w:spacing w:before="120" w:after="120"/>
        <w:ind w:firstLine="720"/>
        <w:jc w:val="both"/>
        <w:rPr>
          <w:rFonts w:asciiTheme="majorHAnsi" w:hAnsiTheme="majorHAnsi"/>
          <w:b/>
          <w:bCs/>
          <w:sz w:val="19"/>
          <w:szCs w:val="19"/>
          <w:lang w:val="es-ES"/>
        </w:rPr>
      </w:pPr>
      <w:r w:rsidRPr="004C700A">
        <w:rPr>
          <w:rFonts w:asciiTheme="majorHAnsi" w:hAnsiTheme="majorHAnsi"/>
          <w:b/>
          <w:bCs/>
          <w:sz w:val="19"/>
          <w:szCs w:val="19"/>
          <w:lang w:val="es-ES"/>
        </w:rPr>
        <w:t xml:space="preserve">IV. </w:t>
      </w:r>
      <w:r w:rsidRPr="004C700A">
        <w:rPr>
          <w:rFonts w:asciiTheme="majorHAnsi" w:hAnsiTheme="majorHAnsi"/>
          <w:b/>
          <w:bCs/>
          <w:sz w:val="19"/>
          <w:szCs w:val="19"/>
          <w:lang w:val="es-ES"/>
        </w:rPr>
        <w:tab/>
      </w:r>
      <w:r w:rsidR="002B130C" w:rsidRPr="004C700A">
        <w:rPr>
          <w:rFonts w:asciiTheme="majorHAnsi" w:hAnsiTheme="majorHAnsi"/>
          <w:b/>
          <w:bCs/>
          <w:sz w:val="19"/>
          <w:szCs w:val="19"/>
          <w:lang w:val="es-ES"/>
        </w:rPr>
        <w:t>DUPLICACIÓN DE PROCEDIMIENTOS Y COSA JUZGADA</w:t>
      </w:r>
      <w:r w:rsidR="002B130C" w:rsidRPr="004C700A">
        <w:rPr>
          <w:rFonts w:asciiTheme="majorHAnsi" w:hAnsiTheme="majorHAnsi"/>
          <w:b/>
          <w:bCs/>
          <w:i/>
          <w:sz w:val="19"/>
          <w:szCs w:val="19"/>
          <w:lang w:val="es-ES"/>
        </w:rPr>
        <w:t xml:space="preserve"> </w:t>
      </w:r>
      <w:r w:rsidR="002B130C" w:rsidRPr="004C700A">
        <w:rPr>
          <w:rFonts w:asciiTheme="majorHAnsi" w:hAnsiTheme="majorHAnsi"/>
          <w:b/>
          <w:bCs/>
          <w:sz w:val="19"/>
          <w:szCs w:val="19"/>
          <w:lang w:val="es-ES"/>
        </w:rPr>
        <w:t>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34AB1" w:rsidRPr="004C700A" w14:paraId="1231C988" w14:textId="77777777" w:rsidTr="004C700A">
        <w:trPr>
          <w:cantSplit/>
        </w:trPr>
        <w:tc>
          <w:tcPr>
            <w:tcW w:w="3600" w:type="dxa"/>
            <w:tcBorders>
              <w:top w:val="single" w:sz="4" w:space="0" w:color="auto"/>
              <w:bottom w:val="single" w:sz="6" w:space="0" w:color="auto"/>
            </w:tcBorders>
            <w:shd w:val="clear" w:color="auto" w:fill="4A7194"/>
            <w:vAlign w:val="center"/>
          </w:tcPr>
          <w:p w14:paraId="5A1BE011" w14:textId="77777777" w:rsidR="00134AB1" w:rsidRPr="004C700A" w:rsidRDefault="00134AB1"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Duplicación de procedimientos</w:t>
            </w:r>
          </w:p>
          <w:p w14:paraId="6F8031F4" w14:textId="7A6FCBC8" w:rsidR="00134AB1" w:rsidRPr="004C700A" w:rsidRDefault="00134AB1"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y cosa juzgada internacional:</w:t>
            </w:r>
          </w:p>
        </w:tc>
        <w:tc>
          <w:tcPr>
            <w:tcW w:w="5760" w:type="dxa"/>
            <w:vAlign w:val="center"/>
          </w:tcPr>
          <w:p w14:paraId="240941E6" w14:textId="672B9B5B" w:rsidR="00134AB1" w:rsidRPr="004C700A" w:rsidRDefault="00134AB1" w:rsidP="00134AB1">
            <w:pPr>
              <w:jc w:val="both"/>
              <w:rPr>
                <w:rFonts w:asciiTheme="majorHAnsi" w:hAnsiTheme="majorHAnsi"/>
                <w:bCs/>
                <w:sz w:val="19"/>
                <w:szCs w:val="19"/>
                <w:lang w:val="es-ES"/>
              </w:rPr>
            </w:pPr>
            <w:r w:rsidRPr="004C700A">
              <w:rPr>
                <w:rFonts w:asciiTheme="majorHAnsi" w:hAnsiTheme="majorHAnsi"/>
                <w:bCs/>
                <w:sz w:val="19"/>
                <w:szCs w:val="19"/>
                <w:lang w:val="es-ES"/>
              </w:rPr>
              <w:t>No</w:t>
            </w:r>
          </w:p>
        </w:tc>
      </w:tr>
      <w:tr w:rsidR="00134AB1" w:rsidRPr="001625B5" w14:paraId="15FAA7D1" w14:textId="77777777" w:rsidTr="004C700A">
        <w:trPr>
          <w:cantSplit/>
        </w:trPr>
        <w:tc>
          <w:tcPr>
            <w:tcW w:w="3600" w:type="dxa"/>
            <w:tcBorders>
              <w:top w:val="single" w:sz="4" w:space="0" w:color="auto"/>
              <w:bottom w:val="single" w:sz="6" w:space="0" w:color="auto"/>
            </w:tcBorders>
            <w:shd w:val="clear" w:color="auto" w:fill="4A7194"/>
            <w:vAlign w:val="center"/>
          </w:tcPr>
          <w:p w14:paraId="1B0D29FF" w14:textId="78F1D3AB" w:rsidR="00134AB1" w:rsidRPr="004C700A" w:rsidRDefault="00134AB1" w:rsidP="004C700A">
            <w:pPr>
              <w:jc w:val="center"/>
              <w:rPr>
                <w:rFonts w:asciiTheme="majorHAnsi" w:hAnsiTheme="majorHAnsi"/>
                <w:b/>
                <w:bCs/>
                <w:i/>
                <w:color w:val="FFFFFF" w:themeColor="background1"/>
                <w:sz w:val="19"/>
                <w:szCs w:val="19"/>
                <w:lang w:val="es-ES"/>
              </w:rPr>
            </w:pPr>
            <w:r w:rsidRPr="004C700A">
              <w:rPr>
                <w:rFonts w:asciiTheme="majorHAnsi" w:hAnsiTheme="majorHAnsi"/>
                <w:b/>
                <w:bCs/>
                <w:color w:val="FFFFFF" w:themeColor="background1"/>
                <w:sz w:val="19"/>
                <w:szCs w:val="19"/>
                <w:lang w:val="es-ES"/>
              </w:rPr>
              <w:t>Derechos declarados admisibles:</w:t>
            </w:r>
          </w:p>
        </w:tc>
        <w:tc>
          <w:tcPr>
            <w:tcW w:w="5760" w:type="dxa"/>
            <w:vAlign w:val="center"/>
          </w:tcPr>
          <w:p w14:paraId="6310C8F7" w14:textId="2933691B" w:rsidR="00134AB1" w:rsidRPr="004C700A" w:rsidRDefault="00134AB1" w:rsidP="00617BF2">
            <w:pPr>
              <w:jc w:val="both"/>
              <w:rPr>
                <w:rFonts w:asciiTheme="majorHAnsi" w:hAnsiTheme="majorHAnsi"/>
                <w:bCs/>
                <w:sz w:val="19"/>
                <w:szCs w:val="19"/>
                <w:lang w:val="es-ES"/>
              </w:rPr>
            </w:pPr>
            <w:r w:rsidRPr="004C700A">
              <w:rPr>
                <w:rFonts w:asciiTheme="majorHAnsi" w:hAnsiTheme="majorHAnsi"/>
                <w:bCs/>
                <w:sz w:val="19"/>
                <w:szCs w:val="19"/>
                <w:lang w:val="es-ES"/>
              </w:rPr>
              <w:t xml:space="preserve">Artículos 4 (derecho a la vida), 8 (garantías judiciales) y 25 (protección judicial), relacionados con los artículos 1.1 </w:t>
            </w:r>
            <w:r w:rsidR="004C700A">
              <w:rPr>
                <w:rFonts w:asciiTheme="majorHAnsi" w:hAnsiTheme="majorHAnsi"/>
                <w:bCs/>
                <w:sz w:val="19"/>
                <w:szCs w:val="19"/>
                <w:lang w:val="es-ES"/>
              </w:rPr>
              <w:t>(</w:t>
            </w:r>
            <w:r w:rsidR="00617BF2">
              <w:rPr>
                <w:rFonts w:asciiTheme="majorHAnsi" w:hAnsiTheme="majorHAnsi"/>
                <w:bCs/>
                <w:sz w:val="19"/>
                <w:szCs w:val="19"/>
                <w:lang w:val="es-ES"/>
              </w:rPr>
              <w:t>obligación</w:t>
            </w:r>
            <w:r w:rsidR="004C700A">
              <w:rPr>
                <w:rFonts w:asciiTheme="majorHAnsi" w:hAnsiTheme="majorHAnsi"/>
                <w:bCs/>
                <w:sz w:val="19"/>
                <w:szCs w:val="19"/>
                <w:lang w:val="es-ES"/>
              </w:rPr>
              <w:t xml:space="preserve"> de respetar los derechos) </w:t>
            </w:r>
            <w:r w:rsidRPr="004C700A">
              <w:rPr>
                <w:rFonts w:asciiTheme="majorHAnsi" w:hAnsiTheme="majorHAnsi"/>
                <w:bCs/>
                <w:sz w:val="19"/>
                <w:szCs w:val="19"/>
                <w:lang w:val="es-ES"/>
              </w:rPr>
              <w:t xml:space="preserve">y 2 </w:t>
            </w:r>
            <w:r w:rsidR="004C700A">
              <w:rPr>
                <w:rFonts w:asciiTheme="majorHAnsi" w:hAnsiTheme="majorHAnsi"/>
                <w:bCs/>
                <w:sz w:val="19"/>
                <w:szCs w:val="19"/>
                <w:lang w:val="es-ES"/>
              </w:rPr>
              <w:t xml:space="preserve">(deber de adoptar disposiciones de derecho interno) </w:t>
            </w:r>
            <w:r w:rsidRPr="004C700A">
              <w:rPr>
                <w:rFonts w:asciiTheme="majorHAnsi" w:hAnsiTheme="majorHAnsi"/>
                <w:bCs/>
                <w:sz w:val="19"/>
                <w:szCs w:val="19"/>
                <w:lang w:val="es-ES"/>
              </w:rPr>
              <w:t>de la Convención Americana</w:t>
            </w:r>
          </w:p>
        </w:tc>
      </w:tr>
      <w:tr w:rsidR="00134AB1" w:rsidRPr="004C700A" w14:paraId="4EFD141E" w14:textId="77777777" w:rsidTr="004C700A">
        <w:trPr>
          <w:cantSplit/>
        </w:trPr>
        <w:tc>
          <w:tcPr>
            <w:tcW w:w="3600" w:type="dxa"/>
            <w:tcBorders>
              <w:top w:val="single" w:sz="6" w:space="0" w:color="auto"/>
              <w:bottom w:val="single" w:sz="6" w:space="0" w:color="auto"/>
            </w:tcBorders>
            <w:shd w:val="clear" w:color="auto" w:fill="4A7194"/>
            <w:vAlign w:val="center"/>
          </w:tcPr>
          <w:p w14:paraId="4C04A89C" w14:textId="63D654C5" w:rsidR="00134AB1" w:rsidRPr="004C700A" w:rsidRDefault="00134AB1"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 xml:space="preserve">Agotamiento de los recursos internos o </w:t>
            </w:r>
            <w:r w:rsidR="004C700A">
              <w:rPr>
                <w:rFonts w:asciiTheme="majorHAnsi" w:hAnsiTheme="majorHAnsi"/>
                <w:b/>
                <w:bCs/>
                <w:color w:val="FFFFFF" w:themeColor="background1"/>
                <w:sz w:val="19"/>
                <w:szCs w:val="19"/>
                <w:lang w:val="es-ES"/>
              </w:rPr>
              <w:t>aplicabilidad de una excepción:</w:t>
            </w:r>
          </w:p>
        </w:tc>
        <w:tc>
          <w:tcPr>
            <w:tcW w:w="5760" w:type="dxa"/>
            <w:vAlign w:val="center"/>
          </w:tcPr>
          <w:p w14:paraId="69C53E8A" w14:textId="7526F86A" w:rsidR="00134AB1" w:rsidRPr="004C700A" w:rsidRDefault="00134AB1" w:rsidP="00134AB1">
            <w:pPr>
              <w:jc w:val="both"/>
              <w:rPr>
                <w:rFonts w:asciiTheme="majorHAnsi" w:hAnsiTheme="majorHAnsi"/>
                <w:bCs/>
                <w:sz w:val="19"/>
                <w:szCs w:val="19"/>
                <w:lang w:val="es-ES"/>
              </w:rPr>
            </w:pPr>
            <w:r w:rsidRPr="004C700A">
              <w:rPr>
                <w:rFonts w:asciiTheme="majorHAnsi" w:hAnsiTheme="majorHAnsi"/>
                <w:bCs/>
                <w:sz w:val="19"/>
                <w:szCs w:val="19"/>
                <w:lang w:val="es-ES"/>
              </w:rPr>
              <w:t>Sí</w:t>
            </w:r>
          </w:p>
        </w:tc>
      </w:tr>
      <w:tr w:rsidR="00134AB1" w:rsidRPr="004C700A" w14:paraId="52B5BA17" w14:textId="77777777" w:rsidTr="004C700A">
        <w:trPr>
          <w:cantSplit/>
        </w:trPr>
        <w:tc>
          <w:tcPr>
            <w:tcW w:w="3600" w:type="dxa"/>
            <w:tcBorders>
              <w:top w:val="single" w:sz="6" w:space="0" w:color="auto"/>
              <w:bottom w:val="single" w:sz="6" w:space="0" w:color="auto"/>
            </w:tcBorders>
            <w:shd w:val="clear" w:color="auto" w:fill="4A7194"/>
            <w:vAlign w:val="center"/>
          </w:tcPr>
          <w:p w14:paraId="5DF99086" w14:textId="5D60D72C" w:rsidR="00134AB1" w:rsidRPr="004C700A" w:rsidRDefault="00134AB1" w:rsidP="004C700A">
            <w:pPr>
              <w:jc w:val="center"/>
              <w:rPr>
                <w:rFonts w:asciiTheme="majorHAnsi" w:hAnsiTheme="majorHAnsi"/>
                <w:b/>
                <w:bCs/>
                <w:color w:val="FFFFFF" w:themeColor="background1"/>
                <w:sz w:val="19"/>
                <w:szCs w:val="19"/>
                <w:lang w:val="es-ES"/>
              </w:rPr>
            </w:pPr>
            <w:r w:rsidRPr="004C700A">
              <w:rPr>
                <w:rFonts w:asciiTheme="majorHAnsi" w:hAnsiTheme="majorHAnsi"/>
                <w:b/>
                <w:bCs/>
                <w:color w:val="FFFFFF" w:themeColor="background1"/>
                <w:sz w:val="19"/>
                <w:szCs w:val="19"/>
                <w:lang w:val="es-ES"/>
              </w:rPr>
              <w:t>Presentación dentro del plazo:</w:t>
            </w:r>
          </w:p>
        </w:tc>
        <w:tc>
          <w:tcPr>
            <w:tcW w:w="5760" w:type="dxa"/>
            <w:vAlign w:val="center"/>
          </w:tcPr>
          <w:p w14:paraId="4A2A4569" w14:textId="7B7280CF" w:rsidR="00134AB1" w:rsidRPr="004C700A" w:rsidRDefault="00134AB1" w:rsidP="00134AB1">
            <w:pPr>
              <w:jc w:val="both"/>
              <w:rPr>
                <w:rFonts w:asciiTheme="majorHAnsi" w:hAnsiTheme="majorHAnsi"/>
                <w:bCs/>
                <w:sz w:val="19"/>
                <w:szCs w:val="19"/>
                <w:lang w:val="es-ES"/>
              </w:rPr>
            </w:pPr>
            <w:r w:rsidRPr="004C700A">
              <w:rPr>
                <w:rFonts w:asciiTheme="majorHAnsi" w:hAnsiTheme="majorHAnsi"/>
                <w:bCs/>
                <w:sz w:val="19"/>
                <w:szCs w:val="19"/>
                <w:lang w:val="es-ES"/>
              </w:rPr>
              <w:t>Sí</w:t>
            </w:r>
          </w:p>
        </w:tc>
      </w:tr>
    </w:tbl>
    <w:p w14:paraId="18E6423B" w14:textId="79222E13" w:rsidR="003239B8" w:rsidRPr="004C700A" w:rsidRDefault="00223A29" w:rsidP="004C700A">
      <w:pPr>
        <w:keepNext/>
        <w:keepLines/>
        <w:spacing w:before="120" w:after="120"/>
        <w:ind w:firstLine="720"/>
        <w:jc w:val="both"/>
        <w:rPr>
          <w:rFonts w:asciiTheme="majorHAnsi" w:hAnsiTheme="majorHAnsi"/>
          <w:b/>
          <w:sz w:val="19"/>
          <w:szCs w:val="19"/>
          <w:lang w:val="es-ES"/>
        </w:rPr>
      </w:pPr>
      <w:r w:rsidRPr="004C700A">
        <w:rPr>
          <w:rFonts w:asciiTheme="majorHAnsi" w:hAnsiTheme="majorHAnsi"/>
          <w:b/>
          <w:sz w:val="19"/>
          <w:szCs w:val="19"/>
          <w:lang w:val="es-ES"/>
        </w:rPr>
        <w:t xml:space="preserve">V. </w:t>
      </w:r>
      <w:r w:rsidRPr="004C700A">
        <w:rPr>
          <w:rFonts w:asciiTheme="majorHAnsi" w:hAnsiTheme="majorHAnsi"/>
          <w:b/>
          <w:sz w:val="19"/>
          <w:szCs w:val="19"/>
          <w:lang w:val="es-ES"/>
        </w:rPr>
        <w:tab/>
      </w:r>
      <w:r w:rsidR="00134AB1" w:rsidRPr="004C700A">
        <w:rPr>
          <w:rFonts w:asciiTheme="majorHAnsi" w:hAnsiTheme="majorHAnsi"/>
          <w:b/>
          <w:sz w:val="19"/>
          <w:szCs w:val="19"/>
          <w:lang w:val="es-ES"/>
        </w:rPr>
        <w:t>HECHOS</w:t>
      </w:r>
      <w:r w:rsidR="003239B8" w:rsidRPr="004C700A">
        <w:rPr>
          <w:rFonts w:asciiTheme="majorHAnsi" w:hAnsiTheme="majorHAnsi"/>
          <w:b/>
          <w:sz w:val="19"/>
          <w:szCs w:val="19"/>
          <w:lang w:val="es-ES"/>
        </w:rPr>
        <w:t xml:space="preserve"> ALEGADOS </w:t>
      </w:r>
    </w:p>
    <w:p w14:paraId="54878D86" w14:textId="39B0751B" w:rsidR="00A11E44" w:rsidRPr="004C700A" w:rsidRDefault="00C12C99" w:rsidP="00134AB1">
      <w:pPr>
        <w:keepNext/>
        <w:keepLines/>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Sonia Kodaira (</w:t>
      </w:r>
      <w:r w:rsidR="00134AB1" w:rsidRPr="004C700A">
        <w:rPr>
          <w:rFonts w:asciiTheme="majorHAnsi" w:hAnsiTheme="majorHAnsi"/>
          <w:sz w:val="19"/>
          <w:szCs w:val="19"/>
          <w:lang w:val="es-ES"/>
        </w:rPr>
        <w:t>en adelante</w:t>
      </w:r>
      <w:r w:rsidRPr="004C700A">
        <w:rPr>
          <w:rFonts w:asciiTheme="majorHAnsi" w:hAnsiTheme="majorHAnsi"/>
          <w:sz w:val="19"/>
          <w:szCs w:val="19"/>
          <w:lang w:val="es-ES"/>
        </w:rPr>
        <w:t xml:space="preserve"> “</w:t>
      </w:r>
      <w:r w:rsidR="00134AB1" w:rsidRPr="004C700A">
        <w:rPr>
          <w:rFonts w:asciiTheme="majorHAnsi" w:hAnsiTheme="majorHAnsi"/>
          <w:sz w:val="19"/>
          <w:szCs w:val="19"/>
          <w:lang w:val="es-ES"/>
        </w:rPr>
        <w:t>la señora</w:t>
      </w:r>
      <w:r w:rsidRPr="004C700A">
        <w:rPr>
          <w:rFonts w:asciiTheme="majorHAnsi" w:hAnsiTheme="majorHAnsi"/>
          <w:sz w:val="19"/>
          <w:szCs w:val="19"/>
          <w:lang w:val="es-ES"/>
        </w:rPr>
        <w:t xml:space="preserve"> Kodaira”) </w:t>
      </w:r>
      <w:r w:rsidR="00134AB1" w:rsidRPr="004C700A">
        <w:rPr>
          <w:rFonts w:asciiTheme="majorHAnsi" w:hAnsiTheme="majorHAnsi"/>
          <w:sz w:val="19"/>
          <w:szCs w:val="19"/>
          <w:lang w:val="es-ES"/>
        </w:rPr>
        <w:t>y l</w:t>
      </w:r>
      <w:r w:rsidRPr="004C700A">
        <w:rPr>
          <w:rFonts w:asciiTheme="majorHAnsi" w:hAnsiTheme="majorHAnsi"/>
          <w:sz w:val="19"/>
          <w:szCs w:val="19"/>
          <w:lang w:val="es-ES"/>
        </w:rPr>
        <w:t xml:space="preserve">a </w:t>
      </w:r>
      <w:r w:rsidR="00134AB1" w:rsidRPr="004C700A">
        <w:rPr>
          <w:rFonts w:asciiTheme="majorHAnsi" w:hAnsiTheme="majorHAnsi"/>
          <w:sz w:val="19"/>
          <w:szCs w:val="19"/>
          <w:lang w:val="es-ES"/>
        </w:rPr>
        <w:t>organización</w:t>
      </w:r>
      <w:r w:rsidRPr="004C700A">
        <w:rPr>
          <w:rFonts w:asciiTheme="majorHAnsi" w:hAnsiTheme="majorHAnsi"/>
          <w:sz w:val="19"/>
          <w:szCs w:val="19"/>
          <w:lang w:val="es-ES"/>
        </w:rPr>
        <w:t xml:space="preserve"> Conectas </w:t>
      </w:r>
      <w:r w:rsidR="00C44F5F" w:rsidRPr="004C700A">
        <w:rPr>
          <w:rFonts w:asciiTheme="majorHAnsi" w:hAnsiTheme="majorHAnsi"/>
          <w:sz w:val="19"/>
          <w:szCs w:val="19"/>
          <w:lang w:val="es-ES"/>
        </w:rPr>
        <w:t>Derechos</w:t>
      </w:r>
      <w:r w:rsidRPr="004C700A">
        <w:rPr>
          <w:rFonts w:asciiTheme="majorHAnsi" w:hAnsiTheme="majorHAnsi"/>
          <w:sz w:val="19"/>
          <w:szCs w:val="19"/>
          <w:lang w:val="es-ES"/>
        </w:rPr>
        <w:t xml:space="preserve"> Humanos (</w:t>
      </w:r>
      <w:r w:rsidR="00134AB1" w:rsidRPr="004C700A">
        <w:rPr>
          <w:rFonts w:asciiTheme="majorHAnsi" w:hAnsiTheme="majorHAnsi"/>
          <w:sz w:val="19"/>
          <w:szCs w:val="19"/>
          <w:lang w:val="es-ES"/>
        </w:rPr>
        <w:t>en adelante</w:t>
      </w:r>
      <w:r w:rsidRPr="004C700A">
        <w:rPr>
          <w:rFonts w:asciiTheme="majorHAnsi" w:hAnsiTheme="majorHAnsi"/>
          <w:sz w:val="19"/>
          <w:szCs w:val="19"/>
          <w:lang w:val="es-ES"/>
        </w:rPr>
        <w:t xml:space="preserve"> “Conectas”), ambas peticionarias, </w:t>
      </w:r>
      <w:r w:rsidR="00F47567" w:rsidRPr="004C700A">
        <w:rPr>
          <w:rFonts w:asciiTheme="majorHAnsi" w:hAnsiTheme="majorHAnsi"/>
          <w:sz w:val="19"/>
          <w:szCs w:val="19"/>
          <w:lang w:val="es-ES"/>
        </w:rPr>
        <w:t>afirman</w:t>
      </w:r>
      <w:r w:rsidRPr="004C700A">
        <w:rPr>
          <w:rFonts w:asciiTheme="majorHAnsi" w:hAnsiTheme="majorHAnsi"/>
          <w:sz w:val="19"/>
          <w:szCs w:val="19"/>
          <w:lang w:val="es-ES"/>
        </w:rPr>
        <w:t xml:space="preserve"> que Gerson Mendonça de Freitas Filho (</w:t>
      </w:r>
      <w:r w:rsidR="00134AB1" w:rsidRPr="004C700A">
        <w:rPr>
          <w:rFonts w:asciiTheme="majorHAnsi" w:hAnsiTheme="majorHAnsi"/>
          <w:sz w:val="19"/>
          <w:szCs w:val="19"/>
          <w:lang w:val="es-ES"/>
        </w:rPr>
        <w:t>en adelante</w:t>
      </w:r>
      <w:r w:rsidR="0074265B"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el señor</w:t>
      </w:r>
      <w:r w:rsidR="0074265B" w:rsidRPr="004C700A">
        <w:rPr>
          <w:rFonts w:asciiTheme="majorHAnsi" w:hAnsiTheme="majorHAnsi"/>
          <w:sz w:val="19"/>
          <w:szCs w:val="19"/>
          <w:lang w:val="es-ES"/>
        </w:rPr>
        <w:t xml:space="preserve"> Freitas” o</w:t>
      </w:r>
      <w:r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 xml:space="preserve">la </w:t>
      </w:r>
      <w:r w:rsidR="000F68FF" w:rsidRPr="004C700A">
        <w:rPr>
          <w:rFonts w:asciiTheme="majorHAnsi" w:hAnsiTheme="majorHAnsi"/>
          <w:sz w:val="19"/>
          <w:szCs w:val="19"/>
          <w:lang w:val="es-ES"/>
        </w:rPr>
        <w:t>presunta víctima</w:t>
      </w:r>
      <w:r w:rsidRPr="004C700A">
        <w:rPr>
          <w:rFonts w:asciiTheme="majorHAnsi" w:hAnsiTheme="majorHAnsi"/>
          <w:sz w:val="19"/>
          <w:szCs w:val="19"/>
          <w:lang w:val="es-ES"/>
        </w:rPr>
        <w:t>”) f</w:t>
      </w:r>
      <w:r w:rsidR="00F47567" w:rsidRPr="004C700A">
        <w:rPr>
          <w:rFonts w:asciiTheme="majorHAnsi" w:hAnsiTheme="majorHAnsi"/>
          <w:sz w:val="19"/>
          <w:szCs w:val="19"/>
          <w:lang w:val="es-ES"/>
        </w:rPr>
        <w:t>ue asesinado como consecuencia del</w:t>
      </w:r>
      <w:r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uso letal de la fuerza</w:t>
      </w:r>
      <w:r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durante una</w:t>
      </w:r>
      <w:r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operación</w:t>
      </w:r>
      <w:r w:rsidRPr="004C700A">
        <w:rPr>
          <w:rFonts w:asciiTheme="majorHAnsi" w:hAnsiTheme="majorHAnsi"/>
          <w:sz w:val="19"/>
          <w:szCs w:val="19"/>
          <w:lang w:val="es-ES"/>
        </w:rPr>
        <w:t xml:space="preserve"> policial </w:t>
      </w:r>
      <w:r w:rsidR="00F47567" w:rsidRPr="004C700A">
        <w:rPr>
          <w:rFonts w:asciiTheme="majorHAnsi" w:hAnsiTheme="majorHAnsi"/>
          <w:sz w:val="19"/>
          <w:szCs w:val="19"/>
          <w:lang w:val="es-ES"/>
        </w:rPr>
        <w:t>cuya finalidad era detener a dos hombres que lo había secuestrado</w:t>
      </w:r>
      <w:r w:rsidRPr="004C700A">
        <w:rPr>
          <w:rFonts w:asciiTheme="majorHAnsi" w:hAnsiTheme="majorHAnsi"/>
          <w:sz w:val="19"/>
          <w:szCs w:val="19"/>
          <w:lang w:val="es-ES"/>
        </w:rPr>
        <w:t>.</w:t>
      </w:r>
      <w:r w:rsidR="006B2EF2"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Señalan l</w:t>
      </w:r>
      <w:r w:rsidR="006B2EF2" w:rsidRPr="004C700A">
        <w:rPr>
          <w:rFonts w:asciiTheme="majorHAnsi" w:hAnsiTheme="majorHAnsi"/>
          <w:sz w:val="19"/>
          <w:szCs w:val="19"/>
          <w:lang w:val="es-ES"/>
        </w:rPr>
        <w:t xml:space="preserve">a falta de recursos </w:t>
      </w:r>
      <w:r w:rsidR="00F47567" w:rsidRPr="004C700A">
        <w:rPr>
          <w:rFonts w:asciiTheme="majorHAnsi" w:hAnsiTheme="majorHAnsi"/>
          <w:sz w:val="19"/>
          <w:szCs w:val="19"/>
          <w:lang w:val="es-ES"/>
        </w:rPr>
        <w:t>efectivos</w:t>
      </w:r>
      <w:r w:rsidR="006B2EF2" w:rsidRPr="004C700A">
        <w:rPr>
          <w:rFonts w:asciiTheme="majorHAnsi" w:hAnsiTheme="majorHAnsi"/>
          <w:sz w:val="19"/>
          <w:szCs w:val="19"/>
          <w:lang w:val="es-ES"/>
        </w:rPr>
        <w:t xml:space="preserve"> para </w:t>
      </w:r>
      <w:r w:rsidR="00225B2A" w:rsidRPr="004C700A">
        <w:rPr>
          <w:rFonts w:asciiTheme="majorHAnsi" w:hAnsiTheme="majorHAnsi"/>
          <w:sz w:val="19"/>
          <w:szCs w:val="19"/>
          <w:lang w:val="es-ES"/>
        </w:rPr>
        <w:t>responsabilizar</w:t>
      </w:r>
      <w:r w:rsidR="006B2EF2"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a l</w:t>
      </w:r>
      <w:r w:rsidR="006B2EF2" w:rsidRPr="004C700A">
        <w:rPr>
          <w:rFonts w:asciiTheme="majorHAnsi" w:hAnsiTheme="majorHAnsi"/>
          <w:sz w:val="19"/>
          <w:szCs w:val="19"/>
          <w:lang w:val="es-ES"/>
        </w:rPr>
        <w:t xml:space="preserve">os </w:t>
      </w:r>
      <w:r w:rsidR="00225B2A" w:rsidRPr="004C700A">
        <w:rPr>
          <w:rFonts w:asciiTheme="majorHAnsi" w:hAnsiTheme="majorHAnsi"/>
          <w:sz w:val="19"/>
          <w:szCs w:val="19"/>
          <w:lang w:val="es-ES"/>
        </w:rPr>
        <w:t>agentes d</w:t>
      </w:r>
      <w:r w:rsidR="00CB5655" w:rsidRPr="004C700A">
        <w:rPr>
          <w:rFonts w:asciiTheme="majorHAnsi" w:hAnsiTheme="majorHAnsi"/>
          <w:sz w:val="19"/>
          <w:szCs w:val="19"/>
          <w:lang w:val="es-ES"/>
        </w:rPr>
        <w:t>el Estado</w:t>
      </w:r>
      <w:r w:rsidR="00225B2A"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 xml:space="preserve">involucrados en el delito, lo cual </w:t>
      </w:r>
      <w:r w:rsidR="00225B2A" w:rsidRPr="004C700A">
        <w:rPr>
          <w:rFonts w:asciiTheme="majorHAnsi" w:hAnsiTheme="majorHAnsi"/>
          <w:sz w:val="19"/>
          <w:szCs w:val="19"/>
          <w:lang w:val="es-ES"/>
        </w:rPr>
        <w:t>caracteriza</w:t>
      </w:r>
      <w:r w:rsidR="00F47567" w:rsidRPr="004C700A">
        <w:rPr>
          <w:rFonts w:asciiTheme="majorHAnsi" w:hAnsiTheme="majorHAnsi"/>
          <w:sz w:val="19"/>
          <w:szCs w:val="19"/>
          <w:lang w:val="es-ES"/>
        </w:rPr>
        <w:t xml:space="preserve"> una</w:t>
      </w:r>
      <w:r w:rsidR="00225B2A"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impunidad</w:t>
      </w:r>
      <w:r w:rsidR="00225B2A" w:rsidRPr="004C700A">
        <w:rPr>
          <w:rFonts w:asciiTheme="majorHAnsi" w:hAnsiTheme="majorHAnsi"/>
          <w:sz w:val="19"/>
          <w:szCs w:val="19"/>
          <w:lang w:val="es-ES"/>
        </w:rPr>
        <w:t xml:space="preserve"> sistemática </w:t>
      </w:r>
      <w:r w:rsidR="00F47567" w:rsidRPr="004C700A">
        <w:rPr>
          <w:rFonts w:asciiTheme="majorHAnsi" w:hAnsiTheme="majorHAnsi"/>
          <w:sz w:val="19"/>
          <w:szCs w:val="19"/>
          <w:lang w:val="es-ES"/>
        </w:rPr>
        <w:t>y</w:t>
      </w:r>
      <w:r w:rsidR="009E559E"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estructural</w:t>
      </w:r>
      <w:r w:rsidR="009E559E" w:rsidRPr="004C700A">
        <w:rPr>
          <w:rFonts w:asciiTheme="majorHAnsi" w:hAnsiTheme="majorHAnsi"/>
          <w:sz w:val="19"/>
          <w:szCs w:val="19"/>
          <w:lang w:val="es-ES"/>
        </w:rPr>
        <w:t xml:space="preserve"> </w:t>
      </w:r>
      <w:r w:rsidR="00225B2A" w:rsidRPr="004C700A">
        <w:rPr>
          <w:rFonts w:asciiTheme="majorHAnsi" w:hAnsiTheme="majorHAnsi"/>
          <w:sz w:val="19"/>
          <w:szCs w:val="19"/>
          <w:lang w:val="es-ES"/>
        </w:rPr>
        <w:t>e</w:t>
      </w:r>
      <w:r w:rsidR="00F47567" w:rsidRPr="004C700A">
        <w:rPr>
          <w:rFonts w:asciiTheme="majorHAnsi" w:hAnsiTheme="majorHAnsi"/>
          <w:sz w:val="19"/>
          <w:szCs w:val="19"/>
          <w:lang w:val="es-ES"/>
        </w:rPr>
        <w:t>n</w:t>
      </w:r>
      <w:r w:rsidR="00225B2A" w:rsidRPr="004C700A">
        <w:rPr>
          <w:rFonts w:asciiTheme="majorHAnsi" w:hAnsiTheme="majorHAnsi"/>
          <w:sz w:val="19"/>
          <w:szCs w:val="19"/>
          <w:lang w:val="es-ES"/>
        </w:rPr>
        <w:t xml:space="preserve"> casos como </w:t>
      </w:r>
      <w:r w:rsidR="00F47567" w:rsidRPr="004C700A">
        <w:rPr>
          <w:rFonts w:asciiTheme="majorHAnsi" w:hAnsiTheme="majorHAnsi"/>
          <w:sz w:val="19"/>
          <w:szCs w:val="19"/>
          <w:lang w:val="es-ES"/>
        </w:rPr>
        <w:t>el de autos</w:t>
      </w:r>
      <w:r w:rsidR="00225B2A" w:rsidRPr="004C700A">
        <w:rPr>
          <w:rFonts w:asciiTheme="majorHAnsi" w:hAnsiTheme="majorHAnsi"/>
          <w:sz w:val="19"/>
          <w:szCs w:val="19"/>
          <w:lang w:val="es-ES"/>
        </w:rPr>
        <w:t>.</w:t>
      </w:r>
    </w:p>
    <w:p w14:paraId="6708C2E2" w14:textId="51D5EE21" w:rsidR="00C12C99" w:rsidRPr="004C700A" w:rsidRDefault="00134AB1"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Las peticionarias</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afirman</w:t>
      </w:r>
      <w:r w:rsidR="0074265B" w:rsidRPr="004C700A">
        <w:rPr>
          <w:rFonts w:asciiTheme="majorHAnsi" w:hAnsiTheme="majorHAnsi"/>
          <w:sz w:val="19"/>
          <w:szCs w:val="19"/>
          <w:lang w:val="es-ES"/>
        </w:rPr>
        <w:t xml:space="preserve"> que</w:t>
      </w:r>
      <w:r w:rsidR="00FF1013" w:rsidRPr="004C700A">
        <w:rPr>
          <w:rFonts w:asciiTheme="majorHAnsi" w:hAnsiTheme="majorHAnsi"/>
          <w:sz w:val="19"/>
          <w:szCs w:val="19"/>
          <w:lang w:val="es-ES"/>
        </w:rPr>
        <w:t xml:space="preserve">, el </w:t>
      </w:r>
      <w:r w:rsidR="0074265B" w:rsidRPr="004C700A">
        <w:rPr>
          <w:rFonts w:asciiTheme="majorHAnsi" w:hAnsiTheme="majorHAnsi"/>
          <w:sz w:val="19"/>
          <w:szCs w:val="19"/>
          <w:lang w:val="es-ES"/>
        </w:rPr>
        <w:t xml:space="preserve">17 de </w:t>
      </w:r>
      <w:r w:rsidR="00F47567" w:rsidRPr="004C700A">
        <w:rPr>
          <w:rFonts w:asciiTheme="majorHAnsi" w:hAnsiTheme="majorHAnsi"/>
          <w:sz w:val="19"/>
          <w:szCs w:val="19"/>
          <w:lang w:val="es-ES"/>
        </w:rPr>
        <w:t>marzo</w:t>
      </w:r>
      <w:r w:rsidR="0074265B" w:rsidRPr="004C700A">
        <w:rPr>
          <w:rFonts w:asciiTheme="majorHAnsi" w:hAnsiTheme="majorHAnsi"/>
          <w:sz w:val="19"/>
          <w:szCs w:val="19"/>
          <w:lang w:val="es-ES"/>
        </w:rPr>
        <w:t xml:space="preserve"> de 2006, </w:t>
      </w:r>
      <w:r w:rsidRPr="004C700A">
        <w:rPr>
          <w:rFonts w:asciiTheme="majorHAnsi" w:hAnsiTheme="majorHAnsi"/>
          <w:sz w:val="19"/>
          <w:szCs w:val="19"/>
          <w:lang w:val="es-ES"/>
        </w:rPr>
        <w:t>el señor</w:t>
      </w:r>
      <w:r w:rsidR="0074265B" w:rsidRPr="004C700A">
        <w:rPr>
          <w:rFonts w:asciiTheme="majorHAnsi" w:hAnsiTheme="majorHAnsi"/>
          <w:sz w:val="19"/>
          <w:szCs w:val="19"/>
          <w:lang w:val="es-ES"/>
        </w:rPr>
        <w:t xml:space="preserve"> Freitas </w:t>
      </w:r>
      <w:r w:rsidR="00FF1013" w:rsidRPr="004C700A">
        <w:rPr>
          <w:rFonts w:asciiTheme="majorHAnsi" w:hAnsiTheme="majorHAnsi"/>
          <w:sz w:val="19"/>
          <w:szCs w:val="19"/>
          <w:lang w:val="es-ES"/>
        </w:rPr>
        <w:t>fue</w:t>
      </w:r>
      <w:r w:rsidR="0074265B"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víctima</w:t>
      </w:r>
      <w:r w:rsidR="0074265B" w:rsidRPr="004C700A">
        <w:rPr>
          <w:rFonts w:asciiTheme="majorHAnsi" w:hAnsiTheme="majorHAnsi"/>
          <w:sz w:val="19"/>
          <w:szCs w:val="19"/>
          <w:lang w:val="es-ES"/>
        </w:rPr>
        <w:t xml:space="preserve"> de </w:t>
      </w:r>
      <w:r w:rsidR="00FF1013" w:rsidRPr="004C700A">
        <w:rPr>
          <w:rFonts w:asciiTheme="majorHAnsi" w:hAnsiTheme="majorHAnsi"/>
          <w:sz w:val="19"/>
          <w:szCs w:val="19"/>
          <w:lang w:val="es-ES"/>
        </w:rPr>
        <w:t>un</w:t>
      </w:r>
      <w:r w:rsidR="0095227B" w:rsidRPr="004C700A">
        <w:rPr>
          <w:rFonts w:asciiTheme="majorHAnsi" w:hAnsiTheme="majorHAnsi"/>
          <w:sz w:val="19"/>
          <w:szCs w:val="19"/>
          <w:lang w:val="es-ES"/>
        </w:rPr>
        <w:t xml:space="preserve"> </w:t>
      </w:r>
      <w:r w:rsidRPr="004C700A">
        <w:rPr>
          <w:rFonts w:asciiTheme="majorHAnsi" w:hAnsiTheme="majorHAnsi"/>
          <w:sz w:val="19"/>
          <w:szCs w:val="19"/>
          <w:lang w:val="es-ES"/>
        </w:rPr>
        <w:t>secuestro</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cuyo</w:t>
      </w:r>
      <w:r w:rsidR="0095227B" w:rsidRPr="004C700A">
        <w:rPr>
          <w:rFonts w:asciiTheme="majorHAnsi" w:hAnsiTheme="majorHAnsi"/>
          <w:sz w:val="19"/>
          <w:szCs w:val="19"/>
          <w:lang w:val="es-ES"/>
        </w:rPr>
        <w:t xml:space="preserve"> </w:t>
      </w:r>
      <w:r w:rsidR="0074265B" w:rsidRPr="004C700A">
        <w:rPr>
          <w:rFonts w:asciiTheme="majorHAnsi" w:hAnsiTheme="majorHAnsi"/>
          <w:sz w:val="19"/>
          <w:szCs w:val="19"/>
          <w:lang w:val="es-ES"/>
        </w:rPr>
        <w:t xml:space="preserve">objetivo </w:t>
      </w:r>
      <w:r w:rsidR="0095227B" w:rsidRPr="004C700A">
        <w:rPr>
          <w:rFonts w:asciiTheme="majorHAnsi" w:hAnsiTheme="majorHAnsi"/>
          <w:sz w:val="19"/>
          <w:szCs w:val="19"/>
          <w:lang w:val="es-ES"/>
        </w:rPr>
        <w:t>era</w:t>
      </w:r>
      <w:r w:rsidR="0074265B" w:rsidRPr="004C700A">
        <w:rPr>
          <w:rFonts w:asciiTheme="majorHAnsi" w:hAnsiTheme="majorHAnsi"/>
          <w:sz w:val="19"/>
          <w:szCs w:val="19"/>
          <w:lang w:val="es-ES"/>
        </w:rPr>
        <w:t xml:space="preserve"> </w:t>
      </w:r>
      <w:r w:rsidR="00D71E30" w:rsidRPr="004C700A">
        <w:rPr>
          <w:rFonts w:asciiTheme="majorHAnsi" w:hAnsiTheme="majorHAnsi"/>
          <w:sz w:val="19"/>
          <w:szCs w:val="19"/>
          <w:lang w:val="es-ES"/>
        </w:rPr>
        <w:t xml:space="preserve">obligarlo a </w:t>
      </w:r>
      <w:r w:rsidR="002C51DC" w:rsidRPr="004C700A">
        <w:rPr>
          <w:rFonts w:asciiTheme="majorHAnsi" w:hAnsiTheme="majorHAnsi"/>
          <w:sz w:val="19"/>
          <w:szCs w:val="19"/>
          <w:lang w:val="es-ES"/>
        </w:rPr>
        <w:t>re</w:t>
      </w:r>
      <w:r w:rsidR="00FF1013" w:rsidRPr="004C700A">
        <w:rPr>
          <w:rFonts w:asciiTheme="majorHAnsi" w:hAnsiTheme="majorHAnsi"/>
          <w:sz w:val="19"/>
          <w:szCs w:val="19"/>
          <w:lang w:val="es-ES"/>
        </w:rPr>
        <w:t xml:space="preserve">tirar dinero de </w:t>
      </w:r>
      <w:r w:rsidR="00F47567" w:rsidRPr="004C700A">
        <w:rPr>
          <w:rFonts w:asciiTheme="majorHAnsi" w:hAnsiTheme="majorHAnsi"/>
          <w:sz w:val="19"/>
          <w:szCs w:val="19"/>
          <w:lang w:val="es-ES"/>
        </w:rPr>
        <w:t xml:space="preserve">cajeros </w:t>
      </w:r>
      <w:r w:rsidR="00D71E30" w:rsidRPr="004C700A">
        <w:rPr>
          <w:rFonts w:asciiTheme="majorHAnsi" w:hAnsiTheme="majorHAnsi"/>
          <w:sz w:val="19"/>
          <w:szCs w:val="19"/>
          <w:lang w:val="es-ES"/>
        </w:rPr>
        <w:t>automátic</w:t>
      </w:r>
      <w:r w:rsidR="00F47567" w:rsidRPr="004C700A">
        <w:rPr>
          <w:rFonts w:asciiTheme="majorHAnsi" w:hAnsiTheme="majorHAnsi"/>
          <w:sz w:val="19"/>
          <w:szCs w:val="19"/>
          <w:lang w:val="es-ES"/>
        </w:rPr>
        <w:t>os</w:t>
      </w:r>
      <w:r w:rsidR="0074265B" w:rsidRPr="004C700A">
        <w:rPr>
          <w:rFonts w:asciiTheme="majorHAnsi" w:hAnsiTheme="majorHAnsi"/>
          <w:sz w:val="19"/>
          <w:szCs w:val="19"/>
          <w:lang w:val="es-ES"/>
        </w:rPr>
        <w:t xml:space="preserve"> (</w:t>
      </w:r>
      <w:r w:rsidR="004D5D4E" w:rsidRPr="004C700A">
        <w:rPr>
          <w:rFonts w:asciiTheme="majorHAnsi" w:hAnsiTheme="majorHAnsi"/>
          <w:sz w:val="19"/>
          <w:szCs w:val="19"/>
          <w:lang w:val="es-ES"/>
        </w:rPr>
        <w:t xml:space="preserve">modalidad de </w:t>
      </w:r>
      <w:r w:rsidRPr="004C700A">
        <w:rPr>
          <w:rFonts w:asciiTheme="majorHAnsi" w:hAnsiTheme="majorHAnsi"/>
          <w:sz w:val="19"/>
          <w:szCs w:val="19"/>
          <w:lang w:val="es-ES"/>
        </w:rPr>
        <w:t>secuestro</w:t>
      </w:r>
      <w:r w:rsidR="004D5D4E"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 xml:space="preserve">que en </w:t>
      </w:r>
      <w:r w:rsidR="0074265B" w:rsidRPr="004C700A">
        <w:rPr>
          <w:rFonts w:asciiTheme="majorHAnsi" w:hAnsiTheme="majorHAnsi"/>
          <w:sz w:val="19"/>
          <w:szCs w:val="19"/>
          <w:lang w:val="es-ES"/>
        </w:rPr>
        <w:t xml:space="preserve">Brasil </w:t>
      </w:r>
      <w:r w:rsidR="00D71E30" w:rsidRPr="004C700A">
        <w:rPr>
          <w:rFonts w:asciiTheme="majorHAnsi" w:hAnsiTheme="majorHAnsi"/>
          <w:sz w:val="19"/>
          <w:szCs w:val="19"/>
          <w:lang w:val="es-ES"/>
        </w:rPr>
        <w:t>s</w:t>
      </w:r>
      <w:r w:rsidR="00FF1013" w:rsidRPr="004C700A">
        <w:rPr>
          <w:rFonts w:asciiTheme="majorHAnsi" w:hAnsiTheme="majorHAnsi"/>
          <w:sz w:val="19"/>
          <w:szCs w:val="19"/>
          <w:lang w:val="es-ES"/>
        </w:rPr>
        <w:t xml:space="preserve">e conoce </w:t>
      </w:r>
      <w:r w:rsidR="0074265B" w:rsidRPr="004C700A">
        <w:rPr>
          <w:rFonts w:asciiTheme="majorHAnsi" w:hAnsiTheme="majorHAnsi"/>
          <w:sz w:val="19"/>
          <w:szCs w:val="19"/>
          <w:lang w:val="es-ES"/>
        </w:rPr>
        <w:t>como “</w:t>
      </w:r>
      <w:r w:rsidRPr="004C700A">
        <w:rPr>
          <w:rFonts w:asciiTheme="majorHAnsi" w:hAnsiTheme="majorHAnsi"/>
          <w:sz w:val="19"/>
          <w:szCs w:val="19"/>
          <w:lang w:val="es-ES"/>
        </w:rPr>
        <w:t>secuestro</w:t>
      </w:r>
      <w:r w:rsidR="007B5AB5"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relámpago</w:t>
      </w:r>
      <w:r w:rsidR="007B5AB5" w:rsidRPr="004C700A">
        <w:rPr>
          <w:rFonts w:asciiTheme="majorHAnsi" w:hAnsiTheme="majorHAnsi"/>
          <w:sz w:val="19"/>
          <w:szCs w:val="19"/>
          <w:lang w:val="es-ES"/>
        </w:rPr>
        <w:t>”)</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e</w:t>
      </w:r>
      <w:r w:rsidR="0074265B" w:rsidRPr="004C700A">
        <w:rPr>
          <w:rFonts w:asciiTheme="majorHAnsi" w:hAnsiTheme="majorHAnsi"/>
          <w:sz w:val="19"/>
          <w:szCs w:val="19"/>
          <w:lang w:val="es-ES"/>
        </w:rPr>
        <w:t>n</w:t>
      </w:r>
      <w:r w:rsidR="00FF1013" w:rsidRPr="004C700A">
        <w:rPr>
          <w:rFonts w:asciiTheme="majorHAnsi" w:hAnsiTheme="majorHAnsi"/>
          <w:sz w:val="19"/>
          <w:szCs w:val="19"/>
          <w:lang w:val="es-ES"/>
        </w:rPr>
        <w:t xml:space="preserve"> l</w:t>
      </w:r>
      <w:r w:rsidR="0074265B" w:rsidRPr="004C700A">
        <w:rPr>
          <w:rFonts w:asciiTheme="majorHAnsi" w:hAnsiTheme="majorHAnsi"/>
          <w:sz w:val="19"/>
          <w:szCs w:val="19"/>
          <w:lang w:val="es-ES"/>
        </w:rPr>
        <w:t>a zona su</w:t>
      </w:r>
      <w:r w:rsidR="00FF1013" w:rsidRPr="004C700A">
        <w:rPr>
          <w:rFonts w:asciiTheme="majorHAnsi" w:hAnsiTheme="majorHAnsi"/>
          <w:sz w:val="19"/>
          <w:szCs w:val="19"/>
          <w:lang w:val="es-ES"/>
        </w:rPr>
        <w:t>r</w:t>
      </w:r>
      <w:r w:rsidR="0074265B" w:rsidRPr="004C700A">
        <w:rPr>
          <w:rFonts w:asciiTheme="majorHAnsi" w:hAnsiTheme="majorHAnsi"/>
          <w:sz w:val="19"/>
          <w:szCs w:val="19"/>
          <w:lang w:val="es-ES"/>
        </w:rPr>
        <w:t xml:space="preserve"> d</w:t>
      </w:r>
      <w:r w:rsidR="00FF1013" w:rsidRPr="004C700A">
        <w:rPr>
          <w:rFonts w:asciiTheme="majorHAnsi" w:hAnsiTheme="majorHAnsi"/>
          <w:sz w:val="19"/>
          <w:szCs w:val="19"/>
          <w:lang w:val="es-ES"/>
        </w:rPr>
        <w:t>e l</w:t>
      </w:r>
      <w:r w:rsidR="0074265B" w:rsidRPr="004C700A">
        <w:rPr>
          <w:rFonts w:asciiTheme="majorHAnsi" w:hAnsiTheme="majorHAnsi"/>
          <w:sz w:val="19"/>
          <w:szCs w:val="19"/>
          <w:lang w:val="es-ES"/>
        </w:rPr>
        <w:t>a ci</w:t>
      </w:r>
      <w:r w:rsidR="00FF1013" w:rsidRPr="004C700A">
        <w:rPr>
          <w:rFonts w:asciiTheme="majorHAnsi" w:hAnsiTheme="majorHAnsi"/>
          <w:sz w:val="19"/>
          <w:szCs w:val="19"/>
          <w:lang w:val="es-ES"/>
        </w:rPr>
        <w:t>u</w:t>
      </w:r>
      <w:r w:rsidR="0074265B" w:rsidRPr="004C700A">
        <w:rPr>
          <w:rFonts w:asciiTheme="majorHAnsi" w:hAnsiTheme="majorHAnsi"/>
          <w:sz w:val="19"/>
          <w:szCs w:val="19"/>
          <w:lang w:val="es-ES"/>
        </w:rPr>
        <w:t xml:space="preserve">dad de São Paulo. </w:t>
      </w:r>
      <w:r w:rsidR="00FF1013" w:rsidRPr="004C700A">
        <w:rPr>
          <w:rFonts w:asciiTheme="majorHAnsi" w:hAnsiTheme="majorHAnsi"/>
          <w:sz w:val="19"/>
          <w:szCs w:val="19"/>
          <w:lang w:val="es-ES"/>
        </w:rPr>
        <w:t>Alegan</w:t>
      </w:r>
      <w:r w:rsidR="0074265B" w:rsidRPr="004C700A">
        <w:rPr>
          <w:rFonts w:asciiTheme="majorHAnsi" w:hAnsiTheme="majorHAnsi"/>
          <w:sz w:val="19"/>
          <w:szCs w:val="19"/>
          <w:lang w:val="es-ES"/>
        </w:rPr>
        <w:t xml:space="preserve"> que </w:t>
      </w:r>
      <w:r w:rsidR="00FF1013" w:rsidRPr="004C700A">
        <w:rPr>
          <w:rFonts w:asciiTheme="majorHAnsi" w:hAnsiTheme="majorHAnsi"/>
          <w:sz w:val="19"/>
          <w:szCs w:val="19"/>
          <w:lang w:val="es-ES"/>
        </w:rPr>
        <w:t>una</w:t>
      </w:r>
      <w:r w:rsidR="0074265B" w:rsidRPr="004C700A">
        <w:rPr>
          <w:rFonts w:asciiTheme="majorHAnsi" w:hAnsiTheme="majorHAnsi"/>
          <w:sz w:val="19"/>
          <w:szCs w:val="19"/>
          <w:lang w:val="es-ES"/>
        </w:rPr>
        <w:t xml:space="preserve"> pe</w:t>
      </w:r>
      <w:r w:rsidR="00FF1013" w:rsidRPr="004C700A">
        <w:rPr>
          <w:rFonts w:asciiTheme="majorHAnsi" w:hAnsiTheme="majorHAnsi"/>
          <w:sz w:val="19"/>
          <w:szCs w:val="19"/>
          <w:lang w:val="es-ES"/>
        </w:rPr>
        <w:t>rsona avisó a la policía</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y</w:t>
      </w:r>
      <w:r w:rsidR="0074265B" w:rsidRPr="004C700A">
        <w:rPr>
          <w:rFonts w:asciiTheme="majorHAnsi" w:hAnsiTheme="majorHAnsi"/>
          <w:sz w:val="19"/>
          <w:szCs w:val="19"/>
          <w:lang w:val="es-ES"/>
        </w:rPr>
        <w:t xml:space="preserve"> que, </w:t>
      </w:r>
      <w:r w:rsidR="00FF1013" w:rsidRPr="004C700A">
        <w:rPr>
          <w:rFonts w:asciiTheme="majorHAnsi" w:hAnsiTheme="majorHAnsi"/>
          <w:sz w:val="19"/>
          <w:szCs w:val="19"/>
          <w:lang w:val="es-ES"/>
        </w:rPr>
        <w:t>tras una</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persecución</w:t>
      </w:r>
      <w:r w:rsidR="0074265B" w:rsidRPr="004C700A">
        <w:rPr>
          <w:rFonts w:asciiTheme="majorHAnsi" w:hAnsiTheme="majorHAnsi"/>
          <w:sz w:val="19"/>
          <w:szCs w:val="19"/>
          <w:lang w:val="es-ES"/>
        </w:rPr>
        <w:t xml:space="preserve"> que dur</w:t>
      </w:r>
      <w:r w:rsidR="00FF1013" w:rsidRPr="004C700A">
        <w:rPr>
          <w:rFonts w:asciiTheme="majorHAnsi" w:hAnsiTheme="majorHAnsi"/>
          <w:sz w:val="19"/>
          <w:szCs w:val="19"/>
          <w:lang w:val="es-ES"/>
        </w:rPr>
        <w:t xml:space="preserve">ó alrededor de media </w:t>
      </w:r>
      <w:r w:rsidR="0074265B" w:rsidRPr="004C700A">
        <w:rPr>
          <w:rFonts w:asciiTheme="majorHAnsi" w:hAnsiTheme="majorHAnsi"/>
          <w:sz w:val="19"/>
          <w:szCs w:val="19"/>
          <w:lang w:val="es-ES"/>
        </w:rPr>
        <w:t xml:space="preserve">hora, </w:t>
      </w:r>
      <w:r w:rsidR="00FF1013" w:rsidRPr="004C700A">
        <w:rPr>
          <w:rFonts w:asciiTheme="majorHAnsi" w:hAnsiTheme="majorHAnsi"/>
          <w:sz w:val="19"/>
          <w:szCs w:val="19"/>
          <w:lang w:val="es-ES"/>
        </w:rPr>
        <w:t>el automóvil</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d</w:t>
      </w:r>
      <w:r w:rsidR="0074265B" w:rsidRPr="004C700A">
        <w:rPr>
          <w:rFonts w:asciiTheme="majorHAnsi" w:hAnsiTheme="majorHAnsi"/>
          <w:sz w:val="19"/>
          <w:szCs w:val="19"/>
          <w:lang w:val="es-ES"/>
        </w:rPr>
        <w:t xml:space="preserve">onde </w:t>
      </w:r>
      <w:r w:rsidR="00D71E30" w:rsidRPr="004C700A">
        <w:rPr>
          <w:rFonts w:asciiTheme="majorHAnsi" w:hAnsiTheme="majorHAnsi"/>
          <w:sz w:val="19"/>
          <w:szCs w:val="19"/>
          <w:lang w:val="es-ES"/>
        </w:rPr>
        <w:t xml:space="preserve">se encontraban </w:t>
      </w:r>
      <w:r w:rsidR="00FF1013" w:rsidRPr="004C700A">
        <w:rPr>
          <w:rFonts w:asciiTheme="majorHAnsi" w:hAnsiTheme="majorHAnsi"/>
          <w:sz w:val="19"/>
          <w:szCs w:val="19"/>
          <w:lang w:val="es-ES"/>
        </w:rPr>
        <w:t>l</w:t>
      </w:r>
      <w:r w:rsidR="0074265B"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lastRenderedPageBreak/>
        <w:t>presunta víctima</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y</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l</w:t>
      </w:r>
      <w:r w:rsidR="0074265B" w:rsidRPr="004C700A">
        <w:rPr>
          <w:rFonts w:asciiTheme="majorHAnsi" w:hAnsiTheme="majorHAnsi"/>
          <w:sz w:val="19"/>
          <w:szCs w:val="19"/>
          <w:lang w:val="es-ES"/>
        </w:rPr>
        <w:t xml:space="preserve">os dos </w:t>
      </w:r>
      <w:r w:rsidR="00FF1013" w:rsidRPr="004C700A">
        <w:rPr>
          <w:rFonts w:asciiTheme="majorHAnsi" w:hAnsiTheme="majorHAnsi"/>
          <w:sz w:val="19"/>
          <w:szCs w:val="19"/>
          <w:lang w:val="es-ES"/>
        </w:rPr>
        <w:t>secuestradores</w:t>
      </w:r>
      <w:r w:rsidR="0074265B" w:rsidRPr="004C700A">
        <w:rPr>
          <w:rFonts w:asciiTheme="majorHAnsi" w:hAnsiTheme="majorHAnsi"/>
          <w:sz w:val="19"/>
          <w:szCs w:val="19"/>
          <w:lang w:val="es-ES"/>
        </w:rPr>
        <w:t xml:space="preserve"> f</w:t>
      </w:r>
      <w:r w:rsidR="00FF1013" w:rsidRPr="004C700A">
        <w:rPr>
          <w:rFonts w:asciiTheme="majorHAnsi" w:hAnsiTheme="majorHAnsi"/>
          <w:sz w:val="19"/>
          <w:szCs w:val="19"/>
          <w:lang w:val="es-ES"/>
        </w:rPr>
        <w:t>ue</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a</w:t>
      </w:r>
      <w:r w:rsidR="0074265B" w:rsidRPr="004C700A">
        <w:rPr>
          <w:rFonts w:asciiTheme="majorHAnsi" w:hAnsiTheme="majorHAnsi"/>
          <w:sz w:val="19"/>
          <w:szCs w:val="19"/>
          <w:lang w:val="es-ES"/>
        </w:rPr>
        <w:t>c</w:t>
      </w:r>
      <w:r w:rsidR="00FF1013" w:rsidRPr="004C700A">
        <w:rPr>
          <w:rFonts w:asciiTheme="majorHAnsi" w:hAnsiTheme="majorHAnsi"/>
          <w:sz w:val="19"/>
          <w:szCs w:val="19"/>
          <w:lang w:val="es-ES"/>
        </w:rPr>
        <w:t>o</w:t>
      </w:r>
      <w:r w:rsidR="0074265B" w:rsidRPr="004C700A">
        <w:rPr>
          <w:rFonts w:asciiTheme="majorHAnsi" w:hAnsiTheme="majorHAnsi"/>
          <w:sz w:val="19"/>
          <w:szCs w:val="19"/>
          <w:lang w:val="es-ES"/>
        </w:rPr>
        <w:t xml:space="preserve">rralado por </w:t>
      </w:r>
      <w:r w:rsidR="00D71E30" w:rsidRPr="004C700A">
        <w:rPr>
          <w:rFonts w:asciiTheme="majorHAnsi" w:hAnsiTheme="majorHAnsi"/>
          <w:sz w:val="19"/>
          <w:szCs w:val="19"/>
          <w:lang w:val="es-ES"/>
        </w:rPr>
        <w:t xml:space="preserve">cuatro </w:t>
      </w:r>
      <w:r w:rsidR="00FF1013" w:rsidRPr="004C700A">
        <w:rPr>
          <w:rFonts w:asciiTheme="majorHAnsi" w:hAnsiTheme="majorHAnsi"/>
          <w:sz w:val="19"/>
          <w:szCs w:val="19"/>
          <w:lang w:val="es-ES"/>
        </w:rPr>
        <w:t>vehículos</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 xml:space="preserve">y </w:t>
      </w:r>
      <w:r w:rsidR="0074265B" w:rsidRPr="004C700A">
        <w:rPr>
          <w:rFonts w:asciiTheme="majorHAnsi" w:hAnsiTheme="majorHAnsi"/>
          <w:sz w:val="19"/>
          <w:szCs w:val="19"/>
          <w:lang w:val="es-ES"/>
        </w:rPr>
        <w:t xml:space="preserve">10 </w:t>
      </w:r>
      <w:r w:rsidR="00FF1013" w:rsidRPr="004C700A">
        <w:rPr>
          <w:rFonts w:asciiTheme="majorHAnsi" w:hAnsiTheme="majorHAnsi"/>
          <w:sz w:val="19"/>
          <w:szCs w:val="19"/>
          <w:lang w:val="es-ES"/>
        </w:rPr>
        <w:t xml:space="preserve">agentes de la </w:t>
      </w:r>
      <w:r w:rsidR="0074265B" w:rsidRPr="004C700A">
        <w:rPr>
          <w:rFonts w:asciiTheme="majorHAnsi" w:hAnsiTheme="majorHAnsi"/>
          <w:sz w:val="19"/>
          <w:szCs w:val="19"/>
          <w:lang w:val="es-ES"/>
        </w:rPr>
        <w:t>polic</w:t>
      </w:r>
      <w:r w:rsidR="00FF1013" w:rsidRPr="004C700A">
        <w:rPr>
          <w:rFonts w:asciiTheme="majorHAnsi" w:hAnsiTheme="majorHAnsi"/>
          <w:sz w:val="19"/>
          <w:szCs w:val="19"/>
          <w:lang w:val="es-ES"/>
        </w:rPr>
        <w:t>ía</w:t>
      </w:r>
      <w:r w:rsidR="0074265B" w:rsidRPr="004C700A">
        <w:rPr>
          <w:rFonts w:asciiTheme="majorHAnsi" w:hAnsiTheme="majorHAnsi"/>
          <w:sz w:val="19"/>
          <w:szCs w:val="19"/>
          <w:lang w:val="es-ES"/>
        </w:rPr>
        <w:t xml:space="preserve"> militar. </w:t>
      </w:r>
      <w:r w:rsidR="00FF1013" w:rsidRPr="004C700A">
        <w:rPr>
          <w:rFonts w:asciiTheme="majorHAnsi" w:hAnsiTheme="majorHAnsi"/>
          <w:sz w:val="19"/>
          <w:szCs w:val="19"/>
          <w:lang w:val="es-ES"/>
        </w:rPr>
        <w:t xml:space="preserve">Señalan </w:t>
      </w:r>
      <w:r w:rsidR="0074265B" w:rsidRPr="004C700A">
        <w:rPr>
          <w:rFonts w:asciiTheme="majorHAnsi" w:hAnsiTheme="majorHAnsi"/>
          <w:sz w:val="19"/>
          <w:szCs w:val="19"/>
          <w:lang w:val="es-ES"/>
        </w:rPr>
        <w:t>que</w:t>
      </w:r>
      <w:r w:rsidR="00FF1013" w:rsidRPr="004C700A">
        <w:rPr>
          <w:rFonts w:asciiTheme="majorHAnsi" w:hAnsiTheme="majorHAnsi"/>
          <w:sz w:val="19"/>
          <w:szCs w:val="19"/>
          <w:lang w:val="es-ES"/>
        </w:rPr>
        <w:t>,</w:t>
      </w:r>
      <w:r w:rsidR="0074265B" w:rsidRPr="004C700A">
        <w:rPr>
          <w:rFonts w:asciiTheme="majorHAnsi" w:hAnsiTheme="majorHAnsi"/>
          <w:sz w:val="19"/>
          <w:szCs w:val="19"/>
          <w:lang w:val="es-ES"/>
        </w:rPr>
        <w:t xml:space="preserve"> e</w:t>
      </w:r>
      <w:r w:rsidR="00FF1013" w:rsidRPr="004C700A">
        <w:rPr>
          <w:rFonts w:asciiTheme="majorHAnsi" w:hAnsiTheme="majorHAnsi"/>
          <w:sz w:val="19"/>
          <w:szCs w:val="19"/>
          <w:lang w:val="es-ES"/>
        </w:rPr>
        <w:t xml:space="preserve">n el enfrentamiento </w:t>
      </w:r>
      <w:r w:rsidR="0074265B" w:rsidRPr="004C700A">
        <w:rPr>
          <w:rFonts w:asciiTheme="majorHAnsi" w:hAnsiTheme="majorHAnsi"/>
          <w:sz w:val="19"/>
          <w:szCs w:val="19"/>
          <w:lang w:val="es-ES"/>
        </w:rPr>
        <w:t xml:space="preserve">armado </w:t>
      </w:r>
      <w:r w:rsidR="00FF1013" w:rsidRPr="004C700A">
        <w:rPr>
          <w:rFonts w:asciiTheme="majorHAnsi" w:hAnsiTheme="majorHAnsi"/>
          <w:sz w:val="19"/>
          <w:szCs w:val="19"/>
          <w:lang w:val="es-ES"/>
        </w:rPr>
        <w:t xml:space="preserve">que se </w:t>
      </w:r>
      <w:r w:rsidR="0074265B" w:rsidRPr="004C700A">
        <w:rPr>
          <w:rFonts w:asciiTheme="majorHAnsi" w:hAnsiTheme="majorHAnsi"/>
          <w:sz w:val="19"/>
          <w:szCs w:val="19"/>
          <w:lang w:val="es-ES"/>
        </w:rPr>
        <w:t>inici</w:t>
      </w:r>
      <w:r w:rsidR="00FF1013" w:rsidRPr="004C700A">
        <w:rPr>
          <w:rFonts w:asciiTheme="majorHAnsi" w:hAnsiTheme="majorHAnsi"/>
          <w:sz w:val="19"/>
          <w:szCs w:val="19"/>
          <w:lang w:val="es-ES"/>
        </w:rPr>
        <w:t>ó</w:t>
      </w:r>
      <w:r w:rsidR="0074265B" w:rsidRPr="004C700A">
        <w:rPr>
          <w:rFonts w:asciiTheme="majorHAnsi" w:hAnsiTheme="majorHAnsi"/>
          <w:sz w:val="19"/>
          <w:szCs w:val="19"/>
          <w:lang w:val="es-ES"/>
        </w:rPr>
        <w:t xml:space="preserve"> entre </w:t>
      </w:r>
      <w:r w:rsidR="00FF1013" w:rsidRPr="004C700A">
        <w:rPr>
          <w:rFonts w:asciiTheme="majorHAnsi" w:hAnsiTheme="majorHAnsi"/>
          <w:sz w:val="19"/>
          <w:szCs w:val="19"/>
          <w:lang w:val="es-ES"/>
        </w:rPr>
        <w:t>l</w:t>
      </w:r>
      <w:r w:rsidR="0074265B" w:rsidRPr="004C700A">
        <w:rPr>
          <w:rFonts w:asciiTheme="majorHAnsi" w:hAnsiTheme="majorHAnsi"/>
          <w:sz w:val="19"/>
          <w:szCs w:val="19"/>
          <w:lang w:val="es-ES"/>
        </w:rPr>
        <w:t xml:space="preserve">os </w:t>
      </w:r>
      <w:r w:rsidR="00FF1013" w:rsidRPr="004C700A">
        <w:rPr>
          <w:rFonts w:asciiTheme="majorHAnsi" w:hAnsiTheme="majorHAnsi"/>
          <w:sz w:val="19"/>
          <w:szCs w:val="19"/>
          <w:lang w:val="es-ES"/>
        </w:rPr>
        <w:t>secuestradores</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y</w:t>
      </w:r>
      <w:r w:rsidR="0074265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l</w:t>
      </w:r>
      <w:r w:rsidR="0074265B" w:rsidRPr="004C700A">
        <w:rPr>
          <w:rFonts w:asciiTheme="majorHAnsi" w:hAnsiTheme="majorHAnsi"/>
          <w:sz w:val="19"/>
          <w:szCs w:val="19"/>
          <w:lang w:val="es-ES"/>
        </w:rPr>
        <w:t xml:space="preserve">os </w:t>
      </w:r>
      <w:r w:rsidR="00FF1013" w:rsidRPr="004C700A">
        <w:rPr>
          <w:rFonts w:asciiTheme="majorHAnsi" w:hAnsiTheme="majorHAnsi"/>
          <w:sz w:val="19"/>
          <w:szCs w:val="19"/>
          <w:lang w:val="es-ES"/>
        </w:rPr>
        <w:t>agentes</w:t>
      </w:r>
      <w:r w:rsidR="0074265B" w:rsidRPr="004C700A">
        <w:rPr>
          <w:rFonts w:asciiTheme="majorHAnsi" w:hAnsiTheme="majorHAnsi"/>
          <w:sz w:val="19"/>
          <w:szCs w:val="19"/>
          <w:lang w:val="es-ES"/>
        </w:rPr>
        <w:t xml:space="preserve">, </w:t>
      </w:r>
      <w:r w:rsidRPr="004C700A">
        <w:rPr>
          <w:rFonts w:asciiTheme="majorHAnsi" w:hAnsiTheme="majorHAnsi"/>
          <w:sz w:val="19"/>
          <w:szCs w:val="19"/>
          <w:lang w:val="es-ES"/>
        </w:rPr>
        <w:t>el señor</w:t>
      </w:r>
      <w:r w:rsidR="0074265B" w:rsidRPr="004C700A">
        <w:rPr>
          <w:rFonts w:asciiTheme="majorHAnsi" w:hAnsiTheme="majorHAnsi"/>
          <w:sz w:val="19"/>
          <w:szCs w:val="19"/>
          <w:lang w:val="es-ES"/>
        </w:rPr>
        <w:t xml:space="preserve"> Freit</w:t>
      </w:r>
      <w:r w:rsidR="004340E6" w:rsidRPr="004C700A">
        <w:rPr>
          <w:rFonts w:asciiTheme="majorHAnsi" w:hAnsiTheme="majorHAnsi"/>
          <w:sz w:val="19"/>
          <w:szCs w:val="19"/>
          <w:lang w:val="es-ES"/>
        </w:rPr>
        <w:t>as f</w:t>
      </w:r>
      <w:r w:rsidR="00FF1013" w:rsidRPr="004C700A">
        <w:rPr>
          <w:rFonts w:asciiTheme="majorHAnsi" w:hAnsiTheme="majorHAnsi"/>
          <w:sz w:val="19"/>
          <w:szCs w:val="19"/>
          <w:lang w:val="es-ES"/>
        </w:rPr>
        <w:t>ue muerto mientras estaba tendido y</w:t>
      </w:r>
      <w:r w:rsidR="004340E6" w:rsidRPr="004C700A">
        <w:rPr>
          <w:rFonts w:asciiTheme="majorHAnsi" w:hAnsiTheme="majorHAnsi"/>
          <w:sz w:val="19"/>
          <w:szCs w:val="19"/>
          <w:lang w:val="es-ES"/>
        </w:rPr>
        <w:t xml:space="preserve"> rendido </w:t>
      </w:r>
      <w:r w:rsidR="00FF1013" w:rsidRPr="004C700A">
        <w:rPr>
          <w:rFonts w:asciiTheme="majorHAnsi" w:hAnsiTheme="majorHAnsi"/>
          <w:sz w:val="19"/>
          <w:szCs w:val="19"/>
          <w:lang w:val="es-ES"/>
        </w:rPr>
        <w:t>e</w:t>
      </w:r>
      <w:r w:rsidR="004340E6" w:rsidRPr="004C700A">
        <w:rPr>
          <w:rFonts w:asciiTheme="majorHAnsi" w:hAnsiTheme="majorHAnsi"/>
          <w:sz w:val="19"/>
          <w:szCs w:val="19"/>
          <w:lang w:val="es-ES"/>
        </w:rPr>
        <w:t>n</w:t>
      </w:r>
      <w:r w:rsidR="00FF1013" w:rsidRPr="004C700A">
        <w:rPr>
          <w:rFonts w:asciiTheme="majorHAnsi" w:hAnsiTheme="majorHAnsi"/>
          <w:sz w:val="19"/>
          <w:szCs w:val="19"/>
          <w:lang w:val="es-ES"/>
        </w:rPr>
        <w:t xml:space="preserve"> el asiento </w:t>
      </w:r>
      <w:r w:rsidR="004340E6" w:rsidRPr="004C700A">
        <w:rPr>
          <w:rFonts w:asciiTheme="majorHAnsi" w:hAnsiTheme="majorHAnsi"/>
          <w:sz w:val="19"/>
          <w:szCs w:val="19"/>
          <w:lang w:val="es-ES"/>
        </w:rPr>
        <w:t>trasero d</w:t>
      </w:r>
      <w:r w:rsidR="00FF1013" w:rsidRPr="004C700A">
        <w:rPr>
          <w:rFonts w:asciiTheme="majorHAnsi" w:hAnsiTheme="majorHAnsi"/>
          <w:sz w:val="19"/>
          <w:szCs w:val="19"/>
          <w:lang w:val="es-ES"/>
        </w:rPr>
        <w:t>el</w:t>
      </w:r>
      <w:r w:rsidR="004340E6"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automóvil</w:t>
      </w:r>
      <w:r w:rsidR="0095227B" w:rsidRPr="004C700A">
        <w:rPr>
          <w:rFonts w:asciiTheme="majorHAnsi" w:hAnsiTheme="majorHAnsi"/>
          <w:sz w:val="19"/>
          <w:szCs w:val="19"/>
          <w:lang w:val="es-ES"/>
        </w:rPr>
        <w:t xml:space="preserve">. </w:t>
      </w:r>
      <w:r w:rsidRPr="004C700A">
        <w:rPr>
          <w:rFonts w:asciiTheme="majorHAnsi" w:hAnsiTheme="majorHAnsi"/>
          <w:sz w:val="19"/>
          <w:szCs w:val="19"/>
          <w:lang w:val="es-ES"/>
        </w:rPr>
        <w:t>Las peticionarias</w:t>
      </w:r>
      <w:r w:rsidR="0095227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alegan</w:t>
      </w:r>
      <w:r w:rsidR="0095227B" w:rsidRPr="004C700A">
        <w:rPr>
          <w:rFonts w:asciiTheme="majorHAnsi" w:hAnsiTheme="majorHAnsi"/>
          <w:sz w:val="19"/>
          <w:szCs w:val="19"/>
          <w:lang w:val="es-ES"/>
        </w:rPr>
        <w:t xml:space="preserve"> que </w:t>
      </w:r>
      <w:r w:rsidR="00FF1013" w:rsidRPr="004C700A">
        <w:rPr>
          <w:rFonts w:asciiTheme="majorHAnsi" w:hAnsiTheme="majorHAnsi"/>
          <w:sz w:val="19"/>
          <w:szCs w:val="19"/>
          <w:lang w:val="es-ES"/>
        </w:rPr>
        <w:t>los agentes de l</w:t>
      </w:r>
      <w:r w:rsidR="0095227B" w:rsidRPr="004C700A">
        <w:rPr>
          <w:rFonts w:asciiTheme="majorHAnsi" w:hAnsiTheme="majorHAnsi"/>
          <w:sz w:val="19"/>
          <w:szCs w:val="19"/>
          <w:lang w:val="es-ES"/>
        </w:rPr>
        <w:t xml:space="preserve">as </w:t>
      </w:r>
      <w:r w:rsidR="00F47567" w:rsidRPr="004C700A">
        <w:rPr>
          <w:rFonts w:asciiTheme="majorHAnsi" w:hAnsiTheme="majorHAnsi"/>
          <w:sz w:val="19"/>
          <w:szCs w:val="19"/>
          <w:lang w:val="es-ES"/>
        </w:rPr>
        <w:t>fuerzas</w:t>
      </w:r>
      <w:r w:rsidR="0095227B" w:rsidRPr="004C700A">
        <w:rPr>
          <w:rFonts w:asciiTheme="majorHAnsi" w:hAnsiTheme="majorHAnsi"/>
          <w:sz w:val="19"/>
          <w:szCs w:val="19"/>
          <w:lang w:val="es-ES"/>
        </w:rPr>
        <w:t xml:space="preserve"> armadas </w:t>
      </w:r>
      <w:r w:rsidR="00FF1013" w:rsidRPr="004C700A">
        <w:rPr>
          <w:rFonts w:asciiTheme="majorHAnsi" w:hAnsiTheme="majorHAnsi"/>
          <w:sz w:val="19"/>
          <w:szCs w:val="19"/>
          <w:lang w:val="es-ES"/>
        </w:rPr>
        <w:t xml:space="preserve">efectuaron alrededor de </w:t>
      </w:r>
      <w:r w:rsidR="0095227B" w:rsidRPr="004C700A">
        <w:rPr>
          <w:rFonts w:asciiTheme="majorHAnsi" w:hAnsiTheme="majorHAnsi"/>
          <w:sz w:val="19"/>
          <w:szCs w:val="19"/>
          <w:lang w:val="es-ES"/>
        </w:rPr>
        <w:t>35 disparos, 17 de</w:t>
      </w:r>
      <w:r w:rsidR="00FF1013" w:rsidRPr="004C700A">
        <w:rPr>
          <w:rFonts w:asciiTheme="majorHAnsi" w:hAnsiTheme="majorHAnsi"/>
          <w:sz w:val="19"/>
          <w:szCs w:val="19"/>
          <w:lang w:val="es-ES"/>
        </w:rPr>
        <w:t xml:space="preserve"> el</w:t>
      </w:r>
      <w:r w:rsidR="0095227B" w:rsidRPr="004C700A">
        <w:rPr>
          <w:rFonts w:asciiTheme="majorHAnsi" w:hAnsiTheme="majorHAnsi"/>
          <w:sz w:val="19"/>
          <w:szCs w:val="19"/>
          <w:lang w:val="es-ES"/>
        </w:rPr>
        <w:t>l</w:t>
      </w:r>
      <w:r w:rsidR="00FF1013" w:rsidRPr="004C700A">
        <w:rPr>
          <w:rFonts w:asciiTheme="majorHAnsi" w:hAnsiTheme="majorHAnsi"/>
          <w:sz w:val="19"/>
          <w:szCs w:val="19"/>
          <w:lang w:val="es-ES"/>
        </w:rPr>
        <w:t>o</w:t>
      </w:r>
      <w:r w:rsidR="0095227B" w:rsidRPr="004C700A">
        <w:rPr>
          <w:rFonts w:asciiTheme="majorHAnsi" w:hAnsiTheme="majorHAnsi"/>
          <w:sz w:val="19"/>
          <w:szCs w:val="19"/>
          <w:lang w:val="es-ES"/>
        </w:rPr>
        <w:t xml:space="preserve">s contra </w:t>
      </w:r>
      <w:r w:rsidR="00FF1013" w:rsidRPr="004C700A">
        <w:rPr>
          <w:rFonts w:asciiTheme="majorHAnsi" w:hAnsiTheme="majorHAnsi"/>
          <w:sz w:val="19"/>
          <w:szCs w:val="19"/>
          <w:lang w:val="es-ES"/>
        </w:rPr>
        <w:t>el automóvil</w:t>
      </w:r>
      <w:r w:rsidR="0095227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donde</w:t>
      </w:r>
      <w:r w:rsidR="0095227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estaba</w:t>
      </w:r>
      <w:r w:rsidR="0095227B"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l</w:t>
      </w:r>
      <w:r w:rsidR="0095227B"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t>presunta víctima</w:t>
      </w:r>
      <w:r w:rsidR="0095227B"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 xml:space="preserve">La bala que alcanzó a la </w:t>
      </w:r>
      <w:r w:rsidR="000F68FF" w:rsidRPr="004C700A">
        <w:rPr>
          <w:rFonts w:asciiTheme="majorHAnsi" w:hAnsiTheme="majorHAnsi"/>
          <w:sz w:val="19"/>
          <w:szCs w:val="19"/>
          <w:lang w:val="es-ES"/>
        </w:rPr>
        <w:t>presunta víctima</w:t>
      </w:r>
      <w:r w:rsidR="0095227B" w:rsidRPr="004C700A">
        <w:rPr>
          <w:rFonts w:asciiTheme="majorHAnsi" w:hAnsiTheme="majorHAnsi"/>
          <w:sz w:val="19"/>
          <w:szCs w:val="19"/>
          <w:lang w:val="es-ES"/>
        </w:rPr>
        <w:t xml:space="preserve"> </w:t>
      </w:r>
      <w:r w:rsidR="00F47567" w:rsidRPr="004C700A">
        <w:rPr>
          <w:rFonts w:asciiTheme="majorHAnsi" w:hAnsiTheme="majorHAnsi"/>
          <w:sz w:val="19"/>
          <w:szCs w:val="19"/>
          <w:lang w:val="es-ES"/>
        </w:rPr>
        <w:t>habría sid</w:t>
      </w:r>
      <w:r w:rsidR="0095227B" w:rsidRPr="004C700A">
        <w:rPr>
          <w:rFonts w:asciiTheme="majorHAnsi" w:hAnsiTheme="majorHAnsi"/>
          <w:sz w:val="19"/>
          <w:szCs w:val="19"/>
          <w:lang w:val="es-ES"/>
        </w:rPr>
        <w:t xml:space="preserve">o </w:t>
      </w:r>
      <w:r w:rsidR="004340E6" w:rsidRPr="004C700A">
        <w:rPr>
          <w:rFonts w:asciiTheme="majorHAnsi" w:hAnsiTheme="majorHAnsi"/>
          <w:sz w:val="19"/>
          <w:szCs w:val="19"/>
          <w:lang w:val="es-ES"/>
        </w:rPr>
        <w:t>disparad</w:t>
      </w:r>
      <w:r w:rsidR="00F47567" w:rsidRPr="004C700A">
        <w:rPr>
          <w:rFonts w:asciiTheme="majorHAnsi" w:hAnsiTheme="majorHAnsi"/>
          <w:sz w:val="19"/>
          <w:szCs w:val="19"/>
          <w:lang w:val="es-ES"/>
        </w:rPr>
        <w:t>a</w:t>
      </w:r>
      <w:r w:rsidR="004340E6" w:rsidRPr="004C700A">
        <w:rPr>
          <w:rFonts w:asciiTheme="majorHAnsi" w:hAnsiTheme="majorHAnsi"/>
          <w:sz w:val="19"/>
          <w:szCs w:val="19"/>
          <w:lang w:val="es-ES"/>
        </w:rPr>
        <w:t xml:space="preserve"> p</w:t>
      </w:r>
      <w:r w:rsidR="00F47567" w:rsidRPr="004C700A">
        <w:rPr>
          <w:rFonts w:asciiTheme="majorHAnsi" w:hAnsiTheme="majorHAnsi"/>
          <w:sz w:val="19"/>
          <w:szCs w:val="19"/>
          <w:lang w:val="es-ES"/>
        </w:rPr>
        <w:t xml:space="preserve">or el agente de la </w:t>
      </w:r>
      <w:r w:rsidR="004340E6" w:rsidRPr="004C700A">
        <w:rPr>
          <w:rFonts w:asciiTheme="majorHAnsi" w:hAnsiTheme="majorHAnsi"/>
          <w:sz w:val="19"/>
          <w:szCs w:val="19"/>
          <w:lang w:val="es-ES"/>
        </w:rPr>
        <w:t>polic</w:t>
      </w:r>
      <w:r w:rsidR="00F47567" w:rsidRPr="004C700A">
        <w:rPr>
          <w:rFonts w:asciiTheme="majorHAnsi" w:hAnsiTheme="majorHAnsi"/>
          <w:sz w:val="19"/>
          <w:szCs w:val="19"/>
          <w:lang w:val="es-ES"/>
        </w:rPr>
        <w:t xml:space="preserve">ía </w:t>
      </w:r>
      <w:r w:rsidR="004340E6" w:rsidRPr="004C700A">
        <w:rPr>
          <w:rFonts w:asciiTheme="majorHAnsi" w:hAnsiTheme="majorHAnsi"/>
          <w:sz w:val="19"/>
          <w:szCs w:val="19"/>
          <w:lang w:val="es-ES"/>
        </w:rPr>
        <w:t xml:space="preserve">militar Haroldo Amando Agra. </w:t>
      </w:r>
      <w:r w:rsidR="0095227B" w:rsidRPr="004C700A">
        <w:rPr>
          <w:rFonts w:asciiTheme="majorHAnsi" w:hAnsiTheme="majorHAnsi"/>
          <w:sz w:val="19"/>
          <w:szCs w:val="19"/>
          <w:lang w:val="es-ES"/>
        </w:rPr>
        <w:t xml:space="preserve">Posteriormente, </w:t>
      </w:r>
      <w:r w:rsidR="00FF1013" w:rsidRPr="004C700A">
        <w:rPr>
          <w:rFonts w:asciiTheme="majorHAnsi" w:hAnsiTheme="majorHAnsi"/>
          <w:sz w:val="19"/>
          <w:szCs w:val="19"/>
          <w:lang w:val="es-ES"/>
        </w:rPr>
        <w:t xml:space="preserve">en el peritaje se habría determinado </w:t>
      </w:r>
      <w:r w:rsidR="00D71E30" w:rsidRPr="004C700A">
        <w:rPr>
          <w:rFonts w:asciiTheme="majorHAnsi" w:hAnsiTheme="majorHAnsi"/>
          <w:sz w:val="19"/>
          <w:szCs w:val="19"/>
          <w:lang w:val="es-ES"/>
        </w:rPr>
        <w:t xml:space="preserve">efectivamente </w:t>
      </w:r>
      <w:r w:rsidR="004340E6" w:rsidRPr="004C700A">
        <w:rPr>
          <w:rFonts w:asciiTheme="majorHAnsi" w:hAnsiTheme="majorHAnsi"/>
          <w:sz w:val="19"/>
          <w:szCs w:val="19"/>
          <w:lang w:val="es-ES"/>
        </w:rPr>
        <w:t xml:space="preserve">que </w:t>
      </w:r>
      <w:r w:rsidR="00F47567" w:rsidRPr="004C700A">
        <w:rPr>
          <w:rFonts w:asciiTheme="majorHAnsi" w:hAnsiTheme="majorHAnsi"/>
          <w:sz w:val="19"/>
          <w:szCs w:val="19"/>
          <w:lang w:val="es-ES"/>
        </w:rPr>
        <w:t>l</w:t>
      </w:r>
      <w:r w:rsidR="004340E6" w:rsidRPr="004C700A">
        <w:rPr>
          <w:rFonts w:asciiTheme="majorHAnsi" w:hAnsiTheme="majorHAnsi"/>
          <w:sz w:val="19"/>
          <w:szCs w:val="19"/>
          <w:lang w:val="es-ES"/>
        </w:rPr>
        <w:t xml:space="preserve">os </w:t>
      </w:r>
      <w:r w:rsidR="00F47567" w:rsidRPr="004C700A">
        <w:rPr>
          <w:rFonts w:asciiTheme="majorHAnsi" w:hAnsiTheme="majorHAnsi"/>
          <w:sz w:val="19"/>
          <w:szCs w:val="19"/>
          <w:lang w:val="es-ES"/>
        </w:rPr>
        <w:t xml:space="preserve">disparos que alcanzaron </w:t>
      </w:r>
      <w:r w:rsidR="00FF1013" w:rsidRPr="004C700A">
        <w:rPr>
          <w:rFonts w:asciiTheme="majorHAnsi" w:hAnsiTheme="majorHAnsi"/>
          <w:sz w:val="19"/>
          <w:szCs w:val="19"/>
          <w:lang w:val="es-ES"/>
        </w:rPr>
        <w:t>al automóvil</w:t>
      </w:r>
      <w:r w:rsidR="004340E6" w:rsidRPr="004C700A">
        <w:rPr>
          <w:rFonts w:asciiTheme="majorHAnsi" w:hAnsiTheme="majorHAnsi"/>
          <w:sz w:val="19"/>
          <w:szCs w:val="19"/>
          <w:lang w:val="es-ES"/>
        </w:rPr>
        <w:t xml:space="preserve"> f</w:t>
      </w:r>
      <w:r w:rsidR="00FF1013" w:rsidRPr="004C700A">
        <w:rPr>
          <w:rFonts w:asciiTheme="majorHAnsi" w:hAnsiTheme="majorHAnsi"/>
          <w:sz w:val="19"/>
          <w:szCs w:val="19"/>
          <w:lang w:val="es-ES"/>
        </w:rPr>
        <w:t>ueron efectuados por los agentes de la policía militar</w:t>
      </w:r>
      <w:r w:rsidR="004340E6" w:rsidRPr="004C700A">
        <w:rPr>
          <w:rFonts w:asciiTheme="majorHAnsi" w:hAnsiTheme="majorHAnsi"/>
          <w:sz w:val="19"/>
          <w:szCs w:val="19"/>
          <w:lang w:val="es-ES"/>
        </w:rPr>
        <w:t xml:space="preserve"> </w:t>
      </w:r>
      <w:r w:rsidR="00FF1013" w:rsidRPr="004C700A">
        <w:rPr>
          <w:rFonts w:asciiTheme="majorHAnsi" w:hAnsiTheme="majorHAnsi"/>
          <w:sz w:val="19"/>
          <w:szCs w:val="19"/>
          <w:lang w:val="es-ES"/>
        </w:rPr>
        <w:t>y</w:t>
      </w:r>
      <w:r w:rsidR="004340E6" w:rsidRPr="004C700A">
        <w:rPr>
          <w:rFonts w:asciiTheme="majorHAnsi" w:hAnsiTheme="majorHAnsi"/>
          <w:sz w:val="19"/>
          <w:szCs w:val="19"/>
          <w:lang w:val="es-ES"/>
        </w:rPr>
        <w:t xml:space="preserve"> no p</w:t>
      </w:r>
      <w:r w:rsidR="00FF1013" w:rsidRPr="004C700A">
        <w:rPr>
          <w:rFonts w:asciiTheme="majorHAnsi" w:hAnsiTheme="majorHAnsi"/>
          <w:sz w:val="19"/>
          <w:szCs w:val="19"/>
          <w:lang w:val="es-ES"/>
        </w:rPr>
        <w:t xml:space="preserve">or </w:t>
      </w:r>
      <w:r w:rsidR="004340E6" w:rsidRPr="004C700A">
        <w:rPr>
          <w:rFonts w:asciiTheme="majorHAnsi" w:hAnsiTheme="majorHAnsi"/>
          <w:sz w:val="19"/>
          <w:szCs w:val="19"/>
          <w:lang w:val="es-ES"/>
        </w:rPr>
        <w:t xml:space="preserve">los </w:t>
      </w:r>
      <w:r w:rsidR="00FF1013" w:rsidRPr="004C700A">
        <w:rPr>
          <w:rFonts w:asciiTheme="majorHAnsi" w:hAnsiTheme="majorHAnsi"/>
          <w:sz w:val="19"/>
          <w:szCs w:val="19"/>
          <w:lang w:val="es-ES"/>
        </w:rPr>
        <w:t>secuestradores</w:t>
      </w:r>
      <w:r w:rsidR="004340E6" w:rsidRPr="004C700A">
        <w:rPr>
          <w:rFonts w:asciiTheme="majorHAnsi" w:hAnsiTheme="majorHAnsi"/>
          <w:sz w:val="19"/>
          <w:szCs w:val="19"/>
          <w:lang w:val="es-ES"/>
        </w:rPr>
        <w:t>.</w:t>
      </w:r>
    </w:p>
    <w:p w14:paraId="65178AB4" w14:textId="4E3EDBD8" w:rsidR="004340E6" w:rsidRPr="004C700A" w:rsidRDefault="00F22392"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E</w:t>
      </w:r>
      <w:r w:rsidR="00C42BB4" w:rsidRPr="004C700A">
        <w:rPr>
          <w:rFonts w:asciiTheme="majorHAnsi" w:hAnsiTheme="majorHAnsi"/>
          <w:sz w:val="19"/>
          <w:szCs w:val="19"/>
          <w:lang w:val="es-ES"/>
        </w:rPr>
        <w:t>l</w:t>
      </w:r>
      <w:r w:rsidRPr="004C700A">
        <w:rPr>
          <w:rFonts w:asciiTheme="majorHAnsi" w:hAnsiTheme="majorHAnsi"/>
          <w:sz w:val="19"/>
          <w:szCs w:val="19"/>
          <w:lang w:val="es-ES"/>
        </w:rPr>
        <w:t xml:space="preserve"> 28 de abril de 2006, </w:t>
      </w:r>
      <w:r w:rsidR="00C42BB4" w:rsidRPr="004C700A">
        <w:rPr>
          <w:rFonts w:asciiTheme="majorHAnsi" w:hAnsiTheme="majorHAnsi"/>
          <w:sz w:val="19"/>
          <w:szCs w:val="19"/>
          <w:lang w:val="es-ES"/>
        </w:rPr>
        <w:t>el</w:t>
      </w:r>
      <w:r w:rsidRPr="004C700A">
        <w:rPr>
          <w:rFonts w:asciiTheme="majorHAnsi" w:hAnsiTheme="majorHAnsi"/>
          <w:sz w:val="19"/>
          <w:szCs w:val="19"/>
          <w:lang w:val="es-ES"/>
        </w:rPr>
        <w:t xml:space="preserve"> </w:t>
      </w:r>
      <w:r w:rsidR="00C42BB4" w:rsidRPr="004C700A">
        <w:rPr>
          <w:rFonts w:asciiTheme="majorHAnsi" w:hAnsiTheme="majorHAnsi"/>
          <w:sz w:val="19"/>
          <w:szCs w:val="19"/>
          <w:lang w:val="es-ES"/>
        </w:rPr>
        <w:t>Ministerio</w:t>
      </w:r>
      <w:r w:rsidRPr="004C700A">
        <w:rPr>
          <w:rFonts w:asciiTheme="majorHAnsi" w:hAnsiTheme="majorHAnsi"/>
          <w:sz w:val="19"/>
          <w:szCs w:val="19"/>
          <w:lang w:val="es-ES"/>
        </w:rPr>
        <w:t xml:space="preserve"> Público present</w:t>
      </w:r>
      <w:r w:rsidR="00CF4BF8" w:rsidRPr="004C700A">
        <w:rPr>
          <w:rFonts w:asciiTheme="majorHAnsi" w:hAnsiTheme="majorHAnsi"/>
          <w:sz w:val="19"/>
          <w:szCs w:val="19"/>
          <w:lang w:val="es-ES"/>
        </w:rPr>
        <w:t>ó una denuncia</w:t>
      </w:r>
      <w:r w:rsidR="00147F83" w:rsidRPr="004C700A">
        <w:rPr>
          <w:rFonts w:asciiTheme="majorHAnsi" w:hAnsiTheme="majorHAnsi"/>
          <w:sz w:val="19"/>
          <w:szCs w:val="19"/>
          <w:lang w:val="es-ES"/>
        </w:rPr>
        <w:t xml:space="preserve"> </w:t>
      </w:r>
      <w:r w:rsidR="00CF4BF8" w:rsidRPr="004C700A">
        <w:rPr>
          <w:rFonts w:asciiTheme="majorHAnsi" w:hAnsiTheme="majorHAnsi"/>
          <w:sz w:val="19"/>
          <w:szCs w:val="19"/>
          <w:lang w:val="es-ES"/>
        </w:rPr>
        <w:t xml:space="preserve">y se </w:t>
      </w:r>
      <w:r w:rsidR="00D71E30" w:rsidRPr="004C700A">
        <w:rPr>
          <w:rFonts w:asciiTheme="majorHAnsi" w:hAnsiTheme="majorHAnsi"/>
          <w:sz w:val="19"/>
          <w:szCs w:val="19"/>
          <w:lang w:val="es-ES"/>
        </w:rPr>
        <w:t>entabl</w:t>
      </w:r>
      <w:r w:rsidR="00CF4BF8" w:rsidRPr="004C700A">
        <w:rPr>
          <w:rFonts w:asciiTheme="majorHAnsi" w:hAnsiTheme="majorHAnsi"/>
          <w:sz w:val="19"/>
          <w:szCs w:val="19"/>
          <w:lang w:val="es-ES"/>
        </w:rPr>
        <w:t xml:space="preserve">ó </w:t>
      </w:r>
      <w:r w:rsidR="00D71E30" w:rsidRPr="004C700A">
        <w:rPr>
          <w:rFonts w:asciiTheme="majorHAnsi" w:hAnsiTheme="majorHAnsi"/>
          <w:sz w:val="19"/>
          <w:szCs w:val="19"/>
          <w:lang w:val="es-ES"/>
        </w:rPr>
        <w:t>un</w:t>
      </w:r>
      <w:r w:rsidR="00CF4BF8" w:rsidRPr="004C700A">
        <w:rPr>
          <w:rFonts w:asciiTheme="majorHAnsi" w:hAnsiTheme="majorHAnsi"/>
          <w:sz w:val="19"/>
          <w:szCs w:val="19"/>
          <w:lang w:val="es-ES"/>
        </w:rPr>
        <w:t xml:space="preserve">a acción </w:t>
      </w:r>
      <w:r w:rsidR="004340E6" w:rsidRPr="004C700A">
        <w:rPr>
          <w:rFonts w:asciiTheme="majorHAnsi" w:hAnsiTheme="majorHAnsi"/>
          <w:sz w:val="19"/>
          <w:szCs w:val="19"/>
          <w:lang w:val="es-ES"/>
        </w:rPr>
        <w:t xml:space="preserve">penal para </w:t>
      </w:r>
      <w:r w:rsidR="003935B7" w:rsidRPr="004C700A">
        <w:rPr>
          <w:rFonts w:asciiTheme="majorHAnsi" w:hAnsiTheme="majorHAnsi"/>
          <w:sz w:val="19"/>
          <w:szCs w:val="19"/>
          <w:lang w:val="es-ES"/>
        </w:rPr>
        <w:t xml:space="preserve">investigar </w:t>
      </w:r>
      <w:r w:rsidR="00CF4BF8" w:rsidRPr="004C700A">
        <w:rPr>
          <w:rFonts w:asciiTheme="majorHAnsi" w:hAnsiTheme="majorHAnsi"/>
          <w:sz w:val="19"/>
          <w:szCs w:val="19"/>
          <w:lang w:val="es-ES"/>
        </w:rPr>
        <w:t>l</w:t>
      </w:r>
      <w:r w:rsidR="000727DA" w:rsidRPr="004C700A">
        <w:rPr>
          <w:rFonts w:asciiTheme="majorHAnsi" w:hAnsiTheme="majorHAnsi"/>
          <w:sz w:val="19"/>
          <w:szCs w:val="19"/>
          <w:lang w:val="es-ES"/>
        </w:rPr>
        <w:t>a m</w:t>
      </w:r>
      <w:r w:rsidR="00CF4BF8" w:rsidRPr="004C700A">
        <w:rPr>
          <w:rFonts w:asciiTheme="majorHAnsi" w:hAnsiTheme="majorHAnsi"/>
          <w:sz w:val="19"/>
          <w:szCs w:val="19"/>
          <w:lang w:val="es-ES"/>
        </w:rPr>
        <w:t>uerte</w:t>
      </w:r>
      <w:r w:rsidR="004340E6" w:rsidRPr="004C700A">
        <w:rPr>
          <w:rFonts w:asciiTheme="majorHAnsi" w:hAnsiTheme="majorHAnsi"/>
          <w:sz w:val="19"/>
          <w:szCs w:val="19"/>
          <w:lang w:val="es-ES"/>
        </w:rPr>
        <w:t xml:space="preserve"> d</w:t>
      </w:r>
      <w:r w:rsidR="00CF4BF8" w:rsidRPr="004C700A">
        <w:rPr>
          <w:rFonts w:asciiTheme="majorHAnsi" w:hAnsiTheme="majorHAnsi"/>
          <w:sz w:val="19"/>
          <w:szCs w:val="19"/>
          <w:lang w:val="es-ES"/>
        </w:rPr>
        <w:t>e l</w:t>
      </w:r>
      <w:r w:rsidR="004340E6"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t>presunta víctima</w:t>
      </w:r>
      <w:r w:rsidRPr="004C700A">
        <w:rPr>
          <w:rFonts w:asciiTheme="majorHAnsi" w:hAnsiTheme="majorHAnsi"/>
          <w:sz w:val="19"/>
          <w:szCs w:val="19"/>
          <w:lang w:val="es-ES"/>
        </w:rPr>
        <w:t xml:space="preserve"> </w:t>
      </w:r>
      <w:r w:rsidR="00CF4BF8" w:rsidRPr="004C700A">
        <w:rPr>
          <w:rFonts w:asciiTheme="majorHAnsi" w:hAnsiTheme="majorHAnsi"/>
          <w:sz w:val="19"/>
          <w:szCs w:val="19"/>
          <w:lang w:val="es-ES"/>
        </w:rPr>
        <w:t>y</w:t>
      </w:r>
      <w:r w:rsidRPr="004C700A">
        <w:rPr>
          <w:rFonts w:asciiTheme="majorHAnsi" w:hAnsiTheme="majorHAnsi"/>
          <w:sz w:val="19"/>
          <w:szCs w:val="19"/>
          <w:lang w:val="es-ES"/>
        </w:rPr>
        <w:t xml:space="preserve"> </w:t>
      </w:r>
      <w:r w:rsidR="000727DA" w:rsidRPr="004C700A">
        <w:rPr>
          <w:rFonts w:asciiTheme="majorHAnsi" w:hAnsiTheme="majorHAnsi"/>
          <w:sz w:val="19"/>
          <w:szCs w:val="19"/>
          <w:lang w:val="es-ES"/>
        </w:rPr>
        <w:t xml:space="preserve">de </w:t>
      </w:r>
      <w:r w:rsidRPr="004C700A">
        <w:rPr>
          <w:rFonts w:asciiTheme="majorHAnsi" w:hAnsiTheme="majorHAnsi"/>
          <w:sz w:val="19"/>
          <w:szCs w:val="19"/>
          <w:lang w:val="es-ES"/>
        </w:rPr>
        <w:t>u</w:t>
      </w:r>
      <w:r w:rsidR="00CF4BF8" w:rsidRPr="004C700A">
        <w:rPr>
          <w:rFonts w:asciiTheme="majorHAnsi" w:hAnsiTheme="majorHAnsi"/>
          <w:sz w:val="19"/>
          <w:szCs w:val="19"/>
          <w:lang w:val="es-ES"/>
        </w:rPr>
        <w:t>no</w:t>
      </w:r>
      <w:r w:rsidRPr="004C700A">
        <w:rPr>
          <w:rFonts w:asciiTheme="majorHAnsi" w:hAnsiTheme="majorHAnsi"/>
          <w:sz w:val="19"/>
          <w:szCs w:val="19"/>
          <w:lang w:val="es-ES"/>
        </w:rPr>
        <w:t xml:space="preserve"> d</w:t>
      </w:r>
      <w:r w:rsidR="00CF4BF8" w:rsidRPr="004C700A">
        <w:rPr>
          <w:rFonts w:asciiTheme="majorHAnsi" w:hAnsiTheme="majorHAnsi"/>
          <w:sz w:val="19"/>
          <w:szCs w:val="19"/>
          <w:lang w:val="es-ES"/>
        </w:rPr>
        <w:t>e l</w:t>
      </w:r>
      <w:r w:rsidRPr="004C700A">
        <w:rPr>
          <w:rFonts w:asciiTheme="majorHAnsi" w:hAnsiTheme="majorHAnsi"/>
          <w:sz w:val="19"/>
          <w:szCs w:val="19"/>
          <w:lang w:val="es-ES"/>
        </w:rPr>
        <w:t xml:space="preserve">os </w:t>
      </w:r>
      <w:r w:rsidR="00CF4BF8" w:rsidRPr="004C700A">
        <w:rPr>
          <w:rFonts w:asciiTheme="majorHAnsi" w:hAnsiTheme="majorHAnsi"/>
          <w:sz w:val="19"/>
          <w:szCs w:val="19"/>
          <w:lang w:val="es-ES"/>
        </w:rPr>
        <w:t>secuestradores</w:t>
      </w:r>
      <w:r w:rsidR="004D5D4E" w:rsidRPr="004C700A">
        <w:rPr>
          <w:rFonts w:asciiTheme="majorHAnsi" w:hAnsiTheme="majorHAnsi"/>
          <w:sz w:val="19"/>
          <w:szCs w:val="19"/>
          <w:lang w:val="es-ES"/>
        </w:rPr>
        <w:t>, a</w:t>
      </w:r>
      <w:r w:rsidR="005E7E21" w:rsidRPr="004C700A">
        <w:rPr>
          <w:rFonts w:asciiTheme="majorHAnsi" w:hAnsiTheme="majorHAnsi"/>
          <w:sz w:val="19"/>
          <w:szCs w:val="19"/>
          <w:lang w:val="es-ES"/>
        </w:rPr>
        <w:t>demás del</w:t>
      </w:r>
      <w:r w:rsidR="004340E6" w:rsidRPr="004C700A">
        <w:rPr>
          <w:rFonts w:asciiTheme="majorHAnsi" w:hAnsiTheme="majorHAnsi"/>
          <w:sz w:val="19"/>
          <w:szCs w:val="19"/>
          <w:lang w:val="es-ES"/>
        </w:rPr>
        <w:t xml:space="preserve"> </w:t>
      </w:r>
      <w:r w:rsidR="00134AB1" w:rsidRPr="004C700A">
        <w:rPr>
          <w:rFonts w:asciiTheme="majorHAnsi" w:hAnsiTheme="majorHAnsi"/>
          <w:sz w:val="19"/>
          <w:szCs w:val="19"/>
          <w:lang w:val="es-ES"/>
        </w:rPr>
        <w:t>secuestro</w:t>
      </w:r>
      <w:r w:rsidR="004340E6" w:rsidRPr="004C700A">
        <w:rPr>
          <w:rFonts w:asciiTheme="majorHAnsi" w:hAnsiTheme="majorHAnsi"/>
          <w:sz w:val="19"/>
          <w:szCs w:val="19"/>
          <w:lang w:val="es-ES"/>
        </w:rPr>
        <w:t>.</w:t>
      </w:r>
      <w:r w:rsidR="00975F16" w:rsidRPr="004C700A">
        <w:rPr>
          <w:rFonts w:asciiTheme="majorHAnsi" w:hAnsiTheme="majorHAnsi"/>
          <w:sz w:val="19"/>
          <w:szCs w:val="19"/>
          <w:lang w:val="es-ES"/>
        </w:rPr>
        <w:t xml:space="preserve"> </w:t>
      </w:r>
      <w:r w:rsidR="005E7E21" w:rsidRPr="004C700A">
        <w:rPr>
          <w:rFonts w:asciiTheme="majorHAnsi" w:hAnsiTheme="majorHAnsi"/>
          <w:sz w:val="19"/>
          <w:szCs w:val="19"/>
          <w:lang w:val="es-ES"/>
        </w:rPr>
        <w:t xml:space="preserve">Las peticionarias señalan </w:t>
      </w:r>
      <w:r w:rsidR="00975F16" w:rsidRPr="004C700A">
        <w:rPr>
          <w:rFonts w:asciiTheme="majorHAnsi" w:hAnsiTheme="majorHAnsi"/>
          <w:sz w:val="19"/>
          <w:szCs w:val="19"/>
          <w:lang w:val="es-ES"/>
        </w:rPr>
        <w:t xml:space="preserve">que </w:t>
      </w:r>
      <w:r w:rsidR="005E7E21" w:rsidRPr="004C700A">
        <w:rPr>
          <w:rFonts w:asciiTheme="majorHAnsi" w:hAnsiTheme="majorHAnsi"/>
          <w:sz w:val="19"/>
          <w:szCs w:val="19"/>
          <w:lang w:val="es-ES"/>
        </w:rPr>
        <w:t>l</w:t>
      </w:r>
      <w:r w:rsidR="00975F16" w:rsidRPr="004C700A">
        <w:rPr>
          <w:rFonts w:asciiTheme="majorHAnsi" w:hAnsiTheme="majorHAnsi"/>
          <w:sz w:val="19"/>
          <w:szCs w:val="19"/>
          <w:lang w:val="es-ES"/>
        </w:rPr>
        <w:t>a a</w:t>
      </w:r>
      <w:r w:rsidR="005E7E21" w:rsidRPr="004C700A">
        <w:rPr>
          <w:rFonts w:asciiTheme="majorHAnsi" w:hAnsiTheme="majorHAnsi"/>
          <w:sz w:val="19"/>
          <w:szCs w:val="19"/>
          <w:lang w:val="es-ES"/>
        </w:rPr>
        <w:t>cción</w:t>
      </w:r>
      <w:r w:rsidR="00975F16" w:rsidRPr="004C700A">
        <w:rPr>
          <w:rFonts w:asciiTheme="majorHAnsi" w:hAnsiTheme="majorHAnsi"/>
          <w:sz w:val="19"/>
          <w:szCs w:val="19"/>
          <w:lang w:val="es-ES"/>
        </w:rPr>
        <w:t xml:space="preserve"> penal s</w:t>
      </w:r>
      <w:r w:rsidR="005E7E21" w:rsidRPr="004C700A">
        <w:rPr>
          <w:rFonts w:asciiTheme="majorHAnsi" w:hAnsiTheme="majorHAnsi"/>
          <w:sz w:val="19"/>
          <w:szCs w:val="19"/>
          <w:lang w:val="es-ES"/>
        </w:rPr>
        <w:t xml:space="preserve">iguió su </w:t>
      </w:r>
      <w:r w:rsidR="00975F16" w:rsidRPr="004C700A">
        <w:rPr>
          <w:rFonts w:asciiTheme="majorHAnsi" w:hAnsiTheme="majorHAnsi"/>
          <w:sz w:val="19"/>
          <w:szCs w:val="19"/>
          <w:lang w:val="es-ES"/>
        </w:rPr>
        <w:t xml:space="preserve">curso </w:t>
      </w:r>
      <w:r w:rsidR="00D71E30" w:rsidRPr="004C700A">
        <w:rPr>
          <w:rFonts w:asciiTheme="majorHAnsi" w:hAnsiTheme="majorHAnsi"/>
          <w:sz w:val="19"/>
          <w:szCs w:val="19"/>
          <w:lang w:val="es-ES"/>
        </w:rPr>
        <w:t>normal</w:t>
      </w:r>
      <w:r w:rsidR="00975F16" w:rsidRPr="004C700A">
        <w:rPr>
          <w:rFonts w:asciiTheme="majorHAnsi" w:hAnsiTheme="majorHAnsi"/>
          <w:sz w:val="19"/>
          <w:szCs w:val="19"/>
          <w:lang w:val="es-ES"/>
        </w:rPr>
        <w:t xml:space="preserve"> </w:t>
      </w:r>
      <w:r w:rsidR="005E7E21" w:rsidRPr="004C700A">
        <w:rPr>
          <w:rFonts w:asciiTheme="majorHAnsi" w:hAnsiTheme="majorHAnsi"/>
          <w:sz w:val="19"/>
          <w:szCs w:val="19"/>
          <w:lang w:val="es-ES"/>
        </w:rPr>
        <w:t>y</w:t>
      </w:r>
      <w:r w:rsidR="00975F16" w:rsidRPr="004C700A">
        <w:rPr>
          <w:rFonts w:asciiTheme="majorHAnsi" w:hAnsiTheme="majorHAnsi"/>
          <w:sz w:val="19"/>
          <w:szCs w:val="19"/>
          <w:lang w:val="es-ES"/>
        </w:rPr>
        <w:t xml:space="preserve"> que </w:t>
      </w:r>
      <w:r w:rsidR="005E7E21" w:rsidRPr="004C700A">
        <w:rPr>
          <w:rFonts w:asciiTheme="majorHAnsi" w:hAnsiTheme="majorHAnsi"/>
          <w:sz w:val="19"/>
          <w:szCs w:val="19"/>
          <w:lang w:val="es-ES"/>
        </w:rPr>
        <w:t xml:space="preserve">en </w:t>
      </w:r>
      <w:r w:rsidR="00975F16" w:rsidRPr="004C700A">
        <w:rPr>
          <w:rFonts w:asciiTheme="majorHAnsi" w:hAnsiTheme="majorHAnsi"/>
          <w:sz w:val="19"/>
          <w:szCs w:val="19"/>
          <w:lang w:val="es-ES"/>
        </w:rPr>
        <w:t>divers</w:t>
      </w:r>
      <w:r w:rsidR="005E7E21" w:rsidRPr="004C700A">
        <w:rPr>
          <w:rFonts w:asciiTheme="majorHAnsi" w:hAnsiTheme="majorHAnsi"/>
          <w:sz w:val="19"/>
          <w:szCs w:val="19"/>
          <w:lang w:val="es-ES"/>
        </w:rPr>
        <w:t>os peritajes se comprobó la</w:t>
      </w:r>
      <w:r w:rsidR="00975F16" w:rsidRPr="004C700A">
        <w:rPr>
          <w:rFonts w:asciiTheme="majorHAnsi" w:hAnsiTheme="majorHAnsi"/>
          <w:sz w:val="19"/>
          <w:szCs w:val="19"/>
          <w:lang w:val="es-ES"/>
        </w:rPr>
        <w:t xml:space="preserve"> </w:t>
      </w:r>
      <w:r w:rsidR="005E7E21" w:rsidRPr="004C700A">
        <w:rPr>
          <w:rFonts w:asciiTheme="majorHAnsi" w:hAnsiTheme="majorHAnsi"/>
          <w:sz w:val="19"/>
          <w:szCs w:val="19"/>
          <w:lang w:val="es-ES"/>
        </w:rPr>
        <w:t>desproporción</w:t>
      </w:r>
      <w:r w:rsidR="00975F16" w:rsidRPr="004C700A">
        <w:rPr>
          <w:rFonts w:asciiTheme="majorHAnsi" w:hAnsiTheme="majorHAnsi"/>
          <w:sz w:val="19"/>
          <w:szCs w:val="19"/>
          <w:lang w:val="es-ES"/>
        </w:rPr>
        <w:t xml:space="preserve"> d</w:t>
      </w:r>
      <w:r w:rsidR="005E7E21" w:rsidRPr="004C700A">
        <w:rPr>
          <w:rFonts w:asciiTheme="majorHAnsi" w:hAnsiTheme="majorHAnsi"/>
          <w:sz w:val="19"/>
          <w:szCs w:val="19"/>
          <w:lang w:val="es-ES"/>
        </w:rPr>
        <w:t>e l</w:t>
      </w:r>
      <w:r w:rsidR="00975F16" w:rsidRPr="004C700A">
        <w:rPr>
          <w:rFonts w:asciiTheme="majorHAnsi" w:hAnsiTheme="majorHAnsi"/>
          <w:sz w:val="19"/>
          <w:szCs w:val="19"/>
          <w:lang w:val="es-ES"/>
        </w:rPr>
        <w:t xml:space="preserve">a </w:t>
      </w:r>
      <w:r w:rsidR="005E7E21" w:rsidRPr="004C700A">
        <w:rPr>
          <w:rFonts w:asciiTheme="majorHAnsi" w:hAnsiTheme="majorHAnsi"/>
          <w:sz w:val="19"/>
          <w:szCs w:val="19"/>
          <w:lang w:val="es-ES"/>
        </w:rPr>
        <w:t>actuación</w:t>
      </w:r>
      <w:r w:rsidR="00975F16" w:rsidRPr="004C700A">
        <w:rPr>
          <w:rFonts w:asciiTheme="majorHAnsi" w:hAnsiTheme="majorHAnsi"/>
          <w:sz w:val="19"/>
          <w:szCs w:val="19"/>
          <w:lang w:val="es-ES"/>
        </w:rPr>
        <w:t xml:space="preserve"> policial, </w:t>
      </w:r>
      <w:r w:rsidR="005E7E21" w:rsidRPr="004C700A">
        <w:rPr>
          <w:rFonts w:asciiTheme="majorHAnsi" w:hAnsiTheme="majorHAnsi"/>
          <w:sz w:val="19"/>
          <w:szCs w:val="19"/>
          <w:lang w:val="es-ES"/>
        </w:rPr>
        <w:t xml:space="preserve">que se caracterizó por un </w:t>
      </w:r>
      <w:r w:rsidR="00975F16" w:rsidRPr="004C700A">
        <w:rPr>
          <w:rFonts w:asciiTheme="majorHAnsi" w:hAnsiTheme="majorHAnsi"/>
          <w:sz w:val="19"/>
          <w:szCs w:val="19"/>
          <w:lang w:val="es-ES"/>
        </w:rPr>
        <w:t xml:space="preserve">uso </w:t>
      </w:r>
      <w:r w:rsidR="005E7E21" w:rsidRPr="004C700A">
        <w:rPr>
          <w:rFonts w:asciiTheme="majorHAnsi" w:hAnsiTheme="majorHAnsi"/>
          <w:sz w:val="19"/>
          <w:szCs w:val="19"/>
          <w:lang w:val="es-ES"/>
        </w:rPr>
        <w:t>excesivo</w:t>
      </w:r>
      <w:r w:rsidR="00975F16" w:rsidRPr="004C700A">
        <w:rPr>
          <w:rFonts w:asciiTheme="majorHAnsi" w:hAnsiTheme="majorHAnsi"/>
          <w:sz w:val="19"/>
          <w:szCs w:val="19"/>
          <w:lang w:val="es-ES"/>
        </w:rPr>
        <w:t xml:space="preserve"> </w:t>
      </w:r>
      <w:r w:rsidR="005E7E21" w:rsidRPr="004C700A">
        <w:rPr>
          <w:rFonts w:asciiTheme="majorHAnsi" w:hAnsiTheme="majorHAnsi"/>
          <w:sz w:val="19"/>
          <w:szCs w:val="19"/>
          <w:lang w:val="es-ES"/>
        </w:rPr>
        <w:t>y</w:t>
      </w:r>
      <w:r w:rsidR="00975F16" w:rsidRPr="004C700A">
        <w:rPr>
          <w:rFonts w:asciiTheme="majorHAnsi" w:hAnsiTheme="majorHAnsi"/>
          <w:sz w:val="19"/>
          <w:szCs w:val="19"/>
          <w:lang w:val="es-ES"/>
        </w:rPr>
        <w:t xml:space="preserve"> abusivo d</w:t>
      </w:r>
      <w:r w:rsidR="005E7E21" w:rsidRPr="004C700A">
        <w:rPr>
          <w:rFonts w:asciiTheme="majorHAnsi" w:hAnsiTheme="majorHAnsi"/>
          <w:sz w:val="19"/>
          <w:szCs w:val="19"/>
          <w:lang w:val="es-ES"/>
        </w:rPr>
        <w:t>e fuerza</w:t>
      </w:r>
      <w:r w:rsidR="00975F16" w:rsidRPr="004C700A">
        <w:rPr>
          <w:rFonts w:asciiTheme="majorHAnsi" w:hAnsiTheme="majorHAnsi"/>
          <w:sz w:val="19"/>
          <w:szCs w:val="19"/>
          <w:lang w:val="es-ES"/>
        </w:rPr>
        <w:t xml:space="preserve"> letal durante </w:t>
      </w:r>
      <w:r w:rsidR="005E7E21" w:rsidRPr="004C700A">
        <w:rPr>
          <w:rFonts w:asciiTheme="majorHAnsi" w:hAnsiTheme="majorHAnsi"/>
          <w:sz w:val="19"/>
          <w:szCs w:val="19"/>
          <w:lang w:val="es-ES"/>
        </w:rPr>
        <w:t>el enfrentamiento</w:t>
      </w:r>
      <w:r w:rsidR="00975F16" w:rsidRPr="004C700A">
        <w:rPr>
          <w:rFonts w:asciiTheme="majorHAnsi" w:hAnsiTheme="majorHAnsi"/>
          <w:sz w:val="19"/>
          <w:szCs w:val="19"/>
          <w:lang w:val="es-ES"/>
        </w:rPr>
        <w:t xml:space="preserve">. </w:t>
      </w:r>
      <w:r w:rsidR="005E7E21" w:rsidRPr="004C700A">
        <w:rPr>
          <w:rFonts w:asciiTheme="majorHAnsi" w:hAnsiTheme="majorHAnsi"/>
          <w:sz w:val="19"/>
          <w:szCs w:val="19"/>
          <w:lang w:val="es-ES"/>
        </w:rPr>
        <w:t>En consecuencia, el Ministerio</w:t>
      </w:r>
      <w:r w:rsidR="00A83D19" w:rsidRPr="004C700A">
        <w:rPr>
          <w:rFonts w:asciiTheme="majorHAnsi" w:hAnsiTheme="majorHAnsi"/>
          <w:sz w:val="19"/>
          <w:szCs w:val="19"/>
          <w:lang w:val="es-ES"/>
        </w:rPr>
        <w:t xml:space="preserve"> Público</w:t>
      </w:r>
      <w:r w:rsidR="00CD7318" w:rsidRPr="004C700A">
        <w:rPr>
          <w:rFonts w:asciiTheme="majorHAnsi" w:hAnsiTheme="majorHAnsi"/>
          <w:sz w:val="19"/>
          <w:szCs w:val="19"/>
          <w:lang w:val="es-ES"/>
        </w:rPr>
        <w:t xml:space="preserve"> </w:t>
      </w:r>
      <w:r w:rsidR="005E7E21" w:rsidRPr="004C700A">
        <w:rPr>
          <w:rFonts w:asciiTheme="majorHAnsi" w:hAnsiTheme="majorHAnsi"/>
          <w:sz w:val="19"/>
          <w:szCs w:val="19"/>
          <w:lang w:val="es-ES"/>
        </w:rPr>
        <w:t xml:space="preserve">solicitó un auto judicial de imputación de los agentes de </w:t>
      </w:r>
      <w:r w:rsidR="00A83D19" w:rsidRPr="004C700A">
        <w:rPr>
          <w:rFonts w:asciiTheme="majorHAnsi" w:hAnsiTheme="majorHAnsi"/>
          <w:sz w:val="19"/>
          <w:szCs w:val="19"/>
          <w:lang w:val="es-ES"/>
        </w:rPr>
        <w:t>polic</w:t>
      </w:r>
      <w:r w:rsidR="005E7E21" w:rsidRPr="004C700A">
        <w:rPr>
          <w:rFonts w:asciiTheme="majorHAnsi" w:hAnsiTheme="majorHAnsi"/>
          <w:sz w:val="19"/>
          <w:szCs w:val="19"/>
          <w:lang w:val="es-ES"/>
        </w:rPr>
        <w:t xml:space="preserve">ía </w:t>
      </w:r>
      <w:r w:rsidR="000727DA" w:rsidRPr="004C700A">
        <w:rPr>
          <w:rFonts w:asciiTheme="majorHAnsi" w:hAnsiTheme="majorHAnsi"/>
          <w:sz w:val="19"/>
          <w:szCs w:val="19"/>
          <w:lang w:val="es-ES"/>
        </w:rPr>
        <w:t>para que f</w:t>
      </w:r>
      <w:r w:rsidR="005E7E21" w:rsidRPr="004C700A">
        <w:rPr>
          <w:rFonts w:asciiTheme="majorHAnsi" w:hAnsiTheme="majorHAnsi"/>
          <w:sz w:val="19"/>
          <w:szCs w:val="19"/>
          <w:lang w:val="es-ES"/>
        </w:rPr>
        <w:t xml:space="preserve">ueran </w:t>
      </w:r>
      <w:r w:rsidR="00FD172E" w:rsidRPr="004C700A">
        <w:rPr>
          <w:rFonts w:asciiTheme="majorHAnsi" w:hAnsiTheme="majorHAnsi"/>
          <w:sz w:val="19"/>
          <w:szCs w:val="19"/>
          <w:lang w:val="es-ES"/>
        </w:rPr>
        <w:t>sometidos a juicio por jurado</w:t>
      </w:r>
      <w:r w:rsidR="000727DA" w:rsidRPr="004C700A">
        <w:rPr>
          <w:rFonts w:asciiTheme="majorHAnsi" w:hAnsiTheme="majorHAnsi"/>
          <w:sz w:val="19"/>
          <w:szCs w:val="19"/>
          <w:lang w:val="es-ES"/>
        </w:rPr>
        <w:t xml:space="preserve">. </w:t>
      </w:r>
      <w:r w:rsidR="005E7E21" w:rsidRPr="004C700A">
        <w:rPr>
          <w:rFonts w:asciiTheme="majorHAnsi" w:hAnsiTheme="majorHAnsi"/>
          <w:sz w:val="19"/>
          <w:szCs w:val="19"/>
          <w:lang w:val="es-ES"/>
        </w:rPr>
        <w:t xml:space="preserve">Sin embargo, el </w:t>
      </w:r>
      <w:r w:rsidR="00975F16" w:rsidRPr="004C700A">
        <w:rPr>
          <w:rFonts w:asciiTheme="majorHAnsi" w:hAnsiTheme="majorHAnsi"/>
          <w:sz w:val="19"/>
          <w:szCs w:val="19"/>
          <w:lang w:val="es-ES"/>
        </w:rPr>
        <w:t>25 de abril de 2007</w:t>
      </w:r>
      <w:r w:rsidR="00423157" w:rsidRPr="004C700A">
        <w:rPr>
          <w:rFonts w:asciiTheme="majorHAnsi" w:hAnsiTheme="majorHAnsi"/>
          <w:sz w:val="19"/>
          <w:szCs w:val="19"/>
          <w:lang w:val="es-ES"/>
        </w:rPr>
        <w:t>,</w:t>
      </w:r>
      <w:r w:rsidR="00975F16" w:rsidRPr="004C700A">
        <w:rPr>
          <w:rFonts w:asciiTheme="majorHAnsi" w:hAnsiTheme="majorHAnsi"/>
          <w:sz w:val="19"/>
          <w:szCs w:val="19"/>
          <w:lang w:val="es-ES"/>
        </w:rPr>
        <w:t xml:space="preserve"> </w:t>
      </w:r>
      <w:r w:rsidR="00FD172E" w:rsidRPr="004C700A">
        <w:rPr>
          <w:rFonts w:asciiTheme="majorHAnsi" w:hAnsiTheme="majorHAnsi"/>
          <w:sz w:val="19"/>
          <w:szCs w:val="19"/>
          <w:lang w:val="es-ES"/>
        </w:rPr>
        <w:t>l</w:t>
      </w:r>
      <w:r w:rsidR="000727DA" w:rsidRPr="004C700A">
        <w:rPr>
          <w:rFonts w:asciiTheme="majorHAnsi" w:hAnsiTheme="majorHAnsi"/>
          <w:sz w:val="19"/>
          <w:szCs w:val="19"/>
          <w:lang w:val="es-ES"/>
        </w:rPr>
        <w:t xml:space="preserve">os acusados, </w:t>
      </w:r>
      <w:r w:rsidR="00FD172E" w:rsidRPr="004C700A">
        <w:rPr>
          <w:rFonts w:asciiTheme="majorHAnsi" w:hAnsiTheme="majorHAnsi"/>
          <w:sz w:val="19"/>
          <w:szCs w:val="19"/>
          <w:lang w:val="es-ES"/>
        </w:rPr>
        <w:t xml:space="preserve">entre ellos el agente de la </w:t>
      </w:r>
      <w:r w:rsidR="00423157" w:rsidRPr="004C700A">
        <w:rPr>
          <w:rFonts w:asciiTheme="majorHAnsi" w:hAnsiTheme="majorHAnsi"/>
          <w:sz w:val="19"/>
          <w:szCs w:val="19"/>
          <w:lang w:val="es-ES"/>
        </w:rPr>
        <w:t>polic</w:t>
      </w:r>
      <w:r w:rsidR="00FD172E" w:rsidRPr="004C700A">
        <w:rPr>
          <w:rFonts w:asciiTheme="majorHAnsi" w:hAnsiTheme="majorHAnsi"/>
          <w:sz w:val="19"/>
          <w:szCs w:val="19"/>
          <w:lang w:val="es-ES"/>
        </w:rPr>
        <w:t xml:space="preserve">ía </w:t>
      </w:r>
      <w:r w:rsidR="00423157" w:rsidRPr="004C700A">
        <w:rPr>
          <w:rFonts w:asciiTheme="majorHAnsi" w:hAnsiTheme="majorHAnsi"/>
          <w:sz w:val="19"/>
          <w:szCs w:val="19"/>
          <w:lang w:val="es-ES"/>
        </w:rPr>
        <w:t xml:space="preserve">militar </w:t>
      </w:r>
      <w:r w:rsidR="00FD172E" w:rsidRPr="004C700A">
        <w:rPr>
          <w:rFonts w:asciiTheme="majorHAnsi" w:hAnsiTheme="majorHAnsi"/>
          <w:sz w:val="19"/>
          <w:szCs w:val="19"/>
          <w:lang w:val="es-ES"/>
        </w:rPr>
        <w:t xml:space="preserve">que efectuó el </w:t>
      </w:r>
      <w:r w:rsidR="00423157" w:rsidRPr="004C700A">
        <w:rPr>
          <w:rFonts w:asciiTheme="majorHAnsi" w:hAnsiTheme="majorHAnsi"/>
          <w:sz w:val="19"/>
          <w:szCs w:val="19"/>
          <w:lang w:val="es-ES"/>
        </w:rPr>
        <w:t>disparo</w:t>
      </w:r>
      <w:r w:rsidR="00FD172E" w:rsidRPr="004C700A">
        <w:rPr>
          <w:rFonts w:asciiTheme="majorHAnsi" w:hAnsiTheme="majorHAnsi"/>
          <w:sz w:val="19"/>
          <w:szCs w:val="19"/>
          <w:lang w:val="es-ES"/>
        </w:rPr>
        <w:t xml:space="preserve"> que mató a la víctima</w:t>
      </w:r>
      <w:r w:rsidR="000727DA" w:rsidRPr="004C700A">
        <w:rPr>
          <w:rFonts w:asciiTheme="majorHAnsi" w:hAnsiTheme="majorHAnsi"/>
          <w:sz w:val="19"/>
          <w:szCs w:val="19"/>
          <w:lang w:val="es-ES"/>
        </w:rPr>
        <w:t>,</w:t>
      </w:r>
      <w:r w:rsidR="00423157" w:rsidRPr="004C700A">
        <w:rPr>
          <w:rFonts w:asciiTheme="majorHAnsi" w:hAnsiTheme="majorHAnsi"/>
          <w:sz w:val="19"/>
          <w:szCs w:val="19"/>
          <w:lang w:val="es-ES"/>
        </w:rPr>
        <w:t xml:space="preserve"> </w:t>
      </w:r>
      <w:r w:rsidR="000727DA" w:rsidRPr="004C700A">
        <w:rPr>
          <w:rFonts w:asciiTheme="majorHAnsi" w:hAnsiTheme="majorHAnsi"/>
          <w:sz w:val="19"/>
          <w:szCs w:val="19"/>
          <w:lang w:val="es-ES"/>
        </w:rPr>
        <w:t>f</w:t>
      </w:r>
      <w:r w:rsidR="00BA7187" w:rsidRPr="004C700A">
        <w:rPr>
          <w:rFonts w:asciiTheme="majorHAnsi" w:hAnsiTheme="majorHAnsi"/>
          <w:sz w:val="19"/>
          <w:szCs w:val="19"/>
          <w:lang w:val="es-ES"/>
        </w:rPr>
        <w:t>ueron absueltos en virtud de la aplicación de dos excluyentes</w:t>
      </w:r>
      <w:r w:rsidR="00E67B89" w:rsidRPr="004C700A">
        <w:rPr>
          <w:rFonts w:asciiTheme="majorHAnsi" w:hAnsiTheme="majorHAnsi"/>
          <w:sz w:val="19"/>
          <w:szCs w:val="19"/>
          <w:lang w:val="es-ES"/>
        </w:rPr>
        <w:t xml:space="preserve"> de </w:t>
      </w:r>
      <w:r w:rsidR="00BA7187" w:rsidRPr="004C700A">
        <w:rPr>
          <w:rFonts w:asciiTheme="majorHAnsi" w:hAnsiTheme="majorHAnsi"/>
          <w:sz w:val="19"/>
          <w:szCs w:val="19"/>
          <w:lang w:val="es-ES"/>
        </w:rPr>
        <w:t>ilicitud</w:t>
      </w:r>
      <w:r w:rsidR="00E67B89" w:rsidRPr="004C700A">
        <w:rPr>
          <w:rFonts w:asciiTheme="majorHAnsi" w:hAnsiTheme="majorHAnsi"/>
          <w:sz w:val="19"/>
          <w:szCs w:val="19"/>
          <w:lang w:val="es-ES"/>
        </w:rPr>
        <w:t xml:space="preserve"> previst</w:t>
      </w:r>
      <w:r w:rsidR="00BA7187" w:rsidRPr="004C700A">
        <w:rPr>
          <w:rFonts w:asciiTheme="majorHAnsi" w:hAnsiTheme="majorHAnsi"/>
          <w:sz w:val="19"/>
          <w:szCs w:val="19"/>
          <w:lang w:val="es-ES"/>
        </w:rPr>
        <w:t>a</w:t>
      </w:r>
      <w:r w:rsidR="00E67B89" w:rsidRPr="004C700A">
        <w:rPr>
          <w:rFonts w:asciiTheme="majorHAnsi" w:hAnsiTheme="majorHAnsi"/>
          <w:sz w:val="19"/>
          <w:szCs w:val="19"/>
          <w:lang w:val="es-ES"/>
        </w:rPr>
        <w:t xml:space="preserve">s </w:t>
      </w:r>
      <w:r w:rsidR="00BA7187" w:rsidRPr="004C700A">
        <w:rPr>
          <w:rFonts w:asciiTheme="majorHAnsi" w:hAnsiTheme="majorHAnsi"/>
          <w:sz w:val="19"/>
          <w:szCs w:val="19"/>
          <w:lang w:val="es-ES"/>
        </w:rPr>
        <w:t>e</w:t>
      </w:r>
      <w:r w:rsidR="00E67B89" w:rsidRPr="004C700A">
        <w:rPr>
          <w:rFonts w:asciiTheme="majorHAnsi" w:hAnsiTheme="majorHAnsi"/>
          <w:sz w:val="19"/>
          <w:szCs w:val="19"/>
          <w:lang w:val="es-ES"/>
        </w:rPr>
        <w:t>n</w:t>
      </w:r>
      <w:r w:rsidR="00BA7187" w:rsidRPr="004C700A">
        <w:rPr>
          <w:rFonts w:asciiTheme="majorHAnsi" w:hAnsiTheme="majorHAnsi"/>
          <w:sz w:val="19"/>
          <w:szCs w:val="19"/>
          <w:lang w:val="es-ES"/>
        </w:rPr>
        <w:t xml:space="preserve"> el</w:t>
      </w:r>
      <w:r w:rsidR="00E67B89" w:rsidRPr="004C700A">
        <w:rPr>
          <w:rFonts w:asciiTheme="majorHAnsi" w:hAnsiTheme="majorHAnsi"/>
          <w:sz w:val="19"/>
          <w:szCs w:val="19"/>
          <w:lang w:val="es-ES"/>
        </w:rPr>
        <w:t xml:space="preserve"> Código Penal</w:t>
      </w:r>
      <w:r w:rsidR="004D5D4E" w:rsidRPr="004C700A">
        <w:rPr>
          <w:rStyle w:val="FootnoteReference"/>
          <w:rFonts w:asciiTheme="majorHAnsi" w:hAnsiTheme="majorHAnsi"/>
          <w:sz w:val="19"/>
          <w:szCs w:val="19"/>
          <w:lang w:val="es-ES"/>
        </w:rPr>
        <w:footnoteReference w:id="5"/>
      </w:r>
      <w:r w:rsidR="00E67B89" w:rsidRPr="004C700A">
        <w:rPr>
          <w:rFonts w:asciiTheme="majorHAnsi" w:hAnsiTheme="majorHAnsi"/>
          <w:sz w:val="19"/>
          <w:szCs w:val="19"/>
          <w:lang w:val="es-ES"/>
        </w:rPr>
        <w:t>: legítima defe</w:t>
      </w:r>
      <w:r w:rsidR="00BA7187" w:rsidRPr="004C700A">
        <w:rPr>
          <w:rFonts w:asciiTheme="majorHAnsi" w:hAnsiTheme="majorHAnsi"/>
          <w:sz w:val="19"/>
          <w:szCs w:val="19"/>
          <w:lang w:val="es-ES"/>
        </w:rPr>
        <w:t>n</w:t>
      </w:r>
      <w:r w:rsidR="00E67B89" w:rsidRPr="004C700A">
        <w:rPr>
          <w:rFonts w:asciiTheme="majorHAnsi" w:hAnsiTheme="majorHAnsi"/>
          <w:sz w:val="19"/>
          <w:szCs w:val="19"/>
          <w:lang w:val="es-ES"/>
        </w:rPr>
        <w:t xml:space="preserve">sa </w:t>
      </w:r>
      <w:r w:rsidR="00BA7187" w:rsidRPr="004C700A">
        <w:rPr>
          <w:rFonts w:asciiTheme="majorHAnsi" w:hAnsiTheme="majorHAnsi"/>
          <w:sz w:val="19"/>
          <w:szCs w:val="19"/>
          <w:lang w:val="es-ES"/>
        </w:rPr>
        <w:t>y</w:t>
      </w:r>
      <w:r w:rsidR="00E67B89" w:rsidRPr="004C700A">
        <w:rPr>
          <w:rFonts w:asciiTheme="majorHAnsi" w:hAnsiTheme="majorHAnsi"/>
          <w:sz w:val="19"/>
          <w:szCs w:val="19"/>
          <w:lang w:val="es-ES"/>
        </w:rPr>
        <w:t xml:space="preserve"> estri</w:t>
      </w:r>
      <w:r w:rsidR="00BA7187" w:rsidRPr="004C700A">
        <w:rPr>
          <w:rFonts w:asciiTheme="majorHAnsi" w:hAnsiTheme="majorHAnsi"/>
          <w:sz w:val="19"/>
          <w:szCs w:val="19"/>
          <w:lang w:val="es-ES"/>
        </w:rPr>
        <w:t>c</w:t>
      </w:r>
      <w:r w:rsidR="00E67B89" w:rsidRPr="004C700A">
        <w:rPr>
          <w:rFonts w:asciiTheme="majorHAnsi" w:hAnsiTheme="majorHAnsi"/>
          <w:sz w:val="19"/>
          <w:szCs w:val="19"/>
          <w:lang w:val="es-ES"/>
        </w:rPr>
        <w:t xml:space="preserve">to </w:t>
      </w:r>
      <w:r w:rsidR="00BA7187" w:rsidRPr="004C700A">
        <w:rPr>
          <w:rFonts w:asciiTheme="majorHAnsi" w:hAnsiTheme="majorHAnsi"/>
          <w:sz w:val="19"/>
          <w:szCs w:val="19"/>
          <w:lang w:val="es-ES"/>
        </w:rPr>
        <w:t>cumplimento</w:t>
      </w:r>
      <w:r w:rsidR="00E67B89" w:rsidRPr="004C700A">
        <w:rPr>
          <w:rFonts w:asciiTheme="majorHAnsi" w:hAnsiTheme="majorHAnsi"/>
          <w:sz w:val="19"/>
          <w:szCs w:val="19"/>
          <w:lang w:val="es-ES"/>
        </w:rPr>
        <w:t xml:space="preserve"> de</w:t>
      </w:r>
      <w:r w:rsidR="00BA7187" w:rsidRPr="004C700A">
        <w:rPr>
          <w:rFonts w:asciiTheme="majorHAnsi" w:hAnsiTheme="majorHAnsi"/>
          <w:sz w:val="19"/>
          <w:szCs w:val="19"/>
          <w:lang w:val="es-ES"/>
        </w:rPr>
        <w:t>l</w:t>
      </w:r>
      <w:r w:rsidR="00E67B89" w:rsidRPr="004C700A">
        <w:rPr>
          <w:rFonts w:asciiTheme="majorHAnsi" w:hAnsiTheme="majorHAnsi"/>
          <w:sz w:val="19"/>
          <w:szCs w:val="19"/>
          <w:lang w:val="es-ES"/>
        </w:rPr>
        <w:t xml:space="preserve"> </w:t>
      </w:r>
      <w:r w:rsidR="00BA7187" w:rsidRPr="004C700A">
        <w:rPr>
          <w:rFonts w:asciiTheme="majorHAnsi" w:hAnsiTheme="majorHAnsi"/>
          <w:sz w:val="19"/>
          <w:szCs w:val="19"/>
          <w:lang w:val="es-ES"/>
        </w:rPr>
        <w:t>deber</w:t>
      </w:r>
      <w:r w:rsidR="00E67B89" w:rsidRPr="004C700A">
        <w:rPr>
          <w:rFonts w:asciiTheme="majorHAnsi" w:hAnsiTheme="majorHAnsi"/>
          <w:sz w:val="19"/>
          <w:szCs w:val="19"/>
          <w:lang w:val="es-ES"/>
        </w:rPr>
        <w:t xml:space="preserve"> legal.</w:t>
      </w:r>
      <w:r w:rsidR="004529D1" w:rsidRPr="004C700A">
        <w:rPr>
          <w:rFonts w:asciiTheme="majorHAnsi" w:hAnsiTheme="majorHAnsi"/>
          <w:sz w:val="19"/>
          <w:szCs w:val="19"/>
          <w:lang w:val="es-ES"/>
        </w:rPr>
        <w:t xml:space="preserve"> </w:t>
      </w:r>
      <w:r w:rsidR="00BA7187" w:rsidRPr="004C700A">
        <w:rPr>
          <w:rFonts w:asciiTheme="majorHAnsi" w:hAnsiTheme="majorHAnsi"/>
          <w:sz w:val="19"/>
          <w:szCs w:val="19"/>
          <w:lang w:val="es-ES"/>
        </w:rPr>
        <w:t>E</w:t>
      </w:r>
      <w:r w:rsidR="00134AB1" w:rsidRPr="004C700A">
        <w:rPr>
          <w:rFonts w:asciiTheme="majorHAnsi" w:hAnsiTheme="majorHAnsi"/>
          <w:sz w:val="19"/>
          <w:szCs w:val="19"/>
          <w:lang w:val="es-ES"/>
        </w:rPr>
        <w:t>l Ministerio Público</w:t>
      </w:r>
      <w:r w:rsidR="004529D1" w:rsidRPr="004C700A">
        <w:rPr>
          <w:rFonts w:asciiTheme="majorHAnsi" w:hAnsiTheme="majorHAnsi"/>
          <w:sz w:val="19"/>
          <w:szCs w:val="19"/>
          <w:lang w:val="es-ES"/>
        </w:rPr>
        <w:t xml:space="preserve"> </w:t>
      </w:r>
      <w:r w:rsidR="00BA7187" w:rsidRPr="004C700A">
        <w:rPr>
          <w:rFonts w:asciiTheme="majorHAnsi" w:hAnsiTheme="majorHAnsi"/>
          <w:sz w:val="19"/>
          <w:szCs w:val="19"/>
          <w:lang w:val="es-ES"/>
        </w:rPr>
        <w:t>interpuso un</w:t>
      </w:r>
      <w:r w:rsidR="004529D1" w:rsidRPr="004C700A">
        <w:rPr>
          <w:rFonts w:asciiTheme="majorHAnsi" w:hAnsiTheme="majorHAnsi"/>
          <w:sz w:val="19"/>
          <w:szCs w:val="19"/>
          <w:lang w:val="es-ES"/>
        </w:rPr>
        <w:t xml:space="preserve"> recurso e</w:t>
      </w:r>
      <w:r w:rsidR="00BA7187" w:rsidRPr="004C700A">
        <w:rPr>
          <w:rFonts w:asciiTheme="majorHAnsi" w:hAnsiTheme="majorHAnsi"/>
          <w:sz w:val="19"/>
          <w:szCs w:val="19"/>
          <w:lang w:val="es-ES"/>
        </w:rPr>
        <w:t>n</w:t>
      </w:r>
      <w:r w:rsidR="004529D1" w:rsidRPr="004C700A">
        <w:rPr>
          <w:rFonts w:asciiTheme="majorHAnsi" w:hAnsiTheme="majorHAnsi"/>
          <w:sz w:val="19"/>
          <w:szCs w:val="19"/>
          <w:lang w:val="es-ES"/>
        </w:rPr>
        <w:t xml:space="preserve"> sentido </w:t>
      </w:r>
      <w:r w:rsidR="00BA7187" w:rsidRPr="004C700A">
        <w:rPr>
          <w:rFonts w:asciiTheme="majorHAnsi" w:hAnsiTheme="majorHAnsi"/>
          <w:sz w:val="19"/>
          <w:szCs w:val="19"/>
          <w:lang w:val="es-ES"/>
        </w:rPr>
        <w:t>estricto</w:t>
      </w:r>
      <w:r w:rsidR="004529D1" w:rsidRPr="004C700A">
        <w:rPr>
          <w:rFonts w:asciiTheme="majorHAnsi" w:hAnsiTheme="majorHAnsi"/>
          <w:sz w:val="19"/>
          <w:szCs w:val="19"/>
          <w:lang w:val="es-ES"/>
        </w:rPr>
        <w:t xml:space="preserve"> e</w:t>
      </w:r>
      <w:r w:rsidR="00BA7187" w:rsidRPr="004C700A">
        <w:rPr>
          <w:rFonts w:asciiTheme="majorHAnsi" w:hAnsiTheme="majorHAnsi"/>
          <w:sz w:val="19"/>
          <w:szCs w:val="19"/>
          <w:lang w:val="es-ES"/>
        </w:rPr>
        <w:t>l</w:t>
      </w:r>
      <w:r w:rsidR="004529D1" w:rsidRPr="004C700A">
        <w:rPr>
          <w:rFonts w:asciiTheme="majorHAnsi" w:hAnsiTheme="majorHAnsi"/>
          <w:sz w:val="19"/>
          <w:szCs w:val="19"/>
          <w:lang w:val="es-ES"/>
        </w:rPr>
        <w:t xml:space="preserve"> 10 de </w:t>
      </w:r>
      <w:r w:rsidR="000F68FF" w:rsidRPr="004C700A">
        <w:rPr>
          <w:rFonts w:asciiTheme="majorHAnsi" w:hAnsiTheme="majorHAnsi"/>
          <w:sz w:val="19"/>
          <w:szCs w:val="19"/>
          <w:lang w:val="es-ES"/>
        </w:rPr>
        <w:t>julio</w:t>
      </w:r>
      <w:r w:rsidR="004529D1" w:rsidRPr="004C700A">
        <w:rPr>
          <w:rFonts w:asciiTheme="majorHAnsi" w:hAnsiTheme="majorHAnsi"/>
          <w:sz w:val="19"/>
          <w:szCs w:val="19"/>
          <w:lang w:val="es-ES"/>
        </w:rPr>
        <w:t xml:space="preserve"> de 2007</w:t>
      </w:r>
      <w:r w:rsidR="00BA7187" w:rsidRPr="004C700A">
        <w:rPr>
          <w:rFonts w:asciiTheme="majorHAnsi" w:hAnsiTheme="majorHAnsi"/>
          <w:sz w:val="19"/>
          <w:szCs w:val="19"/>
          <w:lang w:val="es-ES"/>
        </w:rPr>
        <w:t xml:space="preserve"> para </w:t>
      </w:r>
      <w:r w:rsidR="00D71E30" w:rsidRPr="004C700A">
        <w:rPr>
          <w:rFonts w:asciiTheme="majorHAnsi" w:hAnsiTheme="majorHAnsi"/>
          <w:sz w:val="19"/>
          <w:szCs w:val="19"/>
          <w:lang w:val="es-ES"/>
        </w:rPr>
        <w:t xml:space="preserve">pedir </w:t>
      </w:r>
      <w:r w:rsidR="00BA7187" w:rsidRPr="004C700A">
        <w:rPr>
          <w:rFonts w:asciiTheme="majorHAnsi" w:hAnsiTheme="majorHAnsi"/>
          <w:sz w:val="19"/>
          <w:szCs w:val="19"/>
          <w:lang w:val="es-ES"/>
        </w:rPr>
        <w:t>que no se aplicaran las excluyentes</w:t>
      </w:r>
      <w:r w:rsidR="004529D1" w:rsidRPr="004C700A">
        <w:rPr>
          <w:rFonts w:asciiTheme="majorHAnsi" w:hAnsiTheme="majorHAnsi"/>
          <w:sz w:val="19"/>
          <w:szCs w:val="19"/>
          <w:lang w:val="es-ES"/>
        </w:rPr>
        <w:t xml:space="preserve"> de </w:t>
      </w:r>
      <w:r w:rsidR="00BA7187" w:rsidRPr="004C700A">
        <w:rPr>
          <w:rFonts w:asciiTheme="majorHAnsi" w:hAnsiTheme="majorHAnsi"/>
          <w:sz w:val="19"/>
          <w:szCs w:val="19"/>
          <w:lang w:val="es-ES"/>
        </w:rPr>
        <w:t>ilicitud</w:t>
      </w:r>
      <w:r w:rsidR="004529D1" w:rsidRPr="004C700A">
        <w:rPr>
          <w:rFonts w:asciiTheme="majorHAnsi" w:hAnsiTheme="majorHAnsi"/>
          <w:sz w:val="19"/>
          <w:szCs w:val="19"/>
          <w:lang w:val="es-ES"/>
        </w:rPr>
        <w:t xml:space="preserve"> </w:t>
      </w:r>
      <w:r w:rsidR="00BA7187" w:rsidRPr="004C700A">
        <w:rPr>
          <w:rFonts w:asciiTheme="majorHAnsi" w:hAnsiTheme="majorHAnsi"/>
          <w:sz w:val="19"/>
          <w:szCs w:val="19"/>
          <w:lang w:val="es-ES"/>
        </w:rPr>
        <w:t>y</w:t>
      </w:r>
      <w:r w:rsidR="004529D1" w:rsidRPr="004C700A">
        <w:rPr>
          <w:rFonts w:asciiTheme="majorHAnsi" w:hAnsiTheme="majorHAnsi"/>
          <w:sz w:val="19"/>
          <w:szCs w:val="19"/>
          <w:lang w:val="es-ES"/>
        </w:rPr>
        <w:t xml:space="preserve"> </w:t>
      </w:r>
      <w:r w:rsidR="00D71E30" w:rsidRPr="004C700A">
        <w:rPr>
          <w:rFonts w:asciiTheme="majorHAnsi" w:hAnsiTheme="majorHAnsi"/>
          <w:sz w:val="19"/>
          <w:szCs w:val="19"/>
          <w:lang w:val="es-ES"/>
        </w:rPr>
        <w:t>prob</w:t>
      </w:r>
      <w:r w:rsidR="004529D1" w:rsidRPr="004C700A">
        <w:rPr>
          <w:rFonts w:asciiTheme="majorHAnsi" w:hAnsiTheme="majorHAnsi"/>
          <w:sz w:val="19"/>
          <w:szCs w:val="19"/>
          <w:lang w:val="es-ES"/>
        </w:rPr>
        <w:t xml:space="preserve">ar </w:t>
      </w:r>
      <w:r w:rsidR="00BA7187" w:rsidRPr="004C700A">
        <w:rPr>
          <w:rFonts w:asciiTheme="majorHAnsi" w:hAnsiTheme="majorHAnsi"/>
          <w:sz w:val="19"/>
          <w:szCs w:val="19"/>
          <w:lang w:val="es-ES"/>
        </w:rPr>
        <w:t>el</w:t>
      </w:r>
      <w:r w:rsidR="004529D1" w:rsidRPr="004C700A">
        <w:rPr>
          <w:rFonts w:asciiTheme="majorHAnsi" w:hAnsiTheme="majorHAnsi"/>
          <w:sz w:val="19"/>
          <w:szCs w:val="19"/>
          <w:lang w:val="es-ES"/>
        </w:rPr>
        <w:t xml:space="preserve"> exceso </w:t>
      </w:r>
      <w:r w:rsidR="00BA7187" w:rsidRPr="004C700A">
        <w:rPr>
          <w:rFonts w:asciiTheme="majorHAnsi" w:hAnsiTheme="majorHAnsi"/>
          <w:sz w:val="19"/>
          <w:szCs w:val="19"/>
          <w:lang w:val="es-ES"/>
        </w:rPr>
        <w:t xml:space="preserve">punible, </w:t>
      </w:r>
      <w:r w:rsidR="003935B7" w:rsidRPr="004C700A">
        <w:rPr>
          <w:rFonts w:asciiTheme="majorHAnsi" w:hAnsiTheme="majorHAnsi"/>
          <w:sz w:val="19"/>
          <w:szCs w:val="19"/>
          <w:lang w:val="es-ES"/>
        </w:rPr>
        <w:t>pedido</w:t>
      </w:r>
      <w:r w:rsidR="004D5D4E" w:rsidRPr="004C700A">
        <w:rPr>
          <w:rFonts w:asciiTheme="majorHAnsi" w:hAnsiTheme="majorHAnsi"/>
          <w:sz w:val="19"/>
          <w:szCs w:val="19"/>
          <w:lang w:val="es-ES"/>
        </w:rPr>
        <w:t xml:space="preserve"> </w:t>
      </w:r>
      <w:r w:rsidR="00BA7187" w:rsidRPr="004C700A">
        <w:rPr>
          <w:rFonts w:asciiTheme="majorHAnsi" w:hAnsiTheme="majorHAnsi"/>
          <w:sz w:val="19"/>
          <w:szCs w:val="19"/>
          <w:lang w:val="es-ES"/>
        </w:rPr>
        <w:t>que fue de</w:t>
      </w:r>
      <w:r w:rsidR="004529D1" w:rsidRPr="004C700A">
        <w:rPr>
          <w:rFonts w:asciiTheme="majorHAnsi" w:hAnsiTheme="majorHAnsi"/>
          <w:sz w:val="19"/>
          <w:szCs w:val="19"/>
          <w:lang w:val="es-ES"/>
        </w:rPr>
        <w:t>negado e</w:t>
      </w:r>
      <w:r w:rsidR="00BA7187" w:rsidRPr="004C700A">
        <w:rPr>
          <w:rFonts w:asciiTheme="majorHAnsi" w:hAnsiTheme="majorHAnsi"/>
          <w:sz w:val="19"/>
          <w:szCs w:val="19"/>
          <w:lang w:val="es-ES"/>
        </w:rPr>
        <w:t>l</w:t>
      </w:r>
      <w:r w:rsidR="004529D1" w:rsidRPr="004C700A">
        <w:rPr>
          <w:rFonts w:asciiTheme="majorHAnsi" w:hAnsiTheme="majorHAnsi"/>
          <w:sz w:val="19"/>
          <w:szCs w:val="19"/>
          <w:lang w:val="es-ES"/>
        </w:rPr>
        <w:t xml:space="preserve"> 10 de abril de 2008. Para </w:t>
      </w:r>
      <w:r w:rsidR="00134AB1" w:rsidRPr="004C700A">
        <w:rPr>
          <w:rFonts w:asciiTheme="majorHAnsi" w:hAnsiTheme="majorHAnsi"/>
          <w:sz w:val="19"/>
          <w:szCs w:val="19"/>
          <w:lang w:val="es-ES"/>
        </w:rPr>
        <w:t>las peticionarias</w:t>
      </w:r>
      <w:r w:rsidR="004529D1" w:rsidRPr="004C700A">
        <w:rPr>
          <w:rFonts w:asciiTheme="majorHAnsi" w:hAnsiTheme="majorHAnsi"/>
          <w:sz w:val="19"/>
          <w:szCs w:val="19"/>
          <w:lang w:val="es-ES"/>
        </w:rPr>
        <w:t xml:space="preserve">, </w:t>
      </w:r>
      <w:r w:rsidR="00BA7187" w:rsidRPr="004C700A">
        <w:rPr>
          <w:rFonts w:asciiTheme="majorHAnsi" w:hAnsiTheme="majorHAnsi"/>
          <w:sz w:val="19"/>
          <w:szCs w:val="19"/>
          <w:lang w:val="es-ES"/>
        </w:rPr>
        <w:t>el</w:t>
      </w:r>
      <w:r w:rsidR="0015214B" w:rsidRPr="004C700A">
        <w:rPr>
          <w:rFonts w:asciiTheme="majorHAnsi" w:hAnsiTheme="majorHAnsi"/>
          <w:sz w:val="19"/>
          <w:szCs w:val="19"/>
          <w:lang w:val="es-ES"/>
        </w:rPr>
        <w:t xml:space="preserve"> resultado d</w:t>
      </w:r>
      <w:r w:rsidR="00BA7187" w:rsidRPr="004C700A">
        <w:rPr>
          <w:rFonts w:asciiTheme="majorHAnsi" w:hAnsiTheme="majorHAnsi"/>
          <w:sz w:val="19"/>
          <w:szCs w:val="19"/>
          <w:lang w:val="es-ES"/>
        </w:rPr>
        <w:t>e l</w:t>
      </w:r>
      <w:r w:rsidR="0015214B" w:rsidRPr="004C700A">
        <w:rPr>
          <w:rFonts w:asciiTheme="majorHAnsi" w:hAnsiTheme="majorHAnsi"/>
          <w:sz w:val="19"/>
          <w:szCs w:val="19"/>
          <w:lang w:val="es-ES"/>
        </w:rPr>
        <w:t>a a</w:t>
      </w:r>
      <w:r w:rsidR="00BA7187" w:rsidRPr="004C700A">
        <w:rPr>
          <w:rFonts w:asciiTheme="majorHAnsi" w:hAnsiTheme="majorHAnsi"/>
          <w:sz w:val="19"/>
          <w:szCs w:val="19"/>
          <w:lang w:val="es-ES"/>
        </w:rPr>
        <w:t>cción</w:t>
      </w:r>
      <w:r w:rsidR="0015214B" w:rsidRPr="004C700A">
        <w:rPr>
          <w:rFonts w:asciiTheme="majorHAnsi" w:hAnsiTheme="majorHAnsi"/>
          <w:sz w:val="19"/>
          <w:szCs w:val="19"/>
          <w:lang w:val="es-ES"/>
        </w:rPr>
        <w:t xml:space="preserve"> penal </w:t>
      </w:r>
      <w:r w:rsidR="00BA7187" w:rsidRPr="004C700A">
        <w:rPr>
          <w:rFonts w:asciiTheme="majorHAnsi" w:hAnsiTheme="majorHAnsi"/>
          <w:sz w:val="19"/>
          <w:szCs w:val="19"/>
          <w:lang w:val="es-ES"/>
        </w:rPr>
        <w:t>es un reflejo de l</w:t>
      </w:r>
      <w:r w:rsidR="0015214B" w:rsidRPr="004C700A">
        <w:rPr>
          <w:rFonts w:asciiTheme="majorHAnsi" w:hAnsiTheme="majorHAnsi"/>
          <w:sz w:val="19"/>
          <w:szCs w:val="19"/>
          <w:lang w:val="es-ES"/>
        </w:rPr>
        <w:t xml:space="preserve">a </w:t>
      </w:r>
      <w:r w:rsidR="00BA7187" w:rsidRPr="004C700A">
        <w:rPr>
          <w:rFonts w:asciiTheme="majorHAnsi" w:hAnsiTheme="majorHAnsi"/>
          <w:sz w:val="19"/>
          <w:szCs w:val="19"/>
          <w:lang w:val="es-ES"/>
        </w:rPr>
        <w:t>connivencia</w:t>
      </w:r>
      <w:r w:rsidR="0015214B" w:rsidRPr="004C700A">
        <w:rPr>
          <w:rFonts w:asciiTheme="majorHAnsi" w:hAnsiTheme="majorHAnsi"/>
          <w:sz w:val="19"/>
          <w:szCs w:val="19"/>
          <w:lang w:val="es-ES"/>
        </w:rPr>
        <w:t xml:space="preserve"> d</w:t>
      </w:r>
      <w:r w:rsidR="00BA7187" w:rsidRPr="004C700A">
        <w:rPr>
          <w:rFonts w:asciiTheme="majorHAnsi" w:hAnsiTheme="majorHAnsi"/>
          <w:sz w:val="19"/>
          <w:szCs w:val="19"/>
          <w:lang w:val="es-ES"/>
        </w:rPr>
        <w:t>el</w:t>
      </w:r>
      <w:r w:rsidR="0015214B" w:rsidRPr="004C700A">
        <w:rPr>
          <w:rFonts w:asciiTheme="majorHAnsi" w:hAnsiTheme="majorHAnsi"/>
          <w:sz w:val="19"/>
          <w:szCs w:val="19"/>
          <w:lang w:val="es-ES"/>
        </w:rPr>
        <w:t xml:space="preserve"> Poder Judici</w:t>
      </w:r>
      <w:r w:rsidR="00F47567" w:rsidRPr="004C700A">
        <w:rPr>
          <w:rFonts w:asciiTheme="majorHAnsi" w:hAnsiTheme="majorHAnsi"/>
          <w:sz w:val="19"/>
          <w:szCs w:val="19"/>
          <w:lang w:val="es-ES"/>
        </w:rPr>
        <w:t xml:space="preserve">al </w:t>
      </w:r>
      <w:r w:rsidR="00BA7187" w:rsidRPr="004C700A">
        <w:rPr>
          <w:rFonts w:asciiTheme="majorHAnsi" w:hAnsiTheme="majorHAnsi"/>
          <w:sz w:val="19"/>
          <w:szCs w:val="19"/>
          <w:lang w:val="es-ES"/>
        </w:rPr>
        <w:t xml:space="preserve">con respecto al </w:t>
      </w:r>
      <w:r w:rsidR="0015214B" w:rsidRPr="004C700A">
        <w:rPr>
          <w:rFonts w:asciiTheme="majorHAnsi" w:hAnsiTheme="majorHAnsi"/>
          <w:sz w:val="19"/>
          <w:szCs w:val="19"/>
          <w:lang w:val="es-ES"/>
        </w:rPr>
        <w:t xml:space="preserve">uso </w:t>
      </w:r>
      <w:r w:rsidR="00BA7187" w:rsidRPr="004C700A">
        <w:rPr>
          <w:rFonts w:asciiTheme="majorHAnsi" w:hAnsiTheme="majorHAnsi"/>
          <w:sz w:val="19"/>
          <w:szCs w:val="19"/>
          <w:lang w:val="es-ES"/>
        </w:rPr>
        <w:t>excesivo</w:t>
      </w:r>
      <w:r w:rsidR="0015214B" w:rsidRPr="004C700A">
        <w:rPr>
          <w:rFonts w:asciiTheme="majorHAnsi" w:hAnsiTheme="majorHAnsi"/>
          <w:sz w:val="19"/>
          <w:szCs w:val="19"/>
          <w:lang w:val="es-ES"/>
        </w:rPr>
        <w:t xml:space="preserve"> d</w:t>
      </w:r>
      <w:r w:rsidR="005E7E21" w:rsidRPr="004C700A">
        <w:rPr>
          <w:rFonts w:asciiTheme="majorHAnsi" w:hAnsiTheme="majorHAnsi"/>
          <w:sz w:val="19"/>
          <w:szCs w:val="19"/>
          <w:lang w:val="es-ES"/>
        </w:rPr>
        <w:t>e</w:t>
      </w:r>
      <w:r w:rsidR="0015214B" w:rsidRPr="004C700A">
        <w:rPr>
          <w:rFonts w:asciiTheme="majorHAnsi" w:hAnsiTheme="majorHAnsi"/>
          <w:sz w:val="19"/>
          <w:szCs w:val="19"/>
          <w:lang w:val="es-ES"/>
        </w:rPr>
        <w:t xml:space="preserve"> f</w:t>
      </w:r>
      <w:r w:rsidR="00BA7187" w:rsidRPr="004C700A">
        <w:rPr>
          <w:rFonts w:asciiTheme="majorHAnsi" w:hAnsiTheme="majorHAnsi"/>
          <w:sz w:val="19"/>
          <w:szCs w:val="19"/>
          <w:lang w:val="es-ES"/>
        </w:rPr>
        <w:t>uerza</w:t>
      </w:r>
      <w:r w:rsidR="0015214B" w:rsidRPr="004C700A">
        <w:rPr>
          <w:rFonts w:asciiTheme="majorHAnsi" w:hAnsiTheme="majorHAnsi"/>
          <w:sz w:val="19"/>
          <w:szCs w:val="19"/>
          <w:lang w:val="es-ES"/>
        </w:rPr>
        <w:t xml:space="preserve"> letal por </w:t>
      </w:r>
      <w:r w:rsidR="00BA7187" w:rsidRPr="004C700A">
        <w:rPr>
          <w:rFonts w:asciiTheme="majorHAnsi" w:hAnsiTheme="majorHAnsi"/>
          <w:sz w:val="19"/>
          <w:szCs w:val="19"/>
          <w:lang w:val="es-ES"/>
        </w:rPr>
        <w:t>la policía</w:t>
      </w:r>
      <w:r w:rsidR="0015214B" w:rsidRPr="004C700A">
        <w:rPr>
          <w:rFonts w:asciiTheme="majorHAnsi" w:hAnsiTheme="majorHAnsi"/>
          <w:sz w:val="19"/>
          <w:szCs w:val="19"/>
          <w:lang w:val="es-ES"/>
        </w:rPr>
        <w:t xml:space="preserve"> brasile</w:t>
      </w:r>
      <w:r w:rsidR="00BA7187" w:rsidRPr="004C700A">
        <w:rPr>
          <w:rFonts w:asciiTheme="majorHAnsi" w:hAnsiTheme="majorHAnsi"/>
          <w:sz w:val="19"/>
          <w:szCs w:val="19"/>
          <w:lang w:val="es-ES"/>
        </w:rPr>
        <w:t>ña</w:t>
      </w:r>
      <w:r w:rsidR="0015214B" w:rsidRPr="004C700A">
        <w:rPr>
          <w:rFonts w:asciiTheme="majorHAnsi" w:hAnsiTheme="majorHAnsi"/>
          <w:sz w:val="19"/>
          <w:szCs w:val="19"/>
          <w:lang w:val="es-ES"/>
        </w:rPr>
        <w:t>.</w:t>
      </w:r>
    </w:p>
    <w:p w14:paraId="77CB80AE" w14:textId="5FCD0AB5" w:rsidR="0015214B" w:rsidRPr="004C700A" w:rsidRDefault="00D71E30"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 xml:space="preserve">Las peticionarias </w:t>
      </w:r>
      <w:r w:rsidR="00F47567" w:rsidRPr="004C700A">
        <w:rPr>
          <w:rFonts w:asciiTheme="majorHAnsi" w:hAnsiTheme="majorHAnsi"/>
          <w:sz w:val="19"/>
          <w:szCs w:val="19"/>
          <w:lang w:val="es-ES"/>
        </w:rPr>
        <w:t>informan</w:t>
      </w:r>
      <w:r w:rsidR="009A09A5" w:rsidRPr="004C700A">
        <w:rPr>
          <w:rFonts w:asciiTheme="majorHAnsi" w:hAnsiTheme="majorHAnsi"/>
          <w:sz w:val="19"/>
          <w:szCs w:val="19"/>
          <w:lang w:val="es-ES"/>
        </w:rPr>
        <w:t xml:space="preserve"> que</w:t>
      </w:r>
      <w:r w:rsidR="00BA7187" w:rsidRPr="004C700A">
        <w:rPr>
          <w:rFonts w:asciiTheme="majorHAnsi" w:hAnsiTheme="majorHAnsi"/>
          <w:sz w:val="19"/>
          <w:szCs w:val="19"/>
          <w:lang w:val="es-ES"/>
        </w:rPr>
        <w:t xml:space="preserve">, </w:t>
      </w:r>
      <w:r w:rsidRPr="004C700A">
        <w:rPr>
          <w:rFonts w:asciiTheme="majorHAnsi" w:hAnsiTheme="majorHAnsi"/>
          <w:sz w:val="19"/>
          <w:szCs w:val="19"/>
          <w:lang w:val="es-ES"/>
        </w:rPr>
        <w:t xml:space="preserve">en el ámbito administrativo, </w:t>
      </w:r>
      <w:r w:rsidR="00BA7187" w:rsidRPr="004C700A">
        <w:rPr>
          <w:rFonts w:asciiTheme="majorHAnsi" w:hAnsiTheme="majorHAnsi"/>
          <w:sz w:val="19"/>
          <w:szCs w:val="19"/>
          <w:lang w:val="es-ES"/>
        </w:rPr>
        <w:t xml:space="preserve">la </w:t>
      </w:r>
      <w:r w:rsidR="009A09A5" w:rsidRPr="004C700A">
        <w:rPr>
          <w:rFonts w:asciiTheme="majorHAnsi" w:hAnsiTheme="majorHAnsi"/>
          <w:sz w:val="19"/>
          <w:szCs w:val="19"/>
          <w:lang w:val="es-ES"/>
        </w:rPr>
        <w:t>Polic</w:t>
      </w:r>
      <w:r w:rsidR="00BA7187" w:rsidRPr="004C700A">
        <w:rPr>
          <w:rFonts w:asciiTheme="majorHAnsi" w:hAnsiTheme="majorHAnsi"/>
          <w:sz w:val="19"/>
          <w:szCs w:val="19"/>
          <w:lang w:val="es-ES"/>
        </w:rPr>
        <w:t>ía</w:t>
      </w:r>
      <w:r w:rsidR="009A09A5" w:rsidRPr="004C700A">
        <w:rPr>
          <w:rFonts w:asciiTheme="majorHAnsi" w:hAnsiTheme="majorHAnsi"/>
          <w:sz w:val="19"/>
          <w:szCs w:val="19"/>
          <w:lang w:val="es-ES"/>
        </w:rPr>
        <w:t xml:space="preserve"> Militar </w:t>
      </w:r>
      <w:r w:rsidR="00BA7187" w:rsidRPr="004C700A">
        <w:rPr>
          <w:rFonts w:asciiTheme="majorHAnsi" w:hAnsiTheme="majorHAnsi"/>
          <w:sz w:val="19"/>
          <w:szCs w:val="19"/>
          <w:lang w:val="es-ES"/>
        </w:rPr>
        <w:t>inició una investigación</w:t>
      </w:r>
      <w:r w:rsidR="00C119D1" w:rsidRPr="004C700A">
        <w:rPr>
          <w:rFonts w:asciiTheme="majorHAnsi" w:hAnsiTheme="majorHAnsi"/>
          <w:sz w:val="19"/>
          <w:szCs w:val="19"/>
          <w:lang w:val="es-ES"/>
        </w:rPr>
        <w:t xml:space="preserve"> al día siguiente de los hechos</w:t>
      </w:r>
      <w:r w:rsidR="00BA7187" w:rsidRPr="004C700A">
        <w:rPr>
          <w:rFonts w:asciiTheme="majorHAnsi" w:hAnsiTheme="majorHAnsi"/>
          <w:sz w:val="19"/>
          <w:szCs w:val="19"/>
          <w:lang w:val="es-ES"/>
        </w:rPr>
        <w:t xml:space="preserve"> sobre la base de las declaraciones tomadas a</w:t>
      </w:r>
      <w:r w:rsidR="009A09A5" w:rsidRPr="004C700A">
        <w:rPr>
          <w:rFonts w:asciiTheme="majorHAnsi" w:hAnsiTheme="majorHAnsi"/>
          <w:sz w:val="19"/>
          <w:szCs w:val="19"/>
          <w:lang w:val="es-ES"/>
        </w:rPr>
        <w:t xml:space="preserve"> todos </w:t>
      </w:r>
      <w:r w:rsidR="00F47567" w:rsidRPr="004C700A">
        <w:rPr>
          <w:rFonts w:asciiTheme="majorHAnsi" w:hAnsiTheme="majorHAnsi"/>
          <w:sz w:val="19"/>
          <w:szCs w:val="19"/>
          <w:lang w:val="es-ES"/>
        </w:rPr>
        <w:t>l</w:t>
      </w:r>
      <w:r w:rsidR="009A09A5" w:rsidRPr="004C700A">
        <w:rPr>
          <w:rFonts w:asciiTheme="majorHAnsi" w:hAnsiTheme="majorHAnsi"/>
          <w:sz w:val="19"/>
          <w:szCs w:val="19"/>
          <w:lang w:val="es-ES"/>
        </w:rPr>
        <w:t xml:space="preserve">os </w:t>
      </w:r>
      <w:r w:rsidR="00F47567" w:rsidRPr="004C700A">
        <w:rPr>
          <w:rFonts w:asciiTheme="majorHAnsi" w:hAnsiTheme="majorHAnsi"/>
          <w:sz w:val="19"/>
          <w:szCs w:val="19"/>
          <w:lang w:val="es-ES"/>
        </w:rPr>
        <w:t xml:space="preserve">agentes de policía involucrados y </w:t>
      </w:r>
      <w:r w:rsidR="00BA7187" w:rsidRPr="004C700A">
        <w:rPr>
          <w:rFonts w:asciiTheme="majorHAnsi" w:hAnsiTheme="majorHAnsi"/>
          <w:sz w:val="19"/>
          <w:szCs w:val="19"/>
          <w:lang w:val="es-ES"/>
        </w:rPr>
        <w:t xml:space="preserve">a los testigos. En el informe </w:t>
      </w:r>
      <w:r w:rsidR="00A6705B" w:rsidRPr="004C700A">
        <w:rPr>
          <w:rFonts w:asciiTheme="majorHAnsi" w:hAnsiTheme="majorHAnsi"/>
          <w:sz w:val="19"/>
          <w:szCs w:val="19"/>
          <w:lang w:val="es-ES"/>
        </w:rPr>
        <w:t>publi</w:t>
      </w:r>
      <w:r w:rsidR="00765C9E" w:rsidRPr="004C700A">
        <w:rPr>
          <w:rFonts w:asciiTheme="majorHAnsi" w:hAnsiTheme="majorHAnsi"/>
          <w:sz w:val="19"/>
          <w:szCs w:val="19"/>
          <w:lang w:val="es-ES"/>
        </w:rPr>
        <w:t xml:space="preserve">cado </w:t>
      </w:r>
      <w:r w:rsidR="00BA7187" w:rsidRPr="004C700A">
        <w:rPr>
          <w:rFonts w:asciiTheme="majorHAnsi" w:hAnsiTheme="majorHAnsi"/>
          <w:sz w:val="19"/>
          <w:szCs w:val="19"/>
          <w:lang w:val="es-ES"/>
        </w:rPr>
        <w:t xml:space="preserve">el </w:t>
      </w:r>
      <w:r w:rsidR="00765C9E" w:rsidRPr="004C700A">
        <w:rPr>
          <w:rFonts w:asciiTheme="majorHAnsi" w:hAnsiTheme="majorHAnsi"/>
          <w:sz w:val="19"/>
          <w:szCs w:val="19"/>
          <w:lang w:val="es-ES"/>
        </w:rPr>
        <w:t xml:space="preserve">16 de </w:t>
      </w:r>
      <w:r w:rsidR="00C44F5F" w:rsidRPr="004C700A">
        <w:rPr>
          <w:rFonts w:asciiTheme="majorHAnsi" w:hAnsiTheme="majorHAnsi"/>
          <w:sz w:val="19"/>
          <w:szCs w:val="19"/>
          <w:lang w:val="es-ES"/>
        </w:rPr>
        <w:t>mayo</w:t>
      </w:r>
      <w:r w:rsidR="00765C9E" w:rsidRPr="004C700A">
        <w:rPr>
          <w:rFonts w:asciiTheme="majorHAnsi" w:hAnsiTheme="majorHAnsi"/>
          <w:sz w:val="19"/>
          <w:szCs w:val="19"/>
          <w:lang w:val="es-ES"/>
        </w:rPr>
        <w:t xml:space="preserve"> de 2006 tampoco </w:t>
      </w:r>
      <w:r w:rsidR="00BA7187" w:rsidRPr="004C700A">
        <w:rPr>
          <w:rFonts w:asciiTheme="majorHAnsi" w:hAnsiTheme="majorHAnsi"/>
          <w:sz w:val="19"/>
          <w:szCs w:val="19"/>
          <w:lang w:val="es-ES"/>
        </w:rPr>
        <w:t>se indicó transgresión alguna de los agentes de policía</w:t>
      </w:r>
      <w:r w:rsidR="00765C9E" w:rsidRPr="004C700A">
        <w:rPr>
          <w:rFonts w:asciiTheme="majorHAnsi" w:hAnsiTheme="majorHAnsi"/>
          <w:sz w:val="19"/>
          <w:szCs w:val="19"/>
          <w:lang w:val="es-ES"/>
        </w:rPr>
        <w:t xml:space="preserve">. </w:t>
      </w:r>
      <w:r w:rsidR="00BA7187" w:rsidRPr="004C700A">
        <w:rPr>
          <w:rFonts w:asciiTheme="majorHAnsi" w:hAnsiTheme="majorHAnsi"/>
          <w:sz w:val="19"/>
          <w:szCs w:val="19"/>
          <w:lang w:val="es-ES"/>
        </w:rPr>
        <w:t>El c</w:t>
      </w:r>
      <w:r w:rsidR="00765C9E" w:rsidRPr="004C700A">
        <w:rPr>
          <w:rFonts w:asciiTheme="majorHAnsi" w:hAnsiTheme="majorHAnsi"/>
          <w:sz w:val="19"/>
          <w:szCs w:val="19"/>
          <w:lang w:val="es-ES"/>
        </w:rPr>
        <w:t xml:space="preserve">oronel </w:t>
      </w:r>
      <w:r w:rsidR="00CB083E" w:rsidRPr="004C700A">
        <w:rPr>
          <w:rFonts w:asciiTheme="majorHAnsi" w:hAnsiTheme="majorHAnsi"/>
          <w:sz w:val="19"/>
          <w:szCs w:val="19"/>
          <w:lang w:val="es-ES"/>
        </w:rPr>
        <w:t xml:space="preserve">de la </w:t>
      </w:r>
      <w:r w:rsidR="00765C9E" w:rsidRPr="004C700A">
        <w:rPr>
          <w:rFonts w:asciiTheme="majorHAnsi" w:hAnsiTheme="majorHAnsi"/>
          <w:sz w:val="19"/>
          <w:szCs w:val="19"/>
          <w:lang w:val="es-ES"/>
        </w:rPr>
        <w:t>Polic</w:t>
      </w:r>
      <w:r w:rsidR="00CB083E" w:rsidRPr="004C700A">
        <w:rPr>
          <w:rFonts w:asciiTheme="majorHAnsi" w:hAnsiTheme="majorHAnsi"/>
          <w:sz w:val="19"/>
          <w:szCs w:val="19"/>
          <w:lang w:val="es-ES"/>
        </w:rPr>
        <w:t xml:space="preserve">ía </w:t>
      </w:r>
      <w:r w:rsidR="00765C9E" w:rsidRPr="004C700A">
        <w:rPr>
          <w:rFonts w:asciiTheme="majorHAnsi" w:hAnsiTheme="majorHAnsi"/>
          <w:sz w:val="19"/>
          <w:szCs w:val="19"/>
          <w:lang w:val="es-ES"/>
        </w:rPr>
        <w:t xml:space="preserve">Militar </w:t>
      </w:r>
      <w:r w:rsidR="00CB083E" w:rsidRPr="004C700A">
        <w:rPr>
          <w:rFonts w:asciiTheme="majorHAnsi" w:hAnsiTheme="majorHAnsi"/>
          <w:sz w:val="19"/>
          <w:szCs w:val="19"/>
          <w:lang w:val="es-ES"/>
        </w:rPr>
        <w:t xml:space="preserve">que </w:t>
      </w:r>
      <w:r w:rsidR="00C119D1" w:rsidRPr="004C700A">
        <w:rPr>
          <w:rFonts w:asciiTheme="majorHAnsi" w:hAnsiTheme="majorHAnsi"/>
          <w:sz w:val="19"/>
          <w:szCs w:val="19"/>
          <w:lang w:val="es-ES"/>
        </w:rPr>
        <w:t xml:space="preserve">estaba a cargo de </w:t>
      </w:r>
      <w:r w:rsidR="00CB083E" w:rsidRPr="004C700A">
        <w:rPr>
          <w:rFonts w:asciiTheme="majorHAnsi" w:hAnsiTheme="majorHAnsi"/>
          <w:sz w:val="19"/>
          <w:szCs w:val="19"/>
          <w:lang w:val="es-ES"/>
        </w:rPr>
        <w:t>la c</w:t>
      </w:r>
      <w:r w:rsidR="00765C9E" w:rsidRPr="004C700A">
        <w:rPr>
          <w:rFonts w:asciiTheme="majorHAnsi" w:hAnsiTheme="majorHAnsi"/>
          <w:sz w:val="19"/>
          <w:szCs w:val="19"/>
          <w:lang w:val="es-ES"/>
        </w:rPr>
        <w:t>omandan</w:t>
      </w:r>
      <w:r w:rsidR="00CB083E" w:rsidRPr="004C700A">
        <w:rPr>
          <w:rFonts w:asciiTheme="majorHAnsi" w:hAnsiTheme="majorHAnsi"/>
          <w:sz w:val="19"/>
          <w:szCs w:val="19"/>
          <w:lang w:val="es-ES"/>
        </w:rPr>
        <w:t>cia</w:t>
      </w:r>
      <w:r w:rsidR="00765C9E" w:rsidRPr="004C700A">
        <w:rPr>
          <w:rFonts w:asciiTheme="majorHAnsi" w:hAnsiTheme="majorHAnsi"/>
          <w:sz w:val="19"/>
          <w:szCs w:val="19"/>
          <w:lang w:val="es-ES"/>
        </w:rPr>
        <w:t xml:space="preserve"> d</w:t>
      </w:r>
      <w:r w:rsidR="00CB083E" w:rsidRPr="004C700A">
        <w:rPr>
          <w:rFonts w:asciiTheme="majorHAnsi" w:hAnsiTheme="majorHAnsi"/>
          <w:sz w:val="19"/>
          <w:szCs w:val="19"/>
          <w:lang w:val="es-ES"/>
        </w:rPr>
        <w:t>e la zona</w:t>
      </w:r>
      <w:r w:rsidR="00765C9E" w:rsidRPr="004C700A">
        <w:rPr>
          <w:rFonts w:asciiTheme="majorHAnsi" w:hAnsiTheme="majorHAnsi"/>
          <w:sz w:val="19"/>
          <w:szCs w:val="19"/>
          <w:lang w:val="es-ES"/>
        </w:rPr>
        <w:t xml:space="preserve"> metropolitana de São Paulo </w:t>
      </w:r>
      <w:r w:rsidR="00CB083E" w:rsidRPr="004C700A">
        <w:rPr>
          <w:rFonts w:asciiTheme="majorHAnsi" w:hAnsiTheme="majorHAnsi"/>
          <w:sz w:val="19"/>
          <w:szCs w:val="19"/>
          <w:lang w:val="es-ES"/>
        </w:rPr>
        <w:t>recibió el informe el</w:t>
      </w:r>
      <w:r w:rsidR="00765C9E" w:rsidRPr="004C700A">
        <w:rPr>
          <w:rFonts w:asciiTheme="majorHAnsi" w:hAnsiTheme="majorHAnsi"/>
          <w:sz w:val="19"/>
          <w:szCs w:val="19"/>
          <w:lang w:val="es-ES"/>
        </w:rPr>
        <w:t xml:space="preserve"> 29 de </w:t>
      </w:r>
      <w:r w:rsidR="00C44F5F" w:rsidRPr="004C700A">
        <w:rPr>
          <w:rFonts w:asciiTheme="majorHAnsi" w:hAnsiTheme="majorHAnsi"/>
          <w:sz w:val="19"/>
          <w:szCs w:val="19"/>
          <w:lang w:val="es-ES"/>
        </w:rPr>
        <w:t>mayo</w:t>
      </w:r>
      <w:r w:rsidR="00765C9E" w:rsidRPr="004C700A">
        <w:rPr>
          <w:rFonts w:asciiTheme="majorHAnsi" w:hAnsiTheme="majorHAnsi"/>
          <w:sz w:val="19"/>
          <w:szCs w:val="19"/>
          <w:lang w:val="es-ES"/>
        </w:rPr>
        <w:t xml:space="preserve"> de 2006 </w:t>
      </w:r>
      <w:r w:rsidR="00CB083E" w:rsidRPr="004C700A">
        <w:rPr>
          <w:rFonts w:asciiTheme="majorHAnsi" w:hAnsiTheme="majorHAnsi"/>
          <w:sz w:val="19"/>
          <w:szCs w:val="19"/>
          <w:lang w:val="es-ES"/>
        </w:rPr>
        <w:t>y remitió lo</w:t>
      </w:r>
      <w:r w:rsidR="00765C9E" w:rsidRPr="004C700A">
        <w:rPr>
          <w:rFonts w:asciiTheme="majorHAnsi" w:hAnsiTheme="majorHAnsi"/>
          <w:sz w:val="19"/>
          <w:szCs w:val="19"/>
          <w:lang w:val="es-ES"/>
        </w:rPr>
        <w:t xml:space="preserve">s autos </w:t>
      </w:r>
      <w:r w:rsidR="00CB083E" w:rsidRPr="004C700A">
        <w:rPr>
          <w:rFonts w:asciiTheme="majorHAnsi" w:hAnsiTheme="majorHAnsi"/>
          <w:sz w:val="19"/>
          <w:szCs w:val="19"/>
          <w:lang w:val="es-ES"/>
        </w:rPr>
        <w:t>a la justicia m</w:t>
      </w:r>
      <w:r w:rsidR="00765C9E" w:rsidRPr="004C700A">
        <w:rPr>
          <w:rFonts w:asciiTheme="majorHAnsi" w:hAnsiTheme="majorHAnsi"/>
          <w:sz w:val="19"/>
          <w:szCs w:val="19"/>
          <w:lang w:val="es-ES"/>
        </w:rPr>
        <w:t xml:space="preserve">ilitar, </w:t>
      </w:r>
      <w:r w:rsidR="00CB083E" w:rsidRPr="004C700A">
        <w:rPr>
          <w:rFonts w:asciiTheme="majorHAnsi" w:hAnsiTheme="majorHAnsi"/>
          <w:sz w:val="19"/>
          <w:szCs w:val="19"/>
          <w:lang w:val="es-ES"/>
        </w:rPr>
        <w:t xml:space="preserve">la cual se negó a conocer de la causa por </w:t>
      </w:r>
      <w:r w:rsidR="00765C9E" w:rsidRPr="004C700A">
        <w:rPr>
          <w:rFonts w:asciiTheme="majorHAnsi" w:hAnsiTheme="majorHAnsi"/>
          <w:sz w:val="19"/>
          <w:szCs w:val="19"/>
          <w:lang w:val="es-ES"/>
        </w:rPr>
        <w:t xml:space="preserve">entender que </w:t>
      </w:r>
      <w:r w:rsidR="00C119D1" w:rsidRPr="004C700A">
        <w:rPr>
          <w:rFonts w:asciiTheme="majorHAnsi" w:hAnsiTheme="majorHAnsi"/>
          <w:sz w:val="19"/>
          <w:szCs w:val="19"/>
          <w:lang w:val="es-ES"/>
        </w:rPr>
        <w:t>correspondía a</w:t>
      </w:r>
      <w:r w:rsidR="00CB083E" w:rsidRPr="004C700A">
        <w:rPr>
          <w:rFonts w:asciiTheme="majorHAnsi" w:hAnsiTheme="majorHAnsi"/>
          <w:sz w:val="19"/>
          <w:szCs w:val="19"/>
          <w:lang w:val="es-ES"/>
        </w:rPr>
        <w:t>l ámbito de competencia</w:t>
      </w:r>
      <w:r w:rsidR="00765C9E" w:rsidRPr="004C700A">
        <w:rPr>
          <w:rFonts w:asciiTheme="majorHAnsi" w:hAnsiTheme="majorHAnsi"/>
          <w:sz w:val="19"/>
          <w:szCs w:val="19"/>
          <w:lang w:val="es-ES"/>
        </w:rPr>
        <w:t xml:space="preserve"> d</w:t>
      </w:r>
      <w:r w:rsidR="00CB083E" w:rsidRPr="004C700A">
        <w:rPr>
          <w:rFonts w:asciiTheme="majorHAnsi" w:hAnsiTheme="majorHAnsi"/>
          <w:sz w:val="19"/>
          <w:szCs w:val="19"/>
          <w:lang w:val="es-ES"/>
        </w:rPr>
        <w:t>e l</w:t>
      </w:r>
      <w:r w:rsidR="00765C9E" w:rsidRPr="004C700A">
        <w:rPr>
          <w:rFonts w:asciiTheme="majorHAnsi" w:hAnsiTheme="majorHAnsi"/>
          <w:sz w:val="19"/>
          <w:szCs w:val="19"/>
          <w:lang w:val="es-ES"/>
        </w:rPr>
        <w:t xml:space="preserve">a </w:t>
      </w:r>
      <w:r w:rsidR="00CB083E" w:rsidRPr="004C700A">
        <w:rPr>
          <w:rFonts w:asciiTheme="majorHAnsi" w:hAnsiTheme="majorHAnsi"/>
          <w:sz w:val="19"/>
          <w:szCs w:val="19"/>
          <w:lang w:val="es-ES"/>
        </w:rPr>
        <w:t>justicia común</w:t>
      </w:r>
      <w:r w:rsidR="00765C9E" w:rsidRPr="004C700A">
        <w:rPr>
          <w:rStyle w:val="FootnoteReference"/>
          <w:rFonts w:asciiTheme="majorHAnsi" w:hAnsiTheme="majorHAnsi"/>
          <w:sz w:val="19"/>
          <w:szCs w:val="19"/>
          <w:lang w:val="es-ES"/>
        </w:rPr>
        <w:footnoteReference w:id="6"/>
      </w:r>
      <w:r w:rsidR="00765C9E" w:rsidRPr="004C700A">
        <w:rPr>
          <w:rFonts w:asciiTheme="majorHAnsi" w:hAnsiTheme="majorHAnsi"/>
          <w:sz w:val="19"/>
          <w:szCs w:val="19"/>
          <w:lang w:val="es-ES"/>
        </w:rPr>
        <w:t>.</w:t>
      </w:r>
      <w:r w:rsidR="00F22392" w:rsidRPr="004C700A">
        <w:rPr>
          <w:rFonts w:asciiTheme="majorHAnsi" w:hAnsiTheme="majorHAnsi"/>
          <w:sz w:val="19"/>
          <w:szCs w:val="19"/>
          <w:lang w:val="es-ES"/>
        </w:rPr>
        <w:t xml:space="preserve"> </w:t>
      </w:r>
      <w:r w:rsidR="00CB083E" w:rsidRPr="004C700A">
        <w:rPr>
          <w:rFonts w:asciiTheme="majorHAnsi" w:hAnsiTheme="majorHAnsi"/>
          <w:sz w:val="19"/>
          <w:szCs w:val="19"/>
          <w:lang w:val="es-ES"/>
        </w:rPr>
        <w:t>Las peticionarias a</w:t>
      </w:r>
      <w:r w:rsidR="00F22392" w:rsidRPr="004C700A">
        <w:rPr>
          <w:rFonts w:asciiTheme="majorHAnsi" w:hAnsiTheme="majorHAnsi"/>
          <w:sz w:val="19"/>
          <w:szCs w:val="19"/>
          <w:lang w:val="es-ES"/>
        </w:rPr>
        <w:t>firma</w:t>
      </w:r>
      <w:r w:rsidR="00CB083E" w:rsidRPr="004C700A">
        <w:rPr>
          <w:rFonts w:asciiTheme="majorHAnsi" w:hAnsiTheme="majorHAnsi"/>
          <w:sz w:val="19"/>
          <w:szCs w:val="19"/>
          <w:lang w:val="es-ES"/>
        </w:rPr>
        <w:t xml:space="preserve">n, por último, que no se tomó ninguna decisión ni se aplicó sanción alguna en la </w:t>
      </w:r>
      <w:r w:rsidR="00314D9D" w:rsidRPr="004C700A">
        <w:rPr>
          <w:rFonts w:asciiTheme="majorHAnsi" w:hAnsiTheme="majorHAnsi"/>
          <w:sz w:val="19"/>
          <w:szCs w:val="19"/>
          <w:lang w:val="es-ES"/>
        </w:rPr>
        <w:t xml:space="preserve">esfera administrativa, </w:t>
      </w:r>
      <w:r w:rsidR="00CB083E" w:rsidRPr="004C700A">
        <w:rPr>
          <w:rFonts w:asciiTheme="majorHAnsi" w:hAnsiTheme="majorHAnsi"/>
          <w:sz w:val="19"/>
          <w:szCs w:val="19"/>
          <w:lang w:val="es-ES"/>
        </w:rPr>
        <w:t>lo cual dejó impune al responsable</w:t>
      </w:r>
      <w:r w:rsidR="00314D9D" w:rsidRPr="004C700A">
        <w:rPr>
          <w:rFonts w:asciiTheme="majorHAnsi" w:hAnsiTheme="majorHAnsi"/>
          <w:sz w:val="19"/>
          <w:szCs w:val="19"/>
          <w:lang w:val="es-ES"/>
        </w:rPr>
        <w:t xml:space="preserve"> </w:t>
      </w:r>
      <w:r w:rsidR="00CB083E" w:rsidRPr="004C700A">
        <w:rPr>
          <w:rFonts w:asciiTheme="majorHAnsi" w:hAnsiTheme="majorHAnsi"/>
          <w:sz w:val="19"/>
          <w:szCs w:val="19"/>
          <w:lang w:val="es-ES"/>
        </w:rPr>
        <w:t xml:space="preserve">de la muerte de la </w:t>
      </w:r>
      <w:r w:rsidR="000F68FF" w:rsidRPr="004C700A">
        <w:rPr>
          <w:rFonts w:asciiTheme="majorHAnsi" w:hAnsiTheme="majorHAnsi"/>
          <w:sz w:val="19"/>
          <w:szCs w:val="19"/>
          <w:lang w:val="es-ES"/>
        </w:rPr>
        <w:t>presunta víctima</w:t>
      </w:r>
      <w:r w:rsidR="00314D9D" w:rsidRPr="004C700A">
        <w:rPr>
          <w:rFonts w:asciiTheme="majorHAnsi" w:hAnsiTheme="majorHAnsi"/>
          <w:sz w:val="19"/>
          <w:szCs w:val="19"/>
          <w:lang w:val="es-ES"/>
        </w:rPr>
        <w:t>.</w:t>
      </w:r>
    </w:p>
    <w:p w14:paraId="64D4325C" w14:textId="74AFF30A" w:rsidR="00DC75DD" w:rsidRPr="004C700A" w:rsidRDefault="00CB5655"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El</w:t>
      </w:r>
      <w:r w:rsidR="00DC75DD" w:rsidRPr="004C700A">
        <w:rPr>
          <w:rFonts w:asciiTheme="majorHAnsi" w:hAnsiTheme="majorHAnsi"/>
          <w:sz w:val="19"/>
          <w:szCs w:val="19"/>
          <w:lang w:val="es-ES"/>
        </w:rPr>
        <w:t xml:space="preserve"> Estado, por otro lado, afirma que</w:t>
      </w:r>
      <w:r w:rsidR="005E4087" w:rsidRPr="004C700A">
        <w:rPr>
          <w:rFonts w:asciiTheme="majorHAnsi" w:hAnsiTheme="majorHAnsi"/>
          <w:sz w:val="19"/>
          <w:szCs w:val="19"/>
          <w:lang w:val="es-ES"/>
        </w:rPr>
        <w:t xml:space="preserve">, el día de los </w:t>
      </w:r>
      <w:r w:rsidR="00C119D1" w:rsidRPr="004C700A">
        <w:rPr>
          <w:rFonts w:asciiTheme="majorHAnsi" w:hAnsiTheme="majorHAnsi"/>
          <w:sz w:val="19"/>
          <w:szCs w:val="19"/>
          <w:lang w:val="es-ES"/>
        </w:rPr>
        <w:t>hechos</w:t>
      </w:r>
      <w:r w:rsidR="00DC75DD" w:rsidRPr="004C700A">
        <w:rPr>
          <w:rFonts w:asciiTheme="majorHAnsi" w:hAnsiTheme="majorHAnsi"/>
          <w:sz w:val="19"/>
          <w:szCs w:val="19"/>
          <w:lang w:val="es-ES"/>
        </w:rPr>
        <w:t xml:space="preserve">, </w:t>
      </w:r>
      <w:r w:rsidR="005E4087" w:rsidRPr="004C700A">
        <w:rPr>
          <w:rFonts w:asciiTheme="majorHAnsi" w:hAnsiTheme="majorHAnsi"/>
          <w:sz w:val="19"/>
          <w:szCs w:val="19"/>
          <w:lang w:val="es-ES"/>
        </w:rPr>
        <w:t>l</w:t>
      </w:r>
      <w:r w:rsidR="00DC75DD" w:rsidRPr="004C700A">
        <w:rPr>
          <w:rFonts w:asciiTheme="majorHAnsi" w:hAnsiTheme="majorHAnsi"/>
          <w:sz w:val="19"/>
          <w:szCs w:val="19"/>
          <w:lang w:val="es-ES"/>
        </w:rPr>
        <w:t>as autoridades competentes tomar</w:t>
      </w:r>
      <w:r w:rsidR="005E4087" w:rsidRPr="004C700A">
        <w:rPr>
          <w:rFonts w:asciiTheme="majorHAnsi" w:hAnsiTheme="majorHAnsi"/>
          <w:sz w:val="19"/>
          <w:szCs w:val="19"/>
          <w:lang w:val="es-ES"/>
        </w:rPr>
        <w:t xml:space="preserve">on declaración a </w:t>
      </w:r>
      <w:r w:rsidR="00DC75DD" w:rsidRPr="004C700A">
        <w:rPr>
          <w:rFonts w:asciiTheme="majorHAnsi" w:hAnsiTheme="majorHAnsi"/>
          <w:sz w:val="19"/>
          <w:szCs w:val="19"/>
          <w:lang w:val="es-ES"/>
        </w:rPr>
        <w:t>to</w:t>
      </w:r>
      <w:r w:rsidR="00146298" w:rsidRPr="004C700A">
        <w:rPr>
          <w:rFonts w:asciiTheme="majorHAnsi" w:hAnsiTheme="majorHAnsi"/>
          <w:sz w:val="19"/>
          <w:szCs w:val="19"/>
          <w:lang w:val="es-ES"/>
        </w:rPr>
        <w:t xml:space="preserve">dos </w:t>
      </w:r>
      <w:r w:rsidR="005E4087" w:rsidRPr="004C700A">
        <w:rPr>
          <w:rFonts w:asciiTheme="majorHAnsi" w:hAnsiTheme="majorHAnsi"/>
          <w:sz w:val="19"/>
          <w:szCs w:val="19"/>
          <w:lang w:val="es-ES"/>
        </w:rPr>
        <w:t>l</w:t>
      </w:r>
      <w:r w:rsidR="00146298" w:rsidRPr="004C700A">
        <w:rPr>
          <w:rFonts w:asciiTheme="majorHAnsi" w:hAnsiTheme="majorHAnsi"/>
          <w:sz w:val="19"/>
          <w:szCs w:val="19"/>
          <w:lang w:val="es-ES"/>
        </w:rPr>
        <w:t xml:space="preserve">os </w:t>
      </w:r>
      <w:r w:rsidR="005E4087" w:rsidRPr="004C700A">
        <w:rPr>
          <w:rFonts w:asciiTheme="majorHAnsi" w:hAnsiTheme="majorHAnsi"/>
          <w:sz w:val="19"/>
          <w:szCs w:val="19"/>
          <w:lang w:val="es-ES"/>
        </w:rPr>
        <w:t xml:space="preserve">agentes de </w:t>
      </w:r>
      <w:r w:rsidR="00146298" w:rsidRPr="004C700A">
        <w:rPr>
          <w:rFonts w:asciiTheme="majorHAnsi" w:hAnsiTheme="majorHAnsi"/>
          <w:sz w:val="19"/>
          <w:szCs w:val="19"/>
          <w:lang w:val="es-ES"/>
        </w:rPr>
        <w:t>polic</w:t>
      </w:r>
      <w:r w:rsidR="005E4087" w:rsidRPr="004C700A">
        <w:rPr>
          <w:rFonts w:asciiTheme="majorHAnsi" w:hAnsiTheme="majorHAnsi"/>
          <w:sz w:val="19"/>
          <w:szCs w:val="19"/>
          <w:lang w:val="es-ES"/>
        </w:rPr>
        <w:t>ía involucrados y a los testigos</w:t>
      </w:r>
      <w:r w:rsidR="00DC75DD" w:rsidRPr="004C700A">
        <w:rPr>
          <w:rFonts w:asciiTheme="majorHAnsi" w:hAnsiTheme="majorHAnsi"/>
          <w:sz w:val="19"/>
          <w:szCs w:val="19"/>
          <w:lang w:val="es-ES"/>
        </w:rPr>
        <w:t>. Alega que</w:t>
      </w:r>
      <w:r w:rsidR="005E4087" w:rsidRPr="004C700A">
        <w:rPr>
          <w:rFonts w:asciiTheme="majorHAnsi" w:hAnsiTheme="majorHAnsi"/>
          <w:sz w:val="19"/>
          <w:szCs w:val="19"/>
          <w:lang w:val="es-ES"/>
        </w:rPr>
        <w:t xml:space="preserve">, el </w:t>
      </w:r>
      <w:r w:rsidR="00DC75DD" w:rsidRPr="004C700A">
        <w:rPr>
          <w:rFonts w:asciiTheme="majorHAnsi" w:hAnsiTheme="majorHAnsi"/>
          <w:sz w:val="19"/>
          <w:szCs w:val="19"/>
          <w:lang w:val="es-ES"/>
        </w:rPr>
        <w:t xml:space="preserve">18 de </w:t>
      </w:r>
      <w:r w:rsidR="00F47567" w:rsidRPr="004C700A">
        <w:rPr>
          <w:rFonts w:asciiTheme="majorHAnsi" w:hAnsiTheme="majorHAnsi"/>
          <w:sz w:val="19"/>
          <w:szCs w:val="19"/>
          <w:lang w:val="es-ES"/>
        </w:rPr>
        <w:t>marzo</w:t>
      </w:r>
      <w:r w:rsidR="00DC75DD" w:rsidRPr="004C700A">
        <w:rPr>
          <w:rFonts w:asciiTheme="majorHAnsi" w:hAnsiTheme="majorHAnsi"/>
          <w:sz w:val="19"/>
          <w:szCs w:val="19"/>
          <w:lang w:val="es-ES"/>
        </w:rPr>
        <w:t xml:space="preserve"> de 2006, </w:t>
      </w:r>
      <w:r w:rsidR="00937FF4" w:rsidRPr="004C700A">
        <w:rPr>
          <w:rFonts w:asciiTheme="majorHAnsi" w:hAnsiTheme="majorHAnsi"/>
          <w:sz w:val="19"/>
          <w:szCs w:val="19"/>
          <w:lang w:val="es-ES"/>
        </w:rPr>
        <w:t>la Policía Militar inició una investigación</w:t>
      </w:r>
      <w:r w:rsidR="009E4029"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 xml:space="preserve">en la cual se comprobó </w:t>
      </w:r>
      <w:r w:rsidR="009E4029" w:rsidRPr="004C700A">
        <w:rPr>
          <w:rFonts w:asciiTheme="majorHAnsi" w:hAnsiTheme="majorHAnsi"/>
          <w:sz w:val="19"/>
          <w:szCs w:val="19"/>
          <w:lang w:val="es-ES"/>
        </w:rPr>
        <w:t xml:space="preserve">que </w:t>
      </w:r>
      <w:r w:rsidR="00937FF4" w:rsidRPr="004C700A">
        <w:rPr>
          <w:rFonts w:asciiTheme="majorHAnsi" w:hAnsiTheme="majorHAnsi"/>
          <w:sz w:val="19"/>
          <w:szCs w:val="19"/>
          <w:lang w:val="es-ES"/>
        </w:rPr>
        <w:t xml:space="preserve">no había motivos </w:t>
      </w:r>
      <w:r w:rsidR="009E4029" w:rsidRPr="004C700A">
        <w:rPr>
          <w:rFonts w:asciiTheme="majorHAnsi" w:hAnsiTheme="majorHAnsi"/>
          <w:sz w:val="19"/>
          <w:szCs w:val="19"/>
          <w:lang w:val="es-ES"/>
        </w:rPr>
        <w:t xml:space="preserve">suficientes </w:t>
      </w:r>
      <w:r w:rsidR="00937FF4" w:rsidRPr="004C700A">
        <w:rPr>
          <w:rFonts w:asciiTheme="majorHAnsi" w:hAnsiTheme="majorHAnsi"/>
          <w:sz w:val="19"/>
          <w:szCs w:val="19"/>
          <w:lang w:val="es-ES"/>
        </w:rPr>
        <w:t xml:space="preserve">para imputar trasgresiones disciplinarias de ningún tipo a los </w:t>
      </w:r>
      <w:r w:rsidR="00146298" w:rsidRPr="004C700A">
        <w:rPr>
          <w:rFonts w:asciiTheme="majorHAnsi" w:hAnsiTheme="majorHAnsi"/>
          <w:sz w:val="19"/>
          <w:szCs w:val="19"/>
          <w:lang w:val="es-ES"/>
        </w:rPr>
        <w:t>referidos</w:t>
      </w:r>
      <w:r w:rsidR="009E4029"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 xml:space="preserve">agentes de la </w:t>
      </w:r>
      <w:r w:rsidR="009E4029" w:rsidRPr="004C700A">
        <w:rPr>
          <w:rFonts w:asciiTheme="majorHAnsi" w:hAnsiTheme="majorHAnsi"/>
          <w:sz w:val="19"/>
          <w:szCs w:val="19"/>
          <w:lang w:val="es-ES"/>
        </w:rPr>
        <w:t>polic</w:t>
      </w:r>
      <w:r w:rsidR="00937FF4" w:rsidRPr="004C700A">
        <w:rPr>
          <w:rFonts w:asciiTheme="majorHAnsi" w:hAnsiTheme="majorHAnsi"/>
          <w:sz w:val="19"/>
          <w:szCs w:val="19"/>
          <w:lang w:val="es-ES"/>
        </w:rPr>
        <w:t xml:space="preserve">ía </w:t>
      </w:r>
      <w:r w:rsidR="009E4029" w:rsidRPr="004C700A">
        <w:rPr>
          <w:rFonts w:asciiTheme="majorHAnsi" w:hAnsiTheme="majorHAnsi"/>
          <w:sz w:val="19"/>
          <w:szCs w:val="19"/>
          <w:lang w:val="es-ES"/>
        </w:rPr>
        <w:t>militar. A</w:t>
      </w:r>
      <w:r w:rsidR="00C119D1" w:rsidRPr="004C700A">
        <w:rPr>
          <w:rFonts w:asciiTheme="majorHAnsi" w:hAnsiTheme="majorHAnsi"/>
          <w:sz w:val="19"/>
          <w:szCs w:val="19"/>
          <w:lang w:val="es-ES"/>
        </w:rPr>
        <w:t>gre</w:t>
      </w:r>
      <w:r w:rsidR="009E4029" w:rsidRPr="004C700A">
        <w:rPr>
          <w:rFonts w:asciiTheme="majorHAnsi" w:hAnsiTheme="majorHAnsi"/>
          <w:sz w:val="19"/>
          <w:szCs w:val="19"/>
          <w:lang w:val="es-ES"/>
        </w:rPr>
        <w:t>ga que</w:t>
      </w:r>
      <w:r w:rsidR="00937FF4" w:rsidRPr="004C700A">
        <w:rPr>
          <w:rFonts w:asciiTheme="majorHAnsi" w:hAnsiTheme="majorHAnsi"/>
          <w:sz w:val="19"/>
          <w:szCs w:val="19"/>
          <w:lang w:val="es-ES"/>
        </w:rPr>
        <w:t xml:space="preserve">, en </w:t>
      </w:r>
      <w:r w:rsidR="009E4029" w:rsidRPr="004C700A">
        <w:rPr>
          <w:rFonts w:asciiTheme="majorHAnsi" w:hAnsiTheme="majorHAnsi"/>
          <w:sz w:val="19"/>
          <w:szCs w:val="19"/>
          <w:lang w:val="es-ES"/>
        </w:rPr>
        <w:t xml:space="preserve">2006, </w:t>
      </w:r>
      <w:r w:rsidR="00937FF4" w:rsidRPr="004C700A">
        <w:rPr>
          <w:rFonts w:asciiTheme="majorHAnsi" w:hAnsiTheme="majorHAnsi"/>
          <w:sz w:val="19"/>
          <w:szCs w:val="19"/>
          <w:lang w:val="es-ES"/>
        </w:rPr>
        <w:t xml:space="preserve">se entabló una acción </w:t>
      </w:r>
      <w:r w:rsidR="009E4029" w:rsidRPr="004C700A">
        <w:rPr>
          <w:rFonts w:asciiTheme="majorHAnsi" w:hAnsiTheme="majorHAnsi"/>
          <w:sz w:val="19"/>
          <w:szCs w:val="19"/>
          <w:lang w:val="es-ES"/>
        </w:rPr>
        <w:t xml:space="preserve">penal </w:t>
      </w:r>
      <w:r w:rsidR="00937FF4" w:rsidRPr="004C700A">
        <w:rPr>
          <w:rFonts w:asciiTheme="majorHAnsi" w:hAnsiTheme="majorHAnsi"/>
          <w:sz w:val="19"/>
          <w:szCs w:val="19"/>
          <w:lang w:val="es-ES"/>
        </w:rPr>
        <w:t>con el fin de determinar la r</w:t>
      </w:r>
      <w:r w:rsidR="009E4029" w:rsidRPr="004C700A">
        <w:rPr>
          <w:rFonts w:asciiTheme="majorHAnsi" w:hAnsiTheme="majorHAnsi"/>
          <w:sz w:val="19"/>
          <w:szCs w:val="19"/>
          <w:lang w:val="es-ES"/>
        </w:rPr>
        <w:t>esponsabilidad p</w:t>
      </w:r>
      <w:r w:rsidR="00937FF4" w:rsidRPr="004C700A">
        <w:rPr>
          <w:rFonts w:asciiTheme="majorHAnsi" w:hAnsiTheme="majorHAnsi"/>
          <w:sz w:val="19"/>
          <w:szCs w:val="19"/>
          <w:lang w:val="es-ES"/>
        </w:rPr>
        <w:t>or e</w:t>
      </w:r>
      <w:r w:rsidR="009E4029" w:rsidRPr="004C700A">
        <w:rPr>
          <w:rFonts w:asciiTheme="majorHAnsi" w:hAnsiTheme="majorHAnsi"/>
          <w:sz w:val="19"/>
          <w:szCs w:val="19"/>
          <w:lang w:val="es-ES"/>
        </w:rPr>
        <w:t xml:space="preserve">l </w:t>
      </w:r>
      <w:r w:rsidR="00134AB1" w:rsidRPr="004C700A">
        <w:rPr>
          <w:rFonts w:asciiTheme="majorHAnsi" w:hAnsiTheme="majorHAnsi"/>
          <w:sz w:val="19"/>
          <w:szCs w:val="19"/>
          <w:lang w:val="es-ES"/>
        </w:rPr>
        <w:t>secuestro</w:t>
      </w:r>
      <w:r w:rsidR="009E4029"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 xml:space="preserve">y por la muerte de la </w:t>
      </w:r>
      <w:r w:rsidR="000F68FF" w:rsidRPr="004C700A">
        <w:rPr>
          <w:rFonts w:asciiTheme="majorHAnsi" w:hAnsiTheme="majorHAnsi"/>
          <w:sz w:val="19"/>
          <w:szCs w:val="19"/>
          <w:lang w:val="es-ES"/>
        </w:rPr>
        <w:t>presunta víctima</w:t>
      </w:r>
      <w:r w:rsidR="009E4029"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y del secuestrador</w:t>
      </w:r>
      <w:r w:rsidR="009E4029"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 xml:space="preserve">El Estado </w:t>
      </w:r>
      <w:r w:rsidR="00C119D1" w:rsidRPr="004C700A">
        <w:rPr>
          <w:rFonts w:asciiTheme="majorHAnsi" w:hAnsiTheme="majorHAnsi"/>
          <w:sz w:val="19"/>
          <w:szCs w:val="19"/>
          <w:lang w:val="es-ES"/>
        </w:rPr>
        <w:t>señal</w:t>
      </w:r>
      <w:r w:rsidR="00937FF4" w:rsidRPr="004C700A">
        <w:rPr>
          <w:rFonts w:asciiTheme="majorHAnsi" w:hAnsiTheme="majorHAnsi"/>
          <w:sz w:val="19"/>
          <w:szCs w:val="19"/>
          <w:lang w:val="es-ES"/>
        </w:rPr>
        <w:t xml:space="preserve">a que, tras el </w:t>
      </w:r>
      <w:r w:rsidR="009E4029" w:rsidRPr="004C700A">
        <w:rPr>
          <w:rFonts w:asciiTheme="majorHAnsi" w:hAnsiTheme="majorHAnsi"/>
          <w:sz w:val="19"/>
          <w:szCs w:val="19"/>
          <w:lang w:val="es-ES"/>
        </w:rPr>
        <w:t xml:space="preserve">curso regular </w:t>
      </w:r>
      <w:r w:rsidR="00937FF4" w:rsidRPr="004C700A">
        <w:rPr>
          <w:rFonts w:asciiTheme="majorHAnsi" w:hAnsiTheme="majorHAnsi"/>
          <w:sz w:val="19"/>
          <w:szCs w:val="19"/>
          <w:lang w:val="es-ES"/>
        </w:rPr>
        <w:t>de la acción y un análisis exhaustivo</w:t>
      </w:r>
      <w:r w:rsidR="009E4029"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de los peritajes y demás prueba</w:t>
      </w:r>
      <w:r w:rsidR="009E4029" w:rsidRPr="004C700A">
        <w:rPr>
          <w:rFonts w:asciiTheme="majorHAnsi" w:hAnsiTheme="majorHAnsi"/>
          <w:sz w:val="19"/>
          <w:szCs w:val="19"/>
          <w:lang w:val="es-ES"/>
        </w:rPr>
        <w:t xml:space="preserve">s, </w:t>
      </w:r>
      <w:r w:rsidR="00937FF4" w:rsidRPr="004C700A">
        <w:rPr>
          <w:rFonts w:asciiTheme="majorHAnsi" w:hAnsiTheme="majorHAnsi"/>
          <w:sz w:val="19"/>
          <w:szCs w:val="19"/>
          <w:lang w:val="es-ES"/>
        </w:rPr>
        <w:t>el</w:t>
      </w:r>
      <w:r w:rsidR="009E4029" w:rsidRPr="004C700A">
        <w:rPr>
          <w:rFonts w:asciiTheme="majorHAnsi" w:hAnsiTheme="majorHAnsi"/>
          <w:sz w:val="19"/>
          <w:szCs w:val="19"/>
          <w:lang w:val="es-ES"/>
        </w:rPr>
        <w:t xml:space="preserve"> ju</w:t>
      </w:r>
      <w:r w:rsidR="00937FF4" w:rsidRPr="004C700A">
        <w:rPr>
          <w:rFonts w:asciiTheme="majorHAnsi" w:hAnsiTheme="majorHAnsi"/>
          <w:sz w:val="19"/>
          <w:szCs w:val="19"/>
          <w:lang w:val="es-ES"/>
        </w:rPr>
        <w:t>e</w:t>
      </w:r>
      <w:r w:rsidR="009E4029" w:rsidRPr="004C700A">
        <w:rPr>
          <w:rFonts w:asciiTheme="majorHAnsi" w:hAnsiTheme="majorHAnsi"/>
          <w:sz w:val="19"/>
          <w:szCs w:val="19"/>
          <w:lang w:val="es-ES"/>
        </w:rPr>
        <w:t>z decidi</w:t>
      </w:r>
      <w:r w:rsidR="00937FF4" w:rsidRPr="004C700A">
        <w:rPr>
          <w:rFonts w:asciiTheme="majorHAnsi" w:hAnsiTheme="majorHAnsi"/>
          <w:sz w:val="19"/>
          <w:szCs w:val="19"/>
          <w:lang w:val="es-ES"/>
        </w:rPr>
        <w:t xml:space="preserve">ó absolver a </w:t>
      </w:r>
      <w:r w:rsidR="009E4029" w:rsidRPr="004C700A">
        <w:rPr>
          <w:rFonts w:asciiTheme="majorHAnsi" w:hAnsiTheme="majorHAnsi"/>
          <w:sz w:val="19"/>
          <w:szCs w:val="19"/>
          <w:lang w:val="es-ES"/>
        </w:rPr>
        <w:t>Haroldo Amando Agra</w:t>
      </w:r>
      <w:r w:rsidR="00937FF4" w:rsidRPr="004C700A">
        <w:rPr>
          <w:rFonts w:asciiTheme="majorHAnsi" w:hAnsiTheme="majorHAnsi"/>
          <w:sz w:val="19"/>
          <w:szCs w:val="19"/>
          <w:lang w:val="es-ES"/>
        </w:rPr>
        <w:t xml:space="preserve"> y a los demás agentes de la policía</w:t>
      </w:r>
      <w:r w:rsidR="003935B7" w:rsidRPr="004C700A">
        <w:rPr>
          <w:rFonts w:asciiTheme="majorHAnsi" w:hAnsiTheme="majorHAnsi"/>
          <w:sz w:val="19"/>
          <w:szCs w:val="19"/>
          <w:lang w:val="es-ES"/>
        </w:rPr>
        <w:t xml:space="preserve"> </w:t>
      </w:r>
      <w:r w:rsidR="009E4029" w:rsidRPr="004C700A">
        <w:rPr>
          <w:rFonts w:asciiTheme="majorHAnsi" w:hAnsiTheme="majorHAnsi"/>
          <w:sz w:val="19"/>
          <w:szCs w:val="19"/>
          <w:lang w:val="es-ES"/>
        </w:rPr>
        <w:t>mil</w:t>
      </w:r>
      <w:r w:rsidR="00146298" w:rsidRPr="004C700A">
        <w:rPr>
          <w:rFonts w:asciiTheme="majorHAnsi" w:hAnsiTheme="majorHAnsi"/>
          <w:sz w:val="19"/>
          <w:szCs w:val="19"/>
          <w:lang w:val="es-ES"/>
        </w:rPr>
        <w:t>it</w:t>
      </w:r>
      <w:r w:rsidR="003935B7" w:rsidRPr="004C700A">
        <w:rPr>
          <w:rFonts w:asciiTheme="majorHAnsi" w:hAnsiTheme="majorHAnsi"/>
          <w:sz w:val="19"/>
          <w:szCs w:val="19"/>
          <w:lang w:val="es-ES"/>
        </w:rPr>
        <w:t xml:space="preserve">ar </w:t>
      </w:r>
      <w:r w:rsidR="00937FF4" w:rsidRPr="004C700A">
        <w:rPr>
          <w:rFonts w:asciiTheme="majorHAnsi" w:hAnsiTheme="majorHAnsi"/>
          <w:sz w:val="19"/>
          <w:szCs w:val="19"/>
          <w:lang w:val="es-ES"/>
        </w:rPr>
        <w:t xml:space="preserve">involucrados por </w:t>
      </w:r>
      <w:r w:rsidR="003935B7" w:rsidRPr="004C700A">
        <w:rPr>
          <w:rFonts w:asciiTheme="majorHAnsi" w:hAnsiTheme="majorHAnsi"/>
          <w:sz w:val="19"/>
          <w:szCs w:val="19"/>
          <w:lang w:val="es-ES"/>
        </w:rPr>
        <w:t>entender</w:t>
      </w:r>
      <w:r w:rsidR="00146298" w:rsidRPr="004C700A">
        <w:rPr>
          <w:rFonts w:asciiTheme="majorHAnsi" w:hAnsiTheme="majorHAnsi"/>
          <w:sz w:val="19"/>
          <w:szCs w:val="19"/>
          <w:lang w:val="es-ES"/>
        </w:rPr>
        <w:t xml:space="preserve"> que </w:t>
      </w:r>
      <w:r w:rsidR="00937FF4" w:rsidRPr="004C700A">
        <w:rPr>
          <w:rFonts w:asciiTheme="majorHAnsi" w:hAnsiTheme="majorHAnsi"/>
          <w:sz w:val="19"/>
          <w:szCs w:val="19"/>
          <w:lang w:val="es-ES"/>
        </w:rPr>
        <w:t xml:space="preserve">habrían actuado en </w:t>
      </w:r>
      <w:r w:rsidR="009E4029" w:rsidRPr="004C700A">
        <w:rPr>
          <w:rFonts w:asciiTheme="majorHAnsi" w:hAnsiTheme="majorHAnsi"/>
          <w:sz w:val="19"/>
          <w:szCs w:val="19"/>
          <w:lang w:val="es-ES"/>
        </w:rPr>
        <w:t>est</w:t>
      </w:r>
      <w:r w:rsidR="00146298" w:rsidRPr="004C700A">
        <w:rPr>
          <w:rFonts w:asciiTheme="majorHAnsi" w:hAnsiTheme="majorHAnsi"/>
          <w:sz w:val="19"/>
          <w:szCs w:val="19"/>
          <w:lang w:val="es-ES"/>
        </w:rPr>
        <w:t>ri</w:t>
      </w:r>
      <w:r w:rsidR="00937FF4" w:rsidRPr="004C700A">
        <w:rPr>
          <w:rFonts w:asciiTheme="majorHAnsi" w:hAnsiTheme="majorHAnsi"/>
          <w:sz w:val="19"/>
          <w:szCs w:val="19"/>
          <w:lang w:val="es-ES"/>
        </w:rPr>
        <w:t>c</w:t>
      </w:r>
      <w:r w:rsidR="00146298" w:rsidRPr="004C700A">
        <w:rPr>
          <w:rFonts w:asciiTheme="majorHAnsi" w:hAnsiTheme="majorHAnsi"/>
          <w:sz w:val="19"/>
          <w:szCs w:val="19"/>
          <w:lang w:val="es-ES"/>
        </w:rPr>
        <w:t xml:space="preserve">to </w:t>
      </w:r>
      <w:r w:rsidR="00937FF4" w:rsidRPr="004C700A">
        <w:rPr>
          <w:rFonts w:asciiTheme="majorHAnsi" w:hAnsiTheme="majorHAnsi"/>
          <w:sz w:val="19"/>
          <w:szCs w:val="19"/>
          <w:lang w:val="es-ES"/>
        </w:rPr>
        <w:t>cumplimiento</w:t>
      </w:r>
      <w:r w:rsidR="00146298" w:rsidRPr="004C700A">
        <w:rPr>
          <w:rFonts w:asciiTheme="majorHAnsi" w:hAnsiTheme="majorHAnsi"/>
          <w:sz w:val="19"/>
          <w:szCs w:val="19"/>
          <w:lang w:val="es-ES"/>
        </w:rPr>
        <w:t xml:space="preserve"> d</w:t>
      </w:r>
      <w:r w:rsidR="00937FF4" w:rsidRPr="004C700A">
        <w:rPr>
          <w:rFonts w:asciiTheme="majorHAnsi" w:hAnsiTheme="majorHAnsi"/>
          <w:sz w:val="19"/>
          <w:szCs w:val="19"/>
          <w:lang w:val="es-ES"/>
        </w:rPr>
        <w:t>el</w:t>
      </w:r>
      <w:r w:rsidR="00146298"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deber</w:t>
      </w:r>
      <w:r w:rsidR="00146298" w:rsidRPr="004C700A">
        <w:rPr>
          <w:rFonts w:asciiTheme="majorHAnsi" w:hAnsiTheme="majorHAnsi"/>
          <w:sz w:val="19"/>
          <w:szCs w:val="19"/>
          <w:lang w:val="es-ES"/>
        </w:rPr>
        <w:t xml:space="preserve"> legal </w:t>
      </w:r>
      <w:r w:rsidR="00937FF4" w:rsidRPr="004C700A">
        <w:rPr>
          <w:rFonts w:asciiTheme="majorHAnsi" w:hAnsiTheme="majorHAnsi"/>
          <w:sz w:val="19"/>
          <w:szCs w:val="19"/>
          <w:lang w:val="es-ES"/>
        </w:rPr>
        <w:t>y en</w:t>
      </w:r>
      <w:r w:rsidR="00146298" w:rsidRPr="004C700A">
        <w:rPr>
          <w:rFonts w:asciiTheme="majorHAnsi" w:hAnsiTheme="majorHAnsi"/>
          <w:sz w:val="19"/>
          <w:szCs w:val="19"/>
          <w:lang w:val="es-ES"/>
        </w:rPr>
        <w:t xml:space="preserve"> </w:t>
      </w:r>
      <w:r w:rsidR="009E4029" w:rsidRPr="004C700A">
        <w:rPr>
          <w:rFonts w:asciiTheme="majorHAnsi" w:hAnsiTheme="majorHAnsi"/>
          <w:sz w:val="19"/>
          <w:szCs w:val="19"/>
          <w:lang w:val="es-ES"/>
        </w:rPr>
        <w:t xml:space="preserve">legítima </w:t>
      </w:r>
      <w:r w:rsidR="00937FF4" w:rsidRPr="004C700A">
        <w:rPr>
          <w:rFonts w:asciiTheme="majorHAnsi" w:hAnsiTheme="majorHAnsi"/>
          <w:sz w:val="19"/>
          <w:szCs w:val="19"/>
          <w:lang w:val="es-ES"/>
        </w:rPr>
        <w:t>defensa</w:t>
      </w:r>
      <w:r w:rsidR="009E4029"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 xml:space="preserve">Después de una apelación interpuesta </w:t>
      </w:r>
      <w:r w:rsidR="009E4029" w:rsidRPr="004C700A">
        <w:rPr>
          <w:rFonts w:asciiTheme="majorHAnsi" w:hAnsiTheme="majorHAnsi"/>
          <w:sz w:val="19"/>
          <w:szCs w:val="19"/>
          <w:lang w:val="es-ES"/>
        </w:rPr>
        <w:t>p</w:t>
      </w:r>
      <w:r w:rsidR="00937FF4" w:rsidRPr="004C700A">
        <w:rPr>
          <w:rFonts w:asciiTheme="majorHAnsi" w:hAnsiTheme="majorHAnsi"/>
          <w:sz w:val="19"/>
          <w:szCs w:val="19"/>
          <w:lang w:val="es-ES"/>
        </w:rPr>
        <w:t xml:space="preserve">or </w:t>
      </w:r>
      <w:r w:rsidR="00134AB1" w:rsidRPr="004C700A">
        <w:rPr>
          <w:rFonts w:asciiTheme="majorHAnsi" w:hAnsiTheme="majorHAnsi"/>
          <w:sz w:val="19"/>
          <w:szCs w:val="19"/>
          <w:lang w:val="es-ES"/>
        </w:rPr>
        <w:t>el Ministerio Público</w:t>
      </w:r>
      <w:r w:rsidR="009E4029" w:rsidRPr="004C700A">
        <w:rPr>
          <w:rFonts w:asciiTheme="majorHAnsi" w:hAnsiTheme="majorHAnsi"/>
          <w:sz w:val="19"/>
          <w:szCs w:val="19"/>
          <w:lang w:val="es-ES"/>
        </w:rPr>
        <w:t xml:space="preserve">, </w:t>
      </w:r>
      <w:r w:rsidR="00937FF4" w:rsidRPr="004C700A">
        <w:rPr>
          <w:rFonts w:asciiTheme="majorHAnsi" w:hAnsiTheme="majorHAnsi"/>
          <w:sz w:val="19"/>
          <w:szCs w:val="19"/>
          <w:lang w:val="es-ES"/>
        </w:rPr>
        <w:t>la decisión fue</w:t>
      </w:r>
      <w:r w:rsidR="009E4029" w:rsidRPr="004C700A">
        <w:rPr>
          <w:rFonts w:asciiTheme="majorHAnsi" w:hAnsiTheme="majorHAnsi"/>
          <w:sz w:val="19"/>
          <w:szCs w:val="19"/>
          <w:lang w:val="es-ES"/>
        </w:rPr>
        <w:t xml:space="preserve"> confirmada </w:t>
      </w:r>
      <w:r w:rsidR="00937FF4" w:rsidRPr="004C700A">
        <w:rPr>
          <w:rFonts w:asciiTheme="majorHAnsi" w:hAnsiTheme="majorHAnsi"/>
          <w:sz w:val="19"/>
          <w:szCs w:val="19"/>
          <w:lang w:val="es-ES"/>
        </w:rPr>
        <w:t>en</w:t>
      </w:r>
      <w:r w:rsidR="009E4029" w:rsidRPr="004C700A">
        <w:rPr>
          <w:rFonts w:asciiTheme="majorHAnsi" w:hAnsiTheme="majorHAnsi"/>
          <w:sz w:val="19"/>
          <w:szCs w:val="19"/>
          <w:lang w:val="es-ES"/>
        </w:rPr>
        <w:t xml:space="preserve"> segunda </w:t>
      </w:r>
      <w:r w:rsidR="00937FF4" w:rsidRPr="004C700A">
        <w:rPr>
          <w:rFonts w:asciiTheme="majorHAnsi" w:hAnsiTheme="majorHAnsi"/>
          <w:sz w:val="19"/>
          <w:szCs w:val="19"/>
          <w:lang w:val="es-ES"/>
        </w:rPr>
        <w:t>instancia</w:t>
      </w:r>
      <w:r w:rsidR="00146298" w:rsidRPr="004C700A">
        <w:rPr>
          <w:rFonts w:asciiTheme="majorHAnsi" w:hAnsiTheme="majorHAnsi"/>
          <w:sz w:val="19"/>
          <w:szCs w:val="19"/>
          <w:lang w:val="es-ES"/>
        </w:rPr>
        <w:t xml:space="preserve"> e</w:t>
      </w:r>
      <w:r w:rsidR="00937FF4" w:rsidRPr="004C700A">
        <w:rPr>
          <w:rFonts w:asciiTheme="majorHAnsi" w:hAnsiTheme="majorHAnsi"/>
          <w:sz w:val="19"/>
          <w:szCs w:val="19"/>
          <w:lang w:val="es-ES"/>
        </w:rPr>
        <w:t>l</w:t>
      </w:r>
      <w:r w:rsidR="00146298" w:rsidRPr="004C700A">
        <w:rPr>
          <w:rFonts w:asciiTheme="majorHAnsi" w:hAnsiTheme="majorHAnsi"/>
          <w:sz w:val="19"/>
          <w:szCs w:val="19"/>
          <w:lang w:val="es-ES"/>
        </w:rPr>
        <w:t xml:space="preserve"> 10 de abril de 2008.</w:t>
      </w:r>
    </w:p>
    <w:p w14:paraId="6F4D4171" w14:textId="250AF2EA" w:rsidR="003239B8" w:rsidRPr="004C700A" w:rsidRDefault="003239B8" w:rsidP="00314D9D">
      <w:pPr>
        <w:spacing w:after="200"/>
        <w:ind w:firstLine="720"/>
        <w:jc w:val="both"/>
        <w:rPr>
          <w:rFonts w:asciiTheme="majorHAnsi" w:hAnsiTheme="majorHAnsi"/>
          <w:sz w:val="19"/>
          <w:szCs w:val="19"/>
          <w:lang w:val="es-ES"/>
        </w:rPr>
      </w:pPr>
      <w:r w:rsidRPr="004C700A">
        <w:rPr>
          <w:rFonts w:asciiTheme="majorHAnsi" w:eastAsia="Cambria" w:hAnsiTheme="majorHAnsi" w:cs="Cambria"/>
          <w:b/>
          <w:bCs/>
          <w:color w:val="000000"/>
          <w:sz w:val="19"/>
          <w:szCs w:val="19"/>
          <w:u w:color="000000"/>
          <w:lang w:val="es-ES" w:eastAsia="es-ES"/>
        </w:rPr>
        <w:t>VI.</w:t>
      </w:r>
      <w:r w:rsidRPr="004C700A">
        <w:rPr>
          <w:rFonts w:asciiTheme="majorHAnsi" w:eastAsia="Cambria" w:hAnsiTheme="majorHAnsi" w:cs="Cambria"/>
          <w:b/>
          <w:bCs/>
          <w:color w:val="000000"/>
          <w:sz w:val="19"/>
          <w:szCs w:val="19"/>
          <w:u w:color="000000"/>
          <w:lang w:val="es-ES" w:eastAsia="es-ES"/>
        </w:rPr>
        <w:tab/>
      </w:r>
      <w:r w:rsidR="00CB5655" w:rsidRPr="004C700A">
        <w:rPr>
          <w:rFonts w:asciiTheme="majorHAnsi" w:hAnsiTheme="majorHAnsi"/>
          <w:b/>
          <w:bCs/>
          <w:sz w:val="19"/>
          <w:szCs w:val="19"/>
          <w:lang w:val="es-ES"/>
        </w:rPr>
        <w:t>AGOTAMIENTO DE LOS RECURSOS INTERNOS Y PLAZO DE PRESENTACIÓN</w:t>
      </w:r>
      <w:r w:rsidR="00C21FEF" w:rsidRPr="004C700A">
        <w:rPr>
          <w:rFonts w:asciiTheme="majorHAnsi" w:eastAsia="Cambria" w:hAnsiTheme="majorHAnsi" w:cs="Cambria"/>
          <w:b/>
          <w:bCs/>
          <w:color w:val="000000"/>
          <w:sz w:val="19"/>
          <w:szCs w:val="19"/>
          <w:u w:color="000000"/>
          <w:lang w:val="es-ES" w:eastAsia="es-ES"/>
        </w:rPr>
        <w:t xml:space="preserve"> </w:t>
      </w:r>
    </w:p>
    <w:p w14:paraId="01D47E3F" w14:textId="3BEA670B" w:rsidR="003239B8" w:rsidRPr="004C700A" w:rsidRDefault="002E2986"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 xml:space="preserve">Con respecto al </w:t>
      </w:r>
      <w:r w:rsidR="00CB5655" w:rsidRPr="004C700A">
        <w:rPr>
          <w:rFonts w:asciiTheme="majorHAnsi" w:hAnsiTheme="majorHAnsi"/>
          <w:sz w:val="19"/>
          <w:szCs w:val="19"/>
          <w:lang w:val="es-ES"/>
        </w:rPr>
        <w:t>agotamiento de los</w:t>
      </w:r>
      <w:r w:rsidR="00147F83" w:rsidRPr="004C700A">
        <w:rPr>
          <w:rFonts w:asciiTheme="majorHAnsi" w:hAnsiTheme="majorHAnsi"/>
          <w:sz w:val="19"/>
          <w:szCs w:val="19"/>
          <w:lang w:val="es-ES"/>
        </w:rPr>
        <w:t xml:space="preserve"> recursos internos, </w:t>
      </w:r>
      <w:r w:rsidR="00134AB1" w:rsidRPr="004C700A">
        <w:rPr>
          <w:rFonts w:asciiTheme="majorHAnsi" w:hAnsiTheme="majorHAnsi"/>
          <w:sz w:val="19"/>
          <w:szCs w:val="19"/>
          <w:lang w:val="es-ES"/>
        </w:rPr>
        <w:t>las peticionarias</w:t>
      </w:r>
      <w:r w:rsidR="00147F83" w:rsidRPr="004C700A">
        <w:rPr>
          <w:rFonts w:asciiTheme="majorHAnsi" w:hAnsiTheme="majorHAnsi"/>
          <w:sz w:val="19"/>
          <w:szCs w:val="19"/>
          <w:lang w:val="es-ES"/>
        </w:rPr>
        <w:t xml:space="preserve"> </w:t>
      </w:r>
      <w:r w:rsidRPr="004C700A">
        <w:rPr>
          <w:rFonts w:asciiTheme="majorHAnsi" w:hAnsiTheme="majorHAnsi"/>
          <w:sz w:val="19"/>
          <w:szCs w:val="19"/>
          <w:lang w:val="es-ES"/>
        </w:rPr>
        <w:t>afirman</w:t>
      </w:r>
      <w:r w:rsidR="00147F83" w:rsidRPr="004C700A">
        <w:rPr>
          <w:rFonts w:asciiTheme="majorHAnsi" w:hAnsiTheme="majorHAnsi"/>
          <w:sz w:val="19"/>
          <w:szCs w:val="19"/>
          <w:lang w:val="es-ES"/>
        </w:rPr>
        <w:t xml:space="preserve"> que</w:t>
      </w:r>
      <w:r w:rsidRPr="004C700A">
        <w:rPr>
          <w:rFonts w:asciiTheme="majorHAnsi" w:hAnsiTheme="majorHAnsi"/>
          <w:sz w:val="19"/>
          <w:szCs w:val="19"/>
          <w:lang w:val="es-ES"/>
        </w:rPr>
        <w:t xml:space="preserve"> el 10 de abril de 2008 se tomó una</w:t>
      </w:r>
      <w:r w:rsidR="00147F83" w:rsidRPr="004C700A">
        <w:rPr>
          <w:rFonts w:asciiTheme="majorHAnsi" w:hAnsiTheme="majorHAnsi"/>
          <w:sz w:val="19"/>
          <w:szCs w:val="19"/>
          <w:lang w:val="es-ES"/>
        </w:rPr>
        <w:t xml:space="preserve"> </w:t>
      </w:r>
      <w:r w:rsidRPr="004C700A">
        <w:rPr>
          <w:rFonts w:asciiTheme="majorHAnsi" w:hAnsiTheme="majorHAnsi"/>
          <w:sz w:val="19"/>
          <w:szCs w:val="19"/>
          <w:lang w:val="es-ES"/>
        </w:rPr>
        <w:t>decisión</w:t>
      </w:r>
      <w:r w:rsidR="00147F83" w:rsidRPr="004C700A">
        <w:rPr>
          <w:rFonts w:asciiTheme="majorHAnsi" w:hAnsiTheme="majorHAnsi"/>
          <w:sz w:val="19"/>
          <w:szCs w:val="19"/>
          <w:lang w:val="es-ES"/>
        </w:rPr>
        <w:t xml:space="preserve"> final </w:t>
      </w:r>
      <w:r w:rsidRPr="004C700A">
        <w:rPr>
          <w:rFonts w:asciiTheme="majorHAnsi" w:hAnsiTheme="majorHAnsi"/>
          <w:sz w:val="19"/>
          <w:szCs w:val="19"/>
          <w:lang w:val="es-ES"/>
        </w:rPr>
        <w:t>e</w:t>
      </w:r>
      <w:r w:rsidR="00147F83" w:rsidRPr="004C700A">
        <w:rPr>
          <w:rFonts w:asciiTheme="majorHAnsi" w:hAnsiTheme="majorHAnsi"/>
          <w:sz w:val="19"/>
          <w:szCs w:val="19"/>
          <w:lang w:val="es-ES"/>
        </w:rPr>
        <w:t>n</w:t>
      </w:r>
      <w:r w:rsidRPr="004C700A">
        <w:rPr>
          <w:rFonts w:asciiTheme="majorHAnsi" w:hAnsiTheme="majorHAnsi"/>
          <w:sz w:val="19"/>
          <w:szCs w:val="19"/>
          <w:lang w:val="es-ES"/>
        </w:rPr>
        <w:t xml:space="preserve"> el</w:t>
      </w:r>
      <w:r w:rsidR="00147F83" w:rsidRPr="004C700A">
        <w:rPr>
          <w:rFonts w:asciiTheme="majorHAnsi" w:hAnsiTheme="majorHAnsi"/>
          <w:sz w:val="19"/>
          <w:szCs w:val="19"/>
          <w:lang w:val="es-ES"/>
        </w:rPr>
        <w:t xml:space="preserve"> caso</w:t>
      </w:r>
      <w:r w:rsidR="006233E7" w:rsidRPr="004C700A">
        <w:rPr>
          <w:rFonts w:asciiTheme="majorHAnsi" w:hAnsiTheme="majorHAnsi"/>
          <w:sz w:val="19"/>
          <w:szCs w:val="19"/>
          <w:lang w:val="es-ES"/>
        </w:rPr>
        <w:t xml:space="preserve">, </w:t>
      </w:r>
      <w:r w:rsidRPr="004C700A">
        <w:rPr>
          <w:rFonts w:asciiTheme="majorHAnsi" w:hAnsiTheme="majorHAnsi"/>
          <w:sz w:val="19"/>
          <w:szCs w:val="19"/>
          <w:lang w:val="es-ES"/>
        </w:rPr>
        <w:t xml:space="preserve">de modo que no hay más </w:t>
      </w:r>
      <w:r w:rsidR="006233E7" w:rsidRPr="004C700A">
        <w:rPr>
          <w:rFonts w:asciiTheme="majorHAnsi" w:hAnsiTheme="majorHAnsi"/>
          <w:sz w:val="19"/>
          <w:szCs w:val="19"/>
          <w:lang w:val="es-ES"/>
        </w:rPr>
        <w:t>recursos</w:t>
      </w:r>
      <w:r w:rsidR="00DF6B98" w:rsidRPr="004C700A">
        <w:rPr>
          <w:rFonts w:asciiTheme="majorHAnsi" w:hAnsiTheme="majorHAnsi"/>
          <w:sz w:val="19"/>
          <w:szCs w:val="19"/>
          <w:lang w:val="es-ES"/>
        </w:rPr>
        <w:t xml:space="preserve"> </w:t>
      </w:r>
      <w:r w:rsidRPr="004C700A">
        <w:rPr>
          <w:rFonts w:asciiTheme="majorHAnsi" w:hAnsiTheme="majorHAnsi"/>
          <w:sz w:val="19"/>
          <w:szCs w:val="19"/>
          <w:lang w:val="es-ES"/>
        </w:rPr>
        <w:t xml:space="preserve">para volver a analizar el fondo. Sin embargo, recalcan </w:t>
      </w:r>
      <w:r w:rsidR="006233E7" w:rsidRPr="004C700A">
        <w:rPr>
          <w:rFonts w:asciiTheme="majorHAnsi" w:hAnsiTheme="majorHAnsi"/>
          <w:sz w:val="19"/>
          <w:szCs w:val="19"/>
          <w:lang w:val="es-ES"/>
        </w:rPr>
        <w:t xml:space="preserve">que </w:t>
      </w:r>
      <w:r w:rsidRPr="004C700A">
        <w:rPr>
          <w:rFonts w:asciiTheme="majorHAnsi" w:hAnsiTheme="majorHAnsi"/>
          <w:sz w:val="19"/>
          <w:szCs w:val="19"/>
          <w:lang w:val="es-ES"/>
        </w:rPr>
        <w:t>el</w:t>
      </w:r>
      <w:r w:rsidR="006233E7" w:rsidRPr="004C700A">
        <w:rPr>
          <w:rFonts w:asciiTheme="majorHAnsi" w:hAnsiTheme="majorHAnsi"/>
          <w:sz w:val="19"/>
          <w:szCs w:val="19"/>
          <w:lang w:val="es-ES"/>
        </w:rPr>
        <w:t xml:space="preserve"> contexto de impunidad d</w:t>
      </w:r>
      <w:r w:rsidRPr="004C700A">
        <w:rPr>
          <w:rFonts w:asciiTheme="majorHAnsi" w:hAnsiTheme="majorHAnsi"/>
          <w:sz w:val="19"/>
          <w:szCs w:val="19"/>
          <w:lang w:val="es-ES"/>
        </w:rPr>
        <w:t>e l</w:t>
      </w:r>
      <w:r w:rsidR="006233E7" w:rsidRPr="004C700A">
        <w:rPr>
          <w:rFonts w:asciiTheme="majorHAnsi" w:hAnsiTheme="majorHAnsi"/>
          <w:sz w:val="19"/>
          <w:szCs w:val="19"/>
          <w:lang w:val="es-ES"/>
        </w:rPr>
        <w:t xml:space="preserve">a </w:t>
      </w:r>
      <w:r w:rsidRPr="004C700A">
        <w:rPr>
          <w:rFonts w:asciiTheme="majorHAnsi" w:hAnsiTheme="majorHAnsi"/>
          <w:sz w:val="19"/>
          <w:szCs w:val="19"/>
          <w:lang w:val="es-ES"/>
        </w:rPr>
        <w:t>actuación</w:t>
      </w:r>
      <w:r w:rsidR="006233E7" w:rsidRPr="004C700A">
        <w:rPr>
          <w:rFonts w:asciiTheme="majorHAnsi" w:hAnsiTheme="majorHAnsi"/>
          <w:sz w:val="19"/>
          <w:szCs w:val="19"/>
          <w:lang w:val="es-ES"/>
        </w:rPr>
        <w:t xml:space="preserve"> policial </w:t>
      </w:r>
      <w:r w:rsidRPr="004C700A">
        <w:rPr>
          <w:rFonts w:asciiTheme="majorHAnsi" w:hAnsiTheme="majorHAnsi"/>
          <w:sz w:val="19"/>
          <w:szCs w:val="19"/>
          <w:lang w:val="es-ES"/>
        </w:rPr>
        <w:t>e</w:t>
      </w:r>
      <w:r w:rsidR="006233E7" w:rsidRPr="004C700A">
        <w:rPr>
          <w:rFonts w:asciiTheme="majorHAnsi" w:hAnsiTheme="majorHAnsi"/>
          <w:sz w:val="19"/>
          <w:szCs w:val="19"/>
          <w:lang w:val="es-ES"/>
        </w:rPr>
        <w:t xml:space="preserve">n Brasil </w:t>
      </w:r>
      <w:r w:rsidRPr="004C700A">
        <w:rPr>
          <w:rFonts w:asciiTheme="majorHAnsi" w:hAnsiTheme="majorHAnsi"/>
          <w:sz w:val="19"/>
          <w:szCs w:val="19"/>
          <w:lang w:val="es-ES"/>
        </w:rPr>
        <w:t>es</w:t>
      </w:r>
      <w:r w:rsidR="006233E7" w:rsidRPr="004C700A">
        <w:rPr>
          <w:rFonts w:asciiTheme="majorHAnsi" w:hAnsiTheme="majorHAnsi"/>
          <w:sz w:val="19"/>
          <w:szCs w:val="19"/>
          <w:lang w:val="es-ES"/>
        </w:rPr>
        <w:t xml:space="preserve"> claro </w:t>
      </w:r>
      <w:r w:rsidRPr="004C700A">
        <w:rPr>
          <w:rFonts w:asciiTheme="majorHAnsi" w:hAnsiTheme="majorHAnsi"/>
          <w:sz w:val="19"/>
          <w:szCs w:val="19"/>
          <w:lang w:val="es-ES"/>
        </w:rPr>
        <w:t>y</w:t>
      </w:r>
      <w:r w:rsidR="006233E7" w:rsidRPr="004C700A">
        <w:rPr>
          <w:rFonts w:asciiTheme="majorHAnsi" w:hAnsiTheme="majorHAnsi"/>
          <w:sz w:val="19"/>
          <w:szCs w:val="19"/>
          <w:lang w:val="es-ES"/>
        </w:rPr>
        <w:t xml:space="preserve"> que, por ese motivo, no </w:t>
      </w:r>
      <w:r w:rsidRPr="004C700A">
        <w:rPr>
          <w:rFonts w:asciiTheme="majorHAnsi" w:hAnsiTheme="majorHAnsi"/>
          <w:sz w:val="19"/>
          <w:szCs w:val="19"/>
          <w:lang w:val="es-ES"/>
        </w:rPr>
        <w:t xml:space="preserve">hay juicios imparciales en el ámbito del Poder Judicial en </w:t>
      </w:r>
      <w:r w:rsidR="00FB4AB4" w:rsidRPr="004C700A">
        <w:rPr>
          <w:rFonts w:asciiTheme="majorHAnsi" w:hAnsiTheme="majorHAnsi"/>
          <w:sz w:val="19"/>
          <w:szCs w:val="19"/>
          <w:lang w:val="es-ES"/>
        </w:rPr>
        <w:t>ca</w:t>
      </w:r>
      <w:r w:rsidR="00402FC5" w:rsidRPr="004C700A">
        <w:rPr>
          <w:rFonts w:asciiTheme="majorHAnsi" w:hAnsiTheme="majorHAnsi"/>
          <w:sz w:val="19"/>
          <w:szCs w:val="19"/>
          <w:lang w:val="es-ES"/>
        </w:rPr>
        <w:t>sos com</w:t>
      </w:r>
      <w:r w:rsidR="00FB4AB4" w:rsidRPr="004C700A">
        <w:rPr>
          <w:rFonts w:asciiTheme="majorHAnsi" w:hAnsiTheme="majorHAnsi"/>
          <w:sz w:val="19"/>
          <w:szCs w:val="19"/>
          <w:lang w:val="es-ES"/>
        </w:rPr>
        <w:t>o</w:t>
      </w:r>
      <w:r w:rsidR="00402FC5" w:rsidRPr="004C700A">
        <w:rPr>
          <w:rFonts w:asciiTheme="majorHAnsi" w:hAnsiTheme="majorHAnsi"/>
          <w:sz w:val="19"/>
          <w:szCs w:val="19"/>
          <w:lang w:val="es-ES"/>
        </w:rPr>
        <w:t xml:space="preserve"> </w:t>
      </w:r>
      <w:r w:rsidRPr="004C700A">
        <w:rPr>
          <w:rFonts w:asciiTheme="majorHAnsi" w:hAnsiTheme="majorHAnsi"/>
          <w:sz w:val="19"/>
          <w:szCs w:val="19"/>
          <w:lang w:val="es-ES"/>
        </w:rPr>
        <w:t>el</w:t>
      </w:r>
      <w:r w:rsidR="00FB4AB4" w:rsidRPr="004C700A">
        <w:rPr>
          <w:rFonts w:asciiTheme="majorHAnsi" w:hAnsiTheme="majorHAnsi"/>
          <w:sz w:val="19"/>
          <w:szCs w:val="19"/>
          <w:lang w:val="es-ES"/>
        </w:rPr>
        <w:t xml:space="preserve"> d</w:t>
      </w:r>
      <w:r w:rsidRPr="004C700A">
        <w:rPr>
          <w:rFonts w:asciiTheme="majorHAnsi" w:hAnsiTheme="majorHAnsi"/>
          <w:sz w:val="19"/>
          <w:szCs w:val="19"/>
          <w:lang w:val="es-ES"/>
        </w:rPr>
        <w:t>e l</w:t>
      </w:r>
      <w:r w:rsidR="00FB4AB4"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t>presunta víctima</w:t>
      </w:r>
      <w:r w:rsidR="00FB4AB4" w:rsidRPr="004C700A">
        <w:rPr>
          <w:rFonts w:asciiTheme="majorHAnsi" w:hAnsiTheme="majorHAnsi"/>
          <w:sz w:val="19"/>
          <w:szCs w:val="19"/>
          <w:lang w:val="es-ES"/>
        </w:rPr>
        <w:t>.</w:t>
      </w:r>
      <w:r w:rsidR="00BF6719" w:rsidRPr="004C700A">
        <w:rPr>
          <w:rFonts w:asciiTheme="majorHAnsi" w:hAnsiTheme="majorHAnsi"/>
          <w:sz w:val="19"/>
          <w:szCs w:val="19"/>
          <w:lang w:val="es-ES"/>
        </w:rPr>
        <w:t xml:space="preserve"> Ad</w:t>
      </w:r>
      <w:r w:rsidRPr="004C700A">
        <w:rPr>
          <w:rFonts w:asciiTheme="majorHAnsi" w:hAnsiTheme="majorHAnsi"/>
          <w:sz w:val="19"/>
          <w:szCs w:val="19"/>
          <w:lang w:val="es-ES"/>
        </w:rPr>
        <w:t>emás</w:t>
      </w:r>
      <w:r w:rsidR="00BF6719" w:rsidRPr="004C700A">
        <w:rPr>
          <w:rFonts w:asciiTheme="majorHAnsi" w:hAnsiTheme="majorHAnsi"/>
          <w:sz w:val="19"/>
          <w:szCs w:val="19"/>
          <w:lang w:val="es-ES"/>
        </w:rPr>
        <w:t xml:space="preserve">, </w:t>
      </w:r>
      <w:r w:rsidRPr="004C700A">
        <w:rPr>
          <w:rFonts w:asciiTheme="majorHAnsi" w:hAnsiTheme="majorHAnsi"/>
          <w:sz w:val="19"/>
          <w:szCs w:val="19"/>
          <w:lang w:val="es-ES"/>
        </w:rPr>
        <w:t>afirman</w:t>
      </w:r>
      <w:r w:rsidR="00BF6719" w:rsidRPr="004C700A">
        <w:rPr>
          <w:rFonts w:asciiTheme="majorHAnsi" w:hAnsiTheme="majorHAnsi"/>
          <w:sz w:val="19"/>
          <w:szCs w:val="19"/>
          <w:lang w:val="es-ES"/>
        </w:rPr>
        <w:t xml:space="preserve"> que</w:t>
      </w:r>
      <w:r w:rsidR="00C119D1" w:rsidRPr="004C700A">
        <w:rPr>
          <w:rFonts w:asciiTheme="majorHAnsi" w:hAnsiTheme="majorHAnsi"/>
          <w:sz w:val="19"/>
          <w:szCs w:val="19"/>
          <w:lang w:val="es-ES"/>
        </w:rPr>
        <w:t>,</w:t>
      </w:r>
      <w:r w:rsidR="00BF6719" w:rsidRPr="004C700A">
        <w:rPr>
          <w:rFonts w:asciiTheme="majorHAnsi" w:hAnsiTheme="majorHAnsi"/>
          <w:sz w:val="19"/>
          <w:szCs w:val="19"/>
          <w:lang w:val="es-ES"/>
        </w:rPr>
        <w:t xml:space="preserve"> </w:t>
      </w:r>
      <w:r w:rsidRPr="004C700A">
        <w:rPr>
          <w:rFonts w:asciiTheme="majorHAnsi" w:hAnsiTheme="majorHAnsi"/>
          <w:sz w:val="19"/>
          <w:szCs w:val="19"/>
          <w:lang w:val="es-ES"/>
        </w:rPr>
        <w:t>con los</w:t>
      </w:r>
      <w:r w:rsidR="00BF6719" w:rsidRPr="004C700A">
        <w:rPr>
          <w:rFonts w:asciiTheme="majorHAnsi" w:hAnsiTheme="majorHAnsi"/>
          <w:sz w:val="19"/>
          <w:szCs w:val="19"/>
          <w:lang w:val="es-ES"/>
        </w:rPr>
        <w:t xml:space="preserve"> </w:t>
      </w:r>
      <w:r w:rsidRPr="004C700A">
        <w:rPr>
          <w:rFonts w:asciiTheme="majorHAnsi" w:hAnsiTheme="majorHAnsi"/>
          <w:sz w:val="19"/>
          <w:szCs w:val="19"/>
          <w:lang w:val="es-ES"/>
        </w:rPr>
        <w:t>procesos</w:t>
      </w:r>
      <w:r w:rsidR="00BF6719" w:rsidRPr="004C700A">
        <w:rPr>
          <w:rFonts w:asciiTheme="majorHAnsi" w:hAnsiTheme="majorHAnsi"/>
          <w:sz w:val="19"/>
          <w:szCs w:val="19"/>
          <w:lang w:val="es-ES"/>
        </w:rPr>
        <w:t xml:space="preserve"> disciplinar</w:t>
      </w:r>
      <w:r w:rsidRPr="004C700A">
        <w:rPr>
          <w:rFonts w:asciiTheme="majorHAnsi" w:hAnsiTheme="majorHAnsi"/>
          <w:sz w:val="19"/>
          <w:szCs w:val="19"/>
          <w:lang w:val="es-ES"/>
        </w:rPr>
        <w:t xml:space="preserve">ios que pudieran iniciarse contra los jueces </w:t>
      </w:r>
      <w:r w:rsidR="00402FC5" w:rsidRPr="004C700A">
        <w:rPr>
          <w:rFonts w:asciiTheme="majorHAnsi" w:hAnsiTheme="majorHAnsi"/>
          <w:sz w:val="19"/>
          <w:szCs w:val="19"/>
          <w:lang w:val="es-ES"/>
        </w:rPr>
        <w:t xml:space="preserve">ante </w:t>
      </w:r>
      <w:r w:rsidRPr="004C700A">
        <w:rPr>
          <w:rFonts w:asciiTheme="majorHAnsi" w:hAnsiTheme="majorHAnsi"/>
          <w:sz w:val="19"/>
          <w:szCs w:val="19"/>
          <w:lang w:val="es-ES"/>
        </w:rPr>
        <w:t>el</w:t>
      </w:r>
      <w:r w:rsidR="00402FC5" w:rsidRPr="004C700A">
        <w:rPr>
          <w:rFonts w:asciiTheme="majorHAnsi" w:hAnsiTheme="majorHAnsi"/>
          <w:sz w:val="19"/>
          <w:szCs w:val="19"/>
          <w:lang w:val="es-ES"/>
        </w:rPr>
        <w:t xml:space="preserve"> Conse</w:t>
      </w:r>
      <w:r w:rsidRPr="004C700A">
        <w:rPr>
          <w:rFonts w:asciiTheme="majorHAnsi" w:hAnsiTheme="majorHAnsi"/>
          <w:sz w:val="19"/>
          <w:szCs w:val="19"/>
          <w:lang w:val="es-ES"/>
        </w:rPr>
        <w:t>j</w:t>
      </w:r>
      <w:r w:rsidR="00402FC5" w:rsidRPr="004C700A">
        <w:rPr>
          <w:rFonts w:asciiTheme="majorHAnsi" w:hAnsiTheme="majorHAnsi"/>
          <w:sz w:val="19"/>
          <w:szCs w:val="19"/>
          <w:lang w:val="es-ES"/>
        </w:rPr>
        <w:t>o Nacional de Justi</w:t>
      </w:r>
      <w:r w:rsidRPr="004C700A">
        <w:rPr>
          <w:rFonts w:asciiTheme="majorHAnsi" w:hAnsiTheme="majorHAnsi"/>
          <w:sz w:val="19"/>
          <w:szCs w:val="19"/>
          <w:lang w:val="es-ES"/>
        </w:rPr>
        <w:t>ci</w:t>
      </w:r>
      <w:r w:rsidR="00402FC5" w:rsidRPr="004C700A">
        <w:rPr>
          <w:rFonts w:asciiTheme="majorHAnsi" w:hAnsiTheme="majorHAnsi"/>
          <w:sz w:val="19"/>
          <w:szCs w:val="19"/>
          <w:lang w:val="es-ES"/>
        </w:rPr>
        <w:t>a</w:t>
      </w:r>
      <w:r w:rsidR="00C119D1" w:rsidRPr="004C700A">
        <w:rPr>
          <w:rFonts w:asciiTheme="majorHAnsi" w:hAnsiTheme="majorHAnsi"/>
          <w:sz w:val="19"/>
          <w:szCs w:val="19"/>
          <w:lang w:val="es-ES"/>
        </w:rPr>
        <w:t>,</w:t>
      </w:r>
      <w:r w:rsidR="00BF6719" w:rsidRPr="004C700A">
        <w:rPr>
          <w:rFonts w:asciiTheme="majorHAnsi" w:hAnsiTheme="majorHAnsi"/>
          <w:sz w:val="19"/>
          <w:szCs w:val="19"/>
          <w:lang w:val="es-ES"/>
        </w:rPr>
        <w:t xml:space="preserve"> </w:t>
      </w:r>
      <w:r w:rsidRPr="004C700A">
        <w:rPr>
          <w:rFonts w:asciiTheme="majorHAnsi" w:hAnsiTheme="majorHAnsi"/>
          <w:sz w:val="19"/>
          <w:szCs w:val="19"/>
          <w:lang w:val="es-ES"/>
        </w:rPr>
        <w:t xml:space="preserve">no se </w:t>
      </w:r>
      <w:r w:rsidR="00C119D1" w:rsidRPr="004C700A">
        <w:rPr>
          <w:rFonts w:asciiTheme="majorHAnsi" w:hAnsiTheme="majorHAnsi"/>
          <w:sz w:val="19"/>
          <w:szCs w:val="19"/>
          <w:lang w:val="es-ES"/>
        </w:rPr>
        <w:t xml:space="preserve">podrían </w:t>
      </w:r>
      <w:r w:rsidRPr="004C700A">
        <w:rPr>
          <w:rFonts w:asciiTheme="majorHAnsi" w:hAnsiTheme="majorHAnsi"/>
          <w:sz w:val="19"/>
          <w:szCs w:val="19"/>
          <w:lang w:val="es-ES"/>
        </w:rPr>
        <w:t xml:space="preserve">subsanar las violaciones de la </w:t>
      </w:r>
      <w:r w:rsidR="000F68FF" w:rsidRPr="004C700A">
        <w:rPr>
          <w:rFonts w:asciiTheme="majorHAnsi" w:hAnsiTheme="majorHAnsi"/>
          <w:sz w:val="19"/>
          <w:szCs w:val="19"/>
          <w:lang w:val="es-ES"/>
        </w:rPr>
        <w:t>Convención Americana</w:t>
      </w:r>
      <w:r w:rsidR="00BF6719" w:rsidRPr="004C700A">
        <w:rPr>
          <w:rFonts w:asciiTheme="majorHAnsi" w:hAnsiTheme="majorHAnsi"/>
          <w:sz w:val="19"/>
          <w:szCs w:val="19"/>
          <w:lang w:val="es-ES"/>
        </w:rPr>
        <w:t>.</w:t>
      </w:r>
    </w:p>
    <w:p w14:paraId="2A85CE9C" w14:textId="15302B25" w:rsidR="00B1143D" w:rsidRPr="004C700A" w:rsidRDefault="00CB5655"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El Estado</w:t>
      </w:r>
      <w:r w:rsidR="002E2986" w:rsidRPr="004C700A">
        <w:rPr>
          <w:rFonts w:asciiTheme="majorHAnsi" w:hAnsiTheme="majorHAnsi"/>
          <w:sz w:val="19"/>
          <w:szCs w:val="19"/>
          <w:lang w:val="es-ES"/>
        </w:rPr>
        <w:t xml:space="preserve"> señala, no obstante</w:t>
      </w:r>
      <w:r w:rsidR="00B1143D" w:rsidRPr="004C700A">
        <w:rPr>
          <w:rFonts w:asciiTheme="majorHAnsi" w:hAnsiTheme="majorHAnsi"/>
          <w:sz w:val="19"/>
          <w:szCs w:val="19"/>
          <w:lang w:val="es-ES"/>
        </w:rPr>
        <w:t xml:space="preserve">, que </w:t>
      </w:r>
      <w:r w:rsidR="002E2986" w:rsidRPr="004C700A">
        <w:rPr>
          <w:rFonts w:asciiTheme="majorHAnsi" w:hAnsiTheme="majorHAnsi"/>
          <w:sz w:val="19"/>
          <w:szCs w:val="19"/>
          <w:lang w:val="es-ES"/>
        </w:rPr>
        <w:t>no se agotaron l</w:t>
      </w:r>
      <w:r w:rsidR="00B1143D" w:rsidRPr="004C700A">
        <w:rPr>
          <w:rFonts w:asciiTheme="majorHAnsi" w:hAnsiTheme="majorHAnsi"/>
          <w:sz w:val="19"/>
          <w:szCs w:val="19"/>
          <w:lang w:val="es-ES"/>
        </w:rPr>
        <w:t xml:space="preserve">os recursos internos </w:t>
      </w:r>
      <w:r w:rsidR="002E2986" w:rsidRPr="004C700A">
        <w:rPr>
          <w:rFonts w:asciiTheme="majorHAnsi" w:hAnsiTheme="majorHAnsi"/>
          <w:sz w:val="19"/>
          <w:szCs w:val="19"/>
          <w:lang w:val="es-ES"/>
        </w:rPr>
        <w:t>y</w:t>
      </w:r>
      <w:r w:rsidR="00B1143D" w:rsidRPr="004C700A">
        <w:rPr>
          <w:rFonts w:asciiTheme="majorHAnsi" w:hAnsiTheme="majorHAnsi"/>
          <w:sz w:val="19"/>
          <w:szCs w:val="19"/>
          <w:lang w:val="es-ES"/>
        </w:rPr>
        <w:t xml:space="preserve"> que </w:t>
      </w:r>
      <w:r w:rsidR="002E2986" w:rsidRPr="004C700A">
        <w:rPr>
          <w:rFonts w:asciiTheme="majorHAnsi" w:hAnsiTheme="majorHAnsi"/>
          <w:sz w:val="19"/>
          <w:szCs w:val="19"/>
          <w:lang w:val="es-ES"/>
        </w:rPr>
        <w:t xml:space="preserve">no se impugnó la </w:t>
      </w:r>
      <w:r w:rsidR="00C119D1" w:rsidRPr="004C700A">
        <w:rPr>
          <w:rFonts w:asciiTheme="majorHAnsi" w:hAnsiTheme="majorHAnsi"/>
          <w:sz w:val="19"/>
          <w:szCs w:val="19"/>
          <w:lang w:val="es-ES"/>
        </w:rPr>
        <w:t>supuesta</w:t>
      </w:r>
      <w:r w:rsidR="002E2986" w:rsidRPr="004C700A">
        <w:rPr>
          <w:rFonts w:asciiTheme="majorHAnsi" w:hAnsiTheme="majorHAnsi"/>
          <w:sz w:val="19"/>
          <w:szCs w:val="19"/>
          <w:lang w:val="es-ES"/>
        </w:rPr>
        <w:t xml:space="preserve"> </w:t>
      </w:r>
      <w:r w:rsidR="00C119D1" w:rsidRPr="004C700A">
        <w:rPr>
          <w:rFonts w:asciiTheme="majorHAnsi" w:hAnsiTheme="majorHAnsi"/>
          <w:sz w:val="19"/>
          <w:szCs w:val="19"/>
          <w:lang w:val="es-ES"/>
        </w:rPr>
        <w:t xml:space="preserve">falta de </w:t>
      </w:r>
      <w:r w:rsidR="00B1143D" w:rsidRPr="004C700A">
        <w:rPr>
          <w:rFonts w:asciiTheme="majorHAnsi" w:hAnsiTheme="majorHAnsi"/>
          <w:sz w:val="19"/>
          <w:szCs w:val="19"/>
          <w:lang w:val="es-ES"/>
        </w:rPr>
        <w:t>imparcialidad</w:t>
      </w:r>
      <w:r w:rsidR="002E2986" w:rsidRPr="004C700A">
        <w:rPr>
          <w:rFonts w:asciiTheme="majorHAnsi" w:hAnsiTheme="majorHAnsi"/>
          <w:sz w:val="19"/>
          <w:szCs w:val="19"/>
          <w:lang w:val="es-ES"/>
        </w:rPr>
        <w:t xml:space="preserve"> </w:t>
      </w:r>
      <w:r w:rsidR="00B1143D" w:rsidRPr="004C700A">
        <w:rPr>
          <w:rFonts w:asciiTheme="majorHAnsi" w:hAnsiTheme="majorHAnsi"/>
          <w:sz w:val="19"/>
          <w:szCs w:val="19"/>
          <w:lang w:val="es-ES"/>
        </w:rPr>
        <w:t>d</w:t>
      </w:r>
      <w:r w:rsidR="002E2986" w:rsidRPr="004C700A">
        <w:rPr>
          <w:rFonts w:asciiTheme="majorHAnsi" w:hAnsiTheme="majorHAnsi"/>
          <w:sz w:val="19"/>
          <w:szCs w:val="19"/>
          <w:lang w:val="es-ES"/>
        </w:rPr>
        <w:t>e l</w:t>
      </w:r>
      <w:r w:rsidR="00B1143D" w:rsidRPr="004C700A">
        <w:rPr>
          <w:rFonts w:asciiTheme="majorHAnsi" w:hAnsiTheme="majorHAnsi"/>
          <w:sz w:val="19"/>
          <w:szCs w:val="19"/>
          <w:lang w:val="es-ES"/>
        </w:rPr>
        <w:t xml:space="preserve">os </w:t>
      </w:r>
      <w:r w:rsidR="002E2986" w:rsidRPr="004C700A">
        <w:rPr>
          <w:rFonts w:asciiTheme="majorHAnsi" w:hAnsiTheme="majorHAnsi"/>
          <w:sz w:val="19"/>
          <w:szCs w:val="19"/>
          <w:lang w:val="es-ES"/>
        </w:rPr>
        <w:t xml:space="preserve">integrantes del </w:t>
      </w:r>
      <w:r w:rsidR="00B1143D" w:rsidRPr="004C700A">
        <w:rPr>
          <w:rFonts w:asciiTheme="majorHAnsi" w:hAnsiTheme="majorHAnsi"/>
          <w:sz w:val="19"/>
          <w:szCs w:val="19"/>
          <w:lang w:val="es-ES"/>
        </w:rPr>
        <w:t>Poder Judici</w:t>
      </w:r>
      <w:r w:rsidR="002E2986" w:rsidRPr="004C700A">
        <w:rPr>
          <w:rFonts w:asciiTheme="majorHAnsi" w:hAnsiTheme="majorHAnsi"/>
          <w:sz w:val="19"/>
          <w:szCs w:val="19"/>
          <w:lang w:val="es-ES"/>
        </w:rPr>
        <w:t>al por medio de un procedimiento</w:t>
      </w:r>
      <w:r w:rsidR="00B1143D" w:rsidRPr="004C700A">
        <w:rPr>
          <w:rFonts w:asciiTheme="majorHAnsi" w:hAnsiTheme="majorHAnsi"/>
          <w:sz w:val="19"/>
          <w:szCs w:val="19"/>
          <w:lang w:val="es-ES"/>
        </w:rPr>
        <w:t xml:space="preserve"> interno. </w:t>
      </w:r>
      <w:r w:rsidR="00B1143D" w:rsidRPr="004C700A">
        <w:rPr>
          <w:rFonts w:asciiTheme="majorHAnsi" w:hAnsiTheme="majorHAnsi"/>
          <w:sz w:val="19"/>
          <w:szCs w:val="19"/>
          <w:lang w:val="es-ES"/>
        </w:rPr>
        <w:lastRenderedPageBreak/>
        <w:t xml:space="preserve">Afirma que </w:t>
      </w:r>
      <w:r w:rsidR="00134AB1" w:rsidRPr="004C700A">
        <w:rPr>
          <w:rFonts w:asciiTheme="majorHAnsi" w:hAnsiTheme="majorHAnsi"/>
          <w:sz w:val="19"/>
          <w:szCs w:val="19"/>
          <w:lang w:val="es-ES"/>
        </w:rPr>
        <w:t>las peticionarias</w:t>
      </w:r>
      <w:r w:rsidR="00B1143D" w:rsidRPr="004C700A">
        <w:rPr>
          <w:rFonts w:asciiTheme="majorHAnsi" w:hAnsiTheme="majorHAnsi"/>
          <w:sz w:val="19"/>
          <w:szCs w:val="19"/>
          <w:lang w:val="es-ES"/>
        </w:rPr>
        <w:t xml:space="preserve"> pod</w:t>
      </w:r>
      <w:r w:rsidR="007F7FD5" w:rsidRPr="004C700A">
        <w:rPr>
          <w:rFonts w:asciiTheme="majorHAnsi" w:hAnsiTheme="majorHAnsi"/>
          <w:sz w:val="19"/>
          <w:szCs w:val="19"/>
          <w:lang w:val="es-ES"/>
        </w:rPr>
        <w:t>ría haber recurrido al C</w:t>
      </w:r>
      <w:r w:rsidR="00B1143D" w:rsidRPr="004C700A">
        <w:rPr>
          <w:rFonts w:asciiTheme="majorHAnsi" w:hAnsiTheme="majorHAnsi"/>
          <w:sz w:val="19"/>
          <w:szCs w:val="19"/>
          <w:lang w:val="es-ES"/>
        </w:rPr>
        <w:t>onse</w:t>
      </w:r>
      <w:r w:rsidR="007F7FD5" w:rsidRPr="004C700A">
        <w:rPr>
          <w:rFonts w:asciiTheme="majorHAnsi" w:hAnsiTheme="majorHAnsi"/>
          <w:sz w:val="19"/>
          <w:szCs w:val="19"/>
          <w:lang w:val="es-ES"/>
        </w:rPr>
        <w:t>j</w:t>
      </w:r>
      <w:r w:rsidR="00B1143D" w:rsidRPr="004C700A">
        <w:rPr>
          <w:rFonts w:asciiTheme="majorHAnsi" w:hAnsiTheme="majorHAnsi"/>
          <w:sz w:val="19"/>
          <w:szCs w:val="19"/>
          <w:lang w:val="es-ES"/>
        </w:rPr>
        <w:t>o Nacional de Justi</w:t>
      </w:r>
      <w:r w:rsidR="007F7FD5" w:rsidRPr="004C700A">
        <w:rPr>
          <w:rFonts w:asciiTheme="majorHAnsi" w:hAnsiTheme="majorHAnsi"/>
          <w:sz w:val="19"/>
          <w:szCs w:val="19"/>
          <w:lang w:val="es-ES"/>
        </w:rPr>
        <w:t>ci</w:t>
      </w:r>
      <w:r w:rsidR="00B1143D" w:rsidRPr="004C700A">
        <w:rPr>
          <w:rFonts w:asciiTheme="majorHAnsi" w:hAnsiTheme="majorHAnsi"/>
          <w:sz w:val="19"/>
          <w:szCs w:val="19"/>
          <w:lang w:val="es-ES"/>
        </w:rPr>
        <w:t>a</w:t>
      </w:r>
      <w:r w:rsidR="0065040F" w:rsidRPr="004C700A">
        <w:rPr>
          <w:rFonts w:asciiTheme="majorHAnsi" w:hAnsiTheme="majorHAnsi"/>
          <w:sz w:val="19"/>
          <w:szCs w:val="19"/>
          <w:lang w:val="es-ES"/>
        </w:rPr>
        <w:t xml:space="preserve"> para </w:t>
      </w:r>
      <w:r w:rsidR="007F7FD5" w:rsidRPr="004C700A">
        <w:rPr>
          <w:rFonts w:asciiTheme="majorHAnsi" w:hAnsiTheme="majorHAnsi"/>
          <w:sz w:val="19"/>
          <w:szCs w:val="19"/>
          <w:lang w:val="es-ES"/>
        </w:rPr>
        <w:t>iniciar un proceso a</w:t>
      </w:r>
      <w:r w:rsidR="0065040F" w:rsidRPr="004C700A">
        <w:rPr>
          <w:rFonts w:asciiTheme="majorHAnsi" w:hAnsiTheme="majorHAnsi"/>
          <w:sz w:val="19"/>
          <w:szCs w:val="19"/>
          <w:lang w:val="es-ES"/>
        </w:rPr>
        <w:t xml:space="preserve">dministrativo </w:t>
      </w:r>
      <w:r w:rsidR="007F7FD5" w:rsidRPr="004C700A">
        <w:rPr>
          <w:rFonts w:asciiTheme="majorHAnsi" w:hAnsiTheme="majorHAnsi"/>
          <w:sz w:val="19"/>
          <w:szCs w:val="19"/>
          <w:lang w:val="es-ES"/>
        </w:rPr>
        <w:t>d</w:t>
      </w:r>
      <w:r w:rsidR="0065040F" w:rsidRPr="004C700A">
        <w:rPr>
          <w:rFonts w:asciiTheme="majorHAnsi" w:hAnsiTheme="majorHAnsi"/>
          <w:sz w:val="19"/>
          <w:szCs w:val="19"/>
          <w:lang w:val="es-ES"/>
        </w:rPr>
        <w:t>isciplinar</w:t>
      </w:r>
      <w:r w:rsidR="007F7FD5" w:rsidRPr="004C700A">
        <w:rPr>
          <w:rFonts w:asciiTheme="majorHAnsi" w:hAnsiTheme="majorHAnsi"/>
          <w:sz w:val="19"/>
          <w:szCs w:val="19"/>
          <w:lang w:val="es-ES"/>
        </w:rPr>
        <w:t xml:space="preserve">io, pero no lo hicieron. Además, </w:t>
      </w:r>
      <w:r w:rsidR="00B1143D" w:rsidRPr="004C700A">
        <w:rPr>
          <w:rFonts w:asciiTheme="majorHAnsi" w:hAnsiTheme="majorHAnsi"/>
          <w:sz w:val="19"/>
          <w:szCs w:val="19"/>
          <w:lang w:val="es-ES"/>
        </w:rPr>
        <w:t>alega que</w:t>
      </w:r>
      <w:r w:rsidR="00FD602C" w:rsidRPr="004C700A">
        <w:rPr>
          <w:rFonts w:asciiTheme="majorHAnsi" w:hAnsiTheme="majorHAnsi"/>
          <w:sz w:val="19"/>
          <w:szCs w:val="19"/>
          <w:lang w:val="es-ES"/>
        </w:rPr>
        <w:t xml:space="preserve"> </w:t>
      </w:r>
      <w:r w:rsidR="007F7FD5" w:rsidRPr="004C700A">
        <w:rPr>
          <w:rFonts w:asciiTheme="majorHAnsi" w:hAnsiTheme="majorHAnsi"/>
          <w:sz w:val="19"/>
          <w:szCs w:val="19"/>
          <w:lang w:val="es-ES"/>
        </w:rPr>
        <w:t xml:space="preserve">los petitorios </w:t>
      </w:r>
      <w:r w:rsidR="00FD602C" w:rsidRPr="004C700A">
        <w:rPr>
          <w:rFonts w:asciiTheme="majorHAnsi" w:hAnsiTheme="majorHAnsi"/>
          <w:sz w:val="19"/>
          <w:szCs w:val="19"/>
          <w:lang w:val="es-ES"/>
        </w:rPr>
        <w:t>presentad</w:t>
      </w:r>
      <w:r w:rsidR="007F7FD5" w:rsidRPr="004C700A">
        <w:rPr>
          <w:rFonts w:asciiTheme="majorHAnsi" w:hAnsiTheme="majorHAnsi"/>
          <w:sz w:val="19"/>
          <w:szCs w:val="19"/>
          <w:lang w:val="es-ES"/>
        </w:rPr>
        <w:t>o</w:t>
      </w:r>
      <w:r w:rsidR="00FD602C" w:rsidRPr="004C700A">
        <w:rPr>
          <w:rFonts w:asciiTheme="majorHAnsi" w:hAnsiTheme="majorHAnsi"/>
          <w:sz w:val="19"/>
          <w:szCs w:val="19"/>
          <w:lang w:val="es-ES"/>
        </w:rPr>
        <w:t>s p</w:t>
      </w:r>
      <w:r w:rsidR="007F7FD5" w:rsidRPr="004C700A">
        <w:rPr>
          <w:rFonts w:asciiTheme="majorHAnsi" w:hAnsiTheme="majorHAnsi"/>
          <w:sz w:val="19"/>
          <w:szCs w:val="19"/>
          <w:lang w:val="es-ES"/>
        </w:rPr>
        <w:t xml:space="preserve">or </w:t>
      </w:r>
      <w:r w:rsidR="00134AB1" w:rsidRPr="004C700A">
        <w:rPr>
          <w:rFonts w:asciiTheme="majorHAnsi" w:hAnsiTheme="majorHAnsi"/>
          <w:sz w:val="19"/>
          <w:szCs w:val="19"/>
          <w:lang w:val="es-ES"/>
        </w:rPr>
        <w:t>las peticionarias</w:t>
      </w:r>
      <w:r w:rsidR="00FD602C" w:rsidRPr="004C700A">
        <w:rPr>
          <w:rFonts w:asciiTheme="majorHAnsi" w:hAnsiTheme="majorHAnsi"/>
          <w:sz w:val="19"/>
          <w:szCs w:val="19"/>
          <w:lang w:val="es-ES"/>
        </w:rPr>
        <w:t xml:space="preserve"> a </w:t>
      </w:r>
      <w:r w:rsidRPr="004C700A">
        <w:rPr>
          <w:rFonts w:asciiTheme="majorHAnsi" w:hAnsiTheme="majorHAnsi"/>
          <w:sz w:val="19"/>
          <w:szCs w:val="19"/>
          <w:lang w:val="es-ES"/>
        </w:rPr>
        <w:t>la Comisión</w:t>
      </w:r>
      <w:r w:rsidR="00FD602C" w:rsidRPr="004C700A">
        <w:rPr>
          <w:rFonts w:asciiTheme="majorHAnsi" w:hAnsiTheme="majorHAnsi"/>
          <w:sz w:val="19"/>
          <w:szCs w:val="19"/>
          <w:lang w:val="es-ES"/>
        </w:rPr>
        <w:t xml:space="preserve"> Interamericana no f</w:t>
      </w:r>
      <w:r w:rsidR="007F7FD5" w:rsidRPr="004C700A">
        <w:rPr>
          <w:rFonts w:asciiTheme="majorHAnsi" w:hAnsiTheme="majorHAnsi"/>
          <w:sz w:val="19"/>
          <w:szCs w:val="19"/>
          <w:lang w:val="es-ES"/>
        </w:rPr>
        <w:t xml:space="preserve">ueron </w:t>
      </w:r>
      <w:r w:rsidR="00FD602C" w:rsidRPr="004C700A">
        <w:rPr>
          <w:rFonts w:asciiTheme="majorHAnsi" w:hAnsiTheme="majorHAnsi"/>
          <w:sz w:val="19"/>
          <w:szCs w:val="19"/>
          <w:lang w:val="es-ES"/>
        </w:rPr>
        <w:t xml:space="preserve">presentados </w:t>
      </w:r>
      <w:r w:rsidR="00C119D1" w:rsidRPr="004C700A">
        <w:rPr>
          <w:rFonts w:asciiTheme="majorHAnsi" w:hAnsiTheme="majorHAnsi"/>
          <w:sz w:val="19"/>
          <w:szCs w:val="19"/>
          <w:lang w:val="es-ES"/>
        </w:rPr>
        <w:t>en el plano interno</w:t>
      </w:r>
      <w:r w:rsidR="007F7FD5" w:rsidRPr="004C700A">
        <w:rPr>
          <w:rFonts w:asciiTheme="majorHAnsi" w:hAnsiTheme="majorHAnsi"/>
          <w:sz w:val="19"/>
          <w:szCs w:val="19"/>
          <w:lang w:val="es-ES"/>
        </w:rPr>
        <w:t xml:space="preserve">; por ejemplo, la solicitud de indemnización por los </w:t>
      </w:r>
      <w:r w:rsidR="00C119D1" w:rsidRPr="004C700A">
        <w:rPr>
          <w:rFonts w:asciiTheme="majorHAnsi" w:hAnsiTheme="majorHAnsi"/>
          <w:sz w:val="19"/>
          <w:szCs w:val="19"/>
          <w:lang w:val="es-ES"/>
        </w:rPr>
        <w:t>presuntos</w:t>
      </w:r>
      <w:r w:rsidR="007F7FD5" w:rsidRPr="004C700A">
        <w:rPr>
          <w:rFonts w:asciiTheme="majorHAnsi" w:hAnsiTheme="majorHAnsi"/>
          <w:sz w:val="19"/>
          <w:szCs w:val="19"/>
          <w:lang w:val="es-ES"/>
        </w:rPr>
        <w:t xml:space="preserve"> daños morales sufr</w:t>
      </w:r>
      <w:r w:rsidR="00FD602C" w:rsidRPr="004C700A">
        <w:rPr>
          <w:rFonts w:asciiTheme="majorHAnsi" w:hAnsiTheme="majorHAnsi"/>
          <w:sz w:val="19"/>
          <w:szCs w:val="19"/>
          <w:lang w:val="es-ES"/>
        </w:rPr>
        <w:t>idos p</w:t>
      </w:r>
      <w:r w:rsidR="007F7FD5" w:rsidRPr="004C700A">
        <w:rPr>
          <w:rFonts w:asciiTheme="majorHAnsi" w:hAnsiTheme="majorHAnsi"/>
          <w:sz w:val="19"/>
          <w:szCs w:val="19"/>
          <w:lang w:val="es-ES"/>
        </w:rPr>
        <w:t xml:space="preserve">or </w:t>
      </w:r>
      <w:r w:rsidR="00134AB1" w:rsidRPr="004C700A">
        <w:rPr>
          <w:rFonts w:asciiTheme="majorHAnsi" w:hAnsiTheme="majorHAnsi"/>
          <w:sz w:val="19"/>
          <w:szCs w:val="19"/>
          <w:lang w:val="es-ES"/>
        </w:rPr>
        <w:t>la señora</w:t>
      </w:r>
      <w:r w:rsidR="00FD602C" w:rsidRPr="004C700A">
        <w:rPr>
          <w:rFonts w:asciiTheme="majorHAnsi" w:hAnsiTheme="majorHAnsi"/>
          <w:sz w:val="19"/>
          <w:szCs w:val="19"/>
          <w:lang w:val="es-ES"/>
        </w:rPr>
        <w:t xml:space="preserve"> Kodaira, </w:t>
      </w:r>
      <w:r w:rsidR="007F7FD5" w:rsidRPr="004C700A">
        <w:rPr>
          <w:rFonts w:asciiTheme="majorHAnsi" w:hAnsiTheme="majorHAnsi"/>
          <w:sz w:val="19"/>
          <w:szCs w:val="19"/>
          <w:lang w:val="es-ES"/>
        </w:rPr>
        <w:t>compañera</w:t>
      </w:r>
      <w:r w:rsidR="00FD602C" w:rsidRPr="004C700A">
        <w:rPr>
          <w:rFonts w:asciiTheme="majorHAnsi" w:hAnsiTheme="majorHAnsi"/>
          <w:sz w:val="19"/>
          <w:szCs w:val="19"/>
          <w:lang w:val="es-ES"/>
        </w:rPr>
        <w:t xml:space="preserve"> d</w:t>
      </w:r>
      <w:r w:rsidR="007F7FD5" w:rsidRPr="004C700A">
        <w:rPr>
          <w:rFonts w:asciiTheme="majorHAnsi" w:hAnsiTheme="majorHAnsi"/>
          <w:sz w:val="19"/>
          <w:szCs w:val="19"/>
          <w:lang w:val="es-ES"/>
        </w:rPr>
        <w:t>e l</w:t>
      </w:r>
      <w:r w:rsidR="00FD602C"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t>presunta víctima</w:t>
      </w:r>
      <w:r w:rsidR="00FD602C" w:rsidRPr="004C700A">
        <w:rPr>
          <w:rFonts w:asciiTheme="majorHAnsi" w:hAnsiTheme="majorHAnsi"/>
          <w:sz w:val="19"/>
          <w:szCs w:val="19"/>
          <w:lang w:val="es-ES"/>
        </w:rPr>
        <w:t>.</w:t>
      </w:r>
    </w:p>
    <w:p w14:paraId="4B7A299B" w14:textId="6775AFE7" w:rsidR="00586B5A" w:rsidRPr="004C700A" w:rsidRDefault="00481853"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 xml:space="preserve">La </w:t>
      </w:r>
      <w:r w:rsidR="00835499" w:rsidRPr="004C700A">
        <w:rPr>
          <w:rFonts w:asciiTheme="majorHAnsi" w:hAnsiTheme="majorHAnsi"/>
          <w:sz w:val="19"/>
          <w:szCs w:val="19"/>
          <w:lang w:val="es-ES"/>
        </w:rPr>
        <w:t>reg</w:t>
      </w:r>
      <w:r w:rsidRPr="004C700A">
        <w:rPr>
          <w:rFonts w:asciiTheme="majorHAnsi" w:hAnsiTheme="majorHAnsi"/>
          <w:sz w:val="19"/>
          <w:szCs w:val="19"/>
          <w:lang w:val="es-ES"/>
        </w:rPr>
        <w:t>l</w:t>
      </w:r>
      <w:r w:rsidR="00835499" w:rsidRPr="004C700A">
        <w:rPr>
          <w:rFonts w:asciiTheme="majorHAnsi" w:hAnsiTheme="majorHAnsi"/>
          <w:sz w:val="19"/>
          <w:szCs w:val="19"/>
          <w:lang w:val="es-ES"/>
        </w:rPr>
        <w:t>a d</w:t>
      </w:r>
      <w:r w:rsidRPr="004C700A">
        <w:rPr>
          <w:rFonts w:asciiTheme="majorHAnsi" w:hAnsiTheme="majorHAnsi"/>
          <w:sz w:val="19"/>
          <w:szCs w:val="19"/>
          <w:lang w:val="es-ES"/>
        </w:rPr>
        <w:t>el</w:t>
      </w:r>
      <w:r w:rsidR="00835499"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agotamiento de los</w:t>
      </w:r>
      <w:r w:rsidR="00835499" w:rsidRPr="004C700A">
        <w:rPr>
          <w:rFonts w:asciiTheme="majorHAnsi" w:hAnsiTheme="majorHAnsi"/>
          <w:sz w:val="19"/>
          <w:szCs w:val="19"/>
          <w:lang w:val="es-ES"/>
        </w:rPr>
        <w:t xml:space="preserve"> recursos internos prevista </w:t>
      </w:r>
      <w:r w:rsidRPr="004C700A">
        <w:rPr>
          <w:rFonts w:asciiTheme="majorHAnsi" w:hAnsiTheme="majorHAnsi"/>
          <w:sz w:val="19"/>
          <w:szCs w:val="19"/>
          <w:lang w:val="es-ES"/>
        </w:rPr>
        <w:t xml:space="preserve">en el </w:t>
      </w:r>
      <w:r w:rsidR="000F68FF" w:rsidRPr="004C700A">
        <w:rPr>
          <w:rFonts w:asciiTheme="majorHAnsi" w:hAnsiTheme="majorHAnsi"/>
          <w:sz w:val="19"/>
          <w:szCs w:val="19"/>
          <w:lang w:val="es-ES"/>
        </w:rPr>
        <w:t>artículo</w:t>
      </w:r>
      <w:r w:rsidR="00835499" w:rsidRPr="004C700A">
        <w:rPr>
          <w:rFonts w:asciiTheme="majorHAnsi" w:hAnsiTheme="majorHAnsi"/>
          <w:sz w:val="19"/>
          <w:szCs w:val="19"/>
          <w:lang w:val="es-ES"/>
        </w:rPr>
        <w:t xml:space="preserve"> 46</w:t>
      </w:r>
      <w:r w:rsidR="003E7B51" w:rsidRPr="004C700A">
        <w:rPr>
          <w:rFonts w:asciiTheme="majorHAnsi" w:hAnsiTheme="majorHAnsi"/>
          <w:sz w:val="19"/>
          <w:szCs w:val="19"/>
          <w:lang w:val="es-ES"/>
        </w:rPr>
        <w:t xml:space="preserve">, párrafo </w:t>
      </w:r>
      <w:r w:rsidR="00835499" w:rsidRPr="004C700A">
        <w:rPr>
          <w:rFonts w:asciiTheme="majorHAnsi" w:hAnsiTheme="majorHAnsi"/>
          <w:sz w:val="19"/>
          <w:szCs w:val="19"/>
          <w:lang w:val="es-ES"/>
        </w:rPr>
        <w:t>1</w:t>
      </w:r>
      <w:r w:rsidR="003E7B51" w:rsidRPr="004C700A">
        <w:rPr>
          <w:rFonts w:asciiTheme="majorHAnsi" w:hAnsiTheme="majorHAnsi"/>
          <w:sz w:val="19"/>
          <w:szCs w:val="19"/>
          <w:lang w:val="es-ES"/>
        </w:rPr>
        <w:t xml:space="preserve"> </w:t>
      </w:r>
      <w:r w:rsidR="00835499" w:rsidRPr="004C700A">
        <w:rPr>
          <w:rFonts w:asciiTheme="majorHAnsi" w:hAnsiTheme="majorHAnsi"/>
          <w:sz w:val="19"/>
          <w:szCs w:val="19"/>
          <w:lang w:val="es-ES"/>
        </w:rPr>
        <w:t>a</w:t>
      </w:r>
      <w:r w:rsidR="003E7B51" w:rsidRPr="004C700A">
        <w:rPr>
          <w:rFonts w:asciiTheme="majorHAnsi" w:hAnsiTheme="majorHAnsi"/>
          <w:sz w:val="19"/>
          <w:szCs w:val="19"/>
          <w:lang w:val="es-ES"/>
        </w:rPr>
        <w:t>),</w:t>
      </w:r>
      <w:r w:rsidR="00835499" w:rsidRPr="004C700A">
        <w:rPr>
          <w:rFonts w:asciiTheme="majorHAnsi" w:hAnsiTheme="majorHAnsi"/>
          <w:sz w:val="19"/>
          <w:szCs w:val="19"/>
          <w:lang w:val="es-ES"/>
        </w:rPr>
        <w:t xml:space="preserve"> d</w:t>
      </w:r>
      <w:r w:rsidRPr="004C700A">
        <w:rPr>
          <w:rFonts w:asciiTheme="majorHAnsi" w:hAnsiTheme="majorHAnsi"/>
          <w:sz w:val="19"/>
          <w:szCs w:val="19"/>
          <w:lang w:val="es-ES"/>
        </w:rPr>
        <w:t>e l</w:t>
      </w:r>
      <w:r w:rsidR="00835499"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t>Convención Americana</w:t>
      </w:r>
      <w:r w:rsidR="00835499" w:rsidRPr="004C700A">
        <w:rPr>
          <w:rFonts w:asciiTheme="majorHAnsi" w:hAnsiTheme="majorHAnsi"/>
          <w:sz w:val="19"/>
          <w:szCs w:val="19"/>
          <w:lang w:val="es-ES"/>
        </w:rPr>
        <w:t xml:space="preserve"> establece que </w:t>
      </w:r>
      <w:r w:rsidRPr="004C700A">
        <w:rPr>
          <w:rFonts w:asciiTheme="majorHAnsi" w:hAnsiTheme="majorHAnsi"/>
          <w:sz w:val="19"/>
          <w:szCs w:val="19"/>
          <w:lang w:val="es-ES"/>
        </w:rPr>
        <w:t>primero deben interponerse y agotarse lo</w:t>
      </w:r>
      <w:r w:rsidR="00835499" w:rsidRPr="004C700A">
        <w:rPr>
          <w:rFonts w:asciiTheme="majorHAnsi" w:hAnsiTheme="majorHAnsi"/>
          <w:sz w:val="19"/>
          <w:szCs w:val="19"/>
          <w:lang w:val="es-ES"/>
        </w:rPr>
        <w:t xml:space="preserve">s recursos </w:t>
      </w:r>
      <w:r w:rsidRPr="004C700A">
        <w:rPr>
          <w:rFonts w:asciiTheme="majorHAnsi" w:hAnsiTheme="majorHAnsi"/>
          <w:sz w:val="19"/>
          <w:szCs w:val="19"/>
          <w:lang w:val="es-ES"/>
        </w:rPr>
        <w:t>disponibles</w:t>
      </w:r>
      <w:r w:rsidR="00835499" w:rsidRPr="004C700A">
        <w:rPr>
          <w:rFonts w:asciiTheme="majorHAnsi" w:hAnsiTheme="majorHAnsi"/>
          <w:sz w:val="19"/>
          <w:szCs w:val="19"/>
          <w:lang w:val="es-ES"/>
        </w:rPr>
        <w:t xml:space="preserve"> e </w:t>
      </w:r>
      <w:r w:rsidRPr="004C700A">
        <w:rPr>
          <w:rFonts w:asciiTheme="majorHAnsi" w:hAnsiTheme="majorHAnsi"/>
          <w:sz w:val="19"/>
          <w:szCs w:val="19"/>
          <w:lang w:val="es-ES"/>
        </w:rPr>
        <w:t>idóneos</w:t>
      </w:r>
      <w:r w:rsidR="00835499" w:rsidRPr="004C700A">
        <w:rPr>
          <w:rFonts w:asciiTheme="majorHAnsi" w:hAnsiTheme="majorHAnsi"/>
          <w:sz w:val="19"/>
          <w:szCs w:val="19"/>
          <w:lang w:val="es-ES"/>
        </w:rPr>
        <w:t xml:space="preserve"> </w:t>
      </w:r>
      <w:r w:rsidRPr="004C700A">
        <w:rPr>
          <w:rFonts w:asciiTheme="majorHAnsi" w:hAnsiTheme="majorHAnsi"/>
          <w:sz w:val="19"/>
          <w:szCs w:val="19"/>
          <w:lang w:val="es-ES"/>
        </w:rPr>
        <w:t>del ordenamiento</w:t>
      </w:r>
      <w:r w:rsidR="00835499" w:rsidRPr="004C700A">
        <w:rPr>
          <w:rFonts w:asciiTheme="majorHAnsi" w:hAnsiTheme="majorHAnsi"/>
          <w:sz w:val="19"/>
          <w:szCs w:val="19"/>
          <w:lang w:val="es-ES"/>
        </w:rPr>
        <w:t xml:space="preserve"> jurídico interno. </w:t>
      </w:r>
      <w:r w:rsidR="003E7B51" w:rsidRPr="004C700A">
        <w:rPr>
          <w:rFonts w:asciiTheme="majorHAnsi" w:hAnsiTheme="majorHAnsi"/>
          <w:sz w:val="19"/>
          <w:szCs w:val="19"/>
          <w:lang w:val="es-ES"/>
        </w:rPr>
        <w:t xml:space="preserve">Estos </w:t>
      </w:r>
      <w:r w:rsidR="00835499" w:rsidRPr="004C700A">
        <w:rPr>
          <w:rFonts w:asciiTheme="majorHAnsi" w:hAnsiTheme="majorHAnsi"/>
          <w:sz w:val="19"/>
          <w:szCs w:val="19"/>
          <w:lang w:val="es-ES"/>
        </w:rPr>
        <w:t xml:space="preserve">recursos </w:t>
      </w:r>
      <w:r w:rsidR="003E7B51" w:rsidRPr="004C700A">
        <w:rPr>
          <w:rFonts w:asciiTheme="majorHAnsi" w:hAnsiTheme="majorHAnsi"/>
          <w:sz w:val="19"/>
          <w:szCs w:val="19"/>
          <w:lang w:val="es-ES"/>
        </w:rPr>
        <w:t>deben</w:t>
      </w:r>
      <w:r w:rsidR="00835499" w:rsidRPr="004C700A">
        <w:rPr>
          <w:rFonts w:asciiTheme="majorHAnsi" w:hAnsiTheme="majorHAnsi"/>
          <w:sz w:val="19"/>
          <w:szCs w:val="19"/>
          <w:lang w:val="es-ES"/>
        </w:rPr>
        <w:t xml:space="preserve"> ser suficientemente seguros </w:t>
      </w:r>
      <w:r w:rsidR="003E7B51" w:rsidRPr="004C700A">
        <w:rPr>
          <w:rFonts w:asciiTheme="majorHAnsi" w:hAnsiTheme="majorHAnsi"/>
          <w:sz w:val="19"/>
          <w:szCs w:val="19"/>
          <w:lang w:val="es-ES"/>
        </w:rPr>
        <w:t>desde el punto de vista tant</w:t>
      </w:r>
      <w:r w:rsidR="00835499" w:rsidRPr="004C700A">
        <w:rPr>
          <w:rFonts w:asciiTheme="majorHAnsi" w:hAnsiTheme="majorHAnsi"/>
          <w:sz w:val="19"/>
          <w:szCs w:val="19"/>
          <w:lang w:val="es-ES"/>
        </w:rPr>
        <w:t xml:space="preserve">o formal </w:t>
      </w:r>
      <w:r w:rsidR="003E7B51" w:rsidRPr="004C700A">
        <w:rPr>
          <w:rFonts w:asciiTheme="majorHAnsi" w:hAnsiTheme="majorHAnsi"/>
          <w:sz w:val="19"/>
          <w:szCs w:val="19"/>
          <w:lang w:val="es-ES"/>
        </w:rPr>
        <w:t xml:space="preserve">como </w:t>
      </w:r>
      <w:r w:rsidR="00835499" w:rsidRPr="004C700A">
        <w:rPr>
          <w:rFonts w:asciiTheme="majorHAnsi" w:hAnsiTheme="majorHAnsi"/>
          <w:sz w:val="19"/>
          <w:szCs w:val="19"/>
          <w:lang w:val="es-ES"/>
        </w:rPr>
        <w:t>material</w:t>
      </w:r>
      <w:r w:rsidR="003E7B51" w:rsidRPr="004C700A">
        <w:rPr>
          <w:rFonts w:asciiTheme="majorHAnsi" w:hAnsiTheme="majorHAnsi"/>
          <w:sz w:val="19"/>
          <w:szCs w:val="19"/>
          <w:lang w:val="es-ES"/>
        </w:rPr>
        <w:t xml:space="preserve">, es decir, deben ser accesibles y eficaces </w:t>
      </w:r>
      <w:r w:rsidR="00835499" w:rsidRPr="004C700A">
        <w:rPr>
          <w:rFonts w:asciiTheme="majorHAnsi" w:hAnsiTheme="majorHAnsi"/>
          <w:sz w:val="19"/>
          <w:szCs w:val="19"/>
          <w:lang w:val="es-ES"/>
        </w:rPr>
        <w:t xml:space="preserve">para restituir </w:t>
      </w:r>
      <w:r w:rsidR="003E7B51" w:rsidRPr="004C700A">
        <w:rPr>
          <w:rFonts w:asciiTheme="majorHAnsi" w:hAnsiTheme="majorHAnsi"/>
          <w:sz w:val="19"/>
          <w:szCs w:val="19"/>
          <w:lang w:val="es-ES"/>
        </w:rPr>
        <w:t>l</w:t>
      </w:r>
      <w:r w:rsidR="00835499" w:rsidRPr="004C700A">
        <w:rPr>
          <w:rFonts w:asciiTheme="majorHAnsi" w:hAnsiTheme="majorHAnsi"/>
          <w:sz w:val="19"/>
          <w:szCs w:val="19"/>
          <w:lang w:val="es-ES"/>
        </w:rPr>
        <w:t xml:space="preserve">a </w:t>
      </w:r>
      <w:r w:rsidR="003E7B51" w:rsidRPr="004C700A">
        <w:rPr>
          <w:rFonts w:asciiTheme="majorHAnsi" w:hAnsiTheme="majorHAnsi"/>
          <w:sz w:val="19"/>
          <w:szCs w:val="19"/>
          <w:lang w:val="es-ES"/>
        </w:rPr>
        <w:t>situación</w:t>
      </w:r>
      <w:r w:rsidR="00835499" w:rsidRPr="004C700A">
        <w:rPr>
          <w:rFonts w:asciiTheme="majorHAnsi" w:hAnsiTheme="majorHAnsi"/>
          <w:sz w:val="19"/>
          <w:szCs w:val="19"/>
          <w:lang w:val="es-ES"/>
        </w:rPr>
        <w:t xml:space="preserve"> denunciada. </w:t>
      </w:r>
      <w:r w:rsidR="003E7B51" w:rsidRPr="004C700A">
        <w:rPr>
          <w:rFonts w:asciiTheme="majorHAnsi" w:hAnsiTheme="majorHAnsi"/>
          <w:sz w:val="19"/>
          <w:szCs w:val="19"/>
          <w:lang w:val="es-ES"/>
        </w:rPr>
        <w:t>Al respecto</w:t>
      </w:r>
      <w:r w:rsidR="00835499"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la Comisión</w:t>
      </w:r>
      <w:r w:rsidR="008849E7" w:rsidRPr="004C700A">
        <w:rPr>
          <w:rFonts w:asciiTheme="majorHAnsi" w:hAnsiTheme="majorHAnsi"/>
          <w:sz w:val="19"/>
          <w:szCs w:val="19"/>
          <w:lang w:val="es-ES"/>
        </w:rPr>
        <w:t xml:space="preserve"> </w:t>
      </w:r>
      <w:r w:rsidR="003E7B51" w:rsidRPr="004C700A">
        <w:rPr>
          <w:rFonts w:asciiTheme="majorHAnsi" w:hAnsiTheme="majorHAnsi"/>
          <w:sz w:val="19"/>
          <w:szCs w:val="19"/>
          <w:lang w:val="es-ES"/>
        </w:rPr>
        <w:t xml:space="preserve">ya ha dispuesto </w:t>
      </w:r>
      <w:r w:rsidR="00835499" w:rsidRPr="004C700A">
        <w:rPr>
          <w:rFonts w:asciiTheme="majorHAnsi" w:hAnsiTheme="majorHAnsi"/>
          <w:sz w:val="19"/>
          <w:szCs w:val="19"/>
          <w:lang w:val="es-ES"/>
        </w:rPr>
        <w:t xml:space="preserve">que </w:t>
      </w:r>
      <w:r w:rsidR="003E7B51" w:rsidRPr="004C700A">
        <w:rPr>
          <w:rFonts w:asciiTheme="majorHAnsi" w:hAnsiTheme="majorHAnsi"/>
          <w:sz w:val="19"/>
          <w:szCs w:val="19"/>
          <w:lang w:val="es-ES"/>
        </w:rPr>
        <w:t>el</w:t>
      </w:r>
      <w:r w:rsidR="00835499" w:rsidRPr="004C700A">
        <w:rPr>
          <w:rFonts w:asciiTheme="majorHAnsi" w:hAnsiTheme="majorHAnsi"/>
          <w:sz w:val="19"/>
          <w:szCs w:val="19"/>
          <w:lang w:val="es-ES"/>
        </w:rPr>
        <w:t xml:space="preserve"> requisito d</w:t>
      </w:r>
      <w:r w:rsidR="003E7B51" w:rsidRPr="004C700A">
        <w:rPr>
          <w:rFonts w:asciiTheme="majorHAnsi" w:hAnsiTheme="majorHAnsi"/>
          <w:sz w:val="19"/>
          <w:szCs w:val="19"/>
          <w:lang w:val="es-ES"/>
        </w:rPr>
        <w:t>el</w:t>
      </w:r>
      <w:r w:rsidR="00835499"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agotamiento de los</w:t>
      </w:r>
      <w:r w:rsidR="00835499" w:rsidRPr="004C700A">
        <w:rPr>
          <w:rFonts w:asciiTheme="majorHAnsi" w:hAnsiTheme="majorHAnsi"/>
          <w:sz w:val="19"/>
          <w:szCs w:val="19"/>
          <w:lang w:val="es-ES"/>
        </w:rPr>
        <w:t xml:space="preserve"> recursos internos no significa que </w:t>
      </w:r>
      <w:r w:rsidR="003E7B51" w:rsidRPr="004C700A">
        <w:rPr>
          <w:rFonts w:asciiTheme="majorHAnsi" w:hAnsiTheme="majorHAnsi"/>
          <w:sz w:val="19"/>
          <w:szCs w:val="19"/>
          <w:lang w:val="es-ES"/>
        </w:rPr>
        <w:t>l</w:t>
      </w:r>
      <w:r w:rsidR="00835499" w:rsidRPr="004C700A">
        <w:rPr>
          <w:rFonts w:asciiTheme="majorHAnsi" w:hAnsiTheme="majorHAnsi"/>
          <w:sz w:val="19"/>
          <w:szCs w:val="19"/>
          <w:lang w:val="es-ES"/>
        </w:rPr>
        <w:t xml:space="preserve">as </w:t>
      </w:r>
      <w:r w:rsidR="00CB5655" w:rsidRPr="004C700A">
        <w:rPr>
          <w:rFonts w:asciiTheme="majorHAnsi" w:hAnsiTheme="majorHAnsi"/>
          <w:sz w:val="19"/>
          <w:szCs w:val="19"/>
          <w:lang w:val="es-ES"/>
        </w:rPr>
        <w:t>presuntas víctimas</w:t>
      </w:r>
      <w:r w:rsidR="00835499" w:rsidRPr="004C700A">
        <w:rPr>
          <w:rFonts w:asciiTheme="majorHAnsi" w:hAnsiTheme="majorHAnsi"/>
          <w:sz w:val="19"/>
          <w:szCs w:val="19"/>
          <w:lang w:val="es-ES"/>
        </w:rPr>
        <w:t xml:space="preserve"> </w:t>
      </w:r>
      <w:r w:rsidR="00736692" w:rsidRPr="004C700A">
        <w:rPr>
          <w:rFonts w:asciiTheme="majorHAnsi" w:hAnsiTheme="majorHAnsi"/>
          <w:sz w:val="19"/>
          <w:szCs w:val="19"/>
          <w:lang w:val="es-ES"/>
        </w:rPr>
        <w:t xml:space="preserve">estén obligadas </w:t>
      </w:r>
      <w:r w:rsidR="003E7B51" w:rsidRPr="004C700A">
        <w:rPr>
          <w:rFonts w:asciiTheme="majorHAnsi" w:hAnsiTheme="majorHAnsi"/>
          <w:sz w:val="19"/>
          <w:szCs w:val="19"/>
          <w:lang w:val="es-ES"/>
        </w:rPr>
        <w:t>necesariamente</w:t>
      </w:r>
      <w:r w:rsidR="00835499" w:rsidRPr="004C700A">
        <w:rPr>
          <w:rFonts w:asciiTheme="majorHAnsi" w:hAnsiTheme="majorHAnsi"/>
          <w:sz w:val="19"/>
          <w:szCs w:val="19"/>
          <w:lang w:val="es-ES"/>
        </w:rPr>
        <w:t xml:space="preserve"> </w:t>
      </w:r>
      <w:r w:rsidR="00736692" w:rsidRPr="004C700A">
        <w:rPr>
          <w:rFonts w:asciiTheme="majorHAnsi" w:hAnsiTheme="majorHAnsi"/>
          <w:sz w:val="19"/>
          <w:szCs w:val="19"/>
          <w:lang w:val="es-ES"/>
        </w:rPr>
        <w:t xml:space="preserve">a </w:t>
      </w:r>
      <w:r w:rsidR="003E7B51" w:rsidRPr="004C700A">
        <w:rPr>
          <w:rFonts w:asciiTheme="majorHAnsi" w:hAnsiTheme="majorHAnsi"/>
          <w:sz w:val="19"/>
          <w:szCs w:val="19"/>
          <w:lang w:val="es-ES"/>
        </w:rPr>
        <w:t>a</w:t>
      </w:r>
      <w:r w:rsidR="00835499" w:rsidRPr="004C700A">
        <w:rPr>
          <w:rFonts w:asciiTheme="majorHAnsi" w:hAnsiTheme="majorHAnsi"/>
          <w:sz w:val="19"/>
          <w:szCs w:val="19"/>
          <w:lang w:val="es-ES"/>
        </w:rPr>
        <w:t xml:space="preserve">gotar todos </w:t>
      </w:r>
      <w:r w:rsidR="003E7B51" w:rsidRPr="004C700A">
        <w:rPr>
          <w:rFonts w:asciiTheme="majorHAnsi" w:hAnsiTheme="majorHAnsi"/>
          <w:sz w:val="19"/>
          <w:szCs w:val="19"/>
          <w:lang w:val="es-ES"/>
        </w:rPr>
        <w:t>l</w:t>
      </w:r>
      <w:r w:rsidR="00835499" w:rsidRPr="004C700A">
        <w:rPr>
          <w:rFonts w:asciiTheme="majorHAnsi" w:hAnsiTheme="majorHAnsi"/>
          <w:sz w:val="19"/>
          <w:szCs w:val="19"/>
          <w:lang w:val="es-ES"/>
        </w:rPr>
        <w:t xml:space="preserve">os recursos que </w:t>
      </w:r>
      <w:r w:rsidR="003E7B51" w:rsidRPr="004C700A">
        <w:rPr>
          <w:rFonts w:asciiTheme="majorHAnsi" w:hAnsiTheme="majorHAnsi"/>
          <w:sz w:val="19"/>
          <w:szCs w:val="19"/>
          <w:lang w:val="es-ES"/>
        </w:rPr>
        <w:t>tengan</w:t>
      </w:r>
      <w:r w:rsidR="00835499" w:rsidRPr="004C700A">
        <w:rPr>
          <w:rFonts w:asciiTheme="majorHAnsi" w:hAnsiTheme="majorHAnsi"/>
          <w:sz w:val="19"/>
          <w:szCs w:val="19"/>
          <w:lang w:val="es-ES"/>
        </w:rPr>
        <w:t xml:space="preserve"> </w:t>
      </w:r>
      <w:r w:rsidR="003E7B51" w:rsidRPr="004C700A">
        <w:rPr>
          <w:rFonts w:asciiTheme="majorHAnsi" w:hAnsiTheme="majorHAnsi"/>
          <w:sz w:val="19"/>
          <w:szCs w:val="19"/>
          <w:lang w:val="es-ES"/>
        </w:rPr>
        <w:t>a su alcance. Por lo tanto, si l</w:t>
      </w:r>
      <w:r w:rsidR="00835499"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t>presunta víctima</w:t>
      </w:r>
      <w:r w:rsidR="003E7B51" w:rsidRPr="004C700A">
        <w:rPr>
          <w:rFonts w:asciiTheme="majorHAnsi" w:hAnsiTheme="majorHAnsi"/>
          <w:sz w:val="19"/>
          <w:szCs w:val="19"/>
          <w:lang w:val="es-ES"/>
        </w:rPr>
        <w:t xml:space="preserve"> </w:t>
      </w:r>
      <w:r w:rsidR="00835499" w:rsidRPr="004C700A">
        <w:rPr>
          <w:rFonts w:asciiTheme="majorHAnsi" w:hAnsiTheme="majorHAnsi"/>
          <w:sz w:val="19"/>
          <w:szCs w:val="19"/>
          <w:lang w:val="es-ES"/>
        </w:rPr>
        <w:t>p</w:t>
      </w:r>
      <w:r w:rsidR="003E7B51" w:rsidRPr="004C700A">
        <w:rPr>
          <w:rFonts w:asciiTheme="majorHAnsi" w:hAnsiTheme="majorHAnsi"/>
          <w:sz w:val="19"/>
          <w:szCs w:val="19"/>
          <w:lang w:val="es-ES"/>
        </w:rPr>
        <w:t>lanteó la cuestión</w:t>
      </w:r>
      <w:r w:rsidR="00835499" w:rsidRPr="004C700A">
        <w:rPr>
          <w:rFonts w:asciiTheme="majorHAnsi" w:hAnsiTheme="majorHAnsi"/>
          <w:sz w:val="19"/>
          <w:szCs w:val="19"/>
          <w:lang w:val="es-ES"/>
        </w:rPr>
        <w:t xml:space="preserve"> por </w:t>
      </w:r>
      <w:r w:rsidR="003E7B51" w:rsidRPr="004C700A">
        <w:rPr>
          <w:rFonts w:asciiTheme="majorHAnsi" w:hAnsiTheme="majorHAnsi"/>
          <w:sz w:val="19"/>
          <w:szCs w:val="19"/>
          <w:lang w:val="es-ES"/>
        </w:rPr>
        <w:t>medio</w:t>
      </w:r>
      <w:r w:rsidR="00835499" w:rsidRPr="004C700A">
        <w:rPr>
          <w:rFonts w:asciiTheme="majorHAnsi" w:hAnsiTheme="majorHAnsi"/>
          <w:sz w:val="19"/>
          <w:szCs w:val="19"/>
          <w:lang w:val="es-ES"/>
        </w:rPr>
        <w:t xml:space="preserve"> de algu</w:t>
      </w:r>
      <w:r w:rsidR="003E7B51" w:rsidRPr="004C700A">
        <w:rPr>
          <w:rFonts w:asciiTheme="majorHAnsi" w:hAnsiTheme="majorHAnsi"/>
          <w:sz w:val="19"/>
          <w:szCs w:val="19"/>
          <w:lang w:val="es-ES"/>
        </w:rPr>
        <w:t>n</w:t>
      </w:r>
      <w:r w:rsidR="00835499" w:rsidRPr="004C700A">
        <w:rPr>
          <w:rFonts w:asciiTheme="majorHAnsi" w:hAnsiTheme="majorHAnsi"/>
          <w:sz w:val="19"/>
          <w:szCs w:val="19"/>
          <w:lang w:val="es-ES"/>
        </w:rPr>
        <w:t>a d</w:t>
      </w:r>
      <w:r w:rsidR="003E7B51" w:rsidRPr="004C700A">
        <w:rPr>
          <w:rFonts w:asciiTheme="majorHAnsi" w:hAnsiTheme="majorHAnsi"/>
          <w:sz w:val="19"/>
          <w:szCs w:val="19"/>
          <w:lang w:val="es-ES"/>
        </w:rPr>
        <w:t>e l</w:t>
      </w:r>
      <w:r w:rsidR="00835499" w:rsidRPr="004C700A">
        <w:rPr>
          <w:rFonts w:asciiTheme="majorHAnsi" w:hAnsiTheme="majorHAnsi"/>
          <w:sz w:val="19"/>
          <w:szCs w:val="19"/>
          <w:lang w:val="es-ES"/>
        </w:rPr>
        <w:t xml:space="preserve">as alternativas válidas </w:t>
      </w:r>
      <w:r w:rsidR="003E7B51" w:rsidRPr="004C700A">
        <w:rPr>
          <w:rFonts w:asciiTheme="majorHAnsi" w:hAnsiTheme="majorHAnsi"/>
          <w:sz w:val="19"/>
          <w:szCs w:val="19"/>
          <w:lang w:val="es-ES"/>
        </w:rPr>
        <w:t>y</w:t>
      </w:r>
      <w:r w:rsidR="00835499" w:rsidRPr="004C700A">
        <w:rPr>
          <w:rFonts w:asciiTheme="majorHAnsi" w:hAnsiTheme="majorHAnsi"/>
          <w:sz w:val="19"/>
          <w:szCs w:val="19"/>
          <w:lang w:val="es-ES"/>
        </w:rPr>
        <w:t xml:space="preserve"> </w:t>
      </w:r>
      <w:r w:rsidR="003E7B51" w:rsidRPr="004C700A">
        <w:rPr>
          <w:rFonts w:asciiTheme="majorHAnsi" w:hAnsiTheme="majorHAnsi"/>
          <w:sz w:val="19"/>
          <w:szCs w:val="19"/>
          <w:lang w:val="es-ES"/>
        </w:rPr>
        <w:t>adecuadas</w:t>
      </w:r>
      <w:r w:rsidR="00835499" w:rsidRPr="004C700A">
        <w:rPr>
          <w:rFonts w:asciiTheme="majorHAnsi" w:hAnsiTheme="majorHAnsi"/>
          <w:sz w:val="19"/>
          <w:szCs w:val="19"/>
          <w:lang w:val="es-ES"/>
        </w:rPr>
        <w:t xml:space="preserve"> </w:t>
      </w:r>
      <w:r w:rsidR="003E7B51" w:rsidRPr="004C700A">
        <w:rPr>
          <w:rFonts w:asciiTheme="majorHAnsi" w:hAnsiTheme="majorHAnsi"/>
          <w:sz w:val="19"/>
          <w:szCs w:val="19"/>
          <w:lang w:val="es-ES"/>
        </w:rPr>
        <w:t>de acuerdo con las leyes</w:t>
      </w:r>
      <w:r w:rsidR="00835499" w:rsidRPr="004C700A">
        <w:rPr>
          <w:rFonts w:asciiTheme="majorHAnsi" w:hAnsiTheme="majorHAnsi"/>
          <w:sz w:val="19"/>
          <w:szCs w:val="19"/>
          <w:lang w:val="es-ES"/>
        </w:rPr>
        <w:t xml:space="preserve"> internas </w:t>
      </w:r>
      <w:r w:rsidR="003E7B51" w:rsidRPr="004C700A">
        <w:rPr>
          <w:rFonts w:asciiTheme="majorHAnsi" w:hAnsiTheme="majorHAnsi"/>
          <w:sz w:val="19"/>
          <w:szCs w:val="19"/>
          <w:lang w:val="es-ES"/>
        </w:rPr>
        <w:t>y</w:t>
      </w:r>
      <w:r w:rsidR="00835499"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el Estado</w:t>
      </w:r>
      <w:r w:rsidR="00835499" w:rsidRPr="004C700A">
        <w:rPr>
          <w:rFonts w:asciiTheme="majorHAnsi" w:hAnsiTheme="majorHAnsi"/>
          <w:sz w:val="19"/>
          <w:szCs w:val="19"/>
          <w:lang w:val="es-ES"/>
        </w:rPr>
        <w:t xml:space="preserve"> t</w:t>
      </w:r>
      <w:r w:rsidR="003E7B51" w:rsidRPr="004C700A">
        <w:rPr>
          <w:rFonts w:asciiTheme="majorHAnsi" w:hAnsiTheme="majorHAnsi"/>
          <w:sz w:val="19"/>
          <w:szCs w:val="19"/>
          <w:lang w:val="es-ES"/>
        </w:rPr>
        <w:t>uvo l</w:t>
      </w:r>
      <w:r w:rsidR="00835499" w:rsidRPr="004C700A">
        <w:rPr>
          <w:rFonts w:asciiTheme="majorHAnsi" w:hAnsiTheme="majorHAnsi"/>
          <w:sz w:val="19"/>
          <w:szCs w:val="19"/>
          <w:lang w:val="es-ES"/>
        </w:rPr>
        <w:t xml:space="preserve">a oportunidad de remediar </w:t>
      </w:r>
      <w:r w:rsidR="003E7B51" w:rsidRPr="004C700A">
        <w:rPr>
          <w:rFonts w:asciiTheme="majorHAnsi" w:hAnsiTheme="majorHAnsi"/>
          <w:sz w:val="19"/>
          <w:szCs w:val="19"/>
          <w:lang w:val="es-ES"/>
        </w:rPr>
        <w:t>l</w:t>
      </w:r>
      <w:r w:rsidR="00835499" w:rsidRPr="004C700A">
        <w:rPr>
          <w:rFonts w:asciiTheme="majorHAnsi" w:hAnsiTheme="majorHAnsi"/>
          <w:sz w:val="19"/>
          <w:szCs w:val="19"/>
          <w:lang w:val="es-ES"/>
        </w:rPr>
        <w:t xml:space="preserve">a </w:t>
      </w:r>
      <w:r w:rsidR="003E7B51" w:rsidRPr="004C700A">
        <w:rPr>
          <w:rFonts w:asciiTheme="majorHAnsi" w:hAnsiTheme="majorHAnsi"/>
          <w:sz w:val="19"/>
          <w:szCs w:val="19"/>
          <w:lang w:val="es-ES"/>
        </w:rPr>
        <w:t>c</w:t>
      </w:r>
      <w:r w:rsidR="00835499" w:rsidRPr="004C700A">
        <w:rPr>
          <w:rFonts w:asciiTheme="majorHAnsi" w:hAnsiTheme="majorHAnsi"/>
          <w:sz w:val="19"/>
          <w:szCs w:val="19"/>
          <w:lang w:val="es-ES"/>
        </w:rPr>
        <w:t>uest</w:t>
      </w:r>
      <w:r w:rsidR="003E7B51" w:rsidRPr="004C700A">
        <w:rPr>
          <w:rFonts w:asciiTheme="majorHAnsi" w:hAnsiTheme="majorHAnsi"/>
          <w:sz w:val="19"/>
          <w:szCs w:val="19"/>
          <w:lang w:val="es-ES"/>
        </w:rPr>
        <w:t>ión</w:t>
      </w:r>
      <w:r w:rsidR="00835499" w:rsidRPr="004C700A">
        <w:rPr>
          <w:rFonts w:asciiTheme="majorHAnsi" w:hAnsiTheme="majorHAnsi"/>
          <w:sz w:val="19"/>
          <w:szCs w:val="19"/>
          <w:lang w:val="es-ES"/>
        </w:rPr>
        <w:t xml:space="preserve"> e</w:t>
      </w:r>
      <w:r w:rsidR="003E7B51" w:rsidRPr="004C700A">
        <w:rPr>
          <w:rFonts w:asciiTheme="majorHAnsi" w:hAnsiTheme="majorHAnsi"/>
          <w:sz w:val="19"/>
          <w:szCs w:val="19"/>
          <w:lang w:val="es-ES"/>
        </w:rPr>
        <w:t>n</w:t>
      </w:r>
      <w:r w:rsidR="00835499" w:rsidRPr="004C700A">
        <w:rPr>
          <w:rFonts w:asciiTheme="majorHAnsi" w:hAnsiTheme="majorHAnsi"/>
          <w:sz w:val="19"/>
          <w:szCs w:val="19"/>
          <w:lang w:val="es-ES"/>
        </w:rPr>
        <w:t xml:space="preserve"> su jurisdi</w:t>
      </w:r>
      <w:r w:rsidR="003E7B51" w:rsidRPr="004C700A">
        <w:rPr>
          <w:rFonts w:asciiTheme="majorHAnsi" w:hAnsiTheme="majorHAnsi"/>
          <w:sz w:val="19"/>
          <w:szCs w:val="19"/>
          <w:lang w:val="es-ES"/>
        </w:rPr>
        <w:t xml:space="preserve">cción, el </w:t>
      </w:r>
      <w:r w:rsidR="00835499" w:rsidRPr="004C700A">
        <w:rPr>
          <w:rFonts w:asciiTheme="majorHAnsi" w:hAnsiTheme="majorHAnsi"/>
          <w:sz w:val="19"/>
          <w:szCs w:val="19"/>
          <w:lang w:val="es-ES"/>
        </w:rPr>
        <w:t>requisito d</w:t>
      </w:r>
      <w:r w:rsidR="003E7B51" w:rsidRPr="004C700A">
        <w:rPr>
          <w:rFonts w:asciiTheme="majorHAnsi" w:hAnsiTheme="majorHAnsi"/>
          <w:sz w:val="19"/>
          <w:szCs w:val="19"/>
          <w:lang w:val="es-ES"/>
        </w:rPr>
        <w:t>e l</w:t>
      </w:r>
      <w:r w:rsidR="00835499" w:rsidRPr="004C700A">
        <w:rPr>
          <w:rFonts w:asciiTheme="majorHAnsi" w:hAnsiTheme="majorHAnsi"/>
          <w:sz w:val="19"/>
          <w:szCs w:val="19"/>
          <w:lang w:val="es-ES"/>
        </w:rPr>
        <w:t xml:space="preserve">a norma internacional está </w:t>
      </w:r>
      <w:r w:rsidR="003E7B51" w:rsidRPr="004C700A">
        <w:rPr>
          <w:rFonts w:asciiTheme="majorHAnsi" w:hAnsiTheme="majorHAnsi"/>
          <w:sz w:val="19"/>
          <w:szCs w:val="19"/>
          <w:lang w:val="es-ES"/>
        </w:rPr>
        <w:t>cumplido</w:t>
      </w:r>
      <w:r w:rsidR="00835499" w:rsidRPr="004C700A">
        <w:rPr>
          <w:rStyle w:val="FootnoteReference"/>
          <w:rFonts w:asciiTheme="majorHAnsi" w:hAnsiTheme="majorHAnsi" w:cs="Calibri"/>
          <w:sz w:val="19"/>
          <w:szCs w:val="19"/>
          <w:lang w:val="es-ES"/>
        </w:rPr>
        <w:footnoteReference w:id="7"/>
      </w:r>
      <w:r w:rsidR="00835499" w:rsidRPr="004C700A">
        <w:rPr>
          <w:rFonts w:asciiTheme="majorHAnsi" w:hAnsiTheme="majorHAnsi"/>
          <w:sz w:val="19"/>
          <w:szCs w:val="19"/>
          <w:lang w:val="es-ES"/>
        </w:rPr>
        <w:t>.</w:t>
      </w:r>
      <w:r w:rsidR="00C40341" w:rsidRPr="004C700A">
        <w:rPr>
          <w:rFonts w:asciiTheme="majorHAnsi" w:hAnsiTheme="majorHAnsi"/>
          <w:sz w:val="19"/>
          <w:szCs w:val="19"/>
          <w:lang w:val="es-ES"/>
        </w:rPr>
        <w:t xml:space="preserve"> </w:t>
      </w:r>
    </w:p>
    <w:p w14:paraId="6A1204D2" w14:textId="657F4DC2" w:rsidR="00F55F3D" w:rsidRPr="004C700A" w:rsidRDefault="003E7B51" w:rsidP="00F935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En ese marco</w:t>
      </w:r>
      <w:r w:rsidR="00F93517"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la Comisión</w:t>
      </w:r>
      <w:r w:rsidR="00F93517" w:rsidRPr="004C700A">
        <w:rPr>
          <w:rFonts w:asciiTheme="majorHAnsi" w:hAnsiTheme="majorHAnsi"/>
          <w:sz w:val="19"/>
          <w:szCs w:val="19"/>
          <w:lang w:val="es-ES"/>
        </w:rPr>
        <w:t xml:space="preserve"> considera que </w:t>
      </w:r>
      <w:r w:rsidRPr="004C700A">
        <w:rPr>
          <w:rFonts w:asciiTheme="majorHAnsi" w:hAnsiTheme="majorHAnsi"/>
          <w:sz w:val="19"/>
          <w:szCs w:val="19"/>
          <w:lang w:val="es-ES"/>
        </w:rPr>
        <w:t>l</w:t>
      </w:r>
      <w:r w:rsidR="00F93517" w:rsidRPr="004C700A">
        <w:rPr>
          <w:rFonts w:asciiTheme="majorHAnsi" w:hAnsiTheme="majorHAnsi"/>
          <w:sz w:val="19"/>
          <w:szCs w:val="19"/>
          <w:lang w:val="es-ES"/>
        </w:rPr>
        <w:t>a a</w:t>
      </w:r>
      <w:r w:rsidRPr="004C700A">
        <w:rPr>
          <w:rFonts w:asciiTheme="majorHAnsi" w:hAnsiTheme="majorHAnsi"/>
          <w:sz w:val="19"/>
          <w:szCs w:val="19"/>
          <w:lang w:val="es-ES"/>
        </w:rPr>
        <w:t>cción</w:t>
      </w:r>
      <w:r w:rsidR="00F93517" w:rsidRPr="004C700A">
        <w:rPr>
          <w:rFonts w:asciiTheme="majorHAnsi" w:hAnsiTheme="majorHAnsi"/>
          <w:sz w:val="19"/>
          <w:szCs w:val="19"/>
          <w:lang w:val="es-ES"/>
        </w:rPr>
        <w:t xml:space="preserve"> penal </w:t>
      </w:r>
      <w:r w:rsidRPr="004C700A">
        <w:rPr>
          <w:rFonts w:asciiTheme="majorHAnsi" w:hAnsiTheme="majorHAnsi"/>
          <w:sz w:val="19"/>
          <w:szCs w:val="19"/>
          <w:lang w:val="es-ES"/>
        </w:rPr>
        <w:t xml:space="preserve">interpuesta </w:t>
      </w:r>
      <w:r w:rsidR="00F93517" w:rsidRPr="004C700A">
        <w:rPr>
          <w:rFonts w:asciiTheme="majorHAnsi" w:hAnsiTheme="majorHAnsi"/>
          <w:sz w:val="19"/>
          <w:szCs w:val="19"/>
          <w:lang w:val="es-ES"/>
        </w:rPr>
        <w:t xml:space="preserve">contra </w:t>
      </w:r>
      <w:r w:rsidRPr="004C700A">
        <w:rPr>
          <w:rFonts w:asciiTheme="majorHAnsi" w:hAnsiTheme="majorHAnsi"/>
          <w:sz w:val="19"/>
          <w:szCs w:val="19"/>
          <w:lang w:val="es-ES"/>
        </w:rPr>
        <w:t>l</w:t>
      </w:r>
      <w:r w:rsidR="00F93517" w:rsidRPr="004C700A">
        <w:rPr>
          <w:rFonts w:asciiTheme="majorHAnsi" w:hAnsiTheme="majorHAnsi"/>
          <w:sz w:val="19"/>
          <w:szCs w:val="19"/>
          <w:lang w:val="es-ES"/>
        </w:rPr>
        <w:t xml:space="preserve">os </w:t>
      </w:r>
      <w:r w:rsidRPr="004C700A">
        <w:rPr>
          <w:rFonts w:asciiTheme="majorHAnsi" w:hAnsiTheme="majorHAnsi"/>
          <w:sz w:val="19"/>
          <w:szCs w:val="19"/>
          <w:lang w:val="es-ES"/>
        </w:rPr>
        <w:t>agentes de la policía militar</w:t>
      </w:r>
      <w:r w:rsidR="00F93517" w:rsidRPr="004C700A">
        <w:rPr>
          <w:rFonts w:asciiTheme="majorHAnsi" w:hAnsiTheme="majorHAnsi"/>
          <w:sz w:val="19"/>
          <w:szCs w:val="19"/>
          <w:lang w:val="es-ES"/>
        </w:rPr>
        <w:t xml:space="preserve"> </w:t>
      </w:r>
      <w:r w:rsidRPr="004C700A">
        <w:rPr>
          <w:rFonts w:asciiTheme="majorHAnsi" w:hAnsiTheme="majorHAnsi"/>
          <w:sz w:val="19"/>
          <w:szCs w:val="19"/>
          <w:lang w:val="es-ES"/>
        </w:rPr>
        <w:t>involucrados e</w:t>
      </w:r>
      <w:r w:rsidR="00F93517" w:rsidRPr="004C700A">
        <w:rPr>
          <w:rFonts w:asciiTheme="majorHAnsi" w:hAnsiTheme="majorHAnsi"/>
          <w:sz w:val="19"/>
          <w:szCs w:val="19"/>
          <w:lang w:val="es-ES"/>
        </w:rPr>
        <w:t>n</w:t>
      </w:r>
      <w:r w:rsidRPr="004C700A">
        <w:rPr>
          <w:rFonts w:asciiTheme="majorHAnsi" w:hAnsiTheme="majorHAnsi"/>
          <w:sz w:val="19"/>
          <w:szCs w:val="19"/>
          <w:lang w:val="es-ES"/>
        </w:rPr>
        <w:t xml:space="preserve"> l</w:t>
      </w:r>
      <w:r w:rsidR="00F93517" w:rsidRPr="004C700A">
        <w:rPr>
          <w:rFonts w:asciiTheme="majorHAnsi" w:hAnsiTheme="majorHAnsi"/>
          <w:sz w:val="19"/>
          <w:szCs w:val="19"/>
          <w:lang w:val="es-ES"/>
        </w:rPr>
        <w:t xml:space="preserve">os </w:t>
      </w:r>
      <w:r w:rsidRPr="004C700A">
        <w:rPr>
          <w:rFonts w:asciiTheme="majorHAnsi" w:hAnsiTheme="majorHAnsi"/>
          <w:sz w:val="19"/>
          <w:szCs w:val="19"/>
          <w:lang w:val="es-ES"/>
        </w:rPr>
        <w:t xml:space="preserve">hechos se </w:t>
      </w:r>
      <w:r w:rsidR="008A49EC" w:rsidRPr="004C700A">
        <w:rPr>
          <w:rFonts w:asciiTheme="majorHAnsi" w:hAnsiTheme="majorHAnsi"/>
          <w:sz w:val="19"/>
          <w:szCs w:val="19"/>
          <w:lang w:val="es-ES"/>
        </w:rPr>
        <w:t>considera</w:t>
      </w:r>
      <w:r w:rsidRPr="004C700A">
        <w:rPr>
          <w:rFonts w:asciiTheme="majorHAnsi" w:hAnsiTheme="majorHAnsi"/>
          <w:sz w:val="19"/>
          <w:szCs w:val="19"/>
          <w:lang w:val="es-ES"/>
        </w:rPr>
        <w:t xml:space="preserve"> como un </w:t>
      </w:r>
      <w:r w:rsidR="00F93517" w:rsidRPr="004C700A">
        <w:rPr>
          <w:rFonts w:asciiTheme="majorHAnsi" w:hAnsiTheme="majorHAnsi"/>
          <w:sz w:val="19"/>
          <w:szCs w:val="19"/>
          <w:lang w:val="es-ES"/>
        </w:rPr>
        <w:t xml:space="preserve">recurso </w:t>
      </w:r>
      <w:r w:rsidRPr="004C700A">
        <w:rPr>
          <w:rFonts w:asciiTheme="majorHAnsi" w:hAnsiTheme="majorHAnsi"/>
          <w:sz w:val="19"/>
          <w:szCs w:val="19"/>
          <w:lang w:val="es-ES"/>
        </w:rPr>
        <w:t>adecuado</w:t>
      </w:r>
      <w:r w:rsidR="00F93517" w:rsidRPr="004C700A">
        <w:rPr>
          <w:rFonts w:asciiTheme="majorHAnsi" w:hAnsiTheme="majorHAnsi"/>
          <w:sz w:val="19"/>
          <w:szCs w:val="19"/>
          <w:lang w:val="es-ES"/>
        </w:rPr>
        <w:t xml:space="preserve"> </w:t>
      </w:r>
      <w:r w:rsidRPr="004C700A">
        <w:rPr>
          <w:rFonts w:asciiTheme="majorHAnsi" w:hAnsiTheme="majorHAnsi"/>
          <w:sz w:val="19"/>
          <w:szCs w:val="19"/>
          <w:lang w:val="es-ES"/>
        </w:rPr>
        <w:t xml:space="preserve">y, por lo </w:t>
      </w:r>
      <w:r w:rsidR="00F93517" w:rsidRPr="004C700A">
        <w:rPr>
          <w:rFonts w:asciiTheme="majorHAnsi" w:hAnsiTheme="majorHAnsi"/>
          <w:sz w:val="19"/>
          <w:szCs w:val="19"/>
          <w:lang w:val="es-ES"/>
        </w:rPr>
        <w:t xml:space="preserve">tanto, </w:t>
      </w:r>
      <w:r w:rsidRPr="004C700A">
        <w:rPr>
          <w:rFonts w:asciiTheme="majorHAnsi" w:hAnsiTheme="majorHAnsi"/>
          <w:sz w:val="19"/>
          <w:szCs w:val="19"/>
          <w:lang w:val="es-ES"/>
        </w:rPr>
        <w:t>se agot</w:t>
      </w:r>
      <w:r w:rsidR="00736692" w:rsidRPr="004C700A">
        <w:rPr>
          <w:rFonts w:asciiTheme="majorHAnsi" w:hAnsiTheme="majorHAnsi"/>
          <w:sz w:val="19"/>
          <w:szCs w:val="19"/>
          <w:lang w:val="es-ES"/>
        </w:rPr>
        <w:t>aron</w:t>
      </w:r>
      <w:r w:rsidRPr="004C700A">
        <w:rPr>
          <w:rFonts w:asciiTheme="majorHAnsi" w:hAnsiTheme="majorHAnsi"/>
          <w:sz w:val="19"/>
          <w:szCs w:val="19"/>
          <w:lang w:val="es-ES"/>
        </w:rPr>
        <w:t xml:space="preserve"> debidamente</w:t>
      </w:r>
      <w:r w:rsidR="00F93517" w:rsidRPr="004C700A">
        <w:rPr>
          <w:rFonts w:asciiTheme="majorHAnsi" w:hAnsiTheme="majorHAnsi"/>
          <w:sz w:val="19"/>
          <w:szCs w:val="19"/>
          <w:lang w:val="es-ES"/>
        </w:rPr>
        <w:t xml:space="preserve"> </w:t>
      </w:r>
      <w:r w:rsidR="00736692" w:rsidRPr="004C700A">
        <w:rPr>
          <w:rFonts w:asciiTheme="majorHAnsi" w:hAnsiTheme="majorHAnsi"/>
          <w:sz w:val="19"/>
          <w:szCs w:val="19"/>
          <w:lang w:val="es-ES"/>
        </w:rPr>
        <w:t xml:space="preserve">los recursos </w:t>
      </w:r>
      <w:r w:rsidR="00F93517" w:rsidRPr="004C700A">
        <w:rPr>
          <w:rFonts w:asciiTheme="majorHAnsi" w:hAnsiTheme="majorHAnsi"/>
          <w:sz w:val="19"/>
          <w:szCs w:val="19"/>
          <w:lang w:val="es-ES"/>
        </w:rPr>
        <w:t>intern</w:t>
      </w:r>
      <w:r w:rsidRPr="004C700A">
        <w:rPr>
          <w:rFonts w:asciiTheme="majorHAnsi" w:hAnsiTheme="majorHAnsi"/>
          <w:sz w:val="19"/>
          <w:szCs w:val="19"/>
          <w:lang w:val="es-ES"/>
        </w:rPr>
        <w:t>o</w:t>
      </w:r>
      <w:r w:rsidR="00736692" w:rsidRPr="004C700A">
        <w:rPr>
          <w:rFonts w:asciiTheme="majorHAnsi" w:hAnsiTheme="majorHAnsi"/>
          <w:sz w:val="19"/>
          <w:szCs w:val="19"/>
          <w:lang w:val="es-ES"/>
        </w:rPr>
        <w:t>s</w:t>
      </w:r>
      <w:r w:rsidR="00F93517" w:rsidRPr="004C700A">
        <w:rPr>
          <w:rFonts w:asciiTheme="majorHAnsi" w:hAnsiTheme="majorHAnsi"/>
          <w:sz w:val="19"/>
          <w:szCs w:val="19"/>
          <w:lang w:val="es-ES"/>
        </w:rPr>
        <w:t xml:space="preserve">. </w:t>
      </w:r>
      <w:r w:rsidRPr="004C700A">
        <w:rPr>
          <w:rFonts w:asciiTheme="majorHAnsi" w:hAnsiTheme="majorHAnsi"/>
          <w:sz w:val="19"/>
          <w:szCs w:val="19"/>
          <w:lang w:val="es-ES"/>
        </w:rPr>
        <w:t xml:space="preserve">Cabe destacar </w:t>
      </w:r>
      <w:r w:rsidR="00F55F3D" w:rsidRPr="004C700A">
        <w:rPr>
          <w:rFonts w:asciiTheme="majorHAnsi" w:hAnsiTheme="majorHAnsi"/>
          <w:sz w:val="19"/>
          <w:szCs w:val="19"/>
          <w:lang w:val="es-ES"/>
        </w:rPr>
        <w:t>que, a</w:t>
      </w:r>
      <w:r w:rsidRPr="004C700A">
        <w:rPr>
          <w:rFonts w:asciiTheme="majorHAnsi" w:hAnsiTheme="majorHAnsi"/>
          <w:sz w:val="19"/>
          <w:szCs w:val="19"/>
          <w:lang w:val="es-ES"/>
        </w:rPr>
        <w:t>l</w:t>
      </w:r>
      <w:r w:rsidR="00F55F3D" w:rsidRPr="004C700A">
        <w:rPr>
          <w:rFonts w:asciiTheme="majorHAnsi" w:hAnsiTheme="majorHAnsi"/>
          <w:sz w:val="19"/>
          <w:szCs w:val="19"/>
          <w:lang w:val="es-ES"/>
        </w:rPr>
        <w:t xml:space="preserve"> admitir esta peti</w:t>
      </w:r>
      <w:r w:rsidRPr="004C700A">
        <w:rPr>
          <w:rFonts w:asciiTheme="majorHAnsi" w:hAnsiTheme="majorHAnsi"/>
          <w:sz w:val="19"/>
          <w:szCs w:val="19"/>
          <w:lang w:val="es-ES"/>
        </w:rPr>
        <w:t>ción, la Comisión no se propone cuestionar la competencia</w:t>
      </w:r>
      <w:r w:rsidR="00F55F3D" w:rsidRPr="004C700A">
        <w:rPr>
          <w:rFonts w:asciiTheme="majorHAnsi" w:hAnsiTheme="majorHAnsi"/>
          <w:sz w:val="19"/>
          <w:szCs w:val="19"/>
          <w:lang w:val="es-ES"/>
        </w:rPr>
        <w:t xml:space="preserve"> d</w:t>
      </w:r>
      <w:r w:rsidRPr="004C700A">
        <w:rPr>
          <w:rFonts w:asciiTheme="majorHAnsi" w:hAnsiTheme="majorHAnsi"/>
          <w:sz w:val="19"/>
          <w:szCs w:val="19"/>
          <w:lang w:val="es-ES"/>
        </w:rPr>
        <w:t>e la</w:t>
      </w:r>
      <w:r w:rsidR="00F55F3D" w:rsidRPr="004C700A">
        <w:rPr>
          <w:rFonts w:asciiTheme="majorHAnsi" w:hAnsiTheme="majorHAnsi"/>
          <w:sz w:val="19"/>
          <w:szCs w:val="19"/>
          <w:lang w:val="es-ES"/>
        </w:rPr>
        <w:t>s autoridades judicia</w:t>
      </w:r>
      <w:r w:rsidRPr="004C700A">
        <w:rPr>
          <w:rFonts w:asciiTheme="majorHAnsi" w:hAnsiTheme="majorHAnsi"/>
          <w:sz w:val="19"/>
          <w:szCs w:val="19"/>
          <w:lang w:val="es-ES"/>
        </w:rPr>
        <w:t xml:space="preserve">les internas, sino determinar en la </w:t>
      </w:r>
      <w:r w:rsidR="00F55F3D" w:rsidRPr="004C700A">
        <w:rPr>
          <w:rFonts w:asciiTheme="majorHAnsi" w:hAnsiTheme="majorHAnsi"/>
          <w:sz w:val="19"/>
          <w:szCs w:val="19"/>
          <w:lang w:val="es-ES"/>
        </w:rPr>
        <w:t xml:space="preserve">etapa de </w:t>
      </w:r>
      <w:r w:rsidRPr="004C700A">
        <w:rPr>
          <w:rFonts w:asciiTheme="majorHAnsi" w:hAnsiTheme="majorHAnsi"/>
          <w:sz w:val="19"/>
          <w:szCs w:val="19"/>
          <w:lang w:val="es-ES"/>
        </w:rPr>
        <w:t>fondo si en l</w:t>
      </w:r>
      <w:r w:rsidR="00F55F3D" w:rsidRPr="004C700A">
        <w:rPr>
          <w:rFonts w:asciiTheme="majorHAnsi" w:hAnsiTheme="majorHAnsi"/>
          <w:sz w:val="19"/>
          <w:szCs w:val="19"/>
          <w:lang w:val="es-ES"/>
        </w:rPr>
        <w:t xml:space="preserve">os </w:t>
      </w:r>
      <w:r w:rsidRPr="004C700A">
        <w:rPr>
          <w:rFonts w:asciiTheme="majorHAnsi" w:hAnsiTheme="majorHAnsi"/>
          <w:sz w:val="19"/>
          <w:szCs w:val="19"/>
          <w:lang w:val="es-ES"/>
        </w:rPr>
        <w:t>procesos</w:t>
      </w:r>
      <w:r w:rsidR="00F55F3D" w:rsidRPr="004C700A">
        <w:rPr>
          <w:rFonts w:asciiTheme="majorHAnsi" w:hAnsiTheme="majorHAnsi"/>
          <w:sz w:val="19"/>
          <w:szCs w:val="19"/>
          <w:lang w:val="es-ES"/>
        </w:rPr>
        <w:t xml:space="preserve"> judicia</w:t>
      </w:r>
      <w:r w:rsidRPr="004C700A">
        <w:rPr>
          <w:rFonts w:asciiTheme="majorHAnsi" w:hAnsiTheme="majorHAnsi"/>
          <w:sz w:val="19"/>
          <w:szCs w:val="19"/>
          <w:lang w:val="es-ES"/>
        </w:rPr>
        <w:t>le</w:t>
      </w:r>
      <w:r w:rsidR="00F55F3D" w:rsidRPr="004C700A">
        <w:rPr>
          <w:rFonts w:asciiTheme="majorHAnsi" w:hAnsiTheme="majorHAnsi"/>
          <w:sz w:val="19"/>
          <w:szCs w:val="19"/>
          <w:lang w:val="es-ES"/>
        </w:rPr>
        <w:t xml:space="preserve">s internos </w:t>
      </w:r>
      <w:r w:rsidRPr="004C700A">
        <w:rPr>
          <w:rFonts w:asciiTheme="majorHAnsi" w:hAnsiTheme="majorHAnsi"/>
          <w:sz w:val="19"/>
          <w:szCs w:val="19"/>
          <w:lang w:val="es-ES"/>
        </w:rPr>
        <w:t>se garantizaron el debido proceso</w:t>
      </w:r>
      <w:r w:rsidR="00F55F3D" w:rsidRPr="004C700A">
        <w:rPr>
          <w:rFonts w:asciiTheme="majorHAnsi" w:hAnsiTheme="majorHAnsi"/>
          <w:sz w:val="19"/>
          <w:szCs w:val="19"/>
          <w:lang w:val="es-ES"/>
        </w:rPr>
        <w:t xml:space="preserve"> </w:t>
      </w:r>
      <w:r w:rsidRPr="004C700A">
        <w:rPr>
          <w:rFonts w:asciiTheme="majorHAnsi" w:hAnsiTheme="majorHAnsi"/>
          <w:sz w:val="19"/>
          <w:szCs w:val="19"/>
          <w:lang w:val="es-ES"/>
        </w:rPr>
        <w:t>y la</w:t>
      </w:r>
      <w:r w:rsidR="00F55F3D" w:rsidRPr="004C700A">
        <w:rPr>
          <w:rFonts w:asciiTheme="majorHAnsi" w:hAnsiTheme="majorHAnsi"/>
          <w:sz w:val="19"/>
          <w:szCs w:val="19"/>
          <w:lang w:val="es-ES"/>
        </w:rPr>
        <w:t xml:space="preserve"> </w:t>
      </w:r>
      <w:r w:rsidR="00C44F5F" w:rsidRPr="004C700A">
        <w:rPr>
          <w:rFonts w:asciiTheme="majorHAnsi" w:hAnsiTheme="majorHAnsi"/>
          <w:sz w:val="19"/>
          <w:szCs w:val="19"/>
          <w:lang w:val="es-ES"/>
        </w:rPr>
        <w:t>protección</w:t>
      </w:r>
      <w:r w:rsidR="00F55F3D" w:rsidRPr="004C700A">
        <w:rPr>
          <w:rFonts w:asciiTheme="majorHAnsi" w:hAnsiTheme="majorHAnsi"/>
          <w:sz w:val="19"/>
          <w:szCs w:val="19"/>
          <w:lang w:val="es-ES"/>
        </w:rPr>
        <w:t xml:space="preserve"> judicial, a</w:t>
      </w:r>
      <w:r w:rsidRPr="004C700A">
        <w:rPr>
          <w:rFonts w:asciiTheme="majorHAnsi" w:hAnsiTheme="majorHAnsi"/>
          <w:sz w:val="19"/>
          <w:szCs w:val="19"/>
          <w:lang w:val="es-ES"/>
        </w:rPr>
        <w:t xml:space="preserve">demás de ofrecer las garantías debidas de acceso a la justicia </w:t>
      </w:r>
      <w:r w:rsidR="00F55F3D" w:rsidRPr="004C700A">
        <w:rPr>
          <w:rFonts w:asciiTheme="majorHAnsi" w:hAnsiTheme="majorHAnsi"/>
          <w:sz w:val="19"/>
          <w:szCs w:val="19"/>
          <w:lang w:val="es-ES"/>
        </w:rPr>
        <w:t xml:space="preserve">para </w:t>
      </w:r>
      <w:r w:rsidRPr="004C700A">
        <w:rPr>
          <w:rFonts w:asciiTheme="majorHAnsi" w:hAnsiTheme="majorHAnsi"/>
          <w:sz w:val="19"/>
          <w:szCs w:val="19"/>
          <w:lang w:val="es-ES"/>
        </w:rPr>
        <w:t>l</w:t>
      </w:r>
      <w:r w:rsidR="00F55F3D"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t>presunta víctima</w:t>
      </w:r>
      <w:r w:rsidR="00F55F3D" w:rsidRPr="004C700A">
        <w:rPr>
          <w:rFonts w:asciiTheme="majorHAnsi" w:hAnsiTheme="majorHAnsi"/>
          <w:sz w:val="19"/>
          <w:szCs w:val="19"/>
          <w:lang w:val="es-ES"/>
        </w:rPr>
        <w:t xml:space="preserve"> </w:t>
      </w:r>
      <w:r w:rsidRPr="004C700A">
        <w:rPr>
          <w:rFonts w:asciiTheme="majorHAnsi" w:hAnsiTheme="majorHAnsi"/>
          <w:sz w:val="19"/>
          <w:szCs w:val="19"/>
          <w:lang w:val="es-ES"/>
        </w:rPr>
        <w:t xml:space="preserve">según lo dispuesto en la </w:t>
      </w:r>
      <w:r w:rsidR="000F68FF" w:rsidRPr="004C700A">
        <w:rPr>
          <w:rFonts w:asciiTheme="majorHAnsi" w:hAnsiTheme="majorHAnsi"/>
          <w:sz w:val="19"/>
          <w:szCs w:val="19"/>
          <w:lang w:val="es-ES"/>
        </w:rPr>
        <w:t>Convención Americana</w:t>
      </w:r>
      <w:r w:rsidR="00F55F3D" w:rsidRPr="004C700A">
        <w:rPr>
          <w:rFonts w:asciiTheme="majorHAnsi" w:hAnsiTheme="majorHAnsi"/>
          <w:sz w:val="19"/>
          <w:szCs w:val="19"/>
          <w:lang w:val="es-ES"/>
        </w:rPr>
        <w:t>.</w:t>
      </w:r>
    </w:p>
    <w:p w14:paraId="3D0B14B0" w14:textId="0466D1CA" w:rsidR="00F97337" w:rsidRPr="004C700A" w:rsidRDefault="00F93517" w:rsidP="00F935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E</w:t>
      </w:r>
      <w:r w:rsidR="003E7B51" w:rsidRPr="004C700A">
        <w:rPr>
          <w:rFonts w:asciiTheme="majorHAnsi" w:hAnsiTheme="majorHAnsi"/>
          <w:sz w:val="19"/>
          <w:szCs w:val="19"/>
          <w:lang w:val="es-ES"/>
        </w:rPr>
        <w:t>n relación con la necesidad</w:t>
      </w:r>
      <w:r w:rsidRPr="004C700A">
        <w:rPr>
          <w:rFonts w:asciiTheme="majorHAnsi" w:hAnsiTheme="majorHAnsi"/>
          <w:sz w:val="19"/>
          <w:szCs w:val="19"/>
          <w:lang w:val="es-ES"/>
        </w:rPr>
        <w:t xml:space="preserve"> de presentar </w:t>
      </w:r>
      <w:r w:rsidR="003E7B51" w:rsidRPr="004C700A">
        <w:rPr>
          <w:rFonts w:asciiTheme="majorHAnsi" w:hAnsiTheme="majorHAnsi"/>
          <w:sz w:val="19"/>
          <w:szCs w:val="19"/>
          <w:lang w:val="es-ES"/>
        </w:rPr>
        <w:t>denuncias</w:t>
      </w:r>
      <w:r w:rsidR="008A49EC" w:rsidRPr="004C700A">
        <w:rPr>
          <w:rFonts w:asciiTheme="majorHAnsi" w:hAnsiTheme="majorHAnsi"/>
          <w:sz w:val="19"/>
          <w:szCs w:val="19"/>
          <w:lang w:val="es-ES"/>
        </w:rPr>
        <w:t xml:space="preserve"> </w:t>
      </w:r>
      <w:r w:rsidR="003E7B51" w:rsidRPr="004C700A">
        <w:rPr>
          <w:rFonts w:asciiTheme="majorHAnsi" w:hAnsiTheme="majorHAnsi"/>
          <w:sz w:val="19"/>
          <w:szCs w:val="19"/>
          <w:lang w:val="es-ES"/>
        </w:rPr>
        <w:t>y</w:t>
      </w:r>
      <w:r w:rsidR="008A49EC" w:rsidRPr="004C700A">
        <w:rPr>
          <w:rFonts w:asciiTheme="majorHAnsi" w:hAnsiTheme="majorHAnsi"/>
          <w:sz w:val="19"/>
          <w:szCs w:val="19"/>
          <w:lang w:val="es-ES"/>
        </w:rPr>
        <w:t xml:space="preserve"> quejas ante</w:t>
      </w:r>
      <w:r w:rsidRPr="004C700A">
        <w:rPr>
          <w:rFonts w:asciiTheme="majorHAnsi" w:hAnsiTheme="majorHAnsi"/>
          <w:sz w:val="19"/>
          <w:szCs w:val="19"/>
          <w:lang w:val="es-ES"/>
        </w:rPr>
        <w:t xml:space="preserve"> institu</w:t>
      </w:r>
      <w:r w:rsidR="003E7B51" w:rsidRPr="004C700A">
        <w:rPr>
          <w:rFonts w:asciiTheme="majorHAnsi" w:hAnsiTheme="majorHAnsi"/>
          <w:sz w:val="19"/>
          <w:szCs w:val="19"/>
          <w:lang w:val="es-ES"/>
        </w:rPr>
        <w:t>ciones no</w:t>
      </w:r>
      <w:r w:rsidRPr="004C700A">
        <w:rPr>
          <w:rFonts w:asciiTheme="majorHAnsi" w:hAnsiTheme="majorHAnsi"/>
          <w:sz w:val="19"/>
          <w:szCs w:val="19"/>
          <w:lang w:val="es-ES"/>
        </w:rPr>
        <w:t xml:space="preserve"> judicia</w:t>
      </w:r>
      <w:r w:rsidR="003E7B51" w:rsidRPr="004C700A">
        <w:rPr>
          <w:rFonts w:asciiTheme="majorHAnsi" w:hAnsiTheme="majorHAnsi"/>
          <w:sz w:val="19"/>
          <w:szCs w:val="19"/>
          <w:lang w:val="es-ES"/>
        </w:rPr>
        <w:t>le</w:t>
      </w:r>
      <w:r w:rsidRPr="004C700A">
        <w:rPr>
          <w:rFonts w:asciiTheme="majorHAnsi" w:hAnsiTheme="majorHAnsi"/>
          <w:sz w:val="19"/>
          <w:szCs w:val="19"/>
          <w:lang w:val="es-ES"/>
        </w:rPr>
        <w:t>s</w:t>
      </w:r>
      <w:r w:rsidR="003E7B51" w:rsidRPr="004C700A">
        <w:rPr>
          <w:rFonts w:asciiTheme="majorHAnsi" w:hAnsiTheme="majorHAnsi"/>
          <w:sz w:val="19"/>
          <w:szCs w:val="19"/>
          <w:lang w:val="es-ES"/>
        </w:rPr>
        <w:t>,</w:t>
      </w:r>
      <w:r w:rsidRPr="004C700A">
        <w:rPr>
          <w:rFonts w:asciiTheme="majorHAnsi" w:hAnsiTheme="majorHAnsi"/>
          <w:sz w:val="19"/>
          <w:szCs w:val="19"/>
          <w:lang w:val="es-ES"/>
        </w:rPr>
        <w:t xml:space="preserve"> como</w:t>
      </w:r>
      <w:r w:rsidR="003E7B51" w:rsidRPr="004C700A">
        <w:rPr>
          <w:rFonts w:asciiTheme="majorHAnsi" w:hAnsiTheme="majorHAnsi"/>
          <w:sz w:val="19"/>
          <w:szCs w:val="19"/>
          <w:lang w:val="es-ES"/>
        </w:rPr>
        <w:t xml:space="preserve"> el </w:t>
      </w:r>
      <w:r w:rsidRPr="004C700A">
        <w:rPr>
          <w:rFonts w:asciiTheme="majorHAnsi" w:hAnsiTheme="majorHAnsi"/>
          <w:sz w:val="19"/>
          <w:szCs w:val="19"/>
          <w:lang w:val="es-ES"/>
        </w:rPr>
        <w:t>Conse</w:t>
      </w:r>
      <w:r w:rsidR="003E7B51" w:rsidRPr="004C700A">
        <w:rPr>
          <w:rFonts w:asciiTheme="majorHAnsi" w:hAnsiTheme="majorHAnsi"/>
          <w:sz w:val="19"/>
          <w:szCs w:val="19"/>
          <w:lang w:val="es-ES"/>
        </w:rPr>
        <w:t>j</w:t>
      </w:r>
      <w:r w:rsidRPr="004C700A">
        <w:rPr>
          <w:rFonts w:asciiTheme="majorHAnsi" w:hAnsiTheme="majorHAnsi"/>
          <w:sz w:val="19"/>
          <w:szCs w:val="19"/>
          <w:lang w:val="es-ES"/>
        </w:rPr>
        <w:t>o Nacional de Justi</w:t>
      </w:r>
      <w:r w:rsidR="003E7B51" w:rsidRPr="004C700A">
        <w:rPr>
          <w:rFonts w:asciiTheme="majorHAnsi" w:hAnsiTheme="majorHAnsi"/>
          <w:sz w:val="19"/>
          <w:szCs w:val="19"/>
          <w:lang w:val="es-ES"/>
        </w:rPr>
        <w:t>cia</w:t>
      </w:r>
      <w:r w:rsidRPr="004C700A">
        <w:rPr>
          <w:rFonts w:asciiTheme="majorHAnsi" w:hAnsiTheme="majorHAnsi"/>
          <w:sz w:val="19"/>
          <w:szCs w:val="19"/>
          <w:lang w:val="es-ES"/>
        </w:rPr>
        <w:t xml:space="preserve">, </w:t>
      </w:r>
      <w:r w:rsidR="003E7B51" w:rsidRPr="004C700A">
        <w:rPr>
          <w:rFonts w:asciiTheme="majorHAnsi" w:hAnsiTheme="majorHAnsi"/>
          <w:sz w:val="19"/>
          <w:szCs w:val="19"/>
          <w:lang w:val="es-ES"/>
        </w:rPr>
        <w:t xml:space="preserve">se </w:t>
      </w:r>
      <w:r w:rsidRPr="004C700A">
        <w:rPr>
          <w:rFonts w:asciiTheme="majorHAnsi" w:hAnsiTheme="majorHAnsi"/>
          <w:sz w:val="19"/>
          <w:szCs w:val="19"/>
          <w:lang w:val="es-ES"/>
        </w:rPr>
        <w:t xml:space="preserve">considera que estas iniciativas no </w:t>
      </w:r>
      <w:r w:rsidR="003E7B51" w:rsidRPr="004C700A">
        <w:rPr>
          <w:rFonts w:asciiTheme="majorHAnsi" w:hAnsiTheme="majorHAnsi"/>
          <w:sz w:val="19"/>
          <w:szCs w:val="19"/>
          <w:lang w:val="es-ES"/>
        </w:rPr>
        <w:t>constituyen</w:t>
      </w:r>
      <w:r w:rsidRPr="004C700A">
        <w:rPr>
          <w:rFonts w:asciiTheme="majorHAnsi" w:hAnsiTheme="majorHAnsi"/>
          <w:sz w:val="19"/>
          <w:szCs w:val="19"/>
          <w:lang w:val="es-ES"/>
        </w:rPr>
        <w:t xml:space="preserve"> recursos </w:t>
      </w:r>
      <w:r w:rsidR="003E7B51" w:rsidRPr="004C700A">
        <w:rPr>
          <w:rFonts w:asciiTheme="majorHAnsi" w:hAnsiTheme="majorHAnsi"/>
          <w:sz w:val="19"/>
          <w:szCs w:val="19"/>
          <w:lang w:val="es-ES"/>
        </w:rPr>
        <w:t>adecuados</w:t>
      </w:r>
      <w:r w:rsidRPr="004C700A">
        <w:rPr>
          <w:rFonts w:asciiTheme="majorHAnsi" w:hAnsiTheme="majorHAnsi"/>
          <w:sz w:val="19"/>
          <w:szCs w:val="19"/>
          <w:lang w:val="es-ES"/>
        </w:rPr>
        <w:t xml:space="preserve"> frente </w:t>
      </w:r>
      <w:r w:rsidR="003E7B51" w:rsidRPr="004C700A">
        <w:rPr>
          <w:rFonts w:asciiTheme="majorHAnsi" w:hAnsiTheme="majorHAnsi"/>
          <w:sz w:val="19"/>
          <w:szCs w:val="19"/>
          <w:lang w:val="es-ES"/>
        </w:rPr>
        <w:t xml:space="preserve">a las </w:t>
      </w:r>
      <w:r w:rsidRPr="004C700A">
        <w:rPr>
          <w:rFonts w:asciiTheme="majorHAnsi" w:hAnsiTheme="majorHAnsi"/>
          <w:sz w:val="19"/>
          <w:szCs w:val="19"/>
          <w:lang w:val="es-ES"/>
        </w:rPr>
        <w:t>viola</w:t>
      </w:r>
      <w:r w:rsidR="003E7B51" w:rsidRPr="004C700A">
        <w:rPr>
          <w:rFonts w:asciiTheme="majorHAnsi" w:hAnsiTheme="majorHAnsi"/>
          <w:sz w:val="19"/>
          <w:szCs w:val="19"/>
          <w:lang w:val="es-ES"/>
        </w:rPr>
        <w:t>cion</w:t>
      </w:r>
      <w:r w:rsidRPr="004C700A">
        <w:rPr>
          <w:rFonts w:asciiTheme="majorHAnsi" w:hAnsiTheme="majorHAnsi"/>
          <w:sz w:val="19"/>
          <w:szCs w:val="19"/>
          <w:lang w:val="es-ES"/>
        </w:rPr>
        <w:t xml:space="preserve">es de </w:t>
      </w:r>
      <w:r w:rsidR="00C44F5F" w:rsidRPr="004C700A">
        <w:rPr>
          <w:rFonts w:asciiTheme="majorHAnsi" w:hAnsiTheme="majorHAnsi"/>
          <w:sz w:val="19"/>
          <w:szCs w:val="19"/>
          <w:lang w:val="es-ES"/>
        </w:rPr>
        <w:t>derechos</w:t>
      </w:r>
      <w:r w:rsidRPr="004C700A">
        <w:rPr>
          <w:rFonts w:asciiTheme="majorHAnsi" w:hAnsiTheme="majorHAnsi"/>
          <w:sz w:val="19"/>
          <w:szCs w:val="19"/>
          <w:lang w:val="es-ES"/>
        </w:rPr>
        <w:t xml:space="preserve"> humanos denunciadas</w:t>
      </w:r>
      <w:r w:rsidR="00BF0E15" w:rsidRPr="004C700A">
        <w:rPr>
          <w:rStyle w:val="FootnoteReference"/>
          <w:rFonts w:asciiTheme="majorHAnsi" w:hAnsiTheme="majorHAnsi"/>
          <w:sz w:val="19"/>
          <w:szCs w:val="19"/>
          <w:lang w:val="es-ES"/>
        </w:rPr>
        <w:footnoteReference w:id="8"/>
      </w:r>
      <w:r w:rsidR="008A49EC" w:rsidRPr="004C700A">
        <w:rPr>
          <w:rFonts w:asciiTheme="majorHAnsi" w:hAnsiTheme="majorHAnsi"/>
          <w:sz w:val="19"/>
          <w:szCs w:val="19"/>
          <w:lang w:val="es-ES"/>
        </w:rPr>
        <w:t xml:space="preserve"> </w:t>
      </w:r>
      <w:r w:rsidR="003E7B51" w:rsidRPr="004C700A">
        <w:rPr>
          <w:rFonts w:asciiTheme="majorHAnsi" w:hAnsiTheme="majorHAnsi"/>
          <w:sz w:val="19"/>
          <w:szCs w:val="19"/>
          <w:lang w:val="es-ES"/>
        </w:rPr>
        <w:t>y, por consiguiente, no es necesario agotarlas</w:t>
      </w:r>
      <w:r w:rsidR="008A49EC" w:rsidRPr="004C700A">
        <w:rPr>
          <w:rFonts w:asciiTheme="majorHAnsi" w:hAnsiTheme="majorHAnsi"/>
          <w:sz w:val="19"/>
          <w:szCs w:val="19"/>
          <w:lang w:val="es-ES"/>
        </w:rPr>
        <w:t>.</w:t>
      </w:r>
      <w:r w:rsidR="00586B5A" w:rsidRPr="004C700A">
        <w:rPr>
          <w:rFonts w:asciiTheme="majorHAnsi" w:hAnsiTheme="majorHAnsi"/>
          <w:sz w:val="19"/>
          <w:szCs w:val="19"/>
          <w:lang w:val="es-ES"/>
        </w:rPr>
        <w:t xml:space="preserve"> </w:t>
      </w:r>
      <w:r w:rsidRPr="004C700A">
        <w:rPr>
          <w:rFonts w:asciiTheme="majorHAnsi" w:hAnsiTheme="majorHAnsi"/>
          <w:sz w:val="19"/>
          <w:szCs w:val="19"/>
          <w:lang w:val="es-ES"/>
        </w:rPr>
        <w:t xml:space="preserve">Por </w:t>
      </w:r>
      <w:r w:rsidR="003E7B51" w:rsidRPr="004C700A">
        <w:rPr>
          <w:rFonts w:asciiTheme="majorHAnsi" w:hAnsiTheme="majorHAnsi"/>
          <w:sz w:val="19"/>
          <w:szCs w:val="19"/>
          <w:lang w:val="es-ES"/>
        </w:rPr>
        <w:t>último, en lo que respecta a la necesidad</w:t>
      </w:r>
      <w:r w:rsidRPr="004C700A">
        <w:rPr>
          <w:rFonts w:asciiTheme="majorHAnsi" w:hAnsiTheme="majorHAnsi"/>
          <w:sz w:val="19"/>
          <w:szCs w:val="19"/>
          <w:lang w:val="es-ES"/>
        </w:rPr>
        <w:t xml:space="preserve"> de </w:t>
      </w:r>
      <w:r w:rsidR="0079036E" w:rsidRPr="004C700A">
        <w:rPr>
          <w:rFonts w:asciiTheme="majorHAnsi" w:hAnsiTheme="majorHAnsi"/>
          <w:sz w:val="19"/>
          <w:szCs w:val="19"/>
          <w:lang w:val="es-ES"/>
        </w:rPr>
        <w:t>solicitar una r</w:t>
      </w:r>
      <w:r w:rsidRPr="004C700A">
        <w:rPr>
          <w:rFonts w:asciiTheme="majorHAnsi" w:hAnsiTheme="majorHAnsi"/>
          <w:sz w:val="19"/>
          <w:szCs w:val="19"/>
          <w:lang w:val="es-ES"/>
        </w:rPr>
        <w:t>epara</w:t>
      </w:r>
      <w:r w:rsidR="0079036E" w:rsidRPr="004C700A">
        <w:rPr>
          <w:rFonts w:asciiTheme="majorHAnsi" w:hAnsiTheme="majorHAnsi"/>
          <w:sz w:val="19"/>
          <w:szCs w:val="19"/>
          <w:lang w:val="es-ES"/>
        </w:rPr>
        <w:t>ción</w:t>
      </w:r>
      <w:r w:rsidRPr="004C700A">
        <w:rPr>
          <w:rFonts w:asciiTheme="majorHAnsi" w:hAnsiTheme="majorHAnsi"/>
          <w:sz w:val="19"/>
          <w:szCs w:val="19"/>
          <w:lang w:val="es-ES"/>
        </w:rPr>
        <w:t xml:space="preserve"> civil</w:t>
      </w:r>
      <w:r w:rsidR="0079036E" w:rsidRPr="004C700A">
        <w:rPr>
          <w:rFonts w:asciiTheme="majorHAnsi" w:hAnsiTheme="majorHAnsi"/>
          <w:sz w:val="19"/>
          <w:szCs w:val="19"/>
          <w:lang w:val="es-ES"/>
        </w:rPr>
        <w:t xml:space="preserve"> en el ámbito de la jurisdicción interna</w:t>
      </w:r>
      <w:r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la Comisión</w:t>
      </w:r>
      <w:r w:rsidRPr="004C700A">
        <w:rPr>
          <w:rFonts w:asciiTheme="majorHAnsi" w:hAnsiTheme="majorHAnsi"/>
          <w:sz w:val="19"/>
          <w:szCs w:val="19"/>
          <w:lang w:val="es-ES"/>
        </w:rPr>
        <w:t xml:space="preserve"> </w:t>
      </w:r>
      <w:r w:rsidR="0079036E" w:rsidRPr="004C700A">
        <w:rPr>
          <w:rFonts w:asciiTheme="majorHAnsi" w:hAnsiTheme="majorHAnsi"/>
          <w:sz w:val="19"/>
          <w:szCs w:val="19"/>
          <w:lang w:val="es-ES"/>
        </w:rPr>
        <w:t>entiende</w:t>
      </w:r>
      <w:r w:rsidRPr="004C700A">
        <w:rPr>
          <w:rFonts w:asciiTheme="majorHAnsi" w:hAnsiTheme="majorHAnsi"/>
          <w:sz w:val="19"/>
          <w:szCs w:val="19"/>
          <w:lang w:val="es-ES"/>
        </w:rPr>
        <w:t xml:space="preserve"> que</w:t>
      </w:r>
      <w:r w:rsidR="0079036E" w:rsidRPr="004C700A">
        <w:rPr>
          <w:rFonts w:asciiTheme="majorHAnsi" w:hAnsiTheme="majorHAnsi"/>
          <w:sz w:val="19"/>
          <w:szCs w:val="19"/>
          <w:lang w:val="es-ES"/>
        </w:rPr>
        <w:t>,</w:t>
      </w:r>
      <w:r w:rsidRPr="004C700A">
        <w:rPr>
          <w:rFonts w:asciiTheme="majorHAnsi" w:hAnsiTheme="majorHAnsi"/>
          <w:sz w:val="19"/>
          <w:szCs w:val="19"/>
          <w:lang w:val="es-ES"/>
        </w:rPr>
        <w:t xml:space="preserve"> </w:t>
      </w:r>
      <w:r w:rsidR="00F97337" w:rsidRPr="004C700A">
        <w:rPr>
          <w:rFonts w:asciiTheme="majorHAnsi" w:hAnsiTheme="majorHAnsi"/>
          <w:sz w:val="19"/>
          <w:szCs w:val="19"/>
          <w:lang w:val="es-ES"/>
        </w:rPr>
        <w:t>e</w:t>
      </w:r>
      <w:r w:rsidR="0079036E" w:rsidRPr="004C700A">
        <w:rPr>
          <w:rFonts w:asciiTheme="majorHAnsi" w:hAnsiTheme="majorHAnsi"/>
          <w:sz w:val="19"/>
          <w:szCs w:val="19"/>
          <w:lang w:val="es-ES"/>
        </w:rPr>
        <w:t xml:space="preserve">n los </w:t>
      </w:r>
      <w:r w:rsidR="00F97337" w:rsidRPr="004C700A">
        <w:rPr>
          <w:rFonts w:asciiTheme="majorHAnsi" w:hAnsiTheme="majorHAnsi"/>
          <w:sz w:val="19"/>
          <w:szCs w:val="19"/>
          <w:lang w:val="es-ES"/>
        </w:rPr>
        <w:t xml:space="preserve">casos de </w:t>
      </w:r>
      <w:r w:rsidR="0079036E" w:rsidRPr="004C700A">
        <w:rPr>
          <w:rFonts w:asciiTheme="majorHAnsi" w:hAnsiTheme="majorHAnsi"/>
          <w:sz w:val="19"/>
          <w:szCs w:val="19"/>
          <w:lang w:val="es-ES"/>
        </w:rPr>
        <w:t xml:space="preserve">violaciones </w:t>
      </w:r>
      <w:r w:rsidR="00F97337" w:rsidRPr="004C700A">
        <w:rPr>
          <w:rFonts w:asciiTheme="majorHAnsi" w:hAnsiTheme="majorHAnsi"/>
          <w:sz w:val="19"/>
          <w:szCs w:val="19"/>
          <w:lang w:val="es-ES"/>
        </w:rPr>
        <w:t xml:space="preserve">graves de </w:t>
      </w:r>
      <w:r w:rsidR="00C44F5F" w:rsidRPr="004C700A">
        <w:rPr>
          <w:rFonts w:asciiTheme="majorHAnsi" w:hAnsiTheme="majorHAnsi"/>
          <w:sz w:val="19"/>
          <w:szCs w:val="19"/>
          <w:lang w:val="es-ES"/>
        </w:rPr>
        <w:t>derechos</w:t>
      </w:r>
      <w:r w:rsidR="00F97337" w:rsidRPr="004C700A">
        <w:rPr>
          <w:rFonts w:asciiTheme="majorHAnsi" w:hAnsiTheme="majorHAnsi"/>
          <w:sz w:val="19"/>
          <w:szCs w:val="19"/>
          <w:lang w:val="es-ES"/>
        </w:rPr>
        <w:t xml:space="preserve"> humanos, </w:t>
      </w:r>
      <w:r w:rsidR="0079036E" w:rsidRPr="004C700A">
        <w:rPr>
          <w:rFonts w:asciiTheme="majorHAnsi" w:hAnsiTheme="majorHAnsi"/>
          <w:sz w:val="19"/>
          <w:szCs w:val="19"/>
          <w:lang w:val="es-ES"/>
        </w:rPr>
        <w:t>l</w:t>
      </w:r>
      <w:r w:rsidR="00F97337" w:rsidRPr="004C700A">
        <w:rPr>
          <w:rFonts w:asciiTheme="majorHAnsi" w:hAnsiTheme="majorHAnsi"/>
          <w:sz w:val="19"/>
          <w:szCs w:val="19"/>
          <w:lang w:val="es-ES"/>
        </w:rPr>
        <w:t xml:space="preserve">as </w:t>
      </w:r>
      <w:r w:rsidR="00CB5655" w:rsidRPr="004C700A">
        <w:rPr>
          <w:rFonts w:asciiTheme="majorHAnsi" w:hAnsiTheme="majorHAnsi"/>
          <w:sz w:val="19"/>
          <w:szCs w:val="19"/>
          <w:lang w:val="es-ES"/>
        </w:rPr>
        <w:t>presuntas víctimas</w:t>
      </w:r>
      <w:r w:rsidR="00F97337" w:rsidRPr="004C700A">
        <w:rPr>
          <w:rFonts w:asciiTheme="majorHAnsi" w:hAnsiTheme="majorHAnsi"/>
          <w:sz w:val="19"/>
          <w:szCs w:val="19"/>
          <w:lang w:val="es-ES"/>
        </w:rPr>
        <w:t xml:space="preserve"> no </w:t>
      </w:r>
      <w:r w:rsidR="0079036E" w:rsidRPr="004C700A">
        <w:rPr>
          <w:rFonts w:asciiTheme="majorHAnsi" w:hAnsiTheme="majorHAnsi"/>
          <w:sz w:val="19"/>
          <w:szCs w:val="19"/>
          <w:lang w:val="es-ES"/>
        </w:rPr>
        <w:t>renuncian a la posibilidad de recurrir a la</w:t>
      </w:r>
      <w:r w:rsidR="00F97337" w:rsidRPr="004C700A">
        <w:rPr>
          <w:rFonts w:asciiTheme="majorHAnsi" w:hAnsiTheme="majorHAnsi"/>
          <w:sz w:val="19"/>
          <w:szCs w:val="19"/>
          <w:lang w:val="es-ES"/>
        </w:rPr>
        <w:t xml:space="preserve"> esfera </w:t>
      </w:r>
      <w:r w:rsidRPr="004C700A">
        <w:rPr>
          <w:rFonts w:asciiTheme="majorHAnsi" w:hAnsiTheme="majorHAnsi"/>
          <w:sz w:val="19"/>
          <w:szCs w:val="19"/>
          <w:lang w:val="es-ES"/>
        </w:rPr>
        <w:t>civil</w:t>
      </w:r>
      <w:r w:rsidR="00F97337" w:rsidRPr="004C700A">
        <w:rPr>
          <w:rFonts w:asciiTheme="majorHAnsi" w:hAnsiTheme="majorHAnsi"/>
          <w:sz w:val="19"/>
          <w:szCs w:val="19"/>
          <w:lang w:val="es-ES"/>
        </w:rPr>
        <w:t xml:space="preserve"> </w:t>
      </w:r>
      <w:r w:rsidR="0079036E" w:rsidRPr="004C700A">
        <w:rPr>
          <w:rFonts w:asciiTheme="majorHAnsi" w:hAnsiTheme="majorHAnsi"/>
          <w:sz w:val="19"/>
          <w:szCs w:val="19"/>
          <w:lang w:val="es-ES"/>
        </w:rPr>
        <w:t xml:space="preserve">para pedir </w:t>
      </w:r>
      <w:r w:rsidR="00F97337" w:rsidRPr="004C700A">
        <w:rPr>
          <w:rFonts w:asciiTheme="majorHAnsi" w:hAnsiTheme="majorHAnsi"/>
          <w:sz w:val="19"/>
          <w:szCs w:val="19"/>
          <w:lang w:val="es-ES"/>
        </w:rPr>
        <w:t>repara</w:t>
      </w:r>
      <w:r w:rsidR="0079036E" w:rsidRPr="004C700A">
        <w:rPr>
          <w:rFonts w:asciiTheme="majorHAnsi" w:hAnsiTheme="majorHAnsi"/>
          <w:sz w:val="19"/>
          <w:szCs w:val="19"/>
          <w:lang w:val="es-ES"/>
        </w:rPr>
        <w:t xml:space="preserve">ción antes de acudir al </w:t>
      </w:r>
      <w:r w:rsidR="00F97337" w:rsidRPr="004C700A">
        <w:rPr>
          <w:rFonts w:asciiTheme="majorHAnsi" w:hAnsiTheme="majorHAnsi"/>
          <w:sz w:val="19"/>
          <w:szCs w:val="19"/>
          <w:lang w:val="es-ES"/>
        </w:rPr>
        <w:t xml:space="preserve">sistema interamericano, </w:t>
      </w:r>
      <w:r w:rsidR="0079036E" w:rsidRPr="004C700A">
        <w:rPr>
          <w:rFonts w:asciiTheme="majorHAnsi" w:hAnsiTheme="majorHAnsi"/>
          <w:sz w:val="19"/>
          <w:szCs w:val="19"/>
          <w:lang w:val="es-ES"/>
        </w:rPr>
        <w:t xml:space="preserve">en </w:t>
      </w:r>
      <w:r w:rsidR="00F97337" w:rsidRPr="004C700A">
        <w:rPr>
          <w:rFonts w:asciiTheme="majorHAnsi" w:hAnsiTheme="majorHAnsi"/>
          <w:sz w:val="19"/>
          <w:szCs w:val="19"/>
          <w:lang w:val="es-ES"/>
        </w:rPr>
        <w:t xml:space="preserve">vista </w:t>
      </w:r>
      <w:r w:rsidR="0079036E" w:rsidRPr="004C700A">
        <w:rPr>
          <w:rFonts w:asciiTheme="majorHAnsi" w:hAnsiTheme="majorHAnsi"/>
          <w:sz w:val="19"/>
          <w:szCs w:val="19"/>
          <w:lang w:val="es-ES"/>
        </w:rPr>
        <w:t>de que</w:t>
      </w:r>
      <w:r w:rsidR="00F97337" w:rsidRPr="004C700A">
        <w:rPr>
          <w:rFonts w:asciiTheme="majorHAnsi" w:hAnsiTheme="majorHAnsi"/>
          <w:sz w:val="19"/>
          <w:szCs w:val="19"/>
          <w:lang w:val="es-ES"/>
        </w:rPr>
        <w:t xml:space="preserve"> ese tipo de re</w:t>
      </w:r>
      <w:r w:rsidR="0079036E" w:rsidRPr="004C700A">
        <w:rPr>
          <w:rFonts w:asciiTheme="majorHAnsi" w:hAnsiTheme="majorHAnsi"/>
          <w:sz w:val="19"/>
          <w:szCs w:val="19"/>
          <w:lang w:val="es-ES"/>
        </w:rPr>
        <w:t xml:space="preserve">curso no respondería al </w:t>
      </w:r>
      <w:r w:rsidR="00736692" w:rsidRPr="004C700A">
        <w:rPr>
          <w:rFonts w:asciiTheme="majorHAnsi" w:hAnsiTheme="majorHAnsi"/>
          <w:sz w:val="19"/>
          <w:szCs w:val="19"/>
          <w:lang w:val="es-ES"/>
        </w:rPr>
        <w:t>tema</w:t>
      </w:r>
      <w:r w:rsidR="00F97337" w:rsidRPr="004C700A">
        <w:rPr>
          <w:rFonts w:asciiTheme="majorHAnsi" w:hAnsiTheme="majorHAnsi"/>
          <w:sz w:val="19"/>
          <w:szCs w:val="19"/>
          <w:lang w:val="es-ES"/>
        </w:rPr>
        <w:t xml:space="preserve"> principal d</w:t>
      </w:r>
      <w:r w:rsidR="0079036E" w:rsidRPr="004C700A">
        <w:rPr>
          <w:rFonts w:asciiTheme="majorHAnsi" w:hAnsiTheme="majorHAnsi"/>
          <w:sz w:val="19"/>
          <w:szCs w:val="19"/>
          <w:lang w:val="es-ES"/>
        </w:rPr>
        <w:t>e l</w:t>
      </w:r>
      <w:r w:rsidR="00F97337" w:rsidRPr="004C700A">
        <w:rPr>
          <w:rFonts w:asciiTheme="majorHAnsi" w:hAnsiTheme="majorHAnsi"/>
          <w:sz w:val="19"/>
          <w:szCs w:val="19"/>
          <w:lang w:val="es-ES"/>
        </w:rPr>
        <w:t>a peti</w:t>
      </w:r>
      <w:r w:rsidR="0079036E" w:rsidRPr="004C700A">
        <w:rPr>
          <w:rFonts w:asciiTheme="majorHAnsi" w:hAnsiTheme="majorHAnsi"/>
          <w:sz w:val="19"/>
          <w:szCs w:val="19"/>
          <w:lang w:val="es-ES"/>
        </w:rPr>
        <w:t>ción</w:t>
      </w:r>
      <w:r w:rsidR="00F97337" w:rsidRPr="004C700A">
        <w:rPr>
          <w:rStyle w:val="FootnoteReference"/>
          <w:rFonts w:asciiTheme="majorHAnsi" w:hAnsiTheme="majorHAnsi"/>
          <w:sz w:val="19"/>
          <w:szCs w:val="19"/>
          <w:lang w:val="es-ES"/>
        </w:rPr>
        <w:footnoteReference w:id="9"/>
      </w:r>
      <w:r w:rsidR="0079036E" w:rsidRPr="004C700A">
        <w:rPr>
          <w:rFonts w:asciiTheme="majorHAnsi" w:hAnsiTheme="majorHAnsi"/>
          <w:sz w:val="19"/>
          <w:szCs w:val="19"/>
          <w:lang w:val="es-ES"/>
        </w:rPr>
        <w:t xml:space="preserve">, es decir, la supuesta </w:t>
      </w:r>
      <w:r w:rsidRPr="004C700A">
        <w:rPr>
          <w:rFonts w:asciiTheme="majorHAnsi" w:hAnsiTheme="majorHAnsi"/>
          <w:sz w:val="19"/>
          <w:szCs w:val="19"/>
          <w:lang w:val="es-ES"/>
        </w:rPr>
        <w:t>impunidad d</w:t>
      </w:r>
      <w:r w:rsidR="0079036E" w:rsidRPr="004C700A">
        <w:rPr>
          <w:rFonts w:asciiTheme="majorHAnsi" w:hAnsiTheme="majorHAnsi"/>
          <w:sz w:val="19"/>
          <w:szCs w:val="19"/>
          <w:lang w:val="es-ES"/>
        </w:rPr>
        <w:t>e l</w:t>
      </w:r>
      <w:r w:rsidRPr="004C700A">
        <w:rPr>
          <w:rFonts w:asciiTheme="majorHAnsi" w:hAnsiTheme="majorHAnsi"/>
          <w:sz w:val="19"/>
          <w:szCs w:val="19"/>
          <w:lang w:val="es-ES"/>
        </w:rPr>
        <w:t xml:space="preserve">os </w:t>
      </w:r>
      <w:r w:rsidR="0079036E" w:rsidRPr="004C700A">
        <w:rPr>
          <w:rFonts w:asciiTheme="majorHAnsi" w:hAnsiTheme="majorHAnsi"/>
          <w:sz w:val="19"/>
          <w:szCs w:val="19"/>
          <w:lang w:val="es-ES"/>
        </w:rPr>
        <w:t xml:space="preserve">agentes de policía en este caso, así como la </w:t>
      </w:r>
      <w:r w:rsidR="00CB5655" w:rsidRPr="004C700A">
        <w:rPr>
          <w:rFonts w:asciiTheme="majorHAnsi" w:hAnsiTheme="majorHAnsi"/>
          <w:sz w:val="19"/>
          <w:szCs w:val="19"/>
          <w:lang w:val="es-ES"/>
        </w:rPr>
        <w:t>impunidad</w:t>
      </w:r>
      <w:r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estructural</w:t>
      </w:r>
      <w:r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y</w:t>
      </w:r>
      <w:r w:rsidRPr="004C700A">
        <w:rPr>
          <w:rFonts w:asciiTheme="majorHAnsi" w:hAnsiTheme="majorHAnsi"/>
          <w:sz w:val="19"/>
          <w:szCs w:val="19"/>
          <w:lang w:val="es-ES"/>
        </w:rPr>
        <w:t xml:space="preserve"> sistemática d</w:t>
      </w:r>
      <w:r w:rsidR="0079036E" w:rsidRPr="004C700A">
        <w:rPr>
          <w:rFonts w:asciiTheme="majorHAnsi" w:hAnsiTheme="majorHAnsi"/>
          <w:sz w:val="19"/>
          <w:szCs w:val="19"/>
          <w:lang w:val="es-ES"/>
        </w:rPr>
        <w:t xml:space="preserve">el </w:t>
      </w:r>
      <w:r w:rsidRPr="004C700A">
        <w:rPr>
          <w:rFonts w:asciiTheme="majorHAnsi" w:hAnsiTheme="majorHAnsi"/>
          <w:sz w:val="19"/>
          <w:szCs w:val="19"/>
          <w:lang w:val="es-ES"/>
        </w:rPr>
        <w:t xml:space="preserve">uso </w:t>
      </w:r>
      <w:r w:rsidR="0079036E" w:rsidRPr="004C700A">
        <w:rPr>
          <w:rFonts w:asciiTheme="majorHAnsi" w:hAnsiTheme="majorHAnsi"/>
          <w:sz w:val="19"/>
          <w:szCs w:val="19"/>
          <w:lang w:val="es-ES"/>
        </w:rPr>
        <w:t>excesivo</w:t>
      </w:r>
      <w:r w:rsidRPr="004C700A">
        <w:rPr>
          <w:rFonts w:asciiTheme="majorHAnsi" w:hAnsiTheme="majorHAnsi"/>
          <w:sz w:val="19"/>
          <w:szCs w:val="19"/>
          <w:lang w:val="es-ES"/>
        </w:rPr>
        <w:t xml:space="preserve"> d</w:t>
      </w:r>
      <w:r w:rsidR="0079036E" w:rsidRPr="004C700A">
        <w:rPr>
          <w:rFonts w:asciiTheme="majorHAnsi" w:hAnsiTheme="majorHAnsi"/>
          <w:sz w:val="19"/>
          <w:szCs w:val="19"/>
          <w:lang w:val="es-ES"/>
        </w:rPr>
        <w:t xml:space="preserve">e fuerza </w:t>
      </w:r>
      <w:r w:rsidRPr="004C700A">
        <w:rPr>
          <w:rFonts w:asciiTheme="majorHAnsi" w:hAnsiTheme="majorHAnsi"/>
          <w:sz w:val="19"/>
          <w:szCs w:val="19"/>
          <w:lang w:val="es-ES"/>
        </w:rPr>
        <w:t xml:space="preserve">letal por </w:t>
      </w:r>
      <w:r w:rsidR="0079036E" w:rsidRPr="004C700A">
        <w:rPr>
          <w:rFonts w:asciiTheme="majorHAnsi" w:hAnsiTheme="majorHAnsi"/>
          <w:sz w:val="19"/>
          <w:szCs w:val="19"/>
          <w:lang w:val="es-ES"/>
        </w:rPr>
        <w:t xml:space="preserve">los </w:t>
      </w:r>
      <w:r w:rsidRPr="004C700A">
        <w:rPr>
          <w:rFonts w:asciiTheme="majorHAnsi" w:hAnsiTheme="majorHAnsi"/>
          <w:sz w:val="19"/>
          <w:szCs w:val="19"/>
          <w:lang w:val="es-ES"/>
        </w:rPr>
        <w:t>agentes de segur</w:t>
      </w:r>
      <w:r w:rsidR="0079036E" w:rsidRPr="004C700A">
        <w:rPr>
          <w:rFonts w:asciiTheme="majorHAnsi" w:hAnsiTheme="majorHAnsi"/>
          <w:sz w:val="19"/>
          <w:szCs w:val="19"/>
          <w:lang w:val="es-ES"/>
        </w:rPr>
        <w:t>idad en</w:t>
      </w:r>
      <w:r w:rsidRPr="004C700A">
        <w:rPr>
          <w:rFonts w:asciiTheme="majorHAnsi" w:hAnsiTheme="majorHAnsi"/>
          <w:sz w:val="19"/>
          <w:szCs w:val="19"/>
          <w:lang w:val="es-ES"/>
        </w:rPr>
        <w:t xml:space="preserve"> Brasil</w:t>
      </w:r>
      <w:r w:rsidR="0065281D" w:rsidRPr="004C700A">
        <w:rPr>
          <w:rStyle w:val="FootnoteReference"/>
          <w:rFonts w:asciiTheme="majorHAnsi" w:hAnsiTheme="majorHAnsi"/>
          <w:sz w:val="19"/>
          <w:szCs w:val="19"/>
          <w:lang w:val="es-ES"/>
        </w:rPr>
        <w:footnoteReference w:id="10"/>
      </w:r>
      <w:r w:rsidRPr="004C700A">
        <w:rPr>
          <w:rFonts w:asciiTheme="majorHAnsi" w:hAnsiTheme="majorHAnsi"/>
          <w:sz w:val="19"/>
          <w:szCs w:val="19"/>
          <w:lang w:val="es-ES"/>
        </w:rPr>
        <w:t>.</w:t>
      </w:r>
    </w:p>
    <w:p w14:paraId="6FA8C73E" w14:textId="0F022B32" w:rsidR="00DC4545" w:rsidRPr="004C700A" w:rsidRDefault="0079036E" w:rsidP="00F9351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Por consiguiente</w:t>
      </w:r>
      <w:r w:rsidR="00DC4545" w:rsidRPr="004C700A">
        <w:rPr>
          <w:rFonts w:asciiTheme="majorHAnsi" w:hAnsiTheme="majorHAnsi"/>
          <w:sz w:val="19"/>
          <w:szCs w:val="19"/>
          <w:lang w:val="es-ES"/>
        </w:rPr>
        <w:t xml:space="preserve">, </w:t>
      </w:r>
      <w:r w:rsidR="00CB5655" w:rsidRPr="004C700A">
        <w:rPr>
          <w:rFonts w:asciiTheme="majorHAnsi" w:hAnsiTheme="majorHAnsi"/>
          <w:sz w:val="19"/>
          <w:szCs w:val="19"/>
          <w:lang w:val="es-ES"/>
        </w:rPr>
        <w:t>la Comisión</w:t>
      </w:r>
      <w:r w:rsidR="00DC4545" w:rsidRPr="004C700A">
        <w:rPr>
          <w:rFonts w:asciiTheme="majorHAnsi" w:hAnsiTheme="majorHAnsi"/>
          <w:sz w:val="19"/>
          <w:szCs w:val="19"/>
          <w:lang w:val="es-ES"/>
        </w:rPr>
        <w:t xml:space="preserve"> considera que </w:t>
      </w:r>
      <w:r w:rsidRPr="004C700A">
        <w:rPr>
          <w:rFonts w:asciiTheme="majorHAnsi" w:hAnsiTheme="majorHAnsi"/>
          <w:sz w:val="19"/>
          <w:szCs w:val="19"/>
          <w:lang w:val="es-ES"/>
        </w:rPr>
        <w:t>l</w:t>
      </w:r>
      <w:r w:rsidR="00DC4545" w:rsidRPr="004C700A">
        <w:rPr>
          <w:rFonts w:asciiTheme="majorHAnsi" w:hAnsiTheme="majorHAnsi"/>
          <w:sz w:val="19"/>
          <w:szCs w:val="19"/>
          <w:lang w:val="es-ES"/>
        </w:rPr>
        <w:t>a presente peti</w:t>
      </w:r>
      <w:r w:rsidRPr="004C700A">
        <w:rPr>
          <w:rFonts w:asciiTheme="majorHAnsi" w:hAnsiTheme="majorHAnsi"/>
          <w:sz w:val="19"/>
          <w:szCs w:val="19"/>
          <w:lang w:val="es-ES"/>
        </w:rPr>
        <w:t xml:space="preserve">ción cumple los </w:t>
      </w:r>
      <w:r w:rsidR="00DC4545" w:rsidRPr="004C700A">
        <w:rPr>
          <w:rFonts w:asciiTheme="majorHAnsi" w:hAnsiTheme="majorHAnsi"/>
          <w:sz w:val="19"/>
          <w:szCs w:val="19"/>
          <w:lang w:val="es-ES"/>
        </w:rPr>
        <w:t xml:space="preserve">requisitos previstos </w:t>
      </w:r>
      <w:r w:rsidRPr="004C700A">
        <w:rPr>
          <w:rFonts w:asciiTheme="majorHAnsi" w:hAnsiTheme="majorHAnsi"/>
          <w:sz w:val="19"/>
          <w:szCs w:val="19"/>
          <w:lang w:val="es-ES"/>
        </w:rPr>
        <w:t>en el</w:t>
      </w:r>
      <w:r w:rsidR="00DC4545" w:rsidRPr="004C700A">
        <w:rPr>
          <w:rFonts w:asciiTheme="majorHAnsi" w:hAnsiTheme="majorHAnsi"/>
          <w:sz w:val="19"/>
          <w:szCs w:val="19"/>
          <w:lang w:val="es-ES"/>
        </w:rPr>
        <w:t xml:space="preserve"> </w:t>
      </w:r>
      <w:r w:rsidR="000F68FF" w:rsidRPr="004C700A">
        <w:rPr>
          <w:rFonts w:asciiTheme="majorHAnsi" w:hAnsiTheme="majorHAnsi"/>
          <w:sz w:val="19"/>
          <w:szCs w:val="19"/>
          <w:lang w:val="es-ES"/>
        </w:rPr>
        <w:t>artículo</w:t>
      </w:r>
      <w:r w:rsidR="00DC4545" w:rsidRPr="004C700A">
        <w:rPr>
          <w:rFonts w:asciiTheme="majorHAnsi" w:hAnsiTheme="majorHAnsi"/>
          <w:sz w:val="19"/>
          <w:szCs w:val="19"/>
          <w:lang w:val="es-ES"/>
        </w:rPr>
        <w:t xml:space="preserve"> 46</w:t>
      </w:r>
      <w:r w:rsidRPr="004C700A">
        <w:rPr>
          <w:rFonts w:asciiTheme="majorHAnsi" w:hAnsiTheme="majorHAnsi"/>
          <w:sz w:val="19"/>
          <w:szCs w:val="19"/>
          <w:lang w:val="es-ES"/>
        </w:rPr>
        <w:t xml:space="preserve">, párrafo </w:t>
      </w:r>
      <w:r w:rsidR="00DC4545" w:rsidRPr="004C700A">
        <w:rPr>
          <w:rFonts w:asciiTheme="majorHAnsi" w:hAnsiTheme="majorHAnsi"/>
          <w:sz w:val="19"/>
          <w:szCs w:val="19"/>
          <w:lang w:val="es-ES"/>
        </w:rPr>
        <w:t>1</w:t>
      </w:r>
      <w:r w:rsidRPr="004C700A">
        <w:rPr>
          <w:rFonts w:asciiTheme="majorHAnsi" w:hAnsiTheme="majorHAnsi"/>
          <w:sz w:val="19"/>
          <w:szCs w:val="19"/>
          <w:lang w:val="es-ES"/>
        </w:rPr>
        <w:t>,</w:t>
      </w:r>
      <w:r w:rsidR="00DC4545" w:rsidRPr="004C700A">
        <w:rPr>
          <w:rFonts w:asciiTheme="majorHAnsi" w:hAnsiTheme="majorHAnsi"/>
          <w:sz w:val="19"/>
          <w:szCs w:val="19"/>
          <w:lang w:val="es-ES"/>
        </w:rPr>
        <w:t xml:space="preserve"> d</w:t>
      </w:r>
      <w:r w:rsidRPr="004C700A">
        <w:rPr>
          <w:rFonts w:asciiTheme="majorHAnsi" w:hAnsiTheme="majorHAnsi"/>
          <w:sz w:val="19"/>
          <w:szCs w:val="19"/>
          <w:lang w:val="es-ES"/>
        </w:rPr>
        <w:t>e l</w:t>
      </w:r>
      <w:r w:rsidR="00DC4545" w:rsidRPr="004C700A">
        <w:rPr>
          <w:rFonts w:asciiTheme="majorHAnsi" w:hAnsiTheme="majorHAnsi"/>
          <w:sz w:val="19"/>
          <w:szCs w:val="19"/>
          <w:lang w:val="es-ES"/>
        </w:rPr>
        <w:t xml:space="preserve">a </w:t>
      </w:r>
      <w:r w:rsidR="000F68FF" w:rsidRPr="004C700A">
        <w:rPr>
          <w:rFonts w:asciiTheme="majorHAnsi" w:hAnsiTheme="majorHAnsi"/>
          <w:sz w:val="19"/>
          <w:szCs w:val="19"/>
          <w:lang w:val="es-ES"/>
        </w:rPr>
        <w:t>Convención Americana</w:t>
      </w:r>
      <w:r w:rsidR="00DC4545" w:rsidRPr="004C700A">
        <w:rPr>
          <w:rFonts w:asciiTheme="majorHAnsi" w:hAnsiTheme="majorHAnsi"/>
          <w:sz w:val="19"/>
          <w:szCs w:val="19"/>
          <w:lang w:val="es-ES"/>
        </w:rPr>
        <w:t>, e</w:t>
      </w:r>
      <w:r w:rsidRPr="004C700A">
        <w:rPr>
          <w:rFonts w:asciiTheme="majorHAnsi" w:hAnsiTheme="majorHAnsi"/>
          <w:sz w:val="19"/>
          <w:szCs w:val="19"/>
          <w:lang w:val="es-ES"/>
        </w:rPr>
        <w:t>n</w:t>
      </w:r>
      <w:r w:rsidR="00DC4545" w:rsidRPr="004C700A">
        <w:rPr>
          <w:rFonts w:asciiTheme="majorHAnsi" w:hAnsiTheme="majorHAnsi"/>
          <w:sz w:val="19"/>
          <w:szCs w:val="19"/>
          <w:lang w:val="es-ES"/>
        </w:rPr>
        <w:t xml:space="preserve"> vista </w:t>
      </w:r>
      <w:r w:rsidRPr="004C700A">
        <w:rPr>
          <w:rFonts w:asciiTheme="majorHAnsi" w:hAnsiTheme="majorHAnsi"/>
          <w:sz w:val="19"/>
          <w:szCs w:val="19"/>
          <w:lang w:val="es-ES"/>
        </w:rPr>
        <w:t xml:space="preserve">de </w:t>
      </w:r>
      <w:r w:rsidR="00DC4545" w:rsidRPr="004C700A">
        <w:rPr>
          <w:rFonts w:asciiTheme="majorHAnsi" w:hAnsiTheme="majorHAnsi"/>
          <w:sz w:val="19"/>
          <w:szCs w:val="19"/>
          <w:lang w:val="es-ES"/>
        </w:rPr>
        <w:t xml:space="preserve">que </w:t>
      </w:r>
      <w:r w:rsidRPr="004C700A">
        <w:rPr>
          <w:rFonts w:asciiTheme="majorHAnsi" w:hAnsiTheme="majorHAnsi"/>
          <w:sz w:val="19"/>
          <w:szCs w:val="19"/>
          <w:lang w:val="es-ES"/>
        </w:rPr>
        <w:t>l</w:t>
      </w:r>
      <w:r w:rsidR="00DC4545" w:rsidRPr="004C700A">
        <w:rPr>
          <w:rFonts w:asciiTheme="majorHAnsi" w:hAnsiTheme="majorHAnsi"/>
          <w:sz w:val="19"/>
          <w:szCs w:val="19"/>
          <w:lang w:val="es-ES"/>
        </w:rPr>
        <w:t xml:space="preserve">os recursos internos </w:t>
      </w:r>
      <w:r w:rsidRPr="004C700A">
        <w:rPr>
          <w:rFonts w:asciiTheme="majorHAnsi" w:hAnsiTheme="majorHAnsi"/>
          <w:sz w:val="19"/>
          <w:szCs w:val="19"/>
          <w:lang w:val="es-ES"/>
        </w:rPr>
        <w:t>se agotaron con la decisión del</w:t>
      </w:r>
      <w:r w:rsidR="00DC4545" w:rsidRPr="004C700A">
        <w:rPr>
          <w:rFonts w:asciiTheme="majorHAnsi" w:hAnsiTheme="majorHAnsi"/>
          <w:sz w:val="19"/>
          <w:szCs w:val="19"/>
          <w:lang w:val="es-ES"/>
        </w:rPr>
        <w:t xml:space="preserve"> 10 de abril de 2008 </w:t>
      </w:r>
      <w:r w:rsidRPr="004C700A">
        <w:rPr>
          <w:rFonts w:asciiTheme="majorHAnsi" w:hAnsiTheme="majorHAnsi"/>
          <w:sz w:val="19"/>
          <w:szCs w:val="19"/>
          <w:lang w:val="es-ES"/>
        </w:rPr>
        <w:t>y d</w:t>
      </w:r>
      <w:r w:rsidR="00DC4545" w:rsidRPr="004C700A">
        <w:rPr>
          <w:rFonts w:asciiTheme="majorHAnsi" w:hAnsiTheme="majorHAnsi"/>
          <w:sz w:val="19"/>
          <w:szCs w:val="19"/>
          <w:lang w:val="es-ES"/>
        </w:rPr>
        <w:t>e que f</w:t>
      </w:r>
      <w:r w:rsidRPr="004C700A">
        <w:rPr>
          <w:rFonts w:asciiTheme="majorHAnsi" w:hAnsiTheme="majorHAnsi"/>
          <w:sz w:val="19"/>
          <w:szCs w:val="19"/>
          <w:lang w:val="es-ES"/>
        </w:rPr>
        <w:t>ue</w:t>
      </w:r>
      <w:r w:rsidR="00DC4545" w:rsidRPr="004C700A">
        <w:rPr>
          <w:rFonts w:asciiTheme="majorHAnsi" w:hAnsiTheme="majorHAnsi"/>
          <w:sz w:val="19"/>
          <w:szCs w:val="19"/>
          <w:lang w:val="es-ES"/>
        </w:rPr>
        <w:t xml:space="preserve"> presentada p</w:t>
      </w:r>
      <w:r w:rsidRPr="004C700A">
        <w:rPr>
          <w:rFonts w:asciiTheme="majorHAnsi" w:hAnsiTheme="majorHAnsi"/>
          <w:sz w:val="19"/>
          <w:szCs w:val="19"/>
          <w:lang w:val="es-ES"/>
        </w:rPr>
        <w:t>or la</w:t>
      </w:r>
      <w:r w:rsidR="00134AB1" w:rsidRPr="004C700A">
        <w:rPr>
          <w:rFonts w:asciiTheme="majorHAnsi" w:hAnsiTheme="majorHAnsi"/>
          <w:sz w:val="19"/>
          <w:szCs w:val="19"/>
          <w:lang w:val="es-ES"/>
        </w:rPr>
        <w:t>s peticionarias</w:t>
      </w:r>
      <w:r w:rsidR="00DC4545" w:rsidRPr="004C700A">
        <w:rPr>
          <w:rFonts w:asciiTheme="majorHAnsi" w:hAnsiTheme="majorHAnsi"/>
          <w:sz w:val="19"/>
          <w:szCs w:val="19"/>
          <w:lang w:val="es-ES"/>
        </w:rPr>
        <w:t xml:space="preserve"> dentro d</w:t>
      </w:r>
      <w:r w:rsidRPr="004C700A">
        <w:rPr>
          <w:rFonts w:asciiTheme="majorHAnsi" w:hAnsiTheme="majorHAnsi"/>
          <w:sz w:val="19"/>
          <w:szCs w:val="19"/>
          <w:lang w:val="es-ES"/>
        </w:rPr>
        <w:t xml:space="preserve">el plazo </w:t>
      </w:r>
      <w:r w:rsidR="00DC4545" w:rsidRPr="004C700A">
        <w:rPr>
          <w:rFonts w:asciiTheme="majorHAnsi" w:hAnsiTheme="majorHAnsi"/>
          <w:sz w:val="19"/>
          <w:szCs w:val="19"/>
          <w:lang w:val="es-ES"/>
        </w:rPr>
        <w:t>de seis meses.</w:t>
      </w:r>
    </w:p>
    <w:p w14:paraId="4FFBE378" w14:textId="41DECEB1" w:rsidR="003239B8" w:rsidRPr="004C700A" w:rsidRDefault="003239B8" w:rsidP="00314D9D">
      <w:pPr>
        <w:pStyle w:val="ListParagraph"/>
        <w:spacing w:after="200"/>
        <w:jc w:val="both"/>
        <w:rPr>
          <w:rFonts w:asciiTheme="majorHAnsi" w:hAnsiTheme="majorHAnsi"/>
          <w:b/>
          <w:sz w:val="19"/>
          <w:szCs w:val="19"/>
          <w:lang w:val="es-ES"/>
        </w:rPr>
      </w:pPr>
      <w:r w:rsidRPr="004C700A">
        <w:rPr>
          <w:rFonts w:asciiTheme="majorHAnsi" w:hAnsiTheme="majorHAnsi"/>
          <w:b/>
          <w:bCs/>
          <w:sz w:val="19"/>
          <w:szCs w:val="19"/>
          <w:lang w:val="es-ES"/>
        </w:rPr>
        <w:t>VII.</w:t>
      </w:r>
      <w:r w:rsidRPr="004C700A">
        <w:rPr>
          <w:rFonts w:asciiTheme="majorHAnsi" w:hAnsiTheme="majorHAnsi"/>
          <w:b/>
          <w:bCs/>
          <w:sz w:val="19"/>
          <w:szCs w:val="19"/>
          <w:lang w:val="es-ES"/>
        </w:rPr>
        <w:tab/>
      </w:r>
      <w:r w:rsidR="00CB5655" w:rsidRPr="004C700A">
        <w:rPr>
          <w:rFonts w:asciiTheme="majorHAnsi" w:hAnsiTheme="majorHAnsi"/>
          <w:b/>
          <w:bCs/>
          <w:sz w:val="19"/>
          <w:szCs w:val="19"/>
          <w:lang w:val="es-ES"/>
        </w:rPr>
        <w:t>CARACTERIZACIÓN DE LOS HECHOS ALEGADOS</w:t>
      </w:r>
    </w:p>
    <w:p w14:paraId="0D524F5C" w14:textId="41D78AC0" w:rsidR="00A11E44" w:rsidRPr="004C700A" w:rsidRDefault="00CB5655" w:rsidP="00314D9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En vista de los elementos de hecho y de derecho expuestos por las partes y la índole del asunto presentado, la Comisión considera que los hechos alegados, de probarse, podrían llegar a caracterizar violaciones de los artículos</w:t>
      </w:r>
      <w:r w:rsidR="00D640F0" w:rsidRPr="004C700A">
        <w:rPr>
          <w:rFonts w:asciiTheme="majorHAnsi" w:hAnsiTheme="majorHAnsi"/>
          <w:sz w:val="19"/>
          <w:szCs w:val="19"/>
          <w:lang w:val="es-ES"/>
        </w:rPr>
        <w:t xml:space="preserve"> 4 </w:t>
      </w:r>
      <w:r w:rsidR="00C44F5F" w:rsidRPr="004C700A">
        <w:rPr>
          <w:rFonts w:asciiTheme="majorHAnsi" w:hAnsiTheme="majorHAnsi"/>
          <w:sz w:val="19"/>
          <w:szCs w:val="19"/>
          <w:lang w:val="es-ES"/>
        </w:rPr>
        <w:t>(derecho a la vida)</w:t>
      </w:r>
      <w:r w:rsidR="0040328A" w:rsidRPr="004C700A">
        <w:rPr>
          <w:rFonts w:asciiTheme="majorHAnsi" w:hAnsiTheme="majorHAnsi"/>
          <w:sz w:val="19"/>
          <w:szCs w:val="19"/>
          <w:lang w:val="es-ES"/>
        </w:rPr>
        <w:t>, 8 (</w:t>
      </w:r>
      <w:r w:rsidR="00134AB1" w:rsidRPr="004C700A">
        <w:rPr>
          <w:rFonts w:asciiTheme="majorHAnsi" w:hAnsiTheme="majorHAnsi"/>
          <w:sz w:val="19"/>
          <w:szCs w:val="19"/>
          <w:lang w:val="es-ES"/>
        </w:rPr>
        <w:t>garantías judiciales</w:t>
      </w:r>
      <w:r w:rsidR="0040328A" w:rsidRPr="004C700A">
        <w:rPr>
          <w:rFonts w:asciiTheme="majorHAnsi" w:hAnsiTheme="majorHAnsi"/>
          <w:sz w:val="19"/>
          <w:szCs w:val="19"/>
          <w:lang w:val="es-ES"/>
        </w:rPr>
        <w:t>)</w:t>
      </w:r>
      <w:r w:rsidR="00D640F0" w:rsidRPr="004C700A">
        <w:rPr>
          <w:rFonts w:asciiTheme="majorHAnsi" w:hAnsiTheme="majorHAnsi"/>
          <w:sz w:val="19"/>
          <w:szCs w:val="19"/>
          <w:lang w:val="es-ES"/>
        </w:rPr>
        <w:t xml:space="preserve"> </w:t>
      </w:r>
      <w:r w:rsidRPr="004C700A">
        <w:rPr>
          <w:rFonts w:asciiTheme="majorHAnsi" w:hAnsiTheme="majorHAnsi"/>
          <w:sz w:val="19"/>
          <w:szCs w:val="19"/>
          <w:lang w:val="es-ES"/>
        </w:rPr>
        <w:t>y</w:t>
      </w:r>
      <w:r w:rsidR="00D640F0" w:rsidRPr="004C700A">
        <w:rPr>
          <w:rFonts w:asciiTheme="majorHAnsi" w:hAnsiTheme="majorHAnsi"/>
          <w:sz w:val="19"/>
          <w:szCs w:val="19"/>
          <w:lang w:val="es-ES"/>
        </w:rPr>
        <w:t xml:space="preserve"> 25 (</w:t>
      </w:r>
      <w:r w:rsidR="00C44F5F" w:rsidRPr="004C700A">
        <w:rPr>
          <w:rFonts w:asciiTheme="majorHAnsi" w:hAnsiTheme="majorHAnsi"/>
          <w:sz w:val="19"/>
          <w:szCs w:val="19"/>
          <w:lang w:val="es-ES"/>
        </w:rPr>
        <w:t>protección</w:t>
      </w:r>
      <w:r w:rsidR="00D640F0" w:rsidRPr="004C700A">
        <w:rPr>
          <w:rFonts w:asciiTheme="majorHAnsi" w:hAnsiTheme="majorHAnsi"/>
          <w:sz w:val="19"/>
          <w:szCs w:val="19"/>
          <w:lang w:val="es-ES"/>
        </w:rPr>
        <w:t xml:space="preserve"> judicial), </w:t>
      </w:r>
      <w:r w:rsidRPr="004C700A">
        <w:rPr>
          <w:rFonts w:asciiTheme="majorHAnsi" w:hAnsiTheme="majorHAnsi"/>
          <w:sz w:val="19"/>
          <w:szCs w:val="19"/>
          <w:lang w:val="es-ES"/>
        </w:rPr>
        <w:t xml:space="preserve">en relación con los </w:t>
      </w:r>
      <w:r w:rsidR="000F68FF" w:rsidRPr="004C700A">
        <w:rPr>
          <w:rFonts w:asciiTheme="majorHAnsi" w:hAnsiTheme="majorHAnsi"/>
          <w:sz w:val="19"/>
          <w:szCs w:val="19"/>
          <w:lang w:val="es-ES"/>
        </w:rPr>
        <w:t>artículo</w:t>
      </w:r>
      <w:r w:rsidR="00D640F0" w:rsidRPr="004C700A">
        <w:rPr>
          <w:rFonts w:asciiTheme="majorHAnsi" w:hAnsiTheme="majorHAnsi"/>
          <w:sz w:val="19"/>
          <w:szCs w:val="19"/>
          <w:lang w:val="es-ES"/>
        </w:rPr>
        <w:t>s 1.1 (</w:t>
      </w:r>
      <w:r w:rsidRPr="004C700A">
        <w:rPr>
          <w:rFonts w:asciiTheme="majorHAnsi" w:hAnsiTheme="majorHAnsi"/>
          <w:sz w:val="19"/>
          <w:szCs w:val="19"/>
          <w:lang w:val="es-ES"/>
        </w:rPr>
        <w:t xml:space="preserve">obligación de respetar los derechos) </w:t>
      </w:r>
      <w:r w:rsidRPr="004C700A">
        <w:rPr>
          <w:rFonts w:asciiTheme="majorHAnsi" w:hAnsiTheme="majorHAnsi"/>
          <w:bCs/>
          <w:sz w:val="19"/>
          <w:szCs w:val="19"/>
          <w:lang w:val="es-ES"/>
        </w:rPr>
        <w:t>y 2 (deber de adoptar disposiciones de derecho interno) de la</w:t>
      </w:r>
      <w:r w:rsidR="00D640F0" w:rsidRPr="004C700A">
        <w:rPr>
          <w:rFonts w:asciiTheme="majorHAnsi" w:hAnsiTheme="majorHAnsi"/>
          <w:sz w:val="19"/>
          <w:szCs w:val="19"/>
          <w:lang w:val="es-ES"/>
        </w:rPr>
        <w:t xml:space="preserve"> </w:t>
      </w:r>
      <w:r w:rsidR="000F68FF" w:rsidRPr="004C700A">
        <w:rPr>
          <w:rFonts w:asciiTheme="majorHAnsi" w:hAnsiTheme="majorHAnsi"/>
          <w:sz w:val="19"/>
          <w:szCs w:val="19"/>
          <w:lang w:val="es-ES"/>
        </w:rPr>
        <w:t>Convención Americana</w:t>
      </w:r>
      <w:r w:rsidR="00D640F0" w:rsidRPr="004C700A">
        <w:rPr>
          <w:rFonts w:asciiTheme="majorHAnsi" w:hAnsiTheme="majorHAnsi"/>
          <w:sz w:val="19"/>
          <w:szCs w:val="19"/>
          <w:lang w:val="es-ES"/>
        </w:rPr>
        <w:t>.</w:t>
      </w:r>
    </w:p>
    <w:p w14:paraId="29BB41F5" w14:textId="4BF510C4" w:rsidR="003239B8" w:rsidRPr="004C700A" w:rsidRDefault="003239B8" w:rsidP="00314D9D">
      <w:pPr>
        <w:pStyle w:val="ListParagraph"/>
        <w:spacing w:after="200"/>
        <w:jc w:val="both"/>
        <w:rPr>
          <w:rFonts w:asciiTheme="majorHAnsi" w:hAnsiTheme="majorHAnsi"/>
          <w:b/>
          <w:bCs/>
          <w:sz w:val="19"/>
          <w:szCs w:val="19"/>
          <w:lang w:val="es-ES"/>
        </w:rPr>
      </w:pPr>
      <w:r w:rsidRPr="004C700A">
        <w:rPr>
          <w:rFonts w:asciiTheme="majorHAnsi" w:hAnsiTheme="majorHAnsi"/>
          <w:b/>
          <w:bCs/>
          <w:sz w:val="19"/>
          <w:szCs w:val="19"/>
          <w:lang w:val="es-ES"/>
        </w:rPr>
        <w:t xml:space="preserve">VIII. </w:t>
      </w:r>
      <w:r w:rsidRPr="004C700A">
        <w:rPr>
          <w:rFonts w:asciiTheme="majorHAnsi" w:hAnsiTheme="majorHAnsi"/>
          <w:b/>
          <w:bCs/>
          <w:sz w:val="19"/>
          <w:szCs w:val="19"/>
          <w:lang w:val="es-ES"/>
        </w:rPr>
        <w:tab/>
      </w:r>
      <w:r w:rsidR="00CB5655" w:rsidRPr="004C700A">
        <w:rPr>
          <w:rFonts w:asciiTheme="majorHAnsi" w:hAnsiTheme="majorHAnsi"/>
          <w:b/>
          <w:bCs/>
          <w:sz w:val="19"/>
          <w:szCs w:val="19"/>
          <w:lang w:val="es-ES"/>
        </w:rPr>
        <w:t>DECISIÓN</w:t>
      </w:r>
    </w:p>
    <w:p w14:paraId="41AA5BF6" w14:textId="35D47655" w:rsidR="000419AD" w:rsidRPr="004C700A" w:rsidRDefault="00CB5655" w:rsidP="00883AB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t>Declarar admisible la presente petición en lo que respecta a los artículos</w:t>
      </w:r>
      <w:r w:rsidR="00AB68EB" w:rsidRPr="004C700A">
        <w:rPr>
          <w:rFonts w:asciiTheme="majorHAnsi" w:hAnsiTheme="majorHAnsi"/>
          <w:sz w:val="19"/>
          <w:szCs w:val="19"/>
          <w:lang w:val="es-ES"/>
        </w:rPr>
        <w:t xml:space="preserve"> 4</w:t>
      </w:r>
      <w:r w:rsidR="0040328A" w:rsidRPr="004C700A">
        <w:rPr>
          <w:rFonts w:asciiTheme="majorHAnsi" w:hAnsiTheme="majorHAnsi"/>
          <w:sz w:val="19"/>
          <w:szCs w:val="19"/>
          <w:lang w:val="es-ES"/>
        </w:rPr>
        <w:t>, 8</w:t>
      </w:r>
      <w:r w:rsidR="00AB68EB" w:rsidRPr="004C700A">
        <w:rPr>
          <w:rFonts w:asciiTheme="majorHAnsi" w:hAnsiTheme="majorHAnsi"/>
          <w:sz w:val="19"/>
          <w:szCs w:val="19"/>
          <w:lang w:val="es-ES"/>
        </w:rPr>
        <w:t xml:space="preserve"> </w:t>
      </w:r>
      <w:r w:rsidRPr="004C700A">
        <w:rPr>
          <w:rFonts w:asciiTheme="majorHAnsi" w:hAnsiTheme="majorHAnsi"/>
          <w:sz w:val="19"/>
          <w:szCs w:val="19"/>
          <w:lang w:val="es-ES"/>
        </w:rPr>
        <w:t>y</w:t>
      </w:r>
      <w:r w:rsidR="00AB68EB" w:rsidRPr="004C700A">
        <w:rPr>
          <w:rFonts w:asciiTheme="majorHAnsi" w:hAnsiTheme="majorHAnsi"/>
          <w:sz w:val="19"/>
          <w:szCs w:val="19"/>
          <w:lang w:val="es-ES"/>
        </w:rPr>
        <w:t xml:space="preserve"> 25</w:t>
      </w:r>
      <w:r w:rsidRPr="004C700A">
        <w:rPr>
          <w:rFonts w:asciiTheme="majorHAnsi" w:hAnsiTheme="majorHAnsi"/>
          <w:sz w:val="19"/>
          <w:szCs w:val="19"/>
          <w:lang w:val="es-ES"/>
        </w:rPr>
        <w:t xml:space="preserve">, relacionados con los </w:t>
      </w:r>
      <w:r w:rsidR="000F68FF" w:rsidRPr="004C700A">
        <w:rPr>
          <w:rFonts w:asciiTheme="majorHAnsi" w:hAnsiTheme="majorHAnsi"/>
          <w:sz w:val="19"/>
          <w:szCs w:val="19"/>
          <w:lang w:val="es-ES"/>
        </w:rPr>
        <w:t>artículo</w:t>
      </w:r>
      <w:r w:rsidR="00883ABD" w:rsidRPr="004C700A">
        <w:rPr>
          <w:rFonts w:asciiTheme="majorHAnsi" w:hAnsiTheme="majorHAnsi"/>
          <w:sz w:val="19"/>
          <w:szCs w:val="19"/>
          <w:lang w:val="es-ES"/>
        </w:rPr>
        <w:t xml:space="preserve">s 1.1 </w:t>
      </w:r>
      <w:r w:rsidRPr="004C700A">
        <w:rPr>
          <w:rFonts w:asciiTheme="majorHAnsi" w:hAnsiTheme="majorHAnsi"/>
          <w:sz w:val="19"/>
          <w:szCs w:val="19"/>
          <w:lang w:val="es-ES"/>
        </w:rPr>
        <w:t>y</w:t>
      </w:r>
      <w:r w:rsidR="00883ABD" w:rsidRPr="004C700A">
        <w:rPr>
          <w:rFonts w:asciiTheme="majorHAnsi" w:hAnsiTheme="majorHAnsi"/>
          <w:sz w:val="19"/>
          <w:szCs w:val="19"/>
          <w:lang w:val="es-ES"/>
        </w:rPr>
        <w:t xml:space="preserve"> 2 d</w:t>
      </w:r>
      <w:r w:rsidRPr="004C700A">
        <w:rPr>
          <w:rFonts w:asciiTheme="majorHAnsi" w:hAnsiTheme="majorHAnsi"/>
          <w:sz w:val="19"/>
          <w:szCs w:val="19"/>
          <w:lang w:val="es-ES"/>
        </w:rPr>
        <w:t>e la</w:t>
      </w:r>
      <w:r w:rsidR="00883ABD" w:rsidRPr="004C700A">
        <w:rPr>
          <w:rFonts w:asciiTheme="majorHAnsi" w:hAnsiTheme="majorHAnsi"/>
          <w:sz w:val="19"/>
          <w:szCs w:val="19"/>
          <w:lang w:val="es-ES"/>
        </w:rPr>
        <w:t xml:space="preserve"> </w:t>
      </w:r>
      <w:r w:rsidR="000F68FF" w:rsidRPr="004C700A">
        <w:rPr>
          <w:rFonts w:asciiTheme="majorHAnsi" w:hAnsiTheme="majorHAnsi"/>
          <w:sz w:val="19"/>
          <w:szCs w:val="19"/>
          <w:lang w:val="es-ES"/>
        </w:rPr>
        <w:t>Convención Americana</w:t>
      </w:r>
      <w:r w:rsidRPr="004C700A">
        <w:rPr>
          <w:rFonts w:asciiTheme="majorHAnsi" w:hAnsiTheme="majorHAnsi"/>
          <w:sz w:val="19"/>
          <w:szCs w:val="19"/>
          <w:lang w:val="es-ES"/>
        </w:rPr>
        <w:t>.</w:t>
      </w:r>
    </w:p>
    <w:p w14:paraId="6AC80CA6" w14:textId="14BF7499" w:rsidR="00722C9F" w:rsidRDefault="00F47567" w:rsidP="00314D9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jc w:val="both"/>
        <w:rPr>
          <w:rFonts w:asciiTheme="majorHAnsi" w:hAnsiTheme="majorHAnsi"/>
          <w:sz w:val="19"/>
          <w:szCs w:val="19"/>
          <w:lang w:val="es-ES"/>
        </w:rPr>
      </w:pPr>
      <w:r w:rsidRPr="004C700A">
        <w:rPr>
          <w:rFonts w:asciiTheme="majorHAnsi" w:hAnsiTheme="majorHAnsi"/>
          <w:sz w:val="19"/>
          <w:szCs w:val="19"/>
          <w:lang w:val="es-ES"/>
        </w:rPr>
        <w:lastRenderedPageBreak/>
        <w:t>Notificar a las partes de la presente decisión, proceder con el análisis del fondo del caso, publicar esta decisión e incluirla en su Informe Anual a la Asamblea General de la Organización de los Estados Americanos</w:t>
      </w:r>
      <w:r w:rsidR="00A53003" w:rsidRPr="004C700A">
        <w:rPr>
          <w:rFonts w:asciiTheme="majorHAnsi" w:hAnsiTheme="majorHAnsi"/>
          <w:sz w:val="19"/>
          <w:szCs w:val="19"/>
          <w:lang w:val="es-ES"/>
        </w:rPr>
        <w:t>.</w:t>
      </w:r>
    </w:p>
    <w:p w14:paraId="7C759BEF" w14:textId="571BD47E" w:rsidR="001625B5" w:rsidRPr="00F66DE8" w:rsidRDefault="001625B5" w:rsidP="001625B5">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F66DE8">
        <w:rPr>
          <w:sz w:val="20"/>
          <w:szCs w:val="20"/>
          <w:lang w:val="es-ES"/>
        </w:rPr>
        <w:t xml:space="preserve">Aprobado por la Comisión Interamericana de Derechos Humanos a los </w:t>
      </w:r>
      <w:r>
        <w:rPr>
          <w:sz w:val="20"/>
          <w:szCs w:val="20"/>
          <w:lang w:val="es-ES"/>
        </w:rPr>
        <w:t>24</w:t>
      </w:r>
      <w:r w:rsidRPr="00F66DE8">
        <w:rPr>
          <w:sz w:val="20"/>
          <w:szCs w:val="20"/>
          <w:lang w:val="es-ES"/>
        </w:rPr>
        <w:t xml:space="preserve"> días del mes de </w:t>
      </w:r>
      <w:r>
        <w:rPr>
          <w:rFonts w:cs="Arial"/>
          <w:noProof/>
          <w:spacing w:val="-2"/>
          <w:sz w:val="20"/>
          <w:szCs w:val="20"/>
          <w:lang w:val="es-CL"/>
        </w:rPr>
        <w:t>abril</w:t>
      </w:r>
      <w:r w:rsidRPr="00F66DE8">
        <w:rPr>
          <w:sz w:val="20"/>
          <w:szCs w:val="20"/>
          <w:lang w:val="es-ES"/>
        </w:rPr>
        <w:t xml:space="preserve"> de 2019.  (Firmado): Esmeralda E. Arosemena Bernal de Troitiño, Presidenta; Joel Hernández García, Primer Vicepresidente; Antonia Urrejola Noguera, Segunda Vicepres</w:t>
      </w:r>
      <w:r>
        <w:rPr>
          <w:sz w:val="20"/>
          <w:szCs w:val="20"/>
          <w:lang w:val="es-ES"/>
        </w:rPr>
        <w:t xml:space="preserve">identa; Margarette May Macaulay, </w:t>
      </w:r>
      <w:r w:rsidRPr="002844E1">
        <w:rPr>
          <w:sz w:val="20"/>
          <w:szCs w:val="20"/>
          <w:lang w:val="es-ES"/>
        </w:rPr>
        <w:t>Francisco José Eguiguren Praeli</w:t>
      </w:r>
      <w:r>
        <w:rPr>
          <w:sz w:val="20"/>
          <w:szCs w:val="20"/>
          <w:lang w:val="es-ES"/>
        </w:rPr>
        <w:t xml:space="preserve"> y</w:t>
      </w:r>
      <w:r w:rsidRPr="00F66DE8">
        <w:rPr>
          <w:sz w:val="20"/>
          <w:szCs w:val="20"/>
          <w:lang w:val="es-ES"/>
        </w:rPr>
        <w:t xml:space="preserve"> Luis Ernesto Vargas Silva, Miembros de la Comisión.</w:t>
      </w:r>
    </w:p>
    <w:p w14:paraId="51C1375C" w14:textId="77777777" w:rsidR="001625B5" w:rsidRPr="004C700A" w:rsidRDefault="001625B5" w:rsidP="001625B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ind w:left="720"/>
        <w:jc w:val="both"/>
        <w:rPr>
          <w:rFonts w:asciiTheme="majorHAnsi" w:hAnsiTheme="majorHAnsi"/>
          <w:sz w:val="19"/>
          <w:szCs w:val="19"/>
          <w:lang w:val="es-ES"/>
        </w:rPr>
      </w:pPr>
    </w:p>
    <w:sectPr w:rsidR="001625B5" w:rsidRPr="004C700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5FCEF" w14:textId="77777777" w:rsidR="00701750" w:rsidRDefault="00701750">
      <w:r>
        <w:separator/>
      </w:r>
    </w:p>
  </w:endnote>
  <w:endnote w:type="continuationSeparator" w:id="0">
    <w:p w14:paraId="4CF944A5" w14:textId="77777777" w:rsidR="00701750" w:rsidRDefault="0070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1150E" w14:textId="77777777" w:rsidR="00840475" w:rsidRDefault="00840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D71E30" w:rsidRPr="00934A2C" w:rsidRDefault="00D71E3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40475">
          <w:rPr>
            <w:noProof/>
            <w:sz w:val="16"/>
            <w:szCs w:val="22"/>
          </w:rPr>
          <w:t>3</w:t>
        </w:r>
        <w:r w:rsidRPr="00934A2C">
          <w:rPr>
            <w:noProof/>
            <w:sz w:val="16"/>
            <w:szCs w:val="22"/>
          </w:rPr>
          <w:fldChar w:fldCharType="end"/>
        </w:r>
      </w:p>
    </w:sdtContent>
  </w:sdt>
  <w:p w14:paraId="68530E6A" w14:textId="77777777" w:rsidR="00D71E30" w:rsidRDefault="00D71E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D71E30" w:rsidRPr="00934A2C" w:rsidRDefault="00D71E30">
    <w:pPr>
      <w:pStyle w:val="Footer"/>
      <w:jc w:val="center"/>
      <w:rPr>
        <w:sz w:val="16"/>
        <w:szCs w:val="22"/>
      </w:rPr>
    </w:pPr>
  </w:p>
  <w:p w14:paraId="49059CE3" w14:textId="77777777" w:rsidR="00D71E30" w:rsidRDefault="00D71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CF6E0" w14:textId="77777777" w:rsidR="00701750" w:rsidRPr="000F35ED" w:rsidRDefault="0070175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C00241E" w14:textId="77777777" w:rsidR="00701750" w:rsidRPr="000F35ED" w:rsidRDefault="00701750" w:rsidP="000F35ED">
      <w:pPr>
        <w:rPr>
          <w:rFonts w:asciiTheme="majorHAnsi" w:hAnsiTheme="majorHAnsi"/>
          <w:sz w:val="16"/>
          <w:szCs w:val="16"/>
        </w:rPr>
      </w:pPr>
      <w:r w:rsidRPr="000F35ED">
        <w:rPr>
          <w:rFonts w:asciiTheme="majorHAnsi" w:hAnsiTheme="majorHAnsi"/>
          <w:sz w:val="16"/>
          <w:szCs w:val="16"/>
        </w:rPr>
        <w:separator/>
      </w:r>
    </w:p>
    <w:p w14:paraId="1C765630" w14:textId="77777777" w:rsidR="00701750" w:rsidRPr="000F35ED" w:rsidRDefault="0070175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64FF52E" w14:textId="77777777" w:rsidR="00701750" w:rsidRPr="000F35ED" w:rsidRDefault="0070175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7E5EED94" w:rsidR="00D71E30" w:rsidRPr="00CB5655" w:rsidRDefault="00D71E30" w:rsidP="0040328A">
      <w:pPr>
        <w:pStyle w:val="FootnoteText"/>
        <w:ind w:firstLine="720"/>
        <w:jc w:val="both"/>
        <w:rPr>
          <w:rFonts w:ascii="Cambria" w:hAnsi="Cambria"/>
          <w:color w:val="auto"/>
          <w:sz w:val="16"/>
          <w:szCs w:val="16"/>
          <w:lang w:val="es-ES"/>
        </w:rPr>
      </w:pPr>
      <w:r w:rsidRPr="00CB5655">
        <w:rPr>
          <w:rStyle w:val="FootnoteReference"/>
          <w:rFonts w:ascii="Cambria" w:hAnsi="Cambria"/>
          <w:color w:val="auto"/>
          <w:sz w:val="16"/>
          <w:szCs w:val="16"/>
          <w:lang w:val="es-ES"/>
        </w:rPr>
        <w:footnoteRef/>
      </w:r>
      <w:r w:rsidRPr="00CB5655">
        <w:rPr>
          <w:rFonts w:ascii="Cambria" w:hAnsi="Cambria"/>
          <w:color w:val="auto"/>
          <w:sz w:val="16"/>
          <w:szCs w:val="16"/>
          <w:lang w:val="es-ES"/>
        </w:rPr>
        <w:t xml:space="preserve"> De conformidad con lo dispuesto en el artículo 17.2.a del Reglamento de la Comisión, la comisionada Flávia Piovesan, de nacionalidad brasileña, no participó en el debate ni en la decisión sobre este caso.</w:t>
      </w:r>
    </w:p>
  </w:footnote>
  <w:footnote w:id="3">
    <w:p w14:paraId="18665017" w14:textId="6D804E6B" w:rsidR="00D71E30" w:rsidRPr="00CB5655" w:rsidRDefault="00D71E30" w:rsidP="0040328A">
      <w:pPr>
        <w:pStyle w:val="FootnoteText"/>
        <w:ind w:firstLine="720"/>
        <w:jc w:val="both"/>
        <w:rPr>
          <w:rFonts w:ascii="Cambria" w:hAnsi="Cambria"/>
          <w:color w:val="auto"/>
          <w:sz w:val="16"/>
          <w:szCs w:val="16"/>
          <w:lang w:val="es-ES"/>
        </w:rPr>
      </w:pPr>
      <w:r w:rsidRPr="00CB5655">
        <w:rPr>
          <w:rStyle w:val="FootnoteReference"/>
          <w:rFonts w:ascii="Cambria" w:hAnsi="Cambria"/>
          <w:color w:val="auto"/>
          <w:sz w:val="16"/>
          <w:szCs w:val="16"/>
          <w:lang w:val="es-ES"/>
        </w:rPr>
        <w:footnoteRef/>
      </w:r>
      <w:r w:rsidRPr="00CB5655">
        <w:rPr>
          <w:rFonts w:ascii="Cambria" w:hAnsi="Cambria"/>
          <w:color w:val="auto"/>
          <w:sz w:val="16"/>
          <w:szCs w:val="16"/>
          <w:lang w:val="es-ES"/>
        </w:rPr>
        <w:t xml:space="preserve"> En adelante la “Convención Americana” o la “Convención”.</w:t>
      </w:r>
    </w:p>
  </w:footnote>
  <w:footnote w:id="4">
    <w:p w14:paraId="79F07139" w14:textId="666755FF" w:rsidR="00D71E30" w:rsidRPr="00CB5655" w:rsidRDefault="00D71E30" w:rsidP="0040328A">
      <w:pPr>
        <w:pStyle w:val="FootnoteText"/>
        <w:ind w:firstLine="720"/>
        <w:jc w:val="both"/>
        <w:rPr>
          <w:rFonts w:ascii="Cambria" w:hAnsi="Cambria"/>
          <w:color w:val="auto"/>
          <w:sz w:val="16"/>
          <w:szCs w:val="16"/>
          <w:lang w:val="es-ES"/>
        </w:rPr>
      </w:pPr>
      <w:r w:rsidRPr="00CB5655">
        <w:rPr>
          <w:rStyle w:val="FootnoteReference"/>
          <w:rFonts w:ascii="Cambria" w:hAnsi="Cambria"/>
          <w:color w:val="auto"/>
          <w:sz w:val="16"/>
          <w:szCs w:val="16"/>
          <w:lang w:val="es-ES"/>
        </w:rPr>
        <w:footnoteRef/>
      </w:r>
      <w:r w:rsidRPr="00CB5655">
        <w:rPr>
          <w:rFonts w:ascii="Cambria" w:hAnsi="Cambria"/>
          <w:color w:val="auto"/>
          <w:sz w:val="16"/>
          <w:szCs w:val="16"/>
          <w:lang w:val="es-ES"/>
        </w:rPr>
        <w:t xml:space="preserve"> Las observaciones de cada parte fueron transmitidas debidamente a la parte contraria.</w:t>
      </w:r>
    </w:p>
  </w:footnote>
  <w:footnote w:id="5">
    <w:p w14:paraId="1D397BBA" w14:textId="55782B60" w:rsidR="00D71E30" w:rsidRPr="00CB5655" w:rsidRDefault="00D71E30" w:rsidP="0040328A">
      <w:pPr>
        <w:pStyle w:val="FootnoteText"/>
        <w:ind w:firstLine="720"/>
        <w:jc w:val="both"/>
        <w:rPr>
          <w:rFonts w:ascii="Cambria" w:hAnsi="Cambria"/>
          <w:color w:val="auto"/>
          <w:sz w:val="16"/>
          <w:szCs w:val="16"/>
          <w:lang w:val="es-ES"/>
        </w:rPr>
      </w:pPr>
      <w:r w:rsidRPr="00CB5655">
        <w:rPr>
          <w:rStyle w:val="FootnoteReference"/>
          <w:rFonts w:ascii="Cambria" w:hAnsi="Cambria"/>
          <w:color w:val="auto"/>
          <w:sz w:val="16"/>
          <w:szCs w:val="16"/>
          <w:lang w:val="es-ES"/>
        </w:rPr>
        <w:footnoteRef/>
      </w:r>
      <w:r w:rsidRPr="00CB5655">
        <w:rPr>
          <w:rFonts w:ascii="Cambria" w:hAnsi="Cambria"/>
          <w:color w:val="auto"/>
          <w:sz w:val="16"/>
          <w:szCs w:val="16"/>
          <w:lang w:val="es-ES"/>
        </w:rPr>
        <w:t xml:space="preserve"> Código Penal</w:t>
      </w:r>
      <w:r>
        <w:rPr>
          <w:rFonts w:ascii="Cambria" w:hAnsi="Cambria"/>
          <w:color w:val="auto"/>
          <w:sz w:val="16"/>
          <w:szCs w:val="16"/>
          <w:lang w:val="es-ES"/>
        </w:rPr>
        <w:t>, a</w:t>
      </w:r>
      <w:r w:rsidRPr="00CB5655">
        <w:rPr>
          <w:rFonts w:ascii="Cambria" w:hAnsi="Cambria"/>
          <w:color w:val="auto"/>
          <w:sz w:val="16"/>
          <w:szCs w:val="16"/>
          <w:lang w:val="es-ES"/>
        </w:rPr>
        <w:t>rt. 23</w:t>
      </w:r>
      <w:r>
        <w:rPr>
          <w:rFonts w:ascii="Cambria" w:hAnsi="Cambria"/>
          <w:color w:val="auto"/>
          <w:sz w:val="16"/>
          <w:szCs w:val="16"/>
          <w:lang w:val="es-ES"/>
        </w:rPr>
        <w:t xml:space="preserve">: No hay delito cuando el </w:t>
      </w:r>
      <w:r w:rsidRPr="00CB5655">
        <w:rPr>
          <w:rFonts w:ascii="Cambria" w:hAnsi="Cambria"/>
          <w:color w:val="auto"/>
          <w:sz w:val="16"/>
          <w:szCs w:val="16"/>
          <w:lang w:val="es-ES"/>
        </w:rPr>
        <w:t xml:space="preserve">agente </w:t>
      </w:r>
      <w:r>
        <w:rPr>
          <w:rFonts w:ascii="Cambria" w:hAnsi="Cambria"/>
          <w:color w:val="auto"/>
          <w:sz w:val="16"/>
          <w:szCs w:val="16"/>
          <w:lang w:val="es-ES"/>
        </w:rPr>
        <w:t xml:space="preserve">actúa 1) </w:t>
      </w:r>
      <w:r w:rsidRPr="00CB5655">
        <w:rPr>
          <w:rFonts w:ascii="Cambria" w:hAnsi="Cambria"/>
          <w:color w:val="auto"/>
          <w:sz w:val="16"/>
          <w:szCs w:val="16"/>
          <w:lang w:val="es-ES"/>
        </w:rPr>
        <w:t>e</w:t>
      </w:r>
      <w:r>
        <w:rPr>
          <w:rFonts w:ascii="Cambria" w:hAnsi="Cambria"/>
          <w:color w:val="auto"/>
          <w:sz w:val="16"/>
          <w:szCs w:val="16"/>
          <w:lang w:val="es-ES"/>
        </w:rPr>
        <w:t>n</w:t>
      </w:r>
      <w:r w:rsidRPr="00CB5655">
        <w:rPr>
          <w:rFonts w:ascii="Cambria" w:hAnsi="Cambria"/>
          <w:color w:val="auto"/>
          <w:sz w:val="16"/>
          <w:szCs w:val="16"/>
          <w:lang w:val="es-ES"/>
        </w:rPr>
        <w:t xml:space="preserve"> estado de necesidad; </w:t>
      </w:r>
      <w:r>
        <w:rPr>
          <w:rFonts w:ascii="Cambria" w:hAnsi="Cambria"/>
          <w:color w:val="auto"/>
          <w:sz w:val="16"/>
          <w:szCs w:val="16"/>
          <w:lang w:val="es-ES"/>
        </w:rPr>
        <w:t>2) en</w:t>
      </w:r>
      <w:r w:rsidRPr="00CB5655">
        <w:rPr>
          <w:rFonts w:ascii="Cambria" w:hAnsi="Cambria"/>
          <w:color w:val="auto"/>
          <w:sz w:val="16"/>
          <w:szCs w:val="16"/>
          <w:lang w:val="es-ES"/>
        </w:rPr>
        <w:t xml:space="preserve"> legítima defe</w:t>
      </w:r>
      <w:r>
        <w:rPr>
          <w:rFonts w:ascii="Cambria" w:hAnsi="Cambria"/>
          <w:color w:val="auto"/>
          <w:sz w:val="16"/>
          <w:szCs w:val="16"/>
          <w:lang w:val="es-ES"/>
        </w:rPr>
        <w:t>n</w:t>
      </w:r>
      <w:r w:rsidRPr="00CB5655">
        <w:rPr>
          <w:rFonts w:ascii="Cambria" w:hAnsi="Cambria"/>
          <w:color w:val="auto"/>
          <w:sz w:val="16"/>
          <w:szCs w:val="16"/>
          <w:lang w:val="es-ES"/>
        </w:rPr>
        <w:t xml:space="preserve">sa; </w:t>
      </w:r>
      <w:r>
        <w:rPr>
          <w:rFonts w:ascii="Cambria" w:hAnsi="Cambria"/>
          <w:color w:val="auto"/>
          <w:sz w:val="16"/>
          <w:szCs w:val="16"/>
          <w:lang w:val="es-ES"/>
        </w:rPr>
        <w:t xml:space="preserve">3) en </w:t>
      </w:r>
      <w:r w:rsidRPr="00CB5655">
        <w:rPr>
          <w:rFonts w:ascii="Cambria" w:hAnsi="Cambria"/>
          <w:color w:val="auto"/>
          <w:sz w:val="16"/>
          <w:szCs w:val="16"/>
          <w:lang w:val="es-ES"/>
        </w:rPr>
        <w:t>estricto cumplimento de</w:t>
      </w:r>
      <w:r>
        <w:rPr>
          <w:rFonts w:ascii="Cambria" w:hAnsi="Cambria"/>
          <w:color w:val="auto"/>
          <w:sz w:val="16"/>
          <w:szCs w:val="16"/>
          <w:lang w:val="es-ES"/>
        </w:rPr>
        <w:t>l</w:t>
      </w:r>
      <w:r w:rsidRPr="00CB5655">
        <w:rPr>
          <w:rFonts w:ascii="Cambria" w:hAnsi="Cambria"/>
          <w:color w:val="auto"/>
          <w:sz w:val="16"/>
          <w:szCs w:val="16"/>
          <w:lang w:val="es-ES"/>
        </w:rPr>
        <w:t xml:space="preserve"> deber legal o</w:t>
      </w:r>
      <w:r>
        <w:rPr>
          <w:rFonts w:ascii="Cambria" w:hAnsi="Cambria"/>
          <w:color w:val="auto"/>
          <w:sz w:val="16"/>
          <w:szCs w:val="16"/>
          <w:lang w:val="es-ES"/>
        </w:rPr>
        <w:t xml:space="preserve"> en el </w:t>
      </w:r>
      <w:r w:rsidRPr="00CB5655">
        <w:rPr>
          <w:rFonts w:ascii="Cambria" w:hAnsi="Cambria"/>
          <w:color w:val="auto"/>
          <w:sz w:val="16"/>
          <w:szCs w:val="16"/>
          <w:lang w:val="es-ES"/>
        </w:rPr>
        <w:t>ejercicio regular de</w:t>
      </w:r>
      <w:r>
        <w:rPr>
          <w:rFonts w:ascii="Cambria" w:hAnsi="Cambria"/>
          <w:color w:val="auto"/>
          <w:sz w:val="16"/>
          <w:szCs w:val="16"/>
          <w:lang w:val="es-ES"/>
        </w:rPr>
        <w:t>l</w:t>
      </w:r>
      <w:r w:rsidRPr="00CB5655">
        <w:rPr>
          <w:rFonts w:ascii="Cambria" w:hAnsi="Cambria"/>
          <w:color w:val="auto"/>
          <w:sz w:val="16"/>
          <w:szCs w:val="16"/>
          <w:lang w:val="es-ES"/>
        </w:rPr>
        <w:t xml:space="preserve"> d</w:t>
      </w:r>
      <w:r>
        <w:rPr>
          <w:rFonts w:ascii="Cambria" w:hAnsi="Cambria"/>
          <w:color w:val="auto"/>
          <w:sz w:val="16"/>
          <w:szCs w:val="16"/>
          <w:lang w:val="es-ES"/>
        </w:rPr>
        <w:t>erecho.</w:t>
      </w:r>
      <w:r w:rsidRPr="00CB5655">
        <w:rPr>
          <w:rFonts w:ascii="Cambria" w:hAnsi="Cambria"/>
          <w:color w:val="auto"/>
          <w:sz w:val="16"/>
          <w:szCs w:val="16"/>
          <w:lang w:val="es-ES"/>
        </w:rPr>
        <w:t xml:space="preserve"> Parágrafo único</w:t>
      </w:r>
      <w:r>
        <w:rPr>
          <w:rFonts w:ascii="Cambria" w:hAnsi="Cambria"/>
          <w:color w:val="auto"/>
          <w:sz w:val="16"/>
          <w:szCs w:val="16"/>
          <w:lang w:val="es-ES"/>
        </w:rPr>
        <w:t>: El</w:t>
      </w:r>
      <w:r w:rsidRPr="00CB5655">
        <w:rPr>
          <w:rFonts w:ascii="Cambria" w:hAnsi="Cambria"/>
          <w:color w:val="auto"/>
          <w:sz w:val="16"/>
          <w:szCs w:val="16"/>
          <w:lang w:val="es-ES"/>
        </w:rPr>
        <w:t xml:space="preserve"> agente, e</w:t>
      </w:r>
      <w:r>
        <w:rPr>
          <w:rFonts w:ascii="Cambria" w:hAnsi="Cambria"/>
          <w:color w:val="auto"/>
          <w:sz w:val="16"/>
          <w:szCs w:val="16"/>
          <w:lang w:val="es-ES"/>
        </w:rPr>
        <w:t>n</w:t>
      </w:r>
      <w:r w:rsidRPr="00CB5655">
        <w:rPr>
          <w:rFonts w:ascii="Cambria" w:hAnsi="Cambria"/>
          <w:color w:val="auto"/>
          <w:sz w:val="16"/>
          <w:szCs w:val="16"/>
          <w:lang w:val="es-ES"/>
        </w:rPr>
        <w:t xml:space="preserve"> cualquier</w:t>
      </w:r>
      <w:r>
        <w:rPr>
          <w:rFonts w:ascii="Cambria" w:hAnsi="Cambria"/>
          <w:color w:val="auto"/>
          <w:sz w:val="16"/>
          <w:szCs w:val="16"/>
          <w:lang w:val="es-ES"/>
        </w:rPr>
        <w:t>a</w:t>
      </w:r>
      <w:r w:rsidRPr="00CB5655">
        <w:rPr>
          <w:rFonts w:ascii="Cambria" w:hAnsi="Cambria"/>
          <w:color w:val="auto"/>
          <w:sz w:val="16"/>
          <w:szCs w:val="16"/>
          <w:lang w:val="es-ES"/>
        </w:rPr>
        <w:t xml:space="preserve"> d</w:t>
      </w:r>
      <w:r>
        <w:rPr>
          <w:rFonts w:ascii="Cambria" w:hAnsi="Cambria"/>
          <w:color w:val="auto"/>
          <w:sz w:val="16"/>
          <w:szCs w:val="16"/>
          <w:lang w:val="es-ES"/>
        </w:rPr>
        <w:t>e l</w:t>
      </w:r>
      <w:r w:rsidRPr="00CB5655">
        <w:rPr>
          <w:rFonts w:ascii="Cambria" w:hAnsi="Cambria"/>
          <w:color w:val="auto"/>
          <w:sz w:val="16"/>
          <w:szCs w:val="16"/>
          <w:lang w:val="es-ES"/>
        </w:rPr>
        <w:t>as hipótesis de</w:t>
      </w:r>
      <w:r>
        <w:rPr>
          <w:rFonts w:ascii="Cambria" w:hAnsi="Cambria"/>
          <w:color w:val="auto"/>
          <w:sz w:val="16"/>
          <w:szCs w:val="16"/>
          <w:lang w:val="es-ES"/>
        </w:rPr>
        <w:t xml:space="preserve"> e</w:t>
      </w:r>
      <w:r w:rsidRPr="00CB5655">
        <w:rPr>
          <w:rFonts w:ascii="Cambria" w:hAnsi="Cambria"/>
          <w:color w:val="auto"/>
          <w:sz w:val="16"/>
          <w:szCs w:val="16"/>
          <w:lang w:val="es-ES"/>
        </w:rPr>
        <w:t>ste art</w:t>
      </w:r>
      <w:r>
        <w:rPr>
          <w:rFonts w:ascii="Cambria" w:hAnsi="Cambria"/>
          <w:color w:val="auto"/>
          <w:sz w:val="16"/>
          <w:szCs w:val="16"/>
          <w:lang w:val="es-ES"/>
        </w:rPr>
        <w:t>ículo</w:t>
      </w:r>
      <w:r w:rsidRPr="00CB5655">
        <w:rPr>
          <w:rFonts w:ascii="Cambria" w:hAnsi="Cambria"/>
          <w:color w:val="auto"/>
          <w:sz w:val="16"/>
          <w:szCs w:val="16"/>
          <w:lang w:val="es-ES"/>
        </w:rPr>
        <w:t>, responderá p</w:t>
      </w:r>
      <w:r>
        <w:rPr>
          <w:rFonts w:ascii="Cambria" w:hAnsi="Cambria"/>
          <w:color w:val="auto"/>
          <w:sz w:val="16"/>
          <w:szCs w:val="16"/>
          <w:lang w:val="es-ES"/>
        </w:rPr>
        <w:t xml:space="preserve">or el </w:t>
      </w:r>
      <w:r w:rsidRPr="00CB5655">
        <w:rPr>
          <w:rFonts w:ascii="Cambria" w:hAnsi="Cambria"/>
          <w:color w:val="auto"/>
          <w:sz w:val="16"/>
          <w:szCs w:val="16"/>
          <w:lang w:val="es-ES"/>
        </w:rPr>
        <w:t>exceso doloso o culposo.</w:t>
      </w:r>
    </w:p>
  </w:footnote>
  <w:footnote w:id="6">
    <w:p w14:paraId="1B8868A7" w14:textId="763C3C22" w:rsidR="00D71E30" w:rsidRPr="00CB5655" w:rsidRDefault="00D71E30" w:rsidP="0040328A">
      <w:pPr>
        <w:pStyle w:val="FootnoteText"/>
        <w:ind w:firstLine="720"/>
        <w:jc w:val="both"/>
        <w:rPr>
          <w:rFonts w:ascii="Cambria" w:hAnsi="Cambria"/>
          <w:color w:val="auto"/>
          <w:sz w:val="16"/>
          <w:szCs w:val="16"/>
          <w:lang w:val="es-ES"/>
        </w:rPr>
      </w:pPr>
      <w:r w:rsidRPr="00CB5655">
        <w:rPr>
          <w:rStyle w:val="FootnoteReference"/>
          <w:rFonts w:ascii="Cambria" w:hAnsi="Cambria"/>
          <w:color w:val="auto"/>
          <w:sz w:val="16"/>
          <w:szCs w:val="16"/>
          <w:lang w:val="es-ES"/>
        </w:rPr>
        <w:footnoteRef/>
      </w:r>
      <w:r w:rsidRPr="00CB5655">
        <w:rPr>
          <w:rFonts w:ascii="Cambria" w:hAnsi="Cambria"/>
          <w:color w:val="auto"/>
          <w:sz w:val="16"/>
          <w:szCs w:val="16"/>
          <w:lang w:val="es-ES"/>
        </w:rPr>
        <w:t xml:space="preserve"> </w:t>
      </w:r>
      <w:r>
        <w:rPr>
          <w:rFonts w:ascii="Cambria" w:hAnsi="Cambria"/>
          <w:color w:val="auto"/>
          <w:sz w:val="16"/>
          <w:szCs w:val="16"/>
          <w:lang w:val="es-ES"/>
        </w:rPr>
        <w:t xml:space="preserve">En la Ley </w:t>
      </w:r>
      <w:r w:rsidRPr="00CB5655">
        <w:rPr>
          <w:rFonts w:ascii="Cambria" w:hAnsi="Cambria"/>
          <w:color w:val="auto"/>
          <w:sz w:val="16"/>
          <w:szCs w:val="16"/>
          <w:lang w:val="es-ES"/>
        </w:rPr>
        <w:t xml:space="preserve">Federal nº 9.299/96 </w:t>
      </w:r>
      <w:r>
        <w:rPr>
          <w:rFonts w:ascii="Cambria" w:hAnsi="Cambria"/>
          <w:color w:val="auto"/>
          <w:sz w:val="16"/>
          <w:szCs w:val="16"/>
          <w:lang w:val="es-ES"/>
        </w:rPr>
        <w:t xml:space="preserve">se </w:t>
      </w:r>
      <w:r w:rsidRPr="00CB5655">
        <w:rPr>
          <w:rFonts w:ascii="Cambria" w:hAnsi="Cambria"/>
          <w:color w:val="auto"/>
          <w:sz w:val="16"/>
          <w:szCs w:val="16"/>
          <w:lang w:val="es-ES"/>
        </w:rPr>
        <w:t>determin</w:t>
      </w:r>
      <w:r>
        <w:rPr>
          <w:rFonts w:ascii="Cambria" w:hAnsi="Cambria"/>
          <w:color w:val="auto"/>
          <w:sz w:val="16"/>
          <w:szCs w:val="16"/>
          <w:lang w:val="es-ES"/>
        </w:rPr>
        <w:t>ó</w:t>
      </w:r>
      <w:r w:rsidRPr="00CB5655">
        <w:rPr>
          <w:rFonts w:ascii="Cambria" w:hAnsi="Cambria"/>
          <w:color w:val="auto"/>
          <w:sz w:val="16"/>
          <w:szCs w:val="16"/>
          <w:lang w:val="es-ES"/>
        </w:rPr>
        <w:t xml:space="preserve"> que </w:t>
      </w:r>
      <w:r>
        <w:rPr>
          <w:rFonts w:ascii="Cambria" w:hAnsi="Cambria"/>
          <w:color w:val="auto"/>
          <w:sz w:val="16"/>
          <w:szCs w:val="16"/>
          <w:lang w:val="es-ES"/>
        </w:rPr>
        <w:t>l</w:t>
      </w:r>
      <w:r w:rsidRPr="00CB5655">
        <w:rPr>
          <w:rFonts w:ascii="Cambria" w:hAnsi="Cambria"/>
          <w:color w:val="auto"/>
          <w:sz w:val="16"/>
          <w:szCs w:val="16"/>
          <w:lang w:val="es-ES"/>
        </w:rPr>
        <w:t xml:space="preserve">a competencia para </w:t>
      </w:r>
      <w:r>
        <w:rPr>
          <w:rFonts w:ascii="Cambria" w:hAnsi="Cambria"/>
          <w:color w:val="auto"/>
          <w:sz w:val="16"/>
          <w:szCs w:val="16"/>
          <w:lang w:val="es-ES"/>
        </w:rPr>
        <w:t xml:space="preserve">procesar y enjuiciar los delitos </w:t>
      </w:r>
      <w:r w:rsidRPr="00CB5655">
        <w:rPr>
          <w:rFonts w:ascii="Cambria" w:hAnsi="Cambria"/>
          <w:color w:val="auto"/>
          <w:sz w:val="16"/>
          <w:szCs w:val="16"/>
          <w:lang w:val="es-ES"/>
        </w:rPr>
        <w:t xml:space="preserve">contra </w:t>
      </w:r>
      <w:r>
        <w:rPr>
          <w:rFonts w:ascii="Cambria" w:hAnsi="Cambria"/>
          <w:color w:val="auto"/>
          <w:sz w:val="16"/>
          <w:szCs w:val="16"/>
          <w:lang w:val="es-ES"/>
        </w:rPr>
        <w:t>l</w:t>
      </w:r>
      <w:r w:rsidRPr="00CB5655">
        <w:rPr>
          <w:rFonts w:ascii="Cambria" w:hAnsi="Cambria"/>
          <w:color w:val="auto"/>
          <w:sz w:val="16"/>
          <w:szCs w:val="16"/>
          <w:lang w:val="es-ES"/>
        </w:rPr>
        <w:t>a vida cometidos por militares contra civi</w:t>
      </w:r>
      <w:r>
        <w:rPr>
          <w:rFonts w:ascii="Cambria" w:hAnsi="Cambria"/>
          <w:color w:val="auto"/>
          <w:sz w:val="16"/>
          <w:szCs w:val="16"/>
          <w:lang w:val="es-ES"/>
        </w:rPr>
        <w:t>les corresponde a la justicia común</w:t>
      </w:r>
      <w:r w:rsidRPr="00CB5655">
        <w:rPr>
          <w:rFonts w:ascii="Cambria" w:hAnsi="Cambria"/>
          <w:color w:val="auto"/>
          <w:sz w:val="16"/>
          <w:szCs w:val="16"/>
          <w:lang w:val="es-ES"/>
        </w:rPr>
        <w:t>.</w:t>
      </w:r>
    </w:p>
  </w:footnote>
  <w:footnote w:id="7">
    <w:p w14:paraId="650BA415" w14:textId="689BFC93" w:rsidR="00D71E30" w:rsidRPr="00CB5655" w:rsidRDefault="00D71E30" w:rsidP="0040328A">
      <w:pPr>
        <w:pStyle w:val="FootnoteText"/>
        <w:ind w:firstLine="720"/>
        <w:jc w:val="both"/>
        <w:rPr>
          <w:rFonts w:ascii="Cambria" w:hAnsi="Cambria"/>
          <w:sz w:val="16"/>
          <w:szCs w:val="16"/>
          <w:lang w:val="es-ES"/>
        </w:rPr>
      </w:pPr>
      <w:r w:rsidRPr="00CB5655">
        <w:rPr>
          <w:rStyle w:val="FootnoteReference"/>
          <w:rFonts w:ascii="Cambria" w:hAnsi="Cambria"/>
          <w:sz w:val="16"/>
          <w:szCs w:val="16"/>
          <w:lang w:val="es-ES"/>
        </w:rPr>
        <w:footnoteRef/>
      </w:r>
      <w:r w:rsidRPr="00CB5655">
        <w:rPr>
          <w:rFonts w:ascii="Cambria" w:hAnsi="Cambria"/>
          <w:sz w:val="16"/>
          <w:szCs w:val="16"/>
          <w:lang w:val="es-ES"/>
        </w:rPr>
        <w:t xml:space="preserve"> CIDH, Informe No. 16/18. Admisibilidad. Petición 884-07, Victoria Piedad Palacios Tejada de Saavedra. Perú. 24 de fe</w:t>
      </w:r>
      <w:r>
        <w:rPr>
          <w:rFonts w:ascii="Cambria" w:hAnsi="Cambria"/>
          <w:sz w:val="16"/>
          <w:szCs w:val="16"/>
          <w:lang w:val="es-ES"/>
        </w:rPr>
        <w:t>brero</w:t>
      </w:r>
      <w:r w:rsidRPr="00CB5655">
        <w:rPr>
          <w:rFonts w:ascii="Cambria" w:hAnsi="Cambria"/>
          <w:sz w:val="16"/>
          <w:szCs w:val="16"/>
          <w:lang w:val="es-ES"/>
        </w:rPr>
        <w:t xml:space="preserve"> de 2018, </w:t>
      </w:r>
      <w:r>
        <w:rPr>
          <w:rFonts w:ascii="Cambria" w:hAnsi="Cambria"/>
          <w:sz w:val="16"/>
          <w:szCs w:val="16"/>
          <w:lang w:val="es-ES"/>
        </w:rPr>
        <w:t>párr.</w:t>
      </w:r>
      <w:r w:rsidRPr="00CB5655">
        <w:rPr>
          <w:rFonts w:ascii="Cambria" w:hAnsi="Cambria"/>
          <w:sz w:val="16"/>
          <w:szCs w:val="16"/>
          <w:lang w:val="es-ES"/>
        </w:rPr>
        <w:t xml:space="preserve"> 12.</w:t>
      </w:r>
    </w:p>
  </w:footnote>
  <w:footnote w:id="8">
    <w:p w14:paraId="64F8995F" w14:textId="1397B426" w:rsidR="00D71E30" w:rsidRPr="00CB5655" w:rsidRDefault="00D71E30" w:rsidP="0040328A">
      <w:pPr>
        <w:pStyle w:val="FootnoteText"/>
        <w:ind w:firstLine="720"/>
        <w:jc w:val="both"/>
        <w:rPr>
          <w:rFonts w:ascii="Cambria" w:hAnsi="Cambria"/>
          <w:color w:val="auto"/>
          <w:sz w:val="16"/>
          <w:szCs w:val="16"/>
          <w:lang w:val="es-ES"/>
        </w:rPr>
      </w:pPr>
      <w:r w:rsidRPr="00CB5655">
        <w:rPr>
          <w:rStyle w:val="FootnoteReference"/>
          <w:rFonts w:ascii="Cambria" w:hAnsi="Cambria"/>
          <w:color w:val="auto"/>
          <w:sz w:val="16"/>
          <w:szCs w:val="16"/>
          <w:lang w:val="es-ES"/>
        </w:rPr>
        <w:footnoteRef/>
      </w:r>
      <w:r w:rsidRPr="00CB5655">
        <w:rPr>
          <w:rFonts w:ascii="Cambria" w:hAnsi="Cambria"/>
          <w:color w:val="auto"/>
          <w:sz w:val="16"/>
          <w:szCs w:val="16"/>
          <w:lang w:val="es-ES"/>
        </w:rPr>
        <w:t xml:space="preserve"> V</w:t>
      </w:r>
      <w:r w:rsidR="00736692">
        <w:rPr>
          <w:rFonts w:ascii="Cambria" w:hAnsi="Cambria"/>
          <w:color w:val="auto"/>
          <w:sz w:val="16"/>
          <w:szCs w:val="16"/>
          <w:lang w:val="es-ES"/>
        </w:rPr>
        <w:t>éase</w:t>
      </w:r>
      <w:r w:rsidRPr="00CB5655">
        <w:rPr>
          <w:rFonts w:ascii="Cambria" w:hAnsi="Cambria"/>
          <w:color w:val="auto"/>
          <w:sz w:val="16"/>
          <w:szCs w:val="16"/>
          <w:lang w:val="es-ES"/>
        </w:rPr>
        <w:t xml:space="preserve">, </w:t>
      </w:r>
      <w:r w:rsidRPr="00CB5655">
        <w:rPr>
          <w:rFonts w:ascii="Cambria" w:hAnsi="Cambria"/>
          <w:i/>
          <w:color w:val="auto"/>
          <w:sz w:val="16"/>
          <w:szCs w:val="16"/>
          <w:lang w:val="es-ES"/>
        </w:rPr>
        <w:t>mutatis mutandis</w:t>
      </w:r>
      <w:r w:rsidRPr="00CB5655">
        <w:rPr>
          <w:rFonts w:ascii="Cambria" w:hAnsi="Cambria"/>
          <w:color w:val="auto"/>
          <w:sz w:val="16"/>
          <w:szCs w:val="16"/>
          <w:lang w:val="es-ES"/>
        </w:rPr>
        <w:t>, CIDH, Informe No. 36/05</w:t>
      </w:r>
      <w:r w:rsidR="00736692">
        <w:rPr>
          <w:rFonts w:ascii="Cambria" w:hAnsi="Cambria"/>
          <w:color w:val="auto"/>
          <w:sz w:val="16"/>
          <w:szCs w:val="16"/>
          <w:lang w:val="es-ES"/>
        </w:rPr>
        <w:t>.</w:t>
      </w:r>
      <w:r w:rsidRPr="00CB5655">
        <w:rPr>
          <w:rFonts w:ascii="Cambria" w:hAnsi="Cambria"/>
          <w:color w:val="auto"/>
          <w:sz w:val="16"/>
          <w:szCs w:val="16"/>
          <w:lang w:val="es-ES"/>
        </w:rPr>
        <w:t xml:space="preserve"> Inadmisibilidad. Petición 12.170, Fernando A. Colmenares Castillo, México, 9 de </w:t>
      </w:r>
      <w:r>
        <w:rPr>
          <w:rFonts w:ascii="Cambria" w:hAnsi="Cambria"/>
          <w:color w:val="auto"/>
          <w:sz w:val="16"/>
          <w:szCs w:val="16"/>
          <w:lang w:val="es-ES"/>
        </w:rPr>
        <w:t>marzo</w:t>
      </w:r>
      <w:r w:rsidRPr="00CB5655">
        <w:rPr>
          <w:rFonts w:ascii="Cambria" w:hAnsi="Cambria"/>
          <w:color w:val="auto"/>
          <w:sz w:val="16"/>
          <w:szCs w:val="16"/>
          <w:lang w:val="es-ES"/>
        </w:rPr>
        <w:t xml:space="preserve"> de 2005, </w:t>
      </w:r>
      <w:r>
        <w:rPr>
          <w:rFonts w:ascii="Cambria" w:hAnsi="Cambria"/>
          <w:color w:val="auto"/>
          <w:sz w:val="16"/>
          <w:szCs w:val="16"/>
          <w:lang w:val="es-ES"/>
        </w:rPr>
        <w:t>párrs.</w:t>
      </w:r>
      <w:r w:rsidRPr="00CB5655">
        <w:rPr>
          <w:rFonts w:ascii="Cambria" w:hAnsi="Cambria"/>
          <w:color w:val="auto"/>
          <w:sz w:val="16"/>
          <w:szCs w:val="16"/>
          <w:lang w:val="es-ES"/>
        </w:rPr>
        <w:t xml:space="preserve"> 38</w:t>
      </w:r>
      <w:r>
        <w:rPr>
          <w:rFonts w:ascii="Cambria" w:hAnsi="Cambria"/>
          <w:color w:val="auto"/>
          <w:sz w:val="16"/>
          <w:szCs w:val="16"/>
          <w:lang w:val="es-ES"/>
        </w:rPr>
        <w:t xml:space="preserve"> y </w:t>
      </w:r>
      <w:r w:rsidRPr="00CB5655">
        <w:rPr>
          <w:rFonts w:ascii="Cambria" w:hAnsi="Cambria"/>
          <w:color w:val="auto"/>
          <w:sz w:val="16"/>
          <w:szCs w:val="16"/>
          <w:lang w:val="es-ES"/>
        </w:rPr>
        <w:t>39.</w:t>
      </w:r>
    </w:p>
  </w:footnote>
  <w:footnote w:id="9">
    <w:p w14:paraId="6D256C9E" w14:textId="626D2020" w:rsidR="00D71E30" w:rsidRPr="001625B5" w:rsidRDefault="00D71E30" w:rsidP="00F97337">
      <w:pPr>
        <w:pStyle w:val="FootnoteText"/>
        <w:jc w:val="both"/>
        <w:rPr>
          <w:rFonts w:ascii="Cambria" w:hAnsi="Cambria"/>
          <w:sz w:val="16"/>
          <w:szCs w:val="16"/>
          <w:lang w:val="pt-BR"/>
        </w:rPr>
      </w:pPr>
      <w:r w:rsidRPr="00CB5655">
        <w:rPr>
          <w:rStyle w:val="FootnoteReference"/>
          <w:rFonts w:ascii="Cambria" w:hAnsi="Cambria"/>
          <w:sz w:val="16"/>
          <w:szCs w:val="16"/>
          <w:lang w:val="es-ES"/>
        </w:rPr>
        <w:footnoteRef/>
      </w:r>
      <w:r w:rsidRPr="00CB5655">
        <w:rPr>
          <w:rFonts w:ascii="Cambria" w:hAnsi="Cambria"/>
          <w:sz w:val="16"/>
          <w:szCs w:val="16"/>
          <w:lang w:val="es-ES"/>
        </w:rPr>
        <w:t xml:space="preserve"> CIDH. Informe </w:t>
      </w:r>
      <w:r>
        <w:rPr>
          <w:rFonts w:ascii="Cambria" w:hAnsi="Cambria"/>
          <w:sz w:val="16"/>
          <w:szCs w:val="16"/>
          <w:lang w:val="es-ES"/>
        </w:rPr>
        <w:t xml:space="preserve">No. </w:t>
      </w:r>
      <w:r w:rsidRPr="00CB5655">
        <w:rPr>
          <w:rFonts w:ascii="Cambria" w:hAnsi="Cambria"/>
          <w:sz w:val="16"/>
          <w:szCs w:val="16"/>
          <w:lang w:val="es-ES"/>
        </w:rPr>
        <w:t xml:space="preserve">105/17. Petición 798-07. Admisibilidad. David Valderrama Opazo </w:t>
      </w:r>
      <w:r>
        <w:rPr>
          <w:rFonts w:ascii="Cambria" w:hAnsi="Cambria"/>
          <w:sz w:val="16"/>
          <w:szCs w:val="16"/>
          <w:lang w:val="es-ES"/>
        </w:rPr>
        <w:t>y</w:t>
      </w:r>
      <w:r w:rsidRPr="00CB5655">
        <w:rPr>
          <w:rFonts w:ascii="Cambria" w:hAnsi="Cambria"/>
          <w:sz w:val="16"/>
          <w:szCs w:val="16"/>
          <w:lang w:val="es-ES"/>
        </w:rPr>
        <w:t xml:space="preserve"> otros. Chile. 7 de </w:t>
      </w:r>
      <w:r>
        <w:rPr>
          <w:rFonts w:ascii="Cambria" w:hAnsi="Cambria"/>
          <w:sz w:val="16"/>
          <w:szCs w:val="16"/>
          <w:lang w:val="es-ES"/>
        </w:rPr>
        <w:t>septiembre</w:t>
      </w:r>
      <w:r w:rsidRPr="00CB5655">
        <w:rPr>
          <w:rFonts w:ascii="Cambria" w:hAnsi="Cambria"/>
          <w:sz w:val="16"/>
          <w:szCs w:val="16"/>
          <w:lang w:val="es-ES"/>
        </w:rPr>
        <w:t xml:space="preserve"> de 2017, </w:t>
      </w:r>
      <w:r>
        <w:rPr>
          <w:rFonts w:ascii="Cambria" w:hAnsi="Cambria"/>
          <w:sz w:val="16"/>
          <w:szCs w:val="16"/>
          <w:lang w:val="es-ES"/>
        </w:rPr>
        <w:t>párr.</w:t>
      </w:r>
      <w:r w:rsidRPr="00CB5655">
        <w:rPr>
          <w:rFonts w:ascii="Cambria" w:hAnsi="Cambria"/>
          <w:sz w:val="16"/>
          <w:szCs w:val="16"/>
          <w:lang w:val="es-ES"/>
        </w:rPr>
        <w:t xml:space="preserve"> 11; CIDH, Informe </w:t>
      </w:r>
      <w:r>
        <w:rPr>
          <w:rFonts w:ascii="Cambria" w:hAnsi="Cambria"/>
          <w:sz w:val="16"/>
          <w:szCs w:val="16"/>
          <w:lang w:val="es-ES"/>
        </w:rPr>
        <w:t xml:space="preserve">No. </w:t>
      </w:r>
      <w:r w:rsidRPr="00CB5655">
        <w:rPr>
          <w:rFonts w:ascii="Cambria" w:hAnsi="Cambria"/>
          <w:sz w:val="16"/>
          <w:szCs w:val="16"/>
          <w:lang w:val="es-ES"/>
        </w:rPr>
        <w:t xml:space="preserve">78/16. Petición 1170-09. Admisibilidad. </w:t>
      </w:r>
      <w:r w:rsidRPr="001625B5">
        <w:rPr>
          <w:rFonts w:ascii="Cambria" w:hAnsi="Cambria"/>
          <w:sz w:val="16"/>
          <w:szCs w:val="16"/>
          <w:lang w:val="pt-BR"/>
        </w:rPr>
        <w:t>Amir Muniz da Silva. Brasil. 30 de diciembre de 2016, párr. 32.</w:t>
      </w:r>
    </w:p>
  </w:footnote>
  <w:footnote w:id="10">
    <w:p w14:paraId="7DB4E560" w14:textId="23AAB0A7" w:rsidR="00D71E30" w:rsidRPr="00CB5655" w:rsidRDefault="00D71E30" w:rsidP="0065281D">
      <w:pPr>
        <w:pStyle w:val="FootnoteText"/>
        <w:ind w:firstLine="720"/>
        <w:jc w:val="both"/>
        <w:rPr>
          <w:rFonts w:ascii="Cambria" w:hAnsi="Cambria"/>
          <w:sz w:val="16"/>
          <w:szCs w:val="16"/>
          <w:lang w:val="es-ES"/>
        </w:rPr>
      </w:pPr>
      <w:r w:rsidRPr="00CB5655">
        <w:rPr>
          <w:rStyle w:val="FootnoteReference"/>
          <w:rFonts w:ascii="Cambria" w:hAnsi="Cambria"/>
          <w:sz w:val="16"/>
          <w:szCs w:val="16"/>
          <w:lang w:val="es-ES"/>
        </w:rPr>
        <w:footnoteRef/>
      </w:r>
      <w:r w:rsidRPr="001625B5">
        <w:rPr>
          <w:rFonts w:ascii="Cambria" w:hAnsi="Cambria"/>
          <w:sz w:val="16"/>
          <w:szCs w:val="16"/>
          <w:lang w:val="pt-BR"/>
        </w:rPr>
        <w:t xml:space="preserve"> CIDH, Comunicado de Prensa. </w:t>
      </w:r>
      <w:r w:rsidRPr="006E2E1C">
        <w:rPr>
          <w:rFonts w:ascii="Cambria" w:hAnsi="Cambria"/>
          <w:sz w:val="16"/>
          <w:szCs w:val="16"/>
          <w:lang w:val="es-ES"/>
        </w:rPr>
        <w:t>ONU Derechos Humanos y CIDH condenan uso excesivo de la fuerza durante las protestas sociales y durante operativos de seguridad en Brasil</w:t>
      </w:r>
      <w:r w:rsidRPr="00CB5655">
        <w:rPr>
          <w:rFonts w:ascii="Cambria" w:hAnsi="Cambria"/>
          <w:sz w:val="16"/>
          <w:szCs w:val="16"/>
          <w:lang w:val="es-ES"/>
        </w:rPr>
        <w:t>, 26 de mayo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D71E30" w:rsidRDefault="00D71E30" w:rsidP="00FF101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D71E30" w:rsidRDefault="00D71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67DC9378" w:rsidR="00D71E30" w:rsidRDefault="00D71E30" w:rsidP="00A50FCF">
    <w:pPr>
      <w:pStyle w:val="Header"/>
      <w:tabs>
        <w:tab w:val="clear" w:pos="4320"/>
        <w:tab w:val="clear" w:pos="8640"/>
      </w:tabs>
      <w:jc w:val="center"/>
      <w:rPr>
        <w:sz w:val="22"/>
        <w:szCs w:val="22"/>
      </w:rPr>
    </w:pPr>
    <w:r>
      <w:rPr>
        <w:noProof/>
        <w:sz w:val="22"/>
        <w:szCs w:val="22"/>
      </w:rPr>
      <w:drawing>
        <wp:inline distT="0" distB="0" distL="0" distR="0" wp14:anchorId="14125F94" wp14:editId="1FE96358">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D71E30" w:rsidRPr="00EC7D62" w:rsidRDefault="0070175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D7D7" w14:textId="77777777" w:rsidR="00840475" w:rsidRDefault="0084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3NDYzNjM0M7YwNTZQ0lEKTi0uzszPAykwNKoFAAzZg/4tAAAA"/>
  </w:docVars>
  <w:rsids>
    <w:rsidRoot w:val="006B2D5C"/>
    <w:rsid w:val="0000036F"/>
    <w:rsid w:val="00000CDA"/>
    <w:rsid w:val="00006E1F"/>
    <w:rsid w:val="000070D7"/>
    <w:rsid w:val="0001788C"/>
    <w:rsid w:val="00032E1F"/>
    <w:rsid w:val="000337EF"/>
    <w:rsid w:val="00040C3A"/>
    <w:rsid w:val="000419AD"/>
    <w:rsid w:val="000433C9"/>
    <w:rsid w:val="000716C5"/>
    <w:rsid w:val="000727DA"/>
    <w:rsid w:val="00075E23"/>
    <w:rsid w:val="00076A85"/>
    <w:rsid w:val="0009344A"/>
    <w:rsid w:val="000A392E"/>
    <w:rsid w:val="000A575F"/>
    <w:rsid w:val="000D10DB"/>
    <w:rsid w:val="000E43B1"/>
    <w:rsid w:val="000E5A59"/>
    <w:rsid w:val="000E5EB5"/>
    <w:rsid w:val="000F35ED"/>
    <w:rsid w:val="000F68FF"/>
    <w:rsid w:val="00107131"/>
    <w:rsid w:val="0010736F"/>
    <w:rsid w:val="00113F73"/>
    <w:rsid w:val="00121CC2"/>
    <w:rsid w:val="00126384"/>
    <w:rsid w:val="00133EE5"/>
    <w:rsid w:val="00134AB1"/>
    <w:rsid w:val="00146298"/>
    <w:rsid w:val="00147F83"/>
    <w:rsid w:val="0015214B"/>
    <w:rsid w:val="001625B5"/>
    <w:rsid w:val="00167A34"/>
    <w:rsid w:val="001A7870"/>
    <w:rsid w:val="001B3A00"/>
    <w:rsid w:val="001C1B41"/>
    <w:rsid w:val="001D65EF"/>
    <w:rsid w:val="001E49E7"/>
    <w:rsid w:val="001F7201"/>
    <w:rsid w:val="00223A29"/>
    <w:rsid w:val="00223D15"/>
    <w:rsid w:val="002250A3"/>
    <w:rsid w:val="00225B2A"/>
    <w:rsid w:val="0022709D"/>
    <w:rsid w:val="0022736D"/>
    <w:rsid w:val="00235217"/>
    <w:rsid w:val="00246D1F"/>
    <w:rsid w:val="00247403"/>
    <w:rsid w:val="00247542"/>
    <w:rsid w:val="00266B61"/>
    <w:rsid w:val="0026712A"/>
    <w:rsid w:val="002704DB"/>
    <w:rsid w:val="002A0AAE"/>
    <w:rsid w:val="002A5820"/>
    <w:rsid w:val="002B130C"/>
    <w:rsid w:val="002C1A11"/>
    <w:rsid w:val="002C4DEC"/>
    <w:rsid w:val="002C51DC"/>
    <w:rsid w:val="002D2B26"/>
    <w:rsid w:val="002D7EA2"/>
    <w:rsid w:val="002E187C"/>
    <w:rsid w:val="002E2986"/>
    <w:rsid w:val="002F6DD1"/>
    <w:rsid w:val="00302733"/>
    <w:rsid w:val="00314078"/>
    <w:rsid w:val="00314D9D"/>
    <w:rsid w:val="0031535D"/>
    <w:rsid w:val="0031697A"/>
    <w:rsid w:val="003239B8"/>
    <w:rsid w:val="00326A4E"/>
    <w:rsid w:val="0033169F"/>
    <w:rsid w:val="003329CF"/>
    <w:rsid w:val="00344977"/>
    <w:rsid w:val="00346C95"/>
    <w:rsid w:val="00356185"/>
    <w:rsid w:val="00360380"/>
    <w:rsid w:val="00373E7C"/>
    <w:rsid w:val="0037519E"/>
    <w:rsid w:val="00386CF0"/>
    <w:rsid w:val="0038709A"/>
    <w:rsid w:val="003935B7"/>
    <w:rsid w:val="003A2FBC"/>
    <w:rsid w:val="003B08D0"/>
    <w:rsid w:val="003B70FB"/>
    <w:rsid w:val="003C594A"/>
    <w:rsid w:val="003C676B"/>
    <w:rsid w:val="003D3BC2"/>
    <w:rsid w:val="003E6CA1"/>
    <w:rsid w:val="003E7B51"/>
    <w:rsid w:val="00402FC5"/>
    <w:rsid w:val="0040328A"/>
    <w:rsid w:val="004065A8"/>
    <w:rsid w:val="00407DD4"/>
    <w:rsid w:val="004165C2"/>
    <w:rsid w:val="00421B53"/>
    <w:rsid w:val="00423157"/>
    <w:rsid w:val="004340E6"/>
    <w:rsid w:val="00441ECB"/>
    <w:rsid w:val="00445193"/>
    <w:rsid w:val="004529D1"/>
    <w:rsid w:val="00462C1B"/>
    <w:rsid w:val="00467B7E"/>
    <w:rsid w:val="00473BB4"/>
    <w:rsid w:val="00477592"/>
    <w:rsid w:val="00481853"/>
    <w:rsid w:val="00486F1C"/>
    <w:rsid w:val="0049419D"/>
    <w:rsid w:val="004A6A54"/>
    <w:rsid w:val="004C20D2"/>
    <w:rsid w:val="004C2312"/>
    <w:rsid w:val="004C4B62"/>
    <w:rsid w:val="004C54C9"/>
    <w:rsid w:val="004C700A"/>
    <w:rsid w:val="004D4ABA"/>
    <w:rsid w:val="004D5D4E"/>
    <w:rsid w:val="004D6025"/>
    <w:rsid w:val="004E2649"/>
    <w:rsid w:val="00501399"/>
    <w:rsid w:val="0050633D"/>
    <w:rsid w:val="00507BC4"/>
    <w:rsid w:val="005128E4"/>
    <w:rsid w:val="005133DB"/>
    <w:rsid w:val="00525560"/>
    <w:rsid w:val="00544C49"/>
    <w:rsid w:val="005516A1"/>
    <w:rsid w:val="00563557"/>
    <w:rsid w:val="0057402A"/>
    <w:rsid w:val="005771D0"/>
    <w:rsid w:val="005858D8"/>
    <w:rsid w:val="00586B5A"/>
    <w:rsid w:val="0059191A"/>
    <w:rsid w:val="005921FF"/>
    <w:rsid w:val="005A24ED"/>
    <w:rsid w:val="005A6D0E"/>
    <w:rsid w:val="005B52B0"/>
    <w:rsid w:val="005B6806"/>
    <w:rsid w:val="005C4225"/>
    <w:rsid w:val="005E4087"/>
    <w:rsid w:val="005E7E21"/>
    <w:rsid w:val="005F0DAD"/>
    <w:rsid w:val="005F0F33"/>
    <w:rsid w:val="005F3CE4"/>
    <w:rsid w:val="00600DEB"/>
    <w:rsid w:val="00617BF2"/>
    <w:rsid w:val="006233E7"/>
    <w:rsid w:val="00627C9F"/>
    <w:rsid w:val="006311E9"/>
    <w:rsid w:val="00632354"/>
    <w:rsid w:val="00642810"/>
    <w:rsid w:val="0065040F"/>
    <w:rsid w:val="00652333"/>
    <w:rsid w:val="00652437"/>
    <w:rsid w:val="0065281D"/>
    <w:rsid w:val="00671A1D"/>
    <w:rsid w:val="0068009E"/>
    <w:rsid w:val="00692219"/>
    <w:rsid w:val="006A17D2"/>
    <w:rsid w:val="006A20E7"/>
    <w:rsid w:val="006A73E6"/>
    <w:rsid w:val="006B2D5C"/>
    <w:rsid w:val="006B2EF2"/>
    <w:rsid w:val="006B5EE6"/>
    <w:rsid w:val="006C39E6"/>
    <w:rsid w:val="006C4EB1"/>
    <w:rsid w:val="006E0166"/>
    <w:rsid w:val="006E2E1C"/>
    <w:rsid w:val="006E7B34"/>
    <w:rsid w:val="00701750"/>
    <w:rsid w:val="0070697F"/>
    <w:rsid w:val="007077C2"/>
    <w:rsid w:val="0072199C"/>
    <w:rsid w:val="00722C9F"/>
    <w:rsid w:val="007253B8"/>
    <w:rsid w:val="00736692"/>
    <w:rsid w:val="0073741F"/>
    <w:rsid w:val="0074265B"/>
    <w:rsid w:val="00765C9E"/>
    <w:rsid w:val="0076643F"/>
    <w:rsid w:val="007665A8"/>
    <w:rsid w:val="00777F63"/>
    <w:rsid w:val="0079036E"/>
    <w:rsid w:val="007913DE"/>
    <w:rsid w:val="007A5817"/>
    <w:rsid w:val="007B05C4"/>
    <w:rsid w:val="007B5AB5"/>
    <w:rsid w:val="007B60E9"/>
    <w:rsid w:val="007B6CC3"/>
    <w:rsid w:val="007B76D3"/>
    <w:rsid w:val="007C3334"/>
    <w:rsid w:val="007D2B98"/>
    <w:rsid w:val="007E21BC"/>
    <w:rsid w:val="007E6AE4"/>
    <w:rsid w:val="007E7C82"/>
    <w:rsid w:val="007F588D"/>
    <w:rsid w:val="007F7FD5"/>
    <w:rsid w:val="00803F1C"/>
    <w:rsid w:val="0080600E"/>
    <w:rsid w:val="00817612"/>
    <w:rsid w:val="008338A4"/>
    <w:rsid w:val="00834D49"/>
    <w:rsid w:val="00835499"/>
    <w:rsid w:val="00837C45"/>
    <w:rsid w:val="00840475"/>
    <w:rsid w:val="00844730"/>
    <w:rsid w:val="008457C2"/>
    <w:rsid w:val="00857A82"/>
    <w:rsid w:val="00873836"/>
    <w:rsid w:val="00881A12"/>
    <w:rsid w:val="00883ABD"/>
    <w:rsid w:val="008849E7"/>
    <w:rsid w:val="00885737"/>
    <w:rsid w:val="00890650"/>
    <w:rsid w:val="00897E12"/>
    <w:rsid w:val="008A49EC"/>
    <w:rsid w:val="008A7E0F"/>
    <w:rsid w:val="008B0BF5"/>
    <w:rsid w:val="008B12F5"/>
    <w:rsid w:val="008B75E0"/>
    <w:rsid w:val="008D298A"/>
    <w:rsid w:val="008D4833"/>
    <w:rsid w:val="008D768D"/>
    <w:rsid w:val="008E3759"/>
    <w:rsid w:val="008E3BFE"/>
    <w:rsid w:val="008F1912"/>
    <w:rsid w:val="0090270B"/>
    <w:rsid w:val="009041DC"/>
    <w:rsid w:val="00906389"/>
    <w:rsid w:val="00917B5A"/>
    <w:rsid w:val="00920A58"/>
    <w:rsid w:val="00920A8C"/>
    <w:rsid w:val="0092280D"/>
    <w:rsid w:val="00934A2C"/>
    <w:rsid w:val="00937FF4"/>
    <w:rsid w:val="0095227B"/>
    <w:rsid w:val="0096706E"/>
    <w:rsid w:val="00974491"/>
    <w:rsid w:val="00975C4E"/>
    <w:rsid w:val="00975F16"/>
    <w:rsid w:val="00981FBA"/>
    <w:rsid w:val="009830FA"/>
    <w:rsid w:val="00997BC5"/>
    <w:rsid w:val="009A09A5"/>
    <w:rsid w:val="009A4F41"/>
    <w:rsid w:val="009B381B"/>
    <w:rsid w:val="009D1753"/>
    <w:rsid w:val="009D4F46"/>
    <w:rsid w:val="009D7611"/>
    <w:rsid w:val="009E0B61"/>
    <w:rsid w:val="009E4029"/>
    <w:rsid w:val="009E53DE"/>
    <w:rsid w:val="009E559E"/>
    <w:rsid w:val="00A014FC"/>
    <w:rsid w:val="00A02089"/>
    <w:rsid w:val="00A11212"/>
    <w:rsid w:val="00A11E44"/>
    <w:rsid w:val="00A17AD1"/>
    <w:rsid w:val="00A24DF1"/>
    <w:rsid w:val="00A3034D"/>
    <w:rsid w:val="00A328B3"/>
    <w:rsid w:val="00A37F2E"/>
    <w:rsid w:val="00A50FCF"/>
    <w:rsid w:val="00A528D1"/>
    <w:rsid w:val="00A53003"/>
    <w:rsid w:val="00A60656"/>
    <w:rsid w:val="00A610CD"/>
    <w:rsid w:val="00A6705B"/>
    <w:rsid w:val="00A758AA"/>
    <w:rsid w:val="00A75CC3"/>
    <w:rsid w:val="00A83D19"/>
    <w:rsid w:val="00AA09A2"/>
    <w:rsid w:val="00AA7996"/>
    <w:rsid w:val="00AB605B"/>
    <w:rsid w:val="00AB68EB"/>
    <w:rsid w:val="00AC19CB"/>
    <w:rsid w:val="00AE5488"/>
    <w:rsid w:val="00AE6F91"/>
    <w:rsid w:val="00AE7C88"/>
    <w:rsid w:val="00AF5571"/>
    <w:rsid w:val="00B07341"/>
    <w:rsid w:val="00B1143D"/>
    <w:rsid w:val="00B256AC"/>
    <w:rsid w:val="00B30539"/>
    <w:rsid w:val="00B314DB"/>
    <w:rsid w:val="00B361F2"/>
    <w:rsid w:val="00B3718B"/>
    <w:rsid w:val="00B45DF3"/>
    <w:rsid w:val="00B4632A"/>
    <w:rsid w:val="00B51266"/>
    <w:rsid w:val="00B530F1"/>
    <w:rsid w:val="00B57388"/>
    <w:rsid w:val="00B619E3"/>
    <w:rsid w:val="00B70D03"/>
    <w:rsid w:val="00BA276C"/>
    <w:rsid w:val="00BA7187"/>
    <w:rsid w:val="00BB306F"/>
    <w:rsid w:val="00BD4B89"/>
    <w:rsid w:val="00BD5922"/>
    <w:rsid w:val="00BF02CB"/>
    <w:rsid w:val="00BF0E15"/>
    <w:rsid w:val="00BF2D10"/>
    <w:rsid w:val="00BF6719"/>
    <w:rsid w:val="00BF6FD8"/>
    <w:rsid w:val="00C03680"/>
    <w:rsid w:val="00C054DF"/>
    <w:rsid w:val="00C119D1"/>
    <w:rsid w:val="00C12C99"/>
    <w:rsid w:val="00C21762"/>
    <w:rsid w:val="00C21FEF"/>
    <w:rsid w:val="00C24543"/>
    <w:rsid w:val="00C256A2"/>
    <w:rsid w:val="00C40341"/>
    <w:rsid w:val="00C42BB4"/>
    <w:rsid w:val="00C44F5F"/>
    <w:rsid w:val="00C51515"/>
    <w:rsid w:val="00C55F0F"/>
    <w:rsid w:val="00C5660B"/>
    <w:rsid w:val="00C66B72"/>
    <w:rsid w:val="00C8048F"/>
    <w:rsid w:val="00C87AC4"/>
    <w:rsid w:val="00C9567A"/>
    <w:rsid w:val="00CB083E"/>
    <w:rsid w:val="00CB212D"/>
    <w:rsid w:val="00CB2660"/>
    <w:rsid w:val="00CB5655"/>
    <w:rsid w:val="00CC5E90"/>
    <w:rsid w:val="00CD046C"/>
    <w:rsid w:val="00CD7318"/>
    <w:rsid w:val="00CE076C"/>
    <w:rsid w:val="00CE5199"/>
    <w:rsid w:val="00CE66D5"/>
    <w:rsid w:val="00CF4BF8"/>
    <w:rsid w:val="00CF637A"/>
    <w:rsid w:val="00D059DE"/>
    <w:rsid w:val="00D05ABD"/>
    <w:rsid w:val="00D13FCE"/>
    <w:rsid w:val="00D21316"/>
    <w:rsid w:val="00D306D1"/>
    <w:rsid w:val="00D30800"/>
    <w:rsid w:val="00D34786"/>
    <w:rsid w:val="00D358AF"/>
    <w:rsid w:val="00D37BFC"/>
    <w:rsid w:val="00D47A8E"/>
    <w:rsid w:val="00D52D14"/>
    <w:rsid w:val="00D640F0"/>
    <w:rsid w:val="00D712D3"/>
    <w:rsid w:val="00D71422"/>
    <w:rsid w:val="00D71E30"/>
    <w:rsid w:val="00D72DC6"/>
    <w:rsid w:val="00D7558D"/>
    <w:rsid w:val="00D81D92"/>
    <w:rsid w:val="00D876F9"/>
    <w:rsid w:val="00DA2224"/>
    <w:rsid w:val="00DA7B5F"/>
    <w:rsid w:val="00DC11E7"/>
    <w:rsid w:val="00DC4545"/>
    <w:rsid w:val="00DC7023"/>
    <w:rsid w:val="00DC75DD"/>
    <w:rsid w:val="00DC769A"/>
    <w:rsid w:val="00DD3D86"/>
    <w:rsid w:val="00DD4AD2"/>
    <w:rsid w:val="00DF1EC4"/>
    <w:rsid w:val="00DF6B98"/>
    <w:rsid w:val="00E0340B"/>
    <w:rsid w:val="00E04A90"/>
    <w:rsid w:val="00E0551F"/>
    <w:rsid w:val="00E219C7"/>
    <w:rsid w:val="00E4118C"/>
    <w:rsid w:val="00E43157"/>
    <w:rsid w:val="00E461CE"/>
    <w:rsid w:val="00E5163F"/>
    <w:rsid w:val="00E52C5C"/>
    <w:rsid w:val="00E60A72"/>
    <w:rsid w:val="00E67B89"/>
    <w:rsid w:val="00E720CA"/>
    <w:rsid w:val="00E84EB5"/>
    <w:rsid w:val="00E85662"/>
    <w:rsid w:val="00E8789F"/>
    <w:rsid w:val="00E97B71"/>
    <w:rsid w:val="00EA3D34"/>
    <w:rsid w:val="00EB454D"/>
    <w:rsid w:val="00ED549D"/>
    <w:rsid w:val="00ED76BE"/>
    <w:rsid w:val="00EE00E9"/>
    <w:rsid w:val="00EE65B4"/>
    <w:rsid w:val="00EF148E"/>
    <w:rsid w:val="00EF619B"/>
    <w:rsid w:val="00F00B55"/>
    <w:rsid w:val="00F02AD1"/>
    <w:rsid w:val="00F22392"/>
    <w:rsid w:val="00F253CC"/>
    <w:rsid w:val="00F37106"/>
    <w:rsid w:val="00F47567"/>
    <w:rsid w:val="00F519CF"/>
    <w:rsid w:val="00F55F3D"/>
    <w:rsid w:val="00F56BA5"/>
    <w:rsid w:val="00F60E22"/>
    <w:rsid w:val="00F81395"/>
    <w:rsid w:val="00F81BB8"/>
    <w:rsid w:val="00F917D1"/>
    <w:rsid w:val="00F93517"/>
    <w:rsid w:val="00F9653B"/>
    <w:rsid w:val="00F97337"/>
    <w:rsid w:val="00FB4AB4"/>
    <w:rsid w:val="00FB62CF"/>
    <w:rsid w:val="00FD172E"/>
    <w:rsid w:val="00FD3C3B"/>
    <w:rsid w:val="00FD602C"/>
    <w:rsid w:val="00FE07DD"/>
    <w:rsid w:val="00FE0979"/>
    <w:rsid w:val="00FE6B45"/>
    <w:rsid w:val="00FF1013"/>
    <w:rsid w:val="00FF499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726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10435</Characters>
  <Application>Microsoft Office Word</Application>
  <DocSecurity>0</DocSecurity>
  <Lines>86</Lines>
  <Paragraphs>24</Paragraphs>
  <ScaleCrop>false</ScaleCrop>
  <Company/>
  <LinksUpToDate>false</LinksUpToDate>
  <CharactersWithSpaces>12241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44/19</dc:title>
  <dc:creator/>
  <cp:lastModifiedBy/>
  <cp:revision>1</cp:revision>
  <dcterms:created xsi:type="dcterms:W3CDTF">2019-05-23T19:44:00Z</dcterms:created>
  <dcterms:modified xsi:type="dcterms:W3CDTF">2019-05-23T19:44:00Z</dcterms:modified>
</cp:coreProperties>
</file>