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8D771" w14:textId="71496A1B" w:rsidR="00752CB7" w:rsidRPr="006D3428" w:rsidRDefault="00752CB7" w:rsidP="00752CB7">
                            <w:pPr>
                              <w:spacing w:line="276" w:lineRule="auto"/>
                              <w:rPr>
                                <w:rFonts w:asciiTheme="majorHAnsi" w:hAnsiTheme="majorHAnsi" w:cs="Arial"/>
                                <w:b/>
                                <w:bCs/>
                                <w:color w:val="0D0D0D" w:themeColor="text1" w:themeTint="F2"/>
                                <w:sz w:val="36"/>
                                <w:szCs w:val="40"/>
                                <w:lang w:val="es-ES"/>
                              </w:rPr>
                            </w:pPr>
                            <w:r w:rsidRPr="006D3428">
                              <w:rPr>
                                <w:rFonts w:asciiTheme="majorHAnsi" w:hAnsiTheme="majorHAnsi" w:cs="Arial"/>
                                <w:b/>
                                <w:bCs/>
                                <w:color w:val="0D0D0D" w:themeColor="text1" w:themeTint="F2"/>
                                <w:sz w:val="36"/>
                                <w:szCs w:val="40"/>
                                <w:lang w:val="es-ES"/>
                              </w:rPr>
                              <w:t xml:space="preserve">INFORME No. </w:t>
                            </w:r>
                            <w:r w:rsidR="009B3EF6">
                              <w:rPr>
                                <w:rFonts w:asciiTheme="majorHAnsi" w:hAnsiTheme="majorHAnsi" w:cs="Arial"/>
                                <w:b/>
                                <w:bCs/>
                                <w:color w:val="0D0D0D" w:themeColor="text1" w:themeTint="F2"/>
                                <w:sz w:val="36"/>
                                <w:szCs w:val="40"/>
                                <w:lang w:val="es-ES"/>
                              </w:rPr>
                              <w:t>9</w:t>
                            </w:r>
                            <w:r w:rsidRPr="006D3428">
                              <w:rPr>
                                <w:rFonts w:asciiTheme="majorHAnsi" w:hAnsiTheme="majorHAnsi" w:cs="Arial"/>
                                <w:b/>
                                <w:bCs/>
                                <w:color w:val="0D0D0D" w:themeColor="text1" w:themeTint="F2"/>
                                <w:sz w:val="36"/>
                                <w:szCs w:val="40"/>
                                <w:lang w:val="es-ES"/>
                              </w:rPr>
                              <w:t>/18</w:t>
                            </w:r>
                          </w:p>
                          <w:p w14:paraId="3F6DBDC0" w14:textId="77777777" w:rsidR="00752CB7" w:rsidRPr="00552E08" w:rsidRDefault="00752CB7" w:rsidP="00752CB7">
                            <w:pPr>
                              <w:spacing w:line="276" w:lineRule="auto"/>
                              <w:rPr>
                                <w:rFonts w:asciiTheme="majorHAnsi" w:hAnsiTheme="majorHAnsi" w:cs="Arial"/>
                                <w:b/>
                                <w:bCs/>
                                <w:color w:val="0D0D0D" w:themeColor="text1" w:themeTint="F2"/>
                                <w:sz w:val="36"/>
                                <w:szCs w:val="40"/>
                                <w:lang w:val="es-ES"/>
                              </w:rPr>
                            </w:pPr>
                            <w:r w:rsidRPr="00552E08">
                              <w:rPr>
                                <w:rFonts w:asciiTheme="majorHAnsi" w:hAnsiTheme="majorHAnsi" w:cs="Arial"/>
                                <w:b/>
                                <w:bCs/>
                                <w:color w:val="0D0D0D" w:themeColor="text1" w:themeTint="F2"/>
                                <w:sz w:val="36"/>
                                <w:szCs w:val="40"/>
                                <w:lang w:val="es-ES"/>
                              </w:rPr>
                              <w:t>PETICIÓN 184-08</w:t>
                            </w:r>
                          </w:p>
                          <w:p w14:paraId="70155553" w14:textId="77777777" w:rsidR="00752CB7" w:rsidRPr="00552E08" w:rsidRDefault="00752CB7" w:rsidP="00752CB7">
                            <w:pPr>
                              <w:spacing w:line="276" w:lineRule="auto"/>
                              <w:rPr>
                                <w:rFonts w:asciiTheme="majorHAnsi" w:hAnsiTheme="majorHAnsi" w:cs="Arial"/>
                                <w:color w:val="0D0D0D" w:themeColor="text1" w:themeTint="F2"/>
                                <w:szCs w:val="22"/>
                                <w:lang w:val="es-ES"/>
                              </w:rPr>
                            </w:pPr>
                            <w:r w:rsidRPr="00552E08">
                              <w:rPr>
                                <w:rFonts w:asciiTheme="majorHAnsi" w:hAnsiTheme="majorHAnsi" w:cs="Arial"/>
                                <w:color w:val="0D0D0D" w:themeColor="text1" w:themeTint="F2"/>
                                <w:szCs w:val="22"/>
                                <w:lang w:val="es-ES"/>
                              </w:rPr>
                              <w:t>INFORME DE ADMISIBILIDAD</w:t>
                            </w:r>
                          </w:p>
                          <w:p w14:paraId="7D77448A" w14:textId="77777777" w:rsidR="00752CB7" w:rsidRPr="00552E08" w:rsidRDefault="00752CB7" w:rsidP="00752CB7">
                            <w:pPr>
                              <w:spacing w:line="276" w:lineRule="auto"/>
                              <w:rPr>
                                <w:rFonts w:asciiTheme="majorHAnsi" w:hAnsiTheme="majorHAnsi" w:cs="Arial"/>
                                <w:color w:val="0D0D0D" w:themeColor="text1" w:themeTint="F2"/>
                                <w:szCs w:val="22"/>
                                <w:lang w:val="es-ES"/>
                              </w:rPr>
                            </w:pPr>
                          </w:p>
                          <w:p w14:paraId="638D57D8" w14:textId="77777777" w:rsidR="00752CB7" w:rsidRPr="009B3EF6" w:rsidRDefault="00752CB7" w:rsidP="00752CB7">
                            <w:pPr>
                              <w:spacing w:line="276" w:lineRule="auto"/>
                              <w:rPr>
                                <w:rFonts w:ascii="Cambria" w:hAnsi="Cambria" w:cs="Arial"/>
                                <w:color w:val="0D0D0D"/>
                                <w:szCs w:val="22"/>
                              </w:rPr>
                            </w:pPr>
                            <w:r w:rsidRPr="009B3EF6">
                              <w:rPr>
                                <w:rFonts w:ascii="Cambria" w:hAnsi="Cambria" w:cs="Arial"/>
                                <w:bCs/>
                                <w:color w:val="0D0D0D"/>
                                <w:szCs w:val="22"/>
                              </w:rPr>
                              <w:t>T.L. Y BERNADETTE TAYLOR LOCKETT</w:t>
                            </w:r>
                          </w:p>
                          <w:p w14:paraId="406FE118" w14:textId="77777777" w:rsidR="00752CB7" w:rsidRPr="00552E08" w:rsidRDefault="00752CB7" w:rsidP="00752CB7">
                            <w:pPr>
                              <w:spacing w:line="276" w:lineRule="auto"/>
                              <w:rPr>
                                <w:rFonts w:ascii="Cambria" w:hAnsi="Cambria" w:cs="Arial"/>
                                <w:color w:val="0D0D0D"/>
                                <w:szCs w:val="22"/>
                                <w:lang w:val="es-ES"/>
                              </w:rPr>
                            </w:pPr>
                            <w:r w:rsidRPr="00552E08">
                              <w:rPr>
                                <w:rFonts w:ascii="Cambria" w:hAnsi="Cambria" w:cs="Arial"/>
                                <w:color w:val="0D0D0D"/>
                                <w:szCs w:val="22"/>
                                <w:lang w:val="es-ES"/>
                              </w:rPr>
                              <w:t xml:space="preserve">ESTADOS UNIDOS </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2F8D771" w14:textId="71496A1B" w:rsidR="00752CB7" w:rsidRPr="006D3428" w:rsidRDefault="00752CB7" w:rsidP="00752CB7">
                      <w:pPr>
                        <w:spacing w:line="276" w:lineRule="auto"/>
                        <w:rPr>
                          <w:rFonts w:asciiTheme="majorHAnsi" w:hAnsiTheme="majorHAnsi" w:cs="Arial"/>
                          <w:b/>
                          <w:bCs/>
                          <w:color w:val="0D0D0D" w:themeColor="text1" w:themeTint="F2"/>
                          <w:sz w:val="36"/>
                          <w:szCs w:val="40"/>
                          <w:lang w:val="es-ES"/>
                        </w:rPr>
                      </w:pPr>
                      <w:r w:rsidRPr="006D3428">
                        <w:rPr>
                          <w:rFonts w:asciiTheme="majorHAnsi" w:hAnsiTheme="majorHAnsi" w:cs="Arial"/>
                          <w:b/>
                          <w:bCs/>
                          <w:color w:val="0D0D0D" w:themeColor="text1" w:themeTint="F2"/>
                          <w:sz w:val="36"/>
                          <w:szCs w:val="40"/>
                          <w:lang w:val="es-ES"/>
                        </w:rPr>
                        <w:t xml:space="preserve">INFORME No. </w:t>
                      </w:r>
                      <w:r w:rsidR="009B3EF6">
                        <w:rPr>
                          <w:rFonts w:asciiTheme="majorHAnsi" w:hAnsiTheme="majorHAnsi" w:cs="Arial"/>
                          <w:b/>
                          <w:bCs/>
                          <w:color w:val="0D0D0D" w:themeColor="text1" w:themeTint="F2"/>
                          <w:sz w:val="36"/>
                          <w:szCs w:val="40"/>
                          <w:lang w:val="es-ES"/>
                        </w:rPr>
                        <w:t>9</w:t>
                      </w:r>
                      <w:r w:rsidRPr="006D3428">
                        <w:rPr>
                          <w:rFonts w:asciiTheme="majorHAnsi" w:hAnsiTheme="majorHAnsi" w:cs="Arial"/>
                          <w:b/>
                          <w:bCs/>
                          <w:color w:val="0D0D0D" w:themeColor="text1" w:themeTint="F2"/>
                          <w:sz w:val="36"/>
                          <w:szCs w:val="40"/>
                          <w:lang w:val="es-ES"/>
                        </w:rPr>
                        <w:t>/18</w:t>
                      </w:r>
                    </w:p>
                    <w:p w14:paraId="3F6DBDC0" w14:textId="77777777" w:rsidR="00752CB7" w:rsidRPr="00552E08" w:rsidRDefault="00752CB7" w:rsidP="00752CB7">
                      <w:pPr>
                        <w:spacing w:line="276" w:lineRule="auto"/>
                        <w:rPr>
                          <w:rFonts w:asciiTheme="majorHAnsi" w:hAnsiTheme="majorHAnsi" w:cs="Arial"/>
                          <w:b/>
                          <w:bCs/>
                          <w:color w:val="0D0D0D" w:themeColor="text1" w:themeTint="F2"/>
                          <w:sz w:val="36"/>
                          <w:szCs w:val="40"/>
                          <w:lang w:val="es-ES"/>
                        </w:rPr>
                      </w:pPr>
                      <w:r w:rsidRPr="00552E08">
                        <w:rPr>
                          <w:rFonts w:asciiTheme="majorHAnsi" w:hAnsiTheme="majorHAnsi" w:cs="Arial"/>
                          <w:b/>
                          <w:bCs/>
                          <w:color w:val="0D0D0D" w:themeColor="text1" w:themeTint="F2"/>
                          <w:sz w:val="36"/>
                          <w:szCs w:val="40"/>
                          <w:lang w:val="es-ES"/>
                        </w:rPr>
                        <w:t>PETICIÓN 184-08</w:t>
                      </w:r>
                    </w:p>
                    <w:p w14:paraId="70155553" w14:textId="77777777" w:rsidR="00752CB7" w:rsidRPr="00552E08" w:rsidRDefault="00752CB7" w:rsidP="00752CB7">
                      <w:pPr>
                        <w:spacing w:line="276" w:lineRule="auto"/>
                        <w:rPr>
                          <w:rFonts w:asciiTheme="majorHAnsi" w:hAnsiTheme="majorHAnsi" w:cs="Arial"/>
                          <w:color w:val="0D0D0D" w:themeColor="text1" w:themeTint="F2"/>
                          <w:szCs w:val="22"/>
                          <w:lang w:val="es-ES"/>
                        </w:rPr>
                      </w:pPr>
                      <w:r w:rsidRPr="00552E08">
                        <w:rPr>
                          <w:rFonts w:asciiTheme="majorHAnsi" w:hAnsiTheme="majorHAnsi" w:cs="Arial"/>
                          <w:color w:val="0D0D0D" w:themeColor="text1" w:themeTint="F2"/>
                          <w:szCs w:val="22"/>
                          <w:lang w:val="es-ES"/>
                        </w:rPr>
                        <w:t>INFORME DE ADMISIBILIDAD</w:t>
                      </w:r>
                    </w:p>
                    <w:p w14:paraId="7D77448A" w14:textId="77777777" w:rsidR="00752CB7" w:rsidRPr="00552E08" w:rsidRDefault="00752CB7" w:rsidP="00752CB7">
                      <w:pPr>
                        <w:spacing w:line="276" w:lineRule="auto"/>
                        <w:rPr>
                          <w:rFonts w:asciiTheme="majorHAnsi" w:hAnsiTheme="majorHAnsi" w:cs="Arial"/>
                          <w:color w:val="0D0D0D" w:themeColor="text1" w:themeTint="F2"/>
                          <w:szCs w:val="22"/>
                          <w:lang w:val="es-ES"/>
                        </w:rPr>
                      </w:pPr>
                    </w:p>
                    <w:p w14:paraId="638D57D8" w14:textId="77777777" w:rsidR="00752CB7" w:rsidRPr="009B3EF6" w:rsidRDefault="00752CB7" w:rsidP="00752CB7">
                      <w:pPr>
                        <w:spacing w:line="276" w:lineRule="auto"/>
                        <w:rPr>
                          <w:rFonts w:ascii="Cambria" w:hAnsi="Cambria" w:cs="Arial"/>
                          <w:color w:val="0D0D0D"/>
                          <w:szCs w:val="22"/>
                        </w:rPr>
                      </w:pPr>
                      <w:r w:rsidRPr="009B3EF6">
                        <w:rPr>
                          <w:rFonts w:ascii="Cambria" w:hAnsi="Cambria" w:cs="Arial"/>
                          <w:bCs/>
                          <w:color w:val="0D0D0D"/>
                          <w:szCs w:val="22"/>
                        </w:rPr>
                        <w:t>T.L. Y BERNADETTE TAYLOR LOCKETT</w:t>
                      </w:r>
                    </w:p>
                    <w:p w14:paraId="406FE118" w14:textId="77777777" w:rsidR="00752CB7" w:rsidRPr="00552E08" w:rsidRDefault="00752CB7" w:rsidP="00752CB7">
                      <w:pPr>
                        <w:spacing w:line="276" w:lineRule="auto"/>
                        <w:rPr>
                          <w:rFonts w:ascii="Cambria" w:hAnsi="Cambria" w:cs="Arial"/>
                          <w:color w:val="0D0D0D"/>
                          <w:szCs w:val="22"/>
                          <w:lang w:val="es-ES"/>
                        </w:rPr>
                      </w:pPr>
                      <w:r w:rsidRPr="00552E08">
                        <w:rPr>
                          <w:rFonts w:ascii="Cambria" w:hAnsi="Cambria" w:cs="Arial"/>
                          <w:color w:val="0D0D0D"/>
                          <w:szCs w:val="22"/>
                          <w:lang w:val="es-ES"/>
                        </w:rPr>
                        <w:t xml:space="preserve">ESTADOS UNIDOS </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3D5158D" w:rsidR="00627C9F" w:rsidRPr="00705C83" w:rsidRDefault="00834D49" w:rsidP="007A5817">
                            <w:pPr>
                              <w:spacing w:line="276" w:lineRule="auto"/>
                              <w:jc w:val="right"/>
                              <w:rPr>
                                <w:rFonts w:asciiTheme="minorHAnsi" w:hAnsiTheme="minorHAnsi"/>
                                <w:color w:val="FFFFFF" w:themeColor="background1"/>
                                <w:sz w:val="22"/>
                                <w:lang w:val="pt-BR"/>
                              </w:rPr>
                            </w:pPr>
                            <w:r w:rsidRPr="00705C83">
                              <w:rPr>
                                <w:rFonts w:asciiTheme="minorHAnsi" w:hAnsiTheme="minorHAnsi"/>
                                <w:color w:val="FFFFFF" w:themeColor="background1"/>
                                <w:sz w:val="22"/>
                                <w:lang w:val="pt-BR"/>
                              </w:rPr>
                              <w:t>OEA/Ser.L/V/II.16</w:t>
                            </w:r>
                            <w:r w:rsidR="009B3EF6" w:rsidRPr="00705C83">
                              <w:rPr>
                                <w:rFonts w:asciiTheme="minorHAnsi" w:hAnsiTheme="minorHAnsi"/>
                                <w:color w:val="FFFFFF" w:themeColor="background1"/>
                                <w:sz w:val="22"/>
                                <w:lang w:val="pt-BR"/>
                              </w:rPr>
                              <w:t>7</w:t>
                            </w:r>
                          </w:p>
                          <w:p w14:paraId="6A41611B" w14:textId="5A9BC849" w:rsidR="00627C9F" w:rsidRPr="00705C83" w:rsidRDefault="00627C9F" w:rsidP="007A5817">
                            <w:pPr>
                              <w:spacing w:line="276" w:lineRule="auto"/>
                              <w:jc w:val="right"/>
                              <w:rPr>
                                <w:rFonts w:asciiTheme="minorHAnsi" w:hAnsiTheme="minorHAnsi"/>
                                <w:color w:val="FFFFFF" w:themeColor="background1"/>
                                <w:sz w:val="22"/>
                                <w:lang w:val="pt-BR"/>
                              </w:rPr>
                            </w:pPr>
                            <w:r w:rsidRPr="00705C83">
                              <w:rPr>
                                <w:rFonts w:asciiTheme="minorHAnsi" w:hAnsiTheme="minorHAnsi"/>
                                <w:color w:val="FFFFFF" w:themeColor="background1"/>
                                <w:sz w:val="22"/>
                                <w:lang w:val="pt-BR"/>
                              </w:rPr>
                              <w:t xml:space="preserve">Doc. </w:t>
                            </w:r>
                            <w:r w:rsidR="009B3EF6" w:rsidRPr="00705C83">
                              <w:rPr>
                                <w:rFonts w:asciiTheme="minorHAnsi" w:hAnsiTheme="minorHAnsi"/>
                                <w:color w:val="FFFFFF" w:themeColor="background1"/>
                                <w:sz w:val="22"/>
                                <w:lang w:val="pt-BR"/>
                              </w:rPr>
                              <w:t>13</w:t>
                            </w:r>
                          </w:p>
                          <w:p w14:paraId="69373ED2" w14:textId="5D64BA8B" w:rsidR="00627C9F" w:rsidRPr="009B3EF6" w:rsidRDefault="009B3EF6" w:rsidP="007A5817">
                            <w:pPr>
                              <w:spacing w:line="276" w:lineRule="auto"/>
                              <w:jc w:val="right"/>
                              <w:rPr>
                                <w:rFonts w:asciiTheme="minorHAnsi" w:hAnsiTheme="minorHAnsi"/>
                                <w:color w:val="FFFFFF" w:themeColor="background1"/>
                                <w:sz w:val="22"/>
                                <w:lang w:val="es-ES"/>
                              </w:rPr>
                            </w:pPr>
                            <w:r w:rsidRPr="009B3EF6">
                              <w:rPr>
                                <w:rFonts w:asciiTheme="minorHAnsi" w:hAnsiTheme="minorHAnsi"/>
                                <w:color w:val="FFFFFF" w:themeColor="background1"/>
                                <w:sz w:val="22"/>
                                <w:lang w:val="es-ES"/>
                              </w:rPr>
                              <w:t xml:space="preserve">24 febrero </w:t>
                            </w:r>
                            <w:r w:rsidR="00627C9F" w:rsidRPr="009B3EF6">
                              <w:rPr>
                                <w:rFonts w:asciiTheme="minorHAnsi" w:hAnsiTheme="minorHAnsi"/>
                                <w:color w:val="FFFFFF" w:themeColor="background1"/>
                                <w:sz w:val="22"/>
                                <w:lang w:val="es-ES"/>
                              </w:rPr>
                              <w:t>201</w:t>
                            </w:r>
                            <w:r w:rsidR="00834D49" w:rsidRPr="009B3EF6">
                              <w:rPr>
                                <w:rFonts w:asciiTheme="minorHAnsi" w:hAnsiTheme="minorHAnsi"/>
                                <w:color w:val="FFFFFF" w:themeColor="background1"/>
                                <w:sz w:val="22"/>
                                <w:lang w:val="es-ES"/>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3D5158D" w:rsidR="00627C9F" w:rsidRPr="00705C83" w:rsidRDefault="00834D49" w:rsidP="007A5817">
                      <w:pPr>
                        <w:spacing w:line="276" w:lineRule="auto"/>
                        <w:jc w:val="right"/>
                        <w:rPr>
                          <w:rFonts w:asciiTheme="minorHAnsi" w:hAnsiTheme="minorHAnsi"/>
                          <w:color w:val="FFFFFF" w:themeColor="background1"/>
                          <w:sz w:val="22"/>
                          <w:lang w:val="pt-BR"/>
                        </w:rPr>
                      </w:pPr>
                      <w:r w:rsidRPr="00705C83">
                        <w:rPr>
                          <w:rFonts w:asciiTheme="minorHAnsi" w:hAnsiTheme="minorHAnsi"/>
                          <w:color w:val="FFFFFF" w:themeColor="background1"/>
                          <w:sz w:val="22"/>
                          <w:lang w:val="pt-BR"/>
                        </w:rPr>
                        <w:t>OEA/Ser.L/V/II.16</w:t>
                      </w:r>
                      <w:r w:rsidR="009B3EF6" w:rsidRPr="00705C83">
                        <w:rPr>
                          <w:rFonts w:asciiTheme="minorHAnsi" w:hAnsiTheme="minorHAnsi"/>
                          <w:color w:val="FFFFFF" w:themeColor="background1"/>
                          <w:sz w:val="22"/>
                          <w:lang w:val="pt-BR"/>
                        </w:rPr>
                        <w:t>7</w:t>
                      </w:r>
                    </w:p>
                    <w:p w14:paraId="6A41611B" w14:textId="5A9BC849" w:rsidR="00627C9F" w:rsidRPr="00705C83" w:rsidRDefault="00627C9F" w:rsidP="007A5817">
                      <w:pPr>
                        <w:spacing w:line="276" w:lineRule="auto"/>
                        <w:jc w:val="right"/>
                        <w:rPr>
                          <w:rFonts w:asciiTheme="minorHAnsi" w:hAnsiTheme="minorHAnsi"/>
                          <w:color w:val="FFFFFF" w:themeColor="background1"/>
                          <w:sz w:val="22"/>
                          <w:lang w:val="pt-BR"/>
                        </w:rPr>
                      </w:pPr>
                      <w:r w:rsidRPr="00705C83">
                        <w:rPr>
                          <w:rFonts w:asciiTheme="minorHAnsi" w:hAnsiTheme="minorHAnsi"/>
                          <w:color w:val="FFFFFF" w:themeColor="background1"/>
                          <w:sz w:val="22"/>
                          <w:lang w:val="pt-BR"/>
                        </w:rPr>
                        <w:t xml:space="preserve">Doc. </w:t>
                      </w:r>
                      <w:r w:rsidR="009B3EF6" w:rsidRPr="00705C83">
                        <w:rPr>
                          <w:rFonts w:asciiTheme="minorHAnsi" w:hAnsiTheme="minorHAnsi"/>
                          <w:color w:val="FFFFFF" w:themeColor="background1"/>
                          <w:sz w:val="22"/>
                          <w:lang w:val="pt-BR"/>
                        </w:rPr>
                        <w:t>13</w:t>
                      </w:r>
                    </w:p>
                    <w:p w14:paraId="69373ED2" w14:textId="5D64BA8B" w:rsidR="00627C9F" w:rsidRPr="009B3EF6" w:rsidRDefault="009B3EF6" w:rsidP="007A5817">
                      <w:pPr>
                        <w:spacing w:line="276" w:lineRule="auto"/>
                        <w:jc w:val="right"/>
                        <w:rPr>
                          <w:rFonts w:asciiTheme="minorHAnsi" w:hAnsiTheme="minorHAnsi"/>
                          <w:color w:val="FFFFFF" w:themeColor="background1"/>
                          <w:sz w:val="22"/>
                          <w:lang w:val="es-ES"/>
                        </w:rPr>
                      </w:pPr>
                      <w:r w:rsidRPr="009B3EF6">
                        <w:rPr>
                          <w:rFonts w:asciiTheme="minorHAnsi" w:hAnsiTheme="minorHAnsi"/>
                          <w:color w:val="FFFFFF" w:themeColor="background1"/>
                          <w:sz w:val="22"/>
                          <w:lang w:val="es-ES"/>
                        </w:rPr>
                        <w:t xml:space="preserve">24 febrero </w:t>
                      </w:r>
                      <w:r w:rsidR="00627C9F" w:rsidRPr="009B3EF6">
                        <w:rPr>
                          <w:rFonts w:asciiTheme="minorHAnsi" w:hAnsiTheme="minorHAnsi"/>
                          <w:color w:val="FFFFFF" w:themeColor="background1"/>
                          <w:sz w:val="22"/>
                          <w:lang w:val="es-ES"/>
                        </w:rPr>
                        <w:t>201</w:t>
                      </w:r>
                      <w:r w:rsidR="00834D49" w:rsidRPr="009B3EF6">
                        <w:rPr>
                          <w:rFonts w:asciiTheme="minorHAnsi" w:hAnsiTheme="minorHAnsi"/>
                          <w:color w:val="FFFFFF" w:themeColor="background1"/>
                          <w:sz w:val="22"/>
                          <w:lang w:val="es-ES"/>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5DE1FF5E"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B3EF6">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B3EF6">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9B3EF6">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B7720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9B3EF6">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9B3EF6">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B77201">
                              <w:rPr>
                                <w:rFonts w:asciiTheme="majorHAnsi" w:hAnsiTheme="majorHAnsi" w:cs="Univers"/>
                                <w:color w:val="0D0D0D" w:themeColor="text1" w:themeTint="F2"/>
                                <w:sz w:val="18"/>
                                <w:szCs w:val="20"/>
                                <w:lang w:val="es-ES_tradnl"/>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5DE1FF5E"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B3EF6">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9B3EF6">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9B3EF6">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834D49">
                        <w:rPr>
                          <w:rFonts w:asciiTheme="majorHAnsi" w:hAnsiTheme="majorHAnsi"/>
                          <w:color w:val="0D0D0D" w:themeColor="text1" w:themeTint="F2"/>
                          <w:sz w:val="18"/>
                          <w:szCs w:val="20"/>
                          <w:lang w:val="es-ES"/>
                        </w:rPr>
                        <w:t>8</w:t>
                      </w:r>
                      <w:r w:rsidR="00B7720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9B3EF6">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9B3EF6">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B77201">
                        <w:rPr>
                          <w:rFonts w:asciiTheme="majorHAnsi" w:hAnsiTheme="majorHAnsi" w:cs="Univers"/>
                          <w:color w:val="0D0D0D" w:themeColor="text1" w:themeTint="F2"/>
                          <w:sz w:val="18"/>
                          <w:szCs w:val="20"/>
                          <w:lang w:val="es-ES_tradnl"/>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4ADDBABA">
                <wp:simplePos x="0" y="0"/>
                <wp:positionH relativeFrom="column">
                  <wp:posOffset>1330657</wp:posOffset>
                </wp:positionH>
                <wp:positionV relativeFrom="paragraph">
                  <wp:posOffset>6094</wp:posOffset>
                </wp:positionV>
                <wp:extent cx="5145206"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45206"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B63220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3EF6" w:rsidRPr="009B3EF6">
                              <w:rPr>
                                <w:rFonts w:asciiTheme="majorHAnsi" w:hAnsiTheme="majorHAnsi"/>
                                <w:color w:val="595959" w:themeColor="text1" w:themeTint="A6"/>
                                <w:sz w:val="18"/>
                                <w:szCs w:val="18"/>
                                <w:lang w:val="pt-BR"/>
                              </w:rPr>
                              <w:t>9/18</w:t>
                            </w:r>
                            <w:r w:rsidRPr="009B3EF6">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9B3EF6">
                              <w:rPr>
                                <w:rFonts w:asciiTheme="majorHAnsi" w:hAnsiTheme="majorHAnsi"/>
                                <w:color w:val="595959" w:themeColor="text1" w:themeTint="A6"/>
                                <w:sz w:val="18"/>
                                <w:szCs w:val="18"/>
                                <w:lang w:val="es-ES_tradnl"/>
                              </w:rPr>
                              <w:t>T.L. y Bernadette Taylor Lockett</w:t>
                            </w:r>
                            <w:r w:rsidRPr="00890650">
                              <w:rPr>
                                <w:rFonts w:asciiTheme="majorHAnsi" w:hAnsiTheme="majorHAnsi"/>
                                <w:color w:val="595959" w:themeColor="text1" w:themeTint="A6"/>
                                <w:sz w:val="18"/>
                                <w:szCs w:val="18"/>
                                <w:lang w:val="es-ES_tradnl"/>
                              </w:rPr>
                              <w:t xml:space="preserve">. </w:t>
                            </w:r>
                            <w:r w:rsidR="009B3EF6">
                              <w:rPr>
                                <w:rFonts w:asciiTheme="majorHAnsi" w:hAnsiTheme="majorHAnsi"/>
                                <w:color w:val="595959" w:themeColor="text1" w:themeTint="A6"/>
                                <w:sz w:val="18"/>
                                <w:szCs w:val="18"/>
                                <w:lang w:val="es-ES_tradnl"/>
                              </w:rPr>
                              <w:t>Estados Unidos</w:t>
                            </w:r>
                            <w:r w:rsidRPr="00890650">
                              <w:rPr>
                                <w:rFonts w:asciiTheme="majorHAnsi" w:hAnsiTheme="majorHAnsi"/>
                                <w:color w:val="595959" w:themeColor="text1" w:themeTint="A6"/>
                                <w:sz w:val="18"/>
                                <w:szCs w:val="18"/>
                                <w:lang w:val="es-ES_tradnl"/>
                              </w:rPr>
                              <w:t xml:space="preserve">. </w:t>
                            </w:r>
                            <w:r w:rsidR="009B3EF6">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4.8pt;margin-top:.5pt;width:405.1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" filled="f" stroked="f" strokeweight=".5pt">
                <v:textbox>
                  <w:txbxContent>
                    <w:p w14:paraId="0D1B22CF" w14:textId="0B63220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B3EF6" w:rsidRPr="009B3EF6">
                        <w:rPr>
                          <w:rFonts w:asciiTheme="majorHAnsi" w:hAnsiTheme="majorHAnsi"/>
                          <w:color w:val="595959" w:themeColor="text1" w:themeTint="A6"/>
                          <w:sz w:val="18"/>
                          <w:szCs w:val="18"/>
                          <w:lang w:val="pt-BR"/>
                        </w:rPr>
                        <w:t>9/18</w:t>
                      </w:r>
                      <w:r w:rsidRPr="009B3EF6">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9B3EF6">
                        <w:rPr>
                          <w:rFonts w:asciiTheme="majorHAnsi" w:hAnsiTheme="majorHAnsi"/>
                          <w:color w:val="595959" w:themeColor="text1" w:themeTint="A6"/>
                          <w:sz w:val="18"/>
                          <w:szCs w:val="18"/>
                          <w:lang w:val="es-ES_tradnl"/>
                        </w:rPr>
                        <w:t xml:space="preserve">T.L. y </w:t>
                      </w:r>
                      <w:proofErr w:type="spellStart"/>
                      <w:r w:rsidR="009B3EF6">
                        <w:rPr>
                          <w:rFonts w:asciiTheme="majorHAnsi" w:hAnsiTheme="majorHAnsi"/>
                          <w:color w:val="595959" w:themeColor="text1" w:themeTint="A6"/>
                          <w:sz w:val="18"/>
                          <w:szCs w:val="18"/>
                          <w:lang w:val="es-ES_tradnl"/>
                        </w:rPr>
                        <w:t>Bernadette</w:t>
                      </w:r>
                      <w:proofErr w:type="spellEnd"/>
                      <w:r w:rsidR="009B3EF6">
                        <w:rPr>
                          <w:rFonts w:asciiTheme="majorHAnsi" w:hAnsiTheme="majorHAnsi"/>
                          <w:color w:val="595959" w:themeColor="text1" w:themeTint="A6"/>
                          <w:sz w:val="18"/>
                          <w:szCs w:val="18"/>
                          <w:lang w:val="es-ES_tradnl"/>
                        </w:rPr>
                        <w:t xml:space="preserve"> Taylor </w:t>
                      </w:r>
                      <w:proofErr w:type="spellStart"/>
                      <w:r w:rsidR="009B3EF6">
                        <w:rPr>
                          <w:rFonts w:asciiTheme="majorHAnsi" w:hAnsiTheme="majorHAnsi"/>
                          <w:color w:val="595959" w:themeColor="text1" w:themeTint="A6"/>
                          <w:sz w:val="18"/>
                          <w:szCs w:val="18"/>
                          <w:lang w:val="es-ES_tradnl"/>
                        </w:rPr>
                        <w:t>Lockett</w:t>
                      </w:r>
                      <w:proofErr w:type="spellEnd"/>
                      <w:r w:rsidRPr="00890650">
                        <w:rPr>
                          <w:rFonts w:asciiTheme="majorHAnsi" w:hAnsiTheme="majorHAnsi"/>
                          <w:color w:val="595959" w:themeColor="text1" w:themeTint="A6"/>
                          <w:sz w:val="18"/>
                          <w:szCs w:val="18"/>
                          <w:lang w:val="es-ES_tradnl"/>
                        </w:rPr>
                        <w:t xml:space="preserve">. </w:t>
                      </w:r>
                      <w:r w:rsidR="009B3EF6">
                        <w:rPr>
                          <w:rFonts w:asciiTheme="majorHAnsi" w:hAnsiTheme="majorHAnsi"/>
                          <w:color w:val="595959" w:themeColor="text1" w:themeTint="A6"/>
                          <w:sz w:val="18"/>
                          <w:szCs w:val="18"/>
                          <w:lang w:val="es-ES_tradnl"/>
                        </w:rPr>
                        <w:t>Estados Unidos</w:t>
                      </w:r>
                      <w:r w:rsidRPr="00890650">
                        <w:rPr>
                          <w:rFonts w:asciiTheme="majorHAnsi" w:hAnsiTheme="majorHAnsi"/>
                          <w:color w:val="595959" w:themeColor="text1" w:themeTint="A6"/>
                          <w:sz w:val="18"/>
                          <w:szCs w:val="18"/>
                          <w:lang w:val="es-ES_tradnl"/>
                        </w:rPr>
                        <w:t xml:space="preserve">. </w:t>
                      </w:r>
                      <w:r w:rsidR="009B3EF6">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722FE4C8" w:rsidR="003239B8" w:rsidRPr="004B3C14" w:rsidRDefault="00752CB7" w:rsidP="008D2290">
            <w:pPr>
              <w:jc w:val="both"/>
              <w:rPr>
                <w:rFonts w:ascii="Cambria" w:hAnsi="Cambria"/>
                <w:bCs/>
                <w:sz w:val="20"/>
                <w:szCs w:val="20"/>
              </w:rPr>
            </w:pPr>
            <w:r w:rsidRPr="006E7585">
              <w:rPr>
                <w:rFonts w:ascii="Cambria" w:hAnsi="Cambria"/>
                <w:bCs/>
                <w:sz w:val="20"/>
                <w:szCs w:val="20"/>
              </w:rPr>
              <w:t>Bernadette Taylor Lockett</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6F75A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5C42AFED" w:rsidR="003239B8" w:rsidRPr="00752CB7" w:rsidRDefault="00752CB7" w:rsidP="008D2290">
            <w:pPr>
              <w:jc w:val="both"/>
              <w:rPr>
                <w:rFonts w:ascii="Cambria" w:hAnsi="Cambria"/>
                <w:bCs/>
                <w:sz w:val="20"/>
                <w:szCs w:val="20"/>
              </w:rPr>
            </w:pPr>
            <w:r w:rsidRPr="006E7585">
              <w:rPr>
                <w:rFonts w:ascii="Cambria" w:hAnsi="Cambria"/>
                <w:bCs/>
                <w:sz w:val="20"/>
                <w:szCs w:val="20"/>
              </w:rPr>
              <w:t xml:space="preserve">T.L. </w:t>
            </w:r>
            <w:r>
              <w:rPr>
                <w:rFonts w:ascii="Cambria" w:hAnsi="Cambria"/>
                <w:bCs/>
                <w:sz w:val="20"/>
                <w:szCs w:val="20"/>
              </w:rPr>
              <w:t>y</w:t>
            </w:r>
            <w:r w:rsidRPr="006E7585">
              <w:rPr>
                <w:rFonts w:ascii="Cambria" w:hAnsi="Cambria"/>
                <w:bCs/>
                <w:sz w:val="20"/>
                <w:szCs w:val="20"/>
              </w:rPr>
              <w:t xml:space="preserve"> Bernadette Taylor Lockett</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620460FF" w:rsidR="003239B8" w:rsidRPr="004B3C14" w:rsidRDefault="00752CB7" w:rsidP="008D2290">
            <w:pPr>
              <w:jc w:val="both"/>
              <w:rPr>
                <w:rFonts w:ascii="Cambria" w:hAnsi="Cambria"/>
                <w:bCs/>
                <w:sz w:val="20"/>
                <w:szCs w:val="20"/>
              </w:rPr>
            </w:pPr>
            <w:r>
              <w:rPr>
                <w:rFonts w:ascii="Cambria" w:hAnsi="Cambria"/>
                <w:bCs/>
                <w:sz w:val="20"/>
                <w:szCs w:val="20"/>
              </w:rPr>
              <w:t>Estados Unidos</w:t>
            </w:r>
          </w:p>
        </w:tc>
      </w:tr>
      <w:tr w:rsidR="00223A29" w:rsidRPr="002F223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662683AF" w:rsidR="00223A29" w:rsidRPr="009B3EF6" w:rsidRDefault="00752CB7" w:rsidP="008D2290">
            <w:pPr>
              <w:jc w:val="both"/>
              <w:rPr>
                <w:rFonts w:ascii="Cambria" w:hAnsi="Cambria"/>
                <w:bCs/>
                <w:sz w:val="20"/>
                <w:szCs w:val="20"/>
                <w:lang w:val="es-ES"/>
              </w:rPr>
            </w:pPr>
            <w:r w:rsidRPr="0043153D">
              <w:rPr>
                <w:rFonts w:ascii="Cambria" w:hAnsi="Cambria"/>
                <w:bCs/>
                <w:sz w:val="20"/>
                <w:szCs w:val="20"/>
                <w:lang w:val="es-UY"/>
              </w:rPr>
              <w:t>Artículos I, II, IV, V, VI, VII, IX, X, XVII, XVIII, XXIV, XXVI</w:t>
            </w:r>
            <w:r>
              <w:rPr>
                <w:rFonts w:ascii="Cambria" w:hAnsi="Cambria"/>
                <w:bCs/>
                <w:sz w:val="20"/>
                <w:szCs w:val="20"/>
                <w:lang w:val="es-UY"/>
              </w:rPr>
              <w:t xml:space="preserve"> y</w:t>
            </w:r>
            <w:r w:rsidRPr="0043153D">
              <w:rPr>
                <w:rFonts w:ascii="Cambria" w:hAnsi="Cambria"/>
                <w:bCs/>
                <w:sz w:val="20"/>
                <w:szCs w:val="20"/>
                <w:lang w:val="es-UY"/>
              </w:rPr>
              <w:t xml:space="preserve"> XXX de la Declaración Americana de los Derechos y Deberes del Ho</w:t>
            </w:r>
            <w:r>
              <w:rPr>
                <w:rFonts w:ascii="Cambria" w:hAnsi="Cambria"/>
                <w:bCs/>
                <w:sz w:val="20"/>
                <w:szCs w:val="20"/>
                <w:lang w:val="es-UY"/>
              </w:rPr>
              <w:t>mbre</w:t>
            </w:r>
            <w:r w:rsidRPr="006E7585">
              <w:rPr>
                <w:rStyle w:val="FootnoteReference"/>
                <w:rFonts w:ascii="Cambria" w:hAnsi="Cambria"/>
                <w:bCs/>
                <w:sz w:val="20"/>
                <w:szCs w:val="20"/>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A9D917A" w:rsidR="004C2312" w:rsidRPr="003239B8" w:rsidRDefault="00752CB7" w:rsidP="002625EA">
            <w:pPr>
              <w:jc w:val="both"/>
              <w:rPr>
                <w:rFonts w:ascii="Cambria" w:hAnsi="Cambria"/>
                <w:bCs/>
                <w:sz w:val="20"/>
                <w:szCs w:val="20"/>
                <w:lang w:val="es-ES"/>
              </w:rPr>
            </w:pPr>
            <w:r>
              <w:rPr>
                <w:rFonts w:ascii="Cambria" w:hAnsi="Cambria"/>
                <w:bCs/>
                <w:sz w:val="20"/>
                <w:szCs w:val="20"/>
              </w:rPr>
              <w:t>1</w:t>
            </w:r>
            <w:r w:rsidRPr="006E7585">
              <w:rPr>
                <w:rFonts w:ascii="Cambria" w:hAnsi="Cambria"/>
                <w:bCs/>
                <w:sz w:val="20"/>
                <w:szCs w:val="20"/>
              </w:rPr>
              <w:t>9</w:t>
            </w:r>
            <w:r>
              <w:rPr>
                <w:rFonts w:ascii="Cambria" w:hAnsi="Cambria"/>
                <w:bCs/>
                <w:sz w:val="20"/>
                <w:szCs w:val="20"/>
              </w:rPr>
              <w:t xml:space="preserve"> de febrero de</w:t>
            </w:r>
            <w:r w:rsidRPr="006E7585">
              <w:rPr>
                <w:rFonts w:ascii="Cambria" w:hAnsi="Cambria"/>
                <w:bCs/>
                <w:sz w:val="20"/>
                <w:szCs w:val="20"/>
              </w:rPr>
              <w:t xml:space="preserve"> 2008</w:t>
            </w:r>
          </w:p>
        </w:tc>
      </w:tr>
      <w:tr w:rsidR="001E49E7" w:rsidRPr="002F2233"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22D92E92" w:rsidR="001E49E7" w:rsidRPr="001E49E7" w:rsidRDefault="00752CB7" w:rsidP="00752CB7">
            <w:pPr>
              <w:jc w:val="both"/>
              <w:rPr>
                <w:rFonts w:ascii="Cambria" w:hAnsi="Cambria"/>
                <w:b/>
                <w:bCs/>
                <w:color w:val="FFFFFF" w:themeColor="background1"/>
                <w:sz w:val="20"/>
                <w:szCs w:val="20"/>
                <w:lang w:val="es-AR"/>
              </w:rPr>
            </w:pPr>
            <w:r w:rsidRPr="00511B87">
              <w:rPr>
                <w:rFonts w:ascii="Cambria" w:hAnsi="Cambria"/>
                <w:bCs/>
                <w:sz w:val="20"/>
                <w:szCs w:val="20"/>
                <w:lang w:val="es-UY"/>
              </w:rPr>
              <w:t xml:space="preserve">21 de abril y 30 de </w:t>
            </w:r>
            <w:r>
              <w:rPr>
                <w:rFonts w:ascii="Cambria" w:hAnsi="Cambria"/>
                <w:bCs/>
                <w:sz w:val="20"/>
                <w:szCs w:val="20"/>
                <w:lang w:val="es-UY"/>
              </w:rPr>
              <w:t>a</w:t>
            </w:r>
            <w:r w:rsidRPr="00511B87">
              <w:rPr>
                <w:rFonts w:ascii="Cambria" w:hAnsi="Cambria"/>
                <w:bCs/>
                <w:sz w:val="20"/>
                <w:szCs w:val="20"/>
                <w:lang w:val="es-UY"/>
              </w:rPr>
              <w:t xml:space="preserve">gosto de 2011; 25 de </w:t>
            </w:r>
            <w:r>
              <w:rPr>
                <w:rFonts w:ascii="Cambria" w:hAnsi="Cambria"/>
                <w:bCs/>
                <w:sz w:val="20"/>
                <w:szCs w:val="20"/>
                <w:lang w:val="es-UY"/>
              </w:rPr>
              <w:t xml:space="preserve">enero y 17 de septiembre de </w:t>
            </w:r>
            <w:r w:rsidRPr="00511B87">
              <w:rPr>
                <w:rFonts w:ascii="Cambria" w:hAnsi="Cambria"/>
                <w:bCs/>
                <w:sz w:val="20"/>
                <w:szCs w:val="20"/>
                <w:lang w:val="es-UY"/>
              </w:rPr>
              <w:t>2012</w:t>
            </w:r>
          </w:p>
        </w:tc>
      </w:tr>
      <w:tr w:rsidR="004C2312" w:rsidRPr="00752CB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1AEF0FB" w:rsidR="004C2312" w:rsidRPr="003239B8" w:rsidRDefault="00752CB7" w:rsidP="008D2290">
            <w:pPr>
              <w:jc w:val="both"/>
              <w:rPr>
                <w:rFonts w:ascii="Cambria" w:hAnsi="Cambria"/>
                <w:bCs/>
                <w:sz w:val="20"/>
                <w:szCs w:val="20"/>
                <w:lang w:val="es-ES"/>
              </w:rPr>
            </w:pPr>
            <w:r w:rsidRPr="006E7585">
              <w:rPr>
                <w:rFonts w:ascii="Cambria" w:hAnsi="Cambria"/>
                <w:bCs/>
                <w:sz w:val="20"/>
                <w:szCs w:val="20"/>
              </w:rPr>
              <w:t>28</w:t>
            </w:r>
            <w:r>
              <w:rPr>
                <w:rFonts w:ascii="Cambria" w:hAnsi="Cambria"/>
                <w:bCs/>
                <w:sz w:val="20"/>
                <w:szCs w:val="20"/>
              </w:rPr>
              <w:t xml:space="preserve"> de febrero de</w:t>
            </w:r>
            <w:r w:rsidRPr="006E7585">
              <w:rPr>
                <w:rFonts w:ascii="Cambria" w:hAnsi="Cambria"/>
                <w:bCs/>
                <w:sz w:val="20"/>
                <w:szCs w:val="20"/>
              </w:rPr>
              <w:t xml:space="preserve"> 2013</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2CABFF5" w:rsidR="004C2312" w:rsidRPr="003239B8" w:rsidRDefault="00752CB7" w:rsidP="008D2290">
            <w:pPr>
              <w:jc w:val="both"/>
              <w:rPr>
                <w:rFonts w:ascii="Cambria" w:hAnsi="Cambria"/>
                <w:bCs/>
                <w:sz w:val="20"/>
                <w:szCs w:val="20"/>
                <w:lang w:val="es-ES"/>
              </w:rPr>
            </w:pPr>
            <w:r w:rsidRPr="006E7585">
              <w:rPr>
                <w:rFonts w:ascii="Cambria" w:hAnsi="Cambria"/>
                <w:bCs/>
                <w:sz w:val="20"/>
                <w:szCs w:val="20"/>
              </w:rPr>
              <w:t>22</w:t>
            </w:r>
            <w:r>
              <w:rPr>
                <w:rFonts w:ascii="Cambria" w:hAnsi="Cambria"/>
                <w:bCs/>
                <w:sz w:val="20"/>
                <w:szCs w:val="20"/>
              </w:rPr>
              <w:t xml:space="preserve"> de octubre de</w:t>
            </w:r>
            <w:r w:rsidRPr="006E7585">
              <w:rPr>
                <w:rFonts w:ascii="Cambria" w:hAnsi="Cambria"/>
                <w:bCs/>
                <w:sz w:val="20"/>
                <w:szCs w:val="20"/>
              </w:rPr>
              <w:t xml:space="preserve"> 2014</w:t>
            </w:r>
          </w:p>
        </w:tc>
      </w:tr>
      <w:tr w:rsidR="004C2312" w:rsidRPr="002F223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15EA478F" w:rsidR="004C2312" w:rsidRPr="003239B8" w:rsidRDefault="00752CB7" w:rsidP="008D2290">
            <w:pPr>
              <w:jc w:val="both"/>
              <w:rPr>
                <w:rFonts w:ascii="Cambria" w:hAnsi="Cambria"/>
                <w:bCs/>
                <w:sz w:val="20"/>
                <w:szCs w:val="20"/>
                <w:lang w:val="es-ES"/>
              </w:rPr>
            </w:pPr>
            <w:r w:rsidRPr="00C91634">
              <w:rPr>
                <w:rFonts w:ascii="Cambria" w:hAnsi="Cambria"/>
                <w:bCs/>
                <w:sz w:val="20"/>
                <w:szCs w:val="20"/>
                <w:lang w:val="es-UY"/>
              </w:rPr>
              <w:t xml:space="preserve">24 de marzo, 1 de abril y 17 de junio de 2015; 22 </w:t>
            </w:r>
            <w:r>
              <w:rPr>
                <w:rFonts w:ascii="Cambria" w:hAnsi="Cambria"/>
                <w:bCs/>
                <w:sz w:val="20"/>
                <w:szCs w:val="20"/>
                <w:lang w:val="es-UY"/>
              </w:rPr>
              <w:t xml:space="preserve">de marzo y 11 de octubre de </w:t>
            </w:r>
            <w:r w:rsidRPr="00C91634">
              <w:rPr>
                <w:rFonts w:ascii="Cambria" w:hAnsi="Cambria"/>
                <w:bCs/>
                <w:sz w:val="20"/>
                <w:szCs w:val="20"/>
                <w:lang w:val="es-UY"/>
              </w:rPr>
              <w:t>2016;</w:t>
            </w:r>
            <w:r>
              <w:rPr>
                <w:rFonts w:ascii="Cambria" w:hAnsi="Cambria"/>
                <w:bCs/>
                <w:sz w:val="20"/>
                <w:szCs w:val="20"/>
                <w:lang w:val="es-UY"/>
              </w:rPr>
              <w:t xml:space="preserve"> 16 de marzo y 8 de agosto de </w:t>
            </w:r>
            <w:r w:rsidRPr="00C91634">
              <w:rPr>
                <w:rFonts w:ascii="Cambria" w:hAnsi="Cambria"/>
                <w:bCs/>
                <w:sz w:val="20"/>
                <w:szCs w:val="20"/>
                <w:lang w:val="es-UY"/>
              </w:rPr>
              <w:t>2017</w:t>
            </w:r>
          </w:p>
        </w:tc>
      </w:tr>
      <w:tr w:rsidR="004C2312" w:rsidRPr="002F2233"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027E40F9" w:rsidR="004C2312" w:rsidRPr="00752CB7" w:rsidRDefault="00752CB7" w:rsidP="008D2290">
            <w:pPr>
              <w:jc w:val="both"/>
              <w:rPr>
                <w:rFonts w:ascii="Cambria" w:hAnsi="Cambria"/>
                <w:bCs/>
                <w:sz w:val="20"/>
                <w:szCs w:val="20"/>
                <w:lang w:val="es-ES"/>
              </w:rPr>
            </w:pPr>
            <w:r w:rsidRPr="00C91634">
              <w:rPr>
                <w:rFonts w:ascii="Cambria" w:hAnsi="Cambria"/>
                <w:bCs/>
                <w:sz w:val="20"/>
                <w:szCs w:val="20"/>
                <w:lang w:val="es-UY"/>
              </w:rPr>
              <w:t>3 de enero y 19 de mayo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5EC3F7FC" w:rsidR="003239B8" w:rsidRPr="004B3C14" w:rsidRDefault="00752CB7" w:rsidP="008D2290">
            <w:pPr>
              <w:rPr>
                <w:rFonts w:ascii="Cambria" w:hAnsi="Cambria"/>
                <w:bCs/>
                <w:sz w:val="20"/>
                <w:szCs w:val="20"/>
              </w:rPr>
            </w:pPr>
            <w:r>
              <w:rPr>
                <w:rFonts w:asciiTheme="majorHAnsi" w:hAnsiTheme="majorHAnsi"/>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1F0D5D8F" w:rsidR="003239B8" w:rsidRPr="004B3C14" w:rsidRDefault="00752CB7" w:rsidP="008D2290">
            <w:pPr>
              <w:rPr>
                <w:rFonts w:ascii="Cambria" w:hAnsi="Cambria"/>
                <w:bCs/>
                <w:sz w:val="20"/>
                <w:szCs w:val="20"/>
              </w:rPr>
            </w:pPr>
            <w:r>
              <w:rPr>
                <w:rFonts w:asciiTheme="majorHAnsi" w:hAnsiTheme="majorHAnsi"/>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5ECAF6B6" w:rsidR="003239B8" w:rsidRPr="00153E77" w:rsidRDefault="00752CB7" w:rsidP="008D2290">
            <w:pPr>
              <w:rPr>
                <w:bCs/>
                <w:sz w:val="20"/>
                <w:szCs w:val="20"/>
              </w:rPr>
            </w:pPr>
            <w:r>
              <w:rPr>
                <w:rFonts w:asciiTheme="majorHAnsi" w:hAnsiTheme="majorHAnsi"/>
                <w:bCs/>
                <w:sz w:val="20"/>
                <w:szCs w:val="20"/>
              </w:rPr>
              <w:t>Sí</w:t>
            </w:r>
          </w:p>
        </w:tc>
      </w:tr>
      <w:tr w:rsidR="003239B8" w:rsidRPr="002F2233"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280358FC" w:rsidR="003239B8" w:rsidRPr="004C2312" w:rsidRDefault="00752CB7" w:rsidP="008D2290">
            <w:pPr>
              <w:jc w:val="both"/>
              <w:rPr>
                <w:rFonts w:ascii="Cambria" w:hAnsi="Cambria"/>
                <w:bCs/>
                <w:sz w:val="20"/>
                <w:szCs w:val="20"/>
                <w:lang w:val="es-ES"/>
              </w:rPr>
            </w:pPr>
            <w:r w:rsidRPr="00511B87">
              <w:rPr>
                <w:rFonts w:asciiTheme="majorHAnsi" w:hAnsiTheme="majorHAnsi"/>
                <w:bCs/>
                <w:sz w:val="20"/>
                <w:szCs w:val="20"/>
                <w:lang w:val="es-UY"/>
              </w:rPr>
              <w:t>Sí, Declaración Americana</w:t>
            </w:r>
            <w:r w:rsidRPr="00511B87">
              <w:rPr>
                <w:lang w:val="es-UY"/>
              </w:rPr>
              <w:t xml:space="preserve"> </w:t>
            </w:r>
            <w:r w:rsidRPr="00552E08">
              <w:rPr>
                <w:rFonts w:asciiTheme="majorHAnsi" w:hAnsiTheme="majorHAnsi"/>
                <w:bCs/>
                <w:sz w:val="20"/>
                <w:szCs w:val="20"/>
                <w:lang w:val="es-UY"/>
              </w:rPr>
              <w:t>(rati</w:t>
            </w:r>
            <w:r>
              <w:rPr>
                <w:rFonts w:asciiTheme="majorHAnsi" w:hAnsiTheme="majorHAnsi"/>
                <w:bCs/>
                <w:sz w:val="20"/>
                <w:szCs w:val="20"/>
                <w:lang w:val="es-UY"/>
              </w:rPr>
              <w:t>ficación de la Carta de la OEA el</w:t>
            </w:r>
            <w:r w:rsidRPr="00552E08">
              <w:rPr>
                <w:rFonts w:asciiTheme="majorHAnsi" w:hAnsiTheme="majorHAnsi"/>
                <w:bCs/>
                <w:sz w:val="20"/>
                <w:szCs w:val="20"/>
                <w:lang w:val="es-UY"/>
              </w:rPr>
              <w:t xml:space="preserve"> 19 de junio de </w:t>
            </w:r>
            <w:r w:rsidRPr="00511B87">
              <w:rPr>
                <w:rFonts w:asciiTheme="majorHAnsi" w:hAnsiTheme="majorHAnsi"/>
                <w:bCs/>
                <w:sz w:val="20"/>
                <w:szCs w:val="20"/>
                <w:lang w:val="es-UY"/>
              </w:rPr>
              <w:t>1951)</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52CB7"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4C089638" w:rsidR="00EE00E9" w:rsidRPr="00EE00E9" w:rsidRDefault="00752CB7" w:rsidP="008D2290">
            <w:pPr>
              <w:jc w:val="both"/>
              <w:rPr>
                <w:rFonts w:ascii="Cambria" w:hAnsi="Cambria"/>
                <w:bCs/>
                <w:sz w:val="20"/>
                <w:szCs w:val="20"/>
                <w:lang w:val="es-ES"/>
              </w:rPr>
            </w:pPr>
            <w:r w:rsidRPr="006E7585">
              <w:rPr>
                <w:rFonts w:ascii="Cambria" w:hAnsi="Cambria"/>
                <w:bCs/>
                <w:sz w:val="20"/>
                <w:szCs w:val="20"/>
              </w:rPr>
              <w:t>No</w:t>
            </w:r>
          </w:p>
        </w:tc>
      </w:tr>
      <w:tr w:rsidR="003239B8" w:rsidRPr="002F2233"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14A181DF" w:rsidR="003239B8" w:rsidRPr="00752CB7" w:rsidRDefault="00752CB7" w:rsidP="008D2290">
            <w:pPr>
              <w:jc w:val="both"/>
              <w:rPr>
                <w:rFonts w:ascii="Cambria" w:hAnsi="Cambria"/>
                <w:bCs/>
                <w:sz w:val="20"/>
                <w:szCs w:val="20"/>
                <w:lang w:val="es-ES"/>
              </w:rPr>
            </w:pPr>
            <w:r w:rsidRPr="000A1733">
              <w:rPr>
                <w:rFonts w:ascii="Cambria" w:hAnsi="Cambria"/>
                <w:bCs/>
                <w:sz w:val="20"/>
                <w:szCs w:val="20"/>
                <w:lang w:val="es-UY"/>
              </w:rPr>
              <w:t>Artículos I (vida, libertad, seguridad e integridad de la persona), II (igualdad ante la ley), VII (protección a la maternidad y a la infancia), XVII (</w:t>
            </w:r>
            <w:bookmarkStart w:id="1" w:name="_Hlk506371496"/>
            <w:r w:rsidRPr="000A1733">
              <w:rPr>
                <w:rFonts w:ascii="Cambria" w:hAnsi="Cambria"/>
                <w:bCs/>
                <w:sz w:val="20"/>
                <w:szCs w:val="20"/>
                <w:lang w:val="es-UY"/>
              </w:rPr>
              <w:t>reco</w:t>
            </w:r>
            <w:r>
              <w:rPr>
                <w:rFonts w:ascii="Cambria" w:hAnsi="Cambria"/>
                <w:bCs/>
                <w:sz w:val="20"/>
                <w:szCs w:val="20"/>
                <w:lang w:val="es-UY"/>
              </w:rPr>
              <w:t>nocimiento de la personalidad jurídica y de los derechos civiles</w:t>
            </w:r>
            <w:bookmarkEnd w:id="1"/>
            <w:r w:rsidRPr="000A1733">
              <w:rPr>
                <w:rFonts w:ascii="Cambria" w:hAnsi="Cambria"/>
                <w:bCs/>
                <w:sz w:val="20"/>
                <w:szCs w:val="20"/>
                <w:lang w:val="es-UY"/>
              </w:rPr>
              <w:t xml:space="preserve">) </w:t>
            </w:r>
            <w:r>
              <w:rPr>
                <w:rFonts w:ascii="Cambria" w:hAnsi="Cambria"/>
                <w:bCs/>
                <w:sz w:val="20"/>
                <w:szCs w:val="20"/>
                <w:lang w:val="es-UY"/>
              </w:rPr>
              <w:t>y</w:t>
            </w:r>
            <w:r w:rsidRPr="000A1733">
              <w:rPr>
                <w:rFonts w:ascii="Cambria" w:hAnsi="Cambria"/>
                <w:bCs/>
                <w:sz w:val="20"/>
                <w:szCs w:val="20"/>
                <w:lang w:val="es-UY"/>
              </w:rPr>
              <w:t xml:space="preserve"> XVIII (</w:t>
            </w:r>
            <w:r>
              <w:rPr>
                <w:rFonts w:ascii="Cambria" w:hAnsi="Cambria"/>
                <w:bCs/>
                <w:sz w:val="20"/>
                <w:szCs w:val="20"/>
                <w:lang w:val="es-UY"/>
              </w:rPr>
              <w:t>derecho de justicia</w:t>
            </w:r>
            <w:r w:rsidRPr="000A1733">
              <w:rPr>
                <w:rFonts w:ascii="Cambria" w:hAnsi="Cambria"/>
                <w:bCs/>
                <w:sz w:val="20"/>
                <w:szCs w:val="20"/>
                <w:lang w:val="es-UY"/>
              </w:rPr>
              <w:t xml:space="preserve">) </w:t>
            </w:r>
            <w:r>
              <w:rPr>
                <w:rFonts w:ascii="Cambria" w:hAnsi="Cambria"/>
                <w:bCs/>
                <w:sz w:val="20"/>
                <w:szCs w:val="20"/>
                <w:lang w:val="es-UY"/>
              </w:rPr>
              <w:t>de la Declaración Americana</w:t>
            </w:r>
          </w:p>
        </w:tc>
      </w:tr>
      <w:tr w:rsidR="003239B8" w:rsidRPr="002F2233"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50CED992" w:rsidR="003239B8" w:rsidRPr="00EE00E9" w:rsidRDefault="00752CB7" w:rsidP="008D2290">
            <w:pPr>
              <w:rPr>
                <w:rFonts w:ascii="Cambria" w:hAnsi="Cambria"/>
                <w:bCs/>
                <w:sz w:val="20"/>
                <w:szCs w:val="20"/>
                <w:lang w:val="es-ES"/>
              </w:rPr>
            </w:pPr>
            <w:r w:rsidRPr="006F7B56">
              <w:rPr>
                <w:rFonts w:ascii="Cambria" w:hAnsi="Cambria"/>
                <w:bCs/>
                <w:sz w:val="20"/>
                <w:szCs w:val="20"/>
                <w:lang w:val="es-UY"/>
              </w:rPr>
              <w:t>Sí, aplica</w:t>
            </w:r>
            <w:r>
              <w:rPr>
                <w:rFonts w:ascii="Cambria" w:hAnsi="Cambria"/>
                <w:bCs/>
                <w:sz w:val="20"/>
                <w:szCs w:val="20"/>
                <w:lang w:val="es-UY"/>
              </w:rPr>
              <w:t xml:space="preserve"> excepción</w:t>
            </w:r>
            <w:r w:rsidRPr="006F7B56">
              <w:rPr>
                <w:rFonts w:ascii="Cambria" w:hAnsi="Cambria"/>
                <w:bCs/>
                <w:sz w:val="20"/>
                <w:szCs w:val="20"/>
                <w:lang w:val="es-UY"/>
              </w:rPr>
              <w:t xml:space="preserve"> artículo 31.2 (b) </w:t>
            </w:r>
            <w:r>
              <w:rPr>
                <w:rFonts w:ascii="Cambria" w:hAnsi="Cambria"/>
                <w:bCs/>
                <w:sz w:val="20"/>
                <w:szCs w:val="20"/>
                <w:lang w:val="es-UY"/>
              </w:rPr>
              <w:t>del Reglamento de la CIDH</w:t>
            </w:r>
          </w:p>
        </w:tc>
      </w:tr>
      <w:tr w:rsidR="003239B8" w:rsidRPr="002F2233"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5760" w:type="dxa"/>
            <w:vAlign w:val="center"/>
          </w:tcPr>
          <w:p w14:paraId="4A2A4569" w14:textId="6DBB516A" w:rsidR="003239B8" w:rsidRPr="00752CB7" w:rsidRDefault="00752CB7" w:rsidP="008D2290">
            <w:pPr>
              <w:rPr>
                <w:bCs/>
                <w:sz w:val="20"/>
                <w:szCs w:val="20"/>
                <w:lang w:val="es-ES"/>
              </w:rPr>
            </w:pPr>
            <w:r w:rsidRPr="00CF4F3B">
              <w:rPr>
                <w:rFonts w:ascii="Cambria" w:hAnsi="Cambria"/>
                <w:bCs/>
                <w:sz w:val="20"/>
                <w:szCs w:val="20"/>
                <w:lang w:val="es-UY"/>
              </w:rPr>
              <w:t>S</w:t>
            </w:r>
            <w:r>
              <w:rPr>
                <w:rFonts w:ascii="Cambria" w:hAnsi="Cambria"/>
                <w:bCs/>
                <w:sz w:val="20"/>
                <w:szCs w:val="20"/>
                <w:lang w:val="es-UY"/>
              </w:rPr>
              <w:t>í</w:t>
            </w:r>
            <w:r w:rsidRPr="00CF4F3B">
              <w:rPr>
                <w:rFonts w:ascii="Cambria" w:hAnsi="Cambria"/>
                <w:bCs/>
                <w:sz w:val="20"/>
                <w:szCs w:val="20"/>
                <w:lang w:val="es-UY"/>
              </w:rPr>
              <w:t xml:space="preserve">, </w:t>
            </w:r>
            <w:r>
              <w:rPr>
                <w:rFonts w:ascii="Cambria" w:hAnsi="Cambria"/>
                <w:bCs/>
                <w:sz w:val="20"/>
                <w:szCs w:val="20"/>
                <w:lang w:val="es-UY"/>
              </w:rPr>
              <w:t>en los t</w:t>
            </w:r>
            <w:r>
              <w:rPr>
                <w:rFonts w:ascii="Cambria" w:hAnsi="Cambria"/>
                <w:bCs/>
                <w:sz w:val="20"/>
                <w:szCs w:val="20"/>
                <w:lang w:val="es-ES"/>
              </w:rPr>
              <w:t>érminos de</w:t>
            </w:r>
            <w:r w:rsidRPr="00325329">
              <w:rPr>
                <w:rFonts w:asciiTheme="majorHAnsi" w:hAnsiTheme="majorHAnsi"/>
                <w:bCs/>
                <w:sz w:val="20"/>
                <w:szCs w:val="20"/>
                <w:lang w:val="es-UY"/>
              </w:rPr>
              <w:t xml:space="preserv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41B121A" w14:textId="77777777" w:rsidR="00752CB7" w:rsidRPr="00532863" w:rsidRDefault="00752CB7" w:rsidP="00752C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1E14AC">
        <w:rPr>
          <w:rFonts w:asciiTheme="majorHAnsi" w:hAnsiTheme="majorHAnsi"/>
          <w:sz w:val="20"/>
          <w:szCs w:val="20"/>
          <w:lang w:val="es-UY"/>
        </w:rPr>
        <w:t>La peticionaria alega que su hija T.L. -nacida en 1998- fue sexualmente ab</w:t>
      </w:r>
      <w:r>
        <w:rPr>
          <w:rFonts w:asciiTheme="majorHAnsi" w:hAnsiTheme="majorHAnsi"/>
          <w:sz w:val="20"/>
          <w:szCs w:val="20"/>
          <w:lang w:val="es-UY"/>
        </w:rPr>
        <w:t xml:space="preserve">usada por su padre en numerosas ocasiones. </w:t>
      </w:r>
      <w:r w:rsidRPr="001E14AC">
        <w:rPr>
          <w:rFonts w:asciiTheme="majorHAnsi" w:hAnsiTheme="majorHAnsi"/>
          <w:sz w:val="20"/>
          <w:szCs w:val="20"/>
          <w:lang w:val="es-UY"/>
        </w:rPr>
        <w:t>La peticionaria indica que inició sus trámites de divorci</w:t>
      </w:r>
      <w:r>
        <w:rPr>
          <w:rFonts w:asciiTheme="majorHAnsi" w:hAnsiTheme="majorHAnsi"/>
          <w:sz w:val="20"/>
          <w:szCs w:val="20"/>
          <w:lang w:val="es-UY"/>
        </w:rPr>
        <w:t>o</w:t>
      </w:r>
      <w:r w:rsidRPr="001E14AC">
        <w:rPr>
          <w:rFonts w:asciiTheme="majorHAnsi" w:hAnsiTheme="majorHAnsi"/>
          <w:sz w:val="20"/>
          <w:szCs w:val="20"/>
          <w:lang w:val="es-UY"/>
        </w:rPr>
        <w:t xml:space="preserve"> </w:t>
      </w:r>
      <w:r>
        <w:rPr>
          <w:rFonts w:asciiTheme="majorHAnsi" w:hAnsiTheme="majorHAnsi"/>
          <w:sz w:val="20"/>
          <w:szCs w:val="20"/>
          <w:lang w:val="es-UY"/>
        </w:rPr>
        <w:t>en</w:t>
      </w:r>
      <w:r w:rsidRPr="001E14AC">
        <w:rPr>
          <w:rFonts w:asciiTheme="majorHAnsi" w:hAnsiTheme="majorHAnsi"/>
          <w:sz w:val="20"/>
          <w:szCs w:val="20"/>
          <w:lang w:val="es-UY"/>
        </w:rPr>
        <w:t xml:space="preserve"> el </w:t>
      </w:r>
      <w:r>
        <w:rPr>
          <w:rFonts w:asciiTheme="majorHAnsi" w:hAnsiTheme="majorHAnsi"/>
          <w:sz w:val="20"/>
          <w:szCs w:val="20"/>
          <w:lang w:val="es-UY"/>
        </w:rPr>
        <w:t>v</w:t>
      </w:r>
      <w:r w:rsidRPr="001E14AC">
        <w:rPr>
          <w:rFonts w:asciiTheme="majorHAnsi" w:hAnsiTheme="majorHAnsi"/>
          <w:sz w:val="20"/>
          <w:szCs w:val="20"/>
          <w:lang w:val="es-UY"/>
        </w:rPr>
        <w:t xml:space="preserve">erano de 2000 y que se le otorgó inicialmente la </w:t>
      </w:r>
      <w:r>
        <w:rPr>
          <w:rFonts w:asciiTheme="majorHAnsi" w:hAnsiTheme="majorHAnsi"/>
          <w:sz w:val="20"/>
          <w:szCs w:val="20"/>
          <w:lang w:val="es-UY"/>
        </w:rPr>
        <w:t xml:space="preserve">custodia principal de la niña en el Estado de Virginia, el 20 de abril de </w:t>
      </w:r>
      <w:r w:rsidRPr="001E14AC">
        <w:rPr>
          <w:rFonts w:asciiTheme="majorHAnsi" w:hAnsiTheme="majorHAnsi"/>
          <w:sz w:val="20"/>
          <w:szCs w:val="20"/>
          <w:lang w:val="es-UY"/>
        </w:rPr>
        <w:t xml:space="preserve">2000. </w:t>
      </w:r>
      <w:r>
        <w:rPr>
          <w:rFonts w:asciiTheme="majorHAnsi" w:hAnsiTheme="majorHAnsi"/>
          <w:sz w:val="20"/>
          <w:szCs w:val="20"/>
          <w:lang w:val="es-UY"/>
        </w:rPr>
        <w:t>Luego</w:t>
      </w:r>
      <w:r w:rsidRPr="00BD728B">
        <w:rPr>
          <w:rFonts w:asciiTheme="majorHAnsi" w:hAnsiTheme="majorHAnsi"/>
          <w:sz w:val="20"/>
          <w:szCs w:val="20"/>
          <w:lang w:val="es-UY"/>
        </w:rPr>
        <w:t xml:space="preserve"> de la audiencia celebrada el 16 de </w:t>
      </w:r>
      <w:r>
        <w:rPr>
          <w:rFonts w:asciiTheme="majorHAnsi" w:hAnsiTheme="majorHAnsi"/>
          <w:sz w:val="20"/>
          <w:szCs w:val="20"/>
          <w:lang w:val="es-UY"/>
        </w:rPr>
        <w:t>a</w:t>
      </w:r>
      <w:r w:rsidRPr="00BD728B">
        <w:rPr>
          <w:rFonts w:asciiTheme="majorHAnsi" w:hAnsiTheme="majorHAnsi"/>
          <w:sz w:val="20"/>
          <w:szCs w:val="20"/>
          <w:lang w:val="es-UY"/>
        </w:rPr>
        <w:t xml:space="preserve">gosto de 2000, </w:t>
      </w:r>
      <w:r>
        <w:rPr>
          <w:rFonts w:asciiTheme="majorHAnsi" w:hAnsiTheme="majorHAnsi"/>
          <w:sz w:val="20"/>
          <w:szCs w:val="20"/>
          <w:lang w:val="es-UY"/>
        </w:rPr>
        <w:t xml:space="preserve">se otorgó custodia compartida a </w:t>
      </w:r>
      <w:r w:rsidRPr="00BD728B">
        <w:rPr>
          <w:rFonts w:asciiTheme="majorHAnsi" w:hAnsiTheme="majorHAnsi"/>
          <w:sz w:val="20"/>
          <w:szCs w:val="20"/>
          <w:lang w:val="es-UY"/>
        </w:rPr>
        <w:t>la peticionaria y</w:t>
      </w:r>
      <w:r>
        <w:rPr>
          <w:rFonts w:asciiTheme="majorHAnsi" w:hAnsiTheme="majorHAnsi"/>
          <w:sz w:val="20"/>
          <w:szCs w:val="20"/>
          <w:lang w:val="es-UY"/>
        </w:rPr>
        <w:t xml:space="preserve"> al padre, manteniendo la </w:t>
      </w:r>
      <w:r w:rsidRPr="00BD728B">
        <w:rPr>
          <w:rFonts w:asciiTheme="majorHAnsi" w:hAnsiTheme="majorHAnsi"/>
          <w:sz w:val="20"/>
          <w:szCs w:val="20"/>
          <w:lang w:val="es-UY"/>
        </w:rPr>
        <w:t xml:space="preserve">peticionaria </w:t>
      </w:r>
      <w:r>
        <w:rPr>
          <w:rFonts w:asciiTheme="majorHAnsi" w:hAnsiTheme="majorHAnsi"/>
          <w:sz w:val="20"/>
          <w:szCs w:val="20"/>
          <w:lang w:val="es-UY"/>
        </w:rPr>
        <w:t xml:space="preserve">la custodia física de </w:t>
      </w:r>
      <w:r w:rsidRPr="00A24453">
        <w:rPr>
          <w:rFonts w:asciiTheme="majorHAnsi" w:hAnsiTheme="majorHAnsi"/>
          <w:sz w:val="20"/>
          <w:szCs w:val="20"/>
          <w:lang w:val="es-UY"/>
        </w:rPr>
        <w:t xml:space="preserve">T.L. </w:t>
      </w:r>
      <w:r>
        <w:rPr>
          <w:rFonts w:asciiTheme="majorHAnsi" w:hAnsiTheme="majorHAnsi"/>
          <w:sz w:val="20"/>
          <w:szCs w:val="20"/>
          <w:lang w:val="es-UY"/>
        </w:rPr>
        <w:t xml:space="preserve">El divorcio finalizó el 27 de julio de 2001 y se le otorgó a </w:t>
      </w:r>
      <w:r>
        <w:rPr>
          <w:rFonts w:asciiTheme="majorHAnsi" w:hAnsiTheme="majorHAnsi"/>
          <w:sz w:val="20"/>
          <w:szCs w:val="20"/>
          <w:lang w:val="es-UY"/>
        </w:rPr>
        <w:lastRenderedPageBreak/>
        <w:t xml:space="preserve">la peticionaria la custodia física de T.L. </w:t>
      </w:r>
      <w:r w:rsidRPr="00A24453">
        <w:rPr>
          <w:rFonts w:asciiTheme="majorHAnsi" w:hAnsiTheme="majorHAnsi"/>
          <w:sz w:val="20"/>
          <w:szCs w:val="20"/>
          <w:lang w:val="es-UY"/>
        </w:rPr>
        <w:t>N</w:t>
      </w:r>
      <w:r>
        <w:rPr>
          <w:rFonts w:asciiTheme="majorHAnsi" w:hAnsiTheme="majorHAnsi"/>
          <w:sz w:val="20"/>
          <w:szCs w:val="20"/>
          <w:lang w:val="es-UY"/>
        </w:rPr>
        <w:t>o obstante, el 27 de junio de 2003, el juez emitió una orden dando la custodia física al padre y visitas los fines de semana</w:t>
      </w:r>
      <w:r w:rsidRPr="00244EA8">
        <w:rPr>
          <w:rFonts w:asciiTheme="majorHAnsi" w:hAnsiTheme="majorHAnsi"/>
          <w:sz w:val="20"/>
          <w:szCs w:val="20"/>
          <w:lang w:val="es-UY"/>
        </w:rPr>
        <w:t xml:space="preserve"> </w:t>
      </w:r>
      <w:r>
        <w:rPr>
          <w:rFonts w:asciiTheme="majorHAnsi" w:hAnsiTheme="majorHAnsi"/>
          <w:sz w:val="20"/>
          <w:szCs w:val="20"/>
          <w:lang w:val="es-UY"/>
        </w:rPr>
        <w:t>a la peticionaria</w:t>
      </w:r>
      <w:r w:rsidRPr="00A24453">
        <w:rPr>
          <w:rFonts w:asciiTheme="majorHAnsi" w:hAnsiTheme="majorHAnsi"/>
          <w:sz w:val="20"/>
          <w:szCs w:val="20"/>
          <w:lang w:val="es-UY"/>
        </w:rPr>
        <w:t xml:space="preserve">. </w:t>
      </w:r>
      <w:r w:rsidRPr="00B94412">
        <w:rPr>
          <w:rFonts w:asciiTheme="majorHAnsi" w:hAnsiTheme="majorHAnsi"/>
          <w:sz w:val="20"/>
          <w:szCs w:val="20"/>
          <w:lang w:val="es-UY"/>
        </w:rPr>
        <w:t>La Corte fundamentó su decisión, entre otr</w:t>
      </w:r>
      <w:r>
        <w:rPr>
          <w:rFonts w:asciiTheme="majorHAnsi" w:hAnsiTheme="majorHAnsi"/>
          <w:sz w:val="20"/>
          <w:szCs w:val="20"/>
          <w:lang w:val="es-UY"/>
        </w:rPr>
        <w:t>os</w:t>
      </w:r>
      <w:r w:rsidRPr="00B94412">
        <w:rPr>
          <w:rFonts w:asciiTheme="majorHAnsi" w:hAnsiTheme="majorHAnsi"/>
          <w:sz w:val="20"/>
          <w:szCs w:val="20"/>
          <w:lang w:val="es-UY"/>
        </w:rPr>
        <w:t xml:space="preserve">, en </w:t>
      </w:r>
      <w:r>
        <w:rPr>
          <w:rFonts w:asciiTheme="majorHAnsi" w:hAnsiTheme="majorHAnsi"/>
          <w:sz w:val="20"/>
          <w:szCs w:val="20"/>
          <w:lang w:val="es-UY"/>
        </w:rPr>
        <w:t>prueba</w:t>
      </w:r>
      <w:r w:rsidRPr="00B94412">
        <w:rPr>
          <w:rFonts w:asciiTheme="majorHAnsi" w:hAnsiTheme="majorHAnsi"/>
          <w:sz w:val="20"/>
          <w:szCs w:val="20"/>
          <w:lang w:val="es-UY"/>
        </w:rPr>
        <w:t xml:space="preserve"> presentada por el padre de que estaba </w:t>
      </w:r>
      <w:r>
        <w:rPr>
          <w:rFonts w:asciiTheme="majorHAnsi" w:hAnsiTheme="majorHAnsi"/>
          <w:sz w:val="20"/>
          <w:szCs w:val="20"/>
          <w:lang w:val="es-UY"/>
        </w:rPr>
        <w:t>avanzando</w:t>
      </w:r>
      <w:r w:rsidRPr="00B94412">
        <w:rPr>
          <w:rFonts w:asciiTheme="majorHAnsi" w:hAnsiTheme="majorHAnsi"/>
          <w:sz w:val="20"/>
          <w:szCs w:val="20"/>
          <w:lang w:val="es-UY"/>
        </w:rPr>
        <w:t xml:space="preserve"> bien en su tratamiento de parafilia (un trastorno sexual) y porque la madre no había cumplido con una orden de la Corte de obtener atención</w:t>
      </w:r>
      <w:r>
        <w:rPr>
          <w:rFonts w:asciiTheme="majorHAnsi" w:hAnsiTheme="majorHAnsi"/>
          <w:sz w:val="20"/>
          <w:szCs w:val="20"/>
          <w:lang w:val="es-UY"/>
        </w:rPr>
        <w:t xml:space="preserve"> psicológica individual “para atender lo que la Corte percibe como problemas serios de salud mental”.</w:t>
      </w:r>
      <w:r w:rsidRPr="00B94412">
        <w:rPr>
          <w:rFonts w:asciiTheme="majorHAnsi" w:hAnsiTheme="majorHAnsi"/>
          <w:sz w:val="20"/>
          <w:szCs w:val="20"/>
          <w:lang w:val="es-UY"/>
        </w:rPr>
        <w:t xml:space="preserve"> La peticionaria </w:t>
      </w:r>
      <w:r>
        <w:rPr>
          <w:rFonts w:asciiTheme="majorHAnsi" w:hAnsiTheme="majorHAnsi"/>
          <w:sz w:val="20"/>
          <w:szCs w:val="20"/>
          <w:lang w:val="es-UY"/>
        </w:rPr>
        <w:t xml:space="preserve">señala que </w:t>
      </w:r>
      <w:r w:rsidRPr="00B94412">
        <w:rPr>
          <w:rFonts w:asciiTheme="majorHAnsi" w:hAnsiTheme="majorHAnsi"/>
          <w:sz w:val="20"/>
          <w:szCs w:val="20"/>
          <w:lang w:val="es-UY"/>
        </w:rPr>
        <w:t>impugn</w:t>
      </w:r>
      <w:r>
        <w:rPr>
          <w:rFonts w:asciiTheme="majorHAnsi" w:hAnsiTheme="majorHAnsi"/>
          <w:sz w:val="20"/>
          <w:szCs w:val="20"/>
          <w:lang w:val="es-UY"/>
        </w:rPr>
        <w:t>ó</w:t>
      </w:r>
      <w:r w:rsidRPr="00B94412">
        <w:rPr>
          <w:rFonts w:asciiTheme="majorHAnsi" w:hAnsiTheme="majorHAnsi"/>
          <w:sz w:val="20"/>
          <w:szCs w:val="20"/>
          <w:lang w:val="es-UY"/>
        </w:rPr>
        <w:t xml:space="preserve"> la</w:t>
      </w:r>
      <w:r>
        <w:rPr>
          <w:rFonts w:asciiTheme="majorHAnsi" w:hAnsiTheme="majorHAnsi"/>
          <w:sz w:val="20"/>
          <w:szCs w:val="20"/>
          <w:lang w:val="es-UY"/>
        </w:rPr>
        <w:t xml:space="preserve"> decisión de</w:t>
      </w:r>
      <w:r w:rsidRPr="00B94412">
        <w:rPr>
          <w:rFonts w:asciiTheme="majorHAnsi" w:hAnsiTheme="majorHAnsi"/>
          <w:sz w:val="20"/>
          <w:szCs w:val="20"/>
          <w:lang w:val="es-UY"/>
        </w:rPr>
        <w:t xml:space="preserve"> custodia, pero</w:t>
      </w:r>
      <w:r>
        <w:rPr>
          <w:rFonts w:asciiTheme="majorHAnsi" w:hAnsiTheme="majorHAnsi"/>
          <w:sz w:val="20"/>
          <w:szCs w:val="20"/>
          <w:lang w:val="es-UY"/>
        </w:rPr>
        <w:t xml:space="preserve"> que</w:t>
      </w:r>
      <w:r w:rsidRPr="00B94412">
        <w:rPr>
          <w:rFonts w:asciiTheme="majorHAnsi" w:hAnsiTheme="majorHAnsi"/>
          <w:sz w:val="20"/>
          <w:szCs w:val="20"/>
          <w:lang w:val="es-UY"/>
        </w:rPr>
        <w:t xml:space="preserve"> desde 2005 la </w:t>
      </w:r>
      <w:r>
        <w:rPr>
          <w:rFonts w:asciiTheme="majorHAnsi" w:hAnsiTheme="majorHAnsi"/>
          <w:sz w:val="20"/>
          <w:szCs w:val="20"/>
          <w:lang w:val="es-UY"/>
        </w:rPr>
        <w:t>C</w:t>
      </w:r>
      <w:r w:rsidRPr="00B94412">
        <w:rPr>
          <w:rFonts w:asciiTheme="majorHAnsi" w:hAnsiTheme="majorHAnsi"/>
          <w:sz w:val="20"/>
          <w:szCs w:val="20"/>
          <w:lang w:val="es-UY"/>
        </w:rPr>
        <w:t xml:space="preserve">orte otorgó </w:t>
      </w:r>
      <w:r>
        <w:rPr>
          <w:rFonts w:asciiTheme="majorHAnsi" w:hAnsiTheme="majorHAnsi"/>
          <w:sz w:val="20"/>
          <w:szCs w:val="20"/>
          <w:lang w:val="es-UY"/>
        </w:rPr>
        <w:t xml:space="preserve">al padre </w:t>
      </w:r>
      <w:r w:rsidRPr="00B94412">
        <w:rPr>
          <w:rFonts w:asciiTheme="majorHAnsi" w:hAnsiTheme="majorHAnsi"/>
          <w:sz w:val="20"/>
          <w:szCs w:val="20"/>
          <w:lang w:val="es-UY"/>
        </w:rPr>
        <w:t>la custodia legal y fí</w:t>
      </w:r>
      <w:r>
        <w:rPr>
          <w:rFonts w:asciiTheme="majorHAnsi" w:hAnsiTheme="majorHAnsi"/>
          <w:sz w:val="20"/>
          <w:szCs w:val="20"/>
          <w:lang w:val="es-UY"/>
        </w:rPr>
        <w:t xml:space="preserve">sica total de </w:t>
      </w:r>
      <w:r w:rsidRPr="00B94412">
        <w:rPr>
          <w:rFonts w:asciiTheme="majorHAnsi" w:hAnsiTheme="majorHAnsi"/>
          <w:sz w:val="20"/>
          <w:szCs w:val="20"/>
          <w:lang w:val="es-UY"/>
        </w:rPr>
        <w:t xml:space="preserve">T.L. </w:t>
      </w:r>
      <w:r>
        <w:rPr>
          <w:rFonts w:asciiTheme="majorHAnsi" w:hAnsiTheme="majorHAnsi"/>
          <w:sz w:val="20"/>
          <w:szCs w:val="20"/>
          <w:lang w:val="es-UY"/>
        </w:rPr>
        <w:t xml:space="preserve"> Indica la peticionaria que se le restringieron</w:t>
      </w:r>
      <w:r w:rsidRPr="00532863">
        <w:rPr>
          <w:rFonts w:asciiTheme="majorHAnsi" w:hAnsiTheme="majorHAnsi"/>
          <w:sz w:val="20"/>
          <w:szCs w:val="20"/>
          <w:lang w:val="es-UY"/>
        </w:rPr>
        <w:t xml:space="preserve"> las visitas supervisadas debido a que la Corte consider</w:t>
      </w:r>
      <w:r>
        <w:rPr>
          <w:rFonts w:asciiTheme="majorHAnsi" w:hAnsiTheme="majorHAnsi"/>
          <w:sz w:val="20"/>
          <w:szCs w:val="20"/>
          <w:lang w:val="es-UY"/>
        </w:rPr>
        <w:t xml:space="preserve">ó que </w:t>
      </w:r>
      <w:r w:rsidRPr="00532863">
        <w:rPr>
          <w:rFonts w:asciiTheme="majorHAnsi" w:hAnsiTheme="majorHAnsi"/>
          <w:sz w:val="20"/>
          <w:szCs w:val="20"/>
          <w:lang w:val="es-UY"/>
        </w:rPr>
        <w:t>no había cu</w:t>
      </w:r>
      <w:r>
        <w:rPr>
          <w:rFonts w:asciiTheme="majorHAnsi" w:hAnsiTheme="majorHAnsi"/>
          <w:sz w:val="20"/>
          <w:szCs w:val="20"/>
          <w:lang w:val="es-UY"/>
        </w:rPr>
        <w:t>mplido varias órdenes de la Corte</w:t>
      </w:r>
      <w:r w:rsidRPr="00532863">
        <w:rPr>
          <w:rFonts w:asciiTheme="majorHAnsi" w:hAnsiTheme="majorHAnsi"/>
          <w:sz w:val="20"/>
          <w:szCs w:val="20"/>
          <w:lang w:val="es-UY"/>
        </w:rPr>
        <w:t>.</w:t>
      </w:r>
    </w:p>
    <w:p w14:paraId="5D924709" w14:textId="77777777" w:rsidR="00752CB7" w:rsidRPr="009A1FC0" w:rsidRDefault="00752CB7" w:rsidP="00752CB7">
      <w:pPr>
        <w:pStyle w:val="ListParagraph"/>
        <w:numPr>
          <w:ilvl w:val="0"/>
          <w:numId w:val="103"/>
        </w:numPr>
        <w:spacing w:after="240"/>
        <w:jc w:val="both"/>
        <w:rPr>
          <w:sz w:val="20"/>
          <w:szCs w:val="20"/>
          <w:lang w:val="es-UY"/>
        </w:rPr>
      </w:pPr>
      <w:r w:rsidRPr="005C5553">
        <w:rPr>
          <w:sz w:val="20"/>
          <w:szCs w:val="20"/>
          <w:lang w:val="es-UY"/>
        </w:rPr>
        <w:t xml:space="preserve">La peticionaria relata una serie de </w:t>
      </w:r>
      <w:r>
        <w:rPr>
          <w:sz w:val="20"/>
          <w:szCs w:val="20"/>
          <w:lang w:val="es-UY"/>
        </w:rPr>
        <w:t>presuntos</w:t>
      </w:r>
      <w:r w:rsidRPr="005C5553">
        <w:rPr>
          <w:sz w:val="20"/>
          <w:szCs w:val="20"/>
          <w:lang w:val="es-UY"/>
        </w:rPr>
        <w:t xml:space="preserve"> actos de abuso sexual, mencionando circunstancias y fechas específicas </w:t>
      </w:r>
      <w:r>
        <w:rPr>
          <w:sz w:val="20"/>
          <w:szCs w:val="20"/>
          <w:lang w:val="es-UY"/>
        </w:rPr>
        <w:t xml:space="preserve">respecto de las cuales informó </w:t>
      </w:r>
      <w:r w:rsidRPr="005C5553">
        <w:rPr>
          <w:sz w:val="20"/>
          <w:szCs w:val="20"/>
          <w:lang w:val="es-UY"/>
        </w:rPr>
        <w:t>a</w:t>
      </w:r>
      <w:r>
        <w:rPr>
          <w:sz w:val="20"/>
          <w:szCs w:val="20"/>
          <w:lang w:val="es-UY"/>
        </w:rPr>
        <w:t xml:space="preserve"> funcionarios del Estado, y en varias oportunidades se refiere a diagnósticos médicos que serían congruentes con las alegaciones de abuso sexual. </w:t>
      </w:r>
      <w:r w:rsidRPr="00AC6698">
        <w:rPr>
          <w:sz w:val="20"/>
          <w:szCs w:val="20"/>
          <w:lang w:val="es-UY"/>
        </w:rPr>
        <w:t xml:space="preserve">Además, la peticionaria presenta múltiples ejemplos de declaraciones formuladas por </w:t>
      </w:r>
      <w:r w:rsidRPr="00AC6698">
        <w:rPr>
          <w:rFonts w:asciiTheme="majorHAnsi" w:hAnsiTheme="majorHAnsi"/>
          <w:sz w:val="20"/>
          <w:szCs w:val="20"/>
          <w:lang w:val="es-UY"/>
        </w:rPr>
        <w:t>T.L.</w:t>
      </w:r>
      <w:r w:rsidRPr="00AC6698">
        <w:rPr>
          <w:sz w:val="20"/>
          <w:szCs w:val="20"/>
          <w:lang w:val="es-UY"/>
        </w:rPr>
        <w:t xml:space="preserve"> indica</w:t>
      </w:r>
      <w:r>
        <w:rPr>
          <w:sz w:val="20"/>
          <w:szCs w:val="20"/>
          <w:lang w:val="es-UY"/>
        </w:rPr>
        <w:t xml:space="preserve">ndo que su padre la abusó sexualmente. </w:t>
      </w:r>
      <w:r w:rsidRPr="008C24FF">
        <w:rPr>
          <w:sz w:val="20"/>
          <w:szCs w:val="20"/>
          <w:lang w:val="es-UY"/>
        </w:rPr>
        <w:t>A</w:t>
      </w:r>
      <w:r>
        <w:rPr>
          <w:sz w:val="20"/>
          <w:szCs w:val="20"/>
          <w:lang w:val="es-UY"/>
        </w:rPr>
        <w:t>simismo</w:t>
      </w:r>
      <w:r w:rsidRPr="008C24FF">
        <w:rPr>
          <w:sz w:val="20"/>
          <w:szCs w:val="20"/>
          <w:lang w:val="es-UY"/>
        </w:rPr>
        <w:t>, la peticionaria informa que otra hija suya de un matrimonio anterior, nacida en 1987, también declaró que fue sexualmen</w:t>
      </w:r>
      <w:r>
        <w:rPr>
          <w:sz w:val="20"/>
          <w:szCs w:val="20"/>
          <w:lang w:val="es-UY"/>
        </w:rPr>
        <w:t>t</w:t>
      </w:r>
      <w:r w:rsidRPr="008C24FF">
        <w:rPr>
          <w:sz w:val="20"/>
          <w:szCs w:val="20"/>
          <w:lang w:val="es-UY"/>
        </w:rPr>
        <w:t>e abusada por su padrastro</w:t>
      </w:r>
      <w:r>
        <w:rPr>
          <w:sz w:val="20"/>
          <w:szCs w:val="20"/>
          <w:lang w:val="es-UY"/>
        </w:rPr>
        <w:t xml:space="preserve"> </w:t>
      </w:r>
      <w:r w:rsidRPr="008C24FF">
        <w:rPr>
          <w:sz w:val="20"/>
          <w:szCs w:val="20"/>
          <w:lang w:val="es-UY"/>
        </w:rPr>
        <w:t xml:space="preserve">entre </w:t>
      </w:r>
      <w:r>
        <w:rPr>
          <w:sz w:val="20"/>
          <w:szCs w:val="20"/>
          <w:lang w:val="es-UY"/>
        </w:rPr>
        <w:t xml:space="preserve">los </w:t>
      </w:r>
      <w:r w:rsidRPr="008C24FF">
        <w:rPr>
          <w:sz w:val="20"/>
          <w:szCs w:val="20"/>
          <w:lang w:val="es-UY"/>
        </w:rPr>
        <w:t xml:space="preserve">8 y 13 años de edad y que </w:t>
      </w:r>
      <w:r>
        <w:rPr>
          <w:sz w:val="20"/>
          <w:szCs w:val="20"/>
          <w:lang w:val="es-UY"/>
        </w:rPr>
        <w:t>por esa razón intentó suicidarse en 2001</w:t>
      </w:r>
      <w:r w:rsidRPr="008C24FF">
        <w:rPr>
          <w:sz w:val="20"/>
          <w:szCs w:val="20"/>
          <w:lang w:val="es-UY"/>
        </w:rPr>
        <w:t xml:space="preserve">. </w:t>
      </w:r>
      <w:r w:rsidRPr="009A1FC0">
        <w:rPr>
          <w:sz w:val="20"/>
          <w:szCs w:val="20"/>
          <w:lang w:val="es-UY"/>
        </w:rPr>
        <w:t>La peticionaria indica que, el 25 de octubre de 2006, su ex-</w:t>
      </w:r>
      <w:r>
        <w:rPr>
          <w:sz w:val="20"/>
          <w:szCs w:val="20"/>
          <w:lang w:val="es-UY"/>
        </w:rPr>
        <w:t>cónyuge</w:t>
      </w:r>
      <w:r w:rsidRPr="009A1FC0">
        <w:rPr>
          <w:sz w:val="20"/>
          <w:szCs w:val="20"/>
          <w:lang w:val="es-UY"/>
        </w:rPr>
        <w:t xml:space="preserve"> </w:t>
      </w:r>
      <w:r>
        <w:rPr>
          <w:sz w:val="20"/>
          <w:szCs w:val="20"/>
          <w:lang w:val="es-UY"/>
        </w:rPr>
        <w:t>celebr</w:t>
      </w:r>
      <w:r w:rsidRPr="009A1FC0">
        <w:rPr>
          <w:sz w:val="20"/>
          <w:szCs w:val="20"/>
          <w:lang w:val="es-UY"/>
        </w:rPr>
        <w:t xml:space="preserve">ó </w:t>
      </w:r>
      <w:r>
        <w:rPr>
          <w:sz w:val="20"/>
          <w:szCs w:val="20"/>
          <w:lang w:val="es-UY"/>
        </w:rPr>
        <w:t xml:space="preserve">un acuerdo en una demanda civil con su otra hija en un caso de abuso sexual. </w:t>
      </w:r>
      <w:r w:rsidRPr="009A1FC0">
        <w:rPr>
          <w:sz w:val="20"/>
          <w:szCs w:val="20"/>
          <w:lang w:val="es-UY"/>
        </w:rPr>
        <w:t xml:space="preserve"> </w:t>
      </w:r>
    </w:p>
    <w:p w14:paraId="4FBC0B12" w14:textId="77777777" w:rsidR="00752CB7" w:rsidRPr="00B82AAC" w:rsidRDefault="00752CB7" w:rsidP="00752CB7">
      <w:pPr>
        <w:pStyle w:val="ListParagraph"/>
        <w:numPr>
          <w:ilvl w:val="0"/>
          <w:numId w:val="103"/>
        </w:numPr>
        <w:spacing w:after="240"/>
        <w:jc w:val="both"/>
        <w:rPr>
          <w:sz w:val="20"/>
          <w:szCs w:val="20"/>
          <w:lang w:val="es-UY"/>
        </w:rPr>
      </w:pPr>
      <w:r w:rsidRPr="00E1128B">
        <w:rPr>
          <w:sz w:val="20"/>
          <w:szCs w:val="20"/>
          <w:lang w:val="es-UY"/>
        </w:rPr>
        <w:t xml:space="preserve">Además, la peticionaria indica que el hijastro de su ex-cónyuge fue arrestado y acusado de haber perpetrado un asalto sexual </w:t>
      </w:r>
      <w:r>
        <w:rPr>
          <w:sz w:val="20"/>
          <w:szCs w:val="20"/>
          <w:lang w:val="es-UY"/>
        </w:rPr>
        <w:t>agravado contra sus hermanas biológicas</w:t>
      </w:r>
      <w:r w:rsidRPr="00E1128B">
        <w:rPr>
          <w:sz w:val="20"/>
          <w:szCs w:val="20"/>
          <w:lang w:val="es-UY"/>
        </w:rPr>
        <w:t xml:space="preserve"> en febrero d</w:t>
      </w:r>
      <w:r>
        <w:rPr>
          <w:sz w:val="20"/>
          <w:szCs w:val="20"/>
          <w:lang w:val="es-UY"/>
        </w:rPr>
        <w:t>e 2010, y que su custodia fue modificada para asegurar que no tuviera contacto alguno con sus hermanas.</w:t>
      </w:r>
      <w:r w:rsidRPr="00E1128B">
        <w:rPr>
          <w:sz w:val="20"/>
          <w:szCs w:val="20"/>
          <w:lang w:val="es-UY"/>
        </w:rPr>
        <w:t xml:space="preserve"> No obstante, no se adoptaron medidas especiales para asegurar la protección de T</w:t>
      </w:r>
      <w:r>
        <w:rPr>
          <w:sz w:val="20"/>
          <w:szCs w:val="20"/>
          <w:lang w:val="es-UY"/>
        </w:rPr>
        <w:t xml:space="preserve">.L. cuando aquel visitaba a su madre y padrastro. </w:t>
      </w:r>
      <w:r w:rsidRPr="00657E9D">
        <w:rPr>
          <w:sz w:val="20"/>
          <w:szCs w:val="20"/>
          <w:lang w:val="es-UY"/>
        </w:rPr>
        <w:t>Finalmente, la peticionaria alega que la madrastra tiene un extens</w:t>
      </w:r>
      <w:r>
        <w:rPr>
          <w:sz w:val="20"/>
          <w:szCs w:val="20"/>
          <w:lang w:val="es-UY"/>
        </w:rPr>
        <w:t>o</w:t>
      </w:r>
      <w:r w:rsidRPr="00657E9D">
        <w:rPr>
          <w:sz w:val="20"/>
          <w:szCs w:val="20"/>
          <w:lang w:val="es-UY"/>
        </w:rPr>
        <w:t xml:space="preserve"> historia</w:t>
      </w:r>
      <w:r>
        <w:rPr>
          <w:sz w:val="20"/>
          <w:szCs w:val="20"/>
          <w:lang w:val="es-UY"/>
        </w:rPr>
        <w:t>l</w:t>
      </w:r>
      <w:r w:rsidRPr="00657E9D">
        <w:rPr>
          <w:sz w:val="20"/>
          <w:szCs w:val="20"/>
          <w:lang w:val="es-UY"/>
        </w:rPr>
        <w:t xml:space="preserve"> de violencia doméstica contra su ex-cónyuge e hijos y que ha sometido a </w:t>
      </w:r>
      <w:r w:rsidRPr="00657E9D">
        <w:rPr>
          <w:rFonts w:asciiTheme="majorHAnsi" w:hAnsiTheme="majorHAnsi"/>
          <w:sz w:val="20"/>
          <w:szCs w:val="20"/>
          <w:lang w:val="es-UY"/>
        </w:rPr>
        <w:t>T.L.</w:t>
      </w:r>
      <w:r w:rsidRPr="00657E9D">
        <w:rPr>
          <w:sz w:val="20"/>
          <w:szCs w:val="20"/>
          <w:lang w:val="es-UY"/>
        </w:rPr>
        <w:t xml:space="preserve"> a</w:t>
      </w:r>
      <w:r>
        <w:rPr>
          <w:sz w:val="20"/>
          <w:szCs w:val="20"/>
          <w:lang w:val="es-UY"/>
        </w:rPr>
        <w:t xml:space="preserve"> abusos físicos, psicológicos y emocionales por razones de raza, mientras</w:t>
      </w:r>
      <w:r w:rsidRPr="00657E9D">
        <w:rPr>
          <w:sz w:val="20"/>
          <w:szCs w:val="20"/>
          <w:lang w:val="es-UY"/>
        </w:rPr>
        <w:t xml:space="preserve"> </w:t>
      </w:r>
      <w:r w:rsidRPr="00657E9D">
        <w:rPr>
          <w:rFonts w:asciiTheme="majorHAnsi" w:hAnsiTheme="majorHAnsi"/>
          <w:sz w:val="20"/>
          <w:szCs w:val="20"/>
          <w:lang w:val="es-UY"/>
        </w:rPr>
        <w:t>T.L.</w:t>
      </w:r>
      <w:r w:rsidRPr="00657E9D">
        <w:rPr>
          <w:sz w:val="20"/>
          <w:szCs w:val="20"/>
          <w:lang w:val="es-UY"/>
        </w:rPr>
        <w:t xml:space="preserve"> </w:t>
      </w:r>
      <w:r>
        <w:rPr>
          <w:sz w:val="20"/>
          <w:szCs w:val="20"/>
          <w:lang w:val="es-UY"/>
        </w:rPr>
        <w:t>se encontraba bajo la custodia de su padre</w:t>
      </w:r>
      <w:r w:rsidRPr="00657E9D">
        <w:rPr>
          <w:sz w:val="20"/>
          <w:szCs w:val="20"/>
          <w:lang w:val="es-UY"/>
        </w:rPr>
        <w:t xml:space="preserve">. </w:t>
      </w:r>
      <w:r w:rsidRPr="00B82AAC">
        <w:rPr>
          <w:sz w:val="20"/>
          <w:szCs w:val="20"/>
          <w:lang w:val="es-UY"/>
        </w:rPr>
        <w:t xml:space="preserve">La peticionaria indica que el 3 de enero de 2014, el padre de </w:t>
      </w:r>
      <w:r w:rsidRPr="00B82AAC">
        <w:rPr>
          <w:rFonts w:asciiTheme="majorHAnsi" w:hAnsiTheme="majorHAnsi"/>
          <w:sz w:val="20"/>
          <w:szCs w:val="20"/>
          <w:lang w:val="es-UY"/>
        </w:rPr>
        <w:t>T.L. presentó u</w:t>
      </w:r>
      <w:r>
        <w:rPr>
          <w:rFonts w:asciiTheme="majorHAnsi" w:hAnsiTheme="majorHAnsi"/>
          <w:sz w:val="20"/>
          <w:szCs w:val="20"/>
          <w:lang w:val="es-UY"/>
        </w:rPr>
        <w:t>na</w:t>
      </w:r>
      <w:r w:rsidRPr="00B82AAC">
        <w:rPr>
          <w:rFonts w:asciiTheme="majorHAnsi" w:hAnsiTheme="majorHAnsi"/>
          <w:sz w:val="20"/>
          <w:szCs w:val="20"/>
          <w:lang w:val="es-UY"/>
        </w:rPr>
        <w:t xml:space="preserve"> demanda de divorci</w:t>
      </w:r>
      <w:r>
        <w:rPr>
          <w:rFonts w:asciiTheme="majorHAnsi" w:hAnsiTheme="majorHAnsi"/>
          <w:sz w:val="20"/>
          <w:szCs w:val="20"/>
          <w:lang w:val="es-UY"/>
        </w:rPr>
        <w:t>o</w:t>
      </w:r>
      <w:r w:rsidRPr="00B82AAC">
        <w:rPr>
          <w:rFonts w:asciiTheme="majorHAnsi" w:hAnsiTheme="majorHAnsi"/>
          <w:sz w:val="20"/>
          <w:szCs w:val="20"/>
          <w:lang w:val="es-UY"/>
        </w:rPr>
        <w:t xml:space="preserve"> y solicitó una orden de protección </w:t>
      </w:r>
      <w:r>
        <w:rPr>
          <w:rFonts w:asciiTheme="majorHAnsi" w:hAnsiTheme="majorHAnsi"/>
          <w:sz w:val="20"/>
          <w:szCs w:val="20"/>
          <w:lang w:val="es-UY"/>
        </w:rPr>
        <w:t xml:space="preserve">por “razones de salud y seguridad”, pidiendo que se le prohibiera a su cónyuge tener contacto alguno con T.L.  </w:t>
      </w:r>
      <w:r w:rsidRPr="00B82AAC">
        <w:rPr>
          <w:sz w:val="20"/>
          <w:szCs w:val="20"/>
          <w:lang w:val="es-UY"/>
        </w:rPr>
        <w:t xml:space="preserve">  </w:t>
      </w:r>
    </w:p>
    <w:p w14:paraId="7C019378" w14:textId="77777777" w:rsidR="00752CB7" w:rsidRPr="00D16ED0" w:rsidRDefault="00752CB7" w:rsidP="00752CB7">
      <w:pPr>
        <w:pStyle w:val="ListParagraph"/>
        <w:numPr>
          <w:ilvl w:val="0"/>
          <w:numId w:val="103"/>
        </w:numPr>
        <w:spacing w:after="240"/>
        <w:jc w:val="both"/>
        <w:rPr>
          <w:sz w:val="20"/>
          <w:szCs w:val="20"/>
          <w:lang w:val="es-UY"/>
        </w:rPr>
      </w:pPr>
      <w:r>
        <w:rPr>
          <w:sz w:val="20"/>
          <w:szCs w:val="20"/>
          <w:lang w:val="es-UY"/>
        </w:rPr>
        <w:t>El</w:t>
      </w:r>
      <w:r w:rsidRPr="00473882">
        <w:rPr>
          <w:sz w:val="20"/>
          <w:szCs w:val="20"/>
          <w:lang w:val="es-UY"/>
        </w:rPr>
        <w:t xml:space="preserve"> principal</w:t>
      </w:r>
      <w:r>
        <w:rPr>
          <w:sz w:val="20"/>
          <w:szCs w:val="20"/>
          <w:lang w:val="es-UY"/>
        </w:rPr>
        <w:t xml:space="preserve"> reclamo presentado</w:t>
      </w:r>
      <w:r w:rsidRPr="00473882">
        <w:rPr>
          <w:sz w:val="20"/>
          <w:szCs w:val="20"/>
          <w:lang w:val="es-UY"/>
        </w:rPr>
        <w:t xml:space="preserve"> por la peticionaria </w:t>
      </w:r>
      <w:r>
        <w:rPr>
          <w:sz w:val="20"/>
          <w:szCs w:val="20"/>
          <w:lang w:val="es-UY"/>
        </w:rPr>
        <w:t xml:space="preserve">es que </w:t>
      </w:r>
      <w:r w:rsidRPr="00473882">
        <w:rPr>
          <w:sz w:val="20"/>
          <w:szCs w:val="20"/>
          <w:lang w:val="es-UY"/>
        </w:rPr>
        <w:t xml:space="preserve">el Condado </w:t>
      </w:r>
      <w:r>
        <w:rPr>
          <w:sz w:val="20"/>
          <w:szCs w:val="20"/>
          <w:lang w:val="es-UY"/>
        </w:rPr>
        <w:t xml:space="preserve">de </w:t>
      </w:r>
      <w:r w:rsidRPr="00473882">
        <w:rPr>
          <w:sz w:val="20"/>
          <w:szCs w:val="20"/>
          <w:lang w:val="es-UY"/>
        </w:rPr>
        <w:t>Prince William y el Departamento de Servi</w:t>
      </w:r>
      <w:r>
        <w:rPr>
          <w:sz w:val="20"/>
          <w:szCs w:val="20"/>
          <w:lang w:val="es-UY"/>
        </w:rPr>
        <w:t>c</w:t>
      </w:r>
      <w:r w:rsidRPr="00473882">
        <w:rPr>
          <w:sz w:val="20"/>
          <w:szCs w:val="20"/>
          <w:lang w:val="es-UY"/>
        </w:rPr>
        <w:t>ios Sociales no investiga</w:t>
      </w:r>
      <w:r>
        <w:rPr>
          <w:sz w:val="20"/>
          <w:szCs w:val="20"/>
          <w:lang w:val="es-UY"/>
        </w:rPr>
        <w:t>ron</w:t>
      </w:r>
      <w:r w:rsidRPr="00473882">
        <w:rPr>
          <w:sz w:val="20"/>
          <w:szCs w:val="20"/>
          <w:lang w:val="es-UY"/>
        </w:rPr>
        <w:t xml:space="preserve"> </w:t>
      </w:r>
      <w:r>
        <w:rPr>
          <w:sz w:val="20"/>
          <w:szCs w:val="20"/>
          <w:lang w:val="es-UY"/>
        </w:rPr>
        <w:t xml:space="preserve">las numerosas denuncias de abuso sexual contra </w:t>
      </w:r>
      <w:r w:rsidRPr="00473882">
        <w:rPr>
          <w:rFonts w:asciiTheme="majorHAnsi" w:hAnsiTheme="majorHAnsi"/>
          <w:sz w:val="20"/>
          <w:szCs w:val="20"/>
          <w:lang w:val="es-UY"/>
        </w:rPr>
        <w:t>T.L.</w:t>
      </w:r>
      <w:r w:rsidRPr="00473882">
        <w:rPr>
          <w:sz w:val="20"/>
          <w:szCs w:val="20"/>
          <w:lang w:val="es-UY"/>
        </w:rPr>
        <w:t xml:space="preserve"> </w:t>
      </w:r>
      <w:r>
        <w:rPr>
          <w:sz w:val="20"/>
          <w:szCs w:val="20"/>
          <w:lang w:val="es-UY"/>
        </w:rPr>
        <w:t xml:space="preserve">presentadas entre 2000 y 2007. Considera que estas autoridades “basaron su decisión de no investigar las denuncias de abuso sexual debido a la raza de T.L., que es afroamericana, y porque su padre es blanco caucásico”. </w:t>
      </w:r>
      <w:r w:rsidRPr="00445127">
        <w:rPr>
          <w:sz w:val="20"/>
          <w:szCs w:val="20"/>
          <w:lang w:val="es-UY"/>
        </w:rPr>
        <w:t>En 2005, la peticionaria presentó una denuncia por conducta impropia de un policía a</w:t>
      </w:r>
      <w:r>
        <w:rPr>
          <w:sz w:val="20"/>
          <w:szCs w:val="20"/>
          <w:lang w:val="es-UY"/>
        </w:rPr>
        <w:t>nte</w:t>
      </w:r>
      <w:r w:rsidRPr="00445127">
        <w:rPr>
          <w:sz w:val="20"/>
          <w:szCs w:val="20"/>
          <w:lang w:val="es-UY"/>
        </w:rPr>
        <w:t xml:space="preserve"> la Oficina de Asuntos Internos de la Policía solicitando </w:t>
      </w:r>
      <w:r>
        <w:rPr>
          <w:sz w:val="20"/>
          <w:szCs w:val="20"/>
          <w:lang w:val="es-UY"/>
        </w:rPr>
        <w:t xml:space="preserve">una investigación por una supuesta falta cometida por un Detective de la Policía del Condado </w:t>
      </w:r>
      <w:r w:rsidRPr="00445127">
        <w:rPr>
          <w:sz w:val="20"/>
          <w:szCs w:val="20"/>
          <w:lang w:val="es-UY"/>
        </w:rPr>
        <w:t xml:space="preserve">Prince William. </w:t>
      </w:r>
      <w:r w:rsidRPr="00263B0C">
        <w:rPr>
          <w:sz w:val="20"/>
          <w:szCs w:val="20"/>
          <w:lang w:val="es-UY"/>
        </w:rPr>
        <w:t xml:space="preserve">La peticionaria señala que </w:t>
      </w:r>
      <w:r>
        <w:rPr>
          <w:sz w:val="20"/>
          <w:szCs w:val="20"/>
          <w:lang w:val="es-UY"/>
        </w:rPr>
        <w:t>más tarde el mismo año re</w:t>
      </w:r>
      <w:r w:rsidRPr="00263B0C">
        <w:rPr>
          <w:sz w:val="20"/>
          <w:szCs w:val="20"/>
          <w:lang w:val="es-UY"/>
        </w:rPr>
        <w:t xml:space="preserve">cibió una carta informando que el Detective “no violó ninguna ley, pero sin </w:t>
      </w:r>
      <w:r>
        <w:rPr>
          <w:sz w:val="20"/>
          <w:szCs w:val="20"/>
          <w:lang w:val="es-UY"/>
        </w:rPr>
        <w:t xml:space="preserve">indicar que se había realizado una investigación.” </w:t>
      </w:r>
      <w:r w:rsidRPr="00A2283F">
        <w:rPr>
          <w:sz w:val="20"/>
          <w:szCs w:val="20"/>
          <w:lang w:val="es-UY"/>
        </w:rPr>
        <w:t xml:space="preserve">En 2008 </w:t>
      </w:r>
      <w:r>
        <w:rPr>
          <w:sz w:val="20"/>
          <w:szCs w:val="20"/>
          <w:lang w:val="es-UY"/>
        </w:rPr>
        <w:t xml:space="preserve">la peticionaria </w:t>
      </w:r>
      <w:r w:rsidRPr="00A2283F">
        <w:rPr>
          <w:sz w:val="20"/>
          <w:szCs w:val="20"/>
          <w:lang w:val="es-UY"/>
        </w:rPr>
        <w:t>presentó una petición a</w:t>
      </w:r>
      <w:r>
        <w:rPr>
          <w:sz w:val="20"/>
          <w:szCs w:val="20"/>
          <w:lang w:val="es-UY"/>
        </w:rPr>
        <w:t>nte</w:t>
      </w:r>
      <w:r w:rsidRPr="00A2283F">
        <w:rPr>
          <w:sz w:val="20"/>
          <w:szCs w:val="20"/>
          <w:lang w:val="es-UY"/>
        </w:rPr>
        <w:t xml:space="preserve"> la Oficina Federal de Investigación (FBI) </w:t>
      </w:r>
      <w:r>
        <w:rPr>
          <w:sz w:val="20"/>
          <w:szCs w:val="20"/>
          <w:lang w:val="es-UY"/>
        </w:rPr>
        <w:t>alegando</w:t>
      </w:r>
      <w:r w:rsidRPr="00A2283F">
        <w:rPr>
          <w:sz w:val="20"/>
          <w:szCs w:val="20"/>
          <w:lang w:val="es-UY"/>
        </w:rPr>
        <w:t xml:space="preserve"> corrupc</w:t>
      </w:r>
      <w:r>
        <w:rPr>
          <w:sz w:val="20"/>
          <w:szCs w:val="20"/>
          <w:lang w:val="es-UY"/>
        </w:rPr>
        <w:t>ión policial en el caso de T.L., pero el resultado fue no intervención</w:t>
      </w:r>
      <w:r w:rsidRPr="00A2283F">
        <w:rPr>
          <w:sz w:val="20"/>
          <w:szCs w:val="20"/>
          <w:lang w:val="es-UY"/>
        </w:rPr>
        <w:t xml:space="preserve">. </w:t>
      </w:r>
      <w:r w:rsidRPr="004136EE">
        <w:rPr>
          <w:sz w:val="20"/>
          <w:szCs w:val="20"/>
          <w:lang w:val="es-UY"/>
        </w:rPr>
        <w:t xml:space="preserve">En 2009 presentó una petición de </w:t>
      </w:r>
      <w:r>
        <w:rPr>
          <w:sz w:val="20"/>
          <w:szCs w:val="20"/>
          <w:lang w:val="es-UY"/>
        </w:rPr>
        <w:t>asistencia</w:t>
      </w:r>
      <w:r w:rsidRPr="004136EE">
        <w:rPr>
          <w:sz w:val="20"/>
          <w:szCs w:val="20"/>
          <w:lang w:val="es-UY"/>
        </w:rPr>
        <w:t xml:space="preserve"> a</w:t>
      </w:r>
      <w:r>
        <w:rPr>
          <w:sz w:val="20"/>
          <w:szCs w:val="20"/>
          <w:lang w:val="es-UY"/>
        </w:rPr>
        <w:t>nte e</w:t>
      </w:r>
      <w:r w:rsidRPr="004136EE">
        <w:rPr>
          <w:sz w:val="20"/>
          <w:szCs w:val="20"/>
          <w:lang w:val="es-UY"/>
        </w:rPr>
        <w:t xml:space="preserve">l Departamento de </w:t>
      </w:r>
      <w:r>
        <w:rPr>
          <w:sz w:val="20"/>
          <w:szCs w:val="20"/>
          <w:lang w:val="es-UY"/>
        </w:rPr>
        <w:t>J</w:t>
      </w:r>
      <w:r w:rsidRPr="004136EE">
        <w:rPr>
          <w:sz w:val="20"/>
          <w:szCs w:val="20"/>
          <w:lang w:val="es-UY"/>
        </w:rPr>
        <w:t>usticia pero se le</w:t>
      </w:r>
      <w:r>
        <w:rPr>
          <w:sz w:val="20"/>
          <w:szCs w:val="20"/>
          <w:lang w:val="es-UY"/>
        </w:rPr>
        <w:t xml:space="preserve"> habría</w:t>
      </w:r>
      <w:r w:rsidRPr="004136EE">
        <w:rPr>
          <w:sz w:val="20"/>
          <w:szCs w:val="20"/>
          <w:lang w:val="es-UY"/>
        </w:rPr>
        <w:t xml:space="preserve"> inform</w:t>
      </w:r>
      <w:r>
        <w:rPr>
          <w:sz w:val="20"/>
          <w:szCs w:val="20"/>
          <w:lang w:val="es-UY"/>
        </w:rPr>
        <w:t>ado</w:t>
      </w:r>
      <w:r w:rsidRPr="004136EE">
        <w:rPr>
          <w:sz w:val="20"/>
          <w:szCs w:val="20"/>
          <w:lang w:val="es-UY"/>
        </w:rPr>
        <w:t xml:space="preserve"> que el De</w:t>
      </w:r>
      <w:r>
        <w:rPr>
          <w:sz w:val="20"/>
          <w:szCs w:val="20"/>
          <w:lang w:val="es-UY"/>
        </w:rPr>
        <w:t>partamento no intervendría</w:t>
      </w:r>
      <w:r w:rsidRPr="004136EE">
        <w:rPr>
          <w:sz w:val="20"/>
          <w:szCs w:val="20"/>
          <w:lang w:val="es-UY"/>
        </w:rPr>
        <w:t>. En 2011, solic</w:t>
      </w:r>
      <w:r>
        <w:rPr>
          <w:sz w:val="20"/>
          <w:szCs w:val="20"/>
          <w:lang w:val="es-UY"/>
        </w:rPr>
        <w:t>i</w:t>
      </w:r>
      <w:r w:rsidRPr="004136EE">
        <w:rPr>
          <w:sz w:val="20"/>
          <w:szCs w:val="20"/>
          <w:lang w:val="es-UY"/>
        </w:rPr>
        <w:t>tó ayuda al Procurador General pero se le inform</w:t>
      </w:r>
      <w:r>
        <w:rPr>
          <w:sz w:val="20"/>
          <w:szCs w:val="20"/>
          <w:lang w:val="es-UY"/>
        </w:rPr>
        <w:t xml:space="preserve">ó </w:t>
      </w:r>
      <w:r w:rsidRPr="004136EE">
        <w:rPr>
          <w:sz w:val="20"/>
          <w:szCs w:val="20"/>
          <w:lang w:val="es-UY"/>
        </w:rPr>
        <w:t>que no recibiría más ayuda sobre este asun</w:t>
      </w:r>
      <w:r>
        <w:rPr>
          <w:sz w:val="20"/>
          <w:szCs w:val="20"/>
          <w:lang w:val="es-UY"/>
        </w:rPr>
        <w:t>to</w:t>
      </w:r>
      <w:r w:rsidRPr="004136EE">
        <w:rPr>
          <w:sz w:val="20"/>
          <w:szCs w:val="20"/>
          <w:lang w:val="es-UY"/>
        </w:rPr>
        <w:t xml:space="preserve">. </w:t>
      </w:r>
      <w:r w:rsidRPr="00D16ED0">
        <w:rPr>
          <w:sz w:val="20"/>
          <w:szCs w:val="20"/>
          <w:lang w:val="es-UY"/>
        </w:rPr>
        <w:t xml:space="preserve">La peticionaria también presentó una </w:t>
      </w:r>
      <w:r>
        <w:rPr>
          <w:sz w:val="20"/>
          <w:szCs w:val="20"/>
          <w:lang w:val="es-UY"/>
        </w:rPr>
        <w:t>denuncia</w:t>
      </w:r>
      <w:r w:rsidRPr="00D16ED0">
        <w:rPr>
          <w:sz w:val="20"/>
          <w:szCs w:val="20"/>
          <w:lang w:val="es-UY"/>
        </w:rPr>
        <w:t xml:space="preserve"> el 7 de junio de 2007an</w:t>
      </w:r>
      <w:r>
        <w:rPr>
          <w:sz w:val="20"/>
          <w:szCs w:val="20"/>
          <w:lang w:val="es-UY"/>
        </w:rPr>
        <w:t>t</w:t>
      </w:r>
      <w:r w:rsidRPr="00D16ED0">
        <w:rPr>
          <w:sz w:val="20"/>
          <w:szCs w:val="20"/>
          <w:lang w:val="es-UY"/>
        </w:rPr>
        <w:t>e la Comisión Judicial de Investigación co</w:t>
      </w:r>
      <w:r>
        <w:rPr>
          <w:sz w:val="20"/>
          <w:szCs w:val="20"/>
          <w:lang w:val="es-UY"/>
        </w:rPr>
        <w:t>ntra el juez a cargo de los procesos de custodia de T.L., alegando la existencia de mala conducta judicial</w:t>
      </w:r>
      <w:r w:rsidRPr="00D16ED0">
        <w:rPr>
          <w:sz w:val="20"/>
          <w:szCs w:val="20"/>
          <w:lang w:val="es-UY"/>
        </w:rPr>
        <w:t xml:space="preserve">. </w:t>
      </w:r>
    </w:p>
    <w:p w14:paraId="63834BF1" w14:textId="77777777" w:rsidR="00752CB7" w:rsidRPr="005F5D18" w:rsidRDefault="00752CB7" w:rsidP="00752CB7">
      <w:pPr>
        <w:pStyle w:val="ListParagraph"/>
        <w:numPr>
          <w:ilvl w:val="0"/>
          <w:numId w:val="103"/>
        </w:numPr>
        <w:spacing w:after="240"/>
        <w:jc w:val="both"/>
        <w:rPr>
          <w:sz w:val="20"/>
          <w:szCs w:val="20"/>
          <w:lang w:val="es-UY"/>
        </w:rPr>
      </w:pPr>
      <w:r w:rsidRPr="00AC3BF8">
        <w:rPr>
          <w:sz w:val="20"/>
          <w:szCs w:val="20"/>
          <w:lang w:val="es-UY"/>
        </w:rPr>
        <w:t>Finalmente, la peticionaria alega que los oficiales de policía del Condado</w:t>
      </w:r>
      <w:r>
        <w:rPr>
          <w:sz w:val="20"/>
          <w:szCs w:val="20"/>
          <w:lang w:val="es-UY"/>
        </w:rPr>
        <w:t xml:space="preserve"> de</w:t>
      </w:r>
      <w:r w:rsidRPr="00AC3BF8">
        <w:rPr>
          <w:sz w:val="20"/>
          <w:szCs w:val="20"/>
          <w:lang w:val="es-UY"/>
        </w:rPr>
        <w:t xml:space="preserve"> Prince William violaron la Declaración Americana </w:t>
      </w:r>
      <w:r>
        <w:rPr>
          <w:sz w:val="20"/>
          <w:szCs w:val="20"/>
          <w:lang w:val="es-UY"/>
        </w:rPr>
        <w:t xml:space="preserve">al ejercer represalias en su contra debido a su trabajo de concientización respecto de supuestos errores policiales en casos de abusos de niñas y niños afroamericanos. </w:t>
      </w:r>
      <w:r w:rsidRPr="005F5D18">
        <w:rPr>
          <w:sz w:val="20"/>
          <w:szCs w:val="20"/>
          <w:lang w:val="es-UY"/>
        </w:rPr>
        <w:t xml:space="preserve">La peticionaria alega además que la policía, los </w:t>
      </w:r>
      <w:r>
        <w:rPr>
          <w:sz w:val="20"/>
          <w:szCs w:val="20"/>
          <w:lang w:val="es-UY"/>
        </w:rPr>
        <w:t>trabajadores sociales y los jueces estatales de Virginia han contribuido a la situación de actual alegado continuo abuso infantil, denegación de justicia y violación de los derechos de las mujeres, niñas y niños afroamericanos de Virginia.</w:t>
      </w:r>
    </w:p>
    <w:p w14:paraId="3F05453A" w14:textId="77777777" w:rsidR="00752CB7" w:rsidRPr="007379EB" w:rsidRDefault="00752CB7" w:rsidP="00752CB7">
      <w:pPr>
        <w:pStyle w:val="ListParagraph"/>
        <w:numPr>
          <w:ilvl w:val="0"/>
          <w:numId w:val="103"/>
        </w:numPr>
        <w:spacing w:after="240"/>
        <w:jc w:val="both"/>
        <w:rPr>
          <w:sz w:val="20"/>
          <w:szCs w:val="20"/>
          <w:lang w:val="es-UY"/>
        </w:rPr>
      </w:pPr>
      <w:r w:rsidRPr="00F10B1F">
        <w:rPr>
          <w:sz w:val="20"/>
          <w:szCs w:val="20"/>
          <w:lang w:val="es-UY"/>
        </w:rPr>
        <w:t xml:space="preserve">El Estado alega que la petición es inadmisible: </w:t>
      </w:r>
      <w:r w:rsidRPr="004638F5">
        <w:rPr>
          <w:sz w:val="20"/>
          <w:szCs w:val="20"/>
          <w:lang w:val="es-UY"/>
        </w:rPr>
        <w:t xml:space="preserve">a) porque no se agotaron los recursos internos; b) porque no se indican los hechos que tienden a establecer una violación de la Declaración Americana; c) porque es manifiestamente </w:t>
      </w:r>
      <w:r>
        <w:rPr>
          <w:sz w:val="20"/>
          <w:szCs w:val="20"/>
          <w:lang w:val="es-UY"/>
        </w:rPr>
        <w:t>infundada</w:t>
      </w:r>
      <w:r w:rsidRPr="004638F5">
        <w:rPr>
          <w:sz w:val="20"/>
          <w:szCs w:val="20"/>
          <w:lang w:val="es-UY"/>
        </w:rPr>
        <w:t xml:space="preserve">; y d) </w:t>
      </w:r>
      <w:r>
        <w:rPr>
          <w:sz w:val="20"/>
          <w:szCs w:val="20"/>
          <w:lang w:val="es-UY"/>
        </w:rPr>
        <w:t xml:space="preserve">porque </w:t>
      </w:r>
      <w:r w:rsidRPr="004638F5">
        <w:rPr>
          <w:sz w:val="20"/>
          <w:szCs w:val="20"/>
          <w:lang w:val="es-UY"/>
        </w:rPr>
        <w:t xml:space="preserve">información </w:t>
      </w:r>
      <w:r>
        <w:rPr>
          <w:sz w:val="20"/>
          <w:szCs w:val="20"/>
          <w:lang w:val="es-UY"/>
        </w:rPr>
        <w:t>superviniente</w:t>
      </w:r>
      <w:r w:rsidRPr="004638F5">
        <w:rPr>
          <w:sz w:val="20"/>
          <w:szCs w:val="20"/>
          <w:lang w:val="es-UY"/>
        </w:rPr>
        <w:t xml:space="preserve"> hace que la petición sea inadmisible.</w:t>
      </w:r>
      <w:r w:rsidRPr="00F10B1F">
        <w:rPr>
          <w:lang w:val="es-UY"/>
        </w:rPr>
        <w:t xml:space="preserve"> </w:t>
      </w:r>
      <w:r w:rsidRPr="007379EB">
        <w:rPr>
          <w:sz w:val="20"/>
          <w:szCs w:val="20"/>
          <w:lang w:val="es-UY"/>
        </w:rPr>
        <w:t xml:space="preserve">El Estado argumenta que no hay nada que demuestre que la peticionaria haya </w:t>
      </w:r>
      <w:r>
        <w:rPr>
          <w:sz w:val="20"/>
          <w:szCs w:val="20"/>
          <w:lang w:val="es-UY"/>
        </w:rPr>
        <w:lastRenderedPageBreak/>
        <w:t>presentado un recurso</w:t>
      </w:r>
      <w:r w:rsidRPr="007379EB">
        <w:rPr>
          <w:sz w:val="20"/>
          <w:szCs w:val="20"/>
          <w:lang w:val="es-UY"/>
        </w:rPr>
        <w:t xml:space="preserve"> judicial por sus reclamos contra Estados Unidos </w:t>
      </w:r>
      <w:r>
        <w:rPr>
          <w:sz w:val="20"/>
          <w:szCs w:val="20"/>
          <w:lang w:val="es-UY"/>
        </w:rPr>
        <w:t>ni que haya</w:t>
      </w:r>
      <w:r w:rsidRPr="007379EB">
        <w:rPr>
          <w:sz w:val="20"/>
          <w:szCs w:val="20"/>
          <w:lang w:val="es-UY"/>
        </w:rPr>
        <w:t xml:space="preserve"> intentado </w:t>
      </w:r>
      <w:r>
        <w:rPr>
          <w:sz w:val="20"/>
          <w:szCs w:val="20"/>
          <w:lang w:val="es-UY"/>
        </w:rPr>
        <w:t>recurrir</w:t>
      </w:r>
      <w:r w:rsidRPr="007379EB">
        <w:rPr>
          <w:sz w:val="20"/>
          <w:szCs w:val="20"/>
          <w:lang w:val="es-UY"/>
        </w:rPr>
        <w:t xml:space="preserve"> las decision</w:t>
      </w:r>
      <w:r>
        <w:rPr>
          <w:sz w:val="20"/>
          <w:szCs w:val="20"/>
          <w:lang w:val="es-UY"/>
        </w:rPr>
        <w:t>e</w:t>
      </w:r>
      <w:r w:rsidRPr="007379EB">
        <w:rPr>
          <w:sz w:val="20"/>
          <w:szCs w:val="20"/>
          <w:lang w:val="es-UY"/>
        </w:rPr>
        <w:t xml:space="preserve">s </w:t>
      </w:r>
      <w:r>
        <w:rPr>
          <w:sz w:val="20"/>
          <w:szCs w:val="20"/>
          <w:lang w:val="es-UY"/>
        </w:rPr>
        <w:t>de</w:t>
      </w:r>
      <w:r w:rsidRPr="007379EB">
        <w:rPr>
          <w:sz w:val="20"/>
          <w:szCs w:val="20"/>
          <w:lang w:val="es-UY"/>
        </w:rPr>
        <w:t xml:space="preserve"> los tribunales inferior</w:t>
      </w:r>
      <w:r>
        <w:rPr>
          <w:sz w:val="20"/>
          <w:szCs w:val="20"/>
          <w:lang w:val="es-UY"/>
        </w:rPr>
        <w:t>e</w:t>
      </w:r>
      <w:r w:rsidRPr="007379EB">
        <w:rPr>
          <w:sz w:val="20"/>
          <w:szCs w:val="20"/>
          <w:lang w:val="es-UY"/>
        </w:rPr>
        <w:t xml:space="preserve">s al inicio </w:t>
      </w:r>
      <w:r>
        <w:rPr>
          <w:sz w:val="20"/>
          <w:szCs w:val="20"/>
          <w:lang w:val="es-UY"/>
        </w:rPr>
        <w:t>del proceso de</w:t>
      </w:r>
      <w:r w:rsidRPr="007379EB">
        <w:rPr>
          <w:sz w:val="20"/>
          <w:szCs w:val="20"/>
          <w:lang w:val="es-UY"/>
        </w:rPr>
        <w:t xml:space="preserve"> custodia, a pesar de que las decisiones</w:t>
      </w:r>
      <w:r>
        <w:rPr>
          <w:sz w:val="20"/>
          <w:szCs w:val="20"/>
          <w:lang w:val="es-UY"/>
        </w:rPr>
        <w:t xml:space="preserve"> de las Cortes de Circuito -</w:t>
      </w:r>
      <w:r w:rsidRPr="007379EB">
        <w:rPr>
          <w:sz w:val="20"/>
          <w:szCs w:val="20"/>
          <w:lang w:val="es-UY"/>
        </w:rPr>
        <w:t>tales como</w:t>
      </w:r>
      <w:r>
        <w:rPr>
          <w:sz w:val="20"/>
          <w:szCs w:val="20"/>
          <w:lang w:val="es-UY"/>
        </w:rPr>
        <w:t xml:space="preserve"> la Corte de Circuito del Condado Prince William, la cual emitió las órdenes de custodia referidas en la petición- son recurribles ante la Corte de Apelaciones de Virginia.</w:t>
      </w:r>
    </w:p>
    <w:p w14:paraId="483D9265" w14:textId="77777777" w:rsidR="00752CB7" w:rsidRPr="004F77AC" w:rsidRDefault="00752CB7" w:rsidP="00752C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E23D64">
        <w:rPr>
          <w:rFonts w:ascii="Cambria" w:hAnsi="Cambria"/>
          <w:sz w:val="20"/>
          <w:szCs w:val="20"/>
          <w:lang w:val="es-UY"/>
        </w:rPr>
        <w:t xml:space="preserve">Con respecto a los recursos administrativos, el Estado argumenta que la peticionaria </w:t>
      </w:r>
      <w:r>
        <w:rPr>
          <w:rFonts w:ascii="Cambria" w:hAnsi="Cambria"/>
          <w:sz w:val="20"/>
          <w:szCs w:val="20"/>
          <w:lang w:val="es-UY"/>
        </w:rPr>
        <w:t>proporciona</w:t>
      </w:r>
      <w:r w:rsidRPr="00E23D64">
        <w:rPr>
          <w:rFonts w:ascii="Cambria" w:hAnsi="Cambria"/>
          <w:sz w:val="20"/>
          <w:szCs w:val="20"/>
          <w:lang w:val="es-UY"/>
        </w:rPr>
        <w:t xml:space="preserve"> documentación limitada para demostrar </w:t>
      </w:r>
      <w:r>
        <w:rPr>
          <w:rFonts w:ascii="Cambria" w:hAnsi="Cambria"/>
          <w:sz w:val="20"/>
          <w:szCs w:val="20"/>
          <w:lang w:val="es-UY"/>
        </w:rPr>
        <w:t xml:space="preserve">que </w:t>
      </w:r>
      <w:r w:rsidRPr="00E23D64">
        <w:rPr>
          <w:rFonts w:ascii="Cambria" w:hAnsi="Cambria"/>
          <w:sz w:val="20"/>
          <w:szCs w:val="20"/>
          <w:lang w:val="es-UY"/>
        </w:rPr>
        <w:t xml:space="preserve">planteó </w:t>
      </w:r>
      <w:r>
        <w:rPr>
          <w:rFonts w:ascii="Cambria" w:hAnsi="Cambria"/>
          <w:sz w:val="20"/>
          <w:szCs w:val="20"/>
          <w:lang w:val="es-UY"/>
        </w:rPr>
        <w:t>al menos algunos de lo</w:t>
      </w:r>
      <w:r w:rsidRPr="00E23D64">
        <w:rPr>
          <w:rFonts w:ascii="Cambria" w:hAnsi="Cambria"/>
          <w:sz w:val="20"/>
          <w:szCs w:val="20"/>
          <w:lang w:val="es-UY"/>
        </w:rPr>
        <w:t>s alega</w:t>
      </w:r>
      <w:r>
        <w:rPr>
          <w:rFonts w:ascii="Cambria" w:hAnsi="Cambria"/>
          <w:sz w:val="20"/>
          <w:szCs w:val="20"/>
          <w:lang w:val="es-UY"/>
        </w:rPr>
        <w:t>tos</w:t>
      </w:r>
      <w:r w:rsidRPr="00E23D64">
        <w:rPr>
          <w:rFonts w:ascii="Cambria" w:hAnsi="Cambria"/>
          <w:sz w:val="20"/>
          <w:szCs w:val="20"/>
          <w:lang w:val="es-UY"/>
        </w:rPr>
        <w:t xml:space="preserve"> de abuso de </w:t>
      </w:r>
      <w:r w:rsidRPr="00E23D64">
        <w:rPr>
          <w:rFonts w:asciiTheme="majorHAnsi" w:hAnsiTheme="majorHAnsi"/>
          <w:sz w:val="20"/>
          <w:szCs w:val="20"/>
          <w:lang w:val="es-UY"/>
        </w:rPr>
        <w:t>T.L.</w:t>
      </w:r>
      <w:r w:rsidRPr="00E23D64">
        <w:rPr>
          <w:rFonts w:ascii="Cambria" w:hAnsi="Cambria"/>
          <w:sz w:val="20"/>
          <w:szCs w:val="20"/>
          <w:lang w:val="es-UY"/>
        </w:rPr>
        <w:t xml:space="preserve"> </w:t>
      </w:r>
      <w:r>
        <w:rPr>
          <w:rFonts w:ascii="Cambria" w:hAnsi="Cambria"/>
          <w:sz w:val="20"/>
          <w:szCs w:val="20"/>
          <w:lang w:val="es-UY"/>
        </w:rPr>
        <w:t xml:space="preserve">ante las autoridades encargadas de hacer cumplir la ley y que dicha documentación muestra que cada reclamo fue investigado y se determinó que era infundado. </w:t>
      </w:r>
      <w:r w:rsidRPr="00E26C6E">
        <w:rPr>
          <w:rFonts w:ascii="Cambria" w:hAnsi="Cambria"/>
          <w:sz w:val="20"/>
          <w:szCs w:val="20"/>
          <w:lang w:val="es-UY"/>
        </w:rPr>
        <w:t xml:space="preserve">Además, la peticionaria no ofrece explicación o prueba </w:t>
      </w:r>
      <w:r>
        <w:rPr>
          <w:rFonts w:ascii="Cambria" w:hAnsi="Cambria"/>
          <w:sz w:val="20"/>
          <w:szCs w:val="20"/>
          <w:lang w:val="es-UY"/>
        </w:rPr>
        <w:t>alguna sobre si</w:t>
      </w:r>
      <w:r w:rsidRPr="00E26C6E">
        <w:rPr>
          <w:rFonts w:ascii="Cambria" w:hAnsi="Cambria"/>
          <w:sz w:val="20"/>
          <w:szCs w:val="20"/>
          <w:lang w:val="es-UY"/>
        </w:rPr>
        <w:t xml:space="preserve"> intent</w:t>
      </w:r>
      <w:r>
        <w:rPr>
          <w:rFonts w:ascii="Cambria" w:hAnsi="Cambria"/>
          <w:sz w:val="20"/>
          <w:szCs w:val="20"/>
          <w:lang w:val="es-UY"/>
        </w:rPr>
        <w:t>ó</w:t>
      </w:r>
      <w:r w:rsidRPr="00E26C6E">
        <w:rPr>
          <w:rFonts w:ascii="Cambria" w:hAnsi="Cambria"/>
          <w:sz w:val="20"/>
          <w:szCs w:val="20"/>
          <w:lang w:val="es-UY"/>
        </w:rPr>
        <w:t xml:space="preserve"> </w:t>
      </w:r>
      <w:r>
        <w:rPr>
          <w:rFonts w:ascii="Cambria" w:hAnsi="Cambria"/>
          <w:sz w:val="20"/>
          <w:szCs w:val="20"/>
          <w:lang w:val="es-UY"/>
        </w:rPr>
        <w:t>hacer uso de</w:t>
      </w:r>
      <w:r w:rsidRPr="00E26C6E">
        <w:rPr>
          <w:rFonts w:ascii="Cambria" w:hAnsi="Cambria"/>
          <w:sz w:val="20"/>
          <w:szCs w:val="20"/>
          <w:lang w:val="es-UY"/>
        </w:rPr>
        <w:t xml:space="preserve"> las amplias oportunidades que </w:t>
      </w:r>
      <w:r>
        <w:rPr>
          <w:rFonts w:ascii="Cambria" w:hAnsi="Cambria"/>
          <w:sz w:val="20"/>
          <w:szCs w:val="20"/>
          <w:lang w:val="es-UY"/>
        </w:rPr>
        <w:t>otorga</w:t>
      </w:r>
      <w:r w:rsidRPr="00E26C6E">
        <w:rPr>
          <w:rFonts w:ascii="Cambria" w:hAnsi="Cambria"/>
          <w:sz w:val="20"/>
          <w:szCs w:val="20"/>
          <w:lang w:val="es-UY"/>
        </w:rPr>
        <w:t xml:space="preserve"> la ley estatal de presentar una demanda civil por </w:t>
      </w:r>
      <w:r>
        <w:rPr>
          <w:rFonts w:ascii="Cambria" w:hAnsi="Cambria"/>
          <w:sz w:val="20"/>
          <w:szCs w:val="20"/>
          <w:lang w:val="es-UY"/>
        </w:rPr>
        <w:t xml:space="preserve">daños y perjuicios o una denuncia penal contra los actores privados que considera son responsables de los daños sufridos por ella y sus hijas. </w:t>
      </w:r>
      <w:r w:rsidRPr="00E26C6E">
        <w:rPr>
          <w:rFonts w:ascii="Cambria" w:hAnsi="Cambria"/>
          <w:sz w:val="20"/>
          <w:szCs w:val="20"/>
          <w:lang w:val="es-UY"/>
        </w:rPr>
        <w:t xml:space="preserve"> </w:t>
      </w:r>
      <w:r w:rsidRPr="00B12185">
        <w:rPr>
          <w:rFonts w:ascii="Cambria" w:hAnsi="Cambria"/>
          <w:sz w:val="20"/>
          <w:szCs w:val="20"/>
          <w:lang w:val="es-UY"/>
        </w:rPr>
        <w:t>A</w:t>
      </w:r>
      <w:r>
        <w:rPr>
          <w:rFonts w:ascii="Cambria" w:hAnsi="Cambria"/>
          <w:sz w:val="20"/>
          <w:szCs w:val="20"/>
          <w:lang w:val="es-UY"/>
        </w:rPr>
        <w:t>lega</w:t>
      </w:r>
      <w:r w:rsidRPr="00B12185">
        <w:rPr>
          <w:rFonts w:ascii="Cambria" w:hAnsi="Cambria"/>
          <w:sz w:val="20"/>
          <w:szCs w:val="20"/>
          <w:lang w:val="es-UY"/>
        </w:rPr>
        <w:t xml:space="preserve"> que tanto la ley como las circunstancias</w:t>
      </w:r>
      <w:r>
        <w:rPr>
          <w:rFonts w:ascii="Cambria" w:hAnsi="Cambria"/>
          <w:sz w:val="20"/>
          <w:szCs w:val="20"/>
          <w:lang w:val="es-UY"/>
        </w:rPr>
        <w:t xml:space="preserve">, </w:t>
      </w:r>
      <w:r w:rsidRPr="00B12185">
        <w:rPr>
          <w:rFonts w:ascii="Cambria" w:hAnsi="Cambria"/>
          <w:sz w:val="20"/>
          <w:szCs w:val="20"/>
          <w:lang w:val="es-UY"/>
        </w:rPr>
        <w:t>permiten a la peticionaria agotar los recursos internos, a pesar de su supuesta indigencia</w:t>
      </w:r>
      <w:r>
        <w:rPr>
          <w:rFonts w:ascii="Cambria" w:hAnsi="Cambria"/>
          <w:sz w:val="20"/>
          <w:szCs w:val="20"/>
          <w:lang w:val="es-UY"/>
        </w:rPr>
        <w:t xml:space="preserve">, por lo que </w:t>
      </w:r>
      <w:r w:rsidRPr="00B12185">
        <w:rPr>
          <w:rFonts w:ascii="Cambria" w:hAnsi="Cambria"/>
          <w:sz w:val="20"/>
          <w:szCs w:val="20"/>
          <w:lang w:val="es-UY"/>
        </w:rPr>
        <w:t>las excepciones de agotamiento de recur</w:t>
      </w:r>
      <w:r>
        <w:rPr>
          <w:rFonts w:ascii="Cambria" w:hAnsi="Cambria"/>
          <w:sz w:val="20"/>
          <w:szCs w:val="20"/>
          <w:lang w:val="es-UY"/>
        </w:rPr>
        <w:t>s</w:t>
      </w:r>
      <w:r w:rsidRPr="00B12185">
        <w:rPr>
          <w:rFonts w:ascii="Cambria" w:hAnsi="Cambria"/>
          <w:sz w:val="20"/>
          <w:szCs w:val="20"/>
          <w:lang w:val="es-UY"/>
        </w:rPr>
        <w:t xml:space="preserve">os </w:t>
      </w:r>
      <w:r>
        <w:rPr>
          <w:rFonts w:ascii="Cambria" w:hAnsi="Cambria"/>
          <w:sz w:val="20"/>
          <w:szCs w:val="20"/>
          <w:lang w:val="es-UY"/>
        </w:rPr>
        <w:t>no se cumplen</w:t>
      </w:r>
      <w:r w:rsidRPr="004F77AC">
        <w:rPr>
          <w:rFonts w:ascii="Cambria" w:hAnsi="Cambria"/>
          <w:sz w:val="20"/>
          <w:szCs w:val="20"/>
          <w:lang w:val="es-UY"/>
        </w:rPr>
        <w:t>.</w:t>
      </w:r>
    </w:p>
    <w:p w14:paraId="7D25FBBD" w14:textId="77777777" w:rsidR="00752CB7" w:rsidRPr="004F77AC" w:rsidRDefault="00752CB7" w:rsidP="00752C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4F77AC">
        <w:rPr>
          <w:rFonts w:ascii="Cambria" w:hAnsi="Cambria"/>
          <w:sz w:val="20"/>
          <w:szCs w:val="20"/>
          <w:lang w:val="es-UY"/>
        </w:rPr>
        <w:t xml:space="preserve">El Estado alega que la petición tampoco presenta </w:t>
      </w:r>
      <w:r>
        <w:rPr>
          <w:rFonts w:ascii="Cambria" w:hAnsi="Cambria"/>
          <w:sz w:val="20"/>
          <w:szCs w:val="20"/>
          <w:lang w:val="es-UY"/>
        </w:rPr>
        <w:t>hechos que tienda</w:t>
      </w:r>
      <w:r w:rsidRPr="004F77AC">
        <w:rPr>
          <w:rFonts w:ascii="Cambria" w:hAnsi="Cambria"/>
          <w:sz w:val="20"/>
          <w:szCs w:val="20"/>
          <w:lang w:val="es-UY"/>
        </w:rPr>
        <w:t>n a establecer una violaci</w:t>
      </w:r>
      <w:r>
        <w:rPr>
          <w:rFonts w:ascii="Cambria" w:hAnsi="Cambria"/>
          <w:sz w:val="20"/>
          <w:szCs w:val="20"/>
          <w:lang w:val="es-UY"/>
        </w:rPr>
        <w:t>ó</w:t>
      </w:r>
      <w:r w:rsidRPr="004F77AC">
        <w:rPr>
          <w:rFonts w:ascii="Cambria" w:hAnsi="Cambria"/>
          <w:sz w:val="20"/>
          <w:szCs w:val="20"/>
          <w:lang w:val="es-UY"/>
        </w:rPr>
        <w:t>n de los derechos consagrados en la Declaración Americana y</w:t>
      </w:r>
      <w:r>
        <w:rPr>
          <w:rFonts w:ascii="Cambria" w:hAnsi="Cambria"/>
          <w:sz w:val="20"/>
          <w:szCs w:val="20"/>
          <w:lang w:val="es-UY"/>
        </w:rPr>
        <w:t>,</w:t>
      </w:r>
      <w:r w:rsidRPr="004F77AC">
        <w:rPr>
          <w:rFonts w:ascii="Cambria" w:hAnsi="Cambria"/>
          <w:sz w:val="20"/>
          <w:szCs w:val="20"/>
          <w:lang w:val="es-UY"/>
        </w:rPr>
        <w:t xml:space="preserve"> por lo </w:t>
      </w:r>
      <w:r>
        <w:rPr>
          <w:rFonts w:ascii="Cambria" w:hAnsi="Cambria"/>
          <w:sz w:val="20"/>
          <w:szCs w:val="20"/>
          <w:lang w:val="es-UY"/>
        </w:rPr>
        <w:t>tanto, no se puede considerar que Estados Unidos haya incumplido un compromiso contenido en la Declaración basado en la conducta de personas particulares que actúan sin complicidad o participación del gobierno</w:t>
      </w:r>
      <w:r w:rsidRPr="004F77AC">
        <w:rPr>
          <w:rFonts w:ascii="Cambria" w:hAnsi="Cambria"/>
          <w:sz w:val="20"/>
          <w:szCs w:val="20"/>
          <w:lang w:val="es-UY"/>
        </w:rPr>
        <w:t>.</w:t>
      </w:r>
    </w:p>
    <w:p w14:paraId="353773B4" w14:textId="77777777" w:rsidR="00752CB7" w:rsidRPr="00E77D3E" w:rsidRDefault="00752CB7" w:rsidP="00752C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542E5D">
        <w:rPr>
          <w:rFonts w:ascii="Cambria" w:hAnsi="Cambria"/>
          <w:sz w:val="20"/>
          <w:szCs w:val="20"/>
          <w:lang w:val="es-UY"/>
        </w:rPr>
        <w:t xml:space="preserve">El Estado destaca que </w:t>
      </w:r>
      <w:r w:rsidRPr="00542E5D">
        <w:rPr>
          <w:rFonts w:asciiTheme="majorHAnsi" w:hAnsiTheme="majorHAnsi"/>
          <w:sz w:val="20"/>
          <w:szCs w:val="20"/>
          <w:lang w:val="es-UY"/>
        </w:rPr>
        <w:t>T.L.</w:t>
      </w:r>
      <w:r w:rsidRPr="00542E5D">
        <w:rPr>
          <w:rFonts w:ascii="Cambria" w:hAnsi="Cambria"/>
          <w:sz w:val="20"/>
          <w:szCs w:val="20"/>
          <w:lang w:val="es-UY"/>
        </w:rPr>
        <w:t xml:space="preserve"> y su otra hija son </w:t>
      </w:r>
      <w:r>
        <w:rPr>
          <w:rFonts w:ascii="Cambria" w:hAnsi="Cambria"/>
          <w:sz w:val="20"/>
          <w:szCs w:val="20"/>
          <w:lang w:val="es-UY"/>
        </w:rPr>
        <w:t xml:space="preserve">actualmente </w:t>
      </w:r>
      <w:r w:rsidRPr="00542E5D">
        <w:rPr>
          <w:rFonts w:ascii="Cambria" w:hAnsi="Cambria"/>
          <w:sz w:val="20"/>
          <w:szCs w:val="20"/>
          <w:lang w:val="es-UY"/>
        </w:rPr>
        <w:t>mayores de 18 años</w:t>
      </w:r>
      <w:r>
        <w:rPr>
          <w:rFonts w:ascii="Cambria" w:hAnsi="Cambria"/>
          <w:sz w:val="20"/>
          <w:szCs w:val="20"/>
          <w:lang w:val="es-UY"/>
        </w:rPr>
        <w:t>, por lo que</w:t>
      </w:r>
      <w:r w:rsidRPr="00542E5D">
        <w:rPr>
          <w:rFonts w:ascii="Cambria" w:hAnsi="Cambria"/>
          <w:sz w:val="20"/>
          <w:szCs w:val="20"/>
          <w:lang w:val="es-UY"/>
        </w:rPr>
        <w:t xml:space="preserve"> se presume que son personas adultas emanci</w:t>
      </w:r>
      <w:r>
        <w:rPr>
          <w:rFonts w:ascii="Cambria" w:hAnsi="Cambria"/>
          <w:sz w:val="20"/>
          <w:szCs w:val="20"/>
          <w:lang w:val="es-UY"/>
        </w:rPr>
        <w:t>p</w:t>
      </w:r>
      <w:r w:rsidRPr="00542E5D">
        <w:rPr>
          <w:rFonts w:ascii="Cambria" w:hAnsi="Cambria"/>
          <w:sz w:val="20"/>
          <w:szCs w:val="20"/>
          <w:lang w:val="es-UY"/>
        </w:rPr>
        <w:t xml:space="preserve">adas </w:t>
      </w:r>
      <w:r>
        <w:rPr>
          <w:rFonts w:ascii="Cambria" w:hAnsi="Cambria"/>
          <w:sz w:val="20"/>
          <w:szCs w:val="20"/>
          <w:lang w:val="es-UY"/>
        </w:rPr>
        <w:t>legalmente facultadas para</w:t>
      </w:r>
      <w:r w:rsidRPr="00542E5D">
        <w:rPr>
          <w:rFonts w:ascii="Cambria" w:hAnsi="Cambria"/>
          <w:sz w:val="20"/>
          <w:szCs w:val="20"/>
          <w:lang w:val="es-UY"/>
        </w:rPr>
        <w:t xml:space="preserve"> </w:t>
      </w:r>
      <w:r>
        <w:rPr>
          <w:rFonts w:ascii="Cambria" w:hAnsi="Cambria"/>
          <w:sz w:val="20"/>
          <w:szCs w:val="20"/>
          <w:lang w:val="es-UY"/>
        </w:rPr>
        <w:t xml:space="preserve">tomar sus propias decisiones sobre dónde y con quién vivir. </w:t>
      </w:r>
      <w:r w:rsidRPr="00542E5D">
        <w:rPr>
          <w:rFonts w:ascii="Cambria" w:hAnsi="Cambria"/>
          <w:sz w:val="20"/>
          <w:szCs w:val="20"/>
          <w:lang w:val="es-UY"/>
        </w:rPr>
        <w:t xml:space="preserve"> </w:t>
      </w:r>
      <w:r w:rsidRPr="00AB288E">
        <w:rPr>
          <w:rFonts w:ascii="Cambria" w:hAnsi="Cambria"/>
          <w:sz w:val="20"/>
          <w:szCs w:val="20"/>
          <w:lang w:val="es-UY"/>
        </w:rPr>
        <w:t xml:space="preserve">El Estado señala que en este caso la peticionaria ha solicitado a la Comisión que se involucre en una disputa personal entre ella y su ex-cónyuge </w:t>
      </w:r>
      <w:r>
        <w:rPr>
          <w:rFonts w:ascii="Cambria" w:hAnsi="Cambria"/>
          <w:sz w:val="20"/>
          <w:szCs w:val="20"/>
          <w:lang w:val="es-UY"/>
        </w:rPr>
        <w:t>por</w:t>
      </w:r>
      <w:r w:rsidRPr="00AB288E">
        <w:rPr>
          <w:rFonts w:ascii="Cambria" w:hAnsi="Cambria"/>
          <w:sz w:val="20"/>
          <w:szCs w:val="20"/>
          <w:lang w:val="es-UY"/>
        </w:rPr>
        <w:t xml:space="preserve"> la custodia de un</w:t>
      </w:r>
      <w:r>
        <w:rPr>
          <w:rFonts w:ascii="Cambria" w:hAnsi="Cambria"/>
          <w:sz w:val="20"/>
          <w:szCs w:val="20"/>
          <w:lang w:val="es-UY"/>
        </w:rPr>
        <w:t>a</w:t>
      </w:r>
      <w:r w:rsidRPr="00AB288E">
        <w:rPr>
          <w:rFonts w:ascii="Cambria" w:hAnsi="Cambria"/>
          <w:sz w:val="20"/>
          <w:szCs w:val="20"/>
          <w:lang w:val="es-UY"/>
        </w:rPr>
        <w:t xml:space="preserve"> </w:t>
      </w:r>
      <w:r>
        <w:rPr>
          <w:rFonts w:ascii="Cambria" w:hAnsi="Cambria"/>
          <w:sz w:val="20"/>
          <w:szCs w:val="20"/>
          <w:lang w:val="es-UY"/>
        </w:rPr>
        <w:t>niña</w:t>
      </w:r>
      <w:r w:rsidRPr="00AB288E">
        <w:rPr>
          <w:rFonts w:ascii="Cambria" w:hAnsi="Cambria"/>
          <w:sz w:val="20"/>
          <w:szCs w:val="20"/>
          <w:lang w:val="es-UY"/>
        </w:rPr>
        <w:t xml:space="preserve"> junto con vagas alegaciones contra funcionarios locales y estatales en el Estado de Virginia por supuestas acciones e inacciones relaci</w:t>
      </w:r>
      <w:r>
        <w:rPr>
          <w:rFonts w:ascii="Cambria" w:hAnsi="Cambria"/>
          <w:sz w:val="20"/>
          <w:szCs w:val="20"/>
          <w:lang w:val="es-UY"/>
        </w:rPr>
        <w:t>o</w:t>
      </w:r>
      <w:r w:rsidRPr="00AB288E">
        <w:rPr>
          <w:rFonts w:ascii="Cambria" w:hAnsi="Cambria"/>
          <w:sz w:val="20"/>
          <w:szCs w:val="20"/>
          <w:lang w:val="es-UY"/>
        </w:rPr>
        <w:t>nada</w:t>
      </w:r>
      <w:r>
        <w:rPr>
          <w:rFonts w:ascii="Cambria" w:hAnsi="Cambria"/>
          <w:sz w:val="20"/>
          <w:szCs w:val="20"/>
          <w:lang w:val="es-UY"/>
        </w:rPr>
        <w:t xml:space="preserve">s con  la mencionada disputa de custodia, con poca o ninguna evidencia probatoria u otro tipo de fundamentación; a pesar de haber transmitido a la Comisión un gran número de documentos. </w:t>
      </w:r>
      <w:r w:rsidRPr="00BC69A1">
        <w:rPr>
          <w:rFonts w:ascii="Cambria" w:hAnsi="Cambria"/>
          <w:sz w:val="20"/>
          <w:szCs w:val="20"/>
          <w:lang w:val="es-UY"/>
        </w:rPr>
        <w:t xml:space="preserve">Asimismo, señala que </w:t>
      </w:r>
      <w:r>
        <w:rPr>
          <w:rFonts w:ascii="Cambria" w:hAnsi="Cambria"/>
          <w:sz w:val="20"/>
          <w:szCs w:val="20"/>
          <w:lang w:val="es-UY"/>
        </w:rPr>
        <w:t>la revisión del fondo</w:t>
      </w:r>
      <w:r w:rsidRPr="00BC69A1">
        <w:rPr>
          <w:rFonts w:ascii="Cambria" w:hAnsi="Cambria"/>
          <w:sz w:val="20"/>
          <w:szCs w:val="20"/>
          <w:lang w:val="es-UY"/>
        </w:rPr>
        <w:t xml:space="preserve"> de esta petición requeriría </w:t>
      </w:r>
      <w:r>
        <w:rPr>
          <w:rFonts w:ascii="Cambria" w:hAnsi="Cambria"/>
          <w:sz w:val="20"/>
          <w:szCs w:val="20"/>
          <w:lang w:val="es-UY"/>
        </w:rPr>
        <w:t>que</w:t>
      </w:r>
      <w:r w:rsidRPr="00BC69A1">
        <w:rPr>
          <w:rFonts w:ascii="Cambria" w:hAnsi="Cambria"/>
          <w:sz w:val="20"/>
          <w:szCs w:val="20"/>
          <w:lang w:val="es-UY"/>
        </w:rPr>
        <w:t xml:space="preserve"> la Comisión incursion</w:t>
      </w:r>
      <w:r>
        <w:rPr>
          <w:rFonts w:ascii="Cambria" w:hAnsi="Cambria"/>
          <w:sz w:val="20"/>
          <w:szCs w:val="20"/>
          <w:lang w:val="es-UY"/>
        </w:rPr>
        <w:t>e</w:t>
      </w:r>
      <w:r w:rsidRPr="00BC69A1">
        <w:rPr>
          <w:rFonts w:ascii="Cambria" w:hAnsi="Cambria"/>
          <w:sz w:val="20"/>
          <w:szCs w:val="20"/>
          <w:lang w:val="es-UY"/>
        </w:rPr>
        <w:t xml:space="preserve"> en </w:t>
      </w:r>
      <w:r>
        <w:rPr>
          <w:rFonts w:ascii="Cambria" w:hAnsi="Cambria"/>
          <w:sz w:val="20"/>
          <w:szCs w:val="20"/>
          <w:lang w:val="es-UY"/>
        </w:rPr>
        <w:t>asuntos</w:t>
      </w:r>
      <w:r w:rsidRPr="00BC69A1">
        <w:rPr>
          <w:rFonts w:ascii="Cambria" w:hAnsi="Cambria"/>
          <w:sz w:val="20"/>
          <w:szCs w:val="20"/>
          <w:lang w:val="es-UY"/>
        </w:rPr>
        <w:t xml:space="preserve"> </w:t>
      </w:r>
      <w:r>
        <w:rPr>
          <w:rFonts w:ascii="Cambria" w:hAnsi="Cambria"/>
          <w:sz w:val="20"/>
          <w:szCs w:val="20"/>
          <w:lang w:val="es-UY"/>
        </w:rPr>
        <w:t xml:space="preserve">delicadas de </w:t>
      </w:r>
      <w:r w:rsidRPr="00BC69A1">
        <w:rPr>
          <w:rFonts w:ascii="Cambria" w:hAnsi="Cambria"/>
          <w:sz w:val="20"/>
          <w:szCs w:val="20"/>
          <w:lang w:val="es-UY"/>
        </w:rPr>
        <w:t xml:space="preserve">familia </w:t>
      </w:r>
      <w:r>
        <w:rPr>
          <w:rFonts w:ascii="Cambria" w:hAnsi="Cambria"/>
          <w:sz w:val="20"/>
          <w:szCs w:val="20"/>
          <w:lang w:val="es-UY"/>
        </w:rPr>
        <w:t>regido</w:t>
      </w:r>
      <w:r w:rsidRPr="00BC69A1">
        <w:rPr>
          <w:rFonts w:ascii="Cambria" w:hAnsi="Cambria"/>
          <w:sz w:val="20"/>
          <w:szCs w:val="20"/>
          <w:lang w:val="es-UY"/>
        </w:rPr>
        <w:t>s por el derecho de familia interno, lo cu</w:t>
      </w:r>
      <w:r>
        <w:rPr>
          <w:rFonts w:ascii="Cambria" w:hAnsi="Cambria"/>
          <w:sz w:val="20"/>
          <w:szCs w:val="20"/>
          <w:lang w:val="es-UY"/>
        </w:rPr>
        <w:t xml:space="preserve">al implica el uso de una significativa cantidad de registros y testimonios probatorios, inclusive de peritos. </w:t>
      </w:r>
      <w:r w:rsidRPr="00BC69A1">
        <w:rPr>
          <w:rFonts w:ascii="Cambria" w:hAnsi="Cambria"/>
          <w:sz w:val="20"/>
          <w:szCs w:val="20"/>
          <w:lang w:val="es-UY"/>
        </w:rPr>
        <w:t>El Estado considera que la Comisión</w:t>
      </w:r>
      <w:r>
        <w:rPr>
          <w:rFonts w:ascii="Cambria" w:hAnsi="Cambria"/>
          <w:sz w:val="20"/>
          <w:szCs w:val="20"/>
          <w:lang w:val="es-UY"/>
        </w:rPr>
        <w:t xml:space="preserve"> </w:t>
      </w:r>
      <w:r w:rsidRPr="00BC69A1">
        <w:rPr>
          <w:rFonts w:ascii="Cambria" w:hAnsi="Cambria"/>
          <w:sz w:val="20"/>
          <w:szCs w:val="20"/>
          <w:lang w:val="es-UY"/>
        </w:rPr>
        <w:t xml:space="preserve">no </w:t>
      </w:r>
      <w:r>
        <w:rPr>
          <w:rFonts w:ascii="Cambria" w:hAnsi="Cambria"/>
          <w:sz w:val="20"/>
          <w:szCs w:val="20"/>
          <w:lang w:val="es-UY"/>
        </w:rPr>
        <w:t>cuenta con</w:t>
      </w:r>
      <w:r w:rsidRPr="00BC69A1">
        <w:rPr>
          <w:rFonts w:ascii="Cambria" w:hAnsi="Cambria"/>
          <w:sz w:val="20"/>
          <w:szCs w:val="20"/>
          <w:lang w:val="es-UY"/>
        </w:rPr>
        <w:t xml:space="preserve"> los recursos, el mandato </w:t>
      </w:r>
      <w:r>
        <w:rPr>
          <w:rFonts w:ascii="Cambria" w:hAnsi="Cambria"/>
          <w:sz w:val="20"/>
          <w:szCs w:val="20"/>
          <w:lang w:val="es-UY"/>
        </w:rPr>
        <w:t>ni los conocimientos especializados</w:t>
      </w:r>
      <w:r w:rsidRPr="00BC69A1">
        <w:rPr>
          <w:rFonts w:ascii="Cambria" w:hAnsi="Cambria"/>
          <w:sz w:val="20"/>
          <w:szCs w:val="20"/>
          <w:lang w:val="es-UY"/>
        </w:rPr>
        <w:t xml:space="preserve"> para </w:t>
      </w:r>
      <w:r>
        <w:rPr>
          <w:rFonts w:ascii="Cambria" w:hAnsi="Cambria"/>
          <w:sz w:val="20"/>
          <w:szCs w:val="20"/>
          <w:lang w:val="es-UY"/>
        </w:rPr>
        <w:t>llevar a cabo dicha</w:t>
      </w:r>
      <w:r w:rsidRPr="00BC69A1">
        <w:rPr>
          <w:rFonts w:ascii="Cambria" w:hAnsi="Cambria"/>
          <w:sz w:val="20"/>
          <w:szCs w:val="20"/>
          <w:lang w:val="es-UY"/>
        </w:rPr>
        <w:t xml:space="preserve"> tarea.  </w:t>
      </w:r>
    </w:p>
    <w:p w14:paraId="54878D86" w14:textId="417E5D12" w:rsidR="00A11E44" w:rsidRPr="00752CB7" w:rsidRDefault="00752CB7" w:rsidP="00752C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0F610F">
        <w:rPr>
          <w:rFonts w:ascii="Cambria" w:hAnsi="Cambria"/>
          <w:sz w:val="20"/>
          <w:szCs w:val="20"/>
          <w:lang w:val="es-UY"/>
        </w:rPr>
        <w:t>Concluye señalando que la Comisión también debe declar</w:t>
      </w:r>
      <w:r>
        <w:rPr>
          <w:rFonts w:ascii="Cambria" w:hAnsi="Cambria"/>
          <w:sz w:val="20"/>
          <w:szCs w:val="20"/>
          <w:lang w:val="es-UY"/>
        </w:rPr>
        <w:t>a</w:t>
      </w:r>
      <w:r w:rsidRPr="000F610F">
        <w:rPr>
          <w:rFonts w:ascii="Cambria" w:hAnsi="Cambria"/>
          <w:sz w:val="20"/>
          <w:szCs w:val="20"/>
          <w:lang w:val="es-UY"/>
        </w:rPr>
        <w:t xml:space="preserve">r inadmisible la presente petición </w:t>
      </w:r>
      <w:r>
        <w:rPr>
          <w:rFonts w:ascii="Cambria" w:hAnsi="Cambria"/>
          <w:sz w:val="20"/>
          <w:szCs w:val="20"/>
          <w:lang w:val="es-UY"/>
        </w:rPr>
        <w:t xml:space="preserve">debido a que alega supuestas </w:t>
      </w:r>
      <w:r w:rsidRPr="000F610F">
        <w:rPr>
          <w:rFonts w:ascii="Cambria" w:hAnsi="Cambria"/>
          <w:sz w:val="20"/>
          <w:szCs w:val="20"/>
          <w:lang w:val="es-UY"/>
        </w:rPr>
        <w:t>violaciones basadas en alega</w:t>
      </w:r>
      <w:r>
        <w:rPr>
          <w:rFonts w:ascii="Cambria" w:hAnsi="Cambria"/>
          <w:sz w:val="20"/>
          <w:szCs w:val="20"/>
          <w:lang w:val="es-UY"/>
        </w:rPr>
        <w:t>tos generalizado</w:t>
      </w:r>
      <w:r w:rsidRPr="000F610F">
        <w:rPr>
          <w:rFonts w:ascii="Cambria" w:hAnsi="Cambria"/>
          <w:sz w:val="20"/>
          <w:szCs w:val="20"/>
          <w:lang w:val="es-UY"/>
        </w:rPr>
        <w:t xml:space="preserve">s de </w:t>
      </w:r>
      <w:r>
        <w:rPr>
          <w:rFonts w:ascii="Cambria" w:hAnsi="Cambria"/>
          <w:sz w:val="20"/>
          <w:szCs w:val="20"/>
          <w:lang w:val="es-UY"/>
        </w:rPr>
        <w:t>discriminación</w:t>
      </w:r>
      <w:r w:rsidRPr="000F610F">
        <w:rPr>
          <w:rFonts w:ascii="Cambria" w:hAnsi="Cambria"/>
          <w:sz w:val="20"/>
          <w:szCs w:val="20"/>
          <w:lang w:val="es-UY"/>
        </w:rPr>
        <w:t xml:space="preserve"> con</w:t>
      </w:r>
      <w:r>
        <w:rPr>
          <w:rFonts w:ascii="Cambria" w:hAnsi="Cambria"/>
          <w:sz w:val="20"/>
          <w:szCs w:val="20"/>
          <w:lang w:val="es-UY"/>
        </w:rPr>
        <w:t>t</w:t>
      </w:r>
      <w:r w:rsidRPr="000F610F">
        <w:rPr>
          <w:rFonts w:ascii="Cambria" w:hAnsi="Cambria"/>
          <w:sz w:val="20"/>
          <w:szCs w:val="20"/>
          <w:lang w:val="es-UY"/>
        </w:rPr>
        <w:t xml:space="preserve">ra </w:t>
      </w:r>
      <w:r>
        <w:rPr>
          <w:rFonts w:ascii="Cambria" w:hAnsi="Cambria"/>
          <w:sz w:val="20"/>
          <w:szCs w:val="20"/>
          <w:lang w:val="es-UY"/>
        </w:rPr>
        <w:t>personas afroamericana</w:t>
      </w:r>
      <w:r w:rsidRPr="000F610F">
        <w:rPr>
          <w:rFonts w:ascii="Cambria" w:hAnsi="Cambria"/>
          <w:sz w:val="20"/>
          <w:szCs w:val="20"/>
          <w:lang w:val="es-UY"/>
        </w:rPr>
        <w:t>s y mujeres por parte de miemb</w:t>
      </w:r>
      <w:r>
        <w:rPr>
          <w:rFonts w:ascii="Cambria" w:hAnsi="Cambria"/>
          <w:sz w:val="20"/>
          <w:szCs w:val="20"/>
          <w:lang w:val="es-UY"/>
        </w:rPr>
        <w:t>r</w:t>
      </w:r>
      <w:r w:rsidRPr="000F610F">
        <w:rPr>
          <w:rFonts w:ascii="Cambria" w:hAnsi="Cambria"/>
          <w:sz w:val="20"/>
          <w:szCs w:val="20"/>
          <w:lang w:val="es-UY"/>
        </w:rPr>
        <w:t xml:space="preserve">os de las fuerzas </w:t>
      </w:r>
      <w:r>
        <w:rPr>
          <w:rFonts w:ascii="Cambria" w:hAnsi="Cambria"/>
          <w:sz w:val="20"/>
          <w:szCs w:val="20"/>
          <w:lang w:val="es-UY"/>
        </w:rPr>
        <w:t>del orden</w:t>
      </w:r>
      <w:r w:rsidRPr="000F610F">
        <w:rPr>
          <w:rFonts w:ascii="Cambria" w:hAnsi="Cambria"/>
          <w:sz w:val="20"/>
          <w:szCs w:val="20"/>
          <w:lang w:val="es-UY"/>
        </w:rPr>
        <w:t xml:space="preserve"> y del </w:t>
      </w:r>
      <w:r>
        <w:rPr>
          <w:rFonts w:ascii="Cambria" w:hAnsi="Cambria"/>
          <w:sz w:val="20"/>
          <w:szCs w:val="20"/>
          <w:lang w:val="es-UY"/>
        </w:rPr>
        <w:t>s</w:t>
      </w:r>
      <w:r w:rsidRPr="000F610F">
        <w:rPr>
          <w:rFonts w:ascii="Cambria" w:hAnsi="Cambria"/>
          <w:sz w:val="20"/>
          <w:szCs w:val="20"/>
          <w:lang w:val="es-UY"/>
        </w:rPr>
        <w:t>istema judicial de los Estado</w:t>
      </w:r>
      <w:r>
        <w:rPr>
          <w:rFonts w:ascii="Cambria" w:hAnsi="Cambria"/>
          <w:sz w:val="20"/>
          <w:szCs w:val="20"/>
          <w:lang w:val="es-UY"/>
        </w:rPr>
        <w:t xml:space="preserve">s Unidos. </w:t>
      </w:r>
      <w:r w:rsidRPr="00555008">
        <w:rPr>
          <w:rFonts w:ascii="Cambria" w:hAnsi="Cambria"/>
          <w:sz w:val="20"/>
          <w:szCs w:val="20"/>
          <w:lang w:val="es-UY"/>
        </w:rPr>
        <w:t>La peticionaria alega que muchas de las acciones u omis</w:t>
      </w:r>
      <w:r>
        <w:rPr>
          <w:rFonts w:ascii="Cambria" w:hAnsi="Cambria"/>
          <w:sz w:val="20"/>
          <w:szCs w:val="20"/>
          <w:lang w:val="es-UY"/>
        </w:rPr>
        <w:t>i</w:t>
      </w:r>
      <w:r w:rsidRPr="00555008">
        <w:rPr>
          <w:rFonts w:ascii="Cambria" w:hAnsi="Cambria"/>
          <w:sz w:val="20"/>
          <w:szCs w:val="20"/>
          <w:lang w:val="es-UY"/>
        </w:rPr>
        <w:t>ones de la policía y de o</w:t>
      </w:r>
      <w:r>
        <w:rPr>
          <w:rFonts w:ascii="Cambria" w:hAnsi="Cambria"/>
          <w:sz w:val="20"/>
          <w:szCs w:val="20"/>
          <w:lang w:val="es-UY"/>
        </w:rPr>
        <w:t>t</w:t>
      </w:r>
      <w:r w:rsidRPr="00555008">
        <w:rPr>
          <w:rFonts w:ascii="Cambria" w:hAnsi="Cambria"/>
          <w:sz w:val="20"/>
          <w:szCs w:val="20"/>
          <w:lang w:val="es-UY"/>
        </w:rPr>
        <w:t xml:space="preserve">ros funcionarios del Estado </w:t>
      </w:r>
      <w:r>
        <w:rPr>
          <w:rFonts w:ascii="Cambria" w:hAnsi="Cambria"/>
          <w:sz w:val="20"/>
          <w:szCs w:val="20"/>
          <w:lang w:val="es-UY"/>
        </w:rPr>
        <w:t>estuvieron motivados, al</w:t>
      </w:r>
      <w:r w:rsidRPr="00555008">
        <w:rPr>
          <w:rFonts w:ascii="Cambria" w:hAnsi="Cambria"/>
          <w:sz w:val="20"/>
          <w:szCs w:val="20"/>
          <w:lang w:val="es-UY"/>
        </w:rPr>
        <w:t xml:space="preserve"> menos en parte, </w:t>
      </w:r>
      <w:r>
        <w:rPr>
          <w:rFonts w:ascii="Cambria" w:hAnsi="Cambria"/>
          <w:sz w:val="20"/>
          <w:szCs w:val="20"/>
          <w:lang w:val="es-UY"/>
        </w:rPr>
        <w:t>en</w:t>
      </w:r>
      <w:r w:rsidRPr="00555008">
        <w:rPr>
          <w:rFonts w:ascii="Cambria" w:hAnsi="Cambria"/>
          <w:sz w:val="20"/>
          <w:szCs w:val="20"/>
          <w:lang w:val="es-UY"/>
        </w:rPr>
        <w:t xml:space="preserve"> prejuicios racial</w:t>
      </w:r>
      <w:r>
        <w:rPr>
          <w:rFonts w:ascii="Cambria" w:hAnsi="Cambria"/>
          <w:sz w:val="20"/>
          <w:szCs w:val="20"/>
          <w:lang w:val="es-UY"/>
        </w:rPr>
        <w:t>e</w:t>
      </w:r>
      <w:r w:rsidRPr="00555008">
        <w:rPr>
          <w:rFonts w:ascii="Cambria" w:hAnsi="Cambria"/>
          <w:sz w:val="20"/>
          <w:szCs w:val="20"/>
          <w:lang w:val="es-UY"/>
        </w:rPr>
        <w:t xml:space="preserve">s </w:t>
      </w:r>
      <w:r>
        <w:rPr>
          <w:rFonts w:ascii="Cambria" w:hAnsi="Cambria"/>
          <w:sz w:val="20"/>
          <w:szCs w:val="20"/>
          <w:lang w:val="es-UY"/>
        </w:rPr>
        <w:t>y/o</w:t>
      </w:r>
      <w:r w:rsidRPr="00555008">
        <w:rPr>
          <w:rFonts w:ascii="Cambria" w:hAnsi="Cambria"/>
          <w:sz w:val="20"/>
          <w:szCs w:val="20"/>
          <w:lang w:val="es-UY"/>
        </w:rPr>
        <w:t xml:space="preserve"> de género; por lo </w:t>
      </w:r>
      <w:r>
        <w:rPr>
          <w:rFonts w:ascii="Cambria" w:hAnsi="Cambria"/>
          <w:sz w:val="20"/>
          <w:szCs w:val="20"/>
          <w:lang w:val="es-UY"/>
        </w:rPr>
        <w:t xml:space="preserve">tanto, la peticionaria solicita a la Comisión que lleve a cabo un </w:t>
      </w:r>
      <w:r w:rsidRPr="00555008">
        <w:rPr>
          <w:rFonts w:ascii="Cambria" w:hAnsi="Cambria"/>
          <w:i/>
          <w:sz w:val="20"/>
          <w:szCs w:val="20"/>
          <w:lang w:val="es-UY"/>
        </w:rPr>
        <w:t>actio popularis</w:t>
      </w:r>
      <w:r w:rsidRPr="00555008">
        <w:rPr>
          <w:rFonts w:ascii="Cambria" w:hAnsi="Cambria"/>
          <w:sz w:val="20"/>
          <w:szCs w:val="20"/>
          <w:lang w:val="es-UY"/>
        </w:rPr>
        <w:t xml:space="preserve">, </w:t>
      </w:r>
      <w:r>
        <w:rPr>
          <w:rFonts w:ascii="Cambria" w:hAnsi="Cambria"/>
          <w:sz w:val="20"/>
          <w:szCs w:val="20"/>
          <w:lang w:val="es-UY"/>
        </w:rPr>
        <w:t xml:space="preserve">algo que el </w:t>
      </w:r>
      <w:r w:rsidRPr="00555008">
        <w:rPr>
          <w:rFonts w:ascii="Cambria" w:hAnsi="Cambria"/>
          <w:sz w:val="20"/>
          <w:szCs w:val="20"/>
          <w:lang w:val="es-UY"/>
        </w:rPr>
        <w:t xml:space="preserve">Estado </w:t>
      </w:r>
      <w:r>
        <w:rPr>
          <w:rFonts w:ascii="Cambria" w:hAnsi="Cambria"/>
          <w:sz w:val="20"/>
          <w:szCs w:val="20"/>
          <w:lang w:val="es-UY"/>
        </w:rPr>
        <w:t>subraya que la Comisión no puede realizar dentro de su mandato</w:t>
      </w:r>
      <w:r w:rsidRPr="00555008">
        <w:rPr>
          <w:rFonts w:ascii="Cambria" w:hAnsi="Cambria"/>
          <w:sz w:val="20"/>
          <w:szCs w:val="20"/>
          <w:lang w:val="es-UY"/>
        </w:rPr>
        <w:t xml:space="preserve">.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56A2355" w14:textId="77777777" w:rsidR="00752CB7" w:rsidRPr="00E77D3E" w:rsidRDefault="00752CB7" w:rsidP="00752CB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jc w:val="both"/>
        <w:rPr>
          <w:sz w:val="20"/>
          <w:szCs w:val="20"/>
          <w:lang w:val="es-UY"/>
        </w:rPr>
      </w:pPr>
      <w:r w:rsidRPr="00932B94">
        <w:rPr>
          <w:sz w:val="20"/>
          <w:szCs w:val="20"/>
          <w:lang w:val="es-UY"/>
        </w:rPr>
        <w:t>La peticionaria indica que entre 2000 y 2007 presentó por lo menos cinco denuncias de abuso sexual contra su ex-cónyuge (a</w:t>
      </w:r>
      <w:r>
        <w:rPr>
          <w:sz w:val="20"/>
          <w:szCs w:val="20"/>
          <w:lang w:val="es-UY"/>
        </w:rPr>
        <w:t>nte e</w:t>
      </w:r>
      <w:r w:rsidRPr="00932B94">
        <w:rPr>
          <w:sz w:val="20"/>
          <w:szCs w:val="20"/>
          <w:lang w:val="es-UY"/>
        </w:rPr>
        <w:t xml:space="preserve">l </w:t>
      </w:r>
      <w:r>
        <w:rPr>
          <w:sz w:val="20"/>
          <w:szCs w:val="20"/>
          <w:lang w:val="es-UY"/>
        </w:rPr>
        <w:t>Departamento de Policía del Condado Prince William</w:t>
      </w:r>
      <w:r w:rsidRPr="00932B94">
        <w:rPr>
          <w:sz w:val="20"/>
          <w:szCs w:val="20"/>
          <w:lang w:val="es-UY"/>
        </w:rPr>
        <w:t xml:space="preserve">, </w:t>
      </w:r>
      <w:r>
        <w:rPr>
          <w:sz w:val="20"/>
          <w:szCs w:val="20"/>
          <w:lang w:val="es-UY"/>
        </w:rPr>
        <w:t xml:space="preserve">a los servicios sociales del Condado de </w:t>
      </w:r>
      <w:r w:rsidRPr="00932B94">
        <w:rPr>
          <w:sz w:val="20"/>
          <w:szCs w:val="20"/>
          <w:lang w:val="es-UY"/>
        </w:rPr>
        <w:t>Fairfax</w:t>
      </w:r>
      <w:r>
        <w:rPr>
          <w:sz w:val="20"/>
          <w:szCs w:val="20"/>
          <w:lang w:val="es-UY"/>
        </w:rPr>
        <w:t xml:space="preserve"> y ante el </w:t>
      </w:r>
      <w:r w:rsidRPr="00932B94">
        <w:rPr>
          <w:sz w:val="20"/>
          <w:szCs w:val="20"/>
          <w:lang w:val="es-UY"/>
        </w:rPr>
        <w:t xml:space="preserve">Departamento de Salud y de Servicios Humanos) </w:t>
      </w:r>
      <w:r>
        <w:rPr>
          <w:sz w:val="20"/>
          <w:szCs w:val="20"/>
          <w:lang w:val="es-UY"/>
        </w:rPr>
        <w:t>y que en algunos casos no se llevó a cabo una investigación y que en los pocos casos en que se inició una, fue cerrada sin realizar una investigación diligente</w:t>
      </w:r>
      <w:r w:rsidRPr="00932B94">
        <w:rPr>
          <w:sz w:val="20"/>
          <w:szCs w:val="20"/>
          <w:lang w:val="es-UY"/>
        </w:rPr>
        <w:t>. Además</w:t>
      </w:r>
      <w:r>
        <w:rPr>
          <w:sz w:val="20"/>
          <w:szCs w:val="20"/>
          <w:lang w:val="es-UY"/>
        </w:rPr>
        <w:t>,</w:t>
      </w:r>
      <w:r w:rsidRPr="00932B94">
        <w:rPr>
          <w:sz w:val="20"/>
          <w:szCs w:val="20"/>
          <w:lang w:val="es-UY"/>
        </w:rPr>
        <w:t xml:space="preserve"> argumenta que ella y su hija </w:t>
      </w:r>
      <w:r w:rsidRPr="00932B94">
        <w:rPr>
          <w:rFonts w:asciiTheme="majorHAnsi" w:hAnsiTheme="majorHAnsi"/>
          <w:sz w:val="20"/>
          <w:szCs w:val="20"/>
          <w:lang w:val="es-UY"/>
        </w:rPr>
        <w:t>T.L.</w:t>
      </w:r>
      <w:r w:rsidRPr="00932B94">
        <w:rPr>
          <w:sz w:val="20"/>
          <w:szCs w:val="20"/>
          <w:lang w:val="es-UY"/>
        </w:rPr>
        <w:t xml:space="preserve"> no te</w:t>
      </w:r>
      <w:r>
        <w:rPr>
          <w:sz w:val="20"/>
          <w:szCs w:val="20"/>
          <w:lang w:val="es-UY"/>
        </w:rPr>
        <w:t>nían acceso efectivo a la justicia debido a la discriminación racial</w:t>
      </w:r>
      <w:r w:rsidRPr="00932B94">
        <w:rPr>
          <w:sz w:val="20"/>
          <w:szCs w:val="20"/>
          <w:lang w:val="es-UY"/>
        </w:rPr>
        <w:t>.</w:t>
      </w:r>
      <w:r>
        <w:rPr>
          <w:lang w:val="es-UY"/>
        </w:rPr>
        <w:t xml:space="preserve"> </w:t>
      </w:r>
      <w:r w:rsidRPr="00346B91">
        <w:rPr>
          <w:sz w:val="20"/>
          <w:szCs w:val="20"/>
          <w:lang w:val="es-UY"/>
        </w:rPr>
        <w:t xml:space="preserve">Por su parte, el Estado alega que no se han agotado los </w:t>
      </w:r>
      <w:r>
        <w:rPr>
          <w:sz w:val="20"/>
          <w:szCs w:val="20"/>
          <w:lang w:val="es-UY"/>
        </w:rPr>
        <w:t>recursos internos en los procesos de custodia</w:t>
      </w:r>
      <w:r w:rsidRPr="00346B91">
        <w:rPr>
          <w:sz w:val="20"/>
          <w:szCs w:val="20"/>
          <w:lang w:val="es-UY"/>
        </w:rPr>
        <w:t xml:space="preserve">. </w:t>
      </w:r>
      <w:r w:rsidRPr="00E77D3E">
        <w:rPr>
          <w:sz w:val="20"/>
          <w:szCs w:val="20"/>
          <w:lang w:val="es-UY"/>
        </w:rPr>
        <w:t xml:space="preserve">Asimismo, argumenta que la peticionaria no presentó demandas civiles contra los gobiernos o funcionarios estatales o locales, </w:t>
      </w:r>
      <w:r>
        <w:rPr>
          <w:sz w:val="20"/>
          <w:szCs w:val="20"/>
          <w:lang w:val="es-UY"/>
        </w:rPr>
        <w:t>ni</w:t>
      </w:r>
      <w:r w:rsidRPr="00E77D3E">
        <w:rPr>
          <w:sz w:val="20"/>
          <w:szCs w:val="20"/>
          <w:lang w:val="es-UY"/>
        </w:rPr>
        <w:t xml:space="preserve"> ha menci</w:t>
      </w:r>
      <w:r>
        <w:rPr>
          <w:sz w:val="20"/>
          <w:szCs w:val="20"/>
          <w:lang w:val="es-UY"/>
        </w:rPr>
        <w:t>o</w:t>
      </w:r>
      <w:r w:rsidRPr="00E77D3E">
        <w:rPr>
          <w:sz w:val="20"/>
          <w:szCs w:val="20"/>
          <w:lang w:val="es-UY"/>
        </w:rPr>
        <w:t>nado intent</w:t>
      </w:r>
      <w:r>
        <w:rPr>
          <w:sz w:val="20"/>
          <w:szCs w:val="20"/>
          <w:lang w:val="es-UY"/>
        </w:rPr>
        <w:t>o alguno</w:t>
      </w:r>
      <w:r w:rsidRPr="00E77D3E">
        <w:rPr>
          <w:sz w:val="20"/>
          <w:szCs w:val="20"/>
          <w:lang w:val="es-UY"/>
        </w:rPr>
        <w:t xml:space="preserve"> de presentar demandas civiles </w:t>
      </w:r>
      <w:r>
        <w:rPr>
          <w:sz w:val="20"/>
          <w:szCs w:val="20"/>
          <w:lang w:val="es-UY"/>
        </w:rPr>
        <w:t>bajo otros estatutos contra autoridades gubernamentales federales, estatales o locales</w:t>
      </w:r>
      <w:r w:rsidRPr="00E77D3E">
        <w:rPr>
          <w:sz w:val="20"/>
          <w:szCs w:val="20"/>
          <w:lang w:val="es-UY"/>
        </w:rPr>
        <w:t>.</w:t>
      </w:r>
    </w:p>
    <w:p w14:paraId="53DA1BE4" w14:textId="77777777" w:rsidR="00752CB7" w:rsidRPr="007F0A11" w:rsidRDefault="00752CB7" w:rsidP="00752CB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jc w:val="both"/>
        <w:rPr>
          <w:sz w:val="20"/>
          <w:szCs w:val="20"/>
          <w:lang w:val="es-UY"/>
        </w:rPr>
      </w:pPr>
      <w:r w:rsidRPr="00263617">
        <w:rPr>
          <w:sz w:val="20"/>
          <w:szCs w:val="20"/>
          <w:lang w:val="es-UY"/>
        </w:rPr>
        <w:t xml:space="preserve">De acuerdo </w:t>
      </w:r>
      <w:r>
        <w:rPr>
          <w:sz w:val="20"/>
          <w:szCs w:val="20"/>
          <w:lang w:val="es-UY"/>
        </w:rPr>
        <w:t>con</w:t>
      </w:r>
      <w:r w:rsidRPr="00263617">
        <w:rPr>
          <w:sz w:val="20"/>
          <w:szCs w:val="20"/>
          <w:lang w:val="es-UY"/>
        </w:rPr>
        <w:t xml:space="preserve"> la información </w:t>
      </w:r>
      <w:r>
        <w:rPr>
          <w:sz w:val="20"/>
          <w:szCs w:val="20"/>
          <w:lang w:val="es-UY"/>
        </w:rPr>
        <w:t>disponible</w:t>
      </w:r>
      <w:r w:rsidRPr="00263617">
        <w:rPr>
          <w:sz w:val="20"/>
          <w:szCs w:val="20"/>
          <w:lang w:val="es-UY"/>
        </w:rPr>
        <w:t xml:space="preserve">, las cinco denuncias de abuso sexual </w:t>
      </w:r>
      <w:r>
        <w:rPr>
          <w:sz w:val="20"/>
          <w:szCs w:val="20"/>
          <w:lang w:val="es-UY"/>
        </w:rPr>
        <w:t>presentadas</w:t>
      </w:r>
      <w:r w:rsidRPr="00263617">
        <w:rPr>
          <w:sz w:val="20"/>
          <w:szCs w:val="20"/>
          <w:lang w:val="es-UY"/>
        </w:rPr>
        <w:t xml:space="preserve"> por la peticionaria contra su ex-cónyuge fueron declaradas infundadas. </w:t>
      </w:r>
      <w:r w:rsidRPr="00A16E27">
        <w:rPr>
          <w:sz w:val="20"/>
          <w:szCs w:val="20"/>
          <w:lang w:val="es-UY"/>
        </w:rPr>
        <w:t xml:space="preserve">La CIDH observa que los </w:t>
      </w:r>
      <w:r w:rsidRPr="00A16E27">
        <w:rPr>
          <w:sz w:val="20"/>
          <w:szCs w:val="20"/>
          <w:lang w:val="es-UY"/>
        </w:rPr>
        <w:lastRenderedPageBreak/>
        <w:t xml:space="preserve">procedimientos iniciados para determinar la responsabilidad </w:t>
      </w:r>
      <w:r>
        <w:rPr>
          <w:sz w:val="20"/>
          <w:szCs w:val="20"/>
          <w:lang w:val="es-UY"/>
        </w:rPr>
        <w:t>por</w:t>
      </w:r>
      <w:r w:rsidRPr="00A16E27">
        <w:rPr>
          <w:sz w:val="20"/>
          <w:szCs w:val="20"/>
          <w:lang w:val="es-UY"/>
        </w:rPr>
        <w:t xml:space="preserve"> los supuestos actos de abuso sexual en detrimento de T.L. y la supuesta discriminación por parte de la policía, fueron cerrados durante la etapa de investigación o la investigación no fue iniciada.</w:t>
      </w:r>
      <w:r>
        <w:rPr>
          <w:sz w:val="20"/>
          <w:szCs w:val="20"/>
          <w:lang w:val="es-UY"/>
        </w:rPr>
        <w:t xml:space="preserve"> </w:t>
      </w:r>
      <w:r w:rsidRPr="00A16E27">
        <w:rPr>
          <w:sz w:val="20"/>
          <w:szCs w:val="20"/>
          <w:lang w:val="es-UY"/>
        </w:rPr>
        <w:t xml:space="preserve">Además, de acuerdo </w:t>
      </w:r>
      <w:r>
        <w:rPr>
          <w:sz w:val="20"/>
          <w:szCs w:val="20"/>
          <w:lang w:val="es-UY"/>
        </w:rPr>
        <w:t xml:space="preserve">con la información disponible, pareciera que no se llevó a cabo una investigación respecto a </w:t>
      </w:r>
      <w:r w:rsidRPr="00A16E27">
        <w:rPr>
          <w:sz w:val="20"/>
          <w:szCs w:val="20"/>
          <w:lang w:val="es-UY"/>
        </w:rPr>
        <w:t>las denuncias p</w:t>
      </w:r>
      <w:r>
        <w:rPr>
          <w:sz w:val="20"/>
          <w:szCs w:val="20"/>
          <w:lang w:val="es-UY"/>
        </w:rPr>
        <w:t>r</w:t>
      </w:r>
      <w:r w:rsidRPr="00A16E27">
        <w:rPr>
          <w:sz w:val="20"/>
          <w:szCs w:val="20"/>
          <w:lang w:val="es-UY"/>
        </w:rPr>
        <w:t>esentadas e</w:t>
      </w:r>
      <w:r>
        <w:rPr>
          <w:sz w:val="20"/>
          <w:szCs w:val="20"/>
          <w:lang w:val="es-UY"/>
        </w:rPr>
        <w:t>nte</w:t>
      </w:r>
      <w:r w:rsidRPr="00A16E27">
        <w:rPr>
          <w:sz w:val="20"/>
          <w:szCs w:val="20"/>
          <w:lang w:val="es-UY"/>
        </w:rPr>
        <w:t xml:space="preserve"> la Oficina de Asun</w:t>
      </w:r>
      <w:r>
        <w:rPr>
          <w:sz w:val="20"/>
          <w:szCs w:val="20"/>
          <w:lang w:val="es-UY"/>
        </w:rPr>
        <w:t xml:space="preserve">tos Internos de la Policía y </w:t>
      </w:r>
      <w:r w:rsidRPr="00A16E27">
        <w:rPr>
          <w:sz w:val="20"/>
          <w:szCs w:val="20"/>
          <w:lang w:val="es-UY"/>
        </w:rPr>
        <w:t xml:space="preserve">el Departamento de Justicia sobre la supuesta falta de la policía y del Departamento de Salud y Servicios </w:t>
      </w:r>
      <w:r>
        <w:rPr>
          <w:sz w:val="20"/>
          <w:szCs w:val="20"/>
          <w:lang w:val="es-UY"/>
        </w:rPr>
        <w:t>Sociales de Virginia, de no investigar las alegaciones de abuso sexual</w:t>
      </w:r>
      <w:r w:rsidRPr="00A16E27">
        <w:rPr>
          <w:sz w:val="20"/>
          <w:szCs w:val="20"/>
          <w:lang w:val="es-UY"/>
        </w:rPr>
        <w:t xml:space="preserve">. </w:t>
      </w:r>
      <w:r w:rsidRPr="00263617">
        <w:rPr>
          <w:sz w:val="20"/>
          <w:szCs w:val="20"/>
          <w:lang w:val="es-UY"/>
        </w:rPr>
        <w:t>El requisito de agotamien</w:t>
      </w:r>
      <w:r>
        <w:rPr>
          <w:sz w:val="20"/>
          <w:szCs w:val="20"/>
          <w:lang w:val="es-UY"/>
        </w:rPr>
        <w:t>t</w:t>
      </w:r>
      <w:r w:rsidRPr="00263617">
        <w:rPr>
          <w:sz w:val="20"/>
          <w:szCs w:val="20"/>
          <w:lang w:val="es-UY"/>
        </w:rPr>
        <w:t xml:space="preserve">o de los recursos internos no significa que las </w:t>
      </w:r>
      <w:r>
        <w:rPr>
          <w:sz w:val="20"/>
          <w:szCs w:val="20"/>
          <w:lang w:val="es-UY"/>
        </w:rPr>
        <w:t>presuntas</w:t>
      </w:r>
      <w:r w:rsidRPr="00263617">
        <w:rPr>
          <w:sz w:val="20"/>
          <w:szCs w:val="20"/>
          <w:lang w:val="es-UY"/>
        </w:rPr>
        <w:t xml:space="preserve"> víctimas t</w:t>
      </w:r>
      <w:r>
        <w:rPr>
          <w:sz w:val="20"/>
          <w:szCs w:val="20"/>
          <w:lang w:val="es-UY"/>
        </w:rPr>
        <w:t>engan</w:t>
      </w:r>
      <w:r w:rsidRPr="00263617">
        <w:rPr>
          <w:sz w:val="20"/>
          <w:szCs w:val="20"/>
          <w:lang w:val="es-UY"/>
        </w:rPr>
        <w:t xml:space="preserve"> la obligaci</w:t>
      </w:r>
      <w:r>
        <w:rPr>
          <w:sz w:val="20"/>
          <w:szCs w:val="20"/>
          <w:lang w:val="es-UY"/>
        </w:rPr>
        <w:t>ó</w:t>
      </w:r>
      <w:r w:rsidRPr="00263617">
        <w:rPr>
          <w:sz w:val="20"/>
          <w:szCs w:val="20"/>
          <w:lang w:val="es-UY"/>
        </w:rPr>
        <w:t>n de agotar todos l</w:t>
      </w:r>
      <w:r>
        <w:rPr>
          <w:sz w:val="20"/>
          <w:szCs w:val="20"/>
          <w:lang w:val="es-UY"/>
        </w:rPr>
        <w:t>os posibles recursos que tienen a su disposición</w:t>
      </w:r>
      <w:r w:rsidRPr="00263617">
        <w:rPr>
          <w:sz w:val="20"/>
          <w:szCs w:val="20"/>
          <w:lang w:val="es-UY"/>
        </w:rPr>
        <w:t xml:space="preserve">. </w:t>
      </w:r>
      <w:r>
        <w:rPr>
          <w:sz w:val="20"/>
          <w:szCs w:val="20"/>
          <w:lang w:val="es-UY"/>
        </w:rPr>
        <w:t xml:space="preserve">La Comisión </w:t>
      </w:r>
      <w:r w:rsidRPr="004D1FF9">
        <w:rPr>
          <w:sz w:val="20"/>
          <w:szCs w:val="20"/>
          <w:lang w:val="es-UY"/>
        </w:rPr>
        <w:t>Interamericana ha</w:t>
      </w:r>
      <w:r>
        <w:rPr>
          <w:sz w:val="20"/>
          <w:szCs w:val="20"/>
          <w:lang w:val="es-UY"/>
        </w:rPr>
        <w:t xml:space="preserve"> sostenido que</w:t>
      </w:r>
      <w:r w:rsidRPr="004D1FF9">
        <w:rPr>
          <w:sz w:val="20"/>
          <w:szCs w:val="20"/>
          <w:lang w:val="es-UY"/>
        </w:rPr>
        <w:t xml:space="preserve"> “</w:t>
      </w:r>
      <w:r w:rsidRPr="004D1FF9">
        <w:rPr>
          <w:rFonts w:asciiTheme="majorHAnsi" w:hAnsiTheme="majorHAnsi"/>
          <w:sz w:val="20"/>
          <w:szCs w:val="20"/>
          <w:lang w:val="es-UY"/>
        </w:rPr>
        <w:t xml:space="preserve">si la presunta víctima planteó la cuestión por alguna de las alternativas válidas y adecuadas según el ordenamiento jurídico interno y el Estado tuvo la oportunidad de remediar la cuestión </w:t>
      </w:r>
      <w:smartTag w:uri="SmartTagTypeLegixLinks" w:element="LegixLinks">
        <w:smartTagPr>
          <w:attr w:name="Base" w:val="Codigo"/>
          <w:attr w:name="ID" w:val="30094"/>
        </w:smartTagPr>
        <w:r w:rsidRPr="004D1FF9">
          <w:rPr>
            <w:rFonts w:asciiTheme="majorHAnsi" w:hAnsiTheme="majorHAnsi"/>
            <w:sz w:val="20"/>
            <w:szCs w:val="20"/>
            <w:lang w:val="es-UY"/>
          </w:rPr>
          <w:t>en</w:t>
        </w:r>
      </w:smartTag>
      <w:r w:rsidRPr="004D1FF9">
        <w:rPr>
          <w:rFonts w:asciiTheme="majorHAnsi" w:hAnsiTheme="majorHAnsi"/>
          <w:sz w:val="20"/>
          <w:szCs w:val="20"/>
          <w:lang w:val="es-UY"/>
        </w:rPr>
        <w:t xml:space="preserve"> su jurisdicción, la finalidad de la norma internacional está cumplida</w:t>
      </w:r>
      <w:r w:rsidRPr="004D1FF9">
        <w:rPr>
          <w:sz w:val="20"/>
          <w:szCs w:val="20"/>
          <w:lang w:val="es-UY"/>
        </w:rPr>
        <w:t>.</w:t>
      </w:r>
      <w:bookmarkStart w:id="2" w:name="_ftnref24"/>
      <w:r w:rsidRPr="004D1FF9">
        <w:rPr>
          <w:sz w:val="20"/>
          <w:szCs w:val="20"/>
          <w:lang w:val="es-UY"/>
        </w:rPr>
        <w:t>”</w:t>
      </w:r>
      <w:bookmarkEnd w:id="2"/>
      <w:r w:rsidRPr="006E7585">
        <w:rPr>
          <w:sz w:val="20"/>
          <w:szCs w:val="20"/>
          <w:vertAlign w:val="superscript"/>
        </w:rPr>
        <w:footnoteReference w:id="4"/>
      </w:r>
      <w:r w:rsidRPr="004D1FF9">
        <w:rPr>
          <w:sz w:val="20"/>
          <w:szCs w:val="20"/>
          <w:lang w:val="es-UY"/>
        </w:rPr>
        <w:t xml:space="preserve"> </w:t>
      </w:r>
      <w:r w:rsidRPr="007F0A11">
        <w:rPr>
          <w:sz w:val="20"/>
          <w:szCs w:val="20"/>
          <w:lang w:val="es-UY"/>
        </w:rPr>
        <w:t xml:space="preserve">Por lo tanto, la Comisión concluye que hay suficientes elementos para </w:t>
      </w:r>
      <w:r>
        <w:rPr>
          <w:sz w:val="20"/>
          <w:szCs w:val="20"/>
          <w:lang w:val="es-UY"/>
        </w:rPr>
        <w:t>considerar</w:t>
      </w:r>
      <w:r w:rsidRPr="007F0A11">
        <w:rPr>
          <w:sz w:val="20"/>
          <w:szCs w:val="20"/>
          <w:lang w:val="es-UY"/>
        </w:rPr>
        <w:t xml:space="preserve"> que la e</w:t>
      </w:r>
      <w:r>
        <w:rPr>
          <w:sz w:val="20"/>
          <w:szCs w:val="20"/>
          <w:lang w:val="es-UY"/>
        </w:rPr>
        <w:t>xc</w:t>
      </w:r>
      <w:r w:rsidRPr="007F0A11">
        <w:rPr>
          <w:sz w:val="20"/>
          <w:szCs w:val="20"/>
          <w:lang w:val="es-UY"/>
        </w:rPr>
        <w:t xml:space="preserve">epción establecida en el </w:t>
      </w:r>
      <w:r>
        <w:rPr>
          <w:sz w:val="20"/>
          <w:szCs w:val="20"/>
          <w:lang w:val="es-UY"/>
        </w:rPr>
        <w:t>a</w:t>
      </w:r>
      <w:r w:rsidRPr="007F0A11">
        <w:rPr>
          <w:sz w:val="20"/>
          <w:szCs w:val="20"/>
          <w:lang w:val="es-UY"/>
        </w:rPr>
        <w:t>rtículo 31.2 (b) d</w:t>
      </w:r>
      <w:r>
        <w:rPr>
          <w:sz w:val="20"/>
          <w:szCs w:val="20"/>
          <w:lang w:val="es-UY"/>
        </w:rPr>
        <w:t>e su Reglamento es aplicable</w:t>
      </w:r>
      <w:r w:rsidRPr="007F5133">
        <w:rPr>
          <w:sz w:val="20"/>
          <w:szCs w:val="20"/>
          <w:lang w:val="es-UY"/>
        </w:rPr>
        <w:t xml:space="preserve"> </w:t>
      </w:r>
      <w:r>
        <w:rPr>
          <w:sz w:val="20"/>
          <w:szCs w:val="20"/>
          <w:lang w:val="es-UY"/>
        </w:rPr>
        <w:t>en el presente caso</w:t>
      </w:r>
      <w:r w:rsidRPr="007F0A11">
        <w:rPr>
          <w:sz w:val="20"/>
          <w:szCs w:val="20"/>
          <w:lang w:val="es-UY"/>
        </w:rPr>
        <w:t>.</w:t>
      </w:r>
    </w:p>
    <w:p w14:paraId="716CD384" w14:textId="77777777" w:rsidR="00752CB7" w:rsidRPr="00FA1FFD" w:rsidRDefault="00752CB7" w:rsidP="00752CB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jc w:val="both"/>
        <w:rPr>
          <w:sz w:val="20"/>
          <w:szCs w:val="20"/>
          <w:lang w:val="es-UY"/>
        </w:rPr>
      </w:pPr>
      <w:r w:rsidRPr="00FA1FFD">
        <w:rPr>
          <w:sz w:val="20"/>
          <w:szCs w:val="20"/>
          <w:lang w:val="es-UY"/>
        </w:rPr>
        <w:t xml:space="preserve">La petición fue presentada el 19 de febrero de 2008, y los hechos denunciados supuestamente comenzaron en </w:t>
      </w:r>
      <w:r>
        <w:rPr>
          <w:sz w:val="20"/>
          <w:szCs w:val="20"/>
          <w:lang w:val="es-UY"/>
        </w:rPr>
        <w:t xml:space="preserve">el año 2000 y las consecuencias relacionadas con la presunta falta de investigación se habrían extendido durante años. </w:t>
      </w:r>
      <w:r w:rsidRPr="00FA1FFD">
        <w:rPr>
          <w:sz w:val="20"/>
          <w:szCs w:val="20"/>
          <w:lang w:val="es-UY"/>
        </w:rPr>
        <w:t>Por lo tanto, la Comisión declara que la petición fue presentada en forma oportuna, de acuerdo con el</w:t>
      </w:r>
      <w:r>
        <w:rPr>
          <w:sz w:val="20"/>
          <w:szCs w:val="20"/>
          <w:lang w:val="es-UY"/>
        </w:rPr>
        <w:t xml:space="preserve"> a</w:t>
      </w:r>
      <w:r w:rsidRPr="00FA1FFD">
        <w:rPr>
          <w:sz w:val="20"/>
          <w:szCs w:val="20"/>
          <w:lang w:val="es-UY"/>
        </w:rPr>
        <w:t xml:space="preserve">rtículo 32.2 </w:t>
      </w:r>
      <w:r>
        <w:rPr>
          <w:sz w:val="20"/>
          <w:szCs w:val="20"/>
          <w:lang w:val="es-UY"/>
        </w:rPr>
        <w:t>del Reglamento de la CIDH</w:t>
      </w:r>
      <w:r w:rsidRPr="00FA1FFD">
        <w:rPr>
          <w:sz w:val="20"/>
          <w:szCs w:val="20"/>
          <w:lang w:val="es-UY"/>
        </w:rPr>
        <w:t>.</w:t>
      </w:r>
    </w:p>
    <w:p w14:paraId="01D47E3F" w14:textId="7933A25A" w:rsidR="003239B8" w:rsidRPr="00752CB7" w:rsidRDefault="00752CB7" w:rsidP="00752CB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uppressAutoHyphens/>
        <w:spacing w:after="240"/>
        <w:jc w:val="both"/>
        <w:rPr>
          <w:rFonts w:asciiTheme="majorHAnsi" w:hAnsiTheme="majorHAnsi"/>
          <w:b/>
          <w:sz w:val="20"/>
          <w:szCs w:val="20"/>
          <w:lang w:val="es-UY"/>
        </w:rPr>
      </w:pPr>
      <w:r w:rsidRPr="00CF5D92">
        <w:rPr>
          <w:sz w:val="20"/>
          <w:szCs w:val="20"/>
          <w:lang w:val="es-UY"/>
        </w:rPr>
        <w:t xml:space="preserve">Finalmente, la Comisión </w:t>
      </w:r>
      <w:r>
        <w:rPr>
          <w:sz w:val="20"/>
          <w:szCs w:val="20"/>
          <w:lang w:val="es-UY"/>
        </w:rPr>
        <w:t>concuerda con el</w:t>
      </w:r>
      <w:r w:rsidRPr="00CF5D92">
        <w:rPr>
          <w:sz w:val="20"/>
          <w:szCs w:val="20"/>
          <w:lang w:val="es-UY"/>
        </w:rPr>
        <w:t xml:space="preserve"> Estado </w:t>
      </w:r>
      <w:r>
        <w:rPr>
          <w:sz w:val="20"/>
          <w:szCs w:val="20"/>
          <w:lang w:val="es-UY"/>
        </w:rPr>
        <w:t>en</w:t>
      </w:r>
      <w:r w:rsidRPr="00CF5D92">
        <w:rPr>
          <w:sz w:val="20"/>
          <w:szCs w:val="20"/>
          <w:lang w:val="es-UY"/>
        </w:rPr>
        <w:t xml:space="preserve"> que el procedimiento establecido en el </w:t>
      </w:r>
      <w:r>
        <w:rPr>
          <w:sz w:val="20"/>
          <w:szCs w:val="20"/>
          <w:lang w:val="es-UY"/>
        </w:rPr>
        <w:t>a</w:t>
      </w:r>
      <w:r w:rsidRPr="00CF5D92">
        <w:rPr>
          <w:sz w:val="20"/>
          <w:szCs w:val="20"/>
          <w:lang w:val="es-UY"/>
        </w:rPr>
        <w:t>rtículo 26 d</w:t>
      </w:r>
      <w:r>
        <w:rPr>
          <w:sz w:val="20"/>
          <w:szCs w:val="20"/>
          <w:lang w:val="es-UY"/>
        </w:rPr>
        <w:t xml:space="preserve">el Reglamento de la CIDH para examinar y determinar la posible responsabilidad del Estado en casos individuales no puede ser invocado para examinar situaciones generales o abstractas. </w:t>
      </w:r>
      <w:r w:rsidRPr="005775E5">
        <w:rPr>
          <w:sz w:val="20"/>
          <w:szCs w:val="20"/>
          <w:lang w:val="es-UY"/>
        </w:rPr>
        <w:t xml:space="preserve">No obstante, esta no es una evaluación aplicable a la cuestión objeto de análisis. </w:t>
      </w:r>
      <w:r>
        <w:rPr>
          <w:sz w:val="20"/>
          <w:szCs w:val="20"/>
          <w:lang w:val="es-UY"/>
        </w:rPr>
        <w:t xml:space="preserve">La queja </w:t>
      </w:r>
      <w:r w:rsidRPr="005775E5">
        <w:rPr>
          <w:sz w:val="20"/>
          <w:szCs w:val="20"/>
          <w:lang w:val="es-UY"/>
        </w:rPr>
        <w:t>presentad</w:t>
      </w:r>
      <w:r>
        <w:rPr>
          <w:sz w:val="20"/>
          <w:szCs w:val="20"/>
          <w:lang w:val="es-UY"/>
        </w:rPr>
        <w:t>a</w:t>
      </w:r>
      <w:r w:rsidRPr="005775E5">
        <w:rPr>
          <w:sz w:val="20"/>
          <w:szCs w:val="20"/>
          <w:lang w:val="es-UY"/>
        </w:rPr>
        <w:t xml:space="preserve"> por la peticionaria no constituye una demanda abstracta </w:t>
      </w:r>
      <w:r>
        <w:rPr>
          <w:sz w:val="20"/>
          <w:szCs w:val="20"/>
          <w:lang w:val="es-UY"/>
        </w:rPr>
        <w:t>dado q</w:t>
      </w:r>
      <w:r w:rsidRPr="005775E5">
        <w:rPr>
          <w:sz w:val="20"/>
          <w:szCs w:val="20"/>
          <w:lang w:val="es-UY"/>
        </w:rPr>
        <w:t>ue ale</w:t>
      </w:r>
      <w:r>
        <w:rPr>
          <w:sz w:val="20"/>
          <w:szCs w:val="20"/>
          <w:lang w:val="es-UY"/>
        </w:rPr>
        <w:t>ga violaciones concretas de derechos de personas determinadas, específicamente la peticionaria y su hija.</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160E2797" w14:textId="77777777" w:rsidR="00752CB7" w:rsidRPr="0052591A" w:rsidRDefault="00752CB7" w:rsidP="00752CB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UY"/>
        </w:rPr>
      </w:pPr>
      <w:r w:rsidRPr="0052591A">
        <w:rPr>
          <w:bCs/>
          <w:sz w:val="20"/>
          <w:szCs w:val="20"/>
          <w:lang w:val="es-UY"/>
        </w:rPr>
        <w:t xml:space="preserve">De acuerdo </w:t>
      </w:r>
      <w:r>
        <w:rPr>
          <w:bCs/>
          <w:sz w:val="20"/>
          <w:szCs w:val="20"/>
          <w:lang w:val="es-UY"/>
        </w:rPr>
        <w:t>a los alegatos planteados</w:t>
      </w:r>
      <w:r w:rsidRPr="0052591A">
        <w:rPr>
          <w:bCs/>
          <w:sz w:val="20"/>
          <w:szCs w:val="20"/>
          <w:lang w:val="es-UY"/>
        </w:rPr>
        <w:t xml:space="preserve">, la presunta víctima fue sexualmente abusada por su padre en múltiples ocasiones, y la Policía del Condado </w:t>
      </w:r>
      <w:r>
        <w:rPr>
          <w:bCs/>
          <w:sz w:val="20"/>
          <w:szCs w:val="20"/>
          <w:lang w:val="es-UY"/>
        </w:rPr>
        <w:t xml:space="preserve">de </w:t>
      </w:r>
      <w:r w:rsidRPr="0052591A">
        <w:rPr>
          <w:bCs/>
          <w:sz w:val="20"/>
          <w:szCs w:val="20"/>
          <w:lang w:val="es-UY"/>
        </w:rPr>
        <w:t xml:space="preserve">Prince William y el Departamento de </w:t>
      </w:r>
      <w:r>
        <w:rPr>
          <w:bCs/>
          <w:sz w:val="20"/>
          <w:szCs w:val="20"/>
          <w:lang w:val="es-UY"/>
        </w:rPr>
        <w:t xml:space="preserve">Servicios Sociales de Virginia no investigaron las denuncias. </w:t>
      </w:r>
      <w:r w:rsidRPr="0052591A">
        <w:rPr>
          <w:bCs/>
          <w:sz w:val="20"/>
          <w:szCs w:val="20"/>
          <w:lang w:val="es-UY"/>
        </w:rPr>
        <w:t>La peticionaria sostiene que se le negó acceso a los recursos internos para proteger a su hija debido a que sus denuncias no fueron debidamente investigadas por l</w:t>
      </w:r>
      <w:r>
        <w:rPr>
          <w:bCs/>
          <w:sz w:val="20"/>
          <w:szCs w:val="20"/>
          <w:lang w:val="es-UY"/>
        </w:rPr>
        <w:t>a</w:t>
      </w:r>
      <w:r w:rsidRPr="0052591A">
        <w:rPr>
          <w:bCs/>
          <w:sz w:val="20"/>
          <w:szCs w:val="20"/>
          <w:lang w:val="es-UY"/>
        </w:rPr>
        <w:t xml:space="preserve">s autoridades internas, </w:t>
      </w:r>
      <w:r>
        <w:rPr>
          <w:bCs/>
          <w:sz w:val="20"/>
          <w:szCs w:val="20"/>
          <w:lang w:val="es-UY"/>
        </w:rPr>
        <w:t>las cuales</w:t>
      </w:r>
      <w:r w:rsidRPr="0052591A">
        <w:rPr>
          <w:bCs/>
          <w:sz w:val="20"/>
          <w:szCs w:val="20"/>
          <w:lang w:val="es-UY"/>
        </w:rPr>
        <w:t xml:space="preserve"> la</w:t>
      </w:r>
      <w:r>
        <w:rPr>
          <w:bCs/>
          <w:sz w:val="20"/>
          <w:szCs w:val="20"/>
          <w:lang w:val="es-UY"/>
        </w:rPr>
        <w:t xml:space="preserve"> habrían</w:t>
      </w:r>
      <w:r w:rsidRPr="0052591A">
        <w:rPr>
          <w:bCs/>
          <w:sz w:val="20"/>
          <w:szCs w:val="20"/>
          <w:lang w:val="es-UY"/>
        </w:rPr>
        <w:t xml:space="preserve"> trata</w:t>
      </w:r>
      <w:r>
        <w:rPr>
          <w:bCs/>
          <w:sz w:val="20"/>
          <w:szCs w:val="20"/>
          <w:lang w:val="es-UY"/>
        </w:rPr>
        <w:t>do de</w:t>
      </w:r>
      <w:r w:rsidRPr="0052591A">
        <w:rPr>
          <w:bCs/>
          <w:sz w:val="20"/>
          <w:szCs w:val="20"/>
          <w:lang w:val="es-UY"/>
        </w:rPr>
        <w:t xml:space="preserve"> </w:t>
      </w:r>
      <w:r>
        <w:rPr>
          <w:bCs/>
          <w:sz w:val="20"/>
          <w:szCs w:val="20"/>
          <w:lang w:val="es-UY"/>
        </w:rPr>
        <w:t>forma discriminatoria por razones de raza. Por lo tanto</w:t>
      </w:r>
      <w:r w:rsidRPr="0052591A">
        <w:rPr>
          <w:bCs/>
          <w:sz w:val="20"/>
          <w:szCs w:val="20"/>
          <w:lang w:val="es-UY"/>
        </w:rPr>
        <w:t xml:space="preserve">, </w:t>
      </w:r>
      <w:r>
        <w:rPr>
          <w:bCs/>
          <w:sz w:val="20"/>
          <w:szCs w:val="20"/>
          <w:lang w:val="es-UY"/>
        </w:rPr>
        <w:t xml:space="preserve">se ser probados, </w:t>
      </w:r>
      <w:r w:rsidRPr="0052591A">
        <w:rPr>
          <w:bCs/>
          <w:sz w:val="20"/>
          <w:szCs w:val="20"/>
          <w:lang w:val="es-UY"/>
        </w:rPr>
        <w:t xml:space="preserve">los hechos alegados podrían </w:t>
      </w:r>
      <w:r>
        <w:rPr>
          <w:bCs/>
          <w:sz w:val="20"/>
          <w:szCs w:val="20"/>
          <w:lang w:val="es-UY"/>
        </w:rPr>
        <w:t>caracterizar</w:t>
      </w:r>
      <w:r w:rsidRPr="0052591A">
        <w:rPr>
          <w:bCs/>
          <w:sz w:val="20"/>
          <w:szCs w:val="20"/>
          <w:lang w:val="es-UY"/>
        </w:rPr>
        <w:t xml:space="preserve"> una posible violaci</w:t>
      </w:r>
      <w:r>
        <w:rPr>
          <w:bCs/>
          <w:sz w:val="20"/>
          <w:szCs w:val="20"/>
          <w:lang w:val="es-UY"/>
        </w:rPr>
        <w:t>ó</w:t>
      </w:r>
      <w:r w:rsidRPr="0052591A">
        <w:rPr>
          <w:bCs/>
          <w:sz w:val="20"/>
          <w:szCs w:val="20"/>
          <w:lang w:val="es-UY"/>
        </w:rPr>
        <w:t>n de los derechos pro</w:t>
      </w:r>
      <w:r>
        <w:rPr>
          <w:bCs/>
          <w:sz w:val="20"/>
          <w:szCs w:val="20"/>
          <w:lang w:val="es-UY"/>
        </w:rPr>
        <w:t>t</w:t>
      </w:r>
      <w:r w:rsidRPr="0052591A">
        <w:rPr>
          <w:bCs/>
          <w:sz w:val="20"/>
          <w:szCs w:val="20"/>
          <w:lang w:val="es-UY"/>
        </w:rPr>
        <w:t xml:space="preserve">egidos por los </w:t>
      </w:r>
      <w:r>
        <w:rPr>
          <w:bCs/>
          <w:sz w:val="20"/>
          <w:szCs w:val="20"/>
          <w:lang w:val="es-UY"/>
        </w:rPr>
        <w:t>a</w:t>
      </w:r>
      <w:r w:rsidRPr="0052591A">
        <w:rPr>
          <w:bCs/>
          <w:sz w:val="20"/>
          <w:szCs w:val="20"/>
          <w:lang w:val="es-UY"/>
        </w:rPr>
        <w:t>rtículos I (</w:t>
      </w:r>
      <w:r>
        <w:rPr>
          <w:bCs/>
          <w:sz w:val="20"/>
          <w:szCs w:val="20"/>
          <w:lang w:val="es-UY"/>
        </w:rPr>
        <w:t>vida, libertad y seguridad e integridad de la persona</w:t>
      </w:r>
      <w:r w:rsidRPr="0052591A">
        <w:rPr>
          <w:bCs/>
          <w:sz w:val="20"/>
          <w:szCs w:val="20"/>
          <w:lang w:val="es-UY"/>
        </w:rPr>
        <w:t>), II (</w:t>
      </w:r>
      <w:r>
        <w:rPr>
          <w:bCs/>
          <w:sz w:val="20"/>
          <w:szCs w:val="20"/>
          <w:lang w:val="es-UY"/>
        </w:rPr>
        <w:t>derecho de justicia</w:t>
      </w:r>
      <w:r w:rsidRPr="0052591A">
        <w:rPr>
          <w:bCs/>
          <w:sz w:val="20"/>
          <w:szCs w:val="20"/>
          <w:lang w:val="es-UY"/>
        </w:rPr>
        <w:t>), VII (protec</w:t>
      </w:r>
      <w:r>
        <w:rPr>
          <w:bCs/>
          <w:sz w:val="20"/>
          <w:szCs w:val="20"/>
          <w:lang w:val="es-UY"/>
        </w:rPr>
        <w:t>ción a la maternidad y a la infancia</w:t>
      </w:r>
      <w:r w:rsidRPr="0052591A">
        <w:rPr>
          <w:bCs/>
          <w:sz w:val="20"/>
          <w:szCs w:val="20"/>
          <w:lang w:val="es-UY"/>
        </w:rPr>
        <w:t>), XVII (</w:t>
      </w:r>
      <w:r w:rsidRPr="000A1733">
        <w:rPr>
          <w:bCs/>
          <w:sz w:val="20"/>
          <w:szCs w:val="20"/>
          <w:lang w:val="es-UY"/>
        </w:rPr>
        <w:t>reco</w:t>
      </w:r>
      <w:r>
        <w:rPr>
          <w:bCs/>
          <w:sz w:val="20"/>
          <w:szCs w:val="20"/>
          <w:lang w:val="es-UY"/>
        </w:rPr>
        <w:t>nocimiento de la personalidad jurídica y de los derechos civiles</w:t>
      </w:r>
      <w:r w:rsidRPr="0052591A">
        <w:rPr>
          <w:bCs/>
          <w:sz w:val="20"/>
          <w:szCs w:val="20"/>
          <w:lang w:val="es-UY"/>
        </w:rPr>
        <w:t xml:space="preserve">) </w:t>
      </w:r>
      <w:r>
        <w:rPr>
          <w:bCs/>
          <w:sz w:val="20"/>
          <w:szCs w:val="20"/>
          <w:lang w:val="es-UY"/>
        </w:rPr>
        <w:t>y</w:t>
      </w:r>
      <w:r w:rsidRPr="0052591A">
        <w:rPr>
          <w:bCs/>
          <w:sz w:val="20"/>
          <w:szCs w:val="20"/>
          <w:lang w:val="es-UY"/>
        </w:rPr>
        <w:t xml:space="preserve"> XVIII (</w:t>
      </w:r>
      <w:r>
        <w:rPr>
          <w:bCs/>
          <w:sz w:val="20"/>
          <w:szCs w:val="20"/>
          <w:lang w:val="es-UY"/>
        </w:rPr>
        <w:t>derecho de justicia</w:t>
      </w:r>
      <w:r w:rsidRPr="0052591A">
        <w:rPr>
          <w:bCs/>
          <w:sz w:val="20"/>
          <w:szCs w:val="20"/>
          <w:lang w:val="es-UY"/>
        </w:rPr>
        <w:t xml:space="preserve">) </w:t>
      </w:r>
      <w:r>
        <w:rPr>
          <w:bCs/>
          <w:sz w:val="20"/>
          <w:szCs w:val="20"/>
          <w:lang w:val="es-UY"/>
        </w:rPr>
        <w:t>de la</w:t>
      </w:r>
      <w:r w:rsidRPr="0052591A">
        <w:rPr>
          <w:bCs/>
          <w:sz w:val="20"/>
          <w:szCs w:val="20"/>
          <w:lang w:val="es-UY"/>
        </w:rPr>
        <w:t xml:space="preserve"> Declaración Americana. </w:t>
      </w:r>
    </w:p>
    <w:p w14:paraId="38118A92" w14:textId="77777777" w:rsidR="00752CB7" w:rsidRPr="008E5149" w:rsidRDefault="00752CB7" w:rsidP="00752CB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UY"/>
        </w:rPr>
      </w:pPr>
      <w:r w:rsidRPr="00DF7D4E">
        <w:rPr>
          <w:bCs/>
          <w:sz w:val="20"/>
          <w:szCs w:val="20"/>
          <w:lang w:val="es-UY"/>
        </w:rPr>
        <w:t xml:space="preserve">La Comisión admite la presente petición </w:t>
      </w:r>
      <w:r>
        <w:rPr>
          <w:bCs/>
          <w:sz w:val="20"/>
          <w:szCs w:val="20"/>
          <w:lang w:val="es-UY"/>
        </w:rPr>
        <w:t>en relación con</w:t>
      </w:r>
      <w:r w:rsidRPr="00DF7D4E">
        <w:rPr>
          <w:bCs/>
          <w:sz w:val="20"/>
          <w:szCs w:val="20"/>
          <w:lang w:val="es-UY"/>
        </w:rPr>
        <w:t xml:space="preserve"> la queja principal presentada, </w:t>
      </w:r>
      <w:r>
        <w:rPr>
          <w:bCs/>
          <w:sz w:val="20"/>
          <w:szCs w:val="20"/>
          <w:lang w:val="es-UY"/>
        </w:rPr>
        <w:t xml:space="preserve">esto es, los alegatos relativos a que </w:t>
      </w:r>
      <w:r w:rsidRPr="00DF7D4E">
        <w:rPr>
          <w:bCs/>
          <w:sz w:val="20"/>
          <w:szCs w:val="20"/>
          <w:lang w:val="es-UY"/>
        </w:rPr>
        <w:t>las denuncias de abuso sexual y de otro</w:t>
      </w:r>
      <w:r>
        <w:rPr>
          <w:bCs/>
          <w:sz w:val="20"/>
          <w:szCs w:val="20"/>
          <w:lang w:val="es-UY"/>
        </w:rPr>
        <w:t>s tipos de abuso no fueron abordadas con la diligencia debida</w:t>
      </w:r>
      <w:r w:rsidRPr="00DF7D4E">
        <w:rPr>
          <w:bCs/>
          <w:sz w:val="20"/>
          <w:szCs w:val="20"/>
          <w:lang w:val="es-UY"/>
        </w:rPr>
        <w:t>. Este análisis considerará l</w:t>
      </w:r>
      <w:r>
        <w:rPr>
          <w:bCs/>
          <w:sz w:val="20"/>
          <w:szCs w:val="20"/>
          <w:lang w:val="es-UY"/>
        </w:rPr>
        <w:t>a</w:t>
      </w:r>
      <w:r w:rsidRPr="00DF7D4E">
        <w:rPr>
          <w:bCs/>
          <w:sz w:val="20"/>
          <w:szCs w:val="20"/>
          <w:lang w:val="es-UY"/>
        </w:rPr>
        <w:t xml:space="preserve">s </w:t>
      </w:r>
      <w:r>
        <w:rPr>
          <w:bCs/>
          <w:sz w:val="20"/>
          <w:szCs w:val="20"/>
          <w:lang w:val="es-UY"/>
        </w:rPr>
        <w:t>alegaciones</w:t>
      </w:r>
      <w:r w:rsidRPr="00DF7D4E">
        <w:rPr>
          <w:bCs/>
          <w:sz w:val="20"/>
          <w:szCs w:val="20"/>
          <w:lang w:val="es-UY"/>
        </w:rPr>
        <w:t xml:space="preserve"> </w:t>
      </w:r>
      <w:r>
        <w:rPr>
          <w:bCs/>
          <w:sz w:val="20"/>
          <w:szCs w:val="20"/>
          <w:lang w:val="es-UY"/>
        </w:rPr>
        <w:t>según las cuales</w:t>
      </w:r>
      <w:r w:rsidRPr="00DF7D4E">
        <w:rPr>
          <w:bCs/>
          <w:sz w:val="20"/>
          <w:szCs w:val="20"/>
          <w:lang w:val="es-UY"/>
        </w:rPr>
        <w:t xml:space="preserve"> la raza desempeñó un </w:t>
      </w:r>
      <w:r>
        <w:rPr>
          <w:bCs/>
          <w:sz w:val="20"/>
          <w:szCs w:val="20"/>
          <w:lang w:val="es-UY"/>
        </w:rPr>
        <w:t>papel en la respuesta presuntamente deficiente</w:t>
      </w:r>
      <w:r w:rsidRPr="00DF7D4E">
        <w:rPr>
          <w:bCs/>
          <w:sz w:val="20"/>
          <w:szCs w:val="20"/>
          <w:lang w:val="es-UY"/>
        </w:rPr>
        <w:t xml:space="preserve">. </w:t>
      </w:r>
      <w:r w:rsidRPr="00AA31E3">
        <w:rPr>
          <w:bCs/>
          <w:sz w:val="20"/>
          <w:szCs w:val="20"/>
          <w:lang w:val="es-UY"/>
        </w:rPr>
        <w:t>La Comisión considera que, a la inversa de la información específica presentada con respecto al supuesto abuso sexual y la falta de investigaci</w:t>
      </w:r>
      <w:r>
        <w:rPr>
          <w:bCs/>
          <w:sz w:val="20"/>
          <w:szCs w:val="20"/>
          <w:lang w:val="es-UY"/>
        </w:rPr>
        <w:t>ó</w:t>
      </w:r>
      <w:r w:rsidRPr="00AA31E3">
        <w:rPr>
          <w:bCs/>
          <w:sz w:val="20"/>
          <w:szCs w:val="20"/>
          <w:lang w:val="es-UY"/>
        </w:rPr>
        <w:t>n, la informaci</w:t>
      </w:r>
      <w:r>
        <w:rPr>
          <w:bCs/>
          <w:sz w:val="20"/>
          <w:szCs w:val="20"/>
          <w:lang w:val="es-UY"/>
        </w:rPr>
        <w:t>ó</w:t>
      </w:r>
      <w:r w:rsidRPr="00AA31E3">
        <w:rPr>
          <w:bCs/>
          <w:sz w:val="20"/>
          <w:szCs w:val="20"/>
          <w:lang w:val="es-UY"/>
        </w:rPr>
        <w:t>n sobre los pr</w:t>
      </w:r>
      <w:r>
        <w:rPr>
          <w:bCs/>
          <w:sz w:val="20"/>
          <w:szCs w:val="20"/>
          <w:lang w:val="es-UY"/>
        </w:rPr>
        <w:t xml:space="preserve">ocesos de custodia es general y limitada y no ofrece una base para caracterizarlos como posibles violaciones de la </w:t>
      </w:r>
      <w:r w:rsidRPr="00AA31E3">
        <w:rPr>
          <w:bCs/>
          <w:sz w:val="20"/>
          <w:szCs w:val="20"/>
          <w:lang w:val="es-UY"/>
        </w:rPr>
        <w:t xml:space="preserve">Declaración Americana. La queja fundamental </w:t>
      </w:r>
      <w:r>
        <w:rPr>
          <w:bCs/>
          <w:sz w:val="20"/>
          <w:szCs w:val="20"/>
          <w:lang w:val="es-UY"/>
        </w:rPr>
        <w:t xml:space="preserve">en estudio es definir </w:t>
      </w:r>
      <w:r w:rsidRPr="00AA31E3">
        <w:rPr>
          <w:bCs/>
          <w:sz w:val="20"/>
          <w:szCs w:val="20"/>
          <w:lang w:val="es-UY"/>
        </w:rPr>
        <w:t xml:space="preserve">si la supuesta falta de respuesta de las autoridades ante las </w:t>
      </w:r>
      <w:r>
        <w:rPr>
          <w:bCs/>
          <w:sz w:val="20"/>
          <w:szCs w:val="20"/>
          <w:lang w:val="es-UY"/>
        </w:rPr>
        <w:t xml:space="preserve">denuncias </w:t>
      </w:r>
      <w:r w:rsidRPr="00AA31E3">
        <w:rPr>
          <w:bCs/>
          <w:sz w:val="20"/>
          <w:szCs w:val="20"/>
          <w:lang w:val="es-UY"/>
        </w:rPr>
        <w:t xml:space="preserve">de abuso sexual </w:t>
      </w:r>
      <w:r>
        <w:rPr>
          <w:bCs/>
          <w:sz w:val="20"/>
          <w:szCs w:val="20"/>
          <w:lang w:val="es-UY"/>
        </w:rPr>
        <w:t xml:space="preserve">dejaron a T.L. en una situación de peligro. </w:t>
      </w:r>
    </w:p>
    <w:p w14:paraId="13FDDE28" w14:textId="77777777" w:rsidR="00752CB7" w:rsidRPr="007202BE" w:rsidRDefault="00752CB7" w:rsidP="00752C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UY"/>
        </w:rPr>
      </w:pPr>
      <w:r w:rsidRPr="007202BE">
        <w:rPr>
          <w:rFonts w:asciiTheme="majorHAnsi" w:hAnsiTheme="majorHAnsi"/>
          <w:bCs/>
          <w:sz w:val="20"/>
          <w:szCs w:val="20"/>
          <w:lang w:val="es-UY"/>
        </w:rPr>
        <w:t xml:space="preserve">Finalmente, la CIDH considera que la peticionaria no ha </w:t>
      </w:r>
      <w:r>
        <w:rPr>
          <w:rFonts w:asciiTheme="majorHAnsi" w:hAnsiTheme="majorHAnsi"/>
          <w:bCs/>
          <w:sz w:val="20"/>
          <w:szCs w:val="20"/>
          <w:lang w:val="es-UY"/>
        </w:rPr>
        <w:t>fundamentado</w:t>
      </w:r>
      <w:r w:rsidRPr="007202BE">
        <w:rPr>
          <w:rFonts w:asciiTheme="majorHAnsi" w:hAnsiTheme="majorHAnsi"/>
          <w:bCs/>
          <w:sz w:val="20"/>
          <w:szCs w:val="20"/>
          <w:lang w:val="es-UY"/>
        </w:rPr>
        <w:t xml:space="preserve"> suficientemente las</w:t>
      </w:r>
      <w:r>
        <w:rPr>
          <w:rFonts w:asciiTheme="majorHAnsi" w:hAnsiTheme="majorHAnsi"/>
          <w:bCs/>
          <w:sz w:val="20"/>
          <w:szCs w:val="20"/>
          <w:lang w:val="es-UY"/>
        </w:rPr>
        <w:t xml:space="preserve"> </w:t>
      </w:r>
      <w:r w:rsidRPr="007202BE">
        <w:rPr>
          <w:rFonts w:asciiTheme="majorHAnsi" w:hAnsiTheme="majorHAnsi"/>
          <w:bCs/>
          <w:sz w:val="20"/>
          <w:szCs w:val="20"/>
          <w:lang w:val="es-UY"/>
        </w:rPr>
        <w:t xml:space="preserve">alegaciones de manera que permitan </w:t>
      </w:r>
      <w:r>
        <w:rPr>
          <w:rFonts w:asciiTheme="majorHAnsi" w:hAnsiTheme="majorHAnsi"/>
          <w:bCs/>
          <w:sz w:val="20"/>
          <w:szCs w:val="20"/>
          <w:lang w:val="es-UY"/>
        </w:rPr>
        <w:t xml:space="preserve">a </w:t>
      </w:r>
      <w:r w:rsidRPr="007202BE">
        <w:rPr>
          <w:rFonts w:asciiTheme="majorHAnsi" w:hAnsiTheme="majorHAnsi"/>
          <w:bCs/>
          <w:sz w:val="20"/>
          <w:szCs w:val="20"/>
          <w:lang w:val="es-UY"/>
        </w:rPr>
        <w:t>la</w:t>
      </w:r>
      <w:r>
        <w:rPr>
          <w:rFonts w:asciiTheme="majorHAnsi" w:hAnsiTheme="majorHAnsi"/>
          <w:bCs/>
          <w:sz w:val="20"/>
          <w:szCs w:val="20"/>
          <w:lang w:val="es-UY"/>
        </w:rPr>
        <w:t xml:space="preserve"> Comisión Interamericana determinar, para los fines de la admisibilidad de esta petición, que los hechos tienden a establecer </w:t>
      </w:r>
      <w:r w:rsidRPr="007202BE">
        <w:rPr>
          <w:rFonts w:asciiTheme="majorHAnsi" w:hAnsiTheme="majorHAnsi"/>
          <w:bCs/>
          <w:i/>
          <w:sz w:val="20"/>
          <w:szCs w:val="20"/>
          <w:lang w:val="es-UY"/>
        </w:rPr>
        <w:t>prima facie</w:t>
      </w:r>
      <w:r w:rsidRPr="007202BE">
        <w:rPr>
          <w:rFonts w:asciiTheme="majorHAnsi" w:hAnsiTheme="majorHAnsi"/>
          <w:bCs/>
          <w:sz w:val="20"/>
          <w:szCs w:val="20"/>
          <w:lang w:val="es-UY"/>
        </w:rPr>
        <w:t xml:space="preserve"> viola</w:t>
      </w:r>
      <w:r>
        <w:rPr>
          <w:rFonts w:asciiTheme="majorHAnsi" w:hAnsiTheme="majorHAnsi"/>
          <w:bCs/>
          <w:sz w:val="20"/>
          <w:szCs w:val="20"/>
          <w:lang w:val="es-UY"/>
        </w:rPr>
        <w:t>c</w:t>
      </w:r>
      <w:r w:rsidRPr="007202BE">
        <w:rPr>
          <w:rFonts w:asciiTheme="majorHAnsi" w:hAnsiTheme="majorHAnsi"/>
          <w:bCs/>
          <w:sz w:val="20"/>
          <w:szCs w:val="20"/>
          <w:lang w:val="es-UY"/>
        </w:rPr>
        <w:t>ion</w:t>
      </w:r>
      <w:r>
        <w:rPr>
          <w:rFonts w:asciiTheme="majorHAnsi" w:hAnsiTheme="majorHAnsi"/>
          <w:bCs/>
          <w:sz w:val="20"/>
          <w:szCs w:val="20"/>
          <w:lang w:val="es-UY"/>
        </w:rPr>
        <w:t>e</w:t>
      </w:r>
      <w:r w:rsidRPr="007202BE">
        <w:rPr>
          <w:rFonts w:asciiTheme="majorHAnsi" w:hAnsiTheme="majorHAnsi"/>
          <w:bCs/>
          <w:sz w:val="20"/>
          <w:szCs w:val="20"/>
          <w:lang w:val="es-UY"/>
        </w:rPr>
        <w:t xml:space="preserve">s </w:t>
      </w:r>
      <w:r>
        <w:rPr>
          <w:rFonts w:asciiTheme="majorHAnsi" w:hAnsiTheme="majorHAnsi"/>
          <w:bCs/>
          <w:sz w:val="20"/>
          <w:szCs w:val="20"/>
          <w:lang w:val="es-UY"/>
        </w:rPr>
        <w:t>de los</w:t>
      </w:r>
      <w:r w:rsidRPr="007202BE">
        <w:rPr>
          <w:rFonts w:asciiTheme="majorHAnsi" w:hAnsiTheme="majorHAnsi"/>
          <w:bCs/>
          <w:sz w:val="20"/>
          <w:szCs w:val="20"/>
          <w:lang w:val="es-UY"/>
        </w:rPr>
        <w:t xml:space="preserve"> </w:t>
      </w:r>
      <w:r>
        <w:rPr>
          <w:rFonts w:asciiTheme="majorHAnsi" w:hAnsiTheme="majorHAnsi"/>
          <w:bCs/>
          <w:sz w:val="20"/>
          <w:szCs w:val="20"/>
          <w:lang w:val="es-UY"/>
        </w:rPr>
        <w:t>a</w:t>
      </w:r>
      <w:r w:rsidRPr="007202BE">
        <w:rPr>
          <w:rFonts w:asciiTheme="majorHAnsi" w:hAnsiTheme="majorHAnsi"/>
          <w:bCs/>
          <w:sz w:val="20"/>
          <w:szCs w:val="20"/>
          <w:lang w:val="es-UY"/>
        </w:rPr>
        <w:t xml:space="preserve">rtículos IV, V, VI, </w:t>
      </w:r>
      <w:r>
        <w:rPr>
          <w:rFonts w:asciiTheme="majorHAnsi" w:hAnsiTheme="majorHAnsi"/>
          <w:bCs/>
          <w:sz w:val="20"/>
          <w:szCs w:val="20"/>
          <w:lang w:val="es-UY"/>
        </w:rPr>
        <w:t>IX, X, XXIV, XXVI y</w:t>
      </w:r>
      <w:r w:rsidRPr="007202BE">
        <w:rPr>
          <w:rFonts w:asciiTheme="majorHAnsi" w:hAnsiTheme="majorHAnsi"/>
          <w:bCs/>
          <w:sz w:val="20"/>
          <w:szCs w:val="20"/>
          <w:lang w:val="es-UY"/>
        </w:rPr>
        <w:t xml:space="preserve"> XXX </w:t>
      </w:r>
      <w:r>
        <w:rPr>
          <w:rFonts w:asciiTheme="majorHAnsi" w:hAnsiTheme="majorHAnsi"/>
          <w:bCs/>
          <w:sz w:val="20"/>
          <w:szCs w:val="20"/>
          <w:lang w:val="es-UY"/>
        </w:rPr>
        <w:t xml:space="preserve">de la </w:t>
      </w:r>
      <w:r w:rsidRPr="007202BE">
        <w:rPr>
          <w:rFonts w:asciiTheme="majorHAnsi" w:hAnsiTheme="majorHAnsi"/>
          <w:bCs/>
          <w:sz w:val="20"/>
          <w:szCs w:val="20"/>
          <w:lang w:val="es-UY"/>
        </w:rPr>
        <w:t>Declaración Americana</w:t>
      </w:r>
      <w:r w:rsidRPr="007202BE">
        <w:rPr>
          <w:rFonts w:asciiTheme="majorHAnsi" w:hAnsiTheme="majorHAnsi"/>
          <w:b/>
          <w:bCs/>
          <w:sz w:val="20"/>
          <w:szCs w:val="20"/>
          <w:lang w:val="es-UY"/>
        </w:rPr>
        <w:t>.</w:t>
      </w:r>
    </w:p>
    <w:p w14:paraId="0D405337" w14:textId="77777777" w:rsidR="00752CB7" w:rsidRPr="00552E08" w:rsidRDefault="00752CB7" w:rsidP="00752CB7">
      <w:pPr>
        <w:pStyle w:val="ListParagraph"/>
        <w:numPr>
          <w:ilvl w:val="0"/>
          <w:numId w:val="103"/>
        </w:numPr>
        <w:jc w:val="both"/>
        <w:rPr>
          <w:sz w:val="20"/>
          <w:szCs w:val="20"/>
          <w:lang w:val="es-ES"/>
        </w:rPr>
      </w:pPr>
      <w:r w:rsidRPr="005D4199">
        <w:rPr>
          <w:sz w:val="20"/>
          <w:szCs w:val="20"/>
          <w:lang w:val="es-UY"/>
        </w:rPr>
        <w:lastRenderedPageBreak/>
        <w:t>En cuanto al alegato del Estado sobre la doctrina de la cuarta instancia, la Co</w:t>
      </w:r>
      <w:r>
        <w:rPr>
          <w:sz w:val="20"/>
          <w:szCs w:val="20"/>
          <w:lang w:val="es-UY"/>
        </w:rPr>
        <w:t xml:space="preserve">misión reconoce que no tiene </w:t>
      </w:r>
      <w:r w:rsidRPr="005D4199">
        <w:rPr>
          <w:sz w:val="20"/>
          <w:szCs w:val="20"/>
          <w:lang w:val="es-UY"/>
        </w:rPr>
        <w:t>competencia para revisar las sentencias emitidas por los tribuna</w:t>
      </w:r>
      <w:r>
        <w:rPr>
          <w:sz w:val="20"/>
          <w:szCs w:val="20"/>
          <w:lang w:val="es-UY"/>
        </w:rPr>
        <w:t xml:space="preserve">les internos que actúan en el ámbito de su propia competencia, en la observancia de los derechos al debido proceso y las garantías judiciales. </w:t>
      </w:r>
      <w:r w:rsidRPr="00421BD2">
        <w:rPr>
          <w:sz w:val="20"/>
          <w:szCs w:val="20"/>
          <w:lang w:val="es-UY"/>
        </w:rPr>
        <w:t>Sin embargo, reitera que, dentro del marco de su mandato, es competent</w:t>
      </w:r>
      <w:r>
        <w:rPr>
          <w:sz w:val="20"/>
          <w:szCs w:val="20"/>
          <w:lang w:val="es-UY"/>
        </w:rPr>
        <w:t>e</w:t>
      </w:r>
      <w:r w:rsidRPr="00421BD2">
        <w:rPr>
          <w:sz w:val="20"/>
          <w:szCs w:val="20"/>
          <w:lang w:val="es-UY"/>
        </w:rPr>
        <w:t xml:space="preserve"> para declar</w:t>
      </w:r>
      <w:r>
        <w:rPr>
          <w:sz w:val="20"/>
          <w:szCs w:val="20"/>
          <w:lang w:val="es-UY"/>
        </w:rPr>
        <w:t>a</w:t>
      </w:r>
      <w:r w:rsidRPr="00421BD2">
        <w:rPr>
          <w:sz w:val="20"/>
          <w:szCs w:val="20"/>
          <w:lang w:val="es-UY"/>
        </w:rPr>
        <w:t>r una petición admisible y decidi</w:t>
      </w:r>
      <w:r>
        <w:rPr>
          <w:sz w:val="20"/>
          <w:szCs w:val="20"/>
          <w:lang w:val="es-UY"/>
        </w:rPr>
        <w:t>r</w:t>
      </w:r>
      <w:r w:rsidRPr="00421BD2">
        <w:rPr>
          <w:sz w:val="20"/>
          <w:szCs w:val="20"/>
          <w:lang w:val="es-UY"/>
        </w:rPr>
        <w:t xml:space="preserve"> </w:t>
      </w:r>
      <w:r>
        <w:rPr>
          <w:sz w:val="20"/>
          <w:szCs w:val="20"/>
          <w:lang w:val="es-UY"/>
        </w:rPr>
        <w:t>sobre el fondo</w:t>
      </w:r>
      <w:r w:rsidRPr="00421BD2">
        <w:rPr>
          <w:sz w:val="20"/>
          <w:szCs w:val="20"/>
          <w:lang w:val="es-UY"/>
        </w:rPr>
        <w:t xml:space="preserve"> cuando </w:t>
      </w:r>
      <w:r>
        <w:rPr>
          <w:sz w:val="20"/>
          <w:szCs w:val="20"/>
          <w:lang w:val="es-UY"/>
        </w:rPr>
        <w:t>l</w:t>
      </w:r>
      <w:r w:rsidRPr="00421BD2">
        <w:rPr>
          <w:sz w:val="20"/>
          <w:szCs w:val="20"/>
          <w:lang w:val="es-UY"/>
        </w:rPr>
        <w:t xml:space="preserve">a petición </w:t>
      </w:r>
      <w:r>
        <w:rPr>
          <w:sz w:val="20"/>
          <w:szCs w:val="20"/>
          <w:lang w:val="es-UY"/>
        </w:rPr>
        <w:t>se refiere a</w:t>
      </w:r>
      <w:r w:rsidRPr="00421BD2">
        <w:rPr>
          <w:sz w:val="20"/>
          <w:szCs w:val="20"/>
          <w:lang w:val="es-UY"/>
        </w:rPr>
        <w:t xml:space="preserve"> los procedimientos in</w:t>
      </w:r>
      <w:r>
        <w:rPr>
          <w:sz w:val="20"/>
          <w:szCs w:val="20"/>
          <w:lang w:val="es-UY"/>
        </w:rPr>
        <w:t xml:space="preserve">ternos que podrían violar </w:t>
      </w:r>
      <w:r w:rsidRPr="00421BD2">
        <w:rPr>
          <w:sz w:val="20"/>
          <w:szCs w:val="20"/>
          <w:lang w:val="es-UY"/>
        </w:rPr>
        <w:t>derechos</w:t>
      </w:r>
      <w:r>
        <w:rPr>
          <w:sz w:val="20"/>
          <w:szCs w:val="20"/>
          <w:lang w:val="es-UY"/>
        </w:rPr>
        <w:t xml:space="preserve"> protegidos por la Declaración Americana. </w:t>
      </w:r>
      <w:r w:rsidRPr="00421BD2">
        <w:rPr>
          <w:sz w:val="20"/>
          <w:szCs w:val="20"/>
          <w:lang w:val="es-UY"/>
        </w:rPr>
        <w:t xml:space="preserve"> </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DC386C2" w14:textId="77777777" w:rsidR="00752CB7" w:rsidRPr="0090340A" w:rsidRDefault="00752CB7" w:rsidP="00752CB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90340A">
        <w:rPr>
          <w:rFonts w:asciiTheme="majorHAnsi" w:hAnsiTheme="majorHAnsi"/>
          <w:sz w:val="20"/>
          <w:szCs w:val="20"/>
          <w:lang w:val="es-UY"/>
        </w:rPr>
        <w:t>Declarar admisible la presente petici</w:t>
      </w:r>
      <w:r>
        <w:rPr>
          <w:rFonts w:asciiTheme="majorHAnsi" w:hAnsiTheme="majorHAnsi"/>
          <w:sz w:val="20"/>
          <w:szCs w:val="20"/>
          <w:lang w:val="es-UY"/>
        </w:rPr>
        <w:t>ó</w:t>
      </w:r>
      <w:r w:rsidRPr="0090340A">
        <w:rPr>
          <w:rFonts w:asciiTheme="majorHAnsi" w:hAnsiTheme="majorHAnsi"/>
          <w:sz w:val="20"/>
          <w:szCs w:val="20"/>
          <w:lang w:val="es-UY"/>
        </w:rPr>
        <w:t xml:space="preserve">n de conformidad con los </w:t>
      </w:r>
      <w:r>
        <w:rPr>
          <w:rFonts w:asciiTheme="majorHAnsi" w:hAnsiTheme="majorHAnsi"/>
          <w:sz w:val="20"/>
          <w:szCs w:val="20"/>
          <w:lang w:val="es-UY"/>
        </w:rPr>
        <w:t>a</w:t>
      </w:r>
      <w:r w:rsidRPr="0090340A">
        <w:rPr>
          <w:rFonts w:asciiTheme="majorHAnsi" w:hAnsiTheme="majorHAnsi"/>
          <w:sz w:val="20"/>
          <w:szCs w:val="20"/>
          <w:lang w:val="es-UY"/>
        </w:rPr>
        <w:t xml:space="preserve">rtículos I, II, VII, XVII y XVIII </w:t>
      </w:r>
      <w:r>
        <w:rPr>
          <w:rFonts w:asciiTheme="majorHAnsi" w:hAnsiTheme="majorHAnsi"/>
          <w:sz w:val="20"/>
          <w:szCs w:val="20"/>
          <w:lang w:val="es-UY"/>
        </w:rPr>
        <w:t>de la</w:t>
      </w:r>
      <w:r w:rsidRPr="0090340A">
        <w:rPr>
          <w:rFonts w:asciiTheme="majorHAnsi" w:hAnsiTheme="majorHAnsi"/>
          <w:sz w:val="20"/>
          <w:szCs w:val="20"/>
          <w:lang w:val="es-UY"/>
        </w:rPr>
        <w:t xml:space="preserve"> Declaración Americana;</w:t>
      </w:r>
    </w:p>
    <w:p w14:paraId="61159FDC" w14:textId="77777777" w:rsidR="00752CB7" w:rsidRPr="0090340A" w:rsidRDefault="00752CB7" w:rsidP="00752CB7">
      <w:pPr>
        <w:pStyle w:val="ListParagraph"/>
        <w:numPr>
          <w:ilvl w:val="0"/>
          <w:numId w:val="109"/>
        </w:numPr>
        <w:jc w:val="both"/>
        <w:rPr>
          <w:rFonts w:eastAsia="Arial Unicode MS" w:cs="Times New Roman"/>
          <w:color w:val="auto"/>
          <w:sz w:val="20"/>
          <w:szCs w:val="20"/>
          <w:lang w:val="es-UY" w:eastAsia="en-US"/>
        </w:rPr>
      </w:pPr>
      <w:r w:rsidRPr="0090340A">
        <w:rPr>
          <w:rFonts w:asciiTheme="majorHAnsi" w:hAnsiTheme="majorHAnsi"/>
          <w:sz w:val="20"/>
          <w:szCs w:val="20"/>
          <w:lang w:val="es-UY"/>
        </w:rPr>
        <w:t>Declarar inadmisible la presente petición de</w:t>
      </w:r>
      <w:r>
        <w:rPr>
          <w:rFonts w:asciiTheme="majorHAnsi" w:hAnsiTheme="majorHAnsi"/>
          <w:sz w:val="20"/>
          <w:szCs w:val="20"/>
          <w:lang w:val="es-UY"/>
        </w:rPr>
        <w:t xml:space="preserve"> conformidad con los ar</w:t>
      </w:r>
      <w:r w:rsidRPr="0090340A">
        <w:rPr>
          <w:rFonts w:asciiTheme="majorHAnsi" w:hAnsiTheme="majorHAnsi"/>
          <w:sz w:val="20"/>
          <w:szCs w:val="20"/>
          <w:lang w:val="es-UY"/>
        </w:rPr>
        <w:t>tículos</w:t>
      </w:r>
      <w:r w:rsidRPr="0090340A">
        <w:rPr>
          <w:rFonts w:eastAsia="Arial Unicode MS" w:cs="Times New Roman"/>
          <w:bCs/>
          <w:color w:val="auto"/>
          <w:sz w:val="20"/>
          <w:szCs w:val="20"/>
          <w:lang w:val="es-UY" w:eastAsia="en-US"/>
        </w:rPr>
        <w:t xml:space="preserve"> IV, V, </w:t>
      </w:r>
      <w:r w:rsidRPr="0090340A">
        <w:rPr>
          <w:rFonts w:asciiTheme="majorHAnsi" w:hAnsiTheme="majorHAnsi"/>
          <w:sz w:val="20"/>
          <w:szCs w:val="20"/>
          <w:lang w:val="es-UY"/>
        </w:rPr>
        <w:t xml:space="preserve">VI, </w:t>
      </w:r>
      <w:r w:rsidRPr="0090340A">
        <w:rPr>
          <w:rFonts w:eastAsia="Arial Unicode MS" w:cs="Times New Roman"/>
          <w:bCs/>
          <w:color w:val="auto"/>
          <w:sz w:val="20"/>
          <w:szCs w:val="20"/>
          <w:lang w:val="es-UY" w:eastAsia="en-US"/>
        </w:rPr>
        <w:t>IX, X, XXIV, XXVI</w:t>
      </w:r>
      <w:r>
        <w:rPr>
          <w:rFonts w:eastAsia="Arial Unicode MS" w:cs="Times New Roman"/>
          <w:bCs/>
          <w:color w:val="auto"/>
          <w:sz w:val="20"/>
          <w:szCs w:val="20"/>
          <w:lang w:val="es-UY" w:eastAsia="en-US"/>
        </w:rPr>
        <w:t xml:space="preserve"> y</w:t>
      </w:r>
      <w:r w:rsidRPr="0090340A">
        <w:rPr>
          <w:rFonts w:eastAsia="Arial Unicode MS" w:cs="Times New Roman"/>
          <w:bCs/>
          <w:color w:val="auto"/>
          <w:sz w:val="20"/>
          <w:szCs w:val="20"/>
          <w:lang w:val="es-UY" w:eastAsia="en-US"/>
        </w:rPr>
        <w:t xml:space="preserve"> XXX </w:t>
      </w:r>
      <w:r>
        <w:rPr>
          <w:rFonts w:eastAsia="Arial Unicode MS" w:cs="Times New Roman"/>
          <w:bCs/>
          <w:color w:val="auto"/>
          <w:sz w:val="20"/>
          <w:szCs w:val="20"/>
          <w:lang w:val="es-UY" w:eastAsia="en-US"/>
        </w:rPr>
        <w:t>de la</w:t>
      </w:r>
      <w:r w:rsidRPr="0090340A">
        <w:rPr>
          <w:rFonts w:eastAsia="Arial Unicode MS" w:cs="Times New Roman"/>
          <w:bCs/>
          <w:color w:val="auto"/>
          <w:sz w:val="20"/>
          <w:szCs w:val="20"/>
          <w:lang w:val="es-UY" w:eastAsia="en-US"/>
        </w:rPr>
        <w:t xml:space="preserve"> Declaración Americana</w:t>
      </w:r>
      <w:r w:rsidRPr="0090340A">
        <w:rPr>
          <w:rFonts w:eastAsia="Arial Unicode MS" w:cs="Times New Roman"/>
          <w:color w:val="auto"/>
          <w:sz w:val="20"/>
          <w:szCs w:val="20"/>
          <w:lang w:val="es-UY" w:eastAsia="en-US"/>
        </w:rPr>
        <w:t xml:space="preserve">; </w:t>
      </w:r>
      <w:r>
        <w:rPr>
          <w:rFonts w:eastAsia="Arial Unicode MS" w:cs="Times New Roman"/>
          <w:color w:val="auto"/>
          <w:sz w:val="20"/>
          <w:szCs w:val="20"/>
          <w:lang w:val="es-UY" w:eastAsia="en-US"/>
        </w:rPr>
        <w:t>y</w:t>
      </w:r>
    </w:p>
    <w:p w14:paraId="15A29D88" w14:textId="77777777" w:rsidR="00752CB7" w:rsidRPr="0090340A" w:rsidRDefault="00752CB7" w:rsidP="00752CB7">
      <w:pPr>
        <w:pStyle w:val="ListParagraph"/>
        <w:rPr>
          <w:rFonts w:eastAsia="Arial Unicode MS" w:cs="Times New Roman"/>
          <w:color w:val="auto"/>
          <w:sz w:val="20"/>
          <w:szCs w:val="20"/>
          <w:lang w:val="es-UY" w:eastAsia="en-US"/>
        </w:rPr>
      </w:pPr>
    </w:p>
    <w:p w14:paraId="1A821F62" w14:textId="77777777" w:rsidR="00752CB7" w:rsidRPr="0090340A" w:rsidRDefault="00752CB7" w:rsidP="00752CB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90340A">
        <w:rPr>
          <w:rFonts w:asciiTheme="majorHAnsi" w:hAnsiTheme="majorHAnsi"/>
          <w:sz w:val="20"/>
          <w:szCs w:val="20"/>
          <w:lang w:val="es-UY"/>
        </w:rPr>
        <w:t>Notificar a las partes la presente decisión; continuar con el análisis de los méritos; y publicar esta decisi</w:t>
      </w:r>
      <w:r>
        <w:rPr>
          <w:rFonts w:asciiTheme="majorHAnsi" w:hAnsiTheme="majorHAnsi"/>
          <w:sz w:val="20"/>
          <w:szCs w:val="20"/>
          <w:lang w:val="es-UY"/>
        </w:rPr>
        <w:t>ó</w:t>
      </w:r>
      <w:r w:rsidRPr="0090340A">
        <w:rPr>
          <w:rFonts w:asciiTheme="majorHAnsi" w:hAnsiTheme="majorHAnsi"/>
          <w:sz w:val="20"/>
          <w:szCs w:val="20"/>
          <w:lang w:val="es-UY"/>
        </w:rPr>
        <w:t>n e incluir</w:t>
      </w:r>
      <w:r>
        <w:rPr>
          <w:rFonts w:asciiTheme="majorHAnsi" w:hAnsiTheme="majorHAnsi"/>
          <w:sz w:val="20"/>
          <w:szCs w:val="20"/>
          <w:lang w:val="es-UY"/>
        </w:rPr>
        <w:t>l</w:t>
      </w:r>
      <w:r w:rsidRPr="0090340A">
        <w:rPr>
          <w:rFonts w:asciiTheme="majorHAnsi" w:hAnsiTheme="majorHAnsi"/>
          <w:sz w:val="20"/>
          <w:szCs w:val="20"/>
          <w:lang w:val="es-UY"/>
        </w:rPr>
        <w:t>a en su Informe Anual a la Asamblea General de la Organizaci</w:t>
      </w:r>
      <w:r>
        <w:rPr>
          <w:rFonts w:asciiTheme="majorHAnsi" w:hAnsiTheme="majorHAnsi"/>
          <w:sz w:val="20"/>
          <w:szCs w:val="20"/>
          <w:lang w:val="es-UY"/>
        </w:rPr>
        <w:t>ón de los Estados Americanos</w:t>
      </w:r>
      <w:r w:rsidRPr="0090340A">
        <w:rPr>
          <w:rFonts w:asciiTheme="majorHAnsi" w:hAnsiTheme="majorHAnsi"/>
          <w:sz w:val="20"/>
          <w:szCs w:val="20"/>
          <w:lang w:val="es-UY"/>
        </w:rPr>
        <w:t>.</w:t>
      </w:r>
    </w:p>
    <w:p w14:paraId="34C6E5D5" w14:textId="420EB169" w:rsidR="00705C83" w:rsidRPr="00705C83" w:rsidRDefault="00705C83" w:rsidP="00705C83">
      <w:pPr>
        <w:suppressAutoHyphens/>
        <w:ind w:firstLine="720"/>
        <w:jc w:val="both"/>
        <w:rPr>
          <w:rFonts w:ascii="Cambria" w:hAnsi="Cambria"/>
          <w:spacing w:val="-2"/>
          <w:sz w:val="20"/>
          <w:lang w:val="es-ES"/>
        </w:rPr>
      </w:pPr>
      <w:r w:rsidRPr="00705C83">
        <w:rPr>
          <w:rFonts w:ascii="Cambria" w:hAnsi="Cambria"/>
          <w:spacing w:val="-2"/>
          <w:sz w:val="20"/>
          <w:lang w:val="es-ES"/>
        </w:rPr>
        <w:t xml:space="preserve">Aprobado por la Comisión Interamericana de Derechos Humanos en la ciudad de Bogotá, Colombia, </w:t>
      </w:r>
      <w:r>
        <w:rPr>
          <w:rFonts w:ascii="Cambria" w:hAnsi="Cambria"/>
          <w:spacing w:val="-2"/>
          <w:sz w:val="20"/>
          <w:lang w:val="es-ES"/>
        </w:rPr>
        <w:t>a los</w:t>
      </w:r>
      <w:r w:rsidRPr="00705C83">
        <w:rPr>
          <w:rFonts w:ascii="Cambria" w:hAnsi="Cambria"/>
          <w:spacing w:val="-2"/>
          <w:sz w:val="20"/>
          <w:lang w:val="es-ES"/>
        </w:rPr>
        <w:t xml:space="preserve"> 24 </w:t>
      </w:r>
      <w:r>
        <w:rPr>
          <w:rFonts w:ascii="Cambria" w:hAnsi="Cambria"/>
          <w:spacing w:val="-2"/>
          <w:sz w:val="20"/>
          <w:lang w:val="es-ES"/>
        </w:rPr>
        <w:t>días del mes de febrero de</w:t>
      </w:r>
      <w:r w:rsidRPr="00705C83">
        <w:rPr>
          <w:rFonts w:ascii="Cambria" w:hAnsi="Cambria"/>
          <w:spacing w:val="-2"/>
          <w:sz w:val="20"/>
          <w:lang w:val="es-ES"/>
        </w:rPr>
        <w:t xml:space="preserve"> 2018. (firmado):  </w:t>
      </w:r>
      <w:r w:rsidRPr="00705C83">
        <w:rPr>
          <w:rFonts w:asciiTheme="majorHAnsi" w:hAnsiTheme="majorHAnsi"/>
          <w:sz w:val="20"/>
          <w:szCs w:val="20"/>
          <w:lang w:val="es-ES"/>
        </w:rPr>
        <w:t xml:space="preserve">Margarette May Macaulay, Presidenta; Esmeralda E. Arosemena Bernal de Troitiño, </w:t>
      </w:r>
      <w:r>
        <w:rPr>
          <w:rFonts w:asciiTheme="majorHAnsi" w:hAnsiTheme="majorHAnsi"/>
          <w:sz w:val="20"/>
          <w:szCs w:val="20"/>
          <w:lang w:val="es-ES"/>
        </w:rPr>
        <w:t>Primera</w:t>
      </w:r>
      <w:r w:rsidRPr="00705C83">
        <w:rPr>
          <w:rFonts w:asciiTheme="majorHAnsi" w:hAnsiTheme="majorHAnsi"/>
          <w:sz w:val="20"/>
          <w:szCs w:val="20"/>
          <w:lang w:val="es-ES"/>
        </w:rPr>
        <w:t xml:space="preserve"> Vice</w:t>
      </w:r>
      <w:r>
        <w:rPr>
          <w:rFonts w:asciiTheme="majorHAnsi" w:hAnsiTheme="majorHAnsi"/>
          <w:sz w:val="20"/>
          <w:szCs w:val="20"/>
          <w:lang w:val="es-ES"/>
        </w:rPr>
        <w:t>p</w:t>
      </w:r>
      <w:r w:rsidRPr="00705C83">
        <w:rPr>
          <w:rFonts w:asciiTheme="majorHAnsi" w:hAnsiTheme="majorHAnsi"/>
          <w:sz w:val="20"/>
          <w:szCs w:val="20"/>
          <w:lang w:val="es-ES"/>
        </w:rPr>
        <w:t>resident</w:t>
      </w:r>
      <w:r>
        <w:rPr>
          <w:rFonts w:asciiTheme="majorHAnsi" w:hAnsiTheme="majorHAnsi"/>
          <w:sz w:val="20"/>
          <w:szCs w:val="20"/>
          <w:lang w:val="es-ES"/>
        </w:rPr>
        <w:t>a</w:t>
      </w:r>
      <w:r w:rsidRPr="00705C83">
        <w:rPr>
          <w:rFonts w:asciiTheme="majorHAnsi" w:hAnsiTheme="majorHAnsi"/>
          <w:sz w:val="20"/>
          <w:szCs w:val="20"/>
          <w:lang w:val="es-ES"/>
        </w:rPr>
        <w:t xml:space="preserve">; Luis Ernesto Vargas Silva, </w:t>
      </w:r>
      <w:r>
        <w:rPr>
          <w:rFonts w:asciiTheme="majorHAnsi" w:hAnsiTheme="majorHAnsi"/>
          <w:sz w:val="20"/>
          <w:szCs w:val="20"/>
          <w:lang w:val="es-ES"/>
        </w:rPr>
        <w:t>Segundo</w:t>
      </w:r>
      <w:r w:rsidRPr="00705C83">
        <w:rPr>
          <w:rFonts w:asciiTheme="majorHAnsi" w:hAnsiTheme="majorHAnsi"/>
          <w:sz w:val="20"/>
          <w:szCs w:val="20"/>
          <w:lang w:val="es-ES"/>
        </w:rPr>
        <w:t xml:space="preserve"> Vice</w:t>
      </w:r>
      <w:r>
        <w:rPr>
          <w:rFonts w:asciiTheme="majorHAnsi" w:hAnsiTheme="majorHAnsi"/>
          <w:sz w:val="20"/>
          <w:szCs w:val="20"/>
          <w:lang w:val="es-ES"/>
        </w:rPr>
        <w:t>p</w:t>
      </w:r>
      <w:r w:rsidRPr="00705C83">
        <w:rPr>
          <w:rFonts w:asciiTheme="majorHAnsi" w:hAnsiTheme="majorHAnsi"/>
          <w:sz w:val="20"/>
          <w:szCs w:val="20"/>
          <w:lang w:val="es-ES"/>
        </w:rPr>
        <w:t>resident</w:t>
      </w:r>
      <w:r>
        <w:rPr>
          <w:rFonts w:asciiTheme="majorHAnsi" w:hAnsiTheme="majorHAnsi"/>
          <w:sz w:val="20"/>
          <w:szCs w:val="20"/>
          <w:lang w:val="es-ES"/>
        </w:rPr>
        <w:t>e</w:t>
      </w:r>
      <w:r w:rsidRPr="00705C83">
        <w:rPr>
          <w:rFonts w:asciiTheme="majorHAnsi" w:hAnsiTheme="majorHAnsi"/>
          <w:sz w:val="20"/>
          <w:szCs w:val="20"/>
          <w:lang w:val="es-ES"/>
        </w:rPr>
        <w:t xml:space="preserve">; Francisco José Eguiguren Praeli, Joel Hernández García, Antonia Urrejola, </w:t>
      </w:r>
      <w:r>
        <w:rPr>
          <w:rFonts w:asciiTheme="majorHAnsi" w:hAnsiTheme="majorHAnsi"/>
          <w:sz w:val="20"/>
          <w:szCs w:val="20"/>
          <w:lang w:val="es-ES"/>
        </w:rPr>
        <w:t>y</w:t>
      </w:r>
      <w:r w:rsidRPr="00705C83">
        <w:rPr>
          <w:rFonts w:asciiTheme="majorHAnsi" w:hAnsiTheme="majorHAnsi"/>
          <w:sz w:val="20"/>
          <w:szCs w:val="20"/>
          <w:lang w:val="es-ES"/>
        </w:rPr>
        <w:t xml:space="preserve"> Flávia Piovesan,</w:t>
      </w:r>
      <w:r w:rsidRPr="00705C83">
        <w:rPr>
          <w:rFonts w:ascii="Cambria" w:hAnsi="Cambria" w:cs="Arial"/>
          <w:noProof/>
          <w:spacing w:val="-2"/>
          <w:sz w:val="20"/>
          <w:lang w:val="es-ES"/>
        </w:rPr>
        <w:t xml:space="preserve"> </w:t>
      </w:r>
      <w:r>
        <w:rPr>
          <w:rFonts w:ascii="Cambria" w:hAnsi="Cambria"/>
          <w:spacing w:val="-2"/>
          <w:sz w:val="20"/>
          <w:lang w:val="es-ES"/>
        </w:rPr>
        <w:t>Miembros de la Comisi</w:t>
      </w:r>
      <w:r w:rsidRPr="00705C83">
        <w:rPr>
          <w:rFonts w:ascii="Cambria" w:hAnsi="Cambria"/>
          <w:spacing w:val="-2"/>
          <w:sz w:val="20"/>
          <w:lang w:val="es-ES"/>
        </w:rPr>
        <w:t>ón.</w:t>
      </w:r>
    </w:p>
    <w:p w14:paraId="7CD4DFBD" w14:textId="77777777" w:rsidR="003239B8" w:rsidRPr="00705C83"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705C83"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05C83" w:rsidRDefault="008D768D" w:rsidP="001D65EF">
      <w:pPr>
        <w:tabs>
          <w:tab w:val="center" w:pos="5400"/>
        </w:tabs>
        <w:suppressAutoHyphens/>
        <w:spacing w:line="276" w:lineRule="auto"/>
        <w:rPr>
          <w:rFonts w:asciiTheme="majorHAnsi" w:hAnsiTheme="majorHAnsi"/>
          <w:sz w:val="20"/>
          <w:szCs w:val="20"/>
          <w:lang w:val="es-ES"/>
        </w:rPr>
      </w:pPr>
    </w:p>
    <w:p w14:paraId="6AC80CA6" w14:textId="77777777" w:rsidR="00722C9F" w:rsidRPr="00705C83" w:rsidRDefault="00722C9F" w:rsidP="00974491">
      <w:pPr>
        <w:rPr>
          <w:rFonts w:ascii="Cambria" w:hAnsi="Cambria" w:cs="Calibri"/>
          <w:sz w:val="20"/>
          <w:szCs w:val="20"/>
          <w:lang w:val="es-ES"/>
        </w:rPr>
      </w:pPr>
    </w:p>
    <w:sectPr w:rsidR="00722C9F" w:rsidRPr="00705C8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1A4E2" w14:textId="77777777" w:rsidR="006F75AE" w:rsidRDefault="006F75AE">
      <w:r>
        <w:separator/>
      </w:r>
    </w:p>
  </w:endnote>
  <w:endnote w:type="continuationSeparator" w:id="0">
    <w:p w14:paraId="0A7060FA" w14:textId="77777777" w:rsidR="006F75AE" w:rsidRDefault="006F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D8507" w14:textId="77777777" w:rsidR="003D514C" w:rsidRDefault="003D51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F2233">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F643A" w14:textId="77777777" w:rsidR="006F75AE" w:rsidRPr="000F35ED" w:rsidRDefault="006F75A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2333C2" w14:textId="77777777" w:rsidR="006F75AE" w:rsidRPr="000F35ED" w:rsidRDefault="006F75AE" w:rsidP="000F35ED">
      <w:pPr>
        <w:rPr>
          <w:rFonts w:asciiTheme="majorHAnsi" w:hAnsiTheme="majorHAnsi"/>
          <w:sz w:val="16"/>
          <w:szCs w:val="16"/>
        </w:rPr>
      </w:pPr>
      <w:r w:rsidRPr="000F35ED">
        <w:rPr>
          <w:rFonts w:asciiTheme="majorHAnsi" w:hAnsiTheme="majorHAnsi"/>
          <w:sz w:val="16"/>
          <w:szCs w:val="16"/>
        </w:rPr>
        <w:separator/>
      </w:r>
    </w:p>
    <w:p w14:paraId="1D857F75" w14:textId="77777777" w:rsidR="006F75AE" w:rsidRPr="000F35ED" w:rsidRDefault="006F75A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0BFC6A0" w14:textId="77777777" w:rsidR="006F75AE" w:rsidRPr="000F35ED" w:rsidRDefault="006F75A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E96CE9A" w14:textId="77777777" w:rsidR="00752CB7" w:rsidRPr="006F7B56" w:rsidRDefault="00752CB7" w:rsidP="00752CB7">
      <w:pPr>
        <w:pStyle w:val="FootnoteText"/>
        <w:ind w:firstLine="720"/>
        <w:jc w:val="both"/>
        <w:rPr>
          <w:rFonts w:asciiTheme="majorHAnsi" w:hAnsiTheme="majorHAnsi"/>
          <w:sz w:val="16"/>
          <w:szCs w:val="16"/>
          <w:lang w:val="es-UY"/>
        </w:rPr>
      </w:pPr>
      <w:r w:rsidRPr="00081240">
        <w:rPr>
          <w:rStyle w:val="FootnoteReference"/>
          <w:rFonts w:asciiTheme="majorHAnsi" w:hAnsiTheme="majorHAnsi"/>
          <w:sz w:val="16"/>
          <w:szCs w:val="16"/>
        </w:rPr>
        <w:footnoteRef/>
      </w:r>
      <w:r w:rsidRPr="006F7B56">
        <w:rPr>
          <w:rFonts w:asciiTheme="majorHAnsi" w:hAnsiTheme="majorHAnsi"/>
          <w:sz w:val="16"/>
          <w:szCs w:val="16"/>
          <w:lang w:val="es-UY"/>
        </w:rPr>
        <w:t xml:space="preserve"> En adelante, “Declaración” o “Declaración</w:t>
      </w:r>
      <w:r>
        <w:rPr>
          <w:rFonts w:asciiTheme="majorHAnsi" w:hAnsiTheme="majorHAnsi"/>
          <w:sz w:val="16"/>
          <w:szCs w:val="16"/>
          <w:lang w:val="es-UY"/>
        </w:rPr>
        <w:t xml:space="preserve"> Americana</w:t>
      </w:r>
      <w:r w:rsidRPr="006F7B56">
        <w:rPr>
          <w:rFonts w:asciiTheme="majorHAnsi" w:hAnsiTheme="majorHAnsi"/>
          <w:sz w:val="16"/>
          <w:szCs w:val="16"/>
          <w:lang w:val="es-UY"/>
        </w:rPr>
        <w:t>.”</w:t>
      </w:r>
    </w:p>
  </w:footnote>
  <w:footnote w:id="3">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2394295B" w14:textId="77777777" w:rsidR="00752CB7" w:rsidRPr="00C138E6" w:rsidRDefault="00752CB7" w:rsidP="00752CB7">
      <w:pPr>
        <w:spacing w:after="120"/>
        <w:ind w:firstLine="720"/>
        <w:jc w:val="both"/>
        <w:rPr>
          <w:rFonts w:asciiTheme="majorHAnsi" w:hAnsiTheme="majorHAnsi"/>
          <w:sz w:val="16"/>
          <w:szCs w:val="16"/>
        </w:rPr>
      </w:pPr>
      <w:r w:rsidRPr="00081240">
        <w:rPr>
          <w:rStyle w:val="FootnoteReference"/>
          <w:rFonts w:asciiTheme="majorHAnsi" w:hAnsiTheme="majorHAnsi"/>
          <w:sz w:val="16"/>
          <w:szCs w:val="16"/>
        </w:rPr>
        <w:footnoteRef/>
      </w:r>
      <w:r w:rsidRPr="00DF7D4E">
        <w:rPr>
          <w:rFonts w:asciiTheme="majorHAnsi" w:hAnsiTheme="majorHAnsi"/>
          <w:sz w:val="16"/>
          <w:szCs w:val="16"/>
          <w:lang w:val="es-UY"/>
        </w:rPr>
        <w:t xml:space="preserve"> CIDH, Informe Nº 73/12, Petición 15/12, Admisibilidad, Edgar Tamayo Arias. </w:t>
      </w:r>
      <w:r>
        <w:rPr>
          <w:rFonts w:asciiTheme="majorHAnsi" w:hAnsiTheme="majorHAnsi"/>
          <w:sz w:val="16"/>
          <w:szCs w:val="16"/>
          <w:lang w:val="es-UY"/>
        </w:rPr>
        <w:t>Estados Unidos</w:t>
      </w:r>
      <w:r w:rsidRPr="00081240">
        <w:rPr>
          <w:rFonts w:asciiTheme="majorHAnsi" w:hAnsiTheme="majorHAnsi"/>
          <w:sz w:val="16"/>
          <w:szCs w:val="16"/>
        </w:rPr>
        <w:t>, 17</w:t>
      </w:r>
      <w:r>
        <w:rPr>
          <w:rFonts w:asciiTheme="majorHAnsi" w:hAnsiTheme="majorHAnsi"/>
          <w:sz w:val="16"/>
          <w:szCs w:val="16"/>
        </w:rPr>
        <w:t xml:space="preserve"> de julio de</w:t>
      </w:r>
      <w:r w:rsidRPr="00081240">
        <w:rPr>
          <w:rFonts w:asciiTheme="majorHAnsi" w:hAnsiTheme="majorHAnsi"/>
          <w:sz w:val="16"/>
          <w:szCs w:val="16"/>
        </w:rPr>
        <w:t xml:space="preserve"> 2012, p</w:t>
      </w:r>
      <w:r>
        <w:rPr>
          <w:rFonts w:asciiTheme="majorHAnsi" w:hAnsiTheme="majorHAnsi"/>
          <w:sz w:val="16"/>
          <w:szCs w:val="16"/>
        </w:rPr>
        <w:t>árr</w:t>
      </w:r>
      <w:r w:rsidRPr="00081240">
        <w:rPr>
          <w:rFonts w:asciiTheme="majorHAnsi" w:hAnsiTheme="majorHAnsi"/>
          <w:sz w:val="16"/>
          <w:szCs w:val="16"/>
        </w:rPr>
        <w:t>.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F75A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D3CF1" w14:textId="77777777" w:rsidR="003D514C" w:rsidRDefault="003D5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99CE0950"/>
    <w:lvl w:ilvl="0" w:tplc="B7060A32">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37EF"/>
    <w:rsid w:val="00040C3A"/>
    <w:rsid w:val="000419AD"/>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B3A00"/>
    <w:rsid w:val="001C1B41"/>
    <w:rsid w:val="001D65EF"/>
    <w:rsid w:val="001E49E7"/>
    <w:rsid w:val="001F7201"/>
    <w:rsid w:val="00223A29"/>
    <w:rsid w:val="002250A3"/>
    <w:rsid w:val="00235217"/>
    <w:rsid w:val="00246D1F"/>
    <w:rsid w:val="00247403"/>
    <w:rsid w:val="00247542"/>
    <w:rsid w:val="00266B61"/>
    <w:rsid w:val="0026712A"/>
    <w:rsid w:val="002704DB"/>
    <w:rsid w:val="002A0AAE"/>
    <w:rsid w:val="002A5820"/>
    <w:rsid w:val="002D2B26"/>
    <w:rsid w:val="002D7EA2"/>
    <w:rsid w:val="002E187C"/>
    <w:rsid w:val="002F2233"/>
    <w:rsid w:val="00302733"/>
    <w:rsid w:val="00314078"/>
    <w:rsid w:val="0031535D"/>
    <w:rsid w:val="003239B8"/>
    <w:rsid w:val="0033169F"/>
    <w:rsid w:val="00344977"/>
    <w:rsid w:val="00346C95"/>
    <w:rsid w:val="00356185"/>
    <w:rsid w:val="00360380"/>
    <w:rsid w:val="0037519E"/>
    <w:rsid w:val="00386CF0"/>
    <w:rsid w:val="003B70FB"/>
    <w:rsid w:val="003C676B"/>
    <w:rsid w:val="003D3BC2"/>
    <w:rsid w:val="003D514C"/>
    <w:rsid w:val="003E6CA1"/>
    <w:rsid w:val="003F555F"/>
    <w:rsid w:val="004065A8"/>
    <w:rsid w:val="004165C2"/>
    <w:rsid w:val="00441ECB"/>
    <w:rsid w:val="00445193"/>
    <w:rsid w:val="00462C1B"/>
    <w:rsid w:val="00467B7E"/>
    <w:rsid w:val="00473BB4"/>
    <w:rsid w:val="00477592"/>
    <w:rsid w:val="00486F1C"/>
    <w:rsid w:val="0049419D"/>
    <w:rsid w:val="004A6A54"/>
    <w:rsid w:val="004C20D2"/>
    <w:rsid w:val="004C2312"/>
    <w:rsid w:val="004C4B62"/>
    <w:rsid w:val="004C54C9"/>
    <w:rsid w:val="004D4ABA"/>
    <w:rsid w:val="004D6025"/>
    <w:rsid w:val="004E2649"/>
    <w:rsid w:val="00501399"/>
    <w:rsid w:val="0050633D"/>
    <w:rsid w:val="00507BC4"/>
    <w:rsid w:val="005128E4"/>
    <w:rsid w:val="005133DB"/>
    <w:rsid w:val="00525560"/>
    <w:rsid w:val="00544C49"/>
    <w:rsid w:val="005516A1"/>
    <w:rsid w:val="00563557"/>
    <w:rsid w:val="0057402A"/>
    <w:rsid w:val="005771D0"/>
    <w:rsid w:val="0059191A"/>
    <w:rsid w:val="005921FF"/>
    <w:rsid w:val="005A24ED"/>
    <w:rsid w:val="005A6D0E"/>
    <w:rsid w:val="005B52B0"/>
    <w:rsid w:val="005B6806"/>
    <w:rsid w:val="005C4225"/>
    <w:rsid w:val="005F0DAD"/>
    <w:rsid w:val="005F0F33"/>
    <w:rsid w:val="00600DEB"/>
    <w:rsid w:val="00615963"/>
    <w:rsid w:val="00627C9F"/>
    <w:rsid w:val="006311E9"/>
    <w:rsid w:val="00632354"/>
    <w:rsid w:val="00642810"/>
    <w:rsid w:val="00652333"/>
    <w:rsid w:val="00656F7F"/>
    <w:rsid w:val="0068009E"/>
    <w:rsid w:val="00692219"/>
    <w:rsid w:val="006A17D2"/>
    <w:rsid w:val="006A73E6"/>
    <w:rsid w:val="006B2D5C"/>
    <w:rsid w:val="006C4EB1"/>
    <w:rsid w:val="006E0166"/>
    <w:rsid w:val="006E7B34"/>
    <w:rsid w:val="006F75AE"/>
    <w:rsid w:val="00705C83"/>
    <w:rsid w:val="0070697F"/>
    <w:rsid w:val="0072199C"/>
    <w:rsid w:val="00722C9F"/>
    <w:rsid w:val="007253B8"/>
    <w:rsid w:val="0073741F"/>
    <w:rsid w:val="00752CB7"/>
    <w:rsid w:val="0076643F"/>
    <w:rsid w:val="00777F63"/>
    <w:rsid w:val="007A5817"/>
    <w:rsid w:val="007B05C4"/>
    <w:rsid w:val="007B60E9"/>
    <w:rsid w:val="007B6CC3"/>
    <w:rsid w:val="007B76D3"/>
    <w:rsid w:val="007C3334"/>
    <w:rsid w:val="007D2B98"/>
    <w:rsid w:val="007E21BC"/>
    <w:rsid w:val="007E7C82"/>
    <w:rsid w:val="007F588D"/>
    <w:rsid w:val="00803F1C"/>
    <w:rsid w:val="0080600E"/>
    <w:rsid w:val="00817612"/>
    <w:rsid w:val="008338A4"/>
    <w:rsid w:val="00834D49"/>
    <w:rsid w:val="00837C45"/>
    <w:rsid w:val="00844730"/>
    <w:rsid w:val="008457C2"/>
    <w:rsid w:val="00857A82"/>
    <w:rsid w:val="00873836"/>
    <w:rsid w:val="00885737"/>
    <w:rsid w:val="00890650"/>
    <w:rsid w:val="00897E12"/>
    <w:rsid w:val="008A7E0F"/>
    <w:rsid w:val="008B12F5"/>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7BC5"/>
    <w:rsid w:val="009A4F41"/>
    <w:rsid w:val="009B381B"/>
    <w:rsid w:val="009B3EF6"/>
    <w:rsid w:val="009D1753"/>
    <w:rsid w:val="009D7611"/>
    <w:rsid w:val="009E0B61"/>
    <w:rsid w:val="009E53DE"/>
    <w:rsid w:val="00A11E44"/>
    <w:rsid w:val="00A328B3"/>
    <w:rsid w:val="00A50FCF"/>
    <w:rsid w:val="00A528D1"/>
    <w:rsid w:val="00A610CD"/>
    <w:rsid w:val="00A758AA"/>
    <w:rsid w:val="00AA09A2"/>
    <w:rsid w:val="00AA7996"/>
    <w:rsid w:val="00AC19CB"/>
    <w:rsid w:val="00AE5488"/>
    <w:rsid w:val="00AE6F91"/>
    <w:rsid w:val="00AF5571"/>
    <w:rsid w:val="00B07341"/>
    <w:rsid w:val="00B30539"/>
    <w:rsid w:val="00B314DB"/>
    <w:rsid w:val="00B361F2"/>
    <w:rsid w:val="00B3718B"/>
    <w:rsid w:val="00B4632A"/>
    <w:rsid w:val="00B530F1"/>
    <w:rsid w:val="00B77201"/>
    <w:rsid w:val="00BA276C"/>
    <w:rsid w:val="00BB306F"/>
    <w:rsid w:val="00BD4B89"/>
    <w:rsid w:val="00BD5922"/>
    <w:rsid w:val="00BF02CB"/>
    <w:rsid w:val="00BF6FD8"/>
    <w:rsid w:val="00C03680"/>
    <w:rsid w:val="00C054DF"/>
    <w:rsid w:val="00C21762"/>
    <w:rsid w:val="00C21FEF"/>
    <w:rsid w:val="00C24543"/>
    <w:rsid w:val="00C256A2"/>
    <w:rsid w:val="00C34B21"/>
    <w:rsid w:val="00C51515"/>
    <w:rsid w:val="00C5660B"/>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22240"/>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7023"/>
    <w:rsid w:val="00DC769A"/>
    <w:rsid w:val="00DD3D86"/>
    <w:rsid w:val="00DF1EC4"/>
    <w:rsid w:val="00E0340B"/>
    <w:rsid w:val="00E04A90"/>
    <w:rsid w:val="00E0551F"/>
    <w:rsid w:val="00E219C7"/>
    <w:rsid w:val="00E4118C"/>
    <w:rsid w:val="00E43157"/>
    <w:rsid w:val="00E461CE"/>
    <w:rsid w:val="00E720CA"/>
    <w:rsid w:val="00E84EB5"/>
    <w:rsid w:val="00E85662"/>
    <w:rsid w:val="00E8789F"/>
    <w:rsid w:val="00E97B71"/>
    <w:rsid w:val="00EA3D34"/>
    <w:rsid w:val="00EB454D"/>
    <w:rsid w:val="00ED549D"/>
    <w:rsid w:val="00ED76BE"/>
    <w:rsid w:val="00EE00E9"/>
    <w:rsid w:val="00EF619B"/>
    <w:rsid w:val="00F00B55"/>
    <w:rsid w:val="00F02AD1"/>
    <w:rsid w:val="00F253CC"/>
    <w:rsid w:val="00F37106"/>
    <w:rsid w:val="00F519CF"/>
    <w:rsid w:val="00F56BA5"/>
    <w:rsid w:val="00F60E22"/>
    <w:rsid w:val="00F81395"/>
    <w:rsid w:val="00F81BB8"/>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martTagTypeLegixLinks" w:name="LegixLink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32405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5949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535A"/>
    <w:rsid w:val="001B74A7"/>
    <w:rsid w:val="00200821"/>
    <w:rsid w:val="00394049"/>
    <w:rsid w:val="004F2DF8"/>
    <w:rsid w:val="009A261B"/>
    <w:rsid w:val="00AC15A4"/>
    <w:rsid w:val="00B0336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37F56-4280-4593-9F07-2AEB4837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2936</Words>
  <Characters>15238</Characters>
  <Application>Microsoft Office Word</Application>
  <DocSecurity>0</DocSecurity>
  <Lines>331</Lines>
  <Paragraphs>89</Paragraphs>
  <ScaleCrop>false</ScaleCrop>
  <Company/>
  <LinksUpToDate>false</LinksUpToDate>
  <CharactersWithSpaces>18085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9/18</dc:title>
  <dc:creator/>
  <cp:lastModifiedBy/>
  <cp:revision>1</cp:revision>
  <dcterms:created xsi:type="dcterms:W3CDTF">2018-05-16T11:51:00Z</dcterms:created>
  <dcterms:modified xsi:type="dcterms:W3CDTF">2018-05-16T11:51:00Z</dcterms:modified>
</cp:coreProperties>
</file>