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lang w:val="en-US" w:eastAsia="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lang w:val="en-US" w:eastAsia="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rPr>
      </w:pPr>
    </w:p>
    <w:p w:rsidR="00040C3A" w:rsidRPr="0090270B" w:rsidRDefault="00040C3A" w:rsidP="00040C3A">
      <w:pPr>
        <w:tabs>
          <w:tab w:val="center" w:pos="5400"/>
        </w:tabs>
        <w:suppressAutoHyphens/>
        <w:jc w:val="both"/>
        <w:rPr>
          <w:rFonts w:asciiTheme="majorHAnsi" w:hAnsiTheme="majorHAnsi"/>
          <w:sz w:val="22"/>
          <w:szCs w:val="22"/>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C0AA1">
                              <w:rPr>
                                <w:rFonts w:asciiTheme="majorHAnsi" w:hAnsiTheme="majorHAnsi" w:cs="Arial"/>
                                <w:b/>
                                <w:bCs/>
                                <w:color w:val="0D0D0D" w:themeColor="text1" w:themeTint="F2"/>
                                <w:sz w:val="36"/>
                                <w:szCs w:val="22"/>
                                <w:lang w:val="es-ES_tradnl"/>
                              </w:rPr>
                              <w:t xml:space="preserve"> 124</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2842">
                              <w:rPr>
                                <w:rFonts w:asciiTheme="majorHAnsi" w:hAnsiTheme="majorHAnsi" w:cs="Arial"/>
                                <w:b/>
                                <w:color w:val="0D0D0D" w:themeColor="text1" w:themeTint="F2"/>
                                <w:sz w:val="36"/>
                                <w:szCs w:val="22"/>
                                <w:lang w:val="es-ES_tradnl"/>
                              </w:rPr>
                              <w:t>21-08</w:t>
                            </w:r>
                            <w:r w:rsidR="00246D1F" w:rsidRPr="004E2649">
                              <w:rPr>
                                <w:rFonts w:asciiTheme="majorHAnsi" w:hAnsiTheme="majorHAnsi" w:cs="Arial"/>
                                <w:b/>
                                <w:color w:val="0D0D0D" w:themeColor="text1" w:themeTint="F2"/>
                                <w:sz w:val="36"/>
                                <w:szCs w:val="22"/>
                                <w:lang w:val="es-ES_tradnl"/>
                              </w:rPr>
                              <w:t xml:space="preserve"> </w:t>
                            </w:r>
                          </w:p>
                          <w:p w:rsidR="00CD046C" w:rsidRPr="005673B3" w:rsidRDefault="005B52B0" w:rsidP="00997BC5">
                            <w:pPr>
                              <w:spacing w:line="276" w:lineRule="auto"/>
                              <w:rPr>
                                <w:rFonts w:asciiTheme="majorHAnsi" w:hAnsiTheme="majorHAnsi" w:cs="Arial"/>
                                <w:color w:val="0D0D0D" w:themeColor="text1" w:themeTint="F2"/>
                                <w:sz w:val="24"/>
                                <w:szCs w:val="24"/>
                                <w:lang w:val="es-ES_tradnl"/>
                              </w:rPr>
                            </w:pPr>
                            <w:r w:rsidRPr="005673B3">
                              <w:rPr>
                                <w:rFonts w:asciiTheme="majorHAnsi" w:hAnsiTheme="majorHAnsi" w:cs="Arial"/>
                                <w:color w:val="0D0D0D" w:themeColor="text1" w:themeTint="F2"/>
                                <w:sz w:val="24"/>
                                <w:szCs w:val="24"/>
                                <w:lang w:val="es-ES_tradnl"/>
                              </w:rPr>
                              <w:t>INFORME DE ADMISIBILIDAD</w:t>
                            </w:r>
                            <w:r w:rsidR="008F1912" w:rsidRPr="005673B3">
                              <w:rPr>
                                <w:rFonts w:asciiTheme="majorHAnsi" w:hAnsiTheme="majorHAnsi" w:cs="Arial"/>
                                <w:color w:val="0D0D0D" w:themeColor="text1" w:themeTint="F2"/>
                                <w:sz w:val="24"/>
                                <w:szCs w:val="24"/>
                                <w:lang w:val="es-ES_tradnl"/>
                              </w:rPr>
                              <w:t xml:space="preserve"> </w:t>
                            </w:r>
                          </w:p>
                          <w:p w:rsidR="008F1912" w:rsidRPr="005673B3" w:rsidRDefault="008F1912" w:rsidP="00997BC5">
                            <w:pPr>
                              <w:spacing w:line="276" w:lineRule="auto"/>
                              <w:rPr>
                                <w:rFonts w:asciiTheme="majorHAnsi" w:hAnsiTheme="majorHAnsi" w:cs="Arial"/>
                                <w:color w:val="0D0D0D" w:themeColor="text1" w:themeTint="F2"/>
                                <w:sz w:val="24"/>
                                <w:szCs w:val="24"/>
                                <w:lang w:val="es-ES_tradnl"/>
                              </w:rPr>
                            </w:pPr>
                            <w:bookmarkStart w:id="1" w:name="_ftnref1"/>
                          </w:p>
                          <w:p w:rsidR="005B52B0" w:rsidRPr="005673B3" w:rsidRDefault="00F46CB9" w:rsidP="00997BC5">
                            <w:pPr>
                              <w:spacing w:line="276" w:lineRule="auto"/>
                              <w:rPr>
                                <w:rFonts w:asciiTheme="majorHAnsi" w:hAnsiTheme="majorHAnsi" w:cs="Arial"/>
                                <w:color w:val="0D0D0D" w:themeColor="text1" w:themeTint="F2"/>
                                <w:sz w:val="24"/>
                                <w:szCs w:val="24"/>
                                <w:lang w:val="es-MX"/>
                              </w:rPr>
                            </w:pPr>
                            <w:r w:rsidRPr="005673B3">
                              <w:rPr>
                                <w:rFonts w:asciiTheme="majorHAnsi" w:hAnsiTheme="majorHAnsi" w:cs="Arial"/>
                                <w:color w:val="0D0D0D" w:themeColor="text1" w:themeTint="F2"/>
                                <w:sz w:val="24"/>
                                <w:szCs w:val="24"/>
                                <w:lang w:val="es-ES_tradnl"/>
                              </w:rPr>
                              <w:t>FERNANDA L</w:t>
                            </w:r>
                            <w:r w:rsidRPr="005673B3">
                              <w:rPr>
                                <w:rFonts w:asciiTheme="majorHAnsi" w:hAnsiTheme="majorHAnsi" w:cs="Arial"/>
                                <w:color w:val="0D0D0D" w:themeColor="text1" w:themeTint="F2"/>
                                <w:sz w:val="24"/>
                                <w:szCs w:val="24"/>
                                <w:lang w:val="es-MX"/>
                              </w:rPr>
                              <w:t xml:space="preserve">ÓPEZ MEDINA </w:t>
                            </w:r>
                            <w:r w:rsidR="005673B3">
                              <w:rPr>
                                <w:rFonts w:asciiTheme="majorHAnsi" w:hAnsiTheme="majorHAnsi" w:cs="Arial"/>
                                <w:color w:val="0D0D0D" w:themeColor="text1" w:themeTint="F2"/>
                                <w:sz w:val="24"/>
                                <w:szCs w:val="24"/>
                                <w:lang w:val="es-MX"/>
                              </w:rPr>
                              <w:t>Y OTROS</w:t>
                            </w:r>
                          </w:p>
                          <w:bookmarkEnd w:id="1"/>
                          <w:p w:rsidR="005B52B0" w:rsidRPr="005673B3" w:rsidRDefault="00582842" w:rsidP="00997BC5">
                            <w:pPr>
                              <w:spacing w:line="276" w:lineRule="auto"/>
                              <w:rPr>
                                <w:rFonts w:asciiTheme="majorHAnsi" w:hAnsiTheme="majorHAnsi" w:cs="Arial"/>
                                <w:color w:val="0D0D0D" w:themeColor="text1" w:themeTint="F2"/>
                                <w:sz w:val="24"/>
                                <w:szCs w:val="24"/>
                              </w:rPr>
                            </w:pPr>
                            <w:r w:rsidRPr="005673B3">
                              <w:rPr>
                                <w:rFonts w:asciiTheme="majorHAnsi" w:hAnsiTheme="majorHAnsi" w:cs="Arial"/>
                                <w:color w:val="0D0D0D" w:themeColor="text1" w:themeTint="F2"/>
                                <w:sz w:val="24"/>
                                <w:szCs w:val="24"/>
                                <w:lang w:val="es-ES_tradnl"/>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C0AA1">
                        <w:rPr>
                          <w:rFonts w:asciiTheme="majorHAnsi" w:hAnsiTheme="majorHAnsi" w:cs="Arial"/>
                          <w:b/>
                          <w:bCs/>
                          <w:color w:val="0D0D0D" w:themeColor="text1" w:themeTint="F2"/>
                          <w:sz w:val="36"/>
                          <w:szCs w:val="22"/>
                          <w:lang w:val="es-ES_tradnl"/>
                        </w:rPr>
                        <w:t xml:space="preserve"> 124</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2842">
                        <w:rPr>
                          <w:rFonts w:asciiTheme="majorHAnsi" w:hAnsiTheme="majorHAnsi" w:cs="Arial"/>
                          <w:b/>
                          <w:color w:val="0D0D0D" w:themeColor="text1" w:themeTint="F2"/>
                          <w:sz w:val="36"/>
                          <w:szCs w:val="22"/>
                          <w:lang w:val="es-ES_tradnl"/>
                        </w:rPr>
                        <w:t>21-08</w:t>
                      </w:r>
                      <w:r w:rsidR="00246D1F" w:rsidRPr="004E2649">
                        <w:rPr>
                          <w:rFonts w:asciiTheme="majorHAnsi" w:hAnsiTheme="majorHAnsi" w:cs="Arial"/>
                          <w:b/>
                          <w:color w:val="0D0D0D" w:themeColor="text1" w:themeTint="F2"/>
                          <w:sz w:val="36"/>
                          <w:szCs w:val="22"/>
                          <w:lang w:val="es-ES_tradnl"/>
                        </w:rPr>
                        <w:t xml:space="preserve"> </w:t>
                      </w:r>
                    </w:p>
                    <w:p w:rsidR="00CD046C" w:rsidRPr="005673B3" w:rsidRDefault="005B52B0" w:rsidP="00997BC5">
                      <w:pPr>
                        <w:spacing w:line="276" w:lineRule="auto"/>
                        <w:rPr>
                          <w:rFonts w:asciiTheme="majorHAnsi" w:hAnsiTheme="majorHAnsi" w:cs="Arial"/>
                          <w:color w:val="0D0D0D" w:themeColor="text1" w:themeTint="F2"/>
                          <w:sz w:val="24"/>
                          <w:szCs w:val="24"/>
                          <w:lang w:val="es-ES_tradnl"/>
                        </w:rPr>
                      </w:pPr>
                      <w:r w:rsidRPr="005673B3">
                        <w:rPr>
                          <w:rFonts w:asciiTheme="majorHAnsi" w:hAnsiTheme="majorHAnsi" w:cs="Arial"/>
                          <w:color w:val="0D0D0D" w:themeColor="text1" w:themeTint="F2"/>
                          <w:sz w:val="24"/>
                          <w:szCs w:val="24"/>
                          <w:lang w:val="es-ES_tradnl"/>
                        </w:rPr>
                        <w:t>INFORME DE ADMISIBILIDAD</w:t>
                      </w:r>
                      <w:r w:rsidR="008F1912" w:rsidRPr="005673B3">
                        <w:rPr>
                          <w:rFonts w:asciiTheme="majorHAnsi" w:hAnsiTheme="majorHAnsi" w:cs="Arial"/>
                          <w:color w:val="0D0D0D" w:themeColor="text1" w:themeTint="F2"/>
                          <w:sz w:val="24"/>
                          <w:szCs w:val="24"/>
                          <w:lang w:val="es-ES_tradnl"/>
                        </w:rPr>
                        <w:t xml:space="preserve"> </w:t>
                      </w:r>
                    </w:p>
                    <w:p w:rsidR="008F1912" w:rsidRPr="005673B3" w:rsidRDefault="008F1912" w:rsidP="00997BC5">
                      <w:pPr>
                        <w:spacing w:line="276" w:lineRule="auto"/>
                        <w:rPr>
                          <w:rFonts w:asciiTheme="majorHAnsi" w:hAnsiTheme="majorHAnsi" w:cs="Arial"/>
                          <w:color w:val="0D0D0D" w:themeColor="text1" w:themeTint="F2"/>
                          <w:sz w:val="24"/>
                          <w:szCs w:val="24"/>
                          <w:lang w:val="es-ES_tradnl"/>
                        </w:rPr>
                      </w:pPr>
                      <w:bookmarkStart w:id="1" w:name="_ftnref1"/>
                    </w:p>
                    <w:p w:rsidR="005B52B0" w:rsidRPr="005673B3" w:rsidRDefault="00F46CB9" w:rsidP="00997BC5">
                      <w:pPr>
                        <w:spacing w:line="276" w:lineRule="auto"/>
                        <w:rPr>
                          <w:rFonts w:asciiTheme="majorHAnsi" w:hAnsiTheme="majorHAnsi" w:cs="Arial"/>
                          <w:color w:val="0D0D0D" w:themeColor="text1" w:themeTint="F2"/>
                          <w:sz w:val="24"/>
                          <w:szCs w:val="24"/>
                          <w:lang w:val="es-MX"/>
                        </w:rPr>
                      </w:pPr>
                      <w:r w:rsidRPr="005673B3">
                        <w:rPr>
                          <w:rFonts w:asciiTheme="majorHAnsi" w:hAnsiTheme="majorHAnsi" w:cs="Arial"/>
                          <w:color w:val="0D0D0D" w:themeColor="text1" w:themeTint="F2"/>
                          <w:sz w:val="24"/>
                          <w:szCs w:val="24"/>
                          <w:lang w:val="es-ES_tradnl"/>
                        </w:rPr>
                        <w:t>FERNANDA L</w:t>
                      </w:r>
                      <w:r w:rsidRPr="005673B3">
                        <w:rPr>
                          <w:rFonts w:asciiTheme="majorHAnsi" w:hAnsiTheme="majorHAnsi" w:cs="Arial"/>
                          <w:color w:val="0D0D0D" w:themeColor="text1" w:themeTint="F2"/>
                          <w:sz w:val="24"/>
                          <w:szCs w:val="24"/>
                          <w:lang w:val="es-MX"/>
                        </w:rPr>
                        <w:t xml:space="preserve">ÓPEZ MEDINA </w:t>
                      </w:r>
                      <w:r w:rsidR="005673B3">
                        <w:rPr>
                          <w:rFonts w:asciiTheme="majorHAnsi" w:hAnsiTheme="majorHAnsi" w:cs="Arial"/>
                          <w:color w:val="0D0D0D" w:themeColor="text1" w:themeTint="F2"/>
                          <w:sz w:val="24"/>
                          <w:szCs w:val="24"/>
                          <w:lang w:val="es-MX"/>
                        </w:rPr>
                        <w:t>Y OTROS</w:t>
                      </w:r>
                    </w:p>
                    <w:bookmarkEnd w:id="1"/>
                    <w:p w:rsidR="005B52B0" w:rsidRPr="005673B3" w:rsidRDefault="00582842" w:rsidP="00997BC5">
                      <w:pPr>
                        <w:spacing w:line="276" w:lineRule="auto"/>
                        <w:rPr>
                          <w:rFonts w:asciiTheme="majorHAnsi" w:hAnsiTheme="majorHAnsi" w:cs="Arial"/>
                          <w:color w:val="0D0D0D" w:themeColor="text1" w:themeTint="F2"/>
                          <w:sz w:val="24"/>
                          <w:szCs w:val="24"/>
                        </w:rPr>
                      </w:pPr>
                      <w:r w:rsidRPr="005673B3">
                        <w:rPr>
                          <w:rFonts w:asciiTheme="majorHAnsi" w:hAnsiTheme="majorHAnsi" w:cs="Arial"/>
                          <w:color w:val="0D0D0D" w:themeColor="text1" w:themeTint="F2"/>
                          <w:sz w:val="24"/>
                          <w:szCs w:val="24"/>
                          <w:lang w:val="es-ES_tradnl"/>
                        </w:rPr>
                        <w:t>PERÚ</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51CD0" w:rsidRDefault="00627C9F" w:rsidP="007A5817">
                            <w:pPr>
                              <w:spacing w:line="276" w:lineRule="auto"/>
                              <w:jc w:val="right"/>
                              <w:rPr>
                                <w:rFonts w:asciiTheme="minorHAnsi" w:hAnsiTheme="minorHAnsi"/>
                                <w:color w:val="FFFFFF" w:themeColor="background1"/>
                                <w:sz w:val="22"/>
                                <w:lang w:val="pt-BR"/>
                              </w:rPr>
                            </w:pPr>
                            <w:r w:rsidRPr="00C51CD0">
                              <w:rPr>
                                <w:rFonts w:asciiTheme="minorHAnsi" w:hAnsiTheme="minorHAnsi"/>
                                <w:color w:val="FFFFFF" w:themeColor="background1"/>
                                <w:sz w:val="22"/>
                                <w:lang w:val="pt-BR"/>
                              </w:rPr>
                              <w:t>OEA/Ser.L/V/II.1</w:t>
                            </w:r>
                            <w:r w:rsidR="00DC0AA1" w:rsidRPr="00C51CD0">
                              <w:rPr>
                                <w:rFonts w:asciiTheme="minorHAnsi" w:hAnsiTheme="minorHAnsi"/>
                                <w:color w:val="FFFFFF" w:themeColor="background1"/>
                                <w:sz w:val="22"/>
                                <w:lang w:val="pt-BR"/>
                              </w:rPr>
                              <w:t>64</w:t>
                            </w:r>
                          </w:p>
                          <w:p w:rsidR="00627C9F" w:rsidRPr="00C51CD0" w:rsidRDefault="00DC0AA1" w:rsidP="007A5817">
                            <w:pPr>
                              <w:spacing w:line="276" w:lineRule="auto"/>
                              <w:jc w:val="right"/>
                              <w:rPr>
                                <w:rFonts w:asciiTheme="minorHAnsi" w:hAnsiTheme="minorHAnsi"/>
                                <w:color w:val="FFFFFF" w:themeColor="background1"/>
                                <w:sz w:val="22"/>
                                <w:lang w:val="pt-BR"/>
                              </w:rPr>
                            </w:pPr>
                            <w:r w:rsidRPr="00C51CD0">
                              <w:rPr>
                                <w:rFonts w:asciiTheme="minorHAnsi" w:hAnsiTheme="minorHAnsi"/>
                                <w:color w:val="FFFFFF" w:themeColor="background1"/>
                                <w:sz w:val="22"/>
                                <w:lang w:val="pt-BR"/>
                              </w:rPr>
                              <w:t>Doc. 145</w:t>
                            </w:r>
                          </w:p>
                          <w:p w:rsidR="00F46CB9" w:rsidRDefault="00DC0AA1" w:rsidP="00F46CB9">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septiembre</w:t>
                            </w:r>
                            <w:r w:rsidR="00F46CB9">
                              <w:rPr>
                                <w:rFonts w:asciiTheme="minorHAnsi" w:hAnsiTheme="minorHAnsi"/>
                                <w:color w:val="FFFFFF" w:themeColor="background1"/>
                                <w:sz w:val="22"/>
                              </w:rPr>
                              <w:t xml:space="preserve"> 2017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DC0AA1" w:rsidRDefault="00627C9F" w:rsidP="007A5817">
                      <w:pPr>
                        <w:spacing w:line="276" w:lineRule="auto"/>
                        <w:jc w:val="right"/>
                        <w:rPr>
                          <w:rFonts w:asciiTheme="minorHAnsi" w:hAnsiTheme="minorHAnsi"/>
                          <w:color w:val="FFFFFF" w:themeColor="background1"/>
                          <w:sz w:val="22"/>
                        </w:rPr>
                      </w:pPr>
                      <w:r w:rsidRPr="00DC0AA1">
                        <w:rPr>
                          <w:rFonts w:asciiTheme="minorHAnsi" w:hAnsiTheme="minorHAnsi"/>
                          <w:color w:val="FFFFFF" w:themeColor="background1"/>
                          <w:sz w:val="22"/>
                        </w:rPr>
                        <w:t>OEA/Ser.L/V/II.1</w:t>
                      </w:r>
                      <w:r w:rsidR="00DC0AA1" w:rsidRPr="00DC0AA1">
                        <w:rPr>
                          <w:rFonts w:asciiTheme="minorHAnsi" w:hAnsiTheme="minorHAnsi"/>
                          <w:color w:val="FFFFFF" w:themeColor="background1"/>
                          <w:sz w:val="22"/>
                        </w:rPr>
                        <w:t>64</w:t>
                      </w:r>
                    </w:p>
                    <w:p w:rsidR="00627C9F" w:rsidRPr="00DC0AA1" w:rsidRDefault="00DC0AA1" w:rsidP="007A5817">
                      <w:pPr>
                        <w:spacing w:line="276" w:lineRule="auto"/>
                        <w:jc w:val="right"/>
                        <w:rPr>
                          <w:rFonts w:asciiTheme="minorHAnsi" w:hAnsiTheme="minorHAnsi"/>
                          <w:color w:val="FFFFFF" w:themeColor="background1"/>
                          <w:sz w:val="22"/>
                        </w:rPr>
                      </w:pPr>
                      <w:r w:rsidRPr="00DC0AA1">
                        <w:rPr>
                          <w:rFonts w:asciiTheme="minorHAnsi" w:hAnsiTheme="minorHAnsi"/>
                          <w:color w:val="FFFFFF" w:themeColor="background1"/>
                          <w:sz w:val="22"/>
                        </w:rPr>
                        <w:t>Doc. 1</w:t>
                      </w:r>
                      <w:r>
                        <w:rPr>
                          <w:rFonts w:asciiTheme="minorHAnsi" w:hAnsiTheme="minorHAnsi"/>
                          <w:color w:val="FFFFFF" w:themeColor="background1"/>
                          <w:sz w:val="22"/>
                        </w:rPr>
                        <w:t>45</w:t>
                      </w:r>
                    </w:p>
                    <w:p w:rsidR="00F46CB9" w:rsidRDefault="00DC0AA1" w:rsidP="00F46CB9">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septiembre</w:t>
                      </w:r>
                      <w:r w:rsidR="00F46CB9">
                        <w:rPr>
                          <w:rFonts w:asciiTheme="minorHAnsi" w:hAnsiTheme="minorHAnsi"/>
                          <w:color w:val="FFFFFF" w:themeColor="background1"/>
                          <w:sz w:val="22"/>
                        </w:rPr>
                        <w:t xml:space="preserve"> 2017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0AA1" w:rsidRPr="00890650" w:rsidRDefault="00DC0AA1" w:rsidP="00DC0AA1">
                            <w:pPr>
                              <w:tabs>
                                <w:tab w:val="center" w:pos="5400"/>
                              </w:tabs>
                              <w:suppressAutoHyphens/>
                              <w:spacing w:before="60"/>
                              <w:rPr>
                                <w:rFonts w:asciiTheme="majorHAnsi" w:hAnsiTheme="majorHAnsi" w:cs="Univers"/>
                                <w:color w:val="0D0D0D" w:themeColor="text1" w:themeTint="F2"/>
                                <w:sz w:val="18"/>
                                <w:lang w:val="es-ES_tradnl"/>
                              </w:rPr>
                            </w:pPr>
                            <w:r w:rsidRPr="00890650">
                              <w:rPr>
                                <w:rFonts w:asciiTheme="majorHAnsi" w:hAnsiTheme="majorHAnsi"/>
                                <w:color w:val="0D0D0D" w:themeColor="text1" w:themeTint="F2"/>
                                <w:sz w:val="18"/>
                              </w:rPr>
                              <w:t>Aprobado por la Comisión en su sesión N</w:t>
                            </w:r>
                            <w:r>
                              <w:rPr>
                                <w:rFonts w:asciiTheme="majorHAnsi" w:hAnsiTheme="majorHAnsi"/>
                                <w:color w:val="0D0D0D" w:themeColor="text1" w:themeTint="F2"/>
                                <w:sz w:val="18"/>
                              </w:rPr>
                              <w:t>o. 2098 celebrada el 7 de septiembre</w:t>
                            </w:r>
                            <w:r w:rsidRPr="00890650">
                              <w:rPr>
                                <w:rFonts w:asciiTheme="majorHAnsi" w:hAnsiTheme="majorHAnsi"/>
                                <w:color w:val="0D0D0D" w:themeColor="text1" w:themeTint="F2"/>
                                <w:sz w:val="18"/>
                              </w:rPr>
                              <w:t xml:space="preserve"> de 201</w:t>
                            </w:r>
                            <w:r>
                              <w:rPr>
                                <w:rFonts w:asciiTheme="majorHAnsi" w:hAnsiTheme="majorHAnsi"/>
                                <w:color w:val="0D0D0D" w:themeColor="text1" w:themeTint="F2"/>
                                <w:sz w:val="18"/>
                              </w:rPr>
                              <w:t>7</w:t>
                            </w:r>
                            <w:r w:rsidR="00F21665">
                              <w:rPr>
                                <w:rFonts w:asciiTheme="majorHAnsi" w:hAnsiTheme="majorHAnsi"/>
                                <w:color w:val="0D0D0D" w:themeColor="text1" w:themeTint="F2"/>
                                <w:sz w:val="18"/>
                              </w:rPr>
                              <w:t>.</w:t>
                            </w:r>
                            <w:r w:rsidRPr="00890650">
                              <w:rPr>
                                <w:rFonts w:asciiTheme="majorHAnsi" w:hAnsiTheme="majorHAnsi"/>
                                <w:color w:val="0D0D0D" w:themeColor="text1" w:themeTint="F2"/>
                                <w:sz w:val="18"/>
                              </w:rPr>
                              <w:br/>
                            </w:r>
                            <w:r>
                              <w:rPr>
                                <w:rFonts w:asciiTheme="majorHAnsi" w:hAnsiTheme="majorHAnsi" w:cs="Univers"/>
                                <w:color w:val="0D0D0D" w:themeColor="text1" w:themeTint="F2"/>
                                <w:sz w:val="18"/>
                              </w:rPr>
                              <w:t>164º</w:t>
                            </w:r>
                            <w:r w:rsidRPr="00890650">
                              <w:rPr>
                                <w:rFonts w:asciiTheme="majorHAnsi" w:hAnsiTheme="majorHAnsi" w:cs="Univers"/>
                                <w:color w:val="0D0D0D" w:themeColor="text1" w:themeTint="F2"/>
                                <w:sz w:val="18"/>
                                <w:lang w:val="es-ES_tradnl"/>
                              </w:rPr>
                              <w:t xml:space="preserve"> período </w:t>
                            </w:r>
                            <w:r>
                              <w:rPr>
                                <w:rFonts w:asciiTheme="majorHAnsi" w:hAnsiTheme="majorHAnsi" w:cs="Univers"/>
                                <w:color w:val="0D0D0D" w:themeColor="text1" w:themeTint="F2"/>
                                <w:sz w:val="18"/>
                                <w:lang w:val="es-ES_tradnl"/>
                              </w:rPr>
                              <w:t>extra</w:t>
                            </w:r>
                            <w:r w:rsidRPr="00890650">
                              <w:rPr>
                                <w:rFonts w:asciiTheme="majorHAnsi" w:hAnsiTheme="majorHAnsi" w:cs="Univers"/>
                                <w:color w:val="0D0D0D" w:themeColor="text1" w:themeTint="F2"/>
                                <w:sz w:val="18"/>
                                <w:lang w:val="es-ES_tradnl"/>
                              </w:rPr>
                              <w:t>ordinario de sesiones</w:t>
                            </w:r>
                            <w:r w:rsidR="00F21665">
                              <w:rPr>
                                <w:rFonts w:asciiTheme="majorHAnsi" w:hAnsiTheme="majorHAnsi" w:cs="Univers"/>
                                <w:color w:val="0D0D0D" w:themeColor="text1" w:themeTint="F2"/>
                                <w:sz w:val="18"/>
                                <w:lang w:val="es-ES_tradnl"/>
                              </w:rPr>
                              <w:t>.</w:t>
                            </w:r>
                          </w:p>
                          <w:p w:rsidR="00DD3D86" w:rsidRPr="00DC0AA1" w:rsidRDefault="00DD3D86" w:rsidP="00DD3D86">
                            <w:pPr>
                              <w:tabs>
                                <w:tab w:val="center" w:pos="5400"/>
                              </w:tabs>
                              <w:suppressAutoHyphens/>
                              <w:spacing w:before="60"/>
                              <w:rPr>
                                <w:rFonts w:asciiTheme="majorHAnsi" w:hAnsiTheme="majorHAnsi"/>
                                <w:color w:val="0D0D0D" w:themeColor="text1" w:themeTint="F2"/>
                                <w:sz w:val="18"/>
                                <w:szCs w:val="22"/>
                                <w:lang w:val="es-ES_tradnl"/>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rPr>
                            </w:pPr>
                          </w:p>
                          <w:p w:rsidR="005B52B0" w:rsidRPr="00167A34" w:rsidRDefault="005B52B0" w:rsidP="0059191A">
                            <w:pPr>
                              <w:tabs>
                                <w:tab w:val="center" w:pos="5400"/>
                              </w:tabs>
                              <w:suppressAutoHyphens/>
                              <w:spacing w:before="60"/>
                              <w:rPr>
                                <w:rFonts w:ascii="Calibri" w:hAnsi="Calibri"/>
                                <w:color w:val="FFFFFF" w:themeColor="background1"/>
                                <w:spacing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C0AA1" w:rsidRPr="00890650" w:rsidRDefault="00DC0AA1" w:rsidP="00DC0AA1">
                      <w:pPr>
                        <w:tabs>
                          <w:tab w:val="center" w:pos="5400"/>
                        </w:tabs>
                        <w:suppressAutoHyphens/>
                        <w:spacing w:before="60"/>
                        <w:rPr>
                          <w:rFonts w:asciiTheme="majorHAnsi" w:hAnsiTheme="majorHAnsi" w:cs="Univers"/>
                          <w:color w:val="0D0D0D" w:themeColor="text1" w:themeTint="F2"/>
                          <w:sz w:val="18"/>
                          <w:lang w:val="es-ES_tradnl"/>
                        </w:rPr>
                      </w:pPr>
                      <w:r w:rsidRPr="00890650">
                        <w:rPr>
                          <w:rFonts w:asciiTheme="majorHAnsi" w:hAnsiTheme="majorHAnsi"/>
                          <w:color w:val="0D0D0D" w:themeColor="text1" w:themeTint="F2"/>
                          <w:sz w:val="18"/>
                        </w:rPr>
                        <w:t>Aprobado por la Comisión en su sesión N</w:t>
                      </w:r>
                      <w:r>
                        <w:rPr>
                          <w:rFonts w:asciiTheme="majorHAnsi" w:hAnsiTheme="majorHAnsi"/>
                          <w:color w:val="0D0D0D" w:themeColor="text1" w:themeTint="F2"/>
                          <w:sz w:val="18"/>
                        </w:rPr>
                        <w:t>o. 2098 celebrada el 7 de septiembre</w:t>
                      </w:r>
                      <w:r w:rsidRPr="00890650">
                        <w:rPr>
                          <w:rFonts w:asciiTheme="majorHAnsi" w:hAnsiTheme="majorHAnsi"/>
                          <w:color w:val="0D0D0D" w:themeColor="text1" w:themeTint="F2"/>
                          <w:sz w:val="18"/>
                        </w:rPr>
                        <w:t xml:space="preserve"> de 201</w:t>
                      </w:r>
                      <w:r>
                        <w:rPr>
                          <w:rFonts w:asciiTheme="majorHAnsi" w:hAnsiTheme="majorHAnsi"/>
                          <w:color w:val="0D0D0D" w:themeColor="text1" w:themeTint="F2"/>
                          <w:sz w:val="18"/>
                        </w:rPr>
                        <w:t>7</w:t>
                      </w:r>
                      <w:r w:rsidR="00F21665">
                        <w:rPr>
                          <w:rFonts w:asciiTheme="majorHAnsi" w:hAnsiTheme="majorHAnsi"/>
                          <w:color w:val="0D0D0D" w:themeColor="text1" w:themeTint="F2"/>
                          <w:sz w:val="18"/>
                        </w:rPr>
                        <w:t>.</w:t>
                      </w:r>
                      <w:r w:rsidRPr="00890650">
                        <w:rPr>
                          <w:rFonts w:asciiTheme="majorHAnsi" w:hAnsiTheme="majorHAnsi"/>
                          <w:color w:val="0D0D0D" w:themeColor="text1" w:themeTint="F2"/>
                          <w:sz w:val="18"/>
                        </w:rPr>
                        <w:br/>
                      </w:r>
                      <w:r>
                        <w:rPr>
                          <w:rFonts w:asciiTheme="majorHAnsi" w:hAnsiTheme="majorHAnsi" w:cs="Univers"/>
                          <w:color w:val="0D0D0D" w:themeColor="text1" w:themeTint="F2"/>
                          <w:sz w:val="18"/>
                        </w:rPr>
                        <w:t>164º</w:t>
                      </w:r>
                      <w:r w:rsidRPr="00890650">
                        <w:rPr>
                          <w:rFonts w:asciiTheme="majorHAnsi" w:hAnsiTheme="majorHAnsi" w:cs="Univers"/>
                          <w:color w:val="0D0D0D" w:themeColor="text1" w:themeTint="F2"/>
                          <w:sz w:val="18"/>
                          <w:lang w:val="es-ES_tradnl"/>
                        </w:rPr>
                        <w:t xml:space="preserve"> período </w:t>
                      </w:r>
                      <w:r>
                        <w:rPr>
                          <w:rFonts w:asciiTheme="majorHAnsi" w:hAnsiTheme="majorHAnsi" w:cs="Univers"/>
                          <w:color w:val="0D0D0D" w:themeColor="text1" w:themeTint="F2"/>
                          <w:sz w:val="18"/>
                          <w:lang w:val="es-ES_tradnl"/>
                        </w:rPr>
                        <w:t>extra</w:t>
                      </w:r>
                      <w:r w:rsidRPr="00890650">
                        <w:rPr>
                          <w:rFonts w:asciiTheme="majorHAnsi" w:hAnsiTheme="majorHAnsi" w:cs="Univers"/>
                          <w:color w:val="0D0D0D" w:themeColor="text1" w:themeTint="F2"/>
                          <w:sz w:val="18"/>
                          <w:lang w:val="es-ES_tradnl"/>
                        </w:rPr>
                        <w:t>ordinario de sesiones</w:t>
                      </w:r>
                      <w:r w:rsidR="00F21665">
                        <w:rPr>
                          <w:rFonts w:asciiTheme="majorHAnsi" w:hAnsiTheme="majorHAnsi" w:cs="Univers"/>
                          <w:color w:val="0D0D0D" w:themeColor="text1" w:themeTint="F2"/>
                          <w:sz w:val="18"/>
                          <w:lang w:val="es-ES_tradnl"/>
                        </w:rPr>
                        <w:t>.</w:t>
                      </w:r>
                    </w:p>
                    <w:p w:rsidR="00DD3D86" w:rsidRPr="00DC0AA1" w:rsidRDefault="00DD3D86" w:rsidP="00DD3D86">
                      <w:pPr>
                        <w:tabs>
                          <w:tab w:val="center" w:pos="5400"/>
                        </w:tabs>
                        <w:suppressAutoHyphens/>
                        <w:spacing w:before="60"/>
                        <w:rPr>
                          <w:rFonts w:asciiTheme="majorHAnsi" w:hAnsiTheme="majorHAnsi"/>
                          <w:color w:val="0D0D0D" w:themeColor="text1" w:themeTint="F2"/>
                          <w:sz w:val="18"/>
                          <w:szCs w:val="22"/>
                          <w:lang w:val="es-ES_tradnl"/>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rPr>
                      </w:pPr>
                    </w:p>
                    <w:p w:rsidR="005B52B0" w:rsidRPr="00167A34" w:rsidRDefault="005B52B0" w:rsidP="0059191A">
                      <w:pPr>
                        <w:tabs>
                          <w:tab w:val="center" w:pos="5400"/>
                        </w:tabs>
                        <w:suppressAutoHyphens/>
                        <w:spacing w:before="60"/>
                        <w:rPr>
                          <w:rFonts w:ascii="Calibri" w:hAnsi="Calibri"/>
                          <w:color w:val="FFFFFF" w:themeColor="background1"/>
                          <w:spacing w:val="-2"/>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DC0AA1">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0AA1">
                              <w:rPr>
                                <w:rFonts w:asciiTheme="majorHAnsi" w:hAnsiTheme="majorHAnsi"/>
                                <w:color w:val="595959" w:themeColor="text1" w:themeTint="A6"/>
                                <w:sz w:val="18"/>
                                <w:szCs w:val="18"/>
                                <w:lang w:val="pt-BR"/>
                              </w:rPr>
                              <w:t xml:space="preserve">124/17. </w:t>
                            </w:r>
                            <w:r w:rsidR="00DC0AA1">
                              <w:rPr>
                                <w:rFonts w:asciiTheme="majorHAnsi" w:hAnsiTheme="majorHAnsi"/>
                                <w:color w:val="595959" w:themeColor="text1" w:themeTint="A6"/>
                                <w:sz w:val="18"/>
                                <w:szCs w:val="18"/>
                                <w:lang w:val="es-ES_tradnl"/>
                              </w:rPr>
                              <w:t xml:space="preserve">Petición 21-08. Admisibilidad. </w:t>
                            </w:r>
                            <w:r w:rsidR="00DC0AA1" w:rsidRPr="00DC0AA1">
                              <w:rPr>
                                <w:rFonts w:asciiTheme="majorHAnsi" w:hAnsiTheme="majorHAnsi"/>
                                <w:color w:val="595959" w:themeColor="text1" w:themeTint="A6"/>
                                <w:sz w:val="18"/>
                                <w:szCs w:val="18"/>
                                <w:lang w:val="es-ES_tradnl"/>
                              </w:rPr>
                              <w:t>Fernanda L</w:t>
                            </w:r>
                            <w:r w:rsidR="00DC0AA1">
                              <w:rPr>
                                <w:rFonts w:asciiTheme="majorHAnsi" w:hAnsiTheme="majorHAnsi"/>
                                <w:color w:val="595959" w:themeColor="text1" w:themeTint="A6"/>
                                <w:sz w:val="18"/>
                                <w:szCs w:val="18"/>
                                <w:lang w:val="es-ES_tradnl"/>
                              </w:rPr>
                              <w:t>ópez Medina y o</w:t>
                            </w:r>
                            <w:r w:rsidR="00DC0AA1" w:rsidRPr="00DC0AA1">
                              <w:rPr>
                                <w:rFonts w:asciiTheme="majorHAnsi" w:hAnsiTheme="majorHAnsi"/>
                                <w:color w:val="595959" w:themeColor="text1" w:themeTint="A6"/>
                                <w:sz w:val="18"/>
                                <w:szCs w:val="18"/>
                                <w:lang w:val="es-ES_tradnl"/>
                              </w:rPr>
                              <w:t>tros</w:t>
                            </w:r>
                            <w:r w:rsidR="00DC0AA1">
                              <w:rPr>
                                <w:rFonts w:asciiTheme="majorHAnsi" w:hAnsiTheme="majorHAnsi"/>
                                <w:color w:val="595959" w:themeColor="text1" w:themeTint="A6"/>
                                <w:sz w:val="18"/>
                                <w:szCs w:val="18"/>
                              </w:rPr>
                              <w:t xml:space="preserve">. </w:t>
                            </w:r>
                            <w:r w:rsidR="00DC0AA1" w:rsidRPr="00DC0AA1">
                              <w:rPr>
                                <w:rFonts w:asciiTheme="majorHAnsi" w:hAnsiTheme="majorHAnsi"/>
                                <w:color w:val="595959" w:themeColor="text1" w:themeTint="A6"/>
                                <w:sz w:val="18"/>
                                <w:szCs w:val="18"/>
                                <w:lang w:val="es-ES_tradnl"/>
                              </w:rPr>
                              <w:t>Perú</w:t>
                            </w:r>
                            <w:r w:rsidR="00DC0AA1">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DC0AA1">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0AA1">
                        <w:rPr>
                          <w:rFonts w:asciiTheme="majorHAnsi" w:hAnsiTheme="majorHAnsi"/>
                          <w:color w:val="595959" w:themeColor="text1" w:themeTint="A6"/>
                          <w:sz w:val="18"/>
                          <w:szCs w:val="18"/>
                          <w:lang w:val="pt-BR"/>
                        </w:rPr>
                        <w:t xml:space="preserve">124/17. </w:t>
                      </w:r>
                      <w:r w:rsidR="00DC0AA1">
                        <w:rPr>
                          <w:rFonts w:asciiTheme="majorHAnsi" w:hAnsiTheme="majorHAnsi"/>
                          <w:color w:val="595959" w:themeColor="text1" w:themeTint="A6"/>
                          <w:sz w:val="18"/>
                          <w:szCs w:val="18"/>
                          <w:lang w:val="es-ES_tradnl"/>
                        </w:rPr>
                        <w:t xml:space="preserve">Petición 21-08. Admisibilidad. </w:t>
                      </w:r>
                      <w:r w:rsidR="00DC0AA1" w:rsidRPr="00DC0AA1">
                        <w:rPr>
                          <w:rFonts w:asciiTheme="majorHAnsi" w:hAnsiTheme="majorHAnsi"/>
                          <w:color w:val="595959" w:themeColor="text1" w:themeTint="A6"/>
                          <w:sz w:val="18"/>
                          <w:szCs w:val="18"/>
                          <w:lang w:val="es-ES_tradnl"/>
                        </w:rPr>
                        <w:t>Fernanda L</w:t>
                      </w:r>
                      <w:r w:rsidR="00DC0AA1">
                        <w:rPr>
                          <w:rFonts w:asciiTheme="majorHAnsi" w:hAnsiTheme="majorHAnsi"/>
                          <w:color w:val="595959" w:themeColor="text1" w:themeTint="A6"/>
                          <w:sz w:val="18"/>
                          <w:szCs w:val="18"/>
                          <w:lang w:val="es-ES_tradnl"/>
                        </w:rPr>
                        <w:t>ópez Medina y o</w:t>
                      </w:r>
                      <w:r w:rsidR="00DC0AA1" w:rsidRPr="00DC0AA1">
                        <w:rPr>
                          <w:rFonts w:asciiTheme="majorHAnsi" w:hAnsiTheme="majorHAnsi"/>
                          <w:color w:val="595959" w:themeColor="text1" w:themeTint="A6"/>
                          <w:sz w:val="18"/>
                          <w:szCs w:val="18"/>
                          <w:lang w:val="es-ES_tradnl"/>
                        </w:rPr>
                        <w:t>tros</w:t>
                      </w:r>
                      <w:r w:rsidR="00DC0AA1">
                        <w:rPr>
                          <w:rFonts w:asciiTheme="majorHAnsi" w:hAnsiTheme="majorHAnsi"/>
                          <w:color w:val="595959" w:themeColor="text1" w:themeTint="A6"/>
                          <w:sz w:val="18"/>
                          <w:szCs w:val="18"/>
                        </w:rPr>
                        <w:t xml:space="preserve">. </w:t>
                      </w:r>
                      <w:r w:rsidR="00DC0AA1" w:rsidRPr="00DC0AA1">
                        <w:rPr>
                          <w:rFonts w:asciiTheme="majorHAnsi" w:hAnsiTheme="majorHAnsi"/>
                          <w:color w:val="595959" w:themeColor="text1" w:themeTint="A6"/>
                          <w:sz w:val="18"/>
                          <w:szCs w:val="18"/>
                          <w:lang w:val="es-ES_tradnl"/>
                        </w:rPr>
                        <w:t>Perú</w:t>
                      </w:r>
                      <w:r w:rsidR="00DC0AA1">
                        <w:rPr>
                          <w:rFonts w:asciiTheme="majorHAnsi" w:hAnsiTheme="majorHAnsi"/>
                          <w:color w:val="595959" w:themeColor="text1" w:themeTint="A6"/>
                          <w:sz w:val="18"/>
                          <w:szCs w:val="18"/>
                          <w:lang w:val="es-ES_tradnl"/>
                        </w:rPr>
                        <w:t>. 7 de septiembre de 2017.</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047D3F" w:rsidRDefault="00DC0AA1" w:rsidP="00722C9F">
      <w:pPr>
        <w:tabs>
          <w:tab w:val="center" w:pos="5400"/>
        </w:tabs>
        <w:suppressAutoHyphens/>
        <w:spacing w:line="276" w:lineRule="auto"/>
        <w:jc w:val="center"/>
        <w:rPr>
          <w:rFonts w:asciiTheme="majorHAnsi" w:hAnsiTheme="majorHAnsi"/>
          <w:b/>
          <w:sz w:val="20"/>
          <w:lang w:val="es-ES_tradnl"/>
        </w:rPr>
      </w:pPr>
      <w:r>
        <w:rPr>
          <w:rFonts w:asciiTheme="majorHAnsi" w:hAnsiTheme="majorHAnsi"/>
          <w:b/>
          <w:sz w:val="20"/>
          <w:lang w:val="es-ES_tradnl"/>
        </w:rPr>
        <w:lastRenderedPageBreak/>
        <w:t>INFORME No. 124</w:t>
      </w:r>
      <w:r w:rsidR="00722C9F" w:rsidRPr="00047D3F">
        <w:rPr>
          <w:rFonts w:asciiTheme="majorHAnsi" w:hAnsiTheme="majorHAnsi"/>
          <w:b/>
          <w:sz w:val="20"/>
          <w:lang w:val="es-ES_tradnl"/>
        </w:rPr>
        <w:t>/1</w:t>
      </w:r>
      <w:r w:rsidR="00D05ABD" w:rsidRPr="00047D3F">
        <w:rPr>
          <w:rFonts w:asciiTheme="majorHAnsi" w:hAnsiTheme="majorHAnsi"/>
          <w:b/>
          <w:sz w:val="20"/>
          <w:lang w:val="es-ES_tradnl"/>
        </w:rPr>
        <w:t>7</w:t>
      </w:r>
      <w:r w:rsidR="000337EF" w:rsidRPr="00047D3F">
        <w:rPr>
          <w:rStyle w:val="FootnoteReference"/>
          <w:rFonts w:asciiTheme="majorHAnsi" w:hAnsiTheme="majorHAnsi"/>
          <w:b/>
          <w:sz w:val="20"/>
          <w:lang w:val="es-ES_tradnl"/>
        </w:rPr>
        <w:footnoteReference w:id="2"/>
      </w:r>
    </w:p>
    <w:p w:rsidR="00722C9F" w:rsidRPr="00047D3F" w:rsidRDefault="00582842" w:rsidP="00722C9F">
      <w:pPr>
        <w:tabs>
          <w:tab w:val="center" w:pos="5400"/>
        </w:tabs>
        <w:suppressAutoHyphens/>
        <w:spacing w:line="276" w:lineRule="auto"/>
        <w:jc w:val="center"/>
        <w:rPr>
          <w:rFonts w:asciiTheme="majorHAnsi" w:hAnsiTheme="majorHAnsi"/>
          <w:b/>
          <w:sz w:val="20"/>
          <w:lang w:val="es-ES_tradnl"/>
        </w:rPr>
      </w:pPr>
      <w:r w:rsidRPr="00047D3F">
        <w:rPr>
          <w:rFonts w:asciiTheme="majorHAnsi" w:hAnsiTheme="majorHAnsi"/>
          <w:b/>
          <w:sz w:val="20"/>
          <w:lang w:val="es-ES_tradnl"/>
        </w:rPr>
        <w:t>PETICIÓN 21-08</w:t>
      </w:r>
      <w:r w:rsidR="00722C9F" w:rsidRPr="00047D3F">
        <w:rPr>
          <w:rFonts w:asciiTheme="majorHAnsi" w:hAnsiTheme="majorHAnsi"/>
          <w:b/>
          <w:sz w:val="20"/>
          <w:lang w:val="es-ES_tradnl"/>
        </w:rPr>
        <w:t xml:space="preserve"> </w:t>
      </w:r>
    </w:p>
    <w:p w:rsidR="00722C9F" w:rsidRPr="00047D3F" w:rsidRDefault="00722C9F" w:rsidP="00722C9F">
      <w:pPr>
        <w:tabs>
          <w:tab w:val="center" w:pos="5400"/>
        </w:tabs>
        <w:suppressAutoHyphens/>
        <w:spacing w:line="276" w:lineRule="auto"/>
        <w:jc w:val="center"/>
        <w:rPr>
          <w:rFonts w:asciiTheme="majorHAnsi" w:hAnsiTheme="majorHAnsi"/>
          <w:sz w:val="20"/>
          <w:lang w:val="es-ES_tradnl"/>
        </w:rPr>
      </w:pPr>
      <w:r w:rsidRPr="00047D3F">
        <w:rPr>
          <w:rFonts w:asciiTheme="majorHAnsi" w:hAnsiTheme="majorHAnsi"/>
          <w:sz w:val="20"/>
          <w:lang w:val="es-ES_tradnl"/>
        </w:rPr>
        <w:t>INFORME DE A</w:t>
      </w:r>
      <w:r w:rsidR="005A24ED" w:rsidRPr="00047D3F">
        <w:rPr>
          <w:rFonts w:asciiTheme="majorHAnsi" w:hAnsiTheme="majorHAnsi"/>
          <w:sz w:val="20"/>
          <w:lang w:val="es-ES_tradnl"/>
        </w:rPr>
        <w:t xml:space="preserve">DMISIBILIDAD </w:t>
      </w:r>
    </w:p>
    <w:p w:rsidR="00722C9F" w:rsidRPr="00047D3F" w:rsidRDefault="00F46CB9" w:rsidP="00722C9F">
      <w:pPr>
        <w:tabs>
          <w:tab w:val="center" w:pos="5400"/>
        </w:tabs>
        <w:suppressAutoHyphens/>
        <w:spacing w:line="276" w:lineRule="auto"/>
        <w:jc w:val="center"/>
        <w:rPr>
          <w:rFonts w:asciiTheme="majorHAnsi" w:hAnsiTheme="majorHAnsi"/>
          <w:sz w:val="20"/>
          <w:lang w:val="es-ES_tradnl"/>
        </w:rPr>
      </w:pPr>
      <w:r w:rsidRPr="00047D3F">
        <w:rPr>
          <w:rFonts w:asciiTheme="majorHAnsi" w:hAnsiTheme="majorHAnsi"/>
          <w:sz w:val="20"/>
          <w:lang w:val="es-ES_tradnl"/>
        </w:rPr>
        <w:t xml:space="preserve">FERNANDA LÓPEZ MEDINA </w:t>
      </w:r>
      <w:r w:rsidR="00455183" w:rsidRPr="00047D3F">
        <w:rPr>
          <w:rFonts w:asciiTheme="majorHAnsi" w:hAnsiTheme="majorHAnsi"/>
          <w:sz w:val="20"/>
          <w:lang w:val="es-ES_tradnl"/>
        </w:rPr>
        <w:t>Y OTROS</w:t>
      </w:r>
    </w:p>
    <w:p w:rsidR="0070697F" w:rsidRPr="00047D3F" w:rsidRDefault="00582842" w:rsidP="00722C9F">
      <w:pPr>
        <w:tabs>
          <w:tab w:val="center" w:pos="5400"/>
        </w:tabs>
        <w:suppressAutoHyphens/>
        <w:spacing w:line="276" w:lineRule="auto"/>
        <w:jc w:val="center"/>
        <w:rPr>
          <w:rFonts w:asciiTheme="majorHAnsi" w:hAnsiTheme="majorHAnsi"/>
          <w:sz w:val="20"/>
          <w:lang w:val="es-ES_tradnl"/>
        </w:rPr>
      </w:pPr>
      <w:r w:rsidRPr="00047D3F">
        <w:rPr>
          <w:rFonts w:asciiTheme="majorHAnsi" w:hAnsiTheme="majorHAnsi"/>
          <w:sz w:val="20"/>
          <w:lang w:val="es-ES_tradnl"/>
        </w:rPr>
        <w:t>PERÚ</w:t>
      </w:r>
    </w:p>
    <w:p w:rsidR="00722C9F" w:rsidRPr="00047D3F" w:rsidRDefault="00DC0AA1" w:rsidP="003239B8">
      <w:pPr>
        <w:tabs>
          <w:tab w:val="center" w:pos="5400"/>
        </w:tabs>
        <w:suppressAutoHyphens/>
        <w:spacing w:line="276" w:lineRule="auto"/>
        <w:jc w:val="center"/>
        <w:rPr>
          <w:rFonts w:asciiTheme="majorHAnsi" w:hAnsiTheme="majorHAnsi"/>
          <w:sz w:val="20"/>
          <w:lang w:val="es-ES_tradnl"/>
        </w:rPr>
      </w:pPr>
      <w:r>
        <w:rPr>
          <w:rFonts w:asciiTheme="majorHAnsi" w:hAnsiTheme="majorHAnsi"/>
          <w:sz w:val="20"/>
          <w:lang w:val="es-ES_tradnl"/>
        </w:rPr>
        <w:t>7 DE SEPTIEMBRE DE 2017</w:t>
      </w:r>
    </w:p>
    <w:p w:rsidR="0070697F" w:rsidRPr="00047D3F" w:rsidRDefault="0070697F" w:rsidP="001D65EF">
      <w:pPr>
        <w:tabs>
          <w:tab w:val="center" w:pos="5400"/>
        </w:tabs>
        <w:suppressAutoHyphens/>
        <w:spacing w:line="276" w:lineRule="auto"/>
        <w:rPr>
          <w:rFonts w:asciiTheme="majorHAnsi" w:hAnsiTheme="majorHAnsi"/>
          <w:sz w:val="20"/>
          <w:lang w:val="es-ES_tradnl"/>
        </w:rPr>
      </w:pPr>
    </w:p>
    <w:p w:rsidR="003239B8" w:rsidRPr="00047D3F" w:rsidRDefault="003239B8" w:rsidP="003239B8">
      <w:pPr>
        <w:spacing w:after="240"/>
        <w:ind w:firstLine="720"/>
        <w:jc w:val="both"/>
        <w:rPr>
          <w:rFonts w:asciiTheme="majorHAnsi" w:hAnsiTheme="majorHAnsi"/>
          <w:b/>
          <w:bCs/>
          <w:sz w:val="20"/>
        </w:rPr>
      </w:pPr>
      <w:r w:rsidRPr="00047D3F">
        <w:rPr>
          <w:rFonts w:asciiTheme="majorHAnsi" w:hAnsiTheme="majorHAnsi"/>
          <w:b/>
          <w:bCs/>
          <w:sz w:val="20"/>
        </w:rPr>
        <w:t>I.</w:t>
      </w:r>
      <w:r w:rsidRPr="00047D3F">
        <w:rPr>
          <w:rFonts w:asciiTheme="majorHAnsi" w:hAnsiTheme="majorHAnsi"/>
          <w:b/>
          <w:bCs/>
          <w:sz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47D3F" w:rsidTr="008D2290">
        <w:tc>
          <w:tcPr>
            <w:tcW w:w="4680" w:type="dxa"/>
            <w:tcBorders>
              <w:top w:val="single" w:sz="4" w:space="0" w:color="auto"/>
              <w:bottom w:val="single" w:sz="6" w:space="0" w:color="auto"/>
            </w:tcBorders>
            <w:shd w:val="clear" w:color="auto" w:fill="386294"/>
            <w:vAlign w:val="center"/>
          </w:tcPr>
          <w:p w:rsidR="003239B8" w:rsidRPr="00047D3F" w:rsidRDefault="003239B8" w:rsidP="008D2290">
            <w:pPr>
              <w:jc w:val="center"/>
              <w:rPr>
                <w:b/>
                <w:bCs/>
                <w:color w:val="FFFFFF" w:themeColor="background1"/>
                <w:sz w:val="20"/>
              </w:rPr>
            </w:pPr>
            <w:r w:rsidRPr="00047D3F">
              <w:rPr>
                <w:b/>
                <w:bCs/>
                <w:color w:val="FFFFFF" w:themeColor="background1"/>
                <w:sz w:val="20"/>
              </w:rPr>
              <w:t>Parte peticionaria:</w:t>
            </w:r>
          </w:p>
        </w:tc>
        <w:tc>
          <w:tcPr>
            <w:tcW w:w="4680" w:type="dxa"/>
            <w:vAlign w:val="center"/>
          </w:tcPr>
          <w:p w:rsidR="003239B8" w:rsidRPr="00047D3F" w:rsidRDefault="00A56BA0" w:rsidP="00A56BA0">
            <w:pPr>
              <w:jc w:val="both"/>
              <w:rPr>
                <w:bCs/>
                <w:sz w:val="20"/>
                <w:lang w:val="es-MX"/>
              </w:rPr>
            </w:pPr>
            <w:r w:rsidRPr="00047D3F">
              <w:rPr>
                <w:bCs/>
                <w:sz w:val="20"/>
                <w:lang w:val="es-MX"/>
              </w:rPr>
              <w:t>Asociación para el Desarrollo Humano Runamasinchiqpaq (</w:t>
            </w:r>
            <w:r w:rsidR="00750BC5" w:rsidRPr="00047D3F">
              <w:rPr>
                <w:bCs/>
                <w:sz w:val="20"/>
                <w:lang w:val="es-MX"/>
              </w:rPr>
              <w:t>ADHER</w:t>
            </w:r>
            <w:r w:rsidRPr="00047D3F">
              <w:rPr>
                <w:bCs/>
                <w:sz w:val="20"/>
                <w:lang w:val="es-MX"/>
              </w:rPr>
              <w:t>)</w:t>
            </w:r>
            <w:r w:rsidR="00750BC5" w:rsidRPr="00047D3F">
              <w:rPr>
                <w:bCs/>
                <w:sz w:val="20"/>
                <w:lang w:val="es-MX"/>
              </w:rPr>
              <w:t>, Rosa Luz Pallqui Medina, Juan Macedonio Barboza Paredes, Asunta Medina Huaman y Juana López de Orejón</w:t>
            </w:r>
          </w:p>
        </w:tc>
      </w:tr>
      <w:tr w:rsidR="003239B8" w:rsidRPr="00047D3F" w:rsidTr="008D2290">
        <w:tc>
          <w:tcPr>
            <w:tcW w:w="4680" w:type="dxa"/>
            <w:tcBorders>
              <w:top w:val="single" w:sz="6" w:space="0" w:color="auto"/>
              <w:bottom w:val="single" w:sz="6" w:space="0" w:color="auto"/>
            </w:tcBorders>
            <w:shd w:val="clear" w:color="auto" w:fill="386294"/>
            <w:vAlign w:val="center"/>
          </w:tcPr>
          <w:p w:rsidR="003239B8" w:rsidRPr="00047D3F" w:rsidRDefault="00545664" w:rsidP="008D2290">
            <w:pPr>
              <w:jc w:val="center"/>
              <w:rPr>
                <w:b/>
                <w:bCs/>
                <w:color w:val="FFFFFF" w:themeColor="background1"/>
                <w:sz w:val="20"/>
              </w:rPr>
            </w:pPr>
            <w:sdt>
              <w:sdtPr>
                <w:rPr>
                  <w:b/>
                  <w:bCs/>
                  <w:color w:val="FFFFFF" w:themeColor="background1"/>
                  <w:sz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47D3F">
                  <w:rPr>
                    <w:b/>
                    <w:bCs/>
                    <w:color w:val="FFFFFF" w:themeColor="background1"/>
                    <w:sz w:val="20"/>
                  </w:rPr>
                  <w:t>Presunta víctima</w:t>
                </w:r>
              </w:sdtContent>
            </w:sdt>
            <w:r w:rsidR="003239B8" w:rsidRPr="00047D3F">
              <w:rPr>
                <w:b/>
                <w:bCs/>
                <w:color w:val="FFFFFF" w:themeColor="background1"/>
                <w:sz w:val="20"/>
              </w:rPr>
              <w:t>:</w:t>
            </w:r>
          </w:p>
        </w:tc>
        <w:tc>
          <w:tcPr>
            <w:tcW w:w="4680" w:type="dxa"/>
            <w:vAlign w:val="center"/>
          </w:tcPr>
          <w:p w:rsidR="003239B8" w:rsidRPr="00047D3F" w:rsidRDefault="001D6E44" w:rsidP="008D2290">
            <w:pPr>
              <w:jc w:val="both"/>
              <w:rPr>
                <w:bCs/>
                <w:sz w:val="20"/>
              </w:rPr>
            </w:pPr>
            <w:r w:rsidRPr="00047D3F">
              <w:rPr>
                <w:bCs/>
                <w:sz w:val="20"/>
              </w:rPr>
              <w:t>Fernanda Graciela López Medina y otros</w:t>
            </w:r>
            <w:r w:rsidRPr="00047D3F">
              <w:rPr>
                <w:rStyle w:val="FootnoteReference"/>
                <w:bCs/>
                <w:sz w:val="20"/>
              </w:rPr>
              <w:footnoteReference w:id="3"/>
            </w:r>
          </w:p>
        </w:tc>
      </w:tr>
      <w:tr w:rsidR="003239B8" w:rsidRPr="00047D3F" w:rsidTr="008D2290">
        <w:tc>
          <w:tcPr>
            <w:tcW w:w="4680" w:type="dxa"/>
            <w:tcBorders>
              <w:top w:val="single" w:sz="6" w:space="0" w:color="auto"/>
              <w:bottom w:val="single" w:sz="6" w:space="0" w:color="auto"/>
            </w:tcBorders>
            <w:shd w:val="clear" w:color="auto" w:fill="386294"/>
            <w:vAlign w:val="center"/>
          </w:tcPr>
          <w:p w:rsidR="003239B8" w:rsidRPr="00047D3F" w:rsidRDefault="003239B8" w:rsidP="008D2290">
            <w:pPr>
              <w:jc w:val="center"/>
              <w:rPr>
                <w:b/>
                <w:bCs/>
                <w:color w:val="FFFFFF" w:themeColor="background1"/>
                <w:sz w:val="20"/>
              </w:rPr>
            </w:pPr>
            <w:r w:rsidRPr="00047D3F">
              <w:rPr>
                <w:b/>
                <w:bCs/>
                <w:color w:val="FFFFFF" w:themeColor="background1"/>
                <w:sz w:val="20"/>
              </w:rPr>
              <w:t>Estado denunciado:</w:t>
            </w:r>
          </w:p>
        </w:tc>
        <w:tc>
          <w:tcPr>
            <w:tcW w:w="4680" w:type="dxa"/>
            <w:vAlign w:val="center"/>
          </w:tcPr>
          <w:p w:rsidR="003239B8" w:rsidRPr="00047D3F" w:rsidRDefault="001D6E44" w:rsidP="008D2290">
            <w:pPr>
              <w:jc w:val="both"/>
              <w:rPr>
                <w:bCs/>
                <w:sz w:val="20"/>
              </w:rPr>
            </w:pPr>
            <w:r w:rsidRPr="00047D3F">
              <w:rPr>
                <w:bCs/>
                <w:sz w:val="20"/>
              </w:rPr>
              <w:t>Perú</w:t>
            </w:r>
          </w:p>
        </w:tc>
      </w:tr>
      <w:tr w:rsidR="00223A29" w:rsidRPr="00047D3F" w:rsidTr="008D2290">
        <w:tc>
          <w:tcPr>
            <w:tcW w:w="4680" w:type="dxa"/>
            <w:tcBorders>
              <w:top w:val="single" w:sz="6" w:space="0" w:color="auto"/>
              <w:bottom w:val="single" w:sz="6" w:space="0" w:color="auto"/>
            </w:tcBorders>
            <w:shd w:val="clear" w:color="auto" w:fill="386294"/>
            <w:vAlign w:val="center"/>
          </w:tcPr>
          <w:p w:rsidR="00223A29" w:rsidRPr="00047D3F" w:rsidRDefault="001B3A00" w:rsidP="00E4118C">
            <w:pPr>
              <w:jc w:val="center"/>
              <w:rPr>
                <w:b/>
                <w:bCs/>
                <w:color w:val="FFFFFF" w:themeColor="background1"/>
                <w:sz w:val="20"/>
              </w:rPr>
            </w:pPr>
            <w:r w:rsidRPr="00047D3F">
              <w:rPr>
                <w:b/>
                <w:bCs/>
                <w:color w:val="FFFFFF" w:themeColor="background1"/>
                <w:sz w:val="20"/>
              </w:rPr>
              <w:t xml:space="preserve">Derechos </w:t>
            </w:r>
            <w:r w:rsidR="00E4118C" w:rsidRPr="00047D3F">
              <w:rPr>
                <w:b/>
                <w:bCs/>
                <w:color w:val="FFFFFF" w:themeColor="background1"/>
                <w:sz w:val="20"/>
              </w:rPr>
              <w:t>invocados</w:t>
            </w:r>
            <w:r w:rsidRPr="00047D3F">
              <w:rPr>
                <w:b/>
                <w:bCs/>
                <w:color w:val="FFFFFF" w:themeColor="background1"/>
                <w:sz w:val="20"/>
              </w:rPr>
              <w:t>:</w:t>
            </w:r>
          </w:p>
        </w:tc>
        <w:tc>
          <w:tcPr>
            <w:tcW w:w="4680" w:type="dxa"/>
            <w:vAlign w:val="center"/>
          </w:tcPr>
          <w:p w:rsidR="00223A29" w:rsidRPr="00047D3F" w:rsidRDefault="0009602E" w:rsidP="00557372">
            <w:pPr>
              <w:jc w:val="both"/>
              <w:rPr>
                <w:bCs/>
                <w:sz w:val="20"/>
                <w:lang w:val="es-MX"/>
              </w:rPr>
            </w:pPr>
            <w:r w:rsidRPr="00047D3F">
              <w:rPr>
                <w:bCs/>
                <w:sz w:val="20"/>
                <w:lang w:val="es-MX"/>
              </w:rPr>
              <w:t>A</w:t>
            </w:r>
            <w:r w:rsidR="00557372" w:rsidRPr="00047D3F">
              <w:rPr>
                <w:bCs/>
                <w:sz w:val="20"/>
                <w:lang w:val="es-MX"/>
              </w:rPr>
              <w:t>rtículos 1.1 (</w:t>
            </w:r>
            <w:r w:rsidR="00C46AD2" w:rsidRPr="00047D3F">
              <w:rPr>
                <w:bCs/>
                <w:sz w:val="20"/>
                <w:lang w:val="es-MX"/>
              </w:rPr>
              <w:t>obligación de respetar derechos</w:t>
            </w:r>
            <w:r w:rsidR="00557372" w:rsidRPr="00047D3F">
              <w:rPr>
                <w:bCs/>
                <w:sz w:val="20"/>
                <w:lang w:val="es-MX"/>
              </w:rPr>
              <w:t xml:space="preserve">), </w:t>
            </w:r>
            <w:r w:rsidRPr="00047D3F">
              <w:rPr>
                <w:bCs/>
                <w:sz w:val="20"/>
                <w:lang w:val="es-MX"/>
              </w:rPr>
              <w:t>4 (vida), 5 (integridad personal), 7 (libertad pers</w:t>
            </w:r>
            <w:r w:rsidR="00BB66DD" w:rsidRPr="00047D3F">
              <w:rPr>
                <w:bCs/>
                <w:sz w:val="20"/>
                <w:lang w:val="es-MX"/>
              </w:rPr>
              <w:t>onal), 8 (garantías judiciales)</w:t>
            </w:r>
            <w:r w:rsidR="00F46CB9" w:rsidRPr="00047D3F">
              <w:rPr>
                <w:bCs/>
                <w:sz w:val="20"/>
                <w:lang w:val="es-MX"/>
              </w:rPr>
              <w:t xml:space="preserve"> y</w:t>
            </w:r>
            <w:r w:rsidRPr="00047D3F">
              <w:rPr>
                <w:bCs/>
                <w:sz w:val="20"/>
                <w:lang w:val="es-MX"/>
              </w:rPr>
              <w:t xml:space="preserve"> 25 (protección judicial)</w:t>
            </w:r>
            <w:r w:rsidR="00F46CB9" w:rsidRPr="00047D3F">
              <w:rPr>
                <w:bCs/>
                <w:sz w:val="20"/>
                <w:lang w:val="es-MX"/>
              </w:rPr>
              <w:t xml:space="preserve"> de la Convención Americana sobre Derechos Humanos</w:t>
            </w:r>
            <w:r w:rsidR="00F46CB9" w:rsidRPr="00047D3F">
              <w:rPr>
                <w:rStyle w:val="FootnoteReference"/>
                <w:bCs/>
                <w:sz w:val="20"/>
                <w:lang w:val="es-MX"/>
              </w:rPr>
              <w:footnoteReference w:id="4"/>
            </w:r>
          </w:p>
        </w:tc>
      </w:tr>
    </w:tbl>
    <w:p w:rsidR="003239B8" w:rsidRPr="00047D3F" w:rsidRDefault="003239B8" w:rsidP="003239B8">
      <w:pPr>
        <w:spacing w:before="240" w:after="240"/>
        <w:ind w:firstLine="720"/>
        <w:jc w:val="both"/>
        <w:rPr>
          <w:rFonts w:asciiTheme="majorHAnsi" w:hAnsiTheme="majorHAnsi"/>
          <w:b/>
          <w:bCs/>
          <w:sz w:val="20"/>
        </w:rPr>
      </w:pPr>
      <w:r w:rsidRPr="00047D3F">
        <w:rPr>
          <w:rFonts w:asciiTheme="majorHAnsi" w:hAnsiTheme="majorHAnsi"/>
          <w:b/>
          <w:bCs/>
          <w:sz w:val="20"/>
        </w:rPr>
        <w:t>II.</w:t>
      </w:r>
      <w:r w:rsidRPr="00047D3F">
        <w:rPr>
          <w:rFonts w:asciiTheme="majorHAnsi" w:hAnsiTheme="majorHAnsi"/>
          <w:b/>
          <w:bCs/>
          <w:sz w:val="20"/>
        </w:rPr>
        <w:tab/>
        <w:t>TRÁMITE ANTE LA CIDH</w:t>
      </w:r>
      <w:r w:rsidR="008E3BFE" w:rsidRPr="00047D3F">
        <w:rPr>
          <w:rStyle w:val="FootnoteReference"/>
          <w:b/>
          <w:sz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047D3F" w:rsidTr="008D2290">
        <w:tc>
          <w:tcPr>
            <w:tcW w:w="4680" w:type="dxa"/>
            <w:tcBorders>
              <w:top w:val="single" w:sz="6" w:space="0" w:color="auto"/>
              <w:bottom w:val="single" w:sz="6" w:space="0" w:color="auto"/>
            </w:tcBorders>
            <w:shd w:val="clear" w:color="auto" w:fill="386294"/>
            <w:vAlign w:val="center"/>
          </w:tcPr>
          <w:p w:rsidR="004C2312" w:rsidRPr="00047D3F" w:rsidRDefault="004C2312" w:rsidP="008D2290">
            <w:pPr>
              <w:jc w:val="center"/>
              <w:rPr>
                <w:b/>
                <w:bCs/>
                <w:color w:val="FFFFFF" w:themeColor="background1"/>
                <w:sz w:val="20"/>
              </w:rPr>
            </w:pPr>
            <w:r w:rsidRPr="00047D3F">
              <w:rPr>
                <w:b/>
                <w:bCs/>
                <w:color w:val="FFFFFF" w:themeColor="background1"/>
                <w:sz w:val="20"/>
              </w:rPr>
              <w:t>Fecha de presentación de la petición:</w:t>
            </w:r>
          </w:p>
        </w:tc>
        <w:tc>
          <w:tcPr>
            <w:tcW w:w="4680" w:type="dxa"/>
            <w:vAlign w:val="center"/>
          </w:tcPr>
          <w:p w:rsidR="004C2312" w:rsidRPr="00047D3F" w:rsidRDefault="001F1047" w:rsidP="002625EA">
            <w:pPr>
              <w:jc w:val="both"/>
              <w:rPr>
                <w:bCs/>
                <w:sz w:val="20"/>
              </w:rPr>
            </w:pPr>
            <w:r w:rsidRPr="00047D3F">
              <w:rPr>
                <w:bCs/>
                <w:sz w:val="20"/>
              </w:rPr>
              <w:t>4 de enero de 2008</w:t>
            </w:r>
          </w:p>
        </w:tc>
      </w:tr>
      <w:tr w:rsidR="001E49E7" w:rsidRPr="00047D3F" w:rsidTr="002625EA">
        <w:tc>
          <w:tcPr>
            <w:tcW w:w="4680" w:type="dxa"/>
            <w:tcBorders>
              <w:top w:val="single" w:sz="6" w:space="0" w:color="auto"/>
              <w:bottom w:val="single" w:sz="6" w:space="0" w:color="auto"/>
            </w:tcBorders>
            <w:shd w:val="clear" w:color="auto" w:fill="386294"/>
            <w:vAlign w:val="center"/>
          </w:tcPr>
          <w:p w:rsidR="001E49E7" w:rsidRPr="00047D3F" w:rsidRDefault="001E49E7" w:rsidP="001E49E7">
            <w:pPr>
              <w:jc w:val="center"/>
              <w:rPr>
                <w:b/>
                <w:bCs/>
                <w:color w:val="FFFFFF" w:themeColor="background1"/>
                <w:sz w:val="20"/>
              </w:rPr>
            </w:pPr>
            <w:r w:rsidRPr="00047D3F">
              <w:rPr>
                <w:b/>
                <w:bCs/>
                <w:color w:val="FFFFFF" w:themeColor="background1"/>
                <w:sz w:val="20"/>
              </w:rPr>
              <w:t>Información adicional recibida durante la etapa de estudio:</w:t>
            </w:r>
          </w:p>
        </w:tc>
        <w:tc>
          <w:tcPr>
            <w:tcW w:w="4680" w:type="dxa"/>
            <w:vAlign w:val="center"/>
          </w:tcPr>
          <w:p w:rsidR="001E49E7" w:rsidRPr="00047D3F" w:rsidRDefault="001F1047" w:rsidP="001F1047">
            <w:pPr>
              <w:jc w:val="both"/>
              <w:rPr>
                <w:bCs/>
                <w:sz w:val="20"/>
                <w:lang w:val="es-AR"/>
              </w:rPr>
            </w:pPr>
            <w:r w:rsidRPr="00047D3F">
              <w:rPr>
                <w:bCs/>
                <w:sz w:val="20"/>
                <w:lang w:val="es-AR"/>
              </w:rPr>
              <w:t>1 de agosto de 2011</w:t>
            </w:r>
          </w:p>
        </w:tc>
      </w:tr>
      <w:tr w:rsidR="004C2312" w:rsidRPr="00047D3F" w:rsidTr="008D2290">
        <w:tc>
          <w:tcPr>
            <w:tcW w:w="4680" w:type="dxa"/>
            <w:tcBorders>
              <w:top w:val="single" w:sz="6" w:space="0" w:color="auto"/>
              <w:bottom w:val="single" w:sz="6" w:space="0" w:color="auto"/>
            </w:tcBorders>
            <w:shd w:val="clear" w:color="auto" w:fill="386294"/>
            <w:vAlign w:val="center"/>
          </w:tcPr>
          <w:p w:rsidR="004C2312" w:rsidRPr="00047D3F" w:rsidRDefault="004C2312" w:rsidP="008D2290">
            <w:pPr>
              <w:jc w:val="center"/>
              <w:rPr>
                <w:b/>
                <w:bCs/>
                <w:color w:val="FFFFFF" w:themeColor="background1"/>
                <w:sz w:val="20"/>
              </w:rPr>
            </w:pPr>
            <w:r w:rsidRPr="00047D3F">
              <w:rPr>
                <w:b/>
                <w:color w:val="FFFFFF" w:themeColor="background1"/>
                <w:sz w:val="20"/>
              </w:rPr>
              <w:t>Fecha de notificación de la petición al Estado:</w:t>
            </w:r>
          </w:p>
        </w:tc>
        <w:tc>
          <w:tcPr>
            <w:tcW w:w="4680" w:type="dxa"/>
            <w:vAlign w:val="center"/>
          </w:tcPr>
          <w:p w:rsidR="004C2312" w:rsidRPr="00047D3F" w:rsidRDefault="00D3674E" w:rsidP="008D2290">
            <w:pPr>
              <w:jc w:val="both"/>
              <w:rPr>
                <w:bCs/>
                <w:sz w:val="20"/>
              </w:rPr>
            </w:pPr>
            <w:r w:rsidRPr="00047D3F">
              <w:rPr>
                <w:bCs/>
                <w:sz w:val="20"/>
              </w:rPr>
              <w:t>21 de marzo de 2014</w:t>
            </w:r>
          </w:p>
        </w:tc>
      </w:tr>
      <w:tr w:rsidR="004C2312" w:rsidRPr="00047D3F" w:rsidTr="008D2290">
        <w:tc>
          <w:tcPr>
            <w:tcW w:w="4680" w:type="dxa"/>
            <w:tcBorders>
              <w:top w:val="single" w:sz="6" w:space="0" w:color="auto"/>
              <w:bottom w:val="single" w:sz="6" w:space="0" w:color="auto"/>
            </w:tcBorders>
            <w:shd w:val="clear" w:color="auto" w:fill="386294"/>
            <w:vAlign w:val="center"/>
          </w:tcPr>
          <w:p w:rsidR="004C2312" w:rsidRPr="00047D3F" w:rsidRDefault="004C2312" w:rsidP="008D2290">
            <w:pPr>
              <w:jc w:val="center"/>
              <w:rPr>
                <w:b/>
                <w:bCs/>
                <w:color w:val="FFFFFF" w:themeColor="background1"/>
                <w:sz w:val="20"/>
              </w:rPr>
            </w:pPr>
            <w:r w:rsidRPr="00047D3F">
              <w:rPr>
                <w:b/>
                <w:color w:val="FFFFFF" w:themeColor="background1"/>
                <w:sz w:val="20"/>
              </w:rPr>
              <w:t>Fecha de primera respuesta del Estado:</w:t>
            </w:r>
          </w:p>
        </w:tc>
        <w:tc>
          <w:tcPr>
            <w:tcW w:w="4680" w:type="dxa"/>
            <w:vAlign w:val="center"/>
          </w:tcPr>
          <w:p w:rsidR="004C2312" w:rsidRPr="00047D3F" w:rsidRDefault="00AD3061" w:rsidP="00455183">
            <w:pPr>
              <w:jc w:val="both"/>
              <w:rPr>
                <w:bCs/>
                <w:sz w:val="20"/>
              </w:rPr>
            </w:pPr>
            <w:r w:rsidRPr="00047D3F">
              <w:rPr>
                <w:bCs/>
                <w:sz w:val="20"/>
              </w:rPr>
              <w:t xml:space="preserve">25 de junio de 2014 </w:t>
            </w:r>
          </w:p>
        </w:tc>
      </w:tr>
      <w:tr w:rsidR="004C2312" w:rsidRPr="00047D3F" w:rsidTr="008D2290">
        <w:tc>
          <w:tcPr>
            <w:tcW w:w="4680" w:type="dxa"/>
            <w:tcBorders>
              <w:top w:val="single" w:sz="6" w:space="0" w:color="auto"/>
              <w:bottom w:val="single" w:sz="6" w:space="0" w:color="auto"/>
            </w:tcBorders>
            <w:shd w:val="clear" w:color="auto" w:fill="386294"/>
            <w:vAlign w:val="center"/>
          </w:tcPr>
          <w:p w:rsidR="004C2312" w:rsidRPr="00047D3F" w:rsidRDefault="008E3BFE" w:rsidP="008E3BFE">
            <w:pPr>
              <w:jc w:val="center"/>
              <w:rPr>
                <w:b/>
                <w:bCs/>
                <w:color w:val="FFFFFF" w:themeColor="background1"/>
                <w:sz w:val="20"/>
              </w:rPr>
            </w:pPr>
            <w:r w:rsidRPr="00047D3F">
              <w:rPr>
                <w:b/>
                <w:bCs/>
                <w:color w:val="FFFFFF" w:themeColor="background1"/>
                <w:sz w:val="20"/>
              </w:rPr>
              <w:t>Observaciones adicionales de la parte peticionaria:</w:t>
            </w:r>
          </w:p>
        </w:tc>
        <w:tc>
          <w:tcPr>
            <w:tcW w:w="4680" w:type="dxa"/>
            <w:vAlign w:val="center"/>
          </w:tcPr>
          <w:p w:rsidR="004C2312" w:rsidRPr="00047D3F" w:rsidRDefault="00455183" w:rsidP="008D2290">
            <w:pPr>
              <w:jc w:val="both"/>
              <w:rPr>
                <w:bCs/>
                <w:sz w:val="20"/>
              </w:rPr>
            </w:pPr>
            <w:r w:rsidRPr="00047D3F">
              <w:rPr>
                <w:bCs/>
                <w:sz w:val="20"/>
              </w:rPr>
              <w:t xml:space="preserve">1 de diciembre de 2014 y </w:t>
            </w:r>
            <w:r w:rsidR="00AD3061" w:rsidRPr="00047D3F">
              <w:rPr>
                <w:bCs/>
                <w:sz w:val="20"/>
              </w:rPr>
              <w:t>9 de abril de 2016</w:t>
            </w:r>
          </w:p>
        </w:tc>
      </w:tr>
      <w:tr w:rsidR="004C2312" w:rsidRPr="00047D3F" w:rsidTr="008D2290">
        <w:tc>
          <w:tcPr>
            <w:tcW w:w="4680" w:type="dxa"/>
            <w:tcBorders>
              <w:top w:val="single" w:sz="6" w:space="0" w:color="auto"/>
              <w:bottom w:val="single" w:sz="6" w:space="0" w:color="auto"/>
            </w:tcBorders>
            <w:shd w:val="clear" w:color="auto" w:fill="386294"/>
            <w:vAlign w:val="center"/>
          </w:tcPr>
          <w:p w:rsidR="004C2312" w:rsidRPr="00047D3F" w:rsidRDefault="004C2312" w:rsidP="008E3BFE">
            <w:pPr>
              <w:jc w:val="center"/>
              <w:rPr>
                <w:b/>
                <w:bCs/>
                <w:color w:val="FFFFFF" w:themeColor="background1"/>
                <w:sz w:val="20"/>
              </w:rPr>
            </w:pPr>
            <w:r w:rsidRPr="00047D3F">
              <w:rPr>
                <w:b/>
                <w:bCs/>
                <w:color w:val="FFFFFF" w:themeColor="background1"/>
                <w:sz w:val="20"/>
              </w:rPr>
              <w:t>Observaciones adicionales del Estado:</w:t>
            </w:r>
          </w:p>
        </w:tc>
        <w:tc>
          <w:tcPr>
            <w:tcW w:w="4680" w:type="dxa"/>
            <w:vAlign w:val="center"/>
          </w:tcPr>
          <w:p w:rsidR="004C2312" w:rsidRPr="00047D3F" w:rsidRDefault="00AD3061" w:rsidP="008D2290">
            <w:pPr>
              <w:jc w:val="both"/>
              <w:rPr>
                <w:bCs/>
                <w:sz w:val="20"/>
              </w:rPr>
            </w:pPr>
            <w:r w:rsidRPr="00047D3F">
              <w:rPr>
                <w:bCs/>
                <w:sz w:val="20"/>
              </w:rPr>
              <w:t>18 de mayo de 2017</w:t>
            </w:r>
          </w:p>
        </w:tc>
      </w:tr>
    </w:tbl>
    <w:p w:rsidR="003239B8" w:rsidRPr="00047D3F" w:rsidRDefault="003239B8" w:rsidP="003239B8">
      <w:pPr>
        <w:spacing w:before="240" w:after="240"/>
        <w:ind w:firstLine="720"/>
        <w:jc w:val="both"/>
        <w:rPr>
          <w:rFonts w:asciiTheme="majorHAnsi" w:hAnsiTheme="majorHAnsi"/>
          <w:b/>
          <w:bCs/>
          <w:sz w:val="20"/>
        </w:rPr>
      </w:pPr>
      <w:r w:rsidRPr="00047D3F">
        <w:rPr>
          <w:rFonts w:asciiTheme="majorHAnsi" w:hAnsiTheme="majorHAnsi"/>
          <w:b/>
          <w:bCs/>
          <w:sz w:val="20"/>
        </w:rPr>
        <w:t xml:space="preserve">III. </w:t>
      </w:r>
      <w:r w:rsidRPr="00047D3F">
        <w:rPr>
          <w:rFonts w:asciiTheme="majorHAnsi" w:hAnsiTheme="majorHAnsi"/>
          <w:b/>
          <w:bCs/>
          <w:sz w:val="20"/>
        </w:rPr>
        <w:tab/>
        <w:t>COMPETENCIA</w:t>
      </w:r>
      <w:r w:rsidR="00EE00E9" w:rsidRPr="00047D3F">
        <w:rPr>
          <w:rFonts w:asciiTheme="majorHAnsi" w:hAnsiTheme="majorHAnsi"/>
          <w:b/>
          <w:bCs/>
          <w:sz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47D3F" w:rsidTr="008D2290">
        <w:trPr>
          <w:cantSplit/>
        </w:trPr>
        <w:tc>
          <w:tcPr>
            <w:tcW w:w="4680" w:type="dxa"/>
            <w:tcBorders>
              <w:top w:val="single" w:sz="4" w:space="0" w:color="auto"/>
              <w:bottom w:val="single" w:sz="6" w:space="0" w:color="auto"/>
            </w:tcBorders>
            <w:shd w:val="clear" w:color="auto" w:fill="386294"/>
            <w:vAlign w:val="center"/>
          </w:tcPr>
          <w:p w:rsidR="003239B8" w:rsidRPr="00047D3F" w:rsidRDefault="003239B8" w:rsidP="008D2290">
            <w:pPr>
              <w:jc w:val="center"/>
              <w:rPr>
                <w:b/>
                <w:bCs/>
                <w:i/>
                <w:color w:val="FFFFFF" w:themeColor="background1"/>
                <w:sz w:val="20"/>
              </w:rPr>
            </w:pPr>
            <w:r w:rsidRPr="00047D3F">
              <w:rPr>
                <w:b/>
                <w:bCs/>
                <w:color w:val="FFFFFF" w:themeColor="background1"/>
                <w:sz w:val="20"/>
              </w:rPr>
              <w:t>Competencia</w:t>
            </w:r>
            <w:r w:rsidRPr="00047D3F">
              <w:rPr>
                <w:b/>
                <w:bCs/>
                <w:i/>
                <w:color w:val="FFFFFF" w:themeColor="background1"/>
                <w:sz w:val="20"/>
              </w:rPr>
              <w:t xml:space="preserve"> Ratione personae:</w:t>
            </w:r>
          </w:p>
        </w:tc>
        <w:tc>
          <w:tcPr>
            <w:tcW w:w="4680" w:type="dxa"/>
            <w:vAlign w:val="center"/>
          </w:tcPr>
          <w:p w:rsidR="003239B8" w:rsidRPr="00047D3F" w:rsidRDefault="00963CA0" w:rsidP="008D2290">
            <w:pPr>
              <w:rPr>
                <w:bCs/>
                <w:sz w:val="20"/>
              </w:rPr>
            </w:pPr>
            <w:r w:rsidRPr="00047D3F">
              <w:rPr>
                <w:bCs/>
                <w:sz w:val="20"/>
              </w:rPr>
              <w:t>Sí</w:t>
            </w:r>
          </w:p>
        </w:tc>
      </w:tr>
      <w:tr w:rsidR="003239B8" w:rsidRPr="00047D3F" w:rsidTr="008D2290">
        <w:trPr>
          <w:cantSplit/>
        </w:trPr>
        <w:tc>
          <w:tcPr>
            <w:tcW w:w="4680" w:type="dxa"/>
            <w:tcBorders>
              <w:top w:val="single" w:sz="6" w:space="0" w:color="auto"/>
              <w:bottom w:val="single" w:sz="6" w:space="0" w:color="auto"/>
            </w:tcBorders>
            <w:shd w:val="clear" w:color="auto" w:fill="386294"/>
            <w:vAlign w:val="center"/>
          </w:tcPr>
          <w:p w:rsidR="003239B8" w:rsidRPr="00047D3F" w:rsidRDefault="003239B8" w:rsidP="008D2290">
            <w:pPr>
              <w:jc w:val="center"/>
              <w:rPr>
                <w:b/>
                <w:bCs/>
                <w:color w:val="FFFFFF" w:themeColor="background1"/>
                <w:sz w:val="20"/>
              </w:rPr>
            </w:pPr>
            <w:r w:rsidRPr="00047D3F">
              <w:rPr>
                <w:b/>
                <w:bCs/>
                <w:color w:val="FFFFFF" w:themeColor="background1"/>
                <w:sz w:val="20"/>
              </w:rPr>
              <w:t>Competencia</w:t>
            </w:r>
            <w:r w:rsidRPr="00047D3F">
              <w:rPr>
                <w:b/>
                <w:bCs/>
                <w:i/>
                <w:color w:val="FFFFFF" w:themeColor="background1"/>
                <w:sz w:val="20"/>
              </w:rPr>
              <w:t xml:space="preserve"> Ratione loci</w:t>
            </w:r>
            <w:r w:rsidRPr="00047D3F">
              <w:rPr>
                <w:b/>
                <w:bCs/>
                <w:color w:val="FFFFFF" w:themeColor="background1"/>
                <w:sz w:val="20"/>
              </w:rPr>
              <w:t>:</w:t>
            </w:r>
          </w:p>
        </w:tc>
        <w:tc>
          <w:tcPr>
            <w:tcW w:w="4680" w:type="dxa"/>
            <w:vAlign w:val="center"/>
          </w:tcPr>
          <w:p w:rsidR="003239B8" w:rsidRPr="00047D3F" w:rsidRDefault="00963CA0" w:rsidP="008D2290">
            <w:pPr>
              <w:rPr>
                <w:bCs/>
                <w:sz w:val="20"/>
              </w:rPr>
            </w:pPr>
            <w:r w:rsidRPr="00047D3F">
              <w:rPr>
                <w:bCs/>
                <w:sz w:val="20"/>
              </w:rPr>
              <w:t>Sí</w:t>
            </w:r>
          </w:p>
        </w:tc>
      </w:tr>
      <w:tr w:rsidR="003239B8" w:rsidRPr="00047D3F" w:rsidTr="008D2290">
        <w:trPr>
          <w:cantSplit/>
        </w:trPr>
        <w:tc>
          <w:tcPr>
            <w:tcW w:w="4680" w:type="dxa"/>
            <w:tcBorders>
              <w:top w:val="single" w:sz="6" w:space="0" w:color="auto"/>
              <w:bottom w:val="single" w:sz="6" w:space="0" w:color="auto"/>
            </w:tcBorders>
            <w:shd w:val="clear" w:color="auto" w:fill="386294"/>
            <w:vAlign w:val="center"/>
          </w:tcPr>
          <w:p w:rsidR="003239B8" w:rsidRPr="00047D3F" w:rsidRDefault="003239B8" w:rsidP="008D2290">
            <w:pPr>
              <w:jc w:val="center"/>
              <w:rPr>
                <w:b/>
                <w:bCs/>
                <w:color w:val="FFFFFF" w:themeColor="background1"/>
                <w:sz w:val="20"/>
              </w:rPr>
            </w:pPr>
            <w:r w:rsidRPr="00047D3F">
              <w:rPr>
                <w:b/>
                <w:bCs/>
                <w:color w:val="FFFFFF" w:themeColor="background1"/>
                <w:sz w:val="20"/>
              </w:rPr>
              <w:t>Competencia</w:t>
            </w:r>
            <w:r w:rsidRPr="00047D3F">
              <w:rPr>
                <w:b/>
                <w:bCs/>
                <w:i/>
                <w:color w:val="FFFFFF" w:themeColor="background1"/>
                <w:sz w:val="20"/>
              </w:rPr>
              <w:t xml:space="preserve"> Ratione temporis</w:t>
            </w:r>
            <w:r w:rsidRPr="00047D3F">
              <w:rPr>
                <w:b/>
                <w:bCs/>
                <w:color w:val="FFFFFF" w:themeColor="background1"/>
                <w:sz w:val="20"/>
              </w:rPr>
              <w:t>:</w:t>
            </w:r>
          </w:p>
        </w:tc>
        <w:tc>
          <w:tcPr>
            <w:tcW w:w="4680" w:type="dxa"/>
            <w:vAlign w:val="center"/>
          </w:tcPr>
          <w:p w:rsidR="003239B8" w:rsidRPr="00047D3F" w:rsidRDefault="00963CA0" w:rsidP="008D2290">
            <w:pPr>
              <w:rPr>
                <w:bCs/>
                <w:sz w:val="20"/>
              </w:rPr>
            </w:pPr>
            <w:r w:rsidRPr="00047D3F">
              <w:rPr>
                <w:bCs/>
                <w:sz w:val="20"/>
              </w:rPr>
              <w:t>Sí</w:t>
            </w:r>
          </w:p>
        </w:tc>
      </w:tr>
      <w:tr w:rsidR="003239B8" w:rsidRPr="00047D3F" w:rsidTr="008D2290">
        <w:trPr>
          <w:cantSplit/>
        </w:trPr>
        <w:tc>
          <w:tcPr>
            <w:tcW w:w="4680" w:type="dxa"/>
            <w:tcBorders>
              <w:top w:val="single" w:sz="6" w:space="0" w:color="auto"/>
              <w:bottom w:val="single" w:sz="6" w:space="0" w:color="auto"/>
            </w:tcBorders>
            <w:shd w:val="clear" w:color="auto" w:fill="386294"/>
            <w:vAlign w:val="center"/>
          </w:tcPr>
          <w:p w:rsidR="003239B8" w:rsidRPr="00047D3F" w:rsidRDefault="003239B8" w:rsidP="008D2290">
            <w:pPr>
              <w:jc w:val="center"/>
              <w:rPr>
                <w:b/>
                <w:bCs/>
                <w:color w:val="FFFFFF" w:themeColor="background1"/>
                <w:sz w:val="20"/>
              </w:rPr>
            </w:pPr>
            <w:r w:rsidRPr="00047D3F">
              <w:rPr>
                <w:b/>
                <w:bCs/>
                <w:color w:val="FFFFFF" w:themeColor="background1"/>
                <w:sz w:val="20"/>
              </w:rPr>
              <w:t>Competencia</w:t>
            </w:r>
            <w:r w:rsidRPr="00047D3F">
              <w:rPr>
                <w:b/>
                <w:bCs/>
                <w:i/>
                <w:color w:val="FFFFFF" w:themeColor="background1"/>
                <w:sz w:val="20"/>
              </w:rPr>
              <w:t xml:space="preserve"> Ratione materia</w:t>
            </w:r>
            <w:r w:rsidR="00EE00E9" w:rsidRPr="00047D3F">
              <w:rPr>
                <w:b/>
                <w:bCs/>
                <w:i/>
                <w:color w:val="FFFFFF" w:themeColor="background1"/>
                <w:sz w:val="20"/>
              </w:rPr>
              <w:t>e</w:t>
            </w:r>
            <w:r w:rsidRPr="00047D3F">
              <w:rPr>
                <w:b/>
                <w:bCs/>
                <w:color w:val="FFFFFF" w:themeColor="background1"/>
                <w:sz w:val="20"/>
              </w:rPr>
              <w:t>:</w:t>
            </w:r>
          </w:p>
        </w:tc>
        <w:tc>
          <w:tcPr>
            <w:tcW w:w="4680" w:type="dxa"/>
            <w:vAlign w:val="center"/>
          </w:tcPr>
          <w:p w:rsidR="00963CA0" w:rsidRPr="00047D3F" w:rsidRDefault="00963CA0" w:rsidP="00832341">
            <w:pPr>
              <w:jc w:val="both"/>
              <w:rPr>
                <w:bCs/>
                <w:sz w:val="20"/>
              </w:rPr>
            </w:pPr>
            <w:r w:rsidRPr="00047D3F">
              <w:rPr>
                <w:bCs/>
                <w:sz w:val="20"/>
              </w:rPr>
              <w:t xml:space="preserve">Sí, </w:t>
            </w:r>
            <w:r w:rsidR="00832341" w:rsidRPr="00047D3F">
              <w:rPr>
                <w:bCs/>
                <w:sz w:val="20"/>
              </w:rPr>
              <w:t>Convención Americana</w:t>
            </w:r>
            <w:r w:rsidRPr="00047D3F">
              <w:rPr>
                <w:bCs/>
                <w:sz w:val="20"/>
              </w:rPr>
              <w:t xml:space="preserve"> (depósito de </w:t>
            </w:r>
            <w:r w:rsidR="00832341" w:rsidRPr="00047D3F">
              <w:rPr>
                <w:bCs/>
                <w:sz w:val="20"/>
              </w:rPr>
              <w:t>ratificación</w:t>
            </w:r>
            <w:r w:rsidRPr="00047D3F">
              <w:rPr>
                <w:bCs/>
                <w:sz w:val="20"/>
              </w:rPr>
              <w:t xml:space="preserve"> r</w:t>
            </w:r>
            <w:r w:rsidR="00EB3AC7" w:rsidRPr="00047D3F">
              <w:rPr>
                <w:bCs/>
                <w:sz w:val="20"/>
              </w:rPr>
              <w:t>ealizado el 28 de julio del 1978</w:t>
            </w:r>
            <w:r w:rsidRPr="00047D3F">
              <w:rPr>
                <w:bCs/>
                <w:sz w:val="20"/>
              </w:rPr>
              <w:t>)</w:t>
            </w:r>
          </w:p>
        </w:tc>
      </w:tr>
    </w:tbl>
    <w:p w:rsidR="004721BC" w:rsidRDefault="004721BC" w:rsidP="003239B8">
      <w:pPr>
        <w:spacing w:before="240" w:after="240"/>
        <w:ind w:firstLine="720"/>
        <w:jc w:val="both"/>
        <w:rPr>
          <w:rFonts w:asciiTheme="majorHAnsi" w:hAnsiTheme="majorHAnsi"/>
          <w:b/>
          <w:bCs/>
          <w:sz w:val="20"/>
        </w:rPr>
      </w:pPr>
    </w:p>
    <w:p w:rsidR="003239B8" w:rsidRPr="00047D3F" w:rsidRDefault="003239B8" w:rsidP="003239B8">
      <w:pPr>
        <w:spacing w:before="240" w:after="240"/>
        <w:ind w:firstLine="720"/>
        <w:jc w:val="both"/>
        <w:rPr>
          <w:rFonts w:asciiTheme="majorHAnsi" w:hAnsiTheme="majorHAnsi"/>
          <w:b/>
          <w:bCs/>
          <w:sz w:val="20"/>
        </w:rPr>
      </w:pPr>
      <w:r w:rsidRPr="00047D3F">
        <w:rPr>
          <w:rFonts w:asciiTheme="majorHAnsi" w:hAnsiTheme="majorHAnsi"/>
          <w:b/>
          <w:bCs/>
          <w:sz w:val="20"/>
        </w:rPr>
        <w:lastRenderedPageBreak/>
        <w:t xml:space="preserve">IV. </w:t>
      </w:r>
      <w:r w:rsidRPr="00047D3F">
        <w:rPr>
          <w:rFonts w:asciiTheme="majorHAnsi" w:hAnsiTheme="majorHAnsi"/>
          <w:b/>
          <w:bCs/>
          <w:sz w:val="20"/>
        </w:rPr>
        <w:tab/>
        <w:t>ANÁLISIS DE</w:t>
      </w:r>
      <w:r w:rsidR="00EE00E9" w:rsidRPr="00047D3F">
        <w:rPr>
          <w:rFonts w:asciiTheme="majorHAnsi" w:hAnsiTheme="majorHAnsi"/>
          <w:b/>
          <w:bCs/>
          <w:sz w:val="20"/>
        </w:rPr>
        <w:t xml:space="preserve"> DUPLICACIÓN</w:t>
      </w:r>
      <w:r w:rsidR="00EE00E9" w:rsidRPr="00047D3F">
        <w:rPr>
          <w:rFonts w:asciiTheme="majorHAnsi" w:hAnsiTheme="majorHAnsi"/>
          <w:b/>
          <w:bCs/>
          <w:color w:val="FFFFFF" w:themeColor="background1"/>
          <w:sz w:val="20"/>
        </w:rPr>
        <w:t xml:space="preserve"> </w:t>
      </w:r>
      <w:r w:rsidR="00EE00E9" w:rsidRPr="00047D3F">
        <w:rPr>
          <w:rFonts w:asciiTheme="majorHAnsi" w:hAnsiTheme="majorHAnsi"/>
          <w:b/>
          <w:bCs/>
          <w:sz w:val="20"/>
        </w:rPr>
        <w:t>DE PROCEDIMIENTOS Y COSA JUZGADA</w:t>
      </w:r>
      <w:r w:rsidR="00EE00E9" w:rsidRPr="00047D3F">
        <w:rPr>
          <w:rFonts w:asciiTheme="majorHAnsi" w:hAnsiTheme="majorHAnsi"/>
          <w:b/>
          <w:bCs/>
          <w:i/>
          <w:sz w:val="20"/>
        </w:rPr>
        <w:t xml:space="preserve"> </w:t>
      </w:r>
      <w:r w:rsidR="00EE00E9" w:rsidRPr="00047D3F">
        <w:rPr>
          <w:rFonts w:asciiTheme="majorHAnsi" w:hAnsiTheme="majorHAnsi"/>
          <w:b/>
          <w:bCs/>
          <w:sz w:val="20"/>
        </w:rPr>
        <w:t xml:space="preserve">INTERNACIONAL, </w:t>
      </w:r>
      <w:r w:rsidRPr="00047D3F">
        <w:rPr>
          <w:rFonts w:asciiTheme="majorHAnsi" w:hAnsiTheme="majorHAnsi"/>
          <w:b/>
          <w:bCs/>
          <w:sz w:val="20"/>
        </w:rPr>
        <w:t xml:space="preserve"> CARACTERIZACIÓN, </w:t>
      </w:r>
      <w:r w:rsidRPr="00047D3F">
        <w:rPr>
          <w:rFonts w:asciiTheme="majorHAnsi" w:hAnsiTheme="majorHAnsi"/>
          <w:b/>
          <w:sz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047D3F" w:rsidTr="008D2290">
        <w:trPr>
          <w:cantSplit/>
        </w:trPr>
        <w:tc>
          <w:tcPr>
            <w:tcW w:w="4680" w:type="dxa"/>
            <w:tcBorders>
              <w:top w:val="single" w:sz="4" w:space="0" w:color="auto"/>
              <w:bottom w:val="single" w:sz="6" w:space="0" w:color="auto"/>
            </w:tcBorders>
            <w:shd w:val="clear" w:color="auto" w:fill="386294"/>
            <w:vAlign w:val="center"/>
          </w:tcPr>
          <w:p w:rsidR="00EE00E9" w:rsidRPr="00047D3F" w:rsidRDefault="00EE00E9" w:rsidP="008D2290">
            <w:pPr>
              <w:jc w:val="center"/>
              <w:rPr>
                <w:b/>
                <w:bCs/>
                <w:color w:val="FFFFFF" w:themeColor="background1"/>
                <w:sz w:val="20"/>
              </w:rPr>
            </w:pPr>
            <w:r w:rsidRPr="00047D3F">
              <w:rPr>
                <w:b/>
                <w:bCs/>
                <w:color w:val="FFFFFF" w:themeColor="background1"/>
                <w:sz w:val="20"/>
              </w:rPr>
              <w:t>Duplicación de procedimientos y cosa juzgada internacional:</w:t>
            </w:r>
          </w:p>
        </w:tc>
        <w:tc>
          <w:tcPr>
            <w:tcW w:w="4680" w:type="dxa"/>
            <w:vAlign w:val="center"/>
          </w:tcPr>
          <w:p w:rsidR="00EE00E9" w:rsidRPr="00047D3F" w:rsidRDefault="00963CA0" w:rsidP="008D2290">
            <w:pPr>
              <w:jc w:val="both"/>
              <w:rPr>
                <w:bCs/>
                <w:sz w:val="20"/>
              </w:rPr>
            </w:pPr>
            <w:r w:rsidRPr="00047D3F">
              <w:rPr>
                <w:bCs/>
                <w:sz w:val="20"/>
              </w:rPr>
              <w:t>Sí</w:t>
            </w:r>
            <w:r w:rsidR="00BB66DD" w:rsidRPr="00047D3F">
              <w:rPr>
                <w:bCs/>
                <w:sz w:val="20"/>
              </w:rPr>
              <w:t>, en los términos de la sección VI</w:t>
            </w:r>
          </w:p>
        </w:tc>
      </w:tr>
      <w:tr w:rsidR="003239B8" w:rsidRPr="00047D3F" w:rsidTr="008D2290">
        <w:trPr>
          <w:cantSplit/>
        </w:trPr>
        <w:tc>
          <w:tcPr>
            <w:tcW w:w="4680" w:type="dxa"/>
            <w:tcBorders>
              <w:top w:val="single" w:sz="4" w:space="0" w:color="auto"/>
              <w:bottom w:val="single" w:sz="6" w:space="0" w:color="auto"/>
            </w:tcBorders>
            <w:shd w:val="clear" w:color="auto" w:fill="386294"/>
            <w:vAlign w:val="center"/>
          </w:tcPr>
          <w:p w:rsidR="003239B8" w:rsidRPr="00047D3F" w:rsidRDefault="003239B8" w:rsidP="008D2290">
            <w:pPr>
              <w:jc w:val="center"/>
              <w:rPr>
                <w:b/>
                <w:bCs/>
                <w:i/>
                <w:color w:val="FFFFFF" w:themeColor="background1"/>
                <w:sz w:val="20"/>
              </w:rPr>
            </w:pPr>
            <w:r w:rsidRPr="00047D3F">
              <w:rPr>
                <w:b/>
                <w:bCs/>
                <w:color w:val="FFFFFF" w:themeColor="background1"/>
                <w:sz w:val="20"/>
              </w:rPr>
              <w:t>Derechos declarados admisibles</w:t>
            </w:r>
            <w:r w:rsidRPr="00047D3F">
              <w:rPr>
                <w:b/>
                <w:bCs/>
                <w:i/>
                <w:color w:val="FFFFFF" w:themeColor="background1"/>
                <w:sz w:val="20"/>
              </w:rPr>
              <w:t>:</w:t>
            </w:r>
          </w:p>
        </w:tc>
        <w:tc>
          <w:tcPr>
            <w:tcW w:w="4680" w:type="dxa"/>
            <w:vAlign w:val="center"/>
          </w:tcPr>
          <w:p w:rsidR="003239B8" w:rsidRPr="00047D3F" w:rsidRDefault="004C4D8B" w:rsidP="00677B48">
            <w:pPr>
              <w:jc w:val="both"/>
              <w:rPr>
                <w:bCs/>
                <w:sz w:val="20"/>
                <w:lang w:val="es-MX"/>
              </w:rPr>
            </w:pPr>
            <w:r w:rsidRPr="00047D3F">
              <w:rPr>
                <w:bCs/>
                <w:sz w:val="20"/>
                <w:lang w:val="es-MX"/>
              </w:rPr>
              <w:t xml:space="preserve">Artículos </w:t>
            </w:r>
            <w:r w:rsidR="00BB66DD" w:rsidRPr="00047D3F">
              <w:rPr>
                <w:bCs/>
                <w:sz w:val="20"/>
                <w:lang w:val="es-MX"/>
              </w:rPr>
              <w:t>3</w:t>
            </w:r>
            <w:r w:rsidR="00153526" w:rsidRPr="00047D3F">
              <w:rPr>
                <w:bCs/>
                <w:sz w:val="20"/>
                <w:lang w:val="es-MX"/>
              </w:rPr>
              <w:t xml:space="preserve"> </w:t>
            </w:r>
            <w:r w:rsidR="00BB66DD" w:rsidRPr="00047D3F">
              <w:rPr>
                <w:bCs/>
                <w:sz w:val="20"/>
                <w:lang w:val="es-MX"/>
              </w:rPr>
              <w:t>(</w:t>
            </w:r>
            <w:r w:rsidR="00153526" w:rsidRPr="00047D3F">
              <w:rPr>
                <w:bCs/>
                <w:sz w:val="20"/>
                <w:lang w:val="es-MX"/>
              </w:rPr>
              <w:t>reconocimiento de personalidad jurídica</w:t>
            </w:r>
            <w:r w:rsidR="00BB66DD" w:rsidRPr="00047D3F">
              <w:rPr>
                <w:bCs/>
                <w:sz w:val="20"/>
                <w:lang w:val="es-MX"/>
              </w:rPr>
              <w:t>)</w:t>
            </w:r>
            <w:r w:rsidR="006E045E" w:rsidRPr="00047D3F">
              <w:rPr>
                <w:bCs/>
                <w:sz w:val="20"/>
                <w:lang w:val="es-MX"/>
              </w:rPr>
              <w:t>,</w:t>
            </w:r>
            <w:r w:rsidRPr="00047D3F">
              <w:rPr>
                <w:bCs/>
                <w:sz w:val="20"/>
                <w:lang w:val="es-MX"/>
              </w:rPr>
              <w:t xml:space="preserve"> 4 (vida), 5 (integridad personal), 7 (libertad pers</w:t>
            </w:r>
            <w:r w:rsidR="00BB66DD" w:rsidRPr="00047D3F">
              <w:rPr>
                <w:bCs/>
                <w:sz w:val="20"/>
                <w:lang w:val="es-MX"/>
              </w:rPr>
              <w:t>onal), 8 (garantías judiciales)</w:t>
            </w:r>
            <w:r w:rsidR="005D70DB" w:rsidRPr="00047D3F">
              <w:rPr>
                <w:bCs/>
                <w:sz w:val="20"/>
                <w:lang w:val="es-MX"/>
              </w:rPr>
              <w:t>, 19 (derechos del niño)</w:t>
            </w:r>
            <w:r w:rsidRPr="00047D3F">
              <w:rPr>
                <w:bCs/>
                <w:sz w:val="20"/>
                <w:lang w:val="es-MX"/>
              </w:rPr>
              <w:t xml:space="preserve"> </w:t>
            </w:r>
            <w:r w:rsidR="00832341" w:rsidRPr="00047D3F">
              <w:rPr>
                <w:bCs/>
                <w:sz w:val="20"/>
                <w:lang w:val="es-MX"/>
              </w:rPr>
              <w:t xml:space="preserve">y </w:t>
            </w:r>
            <w:r w:rsidRPr="00047D3F">
              <w:rPr>
                <w:bCs/>
                <w:sz w:val="20"/>
                <w:lang w:val="es-MX"/>
              </w:rPr>
              <w:t>25 (protección judicial)</w:t>
            </w:r>
            <w:r w:rsidR="00832341" w:rsidRPr="00047D3F">
              <w:rPr>
                <w:bCs/>
                <w:sz w:val="20"/>
                <w:lang w:val="es-MX"/>
              </w:rPr>
              <w:t xml:space="preserve"> de la Convención Americana</w:t>
            </w:r>
            <w:r w:rsidR="00EE7E10" w:rsidRPr="00047D3F">
              <w:rPr>
                <w:bCs/>
                <w:sz w:val="20"/>
                <w:lang w:val="es-MX"/>
              </w:rPr>
              <w:t>, en relación con sus artículos 1.1 (obligación de respetar los derechos) y 2 (deber de adoptar disposiciones de derecho interno)</w:t>
            </w:r>
            <w:r w:rsidR="005F4460" w:rsidRPr="00047D3F">
              <w:rPr>
                <w:bCs/>
                <w:sz w:val="20"/>
                <w:lang w:val="es-MX"/>
              </w:rPr>
              <w:t xml:space="preserve">; y </w:t>
            </w:r>
            <w:r w:rsidR="00677B48" w:rsidRPr="00047D3F">
              <w:rPr>
                <w:bCs/>
                <w:sz w:val="20"/>
                <w:lang w:val="es-MX"/>
              </w:rPr>
              <w:t>los</w:t>
            </w:r>
            <w:r w:rsidR="005F4460" w:rsidRPr="00047D3F">
              <w:rPr>
                <w:bCs/>
                <w:sz w:val="20"/>
                <w:lang w:val="es-MX"/>
              </w:rPr>
              <w:t xml:space="preserve"> artículo</w:t>
            </w:r>
            <w:r w:rsidR="00677B48" w:rsidRPr="00047D3F">
              <w:rPr>
                <w:bCs/>
                <w:sz w:val="20"/>
                <w:lang w:val="es-MX"/>
              </w:rPr>
              <w:t>s</w:t>
            </w:r>
            <w:r w:rsidR="005F4460" w:rsidRPr="00047D3F">
              <w:rPr>
                <w:bCs/>
                <w:sz w:val="20"/>
                <w:lang w:val="es-MX"/>
              </w:rPr>
              <w:t xml:space="preserve"> I </w:t>
            </w:r>
            <w:r w:rsidR="00677B48" w:rsidRPr="00047D3F">
              <w:rPr>
                <w:bCs/>
                <w:sz w:val="20"/>
                <w:lang w:val="es-MX"/>
              </w:rPr>
              <w:t xml:space="preserve">y III </w:t>
            </w:r>
            <w:r w:rsidR="005F4460" w:rsidRPr="00047D3F">
              <w:rPr>
                <w:bCs/>
                <w:sz w:val="20"/>
                <w:lang w:val="es-MX"/>
              </w:rPr>
              <w:t>de la Convención Interamericana sobre Desaparición Forzada de Personas</w:t>
            </w:r>
          </w:p>
        </w:tc>
      </w:tr>
      <w:tr w:rsidR="003239B8" w:rsidRPr="00047D3F" w:rsidTr="008D2290">
        <w:trPr>
          <w:cantSplit/>
        </w:trPr>
        <w:tc>
          <w:tcPr>
            <w:tcW w:w="4680" w:type="dxa"/>
            <w:tcBorders>
              <w:top w:val="single" w:sz="6" w:space="0" w:color="auto"/>
              <w:bottom w:val="single" w:sz="6" w:space="0" w:color="auto"/>
            </w:tcBorders>
            <w:shd w:val="clear" w:color="auto" w:fill="386294"/>
            <w:vAlign w:val="center"/>
          </w:tcPr>
          <w:p w:rsidR="003239B8" w:rsidRPr="00047D3F" w:rsidRDefault="003239B8" w:rsidP="008D2290">
            <w:pPr>
              <w:jc w:val="center"/>
              <w:rPr>
                <w:b/>
                <w:bCs/>
                <w:color w:val="FFFFFF" w:themeColor="background1"/>
                <w:sz w:val="20"/>
              </w:rPr>
            </w:pPr>
            <w:r w:rsidRPr="00047D3F">
              <w:rPr>
                <w:b/>
                <w:bCs/>
                <w:color w:val="FFFFFF" w:themeColor="background1"/>
                <w:sz w:val="20"/>
              </w:rPr>
              <w:t>Agotamiento de recursos internos</w:t>
            </w:r>
            <w:r w:rsidR="00EE00E9" w:rsidRPr="00047D3F">
              <w:rPr>
                <w:b/>
                <w:bCs/>
                <w:color w:val="FFFFFF" w:themeColor="background1"/>
                <w:sz w:val="20"/>
              </w:rPr>
              <w:t xml:space="preserve"> o procedencia de una excepción</w:t>
            </w:r>
            <w:r w:rsidRPr="00047D3F">
              <w:rPr>
                <w:b/>
                <w:bCs/>
                <w:color w:val="FFFFFF" w:themeColor="background1"/>
                <w:sz w:val="20"/>
              </w:rPr>
              <w:t>:</w:t>
            </w:r>
          </w:p>
        </w:tc>
        <w:tc>
          <w:tcPr>
            <w:tcW w:w="4680" w:type="dxa"/>
            <w:vAlign w:val="center"/>
          </w:tcPr>
          <w:p w:rsidR="003239B8" w:rsidRPr="00047D3F" w:rsidRDefault="004C4D8B" w:rsidP="00021D76">
            <w:pPr>
              <w:rPr>
                <w:bCs/>
                <w:sz w:val="20"/>
              </w:rPr>
            </w:pPr>
            <w:r w:rsidRPr="00047D3F">
              <w:rPr>
                <w:bCs/>
                <w:sz w:val="20"/>
              </w:rPr>
              <w:t xml:space="preserve">Sí, aplica la excepción artículo 46.2.c de la </w:t>
            </w:r>
            <w:r w:rsidR="00021D76" w:rsidRPr="00047D3F">
              <w:rPr>
                <w:bCs/>
                <w:sz w:val="20"/>
              </w:rPr>
              <w:t>CADH</w:t>
            </w:r>
          </w:p>
        </w:tc>
      </w:tr>
      <w:tr w:rsidR="003239B8" w:rsidRPr="00047D3F" w:rsidTr="008D2290">
        <w:trPr>
          <w:cantSplit/>
        </w:trPr>
        <w:tc>
          <w:tcPr>
            <w:tcW w:w="4680" w:type="dxa"/>
            <w:tcBorders>
              <w:top w:val="single" w:sz="6" w:space="0" w:color="auto"/>
              <w:bottom w:val="single" w:sz="6" w:space="0" w:color="auto"/>
            </w:tcBorders>
            <w:shd w:val="clear" w:color="auto" w:fill="386294"/>
            <w:vAlign w:val="center"/>
          </w:tcPr>
          <w:p w:rsidR="003239B8" w:rsidRPr="00047D3F" w:rsidRDefault="003239B8" w:rsidP="008D2290">
            <w:pPr>
              <w:jc w:val="center"/>
              <w:rPr>
                <w:b/>
                <w:bCs/>
                <w:color w:val="FFFFFF" w:themeColor="background1"/>
                <w:sz w:val="20"/>
              </w:rPr>
            </w:pPr>
            <w:r w:rsidRPr="00047D3F">
              <w:rPr>
                <w:b/>
                <w:bCs/>
                <w:color w:val="FFFFFF" w:themeColor="background1"/>
                <w:sz w:val="20"/>
              </w:rPr>
              <w:t>Presentación dentro de plazo:</w:t>
            </w:r>
          </w:p>
        </w:tc>
        <w:tc>
          <w:tcPr>
            <w:tcW w:w="4680" w:type="dxa"/>
            <w:vAlign w:val="center"/>
          </w:tcPr>
          <w:p w:rsidR="003239B8" w:rsidRPr="00047D3F" w:rsidRDefault="004C4D8B" w:rsidP="008D2290">
            <w:pPr>
              <w:rPr>
                <w:bCs/>
                <w:sz w:val="20"/>
                <w:lang w:val="es-MX"/>
              </w:rPr>
            </w:pPr>
            <w:r w:rsidRPr="00047D3F">
              <w:rPr>
                <w:bCs/>
                <w:sz w:val="20"/>
                <w:lang w:val="es-MX"/>
              </w:rPr>
              <w:t>Sí, en los términos de la sección VI</w:t>
            </w:r>
          </w:p>
        </w:tc>
      </w:tr>
    </w:tbl>
    <w:p w:rsidR="003239B8" w:rsidRPr="00047D3F" w:rsidRDefault="00223A29" w:rsidP="003239B8">
      <w:pPr>
        <w:spacing w:before="240" w:after="240"/>
        <w:ind w:firstLine="720"/>
        <w:jc w:val="both"/>
        <w:rPr>
          <w:rFonts w:asciiTheme="majorHAnsi" w:hAnsiTheme="majorHAnsi"/>
          <w:b/>
          <w:sz w:val="20"/>
          <w:lang w:val="es-UY"/>
        </w:rPr>
      </w:pPr>
      <w:r w:rsidRPr="00047D3F">
        <w:rPr>
          <w:rFonts w:asciiTheme="majorHAnsi" w:hAnsiTheme="majorHAnsi"/>
          <w:b/>
          <w:sz w:val="20"/>
          <w:lang w:val="es-UY"/>
        </w:rPr>
        <w:t xml:space="preserve">V. </w:t>
      </w:r>
      <w:r w:rsidRPr="00047D3F">
        <w:rPr>
          <w:rFonts w:asciiTheme="majorHAnsi" w:hAnsiTheme="majorHAnsi"/>
          <w:b/>
          <w:sz w:val="20"/>
          <w:lang w:val="es-UY"/>
        </w:rPr>
        <w:tab/>
      </w:r>
      <w:r w:rsidR="003239B8" w:rsidRPr="00047D3F">
        <w:rPr>
          <w:rFonts w:asciiTheme="majorHAnsi" w:hAnsiTheme="majorHAnsi"/>
          <w:b/>
          <w:sz w:val="20"/>
          <w:lang w:val="es-UY"/>
        </w:rPr>
        <w:t xml:space="preserve">HECHOS ALEGADOS </w:t>
      </w:r>
    </w:p>
    <w:p w:rsidR="00475970" w:rsidRPr="00047D3F" w:rsidRDefault="00C460FC" w:rsidP="00C460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lang w:val="es-MX"/>
        </w:rPr>
      </w:pPr>
      <w:r w:rsidRPr="00047D3F">
        <w:rPr>
          <w:sz w:val="20"/>
          <w:lang w:val="es-MX"/>
        </w:rPr>
        <w:t xml:space="preserve">Los peticionarios indican que </w:t>
      </w:r>
      <w:r w:rsidR="00645CF0" w:rsidRPr="00047D3F">
        <w:rPr>
          <w:sz w:val="20"/>
          <w:lang w:val="es-MX"/>
        </w:rPr>
        <w:t>en el contexto del conflicto armado interno que se vivió en Perú, el departamento de Ayacucho quedó b</w:t>
      </w:r>
      <w:r w:rsidR="00BB66DD" w:rsidRPr="00047D3F">
        <w:rPr>
          <w:sz w:val="20"/>
          <w:lang w:val="es-MX"/>
        </w:rPr>
        <w:t>ajo la supervisión directa del E</w:t>
      </w:r>
      <w:r w:rsidR="00645CF0" w:rsidRPr="00047D3F">
        <w:rPr>
          <w:sz w:val="20"/>
          <w:lang w:val="es-MX"/>
        </w:rPr>
        <w:t xml:space="preserve">jército y la Marina de Guerra a partir del 1983. </w:t>
      </w:r>
      <w:r w:rsidR="00021D76" w:rsidRPr="00047D3F">
        <w:rPr>
          <w:sz w:val="20"/>
          <w:lang w:val="es-MX"/>
        </w:rPr>
        <w:t>Agregan que l</w:t>
      </w:r>
      <w:r w:rsidR="00645CF0" w:rsidRPr="00047D3F">
        <w:rPr>
          <w:sz w:val="20"/>
          <w:lang w:val="es-MX"/>
        </w:rPr>
        <w:t>as Fuerzas Armadas tenían su base principal en el cuartel Domingo Ayarza (también conocido</w:t>
      </w:r>
      <w:r w:rsidRPr="00047D3F">
        <w:rPr>
          <w:sz w:val="20"/>
          <w:lang w:val="es-MX"/>
        </w:rPr>
        <w:t xml:space="preserve"> como “Los Cabitos”)</w:t>
      </w:r>
      <w:r w:rsidR="00645CF0" w:rsidRPr="00047D3F">
        <w:rPr>
          <w:sz w:val="20"/>
          <w:lang w:val="es-MX"/>
        </w:rPr>
        <w:t>; y</w:t>
      </w:r>
      <w:r w:rsidRPr="00047D3F">
        <w:rPr>
          <w:sz w:val="20"/>
          <w:lang w:val="es-MX"/>
        </w:rPr>
        <w:t xml:space="preserve"> la Marina</w:t>
      </w:r>
      <w:r w:rsidR="00645CF0" w:rsidRPr="00047D3F">
        <w:rPr>
          <w:sz w:val="20"/>
          <w:lang w:val="es-MX"/>
        </w:rPr>
        <w:t xml:space="preserve"> de Guerra tenía la suya en la provincia de Huanta, en el Estadio Municipal de Huanta. </w:t>
      </w:r>
      <w:r w:rsidR="00021D76" w:rsidRPr="00047D3F">
        <w:rPr>
          <w:sz w:val="20"/>
          <w:lang w:val="es-MX"/>
        </w:rPr>
        <w:t>Señalan que e</w:t>
      </w:r>
      <w:r w:rsidR="00645CF0" w:rsidRPr="00047D3F">
        <w:rPr>
          <w:sz w:val="20"/>
          <w:lang w:val="es-MX"/>
        </w:rPr>
        <w:t>sta base de la Marina funcionaba como centro de detención donde se torturaba a las persona</w:t>
      </w:r>
      <w:r w:rsidR="00021D76" w:rsidRPr="00047D3F">
        <w:rPr>
          <w:sz w:val="20"/>
          <w:lang w:val="es-MX"/>
        </w:rPr>
        <w:t>s</w:t>
      </w:r>
      <w:r w:rsidR="00645CF0" w:rsidRPr="00047D3F">
        <w:rPr>
          <w:sz w:val="20"/>
          <w:lang w:val="es-MX"/>
        </w:rPr>
        <w:t xml:space="preserve"> detenidas bajo sospecha de terrorismo</w:t>
      </w:r>
      <w:r w:rsidRPr="00047D3F">
        <w:rPr>
          <w:sz w:val="20"/>
          <w:lang w:val="es-MX"/>
        </w:rPr>
        <w:t>.</w:t>
      </w:r>
    </w:p>
    <w:p w:rsidR="00C460FC" w:rsidRPr="00047D3F" w:rsidRDefault="00C460FC" w:rsidP="00C460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lang w:val="es-MX"/>
        </w:rPr>
      </w:pPr>
      <w:r w:rsidRPr="00047D3F">
        <w:rPr>
          <w:sz w:val="20"/>
          <w:lang w:val="es-MX"/>
        </w:rPr>
        <w:t xml:space="preserve">Los peticionarios alegan que entre julio y agosto de 1984 las fuerzas de la Marina de Guerra detuvieron a </w:t>
      </w:r>
      <w:r w:rsidR="008B5A58" w:rsidRPr="00047D3F">
        <w:rPr>
          <w:sz w:val="20"/>
          <w:lang w:val="es-MX"/>
        </w:rPr>
        <w:t>las presuntas víctimas</w:t>
      </w:r>
      <w:r w:rsidRPr="00047D3F">
        <w:rPr>
          <w:sz w:val="20"/>
          <w:lang w:val="es-MX"/>
        </w:rPr>
        <w:t xml:space="preserve"> de forma arbitraria y violenta, </w:t>
      </w:r>
      <w:r w:rsidR="008B5A58" w:rsidRPr="00047D3F">
        <w:rPr>
          <w:sz w:val="20"/>
          <w:lang w:val="es-MX"/>
        </w:rPr>
        <w:t>las llevaron a su base, y a partir de ese momento</w:t>
      </w:r>
      <w:r w:rsidRPr="00047D3F">
        <w:rPr>
          <w:sz w:val="20"/>
          <w:lang w:val="es-MX"/>
        </w:rPr>
        <w:t xml:space="preserve">, </w:t>
      </w:r>
      <w:r w:rsidR="00BB66DD" w:rsidRPr="00047D3F">
        <w:rPr>
          <w:sz w:val="20"/>
          <w:lang w:val="es-MX"/>
        </w:rPr>
        <w:t xml:space="preserve">sus familiares </w:t>
      </w:r>
      <w:r w:rsidRPr="00047D3F">
        <w:rPr>
          <w:sz w:val="20"/>
          <w:lang w:val="es-MX"/>
        </w:rPr>
        <w:t xml:space="preserve">no volvieron a verlos ni lograron comunicarse con ellos. </w:t>
      </w:r>
      <w:r w:rsidR="008B5A58" w:rsidRPr="00047D3F">
        <w:rPr>
          <w:sz w:val="20"/>
          <w:lang w:val="es-MX"/>
        </w:rPr>
        <w:t xml:space="preserve">Así, </w:t>
      </w:r>
      <w:r w:rsidR="00210201" w:rsidRPr="00047D3F">
        <w:rPr>
          <w:sz w:val="20"/>
          <w:lang w:val="es-MX"/>
        </w:rPr>
        <w:t>siete</w:t>
      </w:r>
      <w:r w:rsidR="006E045E" w:rsidRPr="00047D3F">
        <w:rPr>
          <w:sz w:val="20"/>
          <w:lang w:val="es-MX"/>
        </w:rPr>
        <w:t xml:space="preserve"> de las presuntas víctimas –</w:t>
      </w:r>
      <w:r w:rsidR="00542FD7" w:rsidRPr="00047D3F">
        <w:rPr>
          <w:sz w:val="20"/>
          <w:lang w:val="es-MX"/>
        </w:rPr>
        <w:t>Fernanda Graciela López Medina, Crista Fernández Hernando, Juan Ramírez Hurtado, Víctor Venacio Rivas Ventura, Juan Medina Garay, Nemesio Fernández Lapa y Teófilo Munarríz Velásquez</w:t>
      </w:r>
      <w:r w:rsidR="008B5A58" w:rsidRPr="00047D3F">
        <w:rPr>
          <w:sz w:val="20"/>
          <w:lang w:val="es-MX"/>
        </w:rPr>
        <w:t xml:space="preserve">– </w:t>
      </w:r>
      <w:r w:rsidRPr="00047D3F">
        <w:rPr>
          <w:sz w:val="20"/>
          <w:lang w:val="es-MX"/>
        </w:rPr>
        <w:t>fueron detenidas</w:t>
      </w:r>
      <w:r w:rsidR="00966180" w:rsidRPr="00047D3F">
        <w:rPr>
          <w:sz w:val="20"/>
          <w:lang w:val="es-MX"/>
        </w:rPr>
        <w:t xml:space="preserve"> en horas de la madrugada cuando se encontraban en sus domicilios</w:t>
      </w:r>
      <w:r w:rsidR="00210201" w:rsidRPr="00047D3F">
        <w:rPr>
          <w:sz w:val="20"/>
          <w:lang w:val="es-MX"/>
        </w:rPr>
        <w:t xml:space="preserve"> o </w:t>
      </w:r>
      <w:r w:rsidR="006E045E" w:rsidRPr="00047D3F">
        <w:rPr>
          <w:sz w:val="20"/>
          <w:lang w:val="es-MX"/>
        </w:rPr>
        <w:t xml:space="preserve">en </w:t>
      </w:r>
      <w:r w:rsidR="00210201" w:rsidRPr="00047D3F">
        <w:rPr>
          <w:sz w:val="20"/>
          <w:lang w:val="es-MX"/>
        </w:rPr>
        <w:t>casas de vecinos, a la</w:t>
      </w:r>
      <w:r w:rsidR="00966180" w:rsidRPr="00047D3F">
        <w:rPr>
          <w:sz w:val="20"/>
          <w:lang w:val="es-MX"/>
        </w:rPr>
        <w:t xml:space="preserve">s que la Marina ingresó rompiendo puertas y paredes o saltando las cercas. </w:t>
      </w:r>
      <w:r w:rsidR="00542FD7" w:rsidRPr="00047D3F">
        <w:rPr>
          <w:sz w:val="20"/>
          <w:lang w:val="es-MX"/>
        </w:rPr>
        <w:t>Rigoberto Tenorio Roca y Santiago Felipe Loayza Calmana</w:t>
      </w:r>
      <w:r w:rsidR="00966180" w:rsidRPr="00047D3F">
        <w:rPr>
          <w:sz w:val="20"/>
          <w:lang w:val="es-MX"/>
        </w:rPr>
        <w:t xml:space="preserve"> fueron detenid</w:t>
      </w:r>
      <w:r w:rsidR="008B5A58" w:rsidRPr="00047D3F">
        <w:rPr>
          <w:sz w:val="20"/>
          <w:lang w:val="es-MX"/>
        </w:rPr>
        <w:t>o</w:t>
      </w:r>
      <w:r w:rsidR="00966180" w:rsidRPr="00047D3F">
        <w:rPr>
          <w:sz w:val="20"/>
          <w:lang w:val="es-MX"/>
        </w:rPr>
        <w:t>s</w:t>
      </w:r>
      <w:r w:rsidR="008B5A58" w:rsidRPr="00047D3F">
        <w:rPr>
          <w:sz w:val="20"/>
          <w:lang w:val="es-MX"/>
        </w:rPr>
        <w:t xml:space="preserve"> por agentes de la Marina</w:t>
      </w:r>
      <w:r w:rsidR="00966180" w:rsidRPr="00047D3F">
        <w:rPr>
          <w:sz w:val="20"/>
          <w:lang w:val="es-MX"/>
        </w:rPr>
        <w:t xml:space="preserve"> mientras se movilizaban en bus por la zona de A</w:t>
      </w:r>
      <w:r w:rsidR="008B5A58" w:rsidRPr="00047D3F">
        <w:rPr>
          <w:sz w:val="20"/>
          <w:lang w:val="es-MX"/>
        </w:rPr>
        <w:t>yacucho</w:t>
      </w:r>
      <w:r w:rsidR="001B47C8" w:rsidRPr="00047D3F">
        <w:rPr>
          <w:sz w:val="20"/>
          <w:lang w:val="es-MX"/>
        </w:rPr>
        <w:t>, y</w:t>
      </w:r>
      <w:r w:rsidR="008B5A58" w:rsidRPr="00047D3F">
        <w:rPr>
          <w:sz w:val="20"/>
          <w:lang w:val="es-MX"/>
        </w:rPr>
        <w:t xml:space="preserve"> </w:t>
      </w:r>
      <w:r w:rsidR="00542FD7" w:rsidRPr="00047D3F">
        <w:rPr>
          <w:sz w:val="20"/>
          <w:lang w:val="es-MX"/>
        </w:rPr>
        <w:t>Yuri Agama Anaya y Gerardo Gonzáles Guzmán</w:t>
      </w:r>
      <w:r w:rsidR="008B5A58" w:rsidRPr="00047D3F">
        <w:rPr>
          <w:sz w:val="20"/>
          <w:lang w:val="es-MX"/>
        </w:rPr>
        <w:t xml:space="preserve"> </w:t>
      </w:r>
      <w:r w:rsidR="00966180" w:rsidRPr="00047D3F">
        <w:rPr>
          <w:sz w:val="20"/>
          <w:lang w:val="es-MX"/>
        </w:rPr>
        <w:t xml:space="preserve">cuando </w:t>
      </w:r>
      <w:r w:rsidR="008B5A58" w:rsidRPr="00047D3F">
        <w:rPr>
          <w:sz w:val="20"/>
          <w:lang w:val="es-MX"/>
        </w:rPr>
        <w:t>caminaban</w:t>
      </w:r>
      <w:r w:rsidR="00966180" w:rsidRPr="00047D3F">
        <w:rPr>
          <w:sz w:val="20"/>
          <w:lang w:val="es-MX"/>
        </w:rPr>
        <w:t xml:space="preserve"> cerca de sus casas. </w:t>
      </w:r>
      <w:r w:rsidR="00542FD7" w:rsidRPr="00047D3F">
        <w:rPr>
          <w:sz w:val="20"/>
          <w:lang w:val="es-MX"/>
        </w:rPr>
        <w:t>César Arana Alcázar</w:t>
      </w:r>
      <w:r w:rsidR="00966180" w:rsidRPr="00047D3F">
        <w:rPr>
          <w:sz w:val="20"/>
          <w:lang w:val="es-MX"/>
        </w:rPr>
        <w:t xml:space="preserve"> fue detenido mientras estaba hospitalizado</w:t>
      </w:r>
      <w:r w:rsidR="008B5A58" w:rsidRPr="00047D3F">
        <w:rPr>
          <w:sz w:val="20"/>
          <w:lang w:val="es-MX"/>
        </w:rPr>
        <w:t xml:space="preserve"> en </w:t>
      </w:r>
      <w:r w:rsidR="00906AC8" w:rsidRPr="00047D3F">
        <w:rPr>
          <w:sz w:val="20"/>
          <w:lang w:val="es-MX"/>
        </w:rPr>
        <w:t>el Hospital General de Huanta</w:t>
      </w:r>
      <w:r w:rsidR="00542FD7" w:rsidRPr="00047D3F">
        <w:rPr>
          <w:sz w:val="20"/>
          <w:lang w:val="es-MX"/>
        </w:rPr>
        <w:t>; Cirilo Barboza Sánchez y</w:t>
      </w:r>
      <w:r w:rsidR="008B5A58" w:rsidRPr="00047D3F">
        <w:rPr>
          <w:sz w:val="20"/>
          <w:lang w:val="es-MX"/>
        </w:rPr>
        <w:t xml:space="preserve"> </w:t>
      </w:r>
      <w:r w:rsidR="00542FD7" w:rsidRPr="00047D3F">
        <w:rPr>
          <w:sz w:val="20"/>
          <w:lang w:val="es-MX"/>
        </w:rPr>
        <w:t xml:space="preserve">Alejandro Gutiérrez Taype </w:t>
      </w:r>
      <w:r w:rsidR="008B5A58" w:rsidRPr="00047D3F">
        <w:rPr>
          <w:sz w:val="20"/>
          <w:lang w:val="es-MX"/>
        </w:rPr>
        <w:t xml:space="preserve">fueron detenidos </w:t>
      </w:r>
      <w:r w:rsidR="00210201" w:rsidRPr="00047D3F">
        <w:rPr>
          <w:sz w:val="20"/>
          <w:lang w:val="es-MX"/>
        </w:rPr>
        <w:t>mientras hacían la fila para</w:t>
      </w:r>
      <w:r w:rsidR="008B5A58" w:rsidRPr="00047D3F">
        <w:rPr>
          <w:sz w:val="20"/>
          <w:lang w:val="es-MX"/>
        </w:rPr>
        <w:t xml:space="preserve"> registrarse para un censo ordenado por las Fuerzas Armadas</w:t>
      </w:r>
      <w:r w:rsidR="00AD2DD1" w:rsidRPr="00047D3F">
        <w:rPr>
          <w:sz w:val="20"/>
          <w:lang w:val="es-MX"/>
        </w:rPr>
        <w:t>. Y</w:t>
      </w:r>
      <w:r w:rsidR="00210201" w:rsidRPr="00047D3F">
        <w:rPr>
          <w:sz w:val="20"/>
          <w:lang w:val="es-MX"/>
        </w:rPr>
        <w:t xml:space="preserve"> sólo uno de ellos</w:t>
      </w:r>
      <w:r w:rsidR="00AD2DD1" w:rsidRPr="00047D3F">
        <w:rPr>
          <w:sz w:val="20"/>
          <w:lang w:val="es-MX"/>
        </w:rPr>
        <w:t>, Jaime Boris Ayala Sulca,</w:t>
      </w:r>
      <w:r w:rsidR="00210201" w:rsidRPr="00047D3F">
        <w:rPr>
          <w:sz w:val="20"/>
          <w:lang w:val="es-MX"/>
        </w:rPr>
        <w:t xml:space="preserve"> ingresó de manera voluntaria al Estadio Municipal de Huanta</w:t>
      </w:r>
      <w:r w:rsidR="00AD2DD1" w:rsidRPr="00047D3F">
        <w:rPr>
          <w:sz w:val="20"/>
          <w:lang w:val="es-MX"/>
        </w:rPr>
        <w:t xml:space="preserve"> cuando fue a presentar una denuncia por un allanamiento ilegal en la casa de su madre. </w:t>
      </w:r>
      <w:r w:rsidR="003D790A" w:rsidRPr="00047D3F">
        <w:rPr>
          <w:sz w:val="20"/>
          <w:lang w:val="es-MX"/>
        </w:rPr>
        <w:t>Se alega que</w:t>
      </w:r>
      <w:r w:rsidR="006E045E" w:rsidRPr="00047D3F">
        <w:rPr>
          <w:sz w:val="20"/>
          <w:lang w:val="es-MX"/>
        </w:rPr>
        <w:t xml:space="preserve"> </w:t>
      </w:r>
      <w:r w:rsidR="0010550B" w:rsidRPr="00047D3F">
        <w:rPr>
          <w:sz w:val="20"/>
          <w:lang w:val="es-MX"/>
        </w:rPr>
        <w:t>Yuri Agama Anaya</w:t>
      </w:r>
      <w:r w:rsidR="00906AC8" w:rsidRPr="00047D3F">
        <w:rPr>
          <w:sz w:val="20"/>
          <w:lang w:val="es-MX"/>
        </w:rPr>
        <w:t xml:space="preserve"> y Alejandro Gutiérrez Taype</w:t>
      </w:r>
      <w:r w:rsidR="00AD2DD1" w:rsidRPr="00047D3F">
        <w:rPr>
          <w:sz w:val="20"/>
          <w:lang w:val="es-MX"/>
        </w:rPr>
        <w:t xml:space="preserve"> eran niños al momento de su alegada desaparición; por </w:t>
      </w:r>
      <w:r w:rsidR="006E045E" w:rsidRPr="00047D3F">
        <w:rPr>
          <w:sz w:val="20"/>
          <w:lang w:val="es-MX"/>
        </w:rPr>
        <w:t>otra</w:t>
      </w:r>
      <w:r w:rsidR="00AD2DD1" w:rsidRPr="00047D3F">
        <w:rPr>
          <w:sz w:val="20"/>
          <w:lang w:val="es-MX"/>
        </w:rPr>
        <w:t xml:space="preserve"> parte, los restos de </w:t>
      </w:r>
      <w:r w:rsidR="0010550B" w:rsidRPr="00047D3F">
        <w:rPr>
          <w:sz w:val="20"/>
          <w:lang w:val="es-MX"/>
        </w:rPr>
        <w:t>Nemesio Fernández Lapa</w:t>
      </w:r>
      <w:r w:rsidR="00AD2DD1" w:rsidRPr="00047D3F">
        <w:rPr>
          <w:sz w:val="20"/>
          <w:lang w:val="es-MX"/>
        </w:rPr>
        <w:t xml:space="preserve"> fueron encontrados en las fosas </w:t>
      </w:r>
      <w:r w:rsidR="0010550B" w:rsidRPr="00047D3F">
        <w:rPr>
          <w:sz w:val="20"/>
          <w:lang w:val="es-MX"/>
        </w:rPr>
        <w:t>de Pucayacu</w:t>
      </w:r>
      <w:r w:rsidR="00AD2DD1" w:rsidRPr="00047D3F">
        <w:rPr>
          <w:sz w:val="20"/>
          <w:lang w:val="es-MX"/>
        </w:rPr>
        <w:t xml:space="preserve"> el </w:t>
      </w:r>
      <w:r w:rsidR="0010550B" w:rsidRPr="00047D3F">
        <w:rPr>
          <w:sz w:val="20"/>
          <w:lang w:val="es-MX"/>
        </w:rPr>
        <w:t>23 de agosto de 1984</w:t>
      </w:r>
      <w:r w:rsidR="006E045E" w:rsidRPr="00047D3F">
        <w:rPr>
          <w:sz w:val="20"/>
          <w:lang w:val="es-MX"/>
        </w:rPr>
        <w:t>.</w:t>
      </w:r>
      <w:r w:rsidR="00AD2DD1" w:rsidRPr="00047D3F">
        <w:rPr>
          <w:sz w:val="20"/>
          <w:lang w:val="es-MX"/>
        </w:rPr>
        <w:t xml:space="preserve"> </w:t>
      </w:r>
      <w:r w:rsidR="006E045E" w:rsidRPr="00047D3F">
        <w:rPr>
          <w:sz w:val="20"/>
          <w:lang w:val="es-MX"/>
        </w:rPr>
        <w:t>T</w:t>
      </w:r>
      <w:r w:rsidR="00AD2DD1" w:rsidRPr="00047D3F">
        <w:rPr>
          <w:sz w:val="20"/>
          <w:lang w:val="es-MX"/>
        </w:rPr>
        <w:t>odos los demás</w:t>
      </w:r>
      <w:r w:rsidR="00CE336A" w:rsidRPr="00047D3F">
        <w:rPr>
          <w:sz w:val="20"/>
          <w:lang w:val="es-MX"/>
        </w:rPr>
        <w:t>,</w:t>
      </w:r>
      <w:r w:rsidR="00AD2DD1" w:rsidRPr="00047D3F">
        <w:rPr>
          <w:sz w:val="20"/>
          <w:lang w:val="es-MX"/>
        </w:rPr>
        <w:t xml:space="preserve"> </w:t>
      </w:r>
      <w:r w:rsidR="001B47C8" w:rsidRPr="00047D3F">
        <w:rPr>
          <w:sz w:val="20"/>
          <w:lang w:val="es-MX"/>
        </w:rPr>
        <w:t>d</w:t>
      </w:r>
      <w:r w:rsidR="006E045E" w:rsidRPr="00047D3F">
        <w:rPr>
          <w:sz w:val="20"/>
          <w:lang w:val="es-MX"/>
        </w:rPr>
        <w:t xml:space="preserve">e acuerdo con los peticionarios, </w:t>
      </w:r>
      <w:r w:rsidR="00AD2DD1" w:rsidRPr="00047D3F">
        <w:rPr>
          <w:sz w:val="20"/>
          <w:lang w:val="es-MX"/>
        </w:rPr>
        <w:t xml:space="preserve">se encuentran aún en calidad de desaparecidos. </w:t>
      </w:r>
    </w:p>
    <w:p w:rsidR="00A11E44" w:rsidRPr="00047D3F" w:rsidRDefault="00A77548" w:rsidP="004759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lang w:val="es-MX"/>
        </w:rPr>
      </w:pPr>
      <w:r w:rsidRPr="00047D3F">
        <w:rPr>
          <w:sz w:val="20"/>
          <w:lang w:val="es-MX"/>
        </w:rPr>
        <w:t>Los peticionarios informan que estos</w:t>
      </w:r>
      <w:r w:rsidR="00475970" w:rsidRPr="00047D3F">
        <w:rPr>
          <w:sz w:val="20"/>
          <w:lang w:val="es-MX"/>
        </w:rPr>
        <w:t xml:space="preserve"> hechos </w:t>
      </w:r>
      <w:r w:rsidRPr="00047D3F">
        <w:rPr>
          <w:sz w:val="20"/>
          <w:lang w:val="es-MX"/>
        </w:rPr>
        <w:t>fueron denunciados e investigados el mismo año que ocurrieron</w:t>
      </w:r>
      <w:r w:rsidR="00CE336A" w:rsidRPr="00047D3F">
        <w:rPr>
          <w:sz w:val="20"/>
          <w:lang w:val="es-MX"/>
        </w:rPr>
        <w:t>;</w:t>
      </w:r>
      <w:r w:rsidRPr="00047D3F">
        <w:rPr>
          <w:sz w:val="20"/>
          <w:lang w:val="es-MX"/>
        </w:rPr>
        <w:t xml:space="preserve"> sin embargo</w:t>
      </w:r>
      <w:r w:rsidR="00906AC8" w:rsidRPr="00047D3F">
        <w:rPr>
          <w:sz w:val="20"/>
          <w:lang w:val="es-MX"/>
        </w:rPr>
        <w:t>,</w:t>
      </w:r>
      <w:r w:rsidRPr="00047D3F">
        <w:rPr>
          <w:sz w:val="20"/>
          <w:lang w:val="es-MX"/>
        </w:rPr>
        <w:t xml:space="preserve"> este proceso judicial fue infructuoso y terminó en la absolución de todos los presuntos perpetradores debido a que el mismo se tramitó ante el Fuero Militar. Asimismo</w:t>
      </w:r>
      <w:r w:rsidR="00E86DFB" w:rsidRPr="00047D3F">
        <w:rPr>
          <w:sz w:val="20"/>
          <w:lang w:val="es-MX"/>
        </w:rPr>
        <w:t>,</w:t>
      </w:r>
      <w:r w:rsidRPr="00047D3F">
        <w:rPr>
          <w:sz w:val="20"/>
          <w:lang w:val="es-MX"/>
        </w:rPr>
        <w:t xml:space="preserve"> alegan que a causa de las ley</w:t>
      </w:r>
      <w:r w:rsidR="00CE336A" w:rsidRPr="00047D3F">
        <w:rPr>
          <w:sz w:val="20"/>
          <w:lang w:val="es-MX"/>
        </w:rPr>
        <w:t>es de amnistía entonces vigentes</w:t>
      </w:r>
      <w:r w:rsidRPr="00047D3F">
        <w:rPr>
          <w:sz w:val="20"/>
          <w:lang w:val="es-MX"/>
        </w:rPr>
        <w:t xml:space="preserve">, muchas causas fueron archivadas o no pudieron avanzar hasta </w:t>
      </w:r>
      <w:r w:rsidR="001B47C8" w:rsidRPr="00047D3F">
        <w:rPr>
          <w:sz w:val="20"/>
          <w:lang w:val="es-MX"/>
        </w:rPr>
        <w:t>que en</w:t>
      </w:r>
      <w:r w:rsidRPr="00047D3F">
        <w:rPr>
          <w:sz w:val="20"/>
          <w:lang w:val="es-MX"/>
        </w:rPr>
        <w:t xml:space="preserve"> 2001</w:t>
      </w:r>
      <w:r w:rsidR="001B47C8" w:rsidRPr="00047D3F">
        <w:rPr>
          <w:sz w:val="20"/>
          <w:lang w:val="es-MX"/>
        </w:rPr>
        <w:t xml:space="preserve"> </w:t>
      </w:r>
      <w:r w:rsidRPr="00047D3F">
        <w:rPr>
          <w:sz w:val="20"/>
          <w:lang w:val="es-MX"/>
        </w:rPr>
        <w:t xml:space="preserve"> </w:t>
      </w:r>
      <w:r w:rsidR="00A44746" w:rsidRPr="00047D3F">
        <w:rPr>
          <w:sz w:val="20"/>
          <w:lang w:val="es-MX"/>
        </w:rPr>
        <w:t>dejaron de tener efecto jurídico</w:t>
      </w:r>
      <w:r w:rsidRPr="00047D3F">
        <w:rPr>
          <w:sz w:val="20"/>
          <w:lang w:val="es-MX"/>
        </w:rPr>
        <w:t xml:space="preserve"> estas leyes. Posteriormente</w:t>
      </w:r>
      <w:r w:rsidR="007D4F23" w:rsidRPr="00047D3F">
        <w:rPr>
          <w:sz w:val="20"/>
          <w:lang w:val="es-MX"/>
        </w:rPr>
        <w:t>,</w:t>
      </w:r>
      <w:r w:rsidRPr="00047D3F">
        <w:rPr>
          <w:sz w:val="20"/>
          <w:lang w:val="es-MX"/>
        </w:rPr>
        <w:t xml:space="preserve"> en el </w:t>
      </w:r>
      <w:r w:rsidR="00475970" w:rsidRPr="00047D3F">
        <w:rPr>
          <w:sz w:val="20"/>
          <w:lang w:val="es-MX"/>
        </w:rPr>
        <w:t>2002</w:t>
      </w:r>
      <w:r w:rsidR="00CE336A" w:rsidRPr="00047D3F">
        <w:rPr>
          <w:sz w:val="20"/>
          <w:lang w:val="es-MX"/>
        </w:rPr>
        <w:t>,</w:t>
      </w:r>
      <w:r w:rsidR="00475970" w:rsidRPr="00047D3F">
        <w:rPr>
          <w:sz w:val="20"/>
          <w:lang w:val="es-MX"/>
        </w:rPr>
        <w:t xml:space="preserve"> </w:t>
      </w:r>
      <w:r w:rsidRPr="00047D3F">
        <w:rPr>
          <w:sz w:val="20"/>
          <w:lang w:val="es-MX"/>
        </w:rPr>
        <w:t>los peticionarios solicitaron el inicio de una nueva investigación</w:t>
      </w:r>
      <w:r w:rsidR="007D4F23" w:rsidRPr="00047D3F">
        <w:rPr>
          <w:sz w:val="20"/>
          <w:lang w:val="es-MX"/>
        </w:rPr>
        <w:t xml:space="preserve"> por parte de la Fiscalía de D</w:t>
      </w:r>
      <w:r w:rsidR="00CE336A" w:rsidRPr="00047D3F">
        <w:rPr>
          <w:sz w:val="20"/>
          <w:lang w:val="es-MX"/>
        </w:rPr>
        <w:t xml:space="preserve">erechos </w:t>
      </w:r>
      <w:r w:rsidR="007D4F23" w:rsidRPr="00047D3F">
        <w:rPr>
          <w:sz w:val="20"/>
          <w:lang w:val="es-MX"/>
        </w:rPr>
        <w:t>H</w:t>
      </w:r>
      <w:r w:rsidR="00475970" w:rsidRPr="00047D3F">
        <w:rPr>
          <w:sz w:val="20"/>
          <w:lang w:val="es-MX"/>
        </w:rPr>
        <w:t>umanos de Ayacucho, la que culminó en</w:t>
      </w:r>
      <w:r w:rsidR="00AB4B28" w:rsidRPr="00047D3F">
        <w:rPr>
          <w:sz w:val="20"/>
          <w:lang w:val="es-MX"/>
        </w:rPr>
        <w:t xml:space="preserve"> </w:t>
      </w:r>
      <w:r w:rsidR="007D4F23" w:rsidRPr="00047D3F">
        <w:rPr>
          <w:sz w:val="20"/>
          <w:lang w:val="es-MX"/>
        </w:rPr>
        <w:t xml:space="preserve">el </w:t>
      </w:r>
      <w:r w:rsidR="00AB4B28" w:rsidRPr="00047D3F">
        <w:rPr>
          <w:sz w:val="20"/>
          <w:lang w:val="es-MX"/>
        </w:rPr>
        <w:t>2006 en</w:t>
      </w:r>
      <w:r w:rsidR="00475970" w:rsidRPr="00047D3F">
        <w:rPr>
          <w:sz w:val="20"/>
          <w:lang w:val="es-MX"/>
        </w:rPr>
        <w:t xml:space="preserve"> una </w:t>
      </w:r>
      <w:r w:rsidRPr="00047D3F">
        <w:rPr>
          <w:sz w:val="20"/>
          <w:lang w:val="es-MX"/>
        </w:rPr>
        <w:t>acusación formal</w:t>
      </w:r>
      <w:r w:rsidR="00AB4B28" w:rsidRPr="00047D3F">
        <w:rPr>
          <w:sz w:val="20"/>
          <w:lang w:val="es-MX"/>
        </w:rPr>
        <w:t xml:space="preserve"> ante</w:t>
      </w:r>
      <w:r w:rsidR="00475970" w:rsidRPr="00047D3F">
        <w:rPr>
          <w:sz w:val="20"/>
          <w:lang w:val="es-MX"/>
        </w:rPr>
        <w:t xml:space="preserve"> el </w:t>
      </w:r>
      <w:r w:rsidR="00AB4B28" w:rsidRPr="00047D3F">
        <w:rPr>
          <w:sz w:val="20"/>
          <w:lang w:val="es-MX"/>
        </w:rPr>
        <w:t>S</w:t>
      </w:r>
      <w:r w:rsidR="00CE336A" w:rsidRPr="00047D3F">
        <w:rPr>
          <w:sz w:val="20"/>
          <w:lang w:val="es-MX"/>
        </w:rPr>
        <w:t>egundo</w:t>
      </w:r>
      <w:r w:rsidR="00AB4B28" w:rsidRPr="00047D3F">
        <w:rPr>
          <w:sz w:val="20"/>
          <w:lang w:val="es-MX"/>
        </w:rPr>
        <w:t xml:space="preserve"> J</w:t>
      </w:r>
      <w:r w:rsidR="00CE336A" w:rsidRPr="00047D3F">
        <w:rPr>
          <w:sz w:val="20"/>
          <w:lang w:val="es-MX"/>
        </w:rPr>
        <w:t>uzgado</w:t>
      </w:r>
      <w:r w:rsidR="00AB4B28" w:rsidRPr="00047D3F">
        <w:rPr>
          <w:sz w:val="20"/>
          <w:lang w:val="es-MX"/>
        </w:rPr>
        <w:t xml:space="preserve"> P</w:t>
      </w:r>
      <w:r w:rsidR="00CE336A" w:rsidRPr="00047D3F">
        <w:rPr>
          <w:sz w:val="20"/>
          <w:lang w:val="es-MX"/>
        </w:rPr>
        <w:t>enal</w:t>
      </w:r>
      <w:r w:rsidR="00AB4B28" w:rsidRPr="00047D3F">
        <w:rPr>
          <w:sz w:val="20"/>
          <w:lang w:val="es-MX"/>
        </w:rPr>
        <w:t xml:space="preserve"> </w:t>
      </w:r>
      <w:r w:rsidR="00DC0AA1">
        <w:rPr>
          <w:sz w:val="20"/>
          <w:lang w:val="es-MX"/>
        </w:rPr>
        <w:t>Supra</w:t>
      </w:r>
      <w:r w:rsidR="00DC0AA1" w:rsidRPr="00047D3F">
        <w:rPr>
          <w:sz w:val="20"/>
          <w:lang w:val="es-MX"/>
        </w:rPr>
        <w:t>provincial</w:t>
      </w:r>
      <w:r w:rsidR="00CE336A" w:rsidRPr="00047D3F">
        <w:rPr>
          <w:sz w:val="20"/>
          <w:lang w:val="es-MX"/>
        </w:rPr>
        <w:t xml:space="preserve"> </w:t>
      </w:r>
      <w:r w:rsidR="00475970" w:rsidRPr="00047D3F">
        <w:rPr>
          <w:sz w:val="20"/>
          <w:lang w:val="es-MX"/>
        </w:rPr>
        <w:t>(E</w:t>
      </w:r>
      <w:r w:rsidR="00AB4B28" w:rsidRPr="00047D3F">
        <w:rPr>
          <w:sz w:val="20"/>
          <w:lang w:val="es-MX"/>
        </w:rPr>
        <w:t>xp. N°30-</w:t>
      </w:r>
      <w:r w:rsidR="00AB4B28" w:rsidRPr="00047D3F">
        <w:rPr>
          <w:sz w:val="20"/>
          <w:lang w:val="es-MX"/>
        </w:rPr>
        <w:lastRenderedPageBreak/>
        <w:t>06)</w:t>
      </w:r>
      <w:r w:rsidR="00906AC8" w:rsidRPr="00047D3F">
        <w:rPr>
          <w:sz w:val="20"/>
          <w:lang w:val="es-MX"/>
        </w:rPr>
        <w:t xml:space="preserve"> en contra de tres de los supuestos perpetradores</w:t>
      </w:r>
      <w:r w:rsidR="00906AC8" w:rsidRPr="00047D3F">
        <w:rPr>
          <w:rStyle w:val="FootnoteReference"/>
          <w:sz w:val="20"/>
          <w:lang w:val="es-MX"/>
        </w:rPr>
        <w:footnoteReference w:id="6"/>
      </w:r>
      <w:r w:rsidR="006A2293" w:rsidRPr="00047D3F">
        <w:rPr>
          <w:sz w:val="20"/>
          <w:lang w:val="es-MX"/>
        </w:rPr>
        <w:t xml:space="preserve"> como coautores por el delito </w:t>
      </w:r>
      <w:r w:rsidR="00CE336A" w:rsidRPr="00047D3F">
        <w:rPr>
          <w:sz w:val="20"/>
          <w:lang w:val="es-MX"/>
        </w:rPr>
        <w:t>contra la h</w:t>
      </w:r>
      <w:r w:rsidR="006A2293" w:rsidRPr="00047D3F">
        <w:rPr>
          <w:sz w:val="20"/>
          <w:lang w:val="es-MX"/>
        </w:rPr>
        <w:t xml:space="preserve">umanidad en su modalidad de desaparición </w:t>
      </w:r>
      <w:r w:rsidR="00CE336A" w:rsidRPr="00047D3F">
        <w:rPr>
          <w:sz w:val="20"/>
          <w:lang w:val="es-MX"/>
        </w:rPr>
        <w:t>forzada, y el delito contra la vida, el cuerpo y la s</w:t>
      </w:r>
      <w:r w:rsidR="006A2293" w:rsidRPr="00047D3F">
        <w:rPr>
          <w:sz w:val="20"/>
          <w:lang w:val="es-MX"/>
        </w:rPr>
        <w:t>alud, en la modalidad de asesinato.</w:t>
      </w:r>
      <w:r w:rsidR="007D4F23" w:rsidRPr="00047D3F">
        <w:rPr>
          <w:sz w:val="20"/>
          <w:lang w:val="es-MX"/>
        </w:rPr>
        <w:t xml:space="preserve"> Sin embargo, </w:t>
      </w:r>
      <w:r w:rsidR="004F6FE1" w:rsidRPr="00047D3F">
        <w:rPr>
          <w:sz w:val="20"/>
          <w:lang w:val="es-MX"/>
        </w:rPr>
        <w:t>e</w:t>
      </w:r>
      <w:r w:rsidR="00906AC8" w:rsidRPr="00047D3F">
        <w:rPr>
          <w:sz w:val="20"/>
          <w:lang w:val="es-MX"/>
        </w:rPr>
        <w:t>ste juzgado</w:t>
      </w:r>
      <w:r w:rsidR="00475970" w:rsidRPr="00047D3F">
        <w:rPr>
          <w:sz w:val="20"/>
          <w:lang w:val="es-MX"/>
        </w:rPr>
        <w:t xml:space="preserve"> </w:t>
      </w:r>
      <w:r w:rsidR="00906AC8" w:rsidRPr="00047D3F">
        <w:rPr>
          <w:sz w:val="20"/>
          <w:lang w:val="es-MX"/>
        </w:rPr>
        <w:t>denegó</w:t>
      </w:r>
      <w:r w:rsidR="00475970" w:rsidRPr="00047D3F">
        <w:rPr>
          <w:sz w:val="20"/>
          <w:lang w:val="es-MX"/>
        </w:rPr>
        <w:t xml:space="preserve"> la apertu</w:t>
      </w:r>
      <w:r w:rsidR="00906AC8" w:rsidRPr="00047D3F">
        <w:rPr>
          <w:sz w:val="20"/>
          <w:lang w:val="es-MX"/>
        </w:rPr>
        <w:t xml:space="preserve">ra de </w:t>
      </w:r>
      <w:r w:rsidR="007D4F23" w:rsidRPr="00047D3F">
        <w:rPr>
          <w:sz w:val="20"/>
          <w:lang w:val="es-MX"/>
        </w:rPr>
        <w:t xml:space="preserve">la </w:t>
      </w:r>
      <w:r w:rsidR="00906AC8" w:rsidRPr="00047D3F">
        <w:rPr>
          <w:sz w:val="20"/>
          <w:lang w:val="es-MX"/>
        </w:rPr>
        <w:t>instrucción</w:t>
      </w:r>
      <w:r w:rsidR="006E04D3" w:rsidRPr="00047D3F">
        <w:rPr>
          <w:sz w:val="20"/>
          <w:lang w:val="es-MX"/>
        </w:rPr>
        <w:t xml:space="preserve"> </w:t>
      </w:r>
      <w:r w:rsidR="006A2293" w:rsidRPr="00047D3F">
        <w:rPr>
          <w:sz w:val="20"/>
          <w:lang w:val="es-MX"/>
        </w:rPr>
        <w:t>el 28 de noviembre de 2006</w:t>
      </w:r>
      <w:r w:rsidR="003F6266" w:rsidRPr="00047D3F">
        <w:rPr>
          <w:sz w:val="20"/>
          <w:lang w:val="es-MX"/>
        </w:rPr>
        <w:t xml:space="preserve">. Los peticionarios indican que </w:t>
      </w:r>
      <w:r w:rsidR="00906AC8" w:rsidRPr="00047D3F">
        <w:rPr>
          <w:sz w:val="20"/>
          <w:lang w:val="es-MX"/>
        </w:rPr>
        <w:t xml:space="preserve"> promovieron</w:t>
      </w:r>
      <w:r w:rsidR="00475970" w:rsidRPr="00047D3F">
        <w:rPr>
          <w:sz w:val="20"/>
          <w:lang w:val="es-MX"/>
        </w:rPr>
        <w:t xml:space="preserve"> un recurso judicial</w:t>
      </w:r>
      <w:r w:rsidR="0060184D" w:rsidRPr="00047D3F">
        <w:rPr>
          <w:sz w:val="20"/>
          <w:lang w:val="es-MX"/>
        </w:rPr>
        <w:t>,</w:t>
      </w:r>
      <w:r w:rsidR="003F6266" w:rsidRPr="00047D3F">
        <w:rPr>
          <w:sz w:val="20"/>
          <w:lang w:val="es-MX"/>
        </w:rPr>
        <w:t xml:space="preserve"> </w:t>
      </w:r>
      <w:r w:rsidR="0060184D" w:rsidRPr="00047D3F">
        <w:rPr>
          <w:sz w:val="20"/>
          <w:lang w:val="es-MX"/>
        </w:rPr>
        <w:t>pero sin especificar cuál</w:t>
      </w:r>
      <w:r w:rsidR="00AA7CBA" w:rsidRPr="00047D3F">
        <w:rPr>
          <w:sz w:val="20"/>
          <w:lang w:val="es-MX"/>
        </w:rPr>
        <w:t xml:space="preserve">. </w:t>
      </w:r>
      <w:r w:rsidR="003F6266" w:rsidRPr="00047D3F">
        <w:rPr>
          <w:sz w:val="20"/>
          <w:lang w:val="es-MX"/>
        </w:rPr>
        <w:t>Señalan que</w:t>
      </w:r>
      <w:r w:rsidR="00CE336A" w:rsidRPr="00047D3F">
        <w:rPr>
          <w:sz w:val="20"/>
          <w:lang w:val="es-MX"/>
        </w:rPr>
        <w:t>, a pesar de la opinión del f</w:t>
      </w:r>
      <w:r w:rsidR="00AA7CBA" w:rsidRPr="00047D3F">
        <w:rPr>
          <w:sz w:val="20"/>
          <w:lang w:val="es-MX"/>
        </w:rPr>
        <w:t>iscal favorable al avance de la investigación, el referido juez denegó lo solicitado. Por est</w:t>
      </w:r>
      <w:r w:rsidR="00CE336A" w:rsidRPr="00047D3F">
        <w:rPr>
          <w:sz w:val="20"/>
          <w:lang w:val="es-MX"/>
        </w:rPr>
        <w:t>a razón</w:t>
      </w:r>
      <w:r w:rsidR="0044702A" w:rsidRPr="00047D3F">
        <w:rPr>
          <w:sz w:val="20"/>
          <w:lang w:val="es-MX"/>
        </w:rPr>
        <w:t>,</w:t>
      </w:r>
      <w:r w:rsidR="00CE336A" w:rsidRPr="00047D3F">
        <w:rPr>
          <w:sz w:val="20"/>
          <w:lang w:val="es-MX"/>
        </w:rPr>
        <w:t xml:space="preserve"> en 2007 la Fiscalía de </w:t>
      </w:r>
      <w:r w:rsidR="004202AE" w:rsidRPr="00047D3F">
        <w:rPr>
          <w:sz w:val="20"/>
          <w:lang w:val="es-MX"/>
        </w:rPr>
        <w:t>Derechos H</w:t>
      </w:r>
      <w:r w:rsidR="00AA7CBA" w:rsidRPr="00047D3F">
        <w:rPr>
          <w:sz w:val="20"/>
          <w:lang w:val="es-MX"/>
        </w:rPr>
        <w:t xml:space="preserve">umanos de Ayacucho presentó nuevamente una acusación ante </w:t>
      </w:r>
      <w:r w:rsidR="00E44D10" w:rsidRPr="00047D3F">
        <w:rPr>
          <w:sz w:val="20"/>
          <w:lang w:val="es-MX"/>
        </w:rPr>
        <w:t>el P</w:t>
      </w:r>
      <w:r w:rsidR="00CE336A" w:rsidRPr="00047D3F">
        <w:rPr>
          <w:sz w:val="20"/>
          <w:lang w:val="es-MX"/>
        </w:rPr>
        <w:t>rimer</w:t>
      </w:r>
      <w:r w:rsidR="00E44D10" w:rsidRPr="00047D3F">
        <w:rPr>
          <w:sz w:val="20"/>
          <w:lang w:val="es-MX"/>
        </w:rPr>
        <w:t xml:space="preserve"> J</w:t>
      </w:r>
      <w:r w:rsidR="00CE336A" w:rsidRPr="00047D3F">
        <w:rPr>
          <w:sz w:val="20"/>
          <w:lang w:val="es-MX"/>
        </w:rPr>
        <w:t>uzgado</w:t>
      </w:r>
      <w:r w:rsidR="00AA7CBA" w:rsidRPr="00047D3F">
        <w:rPr>
          <w:sz w:val="20"/>
          <w:lang w:val="es-MX"/>
        </w:rPr>
        <w:t xml:space="preserve"> P</w:t>
      </w:r>
      <w:r w:rsidR="00CE336A" w:rsidRPr="00047D3F">
        <w:rPr>
          <w:sz w:val="20"/>
          <w:lang w:val="es-MX"/>
        </w:rPr>
        <w:t>enal</w:t>
      </w:r>
      <w:r w:rsidR="00AA7CBA" w:rsidRPr="00047D3F">
        <w:rPr>
          <w:sz w:val="20"/>
          <w:lang w:val="es-MX"/>
        </w:rPr>
        <w:t xml:space="preserve"> N</w:t>
      </w:r>
      <w:r w:rsidR="00CE336A" w:rsidRPr="00047D3F">
        <w:rPr>
          <w:sz w:val="20"/>
          <w:lang w:val="es-MX"/>
        </w:rPr>
        <w:t>acional</w:t>
      </w:r>
      <w:r w:rsidR="00AA7CBA" w:rsidRPr="00047D3F">
        <w:rPr>
          <w:sz w:val="20"/>
          <w:lang w:val="es-MX"/>
        </w:rPr>
        <w:t xml:space="preserve"> (</w:t>
      </w:r>
      <w:r w:rsidR="00E44D10" w:rsidRPr="00047D3F">
        <w:rPr>
          <w:sz w:val="20"/>
          <w:lang w:val="es-MX"/>
        </w:rPr>
        <w:t>antiguamente denominado P</w:t>
      </w:r>
      <w:r w:rsidR="00CE336A" w:rsidRPr="00047D3F">
        <w:rPr>
          <w:sz w:val="20"/>
          <w:lang w:val="es-MX"/>
        </w:rPr>
        <w:t>rimer</w:t>
      </w:r>
      <w:r w:rsidR="00E44D10" w:rsidRPr="00047D3F">
        <w:rPr>
          <w:sz w:val="20"/>
          <w:lang w:val="es-MX"/>
        </w:rPr>
        <w:t xml:space="preserve"> J</w:t>
      </w:r>
      <w:r w:rsidR="00CE336A" w:rsidRPr="00047D3F">
        <w:rPr>
          <w:sz w:val="20"/>
          <w:lang w:val="es-MX"/>
        </w:rPr>
        <w:t>uzgado</w:t>
      </w:r>
      <w:r w:rsidR="00E44D10" w:rsidRPr="00047D3F">
        <w:rPr>
          <w:sz w:val="20"/>
          <w:lang w:val="es-MX"/>
        </w:rPr>
        <w:t xml:space="preserve"> P</w:t>
      </w:r>
      <w:r w:rsidR="00CE336A" w:rsidRPr="00047D3F">
        <w:rPr>
          <w:sz w:val="20"/>
          <w:lang w:val="es-MX"/>
        </w:rPr>
        <w:t>enal</w:t>
      </w:r>
      <w:r w:rsidR="00E44D10" w:rsidRPr="00047D3F">
        <w:rPr>
          <w:sz w:val="20"/>
          <w:lang w:val="es-MX"/>
        </w:rPr>
        <w:t xml:space="preserve"> S</w:t>
      </w:r>
      <w:r w:rsidR="00CE336A" w:rsidRPr="00047D3F">
        <w:rPr>
          <w:sz w:val="20"/>
          <w:lang w:val="es-MX"/>
        </w:rPr>
        <w:t>upraprovincial</w:t>
      </w:r>
      <w:r w:rsidR="00E44D10" w:rsidRPr="00047D3F">
        <w:rPr>
          <w:sz w:val="20"/>
          <w:lang w:val="es-MX"/>
        </w:rPr>
        <w:t>), el</w:t>
      </w:r>
      <w:r w:rsidR="00475970" w:rsidRPr="00047D3F">
        <w:rPr>
          <w:sz w:val="20"/>
          <w:lang w:val="es-MX"/>
        </w:rPr>
        <w:t xml:space="preserve"> que </w:t>
      </w:r>
      <w:r w:rsidR="006E04D3" w:rsidRPr="00047D3F">
        <w:rPr>
          <w:sz w:val="20"/>
          <w:lang w:val="es-MX"/>
        </w:rPr>
        <w:t xml:space="preserve">devolvió la denuncia a la </w:t>
      </w:r>
      <w:r w:rsidR="0044702A" w:rsidRPr="00047D3F">
        <w:rPr>
          <w:sz w:val="20"/>
          <w:lang w:val="es-MX"/>
        </w:rPr>
        <w:t>f</w:t>
      </w:r>
      <w:r w:rsidR="006E04D3" w:rsidRPr="00047D3F">
        <w:rPr>
          <w:sz w:val="20"/>
          <w:lang w:val="es-MX"/>
        </w:rPr>
        <w:t xml:space="preserve">iscalía para que la subsanara incorporando </w:t>
      </w:r>
      <w:r w:rsidR="004202AE" w:rsidRPr="00047D3F">
        <w:rPr>
          <w:sz w:val="20"/>
          <w:lang w:val="es-MX"/>
        </w:rPr>
        <w:t xml:space="preserve">determinada </w:t>
      </w:r>
      <w:r w:rsidR="006E04D3" w:rsidRPr="00047D3F">
        <w:rPr>
          <w:sz w:val="20"/>
          <w:lang w:val="es-MX"/>
        </w:rPr>
        <w:t>información que consideró relevante. Luego de esto,</w:t>
      </w:r>
      <w:r w:rsidR="0044702A" w:rsidRPr="00047D3F">
        <w:rPr>
          <w:sz w:val="20"/>
          <w:lang w:val="es-MX"/>
        </w:rPr>
        <w:t xml:space="preserve"> la f</w:t>
      </w:r>
      <w:r w:rsidR="006E04D3" w:rsidRPr="00047D3F">
        <w:rPr>
          <w:sz w:val="20"/>
          <w:lang w:val="es-MX"/>
        </w:rPr>
        <w:t>iscalía volvi</w:t>
      </w:r>
      <w:r w:rsidR="004675D9" w:rsidRPr="00047D3F">
        <w:rPr>
          <w:sz w:val="20"/>
          <w:lang w:val="es-MX"/>
        </w:rPr>
        <w:t>ó a presentar la acusación</w:t>
      </w:r>
      <w:r w:rsidR="006E04D3" w:rsidRPr="00047D3F">
        <w:rPr>
          <w:sz w:val="20"/>
          <w:lang w:val="es-MX"/>
        </w:rPr>
        <w:t xml:space="preserve"> (Exp. 1</w:t>
      </w:r>
      <w:r w:rsidR="00B64DA7" w:rsidRPr="00047D3F">
        <w:rPr>
          <w:sz w:val="20"/>
          <w:lang w:val="es-MX"/>
        </w:rPr>
        <w:t>09-2011)</w:t>
      </w:r>
      <w:r w:rsidR="006E04D3" w:rsidRPr="00047D3F">
        <w:rPr>
          <w:sz w:val="20"/>
          <w:lang w:val="es-MX"/>
        </w:rPr>
        <w:t>; sin embargo, el referido juzgado mediante resolución del 2 de mayo de 2011 devolvió</w:t>
      </w:r>
      <w:r w:rsidR="0044702A" w:rsidRPr="00047D3F">
        <w:rPr>
          <w:sz w:val="20"/>
          <w:lang w:val="es-MX"/>
        </w:rPr>
        <w:t xml:space="preserve"> nuevamente el expediente a la f</w:t>
      </w:r>
      <w:r w:rsidR="006E04D3" w:rsidRPr="00047D3F">
        <w:rPr>
          <w:sz w:val="20"/>
          <w:lang w:val="es-MX"/>
        </w:rPr>
        <w:t>iscalía para que esta volviera a subsanarlo incorporando datos adicionales</w:t>
      </w:r>
      <w:r w:rsidR="00475970" w:rsidRPr="00047D3F">
        <w:rPr>
          <w:sz w:val="20"/>
          <w:lang w:val="es-MX"/>
        </w:rPr>
        <w:t>.</w:t>
      </w:r>
    </w:p>
    <w:p w:rsidR="006E04D3" w:rsidRPr="00047D3F" w:rsidRDefault="0044702A" w:rsidP="004759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lang w:val="es-MX"/>
        </w:rPr>
      </w:pPr>
      <w:r w:rsidRPr="00047D3F">
        <w:rPr>
          <w:sz w:val="20"/>
          <w:lang w:val="es-MX"/>
        </w:rPr>
        <w:t>En su última comunicación a la Comisión, de abril de 2016, los peticionarios denuncian</w:t>
      </w:r>
      <w:r w:rsidR="006E04D3" w:rsidRPr="00047D3F">
        <w:rPr>
          <w:sz w:val="20"/>
          <w:lang w:val="es-MX"/>
        </w:rPr>
        <w:t xml:space="preserve"> que a partir de ese momento el proceso se mantiene sin avances sustanciales debido a que el expediente es continuamente devuelto del juzgado a la </w:t>
      </w:r>
      <w:r w:rsidRPr="00047D3F">
        <w:rPr>
          <w:sz w:val="20"/>
          <w:lang w:val="es-MX"/>
        </w:rPr>
        <w:t>f</w:t>
      </w:r>
      <w:r w:rsidR="006E04D3" w:rsidRPr="00047D3F">
        <w:rPr>
          <w:sz w:val="20"/>
          <w:lang w:val="es-MX"/>
        </w:rPr>
        <w:t>iscalía para subsanarse</w:t>
      </w:r>
      <w:r w:rsidR="004202AE" w:rsidRPr="00047D3F">
        <w:rPr>
          <w:sz w:val="20"/>
          <w:lang w:val="es-MX"/>
        </w:rPr>
        <w:t>;</w:t>
      </w:r>
      <w:r w:rsidR="006E04D3" w:rsidRPr="00047D3F">
        <w:rPr>
          <w:sz w:val="20"/>
          <w:lang w:val="es-MX"/>
        </w:rPr>
        <w:t xml:space="preserve"> o bien, es la </w:t>
      </w:r>
      <w:r w:rsidRPr="00047D3F">
        <w:rPr>
          <w:sz w:val="20"/>
          <w:lang w:val="es-MX"/>
        </w:rPr>
        <w:t>f</w:t>
      </w:r>
      <w:r w:rsidR="006E04D3" w:rsidRPr="00047D3F">
        <w:rPr>
          <w:sz w:val="20"/>
          <w:lang w:val="es-MX"/>
        </w:rPr>
        <w:t>iscalía la que continuamente</w:t>
      </w:r>
      <w:r w:rsidR="00A668CE" w:rsidRPr="00047D3F">
        <w:rPr>
          <w:sz w:val="20"/>
          <w:lang w:val="es-MX"/>
        </w:rPr>
        <w:t xml:space="preserve"> solicita</w:t>
      </w:r>
      <w:r w:rsidRPr="00047D3F">
        <w:rPr>
          <w:sz w:val="20"/>
          <w:lang w:val="es-MX"/>
        </w:rPr>
        <w:t xml:space="preserve"> al juzgado</w:t>
      </w:r>
      <w:r w:rsidR="00A668CE" w:rsidRPr="00047D3F">
        <w:rPr>
          <w:sz w:val="20"/>
          <w:lang w:val="es-MX"/>
        </w:rPr>
        <w:t xml:space="preserve"> una ampliación de los plazos.</w:t>
      </w:r>
      <w:r w:rsidR="006E04D3" w:rsidRPr="00047D3F">
        <w:rPr>
          <w:sz w:val="20"/>
          <w:lang w:val="es-MX"/>
        </w:rPr>
        <w:t xml:space="preserve"> </w:t>
      </w:r>
    </w:p>
    <w:p w:rsidR="0044702A" w:rsidRPr="00047D3F" w:rsidRDefault="00210201" w:rsidP="004470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lang w:val="es-MX"/>
        </w:rPr>
      </w:pPr>
      <w:r w:rsidRPr="00047D3F">
        <w:rPr>
          <w:sz w:val="20"/>
          <w:lang w:val="es-MX"/>
        </w:rPr>
        <w:t xml:space="preserve">El </w:t>
      </w:r>
      <w:r w:rsidR="00E13B8A" w:rsidRPr="00047D3F">
        <w:rPr>
          <w:sz w:val="20"/>
          <w:lang w:val="es-MX"/>
        </w:rPr>
        <w:t>E</w:t>
      </w:r>
      <w:r w:rsidRPr="00047D3F">
        <w:rPr>
          <w:sz w:val="20"/>
          <w:lang w:val="es-MX"/>
        </w:rPr>
        <w:t>stado por su parte</w:t>
      </w:r>
      <w:r w:rsidR="0044702A" w:rsidRPr="00047D3F">
        <w:rPr>
          <w:sz w:val="20"/>
          <w:lang w:val="es-MX"/>
        </w:rPr>
        <w:t>,</w:t>
      </w:r>
      <w:r w:rsidR="00E13B8A" w:rsidRPr="00047D3F">
        <w:rPr>
          <w:sz w:val="20"/>
          <w:lang w:val="es-MX"/>
        </w:rPr>
        <w:t xml:space="preserve"> alega que la presente petición debe declararse inadmisible por la Comisión Interamericana</w:t>
      </w:r>
      <w:r w:rsidR="0044702A" w:rsidRPr="00047D3F">
        <w:rPr>
          <w:sz w:val="20"/>
          <w:lang w:val="es-MX"/>
        </w:rPr>
        <w:t>,</w:t>
      </w:r>
      <w:r w:rsidR="00E13B8A" w:rsidRPr="00047D3F">
        <w:rPr>
          <w:sz w:val="20"/>
          <w:lang w:val="es-MX"/>
        </w:rPr>
        <w:t xml:space="preserve"> </w:t>
      </w:r>
      <w:r w:rsidR="00FE7BDB" w:rsidRPr="00047D3F">
        <w:rPr>
          <w:sz w:val="20"/>
          <w:lang w:val="es-MX"/>
        </w:rPr>
        <w:t>por considerar que no se han agotado los recursos de la jurisdicción interna; porque a su juicio los hechos denunciados no caracterizan violaciones a los derechos establecidos en la Convención Americana</w:t>
      </w:r>
      <w:r w:rsidR="00795DF7" w:rsidRPr="00047D3F">
        <w:rPr>
          <w:sz w:val="20"/>
          <w:lang w:val="es-MX"/>
        </w:rPr>
        <w:t xml:space="preserve">; y respecto de determinadas </w:t>
      </w:r>
      <w:r w:rsidR="00E462A3" w:rsidRPr="00047D3F">
        <w:rPr>
          <w:sz w:val="20"/>
          <w:lang w:val="es-MX"/>
        </w:rPr>
        <w:t xml:space="preserve">presuntas </w:t>
      </w:r>
      <w:r w:rsidR="00795DF7" w:rsidRPr="00047D3F">
        <w:rPr>
          <w:sz w:val="20"/>
          <w:lang w:val="es-MX"/>
        </w:rPr>
        <w:t>víctimas por duplicidad de procedimientos</w:t>
      </w:r>
      <w:r w:rsidR="004B5883">
        <w:rPr>
          <w:sz w:val="20"/>
          <w:lang w:val="es-MX"/>
        </w:rPr>
        <w:t>.</w:t>
      </w:r>
      <w:r w:rsidR="00B27F38" w:rsidRPr="00047D3F">
        <w:rPr>
          <w:sz w:val="20"/>
          <w:lang w:val="es-MX"/>
        </w:rPr>
        <w:t xml:space="preserve"> </w:t>
      </w:r>
      <w:r w:rsidR="0044702A" w:rsidRPr="00047D3F">
        <w:rPr>
          <w:sz w:val="20"/>
          <w:lang w:val="es-MX"/>
        </w:rPr>
        <w:t xml:space="preserve">En atención a la naturaleza de los hechos, </w:t>
      </w:r>
      <w:r w:rsidR="009141C0" w:rsidRPr="00047D3F">
        <w:rPr>
          <w:sz w:val="20"/>
          <w:lang w:val="es-MX"/>
        </w:rPr>
        <w:t>los dos primeros</w:t>
      </w:r>
      <w:r w:rsidR="0044702A" w:rsidRPr="00047D3F">
        <w:rPr>
          <w:sz w:val="20"/>
          <w:lang w:val="es-MX"/>
        </w:rPr>
        <w:t xml:space="preserve"> planteamientos </w:t>
      </w:r>
      <w:r w:rsidR="00FD2152" w:rsidRPr="00047D3F">
        <w:rPr>
          <w:sz w:val="20"/>
          <w:lang w:val="es-MX"/>
        </w:rPr>
        <w:t xml:space="preserve">del Estado </w:t>
      </w:r>
      <w:r w:rsidR="0044702A" w:rsidRPr="00047D3F">
        <w:rPr>
          <w:sz w:val="20"/>
          <w:lang w:val="es-MX"/>
        </w:rPr>
        <w:t>están estrechamente relacionados.</w:t>
      </w:r>
    </w:p>
    <w:p w:rsidR="00BB105E" w:rsidRPr="00047D3F" w:rsidRDefault="00DB01E4" w:rsidP="00FE53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lang w:val="es-MX"/>
        </w:rPr>
      </w:pPr>
      <w:r w:rsidRPr="00047D3F">
        <w:rPr>
          <w:sz w:val="20"/>
          <w:lang w:val="es-MX"/>
        </w:rPr>
        <w:t xml:space="preserve">Respecto </w:t>
      </w:r>
      <w:r w:rsidR="003F0BBE" w:rsidRPr="00047D3F">
        <w:rPr>
          <w:sz w:val="20"/>
          <w:lang w:val="es-MX"/>
        </w:rPr>
        <w:t>de los derechos invocados por los peticionarios</w:t>
      </w:r>
      <w:r w:rsidRPr="00047D3F">
        <w:rPr>
          <w:sz w:val="20"/>
          <w:lang w:val="es-MX"/>
        </w:rPr>
        <w:t xml:space="preserve">, </w:t>
      </w:r>
      <w:r w:rsidR="00634A6C" w:rsidRPr="00047D3F">
        <w:rPr>
          <w:sz w:val="20"/>
          <w:lang w:val="es-MX"/>
        </w:rPr>
        <w:t>argumenta que no se produce la vulneración</w:t>
      </w:r>
      <w:r w:rsidR="00D604CC" w:rsidRPr="00047D3F">
        <w:rPr>
          <w:sz w:val="20"/>
          <w:lang w:val="es-MX"/>
        </w:rPr>
        <w:t xml:space="preserve"> de los mismos</w:t>
      </w:r>
      <w:r w:rsidR="00634A6C" w:rsidRPr="00047D3F">
        <w:rPr>
          <w:sz w:val="20"/>
          <w:lang w:val="es-MX"/>
        </w:rPr>
        <w:t xml:space="preserve">, ya que </w:t>
      </w:r>
      <w:r w:rsidR="00D604CC" w:rsidRPr="00047D3F">
        <w:rPr>
          <w:sz w:val="20"/>
          <w:lang w:val="es-MX"/>
        </w:rPr>
        <w:t>se ha investigado</w:t>
      </w:r>
      <w:r w:rsidR="00634A6C" w:rsidRPr="00047D3F">
        <w:rPr>
          <w:sz w:val="20"/>
          <w:lang w:val="es-MX"/>
        </w:rPr>
        <w:t xml:space="preserve"> a través del Ministerio Público y el Poder Judicial los hechos denunciados</w:t>
      </w:r>
      <w:r w:rsidR="00D604CC" w:rsidRPr="00047D3F">
        <w:rPr>
          <w:sz w:val="20"/>
          <w:lang w:val="es-MX"/>
        </w:rPr>
        <w:t>,</w:t>
      </w:r>
      <w:r w:rsidR="00634A6C" w:rsidRPr="00047D3F">
        <w:rPr>
          <w:sz w:val="20"/>
          <w:lang w:val="es-MX"/>
        </w:rPr>
        <w:t xml:space="preserve"> y se han realizado las diligencias correspondientes. Argumenta que</w:t>
      </w:r>
      <w:r w:rsidR="004262D3" w:rsidRPr="00047D3F">
        <w:rPr>
          <w:sz w:val="20"/>
          <w:lang w:val="es-MX"/>
        </w:rPr>
        <w:t>,</w:t>
      </w:r>
      <w:r w:rsidR="00634A6C" w:rsidRPr="00047D3F">
        <w:rPr>
          <w:sz w:val="20"/>
          <w:lang w:val="es-MX"/>
        </w:rPr>
        <w:t xml:space="preserve"> </w:t>
      </w:r>
      <w:r w:rsidR="005D3913" w:rsidRPr="00047D3F">
        <w:rPr>
          <w:sz w:val="20"/>
          <w:lang w:val="es-MX"/>
        </w:rPr>
        <w:t>a</w:t>
      </w:r>
      <w:r w:rsidR="00D604CC" w:rsidRPr="00047D3F">
        <w:rPr>
          <w:sz w:val="20"/>
          <w:lang w:val="es-MX"/>
        </w:rPr>
        <w:t>unque a</w:t>
      </w:r>
      <w:r w:rsidR="005D3913" w:rsidRPr="00047D3F">
        <w:rPr>
          <w:sz w:val="20"/>
          <w:lang w:val="es-MX"/>
        </w:rPr>
        <w:t xml:space="preserve"> </w:t>
      </w:r>
      <w:r w:rsidR="00634A6C" w:rsidRPr="00047D3F">
        <w:rPr>
          <w:sz w:val="20"/>
          <w:lang w:val="es-MX"/>
        </w:rPr>
        <w:t>la fecha no se ha</w:t>
      </w:r>
      <w:r w:rsidR="004262D3" w:rsidRPr="00047D3F">
        <w:rPr>
          <w:sz w:val="20"/>
          <w:lang w:val="es-MX"/>
        </w:rPr>
        <w:t>ya</w:t>
      </w:r>
      <w:r w:rsidR="00634A6C" w:rsidRPr="00047D3F">
        <w:rPr>
          <w:sz w:val="20"/>
          <w:lang w:val="es-MX"/>
        </w:rPr>
        <w:t xml:space="preserve"> logrado comprobar la responsabilidad penal de los inculpados, ello no significaría impunidad</w:t>
      </w:r>
      <w:r w:rsidR="0044702A" w:rsidRPr="00047D3F">
        <w:rPr>
          <w:sz w:val="20"/>
          <w:lang w:val="es-MX"/>
        </w:rPr>
        <w:t>,</w:t>
      </w:r>
      <w:r w:rsidR="00634A6C" w:rsidRPr="00047D3F">
        <w:rPr>
          <w:sz w:val="20"/>
          <w:lang w:val="es-MX"/>
        </w:rPr>
        <w:t xml:space="preserve"> sino la aplicación del principio de presunción de inocencia</w:t>
      </w:r>
      <w:r w:rsidR="007879D4" w:rsidRPr="00047D3F">
        <w:rPr>
          <w:sz w:val="20"/>
          <w:lang w:val="es-MX"/>
        </w:rPr>
        <w:t xml:space="preserve">; asegurándose de la misma manera </w:t>
      </w:r>
      <w:r w:rsidR="00634A6C" w:rsidRPr="00047D3F">
        <w:rPr>
          <w:sz w:val="20"/>
          <w:lang w:val="es-MX"/>
        </w:rPr>
        <w:t xml:space="preserve">el pleno acceso y capacidad de actuar de los peticionarios y sus representantes legales. </w:t>
      </w:r>
      <w:r w:rsidR="0044702A" w:rsidRPr="00047D3F">
        <w:rPr>
          <w:sz w:val="20"/>
          <w:lang w:val="es-MX"/>
        </w:rPr>
        <w:t>En este sentido, alega</w:t>
      </w:r>
      <w:r w:rsidR="00190D7A" w:rsidRPr="00047D3F">
        <w:rPr>
          <w:sz w:val="20"/>
          <w:lang w:val="es-MX"/>
        </w:rPr>
        <w:t xml:space="preserve"> que el</w:t>
      </w:r>
      <w:r w:rsidR="00634A6C" w:rsidRPr="00047D3F">
        <w:rPr>
          <w:sz w:val="20"/>
          <w:lang w:val="es-MX"/>
        </w:rPr>
        <w:t xml:space="preserve"> debido proceso debe valorarse </w:t>
      </w:r>
      <w:r w:rsidR="007879D4" w:rsidRPr="00047D3F">
        <w:rPr>
          <w:sz w:val="20"/>
          <w:lang w:val="es-MX"/>
        </w:rPr>
        <w:t xml:space="preserve">como una obligación de medios y no </w:t>
      </w:r>
      <w:r w:rsidR="00884382" w:rsidRPr="00047D3F">
        <w:rPr>
          <w:sz w:val="20"/>
          <w:lang w:val="es-MX"/>
        </w:rPr>
        <w:t>de resultado</w:t>
      </w:r>
      <w:r w:rsidR="0044702A" w:rsidRPr="00047D3F">
        <w:rPr>
          <w:sz w:val="20"/>
          <w:lang w:val="es-MX"/>
        </w:rPr>
        <w:t>;</w:t>
      </w:r>
      <w:r w:rsidR="00190D7A" w:rsidRPr="00047D3F">
        <w:rPr>
          <w:sz w:val="20"/>
          <w:lang w:val="es-MX"/>
        </w:rPr>
        <w:t xml:space="preserve"> y que debe </w:t>
      </w:r>
      <w:r w:rsidR="007879D4" w:rsidRPr="00047D3F">
        <w:rPr>
          <w:sz w:val="20"/>
          <w:lang w:val="es-MX"/>
        </w:rPr>
        <w:t>tomarse en cuenta que se trata de una investigación compleja en la que hay</w:t>
      </w:r>
      <w:r w:rsidR="00190D7A" w:rsidRPr="00047D3F">
        <w:rPr>
          <w:sz w:val="20"/>
          <w:lang w:val="es-MX"/>
        </w:rPr>
        <w:t xml:space="preserve"> un gran número de víctimas</w:t>
      </w:r>
      <w:r w:rsidR="007879D4" w:rsidRPr="00047D3F">
        <w:rPr>
          <w:sz w:val="20"/>
          <w:lang w:val="es-MX"/>
        </w:rPr>
        <w:t>. Por lo que</w:t>
      </w:r>
      <w:r w:rsidR="004262D3" w:rsidRPr="00047D3F">
        <w:rPr>
          <w:sz w:val="20"/>
          <w:lang w:val="es-MX"/>
        </w:rPr>
        <w:t>, de acuerdo al Estado,</w:t>
      </w:r>
      <w:r w:rsidR="007879D4" w:rsidRPr="00047D3F">
        <w:rPr>
          <w:sz w:val="20"/>
          <w:lang w:val="es-MX"/>
        </w:rPr>
        <w:t xml:space="preserve"> no se estaría violando el derecho al acceso a la justicia dentro de un plazo razonable. </w:t>
      </w:r>
      <w:r w:rsidR="00190D7A" w:rsidRPr="00047D3F">
        <w:rPr>
          <w:sz w:val="20"/>
          <w:lang w:val="es-MX"/>
        </w:rPr>
        <w:t xml:space="preserve">Además, </w:t>
      </w:r>
      <w:r w:rsidR="007879D4" w:rsidRPr="00047D3F">
        <w:rPr>
          <w:sz w:val="20"/>
          <w:lang w:val="es-MX"/>
        </w:rPr>
        <w:t>aduce</w:t>
      </w:r>
      <w:r w:rsidR="00190D7A" w:rsidRPr="00047D3F">
        <w:rPr>
          <w:sz w:val="20"/>
          <w:lang w:val="es-MX"/>
        </w:rPr>
        <w:t xml:space="preserve"> que </w:t>
      </w:r>
      <w:r w:rsidR="003F0BBE" w:rsidRPr="00047D3F">
        <w:rPr>
          <w:sz w:val="20"/>
          <w:lang w:val="es-MX"/>
        </w:rPr>
        <w:t>la obligación del E</w:t>
      </w:r>
      <w:r w:rsidR="00190D7A" w:rsidRPr="00047D3F">
        <w:rPr>
          <w:sz w:val="20"/>
          <w:lang w:val="es-MX"/>
        </w:rPr>
        <w:t xml:space="preserve">stado de cumplir plenamente con las exigencias de obtención de justicia material tiene una mayor jerarquía que la garantía del plazo razonable. </w:t>
      </w:r>
    </w:p>
    <w:p w:rsidR="00190D7A" w:rsidRPr="00047D3F" w:rsidRDefault="00FE53C8" w:rsidP="00FE53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lang w:val="es-MX"/>
        </w:rPr>
      </w:pPr>
      <w:r w:rsidRPr="00047D3F">
        <w:rPr>
          <w:sz w:val="20"/>
          <w:lang w:val="es-MX"/>
        </w:rPr>
        <w:t>E</w:t>
      </w:r>
      <w:r w:rsidR="00FE7BDB" w:rsidRPr="00047D3F">
        <w:rPr>
          <w:sz w:val="20"/>
          <w:lang w:val="es-MX"/>
        </w:rPr>
        <w:t xml:space="preserve">l Estado sostiene que </w:t>
      </w:r>
      <w:r w:rsidR="00190D7A" w:rsidRPr="00047D3F">
        <w:rPr>
          <w:sz w:val="20"/>
          <w:lang w:val="es-MX"/>
        </w:rPr>
        <w:t xml:space="preserve">a la fecha de los hechos la actuación de la justicia militar se entendía acorde </w:t>
      </w:r>
      <w:r w:rsidR="00FE7BDB" w:rsidRPr="00047D3F">
        <w:rPr>
          <w:sz w:val="20"/>
          <w:lang w:val="es-MX"/>
        </w:rPr>
        <w:t>con</w:t>
      </w:r>
      <w:r w:rsidR="00190D7A" w:rsidRPr="00047D3F">
        <w:rPr>
          <w:sz w:val="20"/>
          <w:lang w:val="es-MX"/>
        </w:rPr>
        <w:t xml:space="preserve"> los estánda</w:t>
      </w:r>
      <w:r w:rsidRPr="00047D3F">
        <w:rPr>
          <w:sz w:val="20"/>
          <w:lang w:val="es-MX"/>
        </w:rPr>
        <w:t xml:space="preserve">res de la Corte Interamericana vigentes en esa época. Asimismo, </w:t>
      </w:r>
      <w:r w:rsidR="00B27F38" w:rsidRPr="00047D3F">
        <w:rPr>
          <w:sz w:val="20"/>
          <w:lang w:val="es-MX"/>
        </w:rPr>
        <w:t xml:space="preserve">considera que </w:t>
      </w:r>
      <w:r w:rsidR="00190D7A" w:rsidRPr="00047D3F">
        <w:rPr>
          <w:sz w:val="20"/>
          <w:lang w:val="es-MX"/>
        </w:rPr>
        <w:t>ya cumplió con delimitar y establecer claramente las competencias d</w:t>
      </w:r>
      <w:r w:rsidR="00B27F38" w:rsidRPr="00047D3F">
        <w:rPr>
          <w:sz w:val="20"/>
          <w:lang w:val="es-MX"/>
        </w:rPr>
        <w:t>el fuero militar y ordinario, de forma tal que determinados delitos cometidos por efectivos del ejército o la policía</w:t>
      </w:r>
      <w:r w:rsidR="00190D7A" w:rsidRPr="00047D3F">
        <w:rPr>
          <w:sz w:val="20"/>
          <w:lang w:val="es-MX"/>
        </w:rPr>
        <w:t xml:space="preserve">, son conocidos exclusivamente por la jurisdicción ordinaria. </w:t>
      </w:r>
      <w:r w:rsidRPr="00047D3F">
        <w:rPr>
          <w:sz w:val="20"/>
          <w:lang w:val="es-MX"/>
        </w:rPr>
        <w:t xml:space="preserve">Además, que en su momento se tomaron las medidas adecuadas para </w:t>
      </w:r>
      <w:r w:rsidR="00884382" w:rsidRPr="00047D3F">
        <w:rPr>
          <w:sz w:val="20"/>
          <w:lang w:val="es-MX"/>
        </w:rPr>
        <w:t>dejar sin efecto</w:t>
      </w:r>
      <w:r w:rsidRPr="00047D3F">
        <w:rPr>
          <w:sz w:val="20"/>
          <w:lang w:val="es-MX"/>
        </w:rPr>
        <w:t xml:space="preserve"> las leyes de amnistía. </w:t>
      </w:r>
      <w:r w:rsidR="00190D7A" w:rsidRPr="00047D3F">
        <w:rPr>
          <w:sz w:val="20"/>
          <w:lang w:val="es-MX"/>
        </w:rPr>
        <w:t xml:space="preserve">Y que </w:t>
      </w:r>
      <w:r w:rsidRPr="00047D3F">
        <w:rPr>
          <w:sz w:val="20"/>
          <w:lang w:val="es-MX"/>
        </w:rPr>
        <w:t xml:space="preserve">se </w:t>
      </w:r>
      <w:r w:rsidR="00190D7A" w:rsidRPr="00047D3F">
        <w:rPr>
          <w:sz w:val="20"/>
          <w:lang w:val="es-MX"/>
        </w:rPr>
        <w:t xml:space="preserve">ha procurado reparar a las víctimas, a través de la realización de un registro único de víctimas, </w:t>
      </w:r>
      <w:r w:rsidRPr="00047D3F">
        <w:rPr>
          <w:sz w:val="20"/>
          <w:lang w:val="es-MX"/>
        </w:rPr>
        <w:t>a través del</w:t>
      </w:r>
      <w:r w:rsidR="00190D7A" w:rsidRPr="00047D3F">
        <w:rPr>
          <w:sz w:val="20"/>
          <w:lang w:val="es-MX"/>
        </w:rPr>
        <w:t xml:space="preserve"> cual se </w:t>
      </w:r>
      <w:r w:rsidRPr="00047D3F">
        <w:rPr>
          <w:sz w:val="20"/>
          <w:lang w:val="es-MX"/>
        </w:rPr>
        <w:t>otorga reparación pecuniaria</w:t>
      </w:r>
      <w:r w:rsidR="00190D7A" w:rsidRPr="00047D3F">
        <w:rPr>
          <w:sz w:val="20"/>
          <w:lang w:val="es-MX"/>
        </w:rPr>
        <w:t xml:space="preserve"> a los familiares de las </w:t>
      </w:r>
      <w:r w:rsidRPr="00047D3F">
        <w:rPr>
          <w:sz w:val="20"/>
          <w:lang w:val="es-MX"/>
        </w:rPr>
        <w:t>víctimas</w:t>
      </w:r>
      <w:r w:rsidR="00190D7A" w:rsidRPr="00047D3F">
        <w:rPr>
          <w:sz w:val="20"/>
          <w:lang w:val="es-MX"/>
        </w:rPr>
        <w:t xml:space="preserve">. </w:t>
      </w:r>
    </w:p>
    <w:p w:rsidR="00B27F38" w:rsidRPr="00047D3F" w:rsidRDefault="00AF4EF2" w:rsidP="00190D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lang w:val="es-MX"/>
        </w:rPr>
      </w:pPr>
      <w:r w:rsidRPr="00047D3F">
        <w:rPr>
          <w:sz w:val="20"/>
          <w:lang w:val="es-MX"/>
        </w:rPr>
        <w:t xml:space="preserve">Finalmente el Estado aduce que </w:t>
      </w:r>
      <w:r w:rsidR="004675D9" w:rsidRPr="00047D3F">
        <w:rPr>
          <w:sz w:val="20"/>
          <w:lang w:val="es-MX"/>
        </w:rPr>
        <w:t xml:space="preserve">existe inadmisibilidad por duplicidad de procedimiento respecto del señor Rigoberto Tenorio Roca, ya que su situación ha sido objeto de una sentencia de la Corte </w:t>
      </w:r>
      <w:r w:rsidR="004675D9" w:rsidRPr="00047D3F">
        <w:rPr>
          <w:sz w:val="20"/>
          <w:lang w:val="es-MX"/>
        </w:rPr>
        <w:lastRenderedPageBreak/>
        <w:t>I</w:t>
      </w:r>
      <w:r w:rsidR="00A02A8A" w:rsidRPr="00047D3F">
        <w:rPr>
          <w:sz w:val="20"/>
          <w:lang w:val="es-MX"/>
        </w:rPr>
        <w:t>nteramericana</w:t>
      </w:r>
      <w:r w:rsidR="00834D3C" w:rsidRPr="00047D3F">
        <w:rPr>
          <w:rStyle w:val="FootnoteReference"/>
          <w:sz w:val="20"/>
          <w:lang w:val="es-MX"/>
        </w:rPr>
        <w:footnoteReference w:id="7"/>
      </w:r>
      <w:r w:rsidR="004675D9" w:rsidRPr="00047D3F">
        <w:rPr>
          <w:sz w:val="20"/>
          <w:lang w:val="es-MX"/>
        </w:rPr>
        <w:t xml:space="preserve">; así como con relación al señor Jaime Boris Ayala Sulca, </w:t>
      </w:r>
      <w:r w:rsidR="004B4F6E" w:rsidRPr="00047D3F">
        <w:rPr>
          <w:sz w:val="20"/>
          <w:lang w:val="es-MX"/>
        </w:rPr>
        <w:t>quien</w:t>
      </w:r>
      <w:r w:rsidR="004675D9" w:rsidRPr="00047D3F">
        <w:rPr>
          <w:sz w:val="20"/>
          <w:lang w:val="es-MX"/>
        </w:rPr>
        <w:t xml:space="preserve"> figura como víctima en un informe de fondo de la Comisión Interamericana</w:t>
      </w:r>
      <w:r w:rsidR="004675D9" w:rsidRPr="00047D3F">
        <w:rPr>
          <w:rStyle w:val="FootnoteReference"/>
          <w:sz w:val="20"/>
          <w:lang w:val="es-MX"/>
        </w:rPr>
        <w:footnoteReference w:id="8"/>
      </w:r>
      <w:r w:rsidR="004B4F6E" w:rsidRPr="00047D3F">
        <w:rPr>
          <w:sz w:val="20"/>
          <w:lang w:val="es-MX"/>
        </w:rPr>
        <w:t xml:space="preserve"> emitido en la década de los ochenta</w:t>
      </w:r>
      <w:r w:rsidR="00B27F38" w:rsidRPr="00047D3F">
        <w:rPr>
          <w:sz w:val="20"/>
          <w:lang w:val="es-MX"/>
        </w:rPr>
        <w:t>.</w:t>
      </w:r>
    </w:p>
    <w:p w:rsidR="003239B8" w:rsidRPr="00047D3F" w:rsidRDefault="003239B8" w:rsidP="003239B8">
      <w:pPr>
        <w:spacing w:before="240" w:after="240"/>
        <w:ind w:firstLine="720"/>
        <w:jc w:val="both"/>
        <w:rPr>
          <w:sz w:val="20"/>
          <w:lang w:val="es-UY"/>
        </w:rPr>
      </w:pPr>
      <w:r w:rsidRPr="00047D3F">
        <w:rPr>
          <w:rFonts w:asciiTheme="majorHAnsi" w:eastAsia="Cambria" w:hAnsiTheme="majorHAnsi" w:cs="Cambria"/>
          <w:b/>
          <w:bCs/>
          <w:sz w:val="20"/>
        </w:rPr>
        <w:t>VI.</w:t>
      </w:r>
      <w:r w:rsidRPr="00047D3F">
        <w:rPr>
          <w:rFonts w:asciiTheme="majorHAnsi" w:eastAsia="Cambria" w:hAnsiTheme="majorHAnsi" w:cs="Cambria"/>
          <w:b/>
          <w:bCs/>
          <w:sz w:val="20"/>
        </w:rPr>
        <w:tab/>
      </w:r>
      <w:r w:rsidR="00C21FEF" w:rsidRPr="00047D3F">
        <w:rPr>
          <w:rFonts w:asciiTheme="majorHAnsi" w:hAnsiTheme="majorHAnsi"/>
          <w:b/>
          <w:sz w:val="20"/>
        </w:rPr>
        <w:t>AGOTAMIENTO DE LOS RECURSOS INTERNOS</w:t>
      </w:r>
      <w:r w:rsidR="00834D3C" w:rsidRPr="00047D3F">
        <w:rPr>
          <w:rFonts w:asciiTheme="majorHAnsi" w:hAnsiTheme="majorHAnsi"/>
          <w:b/>
          <w:sz w:val="20"/>
        </w:rPr>
        <w:t xml:space="preserve">, </w:t>
      </w:r>
      <w:r w:rsidR="00C21FEF" w:rsidRPr="00047D3F">
        <w:rPr>
          <w:rFonts w:asciiTheme="majorHAnsi" w:hAnsiTheme="majorHAnsi"/>
          <w:b/>
          <w:sz w:val="20"/>
        </w:rPr>
        <w:t>PLAZO DE PRESENTACIÓN</w:t>
      </w:r>
      <w:r w:rsidR="00834D3C" w:rsidRPr="00047D3F">
        <w:rPr>
          <w:rFonts w:asciiTheme="majorHAnsi" w:hAnsiTheme="majorHAnsi"/>
          <w:b/>
          <w:sz w:val="20"/>
        </w:rPr>
        <w:t xml:space="preserve"> Y DUPLICIDAD DE PROCEDIMIENTO</w:t>
      </w:r>
      <w:r w:rsidR="00C21FEF" w:rsidRPr="00047D3F">
        <w:rPr>
          <w:rFonts w:asciiTheme="majorHAnsi" w:eastAsia="Cambria" w:hAnsiTheme="majorHAnsi" w:cs="Cambria"/>
          <w:b/>
          <w:bCs/>
          <w:sz w:val="20"/>
        </w:rPr>
        <w:t xml:space="preserve"> </w:t>
      </w:r>
    </w:p>
    <w:p w:rsidR="00164847" w:rsidRPr="00047D3F" w:rsidRDefault="00062E8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sz w:val="20"/>
          <w:lang w:val="es-UY"/>
        </w:rPr>
        <w:t>L</w:t>
      </w:r>
      <w:r w:rsidR="00164847" w:rsidRPr="00047D3F">
        <w:rPr>
          <w:sz w:val="20"/>
        </w:rPr>
        <w:t xml:space="preserve">os peticionarios aducen que </w:t>
      </w:r>
      <w:r w:rsidR="000B50EC" w:rsidRPr="00047D3F">
        <w:rPr>
          <w:sz w:val="20"/>
        </w:rPr>
        <w:t xml:space="preserve">el proceso judicial a nivel interno se ha prolongado </w:t>
      </w:r>
      <w:r w:rsidR="002B1202" w:rsidRPr="00047D3F">
        <w:rPr>
          <w:sz w:val="20"/>
        </w:rPr>
        <w:t xml:space="preserve">inicialmente desde 1984, y luego </w:t>
      </w:r>
      <w:r w:rsidR="000B50EC" w:rsidRPr="00047D3F">
        <w:rPr>
          <w:sz w:val="20"/>
        </w:rPr>
        <w:t>desde 2002 sin que el mismo haya</w:t>
      </w:r>
      <w:r w:rsidR="002B1202" w:rsidRPr="00047D3F">
        <w:rPr>
          <w:sz w:val="20"/>
        </w:rPr>
        <w:t>n</w:t>
      </w:r>
      <w:r w:rsidR="000B50EC" w:rsidRPr="00047D3F">
        <w:rPr>
          <w:sz w:val="20"/>
        </w:rPr>
        <w:t xml:space="preserve"> producido resultado</w:t>
      </w:r>
      <w:r w:rsidR="002B1202" w:rsidRPr="00047D3F">
        <w:rPr>
          <w:sz w:val="20"/>
        </w:rPr>
        <w:t>s concretos</w:t>
      </w:r>
      <w:r w:rsidR="000B50EC" w:rsidRPr="00047D3F">
        <w:rPr>
          <w:sz w:val="20"/>
        </w:rPr>
        <w:t xml:space="preserve">. El Estado por su parte plantea la falta de agotamiento de los recursos internos </w:t>
      </w:r>
      <w:r w:rsidR="00B65B2D" w:rsidRPr="00047D3F">
        <w:rPr>
          <w:sz w:val="20"/>
        </w:rPr>
        <w:t>con</w:t>
      </w:r>
      <w:r w:rsidR="000B50EC" w:rsidRPr="00047D3F">
        <w:rPr>
          <w:sz w:val="20"/>
        </w:rPr>
        <w:t xml:space="preserve"> base</w:t>
      </w:r>
      <w:r w:rsidR="00B65B2D" w:rsidRPr="00047D3F">
        <w:rPr>
          <w:sz w:val="20"/>
        </w:rPr>
        <w:t xml:space="preserve"> en</w:t>
      </w:r>
      <w:r w:rsidR="000B50EC" w:rsidRPr="00047D3F">
        <w:rPr>
          <w:sz w:val="20"/>
        </w:rPr>
        <w:t xml:space="preserve"> que el proceso penal por los hechos denunciados permanece abierto</w:t>
      </w:r>
      <w:r w:rsidR="00B65B2D" w:rsidRPr="00047D3F">
        <w:rPr>
          <w:sz w:val="20"/>
        </w:rPr>
        <w:t xml:space="preserve"> y que </w:t>
      </w:r>
      <w:r w:rsidR="00B65B2D" w:rsidRPr="00047D3F">
        <w:rPr>
          <w:sz w:val="20"/>
          <w:lang w:val="es-MX"/>
        </w:rPr>
        <w:t>se trata de una investigación compleja en la que hay un gran número de víctimas</w:t>
      </w:r>
      <w:r w:rsidR="000B50EC" w:rsidRPr="00047D3F">
        <w:rPr>
          <w:sz w:val="20"/>
        </w:rPr>
        <w:t xml:space="preserve">. </w:t>
      </w:r>
      <w:r w:rsidR="00164847" w:rsidRPr="00047D3F">
        <w:rPr>
          <w:sz w:val="20"/>
        </w:rPr>
        <w:t xml:space="preserve"> </w:t>
      </w:r>
    </w:p>
    <w:p w:rsidR="004843E3" w:rsidRPr="00047D3F" w:rsidRDefault="000B50EC" w:rsidP="00484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sz w:val="20"/>
        </w:rPr>
        <w:t xml:space="preserve">A este respecto, la Comisión reitera que en casos como el presente </w:t>
      </w:r>
      <w:r w:rsidR="000C78AA" w:rsidRPr="00047D3F">
        <w:rPr>
          <w:sz w:val="20"/>
        </w:rPr>
        <w:t>que incluyen denuncias de detención ilegal, torturas y desaparición forzada</w:t>
      </w:r>
      <w:r w:rsidR="00B65B2D" w:rsidRPr="00047D3F">
        <w:rPr>
          <w:sz w:val="20"/>
        </w:rPr>
        <w:t>,</w:t>
      </w:r>
      <w:r w:rsidR="000C78AA" w:rsidRPr="00047D3F">
        <w:rPr>
          <w:sz w:val="20"/>
        </w:rPr>
        <w:t xml:space="preserve"> los recursos internos que deben tomarse en cuenta a los efectos de la admisibilidad de la petición son los relacionados con la investigación y sanción a los responsables por dichos hechos. En ese sentido, y e</w:t>
      </w:r>
      <w:r w:rsidR="007A6DC5" w:rsidRPr="00047D3F">
        <w:rPr>
          <w:sz w:val="20"/>
        </w:rPr>
        <w:t xml:space="preserve">n vista de las posiciones de las partes y la información disponible en el expediente, la Comisión </w:t>
      </w:r>
      <w:r w:rsidR="000C78AA" w:rsidRPr="00047D3F">
        <w:rPr>
          <w:sz w:val="20"/>
        </w:rPr>
        <w:t xml:space="preserve">observa </w:t>
      </w:r>
      <w:r w:rsidR="00CA777E" w:rsidRPr="00047D3F">
        <w:rPr>
          <w:sz w:val="20"/>
        </w:rPr>
        <w:t xml:space="preserve">que la investigación de los hechos por parte del </w:t>
      </w:r>
      <w:r w:rsidR="000C78AA" w:rsidRPr="00047D3F">
        <w:rPr>
          <w:sz w:val="20"/>
        </w:rPr>
        <w:t>E</w:t>
      </w:r>
      <w:r w:rsidR="00CA777E" w:rsidRPr="00047D3F">
        <w:rPr>
          <w:sz w:val="20"/>
        </w:rPr>
        <w:t xml:space="preserve">stado </w:t>
      </w:r>
      <w:r w:rsidR="00C40EAF" w:rsidRPr="00047D3F">
        <w:rPr>
          <w:sz w:val="20"/>
        </w:rPr>
        <w:t xml:space="preserve">se inició en 1984, y la investigación abierta en la jurisdicción ordinaria </w:t>
      </w:r>
      <w:r w:rsidR="00CA777E" w:rsidRPr="00047D3F">
        <w:rPr>
          <w:sz w:val="20"/>
        </w:rPr>
        <w:t xml:space="preserve">está en curso desde el año 2002, sin que se haya llegado a una decisión </w:t>
      </w:r>
      <w:r w:rsidR="000C78AA" w:rsidRPr="00047D3F">
        <w:rPr>
          <w:sz w:val="20"/>
        </w:rPr>
        <w:t>definitiva</w:t>
      </w:r>
      <w:r w:rsidR="00CA777E" w:rsidRPr="00047D3F">
        <w:rPr>
          <w:sz w:val="20"/>
        </w:rPr>
        <w:t xml:space="preserve"> al respecto, </w:t>
      </w:r>
      <w:r w:rsidR="000C78AA" w:rsidRPr="00047D3F">
        <w:rPr>
          <w:sz w:val="20"/>
        </w:rPr>
        <w:t xml:space="preserve">y sin que </w:t>
      </w:r>
      <w:r w:rsidR="00CA777E" w:rsidRPr="00047D3F">
        <w:rPr>
          <w:sz w:val="20"/>
        </w:rPr>
        <w:t>se ha</w:t>
      </w:r>
      <w:r w:rsidR="000C78AA" w:rsidRPr="00047D3F">
        <w:rPr>
          <w:sz w:val="20"/>
        </w:rPr>
        <w:t>y</w:t>
      </w:r>
      <w:r w:rsidR="00CA777E" w:rsidRPr="00047D3F">
        <w:rPr>
          <w:sz w:val="20"/>
        </w:rPr>
        <w:t xml:space="preserve">a iniciado </w:t>
      </w:r>
      <w:r w:rsidR="004843E3" w:rsidRPr="00047D3F">
        <w:rPr>
          <w:sz w:val="20"/>
        </w:rPr>
        <w:t>la etapa de juicio, estando aún en la fase de investigación</w:t>
      </w:r>
      <w:r w:rsidR="00CA777E" w:rsidRPr="00047D3F">
        <w:rPr>
          <w:sz w:val="20"/>
        </w:rPr>
        <w:t xml:space="preserve">. </w:t>
      </w:r>
      <w:r w:rsidR="004843E3" w:rsidRPr="00047D3F">
        <w:rPr>
          <w:sz w:val="20"/>
        </w:rPr>
        <w:t>Así, la Comisión concluye que si bien el proceso penal seguido a nivel interno no ha concluido, en este caso se configura la excepción de retardo injustificado consagrada en el artículo 46.2.c de la Convención Americana.</w:t>
      </w:r>
    </w:p>
    <w:p w:rsidR="003239B8" w:rsidRPr="00047D3F" w:rsidRDefault="00A17A01" w:rsidP="00A17A01">
      <w:pPr>
        <w:pStyle w:val="ListParagraph"/>
        <w:numPr>
          <w:ilvl w:val="0"/>
          <w:numId w:val="103"/>
        </w:numPr>
        <w:jc w:val="both"/>
        <w:rPr>
          <w:rFonts w:eastAsia="Arial Unicode MS" w:cs="Calibri"/>
          <w:sz w:val="20"/>
          <w:szCs w:val="20"/>
          <w:lang w:val="es-ES"/>
        </w:rPr>
      </w:pPr>
      <w:r w:rsidRPr="00047D3F">
        <w:rPr>
          <w:rFonts w:eastAsia="Arial Unicode MS" w:cs="Calibri"/>
          <w:sz w:val="20"/>
          <w:szCs w:val="20"/>
          <w:lang w:val="es-ES"/>
        </w:rPr>
        <w:t>Asimismo, la Comisión observa que la petición fue recibida el 4 de enero de 2008</w:t>
      </w:r>
      <w:r w:rsidR="00C40EAF" w:rsidRPr="00047D3F">
        <w:rPr>
          <w:rFonts w:eastAsia="Arial Unicode MS" w:cs="Calibri"/>
          <w:sz w:val="20"/>
          <w:szCs w:val="20"/>
          <w:lang w:val="es-ES"/>
        </w:rPr>
        <w:t>. Lo</w:t>
      </w:r>
      <w:r w:rsidRPr="00047D3F">
        <w:rPr>
          <w:rFonts w:eastAsia="Arial Unicode MS" w:cs="Calibri"/>
          <w:sz w:val="20"/>
          <w:szCs w:val="20"/>
          <w:lang w:val="es-ES"/>
        </w:rPr>
        <w:t xml:space="preserve">s hechos denunciados habrían ocurrido a partir de </w:t>
      </w:r>
      <w:r w:rsidR="007C46D3" w:rsidRPr="00047D3F">
        <w:rPr>
          <w:rFonts w:eastAsia="Arial Unicode MS" w:cs="Calibri"/>
          <w:sz w:val="20"/>
          <w:szCs w:val="20"/>
          <w:lang w:val="es-ES"/>
        </w:rPr>
        <w:t xml:space="preserve">julio </w:t>
      </w:r>
      <w:r w:rsidRPr="00047D3F">
        <w:rPr>
          <w:rFonts w:eastAsia="Arial Unicode MS" w:cs="Calibri"/>
          <w:sz w:val="20"/>
          <w:szCs w:val="20"/>
          <w:lang w:val="es-ES"/>
        </w:rPr>
        <w:t>de 1984</w:t>
      </w:r>
      <w:r w:rsidR="00D435EB" w:rsidRPr="00047D3F">
        <w:rPr>
          <w:rFonts w:eastAsia="Arial Unicode MS" w:cs="Calibri"/>
          <w:sz w:val="20"/>
          <w:szCs w:val="20"/>
          <w:lang w:val="es-ES"/>
        </w:rPr>
        <w:t>;</w:t>
      </w:r>
      <w:r w:rsidR="00C40EAF" w:rsidRPr="00047D3F">
        <w:rPr>
          <w:rFonts w:eastAsia="Arial Unicode MS" w:cs="Calibri"/>
          <w:sz w:val="20"/>
          <w:szCs w:val="20"/>
          <w:lang w:val="es-ES"/>
        </w:rPr>
        <w:t xml:space="preserve"> tras una investigación inicial en la jurisdicción militar</w:t>
      </w:r>
      <w:r w:rsidR="00D435EB" w:rsidRPr="00047D3F">
        <w:rPr>
          <w:rFonts w:eastAsia="Arial Unicode MS" w:cs="Calibri"/>
          <w:sz w:val="20"/>
          <w:szCs w:val="20"/>
          <w:lang w:val="es-ES"/>
        </w:rPr>
        <w:t>,</w:t>
      </w:r>
      <w:r w:rsidRPr="00047D3F">
        <w:rPr>
          <w:rFonts w:eastAsia="Arial Unicode MS" w:cs="Calibri"/>
          <w:sz w:val="20"/>
          <w:szCs w:val="20"/>
          <w:lang w:val="es-ES"/>
        </w:rPr>
        <w:t xml:space="preserve"> </w:t>
      </w:r>
      <w:r w:rsidR="00622744" w:rsidRPr="00047D3F">
        <w:rPr>
          <w:rFonts w:eastAsia="Arial Unicode MS" w:cs="Calibri"/>
          <w:sz w:val="20"/>
          <w:szCs w:val="20"/>
          <w:lang w:val="es-ES"/>
        </w:rPr>
        <w:t xml:space="preserve">en </w:t>
      </w:r>
      <w:r w:rsidR="00622744" w:rsidRPr="00047D3F">
        <w:rPr>
          <w:sz w:val="20"/>
          <w:lang w:val="es-MX"/>
        </w:rPr>
        <w:t xml:space="preserve">2002 los peticionarios solicitaron el inicio de una nueva investigación por parte de la Fiscalía de Derechos Humanos de Ayacucho, </w:t>
      </w:r>
      <w:r w:rsidRPr="00047D3F">
        <w:rPr>
          <w:rFonts w:eastAsia="Arial Unicode MS" w:cs="Calibri"/>
          <w:sz w:val="20"/>
          <w:szCs w:val="20"/>
          <w:lang w:val="es-ES"/>
        </w:rPr>
        <w:t xml:space="preserve">y </w:t>
      </w:r>
      <w:r w:rsidR="00622744" w:rsidRPr="00047D3F">
        <w:rPr>
          <w:rFonts w:eastAsia="Arial Unicode MS" w:cs="Calibri"/>
          <w:sz w:val="20"/>
          <w:szCs w:val="20"/>
          <w:lang w:val="es-ES"/>
        </w:rPr>
        <w:t xml:space="preserve">los </w:t>
      </w:r>
      <w:r w:rsidRPr="00047D3F">
        <w:rPr>
          <w:rFonts w:eastAsia="Arial Unicode MS" w:cs="Calibri"/>
          <w:sz w:val="20"/>
          <w:szCs w:val="20"/>
          <w:lang w:val="es-ES"/>
        </w:rPr>
        <w:t>efectos</w:t>
      </w:r>
      <w:r w:rsidR="00622744" w:rsidRPr="00047D3F">
        <w:rPr>
          <w:rFonts w:eastAsia="Arial Unicode MS" w:cs="Calibri"/>
          <w:sz w:val="20"/>
          <w:szCs w:val="20"/>
          <w:lang w:val="es-ES"/>
        </w:rPr>
        <w:t xml:space="preserve"> de los hechos denunciados</w:t>
      </w:r>
      <w:r w:rsidRPr="00047D3F">
        <w:rPr>
          <w:rFonts w:eastAsia="Arial Unicode MS" w:cs="Calibri"/>
          <w:sz w:val="20"/>
          <w:szCs w:val="20"/>
          <w:lang w:val="es-ES"/>
        </w:rPr>
        <w:t xml:space="preserve"> se extenderían hasta el presente, por el cual la Comisión considera que la petición fue presentada dentro de un plazo razonable en los términos del artículo 32.2 del Reglamento de la CIDH.</w:t>
      </w:r>
    </w:p>
    <w:p w:rsidR="00A17A01" w:rsidRPr="00047D3F" w:rsidRDefault="00A17A01" w:rsidP="00A17A01">
      <w:pPr>
        <w:pStyle w:val="ListParagraph"/>
        <w:jc w:val="both"/>
        <w:rPr>
          <w:rFonts w:eastAsia="Arial Unicode MS" w:cs="Calibri"/>
          <w:sz w:val="20"/>
          <w:szCs w:val="20"/>
          <w:lang w:val="es-ES"/>
        </w:rPr>
      </w:pPr>
    </w:p>
    <w:p w:rsidR="00453E01" w:rsidRPr="00047D3F" w:rsidRDefault="00AF1DDA"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sz w:val="20"/>
        </w:rPr>
        <w:t>Por otra parte, e</w:t>
      </w:r>
      <w:r w:rsidR="00453E01" w:rsidRPr="00047D3F">
        <w:rPr>
          <w:sz w:val="20"/>
        </w:rPr>
        <w:t>l Estado plantea la inadmisibilidad de los alegatos relativos a Rigoberto T</w:t>
      </w:r>
      <w:r w:rsidRPr="00047D3F">
        <w:rPr>
          <w:sz w:val="20"/>
        </w:rPr>
        <w:t>enorio Roca por considerar que e</w:t>
      </w:r>
      <w:r w:rsidR="00453E01" w:rsidRPr="00047D3F">
        <w:rPr>
          <w:sz w:val="20"/>
        </w:rPr>
        <w:t>ste es beneficiario de una sentencia de la Corte Interamericana relativa a los hechos denunciados.</w:t>
      </w:r>
      <w:r w:rsidR="001E572F" w:rsidRPr="00047D3F">
        <w:rPr>
          <w:sz w:val="20"/>
        </w:rPr>
        <w:t xml:space="preserve"> </w:t>
      </w:r>
      <w:r w:rsidR="00D46257" w:rsidRPr="00047D3F">
        <w:rPr>
          <w:sz w:val="20"/>
        </w:rPr>
        <w:t>Los peticionarios por su parte no objetan el argumento del Estado. L</w:t>
      </w:r>
      <w:r w:rsidR="001E572F" w:rsidRPr="00047D3F">
        <w:rPr>
          <w:sz w:val="20"/>
        </w:rPr>
        <w:t>a Comisión observa que la referida sentencia</w:t>
      </w:r>
      <w:r w:rsidR="00086BF6" w:rsidRPr="00047D3F">
        <w:rPr>
          <w:sz w:val="20"/>
        </w:rPr>
        <w:t xml:space="preserve"> se </w:t>
      </w:r>
      <w:r w:rsidR="00971E34" w:rsidRPr="00047D3F">
        <w:rPr>
          <w:sz w:val="20"/>
        </w:rPr>
        <w:t>refiere a</w:t>
      </w:r>
      <w:r w:rsidR="00086BF6" w:rsidRPr="00047D3F">
        <w:rPr>
          <w:sz w:val="20"/>
        </w:rPr>
        <w:t xml:space="preserve"> la detención y posterior desaparici</w:t>
      </w:r>
      <w:r w:rsidR="004F57BC" w:rsidRPr="00047D3F">
        <w:rPr>
          <w:sz w:val="20"/>
        </w:rPr>
        <w:t xml:space="preserve">ón </w:t>
      </w:r>
      <w:r w:rsidR="00D46257" w:rsidRPr="00047D3F">
        <w:rPr>
          <w:sz w:val="20"/>
        </w:rPr>
        <w:t xml:space="preserve">del </w:t>
      </w:r>
      <w:r w:rsidR="008B7B3E" w:rsidRPr="00047D3F">
        <w:rPr>
          <w:sz w:val="20"/>
        </w:rPr>
        <w:t>Sr.</w:t>
      </w:r>
      <w:r w:rsidR="00D46257" w:rsidRPr="00047D3F">
        <w:rPr>
          <w:sz w:val="20"/>
        </w:rPr>
        <w:t xml:space="preserve"> Tenorio Roca </w:t>
      </w:r>
      <w:r w:rsidR="004F57BC" w:rsidRPr="00047D3F">
        <w:rPr>
          <w:sz w:val="20"/>
        </w:rPr>
        <w:t>por parte de la Marin</w:t>
      </w:r>
      <w:r w:rsidR="00086BF6" w:rsidRPr="00047D3F">
        <w:rPr>
          <w:sz w:val="20"/>
        </w:rPr>
        <w:t xml:space="preserve">a de Guerra, </w:t>
      </w:r>
      <w:r w:rsidR="00971E34" w:rsidRPr="00047D3F">
        <w:rPr>
          <w:sz w:val="20"/>
        </w:rPr>
        <w:t>a</w:t>
      </w:r>
      <w:r w:rsidR="00086BF6" w:rsidRPr="00047D3F">
        <w:rPr>
          <w:sz w:val="20"/>
        </w:rPr>
        <w:t xml:space="preserve"> las actuaciones judiciales ante el fuero ordinario y militar, y </w:t>
      </w:r>
      <w:r w:rsidR="00D46257" w:rsidRPr="00047D3F">
        <w:rPr>
          <w:sz w:val="20"/>
        </w:rPr>
        <w:t>a</w:t>
      </w:r>
      <w:r w:rsidR="00086BF6" w:rsidRPr="00047D3F">
        <w:rPr>
          <w:sz w:val="20"/>
        </w:rPr>
        <w:t xml:space="preserve"> la reapertura de las investigaciones en el fuero ordinario en 2003 hasta la ampliación del plazo de instrucci</w:t>
      </w:r>
      <w:r w:rsidR="000F0F07" w:rsidRPr="00047D3F">
        <w:rPr>
          <w:sz w:val="20"/>
        </w:rPr>
        <w:t>ón en 2012</w:t>
      </w:r>
      <w:r w:rsidR="00971E34" w:rsidRPr="00047D3F">
        <w:rPr>
          <w:sz w:val="20"/>
        </w:rPr>
        <w:t xml:space="preserve">. A este respecto, la Corte Interamericana ordenó </w:t>
      </w:r>
      <w:r w:rsidR="000F0F07" w:rsidRPr="00047D3F">
        <w:rPr>
          <w:sz w:val="20"/>
        </w:rPr>
        <w:t>al Estado peruano llevar los procedimientos internos de manera imparcial, efectiva y dentro de un plazo razonable con el objeto de esclarecer en forma completa, identificar a los responsables e imponer las sanciones correspondientes</w:t>
      </w:r>
      <w:r w:rsidR="00971E34" w:rsidRPr="00047D3F">
        <w:rPr>
          <w:rStyle w:val="FootnoteReference"/>
          <w:sz w:val="20"/>
        </w:rPr>
        <w:footnoteReference w:id="9"/>
      </w:r>
      <w:r w:rsidR="000F0F07" w:rsidRPr="00047D3F">
        <w:rPr>
          <w:sz w:val="20"/>
        </w:rPr>
        <w:t>. Por lo tanto</w:t>
      </w:r>
      <w:r w:rsidR="003C19F1" w:rsidRPr="00047D3F">
        <w:rPr>
          <w:sz w:val="20"/>
        </w:rPr>
        <w:t>,</w:t>
      </w:r>
      <w:r w:rsidR="000F0F07" w:rsidRPr="00047D3F">
        <w:rPr>
          <w:sz w:val="20"/>
        </w:rPr>
        <w:t xml:space="preserve"> la Comisión concluye que la petición </w:t>
      </w:r>
      <w:r w:rsidR="00971E34" w:rsidRPr="00047D3F">
        <w:rPr>
          <w:sz w:val="20"/>
        </w:rPr>
        <w:t>es inadmisible respecto del Sr. Rigoberto Tenorio Roca.</w:t>
      </w:r>
      <w:r w:rsidR="000F0F07" w:rsidRPr="00047D3F">
        <w:rPr>
          <w:sz w:val="20"/>
        </w:rPr>
        <w:t xml:space="preserve"> </w:t>
      </w:r>
      <w:r w:rsidR="001E572F" w:rsidRPr="00047D3F">
        <w:rPr>
          <w:sz w:val="20"/>
        </w:rPr>
        <w:t xml:space="preserve"> </w:t>
      </w:r>
    </w:p>
    <w:p w:rsidR="001E572F" w:rsidRPr="00047D3F" w:rsidRDefault="001E572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sz w:val="20"/>
        </w:rPr>
        <w:t xml:space="preserve">Asimismo, el Estado plantea la inadmisibilidad de los alegatos relativos al señor Jaime Boris Ayala Sulca toda vez que el mismo figura como víctima en un informe de fondo de la Comisión Interamericana </w:t>
      </w:r>
      <w:r w:rsidR="0019488C" w:rsidRPr="00047D3F">
        <w:rPr>
          <w:sz w:val="20"/>
        </w:rPr>
        <w:t>emitido</w:t>
      </w:r>
      <w:r w:rsidR="008B7B3E" w:rsidRPr="00047D3F">
        <w:rPr>
          <w:sz w:val="20"/>
        </w:rPr>
        <w:t xml:space="preserve"> en</w:t>
      </w:r>
      <w:r w:rsidRPr="00047D3F">
        <w:rPr>
          <w:sz w:val="20"/>
        </w:rPr>
        <w:t xml:space="preserve"> 1987. </w:t>
      </w:r>
      <w:r w:rsidR="003C19F1" w:rsidRPr="00047D3F">
        <w:rPr>
          <w:sz w:val="20"/>
        </w:rPr>
        <w:t>Por otra parte, l</w:t>
      </w:r>
      <w:r w:rsidR="00AD25AD" w:rsidRPr="00047D3F">
        <w:rPr>
          <w:sz w:val="20"/>
        </w:rPr>
        <w:t>a Comisión observa que Nemesio Fernández Lapa</w:t>
      </w:r>
      <w:r w:rsidRPr="00047D3F">
        <w:rPr>
          <w:sz w:val="20"/>
        </w:rPr>
        <w:t xml:space="preserve"> </w:t>
      </w:r>
      <w:r w:rsidR="00AD25AD" w:rsidRPr="00047D3F">
        <w:rPr>
          <w:sz w:val="20"/>
        </w:rPr>
        <w:t xml:space="preserve">es </w:t>
      </w:r>
      <w:r w:rsidR="003C19F1" w:rsidRPr="00047D3F">
        <w:rPr>
          <w:sz w:val="20"/>
        </w:rPr>
        <w:t xml:space="preserve">también víctima en </w:t>
      </w:r>
      <w:r w:rsidR="00AD25AD" w:rsidRPr="00047D3F">
        <w:rPr>
          <w:sz w:val="20"/>
        </w:rPr>
        <w:t xml:space="preserve">otro informe de fondo de la Comisión emitido en </w:t>
      </w:r>
      <w:r w:rsidRPr="00047D3F">
        <w:rPr>
          <w:sz w:val="20"/>
        </w:rPr>
        <w:t>1988</w:t>
      </w:r>
      <w:r w:rsidR="0019488C" w:rsidRPr="00047D3F">
        <w:rPr>
          <w:rStyle w:val="FootnoteReference"/>
          <w:sz w:val="20"/>
        </w:rPr>
        <w:footnoteReference w:id="10"/>
      </w:r>
      <w:r w:rsidRPr="00047D3F">
        <w:rPr>
          <w:sz w:val="20"/>
        </w:rPr>
        <w:t xml:space="preserve">. </w:t>
      </w:r>
      <w:r w:rsidR="0019488C" w:rsidRPr="00047D3F">
        <w:rPr>
          <w:sz w:val="20"/>
        </w:rPr>
        <w:t xml:space="preserve">La Comisión observa que ambos casos se refieren </w:t>
      </w:r>
      <w:r w:rsidR="0019488C" w:rsidRPr="00047D3F">
        <w:rPr>
          <w:sz w:val="20"/>
        </w:rPr>
        <w:lastRenderedPageBreak/>
        <w:t>solamente a la desaparición forzada pero no abarcan hechos posteriores alegados en ambas peticiones</w:t>
      </w:r>
      <w:r w:rsidR="00415E1A" w:rsidRPr="00047D3F">
        <w:rPr>
          <w:sz w:val="20"/>
        </w:rPr>
        <w:t xml:space="preserve"> vinculados a la presunta denegación de justicia, tales como </w:t>
      </w:r>
      <w:r w:rsidR="00AC26FD" w:rsidRPr="00047D3F">
        <w:rPr>
          <w:sz w:val="20"/>
        </w:rPr>
        <w:t>la dilación del proceso judicial iniciado en el 2002. P</w:t>
      </w:r>
      <w:r w:rsidRPr="00047D3F">
        <w:rPr>
          <w:sz w:val="20"/>
        </w:rPr>
        <w:t>or lo tanto</w:t>
      </w:r>
      <w:r w:rsidR="00AC26FD" w:rsidRPr="00047D3F">
        <w:rPr>
          <w:sz w:val="20"/>
        </w:rPr>
        <w:t>,</w:t>
      </w:r>
      <w:r w:rsidRPr="00047D3F">
        <w:rPr>
          <w:sz w:val="20"/>
        </w:rPr>
        <w:t xml:space="preserve"> </w:t>
      </w:r>
      <w:r w:rsidR="00AC26FD" w:rsidRPr="00047D3F">
        <w:rPr>
          <w:sz w:val="20"/>
        </w:rPr>
        <w:t xml:space="preserve">en cuanto a ambas presuntas víctimas, </w:t>
      </w:r>
      <w:r w:rsidRPr="00047D3F">
        <w:rPr>
          <w:sz w:val="20"/>
        </w:rPr>
        <w:t>en la etapa de fondo del presente caso la Comisión evaluar</w:t>
      </w:r>
      <w:r w:rsidR="00A27CF8" w:rsidRPr="00047D3F">
        <w:rPr>
          <w:sz w:val="20"/>
        </w:rPr>
        <w:t>á todos aquellos alegatos sobre los que no se ha pronunciado ya en los citados informes.</w:t>
      </w:r>
      <w:r w:rsidRPr="00047D3F">
        <w:rPr>
          <w:sz w:val="20"/>
        </w:rPr>
        <w:t xml:space="preserve"> </w:t>
      </w:r>
      <w:r w:rsidR="0019488C" w:rsidRPr="00047D3F">
        <w:rPr>
          <w:sz w:val="20"/>
        </w:rPr>
        <w:t xml:space="preserve"> </w:t>
      </w:r>
    </w:p>
    <w:p w:rsidR="003239B8" w:rsidRPr="00047D3F" w:rsidRDefault="003239B8" w:rsidP="003239B8">
      <w:pPr>
        <w:pStyle w:val="ListParagraph"/>
        <w:spacing w:before="240" w:after="240"/>
        <w:jc w:val="both"/>
        <w:rPr>
          <w:rFonts w:asciiTheme="majorHAnsi" w:hAnsiTheme="majorHAnsi"/>
          <w:b/>
          <w:sz w:val="20"/>
          <w:szCs w:val="20"/>
          <w:lang w:val="es-ES"/>
        </w:rPr>
      </w:pPr>
      <w:r w:rsidRPr="00047D3F">
        <w:rPr>
          <w:rFonts w:asciiTheme="majorHAnsi" w:hAnsiTheme="majorHAnsi"/>
          <w:b/>
          <w:bCs/>
          <w:sz w:val="20"/>
          <w:szCs w:val="20"/>
          <w:lang w:val="es-ES"/>
        </w:rPr>
        <w:t>VII.</w:t>
      </w:r>
      <w:r w:rsidRPr="00047D3F">
        <w:rPr>
          <w:rFonts w:asciiTheme="majorHAnsi" w:hAnsiTheme="majorHAnsi"/>
          <w:b/>
          <w:bCs/>
          <w:sz w:val="20"/>
          <w:szCs w:val="20"/>
          <w:lang w:val="es-ES"/>
        </w:rPr>
        <w:tab/>
      </w:r>
      <w:r w:rsidR="00C21FEF" w:rsidRPr="00047D3F">
        <w:rPr>
          <w:rFonts w:asciiTheme="majorHAnsi" w:hAnsiTheme="majorHAnsi"/>
          <w:b/>
          <w:bCs/>
          <w:sz w:val="20"/>
          <w:szCs w:val="20"/>
          <w:lang w:val="es-ES"/>
        </w:rPr>
        <w:t xml:space="preserve">CARACTERIZACIÓN </w:t>
      </w:r>
      <w:r w:rsidR="00C21FEF" w:rsidRPr="00047D3F">
        <w:rPr>
          <w:rFonts w:asciiTheme="majorHAnsi" w:hAnsiTheme="majorHAnsi"/>
          <w:b/>
          <w:bCs/>
          <w:sz w:val="20"/>
          <w:szCs w:val="20"/>
          <w:lang w:val="es-UY"/>
        </w:rPr>
        <w:t>DE LOS HECHOS ALEGADOS</w:t>
      </w:r>
    </w:p>
    <w:p w:rsidR="00A11E44" w:rsidRPr="00047D3F" w:rsidRDefault="008252AC"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sz w:val="20"/>
        </w:rPr>
        <w:t>En vista de los elementos de hecho y de derecho expuestos por los peticionarios, y la naturaleza del asunto puesto bajo su conocimiento</w:t>
      </w:r>
      <w:r w:rsidR="00834D3C" w:rsidRPr="00047D3F">
        <w:rPr>
          <w:rStyle w:val="FootnoteReference"/>
          <w:sz w:val="20"/>
        </w:rPr>
        <w:footnoteReference w:id="11"/>
      </w:r>
      <w:r w:rsidRPr="00047D3F">
        <w:rPr>
          <w:sz w:val="20"/>
        </w:rPr>
        <w:t xml:space="preserve">, la Comisión considera que los </w:t>
      </w:r>
      <w:r w:rsidR="00A27CF8" w:rsidRPr="00047D3F">
        <w:rPr>
          <w:sz w:val="20"/>
        </w:rPr>
        <w:t>hechos denunciados</w:t>
      </w:r>
      <w:r w:rsidR="00274835" w:rsidRPr="00047D3F">
        <w:rPr>
          <w:sz w:val="20"/>
        </w:rPr>
        <w:t xml:space="preserve"> podrían caracterizar </w:t>
      </w:r>
      <w:r w:rsidR="00A27CF8" w:rsidRPr="00047D3F">
        <w:rPr>
          <w:sz w:val="20"/>
        </w:rPr>
        <w:t>violaciones a los derechos consagrados</w:t>
      </w:r>
      <w:r w:rsidR="00A27CF8" w:rsidRPr="00047D3F">
        <w:rPr>
          <w:i/>
          <w:sz w:val="20"/>
        </w:rPr>
        <w:t xml:space="preserve"> </w:t>
      </w:r>
      <w:r w:rsidR="00A27CF8" w:rsidRPr="00047D3F">
        <w:rPr>
          <w:sz w:val="20"/>
        </w:rPr>
        <w:t>en</w:t>
      </w:r>
      <w:r w:rsidR="00274835" w:rsidRPr="00047D3F">
        <w:rPr>
          <w:sz w:val="20"/>
        </w:rPr>
        <w:t xml:space="preserve"> los artículos</w:t>
      </w:r>
      <w:r w:rsidR="00834D3C" w:rsidRPr="00047D3F">
        <w:rPr>
          <w:b/>
          <w:sz w:val="20"/>
        </w:rPr>
        <w:t xml:space="preserve"> </w:t>
      </w:r>
      <w:r w:rsidR="00834D3C" w:rsidRPr="00047D3F">
        <w:rPr>
          <w:sz w:val="20"/>
        </w:rPr>
        <w:t>3 (</w:t>
      </w:r>
      <w:r w:rsidR="003430D7" w:rsidRPr="00047D3F">
        <w:rPr>
          <w:sz w:val="20"/>
        </w:rPr>
        <w:t>derecho al reconocimiento de la personalidad jurídica</w:t>
      </w:r>
      <w:r w:rsidR="00834D3C" w:rsidRPr="00047D3F">
        <w:rPr>
          <w:sz w:val="20"/>
        </w:rPr>
        <w:t>)</w:t>
      </w:r>
      <w:r w:rsidR="003430D7" w:rsidRPr="00047D3F">
        <w:rPr>
          <w:sz w:val="20"/>
        </w:rPr>
        <w:t>,</w:t>
      </w:r>
      <w:r w:rsidR="00274835" w:rsidRPr="00047D3F">
        <w:rPr>
          <w:sz w:val="20"/>
        </w:rPr>
        <w:t xml:space="preserve"> </w:t>
      </w:r>
      <w:r w:rsidR="00274835" w:rsidRPr="00047D3F">
        <w:rPr>
          <w:bCs/>
          <w:sz w:val="20"/>
          <w:lang w:val="es-MX"/>
        </w:rPr>
        <w:t>4 (</w:t>
      </w:r>
      <w:r w:rsidR="00B84949" w:rsidRPr="00047D3F">
        <w:rPr>
          <w:bCs/>
          <w:sz w:val="20"/>
          <w:lang w:val="es-MX"/>
        </w:rPr>
        <w:t xml:space="preserve">derecho a la </w:t>
      </w:r>
      <w:r w:rsidR="00274835" w:rsidRPr="00047D3F">
        <w:rPr>
          <w:bCs/>
          <w:sz w:val="20"/>
          <w:lang w:val="es-MX"/>
        </w:rPr>
        <w:t>vida), 5 (</w:t>
      </w:r>
      <w:r w:rsidR="00B84949" w:rsidRPr="00047D3F">
        <w:rPr>
          <w:bCs/>
          <w:sz w:val="20"/>
          <w:lang w:val="es-MX"/>
        </w:rPr>
        <w:t xml:space="preserve">derecho a la </w:t>
      </w:r>
      <w:r w:rsidR="00274835" w:rsidRPr="00047D3F">
        <w:rPr>
          <w:bCs/>
          <w:sz w:val="20"/>
          <w:lang w:val="es-MX"/>
        </w:rPr>
        <w:t>integridad personal), 7 (</w:t>
      </w:r>
      <w:r w:rsidR="00B84949" w:rsidRPr="00047D3F">
        <w:rPr>
          <w:bCs/>
          <w:sz w:val="20"/>
          <w:lang w:val="es-MX"/>
        </w:rPr>
        <w:t xml:space="preserve">derecho a la </w:t>
      </w:r>
      <w:r w:rsidR="003430D7" w:rsidRPr="00047D3F">
        <w:rPr>
          <w:bCs/>
          <w:sz w:val="20"/>
          <w:lang w:val="es-MX"/>
        </w:rPr>
        <w:t>libertad personal)</w:t>
      </w:r>
      <w:r w:rsidR="00A27CF8" w:rsidRPr="00047D3F">
        <w:rPr>
          <w:bCs/>
          <w:sz w:val="20"/>
          <w:lang w:val="es-MX"/>
        </w:rPr>
        <w:t>,</w:t>
      </w:r>
      <w:r w:rsidR="00274835" w:rsidRPr="00047D3F">
        <w:rPr>
          <w:bCs/>
          <w:sz w:val="20"/>
          <w:lang w:val="es-MX"/>
        </w:rPr>
        <w:t xml:space="preserve"> 8 (garantías judiciales)</w:t>
      </w:r>
      <w:r w:rsidR="00704C92" w:rsidRPr="00047D3F">
        <w:rPr>
          <w:bCs/>
          <w:sz w:val="20"/>
          <w:lang w:val="es-MX"/>
        </w:rPr>
        <w:t xml:space="preserve"> </w:t>
      </w:r>
      <w:r w:rsidR="00A27CF8" w:rsidRPr="00047D3F">
        <w:rPr>
          <w:bCs/>
          <w:sz w:val="20"/>
          <w:lang w:val="es-MX"/>
        </w:rPr>
        <w:t xml:space="preserve">y 25 (protección judicial) </w:t>
      </w:r>
      <w:r w:rsidR="00704C92" w:rsidRPr="00047D3F">
        <w:rPr>
          <w:bCs/>
          <w:sz w:val="20"/>
          <w:lang w:val="es-MX"/>
        </w:rPr>
        <w:t>de la Convención Americana</w:t>
      </w:r>
      <w:r w:rsidR="009741D3" w:rsidRPr="00047D3F">
        <w:rPr>
          <w:bCs/>
          <w:sz w:val="20"/>
          <w:lang w:val="es-MX"/>
        </w:rPr>
        <w:t xml:space="preserve"> en perjuicio de las presuntas víctimas</w:t>
      </w:r>
      <w:r w:rsidR="00415E1A" w:rsidRPr="00047D3F">
        <w:rPr>
          <w:bCs/>
          <w:sz w:val="20"/>
          <w:lang w:val="es-MX"/>
        </w:rPr>
        <w:t xml:space="preserve"> y de acuerdo a lo señalado en la sección anterior</w:t>
      </w:r>
      <w:r w:rsidR="005D70DB" w:rsidRPr="00047D3F">
        <w:rPr>
          <w:bCs/>
          <w:sz w:val="20"/>
          <w:lang w:val="es-MX"/>
        </w:rPr>
        <w:t xml:space="preserve">. Así como la violación del artículo 19 (derechos del niño) en perjuicio de </w:t>
      </w:r>
      <w:r w:rsidR="005D70DB" w:rsidRPr="00047D3F">
        <w:rPr>
          <w:sz w:val="20"/>
          <w:lang w:val="es-MX"/>
        </w:rPr>
        <w:t>Yuri Agama Anaya y Alejandro Gutiérrez Taype</w:t>
      </w:r>
      <w:r w:rsidR="00A27CF8" w:rsidRPr="00047D3F">
        <w:rPr>
          <w:bCs/>
          <w:sz w:val="20"/>
          <w:lang w:val="es-MX"/>
        </w:rPr>
        <w:t>.</w:t>
      </w:r>
      <w:r w:rsidR="00BD165A" w:rsidRPr="00047D3F">
        <w:rPr>
          <w:bCs/>
          <w:sz w:val="20"/>
          <w:lang w:val="es-MX"/>
        </w:rPr>
        <w:t xml:space="preserve"> As</w:t>
      </w:r>
      <w:r w:rsidR="00876FB8" w:rsidRPr="00047D3F">
        <w:rPr>
          <w:bCs/>
          <w:sz w:val="20"/>
          <w:lang w:val="es-MX"/>
        </w:rPr>
        <w:t xml:space="preserve">imismo, de probarse, los hechos denunciados podrían caracterizar violaciones a los derechos consagrados en </w:t>
      </w:r>
      <w:r w:rsidR="00BD165A" w:rsidRPr="00047D3F">
        <w:rPr>
          <w:bCs/>
          <w:sz w:val="20"/>
          <w:lang w:val="es-MX"/>
        </w:rPr>
        <w:t>los artículos 5, 8 y 25 en perjuicio de Rosa Luz Pallqui Medina, Juan Macedonio Barboza Paredes, Asunta Medina Huaman y Juana López de Orejón, y de aquellos otros familiares de las presuntas víctimas que sean individualizados en la etapa de fondo de la presente petición</w:t>
      </w:r>
      <w:r w:rsidR="00904269" w:rsidRPr="00047D3F">
        <w:rPr>
          <w:bCs/>
          <w:sz w:val="20"/>
          <w:lang w:val="es-MX"/>
        </w:rPr>
        <w:t>.</w:t>
      </w:r>
      <w:r w:rsidR="00677B48" w:rsidRPr="00047D3F">
        <w:rPr>
          <w:bCs/>
          <w:sz w:val="20"/>
          <w:lang w:val="es-MX"/>
        </w:rPr>
        <w:t xml:space="preserve"> Todo lo anterior en relación con las obligaciones generales establecidas en los artículos 1.1 y 2 de la Convención Americana.</w:t>
      </w:r>
    </w:p>
    <w:p w:rsidR="00904269" w:rsidRPr="00047D3F" w:rsidRDefault="00904269" w:rsidP="00596C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bCs/>
          <w:sz w:val="20"/>
        </w:rPr>
        <w:t xml:space="preserve">Asimismo, </w:t>
      </w:r>
      <w:r w:rsidR="005F4460" w:rsidRPr="00047D3F">
        <w:rPr>
          <w:bCs/>
          <w:sz w:val="20"/>
        </w:rPr>
        <w:t>la Comisión considera admisible la presente petición respecto de</w:t>
      </w:r>
      <w:r w:rsidR="00EE7E10" w:rsidRPr="00047D3F">
        <w:rPr>
          <w:bCs/>
          <w:sz w:val="20"/>
        </w:rPr>
        <w:t xml:space="preserve"> </w:t>
      </w:r>
      <w:r w:rsidR="005F4460" w:rsidRPr="00047D3F">
        <w:rPr>
          <w:bCs/>
          <w:sz w:val="20"/>
        </w:rPr>
        <w:t>l</w:t>
      </w:r>
      <w:r w:rsidR="00EE7E10" w:rsidRPr="00047D3F">
        <w:rPr>
          <w:bCs/>
          <w:sz w:val="20"/>
        </w:rPr>
        <w:t>os</w:t>
      </w:r>
      <w:r w:rsidR="005F4460" w:rsidRPr="00047D3F">
        <w:rPr>
          <w:bCs/>
          <w:sz w:val="20"/>
        </w:rPr>
        <w:t xml:space="preserve"> artículo</w:t>
      </w:r>
      <w:r w:rsidR="00EE7E10" w:rsidRPr="00047D3F">
        <w:rPr>
          <w:bCs/>
          <w:sz w:val="20"/>
        </w:rPr>
        <w:t>s</w:t>
      </w:r>
      <w:r w:rsidR="005F4460" w:rsidRPr="00047D3F">
        <w:rPr>
          <w:bCs/>
          <w:sz w:val="20"/>
        </w:rPr>
        <w:t xml:space="preserve"> I </w:t>
      </w:r>
      <w:r w:rsidR="00EE7E10" w:rsidRPr="00047D3F">
        <w:rPr>
          <w:bCs/>
          <w:sz w:val="20"/>
        </w:rPr>
        <w:t xml:space="preserve">y III </w:t>
      </w:r>
      <w:r w:rsidR="005F4460" w:rsidRPr="00047D3F">
        <w:rPr>
          <w:bCs/>
          <w:sz w:val="20"/>
        </w:rPr>
        <w:t xml:space="preserve">de la </w:t>
      </w:r>
      <w:r w:rsidRPr="00047D3F">
        <w:rPr>
          <w:bCs/>
          <w:sz w:val="20"/>
        </w:rPr>
        <w:t>Convención Interamericana sobre Desaparición Forzada de Personas, cuyo instrumento de ratificación fue depositado por Perú el 13 de febrero de 2002.</w:t>
      </w:r>
      <w:r w:rsidR="00EE7E10" w:rsidRPr="00047D3F">
        <w:rPr>
          <w:bCs/>
          <w:sz w:val="20"/>
        </w:rPr>
        <w:t xml:space="preserve"> En la etapa de fondo del presente caso, la Comisión an</w:t>
      </w:r>
      <w:r w:rsidR="00596CE5" w:rsidRPr="00047D3F">
        <w:rPr>
          <w:bCs/>
          <w:sz w:val="20"/>
        </w:rPr>
        <w:t xml:space="preserve">alizará la  compatibilidad de la legislación penal vigente relativa al delito de desaparición forzada con el estándar fijado por la  Convención Interamericana sobre Desaparición Forzada de Personas. </w:t>
      </w:r>
    </w:p>
    <w:p w:rsidR="003239B8" w:rsidRPr="00047D3F" w:rsidRDefault="003239B8" w:rsidP="003239B8">
      <w:pPr>
        <w:pStyle w:val="ListParagraph"/>
        <w:spacing w:before="240" w:after="240"/>
        <w:jc w:val="both"/>
        <w:rPr>
          <w:rFonts w:asciiTheme="majorHAnsi" w:hAnsiTheme="majorHAnsi"/>
          <w:b/>
          <w:bCs/>
          <w:sz w:val="20"/>
          <w:szCs w:val="20"/>
          <w:lang w:val="es-ES"/>
        </w:rPr>
      </w:pPr>
      <w:r w:rsidRPr="00047D3F">
        <w:rPr>
          <w:rFonts w:asciiTheme="majorHAnsi" w:hAnsiTheme="majorHAnsi"/>
          <w:b/>
          <w:bCs/>
          <w:sz w:val="20"/>
          <w:szCs w:val="20"/>
          <w:lang w:val="es-ES"/>
        </w:rPr>
        <w:t xml:space="preserve">VIII. </w:t>
      </w:r>
      <w:r w:rsidRPr="00047D3F">
        <w:rPr>
          <w:rFonts w:asciiTheme="majorHAnsi" w:hAnsiTheme="majorHAnsi"/>
          <w:b/>
          <w:bCs/>
          <w:sz w:val="20"/>
          <w:szCs w:val="20"/>
          <w:lang w:val="es-ES"/>
        </w:rPr>
        <w:tab/>
        <w:t>DECISIÓN</w:t>
      </w:r>
    </w:p>
    <w:p w:rsidR="003239B8" w:rsidRPr="00047D3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rFonts w:asciiTheme="majorHAnsi" w:hAnsiTheme="majorHAnsi"/>
          <w:sz w:val="20"/>
        </w:rPr>
        <w:t xml:space="preserve">Declarar admisible la presente petición en relación con </w:t>
      </w:r>
      <w:r w:rsidR="00EE7D71" w:rsidRPr="00047D3F">
        <w:rPr>
          <w:rFonts w:asciiTheme="majorHAnsi" w:hAnsiTheme="majorHAnsi"/>
          <w:sz w:val="20"/>
        </w:rPr>
        <w:t xml:space="preserve">los artículos </w:t>
      </w:r>
      <w:r w:rsidR="00EE7E10" w:rsidRPr="00047D3F">
        <w:rPr>
          <w:rFonts w:asciiTheme="majorHAnsi" w:hAnsiTheme="majorHAnsi"/>
          <w:sz w:val="20"/>
        </w:rPr>
        <w:t xml:space="preserve">2, </w:t>
      </w:r>
      <w:r w:rsidR="00834D3C" w:rsidRPr="00047D3F">
        <w:rPr>
          <w:rFonts w:asciiTheme="majorHAnsi" w:hAnsiTheme="majorHAnsi"/>
          <w:sz w:val="20"/>
        </w:rPr>
        <w:t xml:space="preserve">3, </w:t>
      </w:r>
      <w:r w:rsidR="004C75F8" w:rsidRPr="00047D3F">
        <w:rPr>
          <w:rFonts w:asciiTheme="majorHAnsi" w:hAnsiTheme="majorHAnsi"/>
          <w:sz w:val="20"/>
        </w:rPr>
        <w:t>4, 5, 7, 8</w:t>
      </w:r>
      <w:r w:rsidR="007C439F" w:rsidRPr="00047D3F">
        <w:rPr>
          <w:rFonts w:asciiTheme="majorHAnsi" w:hAnsiTheme="majorHAnsi"/>
          <w:sz w:val="20"/>
        </w:rPr>
        <w:t>, 19</w:t>
      </w:r>
      <w:r w:rsidR="004C75F8" w:rsidRPr="00047D3F">
        <w:rPr>
          <w:rFonts w:asciiTheme="majorHAnsi" w:hAnsiTheme="majorHAnsi"/>
          <w:sz w:val="20"/>
        </w:rPr>
        <w:t xml:space="preserve"> y 25 de la Convención Americana, en relación al artículo 1.1 del mismo instrumento</w:t>
      </w:r>
      <w:r w:rsidR="00A758AA" w:rsidRPr="00047D3F">
        <w:rPr>
          <w:rFonts w:asciiTheme="majorHAnsi" w:hAnsiTheme="majorHAnsi"/>
          <w:sz w:val="20"/>
        </w:rPr>
        <w:t>;</w:t>
      </w:r>
    </w:p>
    <w:p w:rsidR="005F4460" w:rsidRPr="00047D3F" w:rsidRDefault="005F4460"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rFonts w:asciiTheme="majorHAnsi" w:hAnsiTheme="majorHAnsi"/>
          <w:sz w:val="20"/>
        </w:rPr>
        <w:t xml:space="preserve">Declarar admisible la petición en relación con </w:t>
      </w:r>
      <w:r w:rsidR="00EE7E10" w:rsidRPr="00047D3F">
        <w:rPr>
          <w:rFonts w:asciiTheme="majorHAnsi" w:hAnsiTheme="majorHAnsi"/>
          <w:sz w:val="20"/>
        </w:rPr>
        <w:t>los</w:t>
      </w:r>
      <w:r w:rsidRPr="00047D3F">
        <w:rPr>
          <w:rFonts w:asciiTheme="majorHAnsi" w:hAnsiTheme="majorHAnsi"/>
          <w:sz w:val="20"/>
        </w:rPr>
        <w:t xml:space="preserve"> artículo</w:t>
      </w:r>
      <w:r w:rsidR="00EE7E10" w:rsidRPr="00047D3F">
        <w:rPr>
          <w:rFonts w:asciiTheme="majorHAnsi" w:hAnsiTheme="majorHAnsi"/>
          <w:sz w:val="20"/>
        </w:rPr>
        <w:t>s</w:t>
      </w:r>
      <w:r w:rsidRPr="00047D3F">
        <w:rPr>
          <w:rFonts w:asciiTheme="majorHAnsi" w:hAnsiTheme="majorHAnsi"/>
          <w:sz w:val="20"/>
        </w:rPr>
        <w:t xml:space="preserve"> </w:t>
      </w:r>
      <w:r w:rsidRPr="00047D3F">
        <w:rPr>
          <w:bCs/>
          <w:sz w:val="20"/>
          <w:lang w:val="es-MX"/>
        </w:rPr>
        <w:t>I</w:t>
      </w:r>
      <w:r w:rsidR="00EE7E10" w:rsidRPr="00047D3F">
        <w:rPr>
          <w:bCs/>
          <w:sz w:val="20"/>
          <w:lang w:val="es-MX"/>
        </w:rPr>
        <w:t xml:space="preserve"> y III</w:t>
      </w:r>
      <w:r w:rsidRPr="00047D3F">
        <w:rPr>
          <w:bCs/>
          <w:sz w:val="20"/>
          <w:lang w:val="es-MX"/>
        </w:rPr>
        <w:t xml:space="preserve"> de la Convención Interamericana sobre Desaparición Forzada de Personas</w:t>
      </w:r>
      <w:r w:rsidR="004721BC">
        <w:rPr>
          <w:bCs/>
          <w:sz w:val="20"/>
          <w:lang w:val="es-MX"/>
        </w:rPr>
        <w:t>;</w:t>
      </w:r>
    </w:p>
    <w:p w:rsidR="00047D3F" w:rsidRPr="00047D3F" w:rsidRDefault="000419AD"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rFonts w:cs="Times New Roman"/>
          <w:color w:val="auto"/>
          <w:sz w:val="20"/>
          <w:lang w:eastAsia="en-US"/>
        </w:rPr>
        <w:t>Declarar inadmisible la presente petición en relación con</w:t>
      </w:r>
      <w:r w:rsidR="00182EFB" w:rsidRPr="00047D3F">
        <w:rPr>
          <w:rFonts w:cs="Times New Roman"/>
          <w:color w:val="auto"/>
          <w:sz w:val="20"/>
          <w:lang w:eastAsia="en-US"/>
        </w:rPr>
        <w:t xml:space="preserve"> </w:t>
      </w:r>
      <w:r w:rsidR="004C75F8" w:rsidRPr="00047D3F">
        <w:rPr>
          <w:rFonts w:cs="Times New Roman"/>
          <w:color w:val="auto"/>
          <w:sz w:val="20"/>
          <w:lang w:eastAsia="en-US"/>
        </w:rPr>
        <w:t xml:space="preserve">Rigoberto Tenorio </w:t>
      </w:r>
      <w:r w:rsidR="00741129">
        <w:rPr>
          <w:rFonts w:cs="Times New Roman"/>
          <w:color w:val="auto"/>
          <w:sz w:val="20"/>
          <w:lang w:eastAsia="en-US"/>
        </w:rPr>
        <w:t>Roca,</w:t>
      </w:r>
      <w:r w:rsidR="00182EFB" w:rsidRPr="00047D3F">
        <w:rPr>
          <w:rFonts w:cs="Times New Roman"/>
          <w:color w:val="auto"/>
          <w:sz w:val="20"/>
          <w:lang w:eastAsia="en-US"/>
        </w:rPr>
        <w:t xml:space="preserve"> </w:t>
      </w:r>
      <w:r w:rsidR="00CD2E19" w:rsidRPr="00047D3F">
        <w:rPr>
          <w:rFonts w:cs="Times New Roman"/>
          <w:color w:val="auto"/>
          <w:sz w:val="20"/>
          <w:lang w:eastAsia="en-US"/>
        </w:rPr>
        <w:t xml:space="preserve">y </w:t>
      </w:r>
      <w:r w:rsidR="00741129">
        <w:rPr>
          <w:rFonts w:cs="Times New Roman"/>
          <w:color w:val="auto"/>
          <w:sz w:val="20"/>
          <w:lang w:eastAsia="en-US"/>
        </w:rPr>
        <w:t xml:space="preserve">respecto de </w:t>
      </w:r>
      <w:r w:rsidR="00CD2E19" w:rsidRPr="00047D3F">
        <w:rPr>
          <w:rFonts w:cs="Times New Roman"/>
          <w:color w:val="auto"/>
          <w:sz w:val="20"/>
          <w:lang w:eastAsia="en-US"/>
        </w:rPr>
        <w:t>Jaime Boris</w:t>
      </w:r>
      <w:r w:rsidR="005F4460" w:rsidRPr="00047D3F">
        <w:rPr>
          <w:rFonts w:cs="Times New Roman"/>
          <w:color w:val="auto"/>
          <w:sz w:val="20"/>
          <w:lang w:eastAsia="en-US"/>
        </w:rPr>
        <w:t xml:space="preserve"> Ayala Sulca </w:t>
      </w:r>
      <w:r w:rsidR="00CD2E19" w:rsidRPr="00047D3F">
        <w:rPr>
          <w:rFonts w:cs="Times New Roman"/>
          <w:color w:val="auto"/>
          <w:sz w:val="20"/>
          <w:lang w:eastAsia="en-US"/>
        </w:rPr>
        <w:t xml:space="preserve">y Nemesio Fernández López </w:t>
      </w:r>
      <w:r w:rsidR="005F4460" w:rsidRPr="00047D3F">
        <w:rPr>
          <w:rFonts w:cs="Times New Roman"/>
          <w:color w:val="auto"/>
          <w:sz w:val="20"/>
          <w:lang w:eastAsia="en-US"/>
        </w:rPr>
        <w:t xml:space="preserve">con </w:t>
      </w:r>
      <w:r w:rsidR="00741129">
        <w:rPr>
          <w:rFonts w:cs="Times New Roman"/>
          <w:color w:val="auto"/>
          <w:sz w:val="20"/>
          <w:lang w:eastAsia="en-US"/>
        </w:rPr>
        <w:t>relación</w:t>
      </w:r>
      <w:r w:rsidR="005F4460" w:rsidRPr="00047D3F">
        <w:rPr>
          <w:rFonts w:cs="Times New Roman"/>
          <w:color w:val="auto"/>
          <w:sz w:val="20"/>
          <w:lang w:eastAsia="en-US"/>
        </w:rPr>
        <w:t xml:space="preserve"> de </w:t>
      </w:r>
      <w:r w:rsidR="00047D3F" w:rsidRPr="00047D3F">
        <w:rPr>
          <w:rFonts w:cs="Times New Roman"/>
          <w:color w:val="auto"/>
          <w:sz w:val="20"/>
          <w:lang w:eastAsia="en-US"/>
        </w:rPr>
        <w:t>aquellos</w:t>
      </w:r>
      <w:r w:rsidR="005F4460" w:rsidRPr="00047D3F">
        <w:rPr>
          <w:rFonts w:cs="Times New Roman"/>
          <w:color w:val="auto"/>
          <w:sz w:val="20"/>
          <w:lang w:eastAsia="en-US"/>
        </w:rPr>
        <w:t xml:space="preserve"> hechos ya establecidos</w:t>
      </w:r>
      <w:r w:rsidR="00741129">
        <w:rPr>
          <w:rFonts w:cs="Times New Roman"/>
          <w:color w:val="auto"/>
          <w:sz w:val="20"/>
          <w:lang w:eastAsia="en-US"/>
        </w:rPr>
        <w:t xml:space="preserve"> y analizados</w:t>
      </w:r>
      <w:r w:rsidR="005F4460" w:rsidRPr="00047D3F">
        <w:rPr>
          <w:rFonts w:cs="Times New Roman"/>
          <w:color w:val="auto"/>
          <w:sz w:val="20"/>
          <w:lang w:eastAsia="en-US"/>
        </w:rPr>
        <w:t xml:space="preserve"> por la CIDH en los referidos informes de fondo de los que son parte;</w:t>
      </w:r>
    </w:p>
    <w:p w:rsidR="003239B8" w:rsidRPr="00047D3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rFonts w:asciiTheme="majorHAnsi" w:hAnsiTheme="majorHAnsi"/>
          <w:sz w:val="20"/>
        </w:rPr>
        <w:t>Notificar a las partes la presente decisión;</w:t>
      </w:r>
    </w:p>
    <w:p w:rsidR="003239B8" w:rsidRPr="00047D3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rFonts w:asciiTheme="majorHAnsi" w:hAnsiTheme="majorHAnsi"/>
          <w:sz w:val="20"/>
        </w:rPr>
        <w:t>Continuar con el análisis del fondo de la cuestión; y</w:t>
      </w:r>
    </w:p>
    <w:p w:rsidR="000345AF" w:rsidRPr="00DC0AA1" w:rsidRDefault="003239B8" w:rsidP="00047D3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r w:rsidRPr="00047D3F">
        <w:rPr>
          <w:rFonts w:asciiTheme="majorHAnsi" w:hAnsiTheme="majorHAnsi"/>
          <w:sz w:val="20"/>
        </w:rPr>
        <w:t>Publicar esta decisión e incluirla en su Informe Anual a la Asamblea General de la Organiz</w:t>
      </w:r>
      <w:r w:rsidR="00047D3F">
        <w:rPr>
          <w:rFonts w:asciiTheme="majorHAnsi" w:hAnsiTheme="majorHAnsi"/>
          <w:sz w:val="20"/>
        </w:rPr>
        <w:t>ación de los Estados Americanos.</w:t>
      </w:r>
    </w:p>
    <w:p w:rsidR="00DC0AA1" w:rsidRPr="00DC0AA1" w:rsidRDefault="00DC0AA1" w:rsidP="00DC0AA1">
      <w:pPr>
        <w:ind w:firstLine="720"/>
        <w:jc w:val="both"/>
        <w:rPr>
          <w:rFonts w:asciiTheme="majorHAnsi" w:hAnsiTheme="majorHAnsi" w:cs="Arial"/>
          <w:noProof/>
          <w:color w:val="auto"/>
          <w:spacing w:val="-2"/>
          <w:sz w:val="20"/>
          <w:lang w:val="es-CL" w:eastAsia="en-US"/>
        </w:rPr>
      </w:pPr>
      <w:r w:rsidRPr="00DC0AA1">
        <w:rPr>
          <w:rFonts w:asciiTheme="majorHAnsi" w:hAnsiTheme="majorHAnsi" w:cs="Arial"/>
          <w:noProof/>
          <w:color w:val="auto"/>
          <w:spacing w:val="-2"/>
          <w:sz w:val="20"/>
          <w:lang w:val="es-CL" w:eastAsia="en-US"/>
        </w:rPr>
        <w:t xml:space="preserve">Aprobado por la Comisión Interamericana de Derechos Humanos en la ciudad de México, a los 7 días del mes de septiembre de 2017.  (Firmado): Margarette May Macaulay, Primera Vicepresidenta; Esmeralda E. </w:t>
      </w:r>
      <w:r w:rsidRPr="00DC0AA1">
        <w:rPr>
          <w:rFonts w:asciiTheme="majorHAnsi" w:hAnsiTheme="majorHAnsi" w:cs="Arial"/>
          <w:noProof/>
          <w:color w:val="auto"/>
          <w:spacing w:val="-2"/>
          <w:sz w:val="20"/>
          <w:lang w:val="es-CL" w:eastAsia="en-US"/>
        </w:rPr>
        <w:lastRenderedPageBreak/>
        <w:t>Arosemena Bernal de Troitiño, Segunda Vicepresidenta; José de Jesús Orozco Henríquez, Paulo Vannuchi, James L. Cavallaro, y Luis Ernesto Vargas Silva, Miembros de la Comisión.</w:t>
      </w:r>
    </w:p>
    <w:p w:rsidR="00DC0AA1" w:rsidRPr="00DC0AA1" w:rsidRDefault="00DC0AA1" w:rsidP="00DC0AA1">
      <w:pPr>
        <w:tabs>
          <w:tab w:val="left" w:pos="2340"/>
        </w:tabs>
        <w:suppressAutoHyphens/>
        <w:ind w:firstLine="720"/>
        <w:jc w:val="both"/>
        <w:rPr>
          <w:rFonts w:asciiTheme="majorHAnsi" w:hAnsiTheme="majorHAnsi" w:cs="Arial"/>
          <w:noProof/>
          <w:color w:val="auto"/>
          <w:spacing w:val="-2"/>
          <w:sz w:val="20"/>
          <w:lang w:val="es-CL" w:eastAsia="en-US"/>
        </w:rPr>
      </w:pPr>
      <w:r w:rsidRPr="00DC0AA1">
        <w:rPr>
          <w:rFonts w:asciiTheme="majorHAnsi" w:hAnsiTheme="majorHAnsi" w:cs="Arial"/>
          <w:noProof/>
          <w:color w:val="auto"/>
          <w:spacing w:val="-2"/>
          <w:sz w:val="20"/>
          <w:lang w:val="es-CL" w:eastAsia="en-US"/>
        </w:rPr>
        <w:tab/>
      </w:r>
    </w:p>
    <w:p w:rsidR="00DC0AA1" w:rsidRPr="00047D3F" w:rsidRDefault="00DC0AA1" w:rsidP="00DC0A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p>
    <w:p w:rsidR="007C00FB" w:rsidRDefault="007C00FB" w:rsidP="000345AF">
      <w:pPr>
        <w:suppressAutoHyphens/>
        <w:jc w:val="center"/>
        <w:rPr>
          <w:b/>
          <w:sz w:val="20"/>
        </w:rPr>
      </w:pPr>
    </w:p>
    <w:p w:rsidR="000345AF" w:rsidRPr="00FC59F9" w:rsidRDefault="000345AF" w:rsidP="000345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rPr>
      </w:pPr>
    </w:p>
    <w:sectPr w:rsidR="000345AF" w:rsidRPr="00FC59F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64" w:rsidRDefault="00545664">
      <w:r>
        <w:separator/>
      </w:r>
    </w:p>
  </w:endnote>
  <w:endnote w:type="continuationSeparator" w:id="0">
    <w:p w:rsidR="00545664" w:rsidRDefault="0054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D0" w:rsidRDefault="00C51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51CD0">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64" w:rsidRPr="000F35ED" w:rsidRDefault="00545664">
      <w:pPr>
        <w:rPr>
          <w:rFonts w:asciiTheme="majorHAnsi" w:hAnsiTheme="majorHAnsi"/>
          <w:szCs w:val="16"/>
        </w:rPr>
      </w:pPr>
      <w:r w:rsidRPr="000F35ED">
        <w:rPr>
          <w:rFonts w:asciiTheme="majorHAnsi" w:hAnsiTheme="majorHAnsi"/>
          <w:szCs w:val="16"/>
        </w:rPr>
        <w:separator/>
      </w:r>
    </w:p>
  </w:footnote>
  <w:footnote w:type="continuationSeparator" w:id="0">
    <w:p w:rsidR="00545664" w:rsidRPr="000F35ED" w:rsidRDefault="00545664" w:rsidP="000F35ED">
      <w:pPr>
        <w:rPr>
          <w:rFonts w:asciiTheme="majorHAnsi" w:hAnsiTheme="majorHAnsi"/>
          <w:szCs w:val="16"/>
        </w:rPr>
      </w:pPr>
      <w:r w:rsidRPr="000F35ED">
        <w:rPr>
          <w:rFonts w:asciiTheme="majorHAnsi" w:hAnsiTheme="majorHAnsi"/>
          <w:szCs w:val="16"/>
        </w:rPr>
        <w:separator/>
      </w:r>
    </w:p>
    <w:p w:rsidR="00545664" w:rsidRPr="000F35ED" w:rsidRDefault="0054566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545664" w:rsidRPr="000F35ED" w:rsidRDefault="00545664" w:rsidP="000F35ED">
      <w:pPr>
        <w:jc w:val="right"/>
        <w:rPr>
          <w:rFonts w:asciiTheme="majorHAnsi" w:hAnsiTheme="majorHAnsi"/>
          <w:szCs w:val="16"/>
        </w:rPr>
      </w:pPr>
      <w:r>
        <w:rPr>
          <w:rFonts w:asciiTheme="majorHAnsi" w:hAnsiTheme="majorHAnsi"/>
          <w:szCs w:val="16"/>
        </w:rPr>
        <w:t>[c</w:t>
      </w:r>
      <w:r w:rsidRPr="000F35ED">
        <w:rPr>
          <w:rFonts w:asciiTheme="majorHAnsi" w:hAnsiTheme="majorHAnsi"/>
          <w:szCs w:val="16"/>
        </w:rPr>
        <w:t>ontinúa…</w:t>
      </w:r>
      <w:r>
        <w:rPr>
          <w:rFonts w:asciiTheme="majorHAnsi" w:hAnsiTheme="majorHAnsi"/>
          <w:szCs w:val="16"/>
        </w:rPr>
        <w:t>]</w:t>
      </w:r>
    </w:p>
  </w:footnote>
  <w:footnote w:id="2">
    <w:p w:rsidR="000337EF" w:rsidRPr="00047D3F" w:rsidRDefault="000337EF" w:rsidP="007D4F23">
      <w:pPr>
        <w:pStyle w:val="FootnoteText"/>
        <w:spacing w:after="120"/>
        <w:ind w:firstLine="720"/>
        <w:jc w:val="both"/>
        <w:rPr>
          <w:rFonts w:ascii="Cambria" w:hAnsi="Cambria"/>
          <w:lang w:val="es-ES"/>
        </w:rPr>
      </w:pPr>
      <w:r w:rsidRPr="00047D3F">
        <w:rPr>
          <w:rStyle w:val="FootnoteReference"/>
          <w:rFonts w:ascii="Cambria" w:hAnsi="Cambria"/>
        </w:rPr>
        <w:footnoteRef/>
      </w:r>
      <w:r w:rsidRPr="00047D3F">
        <w:rPr>
          <w:rFonts w:ascii="Cambria" w:hAnsi="Cambria"/>
          <w:lang w:val="es-ES"/>
        </w:rPr>
        <w:t xml:space="preserve"> </w:t>
      </w:r>
      <w:r w:rsidRPr="00047D3F">
        <w:rPr>
          <w:rFonts w:ascii="Cambria" w:hAnsi="Cambria"/>
          <w:szCs w:val="16"/>
          <w:lang w:val="es-ES"/>
        </w:rPr>
        <w:t>Conforme a lo dispuesto en el artículo 17.2.a del Reglamento de la Comisión, e</w:t>
      </w:r>
      <w:r w:rsidR="004C75F8" w:rsidRPr="00047D3F">
        <w:rPr>
          <w:rFonts w:ascii="Cambria" w:hAnsi="Cambria"/>
          <w:szCs w:val="16"/>
          <w:lang w:val="es-ES"/>
        </w:rPr>
        <w:t>l Comisionado Francisco José Eguiguren Praeli</w:t>
      </w:r>
      <w:r w:rsidRPr="00047D3F">
        <w:rPr>
          <w:rFonts w:ascii="Cambria" w:hAnsi="Cambria"/>
          <w:szCs w:val="16"/>
          <w:lang w:val="es-ES"/>
        </w:rPr>
        <w:t xml:space="preserve">, de nacionalidad </w:t>
      </w:r>
      <w:r w:rsidR="004C75F8" w:rsidRPr="00047D3F">
        <w:rPr>
          <w:rFonts w:ascii="Cambria" w:hAnsi="Cambria"/>
          <w:szCs w:val="16"/>
          <w:lang w:val="es-ES"/>
        </w:rPr>
        <w:t>peruana</w:t>
      </w:r>
      <w:r w:rsidRPr="00047D3F">
        <w:rPr>
          <w:rFonts w:ascii="Cambria" w:hAnsi="Cambria"/>
          <w:szCs w:val="16"/>
          <w:lang w:val="es-ES"/>
        </w:rPr>
        <w:t>, no participó en el debate ni en la decisión del presente asunto.</w:t>
      </w:r>
    </w:p>
  </w:footnote>
  <w:footnote w:id="3">
    <w:p w:rsidR="001D6E44" w:rsidRPr="00047D3F" w:rsidRDefault="001D6E44" w:rsidP="007D4F23">
      <w:pPr>
        <w:pStyle w:val="FootnoteText"/>
        <w:spacing w:after="120"/>
        <w:ind w:firstLine="720"/>
        <w:jc w:val="both"/>
        <w:rPr>
          <w:rFonts w:ascii="Cambria" w:hAnsi="Cambria"/>
          <w:lang w:val="es-MX"/>
        </w:rPr>
      </w:pPr>
      <w:r w:rsidRPr="00047D3F">
        <w:rPr>
          <w:rStyle w:val="FootnoteReference"/>
          <w:rFonts w:ascii="Cambria" w:hAnsi="Cambria"/>
        </w:rPr>
        <w:footnoteRef/>
      </w:r>
      <w:r w:rsidR="00EA285C" w:rsidRPr="00047D3F">
        <w:rPr>
          <w:rFonts w:ascii="Cambria" w:hAnsi="Cambria"/>
          <w:lang w:val="es-MX"/>
        </w:rPr>
        <w:t xml:space="preserve"> Jaime Ayala Sulca, Crista Fernández Hernando, Juan Ramírez Hurtado, Santiago Felipe Loayza Cahuana, Yuri Agama Anaya, César Arana Alcázar, Víctor Venacio Rivas, Gerardo González Guzmán, Teófilo Munárriz Velásquez, Juan Medina Garay, Cirilo Barbosa Sánchez, Alejandro </w:t>
      </w:r>
      <w:r w:rsidR="004721BC" w:rsidRPr="00047D3F">
        <w:rPr>
          <w:rFonts w:ascii="Cambria" w:hAnsi="Cambria"/>
          <w:lang w:val="es-MX"/>
        </w:rPr>
        <w:t>Gutiérrez</w:t>
      </w:r>
      <w:r w:rsidR="00EA285C" w:rsidRPr="00047D3F">
        <w:rPr>
          <w:rFonts w:ascii="Cambria" w:hAnsi="Cambria"/>
          <w:lang w:val="es-MX"/>
        </w:rPr>
        <w:t xml:space="preserve"> Taype, Nemesio Fernández Lapa</w:t>
      </w:r>
      <w:r w:rsidRPr="00047D3F">
        <w:rPr>
          <w:rFonts w:ascii="Cambria" w:hAnsi="Cambria"/>
          <w:lang w:val="es-MX"/>
        </w:rPr>
        <w:t>.</w:t>
      </w:r>
    </w:p>
  </w:footnote>
  <w:footnote w:id="4">
    <w:p w:rsidR="00F46CB9" w:rsidRPr="00047D3F" w:rsidRDefault="00F46CB9" w:rsidP="007D4F23">
      <w:pPr>
        <w:pStyle w:val="FootnoteText"/>
        <w:spacing w:after="120"/>
        <w:ind w:firstLine="720"/>
        <w:jc w:val="both"/>
        <w:rPr>
          <w:rFonts w:asciiTheme="majorHAnsi" w:hAnsiTheme="majorHAnsi"/>
          <w:szCs w:val="16"/>
          <w:lang w:val="es-MX"/>
        </w:rPr>
      </w:pPr>
      <w:r w:rsidRPr="00047D3F">
        <w:rPr>
          <w:rStyle w:val="FootnoteReference"/>
          <w:rFonts w:asciiTheme="majorHAnsi" w:hAnsiTheme="majorHAnsi"/>
          <w:szCs w:val="16"/>
        </w:rPr>
        <w:footnoteRef/>
      </w:r>
      <w:r w:rsidRPr="00047D3F">
        <w:rPr>
          <w:rFonts w:asciiTheme="majorHAnsi" w:hAnsiTheme="majorHAnsi"/>
          <w:szCs w:val="16"/>
          <w:lang w:val="es-MX"/>
        </w:rPr>
        <w:t xml:space="preserve"> En adelante, </w:t>
      </w:r>
      <w:r w:rsidR="00542FD7" w:rsidRPr="00047D3F">
        <w:rPr>
          <w:rFonts w:asciiTheme="majorHAnsi" w:hAnsiTheme="majorHAnsi"/>
          <w:szCs w:val="16"/>
          <w:lang w:val="es-MX"/>
        </w:rPr>
        <w:t xml:space="preserve">“la </w:t>
      </w:r>
      <w:r w:rsidRPr="00047D3F">
        <w:rPr>
          <w:rFonts w:asciiTheme="majorHAnsi" w:hAnsiTheme="majorHAnsi"/>
          <w:szCs w:val="16"/>
          <w:lang w:val="es-MX"/>
        </w:rPr>
        <w:t>Convención Americana</w:t>
      </w:r>
      <w:r w:rsidR="00542FD7" w:rsidRPr="00047D3F">
        <w:rPr>
          <w:rFonts w:asciiTheme="majorHAnsi" w:hAnsiTheme="majorHAnsi"/>
          <w:szCs w:val="16"/>
          <w:lang w:val="es-MX"/>
        </w:rPr>
        <w:t>”</w:t>
      </w:r>
      <w:r w:rsidR="003D790A" w:rsidRPr="00047D3F">
        <w:rPr>
          <w:rFonts w:asciiTheme="majorHAnsi" w:hAnsiTheme="majorHAnsi"/>
          <w:szCs w:val="16"/>
          <w:lang w:val="es-MX"/>
        </w:rPr>
        <w:t>,</w:t>
      </w:r>
      <w:r w:rsidR="00DC7F4E" w:rsidRPr="00047D3F">
        <w:rPr>
          <w:rFonts w:asciiTheme="majorHAnsi" w:hAnsiTheme="majorHAnsi"/>
          <w:szCs w:val="16"/>
          <w:lang w:val="es-MX"/>
        </w:rPr>
        <w:t xml:space="preserve"> </w:t>
      </w:r>
      <w:r w:rsidR="00542FD7" w:rsidRPr="00047D3F">
        <w:rPr>
          <w:rFonts w:asciiTheme="majorHAnsi" w:hAnsiTheme="majorHAnsi"/>
          <w:szCs w:val="16"/>
          <w:lang w:val="es-MX"/>
        </w:rPr>
        <w:t>“la</w:t>
      </w:r>
      <w:r w:rsidR="00DC7F4E" w:rsidRPr="00047D3F">
        <w:rPr>
          <w:rFonts w:asciiTheme="majorHAnsi" w:hAnsiTheme="majorHAnsi"/>
          <w:szCs w:val="16"/>
          <w:lang w:val="es-MX"/>
        </w:rPr>
        <w:t xml:space="preserve"> Convención</w:t>
      </w:r>
      <w:r w:rsidR="00542FD7" w:rsidRPr="00047D3F">
        <w:rPr>
          <w:rFonts w:asciiTheme="majorHAnsi" w:hAnsiTheme="majorHAnsi"/>
          <w:szCs w:val="16"/>
          <w:lang w:val="es-MX"/>
        </w:rPr>
        <w:t>”</w:t>
      </w:r>
      <w:r w:rsidR="003D790A" w:rsidRPr="00047D3F">
        <w:rPr>
          <w:rFonts w:asciiTheme="majorHAnsi" w:hAnsiTheme="majorHAnsi"/>
          <w:szCs w:val="16"/>
          <w:lang w:val="es-MX"/>
        </w:rPr>
        <w:t xml:space="preserve"> o “la CADH”</w:t>
      </w:r>
      <w:r w:rsidR="00DC7F4E" w:rsidRPr="00047D3F">
        <w:rPr>
          <w:rFonts w:asciiTheme="majorHAnsi" w:hAnsiTheme="majorHAnsi"/>
          <w:szCs w:val="16"/>
          <w:lang w:val="es-MX"/>
        </w:rPr>
        <w:t xml:space="preserve">. </w:t>
      </w:r>
    </w:p>
  </w:footnote>
  <w:footnote w:id="5">
    <w:p w:rsidR="008E3BFE" w:rsidRPr="00047D3F" w:rsidRDefault="008E3BFE" w:rsidP="007D4F23">
      <w:pPr>
        <w:pStyle w:val="FootnoteText"/>
        <w:spacing w:after="120"/>
        <w:ind w:firstLine="720"/>
        <w:jc w:val="both"/>
        <w:rPr>
          <w:rFonts w:ascii="Cambria" w:hAnsi="Cambria"/>
          <w:szCs w:val="16"/>
          <w:lang w:val="es-ES"/>
        </w:rPr>
      </w:pPr>
      <w:r w:rsidRPr="00047D3F">
        <w:rPr>
          <w:rStyle w:val="FootnoteReference"/>
          <w:rFonts w:ascii="Cambria" w:hAnsi="Cambria"/>
          <w:szCs w:val="16"/>
        </w:rPr>
        <w:footnoteRef/>
      </w:r>
      <w:r w:rsidRPr="00047D3F">
        <w:rPr>
          <w:rFonts w:ascii="Cambria" w:hAnsi="Cambria"/>
          <w:szCs w:val="16"/>
          <w:lang w:val="es-ES"/>
        </w:rPr>
        <w:t xml:space="preserve"> Las observaciones de cada parte fueron debidamente trasladadas a la parte contraria.</w:t>
      </w:r>
    </w:p>
  </w:footnote>
  <w:footnote w:id="6">
    <w:p w:rsidR="00906AC8" w:rsidRPr="00047D3F" w:rsidRDefault="00906AC8" w:rsidP="0060184D">
      <w:pPr>
        <w:pStyle w:val="FootnoteText"/>
        <w:spacing w:after="120"/>
        <w:ind w:firstLine="720"/>
        <w:jc w:val="both"/>
        <w:rPr>
          <w:rFonts w:asciiTheme="majorHAnsi" w:hAnsiTheme="majorHAnsi"/>
          <w:lang w:val="es-MX"/>
        </w:rPr>
      </w:pPr>
      <w:r w:rsidRPr="00047D3F">
        <w:rPr>
          <w:rStyle w:val="FootnoteReference"/>
          <w:rFonts w:asciiTheme="majorHAnsi" w:hAnsiTheme="majorHAnsi"/>
        </w:rPr>
        <w:footnoteRef/>
      </w:r>
      <w:r w:rsidRPr="00047D3F">
        <w:rPr>
          <w:rFonts w:asciiTheme="majorHAnsi" w:hAnsiTheme="majorHAnsi"/>
          <w:lang w:val="es-MX"/>
        </w:rPr>
        <w:t xml:space="preserve"> </w:t>
      </w:r>
      <w:r w:rsidR="0060184D" w:rsidRPr="00047D3F">
        <w:rPr>
          <w:rFonts w:asciiTheme="majorHAnsi" w:hAnsiTheme="majorHAnsi"/>
          <w:lang w:val="es-MX"/>
        </w:rPr>
        <w:t>Los peticionarios indican que e</w:t>
      </w:r>
      <w:r w:rsidR="007D4F23" w:rsidRPr="00047D3F">
        <w:rPr>
          <w:rFonts w:asciiTheme="majorHAnsi" w:hAnsiTheme="majorHAnsi"/>
          <w:lang w:val="es-MX"/>
        </w:rPr>
        <w:t xml:space="preserve">stos son: </w:t>
      </w:r>
      <w:r w:rsidR="006A2293" w:rsidRPr="00047D3F">
        <w:rPr>
          <w:rFonts w:asciiTheme="majorHAnsi" w:hAnsiTheme="majorHAnsi"/>
          <w:lang w:val="es-MX"/>
        </w:rPr>
        <w:t>Adrián Huaman Centeno, Jefe del Comando Político Militar del Departamento de Ayacucho; Alberto Rivero Valdeavellano, Jefe del Comando Político Militar de Huanta y La Mar; y Augusto Gabilondo García del Barco, Jefe de la Base Contrasubersiva de Huanta.</w:t>
      </w:r>
    </w:p>
  </w:footnote>
  <w:footnote w:id="7">
    <w:p w:rsidR="00834D3C" w:rsidRPr="00047D3F" w:rsidRDefault="00834D3C" w:rsidP="007D4F23">
      <w:pPr>
        <w:pStyle w:val="FootnoteText"/>
        <w:spacing w:after="120"/>
        <w:ind w:firstLine="720"/>
        <w:jc w:val="both"/>
        <w:rPr>
          <w:rFonts w:asciiTheme="majorHAnsi" w:hAnsiTheme="majorHAnsi"/>
          <w:b/>
          <w:color w:val="auto"/>
          <w:szCs w:val="16"/>
          <w:lang w:val="es-MX"/>
        </w:rPr>
      </w:pPr>
      <w:r w:rsidRPr="00047D3F">
        <w:rPr>
          <w:rStyle w:val="FootnoteReference"/>
          <w:rFonts w:asciiTheme="majorHAnsi" w:hAnsiTheme="majorHAnsi"/>
          <w:color w:val="auto"/>
          <w:szCs w:val="16"/>
        </w:rPr>
        <w:footnoteRef/>
      </w:r>
      <w:r w:rsidRPr="00047D3F">
        <w:rPr>
          <w:rFonts w:asciiTheme="majorHAnsi" w:hAnsiTheme="majorHAnsi"/>
          <w:color w:val="auto"/>
          <w:szCs w:val="16"/>
          <w:lang w:val="es-MX"/>
        </w:rPr>
        <w:t xml:space="preserve"> </w:t>
      </w:r>
      <w:r w:rsidR="00101EF2" w:rsidRPr="00047D3F">
        <w:rPr>
          <w:rFonts w:asciiTheme="majorHAnsi" w:hAnsiTheme="majorHAnsi"/>
          <w:color w:val="auto"/>
          <w:szCs w:val="16"/>
          <w:lang w:val="es-MX"/>
        </w:rPr>
        <w:t>Corte IDH. Caso Tenorio Roca y otros Vs. Perú. Excepciones Preliminares, Fondo, Reparaciones y Costas. Sentencia de 22 de junio de 2016. Serie C No. 314.</w:t>
      </w:r>
    </w:p>
  </w:footnote>
  <w:footnote w:id="8">
    <w:p w:rsidR="004675D9" w:rsidRPr="00047D3F" w:rsidRDefault="004675D9" w:rsidP="007D4F23">
      <w:pPr>
        <w:pStyle w:val="FootnoteText"/>
        <w:spacing w:after="120"/>
        <w:ind w:firstLine="720"/>
        <w:jc w:val="both"/>
        <w:rPr>
          <w:rFonts w:asciiTheme="majorHAnsi" w:hAnsiTheme="majorHAnsi"/>
          <w:color w:val="auto"/>
          <w:szCs w:val="16"/>
          <w:lang w:val="es-MX"/>
        </w:rPr>
      </w:pPr>
      <w:r w:rsidRPr="00047D3F">
        <w:rPr>
          <w:rStyle w:val="FootnoteReference"/>
          <w:rFonts w:asciiTheme="majorHAnsi" w:hAnsiTheme="majorHAnsi"/>
          <w:color w:val="auto"/>
          <w:szCs w:val="16"/>
        </w:rPr>
        <w:footnoteRef/>
      </w:r>
      <w:r w:rsidRPr="00047D3F">
        <w:rPr>
          <w:rFonts w:asciiTheme="majorHAnsi" w:hAnsiTheme="majorHAnsi"/>
          <w:color w:val="auto"/>
          <w:szCs w:val="16"/>
          <w:lang w:val="es-MX"/>
        </w:rPr>
        <w:t xml:space="preserve"> </w:t>
      </w:r>
      <w:r w:rsidR="005E6368" w:rsidRPr="00047D3F">
        <w:rPr>
          <w:rFonts w:asciiTheme="majorHAnsi" w:hAnsiTheme="majorHAnsi"/>
          <w:color w:val="auto"/>
          <w:szCs w:val="16"/>
          <w:lang w:val="es-MX"/>
        </w:rPr>
        <w:t>CIDH, Resolución No. 17/87, Caso 9425, Jaime Ayala Sulca, Perú, 28 de marzo de 1987.</w:t>
      </w:r>
    </w:p>
  </w:footnote>
  <w:footnote w:id="9">
    <w:p w:rsidR="00971E34" w:rsidRPr="00047D3F" w:rsidRDefault="00971E34" w:rsidP="00971E34">
      <w:pPr>
        <w:pStyle w:val="FootnoteText"/>
        <w:spacing w:after="120"/>
        <w:ind w:firstLine="720"/>
        <w:jc w:val="both"/>
        <w:rPr>
          <w:rFonts w:asciiTheme="majorHAnsi" w:hAnsiTheme="majorHAnsi"/>
          <w:b/>
          <w:color w:val="auto"/>
          <w:szCs w:val="16"/>
          <w:lang w:val="es-MX"/>
        </w:rPr>
      </w:pPr>
      <w:r w:rsidRPr="00047D3F">
        <w:rPr>
          <w:rStyle w:val="FootnoteReference"/>
        </w:rPr>
        <w:footnoteRef/>
      </w:r>
      <w:r w:rsidRPr="00047D3F">
        <w:rPr>
          <w:lang w:val="es-ES"/>
        </w:rPr>
        <w:t xml:space="preserve"> </w:t>
      </w:r>
      <w:r w:rsidRPr="00047D3F">
        <w:rPr>
          <w:rFonts w:asciiTheme="majorHAnsi" w:hAnsiTheme="majorHAnsi"/>
          <w:color w:val="auto"/>
          <w:szCs w:val="16"/>
          <w:lang w:val="es-MX"/>
        </w:rPr>
        <w:t>Corte IDH. Caso Tenorio Roca y otros Vs. Perú. Excepciones Preliminares, Fondo, Reparaciones y Costas. Sentencia de 22 de junio de 2016. Serie C No. 314.</w:t>
      </w:r>
    </w:p>
    <w:p w:rsidR="00971E34" w:rsidRPr="00047D3F" w:rsidRDefault="00971E34">
      <w:pPr>
        <w:pStyle w:val="FootnoteText"/>
        <w:rPr>
          <w:lang w:val="es-ES"/>
        </w:rPr>
      </w:pPr>
    </w:p>
  </w:footnote>
  <w:footnote w:id="10">
    <w:p w:rsidR="0019488C" w:rsidRPr="00047D3F" w:rsidRDefault="0019488C" w:rsidP="0019488C">
      <w:pPr>
        <w:pStyle w:val="FootnoteText"/>
        <w:spacing w:after="120"/>
        <w:ind w:firstLine="720"/>
        <w:jc w:val="both"/>
        <w:rPr>
          <w:lang w:val="es-MX"/>
        </w:rPr>
      </w:pPr>
      <w:r w:rsidRPr="00047D3F">
        <w:rPr>
          <w:rStyle w:val="FootnoteReference"/>
        </w:rPr>
        <w:footnoteRef/>
      </w:r>
      <w:r w:rsidRPr="00047D3F">
        <w:rPr>
          <w:lang w:val="es-ES"/>
        </w:rPr>
        <w:t xml:space="preserve"> </w:t>
      </w:r>
      <w:r w:rsidRPr="00047D3F">
        <w:rPr>
          <w:rFonts w:asciiTheme="majorHAnsi" w:hAnsiTheme="majorHAnsi"/>
          <w:color w:val="auto"/>
          <w:szCs w:val="16"/>
          <w:lang w:val="es-MX"/>
        </w:rPr>
        <w:t>CIDH, Resolución No. 16/88, Caso 9506, Nemesio Fernández Lapa, Perú, 24 de marzo de 1988.</w:t>
      </w:r>
    </w:p>
  </w:footnote>
  <w:footnote w:id="11">
    <w:p w:rsidR="00834D3C" w:rsidRPr="00AD25AD" w:rsidRDefault="00834D3C" w:rsidP="007D4F23">
      <w:pPr>
        <w:pStyle w:val="FootnoteText"/>
        <w:spacing w:after="120"/>
        <w:ind w:firstLine="720"/>
        <w:jc w:val="both"/>
        <w:rPr>
          <w:szCs w:val="16"/>
          <w:lang w:val="es-MX"/>
        </w:rPr>
      </w:pPr>
      <w:r w:rsidRPr="00047D3F">
        <w:rPr>
          <w:rStyle w:val="FootnoteReference"/>
          <w:rFonts w:asciiTheme="majorHAnsi" w:hAnsiTheme="majorHAnsi"/>
          <w:szCs w:val="16"/>
        </w:rPr>
        <w:footnoteRef/>
      </w:r>
      <w:r w:rsidRPr="00047D3F">
        <w:rPr>
          <w:rFonts w:asciiTheme="majorHAnsi" w:hAnsiTheme="majorHAnsi"/>
          <w:szCs w:val="16"/>
          <w:lang w:val="es-MX"/>
        </w:rPr>
        <w:t xml:space="preserve"> </w:t>
      </w:r>
      <w:r w:rsidR="00917DCC" w:rsidRPr="00047D3F">
        <w:rPr>
          <w:rFonts w:asciiTheme="majorHAnsi" w:hAnsiTheme="majorHAnsi"/>
          <w:szCs w:val="16"/>
          <w:lang w:val="es-MX"/>
        </w:rPr>
        <w:t>Los órganos del Sistema Interamericano</w:t>
      </w:r>
      <w:r w:rsidR="004C0031" w:rsidRPr="00047D3F">
        <w:rPr>
          <w:rFonts w:asciiTheme="majorHAnsi" w:hAnsiTheme="majorHAnsi"/>
          <w:szCs w:val="16"/>
          <w:lang w:val="es-MX"/>
        </w:rPr>
        <w:t xml:space="preserve"> se han referido a la desaparición forzada de personas en el conflicto armado en Perú en varias de sus decisiones</w:t>
      </w:r>
      <w:r w:rsidR="00917DCC" w:rsidRPr="00047D3F">
        <w:rPr>
          <w:rFonts w:asciiTheme="majorHAnsi" w:hAnsiTheme="majorHAnsi"/>
          <w:szCs w:val="16"/>
          <w:lang w:val="es-MX"/>
        </w:rPr>
        <w:t xml:space="preserve">. Así por ejemplo, la Comisión </w:t>
      </w:r>
      <w:r w:rsidR="00741129">
        <w:rPr>
          <w:rFonts w:asciiTheme="majorHAnsi" w:hAnsiTheme="majorHAnsi"/>
          <w:szCs w:val="16"/>
          <w:lang w:val="es-MX"/>
        </w:rPr>
        <w:t>ha emitido:</w:t>
      </w:r>
      <w:r w:rsidR="004F57BC" w:rsidRPr="00047D3F">
        <w:rPr>
          <w:rFonts w:asciiTheme="majorHAnsi" w:hAnsiTheme="majorHAnsi"/>
          <w:szCs w:val="16"/>
          <w:lang w:val="es-MX"/>
        </w:rPr>
        <w:t xml:space="preserve"> </w:t>
      </w:r>
      <w:r w:rsidR="00746C26" w:rsidRPr="00047D3F">
        <w:rPr>
          <w:rFonts w:asciiTheme="majorHAnsi" w:hAnsiTheme="majorHAnsi"/>
          <w:szCs w:val="16"/>
          <w:lang w:val="es-MX"/>
        </w:rPr>
        <w:t xml:space="preserve">Informe de admisibilidad N°163/11, petición 11-05, Teresa Díaz Aparicio y otros; Informe de admisibilidad No. 108/11, Petición 422-03, Cory Clodolia Tenicela Tello y otros; </w:t>
      </w:r>
      <w:r w:rsidR="000F7D16" w:rsidRPr="00047D3F">
        <w:rPr>
          <w:rFonts w:asciiTheme="majorHAnsi" w:hAnsiTheme="majorHAnsi"/>
          <w:szCs w:val="16"/>
          <w:lang w:val="es-MX"/>
        </w:rPr>
        <w:t>Informe de admisibilidad N°. 76/10,  Petición 11.845, Jeremías Osorio Rivera y otros; I</w:t>
      </w:r>
      <w:r w:rsidR="002F0A52" w:rsidRPr="00047D3F">
        <w:rPr>
          <w:rFonts w:asciiTheme="majorHAnsi" w:hAnsiTheme="majorHAnsi"/>
          <w:szCs w:val="16"/>
          <w:lang w:val="es-MX"/>
        </w:rPr>
        <w:t xml:space="preserve">nforme de admisibilidad </w:t>
      </w:r>
      <w:r w:rsidR="000F7D16" w:rsidRPr="00047D3F">
        <w:rPr>
          <w:rFonts w:asciiTheme="majorHAnsi" w:hAnsiTheme="majorHAnsi"/>
          <w:szCs w:val="16"/>
          <w:lang w:val="es-MX"/>
        </w:rPr>
        <w:t>Nº 10/07</w:t>
      </w:r>
      <w:r w:rsidR="002F0A52" w:rsidRPr="00047D3F">
        <w:rPr>
          <w:rFonts w:asciiTheme="majorHAnsi" w:hAnsiTheme="majorHAnsi"/>
          <w:szCs w:val="16"/>
          <w:lang w:val="es-MX"/>
        </w:rPr>
        <w:t>, petición</w:t>
      </w:r>
      <w:r w:rsidR="000F7D16" w:rsidRPr="00047D3F">
        <w:rPr>
          <w:rFonts w:asciiTheme="majorHAnsi" w:hAnsiTheme="majorHAnsi"/>
          <w:szCs w:val="16"/>
          <w:lang w:val="es-MX"/>
        </w:rPr>
        <w:t xml:space="preserve"> 735-05</w:t>
      </w:r>
      <w:r w:rsidR="002F0A52" w:rsidRPr="00047D3F">
        <w:rPr>
          <w:rFonts w:asciiTheme="majorHAnsi" w:hAnsiTheme="majorHAnsi"/>
          <w:szCs w:val="16"/>
          <w:lang w:val="es-MX"/>
        </w:rPr>
        <w:t>, Walter Munárriz Escobar</w:t>
      </w:r>
      <w:r w:rsidR="00393A62" w:rsidRPr="00047D3F">
        <w:rPr>
          <w:rFonts w:asciiTheme="majorHAnsi" w:hAnsiTheme="majorHAnsi"/>
          <w:szCs w:val="16"/>
          <w:lang w:val="es-MX"/>
        </w:rPr>
        <w:t>; Informe de fondo Nº 101/01,</w:t>
      </w:r>
      <w:r w:rsidR="00917DCC" w:rsidRPr="00047D3F">
        <w:rPr>
          <w:rFonts w:asciiTheme="majorHAnsi" w:hAnsiTheme="majorHAnsi"/>
          <w:szCs w:val="16"/>
          <w:lang w:val="es-MX"/>
        </w:rPr>
        <w:t xml:space="preserve"> entre otros in</w:t>
      </w:r>
      <w:r w:rsidR="00741129">
        <w:rPr>
          <w:rFonts w:asciiTheme="majorHAnsi" w:hAnsiTheme="majorHAnsi"/>
          <w:szCs w:val="16"/>
          <w:lang w:val="es-MX"/>
        </w:rPr>
        <w:t>formes. Por su parte, la Corte s</w:t>
      </w:r>
      <w:r w:rsidR="00917DCC" w:rsidRPr="00047D3F">
        <w:rPr>
          <w:rFonts w:asciiTheme="majorHAnsi" w:hAnsiTheme="majorHAnsi"/>
          <w:szCs w:val="16"/>
          <w:lang w:val="es-MX"/>
        </w:rPr>
        <w:t>e ha referido a este tema, por ejemplo,</w:t>
      </w:r>
      <w:r w:rsidR="007C439F" w:rsidRPr="00047D3F">
        <w:rPr>
          <w:rFonts w:asciiTheme="majorHAnsi" w:hAnsiTheme="majorHAnsi"/>
          <w:szCs w:val="16"/>
          <w:lang w:val="es-MX"/>
        </w:rPr>
        <w:t xml:space="preserve"> </w:t>
      </w:r>
      <w:r w:rsidR="00917DCC" w:rsidRPr="00047D3F">
        <w:rPr>
          <w:rFonts w:asciiTheme="majorHAnsi" w:hAnsiTheme="majorHAnsi"/>
          <w:szCs w:val="16"/>
          <w:lang w:val="es-MX"/>
        </w:rPr>
        <w:t>e</w:t>
      </w:r>
      <w:r w:rsidR="007C439F" w:rsidRPr="00047D3F">
        <w:rPr>
          <w:rFonts w:asciiTheme="majorHAnsi" w:hAnsiTheme="majorHAnsi"/>
          <w:szCs w:val="16"/>
          <w:lang w:val="es-MX"/>
        </w:rPr>
        <w:t>n</w:t>
      </w:r>
      <w:r w:rsidR="00393A62" w:rsidRPr="00047D3F">
        <w:rPr>
          <w:rFonts w:asciiTheme="majorHAnsi" w:hAnsiTheme="majorHAnsi"/>
          <w:szCs w:val="16"/>
          <w:lang w:val="es-MX"/>
        </w:rPr>
        <w:t xml:space="preserve"> </w:t>
      </w:r>
      <w:r w:rsidR="00917DCC" w:rsidRPr="00047D3F">
        <w:rPr>
          <w:rFonts w:asciiTheme="majorHAnsi" w:hAnsiTheme="majorHAnsi"/>
          <w:szCs w:val="16"/>
          <w:lang w:val="es-MX"/>
        </w:rPr>
        <w:t>su</w:t>
      </w:r>
      <w:r w:rsidR="007C439F" w:rsidRPr="00047D3F">
        <w:rPr>
          <w:rFonts w:asciiTheme="majorHAnsi" w:hAnsiTheme="majorHAnsi"/>
          <w:szCs w:val="16"/>
          <w:lang w:val="es-MX"/>
        </w:rPr>
        <w:t xml:space="preserve"> </w:t>
      </w:r>
      <w:r w:rsidR="00F47A21" w:rsidRPr="00047D3F">
        <w:rPr>
          <w:rFonts w:asciiTheme="majorHAnsi" w:hAnsiTheme="majorHAnsi"/>
          <w:szCs w:val="16"/>
          <w:lang w:val="es-MX"/>
        </w:rPr>
        <w:t>reciente S</w:t>
      </w:r>
      <w:r w:rsidR="003D4AE4" w:rsidRPr="00047D3F">
        <w:rPr>
          <w:rFonts w:asciiTheme="majorHAnsi" w:hAnsiTheme="majorHAnsi"/>
          <w:szCs w:val="16"/>
          <w:lang w:val="es-MX"/>
        </w:rPr>
        <w:t xml:space="preserve">entencia </w:t>
      </w:r>
      <w:r w:rsidR="00F47A21" w:rsidRPr="00047D3F">
        <w:rPr>
          <w:rFonts w:asciiTheme="majorHAnsi" w:hAnsiTheme="majorHAnsi"/>
          <w:szCs w:val="16"/>
          <w:lang w:val="es-MX"/>
        </w:rPr>
        <w:t>de Fondo, Reparaciones y C</w:t>
      </w:r>
      <w:r w:rsidR="00036071" w:rsidRPr="00047D3F">
        <w:rPr>
          <w:rFonts w:asciiTheme="majorHAnsi" w:hAnsiTheme="majorHAnsi"/>
          <w:szCs w:val="16"/>
          <w:lang w:val="es-MX"/>
        </w:rPr>
        <w:t xml:space="preserve">ostas </w:t>
      </w:r>
      <w:r w:rsidR="007C439F" w:rsidRPr="00047D3F">
        <w:rPr>
          <w:rFonts w:asciiTheme="majorHAnsi" w:hAnsiTheme="majorHAnsi"/>
          <w:szCs w:val="16"/>
          <w:lang w:val="es-MX"/>
        </w:rPr>
        <w:t xml:space="preserve">del </w:t>
      </w:r>
      <w:r w:rsidR="003D4AE4" w:rsidRPr="00047D3F">
        <w:rPr>
          <w:rFonts w:asciiTheme="majorHAnsi" w:hAnsiTheme="majorHAnsi"/>
          <w:szCs w:val="16"/>
          <w:lang w:val="es-MX"/>
        </w:rPr>
        <w:t>Caso Comunidad Campesina de Santa Bárbara vs Perú</w:t>
      </w:r>
      <w:r w:rsidR="00267CDF" w:rsidRPr="00047D3F">
        <w:rPr>
          <w:rFonts w:asciiTheme="majorHAnsi" w:hAnsiTheme="majorHAnsi"/>
          <w:szCs w:val="16"/>
          <w:lang w:val="es-MX"/>
        </w:rPr>
        <w:t xml:space="preserve">, del </w:t>
      </w:r>
      <w:r w:rsidR="00B53656" w:rsidRPr="00047D3F">
        <w:rPr>
          <w:rFonts w:asciiTheme="majorHAnsi" w:hAnsiTheme="majorHAnsi"/>
          <w:szCs w:val="16"/>
          <w:lang w:val="es-MX"/>
        </w:rPr>
        <w:t>1 de septiembre de 2015</w:t>
      </w:r>
      <w:r w:rsidR="00F47A21" w:rsidRPr="00047D3F">
        <w:rPr>
          <w:rFonts w:asciiTheme="majorHAnsi" w:hAnsiTheme="majorHAnsi"/>
          <w:szCs w:val="16"/>
          <w:lang w:val="es-MX"/>
        </w:rPr>
        <w:t>;</w:t>
      </w:r>
      <w:r w:rsidR="007C439F" w:rsidRPr="00047D3F">
        <w:rPr>
          <w:rFonts w:asciiTheme="majorHAnsi" w:hAnsiTheme="majorHAnsi"/>
          <w:szCs w:val="16"/>
          <w:lang w:val="es-MX"/>
        </w:rPr>
        <w:t xml:space="preserve"> entre otras</w:t>
      </w:r>
      <w:r w:rsidR="00917DCC" w:rsidRPr="00047D3F">
        <w:rPr>
          <w:rFonts w:asciiTheme="majorHAnsi" w:hAnsiTheme="majorHAnsi"/>
          <w:szCs w:val="16"/>
          <w:lang w:val="es-MX"/>
        </w:rPr>
        <w:t>.</w:t>
      </w:r>
      <w:r w:rsidR="007C439F">
        <w:rPr>
          <w:rFonts w:asciiTheme="majorHAnsi" w:hAnsiTheme="majorHAnsi"/>
          <w:szCs w:val="16"/>
          <w:lang w:val="es-MX"/>
        </w:rPr>
        <w:t xml:space="preserve"> </w:t>
      </w:r>
      <w:r w:rsidR="00267CDF" w:rsidRPr="00AD25AD">
        <w:rPr>
          <w:rFonts w:asciiTheme="majorHAnsi" w:hAnsiTheme="majorHAnsi"/>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54566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D0" w:rsidRDefault="00C51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1541D4"/>
    <w:multiLevelType w:val="hybridMultilevel"/>
    <w:tmpl w:val="6206E638"/>
    <w:lvl w:ilvl="0" w:tplc="C5B41162">
      <w:start w:val="1"/>
      <w:numFmt w:val="decimal"/>
      <w:lvlText w:val="%1."/>
      <w:lvlJc w:val="left"/>
      <w:pPr>
        <w:ind w:left="720" w:hanging="360"/>
      </w:pPr>
      <w:rPr>
        <w:rFonts w:asciiTheme="majorHAnsi" w:hAnsiTheme="maj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1D76"/>
    <w:rsid w:val="000337EF"/>
    <w:rsid w:val="000345AF"/>
    <w:rsid w:val="00036071"/>
    <w:rsid w:val="00040C3A"/>
    <w:rsid w:val="000419AD"/>
    <w:rsid w:val="00047D3F"/>
    <w:rsid w:val="00051DC1"/>
    <w:rsid w:val="00062E80"/>
    <w:rsid w:val="00064FFD"/>
    <w:rsid w:val="000716C5"/>
    <w:rsid w:val="00075E23"/>
    <w:rsid w:val="00083BCA"/>
    <w:rsid w:val="00086BF6"/>
    <w:rsid w:val="0009344A"/>
    <w:rsid w:val="0009602E"/>
    <w:rsid w:val="000A392E"/>
    <w:rsid w:val="000A575F"/>
    <w:rsid w:val="000A57AB"/>
    <w:rsid w:val="000B50EC"/>
    <w:rsid w:val="000C78AA"/>
    <w:rsid w:val="000D10DB"/>
    <w:rsid w:val="000E5EB5"/>
    <w:rsid w:val="000F0F07"/>
    <w:rsid w:val="000F35ED"/>
    <w:rsid w:val="000F7D16"/>
    <w:rsid w:val="00101EF2"/>
    <w:rsid w:val="0010550B"/>
    <w:rsid w:val="00107131"/>
    <w:rsid w:val="0010736F"/>
    <w:rsid w:val="00110A86"/>
    <w:rsid w:val="00113F73"/>
    <w:rsid w:val="00121CC2"/>
    <w:rsid w:val="00133EE5"/>
    <w:rsid w:val="00144ED7"/>
    <w:rsid w:val="0014603F"/>
    <w:rsid w:val="00153526"/>
    <w:rsid w:val="00164847"/>
    <w:rsid w:val="00167A34"/>
    <w:rsid w:val="00182EFB"/>
    <w:rsid w:val="0018450E"/>
    <w:rsid w:val="00190D7A"/>
    <w:rsid w:val="0019488C"/>
    <w:rsid w:val="001A338E"/>
    <w:rsid w:val="001A72A3"/>
    <w:rsid w:val="001A7870"/>
    <w:rsid w:val="001B3A00"/>
    <w:rsid w:val="001B47C8"/>
    <w:rsid w:val="001C1B41"/>
    <w:rsid w:val="001D65EF"/>
    <w:rsid w:val="001D6E44"/>
    <w:rsid w:val="001E49E7"/>
    <w:rsid w:val="001E572F"/>
    <w:rsid w:val="001F1047"/>
    <w:rsid w:val="001F3556"/>
    <w:rsid w:val="001F7201"/>
    <w:rsid w:val="00210201"/>
    <w:rsid w:val="00223A29"/>
    <w:rsid w:val="002250A3"/>
    <w:rsid w:val="00235217"/>
    <w:rsid w:val="00246D1F"/>
    <w:rsid w:val="00247403"/>
    <w:rsid w:val="00247542"/>
    <w:rsid w:val="00251102"/>
    <w:rsid w:val="00266B61"/>
    <w:rsid w:val="0026712A"/>
    <w:rsid w:val="00267CDF"/>
    <w:rsid w:val="002704DB"/>
    <w:rsid w:val="00274835"/>
    <w:rsid w:val="002A0AAE"/>
    <w:rsid w:val="002A1750"/>
    <w:rsid w:val="002A5820"/>
    <w:rsid w:val="002B1202"/>
    <w:rsid w:val="002D2B26"/>
    <w:rsid w:val="002D7EA2"/>
    <w:rsid w:val="002E187C"/>
    <w:rsid w:val="002F0A52"/>
    <w:rsid w:val="00302733"/>
    <w:rsid w:val="00314078"/>
    <w:rsid w:val="0031535D"/>
    <w:rsid w:val="003239B8"/>
    <w:rsid w:val="0033169F"/>
    <w:rsid w:val="003430D7"/>
    <w:rsid w:val="00344977"/>
    <w:rsid w:val="00346C95"/>
    <w:rsid w:val="00356185"/>
    <w:rsid w:val="00360380"/>
    <w:rsid w:val="0037519E"/>
    <w:rsid w:val="00386CF0"/>
    <w:rsid w:val="00393082"/>
    <w:rsid w:val="00393A62"/>
    <w:rsid w:val="003B70FB"/>
    <w:rsid w:val="003C19F1"/>
    <w:rsid w:val="003C676B"/>
    <w:rsid w:val="003D3BC2"/>
    <w:rsid w:val="003D4AE4"/>
    <w:rsid w:val="003D790A"/>
    <w:rsid w:val="003E6CA1"/>
    <w:rsid w:val="003F0BBE"/>
    <w:rsid w:val="003F6266"/>
    <w:rsid w:val="00415E1A"/>
    <w:rsid w:val="004165C2"/>
    <w:rsid w:val="004202AE"/>
    <w:rsid w:val="004262D3"/>
    <w:rsid w:val="00441ECB"/>
    <w:rsid w:val="00445193"/>
    <w:rsid w:val="0044702A"/>
    <w:rsid w:val="00453E01"/>
    <w:rsid w:val="00455183"/>
    <w:rsid w:val="0045669F"/>
    <w:rsid w:val="00462C1B"/>
    <w:rsid w:val="00467598"/>
    <w:rsid w:val="004675D9"/>
    <w:rsid w:val="00467B7E"/>
    <w:rsid w:val="004721BC"/>
    <w:rsid w:val="00473BB4"/>
    <w:rsid w:val="00475970"/>
    <w:rsid w:val="00477592"/>
    <w:rsid w:val="004843E3"/>
    <w:rsid w:val="00486F1C"/>
    <w:rsid w:val="0049419D"/>
    <w:rsid w:val="004A35E5"/>
    <w:rsid w:val="004B4F6E"/>
    <w:rsid w:val="004B5883"/>
    <w:rsid w:val="004C0031"/>
    <w:rsid w:val="004C20D2"/>
    <w:rsid w:val="004C2312"/>
    <w:rsid w:val="004C4B62"/>
    <w:rsid w:val="004C4D8B"/>
    <w:rsid w:val="004C54C9"/>
    <w:rsid w:val="004C75F8"/>
    <w:rsid w:val="004D4ABA"/>
    <w:rsid w:val="004D6025"/>
    <w:rsid w:val="004E2649"/>
    <w:rsid w:val="004F57BC"/>
    <w:rsid w:val="004F6FE1"/>
    <w:rsid w:val="00501399"/>
    <w:rsid w:val="0050633D"/>
    <w:rsid w:val="00507BC4"/>
    <w:rsid w:val="005128E4"/>
    <w:rsid w:val="005133DB"/>
    <w:rsid w:val="0052120F"/>
    <w:rsid w:val="00525560"/>
    <w:rsid w:val="005426CA"/>
    <w:rsid w:val="00542FD7"/>
    <w:rsid w:val="00544C49"/>
    <w:rsid w:val="00545664"/>
    <w:rsid w:val="005516A1"/>
    <w:rsid w:val="00557372"/>
    <w:rsid w:val="00563557"/>
    <w:rsid w:val="005673B3"/>
    <w:rsid w:val="0057402A"/>
    <w:rsid w:val="00575295"/>
    <w:rsid w:val="005771D0"/>
    <w:rsid w:val="00580F74"/>
    <w:rsid w:val="00582842"/>
    <w:rsid w:val="0059191A"/>
    <w:rsid w:val="005921FF"/>
    <w:rsid w:val="00592B27"/>
    <w:rsid w:val="00596CE5"/>
    <w:rsid w:val="005A24ED"/>
    <w:rsid w:val="005A6D0E"/>
    <w:rsid w:val="005B52B0"/>
    <w:rsid w:val="005B6806"/>
    <w:rsid w:val="005C4225"/>
    <w:rsid w:val="005D3913"/>
    <w:rsid w:val="005D70DB"/>
    <w:rsid w:val="005E6368"/>
    <w:rsid w:val="005F0DAD"/>
    <w:rsid w:val="005F0F33"/>
    <w:rsid w:val="005F4460"/>
    <w:rsid w:val="00600DEB"/>
    <w:rsid w:val="0060184D"/>
    <w:rsid w:val="00622744"/>
    <w:rsid w:val="00627C9F"/>
    <w:rsid w:val="006311E9"/>
    <w:rsid w:val="00632354"/>
    <w:rsid w:val="00634A6C"/>
    <w:rsid w:val="00640314"/>
    <w:rsid w:val="00642810"/>
    <w:rsid w:val="00645CF0"/>
    <w:rsid w:val="00652333"/>
    <w:rsid w:val="00657C86"/>
    <w:rsid w:val="00665E19"/>
    <w:rsid w:val="00677B48"/>
    <w:rsid w:val="0068009E"/>
    <w:rsid w:val="00692219"/>
    <w:rsid w:val="006A17D2"/>
    <w:rsid w:val="006A2293"/>
    <w:rsid w:val="006A73E6"/>
    <w:rsid w:val="006B2D5C"/>
    <w:rsid w:val="006C4EB1"/>
    <w:rsid w:val="006E0166"/>
    <w:rsid w:val="006E045E"/>
    <w:rsid w:val="006E04D3"/>
    <w:rsid w:val="006E7B34"/>
    <w:rsid w:val="00704C92"/>
    <w:rsid w:val="0070697F"/>
    <w:rsid w:val="0072199C"/>
    <w:rsid w:val="00722C9F"/>
    <w:rsid w:val="007253B8"/>
    <w:rsid w:val="00730E88"/>
    <w:rsid w:val="00733BF0"/>
    <w:rsid w:val="0073741F"/>
    <w:rsid w:val="0074104D"/>
    <w:rsid w:val="00741129"/>
    <w:rsid w:val="00746C26"/>
    <w:rsid w:val="00750BC5"/>
    <w:rsid w:val="0076643F"/>
    <w:rsid w:val="00777F63"/>
    <w:rsid w:val="007879D4"/>
    <w:rsid w:val="00795DF7"/>
    <w:rsid w:val="007A5817"/>
    <w:rsid w:val="007A6DC5"/>
    <w:rsid w:val="007B05C4"/>
    <w:rsid w:val="007B60E9"/>
    <w:rsid w:val="007B6CC3"/>
    <w:rsid w:val="007C00FB"/>
    <w:rsid w:val="007C3334"/>
    <w:rsid w:val="007C439F"/>
    <w:rsid w:val="007C46D3"/>
    <w:rsid w:val="007D2B98"/>
    <w:rsid w:val="007D4F23"/>
    <w:rsid w:val="007E21BC"/>
    <w:rsid w:val="008019C5"/>
    <w:rsid w:val="00803F1C"/>
    <w:rsid w:val="0080600E"/>
    <w:rsid w:val="00807619"/>
    <w:rsid w:val="00817612"/>
    <w:rsid w:val="008252AC"/>
    <w:rsid w:val="00832341"/>
    <w:rsid w:val="008338A4"/>
    <w:rsid w:val="00834D3C"/>
    <w:rsid w:val="00837C45"/>
    <w:rsid w:val="00844730"/>
    <w:rsid w:val="008457C2"/>
    <w:rsid w:val="00853DA7"/>
    <w:rsid w:val="00857A82"/>
    <w:rsid w:val="00873836"/>
    <w:rsid w:val="00876FB8"/>
    <w:rsid w:val="00884382"/>
    <w:rsid w:val="00885737"/>
    <w:rsid w:val="00890650"/>
    <w:rsid w:val="008941C4"/>
    <w:rsid w:val="00894E14"/>
    <w:rsid w:val="00897E12"/>
    <w:rsid w:val="008A7E0F"/>
    <w:rsid w:val="008B12F5"/>
    <w:rsid w:val="008B5A58"/>
    <w:rsid w:val="008B7B3E"/>
    <w:rsid w:val="008C4507"/>
    <w:rsid w:val="008D0023"/>
    <w:rsid w:val="008D19D9"/>
    <w:rsid w:val="008D768D"/>
    <w:rsid w:val="008E3759"/>
    <w:rsid w:val="008E3BFE"/>
    <w:rsid w:val="008F1912"/>
    <w:rsid w:val="0090270B"/>
    <w:rsid w:val="009041DC"/>
    <w:rsid w:val="00904269"/>
    <w:rsid w:val="00906AC8"/>
    <w:rsid w:val="009141C0"/>
    <w:rsid w:val="00917B5A"/>
    <w:rsid w:val="00917DCC"/>
    <w:rsid w:val="00920A58"/>
    <w:rsid w:val="00920A8C"/>
    <w:rsid w:val="00934A2C"/>
    <w:rsid w:val="00950574"/>
    <w:rsid w:val="00963CA0"/>
    <w:rsid w:val="00966180"/>
    <w:rsid w:val="0096706E"/>
    <w:rsid w:val="0097077A"/>
    <w:rsid w:val="00971E34"/>
    <w:rsid w:val="009741D3"/>
    <w:rsid w:val="00974491"/>
    <w:rsid w:val="00975C4E"/>
    <w:rsid w:val="00981FBA"/>
    <w:rsid w:val="00997BC5"/>
    <w:rsid w:val="009A4F41"/>
    <w:rsid w:val="009B381B"/>
    <w:rsid w:val="009B603D"/>
    <w:rsid w:val="009D1753"/>
    <w:rsid w:val="009D7611"/>
    <w:rsid w:val="009E0B61"/>
    <w:rsid w:val="009E53DE"/>
    <w:rsid w:val="00A02A8A"/>
    <w:rsid w:val="00A053E7"/>
    <w:rsid w:val="00A11E44"/>
    <w:rsid w:val="00A17A01"/>
    <w:rsid w:val="00A27CF8"/>
    <w:rsid w:val="00A328B3"/>
    <w:rsid w:val="00A35353"/>
    <w:rsid w:val="00A44746"/>
    <w:rsid w:val="00A50FCF"/>
    <w:rsid w:val="00A528D1"/>
    <w:rsid w:val="00A56BA0"/>
    <w:rsid w:val="00A610CD"/>
    <w:rsid w:val="00A668CE"/>
    <w:rsid w:val="00A758AA"/>
    <w:rsid w:val="00A77548"/>
    <w:rsid w:val="00AA09A2"/>
    <w:rsid w:val="00AA7996"/>
    <w:rsid w:val="00AA7CBA"/>
    <w:rsid w:val="00AB4B28"/>
    <w:rsid w:val="00AC19CB"/>
    <w:rsid w:val="00AC26FD"/>
    <w:rsid w:val="00AD25AD"/>
    <w:rsid w:val="00AD2DD1"/>
    <w:rsid w:val="00AD3061"/>
    <w:rsid w:val="00AD7112"/>
    <w:rsid w:val="00AE5488"/>
    <w:rsid w:val="00AE6F91"/>
    <w:rsid w:val="00AF1DDA"/>
    <w:rsid w:val="00AF4EF2"/>
    <w:rsid w:val="00AF5571"/>
    <w:rsid w:val="00B07341"/>
    <w:rsid w:val="00B27F38"/>
    <w:rsid w:val="00B30539"/>
    <w:rsid w:val="00B31316"/>
    <w:rsid w:val="00B314DB"/>
    <w:rsid w:val="00B361F2"/>
    <w:rsid w:val="00B3718B"/>
    <w:rsid w:val="00B4632A"/>
    <w:rsid w:val="00B530F1"/>
    <w:rsid w:val="00B53656"/>
    <w:rsid w:val="00B64DA7"/>
    <w:rsid w:val="00B65B2D"/>
    <w:rsid w:val="00B84949"/>
    <w:rsid w:val="00BA276C"/>
    <w:rsid w:val="00BB105E"/>
    <w:rsid w:val="00BB306F"/>
    <w:rsid w:val="00BB66DD"/>
    <w:rsid w:val="00BC7CEF"/>
    <w:rsid w:val="00BD165A"/>
    <w:rsid w:val="00BD4B89"/>
    <w:rsid w:val="00BD5922"/>
    <w:rsid w:val="00BF02CB"/>
    <w:rsid w:val="00BF6FD8"/>
    <w:rsid w:val="00C03680"/>
    <w:rsid w:val="00C054DF"/>
    <w:rsid w:val="00C21762"/>
    <w:rsid w:val="00C21FEF"/>
    <w:rsid w:val="00C24543"/>
    <w:rsid w:val="00C256A2"/>
    <w:rsid w:val="00C40EAF"/>
    <w:rsid w:val="00C44FE7"/>
    <w:rsid w:val="00C460FC"/>
    <w:rsid w:val="00C46AD2"/>
    <w:rsid w:val="00C51515"/>
    <w:rsid w:val="00C51CD0"/>
    <w:rsid w:val="00C5660B"/>
    <w:rsid w:val="00C66B72"/>
    <w:rsid w:val="00C87AC4"/>
    <w:rsid w:val="00C9567A"/>
    <w:rsid w:val="00CA777E"/>
    <w:rsid w:val="00CB212D"/>
    <w:rsid w:val="00CB2660"/>
    <w:rsid w:val="00CC5E90"/>
    <w:rsid w:val="00CD046C"/>
    <w:rsid w:val="00CD2E19"/>
    <w:rsid w:val="00CE076C"/>
    <w:rsid w:val="00CE336A"/>
    <w:rsid w:val="00CE5199"/>
    <w:rsid w:val="00CE66D5"/>
    <w:rsid w:val="00CF1DA2"/>
    <w:rsid w:val="00CF637A"/>
    <w:rsid w:val="00D056FB"/>
    <w:rsid w:val="00D059DE"/>
    <w:rsid w:val="00D05ABD"/>
    <w:rsid w:val="00D05C48"/>
    <w:rsid w:val="00D13FCE"/>
    <w:rsid w:val="00D306D1"/>
    <w:rsid w:val="00D30800"/>
    <w:rsid w:val="00D34786"/>
    <w:rsid w:val="00D3674E"/>
    <w:rsid w:val="00D37BFC"/>
    <w:rsid w:val="00D435EB"/>
    <w:rsid w:val="00D436B2"/>
    <w:rsid w:val="00D46257"/>
    <w:rsid w:val="00D47A8E"/>
    <w:rsid w:val="00D52D14"/>
    <w:rsid w:val="00D604CC"/>
    <w:rsid w:val="00D712D3"/>
    <w:rsid w:val="00D71422"/>
    <w:rsid w:val="00D726CC"/>
    <w:rsid w:val="00D72DC6"/>
    <w:rsid w:val="00D7558D"/>
    <w:rsid w:val="00D81D92"/>
    <w:rsid w:val="00DA7B5F"/>
    <w:rsid w:val="00DB01E4"/>
    <w:rsid w:val="00DC0AA1"/>
    <w:rsid w:val="00DC11E7"/>
    <w:rsid w:val="00DC46ED"/>
    <w:rsid w:val="00DC7023"/>
    <w:rsid w:val="00DC769A"/>
    <w:rsid w:val="00DC7F4E"/>
    <w:rsid w:val="00DD3D86"/>
    <w:rsid w:val="00DF1EC4"/>
    <w:rsid w:val="00E0340B"/>
    <w:rsid w:val="00E04A90"/>
    <w:rsid w:val="00E0551F"/>
    <w:rsid w:val="00E13B8A"/>
    <w:rsid w:val="00E219C7"/>
    <w:rsid w:val="00E4118C"/>
    <w:rsid w:val="00E43157"/>
    <w:rsid w:val="00E44D10"/>
    <w:rsid w:val="00E461CE"/>
    <w:rsid w:val="00E462A3"/>
    <w:rsid w:val="00E60150"/>
    <w:rsid w:val="00E720CA"/>
    <w:rsid w:val="00E752F3"/>
    <w:rsid w:val="00E77B34"/>
    <w:rsid w:val="00E84EB5"/>
    <w:rsid w:val="00E85662"/>
    <w:rsid w:val="00E86DFB"/>
    <w:rsid w:val="00E8789F"/>
    <w:rsid w:val="00E9340D"/>
    <w:rsid w:val="00E97B71"/>
    <w:rsid w:val="00EA285C"/>
    <w:rsid w:val="00EA2E98"/>
    <w:rsid w:val="00EA3D34"/>
    <w:rsid w:val="00EB3AC7"/>
    <w:rsid w:val="00EB454D"/>
    <w:rsid w:val="00EB7BFA"/>
    <w:rsid w:val="00ED549D"/>
    <w:rsid w:val="00ED76BE"/>
    <w:rsid w:val="00EE00E9"/>
    <w:rsid w:val="00EE6153"/>
    <w:rsid w:val="00EE78D8"/>
    <w:rsid w:val="00EE7D71"/>
    <w:rsid w:val="00EE7E10"/>
    <w:rsid w:val="00EF619B"/>
    <w:rsid w:val="00F00B55"/>
    <w:rsid w:val="00F02AD1"/>
    <w:rsid w:val="00F21665"/>
    <w:rsid w:val="00F253CC"/>
    <w:rsid w:val="00F37106"/>
    <w:rsid w:val="00F46CB9"/>
    <w:rsid w:val="00F47A21"/>
    <w:rsid w:val="00F519CF"/>
    <w:rsid w:val="00F56BA5"/>
    <w:rsid w:val="00F60922"/>
    <w:rsid w:val="00F60E22"/>
    <w:rsid w:val="00F81395"/>
    <w:rsid w:val="00F81BB8"/>
    <w:rsid w:val="00F83091"/>
    <w:rsid w:val="00F917D1"/>
    <w:rsid w:val="00F9653B"/>
    <w:rsid w:val="00FB62CF"/>
    <w:rsid w:val="00FC59F9"/>
    <w:rsid w:val="00FD2152"/>
    <w:rsid w:val="00FD3C3B"/>
    <w:rsid w:val="00FE07DD"/>
    <w:rsid w:val="00FE53C8"/>
    <w:rsid w:val="00FE6B45"/>
    <w:rsid w:val="00FE7BD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Arial Unicode MS" w:hAnsi="Cambria" w:cs="Calibri"/>
        <w:color w:val="000000"/>
        <w:sz w:val="16"/>
        <w:u w:color="000000"/>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9">
    <w:name w:val="heading 9"/>
    <w:basedOn w:val="Normal"/>
    <w:next w:val="Normal"/>
    <w:link w:val="Heading9Char"/>
    <w:uiPriority w:val="9"/>
    <w:semiHidden/>
    <w:unhideWhenUsed/>
    <w:qFormat/>
    <w:rsid w:val="00393A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sz w:val="24"/>
      <w:szCs w:val="24"/>
    </w:rPr>
  </w:style>
  <w:style w:type="paragraph" w:styleId="Footer">
    <w:name w:val="footer"/>
    <w:link w:val="FooterChar"/>
    <w:uiPriority w:val="99"/>
    <w:pPr>
      <w:tabs>
        <w:tab w:val="center" w:pos="4513"/>
        <w:tab w:val="right" w:pos="9026"/>
      </w:tabs>
    </w:pPr>
    <w:rPr>
      <w:rFonts w:eastAsia="Cambria" w:cs="Cambria"/>
      <w:sz w:val="24"/>
      <w:szCs w:val="24"/>
      <w:lang w:val="en-US"/>
    </w:rPr>
  </w:style>
  <w:style w:type="paragraph" w:customStyle="1" w:styleId="Cuerpo">
    <w:name w:val="Cuerpo"/>
    <w:rPr>
      <w:rFonts w:eastAsia="Cambria" w:cs="Cambria"/>
      <w:sz w:val="24"/>
      <w:szCs w:val="24"/>
    </w:rPr>
  </w:style>
  <w:style w:type="paragraph" w:styleId="BodyTextIndent">
    <w:name w:val="Body Text Indent"/>
    <w:pPr>
      <w:ind w:left="2160" w:hanging="720"/>
    </w:pPr>
    <w:rPr>
      <w:rFonts w:eastAsia="Times New Roman"/>
      <w:sz w:val="24"/>
      <w:szCs w:val="24"/>
      <w:lang w:val="es-ES_tradnl"/>
    </w:rPr>
  </w:style>
  <w:style w:type="paragraph" w:styleId="ListParagraph">
    <w:name w:val="List Paragraph"/>
    <w:uiPriority w:val="34"/>
    <w:qFormat/>
    <w:pPr>
      <w:ind w:left="720"/>
    </w:pPr>
    <w:rPr>
      <w:rFonts w:eastAsia="Cambria" w:cs="Cambria"/>
      <w:sz w:val="24"/>
      <w:szCs w:val="24"/>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393A62"/>
    <w:rPr>
      <w:rFonts w:asciiTheme="majorHAnsi" w:eastAsiaTheme="majorEastAsia" w:hAnsiTheme="majorHAnsi" w:cstheme="majorBidi"/>
      <w:i/>
      <w:iCs/>
      <w:color w:val="404040" w:themeColor="text1" w:themeTint="BF"/>
      <w:sz w:val="20"/>
    </w:rPr>
  </w:style>
  <w:style w:type="character" w:styleId="CommentReference">
    <w:name w:val="annotation reference"/>
    <w:basedOn w:val="DefaultParagraphFont"/>
    <w:uiPriority w:val="99"/>
    <w:semiHidden/>
    <w:unhideWhenUsed/>
    <w:rsid w:val="00021D76"/>
    <w:rPr>
      <w:sz w:val="16"/>
      <w:szCs w:val="16"/>
    </w:rPr>
  </w:style>
  <w:style w:type="paragraph" w:styleId="CommentText">
    <w:name w:val="annotation text"/>
    <w:basedOn w:val="Normal"/>
    <w:link w:val="CommentTextChar"/>
    <w:uiPriority w:val="99"/>
    <w:semiHidden/>
    <w:unhideWhenUsed/>
    <w:rsid w:val="00021D76"/>
    <w:rPr>
      <w:sz w:val="20"/>
    </w:rPr>
  </w:style>
  <w:style w:type="character" w:customStyle="1" w:styleId="CommentTextChar">
    <w:name w:val="Comment Text Char"/>
    <w:basedOn w:val="DefaultParagraphFont"/>
    <w:link w:val="CommentText"/>
    <w:uiPriority w:val="99"/>
    <w:semiHidden/>
    <w:rsid w:val="00021D76"/>
    <w:rPr>
      <w:sz w:val="20"/>
    </w:rPr>
  </w:style>
  <w:style w:type="paragraph" w:styleId="CommentSubject">
    <w:name w:val="annotation subject"/>
    <w:basedOn w:val="CommentText"/>
    <w:next w:val="CommentText"/>
    <w:link w:val="CommentSubjectChar"/>
    <w:uiPriority w:val="99"/>
    <w:semiHidden/>
    <w:unhideWhenUsed/>
    <w:rsid w:val="00021D76"/>
    <w:rPr>
      <w:b/>
      <w:bCs/>
    </w:rPr>
  </w:style>
  <w:style w:type="character" w:customStyle="1" w:styleId="CommentSubjectChar">
    <w:name w:val="Comment Subject Char"/>
    <w:basedOn w:val="CommentTextChar"/>
    <w:link w:val="CommentSubject"/>
    <w:uiPriority w:val="99"/>
    <w:semiHidden/>
    <w:rsid w:val="00021D76"/>
    <w:rPr>
      <w:b/>
      <w:bCs/>
      <w:sz w:val="20"/>
    </w:rPr>
  </w:style>
  <w:style w:type="paragraph" w:styleId="Revision">
    <w:name w:val="Revision"/>
    <w:hidden/>
    <w:uiPriority w:val="99"/>
    <w:semiHidden/>
    <w:rsid w:val="00E462A3"/>
    <w:pPr>
      <w:pBdr>
        <w:top w:val="none" w:sz="0" w:space="0" w:color="auto"/>
        <w:left w:val="none" w:sz="0" w:space="0" w:color="auto"/>
        <w:bottom w:val="none" w:sz="0" w:space="0" w:color="auto"/>
        <w:right w:val="none" w:sz="0" w:space="0" w:color="auto"/>
        <w:between w:val="none" w:sz="0" w:space="0" w:color="auto"/>
        <w:bar w:val="none" w:sz="0"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Arial Unicode MS" w:hAnsi="Cambria" w:cs="Calibri"/>
        <w:color w:val="000000"/>
        <w:sz w:val="16"/>
        <w:u w:color="000000"/>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9">
    <w:name w:val="heading 9"/>
    <w:basedOn w:val="Normal"/>
    <w:next w:val="Normal"/>
    <w:link w:val="Heading9Char"/>
    <w:uiPriority w:val="9"/>
    <w:semiHidden/>
    <w:unhideWhenUsed/>
    <w:qFormat/>
    <w:rsid w:val="00393A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sz w:val="24"/>
      <w:szCs w:val="24"/>
    </w:rPr>
  </w:style>
  <w:style w:type="paragraph" w:styleId="Footer">
    <w:name w:val="footer"/>
    <w:link w:val="FooterChar"/>
    <w:uiPriority w:val="99"/>
    <w:pPr>
      <w:tabs>
        <w:tab w:val="center" w:pos="4513"/>
        <w:tab w:val="right" w:pos="9026"/>
      </w:tabs>
    </w:pPr>
    <w:rPr>
      <w:rFonts w:eastAsia="Cambria" w:cs="Cambria"/>
      <w:sz w:val="24"/>
      <w:szCs w:val="24"/>
      <w:lang w:val="en-US"/>
    </w:rPr>
  </w:style>
  <w:style w:type="paragraph" w:customStyle="1" w:styleId="Cuerpo">
    <w:name w:val="Cuerpo"/>
    <w:rPr>
      <w:rFonts w:eastAsia="Cambria" w:cs="Cambria"/>
      <w:sz w:val="24"/>
      <w:szCs w:val="24"/>
    </w:rPr>
  </w:style>
  <w:style w:type="paragraph" w:styleId="BodyTextIndent">
    <w:name w:val="Body Text Indent"/>
    <w:pPr>
      <w:ind w:left="2160" w:hanging="720"/>
    </w:pPr>
    <w:rPr>
      <w:rFonts w:eastAsia="Times New Roman"/>
      <w:sz w:val="24"/>
      <w:szCs w:val="24"/>
      <w:lang w:val="es-ES_tradnl"/>
    </w:rPr>
  </w:style>
  <w:style w:type="paragraph" w:styleId="ListParagraph">
    <w:name w:val="List Paragraph"/>
    <w:uiPriority w:val="34"/>
    <w:qFormat/>
    <w:pPr>
      <w:ind w:left="720"/>
    </w:pPr>
    <w:rPr>
      <w:rFonts w:eastAsia="Cambria" w:cs="Cambria"/>
      <w:sz w:val="24"/>
      <w:szCs w:val="24"/>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393A62"/>
    <w:rPr>
      <w:rFonts w:asciiTheme="majorHAnsi" w:eastAsiaTheme="majorEastAsia" w:hAnsiTheme="majorHAnsi" w:cstheme="majorBidi"/>
      <w:i/>
      <w:iCs/>
      <w:color w:val="404040" w:themeColor="text1" w:themeTint="BF"/>
      <w:sz w:val="20"/>
    </w:rPr>
  </w:style>
  <w:style w:type="character" w:styleId="CommentReference">
    <w:name w:val="annotation reference"/>
    <w:basedOn w:val="DefaultParagraphFont"/>
    <w:uiPriority w:val="99"/>
    <w:semiHidden/>
    <w:unhideWhenUsed/>
    <w:rsid w:val="00021D76"/>
    <w:rPr>
      <w:sz w:val="16"/>
      <w:szCs w:val="16"/>
    </w:rPr>
  </w:style>
  <w:style w:type="paragraph" w:styleId="CommentText">
    <w:name w:val="annotation text"/>
    <w:basedOn w:val="Normal"/>
    <w:link w:val="CommentTextChar"/>
    <w:uiPriority w:val="99"/>
    <w:semiHidden/>
    <w:unhideWhenUsed/>
    <w:rsid w:val="00021D76"/>
    <w:rPr>
      <w:sz w:val="20"/>
    </w:rPr>
  </w:style>
  <w:style w:type="character" w:customStyle="1" w:styleId="CommentTextChar">
    <w:name w:val="Comment Text Char"/>
    <w:basedOn w:val="DefaultParagraphFont"/>
    <w:link w:val="CommentText"/>
    <w:uiPriority w:val="99"/>
    <w:semiHidden/>
    <w:rsid w:val="00021D76"/>
    <w:rPr>
      <w:sz w:val="20"/>
    </w:rPr>
  </w:style>
  <w:style w:type="paragraph" w:styleId="CommentSubject">
    <w:name w:val="annotation subject"/>
    <w:basedOn w:val="CommentText"/>
    <w:next w:val="CommentText"/>
    <w:link w:val="CommentSubjectChar"/>
    <w:uiPriority w:val="99"/>
    <w:semiHidden/>
    <w:unhideWhenUsed/>
    <w:rsid w:val="00021D76"/>
    <w:rPr>
      <w:b/>
      <w:bCs/>
    </w:rPr>
  </w:style>
  <w:style w:type="character" w:customStyle="1" w:styleId="CommentSubjectChar">
    <w:name w:val="Comment Subject Char"/>
    <w:basedOn w:val="CommentTextChar"/>
    <w:link w:val="CommentSubject"/>
    <w:uiPriority w:val="99"/>
    <w:semiHidden/>
    <w:rsid w:val="00021D76"/>
    <w:rPr>
      <w:b/>
      <w:bCs/>
      <w:sz w:val="20"/>
    </w:rPr>
  </w:style>
  <w:style w:type="paragraph" w:styleId="Revision">
    <w:name w:val="Revision"/>
    <w:hidden/>
    <w:uiPriority w:val="99"/>
    <w:semiHidden/>
    <w:rsid w:val="00E462A3"/>
    <w:pPr>
      <w:pBdr>
        <w:top w:val="none" w:sz="0" w:space="0" w:color="auto"/>
        <w:left w:val="none" w:sz="0" w:space="0" w:color="auto"/>
        <w:bottom w:val="none" w:sz="0" w:space="0" w:color="auto"/>
        <w:right w:val="none" w:sz="0" w:space="0" w:color="auto"/>
        <w:between w:val="none" w:sz="0" w:space="0" w:color="auto"/>
        <w:bar w:val="none" w:sz="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2833">
      <w:bodyDiv w:val="1"/>
      <w:marLeft w:val="0"/>
      <w:marRight w:val="0"/>
      <w:marTop w:val="0"/>
      <w:marBottom w:val="0"/>
      <w:divBdr>
        <w:top w:val="none" w:sz="0" w:space="0" w:color="auto"/>
        <w:left w:val="none" w:sz="0" w:space="0" w:color="auto"/>
        <w:bottom w:val="none" w:sz="0" w:space="0" w:color="auto"/>
        <w:right w:val="none" w:sz="0" w:space="0" w:color="auto"/>
      </w:divBdr>
      <w:divsChild>
        <w:div w:id="239218069">
          <w:marLeft w:val="0"/>
          <w:marRight w:val="0"/>
          <w:marTop w:val="0"/>
          <w:marBottom w:val="0"/>
          <w:divBdr>
            <w:top w:val="none" w:sz="0" w:space="0" w:color="auto"/>
            <w:left w:val="none" w:sz="0" w:space="0" w:color="auto"/>
            <w:bottom w:val="none" w:sz="0" w:space="0" w:color="auto"/>
            <w:right w:val="none" w:sz="0" w:space="0" w:color="auto"/>
          </w:divBdr>
          <w:divsChild>
            <w:div w:id="17577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7018">
      <w:bodyDiv w:val="1"/>
      <w:marLeft w:val="0"/>
      <w:marRight w:val="0"/>
      <w:marTop w:val="0"/>
      <w:marBottom w:val="0"/>
      <w:divBdr>
        <w:top w:val="none" w:sz="0" w:space="0" w:color="auto"/>
        <w:left w:val="none" w:sz="0" w:space="0" w:color="auto"/>
        <w:bottom w:val="none" w:sz="0" w:space="0" w:color="auto"/>
        <w:right w:val="none" w:sz="0" w:space="0" w:color="auto"/>
      </w:divBdr>
    </w:div>
    <w:div w:id="852450676">
      <w:bodyDiv w:val="1"/>
      <w:marLeft w:val="0"/>
      <w:marRight w:val="0"/>
      <w:marTop w:val="0"/>
      <w:marBottom w:val="0"/>
      <w:divBdr>
        <w:top w:val="none" w:sz="0" w:space="0" w:color="auto"/>
        <w:left w:val="none" w:sz="0" w:space="0" w:color="auto"/>
        <w:bottom w:val="none" w:sz="0" w:space="0" w:color="auto"/>
        <w:right w:val="none" w:sz="0" w:space="0" w:color="auto"/>
      </w:divBdr>
    </w:div>
    <w:div w:id="104189850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6CBA"/>
    <w:rsid w:val="00197A32"/>
    <w:rsid w:val="00231B3C"/>
    <w:rsid w:val="003023A6"/>
    <w:rsid w:val="00383EE3"/>
    <w:rsid w:val="00394049"/>
    <w:rsid w:val="003A326F"/>
    <w:rsid w:val="003F237F"/>
    <w:rsid w:val="0041393F"/>
    <w:rsid w:val="004F2DF8"/>
    <w:rsid w:val="0057126D"/>
    <w:rsid w:val="007E107C"/>
    <w:rsid w:val="007F5A1B"/>
    <w:rsid w:val="0099324A"/>
    <w:rsid w:val="009A261B"/>
    <w:rsid w:val="00A2105C"/>
    <w:rsid w:val="00A7049A"/>
    <w:rsid w:val="00AC15A4"/>
    <w:rsid w:val="00AF5591"/>
    <w:rsid w:val="00B0336C"/>
    <w:rsid w:val="00CE5D23"/>
    <w:rsid w:val="00D6078A"/>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6193-C355-4107-8507-A22F5F80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2461</Words>
  <Characters>14028</Characters>
  <Application>Microsoft Office Word</Application>
  <DocSecurity>0</DocSecurity>
  <Lines>116</Lines>
  <Paragraphs>32</Paragraphs>
  <ScaleCrop>false</ScaleCrop>
  <Company/>
  <LinksUpToDate>false</LinksUpToDate>
  <CharactersWithSpaces>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124/17</dc:title>
  <dc:creator/>
  <cp:lastModifiedBy/>
  <cp:revision>1</cp:revision>
  <dcterms:created xsi:type="dcterms:W3CDTF">2018-03-16T11:45:00Z</dcterms:created>
  <dcterms:modified xsi:type="dcterms:W3CDTF">2018-03-16T11:45:00Z</dcterms:modified>
</cp:coreProperties>
</file>