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40C3A" w:rsidRPr="0090270B" w:rsidRDefault="00D306D1" w:rsidP="00627C9F">
      <w:pPr>
        <w:jc w:val="both"/>
        <w:rPr>
          <w:rFonts w:asciiTheme="majorHAnsi" w:hAnsiTheme="majorHAnsi" w:cs="Univers"/>
          <w:b/>
          <w:bCs/>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4791422" wp14:editId="7406293A">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90270B">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26715A15" wp14:editId="6599AE05">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CB2660" w:rsidRDefault="00AE5488" w:rsidP="00AE5488">
                      <w:r>
                        <w:rPr>
                          <w:noProof/>
                        </w:rPr>
                        <w:drawing>
                          <wp:inline distT="0" distB="0" distL="0" distR="0" wp14:anchorId="3933D214" wp14:editId="140F1565">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sidR="007A5817">
                        <w:tab/>
                        <w:t xml:space="preserve">      </w:t>
                      </w:r>
                      <w:r w:rsidR="00CF637A">
                        <w:t xml:space="preserve">       </w:t>
                      </w:r>
                      <w:r w:rsidR="00D52D14">
                        <w:t xml:space="preserve">   </w:t>
                      </w:r>
                      <w:r w:rsidR="00CF637A">
                        <w:t xml:space="preserve">       </w:t>
                      </w:r>
                      <w:r w:rsidR="007A5817">
                        <w:t xml:space="preserve">       </w:t>
                      </w:r>
                    </w:p>
                  </w:txbxContent>
                </v:textbox>
              </v:shape>
            </w:pict>
          </mc:Fallback>
        </mc:AlternateContent>
      </w:r>
    </w:p>
    <w:p w:rsidR="00040C3A" w:rsidRPr="0090270B" w:rsidRDefault="00040C3A" w:rsidP="00040C3A">
      <w:pPr>
        <w:tabs>
          <w:tab w:val="center" w:pos="5400"/>
        </w:tabs>
        <w:suppressAutoHyphens/>
        <w:jc w:val="both"/>
        <w:rPr>
          <w:rFonts w:asciiTheme="majorHAnsi" w:hAnsiTheme="majorHAnsi"/>
          <w:sz w:val="22"/>
          <w:szCs w:val="22"/>
          <w:lang w:val="es-ES"/>
        </w:rPr>
      </w:pPr>
    </w:p>
    <w:p w:rsidR="00040C3A" w:rsidRPr="0090270B" w:rsidRDefault="00040C3A" w:rsidP="00040C3A">
      <w:pPr>
        <w:tabs>
          <w:tab w:val="center" w:pos="5400"/>
        </w:tabs>
        <w:suppressAutoHyphens/>
        <w:jc w:val="both"/>
        <w:rPr>
          <w:rFonts w:asciiTheme="majorHAnsi" w:hAnsiTheme="majorHAnsi"/>
          <w:sz w:val="22"/>
          <w:szCs w:val="22"/>
          <w:lang w:val="es-ES"/>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5128E4" w:rsidRPr="0090270B" w:rsidRDefault="005128E4" w:rsidP="00040C3A">
      <w:pPr>
        <w:tabs>
          <w:tab w:val="center" w:pos="5400"/>
        </w:tabs>
        <w:suppressAutoHyphens/>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040C3A" w:rsidRPr="0090270B" w:rsidRDefault="00040C3A"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5B52B0" w:rsidRPr="0090270B" w:rsidRDefault="005B52B0" w:rsidP="005128E4">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3D3BC2" w:rsidP="00040C3A">
      <w:pPr>
        <w:tabs>
          <w:tab w:val="center" w:pos="5400"/>
        </w:tabs>
        <w:suppressAutoHyphens/>
        <w:jc w:val="center"/>
        <w:rPr>
          <w:rFonts w:asciiTheme="majorHAnsi" w:hAnsiTheme="majorHAnsi"/>
          <w:sz w:val="22"/>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2431D62B" wp14:editId="26F1F216">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3685A">
                              <w:rPr>
                                <w:rFonts w:asciiTheme="majorHAnsi" w:hAnsiTheme="majorHAnsi" w:cs="Arial"/>
                                <w:b/>
                                <w:bCs/>
                                <w:color w:val="0D0D0D" w:themeColor="text1" w:themeTint="F2"/>
                                <w:sz w:val="36"/>
                                <w:szCs w:val="22"/>
                                <w:lang w:val="es-ES_tradnl"/>
                              </w:rPr>
                              <w:t xml:space="preserve"> </w:t>
                            </w:r>
                            <w:r w:rsidR="007F15A5">
                              <w:rPr>
                                <w:rFonts w:asciiTheme="majorHAnsi" w:hAnsiTheme="majorHAnsi" w:cs="Arial"/>
                                <w:b/>
                                <w:bCs/>
                                <w:color w:val="0D0D0D" w:themeColor="text1" w:themeTint="F2"/>
                                <w:sz w:val="36"/>
                                <w:szCs w:val="22"/>
                                <w:lang w:val="es-ES_tradnl"/>
                              </w:rPr>
                              <w:t>37</w:t>
                            </w:r>
                            <w:r w:rsidR="0063685A">
                              <w:rPr>
                                <w:rFonts w:asciiTheme="majorHAnsi" w:hAnsiTheme="majorHAnsi" w:cs="Arial"/>
                                <w:b/>
                                <w:bCs/>
                                <w:color w:val="0D0D0D" w:themeColor="text1" w:themeTint="F2"/>
                                <w:sz w:val="36"/>
                                <w:szCs w:val="22"/>
                                <w:lang w:val="es-ES_tradnl"/>
                              </w:rPr>
                              <w:t>/</w:t>
                            </w:r>
                            <w:r w:rsidR="00175C99">
                              <w:rPr>
                                <w:rFonts w:asciiTheme="majorHAnsi" w:hAnsiTheme="majorHAnsi" w:cs="Arial"/>
                                <w:b/>
                                <w:bCs/>
                                <w:color w:val="0D0D0D" w:themeColor="text1" w:themeTint="F2"/>
                                <w:sz w:val="36"/>
                                <w:szCs w:val="22"/>
                                <w:lang w:val="es-ES_tradnl"/>
                              </w:rPr>
                              <w:t>16</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628E">
                              <w:rPr>
                                <w:rFonts w:asciiTheme="majorHAnsi" w:hAnsiTheme="majorHAnsi" w:cs="Arial"/>
                                <w:b/>
                                <w:color w:val="0D0D0D" w:themeColor="text1" w:themeTint="F2"/>
                                <w:sz w:val="36"/>
                                <w:szCs w:val="22"/>
                                <w:lang w:val="es-ES_tradnl"/>
                              </w:rPr>
                              <w:t>124</w:t>
                            </w:r>
                            <w:r w:rsidR="00246D1F" w:rsidRPr="004E2649">
                              <w:rPr>
                                <w:rFonts w:asciiTheme="majorHAnsi" w:hAnsiTheme="majorHAnsi" w:cs="Arial"/>
                                <w:b/>
                                <w:color w:val="0D0D0D" w:themeColor="text1" w:themeTint="F2"/>
                                <w:sz w:val="36"/>
                                <w:szCs w:val="22"/>
                                <w:lang w:val="es-ES_tradnl"/>
                              </w:rPr>
                              <w:t>-</w:t>
                            </w:r>
                            <w:r w:rsidR="008F628E">
                              <w:rPr>
                                <w:rFonts w:asciiTheme="majorHAnsi" w:hAnsiTheme="majorHAnsi" w:cs="Arial"/>
                                <w:b/>
                                <w:color w:val="0D0D0D" w:themeColor="text1" w:themeTint="F2"/>
                                <w:sz w:val="36"/>
                                <w:szCs w:val="22"/>
                                <w:lang w:val="es-ES_tradnl"/>
                              </w:rPr>
                              <w:t>00</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8F628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NORKA MOYA SOLÍS</w:t>
                            </w:r>
                          </w:p>
                          <w:bookmarkEnd w:id="1"/>
                          <w:p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8F628E">
                              <w:rPr>
                                <w:rFonts w:asciiTheme="majorHAnsi" w:hAnsiTheme="majorHAnsi" w:cs="Arial"/>
                                <w:color w:val="0D0D0D" w:themeColor="text1" w:themeTint="F2"/>
                                <w:szCs w:val="22"/>
                                <w:lang w:val="es-ES_tradnl"/>
                              </w:rPr>
                              <w:t>ERÚ</w:t>
                            </w:r>
                          </w:p>
                          <w:p w:rsidR="005B52B0" w:rsidRPr="00AE5488" w:rsidRDefault="005B52B0"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5B52B0" w:rsidRPr="004E2649" w:rsidRDefault="005B52B0"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00477592" w:rsidRPr="00DC7023">
                        <w:rPr>
                          <w:rFonts w:asciiTheme="majorHAnsi" w:hAnsiTheme="majorHAnsi" w:cs="Arial"/>
                          <w:b/>
                          <w:bCs/>
                          <w:color w:val="0D0D0D" w:themeColor="text1" w:themeTint="F2"/>
                          <w:sz w:val="36"/>
                          <w:szCs w:val="40"/>
                          <w:lang w:val="es-ES_tradnl"/>
                        </w:rPr>
                        <w:t>No.</w:t>
                      </w:r>
                      <w:r w:rsidR="0063685A">
                        <w:rPr>
                          <w:rFonts w:asciiTheme="majorHAnsi" w:hAnsiTheme="majorHAnsi" w:cs="Arial"/>
                          <w:b/>
                          <w:bCs/>
                          <w:color w:val="0D0D0D" w:themeColor="text1" w:themeTint="F2"/>
                          <w:sz w:val="36"/>
                          <w:szCs w:val="22"/>
                          <w:lang w:val="es-ES_tradnl"/>
                        </w:rPr>
                        <w:t xml:space="preserve"> </w:t>
                      </w:r>
                      <w:r w:rsidR="007F15A5">
                        <w:rPr>
                          <w:rFonts w:asciiTheme="majorHAnsi" w:hAnsiTheme="majorHAnsi" w:cs="Arial"/>
                          <w:b/>
                          <w:bCs/>
                          <w:color w:val="0D0D0D" w:themeColor="text1" w:themeTint="F2"/>
                          <w:sz w:val="36"/>
                          <w:szCs w:val="22"/>
                          <w:lang w:val="es-ES_tradnl"/>
                        </w:rPr>
                        <w:t>37</w:t>
                      </w:r>
                      <w:r w:rsidR="0063685A">
                        <w:rPr>
                          <w:rFonts w:asciiTheme="majorHAnsi" w:hAnsiTheme="majorHAnsi" w:cs="Arial"/>
                          <w:b/>
                          <w:bCs/>
                          <w:color w:val="0D0D0D" w:themeColor="text1" w:themeTint="F2"/>
                          <w:sz w:val="36"/>
                          <w:szCs w:val="22"/>
                          <w:lang w:val="es-ES_tradnl"/>
                        </w:rPr>
                        <w:t>/</w:t>
                      </w:r>
                      <w:r w:rsidR="00175C99">
                        <w:rPr>
                          <w:rFonts w:asciiTheme="majorHAnsi" w:hAnsiTheme="majorHAnsi" w:cs="Arial"/>
                          <w:b/>
                          <w:bCs/>
                          <w:color w:val="0D0D0D" w:themeColor="text1" w:themeTint="F2"/>
                          <w:sz w:val="36"/>
                          <w:szCs w:val="22"/>
                          <w:lang w:val="es-ES_tradnl"/>
                        </w:rPr>
                        <w:t>16</w:t>
                      </w:r>
                    </w:p>
                    <w:p w:rsidR="005B52B0" w:rsidRPr="004E2649" w:rsidRDefault="005B52B0"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sidR="008F628E">
                        <w:rPr>
                          <w:rFonts w:asciiTheme="majorHAnsi" w:hAnsiTheme="majorHAnsi" w:cs="Arial"/>
                          <w:b/>
                          <w:color w:val="0D0D0D" w:themeColor="text1" w:themeTint="F2"/>
                          <w:sz w:val="36"/>
                          <w:szCs w:val="22"/>
                          <w:lang w:val="es-ES_tradnl"/>
                        </w:rPr>
                        <w:t>124</w:t>
                      </w:r>
                      <w:r w:rsidR="00246D1F" w:rsidRPr="004E2649">
                        <w:rPr>
                          <w:rFonts w:asciiTheme="majorHAnsi" w:hAnsiTheme="majorHAnsi" w:cs="Arial"/>
                          <w:b/>
                          <w:color w:val="0D0D0D" w:themeColor="text1" w:themeTint="F2"/>
                          <w:sz w:val="36"/>
                          <w:szCs w:val="22"/>
                          <w:lang w:val="es-ES_tradnl"/>
                        </w:rPr>
                        <w:t>-</w:t>
                      </w:r>
                      <w:r w:rsidR="008F628E">
                        <w:rPr>
                          <w:rFonts w:asciiTheme="majorHAnsi" w:hAnsiTheme="majorHAnsi" w:cs="Arial"/>
                          <w:b/>
                          <w:color w:val="0D0D0D" w:themeColor="text1" w:themeTint="F2"/>
                          <w:sz w:val="36"/>
                          <w:szCs w:val="22"/>
                          <w:lang w:val="es-ES_tradnl"/>
                        </w:rPr>
                        <w:t>00</w:t>
                      </w:r>
                      <w:r w:rsidR="00246D1F" w:rsidRPr="004E2649">
                        <w:rPr>
                          <w:rFonts w:asciiTheme="majorHAnsi" w:hAnsiTheme="majorHAnsi" w:cs="Arial"/>
                          <w:b/>
                          <w:color w:val="0D0D0D" w:themeColor="text1" w:themeTint="F2"/>
                          <w:sz w:val="36"/>
                          <w:szCs w:val="22"/>
                          <w:lang w:val="es-ES_tradnl"/>
                        </w:rPr>
                        <w:t xml:space="preserve"> </w:t>
                      </w:r>
                    </w:p>
                    <w:p w:rsidR="00CD046C" w:rsidRPr="0010736F" w:rsidRDefault="005B52B0"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INFORME DE ADMISIBILIDAD</w:t>
                      </w:r>
                      <w:r w:rsidR="00F519CF" w:rsidRPr="0010736F">
                        <w:rPr>
                          <w:rFonts w:asciiTheme="majorHAnsi" w:hAnsiTheme="majorHAnsi" w:cs="Arial"/>
                          <w:color w:val="0D0D0D" w:themeColor="text1" w:themeTint="F2"/>
                          <w:szCs w:val="22"/>
                          <w:lang w:val="es-ES_tradnl"/>
                        </w:rPr>
                        <w:t xml:space="preserve"> </w:t>
                      </w:r>
                    </w:p>
                    <w:p w:rsidR="008F1912" w:rsidRPr="0010736F" w:rsidRDefault="008F1912" w:rsidP="00997BC5">
                      <w:pPr>
                        <w:spacing w:line="276" w:lineRule="auto"/>
                        <w:rPr>
                          <w:rFonts w:asciiTheme="majorHAnsi" w:hAnsiTheme="majorHAnsi" w:cs="Arial"/>
                          <w:color w:val="0D0D0D" w:themeColor="text1" w:themeTint="F2"/>
                          <w:szCs w:val="22"/>
                          <w:lang w:val="es-ES_tradnl"/>
                        </w:rPr>
                      </w:pPr>
                      <w:bookmarkStart w:id="1" w:name="_ftnref1"/>
                    </w:p>
                    <w:p w:rsidR="005B52B0" w:rsidRPr="0010736F" w:rsidRDefault="008F628E"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NORKA MOYA SOLÍS</w:t>
                      </w:r>
                    </w:p>
                    <w:bookmarkEnd w:id="1"/>
                    <w:p w:rsidR="005B52B0" w:rsidRPr="0010736F" w:rsidRDefault="005B52B0" w:rsidP="00997BC5">
                      <w:pPr>
                        <w:spacing w:line="276" w:lineRule="auto"/>
                        <w:rPr>
                          <w:rFonts w:asciiTheme="majorHAnsi" w:hAnsiTheme="majorHAnsi" w:cs="Arial"/>
                          <w:color w:val="0D0D0D" w:themeColor="text1" w:themeTint="F2"/>
                          <w:szCs w:val="22"/>
                          <w:lang w:val="es-ES"/>
                        </w:rPr>
                      </w:pPr>
                      <w:r w:rsidRPr="0010736F">
                        <w:rPr>
                          <w:rFonts w:asciiTheme="majorHAnsi" w:hAnsiTheme="majorHAnsi" w:cs="Arial"/>
                          <w:color w:val="0D0D0D" w:themeColor="text1" w:themeTint="F2"/>
                          <w:szCs w:val="22"/>
                          <w:lang w:val="es-ES_tradnl"/>
                        </w:rPr>
                        <w:t>P</w:t>
                      </w:r>
                      <w:r w:rsidR="008F628E">
                        <w:rPr>
                          <w:rFonts w:asciiTheme="majorHAnsi" w:hAnsiTheme="majorHAnsi" w:cs="Arial"/>
                          <w:color w:val="0D0D0D" w:themeColor="text1" w:themeTint="F2"/>
                          <w:szCs w:val="22"/>
                          <w:lang w:val="es-ES_tradnl"/>
                        </w:rPr>
                        <w:t>ERÚ</w:t>
                      </w:r>
                    </w:p>
                    <w:p w:rsidR="005B52B0" w:rsidRPr="00AE5488" w:rsidRDefault="005B52B0" w:rsidP="007A5817">
                      <w:pPr>
                        <w:rPr>
                          <w:color w:val="0D0D0D" w:themeColor="text1" w:themeTint="F2"/>
                          <w:lang w:val="es-ES_tradnl"/>
                        </w:rPr>
                      </w:pPr>
                    </w:p>
                  </w:txbxContent>
                </v:textbox>
              </v:shape>
            </w:pict>
          </mc:Fallback>
        </mc:AlternateContent>
      </w:r>
      <w:r w:rsidR="004E2649" w:rsidRPr="0090270B">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AE0EDE4" wp14:editId="12130AA3">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27C9F" w:rsidRPr="00B21E94" w:rsidRDefault="00B21E94" w:rsidP="007A5817">
                            <w:pPr>
                              <w:spacing w:line="276" w:lineRule="auto"/>
                              <w:jc w:val="right"/>
                              <w:rPr>
                                <w:rFonts w:asciiTheme="minorHAnsi" w:hAnsiTheme="minorHAnsi"/>
                                <w:color w:val="FFFFFF" w:themeColor="background1"/>
                                <w:sz w:val="22"/>
                                <w:lang w:val="pt-BR"/>
                              </w:rPr>
                            </w:pPr>
                            <w:r w:rsidRPr="00B21E94">
                              <w:rPr>
                                <w:rFonts w:asciiTheme="minorHAnsi" w:hAnsiTheme="minorHAnsi"/>
                                <w:color w:val="FFFFFF" w:themeColor="background1"/>
                                <w:sz w:val="22"/>
                                <w:lang w:val="pt-BR"/>
                              </w:rPr>
                              <w:t>OEA/Ser.L/V/II.</w:t>
                            </w:r>
                          </w:p>
                          <w:p w:rsidR="00627C9F" w:rsidRPr="00B21E94" w:rsidRDefault="00627C9F" w:rsidP="007A5817">
                            <w:pPr>
                              <w:spacing w:line="276" w:lineRule="auto"/>
                              <w:jc w:val="right"/>
                              <w:rPr>
                                <w:rFonts w:asciiTheme="minorHAnsi" w:hAnsiTheme="minorHAnsi"/>
                                <w:color w:val="FFFFFF" w:themeColor="background1"/>
                                <w:sz w:val="22"/>
                                <w:lang w:val="pt-BR"/>
                              </w:rPr>
                            </w:pPr>
                            <w:r w:rsidRPr="00B21E94">
                              <w:rPr>
                                <w:rFonts w:asciiTheme="minorHAnsi" w:hAnsiTheme="minorHAnsi"/>
                                <w:color w:val="FFFFFF" w:themeColor="background1"/>
                                <w:sz w:val="22"/>
                                <w:lang w:val="pt-BR"/>
                              </w:rPr>
                              <w:t xml:space="preserve">Doc. </w:t>
                            </w:r>
                            <w:r w:rsidR="00B21E94" w:rsidRPr="00B21E94">
                              <w:rPr>
                                <w:rFonts w:asciiTheme="minorHAnsi" w:hAnsiTheme="minorHAnsi"/>
                                <w:color w:val="FFFFFF" w:themeColor="background1"/>
                                <w:sz w:val="22"/>
                                <w:lang w:val="pt-BR"/>
                              </w:rPr>
                              <w:t>42</w:t>
                            </w:r>
                          </w:p>
                          <w:p w:rsidR="00627C9F" w:rsidRPr="00B21E94" w:rsidRDefault="00B21E94" w:rsidP="007A5817">
                            <w:pPr>
                              <w:spacing w:line="276" w:lineRule="auto"/>
                              <w:jc w:val="right"/>
                              <w:rPr>
                                <w:rFonts w:asciiTheme="minorHAnsi" w:hAnsiTheme="minorHAnsi"/>
                                <w:color w:val="FFFFFF" w:themeColor="background1"/>
                                <w:sz w:val="22"/>
                              </w:rPr>
                            </w:pPr>
                            <w:r w:rsidRPr="00B21E94">
                              <w:rPr>
                                <w:rFonts w:asciiTheme="minorHAnsi" w:hAnsiTheme="minorHAnsi"/>
                                <w:color w:val="FFFFFF" w:themeColor="background1"/>
                                <w:sz w:val="22"/>
                              </w:rPr>
                              <w:t>12</w:t>
                            </w:r>
                            <w:r w:rsidR="00627C9F" w:rsidRPr="00B21E94">
                              <w:rPr>
                                <w:rFonts w:asciiTheme="minorHAnsi" w:hAnsiTheme="minorHAnsi"/>
                                <w:color w:val="FFFFFF" w:themeColor="background1"/>
                                <w:sz w:val="22"/>
                              </w:rPr>
                              <w:t xml:space="preserve"> </w:t>
                            </w:r>
                            <w:r>
                              <w:rPr>
                                <w:rFonts w:asciiTheme="minorHAnsi" w:hAnsiTheme="minorHAnsi"/>
                                <w:color w:val="FFFFFF" w:themeColor="background1"/>
                                <w:sz w:val="22"/>
                              </w:rPr>
                              <w:t>agosto</w:t>
                            </w:r>
                            <w:r w:rsidR="0063685A" w:rsidRPr="00B21E94">
                              <w:rPr>
                                <w:rFonts w:asciiTheme="minorHAnsi" w:hAnsiTheme="minorHAnsi"/>
                                <w:color w:val="FFFFFF" w:themeColor="background1"/>
                                <w:sz w:val="22"/>
                              </w:rPr>
                              <w:t xml:space="preserve"> 201</w:t>
                            </w:r>
                            <w:r w:rsidRPr="00B21E94">
                              <w:rPr>
                                <w:rFonts w:asciiTheme="minorHAnsi" w:hAnsiTheme="minorHAnsi"/>
                                <w:color w:val="FFFFFF" w:themeColor="background1"/>
                                <w:sz w:val="22"/>
                              </w:rPr>
                              <w:t>6</w:t>
                            </w:r>
                          </w:p>
                          <w:p w:rsidR="00627C9F" w:rsidRPr="00B21E94" w:rsidRDefault="00E0340B" w:rsidP="007A5817">
                            <w:pPr>
                              <w:spacing w:line="276" w:lineRule="auto"/>
                              <w:jc w:val="right"/>
                              <w:rPr>
                                <w:rFonts w:asciiTheme="minorHAnsi" w:hAnsiTheme="minorHAnsi"/>
                                <w:color w:val="FFFFFF" w:themeColor="background1"/>
                                <w:sz w:val="22"/>
                              </w:rPr>
                            </w:pPr>
                            <w:r w:rsidRPr="00B21E94">
                              <w:rPr>
                                <w:rFonts w:asciiTheme="minorHAnsi" w:hAnsiTheme="minorHAnsi"/>
                                <w:color w:val="FFFFFF" w:themeColor="background1"/>
                                <w:sz w:val="22"/>
                              </w:rPr>
                              <w:t xml:space="preserve">Original: </w:t>
                            </w:r>
                            <w:r w:rsidR="008B12F5" w:rsidRPr="00B21E94">
                              <w:rPr>
                                <w:rFonts w:asciiTheme="minorHAnsi" w:hAnsiTheme="minorHAnsi"/>
                                <w:color w:val="FFFFFF" w:themeColor="background1"/>
                                <w:sz w:val="22"/>
                              </w:rPr>
                              <w:t>e</w:t>
                            </w:r>
                            <w:r w:rsidR="00627C9F" w:rsidRPr="00B21E94">
                              <w:rPr>
                                <w:rFonts w:asciiTheme="minorHAnsi" w:hAnsiTheme="minorHAnsi"/>
                                <w:color w:val="FFFFFF" w:themeColor="background1"/>
                                <w:sz w:val="22"/>
                              </w:rPr>
                              <w:t>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627C9F" w:rsidRPr="00B21E94" w:rsidRDefault="00B21E94" w:rsidP="007A5817">
                      <w:pPr>
                        <w:spacing w:line="276" w:lineRule="auto"/>
                        <w:jc w:val="right"/>
                        <w:rPr>
                          <w:rFonts w:asciiTheme="minorHAnsi" w:hAnsiTheme="minorHAnsi"/>
                          <w:color w:val="FFFFFF" w:themeColor="background1"/>
                          <w:sz w:val="22"/>
                          <w:lang w:val="pt-BR"/>
                        </w:rPr>
                      </w:pPr>
                      <w:r w:rsidRPr="00B21E94">
                        <w:rPr>
                          <w:rFonts w:asciiTheme="minorHAnsi" w:hAnsiTheme="minorHAnsi"/>
                          <w:color w:val="FFFFFF" w:themeColor="background1"/>
                          <w:sz w:val="22"/>
                          <w:lang w:val="pt-BR"/>
                        </w:rPr>
                        <w:t>OEA/Ser.L/V/II.</w:t>
                      </w:r>
                    </w:p>
                    <w:p w:rsidR="00627C9F" w:rsidRPr="00B21E94" w:rsidRDefault="00627C9F" w:rsidP="007A5817">
                      <w:pPr>
                        <w:spacing w:line="276" w:lineRule="auto"/>
                        <w:jc w:val="right"/>
                        <w:rPr>
                          <w:rFonts w:asciiTheme="minorHAnsi" w:hAnsiTheme="minorHAnsi"/>
                          <w:color w:val="FFFFFF" w:themeColor="background1"/>
                          <w:sz w:val="22"/>
                          <w:lang w:val="pt-BR"/>
                        </w:rPr>
                      </w:pPr>
                      <w:r w:rsidRPr="00B21E94">
                        <w:rPr>
                          <w:rFonts w:asciiTheme="minorHAnsi" w:hAnsiTheme="minorHAnsi"/>
                          <w:color w:val="FFFFFF" w:themeColor="background1"/>
                          <w:sz w:val="22"/>
                          <w:lang w:val="pt-BR"/>
                        </w:rPr>
                        <w:t xml:space="preserve">Doc. </w:t>
                      </w:r>
                      <w:r w:rsidR="00B21E94" w:rsidRPr="00B21E94">
                        <w:rPr>
                          <w:rFonts w:asciiTheme="minorHAnsi" w:hAnsiTheme="minorHAnsi"/>
                          <w:color w:val="FFFFFF" w:themeColor="background1"/>
                          <w:sz w:val="22"/>
                          <w:lang w:val="pt-BR"/>
                        </w:rPr>
                        <w:t>42</w:t>
                      </w:r>
                    </w:p>
                    <w:p w:rsidR="00627C9F" w:rsidRPr="00B21E94" w:rsidRDefault="00B21E94" w:rsidP="007A5817">
                      <w:pPr>
                        <w:spacing w:line="276" w:lineRule="auto"/>
                        <w:jc w:val="right"/>
                        <w:rPr>
                          <w:rFonts w:asciiTheme="minorHAnsi" w:hAnsiTheme="minorHAnsi"/>
                          <w:color w:val="FFFFFF" w:themeColor="background1"/>
                          <w:sz w:val="22"/>
                        </w:rPr>
                      </w:pPr>
                      <w:r w:rsidRPr="00B21E94">
                        <w:rPr>
                          <w:rFonts w:asciiTheme="minorHAnsi" w:hAnsiTheme="minorHAnsi"/>
                          <w:color w:val="FFFFFF" w:themeColor="background1"/>
                          <w:sz w:val="22"/>
                        </w:rPr>
                        <w:t>12</w:t>
                      </w:r>
                      <w:r w:rsidR="00627C9F" w:rsidRPr="00B21E94">
                        <w:rPr>
                          <w:rFonts w:asciiTheme="minorHAnsi" w:hAnsiTheme="minorHAnsi"/>
                          <w:color w:val="FFFFFF" w:themeColor="background1"/>
                          <w:sz w:val="22"/>
                        </w:rPr>
                        <w:t xml:space="preserve"> </w:t>
                      </w:r>
                      <w:r>
                        <w:rPr>
                          <w:rFonts w:asciiTheme="minorHAnsi" w:hAnsiTheme="minorHAnsi"/>
                          <w:color w:val="FFFFFF" w:themeColor="background1"/>
                          <w:sz w:val="22"/>
                        </w:rPr>
                        <w:t>agosto</w:t>
                      </w:r>
                      <w:r w:rsidR="0063685A" w:rsidRPr="00B21E94">
                        <w:rPr>
                          <w:rFonts w:asciiTheme="minorHAnsi" w:hAnsiTheme="minorHAnsi"/>
                          <w:color w:val="FFFFFF" w:themeColor="background1"/>
                          <w:sz w:val="22"/>
                        </w:rPr>
                        <w:t xml:space="preserve"> 201</w:t>
                      </w:r>
                      <w:r w:rsidRPr="00B21E94">
                        <w:rPr>
                          <w:rFonts w:asciiTheme="minorHAnsi" w:hAnsiTheme="minorHAnsi"/>
                          <w:color w:val="FFFFFF" w:themeColor="background1"/>
                          <w:sz w:val="22"/>
                        </w:rPr>
                        <w:t>6</w:t>
                      </w:r>
                    </w:p>
                    <w:p w:rsidR="00627C9F" w:rsidRPr="00B21E94" w:rsidRDefault="00E0340B" w:rsidP="007A5817">
                      <w:pPr>
                        <w:spacing w:line="276" w:lineRule="auto"/>
                        <w:jc w:val="right"/>
                        <w:rPr>
                          <w:rFonts w:asciiTheme="minorHAnsi" w:hAnsiTheme="minorHAnsi"/>
                          <w:color w:val="FFFFFF" w:themeColor="background1"/>
                          <w:sz w:val="22"/>
                        </w:rPr>
                      </w:pPr>
                      <w:r w:rsidRPr="00B21E94">
                        <w:rPr>
                          <w:rFonts w:asciiTheme="minorHAnsi" w:hAnsiTheme="minorHAnsi"/>
                          <w:color w:val="FFFFFF" w:themeColor="background1"/>
                          <w:sz w:val="22"/>
                        </w:rPr>
                        <w:t xml:space="preserve">Original: </w:t>
                      </w:r>
                      <w:r w:rsidR="008B12F5" w:rsidRPr="00B21E94">
                        <w:rPr>
                          <w:rFonts w:asciiTheme="minorHAnsi" w:hAnsiTheme="minorHAnsi"/>
                          <w:color w:val="FFFFFF" w:themeColor="background1"/>
                          <w:sz w:val="22"/>
                        </w:rPr>
                        <w:t>e</w:t>
                      </w:r>
                      <w:r w:rsidR="00627C9F" w:rsidRPr="00B21E94">
                        <w:rPr>
                          <w:rFonts w:asciiTheme="minorHAnsi" w:hAnsiTheme="minorHAnsi"/>
                          <w:color w:val="FFFFFF" w:themeColor="background1"/>
                          <w:sz w:val="22"/>
                        </w:rPr>
                        <w:t>spañol</w:t>
                      </w:r>
                    </w:p>
                  </w:txbxContent>
                </v:textbox>
              </v:shape>
            </w:pict>
          </mc:Fallback>
        </mc:AlternateContent>
      </w: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cs="Arial"/>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5128E4" w:rsidRPr="0090270B" w:rsidRDefault="005128E4"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040C3A" w:rsidRPr="0090270B" w:rsidRDefault="00040C3A" w:rsidP="00040C3A">
      <w:pPr>
        <w:tabs>
          <w:tab w:val="center" w:pos="5400"/>
        </w:tabs>
        <w:suppressAutoHyphens/>
        <w:jc w:val="center"/>
        <w:rPr>
          <w:rFonts w:asciiTheme="majorHAnsi" w:hAnsiTheme="majorHAnsi"/>
          <w:sz w:val="22"/>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82E39A9" wp14:editId="7066B799">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w:t>
                            </w:r>
                            <w:r w:rsidR="007F15A5">
                              <w:rPr>
                                <w:rFonts w:asciiTheme="majorHAnsi" w:hAnsiTheme="majorHAnsi"/>
                                <w:color w:val="0D0D0D" w:themeColor="text1" w:themeTint="F2"/>
                                <w:sz w:val="18"/>
                                <w:szCs w:val="20"/>
                                <w:lang w:val="es-ES"/>
                              </w:rPr>
                              <w:t xml:space="preserve"> electrónicamente</w:t>
                            </w:r>
                            <w:r w:rsidRPr="00890650">
                              <w:rPr>
                                <w:rFonts w:asciiTheme="majorHAnsi" w:hAnsiTheme="majorHAnsi"/>
                                <w:color w:val="0D0D0D" w:themeColor="text1" w:themeTint="F2"/>
                                <w:sz w:val="18"/>
                                <w:szCs w:val="20"/>
                                <w:lang w:val="es-ES"/>
                              </w:rPr>
                              <w:t xml:space="preserve"> por la Comisión </w:t>
                            </w:r>
                            <w:r w:rsidR="007F15A5">
                              <w:rPr>
                                <w:rFonts w:asciiTheme="majorHAnsi" w:hAnsiTheme="majorHAnsi"/>
                                <w:color w:val="0D0D0D" w:themeColor="text1" w:themeTint="F2"/>
                                <w:sz w:val="18"/>
                                <w:szCs w:val="20"/>
                                <w:lang w:val="es-ES"/>
                              </w:rPr>
                              <w:t>12</w:t>
                            </w:r>
                            <w:r w:rsidRPr="00890650">
                              <w:rPr>
                                <w:rFonts w:asciiTheme="majorHAnsi" w:hAnsiTheme="majorHAnsi"/>
                                <w:color w:val="0D0D0D" w:themeColor="text1" w:themeTint="F2"/>
                                <w:sz w:val="18"/>
                                <w:szCs w:val="20"/>
                                <w:lang w:val="es-ES"/>
                              </w:rPr>
                              <w:t xml:space="preserve"> de</w:t>
                            </w:r>
                            <w:r w:rsidR="00BA6869">
                              <w:rPr>
                                <w:rFonts w:asciiTheme="majorHAnsi" w:hAnsiTheme="majorHAnsi"/>
                                <w:color w:val="0D0D0D" w:themeColor="text1" w:themeTint="F2"/>
                                <w:sz w:val="18"/>
                                <w:szCs w:val="20"/>
                                <w:lang w:val="es-ES"/>
                              </w:rPr>
                              <w:t xml:space="preserve"> agosto de </w:t>
                            </w:r>
                            <w:r w:rsidR="0063685A">
                              <w:rPr>
                                <w:rFonts w:asciiTheme="majorHAnsi" w:hAnsiTheme="majorHAnsi"/>
                                <w:color w:val="0D0D0D" w:themeColor="text1" w:themeTint="F2"/>
                                <w:sz w:val="18"/>
                                <w:szCs w:val="20"/>
                                <w:lang w:val="es-ES"/>
                              </w:rPr>
                              <w:t>201</w:t>
                            </w:r>
                            <w:r w:rsidR="00DE625D">
                              <w:rPr>
                                <w:rFonts w:asciiTheme="majorHAnsi" w:hAnsiTheme="majorHAnsi"/>
                                <w:color w:val="0D0D0D" w:themeColor="text1" w:themeTint="F2"/>
                                <w:sz w:val="18"/>
                                <w:szCs w:val="20"/>
                                <w:lang w:val="es-ES"/>
                              </w:rPr>
                              <w:t>6</w:t>
                            </w:r>
                            <w:r w:rsidR="00B21E94">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D3D86" w:rsidRPr="00890650" w:rsidRDefault="005B52B0" w:rsidP="00247403">
                      <w:pPr>
                        <w:tabs>
                          <w:tab w:val="center" w:pos="5400"/>
                        </w:tabs>
                        <w:suppressAutoHyphens/>
                        <w:spacing w:before="60"/>
                        <w:rPr>
                          <w:rFonts w:asciiTheme="majorHAnsi" w:hAnsiTheme="majorHAnsi" w:cs="Univers"/>
                          <w:color w:val="0D0D0D" w:themeColor="text1" w:themeTint="F2"/>
                          <w:sz w:val="18"/>
                          <w:szCs w:val="20"/>
                          <w:lang w:val="es-ES_tradnl"/>
                        </w:rPr>
                      </w:pPr>
                      <w:r w:rsidRPr="00890650">
                        <w:rPr>
                          <w:rFonts w:asciiTheme="majorHAnsi" w:hAnsiTheme="majorHAnsi"/>
                          <w:color w:val="0D0D0D" w:themeColor="text1" w:themeTint="F2"/>
                          <w:sz w:val="18"/>
                          <w:szCs w:val="20"/>
                          <w:lang w:val="es-ES"/>
                        </w:rPr>
                        <w:t>Aprobado</w:t>
                      </w:r>
                      <w:r w:rsidR="007F15A5">
                        <w:rPr>
                          <w:rFonts w:asciiTheme="majorHAnsi" w:hAnsiTheme="majorHAnsi"/>
                          <w:color w:val="0D0D0D" w:themeColor="text1" w:themeTint="F2"/>
                          <w:sz w:val="18"/>
                          <w:szCs w:val="20"/>
                          <w:lang w:val="es-ES"/>
                        </w:rPr>
                        <w:t xml:space="preserve"> electrónicamente</w:t>
                      </w:r>
                      <w:r w:rsidRPr="00890650">
                        <w:rPr>
                          <w:rFonts w:asciiTheme="majorHAnsi" w:hAnsiTheme="majorHAnsi"/>
                          <w:color w:val="0D0D0D" w:themeColor="text1" w:themeTint="F2"/>
                          <w:sz w:val="18"/>
                          <w:szCs w:val="20"/>
                          <w:lang w:val="es-ES"/>
                        </w:rPr>
                        <w:t xml:space="preserve"> por la Comisión </w:t>
                      </w:r>
                      <w:r w:rsidR="007F15A5">
                        <w:rPr>
                          <w:rFonts w:asciiTheme="majorHAnsi" w:hAnsiTheme="majorHAnsi"/>
                          <w:color w:val="0D0D0D" w:themeColor="text1" w:themeTint="F2"/>
                          <w:sz w:val="18"/>
                          <w:szCs w:val="20"/>
                          <w:lang w:val="es-ES"/>
                        </w:rPr>
                        <w:t>12</w:t>
                      </w:r>
                      <w:r w:rsidRPr="00890650">
                        <w:rPr>
                          <w:rFonts w:asciiTheme="majorHAnsi" w:hAnsiTheme="majorHAnsi"/>
                          <w:color w:val="0D0D0D" w:themeColor="text1" w:themeTint="F2"/>
                          <w:sz w:val="18"/>
                          <w:szCs w:val="20"/>
                          <w:lang w:val="es-ES"/>
                        </w:rPr>
                        <w:t xml:space="preserve"> de</w:t>
                      </w:r>
                      <w:r w:rsidR="00BA6869">
                        <w:rPr>
                          <w:rFonts w:asciiTheme="majorHAnsi" w:hAnsiTheme="majorHAnsi"/>
                          <w:color w:val="0D0D0D" w:themeColor="text1" w:themeTint="F2"/>
                          <w:sz w:val="18"/>
                          <w:szCs w:val="20"/>
                          <w:lang w:val="es-ES"/>
                        </w:rPr>
                        <w:t xml:space="preserve"> agosto de </w:t>
                      </w:r>
                      <w:r w:rsidR="0063685A">
                        <w:rPr>
                          <w:rFonts w:asciiTheme="majorHAnsi" w:hAnsiTheme="majorHAnsi"/>
                          <w:color w:val="0D0D0D" w:themeColor="text1" w:themeTint="F2"/>
                          <w:sz w:val="18"/>
                          <w:szCs w:val="20"/>
                          <w:lang w:val="es-ES"/>
                        </w:rPr>
                        <w:t>201</w:t>
                      </w:r>
                      <w:r w:rsidR="00DE625D">
                        <w:rPr>
                          <w:rFonts w:asciiTheme="majorHAnsi" w:hAnsiTheme="majorHAnsi"/>
                          <w:color w:val="0D0D0D" w:themeColor="text1" w:themeTint="F2"/>
                          <w:sz w:val="18"/>
                          <w:szCs w:val="20"/>
                          <w:lang w:val="es-ES"/>
                        </w:rPr>
                        <w:t>6</w:t>
                      </w:r>
                      <w:r w:rsidR="00B21E94">
                        <w:rPr>
                          <w:rFonts w:asciiTheme="majorHAnsi" w:hAnsiTheme="majorHAnsi"/>
                          <w:color w:val="0D0D0D" w:themeColor="text1" w:themeTint="F2"/>
                          <w:sz w:val="18"/>
                          <w:szCs w:val="20"/>
                          <w:lang w:val="es-ES"/>
                        </w:rPr>
                        <w:t>.</w:t>
                      </w:r>
                      <w:r w:rsidR="00E461CE" w:rsidRPr="00890650">
                        <w:rPr>
                          <w:rFonts w:asciiTheme="majorHAnsi" w:hAnsiTheme="majorHAnsi"/>
                          <w:color w:val="0D0D0D" w:themeColor="text1" w:themeTint="F2"/>
                          <w:sz w:val="18"/>
                          <w:szCs w:val="20"/>
                          <w:lang w:val="es-ES"/>
                        </w:rPr>
                        <w:br/>
                      </w:r>
                    </w:p>
                    <w:p w:rsidR="005B52B0" w:rsidRPr="00167A34" w:rsidRDefault="005B52B0"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A50FCF" w:rsidRPr="0090270B" w:rsidRDefault="0090270B" w:rsidP="00040C3A">
      <w:pPr>
        <w:tabs>
          <w:tab w:val="center" w:pos="5400"/>
        </w:tabs>
        <w:suppressAutoHyphens/>
        <w:jc w:val="center"/>
        <w:rPr>
          <w:rFonts w:asciiTheme="majorHAnsi" w:hAnsiTheme="majorHAnsi"/>
          <w:sz w:val="18"/>
          <w:szCs w:val="22"/>
          <w:lang w:val="es-ES_tradnl"/>
        </w:rPr>
      </w:pPr>
      <w:r w:rsidRPr="0090270B">
        <w:rPr>
          <w:rFonts w:asciiTheme="majorHAnsi" w:hAnsiTheme="majorHAnsi"/>
          <w:noProof/>
          <w:sz w:val="18"/>
          <w:szCs w:val="22"/>
        </w:rPr>
        <mc:AlternateContent>
          <mc:Choice Requires="wps">
            <w:drawing>
              <wp:anchor distT="0" distB="0" distL="114300" distR="114300" simplePos="0" relativeHeight="251678720" behindDoc="0" locked="0" layoutInCell="1" allowOverlap="1" wp14:anchorId="2F9E530E" wp14:editId="67E51E45">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13F73" w:rsidRPr="0063685A" w:rsidRDefault="00113F73" w:rsidP="00113F73">
                            <w:pPr>
                              <w:spacing w:line="276" w:lineRule="auto"/>
                              <w:rPr>
                                <w:rFonts w:asciiTheme="majorHAnsi" w:hAnsiTheme="majorHAnsi"/>
                                <w:color w:val="595959" w:themeColor="text1" w:themeTint="A6"/>
                                <w:sz w:val="18"/>
                                <w:szCs w:val="18"/>
                                <w:lang w:val="es-ES"/>
                              </w:rPr>
                            </w:pPr>
                            <w:r w:rsidRPr="00B21E94">
                              <w:rPr>
                                <w:rFonts w:asciiTheme="majorHAnsi" w:hAnsiTheme="majorHAnsi"/>
                                <w:b/>
                                <w:color w:val="595959" w:themeColor="text1" w:themeTint="A6"/>
                                <w:sz w:val="18"/>
                                <w:szCs w:val="18"/>
                                <w:lang w:val="es-ES"/>
                              </w:rPr>
                              <w:t>Citar como:</w:t>
                            </w:r>
                            <w:r w:rsidRPr="00B21E94">
                              <w:rPr>
                                <w:rFonts w:asciiTheme="majorHAnsi" w:hAnsiTheme="majorHAnsi"/>
                                <w:color w:val="595959" w:themeColor="text1" w:themeTint="A6"/>
                                <w:sz w:val="18"/>
                                <w:szCs w:val="18"/>
                                <w:lang w:val="es-ES"/>
                              </w:rPr>
                              <w:t xml:space="preserve"> CIDH, Informe No. </w:t>
                            </w:r>
                            <w:r w:rsidR="000652C1">
                              <w:rPr>
                                <w:rFonts w:asciiTheme="majorHAnsi" w:hAnsiTheme="majorHAnsi"/>
                                <w:color w:val="595959" w:themeColor="text1" w:themeTint="A6"/>
                                <w:sz w:val="18"/>
                                <w:szCs w:val="18"/>
                                <w:lang w:val="es-ES_tradnl"/>
                              </w:rPr>
                              <w:t>37</w:t>
                            </w:r>
                            <w:r w:rsidR="00DC3B4E">
                              <w:rPr>
                                <w:rFonts w:asciiTheme="majorHAnsi" w:hAnsiTheme="majorHAnsi"/>
                                <w:color w:val="595959" w:themeColor="text1" w:themeTint="A6"/>
                                <w:sz w:val="18"/>
                                <w:szCs w:val="18"/>
                                <w:lang w:val="es-ES_tradnl"/>
                              </w:rPr>
                              <w:t>/</w:t>
                            </w:r>
                            <w:r w:rsidR="000652C1">
                              <w:rPr>
                                <w:rFonts w:asciiTheme="majorHAnsi" w:hAnsiTheme="majorHAnsi"/>
                                <w:color w:val="595959" w:themeColor="text1" w:themeTint="A6"/>
                                <w:sz w:val="18"/>
                                <w:szCs w:val="18"/>
                                <w:lang w:val="es-ES_tradnl"/>
                              </w:rPr>
                              <w:t>16</w:t>
                            </w:r>
                            <w:r w:rsidR="00DC3B4E">
                              <w:rPr>
                                <w:rFonts w:asciiTheme="majorHAnsi" w:hAnsiTheme="majorHAnsi"/>
                                <w:color w:val="595959" w:themeColor="text1" w:themeTint="A6"/>
                                <w:sz w:val="18"/>
                                <w:szCs w:val="18"/>
                                <w:lang w:val="es-ES_tradnl"/>
                              </w:rPr>
                              <w:t>, Petición 124-00</w:t>
                            </w:r>
                            <w:r w:rsidRPr="00890650">
                              <w:rPr>
                                <w:rFonts w:asciiTheme="majorHAnsi" w:hAnsiTheme="majorHAnsi"/>
                                <w:color w:val="595959" w:themeColor="text1" w:themeTint="A6"/>
                                <w:sz w:val="18"/>
                                <w:szCs w:val="18"/>
                                <w:lang w:val="es-ES_tradnl"/>
                              </w:rPr>
                              <w:t>.</w:t>
                            </w:r>
                            <w:r w:rsidR="00DC3B4E">
                              <w:rPr>
                                <w:rFonts w:asciiTheme="majorHAnsi" w:hAnsiTheme="majorHAnsi"/>
                                <w:color w:val="595959" w:themeColor="text1" w:themeTint="A6"/>
                                <w:sz w:val="18"/>
                                <w:szCs w:val="18"/>
                                <w:lang w:val="es-ES_tradnl"/>
                              </w:rPr>
                              <w:t xml:space="preserve"> Admisibilidad</w:t>
                            </w:r>
                            <w:r w:rsidRPr="00890650">
                              <w:rPr>
                                <w:rFonts w:asciiTheme="majorHAnsi" w:hAnsiTheme="majorHAnsi"/>
                                <w:color w:val="595959" w:themeColor="text1" w:themeTint="A6"/>
                                <w:sz w:val="18"/>
                                <w:szCs w:val="18"/>
                                <w:lang w:val="es-ES_tradnl"/>
                              </w:rPr>
                              <w:t xml:space="preserve">. </w:t>
                            </w:r>
                            <w:r w:rsidR="00DC3B4E">
                              <w:rPr>
                                <w:rFonts w:asciiTheme="majorHAnsi" w:hAnsiTheme="majorHAnsi"/>
                                <w:color w:val="595959" w:themeColor="text1" w:themeTint="A6"/>
                                <w:sz w:val="18"/>
                                <w:szCs w:val="18"/>
                                <w:lang w:val="es-ES_tradnl"/>
                              </w:rPr>
                              <w:t>Norka Moya Solís. Perú.</w:t>
                            </w:r>
                            <w:r w:rsidRPr="00890650">
                              <w:rPr>
                                <w:rFonts w:asciiTheme="majorHAnsi" w:hAnsiTheme="majorHAnsi"/>
                                <w:color w:val="595959" w:themeColor="text1" w:themeTint="A6"/>
                                <w:sz w:val="18"/>
                                <w:szCs w:val="18"/>
                                <w:lang w:val="es-ES_tradnl"/>
                              </w:rPr>
                              <w:t xml:space="preserve"> </w:t>
                            </w:r>
                            <w:r w:rsidR="000652C1">
                              <w:rPr>
                                <w:rFonts w:asciiTheme="majorHAnsi" w:hAnsiTheme="majorHAnsi"/>
                                <w:color w:val="595959" w:themeColor="text1" w:themeTint="A6"/>
                                <w:sz w:val="18"/>
                                <w:szCs w:val="18"/>
                                <w:lang w:val="es-ES_tradnl"/>
                              </w:rPr>
                              <w:t>12 de agosto de 2016</w:t>
                            </w:r>
                            <w:r w:rsidRPr="0063685A">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113F73" w:rsidRPr="0063685A" w:rsidRDefault="00113F73"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0652C1">
                        <w:rPr>
                          <w:rFonts w:asciiTheme="majorHAnsi" w:hAnsiTheme="majorHAnsi"/>
                          <w:color w:val="595959" w:themeColor="text1" w:themeTint="A6"/>
                          <w:sz w:val="18"/>
                          <w:szCs w:val="18"/>
                          <w:lang w:val="es-ES_tradnl"/>
                        </w:rPr>
                        <w:t>37</w:t>
                      </w:r>
                      <w:r w:rsidR="00DC3B4E">
                        <w:rPr>
                          <w:rFonts w:asciiTheme="majorHAnsi" w:hAnsiTheme="majorHAnsi"/>
                          <w:color w:val="595959" w:themeColor="text1" w:themeTint="A6"/>
                          <w:sz w:val="18"/>
                          <w:szCs w:val="18"/>
                          <w:lang w:val="es-ES_tradnl"/>
                        </w:rPr>
                        <w:t>/</w:t>
                      </w:r>
                      <w:r w:rsidR="000652C1">
                        <w:rPr>
                          <w:rFonts w:asciiTheme="majorHAnsi" w:hAnsiTheme="majorHAnsi"/>
                          <w:color w:val="595959" w:themeColor="text1" w:themeTint="A6"/>
                          <w:sz w:val="18"/>
                          <w:szCs w:val="18"/>
                          <w:lang w:val="es-ES_tradnl"/>
                        </w:rPr>
                        <w:t>16</w:t>
                      </w:r>
                      <w:r w:rsidR="00DC3B4E">
                        <w:rPr>
                          <w:rFonts w:asciiTheme="majorHAnsi" w:hAnsiTheme="majorHAnsi"/>
                          <w:color w:val="595959" w:themeColor="text1" w:themeTint="A6"/>
                          <w:sz w:val="18"/>
                          <w:szCs w:val="18"/>
                          <w:lang w:val="es-ES_tradnl"/>
                        </w:rPr>
                        <w:t>, Petición 124-00</w:t>
                      </w:r>
                      <w:r w:rsidRPr="00890650">
                        <w:rPr>
                          <w:rFonts w:asciiTheme="majorHAnsi" w:hAnsiTheme="majorHAnsi"/>
                          <w:color w:val="595959" w:themeColor="text1" w:themeTint="A6"/>
                          <w:sz w:val="18"/>
                          <w:szCs w:val="18"/>
                          <w:lang w:val="es-ES_tradnl"/>
                        </w:rPr>
                        <w:t>.</w:t>
                      </w:r>
                      <w:r w:rsidR="00DC3B4E">
                        <w:rPr>
                          <w:rFonts w:asciiTheme="majorHAnsi" w:hAnsiTheme="majorHAnsi"/>
                          <w:color w:val="595959" w:themeColor="text1" w:themeTint="A6"/>
                          <w:sz w:val="18"/>
                          <w:szCs w:val="18"/>
                          <w:lang w:val="es-ES_tradnl"/>
                        </w:rPr>
                        <w:t xml:space="preserve"> Admisibilidad</w:t>
                      </w:r>
                      <w:r w:rsidRPr="00890650">
                        <w:rPr>
                          <w:rFonts w:asciiTheme="majorHAnsi" w:hAnsiTheme="majorHAnsi"/>
                          <w:color w:val="595959" w:themeColor="text1" w:themeTint="A6"/>
                          <w:sz w:val="18"/>
                          <w:szCs w:val="18"/>
                          <w:lang w:val="es-ES_tradnl"/>
                        </w:rPr>
                        <w:t xml:space="preserve">. </w:t>
                      </w:r>
                      <w:proofErr w:type="spellStart"/>
                      <w:r w:rsidR="00DC3B4E">
                        <w:rPr>
                          <w:rFonts w:asciiTheme="majorHAnsi" w:hAnsiTheme="majorHAnsi"/>
                          <w:color w:val="595959" w:themeColor="text1" w:themeTint="A6"/>
                          <w:sz w:val="18"/>
                          <w:szCs w:val="18"/>
                          <w:lang w:val="es-ES_tradnl"/>
                        </w:rPr>
                        <w:t>Norka</w:t>
                      </w:r>
                      <w:proofErr w:type="spellEnd"/>
                      <w:r w:rsidR="00DC3B4E">
                        <w:rPr>
                          <w:rFonts w:asciiTheme="majorHAnsi" w:hAnsiTheme="majorHAnsi"/>
                          <w:color w:val="595959" w:themeColor="text1" w:themeTint="A6"/>
                          <w:sz w:val="18"/>
                          <w:szCs w:val="18"/>
                          <w:lang w:val="es-ES_tradnl"/>
                        </w:rPr>
                        <w:t xml:space="preserve"> Moya Solís. Perú.</w:t>
                      </w:r>
                      <w:r w:rsidRPr="00890650">
                        <w:rPr>
                          <w:rFonts w:asciiTheme="majorHAnsi" w:hAnsiTheme="majorHAnsi"/>
                          <w:color w:val="595959" w:themeColor="text1" w:themeTint="A6"/>
                          <w:sz w:val="18"/>
                          <w:szCs w:val="18"/>
                          <w:lang w:val="es-ES_tradnl"/>
                        </w:rPr>
                        <w:t xml:space="preserve"> </w:t>
                      </w:r>
                      <w:r w:rsidR="000652C1">
                        <w:rPr>
                          <w:rFonts w:asciiTheme="majorHAnsi" w:hAnsiTheme="majorHAnsi"/>
                          <w:color w:val="595959" w:themeColor="text1" w:themeTint="A6"/>
                          <w:sz w:val="18"/>
                          <w:szCs w:val="18"/>
                          <w:lang w:val="es-ES_tradnl"/>
                        </w:rPr>
                        <w:t>12 de agosto de 2016</w:t>
                      </w:r>
                      <w:r w:rsidRPr="0063685A">
                        <w:rPr>
                          <w:rFonts w:asciiTheme="majorHAnsi" w:hAnsiTheme="majorHAnsi"/>
                          <w:color w:val="595959" w:themeColor="text1" w:themeTint="A6"/>
                          <w:sz w:val="18"/>
                          <w:szCs w:val="18"/>
                          <w:lang w:val="es-ES"/>
                        </w:rPr>
                        <w:t>.</w:t>
                      </w:r>
                      <w:bookmarkStart w:id="3" w:name="_GoBack"/>
                      <w:bookmarkEnd w:id="3"/>
                    </w:p>
                  </w:txbxContent>
                </v:textbox>
              </v:shape>
            </w:pict>
          </mc:Fallback>
        </mc:AlternateContent>
      </w:r>
    </w:p>
    <w:p w:rsidR="00A50FCF" w:rsidRPr="0090270B" w:rsidRDefault="00A50FCF" w:rsidP="00040C3A">
      <w:pPr>
        <w:tabs>
          <w:tab w:val="center" w:pos="5400"/>
        </w:tabs>
        <w:suppressAutoHyphens/>
        <w:jc w:val="center"/>
        <w:rPr>
          <w:rFonts w:asciiTheme="majorHAnsi" w:hAnsiTheme="majorHAnsi"/>
          <w:sz w:val="18"/>
          <w:szCs w:val="22"/>
          <w:lang w:val="es-ES_tradnl"/>
        </w:rPr>
      </w:pPr>
    </w:p>
    <w:p w:rsidR="0090270B" w:rsidRDefault="00D306D1" w:rsidP="005516A1">
      <w:pPr>
        <w:tabs>
          <w:tab w:val="center" w:pos="5400"/>
        </w:tabs>
        <w:suppressAutoHyphens/>
        <w:jc w:val="center"/>
        <w:rPr>
          <w:rFonts w:asciiTheme="majorHAnsi" w:hAnsiTheme="majorHAnsi"/>
          <w:b/>
          <w:sz w:val="20"/>
          <w:lang w:val="es-ES_tradnl"/>
        </w:rPr>
      </w:pPr>
      <w:r>
        <w:rPr>
          <w:rFonts w:asciiTheme="majorHAnsi" w:hAnsiTheme="majorHAnsi"/>
          <w:noProof/>
          <w:sz w:val="18"/>
          <w:szCs w:val="22"/>
        </w:rPr>
        <mc:AlternateContent>
          <mc:Choice Requires="wps">
            <w:drawing>
              <wp:anchor distT="0" distB="0" distL="114300" distR="114300" simplePos="0" relativeHeight="251680768" behindDoc="0" locked="0" layoutInCell="1" allowOverlap="1" wp14:anchorId="4B2EBCFF" wp14:editId="5B157161">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72DC6" w:rsidRPr="00D72DC6" w:rsidRDefault="00D72DC6" w:rsidP="00F02AD1">
                      <w:pPr>
                        <w:rPr>
                          <w:color w:val="FFFFFF" w:themeColor="background1"/>
                          <w14:textFill>
                            <w14:noFill/>
                          </w14:textFill>
                        </w:rPr>
                      </w:pPr>
                      <w:r w:rsidRPr="00D72DC6">
                        <w:rPr>
                          <w:noProof/>
                          <w:color w:val="FFFFFF" w:themeColor="background1"/>
                          <w14:textFill>
                            <w14:noFill/>
                          </w14:textFill>
                        </w:rPr>
                        <w:drawing>
                          <wp:inline distT="0" distB="0" distL="0" distR="0" wp14:anchorId="38BB9D09" wp14:editId="10842A21">
                            <wp:extent cx="1338942" cy="390525"/>
                            <wp:effectExtent l="0" t="0" r="0" b="0"/>
                            <wp:docPr id="15" name="Picture 15" descr="C:\Users\mfontana\Documents\Eva Fontana\GRAFICA CIDH\cartas\logos\oea-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83" cy="400074"/>
                                    </a:xfrm>
                                    <a:prstGeom prst="rect">
                                      <a:avLst/>
                                    </a:prstGeom>
                                    <a:noFill/>
                                    <a:ln>
                                      <a:noFill/>
                                    </a:ln>
                                  </pic:spPr>
                                </pic:pic>
                              </a:graphicData>
                            </a:graphic>
                          </wp:inline>
                        </w:drawing>
                      </w:r>
                    </w:p>
                  </w:txbxContent>
                </v:textbox>
              </v:shape>
            </w:pict>
          </mc:Fallback>
        </mc:AlternateContent>
      </w:r>
      <w:r w:rsidRPr="00625030">
        <w:rPr>
          <w:rFonts w:asciiTheme="majorHAnsi" w:hAnsiTheme="majorHAnsi"/>
          <w:noProof/>
          <w:sz w:val="22"/>
          <w:szCs w:val="22"/>
        </w:rPr>
        <mc:AlternateContent>
          <mc:Choice Requires="wps">
            <w:drawing>
              <wp:anchor distT="0" distB="0" distL="114300" distR="114300" simplePos="0" relativeHeight="251682816" behindDoc="0" locked="0" layoutInCell="1" allowOverlap="1" wp14:anchorId="70E92519" wp14:editId="3B41177C">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306D1" w:rsidRPr="004B7EB6" w:rsidRDefault="00D306D1"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Default="0070697F" w:rsidP="005516A1">
      <w:pPr>
        <w:tabs>
          <w:tab w:val="center" w:pos="5400"/>
        </w:tabs>
        <w:suppressAutoHyphens/>
        <w:jc w:val="center"/>
        <w:rPr>
          <w:rFonts w:asciiTheme="majorHAnsi" w:hAnsiTheme="majorHAnsi"/>
          <w:b/>
          <w:sz w:val="20"/>
          <w:lang w:val="es-ES_tradnl"/>
        </w:rPr>
        <w:sectPr w:rsidR="0070697F" w:rsidSect="00C054DF">
          <w:headerReference w:type="even" r:id="rId13"/>
          <w:headerReference w:type="default" r:id="rId14"/>
          <w:footerReference w:type="even" r:id="rId15"/>
          <w:footerReference w:type="default" r:id="rId16"/>
          <w:headerReference w:type="first" r:id="rId17"/>
          <w:footerReference w:type="first" r:id="rId18"/>
          <w:type w:val="oddPage"/>
          <w:pgSz w:w="12240" w:h="15840"/>
          <w:pgMar w:top="1440" w:right="1440" w:bottom="1440" w:left="1440" w:header="720" w:footer="720" w:gutter="0"/>
          <w:pgNumType w:start="0"/>
          <w:cols w:space="720"/>
          <w:titlePg/>
          <w:docGrid w:linePitch="326"/>
        </w:sectPr>
      </w:pPr>
    </w:p>
    <w:p w:rsidR="00722C9F" w:rsidRPr="00722C9F" w:rsidRDefault="00114FF3" w:rsidP="00722C9F">
      <w:pPr>
        <w:tabs>
          <w:tab w:val="center" w:pos="5400"/>
        </w:tabs>
        <w:suppressAutoHyphens/>
        <w:spacing w:line="276" w:lineRule="auto"/>
        <w:jc w:val="center"/>
        <w:rPr>
          <w:rFonts w:asciiTheme="majorHAnsi" w:hAnsiTheme="majorHAnsi"/>
          <w:b/>
          <w:sz w:val="18"/>
          <w:szCs w:val="20"/>
          <w:lang w:val="es-ES_tradnl"/>
        </w:rPr>
      </w:pPr>
      <w:r>
        <w:rPr>
          <w:rFonts w:asciiTheme="majorHAnsi" w:hAnsiTheme="majorHAnsi"/>
          <w:b/>
          <w:sz w:val="18"/>
          <w:szCs w:val="20"/>
          <w:lang w:val="es-ES_tradnl"/>
        </w:rPr>
        <w:lastRenderedPageBreak/>
        <w:t xml:space="preserve">INFORME </w:t>
      </w:r>
      <w:r w:rsidR="007F15A5">
        <w:rPr>
          <w:rFonts w:asciiTheme="majorHAnsi" w:hAnsiTheme="majorHAnsi"/>
          <w:b/>
          <w:sz w:val="18"/>
          <w:szCs w:val="20"/>
          <w:lang w:val="es-ES_tradnl"/>
        </w:rPr>
        <w:t>No. 37</w:t>
      </w:r>
      <w:r>
        <w:rPr>
          <w:rFonts w:asciiTheme="majorHAnsi" w:hAnsiTheme="majorHAnsi"/>
          <w:b/>
          <w:sz w:val="18"/>
          <w:szCs w:val="20"/>
          <w:lang w:val="es-ES_tradnl"/>
        </w:rPr>
        <w:t>/</w:t>
      </w:r>
      <w:r w:rsidR="00175C99">
        <w:rPr>
          <w:rFonts w:asciiTheme="majorHAnsi" w:hAnsiTheme="majorHAnsi"/>
          <w:b/>
          <w:sz w:val="18"/>
          <w:szCs w:val="20"/>
          <w:lang w:val="es-ES_tradnl"/>
        </w:rPr>
        <w:t>16</w:t>
      </w:r>
      <w:r w:rsidR="00DC3B4E">
        <w:rPr>
          <w:rStyle w:val="FootnoteReference"/>
          <w:rFonts w:asciiTheme="majorHAnsi" w:hAnsiTheme="majorHAnsi"/>
          <w:b/>
          <w:sz w:val="18"/>
          <w:szCs w:val="20"/>
          <w:lang w:val="es-ES_tradnl"/>
        </w:rPr>
        <w:footnoteReference w:id="2"/>
      </w:r>
    </w:p>
    <w:p w:rsidR="00722C9F" w:rsidRPr="00722C9F" w:rsidRDefault="00722C9F" w:rsidP="00722C9F">
      <w:pPr>
        <w:tabs>
          <w:tab w:val="center" w:pos="5400"/>
        </w:tabs>
        <w:suppressAutoHyphens/>
        <w:spacing w:line="276" w:lineRule="auto"/>
        <w:jc w:val="center"/>
        <w:rPr>
          <w:rFonts w:asciiTheme="majorHAnsi" w:hAnsiTheme="majorHAnsi"/>
          <w:b/>
          <w:sz w:val="18"/>
          <w:szCs w:val="20"/>
          <w:lang w:val="es-ES_tradnl"/>
        </w:rPr>
      </w:pPr>
      <w:r w:rsidRPr="00722C9F">
        <w:rPr>
          <w:rFonts w:asciiTheme="majorHAnsi" w:hAnsiTheme="majorHAnsi"/>
          <w:b/>
          <w:sz w:val="18"/>
          <w:szCs w:val="20"/>
          <w:lang w:val="es-ES_tradnl"/>
        </w:rPr>
        <w:t xml:space="preserve">PETICIÓN </w:t>
      </w:r>
      <w:r w:rsidR="008F628E">
        <w:rPr>
          <w:rFonts w:asciiTheme="majorHAnsi" w:hAnsiTheme="majorHAnsi"/>
          <w:b/>
          <w:sz w:val="18"/>
          <w:szCs w:val="20"/>
          <w:lang w:val="es-ES_tradnl"/>
        </w:rPr>
        <w:t>124</w:t>
      </w:r>
      <w:r w:rsidRPr="00722C9F">
        <w:rPr>
          <w:rFonts w:asciiTheme="majorHAnsi" w:hAnsiTheme="majorHAnsi"/>
          <w:b/>
          <w:sz w:val="18"/>
          <w:szCs w:val="20"/>
          <w:lang w:val="es-ES_tradnl"/>
        </w:rPr>
        <w:t>-</w:t>
      </w:r>
      <w:r w:rsidR="008F628E">
        <w:rPr>
          <w:rFonts w:asciiTheme="majorHAnsi" w:hAnsiTheme="majorHAnsi"/>
          <w:b/>
          <w:sz w:val="18"/>
          <w:szCs w:val="20"/>
          <w:lang w:val="es-ES_tradnl"/>
        </w:rPr>
        <w:t>00</w:t>
      </w:r>
    </w:p>
    <w:p w:rsidR="00722C9F" w:rsidRPr="00722C9F" w:rsidRDefault="006E0457"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INFORME DE ADMISIBILIDAD</w:t>
      </w:r>
    </w:p>
    <w:p w:rsidR="00722C9F" w:rsidRPr="00722C9F" w:rsidRDefault="008F628E"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NORKA MOYA SOLÍS</w:t>
      </w:r>
    </w:p>
    <w:p w:rsidR="0070697F" w:rsidRDefault="008F628E"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PERÚ</w:t>
      </w:r>
    </w:p>
    <w:p w:rsidR="00722C9F" w:rsidRDefault="007F15A5" w:rsidP="00722C9F">
      <w:pPr>
        <w:tabs>
          <w:tab w:val="center" w:pos="5400"/>
        </w:tabs>
        <w:suppressAutoHyphens/>
        <w:spacing w:line="276" w:lineRule="auto"/>
        <w:jc w:val="center"/>
        <w:rPr>
          <w:rFonts w:asciiTheme="majorHAnsi" w:hAnsiTheme="majorHAnsi"/>
          <w:sz w:val="18"/>
          <w:szCs w:val="20"/>
          <w:lang w:val="es-ES_tradnl"/>
        </w:rPr>
      </w:pPr>
      <w:r>
        <w:rPr>
          <w:rFonts w:asciiTheme="majorHAnsi" w:hAnsiTheme="majorHAnsi"/>
          <w:sz w:val="18"/>
          <w:szCs w:val="20"/>
          <w:lang w:val="es-ES_tradnl"/>
        </w:rPr>
        <w:t>12 DE AGOSTO DE 2016</w:t>
      </w:r>
    </w:p>
    <w:p w:rsidR="00722C9F" w:rsidRDefault="00722C9F" w:rsidP="00722C9F">
      <w:pPr>
        <w:tabs>
          <w:tab w:val="center" w:pos="5400"/>
        </w:tabs>
        <w:suppressAutoHyphens/>
        <w:spacing w:line="276" w:lineRule="auto"/>
        <w:jc w:val="center"/>
        <w:rPr>
          <w:rFonts w:asciiTheme="majorHAnsi" w:hAnsiTheme="majorHAnsi"/>
          <w:sz w:val="18"/>
          <w:szCs w:val="20"/>
          <w:lang w:val="es-ES_tradnl"/>
        </w:rPr>
      </w:pPr>
    </w:p>
    <w:p w:rsidR="0063685A" w:rsidRPr="00B45867" w:rsidRDefault="0063685A" w:rsidP="00833085">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I.</w:t>
      </w:r>
      <w:r w:rsidRPr="0063685A">
        <w:rPr>
          <w:rFonts w:asciiTheme="majorHAnsi" w:hAnsiTheme="majorHAnsi"/>
          <w:b/>
          <w:bCs/>
          <w:sz w:val="20"/>
          <w:szCs w:val="20"/>
          <w:lang w:val="es-UY"/>
        </w:rPr>
        <w:tab/>
        <w:t>RESUMEN</w:t>
      </w:r>
    </w:p>
    <w:p w:rsidR="004B3263" w:rsidRPr="00C84F9C" w:rsidRDefault="0063685A" w:rsidP="008330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63685A">
        <w:rPr>
          <w:rFonts w:asciiTheme="majorHAnsi" w:hAnsiTheme="majorHAnsi"/>
          <w:sz w:val="20"/>
          <w:szCs w:val="20"/>
          <w:lang w:val="es-UY"/>
        </w:rPr>
        <w:t xml:space="preserve">El </w:t>
      </w:r>
      <w:r w:rsidR="008F628E">
        <w:rPr>
          <w:rFonts w:asciiTheme="majorHAnsi" w:hAnsiTheme="majorHAnsi"/>
          <w:sz w:val="20"/>
          <w:szCs w:val="20"/>
          <w:lang w:val="es-UY"/>
        </w:rPr>
        <w:t>2</w:t>
      </w:r>
      <w:r w:rsidR="005F0F8E">
        <w:rPr>
          <w:rFonts w:asciiTheme="majorHAnsi" w:hAnsiTheme="majorHAnsi"/>
          <w:sz w:val="20"/>
          <w:szCs w:val="20"/>
          <w:lang w:val="es-UY"/>
        </w:rPr>
        <w:t>2</w:t>
      </w:r>
      <w:r w:rsidR="008F628E">
        <w:rPr>
          <w:rFonts w:asciiTheme="majorHAnsi" w:hAnsiTheme="majorHAnsi"/>
          <w:sz w:val="20"/>
          <w:szCs w:val="20"/>
          <w:lang w:val="es-UY"/>
        </w:rPr>
        <w:t xml:space="preserve"> de marzo de 2000,</w:t>
      </w:r>
      <w:r w:rsidRPr="0063685A">
        <w:rPr>
          <w:rFonts w:asciiTheme="majorHAnsi" w:hAnsiTheme="majorHAnsi"/>
          <w:sz w:val="20"/>
          <w:szCs w:val="20"/>
          <w:lang w:val="es-UY"/>
        </w:rPr>
        <w:t xml:space="preserve"> la Comisión Interamericana de Derechos Humanos (en adelante, “la Comisión Interamericana”</w:t>
      </w:r>
      <w:r w:rsidR="008F628E">
        <w:rPr>
          <w:rFonts w:asciiTheme="majorHAnsi" w:hAnsiTheme="majorHAnsi"/>
          <w:sz w:val="20"/>
          <w:szCs w:val="20"/>
          <w:lang w:val="es-UY"/>
        </w:rPr>
        <w:t>, “la Comisión”</w:t>
      </w:r>
      <w:r w:rsidRPr="0063685A">
        <w:rPr>
          <w:rFonts w:asciiTheme="majorHAnsi" w:hAnsiTheme="majorHAnsi"/>
          <w:sz w:val="20"/>
          <w:szCs w:val="20"/>
          <w:lang w:val="es-UY"/>
        </w:rPr>
        <w:t xml:space="preserve"> o “la CIDH”) recibió una petición presentada por </w:t>
      </w:r>
      <w:r w:rsidR="008F628E">
        <w:rPr>
          <w:rFonts w:asciiTheme="majorHAnsi" w:hAnsiTheme="majorHAnsi"/>
          <w:sz w:val="20"/>
          <w:szCs w:val="20"/>
          <w:lang w:val="es-UY"/>
        </w:rPr>
        <w:t>Norka Moya Solís</w:t>
      </w:r>
      <w:r w:rsidRPr="0063685A">
        <w:rPr>
          <w:rFonts w:asciiTheme="majorHAnsi" w:hAnsiTheme="majorHAnsi"/>
          <w:sz w:val="20"/>
          <w:szCs w:val="20"/>
          <w:lang w:val="es-UY"/>
        </w:rPr>
        <w:t xml:space="preserve"> (en adelante, “</w:t>
      </w:r>
      <w:r w:rsidR="00E31CB0">
        <w:rPr>
          <w:rFonts w:asciiTheme="majorHAnsi" w:hAnsiTheme="majorHAnsi"/>
          <w:sz w:val="20"/>
          <w:szCs w:val="20"/>
          <w:lang w:val="es-UY"/>
        </w:rPr>
        <w:t>la peticionaria</w:t>
      </w:r>
      <w:r w:rsidRPr="0063685A">
        <w:rPr>
          <w:rFonts w:asciiTheme="majorHAnsi" w:hAnsiTheme="majorHAnsi"/>
          <w:sz w:val="20"/>
          <w:szCs w:val="20"/>
          <w:lang w:val="es-UY"/>
        </w:rPr>
        <w:t>”</w:t>
      </w:r>
      <w:r w:rsidR="00E31CB0">
        <w:rPr>
          <w:rFonts w:asciiTheme="majorHAnsi" w:hAnsiTheme="majorHAnsi"/>
          <w:sz w:val="20"/>
          <w:szCs w:val="20"/>
          <w:lang w:val="es-UY"/>
        </w:rPr>
        <w:t xml:space="preserve"> o “la presunta víctima”</w:t>
      </w:r>
      <w:r w:rsidRPr="0063685A">
        <w:rPr>
          <w:rFonts w:asciiTheme="majorHAnsi" w:hAnsiTheme="majorHAnsi"/>
          <w:sz w:val="20"/>
          <w:szCs w:val="20"/>
          <w:lang w:val="es-UY"/>
        </w:rPr>
        <w:t xml:space="preserve">) contra </w:t>
      </w:r>
      <w:r w:rsidR="00E31CB0">
        <w:rPr>
          <w:rFonts w:asciiTheme="majorHAnsi" w:hAnsiTheme="majorHAnsi"/>
          <w:sz w:val="20"/>
          <w:szCs w:val="20"/>
          <w:lang w:val="es-UY"/>
        </w:rPr>
        <w:t>la República de Perú</w:t>
      </w:r>
      <w:r w:rsidRPr="0063685A">
        <w:rPr>
          <w:rFonts w:asciiTheme="majorHAnsi" w:hAnsiTheme="majorHAnsi"/>
          <w:sz w:val="20"/>
          <w:szCs w:val="20"/>
          <w:lang w:val="es-UY"/>
        </w:rPr>
        <w:t xml:space="preserve"> (en adelante, “</w:t>
      </w:r>
      <w:r w:rsidR="00E31CB0">
        <w:rPr>
          <w:rFonts w:asciiTheme="majorHAnsi" w:hAnsiTheme="majorHAnsi"/>
          <w:sz w:val="20"/>
          <w:szCs w:val="20"/>
          <w:lang w:val="es-UY"/>
        </w:rPr>
        <w:t>Perú” o “el Estado”)</w:t>
      </w:r>
      <w:r w:rsidR="00632FB9">
        <w:rPr>
          <w:rFonts w:asciiTheme="majorHAnsi" w:hAnsiTheme="majorHAnsi"/>
          <w:sz w:val="20"/>
          <w:szCs w:val="20"/>
          <w:lang w:val="es-UY"/>
        </w:rPr>
        <w:t xml:space="preserve"> por </w:t>
      </w:r>
      <w:r w:rsidR="007953B2">
        <w:rPr>
          <w:rFonts w:asciiTheme="majorHAnsi" w:hAnsiTheme="majorHAnsi"/>
          <w:sz w:val="20"/>
          <w:szCs w:val="20"/>
          <w:lang w:val="es-UY"/>
        </w:rPr>
        <w:t xml:space="preserve">las </w:t>
      </w:r>
      <w:r w:rsidR="007A6BF0">
        <w:rPr>
          <w:rFonts w:asciiTheme="majorHAnsi" w:hAnsiTheme="majorHAnsi"/>
          <w:sz w:val="20"/>
          <w:szCs w:val="20"/>
          <w:lang w:val="es-UY"/>
        </w:rPr>
        <w:t>alegadas</w:t>
      </w:r>
      <w:r w:rsidR="007953B2">
        <w:rPr>
          <w:rFonts w:asciiTheme="majorHAnsi" w:hAnsiTheme="majorHAnsi"/>
          <w:sz w:val="20"/>
          <w:szCs w:val="20"/>
          <w:lang w:val="es-UY"/>
        </w:rPr>
        <w:t xml:space="preserve"> violaciones </w:t>
      </w:r>
      <w:r w:rsidR="0072428A">
        <w:rPr>
          <w:rFonts w:asciiTheme="majorHAnsi" w:hAnsiTheme="majorHAnsi"/>
          <w:sz w:val="20"/>
          <w:szCs w:val="20"/>
          <w:lang w:val="es-UY"/>
        </w:rPr>
        <w:t>cometidas por el Poder J</w:t>
      </w:r>
      <w:r w:rsidR="00632FB9">
        <w:rPr>
          <w:rFonts w:asciiTheme="majorHAnsi" w:hAnsiTheme="majorHAnsi"/>
          <w:sz w:val="20"/>
          <w:szCs w:val="20"/>
          <w:lang w:val="es-UY"/>
        </w:rPr>
        <w:t>udicial</w:t>
      </w:r>
      <w:r w:rsidR="00CA2E44">
        <w:rPr>
          <w:rFonts w:asciiTheme="majorHAnsi" w:hAnsiTheme="majorHAnsi"/>
          <w:sz w:val="20"/>
          <w:szCs w:val="20"/>
          <w:lang w:val="es-UY"/>
        </w:rPr>
        <w:t xml:space="preserve"> del Estado, </w:t>
      </w:r>
      <w:r w:rsidR="0072428A">
        <w:rPr>
          <w:rFonts w:asciiTheme="majorHAnsi" w:hAnsiTheme="majorHAnsi"/>
          <w:sz w:val="20"/>
          <w:szCs w:val="20"/>
          <w:lang w:val="es-UY"/>
        </w:rPr>
        <w:t xml:space="preserve">el cual la </w:t>
      </w:r>
      <w:r w:rsidR="00693938">
        <w:rPr>
          <w:rFonts w:asciiTheme="majorHAnsi" w:hAnsiTheme="majorHAnsi"/>
          <w:sz w:val="20"/>
          <w:szCs w:val="20"/>
          <w:lang w:val="es-UY"/>
        </w:rPr>
        <w:t>habría alejado</w:t>
      </w:r>
      <w:r w:rsidR="0072428A">
        <w:rPr>
          <w:rFonts w:asciiTheme="majorHAnsi" w:hAnsiTheme="majorHAnsi"/>
          <w:sz w:val="20"/>
          <w:szCs w:val="20"/>
          <w:lang w:val="es-UY"/>
        </w:rPr>
        <w:t xml:space="preserve"> de su cargo como secretaria judicial</w:t>
      </w:r>
      <w:r w:rsidR="00756221">
        <w:rPr>
          <w:rFonts w:asciiTheme="majorHAnsi" w:hAnsiTheme="majorHAnsi"/>
          <w:sz w:val="20"/>
          <w:szCs w:val="20"/>
          <w:lang w:val="es-UY"/>
        </w:rPr>
        <w:t xml:space="preserve"> arbitraria</w:t>
      </w:r>
      <w:r w:rsidR="007A6BF0">
        <w:rPr>
          <w:rFonts w:asciiTheme="majorHAnsi" w:hAnsiTheme="majorHAnsi"/>
          <w:sz w:val="20"/>
          <w:szCs w:val="20"/>
          <w:lang w:val="es-UY"/>
        </w:rPr>
        <w:t>mente</w:t>
      </w:r>
      <w:r w:rsidR="00756221">
        <w:rPr>
          <w:rFonts w:asciiTheme="majorHAnsi" w:hAnsiTheme="majorHAnsi"/>
          <w:sz w:val="20"/>
          <w:szCs w:val="20"/>
          <w:lang w:val="es-UY"/>
        </w:rPr>
        <w:t xml:space="preserve"> </w:t>
      </w:r>
      <w:r w:rsidR="00596F07">
        <w:rPr>
          <w:rFonts w:asciiTheme="majorHAnsi" w:hAnsiTheme="majorHAnsi"/>
          <w:sz w:val="20"/>
          <w:szCs w:val="20"/>
          <w:lang w:val="es-UY"/>
        </w:rPr>
        <w:t>e inobserv</w:t>
      </w:r>
      <w:r w:rsidR="00693938">
        <w:rPr>
          <w:rFonts w:asciiTheme="majorHAnsi" w:hAnsiTheme="majorHAnsi"/>
          <w:sz w:val="20"/>
          <w:szCs w:val="20"/>
          <w:lang w:val="es-UY"/>
        </w:rPr>
        <w:t>ado</w:t>
      </w:r>
      <w:r w:rsidR="00596F07">
        <w:rPr>
          <w:rFonts w:asciiTheme="majorHAnsi" w:hAnsiTheme="majorHAnsi"/>
          <w:sz w:val="20"/>
          <w:szCs w:val="20"/>
          <w:lang w:val="es-UY"/>
        </w:rPr>
        <w:t xml:space="preserve"> </w:t>
      </w:r>
      <w:r w:rsidR="004E6AC9">
        <w:rPr>
          <w:rFonts w:asciiTheme="majorHAnsi" w:hAnsiTheme="majorHAnsi"/>
          <w:sz w:val="20"/>
          <w:szCs w:val="20"/>
          <w:lang w:val="es-UY"/>
        </w:rPr>
        <w:t>las garantías del debido proceso</w:t>
      </w:r>
      <w:r w:rsidR="0072428A">
        <w:rPr>
          <w:rFonts w:asciiTheme="majorHAnsi" w:hAnsiTheme="majorHAnsi"/>
          <w:sz w:val="20"/>
          <w:szCs w:val="20"/>
          <w:lang w:val="es-UY"/>
        </w:rPr>
        <w:t xml:space="preserve"> </w:t>
      </w:r>
      <w:r w:rsidR="00596F07">
        <w:rPr>
          <w:rFonts w:asciiTheme="majorHAnsi" w:hAnsiTheme="majorHAnsi"/>
          <w:sz w:val="20"/>
          <w:szCs w:val="20"/>
          <w:lang w:val="es-UY"/>
        </w:rPr>
        <w:t>al analizar</w:t>
      </w:r>
      <w:r w:rsidR="00756221">
        <w:rPr>
          <w:rFonts w:asciiTheme="majorHAnsi" w:hAnsiTheme="majorHAnsi"/>
          <w:sz w:val="20"/>
          <w:szCs w:val="20"/>
          <w:lang w:val="es-UY"/>
        </w:rPr>
        <w:t xml:space="preserve"> sus reclamos por dicha destitución. </w:t>
      </w:r>
    </w:p>
    <w:p w:rsidR="00BC40C4" w:rsidRPr="00C84F9C" w:rsidRDefault="004B3263" w:rsidP="008330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4B3263">
        <w:rPr>
          <w:rFonts w:asciiTheme="majorHAnsi" w:eastAsia="SimSun" w:hAnsiTheme="majorHAnsi"/>
          <w:sz w:val="20"/>
          <w:szCs w:val="20"/>
          <w:lang w:val="es-UY"/>
        </w:rPr>
        <w:t>La peticionaria</w:t>
      </w:r>
      <w:r w:rsidR="0063685A" w:rsidRPr="004B3263">
        <w:rPr>
          <w:rFonts w:asciiTheme="majorHAnsi" w:eastAsia="SimSun" w:hAnsiTheme="majorHAnsi"/>
          <w:sz w:val="20"/>
          <w:szCs w:val="20"/>
          <w:lang w:val="es-UY"/>
        </w:rPr>
        <w:t xml:space="preserve"> sostiene que </w:t>
      </w:r>
      <w:r w:rsidR="00682705">
        <w:rPr>
          <w:rFonts w:asciiTheme="majorHAnsi" w:eastAsia="SimSun" w:hAnsiTheme="majorHAnsi"/>
          <w:sz w:val="20"/>
          <w:szCs w:val="20"/>
          <w:lang w:val="es-UY"/>
        </w:rPr>
        <w:t xml:space="preserve">el Estado </w:t>
      </w:r>
      <w:r w:rsidR="00693938">
        <w:rPr>
          <w:rFonts w:asciiTheme="majorHAnsi" w:eastAsia="SimSun" w:hAnsiTheme="majorHAnsi"/>
          <w:sz w:val="20"/>
          <w:szCs w:val="20"/>
          <w:lang w:val="es-UY"/>
        </w:rPr>
        <w:t>violó</w:t>
      </w:r>
      <w:r w:rsidR="00682705">
        <w:rPr>
          <w:rFonts w:asciiTheme="majorHAnsi" w:eastAsia="SimSun" w:hAnsiTheme="majorHAnsi"/>
          <w:sz w:val="20"/>
          <w:szCs w:val="20"/>
          <w:lang w:val="es-UY"/>
        </w:rPr>
        <w:t xml:space="preserve"> su derecho a</w:t>
      </w:r>
      <w:r w:rsidR="00EA5483">
        <w:rPr>
          <w:rFonts w:asciiTheme="majorHAnsi" w:eastAsia="SimSun" w:hAnsiTheme="majorHAnsi"/>
          <w:sz w:val="20"/>
          <w:szCs w:val="20"/>
          <w:lang w:val="es-UY"/>
        </w:rPr>
        <w:t xml:space="preserve"> la integridad personal, a </w:t>
      </w:r>
      <w:r w:rsidR="00682705">
        <w:rPr>
          <w:rFonts w:asciiTheme="majorHAnsi" w:eastAsia="SimSun" w:hAnsiTheme="majorHAnsi"/>
          <w:sz w:val="20"/>
          <w:szCs w:val="20"/>
          <w:lang w:val="es-UY"/>
        </w:rPr>
        <w:t>las garant</w:t>
      </w:r>
      <w:r w:rsidR="00BC337F">
        <w:rPr>
          <w:rFonts w:asciiTheme="majorHAnsi" w:eastAsia="SimSun" w:hAnsiTheme="majorHAnsi"/>
          <w:sz w:val="20"/>
          <w:szCs w:val="20"/>
          <w:lang w:val="es-UY"/>
        </w:rPr>
        <w:t>ías judi</w:t>
      </w:r>
      <w:r w:rsidR="00682705">
        <w:rPr>
          <w:rFonts w:asciiTheme="majorHAnsi" w:eastAsia="SimSun" w:hAnsiTheme="majorHAnsi"/>
          <w:sz w:val="20"/>
          <w:szCs w:val="20"/>
          <w:lang w:val="es-UY"/>
        </w:rPr>
        <w:t>c</w:t>
      </w:r>
      <w:r w:rsidR="00BC337F">
        <w:rPr>
          <w:rFonts w:asciiTheme="majorHAnsi" w:eastAsia="SimSun" w:hAnsiTheme="majorHAnsi"/>
          <w:sz w:val="20"/>
          <w:szCs w:val="20"/>
          <w:lang w:val="es-UY"/>
        </w:rPr>
        <w:t>i</w:t>
      </w:r>
      <w:r w:rsidR="00EA5483">
        <w:rPr>
          <w:rFonts w:asciiTheme="majorHAnsi" w:eastAsia="SimSun" w:hAnsiTheme="majorHAnsi"/>
          <w:sz w:val="20"/>
          <w:szCs w:val="20"/>
          <w:lang w:val="es-UY"/>
        </w:rPr>
        <w:t>ales, a la protección de la honra y dignidad</w:t>
      </w:r>
      <w:r w:rsidR="002468D1">
        <w:rPr>
          <w:rFonts w:asciiTheme="majorHAnsi" w:eastAsia="SimSun" w:hAnsiTheme="majorHAnsi"/>
          <w:sz w:val="20"/>
          <w:szCs w:val="20"/>
          <w:lang w:val="es-UY"/>
        </w:rPr>
        <w:t xml:space="preserve"> y</w:t>
      </w:r>
      <w:r w:rsidR="00EA5483">
        <w:rPr>
          <w:rFonts w:asciiTheme="majorHAnsi" w:eastAsia="SimSun" w:hAnsiTheme="majorHAnsi"/>
          <w:sz w:val="20"/>
          <w:szCs w:val="20"/>
          <w:lang w:val="es-UY"/>
        </w:rPr>
        <w:t xml:space="preserve"> </w:t>
      </w:r>
      <w:r w:rsidR="00682705">
        <w:rPr>
          <w:rFonts w:asciiTheme="majorHAnsi" w:eastAsia="SimSun" w:hAnsiTheme="majorHAnsi"/>
          <w:sz w:val="20"/>
          <w:szCs w:val="20"/>
          <w:lang w:val="es-UY"/>
        </w:rPr>
        <w:t xml:space="preserve">a la protección judicial, toda vez que fue destituida de su </w:t>
      </w:r>
      <w:r w:rsidR="00CB13D5">
        <w:rPr>
          <w:rFonts w:asciiTheme="majorHAnsi" w:eastAsia="SimSun" w:hAnsiTheme="majorHAnsi"/>
          <w:sz w:val="20"/>
          <w:szCs w:val="20"/>
          <w:lang w:val="es-UY"/>
        </w:rPr>
        <w:t xml:space="preserve">puesto </w:t>
      </w:r>
      <w:r w:rsidR="00682705">
        <w:rPr>
          <w:rFonts w:asciiTheme="majorHAnsi" w:eastAsia="SimSun" w:hAnsiTheme="majorHAnsi"/>
          <w:sz w:val="20"/>
          <w:szCs w:val="20"/>
          <w:lang w:val="es-UY"/>
        </w:rPr>
        <w:t>laboral</w:t>
      </w:r>
      <w:r w:rsidR="000A1F35">
        <w:rPr>
          <w:rFonts w:asciiTheme="majorHAnsi" w:eastAsia="SimSun" w:hAnsiTheme="majorHAnsi"/>
          <w:sz w:val="20"/>
          <w:szCs w:val="20"/>
          <w:lang w:val="es-UY"/>
        </w:rPr>
        <w:t xml:space="preserve"> </w:t>
      </w:r>
      <w:r w:rsidR="00CB13D5">
        <w:rPr>
          <w:rFonts w:asciiTheme="majorHAnsi" w:eastAsia="SimSun" w:hAnsiTheme="majorHAnsi"/>
          <w:sz w:val="20"/>
          <w:szCs w:val="20"/>
          <w:lang w:val="es-UY"/>
        </w:rPr>
        <w:t xml:space="preserve">de secretaria judicial, </w:t>
      </w:r>
      <w:r w:rsidR="00C711F0">
        <w:rPr>
          <w:rFonts w:asciiTheme="majorHAnsi" w:eastAsia="SimSun" w:hAnsiTheme="majorHAnsi"/>
          <w:sz w:val="20"/>
          <w:szCs w:val="20"/>
          <w:lang w:val="es-UY"/>
        </w:rPr>
        <w:t>como resultado de un proceso irregular</w:t>
      </w:r>
      <w:r w:rsidR="00BE4B46">
        <w:rPr>
          <w:rFonts w:asciiTheme="majorHAnsi" w:eastAsia="SimSun" w:hAnsiTheme="majorHAnsi"/>
          <w:sz w:val="20"/>
          <w:szCs w:val="20"/>
          <w:lang w:val="es-UY"/>
        </w:rPr>
        <w:t xml:space="preserve"> y</w:t>
      </w:r>
      <w:r w:rsidR="00E30A7E">
        <w:rPr>
          <w:rFonts w:asciiTheme="majorHAnsi" w:eastAsia="SimSun" w:hAnsiTheme="majorHAnsi"/>
          <w:sz w:val="20"/>
          <w:szCs w:val="20"/>
          <w:lang w:val="es-UY"/>
        </w:rPr>
        <w:t xml:space="preserve"> ante las acciones de defensa interpuestas por la referida destitución arbitraria, </w:t>
      </w:r>
      <w:r w:rsidR="00C711F0">
        <w:rPr>
          <w:rFonts w:asciiTheme="majorHAnsi" w:eastAsia="SimSun" w:hAnsiTheme="majorHAnsi"/>
          <w:sz w:val="20"/>
          <w:szCs w:val="20"/>
          <w:lang w:val="es-UY"/>
        </w:rPr>
        <w:t xml:space="preserve">las autoridades </w:t>
      </w:r>
      <w:r w:rsidR="000A1F35">
        <w:rPr>
          <w:rFonts w:asciiTheme="majorHAnsi" w:eastAsia="SimSun" w:hAnsiTheme="majorHAnsi"/>
          <w:sz w:val="20"/>
          <w:szCs w:val="20"/>
          <w:lang w:val="es-UY"/>
        </w:rPr>
        <w:t xml:space="preserve">jurisdiccionales </w:t>
      </w:r>
      <w:r w:rsidR="00E30A7E">
        <w:rPr>
          <w:rFonts w:asciiTheme="majorHAnsi" w:eastAsia="SimSun" w:hAnsiTheme="majorHAnsi"/>
          <w:sz w:val="20"/>
          <w:szCs w:val="20"/>
          <w:lang w:val="es-UY"/>
        </w:rPr>
        <w:t>no respetaron</w:t>
      </w:r>
      <w:r w:rsidR="00BE4B46">
        <w:rPr>
          <w:rFonts w:asciiTheme="majorHAnsi" w:eastAsia="SimSun" w:hAnsiTheme="majorHAnsi"/>
          <w:sz w:val="20"/>
          <w:szCs w:val="20"/>
          <w:lang w:val="es-UY"/>
        </w:rPr>
        <w:t xml:space="preserve"> las garantías del debido proceso</w:t>
      </w:r>
      <w:r w:rsidR="00502A83">
        <w:rPr>
          <w:rFonts w:asciiTheme="majorHAnsi" w:eastAsia="SimSun" w:hAnsiTheme="majorHAnsi"/>
          <w:sz w:val="20"/>
          <w:szCs w:val="20"/>
          <w:lang w:val="es-UY"/>
        </w:rPr>
        <w:t xml:space="preserve"> ni le otorgaron una protección judicial efectiva</w:t>
      </w:r>
      <w:r w:rsidR="0063685A" w:rsidRPr="004B3263">
        <w:rPr>
          <w:rFonts w:asciiTheme="majorHAnsi" w:eastAsia="SimSun" w:hAnsiTheme="majorHAnsi"/>
          <w:sz w:val="20"/>
          <w:szCs w:val="20"/>
          <w:lang w:val="es-UY"/>
        </w:rPr>
        <w:t xml:space="preserve">. </w:t>
      </w:r>
    </w:p>
    <w:p w:rsidR="005C2A96" w:rsidRPr="00C84F9C" w:rsidRDefault="0063685A" w:rsidP="008330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4B3263">
        <w:rPr>
          <w:rFonts w:asciiTheme="majorHAnsi" w:eastAsia="SimSun" w:hAnsiTheme="majorHAnsi"/>
          <w:sz w:val="20"/>
          <w:szCs w:val="20"/>
          <w:lang w:val="es-UY"/>
        </w:rPr>
        <w:t>Por su parte</w:t>
      </w:r>
      <w:r w:rsidR="000A1F35">
        <w:rPr>
          <w:rFonts w:asciiTheme="majorHAnsi" w:eastAsia="SimSun" w:hAnsiTheme="majorHAnsi"/>
          <w:sz w:val="20"/>
          <w:szCs w:val="20"/>
          <w:lang w:val="es-UY"/>
        </w:rPr>
        <w:t>,</w:t>
      </w:r>
      <w:r w:rsidRPr="004B3263">
        <w:rPr>
          <w:rFonts w:asciiTheme="majorHAnsi" w:eastAsia="SimSun" w:hAnsiTheme="majorHAnsi"/>
          <w:sz w:val="20"/>
          <w:szCs w:val="20"/>
          <w:lang w:val="es-UY"/>
        </w:rPr>
        <w:t xml:space="preserve"> el Estado </w:t>
      </w:r>
      <w:r w:rsidR="00502A83">
        <w:rPr>
          <w:rFonts w:asciiTheme="majorHAnsi" w:eastAsia="SimSun" w:hAnsiTheme="majorHAnsi"/>
          <w:sz w:val="20"/>
          <w:szCs w:val="20"/>
          <w:lang w:val="es-UY"/>
        </w:rPr>
        <w:t>sostiene</w:t>
      </w:r>
      <w:r w:rsidRPr="004B3263">
        <w:rPr>
          <w:rFonts w:asciiTheme="majorHAnsi" w:eastAsia="SimSun" w:hAnsiTheme="majorHAnsi"/>
          <w:sz w:val="20"/>
          <w:szCs w:val="20"/>
          <w:lang w:val="es-UY"/>
        </w:rPr>
        <w:t xml:space="preserve"> que</w:t>
      </w:r>
      <w:r w:rsidR="00BC40C4">
        <w:rPr>
          <w:rFonts w:asciiTheme="majorHAnsi" w:eastAsia="SimSun" w:hAnsiTheme="majorHAnsi"/>
          <w:sz w:val="20"/>
          <w:szCs w:val="20"/>
          <w:lang w:val="es-UY"/>
        </w:rPr>
        <w:t xml:space="preserve"> el Poder J</w:t>
      </w:r>
      <w:r w:rsidR="005C2A96" w:rsidRPr="004B3263">
        <w:rPr>
          <w:rFonts w:asciiTheme="majorHAnsi" w:eastAsia="SimSun" w:hAnsiTheme="majorHAnsi"/>
          <w:sz w:val="20"/>
          <w:szCs w:val="20"/>
          <w:lang w:val="es-UY"/>
        </w:rPr>
        <w:t xml:space="preserve">udicial </w:t>
      </w:r>
      <w:r w:rsidR="004B3263" w:rsidRPr="004B3263">
        <w:rPr>
          <w:rFonts w:asciiTheme="majorHAnsi" w:eastAsia="SimSun" w:hAnsiTheme="majorHAnsi"/>
          <w:sz w:val="20"/>
          <w:szCs w:val="20"/>
          <w:lang w:val="es-UY"/>
        </w:rPr>
        <w:t>peruano</w:t>
      </w:r>
      <w:r w:rsidR="005C2A96" w:rsidRPr="004B3263">
        <w:rPr>
          <w:rFonts w:asciiTheme="majorHAnsi" w:eastAsia="SimSun" w:hAnsiTheme="majorHAnsi"/>
          <w:sz w:val="20"/>
          <w:szCs w:val="20"/>
          <w:lang w:val="es-UY"/>
        </w:rPr>
        <w:t xml:space="preserve"> en ningún momento </w:t>
      </w:r>
      <w:r w:rsidR="002873A0">
        <w:rPr>
          <w:rFonts w:asciiTheme="majorHAnsi" w:eastAsia="SimSun" w:hAnsiTheme="majorHAnsi"/>
          <w:sz w:val="20"/>
          <w:szCs w:val="20"/>
          <w:lang w:val="es-UY"/>
        </w:rPr>
        <w:t>atentó contra</w:t>
      </w:r>
      <w:r w:rsidR="005C2A96" w:rsidRPr="004B3263">
        <w:rPr>
          <w:rFonts w:asciiTheme="majorHAnsi" w:eastAsia="SimSun" w:hAnsiTheme="majorHAnsi"/>
          <w:sz w:val="20"/>
          <w:szCs w:val="20"/>
          <w:lang w:val="es-UY"/>
        </w:rPr>
        <w:t xml:space="preserve"> los derechos humanos de la petic</w:t>
      </w:r>
      <w:r w:rsidR="00322FA8" w:rsidRPr="004B3263">
        <w:rPr>
          <w:rFonts w:asciiTheme="majorHAnsi" w:eastAsia="SimSun" w:hAnsiTheme="majorHAnsi"/>
          <w:sz w:val="20"/>
          <w:szCs w:val="20"/>
          <w:lang w:val="es-UY"/>
        </w:rPr>
        <w:t xml:space="preserve">ionaria, </w:t>
      </w:r>
      <w:r w:rsidR="004B3263" w:rsidRPr="004B3263">
        <w:rPr>
          <w:rFonts w:asciiTheme="majorHAnsi" w:eastAsia="SimSun" w:hAnsiTheme="majorHAnsi"/>
          <w:sz w:val="20"/>
          <w:szCs w:val="20"/>
          <w:lang w:val="es-UY"/>
        </w:rPr>
        <w:t xml:space="preserve">pues </w:t>
      </w:r>
      <w:r w:rsidR="00502A83">
        <w:rPr>
          <w:rFonts w:asciiTheme="majorHAnsi" w:eastAsia="SimSun" w:hAnsiTheme="majorHAnsi"/>
          <w:sz w:val="20"/>
          <w:szCs w:val="20"/>
          <w:lang w:val="es-UY"/>
        </w:rPr>
        <w:t>argumenta</w:t>
      </w:r>
      <w:r w:rsidR="00322FA8" w:rsidRPr="004B3263">
        <w:rPr>
          <w:rFonts w:asciiTheme="majorHAnsi" w:eastAsia="SimSun" w:hAnsiTheme="majorHAnsi"/>
          <w:sz w:val="20"/>
          <w:szCs w:val="20"/>
          <w:lang w:val="es-UY"/>
        </w:rPr>
        <w:t xml:space="preserve"> que en todos los</w:t>
      </w:r>
      <w:r w:rsidR="002873A0">
        <w:rPr>
          <w:rFonts w:asciiTheme="majorHAnsi" w:eastAsia="SimSun" w:hAnsiTheme="majorHAnsi"/>
          <w:sz w:val="20"/>
          <w:szCs w:val="20"/>
          <w:lang w:val="es-UY"/>
        </w:rPr>
        <w:t xml:space="preserve"> procesos jurisdiccionales</w:t>
      </w:r>
      <w:r w:rsidR="00322FA8" w:rsidRPr="004B3263">
        <w:rPr>
          <w:rFonts w:asciiTheme="majorHAnsi" w:eastAsia="SimSun" w:hAnsiTheme="majorHAnsi"/>
          <w:sz w:val="20"/>
          <w:szCs w:val="20"/>
          <w:lang w:val="es-UY"/>
        </w:rPr>
        <w:t xml:space="preserve"> se habrían respetado </w:t>
      </w:r>
      <w:r w:rsidR="000A1F35">
        <w:rPr>
          <w:rFonts w:asciiTheme="majorHAnsi" w:eastAsia="SimSun" w:hAnsiTheme="majorHAnsi"/>
          <w:sz w:val="20"/>
          <w:szCs w:val="20"/>
          <w:lang w:val="es-UY"/>
        </w:rPr>
        <w:t>sus</w:t>
      </w:r>
      <w:r w:rsidR="00322FA8" w:rsidRPr="004B3263">
        <w:rPr>
          <w:rFonts w:asciiTheme="majorHAnsi" w:eastAsia="SimSun" w:hAnsiTheme="majorHAnsi"/>
          <w:sz w:val="20"/>
          <w:szCs w:val="20"/>
          <w:lang w:val="es-UY"/>
        </w:rPr>
        <w:t xml:space="preserve"> garantías judiciales</w:t>
      </w:r>
      <w:r w:rsidR="004B3263" w:rsidRPr="004B3263">
        <w:rPr>
          <w:rFonts w:asciiTheme="majorHAnsi" w:eastAsia="SimSun" w:hAnsiTheme="majorHAnsi"/>
          <w:sz w:val="20"/>
          <w:szCs w:val="20"/>
          <w:lang w:val="es-UY"/>
        </w:rPr>
        <w:t xml:space="preserve"> </w:t>
      </w:r>
      <w:r w:rsidR="002873A0">
        <w:rPr>
          <w:rFonts w:asciiTheme="majorHAnsi" w:eastAsia="SimSun" w:hAnsiTheme="majorHAnsi"/>
          <w:sz w:val="20"/>
          <w:szCs w:val="20"/>
          <w:lang w:val="es-UY"/>
        </w:rPr>
        <w:t>así como la</w:t>
      </w:r>
      <w:r w:rsidR="000A1F35">
        <w:rPr>
          <w:rFonts w:asciiTheme="majorHAnsi" w:eastAsia="SimSun" w:hAnsiTheme="majorHAnsi"/>
          <w:sz w:val="20"/>
          <w:szCs w:val="20"/>
          <w:lang w:val="es-UY"/>
        </w:rPr>
        <w:t xml:space="preserve"> debida</w:t>
      </w:r>
      <w:r w:rsidR="002873A0">
        <w:rPr>
          <w:rFonts w:asciiTheme="majorHAnsi" w:eastAsia="SimSun" w:hAnsiTheme="majorHAnsi"/>
          <w:sz w:val="20"/>
          <w:szCs w:val="20"/>
          <w:lang w:val="es-UY"/>
        </w:rPr>
        <w:t xml:space="preserve"> protección judicial</w:t>
      </w:r>
      <w:r w:rsidR="00322FA8" w:rsidRPr="004B3263">
        <w:rPr>
          <w:rFonts w:asciiTheme="majorHAnsi" w:eastAsia="SimSun" w:hAnsiTheme="majorHAnsi"/>
          <w:sz w:val="20"/>
          <w:szCs w:val="20"/>
          <w:lang w:val="es-UY"/>
        </w:rPr>
        <w:t xml:space="preserve">. </w:t>
      </w:r>
    </w:p>
    <w:p w:rsidR="0063685A" w:rsidRPr="00B45867" w:rsidRDefault="0063685A" w:rsidP="00833085">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322FA8">
        <w:rPr>
          <w:rFonts w:asciiTheme="majorHAnsi" w:hAnsiTheme="majorHAnsi"/>
          <w:sz w:val="20"/>
          <w:szCs w:val="20"/>
          <w:lang w:val="es-UY"/>
        </w:rPr>
        <w:t xml:space="preserve">Sin prejuzgar sobre el fondo de la denuncia, tras analizar </w:t>
      </w:r>
      <w:r w:rsidR="00322FA8" w:rsidRPr="00322FA8">
        <w:rPr>
          <w:rFonts w:asciiTheme="majorHAnsi" w:hAnsiTheme="majorHAnsi"/>
          <w:sz w:val="20"/>
          <w:szCs w:val="20"/>
          <w:lang w:val="es-UY"/>
        </w:rPr>
        <w:t>las posiciones de las partes,</w:t>
      </w:r>
      <w:r w:rsidRPr="00322FA8">
        <w:rPr>
          <w:rFonts w:asciiTheme="majorHAnsi" w:hAnsiTheme="majorHAnsi"/>
          <w:sz w:val="20"/>
          <w:szCs w:val="20"/>
          <w:lang w:val="es-UY"/>
        </w:rPr>
        <w:t xml:space="preserve"> y en cumplimiento de los requisitos previstos en los artículos 46 y 47 de la Convención Americana</w:t>
      </w:r>
      <w:r w:rsidR="00586CD5">
        <w:rPr>
          <w:rFonts w:asciiTheme="majorHAnsi" w:hAnsiTheme="majorHAnsi"/>
          <w:sz w:val="20"/>
          <w:szCs w:val="20"/>
          <w:lang w:val="es-UY"/>
        </w:rPr>
        <w:t xml:space="preserve"> sobre Derechos Humanos </w:t>
      </w:r>
      <w:r w:rsidR="00586CD5" w:rsidRPr="00322FA8">
        <w:rPr>
          <w:rFonts w:asciiTheme="majorHAnsi" w:hAnsiTheme="majorHAnsi"/>
          <w:sz w:val="20"/>
          <w:szCs w:val="20"/>
          <w:lang w:val="es-UY"/>
        </w:rPr>
        <w:t>(en adelante, “Convención Americana” o “Convención”)</w:t>
      </w:r>
      <w:r w:rsidRPr="00322FA8">
        <w:rPr>
          <w:rFonts w:asciiTheme="majorHAnsi" w:hAnsiTheme="majorHAnsi"/>
          <w:sz w:val="20"/>
          <w:szCs w:val="20"/>
          <w:lang w:val="es-UY"/>
        </w:rPr>
        <w:t>, la Comisión decide declarar el caso admisible a efectos del examen s</w:t>
      </w:r>
      <w:r w:rsidR="00C92AA0">
        <w:rPr>
          <w:rFonts w:asciiTheme="majorHAnsi" w:hAnsiTheme="majorHAnsi"/>
          <w:sz w:val="20"/>
          <w:szCs w:val="20"/>
          <w:lang w:val="es-UY"/>
        </w:rPr>
        <w:t xml:space="preserve">obre las alegaciones relativas a la posible violación </w:t>
      </w:r>
      <w:r w:rsidRPr="00322FA8">
        <w:rPr>
          <w:rFonts w:asciiTheme="majorHAnsi" w:hAnsiTheme="majorHAnsi"/>
          <w:sz w:val="20"/>
          <w:szCs w:val="20"/>
          <w:lang w:val="es-UY"/>
        </w:rPr>
        <w:t>de</w:t>
      </w:r>
      <w:r w:rsidR="00322FA8" w:rsidRPr="00322FA8">
        <w:rPr>
          <w:rFonts w:asciiTheme="majorHAnsi" w:hAnsiTheme="majorHAnsi"/>
          <w:sz w:val="20"/>
          <w:szCs w:val="20"/>
          <w:lang w:val="es-UY"/>
        </w:rPr>
        <w:t xml:space="preserve"> </w:t>
      </w:r>
      <w:r w:rsidRPr="00322FA8">
        <w:rPr>
          <w:rFonts w:asciiTheme="majorHAnsi" w:hAnsiTheme="majorHAnsi"/>
          <w:sz w:val="20"/>
          <w:szCs w:val="20"/>
          <w:lang w:val="es-UY"/>
        </w:rPr>
        <w:t xml:space="preserve">los derechos consagrados en los artículos </w:t>
      </w:r>
      <w:r w:rsidR="00322FA8" w:rsidRPr="00322FA8">
        <w:rPr>
          <w:rFonts w:asciiTheme="majorHAnsi" w:hAnsiTheme="majorHAnsi"/>
          <w:sz w:val="20"/>
          <w:szCs w:val="20"/>
          <w:lang w:val="es-UY"/>
        </w:rPr>
        <w:t>8</w:t>
      </w:r>
      <w:r w:rsidR="00557662">
        <w:rPr>
          <w:rFonts w:asciiTheme="majorHAnsi" w:hAnsiTheme="majorHAnsi"/>
          <w:sz w:val="20"/>
          <w:szCs w:val="20"/>
          <w:lang w:val="es-UY"/>
        </w:rPr>
        <w:t xml:space="preserve"> (Garantías Judiciales)</w:t>
      </w:r>
      <w:r w:rsidR="00322FA8" w:rsidRPr="00322FA8">
        <w:rPr>
          <w:rFonts w:asciiTheme="majorHAnsi" w:hAnsiTheme="majorHAnsi"/>
          <w:sz w:val="20"/>
          <w:szCs w:val="20"/>
          <w:lang w:val="es-UY"/>
        </w:rPr>
        <w:t xml:space="preserve"> y 25</w:t>
      </w:r>
      <w:r w:rsidRPr="00322FA8">
        <w:rPr>
          <w:rFonts w:asciiTheme="majorHAnsi" w:hAnsiTheme="majorHAnsi"/>
          <w:sz w:val="20"/>
          <w:szCs w:val="20"/>
          <w:lang w:val="es-UY"/>
        </w:rPr>
        <w:t xml:space="preserve"> </w:t>
      </w:r>
      <w:r w:rsidR="00557662">
        <w:rPr>
          <w:rFonts w:asciiTheme="majorHAnsi" w:hAnsiTheme="majorHAnsi"/>
          <w:sz w:val="20"/>
          <w:szCs w:val="20"/>
          <w:lang w:val="es-UY"/>
        </w:rPr>
        <w:t>(Protección Judicial)</w:t>
      </w:r>
      <w:r w:rsidR="00586CD5">
        <w:rPr>
          <w:rFonts w:asciiTheme="majorHAnsi" w:hAnsiTheme="majorHAnsi"/>
          <w:sz w:val="20"/>
          <w:szCs w:val="20"/>
          <w:lang w:val="es-UY"/>
        </w:rPr>
        <w:t xml:space="preserve"> </w:t>
      </w:r>
      <w:r w:rsidR="00586CD5" w:rsidRPr="000C4180">
        <w:rPr>
          <w:rFonts w:ascii="Cambria" w:eastAsia="Times New Roman" w:hAnsi="Cambria" w:cs="Cambria"/>
          <w:bCs/>
          <w:iCs/>
          <w:sz w:val="20"/>
          <w:szCs w:val="20"/>
          <w:lang w:val="es-ES"/>
        </w:rPr>
        <w:t xml:space="preserve">en concordancia con el </w:t>
      </w:r>
      <w:r w:rsidR="00586CD5">
        <w:rPr>
          <w:rFonts w:ascii="Cambria" w:eastAsia="Times New Roman" w:hAnsi="Cambria" w:cs="Cambria"/>
          <w:bCs/>
          <w:iCs/>
          <w:sz w:val="20"/>
          <w:szCs w:val="20"/>
          <w:lang w:val="es-ES"/>
        </w:rPr>
        <w:t xml:space="preserve">artículo 1.1 </w:t>
      </w:r>
      <w:r w:rsidR="00586CD5">
        <w:rPr>
          <w:rFonts w:asciiTheme="majorHAnsi" w:hAnsiTheme="majorHAnsi"/>
          <w:sz w:val="20"/>
          <w:szCs w:val="20"/>
          <w:lang w:val="es-UY"/>
        </w:rPr>
        <w:t>de la Convención Americana</w:t>
      </w:r>
      <w:r w:rsidRPr="00322FA8">
        <w:rPr>
          <w:rFonts w:asciiTheme="majorHAnsi" w:hAnsiTheme="majorHAnsi"/>
          <w:sz w:val="20"/>
          <w:szCs w:val="20"/>
          <w:lang w:val="es-UY"/>
        </w:rPr>
        <w:t>. L</w:t>
      </w:r>
      <w:r w:rsidRPr="00322FA8">
        <w:rPr>
          <w:rFonts w:asciiTheme="majorHAnsi" w:hAnsiTheme="majorHAnsi"/>
          <w:sz w:val="20"/>
          <w:szCs w:val="20"/>
          <w:lang w:val="es-ES"/>
        </w:rPr>
        <w:t>a Comisión decide además notificar esta decisión a las partes, publicarla e incluirla en su Informe Anual para la Asamblea General de la OEA.</w:t>
      </w:r>
    </w:p>
    <w:p w:rsidR="0063685A" w:rsidRPr="00B45867" w:rsidRDefault="0063685A" w:rsidP="00833085">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II.</w:t>
      </w:r>
      <w:r w:rsidRPr="0063685A">
        <w:rPr>
          <w:rFonts w:asciiTheme="majorHAnsi" w:hAnsiTheme="majorHAnsi"/>
          <w:b/>
          <w:bCs/>
          <w:sz w:val="20"/>
          <w:szCs w:val="20"/>
          <w:lang w:val="es-UY"/>
        </w:rPr>
        <w:tab/>
        <w:t>TRÁMITE ANTE LA CIDH</w:t>
      </w:r>
    </w:p>
    <w:p w:rsidR="00C92AA0" w:rsidRPr="00C84F9C" w:rsidRDefault="0063685A"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C92AA0">
        <w:rPr>
          <w:rFonts w:asciiTheme="majorHAnsi" w:hAnsiTheme="majorHAnsi"/>
          <w:sz w:val="20"/>
          <w:szCs w:val="20"/>
          <w:lang w:val="es-UY"/>
        </w:rPr>
        <w:t xml:space="preserve">La CIDH recibió la petición el </w:t>
      </w:r>
      <w:r w:rsidR="005F0F8E">
        <w:rPr>
          <w:rFonts w:asciiTheme="majorHAnsi" w:hAnsiTheme="majorHAnsi"/>
          <w:sz w:val="20"/>
          <w:szCs w:val="20"/>
          <w:lang w:val="es-UY"/>
        </w:rPr>
        <w:t>22</w:t>
      </w:r>
      <w:r w:rsidR="004B3263" w:rsidRPr="00C92AA0">
        <w:rPr>
          <w:rFonts w:asciiTheme="majorHAnsi" w:hAnsiTheme="majorHAnsi"/>
          <w:sz w:val="20"/>
          <w:szCs w:val="20"/>
          <w:lang w:val="es-UY"/>
        </w:rPr>
        <w:t xml:space="preserve"> de marzo de 2000</w:t>
      </w:r>
      <w:r w:rsidRPr="00C92AA0">
        <w:rPr>
          <w:rFonts w:asciiTheme="majorHAnsi" w:hAnsiTheme="majorHAnsi"/>
          <w:sz w:val="20"/>
          <w:szCs w:val="20"/>
          <w:lang w:val="es-UY"/>
        </w:rPr>
        <w:t xml:space="preserve"> y el </w:t>
      </w:r>
      <w:r w:rsidR="0011124E" w:rsidRPr="00C92AA0">
        <w:rPr>
          <w:rFonts w:asciiTheme="majorHAnsi" w:hAnsiTheme="majorHAnsi"/>
          <w:sz w:val="20"/>
          <w:szCs w:val="20"/>
          <w:lang w:val="es-UY"/>
        </w:rPr>
        <w:t>6 de diciembre de 2002</w:t>
      </w:r>
      <w:r w:rsidRPr="00C92AA0">
        <w:rPr>
          <w:rFonts w:asciiTheme="majorHAnsi" w:hAnsiTheme="majorHAnsi"/>
          <w:sz w:val="20"/>
          <w:szCs w:val="20"/>
          <w:lang w:val="es-UY"/>
        </w:rPr>
        <w:t xml:space="preserve"> transmitió copia de las partes pertinentes al Estado otorgándole un plazo de </w:t>
      </w:r>
      <w:r w:rsidR="0011124E" w:rsidRPr="00C92AA0">
        <w:rPr>
          <w:rFonts w:asciiTheme="majorHAnsi" w:hAnsiTheme="majorHAnsi"/>
          <w:sz w:val="20"/>
          <w:szCs w:val="20"/>
          <w:lang w:val="es-UY"/>
        </w:rPr>
        <w:t>2 meses</w:t>
      </w:r>
      <w:r w:rsidRPr="00C92AA0">
        <w:rPr>
          <w:rFonts w:asciiTheme="majorHAnsi" w:hAnsiTheme="majorHAnsi"/>
          <w:sz w:val="20"/>
          <w:szCs w:val="20"/>
          <w:lang w:val="es-UY"/>
        </w:rPr>
        <w:t xml:space="preserve"> para someter sus observaciones</w:t>
      </w:r>
      <w:r w:rsidR="00502A83">
        <w:rPr>
          <w:rFonts w:asciiTheme="majorHAnsi" w:hAnsiTheme="majorHAnsi"/>
          <w:sz w:val="20"/>
          <w:szCs w:val="20"/>
          <w:lang w:val="es-UY"/>
        </w:rPr>
        <w:t>, con base en el artículo 30.</w:t>
      </w:r>
      <w:r w:rsidR="00057DD7" w:rsidRPr="00C92AA0">
        <w:rPr>
          <w:rFonts w:asciiTheme="majorHAnsi" w:hAnsiTheme="majorHAnsi"/>
          <w:sz w:val="20"/>
          <w:szCs w:val="20"/>
          <w:lang w:val="es-UY"/>
        </w:rPr>
        <w:t>3 de su Reglamento entonces en vigor</w:t>
      </w:r>
      <w:r w:rsidRPr="00C92AA0">
        <w:rPr>
          <w:rFonts w:asciiTheme="majorHAnsi" w:hAnsiTheme="majorHAnsi"/>
          <w:sz w:val="20"/>
          <w:szCs w:val="20"/>
          <w:lang w:val="es-UY"/>
        </w:rPr>
        <w:t xml:space="preserve">. </w:t>
      </w:r>
      <w:r w:rsidRPr="00C92AA0">
        <w:rPr>
          <w:rFonts w:asciiTheme="majorHAnsi" w:hAnsiTheme="majorHAnsi"/>
          <w:bCs/>
          <w:sz w:val="20"/>
          <w:szCs w:val="20"/>
          <w:lang w:val="es-PE"/>
        </w:rPr>
        <w:t xml:space="preserve">El </w:t>
      </w:r>
      <w:r w:rsidR="0011124E" w:rsidRPr="00C92AA0">
        <w:rPr>
          <w:rFonts w:asciiTheme="majorHAnsi" w:hAnsiTheme="majorHAnsi"/>
          <w:sz w:val="20"/>
          <w:szCs w:val="20"/>
          <w:lang w:val="es-UY"/>
        </w:rPr>
        <w:t>12 de febrero de 2003 el Estado solicitó prórroga para poder remitir sus observaciones, dicha prórroga fue concedida por la CIDH</w:t>
      </w:r>
      <w:r w:rsidR="0046624F" w:rsidRPr="00C92AA0">
        <w:rPr>
          <w:rFonts w:asciiTheme="majorHAnsi" w:hAnsiTheme="majorHAnsi"/>
          <w:sz w:val="20"/>
          <w:szCs w:val="20"/>
          <w:lang w:val="es-UY"/>
        </w:rPr>
        <w:t>.</w:t>
      </w:r>
      <w:r w:rsidR="0046624F" w:rsidRPr="00C92AA0">
        <w:rPr>
          <w:rFonts w:asciiTheme="majorHAnsi" w:hAnsiTheme="majorHAnsi"/>
          <w:bCs/>
          <w:sz w:val="20"/>
          <w:szCs w:val="20"/>
          <w:lang w:val="es-PE"/>
        </w:rPr>
        <w:t xml:space="preserve"> S</w:t>
      </w:r>
      <w:r w:rsidRPr="00C92AA0">
        <w:rPr>
          <w:rFonts w:asciiTheme="majorHAnsi" w:hAnsiTheme="majorHAnsi"/>
          <w:bCs/>
          <w:sz w:val="20"/>
          <w:szCs w:val="20"/>
          <w:lang w:val="es-PE"/>
        </w:rPr>
        <w:t>e recibió la respuesta del Estado</w:t>
      </w:r>
      <w:r w:rsidR="0011124E" w:rsidRPr="00C92AA0">
        <w:rPr>
          <w:rFonts w:asciiTheme="majorHAnsi" w:hAnsiTheme="majorHAnsi"/>
          <w:bCs/>
          <w:sz w:val="20"/>
          <w:szCs w:val="20"/>
          <w:lang w:val="es-PE"/>
        </w:rPr>
        <w:t xml:space="preserve"> el 14 de abril de 2003</w:t>
      </w:r>
      <w:r w:rsidRPr="00C92AA0">
        <w:rPr>
          <w:rFonts w:asciiTheme="majorHAnsi" w:hAnsiTheme="majorHAnsi"/>
          <w:color w:val="000000"/>
          <w:sz w:val="20"/>
          <w:szCs w:val="20"/>
          <w:lang w:val="es-ES"/>
        </w:rPr>
        <w:t xml:space="preserve">, </w:t>
      </w:r>
      <w:r w:rsidR="00057DD7" w:rsidRPr="00C92AA0">
        <w:rPr>
          <w:rFonts w:asciiTheme="majorHAnsi" w:hAnsiTheme="majorHAnsi"/>
          <w:color w:val="000000"/>
          <w:sz w:val="20"/>
          <w:szCs w:val="20"/>
          <w:lang w:val="es-ES"/>
        </w:rPr>
        <w:t xml:space="preserve">la cual fue trasladada </w:t>
      </w:r>
      <w:r w:rsidR="0011124E" w:rsidRPr="00C92AA0">
        <w:rPr>
          <w:rFonts w:asciiTheme="majorHAnsi" w:hAnsiTheme="majorHAnsi"/>
          <w:color w:val="000000"/>
          <w:sz w:val="20"/>
          <w:szCs w:val="20"/>
          <w:lang w:val="es-ES"/>
        </w:rPr>
        <w:t xml:space="preserve">a la peticionaria el 22 de abril de 2003. </w:t>
      </w:r>
    </w:p>
    <w:p w:rsidR="0063685A" w:rsidRPr="00DE625D" w:rsidRDefault="00375B84" w:rsidP="00DE625D">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Pr>
          <w:rFonts w:asciiTheme="majorHAnsi" w:hAnsiTheme="majorHAnsi"/>
          <w:color w:val="000000"/>
          <w:sz w:val="20"/>
          <w:szCs w:val="20"/>
          <w:lang w:val="es-UY"/>
        </w:rPr>
        <w:t>La peticionaria presentó observaciones adicionales</w:t>
      </w:r>
      <w:r w:rsidR="0063685A" w:rsidRPr="0063685A">
        <w:rPr>
          <w:rFonts w:asciiTheme="majorHAnsi" w:hAnsiTheme="majorHAnsi"/>
          <w:color w:val="000000"/>
          <w:sz w:val="20"/>
          <w:szCs w:val="20"/>
          <w:lang w:val="es-ES"/>
        </w:rPr>
        <w:t xml:space="preserve"> el </w:t>
      </w:r>
      <w:r>
        <w:rPr>
          <w:rFonts w:asciiTheme="majorHAnsi" w:hAnsiTheme="majorHAnsi"/>
          <w:sz w:val="20"/>
          <w:szCs w:val="20"/>
          <w:lang w:val="es-UY"/>
        </w:rPr>
        <w:t>29 de mayo de 2003, 2 de agosto de 2011 y 14 de abril de 2014</w:t>
      </w:r>
      <w:r w:rsidR="0063685A" w:rsidRPr="0063685A">
        <w:rPr>
          <w:rFonts w:asciiTheme="majorHAnsi" w:hAnsiTheme="majorHAnsi"/>
          <w:bCs/>
          <w:sz w:val="20"/>
          <w:szCs w:val="20"/>
          <w:lang w:val="es-PE"/>
        </w:rPr>
        <w:t xml:space="preserve">.  Por su parte, el Estado remitió observaciones adicionales el </w:t>
      </w:r>
      <w:r>
        <w:rPr>
          <w:rFonts w:asciiTheme="majorHAnsi" w:hAnsiTheme="majorHAnsi"/>
          <w:sz w:val="20"/>
          <w:szCs w:val="20"/>
          <w:lang w:val="es-UY"/>
        </w:rPr>
        <w:t>18 de mayo de 2011 y el 17 de julio de 2014</w:t>
      </w:r>
      <w:r w:rsidR="0063685A" w:rsidRPr="0063685A">
        <w:rPr>
          <w:rFonts w:asciiTheme="majorHAnsi" w:hAnsiTheme="majorHAnsi"/>
          <w:bCs/>
          <w:sz w:val="20"/>
          <w:szCs w:val="20"/>
          <w:lang w:val="es-PE"/>
        </w:rPr>
        <w:t>.  Estas comunicaciones fueron debidamente trasladadas a la parte contraria.</w:t>
      </w:r>
      <w:r w:rsidR="0063685A" w:rsidRPr="0063685A">
        <w:rPr>
          <w:rFonts w:asciiTheme="majorHAnsi" w:hAnsiTheme="majorHAnsi"/>
          <w:sz w:val="20"/>
          <w:szCs w:val="20"/>
          <w:lang w:val="es-UY"/>
        </w:rPr>
        <w:t xml:space="preserve"> </w:t>
      </w:r>
      <w:r w:rsidR="00C92AA0" w:rsidRPr="00DE625D">
        <w:rPr>
          <w:rFonts w:asciiTheme="majorHAnsi" w:hAnsiTheme="majorHAnsi"/>
          <w:sz w:val="20"/>
          <w:szCs w:val="20"/>
          <w:lang w:val="es-UY"/>
        </w:rPr>
        <w:t>En el curso del trámite de la presente petición,  la Comisión, mediante nota del 30 de junio de 2011</w:t>
      </w:r>
      <w:r w:rsidR="00DE625D" w:rsidRPr="00DE625D">
        <w:rPr>
          <w:rFonts w:asciiTheme="majorHAnsi" w:hAnsiTheme="majorHAnsi"/>
          <w:sz w:val="20"/>
          <w:szCs w:val="20"/>
          <w:lang w:val="es-UY"/>
        </w:rPr>
        <w:t>,</w:t>
      </w:r>
      <w:r w:rsidR="00C92AA0" w:rsidRPr="00DE625D">
        <w:rPr>
          <w:rFonts w:asciiTheme="majorHAnsi" w:hAnsiTheme="majorHAnsi"/>
          <w:sz w:val="20"/>
          <w:szCs w:val="20"/>
          <w:lang w:val="es-UY"/>
        </w:rPr>
        <w:t xml:space="preserve"> solicitó a</w:t>
      </w:r>
      <w:r w:rsidR="009D42AE" w:rsidRPr="00DE625D">
        <w:rPr>
          <w:rFonts w:asciiTheme="majorHAnsi" w:hAnsiTheme="majorHAnsi"/>
          <w:sz w:val="20"/>
          <w:szCs w:val="20"/>
          <w:lang w:val="es-UY"/>
        </w:rPr>
        <w:t xml:space="preserve"> </w:t>
      </w:r>
      <w:r w:rsidR="00C92AA0" w:rsidRPr="00DE625D">
        <w:rPr>
          <w:rFonts w:asciiTheme="majorHAnsi" w:hAnsiTheme="majorHAnsi"/>
          <w:sz w:val="20"/>
          <w:szCs w:val="20"/>
          <w:lang w:val="es-UY"/>
        </w:rPr>
        <w:t>l</w:t>
      </w:r>
      <w:r w:rsidR="009D42AE" w:rsidRPr="00DE625D">
        <w:rPr>
          <w:rFonts w:asciiTheme="majorHAnsi" w:hAnsiTheme="majorHAnsi"/>
          <w:sz w:val="20"/>
          <w:szCs w:val="20"/>
          <w:lang w:val="es-UY"/>
        </w:rPr>
        <w:t>a</w:t>
      </w:r>
      <w:r w:rsidR="00C92AA0" w:rsidRPr="00DE625D">
        <w:rPr>
          <w:rFonts w:asciiTheme="majorHAnsi" w:hAnsiTheme="majorHAnsi"/>
          <w:sz w:val="20"/>
          <w:szCs w:val="20"/>
          <w:lang w:val="es-UY"/>
        </w:rPr>
        <w:t xml:space="preserve"> </w:t>
      </w:r>
      <w:r w:rsidR="009D42AE" w:rsidRPr="00DE625D">
        <w:rPr>
          <w:rFonts w:asciiTheme="majorHAnsi" w:hAnsiTheme="majorHAnsi"/>
          <w:sz w:val="20"/>
          <w:szCs w:val="20"/>
          <w:lang w:val="es-UY"/>
        </w:rPr>
        <w:t xml:space="preserve">peticionaria </w:t>
      </w:r>
      <w:r w:rsidR="00C92AA0" w:rsidRPr="00DE625D">
        <w:rPr>
          <w:rFonts w:asciiTheme="majorHAnsi" w:hAnsiTheme="majorHAnsi"/>
          <w:sz w:val="20"/>
          <w:szCs w:val="20"/>
          <w:lang w:val="es-UY"/>
        </w:rPr>
        <w:t>información actualizada indicando que de no recibirse la misma podría procederse al archivo de la petición en los términos del artículo 48</w:t>
      </w:r>
      <w:r w:rsidR="00502A83" w:rsidRPr="00DE625D">
        <w:rPr>
          <w:rFonts w:asciiTheme="majorHAnsi" w:hAnsiTheme="majorHAnsi"/>
          <w:sz w:val="20"/>
          <w:szCs w:val="20"/>
          <w:lang w:val="es-UY"/>
        </w:rPr>
        <w:t>.</w:t>
      </w:r>
      <w:r w:rsidR="00C92AA0" w:rsidRPr="00DE625D">
        <w:rPr>
          <w:rFonts w:asciiTheme="majorHAnsi" w:hAnsiTheme="majorHAnsi"/>
          <w:sz w:val="20"/>
          <w:szCs w:val="20"/>
          <w:lang w:val="es-UY"/>
        </w:rPr>
        <w:t>1</w:t>
      </w:r>
      <w:r w:rsidR="00502A83" w:rsidRPr="00DE625D">
        <w:rPr>
          <w:rFonts w:asciiTheme="majorHAnsi" w:hAnsiTheme="majorHAnsi"/>
          <w:sz w:val="20"/>
          <w:szCs w:val="20"/>
          <w:lang w:val="es-UY"/>
        </w:rPr>
        <w:t>.</w:t>
      </w:r>
      <w:r w:rsidR="00C92AA0" w:rsidRPr="00DE625D">
        <w:rPr>
          <w:rFonts w:asciiTheme="majorHAnsi" w:hAnsiTheme="majorHAnsi"/>
          <w:sz w:val="20"/>
          <w:szCs w:val="20"/>
          <w:lang w:val="es-UY"/>
        </w:rPr>
        <w:t xml:space="preserve">b de la Convención y 42 del Reglamento de la CIDH. </w:t>
      </w:r>
      <w:r w:rsidR="009D42AE" w:rsidRPr="00DE625D">
        <w:rPr>
          <w:rFonts w:asciiTheme="majorHAnsi" w:hAnsiTheme="majorHAnsi"/>
          <w:sz w:val="20"/>
          <w:szCs w:val="20"/>
          <w:lang w:val="es-UY"/>
        </w:rPr>
        <w:t>La peticionaria</w:t>
      </w:r>
      <w:r w:rsidR="00C92AA0" w:rsidRPr="00DE625D">
        <w:rPr>
          <w:rFonts w:asciiTheme="majorHAnsi" w:hAnsiTheme="majorHAnsi"/>
          <w:sz w:val="20"/>
          <w:szCs w:val="20"/>
          <w:lang w:val="es-UY"/>
        </w:rPr>
        <w:t>, como ya se anotó, respondió a esta solicitud mediante comunicación del 2 de agosto de 2011.</w:t>
      </w:r>
    </w:p>
    <w:p w:rsidR="00C84F9C" w:rsidRPr="00C84F9C" w:rsidRDefault="0063685A" w:rsidP="00833085">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lastRenderedPageBreak/>
        <w:t>III.</w:t>
      </w:r>
      <w:r w:rsidRPr="0063685A">
        <w:rPr>
          <w:rFonts w:asciiTheme="majorHAnsi" w:hAnsiTheme="majorHAnsi"/>
          <w:b/>
          <w:bCs/>
          <w:sz w:val="20"/>
          <w:szCs w:val="20"/>
          <w:lang w:val="es-UY"/>
        </w:rPr>
        <w:tab/>
        <w:t>POSICIÓN DE LAS PARTES</w:t>
      </w:r>
    </w:p>
    <w:p w:rsidR="0063685A" w:rsidRPr="00596831" w:rsidRDefault="0063685A" w:rsidP="00833085">
      <w:pPr>
        <w:spacing w:after="240"/>
        <w:ind w:firstLine="720"/>
        <w:jc w:val="both"/>
        <w:rPr>
          <w:rFonts w:asciiTheme="majorHAnsi" w:hAnsiTheme="majorHAnsi"/>
          <w:b/>
          <w:bCs/>
          <w:color w:val="FF0000"/>
          <w:sz w:val="20"/>
          <w:szCs w:val="20"/>
          <w:lang w:val="es-UY"/>
        </w:rPr>
      </w:pPr>
      <w:r w:rsidRPr="0063685A">
        <w:rPr>
          <w:rFonts w:asciiTheme="majorHAnsi" w:hAnsiTheme="majorHAnsi"/>
          <w:b/>
          <w:bCs/>
          <w:sz w:val="20"/>
          <w:szCs w:val="20"/>
          <w:lang w:val="es-UY"/>
        </w:rPr>
        <w:t>A.</w:t>
      </w:r>
      <w:r w:rsidRPr="0063685A">
        <w:rPr>
          <w:rFonts w:asciiTheme="majorHAnsi" w:hAnsiTheme="majorHAnsi"/>
          <w:b/>
          <w:bCs/>
          <w:sz w:val="20"/>
          <w:szCs w:val="20"/>
          <w:lang w:val="es-UY"/>
        </w:rPr>
        <w:tab/>
        <w:t xml:space="preserve">Posición </w:t>
      </w:r>
      <w:r w:rsidR="00375B84">
        <w:rPr>
          <w:rFonts w:asciiTheme="majorHAnsi" w:hAnsiTheme="majorHAnsi"/>
          <w:b/>
          <w:bCs/>
          <w:sz w:val="20"/>
          <w:szCs w:val="20"/>
          <w:lang w:val="es-UY"/>
        </w:rPr>
        <w:t>de la peticionaria</w:t>
      </w:r>
    </w:p>
    <w:p w:rsidR="00803B66" w:rsidRDefault="00EA5483"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L</w:t>
      </w:r>
      <w:r w:rsidR="00375B84">
        <w:rPr>
          <w:rFonts w:asciiTheme="majorHAnsi" w:hAnsiTheme="majorHAnsi" w:cs="Arial"/>
          <w:sz w:val="20"/>
          <w:szCs w:val="20"/>
          <w:lang w:val="es-UY"/>
        </w:rPr>
        <w:t>a</w:t>
      </w:r>
      <w:r w:rsidR="0063685A" w:rsidRPr="00112D7A">
        <w:rPr>
          <w:rFonts w:asciiTheme="majorHAnsi" w:hAnsiTheme="majorHAnsi" w:cs="Arial"/>
          <w:color w:val="FF0000"/>
          <w:sz w:val="20"/>
          <w:szCs w:val="20"/>
          <w:lang w:val="es-UY"/>
        </w:rPr>
        <w:t xml:space="preserve"> </w:t>
      </w:r>
      <w:r w:rsidR="0063685A" w:rsidRPr="0063685A">
        <w:rPr>
          <w:rFonts w:asciiTheme="majorHAnsi" w:hAnsiTheme="majorHAnsi" w:cs="Arial"/>
          <w:sz w:val="20"/>
          <w:szCs w:val="20"/>
          <w:lang w:val="es-UY"/>
        </w:rPr>
        <w:t>peticionari</w:t>
      </w:r>
      <w:r w:rsidR="00375B84">
        <w:rPr>
          <w:rFonts w:asciiTheme="majorHAnsi" w:hAnsiTheme="majorHAnsi" w:cs="Arial"/>
          <w:sz w:val="20"/>
          <w:szCs w:val="20"/>
          <w:lang w:val="es-UY"/>
        </w:rPr>
        <w:t>a</w:t>
      </w:r>
      <w:r w:rsidR="00BD7417">
        <w:rPr>
          <w:rFonts w:asciiTheme="majorHAnsi" w:hAnsiTheme="majorHAnsi" w:cs="Arial"/>
          <w:sz w:val="20"/>
          <w:szCs w:val="20"/>
          <w:lang w:val="es-UY"/>
        </w:rPr>
        <w:t xml:space="preserve"> </w:t>
      </w:r>
      <w:r>
        <w:rPr>
          <w:rFonts w:asciiTheme="majorHAnsi" w:hAnsiTheme="majorHAnsi" w:cs="Arial"/>
          <w:sz w:val="20"/>
          <w:szCs w:val="20"/>
          <w:lang w:val="es-UY"/>
        </w:rPr>
        <w:t xml:space="preserve">manifiesta que </w:t>
      </w:r>
      <w:r w:rsidR="003E7B3D">
        <w:rPr>
          <w:rFonts w:asciiTheme="majorHAnsi" w:hAnsiTheme="majorHAnsi" w:cs="Arial"/>
          <w:sz w:val="20"/>
          <w:szCs w:val="20"/>
          <w:lang w:val="es-UY"/>
        </w:rPr>
        <w:t xml:space="preserve">en 1979 fue nombrada secretaria </w:t>
      </w:r>
      <w:r w:rsidR="00577357">
        <w:rPr>
          <w:rFonts w:asciiTheme="majorHAnsi" w:hAnsiTheme="majorHAnsi" w:cs="Arial"/>
          <w:sz w:val="20"/>
          <w:szCs w:val="20"/>
          <w:lang w:val="es-UY"/>
        </w:rPr>
        <w:t xml:space="preserve">judicial de un juzgado laboral de la ciudad de Lima. </w:t>
      </w:r>
      <w:r w:rsidR="0071086A">
        <w:rPr>
          <w:rFonts w:asciiTheme="majorHAnsi" w:hAnsiTheme="majorHAnsi" w:cs="Arial"/>
          <w:sz w:val="20"/>
          <w:szCs w:val="20"/>
          <w:lang w:val="es-UY"/>
        </w:rPr>
        <w:t>Posteriormente, mediante la Ley N°</w:t>
      </w:r>
      <w:r w:rsidR="00DE625D">
        <w:rPr>
          <w:rFonts w:asciiTheme="majorHAnsi" w:hAnsiTheme="majorHAnsi" w:cs="Arial"/>
          <w:sz w:val="20"/>
          <w:szCs w:val="20"/>
          <w:lang w:val="es-UY"/>
        </w:rPr>
        <w:t xml:space="preserve"> </w:t>
      </w:r>
      <w:r w:rsidR="0071086A">
        <w:rPr>
          <w:rFonts w:asciiTheme="majorHAnsi" w:hAnsiTheme="majorHAnsi" w:cs="Arial"/>
          <w:sz w:val="20"/>
          <w:szCs w:val="20"/>
          <w:lang w:val="es-UY"/>
        </w:rPr>
        <w:t>23344 de 19 de diciembre de 1981 y Ley N°</w:t>
      </w:r>
      <w:r w:rsidR="00DE625D">
        <w:rPr>
          <w:rFonts w:asciiTheme="majorHAnsi" w:hAnsiTheme="majorHAnsi" w:cs="Arial"/>
          <w:sz w:val="20"/>
          <w:szCs w:val="20"/>
          <w:lang w:val="es-UY"/>
        </w:rPr>
        <w:t xml:space="preserve"> </w:t>
      </w:r>
      <w:r w:rsidR="0071086A">
        <w:rPr>
          <w:rFonts w:asciiTheme="majorHAnsi" w:hAnsiTheme="majorHAnsi" w:cs="Arial"/>
          <w:sz w:val="20"/>
          <w:szCs w:val="20"/>
          <w:lang w:val="es-UY"/>
        </w:rPr>
        <w:t xml:space="preserve">23369 de 31 de diciembre de 1981, se reguló el nombramiento y ratificación de secretarios de juzgado, </w:t>
      </w:r>
      <w:r w:rsidR="00DD3EBF">
        <w:rPr>
          <w:rFonts w:asciiTheme="majorHAnsi" w:hAnsiTheme="majorHAnsi" w:cs="Arial"/>
          <w:sz w:val="20"/>
          <w:szCs w:val="20"/>
          <w:lang w:val="es-UY"/>
        </w:rPr>
        <w:t>magistrados y relatores</w:t>
      </w:r>
      <w:r w:rsidR="0071086A">
        <w:rPr>
          <w:rFonts w:asciiTheme="majorHAnsi" w:hAnsiTheme="majorHAnsi" w:cs="Arial"/>
          <w:sz w:val="20"/>
          <w:szCs w:val="20"/>
          <w:lang w:val="es-UY"/>
        </w:rPr>
        <w:t>.</w:t>
      </w:r>
      <w:r w:rsidR="00DD3EBF">
        <w:rPr>
          <w:rFonts w:asciiTheme="majorHAnsi" w:hAnsiTheme="majorHAnsi" w:cs="Arial"/>
          <w:sz w:val="20"/>
          <w:szCs w:val="20"/>
          <w:lang w:val="es-UY"/>
        </w:rPr>
        <w:t xml:space="preserve"> En ese sentido, con el objeto</w:t>
      </w:r>
      <w:r w:rsidR="002C37A0">
        <w:rPr>
          <w:rFonts w:asciiTheme="majorHAnsi" w:hAnsiTheme="majorHAnsi" w:cs="Arial"/>
          <w:sz w:val="20"/>
          <w:szCs w:val="20"/>
          <w:lang w:val="es-UY"/>
        </w:rPr>
        <w:t xml:space="preserve"> de</w:t>
      </w:r>
      <w:r w:rsidR="00DD3EBF">
        <w:rPr>
          <w:rFonts w:asciiTheme="majorHAnsi" w:hAnsiTheme="majorHAnsi" w:cs="Arial"/>
          <w:sz w:val="20"/>
          <w:szCs w:val="20"/>
          <w:lang w:val="es-UY"/>
        </w:rPr>
        <w:t xml:space="preserve"> cumplirse dichos mandatos legales, se conform</w:t>
      </w:r>
      <w:r w:rsidR="007116ED">
        <w:rPr>
          <w:rFonts w:asciiTheme="majorHAnsi" w:hAnsiTheme="majorHAnsi" w:cs="Arial"/>
          <w:sz w:val="20"/>
          <w:szCs w:val="20"/>
          <w:lang w:val="es-UY"/>
        </w:rPr>
        <w:t>ó una c</w:t>
      </w:r>
      <w:r w:rsidR="00DD3EBF">
        <w:rPr>
          <w:rFonts w:asciiTheme="majorHAnsi" w:hAnsiTheme="majorHAnsi" w:cs="Arial"/>
          <w:sz w:val="20"/>
          <w:szCs w:val="20"/>
          <w:lang w:val="es-UY"/>
        </w:rPr>
        <w:t>omisi</w:t>
      </w:r>
      <w:r w:rsidR="007116ED">
        <w:rPr>
          <w:rFonts w:asciiTheme="majorHAnsi" w:hAnsiTheme="majorHAnsi" w:cs="Arial"/>
          <w:sz w:val="20"/>
          <w:szCs w:val="20"/>
          <w:lang w:val="es-UY"/>
        </w:rPr>
        <w:t xml:space="preserve">ón especial </w:t>
      </w:r>
      <w:r w:rsidR="00DD3EBF">
        <w:rPr>
          <w:rFonts w:asciiTheme="majorHAnsi" w:hAnsiTheme="majorHAnsi" w:cs="Arial"/>
          <w:sz w:val="20"/>
          <w:szCs w:val="20"/>
          <w:lang w:val="es-UY"/>
        </w:rPr>
        <w:t xml:space="preserve">para desarrollar los procesos de ratificación de los secretarios judiciales. </w:t>
      </w:r>
      <w:r w:rsidR="0071086A">
        <w:rPr>
          <w:rFonts w:asciiTheme="majorHAnsi" w:hAnsiTheme="majorHAnsi" w:cs="Arial"/>
          <w:sz w:val="20"/>
          <w:szCs w:val="20"/>
          <w:lang w:val="es-UY"/>
        </w:rPr>
        <w:t xml:space="preserve"> </w:t>
      </w:r>
      <w:r w:rsidR="00DD3EBF">
        <w:rPr>
          <w:rFonts w:asciiTheme="majorHAnsi" w:hAnsiTheme="majorHAnsi" w:cs="Arial"/>
          <w:sz w:val="20"/>
          <w:szCs w:val="20"/>
          <w:lang w:val="es-UY"/>
        </w:rPr>
        <w:t xml:space="preserve">Así, habiendo concluido la etapa de evaluación, </w:t>
      </w:r>
      <w:r w:rsidR="00E63CE6">
        <w:rPr>
          <w:rFonts w:asciiTheme="majorHAnsi" w:hAnsiTheme="majorHAnsi" w:cs="Arial"/>
          <w:sz w:val="20"/>
          <w:szCs w:val="20"/>
          <w:lang w:val="es-UY"/>
        </w:rPr>
        <w:t xml:space="preserve">el 13 de septiembre de 1982 </w:t>
      </w:r>
      <w:r w:rsidR="00803B66">
        <w:rPr>
          <w:rFonts w:asciiTheme="majorHAnsi" w:hAnsiTheme="majorHAnsi" w:cs="Arial"/>
          <w:sz w:val="20"/>
          <w:szCs w:val="20"/>
          <w:lang w:val="es-UY"/>
        </w:rPr>
        <w:t xml:space="preserve">el Presidente de </w:t>
      </w:r>
      <w:r w:rsidR="00DD3EBF">
        <w:rPr>
          <w:rFonts w:asciiTheme="majorHAnsi" w:hAnsiTheme="majorHAnsi" w:cs="Arial"/>
          <w:sz w:val="20"/>
          <w:szCs w:val="20"/>
          <w:lang w:val="es-UY"/>
        </w:rPr>
        <w:t xml:space="preserve">la </w:t>
      </w:r>
      <w:r w:rsidR="007116ED">
        <w:rPr>
          <w:rFonts w:asciiTheme="majorHAnsi" w:hAnsiTheme="majorHAnsi" w:cs="Arial"/>
          <w:sz w:val="20"/>
          <w:szCs w:val="20"/>
          <w:lang w:val="es-UY"/>
        </w:rPr>
        <w:t>Sala Plena del Tribunal de Trabajo y Comunidades Laborales de Lima (en adelante “Tribunal de Trabajo”),</w:t>
      </w:r>
      <w:r w:rsidR="00E63CE6">
        <w:rPr>
          <w:rFonts w:asciiTheme="majorHAnsi" w:hAnsiTheme="majorHAnsi" w:cs="Arial"/>
          <w:sz w:val="20"/>
          <w:szCs w:val="20"/>
          <w:lang w:val="es-UY"/>
        </w:rPr>
        <w:t xml:space="preserve"> </w:t>
      </w:r>
      <w:r w:rsidR="00803B66">
        <w:rPr>
          <w:rFonts w:asciiTheme="majorHAnsi" w:hAnsiTheme="majorHAnsi" w:cs="Arial"/>
          <w:sz w:val="20"/>
          <w:szCs w:val="20"/>
          <w:lang w:val="es-UY"/>
        </w:rPr>
        <w:t xml:space="preserve">le </w:t>
      </w:r>
      <w:r w:rsidR="0080471F">
        <w:rPr>
          <w:rFonts w:asciiTheme="majorHAnsi" w:hAnsiTheme="majorHAnsi" w:cs="Arial"/>
          <w:sz w:val="20"/>
          <w:szCs w:val="20"/>
          <w:lang w:val="es-UY"/>
        </w:rPr>
        <w:t>informó</w:t>
      </w:r>
      <w:r w:rsidR="00E63CE6">
        <w:rPr>
          <w:rFonts w:asciiTheme="majorHAnsi" w:hAnsiTheme="majorHAnsi" w:cs="Arial"/>
          <w:sz w:val="20"/>
          <w:szCs w:val="20"/>
          <w:lang w:val="es-UY"/>
        </w:rPr>
        <w:t xml:space="preserve"> a la presunta víctima que no había sido r</w:t>
      </w:r>
      <w:r w:rsidR="00803B66">
        <w:rPr>
          <w:rFonts w:asciiTheme="majorHAnsi" w:hAnsiTheme="majorHAnsi" w:cs="Arial"/>
          <w:sz w:val="20"/>
          <w:szCs w:val="20"/>
          <w:lang w:val="es-UY"/>
        </w:rPr>
        <w:t>atificada y que no ejercería más sus actividades laborales</w:t>
      </w:r>
      <w:r w:rsidR="00502A83">
        <w:rPr>
          <w:rFonts w:asciiTheme="majorHAnsi" w:hAnsiTheme="majorHAnsi" w:cs="Arial"/>
          <w:sz w:val="20"/>
          <w:szCs w:val="20"/>
          <w:lang w:val="es-UY"/>
        </w:rPr>
        <w:t>, quedando destituida de su puesto como secretaria judicial</w:t>
      </w:r>
      <w:r w:rsidR="00803B66">
        <w:rPr>
          <w:rFonts w:asciiTheme="majorHAnsi" w:hAnsiTheme="majorHAnsi" w:cs="Arial"/>
          <w:sz w:val="20"/>
          <w:szCs w:val="20"/>
          <w:lang w:val="es-UY"/>
        </w:rPr>
        <w:t xml:space="preserve">. La peticionaria refiere que dicha decisión nunca le </w:t>
      </w:r>
      <w:r w:rsidR="0080471F">
        <w:rPr>
          <w:rFonts w:asciiTheme="majorHAnsi" w:hAnsiTheme="majorHAnsi" w:cs="Arial"/>
          <w:sz w:val="20"/>
          <w:szCs w:val="20"/>
          <w:lang w:val="es-UY"/>
        </w:rPr>
        <w:t xml:space="preserve">fue notificada de forma escrita y que posteriormente le impidieron el ingreso a su </w:t>
      </w:r>
      <w:r w:rsidR="00803B66">
        <w:rPr>
          <w:rFonts w:asciiTheme="majorHAnsi" w:hAnsiTheme="majorHAnsi" w:cs="Arial"/>
          <w:sz w:val="20"/>
          <w:szCs w:val="20"/>
          <w:lang w:val="es-UY"/>
        </w:rPr>
        <w:t>centro de trabajo.</w:t>
      </w:r>
    </w:p>
    <w:p w:rsidR="00130F4D" w:rsidRPr="00130F4D" w:rsidRDefault="00DE740C"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sidRPr="00B26926">
        <w:rPr>
          <w:rFonts w:asciiTheme="majorHAnsi" w:hAnsiTheme="majorHAnsi" w:cs="Arial"/>
          <w:sz w:val="20"/>
          <w:szCs w:val="20"/>
          <w:lang w:val="es-UY"/>
        </w:rPr>
        <w:t>Frente a la situaci</w:t>
      </w:r>
      <w:r w:rsidR="00B26926" w:rsidRPr="00B26926">
        <w:rPr>
          <w:rFonts w:asciiTheme="majorHAnsi" w:hAnsiTheme="majorHAnsi" w:cs="Arial"/>
          <w:sz w:val="20"/>
          <w:szCs w:val="20"/>
          <w:lang w:val="es-UY"/>
        </w:rPr>
        <w:t xml:space="preserve">ón descrita y cuestionando además </w:t>
      </w:r>
      <w:r w:rsidR="00997B35" w:rsidRPr="00B26926">
        <w:rPr>
          <w:rFonts w:asciiTheme="majorHAnsi" w:hAnsiTheme="majorHAnsi" w:cs="Arial"/>
          <w:sz w:val="20"/>
          <w:szCs w:val="20"/>
          <w:lang w:val="es-UY"/>
        </w:rPr>
        <w:t>que en el proceso de ratificación no tuvo derech</w:t>
      </w:r>
      <w:r w:rsidR="00B26926">
        <w:rPr>
          <w:rFonts w:asciiTheme="majorHAnsi" w:hAnsiTheme="majorHAnsi" w:cs="Arial"/>
          <w:sz w:val="20"/>
          <w:szCs w:val="20"/>
          <w:lang w:val="es-UY"/>
        </w:rPr>
        <w:t xml:space="preserve">o a la defensa, </w:t>
      </w:r>
      <w:r w:rsidR="00B26926" w:rsidRPr="00B26926">
        <w:rPr>
          <w:rFonts w:asciiTheme="majorHAnsi" w:hAnsiTheme="majorHAnsi" w:cs="Arial"/>
          <w:sz w:val="20"/>
          <w:szCs w:val="20"/>
          <w:lang w:val="es-UY"/>
        </w:rPr>
        <w:t>el 17 de septiembre de 1982</w:t>
      </w:r>
      <w:r w:rsidR="00B26926">
        <w:rPr>
          <w:rFonts w:asciiTheme="majorHAnsi" w:hAnsiTheme="majorHAnsi" w:cs="Arial"/>
          <w:sz w:val="20"/>
          <w:szCs w:val="20"/>
          <w:lang w:val="es-UY"/>
        </w:rPr>
        <w:t xml:space="preserve">, </w:t>
      </w:r>
      <w:r w:rsidR="00B26926" w:rsidRPr="00B26926">
        <w:rPr>
          <w:rFonts w:asciiTheme="majorHAnsi" w:hAnsiTheme="majorHAnsi" w:cs="Arial"/>
          <w:sz w:val="20"/>
          <w:szCs w:val="20"/>
          <w:lang w:val="es-UY"/>
        </w:rPr>
        <w:t xml:space="preserve"> la peticionaria</w:t>
      </w:r>
      <w:r w:rsidR="00B26926">
        <w:rPr>
          <w:rFonts w:asciiTheme="majorHAnsi" w:hAnsiTheme="majorHAnsi" w:cs="Arial"/>
          <w:sz w:val="20"/>
          <w:szCs w:val="20"/>
          <w:lang w:val="es-UY"/>
        </w:rPr>
        <w:t xml:space="preserve"> interpuso un recurso de </w:t>
      </w:r>
      <w:r w:rsidR="006F4DF7">
        <w:rPr>
          <w:rFonts w:asciiTheme="majorHAnsi" w:hAnsiTheme="majorHAnsi" w:cs="Arial"/>
          <w:sz w:val="20"/>
          <w:szCs w:val="20"/>
          <w:lang w:val="es-UY"/>
        </w:rPr>
        <w:t>revisión</w:t>
      </w:r>
      <w:r w:rsidR="007116ED">
        <w:rPr>
          <w:rFonts w:asciiTheme="majorHAnsi" w:hAnsiTheme="majorHAnsi" w:cs="Arial"/>
          <w:sz w:val="20"/>
          <w:szCs w:val="20"/>
          <w:lang w:val="es-UY"/>
        </w:rPr>
        <w:t xml:space="preserve"> contra la decisión del Tribunal de Trabajo,</w:t>
      </w:r>
      <w:r w:rsidR="001A2705">
        <w:rPr>
          <w:rFonts w:asciiTheme="majorHAnsi" w:hAnsiTheme="majorHAnsi" w:cs="Arial"/>
          <w:sz w:val="20"/>
          <w:szCs w:val="20"/>
          <w:lang w:val="es-UY"/>
        </w:rPr>
        <w:t xml:space="preserve"> </w:t>
      </w:r>
      <w:r w:rsidR="006C199D">
        <w:rPr>
          <w:rFonts w:asciiTheme="majorHAnsi" w:hAnsiTheme="majorHAnsi" w:cs="Arial"/>
          <w:sz w:val="20"/>
          <w:szCs w:val="20"/>
          <w:lang w:val="es-UY"/>
        </w:rPr>
        <w:t xml:space="preserve">para su tramitación administrativa </w:t>
      </w:r>
      <w:r w:rsidR="001A2705">
        <w:rPr>
          <w:rFonts w:asciiTheme="majorHAnsi" w:hAnsiTheme="majorHAnsi" w:cs="Arial"/>
          <w:sz w:val="20"/>
          <w:szCs w:val="20"/>
          <w:lang w:val="es-UY"/>
        </w:rPr>
        <w:t>ante la Corte Suprema de Justicia</w:t>
      </w:r>
      <w:r w:rsidR="00D568EC">
        <w:rPr>
          <w:rFonts w:asciiTheme="majorHAnsi" w:hAnsiTheme="majorHAnsi" w:cs="Arial"/>
          <w:sz w:val="20"/>
          <w:szCs w:val="20"/>
          <w:lang w:val="es-UY"/>
        </w:rPr>
        <w:t xml:space="preserve"> (en adelante “la Corte Suprema”)</w:t>
      </w:r>
      <w:r w:rsidR="001A2705">
        <w:rPr>
          <w:rFonts w:asciiTheme="majorHAnsi" w:hAnsiTheme="majorHAnsi" w:cs="Arial"/>
          <w:sz w:val="20"/>
          <w:szCs w:val="20"/>
          <w:lang w:val="es-UY"/>
        </w:rPr>
        <w:t xml:space="preserve">. </w:t>
      </w:r>
      <w:r w:rsidR="00E95592">
        <w:rPr>
          <w:rFonts w:asciiTheme="majorHAnsi" w:hAnsiTheme="majorHAnsi" w:cs="Arial"/>
          <w:sz w:val="20"/>
          <w:szCs w:val="20"/>
          <w:lang w:val="es-UY"/>
        </w:rPr>
        <w:t xml:space="preserve">No obstante, manifiesta que sin </w:t>
      </w:r>
      <w:r w:rsidR="00502A83">
        <w:rPr>
          <w:rFonts w:asciiTheme="majorHAnsi" w:hAnsiTheme="majorHAnsi" w:cs="Arial"/>
          <w:sz w:val="20"/>
          <w:szCs w:val="20"/>
          <w:lang w:val="es-UY"/>
        </w:rPr>
        <w:t>revisar</w:t>
      </w:r>
      <w:r w:rsidR="00E95592">
        <w:rPr>
          <w:rFonts w:asciiTheme="majorHAnsi" w:hAnsiTheme="majorHAnsi" w:cs="Arial"/>
          <w:sz w:val="20"/>
          <w:szCs w:val="20"/>
          <w:lang w:val="es-UY"/>
        </w:rPr>
        <w:t xml:space="preserve"> </w:t>
      </w:r>
      <w:r w:rsidR="002C37A0">
        <w:rPr>
          <w:rFonts w:asciiTheme="majorHAnsi" w:hAnsiTheme="majorHAnsi" w:cs="Arial"/>
          <w:sz w:val="20"/>
          <w:szCs w:val="20"/>
          <w:lang w:val="es-UY"/>
        </w:rPr>
        <w:t>el expediente de ratificaciones</w:t>
      </w:r>
      <w:r w:rsidR="00E95592">
        <w:rPr>
          <w:rFonts w:asciiTheme="majorHAnsi" w:hAnsiTheme="majorHAnsi" w:cs="Arial"/>
          <w:sz w:val="20"/>
          <w:szCs w:val="20"/>
          <w:lang w:val="es-UY"/>
        </w:rPr>
        <w:t xml:space="preserve"> dicho tribunal, d</w:t>
      </w:r>
      <w:r w:rsidR="001A2705">
        <w:rPr>
          <w:rFonts w:asciiTheme="majorHAnsi" w:hAnsiTheme="majorHAnsi" w:cs="Arial"/>
          <w:sz w:val="20"/>
          <w:szCs w:val="20"/>
          <w:lang w:val="es-UY"/>
        </w:rPr>
        <w:t>eclar</w:t>
      </w:r>
      <w:r w:rsidR="00E95592">
        <w:rPr>
          <w:rFonts w:asciiTheme="majorHAnsi" w:hAnsiTheme="majorHAnsi" w:cs="Arial"/>
          <w:sz w:val="20"/>
          <w:szCs w:val="20"/>
          <w:lang w:val="es-UY"/>
        </w:rPr>
        <w:t>ó</w:t>
      </w:r>
      <w:r w:rsidR="001A2705">
        <w:rPr>
          <w:rFonts w:asciiTheme="majorHAnsi" w:hAnsiTheme="majorHAnsi" w:cs="Arial"/>
          <w:sz w:val="20"/>
          <w:szCs w:val="20"/>
          <w:lang w:val="es-UY"/>
        </w:rPr>
        <w:t xml:space="preserve"> infundado</w:t>
      </w:r>
      <w:r w:rsidR="00E95592">
        <w:rPr>
          <w:rFonts w:asciiTheme="majorHAnsi" w:hAnsiTheme="majorHAnsi" w:cs="Arial"/>
          <w:sz w:val="20"/>
          <w:szCs w:val="20"/>
          <w:lang w:val="es-UY"/>
        </w:rPr>
        <w:t xml:space="preserve"> </w:t>
      </w:r>
      <w:r w:rsidR="00D52802">
        <w:rPr>
          <w:rFonts w:asciiTheme="majorHAnsi" w:hAnsiTheme="majorHAnsi" w:cs="Arial"/>
          <w:sz w:val="20"/>
          <w:szCs w:val="20"/>
          <w:lang w:val="es-UY"/>
        </w:rPr>
        <w:t>su</w:t>
      </w:r>
      <w:r w:rsidR="00E95592">
        <w:rPr>
          <w:rFonts w:asciiTheme="majorHAnsi" w:hAnsiTheme="majorHAnsi" w:cs="Arial"/>
          <w:sz w:val="20"/>
          <w:szCs w:val="20"/>
          <w:lang w:val="es-UY"/>
        </w:rPr>
        <w:t xml:space="preserve"> recurso</w:t>
      </w:r>
      <w:r w:rsidR="001A2705">
        <w:rPr>
          <w:rFonts w:asciiTheme="majorHAnsi" w:hAnsiTheme="majorHAnsi" w:cs="Arial"/>
          <w:sz w:val="20"/>
          <w:szCs w:val="20"/>
          <w:lang w:val="es-UY"/>
        </w:rPr>
        <w:t xml:space="preserve"> </w:t>
      </w:r>
      <w:r w:rsidR="00070B9A">
        <w:rPr>
          <w:rFonts w:asciiTheme="majorHAnsi" w:hAnsiTheme="majorHAnsi" w:cs="Arial"/>
          <w:sz w:val="20"/>
          <w:szCs w:val="20"/>
          <w:lang w:val="es-UY"/>
        </w:rPr>
        <w:t>mediante la Resolución Suprema de</w:t>
      </w:r>
      <w:r w:rsidR="001A2705">
        <w:rPr>
          <w:rFonts w:asciiTheme="majorHAnsi" w:hAnsiTheme="majorHAnsi" w:cs="Arial"/>
          <w:sz w:val="20"/>
          <w:szCs w:val="20"/>
          <w:lang w:val="es-UY"/>
        </w:rPr>
        <w:t xml:space="preserve"> 12 de octubre de 1983</w:t>
      </w:r>
      <w:r w:rsidR="006F4DF7">
        <w:rPr>
          <w:rFonts w:asciiTheme="majorHAnsi" w:hAnsiTheme="majorHAnsi" w:cs="Arial"/>
          <w:sz w:val="20"/>
          <w:szCs w:val="20"/>
          <w:lang w:val="es-UY"/>
        </w:rPr>
        <w:t>.</w:t>
      </w:r>
      <w:r w:rsidR="002A40C8">
        <w:rPr>
          <w:rFonts w:asciiTheme="majorHAnsi" w:hAnsiTheme="majorHAnsi" w:cs="Arial"/>
          <w:sz w:val="20"/>
          <w:szCs w:val="20"/>
          <w:lang w:val="es-UY"/>
        </w:rPr>
        <w:t xml:space="preserve"> Contra </w:t>
      </w:r>
      <w:r w:rsidR="006D1234">
        <w:rPr>
          <w:rFonts w:asciiTheme="majorHAnsi" w:hAnsiTheme="majorHAnsi" w:cs="Arial"/>
          <w:sz w:val="20"/>
          <w:szCs w:val="20"/>
          <w:lang w:val="es-UY"/>
        </w:rPr>
        <w:t>tal sentencia, la peticionaria interpuso una acción de amparo</w:t>
      </w:r>
      <w:r w:rsidR="006C199D">
        <w:rPr>
          <w:rFonts w:asciiTheme="majorHAnsi" w:hAnsiTheme="majorHAnsi" w:cs="Arial"/>
          <w:sz w:val="20"/>
          <w:szCs w:val="20"/>
          <w:lang w:val="es-UY"/>
        </w:rPr>
        <w:t xml:space="preserve"> que fue declarada</w:t>
      </w:r>
      <w:r w:rsidR="006D1234">
        <w:rPr>
          <w:rFonts w:asciiTheme="majorHAnsi" w:hAnsiTheme="majorHAnsi" w:cs="Arial"/>
          <w:sz w:val="20"/>
          <w:szCs w:val="20"/>
          <w:lang w:val="es-UY"/>
        </w:rPr>
        <w:t xml:space="preserve"> improcedente </w:t>
      </w:r>
      <w:r w:rsidR="006C199D">
        <w:rPr>
          <w:rFonts w:asciiTheme="majorHAnsi" w:hAnsiTheme="majorHAnsi" w:cs="Arial"/>
          <w:sz w:val="20"/>
          <w:szCs w:val="20"/>
          <w:lang w:val="es-UY"/>
        </w:rPr>
        <w:t xml:space="preserve">por el Décimo Segundo Juzgado Civil de Lima </w:t>
      </w:r>
      <w:r w:rsidR="00A651D6">
        <w:rPr>
          <w:rFonts w:asciiTheme="majorHAnsi" w:hAnsiTheme="majorHAnsi" w:cs="Arial"/>
          <w:sz w:val="20"/>
          <w:szCs w:val="20"/>
          <w:lang w:val="es-UY"/>
        </w:rPr>
        <w:t xml:space="preserve">(en adelante “Juzgado Civil”) </w:t>
      </w:r>
      <w:r w:rsidR="006C199D">
        <w:rPr>
          <w:rFonts w:asciiTheme="majorHAnsi" w:hAnsiTheme="majorHAnsi" w:cs="Arial"/>
          <w:sz w:val="20"/>
          <w:szCs w:val="20"/>
          <w:lang w:val="es-UY"/>
        </w:rPr>
        <w:t>el 14 de junio de 1985.</w:t>
      </w:r>
      <w:r w:rsidR="00D13FE5">
        <w:rPr>
          <w:rFonts w:asciiTheme="majorHAnsi" w:hAnsiTheme="majorHAnsi" w:cs="Arial"/>
          <w:sz w:val="20"/>
          <w:szCs w:val="20"/>
          <w:lang w:val="es-UY"/>
        </w:rPr>
        <w:t xml:space="preserve"> Por ello, presentó un recurso de apelación ante la Tercera S</w:t>
      </w:r>
      <w:r w:rsidR="003D2C4D">
        <w:rPr>
          <w:rFonts w:asciiTheme="majorHAnsi" w:hAnsiTheme="majorHAnsi" w:cs="Arial"/>
          <w:sz w:val="20"/>
          <w:szCs w:val="20"/>
          <w:lang w:val="es-UY"/>
        </w:rPr>
        <w:t xml:space="preserve">ala Civil </w:t>
      </w:r>
      <w:r w:rsidR="003D2C4D" w:rsidRPr="000C4180">
        <w:rPr>
          <w:rFonts w:asciiTheme="majorHAnsi" w:hAnsiTheme="majorHAnsi"/>
          <w:sz w:val="20"/>
          <w:szCs w:val="20"/>
          <w:lang w:val="es-ES"/>
        </w:rPr>
        <w:t>de la Corte Superior de Justicia de Lima</w:t>
      </w:r>
      <w:r w:rsidR="003D2C4D">
        <w:rPr>
          <w:rFonts w:asciiTheme="majorHAnsi" w:hAnsiTheme="majorHAnsi"/>
          <w:sz w:val="20"/>
          <w:szCs w:val="20"/>
          <w:lang w:val="es-ES"/>
        </w:rPr>
        <w:t xml:space="preserve">, que confirmó la sentencia impugnada el 2 de agosto de 1985. </w:t>
      </w:r>
    </w:p>
    <w:p w:rsidR="00130F4D" w:rsidRPr="00151398" w:rsidRDefault="00D07D23"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Así, e</w:t>
      </w:r>
      <w:r w:rsidR="00130F4D" w:rsidRPr="00151398">
        <w:rPr>
          <w:rFonts w:asciiTheme="majorHAnsi" w:hAnsiTheme="majorHAnsi" w:cs="Arial"/>
          <w:sz w:val="20"/>
          <w:szCs w:val="20"/>
          <w:lang w:val="es-UY"/>
        </w:rPr>
        <w:t>l 19 de septiembre de 1985, la peticionaria interpuso un recurso de nulidad ante la  Segunda Sala Civil de la Corte Suprema</w:t>
      </w:r>
      <w:r>
        <w:rPr>
          <w:rFonts w:asciiTheme="majorHAnsi" w:hAnsiTheme="majorHAnsi" w:cs="Arial"/>
          <w:sz w:val="20"/>
          <w:szCs w:val="20"/>
          <w:lang w:val="es-UY"/>
        </w:rPr>
        <w:t>. En el marco del procedimiento, tras analizar los antecedentes, e</w:t>
      </w:r>
      <w:r w:rsidR="00130F4D" w:rsidRPr="00151398">
        <w:rPr>
          <w:rFonts w:asciiTheme="majorHAnsi" w:hAnsiTheme="majorHAnsi" w:cs="Arial"/>
          <w:sz w:val="20"/>
          <w:szCs w:val="20"/>
          <w:lang w:val="es-UY"/>
        </w:rPr>
        <w:t>l Fiscal</w:t>
      </w:r>
      <w:r>
        <w:rPr>
          <w:rFonts w:asciiTheme="majorHAnsi" w:hAnsiTheme="majorHAnsi" w:cs="Arial"/>
          <w:sz w:val="20"/>
          <w:szCs w:val="20"/>
          <w:lang w:val="es-UY"/>
        </w:rPr>
        <w:t xml:space="preserve"> Supremo</w:t>
      </w:r>
      <w:r w:rsidR="00130F4D" w:rsidRPr="00151398">
        <w:rPr>
          <w:rFonts w:asciiTheme="majorHAnsi" w:hAnsiTheme="majorHAnsi" w:cs="Arial"/>
          <w:sz w:val="20"/>
          <w:szCs w:val="20"/>
          <w:lang w:val="es-UY"/>
        </w:rPr>
        <w:t xml:space="preserve"> dictaminó el 17 de enero de 1986, </w:t>
      </w:r>
      <w:r w:rsidR="00130F4D">
        <w:rPr>
          <w:rFonts w:asciiTheme="majorHAnsi" w:hAnsiTheme="majorHAnsi" w:cs="Arial"/>
          <w:sz w:val="20"/>
          <w:szCs w:val="20"/>
          <w:lang w:val="es-UY"/>
        </w:rPr>
        <w:t xml:space="preserve">que </w:t>
      </w:r>
      <w:r>
        <w:rPr>
          <w:rFonts w:asciiTheme="majorHAnsi" w:hAnsiTheme="majorHAnsi" w:cs="Arial"/>
          <w:sz w:val="20"/>
          <w:szCs w:val="20"/>
          <w:lang w:val="es-UY"/>
        </w:rPr>
        <w:t>los fallos de</w:t>
      </w:r>
      <w:r w:rsidR="00130F4D">
        <w:rPr>
          <w:rFonts w:asciiTheme="majorHAnsi" w:hAnsiTheme="majorHAnsi" w:cs="Arial"/>
          <w:sz w:val="20"/>
          <w:szCs w:val="20"/>
          <w:lang w:val="es-UY"/>
        </w:rPr>
        <w:t xml:space="preserve"> primera </w:t>
      </w:r>
      <w:r>
        <w:rPr>
          <w:rFonts w:asciiTheme="majorHAnsi" w:hAnsiTheme="majorHAnsi" w:cs="Arial"/>
          <w:sz w:val="20"/>
          <w:szCs w:val="20"/>
          <w:lang w:val="es-UY"/>
        </w:rPr>
        <w:t xml:space="preserve">y segunda </w:t>
      </w:r>
      <w:r w:rsidR="00130F4D">
        <w:rPr>
          <w:rFonts w:asciiTheme="majorHAnsi" w:hAnsiTheme="majorHAnsi" w:cs="Arial"/>
          <w:sz w:val="20"/>
          <w:szCs w:val="20"/>
          <w:lang w:val="es-UY"/>
        </w:rPr>
        <w:t>instancia</w:t>
      </w:r>
      <w:r>
        <w:rPr>
          <w:rFonts w:asciiTheme="majorHAnsi" w:hAnsiTheme="majorHAnsi" w:cs="Arial"/>
          <w:sz w:val="20"/>
          <w:szCs w:val="20"/>
          <w:lang w:val="es-UY"/>
        </w:rPr>
        <w:t xml:space="preserve"> fueron resueltos </w:t>
      </w:r>
      <w:r w:rsidR="00502A83">
        <w:rPr>
          <w:rFonts w:asciiTheme="majorHAnsi" w:hAnsiTheme="majorHAnsi" w:cs="Arial"/>
          <w:sz w:val="20"/>
          <w:szCs w:val="20"/>
          <w:lang w:val="es-UY"/>
        </w:rPr>
        <w:t>sin haber revisado</w:t>
      </w:r>
      <w:r w:rsidR="00130F4D">
        <w:rPr>
          <w:rFonts w:asciiTheme="majorHAnsi" w:hAnsiTheme="majorHAnsi" w:cs="Arial"/>
          <w:sz w:val="20"/>
          <w:szCs w:val="20"/>
          <w:lang w:val="es-UY"/>
        </w:rPr>
        <w:t xml:space="preserve"> el expediente de ratificaciones, </w:t>
      </w:r>
      <w:r>
        <w:rPr>
          <w:rFonts w:asciiTheme="majorHAnsi" w:hAnsiTheme="majorHAnsi" w:cs="Arial"/>
          <w:sz w:val="20"/>
          <w:szCs w:val="20"/>
          <w:lang w:val="es-UY"/>
        </w:rPr>
        <w:t xml:space="preserve">por lo que </w:t>
      </w:r>
      <w:r w:rsidR="00130F4D">
        <w:rPr>
          <w:rFonts w:asciiTheme="majorHAnsi" w:hAnsiTheme="majorHAnsi" w:cs="Arial"/>
          <w:sz w:val="20"/>
          <w:szCs w:val="20"/>
          <w:lang w:val="es-UY"/>
        </w:rPr>
        <w:t>debía dejarse insubsistentes dichas resoluciones y dictarse un nuevo fallo</w:t>
      </w:r>
      <w:r w:rsidR="00D568EC">
        <w:rPr>
          <w:rFonts w:asciiTheme="majorHAnsi" w:hAnsiTheme="majorHAnsi" w:cs="Arial"/>
          <w:sz w:val="20"/>
          <w:szCs w:val="20"/>
          <w:lang w:val="es-UY"/>
        </w:rPr>
        <w:t>.</w:t>
      </w:r>
      <w:r>
        <w:rPr>
          <w:rFonts w:asciiTheme="majorHAnsi" w:hAnsiTheme="majorHAnsi" w:cs="Arial"/>
          <w:sz w:val="20"/>
          <w:szCs w:val="20"/>
          <w:lang w:val="es-UY"/>
        </w:rPr>
        <w:t xml:space="preserve">  En atención a lo expuesto</w:t>
      </w:r>
      <w:r w:rsidR="00D568EC">
        <w:rPr>
          <w:rFonts w:asciiTheme="majorHAnsi" w:hAnsiTheme="majorHAnsi" w:cs="Arial"/>
          <w:sz w:val="20"/>
          <w:szCs w:val="20"/>
          <w:lang w:val="es-UY"/>
        </w:rPr>
        <w:t>,</w:t>
      </w:r>
      <w:r w:rsidRPr="00D07D23">
        <w:rPr>
          <w:rFonts w:asciiTheme="majorHAnsi" w:hAnsiTheme="majorHAnsi" w:cs="Arial"/>
          <w:sz w:val="20"/>
          <w:szCs w:val="20"/>
          <w:lang w:val="es-UY"/>
        </w:rPr>
        <w:t xml:space="preserve"> </w:t>
      </w:r>
      <w:r>
        <w:rPr>
          <w:rFonts w:asciiTheme="majorHAnsi" w:hAnsiTheme="majorHAnsi" w:cs="Arial"/>
          <w:sz w:val="20"/>
          <w:szCs w:val="20"/>
          <w:lang w:val="es-UY"/>
        </w:rPr>
        <w:t>la Corte Suprema</w:t>
      </w:r>
      <w:r w:rsidR="00D568EC">
        <w:rPr>
          <w:rFonts w:asciiTheme="majorHAnsi" w:hAnsiTheme="majorHAnsi" w:cs="Arial"/>
          <w:sz w:val="20"/>
          <w:szCs w:val="20"/>
          <w:lang w:val="es-UY"/>
        </w:rPr>
        <w:t xml:space="preserve"> </w:t>
      </w:r>
      <w:r w:rsidR="00130F4D">
        <w:rPr>
          <w:rFonts w:asciiTheme="majorHAnsi" w:hAnsiTheme="majorHAnsi" w:cs="Arial"/>
          <w:sz w:val="20"/>
          <w:szCs w:val="20"/>
          <w:lang w:val="es-UY"/>
        </w:rPr>
        <w:t>el 4 de a</w:t>
      </w:r>
      <w:r w:rsidR="00D568EC">
        <w:rPr>
          <w:rFonts w:asciiTheme="majorHAnsi" w:hAnsiTheme="majorHAnsi" w:cs="Arial"/>
          <w:sz w:val="20"/>
          <w:szCs w:val="20"/>
          <w:lang w:val="es-UY"/>
        </w:rPr>
        <w:t>gosto de 1986,</w:t>
      </w:r>
      <w:r w:rsidR="00130F4D">
        <w:rPr>
          <w:rFonts w:asciiTheme="majorHAnsi" w:hAnsiTheme="majorHAnsi" w:cs="Arial"/>
          <w:sz w:val="20"/>
          <w:szCs w:val="20"/>
          <w:lang w:val="es-UY"/>
        </w:rPr>
        <w:t xml:space="preserve"> </w:t>
      </w:r>
      <w:r w:rsidR="00D568EC">
        <w:rPr>
          <w:rFonts w:asciiTheme="majorHAnsi" w:hAnsiTheme="majorHAnsi" w:cs="Arial"/>
          <w:sz w:val="20"/>
          <w:szCs w:val="20"/>
          <w:lang w:val="es-UY"/>
        </w:rPr>
        <w:t>declaró</w:t>
      </w:r>
      <w:r w:rsidR="00130F4D">
        <w:rPr>
          <w:rFonts w:asciiTheme="majorHAnsi" w:hAnsiTheme="majorHAnsi" w:cs="Arial"/>
          <w:sz w:val="20"/>
          <w:szCs w:val="20"/>
          <w:lang w:val="es-UY"/>
        </w:rPr>
        <w:t xml:space="preserve"> nula la sentencia de segunda instancia e insubsistente la </w:t>
      </w:r>
      <w:r w:rsidR="00D568EC">
        <w:rPr>
          <w:rFonts w:asciiTheme="majorHAnsi" w:hAnsiTheme="majorHAnsi" w:cs="Arial"/>
          <w:sz w:val="20"/>
          <w:szCs w:val="20"/>
          <w:lang w:val="es-UY"/>
        </w:rPr>
        <w:t xml:space="preserve">resolución </w:t>
      </w:r>
      <w:r w:rsidR="00130F4D">
        <w:rPr>
          <w:rFonts w:asciiTheme="majorHAnsi" w:hAnsiTheme="majorHAnsi" w:cs="Arial"/>
          <w:sz w:val="20"/>
          <w:szCs w:val="20"/>
          <w:lang w:val="es-UY"/>
        </w:rPr>
        <w:t>de primera instancia, ordenando que el juez de origen</w:t>
      </w:r>
      <w:r w:rsidR="00A651D6">
        <w:rPr>
          <w:rFonts w:asciiTheme="majorHAnsi" w:hAnsiTheme="majorHAnsi" w:cs="Arial"/>
          <w:sz w:val="20"/>
          <w:szCs w:val="20"/>
          <w:lang w:val="es-UY"/>
        </w:rPr>
        <w:t>, es decir el Juzgado Civil,</w:t>
      </w:r>
      <w:r w:rsidR="00D568EC">
        <w:rPr>
          <w:rFonts w:asciiTheme="majorHAnsi" w:hAnsiTheme="majorHAnsi" w:cs="Arial"/>
          <w:sz w:val="20"/>
          <w:szCs w:val="20"/>
          <w:lang w:val="es-UY"/>
        </w:rPr>
        <w:t xml:space="preserve"> </w:t>
      </w:r>
      <w:r w:rsidR="00130F4D">
        <w:rPr>
          <w:rFonts w:asciiTheme="majorHAnsi" w:hAnsiTheme="majorHAnsi" w:cs="Arial"/>
          <w:sz w:val="20"/>
          <w:szCs w:val="20"/>
          <w:lang w:val="es-UY"/>
        </w:rPr>
        <w:t xml:space="preserve">expida un fallo </w:t>
      </w:r>
      <w:r w:rsidR="00D568EC">
        <w:rPr>
          <w:rFonts w:asciiTheme="majorHAnsi" w:hAnsiTheme="majorHAnsi" w:cs="Arial"/>
          <w:sz w:val="20"/>
          <w:szCs w:val="20"/>
          <w:lang w:val="es-UY"/>
        </w:rPr>
        <w:t>revisando el referido expediente</w:t>
      </w:r>
      <w:r w:rsidR="00130F4D">
        <w:rPr>
          <w:rFonts w:asciiTheme="majorHAnsi" w:hAnsiTheme="majorHAnsi" w:cs="Arial"/>
          <w:sz w:val="20"/>
          <w:szCs w:val="20"/>
          <w:lang w:val="es-UY"/>
        </w:rPr>
        <w:t xml:space="preserve">. </w:t>
      </w:r>
    </w:p>
    <w:p w:rsidR="00B87058" w:rsidRDefault="00130F4D"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sz w:val="20"/>
          <w:szCs w:val="20"/>
          <w:lang w:val="es-ES"/>
        </w:rPr>
        <w:t xml:space="preserve"> </w:t>
      </w:r>
      <w:r w:rsidR="003D2C4D">
        <w:rPr>
          <w:rFonts w:asciiTheme="majorHAnsi" w:hAnsiTheme="majorHAnsi"/>
          <w:sz w:val="20"/>
          <w:szCs w:val="20"/>
          <w:lang w:val="es-ES"/>
        </w:rPr>
        <w:t xml:space="preserve"> </w:t>
      </w:r>
      <w:r w:rsidR="00FB693A">
        <w:rPr>
          <w:rFonts w:asciiTheme="majorHAnsi" w:hAnsiTheme="majorHAnsi"/>
          <w:sz w:val="20"/>
          <w:szCs w:val="20"/>
          <w:lang w:val="es-ES"/>
        </w:rPr>
        <w:t xml:space="preserve">La peticionaria manifiesta que durante diez años solicitó en numerosas ocasiones que el expediente de ratificaciones sea remitido por el </w:t>
      </w:r>
      <w:r w:rsidR="00A651D6">
        <w:rPr>
          <w:rFonts w:asciiTheme="majorHAnsi" w:hAnsiTheme="majorHAnsi"/>
          <w:sz w:val="20"/>
          <w:szCs w:val="20"/>
          <w:lang w:val="es-ES"/>
        </w:rPr>
        <w:t xml:space="preserve">Tribunal de Trabajo al Juzgado Civil, pero </w:t>
      </w:r>
      <w:r w:rsidR="005D2E34">
        <w:rPr>
          <w:rFonts w:asciiTheme="majorHAnsi" w:hAnsiTheme="majorHAnsi"/>
          <w:sz w:val="20"/>
          <w:szCs w:val="20"/>
          <w:lang w:val="es-ES"/>
        </w:rPr>
        <w:t>éste</w:t>
      </w:r>
      <w:r w:rsidR="00A651D6">
        <w:rPr>
          <w:rFonts w:asciiTheme="majorHAnsi" w:hAnsiTheme="majorHAnsi"/>
          <w:sz w:val="20"/>
          <w:szCs w:val="20"/>
          <w:lang w:val="es-ES"/>
        </w:rPr>
        <w:t xml:space="preserve"> respondía que se había extraviado, incumpliendo su deber de </w:t>
      </w:r>
      <w:r w:rsidR="005D2E34">
        <w:rPr>
          <w:rFonts w:asciiTheme="majorHAnsi" w:hAnsiTheme="majorHAnsi"/>
          <w:sz w:val="20"/>
          <w:szCs w:val="20"/>
          <w:lang w:val="es-ES"/>
        </w:rPr>
        <w:t>reponer los documentos</w:t>
      </w:r>
      <w:r w:rsidR="00A651D6">
        <w:rPr>
          <w:rFonts w:asciiTheme="majorHAnsi" w:hAnsiTheme="majorHAnsi"/>
          <w:sz w:val="20"/>
          <w:szCs w:val="20"/>
          <w:lang w:val="es-ES"/>
        </w:rPr>
        <w:t xml:space="preserve">. </w:t>
      </w:r>
      <w:r w:rsidR="00B87058">
        <w:rPr>
          <w:rFonts w:asciiTheme="majorHAnsi" w:hAnsiTheme="majorHAnsi"/>
          <w:sz w:val="20"/>
          <w:szCs w:val="20"/>
          <w:lang w:val="es-ES"/>
        </w:rPr>
        <w:t xml:space="preserve">En razón a </w:t>
      </w:r>
      <w:r w:rsidR="00B87058">
        <w:rPr>
          <w:rFonts w:asciiTheme="majorHAnsi" w:hAnsiTheme="majorHAnsi" w:cs="Arial"/>
          <w:sz w:val="20"/>
          <w:szCs w:val="20"/>
          <w:lang w:val="es-UY"/>
        </w:rPr>
        <w:t xml:space="preserve">lo anteriormente expuesto, señala que el 30 de diciembre de 1996, el Decimosexto Juzgado en lo Civil de Lima dictó sentencia nuevamente sin revisar el expediente de ratificaciones declarando infundada la acción de amparo. </w:t>
      </w:r>
    </w:p>
    <w:p w:rsidR="00370C01" w:rsidRPr="004E4E5F" w:rsidRDefault="002263F1"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Pr>
          <w:rFonts w:asciiTheme="majorHAnsi" w:hAnsiTheme="majorHAnsi" w:cs="Arial"/>
          <w:sz w:val="20"/>
          <w:szCs w:val="20"/>
          <w:lang w:val="es-UY"/>
        </w:rPr>
        <w:t>Contra esta resolución, que incumplía nuevamente lo ordenado por la Corte Suprema, la presunta víctima presentó un recurso de apelación el 19 de mayo de 1997. Sin embargo, el 20 de marzo de 1998 la Sala Corporativa Transitoria de Derecho Público</w:t>
      </w:r>
      <w:r w:rsidR="00370C01">
        <w:rPr>
          <w:rFonts w:asciiTheme="majorHAnsi" w:hAnsiTheme="majorHAnsi" w:cs="Arial"/>
          <w:sz w:val="20"/>
          <w:szCs w:val="20"/>
          <w:lang w:val="es-UY"/>
        </w:rPr>
        <w:t xml:space="preserve"> confirmó la sentencia apelada</w:t>
      </w:r>
      <w:r>
        <w:rPr>
          <w:rFonts w:asciiTheme="majorHAnsi" w:hAnsiTheme="majorHAnsi" w:cs="Arial"/>
          <w:sz w:val="20"/>
          <w:szCs w:val="20"/>
          <w:lang w:val="es-UY"/>
        </w:rPr>
        <w:t>.</w:t>
      </w:r>
      <w:r w:rsidR="00370C01">
        <w:rPr>
          <w:rFonts w:asciiTheme="majorHAnsi" w:hAnsiTheme="majorHAnsi" w:cs="Arial"/>
          <w:sz w:val="20"/>
          <w:szCs w:val="20"/>
          <w:lang w:val="es-UY"/>
        </w:rPr>
        <w:t xml:space="preserve">  Posteriormente, el 8 de abril de 1998, </w:t>
      </w:r>
      <w:r w:rsidR="00C84F9C">
        <w:rPr>
          <w:rFonts w:asciiTheme="majorHAnsi" w:hAnsiTheme="majorHAnsi" w:cs="Arial"/>
          <w:sz w:val="20"/>
          <w:szCs w:val="20"/>
          <w:lang w:val="es-UY"/>
        </w:rPr>
        <w:t xml:space="preserve">denunciando la reiterada violación de las garantías del debido proceso, </w:t>
      </w:r>
      <w:r w:rsidR="00370C01">
        <w:rPr>
          <w:rFonts w:asciiTheme="majorHAnsi" w:hAnsiTheme="majorHAnsi" w:cs="Arial"/>
          <w:sz w:val="20"/>
          <w:szCs w:val="20"/>
          <w:lang w:val="es-UY"/>
        </w:rPr>
        <w:t>la peticionaria interpuso un recurso de nulidad ante la Sala de Derecho Constitucional y Social de la Corte Suprema</w:t>
      </w:r>
      <w:r w:rsidR="00C84F9C">
        <w:rPr>
          <w:rFonts w:asciiTheme="majorHAnsi" w:hAnsiTheme="majorHAnsi" w:cs="Arial"/>
          <w:sz w:val="20"/>
          <w:szCs w:val="20"/>
          <w:lang w:val="es-UY"/>
        </w:rPr>
        <w:t xml:space="preserve">; la cual </w:t>
      </w:r>
      <w:r w:rsidR="00370C01">
        <w:rPr>
          <w:rFonts w:asciiTheme="majorHAnsi" w:hAnsiTheme="majorHAnsi" w:cs="Arial"/>
          <w:sz w:val="20"/>
          <w:szCs w:val="20"/>
          <w:lang w:val="es-UY"/>
        </w:rPr>
        <w:t xml:space="preserve"> declaró la inexistencia de</w:t>
      </w:r>
      <w:r w:rsidR="00FA0FA8">
        <w:rPr>
          <w:rFonts w:asciiTheme="majorHAnsi" w:hAnsiTheme="majorHAnsi" w:cs="Arial"/>
          <w:sz w:val="20"/>
          <w:szCs w:val="20"/>
          <w:lang w:val="es-UY"/>
        </w:rPr>
        <w:t xml:space="preserve"> nulidad en la sentencia recurrida,</w:t>
      </w:r>
      <w:r w:rsidR="001A2871">
        <w:rPr>
          <w:rFonts w:asciiTheme="majorHAnsi" w:hAnsiTheme="majorHAnsi" w:cs="Arial"/>
          <w:sz w:val="20"/>
          <w:szCs w:val="20"/>
          <w:lang w:val="es-UY"/>
        </w:rPr>
        <w:t xml:space="preserve"> mediante una resolución que le fue notificada</w:t>
      </w:r>
      <w:r w:rsidR="00FA0FA8">
        <w:rPr>
          <w:rFonts w:asciiTheme="majorHAnsi" w:hAnsiTheme="majorHAnsi" w:cs="Arial"/>
          <w:sz w:val="20"/>
          <w:szCs w:val="20"/>
          <w:lang w:val="es-UY"/>
        </w:rPr>
        <w:t xml:space="preserve"> el 23 de septiembre de 1999.</w:t>
      </w:r>
    </w:p>
    <w:p w:rsidR="0063685A" w:rsidRDefault="0063685A"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cs="Arial"/>
          <w:sz w:val="20"/>
          <w:szCs w:val="20"/>
          <w:lang w:val="es-UY"/>
        </w:rPr>
      </w:pPr>
      <w:r w:rsidRPr="0063685A">
        <w:rPr>
          <w:rFonts w:asciiTheme="majorHAnsi" w:hAnsiTheme="majorHAnsi" w:cs="Arial"/>
          <w:sz w:val="20"/>
          <w:szCs w:val="20"/>
          <w:lang w:val="es-UY"/>
        </w:rPr>
        <w:t xml:space="preserve">Con base en lo anterior, </w:t>
      </w:r>
      <w:r w:rsidR="009D42AE">
        <w:rPr>
          <w:rFonts w:asciiTheme="majorHAnsi" w:hAnsiTheme="majorHAnsi" w:cs="Arial"/>
          <w:sz w:val="20"/>
          <w:szCs w:val="20"/>
          <w:lang w:val="es-UY"/>
        </w:rPr>
        <w:t>la peticionaria</w:t>
      </w:r>
      <w:r w:rsidRPr="0063685A">
        <w:rPr>
          <w:rFonts w:asciiTheme="majorHAnsi" w:hAnsiTheme="majorHAnsi" w:cs="Arial"/>
          <w:sz w:val="20"/>
          <w:szCs w:val="20"/>
          <w:lang w:val="es-UY"/>
        </w:rPr>
        <w:t xml:space="preserve"> alega que el Estado violó los derechos reconocidos en los artículos </w:t>
      </w:r>
      <w:r w:rsidR="007749CA">
        <w:rPr>
          <w:rFonts w:asciiTheme="majorHAnsi" w:hAnsiTheme="majorHAnsi" w:cs="Arial"/>
          <w:sz w:val="20"/>
          <w:szCs w:val="20"/>
          <w:lang w:val="es-UY"/>
        </w:rPr>
        <w:t xml:space="preserve">5, </w:t>
      </w:r>
      <w:r w:rsidR="007749CA">
        <w:rPr>
          <w:rFonts w:asciiTheme="majorHAnsi" w:hAnsiTheme="majorHAnsi"/>
          <w:sz w:val="20"/>
          <w:szCs w:val="20"/>
          <w:lang w:val="es-UY"/>
        </w:rPr>
        <w:t xml:space="preserve">8, 11 y 25 </w:t>
      </w:r>
      <w:r w:rsidRPr="0063685A">
        <w:rPr>
          <w:rFonts w:asciiTheme="majorHAnsi" w:hAnsiTheme="majorHAnsi" w:cs="Arial"/>
          <w:sz w:val="20"/>
          <w:szCs w:val="20"/>
          <w:lang w:val="es-UY"/>
        </w:rPr>
        <w:t xml:space="preserve"> de la Convención Americana</w:t>
      </w:r>
      <w:r w:rsidRPr="00596831">
        <w:rPr>
          <w:rFonts w:asciiTheme="majorHAnsi" w:hAnsiTheme="majorHAnsi" w:cs="Arial"/>
          <w:color w:val="FF0000"/>
          <w:sz w:val="20"/>
          <w:szCs w:val="20"/>
          <w:lang w:val="es-UY"/>
        </w:rPr>
        <w:t xml:space="preserve"> </w:t>
      </w:r>
      <w:r w:rsidRPr="0063685A">
        <w:rPr>
          <w:rFonts w:asciiTheme="majorHAnsi" w:hAnsiTheme="majorHAnsi" w:cs="Arial"/>
          <w:sz w:val="20"/>
          <w:szCs w:val="20"/>
          <w:lang w:val="es-UY"/>
        </w:rPr>
        <w:t>en</w:t>
      </w:r>
      <w:r w:rsidR="007749CA">
        <w:rPr>
          <w:rFonts w:asciiTheme="majorHAnsi" w:hAnsiTheme="majorHAnsi" w:cs="Arial"/>
          <w:sz w:val="20"/>
          <w:szCs w:val="20"/>
          <w:lang w:val="es-UY"/>
        </w:rPr>
        <w:t xml:space="preserve"> su perjuicio. </w:t>
      </w:r>
    </w:p>
    <w:p w:rsidR="0063685A" w:rsidRPr="0063685A" w:rsidRDefault="0063685A" w:rsidP="00833085">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B.</w:t>
      </w:r>
      <w:r w:rsidRPr="0063685A">
        <w:rPr>
          <w:rFonts w:asciiTheme="majorHAnsi" w:hAnsiTheme="majorHAnsi"/>
          <w:b/>
          <w:bCs/>
          <w:sz w:val="20"/>
          <w:szCs w:val="20"/>
          <w:lang w:val="es-UY"/>
        </w:rPr>
        <w:tab/>
        <w:t>Posición del Estado</w:t>
      </w:r>
    </w:p>
    <w:p w:rsidR="005A2509" w:rsidRPr="00991259" w:rsidRDefault="0034607E"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Pr>
          <w:rFonts w:asciiTheme="majorHAnsi" w:hAnsiTheme="majorHAnsi"/>
          <w:sz w:val="20"/>
          <w:szCs w:val="20"/>
          <w:lang w:val="es-UY"/>
        </w:rPr>
        <w:t>El</w:t>
      </w:r>
      <w:r w:rsidR="00033826">
        <w:rPr>
          <w:rFonts w:asciiTheme="majorHAnsi" w:hAnsiTheme="majorHAnsi"/>
          <w:sz w:val="20"/>
          <w:szCs w:val="20"/>
          <w:lang w:val="es-UY"/>
        </w:rPr>
        <w:t xml:space="preserve"> Estado</w:t>
      </w:r>
      <w:r w:rsidR="00984CCF">
        <w:rPr>
          <w:rFonts w:asciiTheme="majorHAnsi" w:hAnsiTheme="majorHAnsi"/>
          <w:sz w:val="20"/>
          <w:szCs w:val="20"/>
          <w:lang w:val="es-UY"/>
        </w:rPr>
        <w:t xml:space="preserve"> </w:t>
      </w:r>
      <w:r>
        <w:rPr>
          <w:rFonts w:asciiTheme="majorHAnsi" w:hAnsiTheme="majorHAnsi"/>
          <w:sz w:val="20"/>
          <w:szCs w:val="20"/>
          <w:lang w:val="es-UY"/>
        </w:rPr>
        <w:t xml:space="preserve">sostiene que </w:t>
      </w:r>
      <w:r w:rsidR="00984CCF">
        <w:rPr>
          <w:rFonts w:asciiTheme="majorHAnsi" w:hAnsiTheme="majorHAnsi"/>
          <w:sz w:val="20"/>
          <w:szCs w:val="20"/>
          <w:lang w:val="es-UY"/>
        </w:rPr>
        <w:t xml:space="preserve">la peticionaria gozó </w:t>
      </w:r>
      <w:r>
        <w:rPr>
          <w:rFonts w:asciiTheme="majorHAnsi" w:hAnsiTheme="majorHAnsi"/>
          <w:sz w:val="20"/>
          <w:szCs w:val="20"/>
          <w:lang w:val="es-UY"/>
        </w:rPr>
        <w:t xml:space="preserve">en todo momento </w:t>
      </w:r>
      <w:r w:rsidR="00984CCF">
        <w:rPr>
          <w:rFonts w:asciiTheme="majorHAnsi" w:hAnsiTheme="majorHAnsi"/>
          <w:sz w:val="20"/>
          <w:szCs w:val="20"/>
          <w:lang w:val="es-UY"/>
        </w:rPr>
        <w:t>de las garantías judiciales</w:t>
      </w:r>
      <w:r>
        <w:rPr>
          <w:rFonts w:asciiTheme="majorHAnsi" w:hAnsiTheme="majorHAnsi"/>
          <w:sz w:val="20"/>
          <w:szCs w:val="20"/>
          <w:lang w:val="es-UY"/>
        </w:rPr>
        <w:t xml:space="preserve"> necesaria</w:t>
      </w:r>
      <w:r w:rsidR="00415C2A">
        <w:rPr>
          <w:rFonts w:asciiTheme="majorHAnsi" w:hAnsiTheme="majorHAnsi"/>
          <w:sz w:val="20"/>
          <w:szCs w:val="20"/>
          <w:lang w:val="es-UY"/>
        </w:rPr>
        <w:t>s y que e</w:t>
      </w:r>
      <w:r>
        <w:rPr>
          <w:rFonts w:asciiTheme="majorHAnsi" w:hAnsiTheme="majorHAnsi"/>
          <w:sz w:val="20"/>
          <w:szCs w:val="20"/>
          <w:lang w:val="es-UY"/>
        </w:rPr>
        <w:t>l hecho que</w:t>
      </w:r>
      <w:r w:rsidR="00033826">
        <w:rPr>
          <w:rFonts w:asciiTheme="majorHAnsi" w:hAnsiTheme="majorHAnsi"/>
          <w:sz w:val="20"/>
          <w:szCs w:val="20"/>
          <w:lang w:val="es-UY"/>
        </w:rPr>
        <w:t xml:space="preserve"> se hayan desestimado </w:t>
      </w:r>
      <w:r w:rsidR="00984CCF">
        <w:rPr>
          <w:rFonts w:asciiTheme="majorHAnsi" w:hAnsiTheme="majorHAnsi"/>
          <w:sz w:val="20"/>
          <w:szCs w:val="20"/>
          <w:lang w:val="es-UY"/>
        </w:rPr>
        <w:t>sus</w:t>
      </w:r>
      <w:r w:rsidR="00033826">
        <w:rPr>
          <w:rFonts w:asciiTheme="majorHAnsi" w:hAnsiTheme="majorHAnsi"/>
          <w:sz w:val="20"/>
          <w:szCs w:val="20"/>
          <w:lang w:val="es-UY"/>
        </w:rPr>
        <w:t xml:space="preserve"> pretensiones no implica la transgresión de sus </w:t>
      </w:r>
      <w:r w:rsidR="00984CCF">
        <w:rPr>
          <w:rFonts w:asciiTheme="majorHAnsi" w:hAnsiTheme="majorHAnsi"/>
          <w:sz w:val="20"/>
          <w:szCs w:val="20"/>
          <w:lang w:val="es-UY"/>
        </w:rPr>
        <w:t xml:space="preserve">derechos fundamentales, </w:t>
      </w:r>
      <w:r w:rsidR="00111F34">
        <w:rPr>
          <w:rFonts w:asciiTheme="majorHAnsi" w:hAnsiTheme="majorHAnsi"/>
          <w:sz w:val="20"/>
          <w:szCs w:val="20"/>
          <w:lang w:val="es-UY"/>
        </w:rPr>
        <w:t xml:space="preserve">pues la protección judicial que reconoce la Convención comprende el derecho a </w:t>
      </w:r>
      <w:r w:rsidR="00111F34">
        <w:rPr>
          <w:rFonts w:asciiTheme="majorHAnsi" w:hAnsiTheme="majorHAnsi"/>
          <w:sz w:val="20"/>
          <w:szCs w:val="20"/>
          <w:lang w:val="es-UY"/>
        </w:rPr>
        <w:lastRenderedPageBreak/>
        <w:t>procedimientos justos, imparciales y rápidos que brinden la posibilidad, pero no necesariamente, la garantía de un resultado favorable.</w:t>
      </w:r>
      <w:r w:rsidR="00991259">
        <w:rPr>
          <w:rFonts w:asciiTheme="majorHAnsi" w:hAnsiTheme="majorHAnsi"/>
          <w:sz w:val="20"/>
          <w:szCs w:val="20"/>
          <w:lang w:val="es-UY"/>
        </w:rPr>
        <w:t xml:space="preserve"> </w:t>
      </w:r>
      <w:r w:rsidR="00415C2A" w:rsidRPr="00991259">
        <w:rPr>
          <w:rFonts w:asciiTheme="majorHAnsi" w:hAnsiTheme="majorHAnsi"/>
          <w:sz w:val="20"/>
          <w:szCs w:val="20"/>
          <w:lang w:val="es-UY"/>
        </w:rPr>
        <w:t>Manifiesta además</w:t>
      </w:r>
      <w:r w:rsidR="008E7A93" w:rsidRPr="00991259">
        <w:rPr>
          <w:rFonts w:asciiTheme="majorHAnsi" w:hAnsiTheme="majorHAnsi"/>
          <w:sz w:val="20"/>
          <w:szCs w:val="20"/>
          <w:lang w:val="es-UY"/>
        </w:rPr>
        <w:t xml:space="preserve"> que la peticionaria durante el desarrollo de su proceso constitucional planteó </w:t>
      </w:r>
      <w:r w:rsidR="00111F34" w:rsidRPr="00991259">
        <w:rPr>
          <w:rFonts w:asciiTheme="majorHAnsi" w:hAnsiTheme="majorHAnsi"/>
          <w:sz w:val="20"/>
          <w:szCs w:val="20"/>
          <w:lang w:val="es-UY"/>
        </w:rPr>
        <w:t xml:space="preserve">una defensa técnica y </w:t>
      </w:r>
      <w:r w:rsidR="00415C2A" w:rsidRPr="00991259">
        <w:rPr>
          <w:rFonts w:asciiTheme="majorHAnsi" w:hAnsiTheme="majorHAnsi"/>
          <w:sz w:val="20"/>
          <w:szCs w:val="20"/>
          <w:lang w:val="es-UY"/>
        </w:rPr>
        <w:t>que</w:t>
      </w:r>
      <w:r w:rsidR="008E7A93" w:rsidRPr="00991259">
        <w:rPr>
          <w:rFonts w:asciiTheme="majorHAnsi" w:hAnsiTheme="majorHAnsi"/>
          <w:sz w:val="20"/>
          <w:szCs w:val="20"/>
          <w:lang w:val="es-UY"/>
        </w:rPr>
        <w:t xml:space="preserve"> fue atendida con el respeto a su derecho a una tutela judicial efectiva y al debido proceso</w:t>
      </w:r>
      <w:r w:rsidR="00111F34" w:rsidRPr="00991259">
        <w:rPr>
          <w:rFonts w:asciiTheme="majorHAnsi" w:hAnsiTheme="majorHAnsi"/>
          <w:sz w:val="20"/>
          <w:szCs w:val="20"/>
          <w:lang w:val="es-UY"/>
        </w:rPr>
        <w:t xml:space="preserve">. </w:t>
      </w:r>
    </w:p>
    <w:p w:rsidR="0063685A" w:rsidRPr="00991259" w:rsidRDefault="00991259"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sidRPr="000C4180">
        <w:rPr>
          <w:rFonts w:asciiTheme="majorHAnsi" w:hAnsiTheme="majorHAnsi"/>
          <w:sz w:val="20"/>
          <w:szCs w:val="20"/>
          <w:lang w:val="es-ES"/>
        </w:rPr>
        <w:t>Por otra parte, sostiene que en función del principio de subsidiariedad y comp</w:t>
      </w:r>
      <w:r>
        <w:rPr>
          <w:rFonts w:asciiTheme="majorHAnsi" w:hAnsiTheme="majorHAnsi"/>
          <w:sz w:val="20"/>
          <w:szCs w:val="20"/>
          <w:lang w:val="es-ES"/>
        </w:rPr>
        <w:t>lementariedad, la CIDH no es un</w:t>
      </w:r>
      <w:r w:rsidRPr="000C4180">
        <w:rPr>
          <w:rFonts w:asciiTheme="majorHAnsi" w:hAnsiTheme="majorHAnsi"/>
          <w:sz w:val="20"/>
          <w:szCs w:val="20"/>
          <w:lang w:val="es-ES"/>
        </w:rPr>
        <w:t xml:space="preserve"> tribunal de alzada, que tenga la facultad de examinar supuestos errores de hecho o de derecho que puedan haber cometido los tribunales nacionales que hayan actuado dentro de los l</w:t>
      </w:r>
      <w:r>
        <w:rPr>
          <w:rFonts w:asciiTheme="majorHAnsi" w:hAnsiTheme="majorHAnsi"/>
          <w:sz w:val="20"/>
          <w:szCs w:val="20"/>
          <w:lang w:val="es-ES"/>
        </w:rPr>
        <w:t xml:space="preserve">ímites de su competencia y </w:t>
      </w:r>
      <w:r w:rsidRPr="000C4180">
        <w:rPr>
          <w:rFonts w:asciiTheme="majorHAnsi" w:hAnsiTheme="majorHAnsi"/>
          <w:sz w:val="20"/>
          <w:szCs w:val="20"/>
          <w:lang w:val="es-ES"/>
        </w:rPr>
        <w:t xml:space="preserve">de hacerlo intervendría como una “cuarta instancia”, aspecto que también determina la inadmisibilidad de la petición. </w:t>
      </w:r>
    </w:p>
    <w:p w:rsidR="0063685A" w:rsidRPr="00B45867" w:rsidRDefault="0063685A" w:rsidP="00833085">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t>IV.</w:t>
      </w:r>
      <w:r w:rsidRPr="0063685A">
        <w:rPr>
          <w:rFonts w:asciiTheme="majorHAnsi" w:hAnsiTheme="majorHAnsi"/>
          <w:b/>
          <w:bCs/>
          <w:sz w:val="20"/>
          <w:szCs w:val="20"/>
          <w:lang w:val="es-UY"/>
        </w:rPr>
        <w:tab/>
        <w:t>ANÁLISIS SOBRE COMPETENCIA Y ADMISIBILIDAD</w:t>
      </w:r>
    </w:p>
    <w:p w:rsidR="00991259" w:rsidRPr="00B45867" w:rsidRDefault="0063685A" w:rsidP="00833085">
      <w:pPr>
        <w:pStyle w:val="ListParagraph"/>
        <w:numPr>
          <w:ilvl w:val="0"/>
          <w:numId w:val="59"/>
        </w:numPr>
        <w:spacing w:after="240"/>
        <w:jc w:val="both"/>
        <w:rPr>
          <w:rFonts w:asciiTheme="majorHAnsi" w:hAnsiTheme="majorHAnsi"/>
          <w:b/>
          <w:bCs/>
          <w:sz w:val="20"/>
          <w:szCs w:val="20"/>
          <w:lang w:val="es-UY"/>
        </w:rPr>
      </w:pPr>
      <w:r w:rsidRPr="00991259">
        <w:rPr>
          <w:rFonts w:asciiTheme="majorHAnsi" w:hAnsiTheme="majorHAnsi"/>
          <w:b/>
          <w:bCs/>
          <w:sz w:val="20"/>
          <w:szCs w:val="20"/>
          <w:lang w:val="es-UY"/>
        </w:rPr>
        <w:t xml:space="preserve">Competencia </w:t>
      </w:r>
    </w:p>
    <w:p w:rsidR="00991259" w:rsidRPr="000C4180" w:rsidRDefault="00991259" w:rsidP="0083308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Pr>
          <w:rFonts w:asciiTheme="majorHAnsi" w:eastAsia="SimSun" w:hAnsiTheme="majorHAnsi"/>
          <w:sz w:val="20"/>
          <w:szCs w:val="20"/>
          <w:lang w:val="es-ES"/>
        </w:rPr>
        <w:t>La</w:t>
      </w:r>
      <w:r w:rsidRPr="000C4180">
        <w:rPr>
          <w:rFonts w:asciiTheme="majorHAnsi" w:eastAsia="SimSun" w:hAnsiTheme="majorHAnsi"/>
          <w:sz w:val="20"/>
          <w:szCs w:val="20"/>
          <w:lang w:val="es-ES"/>
        </w:rPr>
        <w:t xml:space="preserve"> p</w:t>
      </w:r>
      <w:r>
        <w:rPr>
          <w:rFonts w:asciiTheme="majorHAnsi" w:eastAsia="SimSun" w:hAnsiTheme="majorHAnsi"/>
          <w:sz w:val="20"/>
          <w:szCs w:val="20"/>
          <w:lang w:val="es-ES"/>
        </w:rPr>
        <w:t>eticionaria</w:t>
      </w:r>
      <w:r w:rsidRPr="000C4180">
        <w:rPr>
          <w:rFonts w:asciiTheme="majorHAnsi" w:eastAsia="SimSun" w:hAnsiTheme="majorHAnsi"/>
          <w:sz w:val="20"/>
          <w:szCs w:val="20"/>
          <w:lang w:val="es-ES"/>
        </w:rPr>
        <w:t xml:space="preserve"> se encuentra</w:t>
      </w:r>
      <w:r>
        <w:rPr>
          <w:rFonts w:asciiTheme="majorHAnsi" w:eastAsia="SimSun" w:hAnsiTheme="majorHAnsi"/>
          <w:sz w:val="20"/>
          <w:szCs w:val="20"/>
          <w:lang w:val="es-ES"/>
        </w:rPr>
        <w:t xml:space="preserve"> facultada</w:t>
      </w:r>
      <w:r w:rsidRPr="000C4180">
        <w:rPr>
          <w:rFonts w:asciiTheme="majorHAnsi" w:eastAsia="SimSun" w:hAnsiTheme="majorHAnsi"/>
          <w:sz w:val="20"/>
          <w:szCs w:val="20"/>
          <w:lang w:val="es-ES"/>
        </w:rPr>
        <w:t xml:space="preserve">, en principio, por el artículo 44 de la Convención Americana para presentar peticiones ante la Comisión. La petición señala como presunta víctima a una persona individual, respecto de quien el Estado ha asumido el compromiso de respetar y garantizar los derechos consagrados en la Convención Americana, a partir del 28 de julio de 1978, fecha de depósito del instrumento de ratificación de Perú. Por lo tanto, la Comisión posee competencia </w:t>
      </w:r>
      <w:r w:rsidRPr="002A40C8">
        <w:rPr>
          <w:rFonts w:asciiTheme="majorHAnsi" w:eastAsia="SimSun" w:hAnsiTheme="majorHAnsi"/>
          <w:i/>
          <w:sz w:val="20"/>
          <w:szCs w:val="20"/>
          <w:lang w:val="es-ES"/>
        </w:rPr>
        <w:t>ratione personae</w:t>
      </w:r>
      <w:r w:rsidRPr="000C4180">
        <w:rPr>
          <w:rFonts w:asciiTheme="majorHAnsi" w:eastAsia="SimSun" w:hAnsiTheme="majorHAnsi"/>
          <w:sz w:val="20"/>
          <w:szCs w:val="20"/>
          <w:lang w:val="es-ES"/>
        </w:rPr>
        <w:t xml:space="preserve"> para examinar la petición.</w:t>
      </w:r>
    </w:p>
    <w:p w:rsidR="0063685A" w:rsidRPr="00B45867" w:rsidRDefault="00991259" w:rsidP="0083308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ES"/>
        </w:rPr>
      </w:pPr>
      <w:r w:rsidRPr="000C4180">
        <w:rPr>
          <w:rFonts w:asciiTheme="majorHAnsi" w:eastAsia="SimSun" w:hAnsiTheme="majorHAnsi"/>
          <w:sz w:val="20"/>
          <w:szCs w:val="20"/>
          <w:lang w:val="es-ES"/>
        </w:rPr>
        <w:t xml:space="preserve">La Comisión posee competencia </w:t>
      </w:r>
      <w:r w:rsidRPr="002A40C8">
        <w:rPr>
          <w:rFonts w:asciiTheme="majorHAnsi" w:eastAsia="SimSun" w:hAnsiTheme="majorHAnsi"/>
          <w:i/>
          <w:sz w:val="20"/>
          <w:szCs w:val="20"/>
          <w:lang w:val="es-ES"/>
        </w:rPr>
        <w:t>ratione loci</w:t>
      </w:r>
      <w:r w:rsidRPr="000C4180">
        <w:rPr>
          <w:rFonts w:asciiTheme="majorHAnsi" w:eastAsia="SimSun" w:hAnsiTheme="majorHAnsi"/>
          <w:sz w:val="20"/>
          <w:szCs w:val="20"/>
          <w:lang w:val="es-ES"/>
        </w:rPr>
        <w:t xml:space="preserve"> para considerar la petición por hechos que se alegan como ocurridos bajos la jurisdicción de un Estado parte de la Convención Americana. La Comisión también cuenta con competencia </w:t>
      </w:r>
      <w:r w:rsidRPr="002A40C8">
        <w:rPr>
          <w:rFonts w:asciiTheme="majorHAnsi" w:eastAsia="SimSun" w:hAnsiTheme="majorHAnsi"/>
          <w:i/>
          <w:sz w:val="20"/>
          <w:szCs w:val="20"/>
          <w:lang w:val="es-ES"/>
        </w:rPr>
        <w:t xml:space="preserve">ratione temporis </w:t>
      </w:r>
      <w:r w:rsidRPr="000C4180">
        <w:rPr>
          <w:rFonts w:asciiTheme="majorHAnsi" w:eastAsia="SimSun" w:hAnsiTheme="majorHAnsi"/>
          <w:sz w:val="20"/>
          <w:szCs w:val="20"/>
          <w:lang w:val="es-ES"/>
        </w:rPr>
        <w:t xml:space="preserve">para examinar esta petición bajo la Convención Americana por los hechos ocurridos con posterioridad a la ratificación de dicho tratado. Finalmente, la Comisión posee competencia </w:t>
      </w:r>
      <w:r w:rsidRPr="002A40C8">
        <w:rPr>
          <w:rFonts w:asciiTheme="majorHAnsi" w:eastAsia="SimSun" w:hAnsiTheme="majorHAnsi"/>
          <w:i/>
          <w:sz w:val="20"/>
          <w:szCs w:val="20"/>
          <w:lang w:val="es-ES"/>
        </w:rPr>
        <w:t>ratione materiae</w:t>
      </w:r>
      <w:r w:rsidRPr="000C4180">
        <w:rPr>
          <w:rFonts w:asciiTheme="majorHAnsi" w:eastAsia="SimSun" w:hAnsiTheme="majorHAnsi"/>
          <w:sz w:val="20"/>
          <w:szCs w:val="20"/>
          <w:lang w:val="es-ES"/>
        </w:rPr>
        <w:t xml:space="preserve"> porque </w:t>
      </w:r>
      <w:r w:rsidR="000A260E">
        <w:rPr>
          <w:rFonts w:asciiTheme="majorHAnsi" w:eastAsia="SimSun" w:hAnsiTheme="majorHAnsi"/>
          <w:sz w:val="20"/>
          <w:szCs w:val="20"/>
          <w:lang w:val="es-ES"/>
        </w:rPr>
        <w:t>los peticionarios alegan violaciones a derechos protegidos bajo</w:t>
      </w:r>
      <w:r w:rsidRPr="000C4180">
        <w:rPr>
          <w:rFonts w:asciiTheme="majorHAnsi" w:eastAsia="SimSun" w:hAnsiTheme="majorHAnsi"/>
          <w:sz w:val="20"/>
          <w:szCs w:val="20"/>
          <w:lang w:val="es-ES"/>
        </w:rPr>
        <w:t xml:space="preserve"> la Convención Americana.</w:t>
      </w:r>
    </w:p>
    <w:p w:rsidR="0063685A" w:rsidRPr="00B45867" w:rsidRDefault="0063685A" w:rsidP="00833085">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b/>
          <w:sz w:val="20"/>
          <w:szCs w:val="20"/>
          <w:lang w:val="es-UY"/>
        </w:rPr>
      </w:pPr>
      <w:r w:rsidRPr="0063685A">
        <w:rPr>
          <w:rFonts w:asciiTheme="majorHAnsi" w:hAnsiTheme="majorHAnsi"/>
          <w:b/>
          <w:bCs/>
          <w:sz w:val="20"/>
          <w:szCs w:val="20"/>
          <w:lang w:val="es-UY"/>
        </w:rPr>
        <w:t xml:space="preserve">Requisitos de </w:t>
      </w:r>
      <w:r w:rsidRPr="0063685A">
        <w:rPr>
          <w:rFonts w:asciiTheme="majorHAnsi" w:hAnsiTheme="majorHAnsi"/>
          <w:b/>
          <w:sz w:val="20"/>
          <w:szCs w:val="20"/>
          <w:lang w:val="es-UY"/>
        </w:rPr>
        <w:t>Admisibilidad</w:t>
      </w:r>
    </w:p>
    <w:p w:rsidR="0063685A" w:rsidRPr="00B45867" w:rsidRDefault="0063685A" w:rsidP="00833085">
      <w:pPr>
        <w:spacing w:after="240"/>
        <w:ind w:firstLine="720"/>
        <w:jc w:val="both"/>
        <w:rPr>
          <w:rFonts w:asciiTheme="majorHAnsi" w:hAnsiTheme="majorHAnsi"/>
          <w:b/>
          <w:sz w:val="20"/>
          <w:szCs w:val="20"/>
          <w:lang w:val="es-UY"/>
        </w:rPr>
      </w:pPr>
      <w:r w:rsidRPr="0063685A">
        <w:rPr>
          <w:rFonts w:asciiTheme="majorHAnsi" w:hAnsiTheme="majorHAnsi"/>
          <w:b/>
          <w:sz w:val="20"/>
          <w:szCs w:val="20"/>
          <w:lang w:val="es-UY"/>
        </w:rPr>
        <w:t>1.</w:t>
      </w:r>
      <w:r w:rsidRPr="0063685A">
        <w:rPr>
          <w:rFonts w:asciiTheme="majorHAnsi" w:hAnsiTheme="majorHAnsi"/>
          <w:b/>
          <w:sz w:val="20"/>
          <w:szCs w:val="20"/>
          <w:lang w:val="es-UY"/>
        </w:rPr>
        <w:tab/>
        <w:t>Agotamiento de los recursos internos</w:t>
      </w:r>
    </w:p>
    <w:p w:rsidR="0063685A" w:rsidRPr="00296889" w:rsidRDefault="001B6D1A"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_tradnl"/>
        </w:rPr>
      </w:pPr>
      <w:r>
        <w:rPr>
          <w:rFonts w:asciiTheme="majorHAnsi" w:hAnsiTheme="majorHAnsi" w:cs="Arial"/>
          <w:sz w:val="20"/>
          <w:szCs w:val="20"/>
          <w:lang w:val="es-PE"/>
        </w:rPr>
        <w:t>El artículo 46.1.</w:t>
      </w:r>
      <w:r w:rsidR="0063685A" w:rsidRPr="00296889">
        <w:rPr>
          <w:rFonts w:asciiTheme="majorHAnsi" w:hAnsiTheme="majorHAnsi" w:cs="Arial"/>
          <w:sz w:val="20"/>
          <w:szCs w:val="20"/>
          <w:lang w:val="es-PE"/>
        </w:rPr>
        <w:t xml:space="preserve">a de la Convención Americana exige el previo agotamiento de los recursos disponibles en la jurisdicción interna conforme a los principios de derecho internacional generalmente reconocidos, como requisito para la admisión de reclamos sobre la presunta violación de la Convención Americana.  </w:t>
      </w:r>
      <w:r w:rsidR="0063685A" w:rsidRPr="00296889">
        <w:rPr>
          <w:rFonts w:asciiTheme="majorHAnsi" w:hAnsiTheme="majorHAnsi"/>
          <w:sz w:val="20"/>
          <w:szCs w:val="20"/>
          <w:lang w:val="es-UY"/>
        </w:rPr>
        <w:t xml:space="preserve">Este requisito tiene como objeto permitir que las autoridades nacionales conozcan sobre la supuesta violación de un derecho protegido y, de ser apropiado, </w:t>
      </w:r>
      <w:r w:rsidR="00485810" w:rsidRPr="00296889">
        <w:rPr>
          <w:rFonts w:asciiTheme="majorHAnsi" w:hAnsiTheme="majorHAnsi"/>
          <w:sz w:val="20"/>
          <w:szCs w:val="20"/>
          <w:lang w:val="es-UY"/>
        </w:rPr>
        <w:t>solucionen la situación</w:t>
      </w:r>
      <w:r w:rsidR="0063685A" w:rsidRPr="00296889">
        <w:rPr>
          <w:rFonts w:asciiTheme="majorHAnsi" w:hAnsiTheme="majorHAnsi"/>
          <w:sz w:val="20"/>
          <w:szCs w:val="20"/>
          <w:lang w:val="es-UY"/>
        </w:rPr>
        <w:t xml:space="preserve"> antes de que sea conocida por una instancia internacional. </w:t>
      </w:r>
    </w:p>
    <w:p w:rsidR="001F4E6D" w:rsidRDefault="00296889"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Pr>
          <w:rFonts w:asciiTheme="majorHAnsi" w:hAnsiTheme="majorHAnsi"/>
          <w:sz w:val="20"/>
          <w:szCs w:val="20"/>
          <w:lang w:val="es-UY"/>
        </w:rPr>
        <w:t>La peticionaria</w:t>
      </w:r>
      <w:r w:rsidR="0063685A" w:rsidRPr="0063685A">
        <w:rPr>
          <w:rFonts w:asciiTheme="majorHAnsi" w:hAnsiTheme="majorHAnsi"/>
          <w:sz w:val="20"/>
          <w:szCs w:val="20"/>
          <w:lang w:val="es-UY"/>
        </w:rPr>
        <w:t xml:space="preserve"> alega que </w:t>
      </w:r>
      <w:r w:rsidR="008A6531">
        <w:rPr>
          <w:rFonts w:asciiTheme="majorHAnsi" w:hAnsiTheme="majorHAnsi"/>
          <w:sz w:val="20"/>
          <w:szCs w:val="20"/>
          <w:lang w:val="es-UY"/>
        </w:rPr>
        <w:t>los recursos de</w:t>
      </w:r>
      <w:r>
        <w:rPr>
          <w:rFonts w:asciiTheme="majorHAnsi" w:hAnsiTheme="majorHAnsi"/>
          <w:sz w:val="20"/>
          <w:szCs w:val="20"/>
          <w:lang w:val="es-UY"/>
        </w:rPr>
        <w:t xml:space="preserve"> jurisdicción interna </w:t>
      </w:r>
      <w:r w:rsidR="008A6531">
        <w:rPr>
          <w:rFonts w:asciiTheme="majorHAnsi" w:hAnsiTheme="majorHAnsi"/>
          <w:sz w:val="20"/>
          <w:szCs w:val="20"/>
          <w:lang w:val="es-UY"/>
        </w:rPr>
        <w:t>fue</w:t>
      </w:r>
      <w:r w:rsidR="002A40C8">
        <w:rPr>
          <w:rFonts w:asciiTheme="majorHAnsi" w:hAnsiTheme="majorHAnsi"/>
          <w:sz w:val="20"/>
          <w:szCs w:val="20"/>
          <w:lang w:val="es-UY"/>
        </w:rPr>
        <w:t>ron</w:t>
      </w:r>
      <w:r w:rsidR="008A6531">
        <w:rPr>
          <w:rFonts w:asciiTheme="majorHAnsi" w:hAnsiTheme="majorHAnsi"/>
          <w:sz w:val="20"/>
          <w:szCs w:val="20"/>
          <w:lang w:val="es-UY"/>
        </w:rPr>
        <w:t xml:space="preserve"> agotad</w:t>
      </w:r>
      <w:r w:rsidR="002A40C8">
        <w:rPr>
          <w:rFonts w:asciiTheme="majorHAnsi" w:hAnsiTheme="majorHAnsi"/>
          <w:sz w:val="20"/>
          <w:szCs w:val="20"/>
          <w:lang w:val="es-UY"/>
        </w:rPr>
        <w:t>os</w:t>
      </w:r>
      <w:r w:rsidR="008A6531">
        <w:rPr>
          <w:rFonts w:asciiTheme="majorHAnsi" w:hAnsiTheme="majorHAnsi"/>
          <w:sz w:val="20"/>
          <w:szCs w:val="20"/>
          <w:lang w:val="es-UY"/>
        </w:rPr>
        <w:t xml:space="preserve"> con la </w:t>
      </w:r>
      <w:r w:rsidR="00357E87">
        <w:rPr>
          <w:rFonts w:asciiTheme="majorHAnsi" w:hAnsiTheme="majorHAnsi"/>
          <w:sz w:val="20"/>
          <w:szCs w:val="20"/>
          <w:lang w:val="es-UY"/>
        </w:rPr>
        <w:t>resolución de</w:t>
      </w:r>
      <w:r w:rsidR="008A6531">
        <w:rPr>
          <w:rFonts w:asciiTheme="majorHAnsi" w:hAnsiTheme="majorHAnsi"/>
          <w:sz w:val="20"/>
          <w:szCs w:val="20"/>
          <w:lang w:val="es-UY"/>
        </w:rPr>
        <w:t xml:space="preserve"> </w:t>
      </w:r>
      <w:r w:rsidR="00357E87">
        <w:rPr>
          <w:rFonts w:asciiTheme="majorHAnsi" w:hAnsiTheme="majorHAnsi"/>
          <w:sz w:val="20"/>
          <w:szCs w:val="20"/>
          <w:lang w:val="es-UY"/>
        </w:rPr>
        <w:t>26 de junio de 1998 emitida por</w:t>
      </w:r>
      <w:r w:rsidR="008A6531">
        <w:rPr>
          <w:rFonts w:asciiTheme="majorHAnsi" w:hAnsiTheme="majorHAnsi"/>
          <w:sz w:val="20"/>
          <w:szCs w:val="20"/>
          <w:lang w:val="es-UY"/>
        </w:rPr>
        <w:t xml:space="preserve"> la Corte Suprema que resolvió su recurso de nulidad</w:t>
      </w:r>
      <w:r w:rsidR="00357E87">
        <w:rPr>
          <w:rFonts w:asciiTheme="majorHAnsi" w:hAnsiTheme="majorHAnsi"/>
          <w:sz w:val="20"/>
          <w:szCs w:val="20"/>
          <w:lang w:val="es-UY"/>
        </w:rPr>
        <w:t xml:space="preserve"> y</w:t>
      </w:r>
      <w:r w:rsidR="00A50558">
        <w:rPr>
          <w:rFonts w:asciiTheme="majorHAnsi" w:hAnsiTheme="majorHAnsi"/>
          <w:sz w:val="20"/>
          <w:szCs w:val="20"/>
          <w:lang w:val="es-UY"/>
        </w:rPr>
        <w:t xml:space="preserve"> que </w:t>
      </w:r>
      <w:r w:rsidR="00357E87">
        <w:rPr>
          <w:rFonts w:asciiTheme="majorHAnsi" w:hAnsiTheme="majorHAnsi"/>
          <w:sz w:val="20"/>
          <w:szCs w:val="20"/>
          <w:lang w:val="es-UY"/>
        </w:rPr>
        <w:t>le fue notificada</w:t>
      </w:r>
      <w:r w:rsidR="00A50558">
        <w:rPr>
          <w:rFonts w:asciiTheme="majorHAnsi" w:hAnsiTheme="majorHAnsi"/>
          <w:sz w:val="20"/>
          <w:szCs w:val="20"/>
          <w:lang w:val="es-UY"/>
        </w:rPr>
        <w:t xml:space="preserve"> el 23 de septiembre de 1999</w:t>
      </w:r>
      <w:r w:rsidR="0063685A" w:rsidRPr="0063685A">
        <w:rPr>
          <w:rFonts w:asciiTheme="majorHAnsi" w:hAnsiTheme="majorHAnsi"/>
          <w:sz w:val="20"/>
          <w:szCs w:val="20"/>
          <w:lang w:val="es-UY"/>
        </w:rPr>
        <w:t>. Por su parte</w:t>
      </w:r>
      <w:r>
        <w:rPr>
          <w:rFonts w:asciiTheme="majorHAnsi" w:hAnsiTheme="majorHAnsi"/>
          <w:sz w:val="20"/>
          <w:szCs w:val="20"/>
          <w:lang w:val="es-UY"/>
        </w:rPr>
        <w:t>,</w:t>
      </w:r>
      <w:r w:rsidR="0063685A" w:rsidRPr="0063685A">
        <w:rPr>
          <w:rFonts w:asciiTheme="majorHAnsi" w:hAnsiTheme="majorHAnsi"/>
          <w:sz w:val="20"/>
          <w:szCs w:val="20"/>
          <w:lang w:val="es-UY"/>
        </w:rPr>
        <w:t xml:space="preserve"> el Estado </w:t>
      </w:r>
      <w:r>
        <w:rPr>
          <w:rFonts w:asciiTheme="majorHAnsi" w:hAnsiTheme="majorHAnsi"/>
          <w:sz w:val="20"/>
          <w:szCs w:val="20"/>
          <w:lang w:val="es-UY"/>
        </w:rPr>
        <w:t>no esgrimió argumento alguno respecto al agotamiento de recursos internos</w:t>
      </w:r>
      <w:r w:rsidR="00A50558">
        <w:rPr>
          <w:rFonts w:asciiTheme="majorHAnsi" w:hAnsiTheme="majorHAnsi"/>
          <w:sz w:val="20"/>
          <w:szCs w:val="20"/>
          <w:lang w:val="es-UY"/>
        </w:rPr>
        <w:t>, ni controvirtió lo indicado por la peticionaria al respecto</w:t>
      </w:r>
      <w:r w:rsidR="0063685A" w:rsidRPr="0063685A">
        <w:rPr>
          <w:rFonts w:asciiTheme="majorHAnsi" w:hAnsiTheme="majorHAnsi"/>
          <w:sz w:val="20"/>
          <w:szCs w:val="20"/>
          <w:lang w:val="es-UY"/>
        </w:rPr>
        <w:t>.</w:t>
      </w:r>
    </w:p>
    <w:p w:rsidR="00A50558" w:rsidRDefault="00A50558"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ES"/>
        </w:rPr>
      </w:pPr>
      <w:r w:rsidRPr="001B6D1A">
        <w:rPr>
          <w:rFonts w:ascii="Cambria" w:eastAsia="Calibri" w:hAnsi="Cambria"/>
          <w:sz w:val="20"/>
          <w:szCs w:val="20"/>
          <w:bdr w:val="none" w:sz="0" w:space="0" w:color="auto"/>
          <w:lang w:val="es-ES"/>
        </w:rPr>
        <w:t>C</w:t>
      </w:r>
      <w:r w:rsidR="008A147B" w:rsidRPr="001B6D1A">
        <w:rPr>
          <w:rFonts w:ascii="Cambria" w:eastAsia="Calibri" w:hAnsi="Cambria"/>
          <w:sz w:val="20"/>
          <w:szCs w:val="20"/>
          <w:bdr w:val="none" w:sz="0" w:space="0" w:color="auto"/>
          <w:lang w:val="es-ES"/>
        </w:rPr>
        <w:t xml:space="preserve">on base en la información disponible, </w:t>
      </w:r>
      <w:r w:rsidR="001B6D1A" w:rsidRPr="001B6D1A">
        <w:rPr>
          <w:rFonts w:asciiTheme="majorHAnsi" w:hAnsiTheme="majorHAnsi"/>
          <w:sz w:val="20"/>
          <w:szCs w:val="20"/>
          <w:lang w:val="es-ES"/>
        </w:rPr>
        <w:t xml:space="preserve">la </w:t>
      </w:r>
      <w:r w:rsidR="001B6D1A">
        <w:rPr>
          <w:rFonts w:asciiTheme="majorHAnsi" w:hAnsiTheme="majorHAnsi"/>
          <w:sz w:val="20"/>
          <w:szCs w:val="20"/>
          <w:lang w:val="es-ES"/>
        </w:rPr>
        <w:t>CIDH</w:t>
      </w:r>
      <w:r w:rsidR="001B6D1A" w:rsidRPr="001B6D1A">
        <w:rPr>
          <w:rFonts w:asciiTheme="majorHAnsi" w:hAnsiTheme="majorHAnsi"/>
          <w:sz w:val="20"/>
          <w:szCs w:val="20"/>
          <w:lang w:val="es-ES"/>
        </w:rPr>
        <w:t xml:space="preserve"> nota que </w:t>
      </w:r>
      <w:r w:rsidRPr="001B6D1A">
        <w:rPr>
          <w:rFonts w:asciiTheme="majorHAnsi" w:hAnsiTheme="majorHAnsi"/>
          <w:sz w:val="20"/>
          <w:szCs w:val="20"/>
          <w:lang w:val="es-ES"/>
        </w:rPr>
        <w:t>l</w:t>
      </w:r>
      <w:r w:rsidR="001B6D1A" w:rsidRPr="001B6D1A">
        <w:rPr>
          <w:rFonts w:asciiTheme="majorHAnsi" w:hAnsiTheme="majorHAnsi"/>
          <w:sz w:val="20"/>
          <w:szCs w:val="20"/>
          <w:lang w:val="es-ES"/>
        </w:rPr>
        <w:t xml:space="preserve">a peticionaria </w:t>
      </w:r>
      <w:r w:rsidRPr="001B6D1A">
        <w:rPr>
          <w:rFonts w:asciiTheme="majorHAnsi" w:hAnsiTheme="majorHAnsi"/>
          <w:sz w:val="20"/>
          <w:szCs w:val="20"/>
          <w:lang w:val="es-ES"/>
        </w:rPr>
        <w:t xml:space="preserve">habría agotado los recursos internos mediante la sentencia </w:t>
      </w:r>
      <w:r w:rsidR="001B6D1A" w:rsidRPr="001B6D1A">
        <w:rPr>
          <w:rFonts w:asciiTheme="majorHAnsi" w:hAnsiTheme="majorHAnsi"/>
          <w:sz w:val="20"/>
          <w:szCs w:val="20"/>
          <w:lang w:val="es-ES"/>
        </w:rPr>
        <w:t>que</w:t>
      </w:r>
      <w:r w:rsidR="001B6D1A">
        <w:rPr>
          <w:rFonts w:asciiTheme="majorHAnsi" w:hAnsiTheme="majorHAnsi"/>
          <w:sz w:val="20"/>
          <w:szCs w:val="20"/>
          <w:lang w:val="es-ES"/>
        </w:rPr>
        <w:t xml:space="preserve"> desestimó </w:t>
      </w:r>
      <w:r w:rsidR="001B6D1A" w:rsidRPr="001B6D1A">
        <w:rPr>
          <w:rFonts w:asciiTheme="majorHAnsi" w:hAnsiTheme="majorHAnsi"/>
          <w:sz w:val="20"/>
          <w:szCs w:val="20"/>
          <w:lang w:val="es-ES"/>
        </w:rPr>
        <w:t xml:space="preserve">el recurso </w:t>
      </w:r>
      <w:r w:rsidR="001B6D1A">
        <w:rPr>
          <w:rFonts w:asciiTheme="majorHAnsi" w:hAnsiTheme="majorHAnsi"/>
          <w:sz w:val="20"/>
          <w:szCs w:val="20"/>
          <w:lang w:val="es-ES"/>
        </w:rPr>
        <w:t xml:space="preserve">de nulidad </w:t>
      </w:r>
      <w:r w:rsidR="001B6D1A" w:rsidRPr="001B6D1A">
        <w:rPr>
          <w:rFonts w:asciiTheme="majorHAnsi" w:hAnsiTheme="majorHAnsi"/>
          <w:sz w:val="20"/>
          <w:szCs w:val="20"/>
          <w:lang w:val="es-ES"/>
        </w:rPr>
        <w:t xml:space="preserve">interpuesto </w:t>
      </w:r>
      <w:r w:rsidR="001B6D1A">
        <w:rPr>
          <w:rFonts w:asciiTheme="majorHAnsi" w:hAnsiTheme="majorHAnsi"/>
          <w:sz w:val="20"/>
          <w:szCs w:val="20"/>
          <w:lang w:val="es-ES"/>
        </w:rPr>
        <w:t xml:space="preserve">y que le fue </w:t>
      </w:r>
      <w:r w:rsidR="001B6D1A" w:rsidRPr="001B6D1A">
        <w:rPr>
          <w:rFonts w:asciiTheme="majorHAnsi" w:hAnsiTheme="majorHAnsi"/>
          <w:sz w:val="20"/>
          <w:szCs w:val="20"/>
          <w:lang w:val="es-ES"/>
        </w:rPr>
        <w:t>notificada el 23 de septiembre de 1999</w:t>
      </w:r>
      <w:r w:rsidRPr="001B6D1A">
        <w:rPr>
          <w:rFonts w:asciiTheme="majorHAnsi" w:hAnsiTheme="majorHAnsi"/>
          <w:sz w:val="20"/>
          <w:szCs w:val="20"/>
          <w:lang w:val="es-ES"/>
        </w:rPr>
        <w:t xml:space="preserve">.  Por lo tanto, la Comisión concluye que en el presente caso se han interpuesto y agotado los recursos de la jurisdicción interna de conformidad con el artículo </w:t>
      </w:r>
      <w:r w:rsidRPr="001B6D1A">
        <w:rPr>
          <w:rFonts w:asciiTheme="majorHAnsi" w:hAnsiTheme="majorHAnsi" w:cs="Arial"/>
          <w:sz w:val="20"/>
          <w:szCs w:val="20"/>
          <w:lang w:val="es-ES"/>
        </w:rPr>
        <w:t>46.1.a de la Convención Americana</w:t>
      </w:r>
      <w:r w:rsidRPr="001B6D1A">
        <w:rPr>
          <w:rFonts w:asciiTheme="majorHAnsi" w:hAnsiTheme="majorHAnsi"/>
          <w:sz w:val="20"/>
          <w:szCs w:val="20"/>
          <w:lang w:val="es-ES"/>
        </w:rPr>
        <w:t>.</w:t>
      </w:r>
    </w:p>
    <w:p w:rsidR="005A76B4" w:rsidRDefault="005A76B4" w:rsidP="005A76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rsidR="005A76B4" w:rsidRPr="001B6D1A" w:rsidRDefault="005A76B4" w:rsidP="005A76B4">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hAnsiTheme="majorHAnsi"/>
          <w:sz w:val="20"/>
          <w:szCs w:val="20"/>
          <w:lang w:val="es-ES"/>
        </w:rPr>
      </w:pPr>
    </w:p>
    <w:p w:rsidR="00B056A5" w:rsidRPr="00B45867" w:rsidRDefault="00B056A5" w:rsidP="00833085">
      <w:pPr>
        <w:spacing w:after="240"/>
        <w:ind w:firstLine="720"/>
        <w:jc w:val="both"/>
        <w:rPr>
          <w:rFonts w:asciiTheme="majorHAnsi" w:hAnsiTheme="majorHAnsi"/>
          <w:b/>
          <w:sz w:val="20"/>
          <w:szCs w:val="20"/>
          <w:lang w:val="es-UY"/>
        </w:rPr>
      </w:pPr>
      <w:r>
        <w:rPr>
          <w:rFonts w:asciiTheme="majorHAnsi" w:hAnsiTheme="majorHAnsi"/>
          <w:b/>
          <w:sz w:val="20"/>
          <w:szCs w:val="20"/>
          <w:lang w:val="es-UY"/>
        </w:rPr>
        <w:lastRenderedPageBreak/>
        <w:t>2.</w:t>
      </w:r>
      <w:r>
        <w:rPr>
          <w:rFonts w:asciiTheme="majorHAnsi" w:hAnsiTheme="majorHAnsi"/>
          <w:b/>
          <w:sz w:val="20"/>
          <w:szCs w:val="20"/>
          <w:lang w:val="es-UY"/>
        </w:rPr>
        <w:tab/>
      </w:r>
      <w:r w:rsidR="0063685A" w:rsidRPr="00B056A5">
        <w:rPr>
          <w:rFonts w:asciiTheme="majorHAnsi" w:hAnsiTheme="majorHAnsi"/>
          <w:b/>
          <w:sz w:val="20"/>
          <w:szCs w:val="20"/>
          <w:lang w:val="es-UY"/>
        </w:rPr>
        <w:t>Plazo de presentación de la petición</w:t>
      </w:r>
    </w:p>
    <w:p w:rsidR="0063685A" w:rsidRPr="00FA5C08" w:rsidRDefault="001B6D1A"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ES"/>
        </w:rPr>
      </w:pPr>
      <w:r>
        <w:rPr>
          <w:rFonts w:asciiTheme="majorHAnsi" w:hAnsiTheme="majorHAnsi" w:cs="Arial"/>
          <w:sz w:val="20"/>
          <w:szCs w:val="20"/>
          <w:lang w:val="es-PE"/>
        </w:rPr>
        <w:t>El artículo 46.1.</w:t>
      </w:r>
      <w:r w:rsidR="005F0F8E">
        <w:rPr>
          <w:rFonts w:asciiTheme="majorHAnsi" w:hAnsiTheme="majorHAnsi" w:cs="Arial"/>
          <w:sz w:val="20"/>
          <w:szCs w:val="20"/>
          <w:lang w:val="es-PE"/>
        </w:rPr>
        <w:t>b</w:t>
      </w:r>
      <w:r w:rsidR="0063685A" w:rsidRPr="00FA5C08">
        <w:rPr>
          <w:rFonts w:asciiTheme="majorHAnsi" w:hAnsiTheme="majorHAnsi" w:cs="Arial"/>
          <w:sz w:val="20"/>
          <w:szCs w:val="20"/>
          <w:lang w:val="es-PE"/>
        </w:rPr>
        <w:t xml:space="preserve"> de l</w:t>
      </w:r>
      <w:r w:rsidR="0063685A" w:rsidRPr="00FA5C08">
        <w:rPr>
          <w:rFonts w:asciiTheme="majorHAnsi" w:hAnsiTheme="majorHAnsi"/>
          <w:sz w:val="20"/>
          <w:szCs w:val="20"/>
          <w:lang w:val="es-ES_tradnl"/>
        </w:rPr>
        <w:t xml:space="preserve">a Convención Americana establece que para que una petición resulte admisible por la Comisión se requerirá que sea presentada dentro del plazo de seis meses a partir de la fecha en que el presunto lesionado haya sido notificado de la decisión definitiva.  </w:t>
      </w:r>
    </w:p>
    <w:p w:rsidR="007D286D" w:rsidRPr="00D3665C" w:rsidRDefault="0063685A"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63685A">
        <w:rPr>
          <w:rFonts w:asciiTheme="majorHAnsi" w:hAnsiTheme="majorHAnsi"/>
          <w:sz w:val="20"/>
          <w:szCs w:val="20"/>
          <w:lang w:val="es-UY"/>
        </w:rPr>
        <w:t xml:space="preserve">En </w:t>
      </w:r>
      <w:r w:rsidR="00F15DD3">
        <w:rPr>
          <w:rFonts w:asciiTheme="majorHAnsi" w:hAnsiTheme="majorHAnsi"/>
          <w:sz w:val="20"/>
          <w:szCs w:val="20"/>
          <w:lang w:val="es-UY"/>
        </w:rPr>
        <w:t>el reclamo</w:t>
      </w:r>
      <w:r w:rsidRPr="0063685A">
        <w:rPr>
          <w:rFonts w:asciiTheme="majorHAnsi" w:hAnsiTheme="majorHAnsi"/>
          <w:sz w:val="20"/>
          <w:szCs w:val="20"/>
          <w:lang w:val="es-UY"/>
        </w:rPr>
        <w:t xml:space="preserve"> bajo análisis, </w:t>
      </w:r>
      <w:r w:rsidR="009568DB">
        <w:rPr>
          <w:rFonts w:asciiTheme="majorHAnsi" w:hAnsiTheme="majorHAnsi"/>
          <w:sz w:val="20"/>
          <w:szCs w:val="20"/>
          <w:lang w:val="es-UY"/>
        </w:rPr>
        <w:t>la decisión de</w:t>
      </w:r>
      <w:r w:rsidR="00D3665C">
        <w:rPr>
          <w:rFonts w:asciiTheme="majorHAnsi" w:hAnsiTheme="majorHAnsi"/>
          <w:sz w:val="20"/>
          <w:szCs w:val="20"/>
          <w:lang w:val="es-UY"/>
        </w:rPr>
        <w:t xml:space="preserve"> </w:t>
      </w:r>
      <w:r w:rsidR="009568DB">
        <w:rPr>
          <w:rFonts w:asciiTheme="majorHAnsi" w:hAnsiTheme="majorHAnsi"/>
          <w:sz w:val="20"/>
          <w:szCs w:val="20"/>
          <w:lang w:val="es-UY"/>
        </w:rPr>
        <w:t>l</w:t>
      </w:r>
      <w:r w:rsidR="00D3665C">
        <w:rPr>
          <w:rFonts w:asciiTheme="majorHAnsi" w:hAnsiTheme="majorHAnsi"/>
          <w:sz w:val="20"/>
          <w:szCs w:val="20"/>
          <w:lang w:val="es-UY"/>
        </w:rPr>
        <w:t xml:space="preserve">a Corte Suprema </w:t>
      </w:r>
      <w:r w:rsidR="00D3665C" w:rsidRPr="00D3665C">
        <w:rPr>
          <w:rFonts w:asciiTheme="majorHAnsi" w:hAnsiTheme="majorHAnsi"/>
          <w:sz w:val="20"/>
          <w:szCs w:val="20"/>
          <w:lang w:val="es-UY"/>
        </w:rPr>
        <w:t>f</w:t>
      </w:r>
      <w:r w:rsidR="00D377B9" w:rsidRPr="00D3665C">
        <w:rPr>
          <w:rFonts w:asciiTheme="majorHAnsi" w:hAnsiTheme="majorHAnsi"/>
          <w:sz w:val="20"/>
          <w:szCs w:val="20"/>
          <w:lang w:val="es-UY"/>
        </w:rPr>
        <w:t xml:space="preserve">ue </w:t>
      </w:r>
      <w:r w:rsidR="00D377B9">
        <w:rPr>
          <w:rFonts w:asciiTheme="majorHAnsi" w:hAnsiTheme="majorHAnsi"/>
          <w:sz w:val="20"/>
          <w:szCs w:val="20"/>
          <w:lang w:val="es-UY"/>
        </w:rPr>
        <w:t xml:space="preserve">notificada </w:t>
      </w:r>
      <w:r w:rsidR="009568DB">
        <w:rPr>
          <w:rFonts w:asciiTheme="majorHAnsi" w:hAnsiTheme="majorHAnsi"/>
          <w:sz w:val="20"/>
          <w:szCs w:val="20"/>
          <w:lang w:val="es-UY"/>
        </w:rPr>
        <w:t xml:space="preserve">el </w:t>
      </w:r>
      <w:r w:rsidR="00D3665C">
        <w:rPr>
          <w:rFonts w:asciiTheme="majorHAnsi" w:hAnsiTheme="majorHAnsi"/>
          <w:sz w:val="20"/>
          <w:szCs w:val="20"/>
          <w:lang w:val="es-UY"/>
        </w:rPr>
        <w:t>2</w:t>
      </w:r>
      <w:r w:rsidR="005F0F8E">
        <w:rPr>
          <w:rFonts w:asciiTheme="majorHAnsi" w:hAnsiTheme="majorHAnsi"/>
          <w:sz w:val="20"/>
          <w:szCs w:val="20"/>
          <w:lang w:val="es-UY"/>
        </w:rPr>
        <w:t>3</w:t>
      </w:r>
      <w:r w:rsidR="00D3665C">
        <w:rPr>
          <w:rFonts w:asciiTheme="majorHAnsi" w:hAnsiTheme="majorHAnsi"/>
          <w:sz w:val="20"/>
          <w:szCs w:val="20"/>
          <w:lang w:val="es-UY"/>
        </w:rPr>
        <w:t xml:space="preserve"> de </w:t>
      </w:r>
      <w:r w:rsidR="005F0F8E">
        <w:rPr>
          <w:rFonts w:asciiTheme="majorHAnsi" w:hAnsiTheme="majorHAnsi"/>
          <w:sz w:val="20"/>
          <w:szCs w:val="20"/>
          <w:lang w:val="es-UY"/>
        </w:rPr>
        <w:t xml:space="preserve">septiembre </w:t>
      </w:r>
      <w:r w:rsidR="00D3665C">
        <w:rPr>
          <w:rFonts w:asciiTheme="majorHAnsi" w:hAnsiTheme="majorHAnsi"/>
          <w:sz w:val="20"/>
          <w:szCs w:val="20"/>
          <w:lang w:val="es-UY"/>
        </w:rPr>
        <w:t>de 1999</w:t>
      </w:r>
      <w:r w:rsidR="00D3665C">
        <w:rPr>
          <w:rFonts w:asciiTheme="majorHAnsi" w:hAnsiTheme="majorHAnsi"/>
          <w:color w:val="FF0000"/>
          <w:sz w:val="20"/>
          <w:szCs w:val="20"/>
          <w:lang w:val="es-UY"/>
        </w:rPr>
        <w:t xml:space="preserve"> </w:t>
      </w:r>
      <w:r w:rsidR="009568DB">
        <w:rPr>
          <w:rFonts w:asciiTheme="majorHAnsi" w:hAnsiTheme="majorHAnsi"/>
          <w:sz w:val="20"/>
          <w:szCs w:val="20"/>
          <w:lang w:val="es-UY"/>
        </w:rPr>
        <w:t>y la petición ante la CIDH fue presentada el</w:t>
      </w:r>
      <w:r w:rsidR="00D3665C">
        <w:rPr>
          <w:rFonts w:asciiTheme="majorHAnsi" w:hAnsiTheme="majorHAnsi"/>
          <w:color w:val="FF0000"/>
          <w:sz w:val="20"/>
          <w:szCs w:val="20"/>
          <w:lang w:val="es-UY"/>
        </w:rPr>
        <w:t xml:space="preserve"> </w:t>
      </w:r>
      <w:r w:rsidR="00D3665C" w:rsidRPr="00D3665C">
        <w:rPr>
          <w:rFonts w:asciiTheme="majorHAnsi" w:hAnsiTheme="majorHAnsi"/>
          <w:sz w:val="20"/>
          <w:szCs w:val="20"/>
          <w:lang w:val="es-UY"/>
        </w:rPr>
        <w:t>2</w:t>
      </w:r>
      <w:r w:rsidR="00DD0649">
        <w:rPr>
          <w:rFonts w:asciiTheme="majorHAnsi" w:hAnsiTheme="majorHAnsi"/>
          <w:sz w:val="20"/>
          <w:szCs w:val="20"/>
          <w:lang w:val="es-UY"/>
        </w:rPr>
        <w:t>2</w:t>
      </w:r>
      <w:r w:rsidR="00D3665C" w:rsidRPr="00D3665C">
        <w:rPr>
          <w:rFonts w:asciiTheme="majorHAnsi" w:hAnsiTheme="majorHAnsi"/>
          <w:sz w:val="20"/>
          <w:szCs w:val="20"/>
          <w:lang w:val="es-UY"/>
        </w:rPr>
        <w:t xml:space="preserve"> de marzo de 2000</w:t>
      </w:r>
      <w:r w:rsidRPr="00D3665C">
        <w:rPr>
          <w:rFonts w:asciiTheme="majorHAnsi" w:hAnsiTheme="majorHAnsi"/>
          <w:sz w:val="20"/>
          <w:szCs w:val="20"/>
          <w:lang w:val="es-UY"/>
        </w:rPr>
        <w:t xml:space="preserve">. </w:t>
      </w:r>
      <w:r w:rsidRPr="00D1656C">
        <w:rPr>
          <w:rFonts w:asciiTheme="majorHAnsi" w:hAnsiTheme="majorHAnsi"/>
          <w:sz w:val="20"/>
          <w:szCs w:val="20"/>
          <w:lang w:val="es-UY"/>
        </w:rPr>
        <w:t xml:space="preserve">Por lo tanto, la Comisión concluye que la presente petición cumple el requisito establecido en el </w:t>
      </w:r>
      <w:r w:rsidR="005F0F8E">
        <w:rPr>
          <w:rFonts w:asciiTheme="majorHAnsi" w:hAnsiTheme="majorHAnsi"/>
          <w:sz w:val="20"/>
          <w:szCs w:val="20"/>
          <w:lang w:val="es-UY"/>
        </w:rPr>
        <w:t>artículo 46.1.</w:t>
      </w:r>
      <w:r w:rsidRPr="00D377B9">
        <w:rPr>
          <w:rFonts w:asciiTheme="majorHAnsi" w:hAnsiTheme="majorHAnsi"/>
          <w:sz w:val="20"/>
          <w:szCs w:val="20"/>
          <w:lang w:val="es-UY"/>
        </w:rPr>
        <w:t>b de la Convención Americana</w:t>
      </w:r>
      <w:r w:rsidR="00D377B9" w:rsidRPr="00D377B9">
        <w:rPr>
          <w:rFonts w:asciiTheme="majorHAnsi" w:hAnsiTheme="majorHAnsi"/>
          <w:sz w:val="20"/>
          <w:szCs w:val="20"/>
          <w:lang w:val="es-UY"/>
        </w:rPr>
        <w:t>.</w:t>
      </w:r>
      <w:r w:rsidRPr="00D377B9">
        <w:rPr>
          <w:rFonts w:asciiTheme="majorHAnsi" w:hAnsiTheme="majorHAnsi"/>
          <w:sz w:val="20"/>
          <w:szCs w:val="20"/>
          <w:lang w:val="es-UY"/>
        </w:rPr>
        <w:t xml:space="preserve"> </w:t>
      </w:r>
    </w:p>
    <w:p w:rsidR="0063685A" w:rsidRPr="0063685A" w:rsidRDefault="0063685A" w:rsidP="00833085">
      <w:pPr>
        <w:spacing w:after="240"/>
        <w:ind w:left="720"/>
        <w:jc w:val="both"/>
        <w:rPr>
          <w:rFonts w:asciiTheme="majorHAnsi" w:hAnsiTheme="majorHAnsi"/>
          <w:b/>
          <w:bCs/>
          <w:sz w:val="20"/>
          <w:szCs w:val="20"/>
          <w:lang w:val="es-UY"/>
        </w:rPr>
      </w:pPr>
      <w:r w:rsidRPr="0063685A">
        <w:rPr>
          <w:rFonts w:asciiTheme="majorHAnsi" w:hAnsiTheme="majorHAnsi"/>
          <w:b/>
          <w:bCs/>
          <w:sz w:val="20"/>
          <w:szCs w:val="20"/>
          <w:lang w:val="es-UY"/>
        </w:rPr>
        <w:t>3.</w:t>
      </w:r>
      <w:r w:rsidRPr="0063685A">
        <w:rPr>
          <w:rFonts w:asciiTheme="majorHAnsi" w:hAnsiTheme="majorHAnsi"/>
          <w:b/>
          <w:bCs/>
          <w:sz w:val="20"/>
          <w:szCs w:val="20"/>
          <w:lang w:val="es-UY"/>
        </w:rPr>
        <w:tab/>
        <w:t>Duplicación de procedimientos y cosa juzgada</w:t>
      </w:r>
      <w:r w:rsidRPr="0063685A">
        <w:rPr>
          <w:rFonts w:asciiTheme="majorHAnsi" w:hAnsiTheme="majorHAnsi"/>
          <w:b/>
          <w:bCs/>
          <w:i/>
          <w:sz w:val="20"/>
          <w:szCs w:val="20"/>
          <w:lang w:val="es-UY"/>
        </w:rPr>
        <w:t xml:space="preserve"> </w:t>
      </w:r>
      <w:r w:rsidRPr="0063685A">
        <w:rPr>
          <w:rFonts w:asciiTheme="majorHAnsi" w:hAnsiTheme="majorHAnsi"/>
          <w:b/>
          <w:bCs/>
          <w:sz w:val="20"/>
          <w:szCs w:val="20"/>
          <w:lang w:val="es-UY"/>
        </w:rPr>
        <w:t>internacional</w:t>
      </w:r>
    </w:p>
    <w:p w:rsidR="0063685A" w:rsidRPr="0063685A" w:rsidRDefault="0063685A"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63685A">
        <w:rPr>
          <w:rFonts w:asciiTheme="majorHAnsi" w:hAnsiTheme="majorHAnsi"/>
          <w:sz w:val="20"/>
          <w:szCs w:val="20"/>
          <w:lang w:val="es-UY"/>
        </w:rPr>
        <w:t>No surge del expediente que la materia de la petición se encuentre pendiente de otro procedimiento de arreglo internacional, ni que reproduzca una petición ya examinada por éste u otro órgano internacional. Por lo tanto, corresponde dar por cumplidos los requisitos est</w:t>
      </w:r>
      <w:r w:rsidR="00DD0649">
        <w:rPr>
          <w:rFonts w:asciiTheme="majorHAnsi" w:hAnsiTheme="majorHAnsi"/>
          <w:sz w:val="20"/>
          <w:szCs w:val="20"/>
          <w:lang w:val="es-UY"/>
        </w:rPr>
        <w:t>ablecidos en los artículos 46.1.c y 47.</w:t>
      </w:r>
      <w:r w:rsidRPr="0063685A">
        <w:rPr>
          <w:rFonts w:asciiTheme="majorHAnsi" w:hAnsiTheme="majorHAnsi"/>
          <w:sz w:val="20"/>
          <w:szCs w:val="20"/>
          <w:lang w:val="es-UY"/>
        </w:rPr>
        <w:t>d de la Convención.</w:t>
      </w:r>
    </w:p>
    <w:p w:rsidR="0063685A" w:rsidRPr="0063685A" w:rsidRDefault="0063685A" w:rsidP="00833085">
      <w:pPr>
        <w:spacing w:after="240"/>
        <w:ind w:left="720"/>
        <w:jc w:val="both"/>
        <w:rPr>
          <w:rFonts w:asciiTheme="majorHAnsi" w:hAnsiTheme="majorHAnsi"/>
          <w:b/>
          <w:bCs/>
          <w:sz w:val="20"/>
          <w:szCs w:val="20"/>
          <w:lang w:val="es-UY"/>
        </w:rPr>
      </w:pPr>
      <w:r w:rsidRPr="0063685A">
        <w:rPr>
          <w:rFonts w:asciiTheme="majorHAnsi" w:hAnsiTheme="majorHAnsi"/>
          <w:b/>
          <w:bCs/>
          <w:sz w:val="20"/>
          <w:szCs w:val="20"/>
          <w:lang w:val="es-UY"/>
        </w:rPr>
        <w:t>4.</w:t>
      </w:r>
      <w:r w:rsidRPr="0063685A">
        <w:rPr>
          <w:rFonts w:asciiTheme="majorHAnsi" w:hAnsiTheme="majorHAnsi"/>
          <w:b/>
          <w:bCs/>
          <w:sz w:val="20"/>
          <w:szCs w:val="20"/>
          <w:lang w:val="es-UY"/>
        </w:rPr>
        <w:tab/>
        <w:t>Caracterización de los hechos alegados</w:t>
      </w:r>
    </w:p>
    <w:p w:rsidR="009F0B9A" w:rsidRDefault="0063685A"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63685A">
        <w:rPr>
          <w:rFonts w:asciiTheme="majorHAnsi" w:hAnsiTheme="majorHAnsi"/>
          <w:sz w:val="20"/>
          <w:szCs w:val="20"/>
          <w:lang w:val="es-UY"/>
        </w:rPr>
        <w:t xml:space="preserve">A los efectos de la admisibilidad, la Comisión debe decidir si los hechos alegados pueden caracterizar una violación de derechos, según </w:t>
      </w:r>
      <w:r w:rsidR="00DD0649">
        <w:rPr>
          <w:rFonts w:asciiTheme="majorHAnsi" w:hAnsiTheme="majorHAnsi"/>
          <w:sz w:val="20"/>
          <w:szCs w:val="20"/>
          <w:lang w:val="es-UY"/>
        </w:rPr>
        <w:t>lo estipulado en el artículo 47.</w:t>
      </w:r>
      <w:r w:rsidRPr="0063685A">
        <w:rPr>
          <w:rFonts w:asciiTheme="majorHAnsi" w:hAnsiTheme="majorHAnsi"/>
          <w:sz w:val="20"/>
          <w:szCs w:val="20"/>
          <w:lang w:val="es-UY"/>
        </w:rPr>
        <w:t>b de la Convención Americana, o si la petición es "manifiestamente infundada" o es "evidente su total impr</w:t>
      </w:r>
      <w:r w:rsidR="00DD0649">
        <w:rPr>
          <w:rFonts w:asciiTheme="majorHAnsi" w:hAnsiTheme="majorHAnsi"/>
          <w:sz w:val="20"/>
          <w:szCs w:val="20"/>
          <w:lang w:val="es-UY"/>
        </w:rPr>
        <w:t xml:space="preserve">ocedencia", conforme al inciso </w:t>
      </w:r>
      <w:r w:rsidRPr="0063685A">
        <w:rPr>
          <w:rFonts w:asciiTheme="majorHAnsi" w:hAnsiTheme="majorHAnsi"/>
          <w:sz w:val="20"/>
          <w:szCs w:val="20"/>
          <w:lang w:val="es-UY"/>
        </w:rPr>
        <w:t xml:space="preserve">c) de dicho artículo.  El criterio para analizar la admisibilidad difiere del utilizado para el análisis del fondo de la petición dado que la Comisión sólo realiza un análisis </w:t>
      </w:r>
      <w:r w:rsidRPr="0063685A">
        <w:rPr>
          <w:rFonts w:asciiTheme="majorHAnsi" w:hAnsiTheme="majorHAnsi"/>
          <w:i/>
          <w:sz w:val="20"/>
          <w:szCs w:val="20"/>
          <w:lang w:val="es-UY"/>
        </w:rPr>
        <w:t>prima facie</w:t>
      </w:r>
      <w:r w:rsidRPr="0063685A">
        <w:rPr>
          <w:rFonts w:asciiTheme="majorHAnsi" w:hAnsiTheme="majorHAnsi"/>
          <w:sz w:val="20"/>
          <w:szCs w:val="20"/>
          <w:lang w:val="es-UY"/>
        </w:rPr>
        <w:t xml:space="preserve"> para determinar si los peticionarios establecen la aparente o posible violación de un derecho garantizado por la </w:t>
      </w:r>
      <w:r w:rsidR="00847102">
        <w:rPr>
          <w:rFonts w:asciiTheme="majorHAnsi" w:hAnsiTheme="majorHAnsi"/>
          <w:sz w:val="20"/>
          <w:szCs w:val="20"/>
          <w:lang w:val="es-UY"/>
        </w:rPr>
        <w:t>Convención Americana</w:t>
      </w:r>
      <w:r w:rsidRPr="0063685A">
        <w:rPr>
          <w:rFonts w:asciiTheme="majorHAnsi" w:hAnsiTheme="majorHAnsi"/>
          <w:sz w:val="20"/>
          <w:szCs w:val="20"/>
          <w:lang w:val="es-UY"/>
        </w:rPr>
        <w:t>. Se trata de un análisis somero que no implica prejuzgar o emitir una opinión preliminar sobre el fondo del asunto.</w:t>
      </w:r>
    </w:p>
    <w:p w:rsidR="009F0B9A" w:rsidRPr="009F0B9A" w:rsidRDefault="009F0B9A"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UY"/>
        </w:rPr>
      </w:pPr>
      <w:r w:rsidRPr="009F0B9A">
        <w:rPr>
          <w:rFonts w:asciiTheme="majorHAnsi" w:hAnsiTheme="majorHAnsi"/>
          <w:sz w:val="20"/>
          <w:szCs w:val="20"/>
          <w:lang w:val="es-UY"/>
        </w:rPr>
        <w:t>Asimismo, ni la Convención Americana ni el Reglamento de la CIDH exigen a</w:t>
      </w:r>
      <w:r w:rsidR="009D42AE">
        <w:rPr>
          <w:rFonts w:asciiTheme="majorHAnsi" w:hAnsiTheme="majorHAnsi"/>
          <w:sz w:val="20"/>
          <w:szCs w:val="20"/>
          <w:lang w:val="es-UY"/>
        </w:rPr>
        <w:t xml:space="preserve"> </w:t>
      </w:r>
      <w:r w:rsidRPr="009F0B9A">
        <w:rPr>
          <w:rFonts w:asciiTheme="majorHAnsi" w:hAnsiTheme="majorHAnsi"/>
          <w:sz w:val="20"/>
          <w:szCs w:val="20"/>
          <w:lang w:val="es-UY"/>
        </w:rPr>
        <w:t>l</w:t>
      </w:r>
      <w:r w:rsidR="009D42AE">
        <w:rPr>
          <w:rFonts w:asciiTheme="majorHAnsi" w:hAnsiTheme="majorHAnsi"/>
          <w:sz w:val="20"/>
          <w:szCs w:val="20"/>
          <w:lang w:val="es-UY"/>
        </w:rPr>
        <w:t>os</w:t>
      </w:r>
      <w:r w:rsidRPr="009F0B9A">
        <w:rPr>
          <w:rFonts w:asciiTheme="majorHAnsi" w:hAnsiTheme="majorHAnsi"/>
          <w:sz w:val="20"/>
          <w:szCs w:val="20"/>
          <w:lang w:val="es-UY"/>
        </w:rPr>
        <w:t xml:space="preserve"> peticionario</w:t>
      </w:r>
      <w:r w:rsidR="009D42AE">
        <w:rPr>
          <w:rFonts w:asciiTheme="majorHAnsi" w:hAnsiTheme="majorHAnsi"/>
          <w:sz w:val="20"/>
          <w:szCs w:val="20"/>
          <w:lang w:val="es-UY"/>
        </w:rPr>
        <w:t>s</w:t>
      </w:r>
      <w:r w:rsidRPr="009F0B9A">
        <w:rPr>
          <w:rFonts w:asciiTheme="majorHAnsi" w:hAnsiTheme="majorHAnsi"/>
          <w:sz w:val="20"/>
          <w:szCs w:val="20"/>
          <w:lang w:val="es-UY"/>
        </w:rPr>
        <w:t xml:space="preserve"> identificar los derechos específicos que se alegan violados por parte del Estado en el asunto sometido a la Comisión, aunque los peticionarios pueden hacerlo. Corresponde a la Comisión, con base en la jurisprudencia del sistema, determinar en sus informes de admisibilidad, qué disposición de los instrumentos interamericanos relevantes es aplicable y podría establecerse su violación si los hechos alegados son probados mediante elementos suficientes.</w:t>
      </w:r>
    </w:p>
    <w:p w:rsidR="0063685A" w:rsidRPr="0063685A" w:rsidRDefault="00EF4F30" w:rsidP="0083308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UY"/>
        </w:rPr>
      </w:pPr>
      <w:r>
        <w:rPr>
          <w:rFonts w:asciiTheme="majorHAnsi" w:eastAsia="SimSun" w:hAnsiTheme="majorHAnsi"/>
          <w:sz w:val="20"/>
          <w:szCs w:val="20"/>
          <w:lang w:val="es-UY"/>
        </w:rPr>
        <w:t>La peticionaria sostiene</w:t>
      </w:r>
      <w:r w:rsidR="0063685A" w:rsidRPr="0063685A">
        <w:rPr>
          <w:rFonts w:asciiTheme="majorHAnsi" w:eastAsia="SimSun" w:hAnsiTheme="majorHAnsi"/>
          <w:sz w:val="20"/>
          <w:szCs w:val="20"/>
          <w:lang w:val="es-UY"/>
        </w:rPr>
        <w:t xml:space="preserve"> </w:t>
      </w:r>
      <w:r w:rsidR="00B637AE">
        <w:rPr>
          <w:rFonts w:asciiTheme="majorHAnsi" w:eastAsia="SimSun" w:hAnsiTheme="majorHAnsi"/>
          <w:sz w:val="20"/>
          <w:szCs w:val="20"/>
          <w:lang w:val="es-UY"/>
        </w:rPr>
        <w:t>que</w:t>
      </w:r>
      <w:r w:rsidR="00815ECA">
        <w:rPr>
          <w:rFonts w:asciiTheme="majorHAnsi" w:eastAsia="SimSun" w:hAnsiTheme="majorHAnsi"/>
          <w:sz w:val="20"/>
          <w:szCs w:val="20"/>
          <w:lang w:val="es-UY"/>
        </w:rPr>
        <w:t xml:space="preserve"> </w:t>
      </w:r>
      <w:r w:rsidR="008F2A22">
        <w:rPr>
          <w:rFonts w:asciiTheme="majorHAnsi" w:eastAsia="SimSun" w:hAnsiTheme="majorHAnsi"/>
          <w:sz w:val="20"/>
          <w:szCs w:val="20"/>
          <w:lang w:val="es-UY"/>
        </w:rPr>
        <w:t xml:space="preserve">fue alejada arbitrariamente de su </w:t>
      </w:r>
      <w:r w:rsidR="00E6647C">
        <w:rPr>
          <w:rFonts w:asciiTheme="majorHAnsi" w:eastAsia="SimSun" w:hAnsiTheme="majorHAnsi"/>
          <w:sz w:val="20"/>
          <w:szCs w:val="20"/>
          <w:lang w:val="es-UY"/>
        </w:rPr>
        <w:t>empleo</w:t>
      </w:r>
      <w:r w:rsidR="008F2A22">
        <w:rPr>
          <w:rFonts w:asciiTheme="majorHAnsi" w:eastAsia="SimSun" w:hAnsiTheme="majorHAnsi"/>
          <w:sz w:val="20"/>
          <w:szCs w:val="20"/>
          <w:lang w:val="es-UY"/>
        </w:rPr>
        <w:t xml:space="preserve"> como secretaria judicial, pues su proceso de destitución se desarrolló incumpliendo garantías judiciales. Además indica </w:t>
      </w:r>
      <w:r w:rsidR="00C46558">
        <w:rPr>
          <w:rFonts w:asciiTheme="majorHAnsi" w:eastAsia="SimSun" w:hAnsiTheme="majorHAnsi"/>
          <w:sz w:val="20"/>
          <w:szCs w:val="20"/>
          <w:lang w:val="es-UY"/>
        </w:rPr>
        <w:t xml:space="preserve">que </w:t>
      </w:r>
      <w:r w:rsidR="008F2A22">
        <w:rPr>
          <w:rFonts w:asciiTheme="majorHAnsi" w:eastAsia="SimSun" w:hAnsiTheme="majorHAnsi"/>
          <w:sz w:val="20"/>
          <w:szCs w:val="20"/>
          <w:lang w:val="es-UY"/>
        </w:rPr>
        <w:t>los tribunales jurisdiccionales que conocieron s</w:t>
      </w:r>
      <w:r w:rsidR="00C46558">
        <w:rPr>
          <w:rFonts w:asciiTheme="majorHAnsi" w:eastAsia="SimSun" w:hAnsiTheme="majorHAnsi"/>
          <w:sz w:val="20"/>
          <w:szCs w:val="20"/>
          <w:lang w:val="es-UY"/>
        </w:rPr>
        <w:t>us reclamos, omitieron otorgarle una protección judicial efectiva</w:t>
      </w:r>
      <w:r w:rsidR="0063685A" w:rsidRPr="0063685A">
        <w:rPr>
          <w:rFonts w:asciiTheme="majorHAnsi" w:eastAsia="SimSun" w:hAnsiTheme="majorHAnsi"/>
          <w:sz w:val="20"/>
          <w:szCs w:val="20"/>
          <w:lang w:val="es-UY"/>
        </w:rPr>
        <w:t>. A su vez el Estado manifiesta que</w:t>
      </w:r>
      <w:r>
        <w:rPr>
          <w:rFonts w:asciiTheme="majorHAnsi" w:eastAsia="SimSun" w:hAnsiTheme="majorHAnsi"/>
          <w:sz w:val="20"/>
          <w:szCs w:val="20"/>
          <w:lang w:val="es-UY"/>
        </w:rPr>
        <w:t xml:space="preserve"> siempre tuvo acceso a recursos ju</w:t>
      </w:r>
      <w:r w:rsidR="00C46558">
        <w:rPr>
          <w:rFonts w:asciiTheme="majorHAnsi" w:eastAsia="SimSun" w:hAnsiTheme="majorHAnsi"/>
          <w:sz w:val="20"/>
          <w:szCs w:val="20"/>
          <w:lang w:val="es-UY"/>
        </w:rPr>
        <w:t xml:space="preserve">diciales adecuados y efectivos </w:t>
      </w:r>
      <w:r>
        <w:rPr>
          <w:rFonts w:asciiTheme="majorHAnsi" w:eastAsia="SimSun" w:hAnsiTheme="majorHAnsi"/>
          <w:sz w:val="20"/>
          <w:szCs w:val="20"/>
          <w:lang w:val="es-UY"/>
        </w:rPr>
        <w:t>y que</w:t>
      </w:r>
      <w:r w:rsidR="00A41610">
        <w:rPr>
          <w:rFonts w:asciiTheme="majorHAnsi" w:eastAsia="SimSun" w:hAnsiTheme="majorHAnsi"/>
          <w:sz w:val="20"/>
          <w:szCs w:val="20"/>
          <w:lang w:val="es-UY"/>
        </w:rPr>
        <w:t xml:space="preserve"> </w:t>
      </w:r>
      <w:r w:rsidR="00C46558">
        <w:rPr>
          <w:rFonts w:asciiTheme="majorHAnsi" w:eastAsia="SimSun" w:hAnsiTheme="majorHAnsi"/>
          <w:sz w:val="20"/>
          <w:szCs w:val="20"/>
          <w:lang w:val="es-UY"/>
        </w:rPr>
        <w:t>si</w:t>
      </w:r>
      <w:r w:rsidR="00A41610">
        <w:rPr>
          <w:rFonts w:asciiTheme="majorHAnsi" w:eastAsia="SimSun" w:hAnsiTheme="majorHAnsi"/>
          <w:sz w:val="20"/>
          <w:szCs w:val="20"/>
          <w:lang w:val="es-UY"/>
        </w:rPr>
        <w:t xml:space="preserve"> sus pretensiones no fuer</w:t>
      </w:r>
      <w:r w:rsidR="00C46558">
        <w:rPr>
          <w:rFonts w:asciiTheme="majorHAnsi" w:eastAsia="SimSun" w:hAnsiTheme="majorHAnsi"/>
          <w:sz w:val="20"/>
          <w:szCs w:val="20"/>
          <w:lang w:val="es-UY"/>
        </w:rPr>
        <w:t>o</w:t>
      </w:r>
      <w:r w:rsidR="00A41610">
        <w:rPr>
          <w:rFonts w:asciiTheme="majorHAnsi" w:eastAsia="SimSun" w:hAnsiTheme="majorHAnsi"/>
          <w:sz w:val="20"/>
          <w:szCs w:val="20"/>
          <w:lang w:val="es-UY"/>
        </w:rPr>
        <w:t>n otorgadas no</w:t>
      </w:r>
      <w:r w:rsidR="003641ED">
        <w:rPr>
          <w:rFonts w:asciiTheme="majorHAnsi" w:eastAsia="SimSun" w:hAnsiTheme="majorHAnsi"/>
          <w:sz w:val="20"/>
          <w:szCs w:val="20"/>
          <w:lang w:val="es-UY"/>
        </w:rPr>
        <w:t xml:space="preserve"> </w:t>
      </w:r>
      <w:r w:rsidR="00A41610">
        <w:rPr>
          <w:rFonts w:asciiTheme="majorHAnsi" w:eastAsia="SimSun" w:hAnsiTheme="majorHAnsi"/>
          <w:sz w:val="20"/>
          <w:szCs w:val="20"/>
          <w:lang w:val="es-UY"/>
        </w:rPr>
        <w:t>materializa</w:t>
      </w:r>
      <w:r w:rsidR="003641ED">
        <w:rPr>
          <w:rFonts w:asciiTheme="majorHAnsi" w:eastAsia="SimSun" w:hAnsiTheme="majorHAnsi"/>
          <w:sz w:val="20"/>
          <w:szCs w:val="20"/>
          <w:lang w:val="es-UY"/>
        </w:rPr>
        <w:t xml:space="preserve"> </w:t>
      </w:r>
      <w:r w:rsidR="003641ED" w:rsidRPr="002A40C8">
        <w:rPr>
          <w:rFonts w:asciiTheme="majorHAnsi" w:eastAsia="SimSun" w:hAnsiTheme="majorHAnsi"/>
          <w:i/>
          <w:sz w:val="20"/>
          <w:szCs w:val="20"/>
          <w:lang w:val="es-UY"/>
        </w:rPr>
        <w:t>per se</w:t>
      </w:r>
      <w:r w:rsidR="003641ED">
        <w:rPr>
          <w:rFonts w:asciiTheme="majorHAnsi" w:eastAsia="SimSun" w:hAnsiTheme="majorHAnsi"/>
          <w:sz w:val="20"/>
          <w:szCs w:val="20"/>
          <w:lang w:val="es-UY"/>
        </w:rPr>
        <w:t xml:space="preserve"> </w:t>
      </w:r>
      <w:r w:rsidR="00A41610">
        <w:rPr>
          <w:rFonts w:asciiTheme="majorHAnsi" w:eastAsia="SimSun" w:hAnsiTheme="majorHAnsi"/>
          <w:sz w:val="20"/>
          <w:szCs w:val="20"/>
          <w:lang w:val="es-UY"/>
        </w:rPr>
        <w:t>una violación a la Convención Americana</w:t>
      </w:r>
      <w:r w:rsidR="0063685A" w:rsidRPr="0063685A">
        <w:rPr>
          <w:rFonts w:asciiTheme="majorHAnsi" w:eastAsia="SimSun" w:hAnsiTheme="majorHAnsi"/>
          <w:sz w:val="20"/>
          <w:szCs w:val="20"/>
          <w:lang w:val="es-UY"/>
        </w:rPr>
        <w:t>.</w:t>
      </w:r>
    </w:p>
    <w:p w:rsidR="0063685A" w:rsidRPr="007E1669" w:rsidRDefault="007E1669" w:rsidP="0083308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lang w:val="es-UY"/>
        </w:rPr>
      </w:pPr>
      <w:r w:rsidRPr="007E1669">
        <w:rPr>
          <w:rFonts w:asciiTheme="majorHAnsi" w:hAnsiTheme="majorHAnsi"/>
          <w:sz w:val="20"/>
          <w:szCs w:val="20"/>
          <w:lang w:val="es-AR"/>
        </w:rPr>
        <w:t>En vista de los elementos de hecho y de derecho presentados por las partes y la naturaleza del asunto puesto bajo su conocimiento, la CIDH considera que</w:t>
      </w:r>
      <w:r w:rsidR="00CA61C1">
        <w:rPr>
          <w:rFonts w:asciiTheme="majorHAnsi" w:hAnsiTheme="majorHAnsi"/>
          <w:sz w:val="20"/>
          <w:szCs w:val="20"/>
          <w:lang w:val="es-AR"/>
        </w:rPr>
        <w:t xml:space="preserve">, de ser probado que </w:t>
      </w:r>
      <w:r w:rsidR="003641ED">
        <w:rPr>
          <w:rFonts w:asciiTheme="majorHAnsi" w:hAnsiTheme="majorHAnsi"/>
          <w:sz w:val="20"/>
          <w:szCs w:val="20"/>
          <w:lang w:val="es-AR"/>
        </w:rPr>
        <w:t>en el marco de la</w:t>
      </w:r>
      <w:r w:rsidR="00E6647C">
        <w:rPr>
          <w:rFonts w:asciiTheme="majorHAnsi" w:hAnsiTheme="majorHAnsi"/>
          <w:sz w:val="20"/>
          <w:szCs w:val="20"/>
          <w:lang w:val="es-AR"/>
        </w:rPr>
        <w:t xml:space="preserve"> destitución de la peticionaria</w:t>
      </w:r>
      <w:r w:rsidR="003641ED">
        <w:rPr>
          <w:rFonts w:asciiTheme="majorHAnsi" w:hAnsiTheme="majorHAnsi"/>
          <w:sz w:val="20"/>
          <w:szCs w:val="20"/>
          <w:lang w:val="es-AR"/>
        </w:rPr>
        <w:t xml:space="preserve"> los tribunales jurisdiccionales</w:t>
      </w:r>
      <w:r w:rsidR="00E6647C">
        <w:rPr>
          <w:rFonts w:asciiTheme="majorHAnsi" w:hAnsiTheme="majorHAnsi"/>
          <w:sz w:val="20"/>
          <w:szCs w:val="20"/>
          <w:lang w:val="es-AR"/>
        </w:rPr>
        <w:t xml:space="preserve"> no observaron las garantías requeridas y que, por ejemplo, según la petición </w:t>
      </w:r>
      <w:r w:rsidR="003641ED">
        <w:rPr>
          <w:rFonts w:asciiTheme="majorHAnsi" w:hAnsiTheme="majorHAnsi"/>
          <w:sz w:val="20"/>
          <w:szCs w:val="20"/>
          <w:lang w:val="es-AR"/>
        </w:rPr>
        <w:t xml:space="preserve">emitieron sentencias sin haber revisado el expediente de ratificaciones </w:t>
      </w:r>
      <w:r w:rsidR="00596F07">
        <w:rPr>
          <w:rFonts w:asciiTheme="majorHAnsi" w:hAnsiTheme="majorHAnsi"/>
          <w:sz w:val="20"/>
          <w:szCs w:val="20"/>
          <w:lang w:val="es-AR"/>
        </w:rPr>
        <w:t xml:space="preserve">e incumplieron un fallo que ordenaba corregir las violaciones al debido proceso, </w:t>
      </w:r>
      <w:r w:rsidR="00C06DF7">
        <w:rPr>
          <w:rFonts w:asciiTheme="majorHAnsi" w:hAnsiTheme="majorHAnsi"/>
          <w:sz w:val="20"/>
          <w:szCs w:val="20"/>
          <w:lang w:val="es-AR"/>
        </w:rPr>
        <w:t xml:space="preserve">podrían </w:t>
      </w:r>
      <w:r w:rsidRPr="007E1669">
        <w:rPr>
          <w:rFonts w:asciiTheme="majorHAnsi" w:hAnsiTheme="majorHAnsi"/>
          <w:sz w:val="20"/>
          <w:szCs w:val="20"/>
          <w:lang w:val="es-AR"/>
        </w:rPr>
        <w:t>caracterizar</w:t>
      </w:r>
      <w:r w:rsidR="00C06DF7">
        <w:rPr>
          <w:rFonts w:asciiTheme="majorHAnsi" w:hAnsiTheme="majorHAnsi"/>
          <w:sz w:val="20"/>
          <w:szCs w:val="20"/>
          <w:lang w:val="es-AR"/>
        </w:rPr>
        <w:t>se</w:t>
      </w:r>
      <w:r w:rsidRPr="007E1669">
        <w:rPr>
          <w:rFonts w:asciiTheme="majorHAnsi" w:hAnsiTheme="majorHAnsi"/>
          <w:sz w:val="20"/>
          <w:szCs w:val="20"/>
          <w:lang w:val="es-AR"/>
        </w:rPr>
        <w:t xml:space="preserve"> posibles violaciones a los derechos protegidos en los artículos </w:t>
      </w:r>
      <w:r w:rsidR="00A41610">
        <w:rPr>
          <w:rFonts w:asciiTheme="majorHAnsi" w:hAnsiTheme="majorHAnsi"/>
          <w:sz w:val="20"/>
          <w:szCs w:val="20"/>
          <w:lang w:val="es-AR"/>
        </w:rPr>
        <w:t>8 y 25</w:t>
      </w:r>
      <w:r w:rsidRPr="007E1669">
        <w:rPr>
          <w:rFonts w:asciiTheme="majorHAnsi" w:hAnsiTheme="majorHAnsi"/>
          <w:sz w:val="20"/>
          <w:szCs w:val="20"/>
          <w:lang w:val="es-AR"/>
        </w:rPr>
        <w:t xml:space="preserve"> de la Convención Americana, en concordancia con el artículo</w:t>
      </w:r>
      <w:r w:rsidR="00A41610">
        <w:rPr>
          <w:rFonts w:asciiTheme="majorHAnsi" w:hAnsiTheme="majorHAnsi"/>
          <w:sz w:val="20"/>
          <w:szCs w:val="20"/>
          <w:lang w:val="es-AR"/>
        </w:rPr>
        <w:t xml:space="preserve"> 1. 1</w:t>
      </w:r>
      <w:r w:rsidRPr="007E1669">
        <w:rPr>
          <w:rFonts w:asciiTheme="majorHAnsi" w:hAnsiTheme="majorHAnsi"/>
          <w:sz w:val="20"/>
          <w:szCs w:val="20"/>
          <w:lang w:val="es-AR"/>
        </w:rPr>
        <w:t xml:space="preserve"> de dicho tratado</w:t>
      </w:r>
      <w:r w:rsidR="007749CA">
        <w:rPr>
          <w:rFonts w:asciiTheme="majorHAnsi" w:hAnsiTheme="majorHAnsi"/>
          <w:sz w:val="20"/>
          <w:szCs w:val="20"/>
          <w:lang w:val="es-AR"/>
        </w:rPr>
        <w:t>.</w:t>
      </w:r>
      <w:r w:rsidRPr="007E1669">
        <w:rPr>
          <w:rFonts w:asciiTheme="majorHAnsi" w:eastAsia="SimSun" w:hAnsiTheme="majorHAnsi"/>
          <w:i/>
          <w:color w:val="FF0000"/>
          <w:sz w:val="20"/>
          <w:szCs w:val="20"/>
          <w:lang w:val="es-UY"/>
        </w:rPr>
        <w:t xml:space="preserve"> </w:t>
      </w:r>
    </w:p>
    <w:p w:rsidR="0063685A" w:rsidRDefault="0063685A" w:rsidP="00833085">
      <w:pPr>
        <w:pStyle w:val="BodyText"/>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eastAsia="SimSun" w:hAnsiTheme="majorHAnsi"/>
          <w:sz w:val="20"/>
          <w:szCs w:val="20"/>
          <w:lang w:val="es-UY"/>
        </w:rPr>
      </w:pPr>
      <w:r w:rsidRPr="0045134C">
        <w:rPr>
          <w:rFonts w:asciiTheme="majorHAnsi" w:eastAsia="SimSun" w:hAnsiTheme="majorHAnsi"/>
          <w:sz w:val="20"/>
          <w:szCs w:val="20"/>
          <w:lang w:val="es-UY"/>
        </w:rPr>
        <w:t>En cuanto al reclamo de</w:t>
      </w:r>
      <w:r w:rsidR="009D42AE">
        <w:rPr>
          <w:rFonts w:asciiTheme="majorHAnsi" w:eastAsia="SimSun" w:hAnsiTheme="majorHAnsi"/>
          <w:sz w:val="20"/>
          <w:szCs w:val="20"/>
          <w:lang w:val="es-UY"/>
        </w:rPr>
        <w:t xml:space="preserve"> </w:t>
      </w:r>
      <w:r w:rsidRPr="0045134C">
        <w:rPr>
          <w:rFonts w:asciiTheme="majorHAnsi" w:eastAsia="SimSun" w:hAnsiTheme="majorHAnsi"/>
          <w:sz w:val="20"/>
          <w:szCs w:val="20"/>
          <w:lang w:val="es-UY"/>
        </w:rPr>
        <w:t>l</w:t>
      </w:r>
      <w:r w:rsidR="009D42AE">
        <w:rPr>
          <w:rFonts w:asciiTheme="majorHAnsi" w:eastAsia="SimSun" w:hAnsiTheme="majorHAnsi"/>
          <w:sz w:val="20"/>
          <w:szCs w:val="20"/>
          <w:lang w:val="es-UY"/>
        </w:rPr>
        <w:t>a</w:t>
      </w:r>
      <w:r w:rsidRPr="0045134C">
        <w:rPr>
          <w:rFonts w:asciiTheme="majorHAnsi" w:eastAsia="SimSun" w:hAnsiTheme="majorHAnsi"/>
          <w:sz w:val="20"/>
          <w:szCs w:val="20"/>
          <w:lang w:val="es-UY"/>
        </w:rPr>
        <w:t xml:space="preserve"> peticionari</w:t>
      </w:r>
      <w:r w:rsidR="009D42AE">
        <w:rPr>
          <w:rFonts w:asciiTheme="majorHAnsi" w:eastAsia="SimSun" w:hAnsiTheme="majorHAnsi"/>
          <w:sz w:val="20"/>
          <w:szCs w:val="20"/>
          <w:lang w:val="es-UY"/>
        </w:rPr>
        <w:t>a</w:t>
      </w:r>
      <w:r w:rsidRPr="0045134C">
        <w:rPr>
          <w:rFonts w:asciiTheme="majorHAnsi" w:eastAsia="SimSun" w:hAnsiTheme="majorHAnsi"/>
          <w:sz w:val="20"/>
          <w:szCs w:val="20"/>
          <w:lang w:val="es-UY"/>
        </w:rPr>
        <w:t xml:space="preserve"> sobre la presunta violación de</w:t>
      </w:r>
      <w:r w:rsidR="0045134C">
        <w:rPr>
          <w:rFonts w:asciiTheme="majorHAnsi" w:eastAsia="SimSun" w:hAnsiTheme="majorHAnsi"/>
          <w:sz w:val="20"/>
          <w:szCs w:val="20"/>
          <w:lang w:val="es-UY"/>
        </w:rPr>
        <w:t xml:space="preserve"> </w:t>
      </w:r>
      <w:r w:rsidRPr="0045134C">
        <w:rPr>
          <w:rFonts w:asciiTheme="majorHAnsi" w:eastAsia="SimSun" w:hAnsiTheme="majorHAnsi"/>
          <w:sz w:val="20"/>
          <w:szCs w:val="20"/>
          <w:lang w:val="es-UY"/>
        </w:rPr>
        <w:t xml:space="preserve">los artículos </w:t>
      </w:r>
      <w:r w:rsidR="0045134C">
        <w:rPr>
          <w:rFonts w:asciiTheme="majorHAnsi" w:eastAsia="SimSun" w:hAnsiTheme="majorHAnsi"/>
          <w:sz w:val="20"/>
          <w:szCs w:val="20"/>
          <w:lang w:val="es-UY"/>
        </w:rPr>
        <w:t>5 y 11</w:t>
      </w:r>
      <w:r w:rsidRPr="0045134C">
        <w:rPr>
          <w:rFonts w:asciiTheme="majorHAnsi" w:eastAsia="SimSun" w:hAnsiTheme="majorHAnsi"/>
          <w:sz w:val="20"/>
          <w:szCs w:val="20"/>
          <w:lang w:val="es-UY"/>
        </w:rPr>
        <w:t xml:space="preserve"> de la Convención Americana, la Comisión observa que </w:t>
      </w:r>
      <w:r w:rsidR="009D42AE">
        <w:rPr>
          <w:rFonts w:asciiTheme="majorHAnsi" w:eastAsia="SimSun" w:hAnsiTheme="majorHAnsi"/>
          <w:sz w:val="20"/>
          <w:szCs w:val="20"/>
          <w:lang w:val="es-UY"/>
        </w:rPr>
        <w:t>la peticionaria</w:t>
      </w:r>
      <w:r w:rsidRPr="009D42AE">
        <w:rPr>
          <w:rFonts w:asciiTheme="majorHAnsi" w:eastAsia="SimSun" w:hAnsiTheme="majorHAnsi"/>
          <w:sz w:val="20"/>
          <w:szCs w:val="20"/>
          <w:lang w:val="es-UY"/>
        </w:rPr>
        <w:t xml:space="preserve"> no ofrece alegatos o sustento para su presunta violación</w:t>
      </w:r>
      <w:r w:rsidR="007749CA" w:rsidRPr="009D42AE">
        <w:rPr>
          <w:rFonts w:asciiTheme="majorHAnsi" w:eastAsia="SimSun" w:hAnsiTheme="majorHAnsi"/>
          <w:sz w:val="20"/>
          <w:szCs w:val="20"/>
          <w:lang w:val="es-UY"/>
        </w:rPr>
        <w:t>,</w:t>
      </w:r>
      <w:r w:rsidRPr="009D42AE">
        <w:rPr>
          <w:rFonts w:asciiTheme="majorHAnsi" w:eastAsia="SimSun" w:hAnsiTheme="majorHAnsi"/>
          <w:sz w:val="20"/>
          <w:szCs w:val="20"/>
          <w:lang w:val="es-UY"/>
        </w:rPr>
        <w:t xml:space="preserve"> por lo que no corresponde declarar dicha pretensión admisible.</w:t>
      </w:r>
    </w:p>
    <w:p w:rsidR="00472741" w:rsidRPr="00B45867" w:rsidRDefault="00472741" w:rsidP="00472741">
      <w:pPr>
        <w:pStyle w:val="BodyText"/>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ind w:left="720"/>
        <w:jc w:val="both"/>
        <w:rPr>
          <w:rFonts w:asciiTheme="majorHAnsi" w:eastAsia="SimSun" w:hAnsiTheme="majorHAnsi"/>
          <w:sz w:val="20"/>
          <w:szCs w:val="20"/>
          <w:lang w:val="es-UY"/>
        </w:rPr>
      </w:pPr>
    </w:p>
    <w:p w:rsidR="0063685A" w:rsidRPr="00B45867" w:rsidRDefault="0063685A" w:rsidP="00833085">
      <w:pPr>
        <w:spacing w:after="240"/>
        <w:ind w:firstLine="720"/>
        <w:jc w:val="both"/>
        <w:rPr>
          <w:rFonts w:asciiTheme="majorHAnsi" w:hAnsiTheme="majorHAnsi"/>
          <w:b/>
          <w:bCs/>
          <w:sz w:val="20"/>
          <w:szCs w:val="20"/>
          <w:lang w:val="es-UY"/>
        </w:rPr>
      </w:pPr>
      <w:r w:rsidRPr="0063685A">
        <w:rPr>
          <w:rFonts w:asciiTheme="majorHAnsi" w:hAnsiTheme="majorHAnsi"/>
          <w:b/>
          <w:bCs/>
          <w:sz w:val="20"/>
          <w:szCs w:val="20"/>
          <w:lang w:val="es-UY"/>
        </w:rPr>
        <w:lastRenderedPageBreak/>
        <w:t>V.</w:t>
      </w:r>
      <w:r w:rsidRPr="0063685A">
        <w:rPr>
          <w:rFonts w:asciiTheme="majorHAnsi" w:hAnsiTheme="majorHAnsi"/>
          <w:b/>
          <w:bCs/>
          <w:sz w:val="20"/>
          <w:szCs w:val="20"/>
          <w:lang w:val="es-UY"/>
        </w:rPr>
        <w:tab/>
        <w:t>CONCLUSIONES</w:t>
      </w:r>
    </w:p>
    <w:p w:rsidR="003664B3" w:rsidRPr="00B45867" w:rsidRDefault="003664B3" w:rsidP="00833085">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spacing w:after="240"/>
        <w:jc w:val="both"/>
        <w:rPr>
          <w:rFonts w:asciiTheme="majorHAnsi" w:hAnsiTheme="majorHAnsi"/>
          <w:sz w:val="20"/>
          <w:szCs w:val="20"/>
          <w:lang w:val="es-AR"/>
        </w:rPr>
      </w:pPr>
      <w:r w:rsidRPr="003664B3">
        <w:rPr>
          <w:rFonts w:asciiTheme="majorHAnsi" w:hAnsiTheme="majorHAnsi"/>
          <w:sz w:val="20"/>
          <w:szCs w:val="20"/>
          <w:lang w:val="es-AR"/>
        </w:rPr>
        <w:t>Con fundamento en las consideraciones de hecho y de derecho expuestas, la Comisión Interamericana concluye que la presente petición satisface los requisitos de admisibilidad enunciados en los artículos 46 y 47 de la Convención Americana y, sin prejuzgar sobre el fondo del asunto,</w:t>
      </w:r>
    </w:p>
    <w:p w:rsidR="0063685A" w:rsidRPr="00B45867" w:rsidRDefault="0063685A" w:rsidP="00833085">
      <w:pPr>
        <w:spacing w:after="240"/>
        <w:jc w:val="center"/>
        <w:rPr>
          <w:rFonts w:asciiTheme="majorHAnsi" w:hAnsiTheme="majorHAnsi"/>
          <w:b/>
          <w:bCs/>
          <w:sz w:val="20"/>
          <w:szCs w:val="20"/>
          <w:lang w:val="es-ES"/>
        </w:rPr>
      </w:pPr>
      <w:r w:rsidRPr="0063685A">
        <w:rPr>
          <w:rFonts w:asciiTheme="majorHAnsi" w:hAnsiTheme="majorHAnsi"/>
          <w:b/>
          <w:bCs/>
          <w:sz w:val="20"/>
          <w:szCs w:val="20"/>
          <w:lang w:val="es-ES"/>
        </w:rPr>
        <w:t>LA COMISIÓN INTERAMERICANA DE DERECHOS HUMANOS</w:t>
      </w:r>
    </w:p>
    <w:p w:rsidR="0063685A" w:rsidRPr="00B45867" w:rsidRDefault="0063685A" w:rsidP="00833085">
      <w:pPr>
        <w:spacing w:after="240"/>
        <w:jc w:val="both"/>
        <w:rPr>
          <w:rFonts w:asciiTheme="majorHAnsi" w:hAnsiTheme="majorHAnsi"/>
          <w:b/>
          <w:bCs/>
          <w:sz w:val="20"/>
          <w:szCs w:val="20"/>
          <w:lang w:val="es-UY"/>
        </w:rPr>
      </w:pPr>
      <w:r w:rsidRPr="0063685A">
        <w:rPr>
          <w:rFonts w:asciiTheme="majorHAnsi" w:hAnsiTheme="majorHAnsi"/>
          <w:b/>
          <w:bCs/>
          <w:sz w:val="20"/>
          <w:szCs w:val="20"/>
          <w:lang w:val="es-UY"/>
        </w:rPr>
        <w:t>DECIDE:</w:t>
      </w:r>
    </w:p>
    <w:p w:rsidR="0063685A" w:rsidRPr="0063685A" w:rsidRDefault="0063685A" w:rsidP="00833085">
      <w:pPr>
        <w:spacing w:after="240"/>
        <w:ind w:firstLine="720"/>
        <w:jc w:val="both"/>
        <w:rPr>
          <w:rFonts w:asciiTheme="majorHAnsi" w:hAnsiTheme="majorHAnsi"/>
          <w:sz w:val="20"/>
          <w:szCs w:val="20"/>
          <w:lang w:val="es-UY"/>
        </w:rPr>
      </w:pPr>
      <w:r w:rsidRPr="0063685A">
        <w:rPr>
          <w:rFonts w:asciiTheme="majorHAnsi" w:hAnsiTheme="majorHAnsi"/>
          <w:sz w:val="20"/>
          <w:szCs w:val="20"/>
          <w:lang w:val="es-UY"/>
        </w:rPr>
        <w:t>1.</w:t>
      </w:r>
      <w:r w:rsidRPr="0063685A">
        <w:rPr>
          <w:rFonts w:asciiTheme="majorHAnsi" w:hAnsiTheme="majorHAnsi"/>
          <w:sz w:val="20"/>
          <w:szCs w:val="20"/>
          <w:lang w:val="es-UY"/>
        </w:rPr>
        <w:tab/>
        <w:t xml:space="preserve">Declarar admisible la presente petición en relación con los artículos </w:t>
      </w:r>
      <w:r w:rsidR="0045134C">
        <w:rPr>
          <w:rFonts w:asciiTheme="majorHAnsi" w:hAnsiTheme="majorHAnsi"/>
          <w:sz w:val="20"/>
          <w:szCs w:val="20"/>
          <w:lang w:val="es-UY"/>
        </w:rPr>
        <w:t>8 y 25</w:t>
      </w:r>
      <w:r w:rsidRPr="0063685A">
        <w:rPr>
          <w:rFonts w:asciiTheme="majorHAnsi" w:hAnsiTheme="majorHAnsi"/>
          <w:sz w:val="20"/>
          <w:szCs w:val="20"/>
          <w:lang w:val="es-UY"/>
        </w:rPr>
        <w:t xml:space="preserve"> de la Convención Americana</w:t>
      </w:r>
      <w:r w:rsidR="003664B3">
        <w:rPr>
          <w:rFonts w:asciiTheme="majorHAnsi" w:hAnsiTheme="majorHAnsi"/>
          <w:sz w:val="20"/>
          <w:szCs w:val="20"/>
          <w:lang w:val="es-UY"/>
        </w:rPr>
        <w:t xml:space="preserve"> en conexión con la</w:t>
      </w:r>
      <w:r w:rsidR="0045134C">
        <w:rPr>
          <w:rFonts w:asciiTheme="majorHAnsi" w:hAnsiTheme="majorHAnsi"/>
          <w:sz w:val="20"/>
          <w:szCs w:val="20"/>
          <w:lang w:val="es-UY"/>
        </w:rPr>
        <w:t xml:space="preserve"> obligación</w:t>
      </w:r>
      <w:r w:rsidR="003664B3">
        <w:rPr>
          <w:rFonts w:asciiTheme="majorHAnsi" w:hAnsiTheme="majorHAnsi"/>
          <w:sz w:val="20"/>
          <w:szCs w:val="20"/>
          <w:lang w:val="es-UY"/>
        </w:rPr>
        <w:t xml:space="preserve"> establecida en </w:t>
      </w:r>
      <w:r w:rsidR="0045134C">
        <w:rPr>
          <w:rFonts w:asciiTheme="majorHAnsi" w:hAnsiTheme="majorHAnsi"/>
          <w:sz w:val="20"/>
          <w:szCs w:val="20"/>
          <w:lang w:val="es-UY"/>
        </w:rPr>
        <w:t>el</w:t>
      </w:r>
      <w:r w:rsidR="003664B3">
        <w:rPr>
          <w:rFonts w:asciiTheme="majorHAnsi" w:hAnsiTheme="majorHAnsi"/>
          <w:sz w:val="20"/>
          <w:szCs w:val="20"/>
          <w:lang w:val="es-UY"/>
        </w:rPr>
        <w:t xml:space="preserve"> </w:t>
      </w:r>
      <w:r w:rsidR="003664B3" w:rsidRPr="007749CA">
        <w:rPr>
          <w:rFonts w:asciiTheme="majorHAnsi" w:hAnsiTheme="majorHAnsi"/>
          <w:sz w:val="20"/>
          <w:szCs w:val="20"/>
          <w:lang w:val="es-UY"/>
        </w:rPr>
        <w:t>artículo 1.1 del mismo instrumento</w:t>
      </w:r>
      <w:r w:rsidR="007749CA" w:rsidRPr="007749CA">
        <w:rPr>
          <w:rFonts w:asciiTheme="majorHAnsi" w:hAnsiTheme="majorHAnsi"/>
          <w:sz w:val="20"/>
          <w:szCs w:val="20"/>
          <w:lang w:val="es-UY"/>
        </w:rPr>
        <w:t>.</w:t>
      </w:r>
      <w:r w:rsidR="0045134C" w:rsidRPr="007749CA">
        <w:rPr>
          <w:rFonts w:asciiTheme="majorHAnsi" w:hAnsiTheme="majorHAnsi"/>
          <w:sz w:val="20"/>
          <w:szCs w:val="20"/>
          <w:lang w:val="es-UY"/>
        </w:rPr>
        <w:t xml:space="preserve"> </w:t>
      </w:r>
    </w:p>
    <w:p w:rsidR="0063685A" w:rsidRPr="0063685A" w:rsidRDefault="0063685A" w:rsidP="00833085">
      <w:pPr>
        <w:spacing w:after="240"/>
        <w:ind w:firstLine="720"/>
        <w:jc w:val="both"/>
        <w:rPr>
          <w:rFonts w:asciiTheme="majorHAnsi" w:hAnsiTheme="majorHAnsi"/>
          <w:sz w:val="20"/>
          <w:szCs w:val="20"/>
          <w:lang w:val="es-UY"/>
        </w:rPr>
      </w:pPr>
      <w:r w:rsidRPr="0063685A">
        <w:rPr>
          <w:rFonts w:asciiTheme="majorHAnsi" w:hAnsiTheme="majorHAnsi"/>
          <w:sz w:val="20"/>
          <w:szCs w:val="20"/>
          <w:lang w:val="es-UY"/>
        </w:rPr>
        <w:t>2.</w:t>
      </w:r>
      <w:r w:rsidRPr="0063685A">
        <w:rPr>
          <w:rFonts w:asciiTheme="majorHAnsi" w:hAnsiTheme="majorHAnsi"/>
          <w:sz w:val="20"/>
          <w:szCs w:val="20"/>
          <w:lang w:val="es-UY"/>
        </w:rPr>
        <w:tab/>
        <w:t xml:space="preserve">Declarar inadmisible la presente petición en relación con </w:t>
      </w:r>
      <w:r w:rsidR="007749CA">
        <w:rPr>
          <w:rFonts w:asciiTheme="majorHAnsi" w:hAnsiTheme="majorHAnsi"/>
          <w:sz w:val="20"/>
          <w:szCs w:val="20"/>
          <w:lang w:val="es-UY"/>
        </w:rPr>
        <w:t>los artículos 5 y 11</w:t>
      </w:r>
      <w:r w:rsidRPr="0063685A">
        <w:rPr>
          <w:rFonts w:asciiTheme="majorHAnsi" w:hAnsiTheme="majorHAnsi"/>
          <w:sz w:val="20"/>
          <w:szCs w:val="20"/>
          <w:lang w:val="es-UY"/>
        </w:rPr>
        <w:t xml:space="preserve"> de la Convención Americana;</w:t>
      </w:r>
    </w:p>
    <w:p w:rsidR="0063685A" w:rsidRPr="0063685A" w:rsidRDefault="0063685A" w:rsidP="00833085">
      <w:pPr>
        <w:spacing w:after="240"/>
        <w:ind w:firstLine="720"/>
        <w:jc w:val="both"/>
        <w:rPr>
          <w:rFonts w:asciiTheme="majorHAnsi" w:hAnsiTheme="majorHAnsi"/>
          <w:sz w:val="20"/>
          <w:szCs w:val="20"/>
          <w:lang w:val="es-UY"/>
        </w:rPr>
      </w:pPr>
      <w:r w:rsidRPr="0063685A">
        <w:rPr>
          <w:rFonts w:asciiTheme="majorHAnsi" w:hAnsiTheme="majorHAnsi"/>
          <w:sz w:val="20"/>
          <w:szCs w:val="20"/>
          <w:lang w:val="es-UY"/>
        </w:rPr>
        <w:t>3.</w:t>
      </w:r>
      <w:r w:rsidRPr="0063685A">
        <w:rPr>
          <w:rFonts w:asciiTheme="majorHAnsi" w:hAnsiTheme="majorHAnsi"/>
          <w:sz w:val="20"/>
          <w:szCs w:val="20"/>
          <w:lang w:val="es-UY"/>
        </w:rPr>
        <w:tab/>
        <w:t>Notificar a las partes la presente decisión;</w:t>
      </w:r>
    </w:p>
    <w:p w:rsidR="0063685A" w:rsidRPr="0063685A" w:rsidRDefault="0063685A" w:rsidP="00833085">
      <w:pPr>
        <w:spacing w:after="240"/>
        <w:ind w:firstLine="720"/>
        <w:jc w:val="both"/>
        <w:rPr>
          <w:rFonts w:asciiTheme="majorHAnsi" w:hAnsiTheme="majorHAnsi"/>
          <w:sz w:val="20"/>
          <w:szCs w:val="20"/>
          <w:lang w:val="es-UY"/>
        </w:rPr>
      </w:pPr>
      <w:r w:rsidRPr="0063685A">
        <w:rPr>
          <w:rFonts w:asciiTheme="majorHAnsi" w:hAnsiTheme="majorHAnsi"/>
          <w:sz w:val="20"/>
          <w:szCs w:val="20"/>
          <w:lang w:val="es-UY"/>
        </w:rPr>
        <w:t>4.</w:t>
      </w:r>
      <w:r w:rsidRPr="0063685A">
        <w:rPr>
          <w:rFonts w:asciiTheme="majorHAnsi" w:hAnsiTheme="majorHAnsi"/>
          <w:sz w:val="20"/>
          <w:szCs w:val="20"/>
          <w:lang w:val="es-UY"/>
        </w:rPr>
        <w:tab/>
        <w:t>Continuar con el análisis del fondo de la cuestión;</w:t>
      </w:r>
      <w:r w:rsidR="00711192">
        <w:rPr>
          <w:rFonts w:asciiTheme="majorHAnsi" w:hAnsiTheme="majorHAnsi"/>
          <w:sz w:val="20"/>
          <w:szCs w:val="20"/>
          <w:lang w:val="es-UY"/>
        </w:rPr>
        <w:t xml:space="preserve"> y</w:t>
      </w:r>
    </w:p>
    <w:p w:rsidR="0063685A" w:rsidRPr="0063685A" w:rsidRDefault="0063685A" w:rsidP="00833085">
      <w:pPr>
        <w:spacing w:after="240"/>
        <w:ind w:firstLine="720"/>
        <w:jc w:val="both"/>
        <w:rPr>
          <w:rFonts w:asciiTheme="majorHAnsi" w:hAnsiTheme="majorHAnsi"/>
          <w:sz w:val="20"/>
          <w:szCs w:val="20"/>
          <w:lang w:val="es-UY"/>
        </w:rPr>
      </w:pPr>
      <w:r w:rsidRPr="0063685A">
        <w:rPr>
          <w:rFonts w:asciiTheme="majorHAnsi" w:hAnsiTheme="majorHAnsi"/>
          <w:sz w:val="20"/>
          <w:szCs w:val="20"/>
          <w:lang w:val="es-UY"/>
        </w:rPr>
        <w:t>5.</w:t>
      </w:r>
      <w:r w:rsidRPr="0063685A">
        <w:rPr>
          <w:rFonts w:asciiTheme="majorHAnsi" w:hAnsiTheme="majorHAnsi"/>
          <w:sz w:val="20"/>
          <w:szCs w:val="20"/>
          <w:lang w:val="es-UY"/>
        </w:rPr>
        <w:tab/>
        <w:t>Publicar esta decisión e incluirla en su Informe Anual a la Asamblea General de la Organización de los Estados Americanos.</w:t>
      </w:r>
    </w:p>
    <w:p w:rsidR="00B21E94" w:rsidRPr="009B6413" w:rsidRDefault="00B21E94" w:rsidP="00B21E94">
      <w:pPr>
        <w:ind w:firstLine="720"/>
        <w:jc w:val="both"/>
        <w:rPr>
          <w:rFonts w:ascii="Cambria" w:hAnsi="Cambria" w:cs="Arial"/>
          <w:noProof/>
          <w:spacing w:val="-2"/>
          <w:sz w:val="20"/>
          <w:szCs w:val="20"/>
          <w:lang w:val="es-CL"/>
        </w:rPr>
      </w:pPr>
      <w:r>
        <w:rPr>
          <w:rFonts w:ascii="Cambria" w:hAnsi="Cambria" w:cs="Arial"/>
          <w:noProof/>
          <w:spacing w:val="-2"/>
          <w:sz w:val="20"/>
          <w:szCs w:val="20"/>
          <w:lang w:val="es-CL"/>
        </w:rPr>
        <w:t>Aprobado por la Comisión Interamericana de Derechos Humanos a los</w:t>
      </w:r>
      <w:r w:rsidRPr="009B6413">
        <w:rPr>
          <w:rFonts w:ascii="Cambria" w:hAnsi="Cambria" w:cs="Arial"/>
          <w:noProof/>
          <w:spacing w:val="-2"/>
          <w:sz w:val="20"/>
          <w:szCs w:val="20"/>
          <w:lang w:val="es-CL"/>
        </w:rPr>
        <w:t xml:space="preserve"> </w:t>
      </w:r>
      <w:r>
        <w:rPr>
          <w:rFonts w:ascii="Cambria" w:hAnsi="Cambria" w:cs="Arial"/>
          <w:noProof/>
          <w:spacing w:val="-2"/>
          <w:sz w:val="20"/>
          <w:szCs w:val="20"/>
          <w:lang w:val="es-CL"/>
        </w:rPr>
        <w:t>12</w:t>
      </w:r>
      <w:r w:rsidRPr="009B6413">
        <w:rPr>
          <w:rFonts w:ascii="Cambria" w:hAnsi="Cambria" w:cs="Arial"/>
          <w:noProof/>
          <w:spacing w:val="-2"/>
          <w:sz w:val="20"/>
          <w:szCs w:val="20"/>
          <w:lang w:val="es-CL"/>
        </w:rPr>
        <w:t xml:space="preserve"> días del mes de </w:t>
      </w:r>
      <w:r>
        <w:rPr>
          <w:rFonts w:ascii="Cambria" w:hAnsi="Cambria" w:cs="Arial"/>
          <w:noProof/>
          <w:spacing w:val="-2"/>
          <w:sz w:val="20"/>
          <w:szCs w:val="20"/>
          <w:lang w:val="es-CL"/>
        </w:rPr>
        <w:t>agosto</w:t>
      </w:r>
      <w:r w:rsidRPr="009B6413">
        <w:rPr>
          <w:rFonts w:ascii="Cambria" w:hAnsi="Cambria" w:cs="Arial"/>
          <w:noProof/>
          <w:spacing w:val="-2"/>
          <w:sz w:val="20"/>
          <w:szCs w:val="20"/>
          <w:lang w:val="es-CL"/>
        </w:rPr>
        <w:t xml:space="preserve"> de 2016.  (Firmado): James L. Cavallaro, Presidente; Margarette May Macaulay, Segunda Vicepresidenta; José de Jesús Orozco Henríquez, Paulo Vannuchi, Esmeralda E. Arosemena Bernal de Troitiño, y Enrique Gil Botero, Miembros de la Comisión.</w:t>
      </w:r>
      <w:r w:rsidRPr="009B6413">
        <w:rPr>
          <w:rFonts w:ascii="Cambria" w:hAnsi="Cambria" w:cs="Arial"/>
          <w:noProof/>
          <w:sz w:val="20"/>
          <w:szCs w:val="20"/>
          <w:lang w:val="es-CL"/>
        </w:rPr>
        <w:t xml:space="preserve"> </w:t>
      </w:r>
    </w:p>
    <w:p w:rsidR="0063685A" w:rsidRPr="003122F9" w:rsidRDefault="0063685A" w:rsidP="00C84F9C">
      <w:pPr>
        <w:spacing w:after="120"/>
        <w:jc w:val="both"/>
        <w:rPr>
          <w:lang w:val="es-UY"/>
        </w:rPr>
      </w:pPr>
    </w:p>
    <w:p w:rsidR="0063685A" w:rsidRDefault="0063685A" w:rsidP="00B45867">
      <w:pPr>
        <w:tabs>
          <w:tab w:val="center" w:pos="5400"/>
        </w:tabs>
        <w:suppressAutoHyphens/>
        <w:spacing w:line="276" w:lineRule="auto"/>
        <w:rPr>
          <w:rFonts w:asciiTheme="majorHAnsi" w:hAnsiTheme="majorHAnsi"/>
          <w:sz w:val="18"/>
          <w:szCs w:val="20"/>
          <w:lang w:val="es-ES_tradnl"/>
        </w:rPr>
      </w:pPr>
    </w:p>
    <w:sectPr w:rsidR="0063685A"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3B0" w:rsidRDefault="00C603B0">
      <w:r>
        <w:separator/>
      </w:r>
    </w:p>
  </w:endnote>
  <w:endnote w:type="continuationSeparator" w:id="0">
    <w:p w:rsidR="00C603B0" w:rsidRDefault="00C6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6B" w:rsidRDefault="00D554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5294112"/>
      <w:docPartObj>
        <w:docPartGallery w:val="Page Numbers (Bottom of Page)"/>
        <w:docPartUnique/>
      </w:docPartObj>
    </w:sdtPr>
    <w:sdtEndPr>
      <w:rPr>
        <w:noProof/>
        <w:sz w:val="16"/>
        <w:szCs w:val="22"/>
      </w:rPr>
    </w:sdtEndPr>
    <w:sdtContent>
      <w:p w:rsidR="0070697F" w:rsidRPr="00934A2C" w:rsidRDefault="0070697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D5546B">
          <w:rPr>
            <w:noProof/>
            <w:sz w:val="16"/>
            <w:szCs w:val="22"/>
          </w:rPr>
          <w:t>5</w:t>
        </w:r>
        <w:r w:rsidRPr="00934A2C">
          <w:rPr>
            <w:noProof/>
            <w:sz w:val="16"/>
            <w:szCs w:val="22"/>
          </w:rPr>
          <w:fldChar w:fldCharType="end"/>
        </w:r>
      </w:p>
    </w:sdtContent>
  </w:sdt>
  <w:p w:rsidR="0070697F" w:rsidRDefault="00706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97F" w:rsidRPr="00934A2C" w:rsidRDefault="0070697F">
    <w:pPr>
      <w:pStyle w:val="Footer"/>
      <w:jc w:val="center"/>
      <w:rPr>
        <w:sz w:val="16"/>
        <w:szCs w:val="22"/>
      </w:rPr>
    </w:pPr>
  </w:p>
  <w:p w:rsidR="0070697F" w:rsidRDefault="00706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3B0" w:rsidRPr="000F35ED" w:rsidRDefault="00C603B0">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C603B0" w:rsidRPr="000F35ED" w:rsidRDefault="00C603B0" w:rsidP="000F35ED">
      <w:pPr>
        <w:rPr>
          <w:rFonts w:asciiTheme="majorHAnsi" w:hAnsiTheme="majorHAnsi"/>
          <w:sz w:val="16"/>
          <w:szCs w:val="16"/>
        </w:rPr>
      </w:pPr>
      <w:r w:rsidRPr="000F35ED">
        <w:rPr>
          <w:rFonts w:asciiTheme="majorHAnsi" w:hAnsiTheme="majorHAnsi"/>
          <w:sz w:val="16"/>
          <w:szCs w:val="16"/>
        </w:rPr>
        <w:separator/>
      </w:r>
    </w:p>
    <w:p w:rsidR="00C603B0" w:rsidRPr="000F35ED" w:rsidRDefault="00C603B0" w:rsidP="000F35ED">
      <w:pPr>
        <w:pStyle w:val="Footer"/>
        <w:rPr>
          <w:rFonts w:asciiTheme="majorHAnsi" w:hAnsiTheme="majorHAnsi"/>
          <w:sz w:val="16"/>
          <w:szCs w:val="16"/>
        </w:rPr>
      </w:pPr>
      <w:r>
        <w:rPr>
          <w:rFonts w:asciiTheme="majorHAnsi" w:hAnsiTheme="majorHAnsi"/>
          <w:sz w:val="16"/>
          <w:szCs w:val="16"/>
        </w:rPr>
        <w:t>[… c</w:t>
      </w:r>
      <w:r w:rsidRPr="000F35ED">
        <w:rPr>
          <w:rFonts w:asciiTheme="majorHAnsi" w:hAnsiTheme="majorHAnsi"/>
          <w:sz w:val="16"/>
          <w:szCs w:val="16"/>
        </w:rPr>
        <w:t>ontinuación</w:t>
      </w:r>
      <w:r>
        <w:rPr>
          <w:rFonts w:asciiTheme="majorHAnsi" w:hAnsiTheme="majorHAnsi"/>
          <w:sz w:val="16"/>
          <w:szCs w:val="16"/>
        </w:rPr>
        <w:t>]</w:t>
      </w:r>
    </w:p>
  </w:footnote>
  <w:footnote w:type="continuationNotice" w:id="1">
    <w:p w:rsidR="00C603B0" w:rsidRPr="000F35ED" w:rsidRDefault="00C603B0" w:rsidP="000F35ED">
      <w:pPr>
        <w:jc w:val="right"/>
        <w:rPr>
          <w:rFonts w:asciiTheme="majorHAnsi" w:hAnsiTheme="majorHAnsi"/>
          <w:sz w:val="16"/>
          <w:szCs w:val="16"/>
          <w:lang w:val="es-ES"/>
        </w:rPr>
      </w:pPr>
      <w:r>
        <w:rPr>
          <w:rFonts w:asciiTheme="majorHAnsi" w:hAnsiTheme="majorHAnsi"/>
          <w:sz w:val="16"/>
          <w:szCs w:val="16"/>
          <w:lang w:val="es-ES"/>
        </w:rPr>
        <w:t>[c</w:t>
      </w:r>
      <w:r w:rsidRPr="000F35ED">
        <w:rPr>
          <w:rFonts w:asciiTheme="majorHAnsi" w:hAnsiTheme="majorHAnsi"/>
          <w:sz w:val="16"/>
          <w:szCs w:val="16"/>
          <w:lang w:val="es-ES"/>
        </w:rPr>
        <w:t>ontinúa…</w:t>
      </w:r>
      <w:r>
        <w:rPr>
          <w:rFonts w:asciiTheme="majorHAnsi" w:hAnsiTheme="majorHAnsi"/>
          <w:sz w:val="16"/>
          <w:szCs w:val="16"/>
          <w:lang w:val="es-ES"/>
        </w:rPr>
        <w:t>]</w:t>
      </w:r>
    </w:p>
  </w:footnote>
  <w:footnote w:id="2">
    <w:p w:rsidR="00DC3B4E" w:rsidRPr="00DC3B4E" w:rsidRDefault="00DC3B4E" w:rsidP="00175C99">
      <w:pPr>
        <w:pStyle w:val="FootnoteText"/>
        <w:spacing w:before="120"/>
        <w:ind w:firstLine="720"/>
        <w:jc w:val="both"/>
        <w:rPr>
          <w:lang w:val="es-BO"/>
        </w:rPr>
      </w:pPr>
      <w:r>
        <w:rPr>
          <w:rStyle w:val="FootnoteReference"/>
        </w:rPr>
        <w:footnoteRef/>
      </w:r>
      <w:r w:rsidRPr="00114FF3">
        <w:rPr>
          <w:lang w:val="es-BO"/>
        </w:rPr>
        <w:t xml:space="preserve"> </w:t>
      </w:r>
      <w:r w:rsidRPr="005414FC">
        <w:rPr>
          <w:rFonts w:ascii="Cambria" w:hAnsi="Cambria"/>
          <w:color w:val="auto"/>
          <w:sz w:val="16"/>
          <w:szCs w:val="16"/>
          <w:lang w:val="es-MX"/>
        </w:rPr>
        <w:t xml:space="preserve">Conforme </w:t>
      </w:r>
      <w:r w:rsidRPr="005414FC">
        <w:rPr>
          <w:rFonts w:ascii="Cambria" w:hAnsi="Cambria" w:cs="Arial"/>
          <w:color w:val="auto"/>
          <w:sz w:val="16"/>
          <w:szCs w:val="16"/>
          <w:lang w:val="es-ES"/>
        </w:rPr>
        <w:t>a lo dispuesto en el artículo 17.2.a del Reglamento de la Comisión, el Comisionado Francisco José Eguiguren Praeli  de nacionalidad peruana, no participó en el debate ni en la decisión del presente asunto.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C3A" w:rsidRDefault="00040C3A" w:rsidP="00B54CDF">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040C3A" w:rsidRDefault="00040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0FCF" w:rsidRDefault="00A50FCF" w:rsidP="00A50FCF">
    <w:pPr>
      <w:pStyle w:val="Header"/>
      <w:tabs>
        <w:tab w:val="clear" w:pos="4320"/>
        <w:tab w:val="clear" w:pos="8640"/>
      </w:tabs>
      <w:jc w:val="center"/>
      <w:rPr>
        <w:sz w:val="22"/>
        <w:szCs w:val="22"/>
      </w:rPr>
    </w:pPr>
    <w:r>
      <w:rPr>
        <w:noProof/>
        <w:sz w:val="22"/>
        <w:szCs w:val="22"/>
      </w:rPr>
      <w:drawing>
        <wp:inline distT="0" distB="0" distL="0" distR="0" wp14:anchorId="603B506E" wp14:editId="5E897EAD">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040C3A" w:rsidRPr="00EC7D62" w:rsidRDefault="00C603B0"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46B" w:rsidRDefault="00D554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22"/>
    <w:lvl w:ilvl="0">
      <w:start w:val="5"/>
      <w:numFmt w:val="decimal"/>
      <w:lvlText w:val="%1."/>
      <w:lvlJc w:val="left"/>
      <w:pPr>
        <w:tabs>
          <w:tab w:val="num" w:pos="540"/>
        </w:tabs>
        <w:ind w:left="0" w:firstLine="720"/>
      </w:pPr>
      <w:rPr>
        <w:rFonts w:ascii="Calibri" w:hAnsi="Calibri" w:cs="Calibri" w:hint="default"/>
        <w:b w:val="0"/>
        <w:bCs/>
        <w:i w:val="0"/>
        <w:color w:val="auto"/>
        <w:sz w:val="20"/>
        <w:szCs w:val="20"/>
        <w:lang w:val="es-ES"/>
      </w:rPr>
    </w:lvl>
    <w:lvl w:ilvl="1">
      <w:start w:val="2"/>
      <w:numFmt w:val="upperRoman"/>
      <w:lvlText w:val="%2."/>
      <w:lvlJc w:val="left"/>
      <w:pPr>
        <w:tabs>
          <w:tab w:val="num" w:pos="2520"/>
        </w:tabs>
        <w:ind w:left="2520" w:hanging="720"/>
      </w:pPr>
      <w:rPr>
        <w:i w:val="0"/>
      </w:rPr>
    </w:lvl>
    <w:lvl w:ilvl="2">
      <w:start w:val="3"/>
      <w:numFmt w:val="decimal"/>
      <w:lvlText w:val="%3"/>
      <w:lvlJc w:val="left"/>
      <w:pPr>
        <w:tabs>
          <w:tab w:val="num" w:pos="3060"/>
        </w:tabs>
        <w:ind w:left="3060" w:hanging="36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
    <w:nsid w:val="026B7B5C"/>
    <w:multiLevelType w:val="multilevel"/>
    <w:tmpl w:val="0409001F"/>
    <w:lvl w:ilvl="0">
      <w:start w:val="1"/>
      <w:numFmt w:val="decimal"/>
      <w:lvlText w:val="%1."/>
      <w:lvlJc w:val="left"/>
      <w:pPr>
        <w:ind w:left="360" w:hanging="360"/>
      </w:pPr>
    </w:lvl>
    <w:lvl w:ilvl="1">
      <w:start w:val="1"/>
      <w:numFmt w:val="decimal"/>
      <w:lvlText w:val="%1.%2."/>
      <w:lvlJc w:val="left"/>
      <w:pPr>
        <w:ind w:left="1708" w:hanging="432"/>
      </w:pPr>
    </w:lvl>
    <w:lvl w:ilvl="2">
      <w:start w:val="1"/>
      <w:numFmt w:val="decimal"/>
      <w:lvlText w:val="%1.%2.%3."/>
      <w:lvlJc w:val="left"/>
      <w:pPr>
        <w:ind w:left="2064" w:hanging="504"/>
      </w:pPr>
    </w:lvl>
    <w:lvl w:ilvl="3">
      <w:start w:val="1"/>
      <w:numFmt w:val="decimal"/>
      <w:lvlText w:val="%1.%2.%3.%4."/>
      <w:lvlJc w:val="left"/>
      <w:pPr>
        <w:ind w:left="2633" w:hanging="648"/>
      </w:pPr>
    </w:lvl>
    <w:lvl w:ilvl="4">
      <w:start w:val="1"/>
      <w:numFmt w:val="decimal"/>
      <w:lvlText w:val="%1.%2.%3.%4.%5."/>
      <w:lvlJc w:val="left"/>
      <w:pPr>
        <w:ind w:left="3911"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3">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nsid w:val="0E1D2261"/>
    <w:multiLevelType w:val="hybridMultilevel"/>
    <w:tmpl w:val="3C72365E"/>
    <w:lvl w:ilvl="0" w:tplc="96361A2C">
      <w:start w:val="4"/>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nsid w:val="1EC402F6"/>
    <w:multiLevelType w:val="hybridMultilevel"/>
    <w:tmpl w:val="E7D808FC"/>
    <w:lvl w:ilvl="0" w:tplc="C40A67D6">
      <w:start w:val="2"/>
      <w:numFmt w:val="upperLetter"/>
      <w:lvlText w:val="%1."/>
      <w:lvlJc w:val="left"/>
      <w:pPr>
        <w:tabs>
          <w:tab w:val="num" w:pos="1440"/>
        </w:tabs>
        <w:ind w:left="1440" w:hanging="720"/>
      </w:pPr>
      <w:rPr>
        <w:rFonts w:hint="default"/>
      </w:rPr>
    </w:lvl>
    <w:lvl w:ilvl="1" w:tplc="2B26BAEC">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4">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8">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9">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9">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nsid w:val="78A34BCA"/>
    <w:multiLevelType w:val="hybridMultilevel"/>
    <w:tmpl w:val="2FCCEE42"/>
    <w:lvl w:ilvl="0" w:tplc="05D29450">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5">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5"/>
  </w:num>
  <w:num w:numId="2">
    <w:abstractNumId w:val="7"/>
  </w:num>
  <w:num w:numId="3">
    <w:abstractNumId w:val="54"/>
  </w:num>
  <w:num w:numId="4">
    <w:abstractNumId w:val="23"/>
  </w:num>
  <w:num w:numId="5">
    <w:abstractNumId w:val="47"/>
  </w:num>
  <w:num w:numId="6">
    <w:abstractNumId w:val="28"/>
  </w:num>
  <w:num w:numId="7">
    <w:abstractNumId w:val="8"/>
  </w:num>
  <w:num w:numId="8">
    <w:abstractNumId w:val="19"/>
  </w:num>
  <w:num w:numId="9">
    <w:abstractNumId w:val="42"/>
  </w:num>
  <w:num w:numId="10">
    <w:abstractNumId w:val="2"/>
  </w:num>
  <w:num w:numId="11">
    <w:abstractNumId w:val="37"/>
  </w:num>
  <w:num w:numId="12">
    <w:abstractNumId w:val="38"/>
  </w:num>
  <w:num w:numId="13">
    <w:abstractNumId w:val="43"/>
  </w:num>
  <w:num w:numId="14">
    <w:abstractNumId w:val="3"/>
  </w:num>
  <w:num w:numId="15">
    <w:abstractNumId w:val="4"/>
  </w:num>
  <w:num w:numId="16">
    <w:abstractNumId w:val="9"/>
  </w:num>
  <w:num w:numId="17">
    <w:abstractNumId w:val="10"/>
  </w:num>
  <w:num w:numId="18">
    <w:abstractNumId w:val="11"/>
  </w:num>
  <w:num w:numId="19">
    <w:abstractNumId w:val="13"/>
  </w:num>
  <w:num w:numId="20">
    <w:abstractNumId w:val="14"/>
  </w:num>
  <w:num w:numId="21">
    <w:abstractNumId w:val="15"/>
  </w:num>
  <w:num w:numId="22">
    <w:abstractNumId w:val="16"/>
  </w:num>
  <w:num w:numId="23">
    <w:abstractNumId w:val="17"/>
  </w:num>
  <w:num w:numId="24">
    <w:abstractNumId w:val="18"/>
  </w:num>
  <w:num w:numId="25">
    <w:abstractNumId w:val="20"/>
  </w:num>
  <w:num w:numId="26">
    <w:abstractNumId w:val="21"/>
  </w:num>
  <w:num w:numId="27">
    <w:abstractNumId w:val="24"/>
  </w:num>
  <w:num w:numId="28">
    <w:abstractNumId w:val="25"/>
  </w:num>
  <w:num w:numId="29">
    <w:abstractNumId w:val="26"/>
  </w:num>
  <w:num w:numId="30">
    <w:abstractNumId w:val="27"/>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9"/>
  </w:num>
  <w:num w:numId="40">
    <w:abstractNumId w:val="40"/>
  </w:num>
  <w:num w:numId="41">
    <w:abstractNumId w:val="45"/>
  </w:num>
  <w:num w:numId="42">
    <w:abstractNumId w:val="48"/>
  </w:num>
  <w:num w:numId="43">
    <w:abstractNumId w:val="49"/>
  </w:num>
  <w:num w:numId="44">
    <w:abstractNumId w:val="51"/>
  </w:num>
  <w:num w:numId="45">
    <w:abstractNumId w:val="53"/>
  </w:num>
  <w:num w:numId="46">
    <w:abstractNumId w:val="55"/>
  </w:num>
  <w:num w:numId="47">
    <w:abstractNumId w:val="56"/>
  </w:num>
  <w:num w:numId="48">
    <w:abstractNumId w:val="57"/>
  </w:num>
  <w:num w:numId="49">
    <w:abstractNumId w:val="58"/>
  </w:num>
  <w:num w:numId="50">
    <w:abstractNumId w:val="59"/>
  </w:num>
  <w:num w:numId="51">
    <w:abstractNumId w:val="22"/>
  </w:num>
  <w:num w:numId="52">
    <w:abstractNumId w:val="41"/>
  </w:num>
  <w:num w:numId="53">
    <w:abstractNumId w:val="50"/>
  </w:num>
  <w:num w:numId="54">
    <w:abstractNumId w:val="44"/>
  </w:num>
  <w:num w:numId="55">
    <w:abstractNumId w:val="46"/>
  </w:num>
  <w:num w:numId="56">
    <w:abstractNumId w:val="6"/>
  </w:num>
  <w:num w:numId="57">
    <w:abstractNumId w:val="12"/>
  </w:num>
  <w:num w:numId="58">
    <w:abstractNumId w:val="1"/>
  </w:num>
  <w:num w:numId="59">
    <w:abstractNumId w:val="5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
  <w:rsids>
    <w:rsidRoot w:val="006B2D5C"/>
    <w:rsid w:val="0000036F"/>
    <w:rsid w:val="00000CDA"/>
    <w:rsid w:val="00006E1F"/>
    <w:rsid w:val="000070D7"/>
    <w:rsid w:val="0001788C"/>
    <w:rsid w:val="00022A55"/>
    <w:rsid w:val="00024654"/>
    <w:rsid w:val="00032446"/>
    <w:rsid w:val="00033826"/>
    <w:rsid w:val="00040C3A"/>
    <w:rsid w:val="00057DD7"/>
    <w:rsid w:val="000652C1"/>
    <w:rsid w:val="00070B9A"/>
    <w:rsid w:val="000716C5"/>
    <w:rsid w:val="00075E23"/>
    <w:rsid w:val="0007712C"/>
    <w:rsid w:val="0009344A"/>
    <w:rsid w:val="000A1F35"/>
    <w:rsid w:val="000A260E"/>
    <w:rsid w:val="000A392E"/>
    <w:rsid w:val="000A575F"/>
    <w:rsid w:val="000B61FF"/>
    <w:rsid w:val="000D10DB"/>
    <w:rsid w:val="000E5EB5"/>
    <w:rsid w:val="000F35ED"/>
    <w:rsid w:val="00100F84"/>
    <w:rsid w:val="00107131"/>
    <w:rsid w:val="0010736F"/>
    <w:rsid w:val="0011124E"/>
    <w:rsid w:val="00111F34"/>
    <w:rsid w:val="00112D7A"/>
    <w:rsid w:val="00113F73"/>
    <w:rsid w:val="00114FF3"/>
    <w:rsid w:val="00121CC2"/>
    <w:rsid w:val="00130F4D"/>
    <w:rsid w:val="00133EE5"/>
    <w:rsid w:val="00151398"/>
    <w:rsid w:val="00157A27"/>
    <w:rsid w:val="00167A34"/>
    <w:rsid w:val="00175C99"/>
    <w:rsid w:val="001A2705"/>
    <w:rsid w:val="001A2871"/>
    <w:rsid w:val="001A701C"/>
    <w:rsid w:val="001A7870"/>
    <w:rsid w:val="001B6D1A"/>
    <w:rsid w:val="001C1B41"/>
    <w:rsid w:val="001D65EF"/>
    <w:rsid w:val="001F4E6D"/>
    <w:rsid w:val="002073BB"/>
    <w:rsid w:val="00207F5E"/>
    <w:rsid w:val="002250A3"/>
    <w:rsid w:val="002263F1"/>
    <w:rsid w:val="00235217"/>
    <w:rsid w:val="002468D1"/>
    <w:rsid w:val="00246945"/>
    <w:rsid w:val="00246D1F"/>
    <w:rsid w:val="00247403"/>
    <w:rsid w:val="00247542"/>
    <w:rsid w:val="00253824"/>
    <w:rsid w:val="00266B61"/>
    <w:rsid w:val="0026712A"/>
    <w:rsid w:val="002704DB"/>
    <w:rsid w:val="00276775"/>
    <w:rsid w:val="00286E7F"/>
    <w:rsid w:val="002873A0"/>
    <w:rsid w:val="00293358"/>
    <w:rsid w:val="002966EB"/>
    <w:rsid w:val="00296889"/>
    <w:rsid w:val="002A0AAE"/>
    <w:rsid w:val="002A40C8"/>
    <w:rsid w:val="002A5820"/>
    <w:rsid w:val="002C37A0"/>
    <w:rsid w:val="002C6C15"/>
    <w:rsid w:val="002D2B26"/>
    <w:rsid w:val="002D7EA2"/>
    <w:rsid w:val="002E0A91"/>
    <w:rsid w:val="002E187C"/>
    <w:rsid w:val="002E408F"/>
    <w:rsid w:val="002E6C39"/>
    <w:rsid w:val="00302733"/>
    <w:rsid w:val="0030796D"/>
    <w:rsid w:val="00314078"/>
    <w:rsid w:val="0031535D"/>
    <w:rsid w:val="00322FA8"/>
    <w:rsid w:val="003279D8"/>
    <w:rsid w:val="0033169F"/>
    <w:rsid w:val="0033467B"/>
    <w:rsid w:val="0034607E"/>
    <w:rsid w:val="00346C95"/>
    <w:rsid w:val="00356185"/>
    <w:rsid w:val="00357E87"/>
    <w:rsid w:val="00360380"/>
    <w:rsid w:val="003641ED"/>
    <w:rsid w:val="00365D51"/>
    <w:rsid w:val="003664B3"/>
    <w:rsid w:val="00370C01"/>
    <w:rsid w:val="0037519E"/>
    <w:rsid w:val="00375B84"/>
    <w:rsid w:val="00386CF0"/>
    <w:rsid w:val="003B75C0"/>
    <w:rsid w:val="003C676B"/>
    <w:rsid w:val="003D274C"/>
    <w:rsid w:val="003D2966"/>
    <w:rsid w:val="003D2C4D"/>
    <w:rsid w:val="003D3BC2"/>
    <w:rsid w:val="003E6CA1"/>
    <w:rsid w:val="003E7B3D"/>
    <w:rsid w:val="00415C2A"/>
    <w:rsid w:val="004165C2"/>
    <w:rsid w:val="004324C1"/>
    <w:rsid w:val="00440D2C"/>
    <w:rsid w:val="00441DBA"/>
    <w:rsid w:val="00441ECB"/>
    <w:rsid w:val="0045134C"/>
    <w:rsid w:val="00460BED"/>
    <w:rsid w:val="00462BC8"/>
    <w:rsid w:val="0046624F"/>
    <w:rsid w:val="00467B7E"/>
    <w:rsid w:val="004700C1"/>
    <w:rsid w:val="00472741"/>
    <w:rsid w:val="00473235"/>
    <w:rsid w:val="00477592"/>
    <w:rsid w:val="00485810"/>
    <w:rsid w:val="00486F1C"/>
    <w:rsid w:val="0049419D"/>
    <w:rsid w:val="004A6ECE"/>
    <w:rsid w:val="004B3263"/>
    <w:rsid w:val="004B7A65"/>
    <w:rsid w:val="004C20D2"/>
    <w:rsid w:val="004C4B62"/>
    <w:rsid w:val="004C54C9"/>
    <w:rsid w:val="004D077C"/>
    <w:rsid w:val="004D6025"/>
    <w:rsid w:val="004E2649"/>
    <w:rsid w:val="004E3BD5"/>
    <w:rsid w:val="004E4E5F"/>
    <w:rsid w:val="004E6AC9"/>
    <w:rsid w:val="00501399"/>
    <w:rsid w:val="00502A83"/>
    <w:rsid w:val="0050633D"/>
    <w:rsid w:val="00507BC4"/>
    <w:rsid w:val="005128E4"/>
    <w:rsid w:val="005133DB"/>
    <w:rsid w:val="00525560"/>
    <w:rsid w:val="005316A2"/>
    <w:rsid w:val="00531A90"/>
    <w:rsid w:val="00541CA3"/>
    <w:rsid w:val="00544C49"/>
    <w:rsid w:val="005516A1"/>
    <w:rsid w:val="00557662"/>
    <w:rsid w:val="00565335"/>
    <w:rsid w:val="00565EAA"/>
    <w:rsid w:val="0057198D"/>
    <w:rsid w:val="0057402A"/>
    <w:rsid w:val="005771D0"/>
    <w:rsid w:val="00577357"/>
    <w:rsid w:val="00586CD5"/>
    <w:rsid w:val="0059191A"/>
    <w:rsid w:val="005921FF"/>
    <w:rsid w:val="00596831"/>
    <w:rsid w:val="00596F07"/>
    <w:rsid w:val="005A2509"/>
    <w:rsid w:val="005A5CFB"/>
    <w:rsid w:val="005A6D0E"/>
    <w:rsid w:val="005A76B4"/>
    <w:rsid w:val="005B52B0"/>
    <w:rsid w:val="005B6806"/>
    <w:rsid w:val="005C2A96"/>
    <w:rsid w:val="005C4225"/>
    <w:rsid w:val="005D2E34"/>
    <w:rsid w:val="005F0DAD"/>
    <w:rsid w:val="005F0F33"/>
    <w:rsid w:val="005F0F8E"/>
    <w:rsid w:val="006003F1"/>
    <w:rsid w:val="00600DEB"/>
    <w:rsid w:val="00603DBF"/>
    <w:rsid w:val="00624E00"/>
    <w:rsid w:val="00627C9F"/>
    <w:rsid w:val="006311E9"/>
    <w:rsid w:val="00632354"/>
    <w:rsid w:val="00632FB9"/>
    <w:rsid w:val="0063685A"/>
    <w:rsid w:val="00642810"/>
    <w:rsid w:val="00652333"/>
    <w:rsid w:val="0068009E"/>
    <w:rsid w:val="00682705"/>
    <w:rsid w:val="00685BA2"/>
    <w:rsid w:val="00692219"/>
    <w:rsid w:val="00693938"/>
    <w:rsid w:val="006A17D2"/>
    <w:rsid w:val="006A43A8"/>
    <w:rsid w:val="006A5197"/>
    <w:rsid w:val="006A595A"/>
    <w:rsid w:val="006A5B41"/>
    <w:rsid w:val="006A73E6"/>
    <w:rsid w:val="006B2D5C"/>
    <w:rsid w:val="006B3F25"/>
    <w:rsid w:val="006C199D"/>
    <w:rsid w:val="006C4EB1"/>
    <w:rsid w:val="006D1234"/>
    <w:rsid w:val="006D3C4F"/>
    <w:rsid w:val="006E0166"/>
    <w:rsid w:val="006E0457"/>
    <w:rsid w:val="006E7B34"/>
    <w:rsid w:val="006F23CB"/>
    <w:rsid w:val="006F2650"/>
    <w:rsid w:val="006F37B7"/>
    <w:rsid w:val="006F4DF7"/>
    <w:rsid w:val="0070697F"/>
    <w:rsid w:val="0071086A"/>
    <w:rsid w:val="00711192"/>
    <w:rsid w:val="007116ED"/>
    <w:rsid w:val="00715F0E"/>
    <w:rsid w:val="0072199C"/>
    <w:rsid w:val="00722C9F"/>
    <w:rsid w:val="0072428A"/>
    <w:rsid w:val="007253B8"/>
    <w:rsid w:val="00733EB1"/>
    <w:rsid w:val="0073741F"/>
    <w:rsid w:val="007400CA"/>
    <w:rsid w:val="007539FB"/>
    <w:rsid w:val="00756221"/>
    <w:rsid w:val="0076643F"/>
    <w:rsid w:val="007749CA"/>
    <w:rsid w:val="00777F63"/>
    <w:rsid w:val="007810F1"/>
    <w:rsid w:val="00790B0C"/>
    <w:rsid w:val="007953B2"/>
    <w:rsid w:val="007A5817"/>
    <w:rsid w:val="007A6BF0"/>
    <w:rsid w:val="007B60E9"/>
    <w:rsid w:val="007B6CA1"/>
    <w:rsid w:val="007B6CC3"/>
    <w:rsid w:val="007C3334"/>
    <w:rsid w:val="007C655E"/>
    <w:rsid w:val="007D286D"/>
    <w:rsid w:val="007D2B98"/>
    <w:rsid w:val="007D4AB8"/>
    <w:rsid w:val="007D52EE"/>
    <w:rsid w:val="007E1669"/>
    <w:rsid w:val="007E21BC"/>
    <w:rsid w:val="007F15A5"/>
    <w:rsid w:val="00803B66"/>
    <w:rsid w:val="00803E2F"/>
    <w:rsid w:val="00803F1C"/>
    <w:rsid w:val="0080471F"/>
    <w:rsid w:val="0080600E"/>
    <w:rsid w:val="00815ECA"/>
    <w:rsid w:val="00817612"/>
    <w:rsid w:val="00831155"/>
    <w:rsid w:val="00833085"/>
    <w:rsid w:val="008338A4"/>
    <w:rsid w:val="00837C45"/>
    <w:rsid w:val="00844730"/>
    <w:rsid w:val="008457C2"/>
    <w:rsid w:val="00846A6F"/>
    <w:rsid w:val="00847102"/>
    <w:rsid w:val="008562FF"/>
    <w:rsid w:val="00857A82"/>
    <w:rsid w:val="008672DB"/>
    <w:rsid w:val="00872E3A"/>
    <w:rsid w:val="00873836"/>
    <w:rsid w:val="00885737"/>
    <w:rsid w:val="008875A7"/>
    <w:rsid w:val="00890650"/>
    <w:rsid w:val="00897E12"/>
    <w:rsid w:val="008A147B"/>
    <w:rsid w:val="008A6531"/>
    <w:rsid w:val="008A7E0F"/>
    <w:rsid w:val="008B12F5"/>
    <w:rsid w:val="008D768D"/>
    <w:rsid w:val="008E3759"/>
    <w:rsid w:val="008E7A93"/>
    <w:rsid w:val="008F1912"/>
    <w:rsid w:val="008F2A22"/>
    <w:rsid w:val="008F628E"/>
    <w:rsid w:val="0090270B"/>
    <w:rsid w:val="009041DC"/>
    <w:rsid w:val="00917B5A"/>
    <w:rsid w:val="00920A58"/>
    <w:rsid w:val="00920A8C"/>
    <w:rsid w:val="00934A2C"/>
    <w:rsid w:val="00946A6F"/>
    <w:rsid w:val="009568DB"/>
    <w:rsid w:val="00962ECF"/>
    <w:rsid w:val="0096706E"/>
    <w:rsid w:val="00975C4E"/>
    <w:rsid w:val="00981FBA"/>
    <w:rsid w:val="00984CCF"/>
    <w:rsid w:val="00991259"/>
    <w:rsid w:val="00996E8A"/>
    <w:rsid w:val="00997B35"/>
    <w:rsid w:val="00997BC5"/>
    <w:rsid w:val="009A4F41"/>
    <w:rsid w:val="009B205B"/>
    <w:rsid w:val="009B2E24"/>
    <w:rsid w:val="009B381B"/>
    <w:rsid w:val="009B646B"/>
    <w:rsid w:val="009D1753"/>
    <w:rsid w:val="009D1C39"/>
    <w:rsid w:val="009D42AE"/>
    <w:rsid w:val="009D7611"/>
    <w:rsid w:val="009E0B61"/>
    <w:rsid w:val="009E53DE"/>
    <w:rsid w:val="009F0B9A"/>
    <w:rsid w:val="00A328B3"/>
    <w:rsid w:val="00A41610"/>
    <w:rsid w:val="00A47F90"/>
    <w:rsid w:val="00A50558"/>
    <w:rsid w:val="00A50FCF"/>
    <w:rsid w:val="00A528D1"/>
    <w:rsid w:val="00A610CD"/>
    <w:rsid w:val="00A651D6"/>
    <w:rsid w:val="00A72B47"/>
    <w:rsid w:val="00AA09A2"/>
    <w:rsid w:val="00AA2D31"/>
    <w:rsid w:val="00AA7996"/>
    <w:rsid w:val="00AC19CB"/>
    <w:rsid w:val="00AE5488"/>
    <w:rsid w:val="00AE6F91"/>
    <w:rsid w:val="00AF5571"/>
    <w:rsid w:val="00B016DE"/>
    <w:rsid w:val="00B05658"/>
    <w:rsid w:val="00B056A5"/>
    <w:rsid w:val="00B071E3"/>
    <w:rsid w:val="00B07341"/>
    <w:rsid w:val="00B21E94"/>
    <w:rsid w:val="00B26926"/>
    <w:rsid w:val="00B30539"/>
    <w:rsid w:val="00B314DB"/>
    <w:rsid w:val="00B361F2"/>
    <w:rsid w:val="00B3718B"/>
    <w:rsid w:val="00B45867"/>
    <w:rsid w:val="00B4632A"/>
    <w:rsid w:val="00B530F1"/>
    <w:rsid w:val="00B637AE"/>
    <w:rsid w:val="00B851B0"/>
    <w:rsid w:val="00B87058"/>
    <w:rsid w:val="00BA276C"/>
    <w:rsid w:val="00BA6869"/>
    <w:rsid w:val="00BB306F"/>
    <w:rsid w:val="00BC337F"/>
    <w:rsid w:val="00BC40C4"/>
    <w:rsid w:val="00BC577D"/>
    <w:rsid w:val="00BD4366"/>
    <w:rsid w:val="00BD4B89"/>
    <w:rsid w:val="00BD7417"/>
    <w:rsid w:val="00BE4B46"/>
    <w:rsid w:val="00BF64F4"/>
    <w:rsid w:val="00BF6FD8"/>
    <w:rsid w:val="00C00505"/>
    <w:rsid w:val="00C00B36"/>
    <w:rsid w:val="00C03680"/>
    <w:rsid w:val="00C054DF"/>
    <w:rsid w:val="00C06DF7"/>
    <w:rsid w:val="00C076BD"/>
    <w:rsid w:val="00C21762"/>
    <w:rsid w:val="00C24543"/>
    <w:rsid w:val="00C24B53"/>
    <w:rsid w:val="00C256A2"/>
    <w:rsid w:val="00C46558"/>
    <w:rsid w:val="00C51515"/>
    <w:rsid w:val="00C5660B"/>
    <w:rsid w:val="00C603B0"/>
    <w:rsid w:val="00C66B72"/>
    <w:rsid w:val="00C711F0"/>
    <w:rsid w:val="00C77B4F"/>
    <w:rsid w:val="00C84F9C"/>
    <w:rsid w:val="00C92AA0"/>
    <w:rsid w:val="00C9567A"/>
    <w:rsid w:val="00C9735C"/>
    <w:rsid w:val="00CA2E44"/>
    <w:rsid w:val="00CA4B0F"/>
    <w:rsid w:val="00CA61C1"/>
    <w:rsid w:val="00CB13D5"/>
    <w:rsid w:val="00CB212D"/>
    <w:rsid w:val="00CB2660"/>
    <w:rsid w:val="00CB3F54"/>
    <w:rsid w:val="00CC5E90"/>
    <w:rsid w:val="00CC6E48"/>
    <w:rsid w:val="00CD046C"/>
    <w:rsid w:val="00CE076C"/>
    <w:rsid w:val="00CE5199"/>
    <w:rsid w:val="00CE6553"/>
    <w:rsid w:val="00CE66D5"/>
    <w:rsid w:val="00CF08EE"/>
    <w:rsid w:val="00CF1D14"/>
    <w:rsid w:val="00CF637A"/>
    <w:rsid w:val="00D059DE"/>
    <w:rsid w:val="00D07D23"/>
    <w:rsid w:val="00D110D7"/>
    <w:rsid w:val="00D13FCE"/>
    <w:rsid w:val="00D13FE5"/>
    <w:rsid w:val="00D1656C"/>
    <w:rsid w:val="00D221BC"/>
    <w:rsid w:val="00D226C1"/>
    <w:rsid w:val="00D306D1"/>
    <w:rsid w:val="00D34786"/>
    <w:rsid w:val="00D3665C"/>
    <w:rsid w:val="00D377B9"/>
    <w:rsid w:val="00D37BFC"/>
    <w:rsid w:val="00D454E9"/>
    <w:rsid w:val="00D4682A"/>
    <w:rsid w:val="00D47A8E"/>
    <w:rsid w:val="00D52802"/>
    <w:rsid w:val="00D52D14"/>
    <w:rsid w:val="00D5546B"/>
    <w:rsid w:val="00D568EC"/>
    <w:rsid w:val="00D712D3"/>
    <w:rsid w:val="00D71422"/>
    <w:rsid w:val="00D72DC6"/>
    <w:rsid w:val="00D74DE0"/>
    <w:rsid w:val="00D7558D"/>
    <w:rsid w:val="00D77BE6"/>
    <w:rsid w:val="00D81D92"/>
    <w:rsid w:val="00D91341"/>
    <w:rsid w:val="00D93278"/>
    <w:rsid w:val="00DA7B5F"/>
    <w:rsid w:val="00DA7B8E"/>
    <w:rsid w:val="00DB0E97"/>
    <w:rsid w:val="00DC11E7"/>
    <w:rsid w:val="00DC3B4E"/>
    <w:rsid w:val="00DC7023"/>
    <w:rsid w:val="00DC769A"/>
    <w:rsid w:val="00DD0649"/>
    <w:rsid w:val="00DD3D86"/>
    <w:rsid w:val="00DD3EBF"/>
    <w:rsid w:val="00DE4798"/>
    <w:rsid w:val="00DE53C8"/>
    <w:rsid w:val="00DE625D"/>
    <w:rsid w:val="00DE740C"/>
    <w:rsid w:val="00DF1EC4"/>
    <w:rsid w:val="00E0340B"/>
    <w:rsid w:val="00E04A90"/>
    <w:rsid w:val="00E219C7"/>
    <w:rsid w:val="00E30A7E"/>
    <w:rsid w:val="00E31CB0"/>
    <w:rsid w:val="00E344AC"/>
    <w:rsid w:val="00E43157"/>
    <w:rsid w:val="00E461CE"/>
    <w:rsid w:val="00E63CE6"/>
    <w:rsid w:val="00E6647C"/>
    <w:rsid w:val="00E720CA"/>
    <w:rsid w:val="00E80288"/>
    <w:rsid w:val="00E84EB5"/>
    <w:rsid w:val="00E85662"/>
    <w:rsid w:val="00E8789F"/>
    <w:rsid w:val="00E90536"/>
    <w:rsid w:val="00E95592"/>
    <w:rsid w:val="00E97B71"/>
    <w:rsid w:val="00EA0E73"/>
    <w:rsid w:val="00EA3D34"/>
    <w:rsid w:val="00EA5483"/>
    <w:rsid w:val="00EB454D"/>
    <w:rsid w:val="00ED03D6"/>
    <w:rsid w:val="00ED3A83"/>
    <w:rsid w:val="00ED76BE"/>
    <w:rsid w:val="00EF1E7A"/>
    <w:rsid w:val="00EF4F30"/>
    <w:rsid w:val="00EF619B"/>
    <w:rsid w:val="00F00B55"/>
    <w:rsid w:val="00F01097"/>
    <w:rsid w:val="00F02A4F"/>
    <w:rsid w:val="00F02AD1"/>
    <w:rsid w:val="00F15DD3"/>
    <w:rsid w:val="00F17D97"/>
    <w:rsid w:val="00F2241E"/>
    <w:rsid w:val="00F253CC"/>
    <w:rsid w:val="00F258BD"/>
    <w:rsid w:val="00F319AB"/>
    <w:rsid w:val="00F37106"/>
    <w:rsid w:val="00F519CF"/>
    <w:rsid w:val="00F56BA5"/>
    <w:rsid w:val="00F60E22"/>
    <w:rsid w:val="00F65BBB"/>
    <w:rsid w:val="00F81395"/>
    <w:rsid w:val="00F917D1"/>
    <w:rsid w:val="00F955B8"/>
    <w:rsid w:val="00F9653B"/>
    <w:rsid w:val="00FA0FA8"/>
    <w:rsid w:val="00FA5C08"/>
    <w:rsid w:val="00FB62CF"/>
    <w:rsid w:val="00FB693A"/>
    <w:rsid w:val="00FD3C3B"/>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unhideWhenUsed/>
    <w:rsid w:val="0031535D"/>
    <w:pPr>
      <w:spacing w:after="120"/>
    </w:pPr>
  </w:style>
  <w:style w:type="character" w:customStyle="1" w:styleId="BodyTextChar">
    <w:name w:val="Body Text Char"/>
    <w:basedOn w:val="DefaultParagraphFont"/>
    <w:link w:val="BodyText"/>
    <w:uiPriority w:val="99"/>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character" w:customStyle="1" w:styleId="apple-converted-space">
    <w:name w:val="apple-converted-space"/>
    <w:basedOn w:val="DefaultParagraphFont"/>
    <w:rsid w:val="00F010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323900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10.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72AB4-B4E1-4956-8DEC-B1379436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2638</Words>
  <Characters>13562</Characters>
  <Application>Microsoft Office Word</Application>
  <DocSecurity>0</DocSecurity>
  <Lines>226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37/16</dc:title>
  <dc:creator/>
  <cp:lastModifiedBy/>
  <cp:revision>1</cp:revision>
  <dcterms:created xsi:type="dcterms:W3CDTF">2016-09-28T13:18:00Z</dcterms:created>
  <dcterms:modified xsi:type="dcterms:W3CDTF">2016-09-28T13:19:00Z</dcterms:modified>
</cp:coreProperties>
</file>