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36357" w14:textId="290CA8D9" w:rsidR="00040C3A" w:rsidRPr="0090270B" w:rsidRDefault="000126A9" w:rsidP="002C3AB5">
      <w:pPr>
        <w:jc w:val="both"/>
        <w:rPr>
          <w:rFonts w:asciiTheme="majorHAnsi" w:hAnsiTheme="majorHAnsi"/>
          <w:sz w:val="22"/>
          <w:szCs w:val="22"/>
          <w:lang w:val="es-ES"/>
        </w:rPr>
      </w:pPr>
      <w:r w:rsidRPr="000126A9">
        <w:rPr>
          <w:rFonts w:asciiTheme="majorHAnsi" w:hAnsiTheme="majorHAnsi" w:cs="Univers"/>
          <w:b/>
          <w:bCs/>
          <w:sz w:val="22"/>
          <w:szCs w:val="22"/>
          <w:lang w:val="es-ES_tradnl"/>
        </w:rPr>
        <w:t>occupational d</w:t>
      </w:r>
      <w:r w:rsidR="00D306D1"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23EFCE67" wp14:editId="41CE08EE">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rect w14:anchorId="57076313"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8395F31" wp14:editId="6C058E46">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D3577D" w14:textId="77777777" w:rsidR="00CB2660" w:rsidRDefault="00AE5488" w:rsidP="00AE5488">
                            <w:r>
                              <w:rPr>
                                <w:noProof/>
                              </w:rPr>
                              <w:drawing>
                                <wp:inline distT="0" distB="0" distL="0" distR="0" wp14:anchorId="684893AD" wp14:editId="4356475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DD3577D" w14:textId="77777777" w:rsidR="00CB2660" w:rsidRDefault="00AE5488" w:rsidP="00AE5488">
                      <w:r>
                        <w:rPr>
                          <w:noProof/>
                        </w:rPr>
                        <w:drawing>
                          <wp:inline distT="0" distB="0" distL="0" distR="0" wp14:anchorId="684893AD" wp14:editId="4356475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6556ECBA"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2C47988"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67727B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43B014E"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6ADC9C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423ADB7"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CC2311"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D6A17FE"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A275CC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031F926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D40CEF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A50A722"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C300B77" wp14:editId="4A34ADC5">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0596D6" w14:textId="78BE84E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AD3B3A">
                              <w:rPr>
                                <w:rFonts w:asciiTheme="majorHAnsi" w:hAnsiTheme="majorHAnsi" w:cs="Arial"/>
                                <w:b/>
                                <w:bCs/>
                                <w:color w:val="0D0D0D" w:themeColor="text1" w:themeTint="F2"/>
                                <w:sz w:val="36"/>
                                <w:szCs w:val="22"/>
                                <w:lang w:val="es-ES_tradnl"/>
                              </w:rPr>
                              <w:t xml:space="preserve"> 79</w:t>
                            </w:r>
                            <w:r w:rsidR="007B05C4">
                              <w:rPr>
                                <w:rFonts w:asciiTheme="majorHAnsi" w:hAnsiTheme="majorHAnsi" w:cs="Arial"/>
                                <w:b/>
                                <w:bCs/>
                                <w:color w:val="0D0D0D" w:themeColor="text1" w:themeTint="F2"/>
                                <w:sz w:val="36"/>
                                <w:szCs w:val="22"/>
                                <w:lang w:val="es-ES_tradnl"/>
                              </w:rPr>
                              <w:t>/16</w:t>
                            </w:r>
                          </w:p>
                          <w:p w14:paraId="28786649"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12E74">
                              <w:rPr>
                                <w:rFonts w:asciiTheme="majorHAnsi" w:hAnsiTheme="majorHAnsi" w:cs="Arial"/>
                                <w:b/>
                                <w:color w:val="0D0D0D" w:themeColor="text1" w:themeTint="F2"/>
                                <w:sz w:val="36"/>
                                <w:szCs w:val="22"/>
                                <w:lang w:val="es-ES_tradnl"/>
                              </w:rPr>
                              <w:t>1</w:t>
                            </w:r>
                            <w:r w:rsidR="005A5BEB">
                              <w:rPr>
                                <w:rFonts w:asciiTheme="majorHAnsi" w:hAnsiTheme="majorHAnsi" w:cs="Arial"/>
                                <w:b/>
                                <w:color w:val="0D0D0D" w:themeColor="text1" w:themeTint="F2"/>
                                <w:sz w:val="36"/>
                                <w:szCs w:val="22"/>
                                <w:lang w:val="es-ES_tradnl"/>
                              </w:rPr>
                              <w:t>077</w:t>
                            </w:r>
                            <w:r w:rsidR="00812E74">
                              <w:rPr>
                                <w:rFonts w:asciiTheme="majorHAnsi" w:hAnsiTheme="majorHAnsi" w:cs="Arial"/>
                                <w:b/>
                                <w:color w:val="0D0D0D" w:themeColor="text1" w:themeTint="F2"/>
                                <w:sz w:val="36"/>
                                <w:szCs w:val="22"/>
                                <w:lang w:val="es-ES_tradnl"/>
                              </w:rPr>
                              <w:t>-</w:t>
                            </w:r>
                            <w:r w:rsidR="005A5BEB">
                              <w:rPr>
                                <w:rFonts w:asciiTheme="majorHAnsi" w:hAnsiTheme="majorHAnsi" w:cs="Arial"/>
                                <w:b/>
                                <w:color w:val="0D0D0D" w:themeColor="text1" w:themeTint="F2"/>
                                <w:sz w:val="36"/>
                                <w:szCs w:val="22"/>
                                <w:lang w:val="es-ES_tradnl"/>
                              </w:rPr>
                              <w:t>98</w:t>
                            </w:r>
                            <w:r w:rsidR="00246D1F" w:rsidRPr="004E2649">
                              <w:rPr>
                                <w:rFonts w:asciiTheme="majorHAnsi" w:hAnsiTheme="majorHAnsi" w:cs="Arial"/>
                                <w:b/>
                                <w:color w:val="0D0D0D" w:themeColor="text1" w:themeTint="F2"/>
                                <w:sz w:val="36"/>
                                <w:szCs w:val="22"/>
                                <w:lang w:val="es-ES_tradnl"/>
                              </w:rPr>
                              <w:t xml:space="preserve"> </w:t>
                            </w:r>
                            <w:r w:rsidR="00812E74">
                              <w:rPr>
                                <w:rFonts w:asciiTheme="majorHAnsi" w:hAnsiTheme="majorHAnsi" w:cs="Arial"/>
                                <w:b/>
                                <w:color w:val="0D0D0D" w:themeColor="text1" w:themeTint="F2"/>
                                <w:sz w:val="36"/>
                                <w:szCs w:val="22"/>
                                <w:lang w:val="es-ES_tradnl"/>
                              </w:rPr>
                              <w:t>Y OTRAS</w:t>
                            </w:r>
                          </w:p>
                          <w:p w14:paraId="2DF8D07E"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D6340AC"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23B4EA97" w14:textId="77777777" w:rsidR="00812E74" w:rsidRDefault="005A5BE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EMILIANO ROMERO BENDEZÚ</w:t>
                            </w:r>
                            <w:r w:rsidR="00812E74">
                              <w:rPr>
                                <w:rFonts w:asciiTheme="majorHAnsi" w:hAnsiTheme="majorHAnsi" w:cs="Arial"/>
                                <w:color w:val="0D0D0D" w:themeColor="text1" w:themeTint="F2"/>
                                <w:szCs w:val="22"/>
                                <w:lang w:val="es-ES_tradnl"/>
                              </w:rPr>
                              <w:t xml:space="preserve"> </w:t>
                            </w:r>
                            <w:bookmarkEnd w:id="0"/>
                            <w:r w:rsidR="00812E74">
                              <w:rPr>
                                <w:rFonts w:asciiTheme="majorHAnsi" w:hAnsiTheme="majorHAnsi" w:cs="Arial"/>
                                <w:color w:val="0D0D0D" w:themeColor="text1" w:themeTint="F2"/>
                                <w:szCs w:val="22"/>
                                <w:lang w:val="es-ES_tradnl"/>
                              </w:rPr>
                              <w:t>Y OTROS</w:t>
                            </w:r>
                            <w:r w:rsidR="00D315DB">
                              <w:rPr>
                                <w:rFonts w:asciiTheme="majorHAnsi" w:hAnsiTheme="majorHAnsi" w:cs="Arial"/>
                                <w:color w:val="0D0D0D" w:themeColor="text1" w:themeTint="F2"/>
                                <w:szCs w:val="22"/>
                                <w:lang w:val="es-ES_tradnl"/>
                              </w:rPr>
                              <w:t xml:space="preserve"> </w:t>
                            </w:r>
                          </w:p>
                          <w:p w14:paraId="6E98701B" w14:textId="77777777" w:rsidR="00D315DB" w:rsidRDefault="00D315D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(TRABAJADORES MINEROS CON SILICOSIS)</w:t>
                            </w:r>
                          </w:p>
                          <w:p w14:paraId="6911A00F" w14:textId="77777777" w:rsidR="005B52B0" w:rsidRPr="0010736F" w:rsidRDefault="00812E7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64366126"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230596D6" w14:textId="78BE84EE"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AD3B3A">
                        <w:rPr>
                          <w:rFonts w:asciiTheme="majorHAnsi" w:hAnsiTheme="majorHAnsi" w:cs="Arial"/>
                          <w:b/>
                          <w:bCs/>
                          <w:color w:val="0D0D0D" w:themeColor="text1" w:themeTint="F2"/>
                          <w:sz w:val="36"/>
                          <w:szCs w:val="22"/>
                          <w:lang w:val="es-ES_tradnl"/>
                        </w:rPr>
                        <w:t xml:space="preserve"> 79</w:t>
                      </w:r>
                      <w:r w:rsidR="007B05C4">
                        <w:rPr>
                          <w:rFonts w:asciiTheme="majorHAnsi" w:hAnsiTheme="majorHAnsi" w:cs="Arial"/>
                          <w:b/>
                          <w:bCs/>
                          <w:color w:val="0D0D0D" w:themeColor="text1" w:themeTint="F2"/>
                          <w:sz w:val="36"/>
                          <w:szCs w:val="22"/>
                          <w:lang w:val="es-ES_tradnl"/>
                        </w:rPr>
                        <w:t>/16</w:t>
                      </w:r>
                    </w:p>
                    <w:p w14:paraId="28786649" w14:textId="77777777"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12E74">
                        <w:rPr>
                          <w:rFonts w:asciiTheme="majorHAnsi" w:hAnsiTheme="majorHAnsi" w:cs="Arial"/>
                          <w:b/>
                          <w:color w:val="0D0D0D" w:themeColor="text1" w:themeTint="F2"/>
                          <w:sz w:val="36"/>
                          <w:szCs w:val="22"/>
                          <w:lang w:val="es-ES_tradnl"/>
                        </w:rPr>
                        <w:t>1</w:t>
                      </w:r>
                      <w:r w:rsidR="005A5BEB">
                        <w:rPr>
                          <w:rFonts w:asciiTheme="majorHAnsi" w:hAnsiTheme="majorHAnsi" w:cs="Arial"/>
                          <w:b/>
                          <w:color w:val="0D0D0D" w:themeColor="text1" w:themeTint="F2"/>
                          <w:sz w:val="36"/>
                          <w:szCs w:val="22"/>
                          <w:lang w:val="es-ES_tradnl"/>
                        </w:rPr>
                        <w:t>077</w:t>
                      </w:r>
                      <w:r w:rsidR="00812E74">
                        <w:rPr>
                          <w:rFonts w:asciiTheme="majorHAnsi" w:hAnsiTheme="majorHAnsi" w:cs="Arial"/>
                          <w:b/>
                          <w:color w:val="0D0D0D" w:themeColor="text1" w:themeTint="F2"/>
                          <w:sz w:val="36"/>
                          <w:szCs w:val="22"/>
                          <w:lang w:val="es-ES_tradnl"/>
                        </w:rPr>
                        <w:t>-</w:t>
                      </w:r>
                      <w:r w:rsidR="005A5BEB">
                        <w:rPr>
                          <w:rFonts w:asciiTheme="majorHAnsi" w:hAnsiTheme="majorHAnsi" w:cs="Arial"/>
                          <w:b/>
                          <w:color w:val="0D0D0D" w:themeColor="text1" w:themeTint="F2"/>
                          <w:sz w:val="36"/>
                          <w:szCs w:val="22"/>
                          <w:lang w:val="es-ES_tradnl"/>
                        </w:rPr>
                        <w:t>98</w:t>
                      </w:r>
                      <w:r w:rsidR="00246D1F" w:rsidRPr="004E2649">
                        <w:rPr>
                          <w:rFonts w:asciiTheme="majorHAnsi" w:hAnsiTheme="majorHAnsi" w:cs="Arial"/>
                          <w:b/>
                          <w:color w:val="0D0D0D" w:themeColor="text1" w:themeTint="F2"/>
                          <w:sz w:val="36"/>
                          <w:szCs w:val="22"/>
                          <w:lang w:val="es-ES_tradnl"/>
                        </w:rPr>
                        <w:t xml:space="preserve"> </w:t>
                      </w:r>
                      <w:r w:rsidR="00812E74">
                        <w:rPr>
                          <w:rFonts w:asciiTheme="majorHAnsi" w:hAnsiTheme="majorHAnsi" w:cs="Arial"/>
                          <w:b/>
                          <w:color w:val="0D0D0D" w:themeColor="text1" w:themeTint="F2"/>
                          <w:sz w:val="36"/>
                          <w:szCs w:val="22"/>
                          <w:lang w:val="es-ES_tradnl"/>
                        </w:rPr>
                        <w:t>Y OTRAS</w:t>
                      </w:r>
                    </w:p>
                    <w:p w14:paraId="2DF8D07E" w14:textId="77777777"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14:paraId="3D6340AC"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23B4EA97" w14:textId="77777777" w:rsidR="00812E74" w:rsidRDefault="005A5BE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EMILIANO ROMERO BENDEZÚ</w:t>
                      </w:r>
                      <w:r w:rsidR="00812E74">
                        <w:rPr>
                          <w:rFonts w:asciiTheme="majorHAnsi" w:hAnsiTheme="majorHAnsi" w:cs="Arial"/>
                          <w:color w:val="0D0D0D" w:themeColor="text1" w:themeTint="F2"/>
                          <w:szCs w:val="22"/>
                          <w:lang w:val="es-ES_tradnl"/>
                        </w:rPr>
                        <w:t xml:space="preserve"> </w:t>
                      </w:r>
                      <w:bookmarkEnd w:id="1"/>
                      <w:r w:rsidR="00812E74">
                        <w:rPr>
                          <w:rFonts w:asciiTheme="majorHAnsi" w:hAnsiTheme="majorHAnsi" w:cs="Arial"/>
                          <w:color w:val="0D0D0D" w:themeColor="text1" w:themeTint="F2"/>
                          <w:szCs w:val="22"/>
                          <w:lang w:val="es-ES_tradnl"/>
                        </w:rPr>
                        <w:t>Y OTROS</w:t>
                      </w:r>
                      <w:r w:rsidR="00D315DB">
                        <w:rPr>
                          <w:rFonts w:asciiTheme="majorHAnsi" w:hAnsiTheme="majorHAnsi" w:cs="Arial"/>
                          <w:color w:val="0D0D0D" w:themeColor="text1" w:themeTint="F2"/>
                          <w:szCs w:val="22"/>
                          <w:lang w:val="es-ES_tradnl"/>
                        </w:rPr>
                        <w:t xml:space="preserve"> </w:t>
                      </w:r>
                    </w:p>
                    <w:p w14:paraId="6E98701B" w14:textId="77777777" w:rsidR="00D315DB" w:rsidRDefault="00D315DB"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(TRABAJADORES MINEROS CON SILICOSIS)</w:t>
                      </w:r>
                    </w:p>
                    <w:p w14:paraId="6911A00F" w14:textId="77777777" w:rsidR="005B52B0" w:rsidRPr="0010736F" w:rsidRDefault="00812E74"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PERÚ</w:t>
                      </w:r>
                    </w:p>
                    <w:p w14:paraId="64366126"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61FB3ABA" wp14:editId="7E08DB7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3D37CE" w14:textId="28320155" w:rsidR="00627C9F" w:rsidRPr="004E2649" w:rsidRDefault="00AD3B3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292D5EB" w14:textId="5E07C4A9" w:rsidR="00627C9F" w:rsidRPr="004E2649" w:rsidRDefault="00AD3B3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87</w:t>
                            </w:r>
                          </w:p>
                          <w:p w14:paraId="46256A6B" w14:textId="5A85C6D3" w:rsidR="00627C9F" w:rsidRPr="004E2649" w:rsidRDefault="00AD3B3A"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30 diciembre</w:t>
                            </w:r>
                            <w:r w:rsidR="00627C9F" w:rsidRPr="004E2649">
                              <w:rPr>
                                <w:rFonts w:asciiTheme="minorHAnsi" w:hAnsiTheme="minorHAnsi"/>
                                <w:color w:val="FFFFFF" w:themeColor="background1"/>
                                <w:sz w:val="22"/>
                              </w:rPr>
                              <w:t xml:space="preserve"> 201</w:t>
                            </w:r>
                            <w:r w:rsidR="00BF02CB">
                              <w:rPr>
                                <w:rFonts w:asciiTheme="minorHAnsi" w:hAnsiTheme="minorHAnsi"/>
                                <w:color w:val="FFFFFF" w:themeColor="background1"/>
                                <w:sz w:val="22"/>
                              </w:rPr>
                              <w:t>6</w:t>
                            </w:r>
                          </w:p>
                          <w:p w14:paraId="247060BE"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73D37CE" w14:textId="28320155" w:rsidR="00627C9F" w:rsidRPr="004E2649" w:rsidRDefault="00AD3B3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3292D5EB" w14:textId="5E07C4A9" w:rsidR="00627C9F" w:rsidRPr="004E2649" w:rsidRDefault="00AD3B3A"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87</w:t>
                      </w:r>
                    </w:p>
                    <w:p w14:paraId="46256A6B" w14:textId="5A85C6D3" w:rsidR="00627C9F" w:rsidRPr="004E2649" w:rsidRDefault="00AD3B3A"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30 diciembre</w:t>
                      </w:r>
                      <w:r w:rsidR="00627C9F" w:rsidRPr="004E2649">
                        <w:rPr>
                          <w:rFonts w:asciiTheme="minorHAnsi" w:hAnsiTheme="minorHAnsi"/>
                          <w:color w:val="FFFFFF" w:themeColor="background1"/>
                          <w:sz w:val="22"/>
                        </w:rPr>
                        <w:t xml:space="preserve"> 201</w:t>
                      </w:r>
                      <w:r w:rsidR="00BF02CB">
                        <w:rPr>
                          <w:rFonts w:asciiTheme="minorHAnsi" w:hAnsiTheme="minorHAnsi"/>
                          <w:color w:val="FFFFFF" w:themeColor="background1"/>
                          <w:sz w:val="22"/>
                        </w:rPr>
                        <w:t>6</w:t>
                      </w:r>
                    </w:p>
                    <w:p w14:paraId="247060BE" w14:textId="77777777" w:rsidR="00627C9F" w:rsidRPr="004E2649" w:rsidRDefault="00E0340B"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 xml:space="preserve">Original: </w:t>
                      </w:r>
                      <w:r w:rsidR="008B12F5" w:rsidRPr="004E2649">
                        <w:rPr>
                          <w:rFonts w:asciiTheme="minorHAnsi" w:hAnsiTheme="minorHAnsi"/>
                          <w:color w:val="FFFFFF" w:themeColor="background1"/>
                          <w:sz w:val="22"/>
                        </w:rPr>
                        <w:t>e</w:t>
                      </w:r>
                      <w:r w:rsidR="00627C9F" w:rsidRPr="004E2649">
                        <w:rPr>
                          <w:rFonts w:asciiTheme="minorHAnsi" w:hAnsiTheme="minorHAnsi"/>
                          <w:color w:val="FFFFFF" w:themeColor="background1"/>
                          <w:sz w:val="22"/>
                        </w:rPr>
                        <w:t>spañol</w:t>
                      </w:r>
                    </w:p>
                  </w:txbxContent>
                </v:textbox>
              </v:shape>
            </w:pict>
          </mc:Fallback>
        </mc:AlternateContent>
      </w:r>
    </w:p>
    <w:p w14:paraId="3328A62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97C22F4"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A55C839"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77EF2DE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C04EFC"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45A2D43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B4247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3E6AA1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318002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ACBDE05"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A11429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3333FCA9"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C70B18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A56F1CA"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486AE5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DDA54C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BF26F9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EAEE66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6C9669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770932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CA2E2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B58CEE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9074E9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5FA1D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7CFC564"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8D4478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2C9A4D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C6BEC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F91A1DF"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4D77124" wp14:editId="481C4BEB">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42C869" w14:textId="46D27A5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D3B3A">
                              <w:rPr>
                                <w:rFonts w:asciiTheme="majorHAnsi" w:hAnsiTheme="majorHAnsi"/>
                                <w:color w:val="0D0D0D" w:themeColor="text1" w:themeTint="F2"/>
                                <w:sz w:val="18"/>
                                <w:szCs w:val="22"/>
                                <w:lang w:val="es-ES"/>
                              </w:rPr>
                              <w:t xml:space="preserve">30 de diciembre </w:t>
                            </w:r>
                            <w:r w:rsidRPr="00890650">
                              <w:rPr>
                                <w:rFonts w:asciiTheme="majorHAnsi" w:hAnsiTheme="majorHAnsi"/>
                                <w:color w:val="0D0D0D" w:themeColor="text1" w:themeTint="F2"/>
                                <w:sz w:val="18"/>
                                <w:szCs w:val="22"/>
                                <w:lang w:val="es-ES"/>
                              </w:rPr>
                              <w:t>de 201</w:t>
                            </w:r>
                            <w:r w:rsidR="00BF02CB">
                              <w:rPr>
                                <w:rFonts w:asciiTheme="majorHAnsi" w:hAnsiTheme="majorHAnsi"/>
                                <w:color w:val="0D0D0D" w:themeColor="text1" w:themeTint="F2"/>
                                <w:sz w:val="18"/>
                                <w:szCs w:val="22"/>
                                <w:lang w:val="es-ES"/>
                              </w:rPr>
                              <w:t>6</w:t>
                            </w:r>
                            <w:r w:rsidR="002A3678">
                              <w:rPr>
                                <w:rFonts w:asciiTheme="majorHAnsi" w:hAnsiTheme="majorHAnsi"/>
                                <w:color w:val="0D0D0D" w:themeColor="text1" w:themeTint="F2"/>
                                <w:sz w:val="18"/>
                                <w:szCs w:val="22"/>
                                <w:lang w:val="es-ES"/>
                              </w:rPr>
                              <w:t>.</w:t>
                            </w:r>
                          </w:p>
                          <w:p w14:paraId="4FE6FF74"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3642C869" w14:textId="46D27A56"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AD3B3A">
                        <w:rPr>
                          <w:rFonts w:asciiTheme="majorHAnsi" w:hAnsiTheme="majorHAnsi"/>
                          <w:color w:val="0D0D0D" w:themeColor="text1" w:themeTint="F2"/>
                          <w:sz w:val="18"/>
                          <w:szCs w:val="22"/>
                          <w:lang w:val="es-ES"/>
                        </w:rPr>
                        <w:t xml:space="preserve">30 de diciembre </w:t>
                      </w:r>
                      <w:r w:rsidRPr="00890650">
                        <w:rPr>
                          <w:rFonts w:asciiTheme="majorHAnsi" w:hAnsiTheme="majorHAnsi"/>
                          <w:color w:val="0D0D0D" w:themeColor="text1" w:themeTint="F2"/>
                          <w:sz w:val="18"/>
                          <w:szCs w:val="22"/>
                          <w:lang w:val="es-ES"/>
                        </w:rPr>
                        <w:t>de 201</w:t>
                      </w:r>
                      <w:r w:rsidR="00BF02CB">
                        <w:rPr>
                          <w:rFonts w:asciiTheme="majorHAnsi" w:hAnsiTheme="majorHAnsi"/>
                          <w:color w:val="0D0D0D" w:themeColor="text1" w:themeTint="F2"/>
                          <w:sz w:val="18"/>
                          <w:szCs w:val="22"/>
                          <w:lang w:val="es-ES"/>
                        </w:rPr>
                        <w:t>6</w:t>
                      </w:r>
                      <w:r w:rsidR="002A3678">
                        <w:rPr>
                          <w:rFonts w:asciiTheme="majorHAnsi" w:hAnsiTheme="majorHAnsi"/>
                          <w:color w:val="0D0D0D" w:themeColor="text1" w:themeTint="F2"/>
                          <w:sz w:val="18"/>
                          <w:szCs w:val="22"/>
                          <w:lang w:val="es-ES"/>
                        </w:rPr>
                        <w:t>.</w:t>
                      </w:r>
                    </w:p>
                    <w:p w14:paraId="4FE6FF74"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20FBD01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76AC14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5864A4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BDBDB7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C7EFFA7"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0099480C" wp14:editId="136DA763">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FDCD68" w14:textId="776068F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008A6E43">
                              <w:rPr>
                                <w:rFonts w:asciiTheme="majorHAnsi" w:hAnsiTheme="majorHAnsi"/>
                                <w:color w:val="595959" w:themeColor="text1" w:themeTint="A6"/>
                                <w:sz w:val="18"/>
                                <w:szCs w:val="18"/>
                                <w:lang w:val="pt-BR"/>
                              </w:rPr>
                              <w:t xml:space="preserve"> CIDH, Informe No</w:t>
                            </w:r>
                            <w:r w:rsidR="0054640D">
                              <w:rPr>
                                <w:rFonts w:asciiTheme="majorHAnsi" w:hAnsiTheme="majorHAnsi"/>
                                <w:color w:val="595959" w:themeColor="text1" w:themeTint="A6"/>
                                <w:sz w:val="18"/>
                                <w:szCs w:val="18"/>
                                <w:lang w:val="pt-BR"/>
                              </w:rPr>
                              <w:t xml:space="preserve"> 79/16</w:t>
                            </w:r>
                            <w:r w:rsidR="008A6E43">
                              <w:rPr>
                                <w:rFonts w:asciiTheme="majorHAnsi" w:hAnsiTheme="majorHAnsi"/>
                                <w:color w:val="595959" w:themeColor="text1" w:themeTint="A6"/>
                                <w:sz w:val="18"/>
                                <w:szCs w:val="18"/>
                                <w:lang w:val="pt-BR"/>
                              </w:rPr>
                              <w:t xml:space="preserve">. </w:t>
                            </w:r>
                            <w:r w:rsidR="008A6E43" w:rsidRPr="008A6E43">
                              <w:rPr>
                                <w:rFonts w:asciiTheme="majorHAnsi" w:hAnsiTheme="majorHAnsi"/>
                                <w:color w:val="595959" w:themeColor="text1" w:themeTint="A6"/>
                                <w:sz w:val="18"/>
                                <w:szCs w:val="18"/>
                                <w:lang w:val="es-BO"/>
                              </w:rPr>
                              <w:t>Petición 1077-98 y otras.</w:t>
                            </w:r>
                            <w:r w:rsidR="008A6E43">
                              <w:rPr>
                                <w:rFonts w:asciiTheme="majorHAnsi" w:hAnsiTheme="majorHAnsi"/>
                                <w:color w:val="595959" w:themeColor="text1" w:themeTint="A6"/>
                                <w:sz w:val="18"/>
                                <w:szCs w:val="18"/>
                                <w:lang w:val="es-ES_tradnl"/>
                              </w:rPr>
                              <w:t xml:space="preserve"> Admisibilidad</w:t>
                            </w:r>
                            <w:r w:rsidRPr="00890650">
                              <w:rPr>
                                <w:rFonts w:asciiTheme="majorHAnsi" w:hAnsiTheme="majorHAnsi"/>
                                <w:color w:val="595959" w:themeColor="text1" w:themeTint="A6"/>
                                <w:sz w:val="18"/>
                                <w:szCs w:val="18"/>
                                <w:lang w:val="es-ES_tradnl"/>
                              </w:rPr>
                              <w:t xml:space="preserve">. </w:t>
                            </w:r>
                            <w:r w:rsidR="008A6E43">
                              <w:rPr>
                                <w:rFonts w:asciiTheme="majorHAnsi" w:hAnsiTheme="majorHAnsi"/>
                                <w:color w:val="595959" w:themeColor="text1" w:themeTint="A6"/>
                                <w:sz w:val="18"/>
                                <w:szCs w:val="18"/>
                                <w:lang w:val="es-ES_tradnl"/>
                              </w:rPr>
                              <w:t>Emiliano Romero Bendezú y otros. Perú.</w:t>
                            </w:r>
                            <w:r w:rsidRPr="00890650">
                              <w:rPr>
                                <w:rFonts w:asciiTheme="majorHAnsi" w:hAnsiTheme="majorHAnsi"/>
                                <w:color w:val="595959" w:themeColor="text1" w:themeTint="A6"/>
                                <w:sz w:val="18"/>
                                <w:szCs w:val="18"/>
                                <w:lang w:val="es-ES_tradnl"/>
                              </w:rPr>
                              <w:t xml:space="preserve"> </w:t>
                            </w:r>
                            <w:r w:rsidR="001B522D">
                              <w:rPr>
                                <w:rFonts w:asciiTheme="majorHAnsi" w:hAnsiTheme="majorHAnsi"/>
                                <w:color w:val="595959" w:themeColor="text1" w:themeTint="A6"/>
                                <w:sz w:val="18"/>
                                <w:szCs w:val="18"/>
                                <w:lang w:val="es-ES"/>
                              </w:rPr>
                              <w:t>30 de diciembre de 2016</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7CFDCD68" w14:textId="776068FD"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008A6E43">
                        <w:rPr>
                          <w:rFonts w:asciiTheme="majorHAnsi" w:hAnsiTheme="majorHAnsi"/>
                          <w:color w:val="595959" w:themeColor="text1" w:themeTint="A6"/>
                          <w:sz w:val="18"/>
                          <w:szCs w:val="18"/>
                          <w:lang w:val="pt-BR"/>
                        </w:rPr>
                        <w:t xml:space="preserve"> CIDH, Informe No</w:t>
                      </w:r>
                      <w:r w:rsidR="0054640D">
                        <w:rPr>
                          <w:rFonts w:asciiTheme="majorHAnsi" w:hAnsiTheme="majorHAnsi"/>
                          <w:color w:val="595959" w:themeColor="text1" w:themeTint="A6"/>
                          <w:sz w:val="18"/>
                          <w:szCs w:val="18"/>
                          <w:lang w:val="pt-BR"/>
                        </w:rPr>
                        <w:t xml:space="preserve"> 79/16</w:t>
                      </w:r>
                      <w:r w:rsidR="008A6E43">
                        <w:rPr>
                          <w:rFonts w:asciiTheme="majorHAnsi" w:hAnsiTheme="majorHAnsi"/>
                          <w:color w:val="595959" w:themeColor="text1" w:themeTint="A6"/>
                          <w:sz w:val="18"/>
                          <w:szCs w:val="18"/>
                          <w:lang w:val="pt-BR"/>
                        </w:rPr>
                        <w:t xml:space="preserve">. </w:t>
                      </w:r>
                      <w:r w:rsidR="008A6E43" w:rsidRPr="008A6E43">
                        <w:rPr>
                          <w:rFonts w:asciiTheme="majorHAnsi" w:hAnsiTheme="majorHAnsi"/>
                          <w:color w:val="595959" w:themeColor="text1" w:themeTint="A6"/>
                          <w:sz w:val="18"/>
                          <w:szCs w:val="18"/>
                          <w:lang w:val="es-BO"/>
                        </w:rPr>
                        <w:t>Petición 1077-98 y otras.</w:t>
                      </w:r>
                      <w:r w:rsidR="008A6E43">
                        <w:rPr>
                          <w:rFonts w:asciiTheme="majorHAnsi" w:hAnsiTheme="majorHAnsi"/>
                          <w:color w:val="595959" w:themeColor="text1" w:themeTint="A6"/>
                          <w:sz w:val="18"/>
                          <w:szCs w:val="18"/>
                          <w:lang w:val="es-ES_tradnl"/>
                        </w:rPr>
                        <w:t xml:space="preserve"> Admisibilidad</w:t>
                      </w:r>
                      <w:r w:rsidRPr="00890650">
                        <w:rPr>
                          <w:rFonts w:asciiTheme="majorHAnsi" w:hAnsiTheme="majorHAnsi"/>
                          <w:color w:val="595959" w:themeColor="text1" w:themeTint="A6"/>
                          <w:sz w:val="18"/>
                          <w:szCs w:val="18"/>
                          <w:lang w:val="es-ES_tradnl"/>
                        </w:rPr>
                        <w:t xml:space="preserve">. </w:t>
                      </w:r>
                      <w:r w:rsidR="008A6E43">
                        <w:rPr>
                          <w:rFonts w:asciiTheme="majorHAnsi" w:hAnsiTheme="majorHAnsi"/>
                          <w:color w:val="595959" w:themeColor="text1" w:themeTint="A6"/>
                          <w:sz w:val="18"/>
                          <w:szCs w:val="18"/>
                          <w:lang w:val="es-ES_tradnl"/>
                        </w:rPr>
                        <w:t>Emiliano Romero Bendezú y otros. Perú.</w:t>
                      </w:r>
                      <w:r w:rsidRPr="00890650">
                        <w:rPr>
                          <w:rFonts w:asciiTheme="majorHAnsi" w:hAnsiTheme="majorHAnsi"/>
                          <w:color w:val="595959" w:themeColor="text1" w:themeTint="A6"/>
                          <w:sz w:val="18"/>
                          <w:szCs w:val="18"/>
                          <w:lang w:val="es-ES_tradnl"/>
                        </w:rPr>
                        <w:t xml:space="preserve"> </w:t>
                      </w:r>
                      <w:r w:rsidR="001B522D">
                        <w:rPr>
                          <w:rFonts w:asciiTheme="majorHAnsi" w:hAnsiTheme="majorHAnsi"/>
                          <w:color w:val="595959" w:themeColor="text1" w:themeTint="A6"/>
                          <w:sz w:val="18"/>
                          <w:szCs w:val="18"/>
                          <w:lang w:val="es-ES"/>
                        </w:rPr>
                        <w:t>30 de diciembre de 2016</w:t>
                      </w:r>
                      <w:r w:rsidRPr="007B05C4">
                        <w:rPr>
                          <w:rFonts w:asciiTheme="majorHAnsi" w:hAnsiTheme="majorHAnsi"/>
                          <w:color w:val="595959" w:themeColor="text1" w:themeTint="A6"/>
                          <w:sz w:val="18"/>
                          <w:szCs w:val="18"/>
                          <w:lang w:val="es-ES"/>
                        </w:rPr>
                        <w:t>.</w:t>
                      </w:r>
                    </w:p>
                  </w:txbxContent>
                </v:textbox>
              </v:shape>
            </w:pict>
          </mc:Fallback>
        </mc:AlternateContent>
      </w:r>
    </w:p>
    <w:p w14:paraId="0F2295F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CDF0416"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70BB4F30" wp14:editId="5CD9E20E">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9F1C4B"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FFA9E61" wp14:editId="2C9AD2AB">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9F1C4B"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5FFA9E61" wp14:editId="2C9AD2AB">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2DC20DD3" wp14:editId="08993039">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2727EF"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572727EF"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52AC890C" w14:textId="77777777"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40126F05" w14:textId="6804264B" w:rsidR="00722C9F" w:rsidRPr="00722C9F" w:rsidRDefault="001B522D"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79</w:t>
      </w:r>
      <w:r w:rsidR="00722C9F" w:rsidRPr="00722C9F">
        <w:rPr>
          <w:rFonts w:asciiTheme="majorHAnsi" w:hAnsiTheme="majorHAnsi"/>
          <w:b/>
          <w:sz w:val="18"/>
          <w:szCs w:val="20"/>
          <w:lang w:val="es-ES_tradnl"/>
        </w:rPr>
        <w:t>/1</w:t>
      </w:r>
      <w:r w:rsidR="00FE07DD">
        <w:rPr>
          <w:rFonts w:asciiTheme="majorHAnsi" w:hAnsiTheme="majorHAnsi"/>
          <w:b/>
          <w:sz w:val="18"/>
          <w:szCs w:val="20"/>
          <w:lang w:val="es-ES_tradnl"/>
        </w:rPr>
        <w:t>6</w:t>
      </w:r>
      <w:r w:rsidR="00812E74">
        <w:rPr>
          <w:rStyle w:val="FootnoteReference"/>
          <w:rFonts w:asciiTheme="majorHAnsi" w:hAnsiTheme="majorHAnsi"/>
          <w:b/>
          <w:sz w:val="18"/>
          <w:szCs w:val="20"/>
          <w:lang w:val="es-ES_tradnl"/>
        </w:rPr>
        <w:footnoteReference w:id="2"/>
      </w:r>
    </w:p>
    <w:p w14:paraId="1E39EE9B" w14:textId="77777777" w:rsidR="00722C9F" w:rsidRPr="00722C9F" w:rsidRDefault="00722C9F" w:rsidP="00722C9F">
      <w:pPr>
        <w:tabs>
          <w:tab w:val="center" w:pos="5400"/>
        </w:tabs>
        <w:suppressAutoHyphens/>
        <w:spacing w:line="276" w:lineRule="auto"/>
        <w:jc w:val="center"/>
        <w:rPr>
          <w:rFonts w:asciiTheme="majorHAnsi" w:hAnsiTheme="majorHAnsi"/>
          <w:b/>
          <w:sz w:val="18"/>
          <w:szCs w:val="20"/>
          <w:lang w:val="es-ES_tradnl"/>
        </w:rPr>
      </w:pPr>
      <w:r w:rsidRPr="00722C9F">
        <w:rPr>
          <w:rFonts w:asciiTheme="majorHAnsi" w:hAnsiTheme="majorHAnsi"/>
          <w:b/>
          <w:sz w:val="18"/>
          <w:szCs w:val="20"/>
          <w:lang w:val="es-ES_tradnl"/>
        </w:rPr>
        <w:t xml:space="preserve">PETICIÓN </w:t>
      </w:r>
      <w:r w:rsidR="00EF4B5C">
        <w:rPr>
          <w:rFonts w:asciiTheme="majorHAnsi" w:hAnsiTheme="majorHAnsi"/>
          <w:b/>
          <w:sz w:val="18"/>
          <w:szCs w:val="20"/>
          <w:lang w:val="es-ES_tradnl"/>
        </w:rPr>
        <w:t>1</w:t>
      </w:r>
      <w:r w:rsidR="005A5BEB">
        <w:rPr>
          <w:rFonts w:asciiTheme="majorHAnsi" w:hAnsiTheme="majorHAnsi"/>
          <w:b/>
          <w:sz w:val="18"/>
          <w:szCs w:val="20"/>
          <w:lang w:val="es-ES_tradnl"/>
        </w:rPr>
        <w:t>077</w:t>
      </w:r>
      <w:r w:rsidR="00EF4B5C">
        <w:rPr>
          <w:rFonts w:asciiTheme="majorHAnsi" w:hAnsiTheme="majorHAnsi"/>
          <w:b/>
          <w:sz w:val="18"/>
          <w:szCs w:val="20"/>
          <w:lang w:val="es-ES_tradnl"/>
        </w:rPr>
        <w:t>-</w:t>
      </w:r>
      <w:r w:rsidR="005A5BEB">
        <w:rPr>
          <w:rFonts w:asciiTheme="majorHAnsi" w:hAnsiTheme="majorHAnsi"/>
          <w:b/>
          <w:sz w:val="18"/>
          <w:szCs w:val="20"/>
          <w:lang w:val="es-ES_tradnl"/>
        </w:rPr>
        <w:t>98</w:t>
      </w:r>
      <w:r w:rsidR="00EF4B5C">
        <w:rPr>
          <w:rFonts w:asciiTheme="majorHAnsi" w:hAnsiTheme="majorHAnsi"/>
          <w:b/>
          <w:sz w:val="18"/>
          <w:szCs w:val="20"/>
          <w:lang w:val="es-ES_tradnl"/>
        </w:rPr>
        <w:t xml:space="preserve"> Y OTRAS</w:t>
      </w:r>
      <w:r w:rsidRPr="00722C9F">
        <w:rPr>
          <w:rFonts w:asciiTheme="majorHAnsi" w:hAnsiTheme="majorHAnsi"/>
          <w:b/>
          <w:sz w:val="18"/>
          <w:szCs w:val="20"/>
          <w:lang w:val="es-ES_tradnl"/>
        </w:rPr>
        <w:t xml:space="preserve"> </w:t>
      </w:r>
    </w:p>
    <w:p w14:paraId="2F837758" w14:textId="77777777" w:rsidR="00722C9F" w:rsidRPr="00722C9F" w:rsidRDefault="00722C9F" w:rsidP="00722C9F">
      <w:pPr>
        <w:tabs>
          <w:tab w:val="center" w:pos="5400"/>
        </w:tabs>
        <w:suppressAutoHyphens/>
        <w:spacing w:line="276" w:lineRule="auto"/>
        <w:jc w:val="center"/>
        <w:rPr>
          <w:rFonts w:asciiTheme="majorHAnsi" w:hAnsiTheme="majorHAnsi"/>
          <w:sz w:val="18"/>
          <w:szCs w:val="20"/>
          <w:lang w:val="es-ES_tradnl"/>
        </w:rPr>
      </w:pPr>
      <w:r w:rsidRPr="00722C9F">
        <w:rPr>
          <w:rFonts w:asciiTheme="majorHAnsi" w:hAnsiTheme="majorHAnsi"/>
          <w:sz w:val="18"/>
          <w:szCs w:val="20"/>
          <w:lang w:val="es-ES_tradnl"/>
        </w:rPr>
        <w:t>INFORME DE A</w:t>
      </w:r>
      <w:r w:rsidR="005A24ED">
        <w:rPr>
          <w:rFonts w:asciiTheme="majorHAnsi" w:hAnsiTheme="majorHAnsi"/>
          <w:sz w:val="18"/>
          <w:szCs w:val="20"/>
          <w:lang w:val="es-ES_tradnl"/>
        </w:rPr>
        <w:t xml:space="preserve">DMISIBILIDAD </w:t>
      </w:r>
    </w:p>
    <w:p w14:paraId="618625F0" w14:textId="77777777" w:rsidR="00722C9F" w:rsidRDefault="005A5BEB"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EMILIANO ROMERO BENDEZÚ</w:t>
      </w:r>
      <w:r w:rsidR="00812E74">
        <w:rPr>
          <w:rFonts w:asciiTheme="majorHAnsi" w:hAnsiTheme="majorHAnsi"/>
          <w:sz w:val="18"/>
          <w:szCs w:val="20"/>
          <w:lang w:val="es-ES_tradnl"/>
        </w:rPr>
        <w:t xml:space="preserve"> Y OTROS</w:t>
      </w:r>
    </w:p>
    <w:p w14:paraId="726A4027" w14:textId="77777777" w:rsidR="00D315DB" w:rsidRPr="00722C9F" w:rsidRDefault="00D315DB"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(TRABAJADORES MINEROS CON SILICOSIS)</w:t>
      </w:r>
    </w:p>
    <w:p w14:paraId="712BFB72" w14:textId="77777777" w:rsidR="0070697F" w:rsidRDefault="00812E74"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PERÚ</w:t>
      </w:r>
    </w:p>
    <w:p w14:paraId="3F5A382E" w14:textId="4A1B2326" w:rsidR="00722C9F" w:rsidRDefault="0054640D" w:rsidP="003239B8">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30 DE DICIEMBRE DE 2016</w:t>
      </w:r>
    </w:p>
    <w:p w14:paraId="032A089E" w14:textId="77777777" w:rsidR="0070697F" w:rsidRDefault="0070697F" w:rsidP="001D65EF">
      <w:pPr>
        <w:tabs>
          <w:tab w:val="center" w:pos="5400"/>
        </w:tabs>
        <w:suppressAutoHyphens/>
        <w:spacing w:line="276" w:lineRule="auto"/>
        <w:rPr>
          <w:rFonts w:asciiTheme="majorHAnsi" w:hAnsiTheme="majorHAnsi"/>
          <w:sz w:val="20"/>
          <w:szCs w:val="20"/>
          <w:lang w:val="es-ES_tradnl"/>
        </w:rPr>
      </w:pPr>
    </w:p>
    <w:p w14:paraId="7E9948F2" w14:textId="77777777" w:rsidR="003239B8" w:rsidRPr="000419AD" w:rsidRDefault="003239B8" w:rsidP="003239B8">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095EB9" w14:paraId="2779707A" w14:textId="77777777" w:rsidTr="00D839E0">
        <w:trPr>
          <w:trHeight w:val="109"/>
        </w:trPr>
        <w:tc>
          <w:tcPr>
            <w:tcW w:w="4680" w:type="dxa"/>
            <w:vMerge w:val="restart"/>
            <w:tcBorders>
              <w:top w:val="single" w:sz="4" w:space="0" w:color="auto"/>
            </w:tcBorders>
            <w:shd w:val="clear" w:color="auto" w:fill="386294"/>
            <w:vAlign w:val="center"/>
          </w:tcPr>
          <w:p w14:paraId="59906AEB" w14:textId="77777777" w:rsidR="00095EB9" w:rsidRPr="00706824" w:rsidRDefault="00095EB9"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Parte peticionaria:</w:t>
            </w:r>
          </w:p>
        </w:tc>
        <w:tc>
          <w:tcPr>
            <w:tcW w:w="4680" w:type="dxa"/>
            <w:vAlign w:val="center"/>
          </w:tcPr>
          <w:p w14:paraId="1462A5A5" w14:textId="77777777" w:rsidR="00095EB9" w:rsidRPr="004B3C14" w:rsidRDefault="00B352D7" w:rsidP="008D2290">
            <w:pPr>
              <w:jc w:val="both"/>
              <w:rPr>
                <w:rFonts w:ascii="Cambria" w:hAnsi="Cambria"/>
                <w:bCs/>
                <w:sz w:val="20"/>
                <w:szCs w:val="20"/>
              </w:rPr>
            </w:pPr>
            <w:r w:rsidRPr="00B352D7">
              <w:rPr>
                <w:rFonts w:ascii="Cambria" w:hAnsi="Cambria"/>
                <w:b/>
                <w:bCs/>
                <w:sz w:val="20"/>
                <w:szCs w:val="20"/>
              </w:rPr>
              <w:t>P-1077-98:</w:t>
            </w:r>
            <w:r>
              <w:rPr>
                <w:rFonts w:ascii="Cambria" w:hAnsi="Cambria"/>
                <w:bCs/>
                <w:sz w:val="20"/>
                <w:szCs w:val="20"/>
              </w:rPr>
              <w:t xml:space="preserve"> Emiliano Romero Bendezú</w:t>
            </w:r>
          </w:p>
        </w:tc>
      </w:tr>
      <w:tr w:rsidR="00095EB9" w14:paraId="5E582CB4" w14:textId="77777777" w:rsidTr="00D839E0">
        <w:trPr>
          <w:trHeight w:val="108"/>
        </w:trPr>
        <w:tc>
          <w:tcPr>
            <w:tcW w:w="4680" w:type="dxa"/>
            <w:vMerge/>
            <w:tcBorders>
              <w:bottom w:val="single" w:sz="6" w:space="0" w:color="auto"/>
            </w:tcBorders>
            <w:shd w:val="clear" w:color="auto" w:fill="386294"/>
            <w:vAlign w:val="center"/>
          </w:tcPr>
          <w:p w14:paraId="78DCC15F" w14:textId="77777777" w:rsidR="00095EB9" w:rsidRPr="00706824" w:rsidRDefault="00095EB9" w:rsidP="008D2290">
            <w:pPr>
              <w:jc w:val="center"/>
              <w:rPr>
                <w:rFonts w:ascii="Cambria" w:hAnsi="Cambria"/>
                <w:b/>
                <w:bCs/>
                <w:color w:val="FFFFFF" w:themeColor="background1"/>
                <w:sz w:val="20"/>
                <w:szCs w:val="20"/>
              </w:rPr>
            </w:pPr>
          </w:p>
        </w:tc>
        <w:tc>
          <w:tcPr>
            <w:tcW w:w="4680" w:type="dxa"/>
            <w:vAlign w:val="center"/>
          </w:tcPr>
          <w:p w14:paraId="47F35D89" w14:textId="77777777" w:rsidR="00095EB9" w:rsidRDefault="00B352D7" w:rsidP="008D2290">
            <w:pPr>
              <w:jc w:val="both"/>
              <w:rPr>
                <w:rFonts w:ascii="Cambria" w:hAnsi="Cambria"/>
                <w:bCs/>
                <w:sz w:val="20"/>
                <w:szCs w:val="20"/>
              </w:rPr>
            </w:pPr>
            <w:r>
              <w:rPr>
                <w:rFonts w:ascii="Cambria" w:hAnsi="Cambria"/>
                <w:b/>
                <w:bCs/>
                <w:sz w:val="20"/>
                <w:szCs w:val="20"/>
                <w:lang w:val="es-BO"/>
              </w:rPr>
              <w:t>P-1295</w:t>
            </w:r>
            <w:r w:rsidRPr="00EF4B5C">
              <w:rPr>
                <w:rFonts w:ascii="Cambria" w:hAnsi="Cambria"/>
                <w:b/>
                <w:bCs/>
                <w:sz w:val="20"/>
                <w:szCs w:val="20"/>
                <w:lang w:val="es-BO"/>
              </w:rPr>
              <w:t>-07</w:t>
            </w:r>
            <w:r>
              <w:rPr>
                <w:rFonts w:ascii="Cambria" w:hAnsi="Cambria"/>
                <w:b/>
                <w:bCs/>
                <w:sz w:val="20"/>
                <w:szCs w:val="20"/>
                <w:lang w:val="es-BO"/>
              </w:rPr>
              <w:t>, P-1296</w:t>
            </w:r>
            <w:r w:rsidRPr="00EF4B5C">
              <w:rPr>
                <w:rFonts w:ascii="Cambria" w:hAnsi="Cambria"/>
                <w:b/>
                <w:bCs/>
                <w:sz w:val="20"/>
                <w:szCs w:val="20"/>
                <w:lang w:val="es-BO"/>
              </w:rPr>
              <w:t>-07</w:t>
            </w:r>
            <w:r>
              <w:rPr>
                <w:rFonts w:ascii="Cambria" w:hAnsi="Cambria"/>
                <w:b/>
                <w:bCs/>
                <w:sz w:val="20"/>
                <w:szCs w:val="20"/>
                <w:lang w:val="es-BO"/>
              </w:rPr>
              <w:t xml:space="preserve">, P-1401-07, P-300-08, P-405-08: </w:t>
            </w:r>
            <w:r w:rsidR="00095EB9">
              <w:rPr>
                <w:rFonts w:ascii="Cambria" w:hAnsi="Cambria"/>
                <w:bCs/>
                <w:sz w:val="20"/>
                <w:szCs w:val="20"/>
              </w:rPr>
              <w:t>Victor Oswaldo Torres Rivera</w:t>
            </w:r>
          </w:p>
        </w:tc>
      </w:tr>
      <w:tr w:rsidR="00B352D7" w14:paraId="5A1CB666" w14:textId="77777777" w:rsidTr="00B352D7">
        <w:trPr>
          <w:trHeight w:val="109"/>
        </w:trPr>
        <w:tc>
          <w:tcPr>
            <w:tcW w:w="4680" w:type="dxa"/>
            <w:vMerge w:val="restart"/>
            <w:tcBorders>
              <w:top w:val="single" w:sz="6" w:space="0" w:color="auto"/>
            </w:tcBorders>
            <w:shd w:val="clear" w:color="auto" w:fill="386294"/>
            <w:vAlign w:val="center"/>
          </w:tcPr>
          <w:p w14:paraId="77B7F0B8" w14:textId="77777777" w:rsidR="00B352D7" w:rsidRPr="00706824" w:rsidRDefault="000042C5"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14537FB23E01497FBFA98CEF8CC776B5"/>
                </w:placeholder>
                <w:dropDownList>
                  <w:listItem w:value="Choose an item."/>
                  <w:listItem w:displayText="Presunta víctima" w:value="Presunta víctima"/>
                  <w:listItem w:displayText="Presuntas víctimas" w:value="Presuntas víctimas"/>
                </w:dropDownList>
              </w:sdtPr>
              <w:sdtEndPr/>
              <w:sdtContent>
                <w:r w:rsidR="005A5BEB">
                  <w:rPr>
                    <w:rFonts w:ascii="Cambria" w:hAnsi="Cambria"/>
                    <w:b/>
                    <w:bCs/>
                    <w:color w:val="FFFFFF" w:themeColor="background1"/>
                    <w:sz w:val="20"/>
                    <w:szCs w:val="20"/>
                  </w:rPr>
                  <w:t>Presuntas víctimas</w:t>
                </w:r>
              </w:sdtContent>
            </w:sdt>
            <w:r w:rsidR="00B352D7" w:rsidRPr="00706824">
              <w:rPr>
                <w:rFonts w:ascii="Cambria" w:hAnsi="Cambria"/>
                <w:b/>
                <w:bCs/>
                <w:color w:val="FFFFFF" w:themeColor="background1"/>
                <w:sz w:val="20"/>
                <w:szCs w:val="20"/>
              </w:rPr>
              <w:t>:</w:t>
            </w:r>
          </w:p>
        </w:tc>
        <w:tc>
          <w:tcPr>
            <w:tcW w:w="4680" w:type="dxa"/>
            <w:vAlign w:val="center"/>
          </w:tcPr>
          <w:p w14:paraId="669AC24B" w14:textId="77777777" w:rsidR="00B352D7" w:rsidRPr="00F05DA8" w:rsidRDefault="00B352D7" w:rsidP="008D2290">
            <w:pPr>
              <w:jc w:val="both"/>
              <w:rPr>
                <w:rFonts w:ascii="Cambria" w:hAnsi="Cambria"/>
                <w:bCs/>
                <w:sz w:val="20"/>
                <w:szCs w:val="20"/>
              </w:rPr>
            </w:pPr>
            <w:r w:rsidRPr="00B352D7">
              <w:rPr>
                <w:rFonts w:ascii="Cambria" w:hAnsi="Cambria"/>
                <w:b/>
                <w:bCs/>
                <w:sz w:val="20"/>
                <w:szCs w:val="20"/>
              </w:rPr>
              <w:t>P-1077-98:</w:t>
            </w:r>
            <w:r>
              <w:rPr>
                <w:rFonts w:ascii="Cambria" w:hAnsi="Cambria"/>
                <w:bCs/>
                <w:sz w:val="20"/>
                <w:szCs w:val="20"/>
              </w:rPr>
              <w:t xml:space="preserve"> Emiliano Romero Bendezú</w:t>
            </w:r>
          </w:p>
        </w:tc>
      </w:tr>
      <w:tr w:rsidR="00B352D7" w14:paraId="71AB4601" w14:textId="77777777" w:rsidTr="009065EC">
        <w:trPr>
          <w:trHeight w:val="108"/>
        </w:trPr>
        <w:tc>
          <w:tcPr>
            <w:tcW w:w="4680" w:type="dxa"/>
            <w:vMerge/>
            <w:shd w:val="clear" w:color="auto" w:fill="386294"/>
            <w:vAlign w:val="center"/>
          </w:tcPr>
          <w:p w14:paraId="1A8E4A43" w14:textId="77777777" w:rsidR="00B352D7" w:rsidRDefault="00B352D7" w:rsidP="008D2290">
            <w:pPr>
              <w:jc w:val="center"/>
              <w:rPr>
                <w:rFonts w:ascii="Cambria" w:hAnsi="Cambria"/>
                <w:b/>
                <w:bCs/>
                <w:color w:val="FFFFFF" w:themeColor="background1"/>
                <w:sz w:val="20"/>
                <w:szCs w:val="20"/>
              </w:rPr>
            </w:pPr>
          </w:p>
        </w:tc>
        <w:tc>
          <w:tcPr>
            <w:tcW w:w="4680" w:type="dxa"/>
            <w:vAlign w:val="center"/>
          </w:tcPr>
          <w:p w14:paraId="5FC3B2B2" w14:textId="77777777" w:rsidR="00B352D7" w:rsidRDefault="00B352D7" w:rsidP="008D2290">
            <w:pPr>
              <w:jc w:val="both"/>
              <w:rPr>
                <w:rFonts w:ascii="Cambria" w:hAnsi="Cambria"/>
                <w:b/>
                <w:bCs/>
                <w:sz w:val="20"/>
                <w:szCs w:val="20"/>
                <w:lang w:val="es-BO"/>
              </w:rPr>
            </w:pPr>
            <w:r>
              <w:rPr>
                <w:rFonts w:ascii="Cambria" w:hAnsi="Cambria"/>
                <w:b/>
                <w:bCs/>
                <w:sz w:val="20"/>
                <w:szCs w:val="20"/>
                <w:lang w:val="es-BO"/>
              </w:rPr>
              <w:t>P-1295</w:t>
            </w:r>
            <w:r w:rsidRPr="00EF4B5C">
              <w:rPr>
                <w:rFonts w:ascii="Cambria" w:hAnsi="Cambria"/>
                <w:b/>
                <w:bCs/>
                <w:sz w:val="20"/>
                <w:szCs w:val="20"/>
                <w:lang w:val="es-BO"/>
              </w:rPr>
              <w:t>-07</w:t>
            </w:r>
            <w:r>
              <w:rPr>
                <w:rFonts w:ascii="Cambria" w:hAnsi="Cambria"/>
                <w:b/>
                <w:bCs/>
                <w:sz w:val="20"/>
                <w:szCs w:val="20"/>
                <w:lang w:val="es-BO"/>
              </w:rPr>
              <w:t xml:space="preserve">: </w:t>
            </w:r>
            <w:r>
              <w:rPr>
                <w:rFonts w:ascii="Cambria" w:hAnsi="Cambria"/>
                <w:bCs/>
                <w:sz w:val="20"/>
                <w:szCs w:val="20"/>
                <w:lang w:val="es-BO"/>
              </w:rPr>
              <w:t>Amador Ore Barrientos</w:t>
            </w:r>
          </w:p>
        </w:tc>
      </w:tr>
      <w:tr w:rsidR="00B352D7" w14:paraId="054DC030" w14:textId="77777777" w:rsidTr="0018393E">
        <w:trPr>
          <w:trHeight w:val="43"/>
        </w:trPr>
        <w:tc>
          <w:tcPr>
            <w:tcW w:w="4680" w:type="dxa"/>
            <w:vMerge/>
            <w:shd w:val="clear" w:color="auto" w:fill="386294"/>
            <w:vAlign w:val="center"/>
          </w:tcPr>
          <w:p w14:paraId="52A9916B" w14:textId="77777777" w:rsidR="00B352D7" w:rsidRDefault="00B352D7" w:rsidP="008D2290">
            <w:pPr>
              <w:jc w:val="center"/>
              <w:rPr>
                <w:rFonts w:ascii="Cambria" w:hAnsi="Cambria"/>
                <w:b/>
                <w:bCs/>
                <w:color w:val="FFFFFF" w:themeColor="background1"/>
                <w:sz w:val="20"/>
                <w:szCs w:val="20"/>
              </w:rPr>
            </w:pPr>
          </w:p>
        </w:tc>
        <w:tc>
          <w:tcPr>
            <w:tcW w:w="4680" w:type="dxa"/>
            <w:vAlign w:val="center"/>
          </w:tcPr>
          <w:p w14:paraId="4E3C95DB" w14:textId="77777777" w:rsidR="00B352D7" w:rsidRPr="00F05DA8" w:rsidRDefault="00B352D7" w:rsidP="008D2290">
            <w:pPr>
              <w:jc w:val="both"/>
              <w:rPr>
                <w:rFonts w:ascii="Cambria" w:hAnsi="Cambria"/>
                <w:bCs/>
                <w:sz w:val="20"/>
                <w:szCs w:val="20"/>
              </w:rPr>
            </w:pPr>
            <w:r>
              <w:rPr>
                <w:rFonts w:ascii="Cambria" w:hAnsi="Cambria"/>
                <w:b/>
                <w:bCs/>
                <w:sz w:val="20"/>
                <w:szCs w:val="20"/>
                <w:lang w:val="es-BO"/>
              </w:rPr>
              <w:t>P-1296</w:t>
            </w:r>
            <w:r w:rsidRPr="00EF4B5C">
              <w:rPr>
                <w:rFonts w:ascii="Cambria" w:hAnsi="Cambria"/>
                <w:b/>
                <w:bCs/>
                <w:sz w:val="20"/>
                <w:szCs w:val="20"/>
                <w:lang w:val="es-BO"/>
              </w:rPr>
              <w:t>-07</w:t>
            </w:r>
            <w:r>
              <w:rPr>
                <w:rFonts w:ascii="Cambria" w:hAnsi="Cambria"/>
                <w:b/>
                <w:bCs/>
                <w:sz w:val="20"/>
                <w:szCs w:val="20"/>
                <w:lang w:val="es-BO"/>
              </w:rPr>
              <w:t xml:space="preserve">: </w:t>
            </w:r>
            <w:r>
              <w:rPr>
                <w:rFonts w:ascii="Cambria" w:hAnsi="Cambria"/>
                <w:bCs/>
                <w:sz w:val="20"/>
                <w:szCs w:val="20"/>
                <w:lang w:val="es-BO"/>
              </w:rPr>
              <w:t>Hermógenes Chávez Puma</w:t>
            </w:r>
          </w:p>
        </w:tc>
      </w:tr>
      <w:tr w:rsidR="00B352D7" w14:paraId="5EDCD88A" w14:textId="77777777" w:rsidTr="0018393E">
        <w:trPr>
          <w:trHeight w:val="43"/>
        </w:trPr>
        <w:tc>
          <w:tcPr>
            <w:tcW w:w="4680" w:type="dxa"/>
            <w:vMerge/>
            <w:shd w:val="clear" w:color="auto" w:fill="386294"/>
            <w:vAlign w:val="center"/>
          </w:tcPr>
          <w:p w14:paraId="12D2ABCF" w14:textId="77777777" w:rsidR="00B352D7" w:rsidRDefault="00B352D7" w:rsidP="008D2290">
            <w:pPr>
              <w:jc w:val="center"/>
              <w:rPr>
                <w:rFonts w:ascii="Cambria" w:hAnsi="Cambria"/>
                <w:b/>
                <w:bCs/>
                <w:color w:val="FFFFFF" w:themeColor="background1"/>
                <w:sz w:val="20"/>
                <w:szCs w:val="20"/>
              </w:rPr>
            </w:pPr>
          </w:p>
        </w:tc>
        <w:tc>
          <w:tcPr>
            <w:tcW w:w="4680" w:type="dxa"/>
            <w:vAlign w:val="center"/>
          </w:tcPr>
          <w:p w14:paraId="3715EAC8" w14:textId="77777777" w:rsidR="00B352D7" w:rsidRPr="00F05DA8" w:rsidRDefault="00B352D7" w:rsidP="008D2290">
            <w:pPr>
              <w:jc w:val="both"/>
              <w:rPr>
                <w:rFonts w:ascii="Cambria" w:hAnsi="Cambria"/>
                <w:bCs/>
                <w:sz w:val="20"/>
                <w:szCs w:val="20"/>
              </w:rPr>
            </w:pPr>
            <w:r>
              <w:rPr>
                <w:rFonts w:ascii="Cambria" w:hAnsi="Cambria"/>
                <w:b/>
                <w:bCs/>
                <w:sz w:val="20"/>
                <w:szCs w:val="20"/>
                <w:lang w:val="es-BO"/>
              </w:rPr>
              <w:t xml:space="preserve">P-1401-07: </w:t>
            </w:r>
            <w:r>
              <w:rPr>
                <w:rFonts w:ascii="Cambria" w:hAnsi="Cambria"/>
                <w:bCs/>
                <w:sz w:val="20"/>
                <w:szCs w:val="20"/>
                <w:lang w:val="es-BO"/>
              </w:rPr>
              <w:t>Antonio Janampa Acuña</w:t>
            </w:r>
          </w:p>
        </w:tc>
      </w:tr>
      <w:tr w:rsidR="00B352D7" w14:paraId="01468509" w14:textId="77777777" w:rsidTr="0018393E">
        <w:trPr>
          <w:trHeight w:val="43"/>
        </w:trPr>
        <w:tc>
          <w:tcPr>
            <w:tcW w:w="4680" w:type="dxa"/>
            <w:vMerge/>
            <w:shd w:val="clear" w:color="auto" w:fill="386294"/>
            <w:vAlign w:val="center"/>
          </w:tcPr>
          <w:p w14:paraId="596C16D3" w14:textId="77777777" w:rsidR="00B352D7" w:rsidRDefault="00B352D7" w:rsidP="008D2290">
            <w:pPr>
              <w:jc w:val="center"/>
              <w:rPr>
                <w:rFonts w:ascii="Cambria" w:hAnsi="Cambria"/>
                <w:b/>
                <w:bCs/>
                <w:color w:val="FFFFFF" w:themeColor="background1"/>
                <w:sz w:val="20"/>
                <w:szCs w:val="20"/>
              </w:rPr>
            </w:pPr>
          </w:p>
        </w:tc>
        <w:tc>
          <w:tcPr>
            <w:tcW w:w="4680" w:type="dxa"/>
            <w:vAlign w:val="center"/>
          </w:tcPr>
          <w:p w14:paraId="22B47DB0" w14:textId="77777777" w:rsidR="00B352D7" w:rsidRPr="0007200C" w:rsidRDefault="00B352D7" w:rsidP="008D2290">
            <w:pPr>
              <w:jc w:val="both"/>
              <w:rPr>
                <w:rFonts w:ascii="Cambria" w:hAnsi="Cambria"/>
                <w:bCs/>
                <w:sz w:val="20"/>
                <w:szCs w:val="20"/>
              </w:rPr>
            </w:pPr>
            <w:r>
              <w:rPr>
                <w:rFonts w:ascii="Cambria" w:hAnsi="Cambria"/>
                <w:b/>
                <w:bCs/>
                <w:sz w:val="20"/>
                <w:szCs w:val="20"/>
                <w:lang w:val="es-BO"/>
              </w:rPr>
              <w:t xml:space="preserve">P-300-08: </w:t>
            </w:r>
            <w:r>
              <w:rPr>
                <w:rFonts w:ascii="Cambria" w:hAnsi="Cambria"/>
                <w:bCs/>
                <w:sz w:val="20"/>
                <w:szCs w:val="20"/>
                <w:lang w:val="es-BO"/>
              </w:rPr>
              <w:t>Gumercindo Angulo Arotinco</w:t>
            </w:r>
          </w:p>
        </w:tc>
      </w:tr>
      <w:tr w:rsidR="00B352D7" w14:paraId="6C668C7D" w14:textId="77777777" w:rsidTr="0018393E">
        <w:trPr>
          <w:trHeight w:val="43"/>
        </w:trPr>
        <w:tc>
          <w:tcPr>
            <w:tcW w:w="4680" w:type="dxa"/>
            <w:vMerge/>
            <w:tcBorders>
              <w:bottom w:val="single" w:sz="6" w:space="0" w:color="auto"/>
            </w:tcBorders>
            <w:shd w:val="clear" w:color="auto" w:fill="386294"/>
            <w:vAlign w:val="center"/>
          </w:tcPr>
          <w:p w14:paraId="096A5150" w14:textId="77777777" w:rsidR="00B352D7" w:rsidRDefault="00B352D7" w:rsidP="008D2290">
            <w:pPr>
              <w:jc w:val="center"/>
              <w:rPr>
                <w:rFonts w:ascii="Cambria" w:hAnsi="Cambria"/>
                <w:b/>
                <w:bCs/>
                <w:color w:val="FFFFFF" w:themeColor="background1"/>
                <w:sz w:val="20"/>
                <w:szCs w:val="20"/>
              </w:rPr>
            </w:pPr>
          </w:p>
        </w:tc>
        <w:tc>
          <w:tcPr>
            <w:tcW w:w="4680" w:type="dxa"/>
            <w:vAlign w:val="center"/>
          </w:tcPr>
          <w:p w14:paraId="4EBE0F87" w14:textId="77777777" w:rsidR="00B352D7" w:rsidRPr="00B352D7" w:rsidRDefault="00B352D7" w:rsidP="008D2290">
            <w:pPr>
              <w:jc w:val="both"/>
              <w:rPr>
                <w:rFonts w:ascii="Cambria" w:hAnsi="Cambria"/>
                <w:bCs/>
                <w:sz w:val="20"/>
                <w:szCs w:val="20"/>
                <w:lang w:val="es-BO"/>
              </w:rPr>
            </w:pPr>
            <w:r>
              <w:rPr>
                <w:rFonts w:ascii="Cambria" w:hAnsi="Cambria"/>
                <w:b/>
                <w:bCs/>
                <w:sz w:val="20"/>
                <w:szCs w:val="20"/>
                <w:lang w:val="es-BO"/>
              </w:rPr>
              <w:t xml:space="preserve">P-405-08: </w:t>
            </w:r>
            <w:r>
              <w:rPr>
                <w:rFonts w:ascii="Cambria" w:hAnsi="Cambria"/>
                <w:bCs/>
                <w:sz w:val="20"/>
                <w:szCs w:val="20"/>
                <w:lang w:val="es-BO"/>
              </w:rPr>
              <w:t>Emiliano Pauccarima Chalco</w:t>
            </w:r>
          </w:p>
        </w:tc>
      </w:tr>
      <w:tr w:rsidR="003239B8" w14:paraId="679AAC2B" w14:textId="77777777" w:rsidTr="008D2290">
        <w:tc>
          <w:tcPr>
            <w:tcW w:w="4680" w:type="dxa"/>
            <w:tcBorders>
              <w:top w:val="single" w:sz="6" w:space="0" w:color="auto"/>
              <w:bottom w:val="single" w:sz="6" w:space="0" w:color="auto"/>
            </w:tcBorders>
            <w:shd w:val="clear" w:color="auto" w:fill="386294"/>
            <w:vAlign w:val="center"/>
          </w:tcPr>
          <w:p w14:paraId="352882DC" w14:textId="77777777" w:rsidR="003239B8" w:rsidRPr="00706824" w:rsidRDefault="003239B8" w:rsidP="008D2290">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Estado denunciado:</w:t>
            </w:r>
          </w:p>
        </w:tc>
        <w:tc>
          <w:tcPr>
            <w:tcW w:w="4680" w:type="dxa"/>
            <w:vAlign w:val="center"/>
          </w:tcPr>
          <w:p w14:paraId="6E30F7AD" w14:textId="77777777" w:rsidR="003239B8" w:rsidRPr="004B3C14" w:rsidRDefault="0007200C" w:rsidP="008D2290">
            <w:pPr>
              <w:jc w:val="both"/>
              <w:rPr>
                <w:rFonts w:ascii="Cambria" w:hAnsi="Cambria"/>
                <w:bCs/>
                <w:sz w:val="20"/>
                <w:szCs w:val="20"/>
              </w:rPr>
            </w:pPr>
            <w:r>
              <w:rPr>
                <w:rFonts w:ascii="Cambria" w:hAnsi="Cambria"/>
                <w:bCs/>
                <w:sz w:val="20"/>
                <w:szCs w:val="20"/>
              </w:rPr>
              <w:t>Perú</w:t>
            </w:r>
          </w:p>
        </w:tc>
      </w:tr>
      <w:tr w:rsidR="00653C9A" w:rsidRPr="002A3678" w14:paraId="7F507092" w14:textId="77777777" w:rsidTr="008D2290">
        <w:tc>
          <w:tcPr>
            <w:tcW w:w="4680" w:type="dxa"/>
            <w:tcBorders>
              <w:top w:val="single" w:sz="6" w:space="0" w:color="auto"/>
              <w:bottom w:val="single" w:sz="6" w:space="0" w:color="auto"/>
            </w:tcBorders>
            <w:shd w:val="clear" w:color="auto" w:fill="386294"/>
            <w:vAlign w:val="center"/>
          </w:tcPr>
          <w:p w14:paraId="4916C985" w14:textId="4BFB9583" w:rsidR="00653C9A" w:rsidRPr="00706824" w:rsidRDefault="00653C9A"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Derechos invocados:</w:t>
            </w:r>
          </w:p>
        </w:tc>
        <w:tc>
          <w:tcPr>
            <w:tcW w:w="4680" w:type="dxa"/>
            <w:vAlign w:val="center"/>
          </w:tcPr>
          <w:p w14:paraId="0A3DC8E3" w14:textId="398FDE6E" w:rsidR="00653C9A" w:rsidRPr="00F23E8F" w:rsidRDefault="00F23E8F" w:rsidP="00F23E8F">
            <w:pPr>
              <w:jc w:val="both"/>
              <w:rPr>
                <w:rFonts w:ascii="Cambria" w:hAnsi="Cambria"/>
                <w:bCs/>
                <w:sz w:val="20"/>
                <w:szCs w:val="20"/>
                <w:lang w:val="es-ES"/>
              </w:rPr>
            </w:pPr>
            <w:r>
              <w:rPr>
                <w:rFonts w:asciiTheme="majorHAnsi" w:hAnsiTheme="majorHAnsi"/>
                <w:sz w:val="20"/>
                <w:szCs w:val="20"/>
                <w:bdr w:val="none" w:sz="0" w:space="0" w:color="auto" w:frame="1"/>
                <w:lang w:val="es-UY"/>
              </w:rPr>
              <w:t xml:space="preserve">Artículos 10 (derecho a </w:t>
            </w:r>
            <w:r w:rsidRPr="00B550A1">
              <w:rPr>
                <w:rFonts w:asciiTheme="majorHAnsi" w:hAnsiTheme="majorHAnsi"/>
                <w:sz w:val="20"/>
                <w:szCs w:val="20"/>
                <w:bdr w:val="none" w:sz="0" w:space="0" w:color="auto" w:frame="1"/>
                <w:lang w:val="es-UY"/>
              </w:rPr>
              <w:t xml:space="preserve">indemnización), </w:t>
            </w:r>
            <w:r>
              <w:rPr>
                <w:rFonts w:asciiTheme="majorHAnsi" w:hAnsiTheme="majorHAnsi"/>
                <w:sz w:val="20"/>
                <w:szCs w:val="20"/>
                <w:lang w:val="es-ES"/>
              </w:rPr>
              <w:t>21 (derecho a la propiedad), 24 (igualdad ante la ley), 25 (protección judicial)</w:t>
            </w:r>
            <w:r w:rsidRPr="00B550A1">
              <w:rPr>
                <w:rFonts w:asciiTheme="majorHAnsi" w:hAnsiTheme="majorHAnsi"/>
                <w:sz w:val="20"/>
                <w:szCs w:val="20"/>
                <w:bdr w:val="none" w:sz="0" w:space="0" w:color="auto" w:frame="1"/>
                <w:lang w:val="es-UY"/>
              </w:rPr>
              <w:t xml:space="preserve"> consagrados en la Convención Americana</w:t>
            </w:r>
            <w:r>
              <w:rPr>
                <w:rFonts w:asciiTheme="majorHAnsi" w:hAnsiTheme="majorHAnsi"/>
                <w:sz w:val="20"/>
                <w:szCs w:val="20"/>
                <w:bdr w:val="none" w:sz="0" w:space="0" w:color="auto" w:frame="1"/>
                <w:lang w:val="es-UY"/>
              </w:rPr>
              <w:t xml:space="preserve"> </w:t>
            </w:r>
            <w:r>
              <w:rPr>
                <w:rFonts w:ascii="Cambria" w:hAnsi="Cambria"/>
                <w:bCs/>
                <w:sz w:val="20"/>
                <w:szCs w:val="20"/>
                <w:bdr w:val="none" w:sz="0" w:space="0" w:color="auto" w:frame="1"/>
                <w:lang w:val="es-ES"/>
              </w:rPr>
              <w:t>sobre Derechos Humanos</w:t>
            </w:r>
            <w:r>
              <w:rPr>
                <w:rStyle w:val="FootnoteReference"/>
                <w:rFonts w:ascii="Cambria" w:hAnsi="Cambria"/>
                <w:bCs/>
                <w:sz w:val="20"/>
                <w:szCs w:val="20"/>
                <w:bdr w:val="none" w:sz="0" w:space="0" w:color="auto" w:frame="1"/>
                <w:lang w:val="es-ES"/>
              </w:rPr>
              <w:footnoteReference w:id="3"/>
            </w:r>
            <w:r>
              <w:rPr>
                <w:rFonts w:ascii="Cambria" w:hAnsi="Cambria"/>
                <w:bCs/>
                <w:sz w:val="20"/>
                <w:szCs w:val="20"/>
                <w:bdr w:val="none" w:sz="0" w:space="0" w:color="auto" w:frame="1"/>
                <w:lang w:val="es-ES"/>
              </w:rPr>
              <w:t xml:space="preserve">; </w:t>
            </w:r>
            <w:r w:rsidRPr="00B550A1">
              <w:rPr>
                <w:rFonts w:asciiTheme="majorHAnsi" w:hAnsiTheme="majorHAnsi"/>
                <w:sz w:val="20"/>
                <w:szCs w:val="20"/>
                <w:bdr w:val="none" w:sz="0" w:space="0" w:color="auto" w:frame="1"/>
                <w:lang w:val="es-UY"/>
              </w:rPr>
              <w:t xml:space="preserve">y artículo XVI </w:t>
            </w:r>
            <w:r>
              <w:rPr>
                <w:rFonts w:asciiTheme="majorHAnsi" w:hAnsiTheme="majorHAnsi"/>
                <w:sz w:val="20"/>
                <w:szCs w:val="20"/>
                <w:lang w:val="es-ES"/>
              </w:rPr>
              <w:t xml:space="preserve">(derecho a la seguridad social) </w:t>
            </w:r>
            <w:r w:rsidRPr="00B550A1">
              <w:rPr>
                <w:rFonts w:asciiTheme="majorHAnsi" w:hAnsiTheme="majorHAnsi"/>
                <w:sz w:val="20"/>
                <w:szCs w:val="20"/>
                <w:bdr w:val="none" w:sz="0" w:space="0" w:color="auto" w:frame="1"/>
                <w:lang w:val="es-UY"/>
              </w:rPr>
              <w:t>de la Declaración Americana</w:t>
            </w:r>
            <w:r>
              <w:rPr>
                <w:rFonts w:asciiTheme="majorHAnsi" w:hAnsiTheme="majorHAnsi"/>
                <w:sz w:val="20"/>
                <w:szCs w:val="20"/>
                <w:bdr w:val="none" w:sz="0" w:space="0" w:color="auto" w:frame="1"/>
                <w:lang w:val="es-UY"/>
              </w:rPr>
              <w:t xml:space="preserve"> </w:t>
            </w:r>
            <w:r>
              <w:rPr>
                <w:rFonts w:ascii="Cambria" w:hAnsi="Cambria"/>
                <w:bCs/>
                <w:sz w:val="20"/>
                <w:szCs w:val="20"/>
                <w:bdr w:val="none" w:sz="0" w:space="0" w:color="auto" w:frame="1"/>
                <w:lang w:val="es-ES"/>
              </w:rPr>
              <w:t>de los Derechos y Deberes del Hombre</w:t>
            </w:r>
            <w:r>
              <w:rPr>
                <w:rStyle w:val="FootnoteReference"/>
                <w:rFonts w:ascii="Cambria" w:hAnsi="Cambria"/>
                <w:bCs/>
                <w:sz w:val="20"/>
                <w:szCs w:val="20"/>
                <w:bdr w:val="none" w:sz="0" w:space="0" w:color="auto" w:frame="1"/>
                <w:lang w:val="es-ES"/>
              </w:rPr>
              <w:footnoteReference w:id="4"/>
            </w:r>
          </w:p>
        </w:tc>
      </w:tr>
    </w:tbl>
    <w:p w14:paraId="33CBE56F" w14:textId="24736009" w:rsidR="003239B8" w:rsidRPr="00B94041" w:rsidRDefault="003239B8" w:rsidP="003239B8">
      <w:pPr>
        <w:spacing w:before="240" w:after="240"/>
        <w:ind w:firstLine="720"/>
        <w:jc w:val="both"/>
        <w:rPr>
          <w:rFonts w:asciiTheme="majorHAnsi" w:hAnsiTheme="majorHAnsi"/>
          <w:b/>
          <w:bCs/>
          <w:sz w:val="20"/>
          <w:szCs w:val="20"/>
          <w:lang w:val="es-ES"/>
        </w:rPr>
      </w:pPr>
      <w:r w:rsidRPr="00B94041">
        <w:rPr>
          <w:rFonts w:asciiTheme="majorHAnsi" w:hAnsiTheme="majorHAnsi"/>
          <w:b/>
          <w:bCs/>
          <w:sz w:val="20"/>
          <w:szCs w:val="20"/>
          <w:lang w:val="es-ES"/>
        </w:rPr>
        <w:t>II.</w:t>
      </w:r>
      <w:r w:rsidRPr="00B94041">
        <w:rPr>
          <w:rFonts w:asciiTheme="majorHAnsi" w:hAnsiTheme="majorHAnsi"/>
          <w:b/>
          <w:bCs/>
          <w:sz w:val="20"/>
          <w:szCs w:val="20"/>
          <w:lang w:val="es-ES"/>
        </w:rPr>
        <w:tab/>
        <w:t>TRÁMITE ANTE LA CIDH</w:t>
      </w:r>
      <w:r w:rsidR="00B94041">
        <w:rPr>
          <w:rStyle w:val="FootnoteReference"/>
          <w:rFonts w:asciiTheme="majorHAnsi" w:hAnsiTheme="majorHAnsi"/>
          <w:b/>
          <w:bCs/>
          <w:sz w:val="20"/>
          <w:szCs w:val="20"/>
          <w:lang w:val="es-ES"/>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B352D7" w:rsidRPr="0073198B" w14:paraId="227BA203" w14:textId="77777777" w:rsidTr="00B352D7">
        <w:trPr>
          <w:trHeight w:val="109"/>
        </w:trPr>
        <w:tc>
          <w:tcPr>
            <w:tcW w:w="4680" w:type="dxa"/>
            <w:vMerge w:val="restart"/>
            <w:tcBorders>
              <w:top w:val="single" w:sz="6" w:space="0" w:color="auto"/>
            </w:tcBorders>
            <w:shd w:val="clear" w:color="auto" w:fill="386294"/>
            <w:vAlign w:val="center"/>
          </w:tcPr>
          <w:p w14:paraId="302D97CF" w14:textId="77777777" w:rsidR="00B352D7" w:rsidRPr="003239B8" w:rsidRDefault="00B352D7" w:rsidP="008D2290">
            <w:pPr>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Fecha de presentación de la</w:t>
            </w:r>
            <w:r w:rsidR="005A5BEB">
              <w:rPr>
                <w:rFonts w:ascii="Cambria" w:hAnsi="Cambria"/>
                <w:b/>
                <w:bCs/>
                <w:color w:val="FFFFFF" w:themeColor="background1"/>
                <w:sz w:val="20"/>
                <w:szCs w:val="20"/>
                <w:lang w:val="es-ES"/>
              </w:rPr>
              <w:t>s peticiones</w:t>
            </w:r>
            <w:r w:rsidRPr="003239B8">
              <w:rPr>
                <w:rFonts w:ascii="Cambria" w:hAnsi="Cambria"/>
                <w:b/>
                <w:bCs/>
                <w:color w:val="FFFFFF" w:themeColor="background1"/>
                <w:sz w:val="20"/>
                <w:szCs w:val="20"/>
                <w:lang w:val="es-ES"/>
              </w:rPr>
              <w:t>:</w:t>
            </w:r>
          </w:p>
        </w:tc>
        <w:tc>
          <w:tcPr>
            <w:tcW w:w="4680" w:type="dxa"/>
            <w:vAlign w:val="center"/>
          </w:tcPr>
          <w:p w14:paraId="6025BAC9" w14:textId="77777777" w:rsidR="00B352D7" w:rsidRPr="00F168BE" w:rsidRDefault="00B352D7" w:rsidP="008D2290">
            <w:pPr>
              <w:jc w:val="both"/>
              <w:rPr>
                <w:rFonts w:ascii="Cambria" w:hAnsi="Cambria"/>
                <w:bCs/>
                <w:sz w:val="20"/>
                <w:szCs w:val="20"/>
                <w:lang w:val="es-BO"/>
              </w:rPr>
            </w:pPr>
            <w:r w:rsidRPr="00B352D7">
              <w:rPr>
                <w:rFonts w:ascii="Cambria" w:hAnsi="Cambria"/>
                <w:b/>
                <w:bCs/>
                <w:sz w:val="20"/>
                <w:szCs w:val="20"/>
              </w:rPr>
              <w:t>P-1077-98:</w:t>
            </w:r>
            <w:r>
              <w:rPr>
                <w:rFonts w:ascii="Cambria" w:hAnsi="Cambria"/>
                <w:b/>
                <w:bCs/>
                <w:sz w:val="20"/>
                <w:szCs w:val="20"/>
              </w:rPr>
              <w:t xml:space="preserve"> </w:t>
            </w:r>
            <w:r w:rsidRPr="00B352D7">
              <w:rPr>
                <w:rFonts w:ascii="Cambria" w:hAnsi="Cambria"/>
                <w:bCs/>
                <w:sz w:val="20"/>
                <w:szCs w:val="20"/>
              </w:rPr>
              <w:t>13 de noviembre de 1998</w:t>
            </w:r>
          </w:p>
        </w:tc>
      </w:tr>
      <w:tr w:rsidR="00B352D7" w:rsidRPr="0073198B" w14:paraId="4583A0B4" w14:textId="77777777" w:rsidTr="007102B9">
        <w:trPr>
          <w:trHeight w:val="108"/>
        </w:trPr>
        <w:tc>
          <w:tcPr>
            <w:tcW w:w="4680" w:type="dxa"/>
            <w:vMerge/>
            <w:shd w:val="clear" w:color="auto" w:fill="386294"/>
            <w:vAlign w:val="center"/>
          </w:tcPr>
          <w:p w14:paraId="7C0323A1" w14:textId="77777777" w:rsidR="00B352D7" w:rsidRPr="003239B8" w:rsidRDefault="00B352D7" w:rsidP="008D2290">
            <w:pPr>
              <w:jc w:val="center"/>
              <w:rPr>
                <w:rFonts w:ascii="Cambria" w:hAnsi="Cambria"/>
                <w:b/>
                <w:bCs/>
                <w:color w:val="FFFFFF" w:themeColor="background1"/>
                <w:sz w:val="20"/>
                <w:szCs w:val="20"/>
                <w:lang w:val="es-ES"/>
              </w:rPr>
            </w:pPr>
          </w:p>
        </w:tc>
        <w:tc>
          <w:tcPr>
            <w:tcW w:w="4680" w:type="dxa"/>
            <w:vAlign w:val="center"/>
          </w:tcPr>
          <w:p w14:paraId="1F7ACFD3" w14:textId="77777777" w:rsidR="00B352D7" w:rsidRPr="00EF4B5C" w:rsidRDefault="00B352D7" w:rsidP="008D2290">
            <w:pPr>
              <w:jc w:val="both"/>
              <w:rPr>
                <w:rFonts w:ascii="Cambria" w:hAnsi="Cambria"/>
                <w:b/>
                <w:bCs/>
                <w:sz w:val="20"/>
                <w:szCs w:val="20"/>
                <w:lang w:val="es-BO"/>
              </w:rPr>
            </w:pPr>
            <w:r w:rsidRPr="00EF4B5C">
              <w:rPr>
                <w:rFonts w:ascii="Cambria" w:hAnsi="Cambria"/>
                <w:b/>
                <w:bCs/>
                <w:sz w:val="20"/>
                <w:szCs w:val="20"/>
                <w:lang w:val="es-BO"/>
              </w:rPr>
              <w:t>P-1295-07</w:t>
            </w:r>
            <w:r>
              <w:rPr>
                <w:rFonts w:ascii="Cambria" w:hAnsi="Cambria"/>
                <w:b/>
                <w:bCs/>
                <w:sz w:val="20"/>
                <w:szCs w:val="20"/>
                <w:lang w:val="es-BO"/>
              </w:rPr>
              <w:t xml:space="preserve">: </w:t>
            </w:r>
            <w:r w:rsidRPr="006952B2">
              <w:rPr>
                <w:rFonts w:ascii="Cambria" w:hAnsi="Cambria"/>
                <w:bCs/>
                <w:sz w:val="20"/>
                <w:szCs w:val="20"/>
                <w:lang w:val="es-BO"/>
              </w:rPr>
              <w:t>4 de octubre de 2007</w:t>
            </w:r>
          </w:p>
        </w:tc>
      </w:tr>
      <w:tr w:rsidR="00B352D7" w:rsidRPr="0073198B" w14:paraId="75A6E7DC" w14:textId="77777777" w:rsidTr="0006656A">
        <w:trPr>
          <w:trHeight w:val="73"/>
        </w:trPr>
        <w:tc>
          <w:tcPr>
            <w:tcW w:w="4680" w:type="dxa"/>
            <w:vMerge/>
            <w:shd w:val="clear" w:color="auto" w:fill="386294"/>
            <w:vAlign w:val="center"/>
          </w:tcPr>
          <w:p w14:paraId="65B8E511" w14:textId="77777777" w:rsidR="00B352D7" w:rsidRPr="003239B8" w:rsidRDefault="00B352D7" w:rsidP="008D2290">
            <w:pPr>
              <w:jc w:val="center"/>
              <w:rPr>
                <w:rFonts w:ascii="Cambria" w:hAnsi="Cambria"/>
                <w:b/>
                <w:bCs/>
                <w:color w:val="FFFFFF" w:themeColor="background1"/>
                <w:sz w:val="20"/>
                <w:szCs w:val="20"/>
                <w:lang w:val="es-ES"/>
              </w:rPr>
            </w:pPr>
          </w:p>
        </w:tc>
        <w:tc>
          <w:tcPr>
            <w:tcW w:w="4680" w:type="dxa"/>
            <w:vAlign w:val="center"/>
          </w:tcPr>
          <w:p w14:paraId="0138A88D" w14:textId="77777777" w:rsidR="00B352D7" w:rsidRPr="00EF4B5C" w:rsidRDefault="00B352D7" w:rsidP="008D2290">
            <w:pPr>
              <w:jc w:val="both"/>
              <w:rPr>
                <w:rFonts w:ascii="Cambria" w:hAnsi="Cambria"/>
                <w:b/>
                <w:bCs/>
                <w:sz w:val="20"/>
                <w:szCs w:val="20"/>
                <w:lang w:val="es-BO"/>
              </w:rPr>
            </w:pPr>
            <w:r>
              <w:rPr>
                <w:rFonts w:ascii="Cambria" w:hAnsi="Cambria"/>
                <w:b/>
                <w:bCs/>
                <w:sz w:val="20"/>
                <w:szCs w:val="20"/>
                <w:lang w:val="es-BO"/>
              </w:rPr>
              <w:t>P-1296</w:t>
            </w:r>
            <w:r w:rsidRPr="00EF4B5C">
              <w:rPr>
                <w:rFonts w:ascii="Cambria" w:hAnsi="Cambria"/>
                <w:b/>
                <w:bCs/>
                <w:sz w:val="20"/>
                <w:szCs w:val="20"/>
                <w:lang w:val="es-BO"/>
              </w:rPr>
              <w:t>-07</w:t>
            </w:r>
            <w:r>
              <w:rPr>
                <w:rFonts w:ascii="Cambria" w:hAnsi="Cambria"/>
                <w:b/>
                <w:bCs/>
                <w:sz w:val="20"/>
                <w:szCs w:val="20"/>
                <w:lang w:val="es-BO"/>
              </w:rPr>
              <w:t>:</w:t>
            </w:r>
            <w:r w:rsidRPr="006952B2">
              <w:rPr>
                <w:rFonts w:ascii="Cambria" w:hAnsi="Cambria"/>
                <w:bCs/>
                <w:sz w:val="20"/>
                <w:szCs w:val="20"/>
                <w:lang w:val="es-BO"/>
              </w:rPr>
              <w:t xml:space="preserve"> 4 de octubre de 2007</w:t>
            </w:r>
          </w:p>
        </w:tc>
      </w:tr>
      <w:tr w:rsidR="00B352D7" w:rsidRPr="0073198B" w14:paraId="378C9D44" w14:textId="77777777" w:rsidTr="0006656A">
        <w:trPr>
          <w:trHeight w:val="72"/>
        </w:trPr>
        <w:tc>
          <w:tcPr>
            <w:tcW w:w="4680" w:type="dxa"/>
            <w:vMerge/>
            <w:shd w:val="clear" w:color="auto" w:fill="386294"/>
            <w:vAlign w:val="center"/>
          </w:tcPr>
          <w:p w14:paraId="1F19DD6F" w14:textId="77777777" w:rsidR="00B352D7" w:rsidRPr="003239B8" w:rsidRDefault="00B352D7" w:rsidP="008D2290">
            <w:pPr>
              <w:jc w:val="center"/>
              <w:rPr>
                <w:rFonts w:ascii="Cambria" w:hAnsi="Cambria"/>
                <w:b/>
                <w:bCs/>
                <w:color w:val="FFFFFF" w:themeColor="background1"/>
                <w:sz w:val="20"/>
                <w:szCs w:val="20"/>
                <w:lang w:val="es-ES"/>
              </w:rPr>
            </w:pPr>
          </w:p>
        </w:tc>
        <w:tc>
          <w:tcPr>
            <w:tcW w:w="4680" w:type="dxa"/>
            <w:vAlign w:val="center"/>
          </w:tcPr>
          <w:p w14:paraId="3E50A9BD" w14:textId="77777777" w:rsidR="00B352D7" w:rsidRPr="00BD14AB" w:rsidRDefault="00B352D7" w:rsidP="008D2290">
            <w:pPr>
              <w:jc w:val="both"/>
              <w:rPr>
                <w:rFonts w:ascii="Cambria" w:hAnsi="Cambria"/>
                <w:bCs/>
                <w:sz w:val="20"/>
                <w:szCs w:val="20"/>
                <w:lang w:val="es-BO"/>
              </w:rPr>
            </w:pPr>
            <w:r>
              <w:rPr>
                <w:rFonts w:ascii="Cambria" w:hAnsi="Cambria"/>
                <w:b/>
                <w:bCs/>
                <w:sz w:val="20"/>
                <w:szCs w:val="20"/>
                <w:lang w:val="es-BO"/>
              </w:rPr>
              <w:t>P-1401-07:</w:t>
            </w:r>
            <w:r>
              <w:rPr>
                <w:rFonts w:ascii="Cambria" w:hAnsi="Cambria"/>
                <w:bCs/>
                <w:sz w:val="20"/>
                <w:szCs w:val="20"/>
                <w:lang w:val="es-BO"/>
              </w:rPr>
              <w:t xml:space="preserve"> 25 de octubre de 2007</w:t>
            </w:r>
          </w:p>
        </w:tc>
      </w:tr>
      <w:tr w:rsidR="00B352D7" w:rsidRPr="0073198B" w14:paraId="2FE542F0" w14:textId="77777777" w:rsidTr="0056723C">
        <w:trPr>
          <w:trHeight w:val="109"/>
        </w:trPr>
        <w:tc>
          <w:tcPr>
            <w:tcW w:w="4680" w:type="dxa"/>
            <w:vMerge/>
            <w:shd w:val="clear" w:color="auto" w:fill="386294"/>
            <w:vAlign w:val="center"/>
          </w:tcPr>
          <w:p w14:paraId="2879F8DF" w14:textId="77777777" w:rsidR="00B352D7" w:rsidRPr="003239B8" w:rsidRDefault="00B352D7" w:rsidP="008D2290">
            <w:pPr>
              <w:jc w:val="center"/>
              <w:rPr>
                <w:rFonts w:ascii="Cambria" w:hAnsi="Cambria"/>
                <w:b/>
                <w:bCs/>
                <w:color w:val="FFFFFF" w:themeColor="background1"/>
                <w:sz w:val="20"/>
                <w:szCs w:val="20"/>
                <w:lang w:val="es-ES"/>
              </w:rPr>
            </w:pPr>
          </w:p>
        </w:tc>
        <w:tc>
          <w:tcPr>
            <w:tcW w:w="4680" w:type="dxa"/>
            <w:vAlign w:val="center"/>
          </w:tcPr>
          <w:p w14:paraId="6A4D3B35" w14:textId="77777777" w:rsidR="00B352D7" w:rsidRPr="009B07DA" w:rsidRDefault="00B352D7" w:rsidP="008D2290">
            <w:pPr>
              <w:jc w:val="both"/>
              <w:rPr>
                <w:rFonts w:ascii="Cambria" w:hAnsi="Cambria"/>
                <w:bCs/>
                <w:sz w:val="20"/>
                <w:szCs w:val="20"/>
                <w:lang w:val="es-BO"/>
              </w:rPr>
            </w:pPr>
            <w:r>
              <w:rPr>
                <w:rFonts w:ascii="Cambria" w:hAnsi="Cambria"/>
                <w:b/>
                <w:bCs/>
                <w:sz w:val="20"/>
                <w:szCs w:val="20"/>
                <w:lang w:val="es-BO"/>
              </w:rPr>
              <w:t xml:space="preserve">P-300-08: </w:t>
            </w:r>
            <w:r>
              <w:rPr>
                <w:rFonts w:ascii="Cambria" w:hAnsi="Cambria"/>
                <w:bCs/>
                <w:sz w:val="20"/>
                <w:szCs w:val="20"/>
                <w:lang w:val="es-BO"/>
              </w:rPr>
              <w:t>12 de marzo de 2008</w:t>
            </w:r>
          </w:p>
        </w:tc>
      </w:tr>
      <w:tr w:rsidR="00B352D7" w:rsidRPr="0073198B" w14:paraId="61FF15FE" w14:textId="77777777" w:rsidTr="00352BB8">
        <w:trPr>
          <w:trHeight w:val="108"/>
        </w:trPr>
        <w:tc>
          <w:tcPr>
            <w:tcW w:w="4680" w:type="dxa"/>
            <w:vMerge/>
            <w:tcBorders>
              <w:bottom w:val="single" w:sz="6" w:space="0" w:color="auto"/>
            </w:tcBorders>
            <w:shd w:val="clear" w:color="auto" w:fill="386294"/>
            <w:vAlign w:val="center"/>
          </w:tcPr>
          <w:p w14:paraId="0945AD22" w14:textId="77777777" w:rsidR="00B352D7" w:rsidRPr="003239B8" w:rsidRDefault="00B352D7" w:rsidP="008D2290">
            <w:pPr>
              <w:jc w:val="center"/>
              <w:rPr>
                <w:rFonts w:ascii="Cambria" w:hAnsi="Cambria"/>
                <w:b/>
                <w:bCs/>
                <w:color w:val="FFFFFF" w:themeColor="background1"/>
                <w:sz w:val="20"/>
                <w:szCs w:val="20"/>
                <w:lang w:val="es-ES"/>
              </w:rPr>
            </w:pPr>
          </w:p>
        </w:tc>
        <w:tc>
          <w:tcPr>
            <w:tcW w:w="4680" w:type="dxa"/>
            <w:vAlign w:val="center"/>
          </w:tcPr>
          <w:p w14:paraId="510FB0D1" w14:textId="77777777" w:rsidR="00B352D7" w:rsidRPr="00F40602" w:rsidRDefault="00B352D7" w:rsidP="008D2290">
            <w:pPr>
              <w:jc w:val="both"/>
              <w:rPr>
                <w:rFonts w:ascii="Cambria" w:hAnsi="Cambria"/>
                <w:bCs/>
                <w:sz w:val="20"/>
                <w:szCs w:val="20"/>
                <w:lang w:val="es-BO"/>
              </w:rPr>
            </w:pPr>
            <w:r>
              <w:rPr>
                <w:rFonts w:ascii="Cambria" w:hAnsi="Cambria"/>
                <w:b/>
                <w:bCs/>
                <w:sz w:val="20"/>
                <w:szCs w:val="20"/>
                <w:lang w:val="es-BO"/>
              </w:rPr>
              <w:t xml:space="preserve">P-405-08: </w:t>
            </w:r>
            <w:r>
              <w:rPr>
                <w:rFonts w:ascii="Cambria" w:hAnsi="Cambria"/>
                <w:bCs/>
                <w:sz w:val="20"/>
                <w:szCs w:val="20"/>
                <w:lang w:val="es-BO"/>
              </w:rPr>
              <w:t>7 de abril de 2008</w:t>
            </w:r>
          </w:p>
        </w:tc>
      </w:tr>
      <w:tr w:rsidR="00891532" w:rsidRPr="002A3678" w14:paraId="2271C6D1" w14:textId="77777777" w:rsidTr="00891532">
        <w:trPr>
          <w:trHeight w:val="211"/>
        </w:trPr>
        <w:tc>
          <w:tcPr>
            <w:tcW w:w="4680" w:type="dxa"/>
            <w:vMerge w:val="restart"/>
            <w:tcBorders>
              <w:top w:val="single" w:sz="6" w:space="0" w:color="auto"/>
            </w:tcBorders>
            <w:shd w:val="clear" w:color="auto" w:fill="386294"/>
            <w:vAlign w:val="center"/>
          </w:tcPr>
          <w:p w14:paraId="11FBA9D6" w14:textId="77777777" w:rsidR="00891532" w:rsidRPr="003239B8" w:rsidRDefault="00891532" w:rsidP="008D2290">
            <w:pPr>
              <w:jc w:val="center"/>
              <w:rPr>
                <w:rFonts w:ascii="Cambria" w:hAnsi="Cambria"/>
                <w:b/>
                <w:color w:val="FFFFFF" w:themeColor="background1"/>
                <w:sz w:val="20"/>
                <w:szCs w:val="20"/>
                <w:lang w:val="es-ES"/>
              </w:rPr>
            </w:pPr>
            <w:r w:rsidRPr="003239B8">
              <w:rPr>
                <w:rFonts w:ascii="Cambria" w:hAnsi="Cambria"/>
                <w:b/>
                <w:color w:val="FFFFFF" w:themeColor="background1"/>
                <w:sz w:val="20"/>
                <w:szCs w:val="20"/>
                <w:lang w:val="es-ES"/>
              </w:rPr>
              <w:t>Información adicional recibida durante la etapa de estudio:</w:t>
            </w:r>
          </w:p>
        </w:tc>
        <w:tc>
          <w:tcPr>
            <w:tcW w:w="4680" w:type="dxa"/>
            <w:vAlign w:val="center"/>
          </w:tcPr>
          <w:p w14:paraId="7EAF342E" w14:textId="77777777" w:rsidR="00891532" w:rsidRPr="00891532" w:rsidRDefault="00891532" w:rsidP="00EC058B">
            <w:pPr>
              <w:jc w:val="both"/>
              <w:rPr>
                <w:rFonts w:ascii="Cambria" w:hAnsi="Cambria"/>
                <w:bCs/>
                <w:sz w:val="20"/>
                <w:szCs w:val="20"/>
                <w:lang w:val="es-BO"/>
              </w:rPr>
            </w:pPr>
            <w:r w:rsidRPr="00891532">
              <w:rPr>
                <w:rFonts w:ascii="Cambria" w:hAnsi="Cambria"/>
                <w:b/>
                <w:bCs/>
                <w:sz w:val="20"/>
                <w:szCs w:val="20"/>
                <w:lang w:val="es-BO"/>
              </w:rPr>
              <w:t xml:space="preserve">P-1077-98: </w:t>
            </w:r>
            <w:r w:rsidRPr="00891532">
              <w:rPr>
                <w:rFonts w:ascii="Cambria" w:hAnsi="Cambria"/>
                <w:bCs/>
                <w:sz w:val="20"/>
                <w:szCs w:val="20"/>
                <w:lang w:val="es-BO"/>
              </w:rPr>
              <w:t>28 de julio y 6 de diciembre de 1999, 31 de enero,</w:t>
            </w:r>
            <w:r w:rsidR="00EC058B">
              <w:rPr>
                <w:rFonts w:ascii="Cambria" w:hAnsi="Cambria"/>
                <w:bCs/>
                <w:sz w:val="20"/>
                <w:szCs w:val="20"/>
                <w:lang w:val="es-BO"/>
              </w:rPr>
              <w:t xml:space="preserve"> 21 de junio y 24 de septiembre de 2001. </w:t>
            </w:r>
          </w:p>
        </w:tc>
      </w:tr>
      <w:tr w:rsidR="00891532" w:rsidRPr="002A3678" w14:paraId="0A289C64" w14:textId="77777777" w:rsidTr="007033BF">
        <w:trPr>
          <w:trHeight w:val="210"/>
        </w:trPr>
        <w:tc>
          <w:tcPr>
            <w:tcW w:w="4680" w:type="dxa"/>
            <w:vMerge/>
            <w:shd w:val="clear" w:color="auto" w:fill="386294"/>
            <w:vAlign w:val="center"/>
          </w:tcPr>
          <w:p w14:paraId="01E50E61" w14:textId="77777777" w:rsidR="00891532" w:rsidRPr="003239B8" w:rsidRDefault="00891532" w:rsidP="008D2290">
            <w:pPr>
              <w:jc w:val="center"/>
              <w:rPr>
                <w:rFonts w:ascii="Cambria" w:hAnsi="Cambria"/>
                <w:b/>
                <w:color w:val="FFFFFF" w:themeColor="background1"/>
                <w:sz w:val="20"/>
                <w:szCs w:val="20"/>
                <w:lang w:val="es-ES"/>
              </w:rPr>
            </w:pPr>
          </w:p>
        </w:tc>
        <w:tc>
          <w:tcPr>
            <w:tcW w:w="4680" w:type="dxa"/>
            <w:vAlign w:val="center"/>
          </w:tcPr>
          <w:p w14:paraId="4B655988" w14:textId="77777777" w:rsidR="00891532" w:rsidRPr="00EF4B5C" w:rsidRDefault="00891532" w:rsidP="008D2290">
            <w:pPr>
              <w:jc w:val="both"/>
              <w:rPr>
                <w:rFonts w:ascii="Cambria" w:hAnsi="Cambria"/>
                <w:b/>
                <w:bCs/>
                <w:sz w:val="20"/>
                <w:szCs w:val="20"/>
                <w:lang w:val="es-BO"/>
              </w:rPr>
            </w:pPr>
            <w:r w:rsidRPr="00EF4B5C">
              <w:rPr>
                <w:rFonts w:ascii="Cambria" w:hAnsi="Cambria"/>
                <w:b/>
                <w:bCs/>
                <w:sz w:val="20"/>
                <w:szCs w:val="20"/>
                <w:lang w:val="es-BO"/>
              </w:rPr>
              <w:t>P-1295-07</w:t>
            </w:r>
            <w:r>
              <w:rPr>
                <w:rFonts w:ascii="Cambria" w:hAnsi="Cambria"/>
                <w:bCs/>
                <w:sz w:val="20"/>
                <w:szCs w:val="20"/>
                <w:lang w:val="es-BO"/>
              </w:rPr>
              <w:t>:</w:t>
            </w:r>
            <w:r w:rsidRPr="00EF4B5C">
              <w:rPr>
                <w:rFonts w:ascii="Cambria" w:hAnsi="Cambria"/>
                <w:bCs/>
                <w:sz w:val="20"/>
                <w:szCs w:val="20"/>
                <w:lang w:val="es-BO"/>
              </w:rPr>
              <w:t xml:space="preserve"> 29 de agosto de 2008, 24 de septiembre de 2009, 6 de mayo de 2010</w:t>
            </w:r>
          </w:p>
        </w:tc>
      </w:tr>
      <w:tr w:rsidR="00891532" w:rsidRPr="002A3678" w14:paraId="6652021C" w14:textId="77777777" w:rsidTr="00B859DD">
        <w:trPr>
          <w:trHeight w:val="73"/>
        </w:trPr>
        <w:tc>
          <w:tcPr>
            <w:tcW w:w="4680" w:type="dxa"/>
            <w:vMerge/>
            <w:shd w:val="clear" w:color="auto" w:fill="386294"/>
            <w:vAlign w:val="center"/>
          </w:tcPr>
          <w:p w14:paraId="5304549C" w14:textId="77777777" w:rsidR="00891532" w:rsidRPr="003239B8" w:rsidRDefault="00891532" w:rsidP="008D2290">
            <w:pPr>
              <w:jc w:val="center"/>
              <w:rPr>
                <w:rFonts w:ascii="Cambria" w:hAnsi="Cambria"/>
                <w:b/>
                <w:color w:val="FFFFFF" w:themeColor="background1"/>
                <w:sz w:val="20"/>
                <w:szCs w:val="20"/>
                <w:lang w:val="es-ES"/>
              </w:rPr>
            </w:pPr>
          </w:p>
        </w:tc>
        <w:tc>
          <w:tcPr>
            <w:tcW w:w="4680" w:type="dxa"/>
            <w:vAlign w:val="center"/>
          </w:tcPr>
          <w:p w14:paraId="682ECBEC" w14:textId="77777777" w:rsidR="00891532" w:rsidRPr="006952B2" w:rsidRDefault="00891532" w:rsidP="008D2290">
            <w:pPr>
              <w:jc w:val="both"/>
              <w:rPr>
                <w:rFonts w:ascii="Cambria" w:hAnsi="Cambria"/>
                <w:bCs/>
                <w:sz w:val="20"/>
                <w:szCs w:val="20"/>
                <w:lang w:val="es-BO"/>
              </w:rPr>
            </w:pPr>
            <w:r>
              <w:rPr>
                <w:rFonts w:ascii="Cambria" w:hAnsi="Cambria"/>
                <w:b/>
                <w:bCs/>
                <w:sz w:val="20"/>
                <w:szCs w:val="20"/>
                <w:lang w:val="es-BO"/>
              </w:rPr>
              <w:t>P-1296</w:t>
            </w:r>
            <w:r w:rsidRPr="00EF4B5C">
              <w:rPr>
                <w:rFonts w:ascii="Cambria" w:hAnsi="Cambria"/>
                <w:b/>
                <w:bCs/>
                <w:sz w:val="20"/>
                <w:szCs w:val="20"/>
                <w:lang w:val="es-BO"/>
              </w:rPr>
              <w:t>-07</w:t>
            </w:r>
            <w:r>
              <w:rPr>
                <w:rFonts w:ascii="Cambria" w:hAnsi="Cambria"/>
                <w:b/>
                <w:bCs/>
                <w:sz w:val="20"/>
                <w:szCs w:val="20"/>
                <w:lang w:val="es-BO"/>
              </w:rPr>
              <w:t xml:space="preserve">: </w:t>
            </w:r>
            <w:r>
              <w:rPr>
                <w:rFonts w:ascii="Cambria" w:hAnsi="Cambria"/>
                <w:bCs/>
                <w:sz w:val="20"/>
                <w:szCs w:val="20"/>
                <w:lang w:val="es-BO"/>
              </w:rPr>
              <w:t>31 de julio de 2008, 4 de mayo de 2009</w:t>
            </w:r>
          </w:p>
        </w:tc>
      </w:tr>
      <w:tr w:rsidR="00891532" w:rsidRPr="0073198B" w14:paraId="797B23C5" w14:textId="77777777" w:rsidTr="00B859DD">
        <w:trPr>
          <w:trHeight w:val="72"/>
        </w:trPr>
        <w:tc>
          <w:tcPr>
            <w:tcW w:w="4680" w:type="dxa"/>
            <w:vMerge/>
            <w:shd w:val="clear" w:color="auto" w:fill="386294"/>
            <w:vAlign w:val="center"/>
          </w:tcPr>
          <w:p w14:paraId="7327E328" w14:textId="77777777" w:rsidR="00891532" w:rsidRPr="003239B8" w:rsidRDefault="00891532" w:rsidP="008D2290">
            <w:pPr>
              <w:jc w:val="center"/>
              <w:rPr>
                <w:rFonts w:ascii="Cambria" w:hAnsi="Cambria"/>
                <w:b/>
                <w:color w:val="FFFFFF" w:themeColor="background1"/>
                <w:sz w:val="20"/>
                <w:szCs w:val="20"/>
                <w:lang w:val="es-ES"/>
              </w:rPr>
            </w:pPr>
          </w:p>
        </w:tc>
        <w:tc>
          <w:tcPr>
            <w:tcW w:w="4680" w:type="dxa"/>
            <w:vAlign w:val="center"/>
          </w:tcPr>
          <w:p w14:paraId="5C426074" w14:textId="77777777" w:rsidR="00891532" w:rsidRPr="00BD14AB" w:rsidRDefault="00891532" w:rsidP="008D2290">
            <w:pPr>
              <w:jc w:val="both"/>
              <w:rPr>
                <w:rFonts w:ascii="Cambria" w:hAnsi="Cambria"/>
                <w:bCs/>
                <w:sz w:val="20"/>
                <w:szCs w:val="20"/>
                <w:lang w:val="es-BO"/>
              </w:rPr>
            </w:pPr>
            <w:r>
              <w:rPr>
                <w:rFonts w:ascii="Cambria" w:hAnsi="Cambria"/>
                <w:b/>
                <w:bCs/>
                <w:sz w:val="20"/>
                <w:szCs w:val="20"/>
                <w:lang w:val="es-BO"/>
              </w:rPr>
              <w:t xml:space="preserve">P-1401-07: </w:t>
            </w:r>
            <w:r>
              <w:rPr>
                <w:rFonts w:ascii="Cambria" w:hAnsi="Cambria"/>
                <w:bCs/>
                <w:sz w:val="20"/>
                <w:szCs w:val="20"/>
                <w:lang w:val="es-BO"/>
              </w:rPr>
              <w:t>6 de diciembre de 2010</w:t>
            </w:r>
          </w:p>
        </w:tc>
      </w:tr>
      <w:tr w:rsidR="00891532" w:rsidRPr="002A3678" w14:paraId="0E583456" w14:textId="77777777" w:rsidTr="00AA0508">
        <w:trPr>
          <w:trHeight w:val="211"/>
        </w:trPr>
        <w:tc>
          <w:tcPr>
            <w:tcW w:w="4680" w:type="dxa"/>
            <w:vMerge/>
            <w:shd w:val="clear" w:color="auto" w:fill="386294"/>
            <w:vAlign w:val="center"/>
          </w:tcPr>
          <w:p w14:paraId="04183069" w14:textId="77777777" w:rsidR="00891532" w:rsidRPr="003239B8" w:rsidRDefault="00891532" w:rsidP="008D2290">
            <w:pPr>
              <w:jc w:val="center"/>
              <w:rPr>
                <w:rFonts w:ascii="Cambria" w:hAnsi="Cambria"/>
                <w:b/>
                <w:color w:val="FFFFFF" w:themeColor="background1"/>
                <w:sz w:val="20"/>
                <w:szCs w:val="20"/>
                <w:lang w:val="es-ES"/>
              </w:rPr>
            </w:pPr>
          </w:p>
        </w:tc>
        <w:tc>
          <w:tcPr>
            <w:tcW w:w="4680" w:type="dxa"/>
            <w:vAlign w:val="center"/>
          </w:tcPr>
          <w:p w14:paraId="2F05D8BA" w14:textId="77777777" w:rsidR="00891532" w:rsidRPr="009B07DA" w:rsidRDefault="00891532" w:rsidP="008D2290">
            <w:pPr>
              <w:jc w:val="both"/>
              <w:rPr>
                <w:rFonts w:ascii="Cambria" w:hAnsi="Cambria"/>
                <w:bCs/>
                <w:sz w:val="20"/>
                <w:szCs w:val="20"/>
                <w:lang w:val="es-BO"/>
              </w:rPr>
            </w:pPr>
            <w:r>
              <w:rPr>
                <w:rFonts w:ascii="Cambria" w:hAnsi="Cambria"/>
                <w:b/>
                <w:bCs/>
                <w:sz w:val="20"/>
                <w:szCs w:val="20"/>
                <w:lang w:val="es-BO"/>
              </w:rPr>
              <w:t xml:space="preserve">P-300-08: </w:t>
            </w:r>
            <w:r>
              <w:rPr>
                <w:rFonts w:ascii="Cambria" w:hAnsi="Cambria"/>
                <w:bCs/>
                <w:sz w:val="20"/>
                <w:szCs w:val="20"/>
                <w:lang w:val="es-BO"/>
              </w:rPr>
              <w:t>31 de julio de 2008, 26 de febrero de 2013</w:t>
            </w:r>
          </w:p>
        </w:tc>
      </w:tr>
      <w:tr w:rsidR="00891532" w:rsidRPr="002A3678" w14:paraId="2AAB728F" w14:textId="77777777" w:rsidTr="00A91F05">
        <w:trPr>
          <w:trHeight w:val="210"/>
        </w:trPr>
        <w:tc>
          <w:tcPr>
            <w:tcW w:w="4680" w:type="dxa"/>
            <w:vMerge/>
            <w:tcBorders>
              <w:bottom w:val="single" w:sz="6" w:space="0" w:color="auto"/>
            </w:tcBorders>
            <w:shd w:val="clear" w:color="auto" w:fill="386294"/>
            <w:vAlign w:val="center"/>
          </w:tcPr>
          <w:p w14:paraId="68DC75C5" w14:textId="77777777" w:rsidR="00891532" w:rsidRPr="003239B8" w:rsidRDefault="00891532" w:rsidP="008D2290">
            <w:pPr>
              <w:jc w:val="center"/>
              <w:rPr>
                <w:rFonts w:ascii="Cambria" w:hAnsi="Cambria"/>
                <w:b/>
                <w:color w:val="FFFFFF" w:themeColor="background1"/>
                <w:sz w:val="20"/>
                <w:szCs w:val="20"/>
                <w:lang w:val="es-ES"/>
              </w:rPr>
            </w:pPr>
          </w:p>
        </w:tc>
        <w:tc>
          <w:tcPr>
            <w:tcW w:w="4680" w:type="dxa"/>
            <w:vAlign w:val="center"/>
          </w:tcPr>
          <w:p w14:paraId="6C9EFF0C" w14:textId="77777777" w:rsidR="00891532" w:rsidRPr="00F40602" w:rsidRDefault="00891532" w:rsidP="008D2290">
            <w:pPr>
              <w:jc w:val="both"/>
              <w:rPr>
                <w:rFonts w:ascii="Cambria" w:hAnsi="Cambria"/>
                <w:bCs/>
                <w:sz w:val="20"/>
                <w:szCs w:val="20"/>
                <w:lang w:val="es-BO"/>
              </w:rPr>
            </w:pPr>
            <w:r>
              <w:rPr>
                <w:rFonts w:ascii="Cambria" w:hAnsi="Cambria"/>
                <w:b/>
                <w:bCs/>
                <w:sz w:val="20"/>
                <w:szCs w:val="20"/>
                <w:lang w:val="es-BO"/>
              </w:rPr>
              <w:t xml:space="preserve">P-405-08: </w:t>
            </w:r>
            <w:r>
              <w:rPr>
                <w:rFonts w:ascii="Cambria" w:hAnsi="Cambria"/>
                <w:bCs/>
                <w:sz w:val="20"/>
                <w:szCs w:val="20"/>
                <w:lang w:val="es-BO"/>
              </w:rPr>
              <w:t xml:space="preserve">4 de septiembre de 2008, 4 de mayo de </w:t>
            </w:r>
            <w:r>
              <w:rPr>
                <w:rFonts w:ascii="Cambria" w:hAnsi="Cambria"/>
                <w:bCs/>
                <w:sz w:val="20"/>
                <w:szCs w:val="20"/>
                <w:lang w:val="es-BO"/>
              </w:rPr>
              <w:lastRenderedPageBreak/>
              <w:t>2009</w:t>
            </w:r>
          </w:p>
        </w:tc>
      </w:tr>
      <w:tr w:rsidR="004774A2" w:rsidRPr="00812E74" w14:paraId="4091DB6A" w14:textId="77777777" w:rsidTr="004774A2">
        <w:trPr>
          <w:trHeight w:val="109"/>
        </w:trPr>
        <w:tc>
          <w:tcPr>
            <w:tcW w:w="4680" w:type="dxa"/>
            <w:vMerge w:val="restart"/>
            <w:tcBorders>
              <w:top w:val="single" w:sz="6" w:space="0" w:color="auto"/>
            </w:tcBorders>
            <w:shd w:val="clear" w:color="auto" w:fill="386294"/>
            <w:vAlign w:val="center"/>
          </w:tcPr>
          <w:p w14:paraId="0E56B3E4" w14:textId="77777777" w:rsidR="004774A2" w:rsidRPr="003239B8" w:rsidRDefault="004774A2" w:rsidP="005A5BEB">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lastRenderedPageBreak/>
              <w:t>Fecha de notificación de la</w:t>
            </w:r>
            <w:r w:rsidR="005A5BEB">
              <w:rPr>
                <w:rFonts w:ascii="Cambria" w:hAnsi="Cambria"/>
                <w:b/>
                <w:color w:val="FFFFFF" w:themeColor="background1"/>
                <w:sz w:val="20"/>
                <w:szCs w:val="20"/>
                <w:lang w:val="es-ES"/>
              </w:rPr>
              <w:t>s</w:t>
            </w:r>
            <w:r w:rsidRPr="003239B8">
              <w:rPr>
                <w:rFonts w:ascii="Cambria" w:hAnsi="Cambria"/>
                <w:b/>
                <w:color w:val="FFFFFF" w:themeColor="background1"/>
                <w:sz w:val="20"/>
                <w:szCs w:val="20"/>
                <w:lang w:val="es-ES"/>
              </w:rPr>
              <w:t xml:space="preserve"> petici</w:t>
            </w:r>
            <w:r w:rsidR="005A5BEB">
              <w:rPr>
                <w:rFonts w:ascii="Cambria" w:hAnsi="Cambria"/>
                <w:b/>
                <w:color w:val="FFFFFF" w:themeColor="background1"/>
                <w:sz w:val="20"/>
                <w:szCs w:val="20"/>
                <w:lang w:val="es-ES"/>
              </w:rPr>
              <w:t>ones</w:t>
            </w:r>
            <w:r w:rsidRPr="003239B8">
              <w:rPr>
                <w:rFonts w:ascii="Cambria" w:hAnsi="Cambria"/>
                <w:b/>
                <w:color w:val="FFFFFF" w:themeColor="background1"/>
                <w:sz w:val="20"/>
                <w:szCs w:val="20"/>
                <w:lang w:val="es-ES"/>
              </w:rPr>
              <w:t xml:space="preserve"> al Estado:</w:t>
            </w:r>
          </w:p>
        </w:tc>
        <w:tc>
          <w:tcPr>
            <w:tcW w:w="4680" w:type="dxa"/>
            <w:vAlign w:val="center"/>
          </w:tcPr>
          <w:p w14:paraId="2F3FE06F" w14:textId="77777777" w:rsidR="004774A2" w:rsidRPr="00EF4B5C" w:rsidRDefault="004774A2" w:rsidP="008D2290">
            <w:pPr>
              <w:jc w:val="both"/>
              <w:rPr>
                <w:rFonts w:ascii="Cambria" w:hAnsi="Cambria"/>
                <w:bCs/>
                <w:sz w:val="20"/>
                <w:szCs w:val="20"/>
                <w:lang w:val="es-ES"/>
              </w:rPr>
            </w:pPr>
            <w:r w:rsidRPr="00891532">
              <w:rPr>
                <w:rFonts w:ascii="Cambria" w:hAnsi="Cambria"/>
                <w:b/>
                <w:bCs/>
                <w:sz w:val="20"/>
                <w:szCs w:val="20"/>
                <w:lang w:val="es-BO"/>
              </w:rPr>
              <w:t>P-1077-98:</w:t>
            </w:r>
            <w:r>
              <w:rPr>
                <w:rFonts w:ascii="Cambria" w:hAnsi="Cambria"/>
                <w:b/>
                <w:bCs/>
                <w:sz w:val="20"/>
                <w:szCs w:val="20"/>
                <w:lang w:val="es-BO"/>
              </w:rPr>
              <w:t xml:space="preserve"> </w:t>
            </w:r>
            <w:r w:rsidRPr="004774A2">
              <w:rPr>
                <w:rFonts w:ascii="Cambria" w:hAnsi="Cambria"/>
                <w:bCs/>
                <w:sz w:val="20"/>
                <w:szCs w:val="20"/>
                <w:lang w:val="es-BO"/>
              </w:rPr>
              <w:t>2 de agosto de 2001</w:t>
            </w:r>
          </w:p>
        </w:tc>
      </w:tr>
      <w:tr w:rsidR="004774A2" w:rsidRPr="00812E74" w14:paraId="5AAA3664" w14:textId="77777777" w:rsidTr="00751E15">
        <w:trPr>
          <w:trHeight w:val="108"/>
        </w:trPr>
        <w:tc>
          <w:tcPr>
            <w:tcW w:w="4680" w:type="dxa"/>
            <w:vMerge/>
            <w:shd w:val="clear" w:color="auto" w:fill="386294"/>
            <w:vAlign w:val="center"/>
          </w:tcPr>
          <w:p w14:paraId="369B4A39" w14:textId="77777777" w:rsidR="004774A2" w:rsidRPr="003239B8" w:rsidRDefault="004774A2" w:rsidP="008D2290">
            <w:pPr>
              <w:jc w:val="center"/>
              <w:rPr>
                <w:rFonts w:ascii="Cambria" w:hAnsi="Cambria"/>
                <w:b/>
                <w:color w:val="FFFFFF" w:themeColor="background1"/>
                <w:sz w:val="20"/>
                <w:szCs w:val="20"/>
                <w:lang w:val="es-ES"/>
              </w:rPr>
            </w:pPr>
          </w:p>
        </w:tc>
        <w:tc>
          <w:tcPr>
            <w:tcW w:w="4680" w:type="dxa"/>
            <w:vAlign w:val="center"/>
          </w:tcPr>
          <w:p w14:paraId="7E7B48F1" w14:textId="77777777" w:rsidR="004774A2" w:rsidRPr="00EF4B5C" w:rsidRDefault="004774A2" w:rsidP="008D2290">
            <w:pPr>
              <w:jc w:val="both"/>
              <w:rPr>
                <w:rFonts w:ascii="Cambria" w:hAnsi="Cambria"/>
                <w:b/>
                <w:bCs/>
                <w:sz w:val="20"/>
                <w:szCs w:val="20"/>
                <w:lang w:val="es-BO"/>
              </w:rPr>
            </w:pPr>
            <w:r w:rsidRPr="00EF4B5C">
              <w:rPr>
                <w:rFonts w:ascii="Cambria" w:hAnsi="Cambria"/>
                <w:b/>
                <w:bCs/>
                <w:sz w:val="20"/>
                <w:szCs w:val="20"/>
                <w:lang w:val="es-BO"/>
              </w:rPr>
              <w:t>P-1295-07</w:t>
            </w:r>
            <w:r>
              <w:rPr>
                <w:rFonts w:ascii="Cambria" w:hAnsi="Cambria"/>
                <w:b/>
                <w:bCs/>
                <w:sz w:val="20"/>
                <w:szCs w:val="20"/>
                <w:lang w:val="es-BO"/>
              </w:rPr>
              <w:t xml:space="preserve">: </w:t>
            </w:r>
            <w:r>
              <w:rPr>
                <w:rFonts w:ascii="Cambria" w:hAnsi="Cambria"/>
                <w:bCs/>
                <w:sz w:val="20"/>
                <w:szCs w:val="20"/>
                <w:lang w:val="es-BO"/>
              </w:rPr>
              <w:t>3 de septiembre de 2014</w:t>
            </w:r>
          </w:p>
        </w:tc>
      </w:tr>
      <w:tr w:rsidR="004774A2" w:rsidRPr="00812E74" w14:paraId="6482FA95" w14:textId="77777777" w:rsidTr="00D46716">
        <w:trPr>
          <w:trHeight w:val="73"/>
        </w:trPr>
        <w:tc>
          <w:tcPr>
            <w:tcW w:w="4680" w:type="dxa"/>
            <w:vMerge/>
            <w:shd w:val="clear" w:color="auto" w:fill="386294"/>
            <w:vAlign w:val="center"/>
          </w:tcPr>
          <w:p w14:paraId="4EF58972" w14:textId="77777777" w:rsidR="004774A2" w:rsidRPr="003239B8" w:rsidRDefault="004774A2" w:rsidP="008D2290">
            <w:pPr>
              <w:jc w:val="center"/>
              <w:rPr>
                <w:rFonts w:ascii="Cambria" w:hAnsi="Cambria"/>
                <w:b/>
                <w:color w:val="FFFFFF" w:themeColor="background1"/>
                <w:sz w:val="20"/>
                <w:szCs w:val="20"/>
                <w:lang w:val="es-ES"/>
              </w:rPr>
            </w:pPr>
          </w:p>
        </w:tc>
        <w:tc>
          <w:tcPr>
            <w:tcW w:w="4680" w:type="dxa"/>
            <w:vAlign w:val="center"/>
          </w:tcPr>
          <w:p w14:paraId="3CA6C291" w14:textId="77777777" w:rsidR="004774A2" w:rsidRPr="009C7093" w:rsidRDefault="004774A2" w:rsidP="008D2290">
            <w:pPr>
              <w:jc w:val="both"/>
              <w:rPr>
                <w:rFonts w:ascii="Cambria" w:hAnsi="Cambria"/>
                <w:bCs/>
                <w:sz w:val="20"/>
                <w:szCs w:val="20"/>
                <w:lang w:val="es-BO"/>
              </w:rPr>
            </w:pPr>
            <w:r>
              <w:rPr>
                <w:rFonts w:ascii="Cambria" w:hAnsi="Cambria"/>
                <w:b/>
                <w:bCs/>
                <w:sz w:val="20"/>
                <w:szCs w:val="20"/>
                <w:lang w:val="es-BO"/>
              </w:rPr>
              <w:t>P-1296</w:t>
            </w:r>
            <w:r w:rsidRPr="00EF4B5C">
              <w:rPr>
                <w:rFonts w:ascii="Cambria" w:hAnsi="Cambria"/>
                <w:b/>
                <w:bCs/>
                <w:sz w:val="20"/>
                <w:szCs w:val="20"/>
                <w:lang w:val="es-BO"/>
              </w:rPr>
              <w:t>-07</w:t>
            </w:r>
            <w:r>
              <w:rPr>
                <w:rFonts w:ascii="Cambria" w:hAnsi="Cambria"/>
                <w:b/>
                <w:bCs/>
                <w:sz w:val="20"/>
                <w:szCs w:val="20"/>
                <w:lang w:val="es-BO"/>
              </w:rPr>
              <w:t xml:space="preserve">: </w:t>
            </w:r>
            <w:r>
              <w:rPr>
                <w:rFonts w:ascii="Cambria" w:hAnsi="Cambria"/>
                <w:bCs/>
                <w:sz w:val="20"/>
                <w:szCs w:val="20"/>
                <w:lang w:val="es-BO"/>
              </w:rPr>
              <w:t>8 de agosto de 2014</w:t>
            </w:r>
          </w:p>
        </w:tc>
      </w:tr>
      <w:tr w:rsidR="004774A2" w:rsidRPr="00812E74" w14:paraId="69944E3D" w14:textId="77777777" w:rsidTr="00D46716">
        <w:trPr>
          <w:trHeight w:val="72"/>
        </w:trPr>
        <w:tc>
          <w:tcPr>
            <w:tcW w:w="4680" w:type="dxa"/>
            <w:vMerge/>
            <w:shd w:val="clear" w:color="auto" w:fill="386294"/>
            <w:vAlign w:val="center"/>
          </w:tcPr>
          <w:p w14:paraId="0FD41207" w14:textId="77777777" w:rsidR="004774A2" w:rsidRPr="003239B8" w:rsidRDefault="004774A2" w:rsidP="008D2290">
            <w:pPr>
              <w:jc w:val="center"/>
              <w:rPr>
                <w:rFonts w:ascii="Cambria" w:hAnsi="Cambria"/>
                <w:b/>
                <w:color w:val="FFFFFF" w:themeColor="background1"/>
                <w:sz w:val="20"/>
                <w:szCs w:val="20"/>
                <w:lang w:val="es-ES"/>
              </w:rPr>
            </w:pPr>
          </w:p>
        </w:tc>
        <w:tc>
          <w:tcPr>
            <w:tcW w:w="4680" w:type="dxa"/>
            <w:vAlign w:val="center"/>
          </w:tcPr>
          <w:p w14:paraId="55C45F99" w14:textId="77777777" w:rsidR="004774A2" w:rsidRPr="00BD14AB" w:rsidRDefault="004774A2" w:rsidP="008D2290">
            <w:pPr>
              <w:jc w:val="both"/>
              <w:rPr>
                <w:rFonts w:ascii="Cambria" w:hAnsi="Cambria"/>
                <w:bCs/>
                <w:sz w:val="20"/>
                <w:szCs w:val="20"/>
                <w:lang w:val="es-BO"/>
              </w:rPr>
            </w:pPr>
            <w:r>
              <w:rPr>
                <w:rFonts w:ascii="Cambria" w:hAnsi="Cambria"/>
                <w:b/>
                <w:bCs/>
                <w:sz w:val="20"/>
                <w:szCs w:val="20"/>
                <w:lang w:val="es-BO"/>
              </w:rPr>
              <w:t xml:space="preserve">P-1401-07: </w:t>
            </w:r>
            <w:r>
              <w:rPr>
                <w:rFonts w:ascii="Cambria" w:hAnsi="Cambria"/>
                <w:bCs/>
                <w:sz w:val="20"/>
                <w:szCs w:val="20"/>
                <w:lang w:val="es-BO"/>
              </w:rPr>
              <w:t>30 de julio de 2014</w:t>
            </w:r>
          </w:p>
        </w:tc>
      </w:tr>
      <w:tr w:rsidR="004774A2" w:rsidRPr="00812E74" w14:paraId="4F6F0A0D" w14:textId="77777777" w:rsidTr="00AE2A0A">
        <w:trPr>
          <w:trHeight w:val="109"/>
        </w:trPr>
        <w:tc>
          <w:tcPr>
            <w:tcW w:w="4680" w:type="dxa"/>
            <w:vMerge/>
            <w:shd w:val="clear" w:color="auto" w:fill="386294"/>
            <w:vAlign w:val="center"/>
          </w:tcPr>
          <w:p w14:paraId="798A7C4F" w14:textId="77777777" w:rsidR="004774A2" w:rsidRPr="003239B8" w:rsidRDefault="004774A2" w:rsidP="008D2290">
            <w:pPr>
              <w:jc w:val="center"/>
              <w:rPr>
                <w:rFonts w:ascii="Cambria" w:hAnsi="Cambria"/>
                <w:b/>
                <w:color w:val="FFFFFF" w:themeColor="background1"/>
                <w:sz w:val="20"/>
                <w:szCs w:val="20"/>
                <w:lang w:val="es-ES"/>
              </w:rPr>
            </w:pPr>
          </w:p>
        </w:tc>
        <w:tc>
          <w:tcPr>
            <w:tcW w:w="4680" w:type="dxa"/>
            <w:vAlign w:val="center"/>
          </w:tcPr>
          <w:p w14:paraId="50CFD018" w14:textId="77777777" w:rsidR="004774A2" w:rsidRPr="009B07DA" w:rsidRDefault="004774A2" w:rsidP="008D2290">
            <w:pPr>
              <w:jc w:val="both"/>
              <w:rPr>
                <w:rFonts w:ascii="Cambria" w:hAnsi="Cambria"/>
                <w:bCs/>
                <w:sz w:val="20"/>
                <w:szCs w:val="20"/>
                <w:lang w:val="es-BO"/>
              </w:rPr>
            </w:pPr>
            <w:r>
              <w:rPr>
                <w:rFonts w:ascii="Cambria" w:hAnsi="Cambria"/>
                <w:b/>
                <w:bCs/>
                <w:sz w:val="20"/>
                <w:szCs w:val="20"/>
                <w:lang w:val="es-BO"/>
              </w:rPr>
              <w:t xml:space="preserve">P-300-08: </w:t>
            </w:r>
            <w:r>
              <w:rPr>
                <w:rFonts w:ascii="Cambria" w:hAnsi="Cambria"/>
                <w:bCs/>
                <w:sz w:val="20"/>
                <w:szCs w:val="20"/>
                <w:lang w:val="es-BO"/>
              </w:rPr>
              <w:t>4 de abril de 2014</w:t>
            </w:r>
          </w:p>
        </w:tc>
      </w:tr>
      <w:tr w:rsidR="004774A2" w:rsidRPr="00812E74" w14:paraId="370454BF" w14:textId="77777777" w:rsidTr="00E438DE">
        <w:trPr>
          <w:trHeight w:val="108"/>
        </w:trPr>
        <w:tc>
          <w:tcPr>
            <w:tcW w:w="4680" w:type="dxa"/>
            <w:vMerge/>
            <w:tcBorders>
              <w:bottom w:val="single" w:sz="6" w:space="0" w:color="auto"/>
            </w:tcBorders>
            <w:shd w:val="clear" w:color="auto" w:fill="386294"/>
            <w:vAlign w:val="center"/>
          </w:tcPr>
          <w:p w14:paraId="71E16CB0" w14:textId="77777777" w:rsidR="004774A2" w:rsidRPr="003239B8" w:rsidRDefault="004774A2" w:rsidP="008D2290">
            <w:pPr>
              <w:jc w:val="center"/>
              <w:rPr>
                <w:rFonts w:ascii="Cambria" w:hAnsi="Cambria"/>
                <w:b/>
                <w:color w:val="FFFFFF" w:themeColor="background1"/>
                <w:sz w:val="20"/>
                <w:szCs w:val="20"/>
                <w:lang w:val="es-ES"/>
              </w:rPr>
            </w:pPr>
          </w:p>
        </w:tc>
        <w:tc>
          <w:tcPr>
            <w:tcW w:w="4680" w:type="dxa"/>
            <w:vAlign w:val="center"/>
          </w:tcPr>
          <w:p w14:paraId="70137F37" w14:textId="77777777" w:rsidR="004774A2" w:rsidRPr="00331994" w:rsidRDefault="004774A2" w:rsidP="008D2290">
            <w:pPr>
              <w:jc w:val="both"/>
              <w:rPr>
                <w:rFonts w:ascii="Cambria" w:hAnsi="Cambria"/>
                <w:bCs/>
                <w:sz w:val="20"/>
                <w:szCs w:val="20"/>
                <w:lang w:val="es-BO"/>
              </w:rPr>
            </w:pPr>
            <w:r>
              <w:rPr>
                <w:rFonts w:ascii="Cambria" w:hAnsi="Cambria"/>
                <w:b/>
                <w:bCs/>
                <w:sz w:val="20"/>
                <w:szCs w:val="20"/>
                <w:lang w:val="es-BO"/>
              </w:rPr>
              <w:t xml:space="preserve">P-405-08: </w:t>
            </w:r>
            <w:r>
              <w:rPr>
                <w:rFonts w:ascii="Cambria" w:hAnsi="Cambria"/>
                <w:bCs/>
                <w:sz w:val="20"/>
                <w:szCs w:val="20"/>
                <w:lang w:val="es-BO"/>
              </w:rPr>
              <w:t>29 de abril de 2014</w:t>
            </w:r>
          </w:p>
        </w:tc>
      </w:tr>
      <w:tr w:rsidR="004774A2" w:rsidRPr="00812E74" w14:paraId="6DB741BF" w14:textId="77777777" w:rsidTr="004774A2">
        <w:trPr>
          <w:trHeight w:val="109"/>
        </w:trPr>
        <w:tc>
          <w:tcPr>
            <w:tcW w:w="4680" w:type="dxa"/>
            <w:vMerge w:val="restart"/>
            <w:tcBorders>
              <w:top w:val="single" w:sz="6" w:space="0" w:color="auto"/>
            </w:tcBorders>
            <w:shd w:val="clear" w:color="auto" w:fill="386294"/>
            <w:vAlign w:val="center"/>
          </w:tcPr>
          <w:p w14:paraId="3C33EF4A" w14:textId="77777777" w:rsidR="004774A2" w:rsidRPr="003239B8" w:rsidRDefault="004774A2" w:rsidP="005A5BEB">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respuest</w:t>
            </w:r>
            <w:r w:rsidR="005A5BEB">
              <w:rPr>
                <w:rFonts w:ascii="Cambria" w:hAnsi="Cambria"/>
                <w:b/>
                <w:color w:val="FFFFFF" w:themeColor="background1"/>
                <w:sz w:val="20"/>
                <w:szCs w:val="20"/>
                <w:lang w:val="es-ES"/>
              </w:rPr>
              <w:t>as</w:t>
            </w:r>
            <w:r w:rsidRPr="003239B8">
              <w:rPr>
                <w:rFonts w:ascii="Cambria" w:hAnsi="Cambria"/>
                <w:b/>
                <w:color w:val="FFFFFF" w:themeColor="background1"/>
                <w:sz w:val="20"/>
                <w:szCs w:val="20"/>
                <w:lang w:val="es-ES"/>
              </w:rPr>
              <w:t xml:space="preserve"> del Estado:</w:t>
            </w:r>
          </w:p>
        </w:tc>
        <w:tc>
          <w:tcPr>
            <w:tcW w:w="4680" w:type="dxa"/>
            <w:vAlign w:val="center"/>
          </w:tcPr>
          <w:p w14:paraId="2F6FC3CC" w14:textId="77777777" w:rsidR="004774A2" w:rsidRPr="004774A2" w:rsidRDefault="004774A2" w:rsidP="008D2290">
            <w:pPr>
              <w:jc w:val="both"/>
              <w:rPr>
                <w:rFonts w:ascii="Cambria" w:hAnsi="Cambria"/>
                <w:bCs/>
                <w:sz w:val="20"/>
                <w:szCs w:val="20"/>
                <w:lang w:val="es-ES"/>
              </w:rPr>
            </w:pPr>
            <w:r w:rsidRPr="00891532">
              <w:rPr>
                <w:rFonts w:ascii="Cambria" w:hAnsi="Cambria"/>
                <w:b/>
                <w:bCs/>
                <w:sz w:val="20"/>
                <w:szCs w:val="20"/>
                <w:lang w:val="es-BO"/>
              </w:rPr>
              <w:t>P-1077-98:</w:t>
            </w:r>
            <w:r>
              <w:rPr>
                <w:rFonts w:ascii="Cambria" w:hAnsi="Cambria"/>
                <w:b/>
                <w:bCs/>
                <w:sz w:val="20"/>
                <w:szCs w:val="20"/>
                <w:lang w:val="es-BO"/>
              </w:rPr>
              <w:t xml:space="preserve"> </w:t>
            </w:r>
            <w:r>
              <w:rPr>
                <w:rFonts w:ascii="Cambria" w:hAnsi="Cambria"/>
                <w:bCs/>
                <w:sz w:val="20"/>
                <w:szCs w:val="20"/>
                <w:lang w:val="es-BO"/>
              </w:rPr>
              <w:t>4 de octubre de 2001</w:t>
            </w:r>
          </w:p>
        </w:tc>
      </w:tr>
      <w:tr w:rsidR="004774A2" w:rsidRPr="00812E74" w14:paraId="04991ED9" w14:textId="77777777" w:rsidTr="00A4655A">
        <w:trPr>
          <w:trHeight w:val="108"/>
        </w:trPr>
        <w:tc>
          <w:tcPr>
            <w:tcW w:w="4680" w:type="dxa"/>
            <w:vMerge/>
            <w:shd w:val="clear" w:color="auto" w:fill="386294"/>
            <w:vAlign w:val="center"/>
          </w:tcPr>
          <w:p w14:paraId="2A623805" w14:textId="77777777" w:rsidR="004774A2" w:rsidRPr="003239B8" w:rsidRDefault="004774A2" w:rsidP="00EB470D">
            <w:pPr>
              <w:jc w:val="center"/>
              <w:rPr>
                <w:rFonts w:ascii="Cambria" w:hAnsi="Cambria"/>
                <w:b/>
                <w:color w:val="FFFFFF" w:themeColor="background1"/>
                <w:sz w:val="20"/>
                <w:szCs w:val="20"/>
                <w:lang w:val="es-ES"/>
              </w:rPr>
            </w:pPr>
          </w:p>
        </w:tc>
        <w:tc>
          <w:tcPr>
            <w:tcW w:w="4680" w:type="dxa"/>
            <w:vAlign w:val="center"/>
          </w:tcPr>
          <w:p w14:paraId="150BE692" w14:textId="77777777" w:rsidR="004774A2" w:rsidRPr="00EF4B5C" w:rsidRDefault="004774A2" w:rsidP="008D2290">
            <w:pPr>
              <w:jc w:val="both"/>
              <w:rPr>
                <w:rFonts w:ascii="Cambria" w:hAnsi="Cambria"/>
                <w:b/>
                <w:bCs/>
                <w:sz w:val="20"/>
                <w:szCs w:val="20"/>
                <w:lang w:val="es-BO"/>
              </w:rPr>
            </w:pPr>
            <w:r w:rsidRPr="00EF4B5C">
              <w:rPr>
                <w:rFonts w:ascii="Cambria" w:hAnsi="Cambria"/>
                <w:b/>
                <w:bCs/>
                <w:sz w:val="20"/>
                <w:szCs w:val="20"/>
                <w:lang w:val="es-BO"/>
              </w:rPr>
              <w:t>P-1295-07</w:t>
            </w:r>
            <w:r>
              <w:rPr>
                <w:rFonts w:ascii="Cambria" w:hAnsi="Cambria"/>
                <w:b/>
                <w:bCs/>
                <w:sz w:val="20"/>
                <w:szCs w:val="20"/>
                <w:lang w:val="es-BO"/>
              </w:rPr>
              <w:t xml:space="preserve">: </w:t>
            </w:r>
            <w:r>
              <w:rPr>
                <w:rFonts w:ascii="Cambria" w:hAnsi="Cambria"/>
                <w:bCs/>
                <w:sz w:val="20"/>
                <w:szCs w:val="20"/>
                <w:lang w:val="es-BO"/>
              </w:rPr>
              <w:t>5 de diciembre de 2014</w:t>
            </w:r>
          </w:p>
        </w:tc>
      </w:tr>
      <w:tr w:rsidR="004774A2" w:rsidRPr="00812E74" w14:paraId="1152AE3F" w14:textId="77777777" w:rsidTr="00E471F4">
        <w:trPr>
          <w:trHeight w:val="73"/>
        </w:trPr>
        <w:tc>
          <w:tcPr>
            <w:tcW w:w="4680" w:type="dxa"/>
            <w:vMerge/>
            <w:shd w:val="clear" w:color="auto" w:fill="386294"/>
            <w:vAlign w:val="center"/>
          </w:tcPr>
          <w:p w14:paraId="014119F7" w14:textId="77777777" w:rsidR="004774A2" w:rsidRPr="003239B8" w:rsidRDefault="004774A2" w:rsidP="008D2290">
            <w:pPr>
              <w:jc w:val="center"/>
              <w:rPr>
                <w:rFonts w:ascii="Cambria" w:hAnsi="Cambria"/>
                <w:b/>
                <w:color w:val="FFFFFF" w:themeColor="background1"/>
                <w:sz w:val="20"/>
                <w:szCs w:val="20"/>
                <w:lang w:val="es-ES"/>
              </w:rPr>
            </w:pPr>
          </w:p>
        </w:tc>
        <w:tc>
          <w:tcPr>
            <w:tcW w:w="4680" w:type="dxa"/>
            <w:vAlign w:val="center"/>
          </w:tcPr>
          <w:p w14:paraId="398DD5DF" w14:textId="77777777" w:rsidR="004774A2" w:rsidRPr="009C7093" w:rsidRDefault="004774A2" w:rsidP="008D2290">
            <w:pPr>
              <w:jc w:val="both"/>
              <w:rPr>
                <w:rFonts w:ascii="Cambria" w:hAnsi="Cambria"/>
                <w:bCs/>
                <w:sz w:val="20"/>
                <w:szCs w:val="20"/>
                <w:lang w:val="es-BO"/>
              </w:rPr>
            </w:pPr>
            <w:r>
              <w:rPr>
                <w:rFonts w:ascii="Cambria" w:hAnsi="Cambria"/>
                <w:b/>
                <w:bCs/>
                <w:sz w:val="20"/>
                <w:szCs w:val="20"/>
                <w:lang w:val="es-BO"/>
              </w:rPr>
              <w:t>P-1296</w:t>
            </w:r>
            <w:r w:rsidRPr="00EF4B5C">
              <w:rPr>
                <w:rFonts w:ascii="Cambria" w:hAnsi="Cambria"/>
                <w:b/>
                <w:bCs/>
                <w:sz w:val="20"/>
                <w:szCs w:val="20"/>
                <w:lang w:val="es-BO"/>
              </w:rPr>
              <w:t>-07</w:t>
            </w:r>
            <w:r>
              <w:rPr>
                <w:rFonts w:ascii="Cambria" w:hAnsi="Cambria"/>
                <w:b/>
                <w:bCs/>
                <w:sz w:val="20"/>
                <w:szCs w:val="20"/>
                <w:lang w:val="es-BO"/>
              </w:rPr>
              <w:t xml:space="preserve">: </w:t>
            </w:r>
            <w:r>
              <w:rPr>
                <w:rFonts w:ascii="Cambria" w:hAnsi="Cambria"/>
                <w:bCs/>
                <w:sz w:val="20"/>
                <w:szCs w:val="20"/>
                <w:lang w:val="es-BO"/>
              </w:rPr>
              <w:t>17 de noviembre de 2014</w:t>
            </w:r>
          </w:p>
        </w:tc>
      </w:tr>
      <w:tr w:rsidR="004774A2" w:rsidRPr="00812E74" w14:paraId="028328D8" w14:textId="77777777" w:rsidTr="00E471F4">
        <w:trPr>
          <w:trHeight w:val="72"/>
        </w:trPr>
        <w:tc>
          <w:tcPr>
            <w:tcW w:w="4680" w:type="dxa"/>
            <w:vMerge/>
            <w:shd w:val="clear" w:color="auto" w:fill="386294"/>
            <w:vAlign w:val="center"/>
          </w:tcPr>
          <w:p w14:paraId="2BF36AD9" w14:textId="77777777" w:rsidR="004774A2" w:rsidRPr="003239B8" w:rsidRDefault="004774A2" w:rsidP="008D2290">
            <w:pPr>
              <w:jc w:val="center"/>
              <w:rPr>
                <w:rFonts w:ascii="Cambria" w:hAnsi="Cambria"/>
                <w:b/>
                <w:color w:val="FFFFFF" w:themeColor="background1"/>
                <w:sz w:val="20"/>
                <w:szCs w:val="20"/>
                <w:lang w:val="es-ES"/>
              </w:rPr>
            </w:pPr>
          </w:p>
        </w:tc>
        <w:tc>
          <w:tcPr>
            <w:tcW w:w="4680" w:type="dxa"/>
            <w:vAlign w:val="center"/>
          </w:tcPr>
          <w:p w14:paraId="3456D702" w14:textId="77777777" w:rsidR="004774A2" w:rsidRPr="00BD14AB" w:rsidRDefault="004774A2" w:rsidP="008D2290">
            <w:pPr>
              <w:jc w:val="both"/>
              <w:rPr>
                <w:rFonts w:ascii="Cambria" w:hAnsi="Cambria"/>
                <w:bCs/>
                <w:sz w:val="20"/>
                <w:szCs w:val="20"/>
                <w:lang w:val="es-BO"/>
              </w:rPr>
            </w:pPr>
            <w:r>
              <w:rPr>
                <w:rFonts w:ascii="Cambria" w:hAnsi="Cambria"/>
                <w:b/>
                <w:bCs/>
                <w:sz w:val="20"/>
                <w:szCs w:val="20"/>
                <w:lang w:val="es-BO"/>
              </w:rPr>
              <w:t xml:space="preserve">P-1401-07: </w:t>
            </w:r>
            <w:r>
              <w:rPr>
                <w:rFonts w:ascii="Cambria" w:hAnsi="Cambria"/>
                <w:bCs/>
                <w:sz w:val="20"/>
                <w:szCs w:val="20"/>
                <w:lang w:val="es-BO"/>
              </w:rPr>
              <w:t>17 de noviembre de 2014</w:t>
            </w:r>
          </w:p>
        </w:tc>
      </w:tr>
      <w:tr w:rsidR="004774A2" w:rsidRPr="00812E74" w14:paraId="041A7F87" w14:textId="77777777" w:rsidTr="00BD4DB4">
        <w:trPr>
          <w:trHeight w:val="109"/>
        </w:trPr>
        <w:tc>
          <w:tcPr>
            <w:tcW w:w="4680" w:type="dxa"/>
            <w:vMerge/>
            <w:shd w:val="clear" w:color="auto" w:fill="386294"/>
            <w:vAlign w:val="center"/>
          </w:tcPr>
          <w:p w14:paraId="7CC29406" w14:textId="77777777" w:rsidR="004774A2" w:rsidRPr="003239B8" w:rsidRDefault="004774A2" w:rsidP="008D2290">
            <w:pPr>
              <w:jc w:val="center"/>
              <w:rPr>
                <w:rFonts w:ascii="Cambria" w:hAnsi="Cambria"/>
                <w:b/>
                <w:color w:val="FFFFFF" w:themeColor="background1"/>
                <w:sz w:val="20"/>
                <w:szCs w:val="20"/>
                <w:lang w:val="es-ES"/>
              </w:rPr>
            </w:pPr>
          </w:p>
        </w:tc>
        <w:tc>
          <w:tcPr>
            <w:tcW w:w="4680" w:type="dxa"/>
            <w:vAlign w:val="center"/>
          </w:tcPr>
          <w:p w14:paraId="4FB594CE" w14:textId="77777777" w:rsidR="004774A2" w:rsidRPr="00F40602" w:rsidRDefault="004774A2" w:rsidP="008D2290">
            <w:pPr>
              <w:jc w:val="both"/>
              <w:rPr>
                <w:rFonts w:ascii="Cambria" w:hAnsi="Cambria"/>
                <w:bCs/>
                <w:sz w:val="20"/>
                <w:szCs w:val="20"/>
                <w:lang w:val="es-BO"/>
              </w:rPr>
            </w:pPr>
            <w:r>
              <w:rPr>
                <w:rFonts w:ascii="Cambria" w:hAnsi="Cambria"/>
                <w:b/>
                <w:bCs/>
                <w:sz w:val="20"/>
                <w:szCs w:val="20"/>
                <w:lang w:val="es-BO"/>
              </w:rPr>
              <w:t xml:space="preserve">P-300-08: </w:t>
            </w:r>
            <w:r>
              <w:rPr>
                <w:rFonts w:ascii="Cambria" w:hAnsi="Cambria"/>
                <w:bCs/>
                <w:sz w:val="20"/>
                <w:szCs w:val="20"/>
                <w:lang w:val="es-BO"/>
              </w:rPr>
              <w:t>15 de julio de 2014</w:t>
            </w:r>
          </w:p>
        </w:tc>
      </w:tr>
      <w:tr w:rsidR="004774A2" w:rsidRPr="00812E74" w14:paraId="7803BAAE" w14:textId="77777777" w:rsidTr="004774A2">
        <w:trPr>
          <w:trHeight w:val="108"/>
        </w:trPr>
        <w:tc>
          <w:tcPr>
            <w:tcW w:w="4680" w:type="dxa"/>
            <w:vMerge/>
            <w:shd w:val="clear" w:color="auto" w:fill="386294"/>
            <w:vAlign w:val="center"/>
          </w:tcPr>
          <w:p w14:paraId="079B059C" w14:textId="77777777" w:rsidR="004774A2" w:rsidRPr="003239B8" w:rsidRDefault="004774A2" w:rsidP="008D2290">
            <w:pPr>
              <w:jc w:val="center"/>
              <w:rPr>
                <w:rFonts w:ascii="Cambria" w:hAnsi="Cambria"/>
                <w:b/>
                <w:color w:val="FFFFFF" w:themeColor="background1"/>
                <w:sz w:val="20"/>
                <w:szCs w:val="20"/>
                <w:lang w:val="es-ES"/>
              </w:rPr>
            </w:pPr>
          </w:p>
        </w:tc>
        <w:tc>
          <w:tcPr>
            <w:tcW w:w="4680" w:type="dxa"/>
            <w:vAlign w:val="center"/>
          </w:tcPr>
          <w:p w14:paraId="6132E18D" w14:textId="77777777" w:rsidR="004774A2" w:rsidRPr="00331994" w:rsidRDefault="004774A2" w:rsidP="008D2290">
            <w:pPr>
              <w:jc w:val="both"/>
              <w:rPr>
                <w:rFonts w:ascii="Cambria" w:hAnsi="Cambria"/>
                <w:bCs/>
                <w:sz w:val="20"/>
                <w:szCs w:val="20"/>
                <w:lang w:val="es-BO"/>
              </w:rPr>
            </w:pPr>
            <w:r>
              <w:rPr>
                <w:rFonts w:ascii="Cambria" w:hAnsi="Cambria"/>
                <w:b/>
                <w:bCs/>
                <w:sz w:val="20"/>
                <w:szCs w:val="20"/>
                <w:lang w:val="es-BO"/>
              </w:rPr>
              <w:t xml:space="preserve">P-405-08: </w:t>
            </w:r>
            <w:r>
              <w:rPr>
                <w:rFonts w:ascii="Cambria" w:hAnsi="Cambria"/>
                <w:bCs/>
                <w:sz w:val="20"/>
                <w:szCs w:val="20"/>
                <w:lang w:val="es-BO"/>
              </w:rPr>
              <w:t>4 de agosto de 2014</w:t>
            </w:r>
          </w:p>
        </w:tc>
      </w:tr>
      <w:tr w:rsidR="004774A2" w:rsidRPr="002A3678" w14:paraId="7EAE2AE0" w14:textId="77777777" w:rsidTr="00B46C7B">
        <w:trPr>
          <w:trHeight w:val="108"/>
        </w:trPr>
        <w:tc>
          <w:tcPr>
            <w:tcW w:w="4680" w:type="dxa"/>
            <w:tcBorders>
              <w:bottom w:val="single" w:sz="6" w:space="0" w:color="auto"/>
            </w:tcBorders>
            <w:shd w:val="clear" w:color="auto" w:fill="386294"/>
            <w:vAlign w:val="center"/>
          </w:tcPr>
          <w:p w14:paraId="605842B1" w14:textId="77777777" w:rsidR="00B94041" w:rsidRDefault="004774A2" w:rsidP="00B94041">
            <w:pPr>
              <w:ind w:left="-288"/>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 xml:space="preserve">Observaciones adicionales de la parte </w:t>
            </w:r>
          </w:p>
          <w:p w14:paraId="421DAAF5" w14:textId="3503721E" w:rsidR="004774A2" w:rsidRPr="003239B8" w:rsidRDefault="004774A2" w:rsidP="00B94041">
            <w:pPr>
              <w:ind w:left="-288"/>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peticionaria:</w:t>
            </w:r>
          </w:p>
        </w:tc>
        <w:tc>
          <w:tcPr>
            <w:tcW w:w="4680" w:type="dxa"/>
            <w:vAlign w:val="center"/>
          </w:tcPr>
          <w:p w14:paraId="07345BB0" w14:textId="2FDE4BE1" w:rsidR="004774A2" w:rsidRPr="003239B8" w:rsidRDefault="00EC058B" w:rsidP="009C74F9">
            <w:pPr>
              <w:jc w:val="both"/>
              <w:rPr>
                <w:rFonts w:ascii="Cambria" w:hAnsi="Cambria"/>
                <w:bCs/>
                <w:sz w:val="20"/>
                <w:szCs w:val="20"/>
                <w:lang w:val="es-ES"/>
              </w:rPr>
            </w:pPr>
            <w:r w:rsidRPr="00891532">
              <w:rPr>
                <w:rFonts w:ascii="Cambria" w:hAnsi="Cambria"/>
                <w:b/>
                <w:bCs/>
                <w:sz w:val="20"/>
                <w:szCs w:val="20"/>
                <w:lang w:val="es-BO"/>
              </w:rPr>
              <w:t>P-1077-98:</w:t>
            </w:r>
            <w:r>
              <w:rPr>
                <w:rFonts w:ascii="Cambria" w:hAnsi="Cambria"/>
                <w:b/>
                <w:bCs/>
                <w:sz w:val="20"/>
                <w:szCs w:val="20"/>
                <w:lang w:val="es-BO"/>
              </w:rPr>
              <w:t xml:space="preserve"> </w:t>
            </w:r>
            <w:r w:rsidRPr="00891532">
              <w:rPr>
                <w:rFonts w:ascii="Cambria" w:hAnsi="Cambria"/>
                <w:bCs/>
                <w:sz w:val="20"/>
                <w:szCs w:val="20"/>
                <w:lang w:val="es-BO"/>
              </w:rPr>
              <w:t>6 de noviembre y 21 de diciembre de 2001, 9 de</w:t>
            </w:r>
            <w:r>
              <w:rPr>
                <w:rFonts w:ascii="Cambria" w:hAnsi="Cambria"/>
                <w:bCs/>
                <w:sz w:val="20"/>
                <w:szCs w:val="20"/>
                <w:lang w:val="es-BO"/>
              </w:rPr>
              <w:t xml:space="preserve"> enero y 30 de septiembre de 2002, 15 de septiembre de</w:t>
            </w:r>
            <w:r w:rsidR="006B4F19">
              <w:rPr>
                <w:rFonts w:ascii="Cambria" w:hAnsi="Cambria"/>
                <w:bCs/>
                <w:sz w:val="20"/>
                <w:szCs w:val="20"/>
                <w:lang w:val="es-BO"/>
              </w:rPr>
              <w:t xml:space="preserve"> 2011 y 13 de noviembre de 2013</w:t>
            </w:r>
          </w:p>
        </w:tc>
      </w:tr>
      <w:tr w:rsidR="004774A2" w:rsidRPr="002A3678" w14:paraId="2486FE88" w14:textId="77777777" w:rsidTr="00B46C7B">
        <w:trPr>
          <w:trHeight w:val="108"/>
        </w:trPr>
        <w:tc>
          <w:tcPr>
            <w:tcW w:w="4680" w:type="dxa"/>
            <w:tcBorders>
              <w:bottom w:val="single" w:sz="6" w:space="0" w:color="auto"/>
            </w:tcBorders>
            <w:shd w:val="clear" w:color="auto" w:fill="386294"/>
            <w:vAlign w:val="center"/>
          </w:tcPr>
          <w:p w14:paraId="7AAFDF90" w14:textId="2D924B1C" w:rsidR="004774A2" w:rsidRPr="00706824" w:rsidRDefault="004774A2" w:rsidP="00B94041">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4680" w:type="dxa"/>
            <w:vAlign w:val="center"/>
          </w:tcPr>
          <w:p w14:paraId="482091D2" w14:textId="31BBF6C8" w:rsidR="004774A2" w:rsidRPr="00EC058B" w:rsidRDefault="00EC058B" w:rsidP="009C74F9">
            <w:pPr>
              <w:jc w:val="both"/>
              <w:rPr>
                <w:rFonts w:ascii="Cambria" w:hAnsi="Cambria"/>
                <w:bCs/>
                <w:sz w:val="20"/>
                <w:szCs w:val="20"/>
                <w:lang w:val="es-BO"/>
              </w:rPr>
            </w:pPr>
            <w:r w:rsidRPr="00891532">
              <w:rPr>
                <w:rFonts w:ascii="Cambria" w:hAnsi="Cambria"/>
                <w:b/>
                <w:bCs/>
                <w:sz w:val="20"/>
                <w:szCs w:val="20"/>
                <w:lang w:val="es-BO"/>
              </w:rPr>
              <w:t>P-1077-98:</w:t>
            </w:r>
            <w:r>
              <w:rPr>
                <w:rFonts w:ascii="Cambria" w:hAnsi="Cambria"/>
                <w:b/>
                <w:bCs/>
                <w:sz w:val="20"/>
                <w:szCs w:val="20"/>
                <w:lang w:val="es-BO"/>
              </w:rPr>
              <w:t xml:space="preserve"> </w:t>
            </w:r>
            <w:r>
              <w:rPr>
                <w:rFonts w:ascii="Cambria" w:hAnsi="Cambria"/>
                <w:bCs/>
                <w:sz w:val="20"/>
                <w:szCs w:val="20"/>
                <w:lang w:val="es-BO"/>
              </w:rPr>
              <w:t>16 de octubre de 2001, 18 de mayo de 2011 y 1 de agosto de 2012</w:t>
            </w:r>
          </w:p>
        </w:tc>
      </w:tr>
      <w:tr w:rsidR="004774A2" w:rsidRPr="004774A2" w14:paraId="3DF27D9F" w14:textId="77777777" w:rsidTr="00B46C7B">
        <w:trPr>
          <w:trHeight w:val="108"/>
        </w:trPr>
        <w:tc>
          <w:tcPr>
            <w:tcW w:w="4680" w:type="dxa"/>
            <w:tcBorders>
              <w:bottom w:val="single" w:sz="6" w:space="0" w:color="auto"/>
            </w:tcBorders>
            <w:shd w:val="clear" w:color="auto" w:fill="386294"/>
            <w:vAlign w:val="center"/>
          </w:tcPr>
          <w:p w14:paraId="69DF67B1" w14:textId="77777777" w:rsidR="004774A2" w:rsidRPr="003239B8" w:rsidRDefault="004774A2" w:rsidP="009C74F9">
            <w:pPr>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Fecha de advertencia sobre posible de archivo:</w:t>
            </w:r>
          </w:p>
        </w:tc>
        <w:tc>
          <w:tcPr>
            <w:tcW w:w="4680" w:type="dxa"/>
            <w:vAlign w:val="center"/>
          </w:tcPr>
          <w:p w14:paraId="3A99EBA9" w14:textId="77777777" w:rsidR="004774A2" w:rsidRPr="003239B8" w:rsidRDefault="00C35460" w:rsidP="009C74F9">
            <w:pPr>
              <w:jc w:val="both"/>
              <w:rPr>
                <w:rFonts w:ascii="Cambria" w:hAnsi="Cambria"/>
                <w:bCs/>
                <w:sz w:val="20"/>
                <w:szCs w:val="20"/>
                <w:lang w:val="es-ES"/>
              </w:rPr>
            </w:pPr>
            <w:r w:rsidRPr="00891532">
              <w:rPr>
                <w:rFonts w:ascii="Cambria" w:hAnsi="Cambria"/>
                <w:b/>
                <w:bCs/>
                <w:sz w:val="20"/>
                <w:szCs w:val="20"/>
                <w:lang w:val="es-BO"/>
              </w:rPr>
              <w:t>P-1077-98:</w:t>
            </w:r>
            <w:r>
              <w:rPr>
                <w:rFonts w:ascii="Cambria" w:hAnsi="Cambria"/>
                <w:b/>
                <w:bCs/>
                <w:sz w:val="20"/>
                <w:szCs w:val="20"/>
                <w:lang w:val="es-BO"/>
              </w:rPr>
              <w:t xml:space="preserve"> </w:t>
            </w:r>
            <w:r>
              <w:rPr>
                <w:rFonts w:ascii="Cambria" w:hAnsi="Cambria"/>
                <w:bCs/>
                <w:sz w:val="20"/>
                <w:szCs w:val="20"/>
                <w:lang w:val="es-ES"/>
              </w:rPr>
              <w:t>12 de julio de 2011</w:t>
            </w:r>
          </w:p>
        </w:tc>
      </w:tr>
      <w:tr w:rsidR="004774A2" w:rsidRPr="004774A2" w14:paraId="6BCBC13B" w14:textId="77777777" w:rsidTr="00B46C7B">
        <w:trPr>
          <w:trHeight w:val="108"/>
        </w:trPr>
        <w:tc>
          <w:tcPr>
            <w:tcW w:w="4680" w:type="dxa"/>
            <w:tcBorders>
              <w:bottom w:val="single" w:sz="6" w:space="0" w:color="auto"/>
            </w:tcBorders>
            <w:shd w:val="clear" w:color="auto" w:fill="386294"/>
            <w:vAlign w:val="center"/>
          </w:tcPr>
          <w:p w14:paraId="1ACA24B1" w14:textId="77777777" w:rsidR="004774A2" w:rsidRPr="003239B8" w:rsidRDefault="004774A2" w:rsidP="009C74F9">
            <w:pPr>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 xml:space="preserve">Fecha de respuesta de la parte peticionaria ante advertencia </w:t>
            </w:r>
            <w:r w:rsidR="0077636F">
              <w:rPr>
                <w:rFonts w:ascii="Cambria" w:hAnsi="Cambria"/>
                <w:b/>
                <w:bCs/>
                <w:color w:val="FFFFFF" w:themeColor="background1"/>
                <w:sz w:val="20"/>
                <w:szCs w:val="20"/>
                <w:lang w:val="es-ES"/>
              </w:rPr>
              <w:t xml:space="preserve">de </w:t>
            </w:r>
            <w:r w:rsidRPr="003239B8">
              <w:rPr>
                <w:rFonts w:ascii="Cambria" w:hAnsi="Cambria"/>
                <w:b/>
                <w:bCs/>
                <w:color w:val="FFFFFF" w:themeColor="background1"/>
                <w:sz w:val="20"/>
                <w:szCs w:val="20"/>
                <w:lang w:val="es-ES"/>
              </w:rPr>
              <w:t>posible archivo:</w:t>
            </w:r>
          </w:p>
        </w:tc>
        <w:tc>
          <w:tcPr>
            <w:tcW w:w="4680" w:type="dxa"/>
            <w:vAlign w:val="center"/>
          </w:tcPr>
          <w:p w14:paraId="57EE4B4E" w14:textId="77777777" w:rsidR="004774A2" w:rsidRPr="00C35460" w:rsidRDefault="00C35460" w:rsidP="009C74F9">
            <w:pPr>
              <w:jc w:val="both"/>
              <w:rPr>
                <w:rFonts w:ascii="Cambria" w:hAnsi="Cambria"/>
                <w:bCs/>
                <w:sz w:val="20"/>
                <w:szCs w:val="20"/>
                <w:lang w:val="es-ES"/>
              </w:rPr>
            </w:pPr>
            <w:r w:rsidRPr="00891532">
              <w:rPr>
                <w:rFonts w:ascii="Cambria" w:hAnsi="Cambria"/>
                <w:b/>
                <w:bCs/>
                <w:sz w:val="20"/>
                <w:szCs w:val="20"/>
                <w:lang w:val="es-BO"/>
              </w:rPr>
              <w:t>P-1077-98:</w:t>
            </w:r>
            <w:r>
              <w:rPr>
                <w:rFonts w:ascii="Cambria" w:hAnsi="Cambria"/>
                <w:b/>
                <w:bCs/>
                <w:sz w:val="20"/>
                <w:szCs w:val="20"/>
                <w:lang w:val="es-BO"/>
              </w:rPr>
              <w:t xml:space="preserve"> </w:t>
            </w:r>
            <w:r>
              <w:rPr>
                <w:rFonts w:ascii="Cambria" w:hAnsi="Cambria"/>
                <w:bCs/>
                <w:sz w:val="20"/>
                <w:szCs w:val="20"/>
                <w:lang w:val="es-BO"/>
              </w:rPr>
              <w:t>15 de septiembre de 2011</w:t>
            </w:r>
          </w:p>
        </w:tc>
      </w:tr>
    </w:tbl>
    <w:p w14:paraId="02C0E2BB"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2A3678" w14:paraId="552B9153" w14:textId="77777777" w:rsidTr="008D2290">
        <w:trPr>
          <w:cantSplit/>
        </w:trPr>
        <w:tc>
          <w:tcPr>
            <w:tcW w:w="4680" w:type="dxa"/>
            <w:tcBorders>
              <w:top w:val="single" w:sz="4" w:space="0" w:color="auto"/>
              <w:bottom w:val="single" w:sz="6" w:space="0" w:color="auto"/>
            </w:tcBorders>
            <w:shd w:val="clear" w:color="auto" w:fill="386294"/>
            <w:vAlign w:val="center"/>
          </w:tcPr>
          <w:p w14:paraId="3CC6E1CC" w14:textId="77777777" w:rsidR="003239B8" w:rsidRPr="00496195" w:rsidRDefault="003239B8" w:rsidP="008D2290">
            <w:pPr>
              <w:jc w:val="center"/>
              <w:rPr>
                <w:rFonts w:ascii="Cambria" w:hAnsi="Cambria"/>
                <w:b/>
                <w:bCs/>
                <w:i/>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personae:</w:t>
            </w:r>
          </w:p>
        </w:tc>
        <w:tc>
          <w:tcPr>
            <w:tcW w:w="4680" w:type="dxa"/>
            <w:vAlign w:val="center"/>
          </w:tcPr>
          <w:p w14:paraId="34D11BFD" w14:textId="77777777" w:rsidR="003239B8" w:rsidRPr="00A52A91" w:rsidRDefault="00F05DA8" w:rsidP="008D2290">
            <w:pPr>
              <w:rPr>
                <w:rFonts w:ascii="Cambria" w:hAnsi="Cambria"/>
                <w:bCs/>
                <w:sz w:val="20"/>
                <w:szCs w:val="20"/>
                <w:lang w:val="es-BO"/>
              </w:rPr>
            </w:pPr>
            <w:r w:rsidRPr="003874AB">
              <w:rPr>
                <w:rFonts w:ascii="Cambria" w:hAnsi="Cambria"/>
                <w:bCs/>
                <w:sz w:val="20"/>
                <w:szCs w:val="20"/>
                <w:lang w:val="es-BO"/>
              </w:rPr>
              <w:t>Sí</w:t>
            </w:r>
            <w:r w:rsidR="003874AB" w:rsidRPr="003874AB">
              <w:rPr>
                <w:rFonts w:ascii="Cambria" w:hAnsi="Cambria"/>
                <w:bCs/>
                <w:sz w:val="20"/>
                <w:szCs w:val="20"/>
                <w:lang w:val="es-BO"/>
              </w:rPr>
              <w:t>, en todas las peticiones</w:t>
            </w:r>
          </w:p>
        </w:tc>
      </w:tr>
      <w:tr w:rsidR="003239B8" w:rsidRPr="002A3678" w14:paraId="4043257F" w14:textId="77777777" w:rsidTr="008D2290">
        <w:trPr>
          <w:cantSplit/>
        </w:trPr>
        <w:tc>
          <w:tcPr>
            <w:tcW w:w="4680" w:type="dxa"/>
            <w:tcBorders>
              <w:top w:val="single" w:sz="6" w:space="0" w:color="auto"/>
              <w:bottom w:val="single" w:sz="6" w:space="0" w:color="auto"/>
            </w:tcBorders>
            <w:shd w:val="clear" w:color="auto" w:fill="386294"/>
            <w:vAlign w:val="center"/>
          </w:tcPr>
          <w:p w14:paraId="037303E2"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w:t>
            </w:r>
            <w:r w:rsidRPr="0069523B">
              <w:rPr>
                <w:rFonts w:ascii="Cambria" w:hAnsi="Cambria"/>
                <w:b/>
                <w:bCs/>
                <w:i/>
                <w:color w:val="FFFFFF" w:themeColor="background1"/>
                <w:sz w:val="20"/>
                <w:szCs w:val="20"/>
              </w:rPr>
              <w:t>Ratione loci</w:t>
            </w:r>
            <w:r w:rsidRPr="00706824">
              <w:rPr>
                <w:rFonts w:ascii="Cambria" w:hAnsi="Cambria"/>
                <w:b/>
                <w:bCs/>
                <w:color w:val="FFFFFF" w:themeColor="background1"/>
                <w:sz w:val="20"/>
                <w:szCs w:val="20"/>
              </w:rPr>
              <w:t>:</w:t>
            </w:r>
          </w:p>
        </w:tc>
        <w:tc>
          <w:tcPr>
            <w:tcW w:w="4680" w:type="dxa"/>
            <w:vAlign w:val="center"/>
          </w:tcPr>
          <w:p w14:paraId="6E68A9B3" w14:textId="77777777" w:rsidR="003239B8" w:rsidRPr="00A52A91" w:rsidRDefault="00F05DA8" w:rsidP="008D2290">
            <w:pPr>
              <w:rPr>
                <w:rFonts w:ascii="Cambria" w:hAnsi="Cambria"/>
                <w:bCs/>
                <w:sz w:val="20"/>
                <w:szCs w:val="20"/>
                <w:lang w:val="es-BO"/>
              </w:rPr>
            </w:pPr>
            <w:r w:rsidRPr="003874AB">
              <w:rPr>
                <w:rFonts w:ascii="Cambria" w:hAnsi="Cambria"/>
                <w:bCs/>
                <w:sz w:val="20"/>
                <w:szCs w:val="20"/>
                <w:lang w:val="es-BO"/>
              </w:rPr>
              <w:t>Sí</w:t>
            </w:r>
            <w:r w:rsidR="003874AB">
              <w:rPr>
                <w:rFonts w:ascii="Cambria" w:hAnsi="Cambria"/>
                <w:bCs/>
                <w:sz w:val="20"/>
                <w:szCs w:val="20"/>
                <w:lang w:val="es-BO"/>
              </w:rPr>
              <w:t>,</w:t>
            </w:r>
            <w:r w:rsidRPr="003874AB">
              <w:rPr>
                <w:rFonts w:ascii="Cambria" w:hAnsi="Cambria"/>
                <w:bCs/>
                <w:sz w:val="20"/>
                <w:szCs w:val="20"/>
                <w:lang w:val="es-BO"/>
              </w:rPr>
              <w:t xml:space="preserve"> </w:t>
            </w:r>
            <w:r w:rsidR="003874AB" w:rsidRPr="003874AB">
              <w:rPr>
                <w:rFonts w:ascii="Cambria" w:hAnsi="Cambria"/>
                <w:bCs/>
                <w:sz w:val="20"/>
                <w:szCs w:val="20"/>
                <w:lang w:val="es-BO"/>
              </w:rPr>
              <w:t>en todas las peticiones</w:t>
            </w:r>
          </w:p>
        </w:tc>
      </w:tr>
      <w:tr w:rsidR="003239B8" w:rsidRPr="002A3678" w14:paraId="6DCC83F3" w14:textId="77777777" w:rsidTr="008D2290">
        <w:trPr>
          <w:cantSplit/>
        </w:trPr>
        <w:tc>
          <w:tcPr>
            <w:tcW w:w="4680" w:type="dxa"/>
            <w:tcBorders>
              <w:top w:val="single" w:sz="6" w:space="0" w:color="auto"/>
              <w:bottom w:val="single" w:sz="6" w:space="0" w:color="auto"/>
            </w:tcBorders>
            <w:shd w:val="clear" w:color="auto" w:fill="386294"/>
            <w:vAlign w:val="center"/>
          </w:tcPr>
          <w:p w14:paraId="6B026182"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temporis</w:t>
            </w:r>
            <w:r w:rsidRPr="00706824">
              <w:rPr>
                <w:rFonts w:ascii="Cambria" w:hAnsi="Cambria"/>
                <w:b/>
                <w:bCs/>
                <w:color w:val="FFFFFF" w:themeColor="background1"/>
                <w:sz w:val="20"/>
                <w:szCs w:val="20"/>
              </w:rPr>
              <w:t>:</w:t>
            </w:r>
          </w:p>
        </w:tc>
        <w:tc>
          <w:tcPr>
            <w:tcW w:w="4680" w:type="dxa"/>
            <w:vAlign w:val="center"/>
          </w:tcPr>
          <w:p w14:paraId="5563B967" w14:textId="77777777" w:rsidR="003239B8" w:rsidRPr="00A52A91" w:rsidRDefault="00F05DA8" w:rsidP="008D2290">
            <w:pPr>
              <w:rPr>
                <w:bCs/>
                <w:sz w:val="20"/>
                <w:szCs w:val="20"/>
                <w:lang w:val="es-BO"/>
              </w:rPr>
            </w:pPr>
            <w:r w:rsidRPr="003874AB">
              <w:rPr>
                <w:bCs/>
                <w:sz w:val="20"/>
                <w:szCs w:val="20"/>
                <w:lang w:val="es-BO"/>
              </w:rPr>
              <w:t>Sí</w:t>
            </w:r>
            <w:r w:rsidR="003874AB" w:rsidRPr="003874AB">
              <w:rPr>
                <w:bCs/>
                <w:sz w:val="20"/>
                <w:szCs w:val="20"/>
                <w:lang w:val="es-BO"/>
              </w:rPr>
              <w:t xml:space="preserve">, </w:t>
            </w:r>
            <w:r w:rsidR="003874AB" w:rsidRPr="003874AB">
              <w:rPr>
                <w:rFonts w:ascii="Cambria" w:hAnsi="Cambria"/>
                <w:bCs/>
                <w:sz w:val="20"/>
                <w:szCs w:val="20"/>
                <w:lang w:val="es-BO"/>
              </w:rPr>
              <w:t>en todas las peticiones</w:t>
            </w:r>
          </w:p>
        </w:tc>
      </w:tr>
      <w:tr w:rsidR="003239B8" w:rsidRPr="002A3678" w14:paraId="60E2D20A" w14:textId="77777777" w:rsidTr="008D2290">
        <w:trPr>
          <w:cantSplit/>
        </w:trPr>
        <w:tc>
          <w:tcPr>
            <w:tcW w:w="4680" w:type="dxa"/>
            <w:tcBorders>
              <w:top w:val="single" w:sz="6" w:space="0" w:color="auto"/>
              <w:bottom w:val="single" w:sz="6" w:space="0" w:color="auto"/>
            </w:tcBorders>
            <w:shd w:val="clear" w:color="auto" w:fill="386294"/>
            <w:vAlign w:val="center"/>
          </w:tcPr>
          <w:p w14:paraId="59EEF1D2" w14:textId="77777777" w:rsidR="003239B8" w:rsidRPr="00706824" w:rsidRDefault="003239B8" w:rsidP="008D2290">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materia</w:t>
            </w:r>
            <w:r w:rsidRPr="00706824">
              <w:rPr>
                <w:rFonts w:ascii="Cambria" w:hAnsi="Cambria"/>
                <w:b/>
                <w:bCs/>
                <w:color w:val="FFFFFF" w:themeColor="background1"/>
                <w:sz w:val="20"/>
                <w:szCs w:val="20"/>
              </w:rPr>
              <w:t>:</w:t>
            </w:r>
          </w:p>
        </w:tc>
        <w:tc>
          <w:tcPr>
            <w:tcW w:w="4680" w:type="dxa"/>
            <w:vAlign w:val="center"/>
          </w:tcPr>
          <w:p w14:paraId="3EBFD889" w14:textId="042B9A69" w:rsidR="003239B8" w:rsidRPr="00F05DA8" w:rsidRDefault="00F05DA8" w:rsidP="00F23E8F">
            <w:pPr>
              <w:jc w:val="both"/>
              <w:rPr>
                <w:rFonts w:ascii="Cambria" w:hAnsi="Cambria"/>
                <w:bCs/>
                <w:sz w:val="20"/>
                <w:szCs w:val="20"/>
                <w:lang w:val="es-BO"/>
              </w:rPr>
            </w:pPr>
            <w:r w:rsidRPr="00153E77">
              <w:rPr>
                <w:rFonts w:ascii="Cambria" w:hAnsi="Cambria"/>
                <w:bCs/>
                <w:sz w:val="20"/>
                <w:szCs w:val="20"/>
                <w:bdr w:val="none" w:sz="0" w:space="0" w:color="auto" w:frame="1"/>
                <w:lang w:val="es-ES"/>
              </w:rPr>
              <w:t>S</w:t>
            </w:r>
            <w:r>
              <w:rPr>
                <w:bCs/>
                <w:sz w:val="20"/>
                <w:szCs w:val="20"/>
                <w:bdr w:val="none" w:sz="0" w:space="0" w:color="auto" w:frame="1"/>
                <w:lang w:val="es-ES"/>
              </w:rPr>
              <w:t>í,</w:t>
            </w:r>
            <w:r w:rsidR="003874AB">
              <w:rPr>
                <w:bCs/>
                <w:sz w:val="20"/>
                <w:szCs w:val="20"/>
                <w:bdr w:val="none" w:sz="0" w:space="0" w:color="auto" w:frame="1"/>
                <w:lang w:val="es-ES"/>
              </w:rPr>
              <w:t xml:space="preserve"> </w:t>
            </w:r>
            <w:r w:rsidR="003874AB" w:rsidRPr="003874AB">
              <w:rPr>
                <w:rFonts w:ascii="Cambria" w:hAnsi="Cambria"/>
                <w:bCs/>
                <w:sz w:val="20"/>
                <w:szCs w:val="20"/>
                <w:lang w:val="es-BO"/>
              </w:rPr>
              <w:t>en todas las peticiones</w:t>
            </w:r>
            <w:r w:rsidR="003874AB">
              <w:rPr>
                <w:rFonts w:ascii="Cambria" w:hAnsi="Cambria"/>
                <w:bCs/>
                <w:sz w:val="20"/>
                <w:szCs w:val="20"/>
                <w:lang w:val="es-BO"/>
              </w:rPr>
              <w:t>.</w:t>
            </w:r>
            <w:r>
              <w:rPr>
                <w:bCs/>
                <w:sz w:val="20"/>
                <w:szCs w:val="20"/>
                <w:bdr w:val="none" w:sz="0" w:space="0" w:color="auto" w:frame="1"/>
                <w:lang w:val="es-ES"/>
              </w:rPr>
              <w:t xml:space="preserve"> </w:t>
            </w:r>
            <w:r>
              <w:rPr>
                <w:rFonts w:ascii="Cambria" w:hAnsi="Cambria"/>
                <w:bCs/>
                <w:sz w:val="20"/>
                <w:szCs w:val="20"/>
                <w:bdr w:val="none" w:sz="0" w:space="0" w:color="auto" w:frame="1"/>
                <w:lang w:val="es-ES"/>
              </w:rPr>
              <w:t>Convención Americana (d</w:t>
            </w:r>
            <w:r w:rsidRPr="00153E77">
              <w:rPr>
                <w:rFonts w:ascii="Cambria" w:hAnsi="Cambria"/>
                <w:bCs/>
                <w:sz w:val="20"/>
                <w:szCs w:val="20"/>
                <w:bdr w:val="none" w:sz="0" w:space="0" w:color="auto" w:frame="1"/>
                <w:lang w:val="es-ES"/>
              </w:rPr>
              <w:t>ep</w:t>
            </w:r>
            <w:r>
              <w:rPr>
                <w:rFonts w:ascii="Cambria" w:hAnsi="Cambria"/>
                <w:bCs/>
                <w:sz w:val="20"/>
                <w:szCs w:val="20"/>
                <w:bdr w:val="none" w:sz="0" w:space="0" w:color="auto" w:frame="1"/>
                <w:lang w:val="es-ES"/>
              </w:rPr>
              <w:t>ó</w:t>
            </w:r>
            <w:r w:rsidRPr="00153E77">
              <w:rPr>
                <w:rFonts w:ascii="Cambria" w:hAnsi="Cambria"/>
                <w:bCs/>
                <w:sz w:val="20"/>
                <w:szCs w:val="20"/>
                <w:bdr w:val="none" w:sz="0" w:space="0" w:color="auto" w:frame="1"/>
                <w:lang w:val="es-ES"/>
              </w:rPr>
              <w:t>sito</w:t>
            </w:r>
            <w:r>
              <w:rPr>
                <w:rFonts w:ascii="Cambria" w:hAnsi="Cambria"/>
                <w:bCs/>
                <w:sz w:val="20"/>
                <w:szCs w:val="20"/>
                <w:bdr w:val="none" w:sz="0" w:space="0" w:color="auto" w:frame="1"/>
                <w:lang w:val="es-ES"/>
              </w:rPr>
              <w:t xml:space="preserve"> de</w:t>
            </w:r>
            <w:r w:rsidRPr="00153E77">
              <w:rPr>
                <w:rFonts w:ascii="Cambria" w:hAnsi="Cambria"/>
                <w:bCs/>
                <w:sz w:val="20"/>
                <w:szCs w:val="20"/>
                <w:bdr w:val="none" w:sz="0" w:space="0" w:color="auto" w:frame="1"/>
                <w:lang w:val="es-ES"/>
              </w:rPr>
              <w:t xml:space="preserve"> instrumento</w:t>
            </w:r>
            <w:r>
              <w:rPr>
                <w:rFonts w:ascii="Cambria" w:hAnsi="Cambria"/>
                <w:bCs/>
                <w:sz w:val="20"/>
                <w:szCs w:val="20"/>
                <w:bdr w:val="none" w:sz="0" w:space="0" w:color="auto" w:frame="1"/>
                <w:lang w:val="es-ES"/>
              </w:rPr>
              <w:t xml:space="preserve"> realizado</w:t>
            </w:r>
            <w:r w:rsidRPr="00153E77">
              <w:rPr>
                <w:rFonts w:ascii="Cambria" w:hAnsi="Cambria"/>
                <w:bCs/>
                <w:sz w:val="20"/>
                <w:szCs w:val="20"/>
                <w:bdr w:val="none" w:sz="0" w:space="0" w:color="auto" w:frame="1"/>
                <w:lang w:val="es-ES"/>
              </w:rPr>
              <w:t xml:space="preserve"> el 28 de julio de 1978</w:t>
            </w:r>
            <w:r>
              <w:rPr>
                <w:rFonts w:ascii="Cambria" w:hAnsi="Cambria"/>
                <w:bCs/>
                <w:sz w:val="20"/>
                <w:szCs w:val="20"/>
                <w:bdr w:val="none" w:sz="0" w:space="0" w:color="auto" w:frame="1"/>
                <w:lang w:val="es-ES"/>
              </w:rPr>
              <w:t>)</w:t>
            </w:r>
            <w:r w:rsidR="00E941B9">
              <w:rPr>
                <w:rFonts w:ascii="Cambria" w:hAnsi="Cambria"/>
                <w:bCs/>
                <w:sz w:val="20"/>
                <w:szCs w:val="20"/>
                <w:bdr w:val="none" w:sz="0" w:space="0" w:color="auto" w:frame="1"/>
                <w:lang w:val="es-ES"/>
              </w:rPr>
              <w:t xml:space="preserve"> y Declaración Americana </w:t>
            </w:r>
          </w:p>
        </w:tc>
      </w:tr>
    </w:tbl>
    <w:p w14:paraId="78A0B467"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77636F" w:rsidRPr="003239B8">
        <w:rPr>
          <w:rFonts w:asciiTheme="majorHAnsi" w:hAnsiTheme="majorHAnsi"/>
          <w:b/>
          <w:bCs/>
          <w:sz w:val="20"/>
          <w:szCs w:val="20"/>
          <w:lang w:val="es-ES"/>
        </w:rPr>
        <w:t>DUPLICACIÓN</w:t>
      </w:r>
      <w:r w:rsidR="0077636F" w:rsidRPr="003239B8">
        <w:rPr>
          <w:rFonts w:asciiTheme="majorHAnsi" w:hAnsiTheme="majorHAnsi"/>
          <w:b/>
          <w:bCs/>
          <w:color w:val="FFFFFF" w:themeColor="background1"/>
          <w:sz w:val="20"/>
          <w:szCs w:val="20"/>
          <w:lang w:val="es-ES"/>
        </w:rPr>
        <w:t xml:space="preserve"> </w:t>
      </w:r>
      <w:r w:rsidR="0077636F" w:rsidRPr="003239B8">
        <w:rPr>
          <w:rFonts w:asciiTheme="majorHAnsi" w:hAnsiTheme="majorHAnsi"/>
          <w:b/>
          <w:bCs/>
          <w:sz w:val="20"/>
          <w:szCs w:val="20"/>
          <w:lang w:val="es-ES"/>
        </w:rPr>
        <w:t>DE PROCEDIMIENTOS Y COSA JUZGADA</w:t>
      </w:r>
      <w:r w:rsidR="0077636F" w:rsidRPr="003239B8">
        <w:rPr>
          <w:rFonts w:asciiTheme="majorHAnsi" w:hAnsiTheme="majorHAnsi"/>
          <w:b/>
          <w:bCs/>
          <w:i/>
          <w:sz w:val="20"/>
          <w:szCs w:val="20"/>
          <w:lang w:val="es-ES"/>
        </w:rPr>
        <w:t xml:space="preserve"> </w:t>
      </w:r>
      <w:r w:rsidR="0077636F" w:rsidRPr="003239B8">
        <w:rPr>
          <w:rFonts w:asciiTheme="majorHAnsi" w:hAnsiTheme="majorHAnsi"/>
          <w:b/>
          <w:bCs/>
          <w:sz w:val="20"/>
          <w:szCs w:val="20"/>
          <w:lang w:val="es-ES"/>
        </w:rPr>
        <w:t>INTERNACIONAL</w:t>
      </w:r>
      <w:r w:rsidR="0077636F">
        <w:rPr>
          <w:rFonts w:asciiTheme="majorHAnsi" w:hAnsiTheme="majorHAnsi"/>
          <w:b/>
          <w:bCs/>
          <w:sz w:val="20"/>
          <w:szCs w:val="20"/>
          <w:lang w:val="es-ES"/>
        </w:rPr>
        <w:t>,</w:t>
      </w:r>
      <w:r w:rsidR="0077636F" w:rsidRPr="003239B8">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ANÁLISIS DE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77636F" w:rsidRPr="002A3678" w14:paraId="0320C2CB" w14:textId="77777777" w:rsidTr="00FF3C81">
        <w:trPr>
          <w:cantSplit/>
        </w:trPr>
        <w:tc>
          <w:tcPr>
            <w:tcW w:w="4680" w:type="dxa"/>
            <w:tcBorders>
              <w:top w:val="single" w:sz="6" w:space="0" w:color="auto"/>
              <w:bottom w:val="single" w:sz="6" w:space="0" w:color="auto"/>
            </w:tcBorders>
            <w:shd w:val="clear" w:color="auto" w:fill="386294"/>
            <w:vAlign w:val="center"/>
          </w:tcPr>
          <w:p w14:paraId="4835CD67" w14:textId="77777777" w:rsidR="0077636F" w:rsidRPr="003239B8" w:rsidRDefault="0077636F" w:rsidP="00FF3C81">
            <w:pPr>
              <w:jc w:val="center"/>
              <w:rPr>
                <w:rFonts w:ascii="Cambria" w:hAnsi="Cambria"/>
                <w:b/>
                <w:bCs/>
                <w:i/>
                <w:color w:val="FFFFFF" w:themeColor="background1"/>
                <w:sz w:val="20"/>
                <w:szCs w:val="20"/>
                <w:lang w:val="es-ES"/>
              </w:rPr>
            </w:pPr>
            <w:r w:rsidRPr="003239B8">
              <w:rPr>
                <w:rFonts w:asciiTheme="majorHAnsi" w:hAnsiTheme="majorHAnsi"/>
                <w:b/>
                <w:bCs/>
                <w:color w:val="FFFFFF" w:themeColor="background1"/>
                <w:sz w:val="20"/>
                <w:szCs w:val="20"/>
                <w:lang w:val="es-ES"/>
              </w:rPr>
              <w:t>Duplicación de procedimientos y cosa juzgada</w:t>
            </w:r>
            <w:r w:rsidRPr="003239B8">
              <w:rPr>
                <w:rFonts w:asciiTheme="majorHAnsi" w:hAnsiTheme="majorHAnsi"/>
                <w:b/>
                <w:bCs/>
                <w:i/>
                <w:color w:val="FFFFFF" w:themeColor="background1"/>
                <w:sz w:val="20"/>
                <w:szCs w:val="20"/>
                <w:lang w:val="es-ES"/>
              </w:rPr>
              <w:t xml:space="preserve"> </w:t>
            </w:r>
            <w:r w:rsidRPr="003239B8">
              <w:rPr>
                <w:rFonts w:asciiTheme="majorHAnsi" w:hAnsiTheme="majorHAnsi"/>
                <w:b/>
                <w:bCs/>
                <w:color w:val="FFFFFF" w:themeColor="background1"/>
                <w:sz w:val="20"/>
                <w:szCs w:val="20"/>
                <w:lang w:val="es-ES"/>
              </w:rPr>
              <w:t>internacional</w:t>
            </w:r>
          </w:p>
        </w:tc>
        <w:tc>
          <w:tcPr>
            <w:tcW w:w="4680" w:type="dxa"/>
            <w:vAlign w:val="center"/>
          </w:tcPr>
          <w:p w14:paraId="5315B72B" w14:textId="77777777" w:rsidR="0077636F" w:rsidRPr="003239B8" w:rsidRDefault="0077636F" w:rsidP="00FF3C81">
            <w:pPr>
              <w:rPr>
                <w:rFonts w:ascii="Cambria" w:hAnsi="Cambria"/>
                <w:bCs/>
                <w:sz w:val="20"/>
                <w:szCs w:val="20"/>
                <w:bdr w:val="none" w:sz="0" w:space="0" w:color="auto" w:frame="1"/>
                <w:lang w:val="es-ES"/>
              </w:rPr>
            </w:pPr>
            <w:r>
              <w:rPr>
                <w:rFonts w:ascii="Cambria" w:hAnsi="Cambria"/>
                <w:bCs/>
                <w:sz w:val="20"/>
                <w:szCs w:val="20"/>
                <w:bdr w:val="none" w:sz="0" w:space="0" w:color="auto" w:frame="1"/>
                <w:lang w:val="es-ES"/>
              </w:rPr>
              <w:t>No, en ninguna de las peticiones</w:t>
            </w:r>
          </w:p>
        </w:tc>
      </w:tr>
      <w:tr w:rsidR="003239B8" w:rsidRPr="002A3678" w14:paraId="36590E40" w14:textId="77777777" w:rsidTr="008D2290">
        <w:trPr>
          <w:cantSplit/>
        </w:trPr>
        <w:tc>
          <w:tcPr>
            <w:tcW w:w="4680" w:type="dxa"/>
            <w:tcBorders>
              <w:top w:val="single" w:sz="4" w:space="0" w:color="auto"/>
              <w:bottom w:val="single" w:sz="6" w:space="0" w:color="auto"/>
            </w:tcBorders>
            <w:shd w:val="clear" w:color="auto" w:fill="386294"/>
            <w:vAlign w:val="center"/>
          </w:tcPr>
          <w:p w14:paraId="1ADD94E1" w14:textId="77777777" w:rsidR="003239B8" w:rsidRPr="00496195" w:rsidRDefault="003239B8" w:rsidP="008D2290">
            <w:pPr>
              <w:jc w:val="center"/>
              <w:rPr>
                <w:rFonts w:ascii="Cambria" w:hAnsi="Cambria"/>
                <w:b/>
                <w:bCs/>
                <w:i/>
                <w:color w:val="FFFFFF" w:themeColor="background1"/>
                <w:sz w:val="20"/>
                <w:szCs w:val="20"/>
              </w:rPr>
            </w:pPr>
            <w:r>
              <w:rPr>
                <w:rFonts w:ascii="Cambria" w:hAnsi="Cambria"/>
                <w:b/>
                <w:bCs/>
                <w:color w:val="FFFFFF" w:themeColor="background1"/>
                <w:sz w:val="20"/>
                <w:szCs w:val="20"/>
              </w:rPr>
              <w:t>Derechos declarados admisibles</w:t>
            </w:r>
            <w:r>
              <w:rPr>
                <w:rFonts w:ascii="Cambria" w:hAnsi="Cambria"/>
                <w:b/>
                <w:bCs/>
                <w:i/>
                <w:color w:val="FFFFFF" w:themeColor="background1"/>
                <w:sz w:val="20"/>
                <w:szCs w:val="20"/>
              </w:rPr>
              <w:t>:</w:t>
            </w:r>
          </w:p>
        </w:tc>
        <w:tc>
          <w:tcPr>
            <w:tcW w:w="4680" w:type="dxa"/>
            <w:vAlign w:val="center"/>
          </w:tcPr>
          <w:p w14:paraId="7A8408F8" w14:textId="43346509" w:rsidR="00371D15" w:rsidRPr="00D652E6" w:rsidRDefault="00B76E0D" w:rsidP="00653C9A">
            <w:pPr>
              <w:jc w:val="both"/>
              <w:rPr>
                <w:rFonts w:ascii="Cambria" w:hAnsi="Cambria"/>
                <w:bCs/>
                <w:sz w:val="20"/>
                <w:szCs w:val="20"/>
                <w:lang w:val="es-BO"/>
              </w:rPr>
            </w:pPr>
            <w:r>
              <w:rPr>
                <w:rFonts w:asciiTheme="majorHAnsi" w:hAnsiTheme="majorHAnsi"/>
                <w:sz w:val="20"/>
                <w:szCs w:val="20"/>
                <w:lang w:val="es-ES"/>
              </w:rPr>
              <w:t>A</w:t>
            </w:r>
            <w:r w:rsidR="00D652E6">
              <w:rPr>
                <w:rFonts w:asciiTheme="majorHAnsi" w:hAnsiTheme="majorHAnsi"/>
                <w:sz w:val="20"/>
                <w:szCs w:val="20"/>
                <w:lang w:val="es-ES"/>
              </w:rPr>
              <w:t xml:space="preserve">rtículos </w:t>
            </w:r>
            <w:r w:rsidR="003F0912">
              <w:rPr>
                <w:rFonts w:asciiTheme="majorHAnsi" w:hAnsiTheme="majorHAnsi"/>
                <w:sz w:val="20"/>
                <w:szCs w:val="20"/>
                <w:lang w:val="es-ES"/>
              </w:rPr>
              <w:t>5</w:t>
            </w:r>
            <w:r w:rsidR="006B4F19">
              <w:rPr>
                <w:rFonts w:asciiTheme="majorHAnsi" w:hAnsiTheme="majorHAnsi"/>
                <w:sz w:val="20"/>
                <w:szCs w:val="20"/>
                <w:lang w:val="es-ES"/>
              </w:rPr>
              <w:t xml:space="preserve"> (derecho a la integridad personal)</w:t>
            </w:r>
            <w:r w:rsidR="003F0912">
              <w:rPr>
                <w:rFonts w:asciiTheme="majorHAnsi" w:hAnsiTheme="majorHAnsi"/>
                <w:sz w:val="20"/>
                <w:szCs w:val="20"/>
                <w:lang w:val="es-ES"/>
              </w:rPr>
              <w:t xml:space="preserve">, </w:t>
            </w:r>
            <w:r w:rsidR="00D652E6">
              <w:rPr>
                <w:rFonts w:asciiTheme="majorHAnsi" w:hAnsiTheme="majorHAnsi"/>
                <w:sz w:val="20"/>
                <w:szCs w:val="20"/>
                <w:lang w:val="es-ES"/>
              </w:rPr>
              <w:t>8</w:t>
            </w:r>
            <w:r w:rsidR="006B4F19">
              <w:rPr>
                <w:rFonts w:asciiTheme="majorHAnsi" w:hAnsiTheme="majorHAnsi"/>
                <w:sz w:val="20"/>
                <w:szCs w:val="20"/>
                <w:lang w:val="es-ES"/>
              </w:rPr>
              <w:t xml:space="preserve"> (garantías judiciales)</w:t>
            </w:r>
            <w:r w:rsidR="00D652E6">
              <w:rPr>
                <w:rFonts w:asciiTheme="majorHAnsi" w:hAnsiTheme="majorHAnsi"/>
                <w:sz w:val="20"/>
                <w:szCs w:val="20"/>
                <w:lang w:val="es-ES"/>
              </w:rPr>
              <w:t>, 21</w:t>
            </w:r>
            <w:r w:rsidR="006B4F19">
              <w:rPr>
                <w:rFonts w:asciiTheme="majorHAnsi" w:hAnsiTheme="majorHAnsi"/>
                <w:sz w:val="20"/>
                <w:szCs w:val="20"/>
                <w:lang w:val="es-ES"/>
              </w:rPr>
              <w:t xml:space="preserve"> (derecho a la propiedad)</w:t>
            </w:r>
            <w:r w:rsidR="00D652E6">
              <w:rPr>
                <w:rFonts w:asciiTheme="majorHAnsi" w:hAnsiTheme="majorHAnsi"/>
                <w:sz w:val="20"/>
                <w:szCs w:val="20"/>
                <w:lang w:val="es-ES"/>
              </w:rPr>
              <w:t>, 24</w:t>
            </w:r>
            <w:r w:rsidR="006B4F19">
              <w:rPr>
                <w:rFonts w:asciiTheme="majorHAnsi" w:hAnsiTheme="majorHAnsi"/>
                <w:sz w:val="20"/>
                <w:szCs w:val="20"/>
                <w:lang w:val="es-ES"/>
              </w:rPr>
              <w:t xml:space="preserve"> (igualdad ante la ley)</w:t>
            </w:r>
            <w:r w:rsidR="00D652E6">
              <w:rPr>
                <w:rFonts w:asciiTheme="majorHAnsi" w:hAnsiTheme="majorHAnsi"/>
                <w:sz w:val="20"/>
                <w:szCs w:val="20"/>
                <w:lang w:val="es-ES"/>
              </w:rPr>
              <w:t>, 25</w:t>
            </w:r>
            <w:r w:rsidR="006B4F19">
              <w:rPr>
                <w:rFonts w:asciiTheme="majorHAnsi" w:hAnsiTheme="majorHAnsi"/>
                <w:sz w:val="20"/>
                <w:szCs w:val="20"/>
                <w:lang w:val="es-ES"/>
              </w:rPr>
              <w:t xml:space="preserve"> (protección judicial)</w:t>
            </w:r>
            <w:r w:rsidR="00D652E6">
              <w:rPr>
                <w:rFonts w:asciiTheme="majorHAnsi" w:hAnsiTheme="majorHAnsi"/>
                <w:sz w:val="20"/>
                <w:szCs w:val="20"/>
                <w:lang w:val="es-ES"/>
              </w:rPr>
              <w:t xml:space="preserve"> y 26</w:t>
            </w:r>
            <w:r w:rsidR="006B4F19">
              <w:rPr>
                <w:rFonts w:asciiTheme="majorHAnsi" w:hAnsiTheme="majorHAnsi"/>
                <w:sz w:val="20"/>
                <w:szCs w:val="20"/>
                <w:lang w:val="es-ES"/>
              </w:rPr>
              <w:t xml:space="preserve"> (desarrollo progresivo)</w:t>
            </w:r>
            <w:r w:rsidR="00D652E6">
              <w:rPr>
                <w:rFonts w:asciiTheme="majorHAnsi" w:hAnsiTheme="majorHAnsi"/>
                <w:sz w:val="20"/>
                <w:szCs w:val="20"/>
                <w:lang w:val="es-ES"/>
              </w:rPr>
              <w:t xml:space="preserve"> de la Convención Americana</w:t>
            </w:r>
            <w:r w:rsidR="006B4F19">
              <w:rPr>
                <w:rFonts w:asciiTheme="majorHAnsi" w:hAnsiTheme="majorHAnsi"/>
                <w:sz w:val="20"/>
                <w:szCs w:val="20"/>
                <w:lang w:val="es-ES"/>
              </w:rPr>
              <w:t>,</w:t>
            </w:r>
            <w:r w:rsidR="00D652E6">
              <w:rPr>
                <w:rFonts w:asciiTheme="majorHAnsi" w:hAnsiTheme="majorHAnsi"/>
                <w:sz w:val="20"/>
                <w:szCs w:val="20"/>
                <w:lang w:val="es-ES"/>
              </w:rPr>
              <w:t xml:space="preserve"> </w:t>
            </w:r>
            <w:r w:rsidR="00290A75">
              <w:rPr>
                <w:rFonts w:asciiTheme="majorHAnsi" w:hAnsiTheme="majorHAnsi"/>
                <w:sz w:val="20"/>
                <w:szCs w:val="20"/>
                <w:lang w:val="es-ES"/>
              </w:rPr>
              <w:t xml:space="preserve">en relación con 1.1 </w:t>
            </w:r>
            <w:r w:rsidR="006B4F19">
              <w:rPr>
                <w:rFonts w:asciiTheme="majorHAnsi" w:hAnsiTheme="majorHAnsi"/>
                <w:sz w:val="20"/>
                <w:szCs w:val="20"/>
                <w:lang w:val="es-ES"/>
              </w:rPr>
              <w:t xml:space="preserve">(obligación de respetar los derechos) </w:t>
            </w:r>
            <w:r w:rsidR="00290A75">
              <w:rPr>
                <w:rFonts w:asciiTheme="majorHAnsi" w:hAnsiTheme="majorHAnsi"/>
                <w:sz w:val="20"/>
                <w:szCs w:val="20"/>
                <w:lang w:val="es-ES"/>
              </w:rPr>
              <w:t>y 2</w:t>
            </w:r>
            <w:r w:rsidR="006B4F19">
              <w:rPr>
                <w:rFonts w:asciiTheme="majorHAnsi" w:hAnsiTheme="majorHAnsi"/>
                <w:sz w:val="20"/>
                <w:szCs w:val="20"/>
                <w:lang w:val="es-ES"/>
              </w:rPr>
              <w:t xml:space="preserve"> (deber de adoptar disposiciones de derecho interno)</w:t>
            </w:r>
            <w:r w:rsidR="00290A75">
              <w:rPr>
                <w:rFonts w:asciiTheme="majorHAnsi" w:hAnsiTheme="majorHAnsi"/>
                <w:sz w:val="20"/>
                <w:szCs w:val="20"/>
                <w:lang w:val="es-ES"/>
              </w:rPr>
              <w:t xml:space="preserve"> del mismo tratado</w:t>
            </w:r>
            <w:r w:rsidR="00653C9A">
              <w:rPr>
                <w:rFonts w:asciiTheme="majorHAnsi" w:hAnsiTheme="majorHAnsi"/>
                <w:sz w:val="20"/>
                <w:szCs w:val="20"/>
                <w:lang w:val="es-ES"/>
              </w:rPr>
              <w:t>, y</w:t>
            </w:r>
            <w:r w:rsidR="006B4F19">
              <w:rPr>
                <w:rFonts w:asciiTheme="majorHAnsi" w:hAnsiTheme="majorHAnsi"/>
                <w:sz w:val="20"/>
                <w:szCs w:val="20"/>
                <w:lang w:val="es-ES"/>
              </w:rPr>
              <w:t xml:space="preserve"> artículo XVI (</w:t>
            </w:r>
            <w:r w:rsidR="00653C9A">
              <w:rPr>
                <w:rFonts w:asciiTheme="majorHAnsi" w:hAnsiTheme="majorHAnsi"/>
                <w:sz w:val="20"/>
                <w:szCs w:val="20"/>
                <w:lang w:val="es-ES"/>
              </w:rPr>
              <w:t>derecho a la seguridad social) de la Declaración Americana, respecto de todas las peticiones; y</w:t>
            </w:r>
            <w:r w:rsidR="006B4F19">
              <w:rPr>
                <w:rFonts w:asciiTheme="majorHAnsi" w:hAnsiTheme="majorHAnsi"/>
                <w:sz w:val="20"/>
                <w:szCs w:val="20"/>
                <w:lang w:val="es-ES"/>
              </w:rPr>
              <w:t xml:space="preserve"> </w:t>
            </w:r>
            <w:r w:rsidR="00371D15">
              <w:rPr>
                <w:rFonts w:asciiTheme="majorHAnsi" w:hAnsiTheme="majorHAnsi"/>
                <w:sz w:val="20"/>
                <w:szCs w:val="20"/>
                <w:lang w:val="es-ES"/>
              </w:rPr>
              <w:t>artículo 9</w:t>
            </w:r>
            <w:r w:rsidR="006B4F19">
              <w:rPr>
                <w:rFonts w:asciiTheme="majorHAnsi" w:hAnsiTheme="majorHAnsi"/>
                <w:sz w:val="20"/>
                <w:szCs w:val="20"/>
                <w:lang w:val="es-ES"/>
              </w:rPr>
              <w:t xml:space="preserve"> (principio de legalidad e irretroactividad)</w:t>
            </w:r>
            <w:r w:rsidR="00371D15">
              <w:rPr>
                <w:rFonts w:asciiTheme="majorHAnsi" w:hAnsiTheme="majorHAnsi"/>
                <w:sz w:val="20"/>
                <w:szCs w:val="20"/>
                <w:lang w:val="es-ES"/>
              </w:rPr>
              <w:t xml:space="preserve"> de la Convención respecto de la P-1077-98 </w:t>
            </w:r>
          </w:p>
        </w:tc>
      </w:tr>
      <w:tr w:rsidR="00C35460" w:rsidRPr="002A3678" w14:paraId="5D077606" w14:textId="77777777" w:rsidTr="00C35460">
        <w:trPr>
          <w:cantSplit/>
          <w:trHeight w:val="109"/>
        </w:trPr>
        <w:tc>
          <w:tcPr>
            <w:tcW w:w="4680" w:type="dxa"/>
            <w:vMerge w:val="restart"/>
            <w:tcBorders>
              <w:top w:val="single" w:sz="6" w:space="0" w:color="auto"/>
            </w:tcBorders>
            <w:shd w:val="clear" w:color="auto" w:fill="386294"/>
            <w:vAlign w:val="center"/>
          </w:tcPr>
          <w:p w14:paraId="11848658" w14:textId="77777777" w:rsidR="00C35460" w:rsidRPr="002C56E6" w:rsidRDefault="00C35460" w:rsidP="008D2290">
            <w:pPr>
              <w:jc w:val="center"/>
              <w:rPr>
                <w:rFonts w:ascii="Cambria" w:hAnsi="Cambria"/>
                <w:b/>
                <w:bCs/>
                <w:color w:val="FFFFFF" w:themeColor="background1"/>
                <w:sz w:val="20"/>
                <w:szCs w:val="20"/>
                <w:lang w:val="es-ES"/>
              </w:rPr>
            </w:pPr>
            <w:r w:rsidRPr="002C56E6">
              <w:rPr>
                <w:rFonts w:ascii="Cambria" w:hAnsi="Cambria"/>
                <w:b/>
                <w:bCs/>
                <w:color w:val="FFFFFF" w:themeColor="background1"/>
                <w:sz w:val="20"/>
                <w:szCs w:val="20"/>
                <w:lang w:val="es-ES"/>
              </w:rPr>
              <w:t>Agotamiento de recursos internos</w:t>
            </w:r>
            <w:r w:rsidR="00F12CFC" w:rsidRPr="002C56E6">
              <w:rPr>
                <w:rFonts w:ascii="Cambria" w:hAnsi="Cambria"/>
                <w:b/>
                <w:bCs/>
                <w:color w:val="FFFFFF" w:themeColor="background1"/>
                <w:sz w:val="20"/>
                <w:szCs w:val="20"/>
                <w:lang w:val="es-ES"/>
              </w:rPr>
              <w:t xml:space="preserve"> o procedencia de una excepción</w:t>
            </w:r>
            <w:r w:rsidRPr="002C56E6">
              <w:rPr>
                <w:rFonts w:ascii="Cambria" w:hAnsi="Cambria"/>
                <w:b/>
                <w:bCs/>
                <w:color w:val="FFFFFF" w:themeColor="background1"/>
                <w:sz w:val="20"/>
                <w:szCs w:val="20"/>
                <w:lang w:val="es-ES"/>
              </w:rPr>
              <w:t>:</w:t>
            </w:r>
          </w:p>
        </w:tc>
        <w:tc>
          <w:tcPr>
            <w:tcW w:w="4680" w:type="dxa"/>
            <w:vAlign w:val="center"/>
          </w:tcPr>
          <w:p w14:paraId="24229053" w14:textId="77777777" w:rsidR="00C35460" w:rsidRPr="00A52A91" w:rsidRDefault="00C35460" w:rsidP="000B1D60">
            <w:pPr>
              <w:jc w:val="both"/>
              <w:rPr>
                <w:rFonts w:ascii="Cambria" w:hAnsi="Cambria"/>
                <w:bCs/>
                <w:sz w:val="20"/>
                <w:szCs w:val="20"/>
                <w:lang w:val="es-BO"/>
              </w:rPr>
            </w:pPr>
            <w:r w:rsidRPr="00891532">
              <w:rPr>
                <w:rFonts w:ascii="Cambria" w:hAnsi="Cambria"/>
                <w:b/>
                <w:bCs/>
                <w:sz w:val="20"/>
                <w:szCs w:val="20"/>
                <w:lang w:val="es-BO"/>
              </w:rPr>
              <w:t>P-1077-98:</w:t>
            </w:r>
            <w:r w:rsidR="00A52A91">
              <w:rPr>
                <w:rFonts w:ascii="Cambria" w:hAnsi="Cambria"/>
                <w:b/>
                <w:bCs/>
                <w:sz w:val="20"/>
                <w:szCs w:val="20"/>
                <w:lang w:val="es-BO"/>
              </w:rPr>
              <w:t xml:space="preserve"> </w:t>
            </w:r>
            <w:r w:rsidR="00A52A91" w:rsidRPr="00A52A91">
              <w:rPr>
                <w:rFonts w:ascii="Cambria" w:hAnsi="Cambria"/>
                <w:bCs/>
                <w:sz w:val="20"/>
                <w:szCs w:val="20"/>
                <w:lang w:val="es-BO"/>
              </w:rPr>
              <w:t>Sí,</w:t>
            </w:r>
            <w:r w:rsidR="00A52A91">
              <w:rPr>
                <w:rFonts w:ascii="Cambria" w:hAnsi="Cambria"/>
                <w:b/>
                <w:bCs/>
                <w:sz w:val="20"/>
                <w:szCs w:val="20"/>
                <w:lang w:val="es-BO"/>
              </w:rPr>
              <w:t xml:space="preserve"> </w:t>
            </w:r>
            <w:r w:rsidR="00A52A91">
              <w:rPr>
                <w:rFonts w:ascii="Cambria" w:hAnsi="Cambria"/>
                <w:bCs/>
                <w:sz w:val="20"/>
                <w:szCs w:val="20"/>
                <w:lang w:val="es-BO"/>
              </w:rPr>
              <w:t>17 de marzo de 1999</w:t>
            </w:r>
          </w:p>
        </w:tc>
      </w:tr>
      <w:tr w:rsidR="00C35460" w:rsidRPr="002A3678" w14:paraId="3CE54C3C" w14:textId="77777777" w:rsidTr="007951B7">
        <w:trPr>
          <w:cantSplit/>
          <w:trHeight w:val="108"/>
        </w:trPr>
        <w:tc>
          <w:tcPr>
            <w:tcW w:w="4680" w:type="dxa"/>
            <w:vMerge/>
            <w:shd w:val="clear" w:color="auto" w:fill="386294"/>
            <w:vAlign w:val="center"/>
          </w:tcPr>
          <w:p w14:paraId="0247B507" w14:textId="77777777" w:rsidR="00C35460" w:rsidRPr="00A52A91" w:rsidRDefault="00C35460" w:rsidP="008D2290">
            <w:pPr>
              <w:jc w:val="center"/>
              <w:rPr>
                <w:rFonts w:ascii="Cambria" w:hAnsi="Cambria"/>
                <w:b/>
                <w:bCs/>
                <w:color w:val="FFFFFF" w:themeColor="background1"/>
                <w:sz w:val="20"/>
                <w:szCs w:val="20"/>
                <w:lang w:val="es-BO"/>
              </w:rPr>
            </w:pPr>
          </w:p>
        </w:tc>
        <w:tc>
          <w:tcPr>
            <w:tcW w:w="4680" w:type="dxa"/>
            <w:vAlign w:val="center"/>
          </w:tcPr>
          <w:p w14:paraId="13F86FCA" w14:textId="77777777" w:rsidR="00C35460" w:rsidRDefault="00C35460" w:rsidP="000B1D60">
            <w:pPr>
              <w:jc w:val="both"/>
              <w:rPr>
                <w:rFonts w:ascii="Cambria" w:hAnsi="Cambria"/>
                <w:b/>
                <w:bCs/>
                <w:sz w:val="20"/>
                <w:szCs w:val="20"/>
                <w:lang w:val="es-BO"/>
              </w:rPr>
            </w:pPr>
            <w:r>
              <w:rPr>
                <w:rFonts w:ascii="Cambria" w:hAnsi="Cambria"/>
                <w:b/>
                <w:bCs/>
                <w:sz w:val="20"/>
                <w:szCs w:val="20"/>
                <w:lang w:val="es-BO"/>
              </w:rPr>
              <w:t>P-1295</w:t>
            </w:r>
            <w:r w:rsidRPr="00EF4B5C">
              <w:rPr>
                <w:rFonts w:ascii="Cambria" w:hAnsi="Cambria"/>
                <w:b/>
                <w:bCs/>
                <w:sz w:val="20"/>
                <w:szCs w:val="20"/>
                <w:lang w:val="es-BO"/>
              </w:rPr>
              <w:t>-07</w:t>
            </w:r>
            <w:r>
              <w:rPr>
                <w:rFonts w:ascii="Cambria" w:hAnsi="Cambria"/>
                <w:b/>
                <w:bCs/>
                <w:sz w:val="20"/>
                <w:szCs w:val="20"/>
                <w:lang w:val="es-BO"/>
              </w:rPr>
              <w:t xml:space="preserve">: </w:t>
            </w:r>
            <w:r>
              <w:rPr>
                <w:rFonts w:ascii="Cambria" w:hAnsi="Cambria"/>
                <w:bCs/>
                <w:sz w:val="20"/>
                <w:szCs w:val="20"/>
                <w:lang w:val="es-BO"/>
              </w:rPr>
              <w:t>S</w:t>
            </w:r>
            <w:r w:rsidR="00B76E0D">
              <w:rPr>
                <w:rFonts w:ascii="Cambria" w:hAnsi="Cambria"/>
                <w:bCs/>
                <w:sz w:val="20"/>
                <w:szCs w:val="20"/>
                <w:lang w:val="es-BO"/>
              </w:rPr>
              <w:t>í</w:t>
            </w:r>
            <w:r>
              <w:rPr>
                <w:rFonts w:ascii="Cambria" w:hAnsi="Cambria"/>
                <w:bCs/>
                <w:sz w:val="20"/>
                <w:szCs w:val="20"/>
                <w:lang w:val="es-BO"/>
              </w:rPr>
              <w:t>, 14 de mayo de 2007</w:t>
            </w:r>
          </w:p>
        </w:tc>
      </w:tr>
      <w:tr w:rsidR="00C35460" w:rsidRPr="002A3678" w14:paraId="4F2E2458" w14:textId="77777777" w:rsidTr="00FC0A7D">
        <w:trPr>
          <w:cantSplit/>
          <w:trHeight w:val="43"/>
        </w:trPr>
        <w:tc>
          <w:tcPr>
            <w:tcW w:w="4680" w:type="dxa"/>
            <w:vMerge/>
            <w:shd w:val="clear" w:color="auto" w:fill="386294"/>
            <w:vAlign w:val="center"/>
          </w:tcPr>
          <w:p w14:paraId="43AA7EF3" w14:textId="77777777" w:rsidR="00C35460" w:rsidRPr="00B0632E" w:rsidRDefault="00C35460" w:rsidP="008D2290">
            <w:pPr>
              <w:jc w:val="center"/>
              <w:rPr>
                <w:rFonts w:ascii="Cambria" w:hAnsi="Cambria"/>
                <w:b/>
                <w:bCs/>
                <w:color w:val="FFFFFF" w:themeColor="background1"/>
                <w:sz w:val="20"/>
                <w:szCs w:val="20"/>
                <w:lang w:val="es-BO"/>
              </w:rPr>
            </w:pPr>
          </w:p>
        </w:tc>
        <w:tc>
          <w:tcPr>
            <w:tcW w:w="4680" w:type="dxa"/>
            <w:vAlign w:val="center"/>
          </w:tcPr>
          <w:p w14:paraId="7ED5125B" w14:textId="77777777" w:rsidR="00C35460" w:rsidRPr="002E0191" w:rsidRDefault="00C35460" w:rsidP="002E0191">
            <w:pPr>
              <w:jc w:val="both"/>
              <w:rPr>
                <w:rFonts w:ascii="Cambria" w:hAnsi="Cambria"/>
                <w:bCs/>
                <w:sz w:val="20"/>
                <w:szCs w:val="20"/>
                <w:lang w:val="es-BO"/>
              </w:rPr>
            </w:pPr>
            <w:r>
              <w:rPr>
                <w:rFonts w:ascii="Cambria" w:hAnsi="Cambria"/>
                <w:b/>
                <w:bCs/>
                <w:sz w:val="20"/>
                <w:szCs w:val="20"/>
                <w:lang w:val="es-BO"/>
              </w:rPr>
              <w:t>P-1296</w:t>
            </w:r>
            <w:r w:rsidRPr="00EF4B5C">
              <w:rPr>
                <w:rFonts w:ascii="Cambria" w:hAnsi="Cambria"/>
                <w:b/>
                <w:bCs/>
                <w:sz w:val="20"/>
                <w:szCs w:val="20"/>
                <w:lang w:val="es-BO"/>
              </w:rPr>
              <w:t>-07</w:t>
            </w:r>
            <w:r>
              <w:rPr>
                <w:rFonts w:ascii="Cambria" w:hAnsi="Cambria"/>
                <w:b/>
                <w:bCs/>
                <w:sz w:val="20"/>
                <w:szCs w:val="20"/>
                <w:lang w:val="es-BO"/>
              </w:rPr>
              <w:t xml:space="preserve">: </w:t>
            </w:r>
            <w:r>
              <w:rPr>
                <w:rFonts w:ascii="Cambria" w:hAnsi="Cambria"/>
                <w:bCs/>
                <w:sz w:val="20"/>
                <w:szCs w:val="20"/>
                <w:lang w:val="es-BO"/>
              </w:rPr>
              <w:t>S</w:t>
            </w:r>
            <w:r w:rsidR="00B76E0D">
              <w:rPr>
                <w:rFonts w:ascii="Cambria" w:hAnsi="Cambria"/>
                <w:bCs/>
                <w:sz w:val="20"/>
                <w:szCs w:val="20"/>
                <w:lang w:val="es-BO"/>
              </w:rPr>
              <w:t>í</w:t>
            </w:r>
            <w:r>
              <w:rPr>
                <w:rFonts w:ascii="Cambria" w:hAnsi="Cambria"/>
                <w:bCs/>
                <w:sz w:val="20"/>
                <w:szCs w:val="20"/>
                <w:lang w:val="es-BO"/>
              </w:rPr>
              <w:t>, 6 de junio de 2007</w:t>
            </w:r>
          </w:p>
        </w:tc>
      </w:tr>
      <w:tr w:rsidR="00C35460" w:rsidRPr="002A3678" w14:paraId="5F302DC7" w14:textId="77777777" w:rsidTr="00FC0A7D">
        <w:trPr>
          <w:cantSplit/>
          <w:trHeight w:val="43"/>
        </w:trPr>
        <w:tc>
          <w:tcPr>
            <w:tcW w:w="4680" w:type="dxa"/>
            <w:vMerge/>
            <w:shd w:val="clear" w:color="auto" w:fill="386294"/>
            <w:vAlign w:val="center"/>
          </w:tcPr>
          <w:p w14:paraId="38352467" w14:textId="77777777" w:rsidR="00C35460" w:rsidRPr="002E0191" w:rsidRDefault="00C35460" w:rsidP="008D2290">
            <w:pPr>
              <w:jc w:val="center"/>
              <w:rPr>
                <w:rFonts w:ascii="Cambria" w:hAnsi="Cambria"/>
                <w:b/>
                <w:bCs/>
                <w:color w:val="FFFFFF" w:themeColor="background1"/>
                <w:sz w:val="20"/>
                <w:szCs w:val="20"/>
                <w:lang w:val="es-BO"/>
              </w:rPr>
            </w:pPr>
          </w:p>
        </w:tc>
        <w:tc>
          <w:tcPr>
            <w:tcW w:w="4680" w:type="dxa"/>
            <w:vAlign w:val="center"/>
          </w:tcPr>
          <w:p w14:paraId="69C2547D" w14:textId="77777777" w:rsidR="00C35460" w:rsidRPr="001C57A2" w:rsidRDefault="00C35460" w:rsidP="001C57A2">
            <w:pPr>
              <w:jc w:val="both"/>
              <w:rPr>
                <w:rFonts w:ascii="Cambria" w:hAnsi="Cambria"/>
                <w:bCs/>
                <w:sz w:val="20"/>
                <w:szCs w:val="20"/>
                <w:lang w:val="es-BO"/>
              </w:rPr>
            </w:pPr>
            <w:r>
              <w:rPr>
                <w:rFonts w:ascii="Cambria" w:hAnsi="Cambria"/>
                <w:b/>
                <w:bCs/>
                <w:sz w:val="20"/>
                <w:szCs w:val="20"/>
                <w:lang w:val="es-BO"/>
              </w:rPr>
              <w:t xml:space="preserve">P-1401-07: </w:t>
            </w:r>
            <w:r>
              <w:rPr>
                <w:rFonts w:ascii="Cambria" w:hAnsi="Cambria"/>
                <w:bCs/>
                <w:sz w:val="20"/>
                <w:szCs w:val="20"/>
                <w:lang w:val="es-BO"/>
              </w:rPr>
              <w:t>S</w:t>
            </w:r>
            <w:r w:rsidR="00B76E0D">
              <w:rPr>
                <w:rFonts w:ascii="Cambria" w:hAnsi="Cambria"/>
                <w:bCs/>
                <w:sz w:val="20"/>
                <w:szCs w:val="20"/>
                <w:lang w:val="es-BO"/>
              </w:rPr>
              <w:t>í</w:t>
            </w:r>
            <w:r>
              <w:rPr>
                <w:rFonts w:ascii="Cambria" w:hAnsi="Cambria"/>
                <w:bCs/>
                <w:sz w:val="20"/>
                <w:szCs w:val="20"/>
                <w:lang w:val="es-BO"/>
              </w:rPr>
              <w:t>, 21 de junio de 2007</w:t>
            </w:r>
          </w:p>
        </w:tc>
      </w:tr>
      <w:tr w:rsidR="00C35460" w:rsidRPr="002A3678" w14:paraId="1D459169" w14:textId="77777777" w:rsidTr="00FC0A7D">
        <w:trPr>
          <w:cantSplit/>
          <w:trHeight w:val="43"/>
        </w:trPr>
        <w:tc>
          <w:tcPr>
            <w:tcW w:w="4680" w:type="dxa"/>
            <w:vMerge/>
            <w:shd w:val="clear" w:color="auto" w:fill="386294"/>
            <w:vAlign w:val="center"/>
          </w:tcPr>
          <w:p w14:paraId="56591A7C" w14:textId="77777777" w:rsidR="00C35460" w:rsidRPr="001C57A2" w:rsidRDefault="00C35460" w:rsidP="008D2290">
            <w:pPr>
              <w:jc w:val="center"/>
              <w:rPr>
                <w:rFonts w:ascii="Cambria" w:hAnsi="Cambria"/>
                <w:b/>
                <w:bCs/>
                <w:color w:val="FFFFFF" w:themeColor="background1"/>
                <w:sz w:val="20"/>
                <w:szCs w:val="20"/>
                <w:lang w:val="es-BO"/>
              </w:rPr>
            </w:pPr>
          </w:p>
        </w:tc>
        <w:tc>
          <w:tcPr>
            <w:tcW w:w="4680" w:type="dxa"/>
            <w:vAlign w:val="center"/>
          </w:tcPr>
          <w:p w14:paraId="3359F62B" w14:textId="77777777" w:rsidR="00C35460" w:rsidRPr="00CA48CF" w:rsidRDefault="00C35460" w:rsidP="000367FF">
            <w:pPr>
              <w:jc w:val="both"/>
              <w:rPr>
                <w:rFonts w:ascii="Cambria" w:hAnsi="Cambria"/>
                <w:bCs/>
                <w:sz w:val="20"/>
                <w:szCs w:val="20"/>
                <w:lang w:val="es-BO"/>
              </w:rPr>
            </w:pPr>
            <w:r>
              <w:rPr>
                <w:rFonts w:ascii="Cambria" w:hAnsi="Cambria"/>
                <w:b/>
                <w:bCs/>
                <w:sz w:val="20"/>
                <w:szCs w:val="20"/>
                <w:lang w:val="es-BO"/>
              </w:rPr>
              <w:t xml:space="preserve">P-300-08: </w:t>
            </w:r>
            <w:r>
              <w:rPr>
                <w:rFonts w:ascii="Cambria" w:hAnsi="Cambria"/>
                <w:bCs/>
                <w:sz w:val="20"/>
                <w:szCs w:val="20"/>
                <w:lang w:val="es-BO"/>
              </w:rPr>
              <w:t>S</w:t>
            </w:r>
            <w:r w:rsidR="00B76E0D">
              <w:rPr>
                <w:rFonts w:ascii="Cambria" w:hAnsi="Cambria"/>
                <w:bCs/>
                <w:sz w:val="20"/>
                <w:szCs w:val="20"/>
                <w:lang w:val="es-BO"/>
              </w:rPr>
              <w:t>í</w:t>
            </w:r>
            <w:r>
              <w:rPr>
                <w:rFonts w:ascii="Cambria" w:hAnsi="Cambria"/>
                <w:bCs/>
                <w:sz w:val="20"/>
                <w:szCs w:val="20"/>
                <w:lang w:val="es-BO"/>
              </w:rPr>
              <w:t xml:space="preserve">, </w:t>
            </w:r>
            <w:r w:rsidR="00CA48CF">
              <w:rPr>
                <w:rFonts w:ascii="Cambria" w:hAnsi="Cambria"/>
                <w:bCs/>
                <w:sz w:val="20"/>
                <w:szCs w:val="20"/>
                <w:lang w:val="es-BO"/>
              </w:rPr>
              <w:t xml:space="preserve">24 de septiembre de 2007 </w:t>
            </w:r>
          </w:p>
        </w:tc>
      </w:tr>
      <w:tr w:rsidR="00C35460" w:rsidRPr="002A3678" w14:paraId="667F29D1" w14:textId="77777777" w:rsidTr="00FC0A7D">
        <w:trPr>
          <w:cantSplit/>
          <w:trHeight w:val="43"/>
        </w:trPr>
        <w:tc>
          <w:tcPr>
            <w:tcW w:w="4680" w:type="dxa"/>
            <w:vMerge/>
            <w:tcBorders>
              <w:bottom w:val="single" w:sz="6" w:space="0" w:color="auto"/>
            </w:tcBorders>
            <w:shd w:val="clear" w:color="auto" w:fill="386294"/>
            <w:vAlign w:val="center"/>
          </w:tcPr>
          <w:p w14:paraId="10E82F0E" w14:textId="77777777" w:rsidR="00C35460" w:rsidRPr="00CA48CF" w:rsidRDefault="00C35460" w:rsidP="008D2290">
            <w:pPr>
              <w:jc w:val="center"/>
              <w:rPr>
                <w:rFonts w:ascii="Cambria" w:hAnsi="Cambria"/>
                <w:b/>
                <w:bCs/>
                <w:color w:val="FFFFFF" w:themeColor="background1"/>
                <w:sz w:val="20"/>
                <w:szCs w:val="20"/>
                <w:lang w:val="es-BO"/>
              </w:rPr>
            </w:pPr>
          </w:p>
        </w:tc>
        <w:tc>
          <w:tcPr>
            <w:tcW w:w="4680" w:type="dxa"/>
            <w:vAlign w:val="center"/>
          </w:tcPr>
          <w:p w14:paraId="3661F19F" w14:textId="77777777" w:rsidR="00C35460" w:rsidRPr="000B1D60" w:rsidRDefault="00C35460" w:rsidP="00581E9C">
            <w:pPr>
              <w:jc w:val="both"/>
              <w:rPr>
                <w:rFonts w:ascii="Cambria" w:hAnsi="Cambria"/>
                <w:bCs/>
                <w:sz w:val="20"/>
                <w:szCs w:val="20"/>
                <w:lang w:val="es-BO"/>
              </w:rPr>
            </w:pPr>
            <w:r>
              <w:rPr>
                <w:rFonts w:ascii="Cambria" w:hAnsi="Cambria"/>
                <w:b/>
                <w:bCs/>
                <w:sz w:val="20"/>
                <w:szCs w:val="20"/>
                <w:lang w:val="es-BO"/>
              </w:rPr>
              <w:t xml:space="preserve">P-405-08: </w:t>
            </w:r>
            <w:r>
              <w:rPr>
                <w:rFonts w:ascii="Cambria" w:hAnsi="Cambria"/>
                <w:bCs/>
                <w:sz w:val="20"/>
                <w:szCs w:val="20"/>
                <w:lang w:val="es-BO"/>
              </w:rPr>
              <w:t>S</w:t>
            </w:r>
            <w:r w:rsidR="00B76E0D">
              <w:rPr>
                <w:rFonts w:ascii="Cambria" w:hAnsi="Cambria"/>
                <w:bCs/>
                <w:sz w:val="20"/>
                <w:szCs w:val="20"/>
                <w:lang w:val="es-BO"/>
              </w:rPr>
              <w:t>í</w:t>
            </w:r>
            <w:r>
              <w:rPr>
                <w:rFonts w:ascii="Cambria" w:hAnsi="Cambria"/>
                <w:bCs/>
                <w:sz w:val="20"/>
                <w:szCs w:val="20"/>
                <w:lang w:val="es-BO"/>
              </w:rPr>
              <w:t>, 19 de enero de 2008</w:t>
            </w:r>
          </w:p>
        </w:tc>
      </w:tr>
      <w:tr w:rsidR="00C35460" w:rsidRPr="00B2155F" w14:paraId="5E998330" w14:textId="77777777" w:rsidTr="00C35460">
        <w:trPr>
          <w:cantSplit/>
          <w:trHeight w:val="109"/>
        </w:trPr>
        <w:tc>
          <w:tcPr>
            <w:tcW w:w="4680" w:type="dxa"/>
            <w:vMerge w:val="restart"/>
            <w:tcBorders>
              <w:top w:val="single" w:sz="6" w:space="0" w:color="auto"/>
            </w:tcBorders>
            <w:shd w:val="clear" w:color="auto" w:fill="386294"/>
            <w:vAlign w:val="center"/>
          </w:tcPr>
          <w:p w14:paraId="37741496" w14:textId="77777777" w:rsidR="00C35460" w:rsidRPr="00706824" w:rsidRDefault="00C35460" w:rsidP="008D2290">
            <w:pPr>
              <w:jc w:val="center"/>
              <w:rPr>
                <w:rFonts w:ascii="Cambria" w:hAnsi="Cambria"/>
                <w:b/>
                <w:bCs/>
                <w:color w:val="FFFFFF" w:themeColor="background1"/>
                <w:sz w:val="20"/>
                <w:szCs w:val="20"/>
              </w:rPr>
            </w:pPr>
            <w:r>
              <w:rPr>
                <w:rFonts w:ascii="Cambria" w:hAnsi="Cambria"/>
                <w:b/>
                <w:bCs/>
                <w:color w:val="FFFFFF" w:themeColor="background1"/>
                <w:sz w:val="20"/>
                <w:szCs w:val="20"/>
              </w:rPr>
              <w:t>Presentación dentro de plazo</w:t>
            </w:r>
            <w:r w:rsidRPr="00706824">
              <w:rPr>
                <w:rFonts w:ascii="Cambria" w:hAnsi="Cambria"/>
                <w:b/>
                <w:bCs/>
                <w:color w:val="FFFFFF" w:themeColor="background1"/>
                <w:sz w:val="20"/>
                <w:szCs w:val="20"/>
              </w:rPr>
              <w:t>:</w:t>
            </w:r>
          </w:p>
        </w:tc>
        <w:tc>
          <w:tcPr>
            <w:tcW w:w="4680" w:type="dxa"/>
            <w:vAlign w:val="center"/>
          </w:tcPr>
          <w:p w14:paraId="7B469A47" w14:textId="77777777" w:rsidR="00C35460" w:rsidRPr="00C35460" w:rsidRDefault="00C35460" w:rsidP="00581E9C">
            <w:pPr>
              <w:jc w:val="both"/>
              <w:rPr>
                <w:rFonts w:ascii="Cambria" w:hAnsi="Cambria"/>
                <w:bCs/>
                <w:sz w:val="20"/>
                <w:szCs w:val="20"/>
                <w:lang w:val="es-BO"/>
              </w:rPr>
            </w:pPr>
            <w:r w:rsidRPr="00891532">
              <w:rPr>
                <w:rFonts w:ascii="Cambria" w:hAnsi="Cambria"/>
                <w:b/>
                <w:bCs/>
                <w:sz w:val="20"/>
                <w:szCs w:val="20"/>
                <w:lang w:val="es-BO"/>
              </w:rPr>
              <w:t>P-1077-98:</w:t>
            </w:r>
            <w:r>
              <w:rPr>
                <w:rFonts w:ascii="Cambria" w:hAnsi="Cambria"/>
                <w:b/>
                <w:bCs/>
                <w:sz w:val="20"/>
                <w:szCs w:val="20"/>
                <w:lang w:val="es-BO"/>
              </w:rPr>
              <w:t xml:space="preserve"> </w:t>
            </w:r>
            <w:r>
              <w:rPr>
                <w:rFonts w:ascii="Cambria" w:hAnsi="Cambria"/>
                <w:bCs/>
                <w:sz w:val="20"/>
                <w:szCs w:val="20"/>
                <w:lang w:val="es-BO"/>
              </w:rPr>
              <w:t xml:space="preserve">13 de </w:t>
            </w:r>
            <w:r w:rsidR="00A52A91">
              <w:rPr>
                <w:rFonts w:ascii="Cambria" w:hAnsi="Cambria"/>
                <w:bCs/>
                <w:sz w:val="20"/>
                <w:szCs w:val="20"/>
                <w:lang w:val="es-BO"/>
              </w:rPr>
              <w:t>noviembre de 1998</w:t>
            </w:r>
          </w:p>
        </w:tc>
      </w:tr>
      <w:tr w:rsidR="00C35460" w:rsidRPr="002A3678" w14:paraId="05B6BEB1" w14:textId="77777777" w:rsidTr="00533ECC">
        <w:trPr>
          <w:cantSplit/>
          <w:trHeight w:val="108"/>
        </w:trPr>
        <w:tc>
          <w:tcPr>
            <w:tcW w:w="4680" w:type="dxa"/>
            <w:vMerge/>
            <w:shd w:val="clear" w:color="auto" w:fill="386294"/>
            <w:vAlign w:val="center"/>
          </w:tcPr>
          <w:p w14:paraId="424AA9C5" w14:textId="77777777" w:rsidR="00C35460" w:rsidRDefault="00C35460" w:rsidP="008D2290">
            <w:pPr>
              <w:jc w:val="center"/>
              <w:rPr>
                <w:rFonts w:ascii="Cambria" w:hAnsi="Cambria"/>
                <w:b/>
                <w:bCs/>
                <w:color w:val="FFFFFF" w:themeColor="background1"/>
                <w:sz w:val="20"/>
                <w:szCs w:val="20"/>
              </w:rPr>
            </w:pPr>
          </w:p>
        </w:tc>
        <w:tc>
          <w:tcPr>
            <w:tcW w:w="4680" w:type="dxa"/>
            <w:vAlign w:val="center"/>
          </w:tcPr>
          <w:p w14:paraId="455FC288" w14:textId="77777777" w:rsidR="00C35460" w:rsidRDefault="00C35460" w:rsidP="00581E9C">
            <w:pPr>
              <w:jc w:val="both"/>
              <w:rPr>
                <w:rFonts w:ascii="Cambria" w:hAnsi="Cambria"/>
                <w:b/>
                <w:bCs/>
                <w:sz w:val="20"/>
                <w:szCs w:val="20"/>
                <w:lang w:val="es-BO"/>
              </w:rPr>
            </w:pPr>
            <w:r>
              <w:rPr>
                <w:rFonts w:ascii="Cambria" w:hAnsi="Cambria"/>
                <w:b/>
                <w:bCs/>
                <w:sz w:val="20"/>
                <w:szCs w:val="20"/>
                <w:lang w:val="es-BO"/>
              </w:rPr>
              <w:t>P-1295</w:t>
            </w:r>
            <w:r w:rsidRPr="00EF4B5C">
              <w:rPr>
                <w:rFonts w:ascii="Cambria" w:hAnsi="Cambria"/>
                <w:b/>
                <w:bCs/>
                <w:sz w:val="20"/>
                <w:szCs w:val="20"/>
                <w:lang w:val="es-BO"/>
              </w:rPr>
              <w:t>-07</w:t>
            </w:r>
            <w:r>
              <w:rPr>
                <w:rFonts w:ascii="Cambria" w:hAnsi="Cambria"/>
                <w:b/>
                <w:bCs/>
                <w:sz w:val="20"/>
                <w:szCs w:val="20"/>
                <w:lang w:val="es-BO"/>
              </w:rPr>
              <w:t xml:space="preserve">: </w:t>
            </w:r>
            <w:r>
              <w:rPr>
                <w:rFonts w:ascii="Cambria" w:hAnsi="Cambria"/>
                <w:bCs/>
                <w:sz w:val="20"/>
                <w:szCs w:val="20"/>
                <w:lang w:val="es-BO"/>
              </w:rPr>
              <w:t>S</w:t>
            </w:r>
            <w:r w:rsidR="00B76E0D">
              <w:rPr>
                <w:rFonts w:ascii="Cambria" w:hAnsi="Cambria"/>
                <w:bCs/>
                <w:sz w:val="20"/>
                <w:szCs w:val="20"/>
                <w:lang w:val="es-BO"/>
              </w:rPr>
              <w:t>í</w:t>
            </w:r>
            <w:r>
              <w:rPr>
                <w:rFonts w:ascii="Cambria" w:hAnsi="Cambria"/>
                <w:bCs/>
                <w:sz w:val="20"/>
                <w:szCs w:val="20"/>
                <w:lang w:val="es-BO"/>
              </w:rPr>
              <w:t>, 4 de octubre de 2007</w:t>
            </w:r>
          </w:p>
        </w:tc>
      </w:tr>
      <w:tr w:rsidR="00C35460" w:rsidRPr="002A3678" w14:paraId="26D47762" w14:textId="77777777" w:rsidTr="00B77EC7">
        <w:trPr>
          <w:cantSplit/>
          <w:trHeight w:val="43"/>
        </w:trPr>
        <w:tc>
          <w:tcPr>
            <w:tcW w:w="4680" w:type="dxa"/>
            <w:vMerge/>
            <w:shd w:val="clear" w:color="auto" w:fill="386294"/>
            <w:vAlign w:val="center"/>
          </w:tcPr>
          <w:p w14:paraId="4EBE3343" w14:textId="77777777" w:rsidR="00C35460" w:rsidRPr="0041409E" w:rsidRDefault="00C35460" w:rsidP="008D2290">
            <w:pPr>
              <w:jc w:val="center"/>
              <w:rPr>
                <w:rFonts w:ascii="Cambria" w:hAnsi="Cambria"/>
                <w:b/>
                <w:bCs/>
                <w:color w:val="FFFFFF" w:themeColor="background1"/>
                <w:sz w:val="20"/>
                <w:szCs w:val="20"/>
                <w:lang w:val="es-ES"/>
              </w:rPr>
            </w:pPr>
          </w:p>
        </w:tc>
        <w:tc>
          <w:tcPr>
            <w:tcW w:w="4680" w:type="dxa"/>
            <w:vAlign w:val="center"/>
          </w:tcPr>
          <w:p w14:paraId="71C17C8F" w14:textId="77777777" w:rsidR="00C35460" w:rsidRPr="0041409E" w:rsidRDefault="00C35460" w:rsidP="002E0191">
            <w:pPr>
              <w:jc w:val="both"/>
              <w:rPr>
                <w:rFonts w:ascii="Cambria" w:hAnsi="Cambria"/>
                <w:bCs/>
                <w:sz w:val="20"/>
                <w:szCs w:val="20"/>
                <w:lang w:val="es-ES"/>
              </w:rPr>
            </w:pPr>
            <w:r>
              <w:rPr>
                <w:rFonts w:ascii="Cambria" w:hAnsi="Cambria"/>
                <w:b/>
                <w:bCs/>
                <w:sz w:val="20"/>
                <w:szCs w:val="20"/>
                <w:lang w:val="es-BO"/>
              </w:rPr>
              <w:t>P-1296</w:t>
            </w:r>
            <w:r w:rsidRPr="00EF4B5C">
              <w:rPr>
                <w:rFonts w:ascii="Cambria" w:hAnsi="Cambria"/>
                <w:b/>
                <w:bCs/>
                <w:sz w:val="20"/>
                <w:szCs w:val="20"/>
                <w:lang w:val="es-BO"/>
              </w:rPr>
              <w:t>-07</w:t>
            </w:r>
            <w:r>
              <w:rPr>
                <w:rFonts w:ascii="Cambria" w:hAnsi="Cambria"/>
                <w:b/>
                <w:bCs/>
                <w:sz w:val="20"/>
                <w:szCs w:val="20"/>
                <w:lang w:val="es-BO"/>
              </w:rPr>
              <w:t xml:space="preserve">: </w:t>
            </w:r>
            <w:r>
              <w:rPr>
                <w:rFonts w:ascii="Cambria" w:hAnsi="Cambria"/>
                <w:bCs/>
                <w:sz w:val="20"/>
                <w:szCs w:val="20"/>
                <w:lang w:val="es-BO"/>
              </w:rPr>
              <w:t>S</w:t>
            </w:r>
            <w:r w:rsidR="00B76E0D">
              <w:rPr>
                <w:rFonts w:ascii="Cambria" w:hAnsi="Cambria"/>
                <w:bCs/>
                <w:sz w:val="20"/>
                <w:szCs w:val="20"/>
                <w:lang w:val="es-BO"/>
              </w:rPr>
              <w:t>í</w:t>
            </w:r>
            <w:r>
              <w:rPr>
                <w:rFonts w:ascii="Cambria" w:hAnsi="Cambria"/>
                <w:bCs/>
                <w:sz w:val="20"/>
                <w:szCs w:val="20"/>
                <w:lang w:val="es-BO"/>
              </w:rPr>
              <w:t>, 4 de octubre de 2007</w:t>
            </w:r>
          </w:p>
        </w:tc>
      </w:tr>
      <w:tr w:rsidR="00C35460" w:rsidRPr="002A3678" w14:paraId="7C6C52A3" w14:textId="77777777" w:rsidTr="00B77EC7">
        <w:trPr>
          <w:cantSplit/>
          <w:trHeight w:val="43"/>
        </w:trPr>
        <w:tc>
          <w:tcPr>
            <w:tcW w:w="4680" w:type="dxa"/>
            <w:vMerge/>
            <w:shd w:val="clear" w:color="auto" w:fill="386294"/>
            <w:vAlign w:val="center"/>
          </w:tcPr>
          <w:p w14:paraId="3FF4A0C6" w14:textId="77777777" w:rsidR="00C35460" w:rsidRPr="0041409E" w:rsidRDefault="00C35460" w:rsidP="008D2290">
            <w:pPr>
              <w:jc w:val="center"/>
              <w:rPr>
                <w:rFonts w:ascii="Cambria" w:hAnsi="Cambria"/>
                <w:b/>
                <w:bCs/>
                <w:color w:val="FFFFFF" w:themeColor="background1"/>
                <w:sz w:val="20"/>
                <w:szCs w:val="20"/>
                <w:lang w:val="es-ES"/>
              </w:rPr>
            </w:pPr>
          </w:p>
        </w:tc>
        <w:tc>
          <w:tcPr>
            <w:tcW w:w="4680" w:type="dxa"/>
            <w:vAlign w:val="center"/>
          </w:tcPr>
          <w:p w14:paraId="26C8B249" w14:textId="77777777" w:rsidR="00C35460" w:rsidRPr="0041409E" w:rsidRDefault="00C35460" w:rsidP="002E0191">
            <w:pPr>
              <w:jc w:val="both"/>
              <w:rPr>
                <w:rFonts w:ascii="Cambria" w:hAnsi="Cambria"/>
                <w:bCs/>
                <w:sz w:val="20"/>
                <w:szCs w:val="20"/>
                <w:lang w:val="es-ES"/>
              </w:rPr>
            </w:pPr>
            <w:r>
              <w:rPr>
                <w:rFonts w:ascii="Cambria" w:hAnsi="Cambria"/>
                <w:b/>
                <w:bCs/>
                <w:sz w:val="20"/>
                <w:szCs w:val="20"/>
                <w:lang w:val="es-BO"/>
              </w:rPr>
              <w:t xml:space="preserve">P-1401-07: </w:t>
            </w:r>
            <w:r>
              <w:rPr>
                <w:rFonts w:ascii="Cambria" w:hAnsi="Cambria"/>
                <w:bCs/>
                <w:sz w:val="20"/>
                <w:szCs w:val="20"/>
                <w:lang w:val="es-BO"/>
              </w:rPr>
              <w:t>S</w:t>
            </w:r>
            <w:r w:rsidR="00B76E0D">
              <w:rPr>
                <w:rFonts w:ascii="Cambria" w:hAnsi="Cambria"/>
                <w:bCs/>
                <w:sz w:val="20"/>
                <w:szCs w:val="20"/>
                <w:lang w:val="es-BO"/>
              </w:rPr>
              <w:t>í</w:t>
            </w:r>
            <w:r>
              <w:rPr>
                <w:rFonts w:ascii="Cambria" w:hAnsi="Cambria"/>
                <w:bCs/>
                <w:sz w:val="20"/>
                <w:szCs w:val="20"/>
                <w:lang w:val="es-BO"/>
              </w:rPr>
              <w:t>, 25 de octubre de 2007</w:t>
            </w:r>
          </w:p>
        </w:tc>
      </w:tr>
      <w:tr w:rsidR="00C35460" w:rsidRPr="002A3678" w14:paraId="6AE26626" w14:textId="77777777" w:rsidTr="00B77EC7">
        <w:trPr>
          <w:cantSplit/>
          <w:trHeight w:val="43"/>
        </w:trPr>
        <w:tc>
          <w:tcPr>
            <w:tcW w:w="4680" w:type="dxa"/>
            <w:vMerge/>
            <w:shd w:val="clear" w:color="auto" w:fill="386294"/>
            <w:vAlign w:val="center"/>
          </w:tcPr>
          <w:p w14:paraId="62AB394A" w14:textId="77777777" w:rsidR="00C35460" w:rsidRPr="0041409E" w:rsidRDefault="00C35460" w:rsidP="008D2290">
            <w:pPr>
              <w:jc w:val="center"/>
              <w:rPr>
                <w:rFonts w:ascii="Cambria" w:hAnsi="Cambria"/>
                <w:b/>
                <w:bCs/>
                <w:color w:val="FFFFFF" w:themeColor="background1"/>
                <w:sz w:val="20"/>
                <w:szCs w:val="20"/>
                <w:lang w:val="es-ES"/>
              </w:rPr>
            </w:pPr>
          </w:p>
        </w:tc>
        <w:tc>
          <w:tcPr>
            <w:tcW w:w="4680" w:type="dxa"/>
            <w:vAlign w:val="center"/>
          </w:tcPr>
          <w:p w14:paraId="5DC1B24F" w14:textId="77777777" w:rsidR="00C35460" w:rsidRPr="001C57A2" w:rsidRDefault="00C35460" w:rsidP="007D4E6A">
            <w:pPr>
              <w:jc w:val="both"/>
              <w:rPr>
                <w:rFonts w:ascii="Cambria" w:hAnsi="Cambria"/>
                <w:bCs/>
                <w:sz w:val="20"/>
                <w:szCs w:val="20"/>
                <w:lang w:val="es-BO"/>
              </w:rPr>
            </w:pPr>
            <w:r>
              <w:rPr>
                <w:rFonts w:ascii="Cambria" w:hAnsi="Cambria"/>
                <w:b/>
                <w:bCs/>
                <w:sz w:val="20"/>
                <w:szCs w:val="20"/>
                <w:lang w:val="es-BO"/>
              </w:rPr>
              <w:t xml:space="preserve">P-300-08: </w:t>
            </w:r>
            <w:r w:rsidR="007D4E6A">
              <w:rPr>
                <w:rFonts w:ascii="Cambria" w:hAnsi="Cambria"/>
                <w:bCs/>
                <w:sz w:val="20"/>
                <w:szCs w:val="20"/>
                <w:lang w:val="es-BO"/>
              </w:rPr>
              <w:t>S</w:t>
            </w:r>
            <w:r w:rsidR="00B76E0D">
              <w:rPr>
                <w:rFonts w:ascii="Cambria" w:hAnsi="Cambria"/>
                <w:bCs/>
                <w:sz w:val="20"/>
                <w:szCs w:val="20"/>
                <w:lang w:val="es-BO"/>
              </w:rPr>
              <w:t>í</w:t>
            </w:r>
            <w:r>
              <w:rPr>
                <w:rFonts w:ascii="Cambria" w:hAnsi="Cambria"/>
                <w:bCs/>
                <w:sz w:val="20"/>
                <w:szCs w:val="20"/>
                <w:lang w:val="es-BO"/>
              </w:rPr>
              <w:t>, 12 de marzo de 2008</w:t>
            </w:r>
          </w:p>
        </w:tc>
      </w:tr>
      <w:tr w:rsidR="00C35460" w:rsidRPr="002A3678" w14:paraId="5A4A3F98" w14:textId="77777777" w:rsidTr="00B77EC7">
        <w:trPr>
          <w:cantSplit/>
          <w:trHeight w:val="43"/>
        </w:trPr>
        <w:tc>
          <w:tcPr>
            <w:tcW w:w="4680" w:type="dxa"/>
            <w:vMerge/>
            <w:tcBorders>
              <w:bottom w:val="single" w:sz="6" w:space="0" w:color="auto"/>
            </w:tcBorders>
            <w:shd w:val="clear" w:color="auto" w:fill="386294"/>
            <w:vAlign w:val="center"/>
          </w:tcPr>
          <w:p w14:paraId="0A75BDC3" w14:textId="77777777" w:rsidR="00C35460" w:rsidRPr="001C57A2" w:rsidRDefault="00C35460" w:rsidP="008D2290">
            <w:pPr>
              <w:jc w:val="center"/>
              <w:rPr>
                <w:rFonts w:ascii="Cambria" w:hAnsi="Cambria"/>
                <w:b/>
                <w:bCs/>
                <w:color w:val="FFFFFF" w:themeColor="background1"/>
                <w:sz w:val="20"/>
                <w:szCs w:val="20"/>
                <w:lang w:val="es-BO"/>
              </w:rPr>
            </w:pPr>
          </w:p>
        </w:tc>
        <w:tc>
          <w:tcPr>
            <w:tcW w:w="4680" w:type="dxa"/>
            <w:vAlign w:val="center"/>
          </w:tcPr>
          <w:p w14:paraId="61FDA25A" w14:textId="77777777" w:rsidR="00C35460" w:rsidRPr="000B1D60" w:rsidRDefault="00C35460" w:rsidP="000B1D60">
            <w:pPr>
              <w:jc w:val="both"/>
              <w:rPr>
                <w:rFonts w:ascii="Cambria" w:hAnsi="Cambria"/>
                <w:bCs/>
                <w:sz w:val="20"/>
                <w:szCs w:val="20"/>
                <w:lang w:val="es-BO"/>
              </w:rPr>
            </w:pPr>
            <w:r>
              <w:rPr>
                <w:rFonts w:ascii="Cambria" w:hAnsi="Cambria"/>
                <w:b/>
                <w:bCs/>
                <w:sz w:val="20"/>
                <w:szCs w:val="20"/>
                <w:lang w:val="es-BO"/>
              </w:rPr>
              <w:t xml:space="preserve">P-405-08: </w:t>
            </w:r>
            <w:r>
              <w:rPr>
                <w:rFonts w:ascii="Cambria" w:hAnsi="Cambria"/>
                <w:bCs/>
                <w:sz w:val="20"/>
                <w:szCs w:val="20"/>
                <w:lang w:val="es-BO"/>
              </w:rPr>
              <w:t>S</w:t>
            </w:r>
            <w:r w:rsidR="00B76E0D">
              <w:rPr>
                <w:rFonts w:ascii="Cambria" w:hAnsi="Cambria"/>
                <w:bCs/>
                <w:sz w:val="20"/>
                <w:szCs w:val="20"/>
                <w:lang w:val="es-BO"/>
              </w:rPr>
              <w:t>í</w:t>
            </w:r>
            <w:r>
              <w:rPr>
                <w:rFonts w:ascii="Cambria" w:hAnsi="Cambria"/>
                <w:bCs/>
                <w:sz w:val="20"/>
                <w:szCs w:val="20"/>
                <w:lang w:val="es-BO"/>
              </w:rPr>
              <w:t>, 7 de abril de 2008</w:t>
            </w:r>
          </w:p>
        </w:tc>
      </w:tr>
    </w:tbl>
    <w:p w14:paraId="6D768F72" w14:textId="77777777" w:rsidR="003239B8" w:rsidRDefault="003239B8" w:rsidP="00BA61D2">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t xml:space="preserve">HECHOS ALEGADOS </w:t>
      </w:r>
    </w:p>
    <w:p w14:paraId="1BE6A467" w14:textId="30C5D104" w:rsidR="005733E7" w:rsidRPr="005733E7" w:rsidRDefault="005733E7" w:rsidP="002A367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s="Arial"/>
          <w:sz w:val="20"/>
          <w:szCs w:val="20"/>
          <w:u w:val="single"/>
          <w:lang w:val="es-ES"/>
        </w:rPr>
      </w:pPr>
      <w:r w:rsidRPr="005733E7">
        <w:rPr>
          <w:rFonts w:asciiTheme="majorHAnsi" w:hAnsiTheme="majorHAnsi" w:cs="Arial"/>
          <w:sz w:val="20"/>
          <w:szCs w:val="20"/>
          <w:u w:val="single"/>
          <w:lang w:val="es-ES"/>
        </w:rPr>
        <w:t>Consideraciones previas</w:t>
      </w:r>
    </w:p>
    <w:p w14:paraId="740C829E" w14:textId="02841350" w:rsidR="00FA1F40" w:rsidRPr="00097440" w:rsidRDefault="00FA1F40" w:rsidP="00097440">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s="Arial"/>
          <w:sz w:val="20"/>
          <w:szCs w:val="20"/>
          <w:lang w:val="es-ES"/>
        </w:rPr>
      </w:pPr>
      <w:r w:rsidRPr="00B550A1">
        <w:rPr>
          <w:rFonts w:asciiTheme="majorHAnsi" w:hAnsiTheme="majorHAnsi"/>
          <w:sz w:val="20"/>
          <w:szCs w:val="20"/>
          <w:lang w:val="es-BO"/>
        </w:rPr>
        <w:t xml:space="preserve">Las seis peticiones consideradas en el presente informe están relacionadas a denuncias realizadas por trabajadores mineros quienes, producto de sus actividades laborales, contrajeron la enfermedad ocupacional denominada silicosis y acudieron a mecanismos de protección internos, sin contar </w:t>
      </w:r>
      <w:r w:rsidR="00804B52">
        <w:rPr>
          <w:rFonts w:asciiTheme="majorHAnsi" w:hAnsiTheme="majorHAnsi"/>
          <w:sz w:val="20"/>
          <w:szCs w:val="20"/>
          <w:lang w:val="es-BO"/>
        </w:rPr>
        <w:t xml:space="preserve">alegadamente </w:t>
      </w:r>
      <w:r w:rsidRPr="00B550A1">
        <w:rPr>
          <w:rFonts w:asciiTheme="majorHAnsi" w:hAnsiTheme="majorHAnsi"/>
          <w:sz w:val="20"/>
          <w:szCs w:val="20"/>
          <w:lang w:val="es-BO"/>
        </w:rPr>
        <w:t>con respuestas estatales adecuadas a sus padecimientos en el contexto de sus procesos de jubilación.</w:t>
      </w:r>
      <w:r w:rsidR="00804B52">
        <w:rPr>
          <w:rFonts w:asciiTheme="majorHAnsi" w:hAnsiTheme="majorHAnsi"/>
          <w:sz w:val="20"/>
          <w:szCs w:val="20"/>
          <w:lang w:val="es-BO"/>
        </w:rPr>
        <w:t xml:space="preserve"> Con base en estos aspectos y hechos similares la CIDH, a través del presente informe, decide acumular las peticiones conforme al artículo 29.5 de su Reglamento. </w:t>
      </w:r>
    </w:p>
    <w:p w14:paraId="7A51EEC1" w14:textId="295C520F" w:rsidR="00FA1F40" w:rsidRPr="00097440" w:rsidRDefault="008D23A1" w:rsidP="00097440">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s="Arial"/>
          <w:sz w:val="20"/>
          <w:szCs w:val="20"/>
          <w:lang w:val="es-ES"/>
        </w:rPr>
      </w:pPr>
      <w:r>
        <w:rPr>
          <w:rFonts w:asciiTheme="majorHAnsi" w:hAnsiTheme="majorHAnsi"/>
          <w:sz w:val="20"/>
          <w:szCs w:val="20"/>
          <w:lang w:val="es-BO"/>
        </w:rPr>
        <w:t>Como cuestión de contexto en esta etapa preliminar, la CIDH nota que, de acuerdo a la Organización Mundial de la Salud (OMS), l</w:t>
      </w:r>
      <w:r w:rsidR="00FA1F40" w:rsidRPr="00B550A1">
        <w:rPr>
          <w:rFonts w:asciiTheme="majorHAnsi" w:hAnsiTheme="majorHAnsi"/>
          <w:sz w:val="20"/>
          <w:szCs w:val="20"/>
          <w:lang w:val="es-BO"/>
        </w:rPr>
        <w:t xml:space="preserve">a silicosis es una enfermedad pulmonar fibrogénica incurable, causada por </w:t>
      </w:r>
      <w:r w:rsidR="00FA1F40" w:rsidRPr="00B550A1">
        <w:rPr>
          <w:rFonts w:asciiTheme="majorHAnsi" w:hAnsiTheme="majorHAnsi"/>
          <w:sz w:val="20"/>
          <w:szCs w:val="20"/>
          <w:lang w:val="es-ES"/>
        </w:rPr>
        <w:t xml:space="preserve">la </w:t>
      </w:r>
      <w:r w:rsidR="00FA1F40" w:rsidRPr="00B550A1">
        <w:rPr>
          <w:rFonts w:asciiTheme="majorHAnsi" w:hAnsiTheme="majorHAnsi"/>
          <w:sz w:val="20"/>
          <w:szCs w:val="20"/>
          <w:lang w:val="es-BO"/>
        </w:rPr>
        <w:t xml:space="preserve">inhalación </w:t>
      </w:r>
      <w:r w:rsidR="00FA1F40" w:rsidRPr="00B550A1">
        <w:rPr>
          <w:rFonts w:asciiTheme="majorHAnsi" w:hAnsiTheme="majorHAnsi"/>
          <w:sz w:val="20"/>
          <w:szCs w:val="20"/>
          <w:lang w:val="es-ES"/>
        </w:rPr>
        <w:t>de</w:t>
      </w:r>
      <w:r w:rsidR="00FA1F40" w:rsidRPr="00B550A1">
        <w:rPr>
          <w:rFonts w:asciiTheme="majorHAnsi" w:hAnsiTheme="majorHAnsi"/>
          <w:sz w:val="20"/>
          <w:szCs w:val="20"/>
          <w:lang w:val="es-BO"/>
        </w:rPr>
        <w:t xml:space="preserve"> polvo, metales y metaloides que contienen partículas de sílice cristalina</w:t>
      </w:r>
      <w:r w:rsidR="00FA1F40" w:rsidRPr="002C3AB5">
        <w:rPr>
          <w:rStyle w:val="FootnoteReference"/>
          <w:rFonts w:asciiTheme="majorHAnsi" w:hAnsiTheme="majorHAnsi"/>
          <w:sz w:val="20"/>
          <w:szCs w:val="20"/>
          <w:lang w:val="es-BO"/>
        </w:rPr>
        <w:footnoteReference w:id="6"/>
      </w:r>
      <w:r w:rsidR="00FA1F40" w:rsidRPr="00B550A1">
        <w:rPr>
          <w:rFonts w:asciiTheme="majorHAnsi" w:hAnsiTheme="majorHAnsi"/>
          <w:sz w:val="20"/>
          <w:szCs w:val="20"/>
          <w:lang w:val="es-BO"/>
        </w:rPr>
        <w:t xml:space="preserve">. </w:t>
      </w:r>
      <w:r>
        <w:rPr>
          <w:rFonts w:asciiTheme="majorHAnsi" w:hAnsiTheme="majorHAnsi"/>
          <w:sz w:val="20"/>
          <w:szCs w:val="20"/>
          <w:lang w:val="es-BO"/>
        </w:rPr>
        <w:t xml:space="preserve">Asimismo, según la OMS, esta enfermedad </w:t>
      </w:r>
      <w:r w:rsidR="00FA1F40" w:rsidRPr="00B550A1">
        <w:rPr>
          <w:rFonts w:asciiTheme="majorHAnsi" w:hAnsiTheme="majorHAnsi"/>
          <w:sz w:val="20"/>
          <w:szCs w:val="20"/>
          <w:lang w:val="es-ES"/>
        </w:rPr>
        <w:t>determina una incapacidad total para realizar cualquier tipo de actividad que demande esfuerzo físico</w:t>
      </w:r>
      <w:r>
        <w:rPr>
          <w:rFonts w:asciiTheme="majorHAnsi" w:hAnsiTheme="majorHAnsi"/>
          <w:sz w:val="20"/>
          <w:szCs w:val="20"/>
          <w:lang w:val="es-ES"/>
        </w:rPr>
        <w:t xml:space="preserve"> y</w:t>
      </w:r>
      <w:r w:rsidR="00FA1F40" w:rsidRPr="00B550A1">
        <w:rPr>
          <w:rFonts w:asciiTheme="majorHAnsi" w:hAnsiTheme="majorHAnsi"/>
          <w:sz w:val="20"/>
          <w:szCs w:val="20"/>
          <w:lang w:val="es-ES"/>
        </w:rPr>
        <w:t>, en razón de</w:t>
      </w:r>
      <w:r>
        <w:rPr>
          <w:rFonts w:asciiTheme="majorHAnsi" w:hAnsiTheme="majorHAnsi"/>
          <w:sz w:val="20"/>
          <w:szCs w:val="20"/>
          <w:lang w:val="es-ES"/>
        </w:rPr>
        <w:t xml:space="preserve"> su</w:t>
      </w:r>
      <w:r w:rsidR="00FA1F40" w:rsidRPr="00B550A1">
        <w:rPr>
          <w:rFonts w:asciiTheme="majorHAnsi" w:hAnsiTheme="majorHAnsi"/>
          <w:sz w:val="20"/>
          <w:szCs w:val="20"/>
          <w:lang w:val="es-ES"/>
        </w:rPr>
        <w:t xml:space="preserve"> carácter permanente</w:t>
      </w:r>
      <w:r>
        <w:rPr>
          <w:rFonts w:asciiTheme="majorHAnsi" w:hAnsiTheme="majorHAnsi"/>
          <w:sz w:val="20"/>
          <w:szCs w:val="20"/>
          <w:lang w:val="es-ES"/>
        </w:rPr>
        <w:t>,</w:t>
      </w:r>
      <w:r w:rsidR="00FA1F40" w:rsidRPr="00B550A1">
        <w:rPr>
          <w:rFonts w:asciiTheme="majorHAnsi" w:hAnsiTheme="majorHAnsi"/>
          <w:sz w:val="20"/>
          <w:szCs w:val="20"/>
          <w:lang w:val="es-ES"/>
        </w:rPr>
        <w:t xml:space="preserve"> el tratamiento médico requerido es costoso</w:t>
      </w:r>
      <w:r w:rsidR="00FA1F40" w:rsidRPr="002C3AB5">
        <w:rPr>
          <w:rStyle w:val="FootnoteReference"/>
          <w:rFonts w:asciiTheme="majorHAnsi" w:hAnsiTheme="majorHAnsi"/>
          <w:sz w:val="20"/>
          <w:szCs w:val="20"/>
          <w:lang w:val="es-ES"/>
        </w:rPr>
        <w:footnoteReference w:id="7"/>
      </w:r>
      <w:r w:rsidR="00FA1F40" w:rsidRPr="00B550A1">
        <w:rPr>
          <w:rFonts w:asciiTheme="majorHAnsi" w:hAnsiTheme="majorHAnsi"/>
          <w:sz w:val="20"/>
          <w:szCs w:val="20"/>
          <w:lang w:val="es-ES"/>
        </w:rPr>
        <w:t>.</w:t>
      </w:r>
    </w:p>
    <w:p w14:paraId="1E279517" w14:textId="460182DA" w:rsidR="005733E7" w:rsidRPr="005733E7" w:rsidRDefault="002A3678" w:rsidP="002A3678">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uppressAutoHyphens/>
        <w:spacing w:after="240"/>
        <w:jc w:val="both"/>
        <w:rPr>
          <w:rFonts w:asciiTheme="majorHAnsi" w:eastAsia="SimSun" w:hAnsiTheme="majorHAnsi"/>
          <w:sz w:val="20"/>
          <w:szCs w:val="20"/>
          <w:u w:val="single"/>
          <w:lang w:val="es-ES"/>
        </w:rPr>
      </w:pPr>
      <w:r>
        <w:rPr>
          <w:rFonts w:asciiTheme="majorHAnsi" w:hAnsiTheme="majorHAnsi"/>
          <w:sz w:val="20"/>
          <w:szCs w:val="20"/>
          <w:lang w:val="es-BO"/>
        </w:rPr>
        <w:tab/>
      </w:r>
      <w:r w:rsidR="0054640D">
        <w:rPr>
          <w:rFonts w:asciiTheme="majorHAnsi" w:hAnsiTheme="majorHAnsi"/>
          <w:sz w:val="20"/>
          <w:szCs w:val="20"/>
          <w:u w:val="single"/>
          <w:lang w:val="es-BO"/>
        </w:rPr>
        <w:t xml:space="preserve">Alegatos comunes </w:t>
      </w:r>
    </w:p>
    <w:p w14:paraId="5D87455C" w14:textId="33D6D75B" w:rsidR="00FA1F40" w:rsidRPr="00097440" w:rsidRDefault="00FA1F40" w:rsidP="00097440">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s="Arial"/>
          <w:sz w:val="20"/>
          <w:szCs w:val="20"/>
          <w:lang w:val="es-ES"/>
        </w:rPr>
      </w:pPr>
      <w:r w:rsidRPr="00B550A1">
        <w:rPr>
          <w:rFonts w:asciiTheme="majorHAnsi" w:hAnsiTheme="majorHAnsi"/>
          <w:sz w:val="20"/>
          <w:szCs w:val="20"/>
          <w:lang w:val="es-ES"/>
        </w:rPr>
        <w:t>Las peticiones de manera general cuestionan las acciones realizadas por el Estado en relación a un grupo de personas, que encontrándose en una alegada situación de vulnerabilidad por su avanzada edad, discapacidad y grave estado de salud, solicitaron protección a través de las vías existentes, es decir, indemnizaciones o pensiones especiales previstas en las normas. Por otra parte, alegan que las respuestas otorgadas por las autoridades administrativas y judiciales que conocieron los casos impactaron también en el derecho al acceso a la justicia de las presuntas víctimas.</w:t>
      </w:r>
    </w:p>
    <w:p w14:paraId="541089BC" w14:textId="6175A79D" w:rsidR="00FA1F40" w:rsidRPr="00097440" w:rsidRDefault="00FA1F40" w:rsidP="00097440">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s="Arial"/>
          <w:sz w:val="20"/>
          <w:szCs w:val="20"/>
          <w:lang w:val="es-ES"/>
        </w:rPr>
      </w:pPr>
      <w:r w:rsidRPr="00B550A1">
        <w:rPr>
          <w:rFonts w:asciiTheme="majorHAnsi" w:hAnsiTheme="majorHAnsi"/>
          <w:sz w:val="20"/>
          <w:szCs w:val="20"/>
          <w:lang w:val="es-ES"/>
        </w:rPr>
        <w:t xml:space="preserve">En ese sentido, los peticionarios alegan que las presuntas víctimas presentaron, al momento de jubilarse, solicitudes para acogerse a pensiones o indemnizaciones especiales por padecer de silicosis, </w:t>
      </w:r>
      <w:r w:rsidRPr="00B550A1">
        <w:rPr>
          <w:rFonts w:asciiTheme="majorHAnsi" w:hAnsiTheme="majorHAnsi"/>
          <w:sz w:val="20"/>
          <w:szCs w:val="20"/>
          <w:lang w:val="es-BO"/>
        </w:rPr>
        <w:t>conforme lo acreditaron los certificados laborales y médicos.</w:t>
      </w:r>
      <w:r w:rsidRPr="00B550A1">
        <w:rPr>
          <w:rFonts w:asciiTheme="majorHAnsi" w:hAnsiTheme="majorHAnsi"/>
          <w:sz w:val="20"/>
          <w:szCs w:val="20"/>
          <w:lang w:val="es-ES"/>
        </w:rPr>
        <w:t xml:space="preserve"> No obstante, sostienen que la respuesta estatal fue negativa estableciendo topes máximos a las rentas de jubilación en algunos casos o denegando los montos indemnizatorios en otros. Indican que dicho aspecto, además de perjudicar el patrimonio de las presuntas víctimas, les restringió la posibilidad de someterse a tratamientos médicos que les permita sobrellevar la enfermedad irreversible que les afecta, por sus elevados costos.</w:t>
      </w:r>
    </w:p>
    <w:p w14:paraId="1B8D0C2B" w14:textId="00EAE6DC" w:rsidR="00FA1F40" w:rsidRPr="00097440" w:rsidRDefault="00FA1F40" w:rsidP="00097440">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s="Arial"/>
          <w:sz w:val="20"/>
          <w:szCs w:val="20"/>
          <w:lang w:val="es-ES"/>
        </w:rPr>
      </w:pPr>
      <w:r w:rsidRPr="00B550A1">
        <w:rPr>
          <w:rFonts w:asciiTheme="majorHAnsi" w:hAnsiTheme="majorHAnsi"/>
          <w:sz w:val="20"/>
          <w:szCs w:val="20"/>
          <w:lang w:val="es-BO"/>
        </w:rPr>
        <w:t xml:space="preserve">El Estado por su parte señala que la normativa nacional respecto al tema es clara y respeta los derechos de los trabajadores mineros jubilados. Así, alega que el régimen de jubilación minera no está exceptuado del tope establecido por la pensión máxima, pues el Decreto Supremo 029-89-TR, Reglamento de la Ley Nº25009, dispone que la pensión completa será equivalente al cien por ciento de la remuneración de referencia del trabajador, sin que exceda del monto máximo de pensión. Dicho monto máximo habría sido </w:t>
      </w:r>
      <w:r w:rsidRPr="00B550A1">
        <w:rPr>
          <w:rFonts w:asciiTheme="majorHAnsi" w:hAnsiTheme="majorHAnsi"/>
          <w:sz w:val="20"/>
          <w:szCs w:val="20"/>
          <w:lang w:val="es-BO"/>
        </w:rPr>
        <w:lastRenderedPageBreak/>
        <w:t>regulado por el Decreto ley 19990. Por otro lado, indica que se estableció mediante la Ley Nº26790 el pago de una renta vitalicia para afiliados regulares al Seguro Social de Salud que desempeñan funciones de riesgo, otorgada por el Seguro Complementario de Trabajador de Riesgo.</w:t>
      </w:r>
    </w:p>
    <w:p w14:paraId="6B484F42" w14:textId="60C99B7E" w:rsidR="00FA1F40" w:rsidRPr="00097440" w:rsidRDefault="00FA1F40" w:rsidP="00097440">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s="Arial"/>
          <w:sz w:val="20"/>
          <w:szCs w:val="20"/>
          <w:lang w:val="es-ES"/>
        </w:rPr>
      </w:pPr>
      <w:r w:rsidRPr="00B550A1">
        <w:rPr>
          <w:rFonts w:asciiTheme="majorHAnsi" w:hAnsiTheme="majorHAnsi"/>
          <w:sz w:val="20"/>
          <w:szCs w:val="20"/>
          <w:lang w:val="es-BO"/>
        </w:rPr>
        <w:t xml:space="preserve">En ese sentido, señala que las peticiones deben ser consideradas inadmisibles, pues los hechos no caracterizan violaciones de derechos humanos. Además </w:t>
      </w:r>
      <w:r w:rsidRPr="00B550A1">
        <w:rPr>
          <w:rFonts w:asciiTheme="majorHAnsi" w:eastAsia="SimSun" w:hAnsiTheme="majorHAnsi"/>
          <w:sz w:val="20"/>
          <w:szCs w:val="20"/>
          <w:lang w:val="es-ES"/>
        </w:rPr>
        <w:t>sostiene que la Comisión actuaría como un tribunal de cuarta instancia si decidiera analizar los presentes casos, toda vez que evaluaría la interpretación del derecho interno que ya ha realizado el Poder Judicial del Perú dentro de su respectiva jurisdicción contenciosa.</w:t>
      </w:r>
    </w:p>
    <w:p w14:paraId="315F249D" w14:textId="34B0E502" w:rsidR="00FA1F40" w:rsidRPr="00097440" w:rsidRDefault="00FA1F40" w:rsidP="00097440">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s="Arial"/>
          <w:sz w:val="20"/>
          <w:szCs w:val="20"/>
          <w:lang w:val="es-ES"/>
        </w:rPr>
      </w:pPr>
      <w:r w:rsidRPr="00B550A1">
        <w:rPr>
          <w:rFonts w:asciiTheme="majorHAnsi" w:eastAsia="SimSun" w:hAnsiTheme="majorHAnsi"/>
          <w:sz w:val="20"/>
          <w:szCs w:val="20"/>
          <w:lang w:val="es-ES"/>
        </w:rPr>
        <w:t>Finalmente, el Estado argumenta que la CIDH carece de competencia en razón de la materia respecto a alegadas violaciones al derecho a la seguridad social reconocido en el artículo XVI de la Declaración Americana</w:t>
      </w:r>
      <w:r w:rsidR="009851A3">
        <w:rPr>
          <w:rFonts w:asciiTheme="majorHAnsi" w:eastAsia="SimSun" w:hAnsiTheme="majorHAnsi"/>
          <w:sz w:val="20"/>
          <w:szCs w:val="20"/>
          <w:lang w:val="es-ES"/>
        </w:rPr>
        <w:t>.</w:t>
      </w:r>
    </w:p>
    <w:p w14:paraId="41CFD79B" w14:textId="77777777" w:rsidR="00FA1F40" w:rsidRPr="0054640D" w:rsidRDefault="00FA1F40" w:rsidP="002A36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Arial"/>
          <w:sz w:val="20"/>
          <w:szCs w:val="20"/>
          <w:u w:val="single"/>
          <w:lang w:val="es-ES"/>
        </w:rPr>
      </w:pPr>
      <w:r w:rsidRPr="0054640D">
        <w:rPr>
          <w:rFonts w:asciiTheme="majorHAnsi" w:hAnsiTheme="majorHAnsi" w:cs="Arial"/>
          <w:sz w:val="20"/>
          <w:szCs w:val="20"/>
          <w:u w:val="single"/>
          <w:lang w:val="es-ES"/>
        </w:rPr>
        <w:t xml:space="preserve">Alegatos específicos </w:t>
      </w:r>
    </w:p>
    <w:p w14:paraId="4F7315C0" w14:textId="5D8F29C0" w:rsidR="00FA1F40" w:rsidRPr="0054640D" w:rsidRDefault="00FA1F40" w:rsidP="002A367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s="Arial"/>
          <w:i/>
          <w:sz w:val="20"/>
          <w:szCs w:val="20"/>
          <w:lang w:val="es-ES"/>
        </w:rPr>
      </w:pPr>
      <w:r w:rsidRPr="0054640D">
        <w:rPr>
          <w:rFonts w:asciiTheme="majorHAnsi" w:hAnsiTheme="majorHAnsi" w:cs="Arial"/>
          <w:i/>
          <w:sz w:val="20"/>
          <w:szCs w:val="20"/>
          <w:lang w:val="es-ES"/>
        </w:rPr>
        <w:t>Emiliano Romero Bendezú (P-1077-98)</w:t>
      </w:r>
    </w:p>
    <w:p w14:paraId="000411D1" w14:textId="6FF7D38A" w:rsidR="00C03BEB" w:rsidRPr="00097440" w:rsidRDefault="00DD7184" w:rsidP="00097440">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s="Arial"/>
          <w:sz w:val="20"/>
          <w:szCs w:val="20"/>
          <w:lang w:val="es-ES"/>
        </w:rPr>
      </w:pPr>
      <w:r w:rsidRPr="00097440">
        <w:rPr>
          <w:sz w:val="20"/>
          <w:szCs w:val="20"/>
          <w:lang w:val="es-BO"/>
        </w:rPr>
        <w:t>El peticionario manifiesta que</w:t>
      </w:r>
      <w:r w:rsidR="004C6740" w:rsidRPr="00097440">
        <w:rPr>
          <w:sz w:val="20"/>
          <w:szCs w:val="20"/>
          <w:lang w:val="es-BO"/>
        </w:rPr>
        <w:t xml:space="preserve"> </w:t>
      </w:r>
      <w:r w:rsidR="004C6740" w:rsidRPr="00097440">
        <w:rPr>
          <w:rFonts w:asciiTheme="majorHAnsi" w:hAnsiTheme="majorHAnsi"/>
          <w:sz w:val="20"/>
          <w:szCs w:val="20"/>
          <w:lang w:val="es-ES"/>
        </w:rPr>
        <w:t>trabajó como minero perforista por 38 años y que a consecuencia de la permanente y prolongada exposición e inhalación de polvos de sílice, metales y metaloides en los socavones mineros</w:t>
      </w:r>
      <w:r w:rsidR="00A34864" w:rsidRPr="00097440">
        <w:rPr>
          <w:rFonts w:asciiTheme="majorHAnsi" w:hAnsiTheme="majorHAnsi"/>
          <w:sz w:val="20"/>
          <w:szCs w:val="20"/>
          <w:lang w:val="es-ES"/>
        </w:rPr>
        <w:t xml:space="preserve"> </w:t>
      </w:r>
      <w:r w:rsidR="004C6740" w:rsidRPr="00097440">
        <w:rPr>
          <w:rFonts w:asciiTheme="majorHAnsi" w:hAnsiTheme="majorHAnsi"/>
          <w:sz w:val="20"/>
          <w:szCs w:val="20"/>
          <w:lang w:val="es-ES"/>
        </w:rPr>
        <w:t xml:space="preserve">contrajo silicosis. </w:t>
      </w:r>
      <w:r w:rsidR="00A34864" w:rsidRPr="00097440">
        <w:rPr>
          <w:rFonts w:asciiTheme="majorHAnsi" w:hAnsiTheme="majorHAnsi"/>
          <w:sz w:val="20"/>
          <w:szCs w:val="20"/>
          <w:lang w:val="es-ES"/>
        </w:rPr>
        <w:t>Por ello,</w:t>
      </w:r>
      <w:r w:rsidRPr="00097440">
        <w:rPr>
          <w:sz w:val="20"/>
          <w:szCs w:val="20"/>
          <w:lang w:val="es-BO"/>
        </w:rPr>
        <w:t xml:space="preserve"> en junio de 1991 </w:t>
      </w:r>
      <w:r w:rsidR="005F1E3E" w:rsidRPr="00097440">
        <w:rPr>
          <w:rFonts w:asciiTheme="majorHAnsi" w:hAnsiTheme="majorHAnsi"/>
          <w:sz w:val="20"/>
          <w:szCs w:val="20"/>
          <w:lang w:val="es-ES"/>
        </w:rPr>
        <w:t xml:space="preserve">demandó a </w:t>
      </w:r>
      <w:r w:rsidRPr="00097440">
        <w:rPr>
          <w:rFonts w:asciiTheme="majorHAnsi" w:hAnsiTheme="majorHAnsi"/>
          <w:sz w:val="20"/>
          <w:szCs w:val="20"/>
          <w:lang w:val="es-ES"/>
        </w:rPr>
        <w:t>la Empresa Minera del Centro del Perú S.A.</w:t>
      </w:r>
      <w:r w:rsidR="005D000B">
        <w:rPr>
          <w:rFonts w:asciiTheme="majorHAnsi" w:hAnsiTheme="majorHAnsi"/>
          <w:sz w:val="20"/>
          <w:szCs w:val="20"/>
          <w:lang w:val="es-ES"/>
        </w:rPr>
        <w:t xml:space="preserve"> (e</w:t>
      </w:r>
      <w:r w:rsidR="005D000B" w:rsidRPr="005D000B">
        <w:rPr>
          <w:rFonts w:asciiTheme="majorHAnsi" w:hAnsiTheme="majorHAnsi"/>
          <w:sz w:val="20"/>
          <w:szCs w:val="20"/>
          <w:lang w:val="es-ES"/>
        </w:rPr>
        <w:t>n adelante “CENTROMIN Perú S.A.”)</w:t>
      </w:r>
      <w:r w:rsidR="005F1E3E" w:rsidRPr="00097440">
        <w:rPr>
          <w:rFonts w:asciiTheme="majorHAnsi" w:hAnsiTheme="majorHAnsi"/>
          <w:sz w:val="20"/>
          <w:szCs w:val="20"/>
          <w:lang w:val="es-ES"/>
        </w:rPr>
        <w:t xml:space="preserve"> </w:t>
      </w:r>
      <w:r w:rsidR="001105EB" w:rsidRPr="00097440">
        <w:rPr>
          <w:rFonts w:asciiTheme="majorHAnsi" w:hAnsiTheme="majorHAnsi"/>
          <w:sz w:val="20"/>
          <w:szCs w:val="20"/>
          <w:lang w:val="es-ES"/>
        </w:rPr>
        <w:t>a</w:t>
      </w:r>
      <w:r w:rsidR="009F6C16" w:rsidRPr="00097440">
        <w:rPr>
          <w:rFonts w:asciiTheme="majorHAnsi" w:hAnsiTheme="majorHAnsi"/>
          <w:sz w:val="20"/>
          <w:szCs w:val="20"/>
          <w:lang w:val="es-ES"/>
        </w:rPr>
        <w:t>l pago de una indemnización por enfermedad laboral</w:t>
      </w:r>
      <w:r w:rsidR="005F1E3E" w:rsidRPr="00097440">
        <w:rPr>
          <w:rFonts w:asciiTheme="majorHAnsi" w:hAnsiTheme="majorHAnsi"/>
          <w:sz w:val="20"/>
          <w:szCs w:val="20"/>
          <w:lang w:val="es-ES"/>
        </w:rPr>
        <w:t>;</w:t>
      </w:r>
      <w:r w:rsidR="009F6C16" w:rsidRPr="00097440">
        <w:rPr>
          <w:rFonts w:asciiTheme="majorHAnsi" w:hAnsiTheme="majorHAnsi"/>
          <w:sz w:val="20"/>
          <w:szCs w:val="20"/>
          <w:lang w:val="es-ES"/>
        </w:rPr>
        <w:t xml:space="preserve"> </w:t>
      </w:r>
      <w:r w:rsidR="005F1E3E" w:rsidRPr="00097440">
        <w:rPr>
          <w:rFonts w:asciiTheme="majorHAnsi" w:hAnsiTheme="majorHAnsi"/>
          <w:sz w:val="20"/>
          <w:szCs w:val="20"/>
          <w:lang w:val="es-ES"/>
        </w:rPr>
        <w:t>en el marco d</w:t>
      </w:r>
      <w:r w:rsidR="009F6C16" w:rsidRPr="00097440">
        <w:rPr>
          <w:rFonts w:asciiTheme="majorHAnsi" w:hAnsiTheme="majorHAnsi"/>
          <w:sz w:val="20"/>
          <w:szCs w:val="20"/>
          <w:lang w:val="es-ES"/>
        </w:rPr>
        <w:t xml:space="preserve">el </w:t>
      </w:r>
      <w:r w:rsidR="005F1E3E" w:rsidRPr="00097440">
        <w:rPr>
          <w:rFonts w:asciiTheme="majorHAnsi" w:hAnsiTheme="majorHAnsi"/>
          <w:sz w:val="20"/>
          <w:szCs w:val="20"/>
          <w:lang w:val="es-ES"/>
        </w:rPr>
        <w:t>ordenamiento</w:t>
      </w:r>
      <w:r w:rsidR="009F6C16" w:rsidRPr="00097440">
        <w:rPr>
          <w:rFonts w:asciiTheme="majorHAnsi" w:hAnsiTheme="majorHAnsi"/>
          <w:sz w:val="20"/>
          <w:szCs w:val="20"/>
          <w:lang w:val="es-ES"/>
        </w:rPr>
        <w:t xml:space="preserve"> jurídico </w:t>
      </w:r>
      <w:r w:rsidR="005F1E3E" w:rsidRPr="00097440">
        <w:rPr>
          <w:rFonts w:asciiTheme="majorHAnsi" w:hAnsiTheme="majorHAnsi"/>
          <w:sz w:val="20"/>
          <w:szCs w:val="20"/>
          <w:lang w:val="es-ES"/>
        </w:rPr>
        <w:t xml:space="preserve">entonces </w:t>
      </w:r>
      <w:r w:rsidR="009F6C16" w:rsidRPr="00097440">
        <w:rPr>
          <w:rFonts w:asciiTheme="majorHAnsi" w:hAnsiTheme="majorHAnsi"/>
          <w:sz w:val="20"/>
          <w:szCs w:val="20"/>
          <w:lang w:val="es-ES"/>
        </w:rPr>
        <w:t xml:space="preserve">vigente, es decir el </w:t>
      </w:r>
      <w:r w:rsidR="009F6C16" w:rsidRPr="00097440">
        <w:rPr>
          <w:rFonts w:asciiTheme="majorHAnsi" w:hAnsiTheme="majorHAnsi" w:cs="Arial"/>
          <w:sz w:val="20"/>
          <w:szCs w:val="20"/>
          <w:lang w:val="es-ES"/>
        </w:rPr>
        <w:t>Convenio Colectivo con la empresa, el Decreto Ley 18846 y los artículos 54 y 57 de la Constitución Política del Perú de 1979</w:t>
      </w:r>
      <w:r w:rsidR="009F6C16" w:rsidRPr="00097440">
        <w:rPr>
          <w:rFonts w:asciiTheme="majorHAnsi" w:hAnsiTheme="majorHAnsi"/>
          <w:sz w:val="20"/>
          <w:szCs w:val="20"/>
          <w:lang w:val="es-ES"/>
        </w:rPr>
        <w:t xml:space="preserve">. </w:t>
      </w:r>
      <w:r w:rsidR="008344A8" w:rsidRPr="00097440">
        <w:rPr>
          <w:rFonts w:asciiTheme="majorHAnsi" w:hAnsiTheme="majorHAnsi"/>
          <w:sz w:val="20"/>
          <w:szCs w:val="20"/>
          <w:lang w:val="es-ES"/>
        </w:rPr>
        <w:t xml:space="preserve">Así, el Decimoquinto Juzgado de Trabajo de Lima, mediante Sentencia N°116 de 30 de octubre de 1992 le otorgó la indemnización solicitada. No obstante, tras una apelación presentada por CENTROMIN Perú S.A., la Tercera Sala Laboral de la Corte Superior de Justicia de Lima, </w:t>
      </w:r>
      <w:r w:rsidR="005F1E3E" w:rsidRPr="00097440">
        <w:rPr>
          <w:rFonts w:asciiTheme="majorHAnsi" w:hAnsiTheme="majorHAnsi"/>
          <w:sz w:val="20"/>
          <w:szCs w:val="20"/>
          <w:lang w:val="es-ES"/>
        </w:rPr>
        <w:t xml:space="preserve">el 13 de julio de 1993 </w:t>
      </w:r>
      <w:r w:rsidR="008344A8" w:rsidRPr="00097440">
        <w:rPr>
          <w:rFonts w:asciiTheme="majorHAnsi" w:hAnsiTheme="majorHAnsi"/>
          <w:sz w:val="20"/>
          <w:szCs w:val="20"/>
          <w:lang w:val="es-ES"/>
        </w:rPr>
        <w:t>declaró nul</w:t>
      </w:r>
      <w:r w:rsidR="00554CAA" w:rsidRPr="00097440">
        <w:rPr>
          <w:rFonts w:asciiTheme="majorHAnsi" w:hAnsiTheme="majorHAnsi"/>
          <w:sz w:val="20"/>
          <w:szCs w:val="20"/>
          <w:lang w:val="es-ES"/>
        </w:rPr>
        <w:t>o el fallo citado</w:t>
      </w:r>
      <w:r w:rsidR="008344A8" w:rsidRPr="00097440">
        <w:rPr>
          <w:rFonts w:asciiTheme="majorHAnsi" w:hAnsiTheme="majorHAnsi"/>
          <w:sz w:val="20"/>
          <w:szCs w:val="20"/>
          <w:lang w:val="es-ES"/>
        </w:rPr>
        <w:t xml:space="preserve"> y dispuso la emisión de un nuevo </w:t>
      </w:r>
      <w:r w:rsidR="00554CAA" w:rsidRPr="00097440">
        <w:rPr>
          <w:rFonts w:asciiTheme="majorHAnsi" w:hAnsiTheme="majorHAnsi"/>
          <w:sz w:val="20"/>
          <w:szCs w:val="20"/>
          <w:lang w:val="es-ES"/>
        </w:rPr>
        <w:t>pronunciamiento</w:t>
      </w:r>
      <w:r w:rsidR="008344A8" w:rsidRPr="00097440">
        <w:rPr>
          <w:rFonts w:asciiTheme="majorHAnsi" w:hAnsiTheme="majorHAnsi"/>
          <w:sz w:val="20"/>
          <w:szCs w:val="20"/>
          <w:lang w:val="es-ES"/>
        </w:rPr>
        <w:t xml:space="preserve">. </w:t>
      </w:r>
      <w:r w:rsidR="00554CAA" w:rsidRPr="00097440">
        <w:rPr>
          <w:rFonts w:asciiTheme="majorHAnsi" w:hAnsiTheme="majorHAnsi"/>
          <w:sz w:val="20"/>
          <w:szCs w:val="20"/>
          <w:lang w:val="es-ES"/>
        </w:rPr>
        <w:t>En ese sentido, la nueva sent</w:t>
      </w:r>
      <w:r w:rsidR="00554CAA" w:rsidRPr="00097440">
        <w:rPr>
          <w:rFonts w:asciiTheme="majorHAnsi" w:hAnsiTheme="majorHAnsi" w:cs="Arial"/>
          <w:sz w:val="20"/>
          <w:szCs w:val="20"/>
          <w:lang w:val="es-ES"/>
        </w:rPr>
        <w:t xml:space="preserve">encia de 15 de noviembre de 1993, declaró infundada la demanda inicial del peticionario, por considerar que el Convenio Colectivo </w:t>
      </w:r>
      <w:r w:rsidR="00F320DA" w:rsidRPr="00097440">
        <w:rPr>
          <w:rFonts w:asciiTheme="majorHAnsi" w:hAnsiTheme="majorHAnsi" w:cs="Arial"/>
          <w:sz w:val="20"/>
          <w:szCs w:val="20"/>
          <w:lang w:val="es-ES"/>
        </w:rPr>
        <w:t xml:space="preserve">ya no se encontraba vigente. </w:t>
      </w:r>
    </w:p>
    <w:p w14:paraId="372C3C5E" w14:textId="49F1EC84" w:rsidR="001E08C8" w:rsidRPr="00097440" w:rsidRDefault="00F320DA" w:rsidP="00097440">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rFonts w:asciiTheme="majorHAnsi" w:hAnsiTheme="majorHAnsi" w:cs="Arial"/>
          <w:sz w:val="20"/>
          <w:szCs w:val="20"/>
          <w:lang w:val="es-ES"/>
        </w:rPr>
      </w:pPr>
      <w:r w:rsidRPr="00097440">
        <w:rPr>
          <w:rFonts w:asciiTheme="majorHAnsi" w:hAnsiTheme="majorHAnsi" w:cs="Arial"/>
          <w:sz w:val="20"/>
          <w:szCs w:val="20"/>
          <w:lang w:val="es-ES"/>
        </w:rPr>
        <w:t xml:space="preserve">Ante esta situación, la presunta víctima presentó una apelación que fue desestimada por la Tercera Sala Laboral de la </w:t>
      </w:r>
      <w:r w:rsidRPr="00097440">
        <w:rPr>
          <w:rFonts w:asciiTheme="majorHAnsi" w:hAnsiTheme="majorHAnsi"/>
          <w:sz w:val="20"/>
          <w:szCs w:val="20"/>
          <w:lang w:val="es-ES"/>
        </w:rPr>
        <w:t>Corte Superior de Justicia de Lima, el</w:t>
      </w:r>
      <w:r w:rsidR="00125751" w:rsidRPr="00097440">
        <w:rPr>
          <w:rFonts w:asciiTheme="majorHAnsi" w:hAnsiTheme="majorHAnsi"/>
          <w:sz w:val="20"/>
          <w:szCs w:val="20"/>
          <w:lang w:val="es-ES"/>
        </w:rPr>
        <w:t xml:space="preserve"> 14 de septiembre de 1994; un recurso de nulidad que fue considerado improcedente por la misma Sala el 21 de noviembre de 1994; y un recurso de queja que fue declarado fundado por la </w:t>
      </w:r>
      <w:r w:rsidR="00125751" w:rsidRPr="00097440">
        <w:rPr>
          <w:rFonts w:asciiTheme="majorHAnsi" w:hAnsiTheme="majorHAnsi" w:cs="Arial"/>
          <w:sz w:val="20"/>
          <w:szCs w:val="20"/>
          <w:lang w:val="es-ES"/>
        </w:rPr>
        <w:t>Sala Constitucional y Social de la Corte Suprema de Justicia</w:t>
      </w:r>
      <w:r w:rsidR="00892954" w:rsidRPr="00097440">
        <w:rPr>
          <w:rFonts w:asciiTheme="majorHAnsi" w:hAnsiTheme="majorHAnsi" w:cs="Arial"/>
          <w:sz w:val="20"/>
          <w:szCs w:val="20"/>
          <w:lang w:val="es-ES"/>
        </w:rPr>
        <w:t xml:space="preserve">, disponiendo que se conceda el recurso de nulidad debido a presuntas irregularidades procesales. Finalmente, interpuso un amparo constitucional contra la empresa minera, con el objetivo de resguardar su derecho de igualdad ante la ley, pues varios </w:t>
      </w:r>
      <w:r w:rsidR="00095EB9" w:rsidRPr="00097440">
        <w:rPr>
          <w:rFonts w:asciiTheme="majorHAnsi" w:hAnsiTheme="majorHAnsi" w:cs="Arial"/>
          <w:sz w:val="20"/>
          <w:szCs w:val="20"/>
          <w:lang w:val="es-ES"/>
        </w:rPr>
        <w:t xml:space="preserve">de sus </w:t>
      </w:r>
      <w:r w:rsidR="00892954" w:rsidRPr="00097440">
        <w:rPr>
          <w:rFonts w:asciiTheme="majorHAnsi" w:hAnsiTheme="majorHAnsi" w:cs="Arial"/>
          <w:sz w:val="20"/>
          <w:szCs w:val="20"/>
          <w:lang w:val="es-ES"/>
        </w:rPr>
        <w:t>compañeros de trabajo, que se encontraban</w:t>
      </w:r>
      <w:r w:rsidR="00E91B27" w:rsidRPr="00097440">
        <w:rPr>
          <w:rFonts w:asciiTheme="majorHAnsi" w:hAnsiTheme="majorHAnsi" w:cs="Arial"/>
          <w:sz w:val="20"/>
          <w:szCs w:val="20"/>
          <w:lang w:val="es-ES"/>
        </w:rPr>
        <w:t xml:space="preserve"> alegadamente</w:t>
      </w:r>
      <w:r w:rsidR="00892954" w:rsidRPr="00097440">
        <w:rPr>
          <w:rFonts w:asciiTheme="majorHAnsi" w:hAnsiTheme="majorHAnsi" w:cs="Arial"/>
          <w:sz w:val="20"/>
          <w:szCs w:val="20"/>
          <w:lang w:val="es-ES"/>
        </w:rPr>
        <w:t xml:space="preserve"> en una situación idéntica, fueron indemnizados. </w:t>
      </w:r>
      <w:r w:rsidR="00241409" w:rsidRPr="00097440">
        <w:rPr>
          <w:rFonts w:asciiTheme="majorHAnsi" w:hAnsiTheme="majorHAnsi" w:cs="Arial"/>
          <w:sz w:val="20"/>
          <w:szCs w:val="20"/>
          <w:lang w:val="es-ES"/>
        </w:rPr>
        <w:t>Sin embargo, el Tribunal Constitucional declaró</w:t>
      </w:r>
      <w:r w:rsidR="00892954" w:rsidRPr="00097440">
        <w:rPr>
          <w:rFonts w:asciiTheme="majorHAnsi" w:hAnsiTheme="majorHAnsi" w:cs="Arial"/>
          <w:sz w:val="20"/>
          <w:szCs w:val="20"/>
          <w:lang w:val="es-ES"/>
        </w:rPr>
        <w:t xml:space="preserve"> improcedente </w:t>
      </w:r>
      <w:r w:rsidR="00892954" w:rsidRPr="00097440">
        <w:rPr>
          <w:rFonts w:asciiTheme="majorHAnsi" w:hAnsiTheme="majorHAnsi" w:cs="Arial"/>
          <w:i/>
          <w:sz w:val="20"/>
          <w:szCs w:val="20"/>
          <w:lang w:val="es-ES"/>
        </w:rPr>
        <w:t>in limine</w:t>
      </w:r>
      <w:r w:rsidR="00892954" w:rsidRPr="00097440">
        <w:rPr>
          <w:rFonts w:asciiTheme="majorHAnsi" w:hAnsiTheme="majorHAnsi" w:cs="Arial"/>
          <w:sz w:val="20"/>
          <w:szCs w:val="20"/>
          <w:lang w:val="es-ES"/>
        </w:rPr>
        <w:t xml:space="preserve"> </w:t>
      </w:r>
      <w:r w:rsidR="00241409" w:rsidRPr="00097440">
        <w:rPr>
          <w:rFonts w:asciiTheme="majorHAnsi" w:hAnsiTheme="majorHAnsi" w:cs="Arial"/>
          <w:sz w:val="20"/>
          <w:szCs w:val="20"/>
          <w:lang w:val="es-ES"/>
        </w:rPr>
        <w:t>el recurso</w:t>
      </w:r>
      <w:r w:rsidR="00892954" w:rsidRPr="00097440">
        <w:rPr>
          <w:rFonts w:asciiTheme="majorHAnsi" w:hAnsiTheme="majorHAnsi" w:cs="Arial"/>
          <w:sz w:val="20"/>
          <w:szCs w:val="20"/>
          <w:lang w:val="es-ES"/>
        </w:rPr>
        <w:t xml:space="preserve"> el 17 de marzo de 1999, argumentando que “las acciones de garantía no constituyen otra vía para revisar o cuestionar sentencias desfavorables que tienen autoridad de cosa juzgada”, sin entrar a analizar ni considerar el fondo del asunto.</w:t>
      </w:r>
      <w:r w:rsidR="005F2795" w:rsidRPr="00097440">
        <w:rPr>
          <w:rFonts w:asciiTheme="majorHAnsi" w:hAnsiTheme="majorHAnsi" w:cs="Arial"/>
          <w:sz w:val="20"/>
          <w:szCs w:val="20"/>
          <w:lang w:val="es-ES"/>
        </w:rPr>
        <w:t xml:space="preserve"> El peticionario seña</w:t>
      </w:r>
      <w:r w:rsidR="004C54BC" w:rsidRPr="00097440">
        <w:rPr>
          <w:rFonts w:asciiTheme="majorHAnsi" w:hAnsiTheme="majorHAnsi" w:cs="Arial"/>
          <w:sz w:val="20"/>
          <w:szCs w:val="20"/>
          <w:lang w:val="es-ES"/>
        </w:rPr>
        <w:t xml:space="preserve">la que la </w:t>
      </w:r>
      <w:r w:rsidR="005F2795" w:rsidRPr="00097440">
        <w:rPr>
          <w:rFonts w:asciiTheme="majorHAnsi" w:hAnsiTheme="majorHAnsi" w:cs="Arial"/>
          <w:sz w:val="20"/>
          <w:szCs w:val="20"/>
          <w:lang w:val="es-ES"/>
        </w:rPr>
        <w:t xml:space="preserve">indemnización que reclamó es independiente de las rentas de invalidez o por </w:t>
      </w:r>
      <w:r w:rsidR="004C54BC" w:rsidRPr="00097440">
        <w:rPr>
          <w:rFonts w:asciiTheme="majorHAnsi" w:hAnsiTheme="majorHAnsi" w:cs="Arial"/>
          <w:sz w:val="20"/>
          <w:szCs w:val="20"/>
          <w:lang w:val="es-ES"/>
        </w:rPr>
        <w:t xml:space="preserve">riesgo, porque es un monto que el empleador cancela a través de un solo pago y que es establecido en razón de los accidentes de trabajo y la enfermedad ocupacional que lo aqueja. </w:t>
      </w:r>
    </w:p>
    <w:p w14:paraId="1854F9E7" w14:textId="54DDA514" w:rsidR="00FA1F40" w:rsidRDefault="00241409" w:rsidP="00097440">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097440">
        <w:rPr>
          <w:sz w:val="20"/>
          <w:szCs w:val="20"/>
          <w:lang w:val="es-ES"/>
        </w:rPr>
        <w:t>El Estado argumenta que el peticionario ha interpuesto las acciones legales pertinentes en contra de CENTROMIN Perú S.A., en el ejercicio l</w:t>
      </w:r>
      <w:r w:rsidR="00095EB9" w:rsidRPr="00097440">
        <w:rPr>
          <w:sz w:val="20"/>
          <w:szCs w:val="20"/>
          <w:lang w:val="es-ES"/>
        </w:rPr>
        <w:t>egítimo de sus derechos y que las mismas</w:t>
      </w:r>
      <w:r w:rsidRPr="00097440">
        <w:rPr>
          <w:sz w:val="20"/>
          <w:szCs w:val="20"/>
          <w:lang w:val="es-ES"/>
        </w:rPr>
        <w:t xml:space="preserve"> no prosperaron. Indica también que en el marco de dichos procesos se han respetado las garantías judiciales y la protección judicial de la presunta víctima. Además, alega que el peticionario no inició ninguna acción para beneficiarse de la legislación especial de la actividad minera, regulada por la Ley 26790, la cual contempla el pago de una renta vitalicia otorgada por el Seguro Complementario de Trabajador de Riesgo. En virtud de lo anterior, el Estado señala que la Comisión debería declarar inadmisible la petición de conformidad con el inciso c) del artículo 47 de la Convención.   </w:t>
      </w:r>
    </w:p>
    <w:p w14:paraId="6E59DE69" w14:textId="77777777" w:rsidR="009851A3" w:rsidRDefault="009851A3" w:rsidP="005966A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sz w:val="20"/>
          <w:szCs w:val="20"/>
          <w:lang w:val="es-ES"/>
        </w:rPr>
      </w:pPr>
    </w:p>
    <w:p w14:paraId="13EDFD69" w14:textId="2C1F5A1F" w:rsidR="00FA1F40" w:rsidRDefault="00FA1F40" w:rsidP="002A367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i/>
          <w:sz w:val="20"/>
          <w:szCs w:val="20"/>
          <w:lang w:val="es-BO"/>
        </w:rPr>
      </w:pPr>
      <w:r w:rsidRPr="00617684">
        <w:rPr>
          <w:i/>
          <w:sz w:val="20"/>
          <w:szCs w:val="20"/>
          <w:lang w:val="es-BO"/>
        </w:rPr>
        <w:t>Amador Oré Barrientos (P-1295-07)</w:t>
      </w:r>
    </w:p>
    <w:p w14:paraId="629C420A" w14:textId="77777777" w:rsidR="005966AA" w:rsidRPr="005966AA" w:rsidRDefault="005966AA" w:rsidP="005966AA">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sz w:val="20"/>
          <w:szCs w:val="20"/>
          <w:lang w:val="es-ES"/>
        </w:rPr>
      </w:pPr>
    </w:p>
    <w:p w14:paraId="4E74E20B" w14:textId="687151AD" w:rsidR="00702C64" w:rsidRDefault="00FA1F40" w:rsidP="00097440">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097440">
        <w:rPr>
          <w:rFonts w:asciiTheme="majorHAnsi" w:hAnsiTheme="majorHAnsi"/>
          <w:sz w:val="20"/>
          <w:szCs w:val="20"/>
          <w:lang w:val="es-BO"/>
        </w:rPr>
        <w:t>El peticionario señala que la presunta víctima, en noviembre de 1999, solicitó a la Oficina de Normalización Previsional</w:t>
      </w:r>
      <w:r w:rsidR="005E748A">
        <w:rPr>
          <w:rFonts w:asciiTheme="majorHAnsi" w:hAnsiTheme="majorHAnsi"/>
          <w:sz w:val="20"/>
          <w:szCs w:val="20"/>
          <w:lang w:val="es-BO"/>
        </w:rPr>
        <w:t xml:space="preserve"> (</w:t>
      </w:r>
      <w:r w:rsidR="005E748A" w:rsidRPr="005E748A">
        <w:rPr>
          <w:rFonts w:asciiTheme="majorHAnsi" w:hAnsiTheme="majorHAnsi"/>
          <w:sz w:val="20"/>
          <w:szCs w:val="20"/>
          <w:lang w:val="es-BO"/>
        </w:rPr>
        <w:t>en adelante “ONP”)</w:t>
      </w:r>
      <w:r w:rsidRPr="00097440">
        <w:rPr>
          <w:rFonts w:asciiTheme="majorHAnsi" w:hAnsiTheme="majorHAnsi"/>
          <w:sz w:val="20"/>
          <w:szCs w:val="20"/>
          <w:lang w:val="es-BO"/>
        </w:rPr>
        <w:t xml:space="preserve"> acceder a una pensión de jubilación minera completa sin topes, conforme disponía la Ley Nº25009 y su reglamento. Sin embargo, mediante la resolución administrativa Nº01670-2000-ONP/DC,  en aplicación del Decreto Ley Nº25967, se le otorgó una renta jubilatoria “diminuta”. Frente a ello, interpuso una demanda de amparo que fue declarada fundada en parte por el 46vo Juzgado Civil de Lima el 21 de septiembre de 2004, disponiendo se emita una nueva resolución en el marco de la Ley Nº25009. Tal decisión judicial fue apelada por la ONP y posteriormente revocada en todos sus extremos por la Segunda Sala Civil de Lima el 13 de junio de 2005</w:t>
      </w:r>
      <w:r w:rsidR="00702C64" w:rsidRPr="00097440">
        <w:rPr>
          <w:sz w:val="20"/>
          <w:szCs w:val="20"/>
          <w:lang w:val="es-ES"/>
        </w:rPr>
        <w:t>.</w:t>
      </w:r>
    </w:p>
    <w:p w14:paraId="3084FBE1" w14:textId="54E4DE85" w:rsidR="00702C64" w:rsidRPr="00097440" w:rsidRDefault="00702C64" w:rsidP="00097440">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B550A1">
        <w:rPr>
          <w:rFonts w:asciiTheme="majorHAnsi" w:hAnsiTheme="majorHAnsi"/>
          <w:sz w:val="20"/>
          <w:szCs w:val="20"/>
          <w:lang w:val="es-BO"/>
        </w:rPr>
        <w:t>Ante esta situación, la presunta víctima interpuso un recurso de agravio constitucional, que fue declarado infundado por el Tribunal Constitucional el 19 de abril de 2007. La sentencia constitucional estableció que se debían aplicar topes pensionarios a todas las jubilaciones conforme las disposiciones de los Decretos 19990 y 25967 y no en el marco de la legislación especial contenida en la Ley 25009</w:t>
      </w:r>
      <w:r>
        <w:rPr>
          <w:rFonts w:asciiTheme="majorHAnsi" w:hAnsiTheme="majorHAnsi"/>
          <w:sz w:val="20"/>
          <w:szCs w:val="20"/>
          <w:lang w:val="es-BO"/>
        </w:rPr>
        <w:t>.</w:t>
      </w:r>
    </w:p>
    <w:p w14:paraId="43956232" w14:textId="622CA6A0" w:rsidR="00702C64" w:rsidRPr="00097440" w:rsidRDefault="00702C64" w:rsidP="00097440">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B550A1">
        <w:rPr>
          <w:rFonts w:asciiTheme="majorHAnsi" w:hAnsiTheme="majorHAnsi"/>
          <w:sz w:val="20"/>
          <w:szCs w:val="20"/>
          <w:bdr w:val="none" w:sz="0" w:space="0" w:color="auto" w:frame="1"/>
          <w:lang w:val="es-BO"/>
        </w:rPr>
        <w:t>El Estado sostiene que la petición es inadmisible. Refiere que al momento de otorgar la renta de jubilación a la presunta víctima, se tomó en cuenta los topes pensionarios fijados por el D.S. Nº56-99 EF, por lo que se estableció un monto máximo. Afirma que la pensión fue concedida en cumplimiento de la normativa nacional e internacional, por lo que su revisión implicaría que la CIDH actúe como un tribunal de cuarta instancia. Señala finalmente que los hechos denunciados no configuran violación alguna a los derechos protegidos en la Convención</w:t>
      </w:r>
      <w:r>
        <w:rPr>
          <w:rFonts w:asciiTheme="majorHAnsi" w:hAnsiTheme="majorHAnsi"/>
          <w:sz w:val="20"/>
          <w:szCs w:val="20"/>
          <w:bdr w:val="none" w:sz="0" w:space="0" w:color="auto" w:frame="1"/>
          <w:lang w:val="es-BO"/>
        </w:rPr>
        <w:t>.</w:t>
      </w:r>
    </w:p>
    <w:p w14:paraId="488D4C7F" w14:textId="4AE6D58C" w:rsidR="00702C64" w:rsidRPr="00097440" w:rsidRDefault="00702C64" w:rsidP="002A367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i/>
          <w:sz w:val="20"/>
          <w:szCs w:val="20"/>
          <w:lang w:val="es-BO"/>
        </w:rPr>
      </w:pPr>
      <w:r w:rsidRPr="00702C64">
        <w:rPr>
          <w:i/>
          <w:sz w:val="20"/>
          <w:szCs w:val="20"/>
          <w:lang w:val="es-BO"/>
        </w:rPr>
        <w:t>Hermógenes Chávez Puma (P-1296-07)</w:t>
      </w:r>
    </w:p>
    <w:p w14:paraId="25D71ACF" w14:textId="06997795" w:rsidR="00702C64" w:rsidRPr="00097440" w:rsidRDefault="00702C64" w:rsidP="00097440">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BO"/>
        </w:rPr>
        <w:t>El peticionario afirma que en julio de 1992 la presunta víctima, cumpliendo con todos los requisitos, solicitó ante la ONP acceder a una pensión de jubilación minera completa sin topes, en el marco de las disposiciones de la Ley de Jubilación Minera Nº25009 y de su Decreto Reglamentario. No obstante, la resolución administrativa Nº 0721-94 de 25 de mayo de 1994 le otorgó una pensión diminuta en aplicación del Decreto Ley Nº 25967. Refiere que presentó un recurso de reconsideración, que fue declarado infundado el 26 de septiembre de 1994 y un amparo, declarado parcialmente fundado por el Segundo Juzgado en lo Civil el 5 de noviembre de 1999, disponiendo la emisión de una nueva resolución pero en el marco del Decreto Ley Nº19990.</w:t>
      </w:r>
    </w:p>
    <w:p w14:paraId="33586027" w14:textId="5B1DEA81" w:rsidR="00702C64" w:rsidRPr="00097440" w:rsidRDefault="00702C64" w:rsidP="00097440">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BO"/>
        </w:rPr>
        <w:t>Así, el 24 de enero de 2000 se emitió una segunda resolución que tampoco se ajustaba a su solicitud inicial, por lo que interpuso una nueva demanda de amparo que fue declarada improcedente por el Décimo séptimo Juzgado Civil de Lima, el 14 de octubre de 2003. Dicha decisión fue apelada y posteriormente ratificada por la Sexta Sala Civil de Lima,  el 27 de abril de 2005. Ante esta situación, la presunta víctima presentó un recurso de agravio constitucional, que fue declarado infundado por el Tribunal Constitucional el 13 de abril de 2007. Dicha sentencia, determinó que no obstante la presunta víctima acreditó los requisitos exigidos por la Ley Nº 25009 para percibir el 100% de su remuneración, tal renta se encuentra limitada al monto máximo previsto por el Decreto 19990.</w:t>
      </w:r>
    </w:p>
    <w:p w14:paraId="2ED14D8B" w14:textId="36CACCB6" w:rsidR="00702C64" w:rsidRPr="00097440" w:rsidRDefault="00702C64" w:rsidP="00097440">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BO"/>
        </w:rPr>
        <w:t>El Estado sostiene que los hechos denunciados no caracterizan violaciones a ningún derecho consagrado en la Convención, pues la renta de jubilación otorgada a la presunta víctima fue definida en el marco del Decreto 19990 que determina un tope pensionario. Indica también, que dicho monto es actualizado por las bonificaciones previstas en el ordenamiento nacional. Además, refiere que el Tribunal Constitucional señaló que el cambio de régimen pensionario no alteraría el monto que la presunta víctima recibiría. En consecuencia, considera que la petición es inadmisible pues de ingresar en el análisis de la labor realizada por los tribunales y autoridades nacionales competentes, la CIDH actuaría como una cuarta instancia.</w:t>
      </w:r>
    </w:p>
    <w:p w14:paraId="4B6DBBE9" w14:textId="77777777" w:rsidR="005E748A" w:rsidRDefault="005E748A" w:rsidP="00B9404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i/>
          <w:sz w:val="20"/>
          <w:szCs w:val="20"/>
          <w:lang w:val="es-BO"/>
        </w:rPr>
      </w:pPr>
    </w:p>
    <w:p w14:paraId="4BCEBFB2" w14:textId="77777777" w:rsidR="005E748A" w:rsidRDefault="005E748A" w:rsidP="00B94041">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i/>
          <w:sz w:val="20"/>
          <w:szCs w:val="20"/>
          <w:lang w:val="es-BO"/>
        </w:rPr>
      </w:pPr>
    </w:p>
    <w:p w14:paraId="1BB34DBD" w14:textId="6C721DE1" w:rsidR="003E3EA3" w:rsidRPr="00097440" w:rsidRDefault="003E3EA3" w:rsidP="002A367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F204BD">
        <w:rPr>
          <w:i/>
          <w:sz w:val="20"/>
          <w:szCs w:val="20"/>
          <w:lang w:val="es-BO"/>
        </w:rPr>
        <w:lastRenderedPageBreak/>
        <w:t>Antonio Janampa Acuña (P-1401-07)</w:t>
      </w:r>
    </w:p>
    <w:p w14:paraId="70F141D6" w14:textId="121059D6" w:rsidR="003E3EA3" w:rsidRPr="005E748A" w:rsidRDefault="003E3EA3" w:rsidP="00097440">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5E748A">
        <w:rPr>
          <w:sz w:val="20"/>
          <w:szCs w:val="20"/>
          <w:lang w:val="es-BO"/>
        </w:rPr>
        <w:t>El peticionario manifiesta que, en febrero de 2000, la presunta víctima presentó ante la ONP una solicitud de pensión de jubilación minera completa, en el marco de la Ley Nº25009 y su reglamento. Así, la resolución administrativa Nº 0000011658-2003-ONP/DC/DL19990 de 23 de enero de 2003 le concedió una renta de jubilación diminuta, aplicándole topes pensionarios. Señala que contra dicha decisión, presentó un recurso de amparo, que fue declarado improcedente el 31 de agosto de 2004, por el Décimo Juzgado Civil de Lima. Dicho fallo fue apelado ante la Cuarta Sala Civil de Lima, la cual el 16 de marzo de 2006, desestimó la impugnación confirmando el rechazo del amparo. Ante ello, el peticionario interpuso un recurso de agravio constitucional.</w:t>
      </w:r>
      <w:r w:rsidR="005E748A" w:rsidRPr="005E748A">
        <w:rPr>
          <w:sz w:val="20"/>
          <w:szCs w:val="20"/>
          <w:lang w:val="es-BO"/>
        </w:rPr>
        <w:t xml:space="preserve"> </w:t>
      </w:r>
      <w:r w:rsidRPr="005E748A">
        <w:rPr>
          <w:sz w:val="20"/>
          <w:szCs w:val="20"/>
          <w:lang w:val="es-BO"/>
        </w:rPr>
        <w:t>A su turno, el Tribunal Constitucional declaró infundada la demanda, indicando que la presunta víctima goza de una pensión equivalente al máximo en el sistema de jubilación, por lo que la modificación de su pensión no alteraría el monto prestacional.</w:t>
      </w:r>
    </w:p>
    <w:p w14:paraId="042B9120" w14:textId="39193D50" w:rsidR="003E3EA3" w:rsidRPr="00097440" w:rsidRDefault="003E3EA3" w:rsidP="00097440">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bdr w:val="none" w:sz="0" w:space="0" w:color="auto" w:frame="1"/>
          <w:lang w:val="es-UY"/>
        </w:rPr>
        <w:t>El Estado manifiesta que la solicitud de jubilación de la presunta víctima fue otorgada en el marco del Decreto Ley Nº25967 y que el monto que percibe, fue incrementado por disposiciones de decretos posteriores hasta alcanzar el tope máximo. Señala también, que no cumplió con el requisito de los años de las aportaciones, establecido en el artículo 2 de la Ley Nº25009 para gozar de una jubilación minera completa. Finalmente, señala que el Tribunal Constitucional determinó que a la presunta víctima le correspondía una pensión completa por su enfermedad, no obstante, la misma se encuentra limitada por el monto máximo establecido por el Decreto Ley Nº19990. Por ello, considera que la CIDH no debe admitir la petición, pues de hacerlo estaría actuando como un tribunal de cuarta instancia, contradiciendo el principio de subsidiariedad del sistema interamericano.</w:t>
      </w:r>
    </w:p>
    <w:p w14:paraId="45A7134F" w14:textId="24BFA96E" w:rsidR="003E3EA3" w:rsidRPr="00097440" w:rsidRDefault="003E3EA3" w:rsidP="002A367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2915DC">
        <w:rPr>
          <w:i/>
          <w:sz w:val="20"/>
          <w:szCs w:val="20"/>
          <w:lang w:val="es-UY"/>
        </w:rPr>
        <w:t>Gumercindo Angulo Arotinco (P-300-08</w:t>
      </w:r>
      <w:r>
        <w:rPr>
          <w:i/>
          <w:sz w:val="20"/>
          <w:szCs w:val="20"/>
          <w:lang w:val="es-UY"/>
        </w:rPr>
        <w:t>)</w:t>
      </w:r>
    </w:p>
    <w:p w14:paraId="12F46A84" w14:textId="3CC20EE8" w:rsidR="003E3EA3" w:rsidRPr="005E748A" w:rsidRDefault="003E3EA3" w:rsidP="00097440">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5E748A">
        <w:rPr>
          <w:sz w:val="20"/>
          <w:szCs w:val="20"/>
          <w:lang w:val="es-UY"/>
        </w:rPr>
        <w:t xml:space="preserve">El peticionario refiere que en octubre de 1999 solicitó a la ONP acceder a una pensión de jubilación minera sin topes, </w:t>
      </w:r>
      <w:r w:rsidRPr="005E748A">
        <w:rPr>
          <w:sz w:val="20"/>
          <w:szCs w:val="20"/>
          <w:lang w:val="es-BO"/>
        </w:rPr>
        <w:t>conforme la Ley Nº25009 y su reglamento</w:t>
      </w:r>
      <w:r w:rsidRPr="005E748A">
        <w:rPr>
          <w:sz w:val="20"/>
          <w:szCs w:val="20"/>
          <w:lang w:val="es-UY"/>
        </w:rPr>
        <w:t>. Sin embargo, mediante la resolución administrativa Nº000043258-2002-ONP/DC de 13 de agosto de 2002, se le otorgó una renta con la imposición de topes pensionarios previstos por el Decreto Ley 25967. Por ello, interpuso una demanda de amparo, que fue declarada infundada por 35vo Juzgado Civil de Lima, el 26 de enero de 2005. Contra tal decisión, presentó una apelación que fue considerada improcedente por la Sala Civil Segunda de Lima, el 25 de octubre de 2005.</w:t>
      </w:r>
      <w:r w:rsidR="005E748A" w:rsidRPr="005E748A">
        <w:rPr>
          <w:sz w:val="20"/>
          <w:szCs w:val="20"/>
          <w:lang w:val="es-UY"/>
        </w:rPr>
        <w:t xml:space="preserve"> </w:t>
      </w:r>
      <w:r w:rsidRPr="005E748A">
        <w:rPr>
          <w:sz w:val="20"/>
          <w:szCs w:val="20"/>
          <w:lang w:val="es-UY"/>
        </w:rPr>
        <w:t>Finalmente, el peticionario interpuso un recurso de agravio constitucional, que fue desestimado por el Tribunal Constitucional el 21 de marzo de 2007, señalando que los topes pensionarios están legalmente establecidos en el sistema nacional de pensiones.</w:t>
      </w:r>
    </w:p>
    <w:p w14:paraId="1CF010F6" w14:textId="479A2BA8" w:rsidR="003E3EA3" w:rsidRPr="00097440" w:rsidRDefault="003E3EA3" w:rsidP="00097440">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UY"/>
        </w:rPr>
        <w:t>El Estado señala que la presunta víctima recibió la pensión completa de jubilación minera, la cual por disposiciones legales, se encuentra sujeta al tope máximo y es actualizada en el marco de los decretos de incrementos anuales. Indica también que el Tribunal Constitucional, consideró que debía aplicarse el monto máximo establecido en el Decreto Ley Nª 25967. Sostiene que en virtud de tales argumentos, la petición es inadmisible pues la Comisión operaría como un tribunal de cuarta instancia, si llegase a valorar las decisiones emitidas por las autoridades nacionales, emitidas en el ejercicio de sus competencias y en estricto cumplimiento de la normativa.</w:t>
      </w:r>
    </w:p>
    <w:p w14:paraId="463ED441" w14:textId="7A16751F" w:rsidR="003E3EA3" w:rsidRPr="00097440" w:rsidRDefault="003E3EA3" w:rsidP="002A3678">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5219AD">
        <w:rPr>
          <w:i/>
          <w:sz w:val="20"/>
          <w:szCs w:val="20"/>
          <w:lang w:val="es-BO"/>
        </w:rPr>
        <w:t>Emiliano Pauccarima Chalco (P-405-08)</w:t>
      </w:r>
    </w:p>
    <w:p w14:paraId="1F934595" w14:textId="777F1B30" w:rsidR="003E3EA3" w:rsidRPr="00097440" w:rsidRDefault="003E3EA3" w:rsidP="00097440">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BO"/>
        </w:rPr>
        <w:t>El peticionario indica que en 2001 solicitó a la ONP, acogerse a las disposiciones de la Ley Nº25009 para que se le conceda una pensión de jubilación minera sin topes. Así, la resolución administrativa Nº000016175-2001-ONP/DC/DL19990 de 5 de noviembre de 2001 determinó se le otorgue una renta de jubilación máxima, es decir, aplicándosele topes pensionarios previstos en el Decreto Supremo Nº106-97 EF. Refiere que presentó una demanda de amparo ante el 15vo Juzgado Civil de Lima, declarada fundada el 27 de abril de 2004, pues cons</w:t>
      </w:r>
      <w:r w:rsidR="005E748A">
        <w:rPr>
          <w:sz w:val="20"/>
          <w:szCs w:val="20"/>
          <w:lang w:val="es-BO"/>
        </w:rPr>
        <w:t xml:space="preserve">ideró que le aplicaron </w:t>
      </w:r>
      <w:r>
        <w:rPr>
          <w:sz w:val="20"/>
          <w:szCs w:val="20"/>
          <w:lang w:val="es-BO"/>
        </w:rPr>
        <w:t>el D. S. Nº106-97  EF de manera retroactiva. Dicha resolución fue apelada por la ONP y el 19 de julio de 2005, la Quinta Sala Civil de Lima, revocó la decisión declarando que el amparo era improcedente.</w:t>
      </w:r>
    </w:p>
    <w:p w14:paraId="4A981E39" w14:textId="15019473" w:rsidR="003E3EA3" w:rsidRPr="00097440" w:rsidRDefault="003E3EA3" w:rsidP="00097440">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BO"/>
        </w:rPr>
        <w:lastRenderedPageBreak/>
        <w:t>Ante esta situación, el peticionario interpuso un recurso de agravio constitucional, que el 9 de noviembre de 2007 fue considerado infundado por el Tribunal Constitucional, argumentando que los topes pensionarios se aplican aun en casos de personas que padezcan silicosis.</w:t>
      </w:r>
    </w:p>
    <w:p w14:paraId="2087CE49" w14:textId="6D09D23C" w:rsidR="003E3EA3" w:rsidRPr="00097440" w:rsidRDefault="003E3EA3" w:rsidP="00097440">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BO"/>
        </w:rPr>
        <w:t>El Estado refiere que para determinar el monto de la jubilación solicitada por la presunta víctima, se aplicó el tope pensionario establecido en la normativa, pues la remuneración completa excedía la pensión máxima. Indica también que dicha renta ha sido actualizada. En ese sentido, argumenta que no le corresponde a la Comisión reemplazar a las autoridades judiciales internas en la interpretación de las normas, ni actuar como tribunal de cuarta instancia, como se pretendería en este caso.</w:t>
      </w:r>
    </w:p>
    <w:p w14:paraId="21B2B9C9" w14:textId="65E8AEC1" w:rsidR="003E3EA3" w:rsidRPr="00097440" w:rsidRDefault="003E3EA3" w:rsidP="0009744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3239B8">
        <w:rPr>
          <w:rFonts w:asciiTheme="majorHAnsi" w:hAnsiTheme="majorHAnsi"/>
          <w:b/>
          <w:bCs/>
          <w:sz w:val="20"/>
          <w:szCs w:val="20"/>
          <w:lang w:val="es-ES"/>
        </w:rPr>
        <w:t>VI.</w:t>
      </w:r>
      <w:r w:rsidRPr="003239B8">
        <w:rPr>
          <w:rFonts w:asciiTheme="majorHAnsi" w:hAnsiTheme="majorHAnsi"/>
          <w:b/>
          <w:bCs/>
          <w:sz w:val="20"/>
          <w:szCs w:val="20"/>
          <w:lang w:val="es-ES"/>
        </w:rPr>
        <w:tab/>
      </w:r>
      <w:r w:rsidRPr="00332747">
        <w:rPr>
          <w:rFonts w:asciiTheme="majorHAnsi" w:hAnsiTheme="majorHAnsi"/>
          <w:b/>
          <w:sz w:val="20"/>
          <w:szCs w:val="20"/>
          <w:lang w:val="es-ES"/>
        </w:rPr>
        <w:t>AGOTAMIENTO DE LOS RECURSOS INTERNOS</w:t>
      </w:r>
      <w:r>
        <w:rPr>
          <w:rFonts w:asciiTheme="majorHAnsi" w:hAnsiTheme="majorHAnsi"/>
          <w:b/>
          <w:sz w:val="20"/>
          <w:szCs w:val="20"/>
          <w:lang w:val="es-ES"/>
        </w:rPr>
        <w:t xml:space="preserve"> Y PLAZO DE PRESENTACIÓN</w:t>
      </w:r>
    </w:p>
    <w:p w14:paraId="712F6F56" w14:textId="4F022E30" w:rsidR="003E3EA3" w:rsidRPr="00097440" w:rsidRDefault="003E3EA3" w:rsidP="00097440">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UY"/>
        </w:rPr>
        <w:t>En las seis peticiones comprendidas en el presente informe los peticionarios afirman que, producto de la enfermedad laboral que padecen, iniciaron acciones administrativas y judiciales con el objetivo de lograr indemnizaciones o pensiones de jubilación, en el marco de las leyes peruanas. En ese sentido, ejercieron diversos recursos judiciales que en cada uno de los casos culminaron con sentencias del Tribunal Constitucional, agotando con ello los recursos de jurisdicción interna. A su turno, el Estado no controvirtió lo indicado por los peticionarios respecto al agotamiento de los recursos internos.</w:t>
      </w:r>
    </w:p>
    <w:p w14:paraId="4954A9A8" w14:textId="733B5021" w:rsidR="001D4246" w:rsidRPr="00097440" w:rsidRDefault="001D4246" w:rsidP="00097440">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UY"/>
        </w:rPr>
        <w:t xml:space="preserve">Atendido lo anterior, la Comisión concluye que las presuntas víctimas en las peticiones P-1295-07, P-1296-07, P-1401-07, P-300-07 y P-405-08 agotaron los recursos internos mediante las sentencias constitucionales emitidas en el marco de sus respectivos procesos, que les fueron notificadas en las fechas señaladas en la sección IV del cuadro inicial, en cumplimiento de los artículos 46.1.a de la Convención y 31.1 del Reglamento. Asimismo, las peticiones fueron presentadas dentro del plazo de seis meses,  </w:t>
      </w:r>
      <w:r w:rsidRPr="0063345B">
        <w:rPr>
          <w:sz w:val="20"/>
          <w:szCs w:val="20"/>
          <w:lang w:val="es-UY"/>
        </w:rPr>
        <w:t xml:space="preserve">contados a partir de la fecha </w:t>
      </w:r>
      <w:r>
        <w:rPr>
          <w:sz w:val="20"/>
          <w:szCs w:val="20"/>
          <w:lang w:val="es-UY"/>
        </w:rPr>
        <w:t xml:space="preserve">de notificación de las </w:t>
      </w:r>
      <w:r w:rsidRPr="0063345B">
        <w:rPr>
          <w:sz w:val="20"/>
          <w:szCs w:val="20"/>
          <w:lang w:val="es-UY"/>
        </w:rPr>
        <w:t>decisi</w:t>
      </w:r>
      <w:r>
        <w:rPr>
          <w:sz w:val="20"/>
          <w:szCs w:val="20"/>
          <w:lang w:val="es-UY"/>
        </w:rPr>
        <w:t xml:space="preserve">ones </w:t>
      </w:r>
      <w:r w:rsidRPr="0063345B">
        <w:rPr>
          <w:sz w:val="20"/>
          <w:szCs w:val="20"/>
          <w:lang w:val="es-UY"/>
        </w:rPr>
        <w:t>final</w:t>
      </w:r>
      <w:r>
        <w:rPr>
          <w:sz w:val="20"/>
          <w:szCs w:val="20"/>
          <w:lang w:val="es-UY"/>
        </w:rPr>
        <w:t>es</w:t>
      </w:r>
      <w:r w:rsidRPr="0063345B">
        <w:rPr>
          <w:sz w:val="20"/>
          <w:szCs w:val="20"/>
          <w:lang w:val="es-UY"/>
        </w:rPr>
        <w:t xml:space="preserve"> que agot</w:t>
      </w:r>
      <w:r>
        <w:rPr>
          <w:sz w:val="20"/>
          <w:szCs w:val="20"/>
          <w:lang w:val="es-UY"/>
        </w:rPr>
        <w:t>aron la jurisdicción interna, cumpliendo con el requisito establecido en el artículo 46.1.b de la Convención y 32.1 del Reglamento.</w:t>
      </w:r>
    </w:p>
    <w:p w14:paraId="31A3C7F8" w14:textId="1DEDD856" w:rsidR="001D4246" w:rsidRPr="00097440" w:rsidRDefault="001D4246" w:rsidP="00097440">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UY"/>
        </w:rPr>
        <w:t xml:space="preserve">En relación con la P-1077-98, </w:t>
      </w:r>
      <w:r w:rsidRPr="00F9124C">
        <w:rPr>
          <w:sz w:val="20"/>
          <w:szCs w:val="20"/>
          <w:lang w:val="es-UY"/>
        </w:rPr>
        <w:t xml:space="preserve">la Comisión observa que </w:t>
      </w:r>
      <w:r w:rsidRPr="0063345B">
        <w:rPr>
          <w:sz w:val="20"/>
          <w:szCs w:val="20"/>
          <w:lang w:val="es-BO"/>
        </w:rPr>
        <w:t>los recursos internos fueron agotados el 17 de marzo de 1999 con la sentencia emitida</w:t>
      </w:r>
      <w:r>
        <w:rPr>
          <w:sz w:val="20"/>
          <w:szCs w:val="20"/>
          <w:lang w:val="es-BO"/>
        </w:rPr>
        <w:t xml:space="preserve"> por el Tribunal Constitucional y la petición fue presentada el </w:t>
      </w:r>
      <w:r w:rsidRPr="0063345B">
        <w:rPr>
          <w:sz w:val="20"/>
          <w:szCs w:val="20"/>
          <w:lang w:val="es-BO"/>
        </w:rPr>
        <w:t>13 de noviembre de 1998</w:t>
      </w:r>
      <w:r>
        <w:rPr>
          <w:sz w:val="20"/>
          <w:szCs w:val="20"/>
          <w:lang w:val="es-BO"/>
        </w:rPr>
        <w:t xml:space="preserve">.  En consecuencia, el </w:t>
      </w:r>
      <w:r w:rsidRPr="0063345B">
        <w:rPr>
          <w:sz w:val="20"/>
          <w:szCs w:val="20"/>
          <w:lang w:val="es-BO"/>
        </w:rPr>
        <w:t>agotamiento de los recursos internos se dio mientras el caso se hallaba bajo estudio de admisibilidad. De acuerdo a la doctrina de la Comisión, el análisis sobre los requisitos previstos en el artículo 46.1.b de la Convención debe hacerse a la luz de la situación vigente al momento en que se pronuncia sobre la admisibilidad o inadmisibilidad del reclamo</w:t>
      </w:r>
      <w:r>
        <w:rPr>
          <w:rStyle w:val="FootnoteReference"/>
          <w:sz w:val="20"/>
          <w:szCs w:val="20"/>
          <w:lang w:val="es-BO"/>
        </w:rPr>
        <w:footnoteReference w:id="8"/>
      </w:r>
      <w:r>
        <w:rPr>
          <w:sz w:val="20"/>
          <w:szCs w:val="20"/>
          <w:lang w:val="es-BO"/>
        </w:rPr>
        <w:t>. Por su parte</w:t>
      </w:r>
      <w:r w:rsidRPr="00F9124C">
        <w:rPr>
          <w:sz w:val="20"/>
          <w:szCs w:val="20"/>
          <w:lang w:val="es-UY"/>
        </w:rPr>
        <w:t xml:space="preserve"> el Estado ha reconocido de manera expresa que el peticionario </w:t>
      </w:r>
      <w:r>
        <w:rPr>
          <w:sz w:val="20"/>
          <w:szCs w:val="20"/>
          <w:lang w:val="es-UY"/>
        </w:rPr>
        <w:t>interpuso</w:t>
      </w:r>
      <w:r w:rsidRPr="00F9124C">
        <w:rPr>
          <w:sz w:val="20"/>
          <w:szCs w:val="20"/>
          <w:lang w:val="es-UY"/>
        </w:rPr>
        <w:t xml:space="preserve"> las acciones legales </w:t>
      </w:r>
      <w:r>
        <w:rPr>
          <w:sz w:val="20"/>
          <w:szCs w:val="20"/>
          <w:lang w:val="es-UY"/>
        </w:rPr>
        <w:t>disponibles a nivel interno</w:t>
      </w:r>
      <w:r w:rsidRPr="00F9124C">
        <w:rPr>
          <w:sz w:val="20"/>
          <w:szCs w:val="20"/>
          <w:lang w:val="es-UY"/>
        </w:rPr>
        <w:t xml:space="preserve">. </w:t>
      </w:r>
      <w:r>
        <w:rPr>
          <w:sz w:val="20"/>
          <w:szCs w:val="20"/>
          <w:lang w:val="es-UY"/>
        </w:rPr>
        <w:t>E</w:t>
      </w:r>
      <w:r w:rsidRPr="00F9124C">
        <w:rPr>
          <w:sz w:val="20"/>
          <w:szCs w:val="20"/>
          <w:lang w:val="es-UY"/>
        </w:rPr>
        <w:t xml:space="preserve">n referencia al argumento expresado por el Estado respecto a la falta de acción del peticionario para el acceso a una renta vitalicia, la Comisión nota que el objeto de la presente petición </w:t>
      </w:r>
      <w:r>
        <w:rPr>
          <w:sz w:val="20"/>
          <w:szCs w:val="20"/>
          <w:lang w:val="es-UY"/>
        </w:rPr>
        <w:t xml:space="preserve">no es </w:t>
      </w:r>
      <w:r w:rsidRPr="00F9124C">
        <w:rPr>
          <w:sz w:val="20"/>
          <w:szCs w:val="20"/>
          <w:lang w:val="es-UY"/>
        </w:rPr>
        <w:t xml:space="preserve">dicha renta </w:t>
      </w:r>
      <w:r>
        <w:rPr>
          <w:sz w:val="20"/>
          <w:szCs w:val="20"/>
          <w:lang w:val="es-UY"/>
        </w:rPr>
        <w:t>sino el pago del monto de indemnización que solicitó la presunta víctima desde el inicio del proceso</w:t>
      </w:r>
      <w:r w:rsidRPr="00F9124C">
        <w:rPr>
          <w:sz w:val="20"/>
          <w:szCs w:val="20"/>
          <w:lang w:val="es-UY"/>
        </w:rPr>
        <w:t>.</w:t>
      </w:r>
      <w:r>
        <w:rPr>
          <w:sz w:val="20"/>
          <w:szCs w:val="20"/>
          <w:lang w:val="es-UY"/>
        </w:rPr>
        <w:t xml:space="preserve"> En consecuencia, el peticionario cumplió con los </w:t>
      </w:r>
      <w:r w:rsidRPr="00C23297">
        <w:rPr>
          <w:sz w:val="20"/>
          <w:szCs w:val="20"/>
          <w:lang w:val="es-UY"/>
        </w:rPr>
        <w:t>requisito</w:t>
      </w:r>
      <w:r>
        <w:rPr>
          <w:sz w:val="20"/>
          <w:szCs w:val="20"/>
          <w:lang w:val="es-UY"/>
        </w:rPr>
        <w:t>s</w:t>
      </w:r>
      <w:r w:rsidRPr="00C23297">
        <w:rPr>
          <w:sz w:val="20"/>
          <w:szCs w:val="20"/>
          <w:lang w:val="es-UY"/>
        </w:rPr>
        <w:t xml:space="preserve"> </w:t>
      </w:r>
      <w:r>
        <w:rPr>
          <w:sz w:val="20"/>
          <w:szCs w:val="20"/>
          <w:lang w:val="es-UY"/>
        </w:rPr>
        <w:t xml:space="preserve">establecidos </w:t>
      </w:r>
      <w:r w:rsidRPr="00C23297">
        <w:rPr>
          <w:sz w:val="20"/>
          <w:szCs w:val="20"/>
          <w:lang w:val="es-UY"/>
        </w:rPr>
        <w:t>en l</w:t>
      </w:r>
      <w:r>
        <w:rPr>
          <w:sz w:val="20"/>
          <w:szCs w:val="20"/>
          <w:lang w:val="es-UY"/>
        </w:rPr>
        <w:t>os</w:t>
      </w:r>
      <w:r w:rsidRPr="00C23297">
        <w:rPr>
          <w:sz w:val="20"/>
          <w:szCs w:val="20"/>
          <w:lang w:val="es-UY"/>
        </w:rPr>
        <w:t xml:space="preserve"> artículo</w:t>
      </w:r>
      <w:r>
        <w:rPr>
          <w:sz w:val="20"/>
          <w:szCs w:val="20"/>
          <w:lang w:val="es-UY"/>
        </w:rPr>
        <w:t>s</w:t>
      </w:r>
      <w:r w:rsidRPr="00C23297">
        <w:rPr>
          <w:sz w:val="20"/>
          <w:szCs w:val="20"/>
          <w:lang w:val="es-UY"/>
        </w:rPr>
        <w:t xml:space="preserve"> </w:t>
      </w:r>
      <w:r>
        <w:rPr>
          <w:sz w:val="20"/>
          <w:szCs w:val="20"/>
          <w:lang w:val="es-UY"/>
        </w:rPr>
        <w:t>46.1.a y b de la Convención Americana.</w:t>
      </w:r>
    </w:p>
    <w:p w14:paraId="6787F287" w14:textId="2B0CB4CC" w:rsidR="001D4246" w:rsidRPr="00097440" w:rsidRDefault="001D4246" w:rsidP="0009744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Pr="003239B8">
        <w:rPr>
          <w:rFonts w:asciiTheme="majorHAnsi" w:hAnsiTheme="majorHAnsi"/>
          <w:b/>
          <w:bCs/>
          <w:sz w:val="20"/>
          <w:szCs w:val="20"/>
          <w:lang w:val="es-ES"/>
        </w:rPr>
        <w:t xml:space="preserve">CARACTERIZACIÓN </w:t>
      </w:r>
      <w:r w:rsidRPr="0063685A">
        <w:rPr>
          <w:rFonts w:asciiTheme="majorHAnsi" w:hAnsiTheme="majorHAnsi"/>
          <w:b/>
          <w:bCs/>
          <w:sz w:val="20"/>
          <w:szCs w:val="20"/>
          <w:lang w:val="es-UY"/>
        </w:rPr>
        <w:t>DE LOS HECHOS ALEGADOS</w:t>
      </w:r>
    </w:p>
    <w:p w14:paraId="4DA1955E" w14:textId="4465E724" w:rsidR="001D4246" w:rsidRPr="00097440" w:rsidRDefault="001D4246" w:rsidP="00097440">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sidRPr="006A5D14">
        <w:rPr>
          <w:sz w:val="20"/>
          <w:szCs w:val="20"/>
          <w:lang w:val="es-ES"/>
        </w:rPr>
        <w:t>La CIDH toma nota del contexto en que ocurrieron las presuntas violaciones, incluyendo el</w:t>
      </w:r>
      <w:r>
        <w:rPr>
          <w:sz w:val="20"/>
          <w:szCs w:val="20"/>
          <w:lang w:val="es-ES"/>
        </w:rPr>
        <w:t xml:space="preserve"> </w:t>
      </w:r>
      <w:r w:rsidRPr="006A5D14">
        <w:rPr>
          <w:sz w:val="20"/>
          <w:szCs w:val="20"/>
          <w:lang w:val="es-ES"/>
        </w:rPr>
        <w:t>marco jurídico pen</w:t>
      </w:r>
      <w:r>
        <w:rPr>
          <w:sz w:val="20"/>
          <w:szCs w:val="20"/>
          <w:lang w:val="es-ES"/>
        </w:rPr>
        <w:t>sionario</w:t>
      </w:r>
      <w:r w:rsidRPr="006A5D14">
        <w:rPr>
          <w:sz w:val="20"/>
          <w:szCs w:val="20"/>
          <w:lang w:val="es-ES"/>
        </w:rPr>
        <w:t xml:space="preserve"> </w:t>
      </w:r>
      <w:r>
        <w:rPr>
          <w:sz w:val="20"/>
          <w:szCs w:val="20"/>
          <w:lang w:val="es-ES"/>
        </w:rPr>
        <w:t xml:space="preserve">interno, así como los elementos presentados por las partes y, en vista de ello considera que tanto la imposición de topes máximos de jubilación, como la aplicación de normas restrictivas de indemnización a trabajadores mineros que sufren de silicosis, </w:t>
      </w:r>
      <w:r w:rsidR="004D4DF3">
        <w:rPr>
          <w:sz w:val="20"/>
          <w:szCs w:val="20"/>
          <w:lang w:val="es-ES"/>
        </w:rPr>
        <w:t>requieren de un análisis en la etapa de fondo para evaluar si constituyen</w:t>
      </w:r>
      <w:r>
        <w:rPr>
          <w:sz w:val="20"/>
          <w:szCs w:val="20"/>
          <w:lang w:val="es-ES"/>
        </w:rPr>
        <w:t xml:space="preserve"> violaciones a los derechos reconocidos en los artículos 21 (propiedad privada), 24 (igualdad ante la ley) y 26 (desarrollo progresivo) de la Convención Americana, </w:t>
      </w:r>
      <w:r w:rsidRPr="0097309D">
        <w:rPr>
          <w:sz w:val="20"/>
          <w:szCs w:val="20"/>
          <w:lang w:val="es-ES"/>
        </w:rPr>
        <w:t>en concordancia con el artículo 1.1</w:t>
      </w:r>
      <w:r>
        <w:rPr>
          <w:sz w:val="20"/>
          <w:szCs w:val="20"/>
          <w:lang w:val="es-ES"/>
        </w:rPr>
        <w:t xml:space="preserve"> y 2</w:t>
      </w:r>
      <w:r w:rsidRPr="0097309D">
        <w:rPr>
          <w:sz w:val="20"/>
          <w:szCs w:val="20"/>
          <w:lang w:val="es-ES"/>
        </w:rPr>
        <w:t xml:space="preserve"> de dicho tratado.</w:t>
      </w:r>
      <w:r>
        <w:rPr>
          <w:sz w:val="20"/>
          <w:szCs w:val="20"/>
          <w:lang w:val="es-ES"/>
        </w:rPr>
        <w:t xml:space="preserve"> Adicionalmente, </w:t>
      </w:r>
      <w:r w:rsidRPr="000C4180">
        <w:rPr>
          <w:rFonts w:asciiTheme="majorHAnsi" w:hAnsiTheme="majorHAnsi"/>
          <w:sz w:val="20"/>
          <w:szCs w:val="20"/>
          <w:lang w:val="es-ES"/>
        </w:rPr>
        <w:t>la aplicación retroactiva del</w:t>
      </w:r>
      <w:r>
        <w:rPr>
          <w:rFonts w:asciiTheme="majorHAnsi" w:hAnsiTheme="majorHAnsi"/>
          <w:sz w:val="20"/>
          <w:szCs w:val="20"/>
          <w:lang w:val="es-ES"/>
        </w:rPr>
        <w:t xml:space="preserve"> marco jurídico sobre </w:t>
      </w:r>
      <w:r>
        <w:rPr>
          <w:rFonts w:asciiTheme="majorHAnsi" w:hAnsiTheme="majorHAnsi"/>
          <w:sz w:val="20"/>
          <w:szCs w:val="20"/>
          <w:lang w:val="es-ES"/>
        </w:rPr>
        <w:lastRenderedPageBreak/>
        <w:t xml:space="preserve">indemnizaciones en perjuicio del señor Emiliano Romero Bendezú, denunciada en la </w:t>
      </w:r>
      <w:r>
        <w:rPr>
          <w:sz w:val="20"/>
          <w:szCs w:val="20"/>
          <w:lang w:val="es-ES"/>
        </w:rPr>
        <w:t xml:space="preserve">petición 1077-98, </w:t>
      </w:r>
      <w:r>
        <w:rPr>
          <w:rFonts w:asciiTheme="majorHAnsi" w:hAnsiTheme="majorHAnsi"/>
          <w:sz w:val="20"/>
          <w:szCs w:val="20"/>
          <w:lang w:val="es-ES"/>
        </w:rPr>
        <w:t>podría caracterizar una posible violación al artículo 9 (principio de legalidad y de retroactividad) de la Convención.</w:t>
      </w:r>
    </w:p>
    <w:p w14:paraId="2180C037" w14:textId="0E08F2E4" w:rsidR="001D4246" w:rsidRDefault="001D4246" w:rsidP="00097440">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ES"/>
        </w:rPr>
        <w:t>Por otra parte, la Comisión observa que</w:t>
      </w:r>
      <w:r w:rsidR="00567ED6">
        <w:rPr>
          <w:sz w:val="20"/>
          <w:szCs w:val="20"/>
          <w:lang w:val="es-ES"/>
        </w:rPr>
        <w:t>,</w:t>
      </w:r>
      <w:r>
        <w:rPr>
          <w:sz w:val="20"/>
          <w:szCs w:val="20"/>
          <w:lang w:val="es-ES"/>
        </w:rPr>
        <w:t xml:space="preserve"> aunque la cuestión principal </w:t>
      </w:r>
      <w:r w:rsidR="00567ED6">
        <w:rPr>
          <w:sz w:val="20"/>
          <w:szCs w:val="20"/>
          <w:lang w:val="es-ES"/>
        </w:rPr>
        <w:t>demandada por los peticionarios</w:t>
      </w:r>
      <w:r>
        <w:rPr>
          <w:sz w:val="20"/>
          <w:szCs w:val="20"/>
          <w:lang w:val="es-ES"/>
        </w:rPr>
        <w:t xml:space="preserve"> no era la existencia de demoras injustificadas imputables a las autoridades administrativas y judiciales, </w:t>
      </w:r>
      <w:r w:rsidR="00567ED6">
        <w:rPr>
          <w:sz w:val="20"/>
          <w:szCs w:val="20"/>
          <w:lang w:val="es-ES"/>
        </w:rPr>
        <w:t xml:space="preserve">en </w:t>
      </w:r>
      <w:r>
        <w:rPr>
          <w:sz w:val="20"/>
          <w:szCs w:val="20"/>
          <w:lang w:val="es-ES"/>
        </w:rPr>
        <w:t xml:space="preserve">los hechos </w:t>
      </w:r>
      <w:r w:rsidR="004D4DF3">
        <w:rPr>
          <w:sz w:val="20"/>
          <w:szCs w:val="20"/>
          <w:lang w:val="es-ES"/>
        </w:rPr>
        <w:t>presentados</w:t>
      </w:r>
      <w:r>
        <w:rPr>
          <w:sz w:val="20"/>
          <w:szCs w:val="20"/>
          <w:lang w:val="es-ES"/>
        </w:rPr>
        <w:t xml:space="preserve"> en el presente informe la duración de los procesos iniciados por las presuntas víctimas podría haber superado el plazo razonable, sin considerar además que una r</w:t>
      </w:r>
      <w:r w:rsidR="004D4DF3">
        <w:rPr>
          <w:sz w:val="20"/>
          <w:szCs w:val="20"/>
          <w:lang w:val="es-ES"/>
        </w:rPr>
        <w:t>espuesta estatal pronta era de particular</w:t>
      </w:r>
      <w:r>
        <w:rPr>
          <w:sz w:val="20"/>
          <w:szCs w:val="20"/>
          <w:lang w:val="es-ES"/>
        </w:rPr>
        <w:t xml:space="preserve"> importancia en vista de la enfermedad que sufren las presuntas víctimas</w:t>
      </w:r>
      <w:r w:rsidR="00FC26ED">
        <w:rPr>
          <w:rStyle w:val="FootnoteReference"/>
          <w:sz w:val="20"/>
          <w:szCs w:val="20"/>
          <w:lang w:val="es-ES"/>
        </w:rPr>
        <w:footnoteReference w:id="9"/>
      </w:r>
      <w:r>
        <w:rPr>
          <w:sz w:val="20"/>
          <w:szCs w:val="20"/>
          <w:lang w:val="es-ES"/>
        </w:rPr>
        <w:t>. Al respecto, la Comisión considera que este aspecto podría caracterizar una violación a los derechos contenidos en los artículos 5 (integridad personal), 8 (garantías judiciales) y 25 (protección judicial) de la Convención Americana</w:t>
      </w:r>
      <w:r w:rsidRPr="0097309D">
        <w:rPr>
          <w:sz w:val="20"/>
          <w:szCs w:val="20"/>
          <w:lang w:val="es-ES"/>
        </w:rPr>
        <w:t>, en concordancia con el artículo 1.1 de dicho tratado</w:t>
      </w:r>
      <w:r>
        <w:rPr>
          <w:sz w:val="20"/>
          <w:szCs w:val="20"/>
          <w:lang w:val="es-ES"/>
        </w:rPr>
        <w:t>.</w:t>
      </w:r>
    </w:p>
    <w:p w14:paraId="5F41277C" w14:textId="65677994" w:rsidR="001D4246" w:rsidRPr="003D1103" w:rsidRDefault="003D1103" w:rsidP="00097440">
      <w:pPr>
        <w:pStyle w:val="ListParagraph"/>
        <w:numPr>
          <w:ilvl w:val="0"/>
          <w:numId w:val="11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0" w:firstLine="720"/>
        <w:jc w:val="both"/>
        <w:rPr>
          <w:sz w:val="20"/>
          <w:szCs w:val="20"/>
          <w:lang w:val="es-ES"/>
        </w:rPr>
      </w:pPr>
      <w:r>
        <w:rPr>
          <w:sz w:val="20"/>
          <w:szCs w:val="20"/>
          <w:lang w:val="es-ES"/>
        </w:rPr>
        <w:t>R</w:t>
      </w:r>
      <w:r w:rsidR="001D4246">
        <w:rPr>
          <w:sz w:val="20"/>
          <w:szCs w:val="20"/>
          <w:lang w:val="es-ES"/>
        </w:rPr>
        <w:t xml:space="preserve">especto a la </w:t>
      </w:r>
      <w:r w:rsidR="001D4246" w:rsidRPr="004D4DF3">
        <w:rPr>
          <w:sz w:val="20"/>
          <w:szCs w:val="20"/>
          <w:lang w:val="es-ES"/>
        </w:rPr>
        <w:t>alegada violación del artículo XVI de la Declaraci</w:t>
      </w:r>
      <w:r w:rsidR="0015660A">
        <w:rPr>
          <w:sz w:val="20"/>
          <w:szCs w:val="20"/>
          <w:lang w:val="es-ES"/>
        </w:rPr>
        <w:t>ón Americana (seguridad social)</w:t>
      </w:r>
      <w:r w:rsidR="001D4246" w:rsidRPr="004D4DF3">
        <w:rPr>
          <w:sz w:val="20"/>
          <w:szCs w:val="20"/>
          <w:lang w:val="es-ES"/>
        </w:rPr>
        <w:t xml:space="preserve"> la Comisión observa que</w:t>
      </w:r>
      <w:r w:rsidR="004D4DF3" w:rsidRPr="004D4DF3">
        <w:rPr>
          <w:sz w:val="20"/>
          <w:szCs w:val="20"/>
          <w:lang w:val="es-ES"/>
        </w:rPr>
        <w:t xml:space="preserve">, </w:t>
      </w:r>
      <w:r w:rsidR="001D4246" w:rsidRPr="004D4DF3">
        <w:rPr>
          <w:rFonts w:asciiTheme="majorHAnsi" w:eastAsia="SimSun" w:hAnsiTheme="majorHAnsi"/>
          <w:sz w:val="20"/>
          <w:szCs w:val="20"/>
          <w:lang w:val="es-ES"/>
        </w:rPr>
        <w:t>una vez que la Convención Americana entra en vigor en relación con un Estado, es dicho instrumento -no la Declaración- el que pasa a ser la fuente específica del derecho que aplicará la Comisión, siempre que en la petición se aleguen violaciones de derechos sustancialmente idénticos consagrados en los dos instrumentos</w:t>
      </w:r>
      <w:r w:rsidR="001D4246" w:rsidRPr="004D4DF3">
        <w:rPr>
          <w:rStyle w:val="FootnoteReference"/>
          <w:rFonts w:asciiTheme="majorHAnsi" w:eastAsia="SimSun" w:hAnsiTheme="majorHAnsi"/>
          <w:sz w:val="20"/>
          <w:szCs w:val="20"/>
          <w:lang w:val="es-ES"/>
        </w:rPr>
        <w:footnoteReference w:id="10"/>
      </w:r>
      <w:r w:rsidR="001D4246" w:rsidRPr="004D4DF3">
        <w:rPr>
          <w:rFonts w:asciiTheme="majorHAnsi" w:eastAsia="SimSun" w:hAnsiTheme="majorHAnsi"/>
          <w:sz w:val="20"/>
          <w:szCs w:val="20"/>
          <w:lang w:val="es-ES"/>
        </w:rPr>
        <w:t xml:space="preserve">. En el presente caso, dado que no existe un artículo en la Convención Americana sustancialmente idéntico al artículo XVI de la Declaración Americana, la Comisión analizará en etapa de fondo la posible </w:t>
      </w:r>
      <w:r w:rsidR="00567ED6">
        <w:rPr>
          <w:rFonts w:asciiTheme="majorHAnsi" w:eastAsia="SimSun" w:hAnsiTheme="majorHAnsi"/>
          <w:sz w:val="20"/>
          <w:szCs w:val="20"/>
          <w:lang w:val="es-ES"/>
        </w:rPr>
        <w:t>aplicabilidad</w:t>
      </w:r>
      <w:r w:rsidR="001D4246" w:rsidRPr="004D4DF3">
        <w:rPr>
          <w:rFonts w:asciiTheme="majorHAnsi" w:eastAsia="SimSun" w:hAnsiTheme="majorHAnsi"/>
          <w:sz w:val="20"/>
          <w:szCs w:val="20"/>
          <w:lang w:val="es-ES"/>
        </w:rPr>
        <w:t xml:space="preserve"> de dicha disposición en las presentes peticiones</w:t>
      </w:r>
      <w:r w:rsidR="00567ED6">
        <w:rPr>
          <w:rFonts w:asciiTheme="majorHAnsi" w:eastAsia="SimSun" w:hAnsiTheme="majorHAnsi"/>
          <w:sz w:val="20"/>
          <w:szCs w:val="20"/>
          <w:lang w:val="es-ES"/>
        </w:rPr>
        <w:t>.</w:t>
      </w:r>
    </w:p>
    <w:p w14:paraId="121F4249" w14:textId="4E1157E1" w:rsidR="006A7EB7" w:rsidRPr="006A7EB7" w:rsidRDefault="003D1103" w:rsidP="006A7EB7">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720"/>
        </w:tabs>
        <w:suppressAutoHyphens/>
        <w:spacing w:after="240"/>
        <w:ind w:left="0"/>
        <w:jc w:val="both"/>
        <w:rPr>
          <w:rFonts w:asciiTheme="majorHAnsi" w:eastAsia="SimSun" w:hAnsiTheme="majorHAnsi" w:cs="Cambria"/>
          <w:color w:val="000000"/>
          <w:sz w:val="20"/>
          <w:szCs w:val="20"/>
          <w:u w:color="000000"/>
          <w:lang w:val="es-ES" w:eastAsia="es-ES"/>
        </w:rPr>
      </w:pPr>
      <w:r w:rsidRPr="006A7EB7">
        <w:rPr>
          <w:rFonts w:asciiTheme="majorHAnsi" w:eastAsia="SimSun" w:hAnsiTheme="majorHAnsi" w:cs="Cambria"/>
          <w:color w:val="000000"/>
          <w:sz w:val="20"/>
          <w:szCs w:val="20"/>
          <w:u w:color="000000"/>
          <w:lang w:val="es-ES" w:eastAsia="es-ES"/>
        </w:rPr>
        <w:t xml:space="preserve">Por último, </w:t>
      </w:r>
      <w:r w:rsidR="006A7EB7" w:rsidRPr="006A7EB7">
        <w:rPr>
          <w:rFonts w:asciiTheme="majorHAnsi" w:eastAsia="SimSun" w:hAnsiTheme="majorHAnsi" w:cs="Cambria"/>
          <w:color w:val="000000"/>
          <w:sz w:val="20"/>
          <w:szCs w:val="20"/>
          <w:u w:color="000000"/>
          <w:lang w:val="es-ES" w:eastAsia="es-ES"/>
        </w:rPr>
        <w:t xml:space="preserve">en cuanto a la alegada violación del artículo 10 de la Convención, la Comisión observa que dicha disposición no es aplicable a la situación de las presentes peticiones dado que no refieren a una condena penal por error judicial. </w:t>
      </w:r>
      <w:r w:rsidR="006A7EB7">
        <w:rPr>
          <w:rFonts w:asciiTheme="majorHAnsi" w:eastAsia="SimSun" w:hAnsiTheme="majorHAnsi" w:cs="Cambria"/>
          <w:color w:val="000000"/>
          <w:sz w:val="20"/>
          <w:szCs w:val="20"/>
          <w:u w:color="000000"/>
          <w:lang w:val="es-ES" w:eastAsia="es-ES"/>
        </w:rPr>
        <w:t>Por tal motivo, no corresponde declarar dicha pretensión admisible.</w:t>
      </w:r>
    </w:p>
    <w:p w14:paraId="7E0EC546" w14:textId="543EA736" w:rsidR="001D4246" w:rsidRPr="00097440" w:rsidRDefault="001D4246" w:rsidP="006A7EB7">
      <w:pPr>
        <w:pStyle w:val="BodyText"/>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tabs>
          <w:tab w:val="clear" w:pos="1440"/>
          <w:tab w:val="num" w:pos="720"/>
        </w:tabs>
        <w:suppressAutoHyphens/>
        <w:spacing w:after="240"/>
        <w:ind w:left="0"/>
        <w:jc w:val="both"/>
        <w:rPr>
          <w:sz w:val="20"/>
          <w:szCs w:val="20"/>
          <w:lang w:val="es-ES"/>
        </w:rPr>
      </w:pPr>
      <w:r w:rsidRPr="007647D4">
        <w:rPr>
          <w:rFonts w:asciiTheme="majorHAnsi" w:hAnsiTheme="majorHAnsi"/>
          <w:bCs/>
          <w:sz w:val="20"/>
          <w:szCs w:val="20"/>
          <w:lang w:val="es-BO"/>
        </w:rPr>
        <w:t>Con fundamento en las consideraciones de hecho y de derecho expuestas, y sin prejuzgar sobre el fondo de la cuestión, la Comisión Interamericana concluye que las seis peticiones objeto del presente informe satisfacen los requisitos de admisibilidad enunciados en los artículos 46 y 47 de la Convención Americana y, sin prejuzgar sobre el fondo del asunto, decide:</w:t>
      </w:r>
    </w:p>
    <w:p w14:paraId="59EC591D" w14:textId="70C0A7ED" w:rsidR="001D4246" w:rsidRDefault="001D4246" w:rsidP="00097440">
      <w:pPr>
        <w:pStyle w:val="ListParagraph"/>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r>
        <w:rPr>
          <w:sz w:val="20"/>
          <w:szCs w:val="20"/>
          <w:lang w:val="es-ES"/>
        </w:rPr>
        <w:t xml:space="preserve"> </w:t>
      </w:r>
    </w:p>
    <w:p w14:paraId="37A042AC" w14:textId="7D2B947F" w:rsidR="00210CEC" w:rsidRPr="006A7EB7" w:rsidRDefault="003239B8" w:rsidP="00097440">
      <w:pPr>
        <w:pStyle w:val="ListParagraph"/>
        <w:numPr>
          <w:ilvl w:val="0"/>
          <w:numId w:val="120"/>
        </w:numPr>
        <w:spacing w:after="240"/>
        <w:ind w:left="0" w:firstLine="720"/>
        <w:jc w:val="both"/>
        <w:rPr>
          <w:rFonts w:asciiTheme="majorHAnsi" w:hAnsiTheme="majorHAnsi"/>
          <w:lang w:val="es-ES"/>
        </w:rPr>
      </w:pPr>
      <w:r w:rsidRPr="001A75F8">
        <w:rPr>
          <w:rFonts w:asciiTheme="majorHAnsi" w:hAnsiTheme="majorHAnsi"/>
          <w:sz w:val="20"/>
          <w:szCs w:val="20"/>
          <w:lang w:val="es-ES"/>
        </w:rPr>
        <w:t>Declarar admisible</w:t>
      </w:r>
      <w:r w:rsidR="00AC1C86" w:rsidRPr="001A75F8">
        <w:rPr>
          <w:rFonts w:asciiTheme="majorHAnsi" w:hAnsiTheme="majorHAnsi"/>
          <w:sz w:val="20"/>
          <w:szCs w:val="20"/>
          <w:lang w:val="es-ES"/>
        </w:rPr>
        <w:t>s</w:t>
      </w:r>
      <w:r w:rsidRPr="001A75F8">
        <w:rPr>
          <w:rFonts w:asciiTheme="majorHAnsi" w:hAnsiTheme="majorHAnsi"/>
          <w:sz w:val="20"/>
          <w:szCs w:val="20"/>
          <w:lang w:val="es-ES"/>
        </w:rPr>
        <w:t xml:space="preserve"> la</w:t>
      </w:r>
      <w:r w:rsidR="00A74BDF" w:rsidRPr="001A75F8">
        <w:rPr>
          <w:rFonts w:asciiTheme="majorHAnsi" w:hAnsiTheme="majorHAnsi"/>
          <w:sz w:val="20"/>
          <w:szCs w:val="20"/>
          <w:lang w:val="es-ES"/>
        </w:rPr>
        <w:t xml:space="preserve">s </w:t>
      </w:r>
      <w:r w:rsidRPr="001A75F8">
        <w:rPr>
          <w:rFonts w:asciiTheme="majorHAnsi" w:hAnsiTheme="majorHAnsi"/>
          <w:sz w:val="20"/>
          <w:szCs w:val="20"/>
          <w:lang w:val="es-ES"/>
        </w:rPr>
        <w:t>petici</w:t>
      </w:r>
      <w:r w:rsidR="00A74BDF" w:rsidRPr="001A75F8">
        <w:rPr>
          <w:rFonts w:asciiTheme="majorHAnsi" w:hAnsiTheme="majorHAnsi"/>
          <w:sz w:val="20"/>
          <w:szCs w:val="20"/>
          <w:lang w:val="es-ES"/>
        </w:rPr>
        <w:t xml:space="preserve">ones </w:t>
      </w:r>
      <w:r w:rsidR="00086A8E" w:rsidRPr="001A75F8">
        <w:rPr>
          <w:rFonts w:asciiTheme="majorHAnsi" w:hAnsiTheme="majorHAnsi"/>
          <w:sz w:val="20"/>
          <w:szCs w:val="20"/>
          <w:lang w:val="es-ES"/>
        </w:rPr>
        <w:t xml:space="preserve">1077-98, </w:t>
      </w:r>
      <w:r w:rsidR="00AC1C86" w:rsidRPr="001A75F8">
        <w:rPr>
          <w:rFonts w:asciiTheme="majorHAnsi" w:hAnsiTheme="majorHAnsi"/>
          <w:sz w:val="20"/>
          <w:szCs w:val="20"/>
          <w:lang w:val="es-UY"/>
        </w:rPr>
        <w:t>1295-07, 1296-07, 1401-07, 300-07 y 405-08</w:t>
      </w:r>
      <w:r w:rsidR="00A74BDF" w:rsidRPr="001A75F8">
        <w:rPr>
          <w:rFonts w:asciiTheme="majorHAnsi" w:hAnsiTheme="majorHAnsi"/>
          <w:sz w:val="20"/>
          <w:szCs w:val="20"/>
          <w:lang w:val="es-ES"/>
        </w:rPr>
        <w:t xml:space="preserve">, en relación </w:t>
      </w:r>
      <w:r w:rsidRPr="001A75F8">
        <w:rPr>
          <w:rFonts w:asciiTheme="majorHAnsi" w:hAnsiTheme="majorHAnsi"/>
          <w:sz w:val="20"/>
          <w:szCs w:val="20"/>
          <w:lang w:val="es-ES"/>
        </w:rPr>
        <w:t xml:space="preserve">con </w:t>
      </w:r>
      <w:r w:rsidR="00210CEC" w:rsidRPr="001A75F8">
        <w:rPr>
          <w:rFonts w:asciiTheme="majorHAnsi" w:hAnsiTheme="majorHAnsi"/>
          <w:sz w:val="20"/>
          <w:szCs w:val="20"/>
          <w:lang w:val="es-ES"/>
        </w:rPr>
        <w:t>los artículos 8,</w:t>
      </w:r>
      <w:r w:rsidR="00801F05">
        <w:rPr>
          <w:rFonts w:asciiTheme="majorHAnsi" w:hAnsiTheme="majorHAnsi"/>
          <w:sz w:val="20"/>
          <w:szCs w:val="20"/>
          <w:lang w:val="es-ES"/>
        </w:rPr>
        <w:t xml:space="preserve"> </w:t>
      </w:r>
      <w:r w:rsidR="00210CEC" w:rsidRPr="001A75F8">
        <w:rPr>
          <w:rFonts w:asciiTheme="majorHAnsi" w:hAnsiTheme="majorHAnsi"/>
          <w:sz w:val="20"/>
          <w:szCs w:val="20"/>
          <w:lang w:val="es-ES"/>
        </w:rPr>
        <w:t>21,</w:t>
      </w:r>
      <w:r w:rsidR="004741F4" w:rsidRPr="001A75F8">
        <w:rPr>
          <w:rFonts w:asciiTheme="majorHAnsi" w:hAnsiTheme="majorHAnsi"/>
          <w:sz w:val="20"/>
          <w:szCs w:val="20"/>
          <w:lang w:val="es-ES"/>
        </w:rPr>
        <w:t xml:space="preserve"> 24,</w:t>
      </w:r>
      <w:r w:rsidR="00210CEC" w:rsidRPr="001A75F8">
        <w:rPr>
          <w:rFonts w:asciiTheme="majorHAnsi" w:hAnsiTheme="majorHAnsi"/>
          <w:sz w:val="20"/>
          <w:szCs w:val="20"/>
          <w:lang w:val="es-ES"/>
        </w:rPr>
        <w:t xml:space="preserve"> 25 y 26 de la Convención Americana en conexión con las obligaciones establecidas en los artículos 1.1 y 2 del mismo instrumento</w:t>
      </w:r>
      <w:r w:rsidR="00574280">
        <w:rPr>
          <w:rFonts w:asciiTheme="majorHAnsi" w:hAnsiTheme="majorHAnsi"/>
          <w:sz w:val="20"/>
          <w:szCs w:val="20"/>
          <w:lang w:val="es-ES"/>
        </w:rPr>
        <w:t>, y</w:t>
      </w:r>
      <w:r w:rsidR="008125EB">
        <w:rPr>
          <w:rFonts w:asciiTheme="majorHAnsi" w:hAnsiTheme="majorHAnsi"/>
          <w:sz w:val="20"/>
          <w:szCs w:val="20"/>
          <w:lang w:val="es-ES"/>
        </w:rPr>
        <w:t xml:space="preserve"> el</w:t>
      </w:r>
      <w:r w:rsidR="00574280">
        <w:rPr>
          <w:rFonts w:asciiTheme="majorHAnsi" w:hAnsiTheme="majorHAnsi"/>
          <w:sz w:val="20"/>
          <w:szCs w:val="20"/>
          <w:lang w:val="es-ES"/>
        </w:rPr>
        <w:t xml:space="preserve"> artículo</w:t>
      </w:r>
      <w:r w:rsidR="00574280" w:rsidRPr="00574280">
        <w:rPr>
          <w:rFonts w:asciiTheme="majorHAnsi" w:eastAsia="SimSun" w:hAnsiTheme="majorHAnsi"/>
          <w:sz w:val="20"/>
          <w:szCs w:val="20"/>
          <w:lang w:val="es-ES"/>
        </w:rPr>
        <w:t xml:space="preserve"> </w:t>
      </w:r>
      <w:r w:rsidR="00574280" w:rsidRPr="004D4DF3">
        <w:rPr>
          <w:rFonts w:asciiTheme="majorHAnsi" w:eastAsia="SimSun" w:hAnsiTheme="majorHAnsi"/>
          <w:sz w:val="20"/>
          <w:szCs w:val="20"/>
          <w:lang w:val="es-ES"/>
        </w:rPr>
        <w:t>XVI de la Declaración Americana</w:t>
      </w:r>
      <w:r w:rsidR="00A758AA" w:rsidRPr="001A75F8">
        <w:rPr>
          <w:rFonts w:asciiTheme="majorHAnsi" w:hAnsiTheme="majorHAnsi"/>
          <w:sz w:val="20"/>
          <w:szCs w:val="20"/>
          <w:lang w:val="es-ES"/>
        </w:rPr>
        <w:t>;</w:t>
      </w:r>
      <w:r w:rsidR="00801F05">
        <w:rPr>
          <w:rFonts w:asciiTheme="majorHAnsi" w:hAnsiTheme="majorHAnsi"/>
          <w:sz w:val="20"/>
          <w:szCs w:val="20"/>
          <w:lang w:val="es-ES"/>
        </w:rPr>
        <w:t xml:space="preserve"> </w:t>
      </w:r>
      <w:r w:rsidR="00574280">
        <w:rPr>
          <w:rFonts w:asciiTheme="majorHAnsi" w:hAnsiTheme="majorHAnsi"/>
          <w:sz w:val="20"/>
          <w:szCs w:val="20"/>
          <w:lang w:val="es-ES"/>
        </w:rPr>
        <w:t>así como</w:t>
      </w:r>
      <w:r w:rsidR="00801F05">
        <w:rPr>
          <w:rFonts w:asciiTheme="majorHAnsi" w:hAnsiTheme="majorHAnsi"/>
          <w:sz w:val="20"/>
          <w:szCs w:val="20"/>
          <w:lang w:val="es-ES"/>
        </w:rPr>
        <w:t xml:space="preserve"> la petición 1077-98 en relación con el artículo 9 de la Convención en conexión con su artículo 1.1;</w:t>
      </w:r>
    </w:p>
    <w:p w14:paraId="0A653C51" w14:textId="7E4DEB03" w:rsidR="006A7EB7" w:rsidRPr="001A75F8" w:rsidRDefault="006A7EB7" w:rsidP="00097440">
      <w:pPr>
        <w:pStyle w:val="ListParagraph"/>
        <w:numPr>
          <w:ilvl w:val="0"/>
          <w:numId w:val="120"/>
        </w:numPr>
        <w:spacing w:after="240"/>
        <w:ind w:left="0" w:firstLine="720"/>
        <w:jc w:val="both"/>
        <w:rPr>
          <w:rFonts w:asciiTheme="majorHAnsi" w:hAnsiTheme="majorHAnsi"/>
          <w:lang w:val="es-ES"/>
        </w:rPr>
      </w:pPr>
      <w:r>
        <w:rPr>
          <w:rFonts w:asciiTheme="majorHAnsi" w:hAnsiTheme="majorHAnsi"/>
          <w:sz w:val="20"/>
          <w:szCs w:val="20"/>
          <w:lang w:val="es-ES"/>
        </w:rPr>
        <w:t>Declarar inadmisible el artículo 10 de la Convención Americana;</w:t>
      </w:r>
    </w:p>
    <w:p w14:paraId="0059AA79" w14:textId="714A193E" w:rsidR="008D63CC" w:rsidRPr="001A75F8" w:rsidRDefault="008D63CC" w:rsidP="00097440">
      <w:pPr>
        <w:pStyle w:val="ListParagraph"/>
        <w:numPr>
          <w:ilvl w:val="0"/>
          <w:numId w:val="120"/>
        </w:numPr>
        <w:spacing w:after="240"/>
        <w:ind w:left="0" w:firstLine="720"/>
        <w:jc w:val="both"/>
        <w:rPr>
          <w:rFonts w:asciiTheme="majorHAnsi" w:hAnsiTheme="majorHAnsi"/>
          <w:lang w:val="es-ES"/>
        </w:rPr>
      </w:pPr>
      <w:r w:rsidRPr="001A75F8">
        <w:rPr>
          <w:rFonts w:asciiTheme="majorHAnsi" w:hAnsiTheme="majorHAnsi"/>
          <w:sz w:val="20"/>
          <w:szCs w:val="20"/>
          <w:lang w:val="es-ES"/>
        </w:rPr>
        <w:t>Notificar a las partes la presente decisión;</w:t>
      </w:r>
    </w:p>
    <w:p w14:paraId="42B74547" w14:textId="41789E89" w:rsidR="008D63CC" w:rsidRPr="001A75F8" w:rsidRDefault="008D63CC" w:rsidP="00097440">
      <w:pPr>
        <w:pStyle w:val="ListParagraph"/>
        <w:numPr>
          <w:ilvl w:val="0"/>
          <w:numId w:val="120"/>
        </w:numPr>
        <w:spacing w:after="240"/>
        <w:ind w:left="0" w:firstLine="720"/>
        <w:jc w:val="both"/>
        <w:rPr>
          <w:rFonts w:asciiTheme="majorHAnsi" w:hAnsiTheme="majorHAnsi"/>
          <w:lang w:val="es-ES"/>
        </w:rPr>
      </w:pPr>
      <w:r w:rsidRPr="001A75F8">
        <w:rPr>
          <w:rFonts w:asciiTheme="majorHAnsi" w:hAnsiTheme="majorHAnsi"/>
          <w:sz w:val="20"/>
          <w:szCs w:val="20"/>
          <w:lang w:val="es-ES"/>
        </w:rPr>
        <w:t xml:space="preserve">Acumular las seis peticiones declaradas admisibles en el presente Informe de Admisibilidad bajo el </w:t>
      </w:r>
      <w:r w:rsidR="006A7EB7">
        <w:rPr>
          <w:rFonts w:asciiTheme="majorHAnsi" w:hAnsiTheme="majorHAnsi"/>
          <w:sz w:val="20"/>
          <w:szCs w:val="20"/>
          <w:lang w:val="es-ES"/>
        </w:rPr>
        <w:t>mismo número de caso</w:t>
      </w:r>
      <w:r w:rsidRPr="001A75F8">
        <w:rPr>
          <w:rFonts w:asciiTheme="majorHAnsi" w:hAnsiTheme="majorHAnsi"/>
          <w:sz w:val="20"/>
          <w:szCs w:val="20"/>
          <w:lang w:val="es-ES"/>
        </w:rPr>
        <w:t xml:space="preserve"> e iniciar el trámit</w:t>
      </w:r>
      <w:r w:rsidR="009D0AED">
        <w:rPr>
          <w:rFonts w:asciiTheme="majorHAnsi" w:hAnsiTheme="majorHAnsi"/>
          <w:sz w:val="20"/>
          <w:szCs w:val="20"/>
          <w:lang w:val="es-ES"/>
        </w:rPr>
        <w:t>e sobre el fondo de la cuestión; y</w:t>
      </w:r>
    </w:p>
    <w:p w14:paraId="6A7F5678" w14:textId="21AEFA36" w:rsidR="008D63CC" w:rsidRPr="001A75F8" w:rsidRDefault="008D63CC" w:rsidP="00097440">
      <w:pPr>
        <w:pStyle w:val="ListParagraph"/>
        <w:numPr>
          <w:ilvl w:val="0"/>
          <w:numId w:val="120"/>
        </w:numPr>
        <w:spacing w:after="240"/>
        <w:ind w:left="0" w:firstLine="720"/>
        <w:jc w:val="both"/>
        <w:rPr>
          <w:rFonts w:asciiTheme="majorHAnsi" w:hAnsiTheme="majorHAnsi"/>
          <w:lang w:val="es-ES"/>
        </w:rPr>
      </w:pPr>
      <w:r w:rsidRPr="001A75F8">
        <w:rPr>
          <w:rFonts w:asciiTheme="majorHAnsi" w:hAnsiTheme="majorHAnsi"/>
          <w:sz w:val="20"/>
          <w:szCs w:val="20"/>
          <w:lang w:val="es-ES"/>
        </w:rPr>
        <w:t>Publicar esta decisión e incluirla en su Informe Anual a la Asamblea General de la Organización de los Estados Americanos.</w:t>
      </w:r>
    </w:p>
    <w:p w14:paraId="65BB2B2A" w14:textId="7D81CB47" w:rsidR="0054640D" w:rsidRPr="0054640D" w:rsidRDefault="0054640D" w:rsidP="006E62E3">
      <w:pPr>
        <w:ind w:firstLine="720"/>
        <w:jc w:val="both"/>
        <w:rPr>
          <w:rFonts w:ascii="Cambria" w:hAnsi="Cambria" w:cs="Calibri"/>
          <w:sz w:val="20"/>
          <w:szCs w:val="20"/>
          <w:lang w:val="es-ES"/>
        </w:rPr>
      </w:pPr>
      <w:r w:rsidRPr="0054640D">
        <w:rPr>
          <w:rFonts w:ascii="Cambria" w:hAnsi="Cambria" w:cs="Calibri"/>
          <w:sz w:val="20"/>
          <w:szCs w:val="20"/>
          <w:lang w:val="es-ES"/>
        </w:rPr>
        <w:t xml:space="preserve">Aprobado electrónicamente por la Comisión a los </w:t>
      </w:r>
      <w:r>
        <w:rPr>
          <w:rFonts w:ascii="Cambria" w:hAnsi="Cambria" w:cs="Calibri"/>
          <w:sz w:val="20"/>
          <w:szCs w:val="20"/>
          <w:lang w:val="es-ES"/>
        </w:rPr>
        <w:t>30 días del mes de diciembre</w:t>
      </w:r>
      <w:r w:rsidRPr="0054640D">
        <w:rPr>
          <w:rFonts w:ascii="Cambria" w:hAnsi="Cambria" w:cs="Calibri"/>
          <w:sz w:val="20"/>
          <w:szCs w:val="20"/>
          <w:lang w:val="es-ES"/>
        </w:rPr>
        <w:t xml:space="preserve"> de 2016.  (Firma</w:t>
      </w:r>
      <w:bookmarkStart w:id="1" w:name="_GoBack"/>
      <w:bookmarkEnd w:id="1"/>
      <w:r w:rsidRPr="0054640D">
        <w:rPr>
          <w:rFonts w:ascii="Cambria" w:hAnsi="Cambria" w:cs="Calibri"/>
          <w:sz w:val="20"/>
          <w:szCs w:val="20"/>
          <w:lang w:val="es-ES"/>
        </w:rPr>
        <w:t xml:space="preserve">do): </w:t>
      </w:r>
      <w:r>
        <w:rPr>
          <w:rFonts w:ascii="Cambria" w:hAnsi="Cambria" w:cs="Calibri"/>
          <w:sz w:val="20"/>
          <w:szCs w:val="20"/>
          <w:lang w:val="es-ES"/>
        </w:rPr>
        <w:t>James L. Cavallaro, Presidente</w:t>
      </w:r>
      <w:r w:rsidRPr="0054640D">
        <w:rPr>
          <w:rFonts w:ascii="Cambria" w:hAnsi="Cambria" w:cs="Calibri"/>
          <w:sz w:val="20"/>
          <w:szCs w:val="20"/>
          <w:lang w:val="es-ES"/>
        </w:rPr>
        <w:t xml:space="preserve">; Margarette May Macaulay, Segunda Vicepresidenta; José de Jesús Orozco </w:t>
      </w:r>
      <w:r w:rsidRPr="0054640D">
        <w:rPr>
          <w:rFonts w:ascii="Cambria" w:hAnsi="Cambria" w:cs="Calibri"/>
          <w:sz w:val="20"/>
          <w:szCs w:val="20"/>
          <w:lang w:val="es-ES"/>
        </w:rPr>
        <w:lastRenderedPageBreak/>
        <w:t xml:space="preserve">Henríquez, Paulo Vannuchi, Esmeralda E. Arosema Bernal de Troitiño, y Enrique Gil Botero, Miembros de la Comisión. </w:t>
      </w:r>
    </w:p>
    <w:sectPr w:rsidR="0054640D" w:rsidRPr="0054640D" w:rsidSect="00934A2C">
      <w:type w:val="oddPage"/>
      <w:pgSz w:w="12240" w:h="15840"/>
      <w:pgMar w:top="1440" w:right="1440" w:bottom="1440" w:left="1440" w:header="720" w:footer="720" w:gutter="0"/>
      <w:pgNumType w:start="1"/>
      <w:cols w:space="720"/>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FA45FD" w15:done="0"/>
  <w15:commentEx w15:paraId="6D147AEC" w15:done="0"/>
  <w15:commentEx w15:paraId="45BCA30D" w15:done="0"/>
  <w15:commentEx w15:paraId="41D7CD6F" w15:done="0"/>
  <w15:commentEx w15:paraId="0EF0FF82" w15:done="0"/>
  <w15:commentEx w15:paraId="7465BF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84543" w14:textId="77777777" w:rsidR="000042C5" w:rsidRDefault="000042C5">
      <w:r>
        <w:separator/>
      </w:r>
    </w:p>
  </w:endnote>
  <w:endnote w:type="continuationSeparator" w:id="0">
    <w:p w14:paraId="4E888CCB" w14:textId="77777777" w:rsidR="000042C5" w:rsidRDefault="00004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69413" w14:textId="77777777" w:rsidR="00577596" w:rsidRDefault="005775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5A95436C" w14:textId="7551F364"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E62E3">
          <w:rPr>
            <w:noProof/>
            <w:sz w:val="16"/>
            <w:szCs w:val="22"/>
          </w:rPr>
          <w:t>9</w:t>
        </w:r>
        <w:r w:rsidRPr="00934A2C">
          <w:rPr>
            <w:noProof/>
            <w:sz w:val="16"/>
            <w:szCs w:val="22"/>
          </w:rPr>
          <w:fldChar w:fldCharType="end"/>
        </w:r>
      </w:p>
    </w:sdtContent>
  </w:sdt>
  <w:p w14:paraId="2B487F05"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BD7A3" w14:textId="77777777" w:rsidR="0070697F" w:rsidRPr="00934A2C" w:rsidRDefault="0070697F">
    <w:pPr>
      <w:pStyle w:val="Footer"/>
      <w:jc w:val="center"/>
      <w:rPr>
        <w:sz w:val="16"/>
        <w:szCs w:val="22"/>
      </w:rPr>
    </w:pPr>
  </w:p>
  <w:p w14:paraId="1F6C57B7"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AB0844" w14:textId="77777777" w:rsidR="000042C5" w:rsidRPr="000F35ED" w:rsidRDefault="000042C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CEB9EA7" w14:textId="77777777" w:rsidR="000042C5" w:rsidRPr="000F35ED" w:rsidRDefault="000042C5" w:rsidP="000F35ED">
      <w:pPr>
        <w:rPr>
          <w:rFonts w:asciiTheme="majorHAnsi" w:hAnsiTheme="majorHAnsi"/>
          <w:sz w:val="16"/>
          <w:szCs w:val="16"/>
        </w:rPr>
      </w:pPr>
      <w:r w:rsidRPr="000F35ED">
        <w:rPr>
          <w:rFonts w:asciiTheme="majorHAnsi" w:hAnsiTheme="majorHAnsi"/>
          <w:sz w:val="16"/>
          <w:szCs w:val="16"/>
        </w:rPr>
        <w:separator/>
      </w:r>
    </w:p>
    <w:p w14:paraId="36324768" w14:textId="77777777" w:rsidR="000042C5" w:rsidRPr="000F35ED" w:rsidRDefault="000042C5"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51A6D9A2" w14:textId="77777777" w:rsidR="000042C5" w:rsidRPr="000F35ED" w:rsidRDefault="000042C5"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09CDE99" w14:textId="77777777" w:rsidR="00812E74" w:rsidRPr="002A3678" w:rsidRDefault="00812E74" w:rsidP="00B94041">
      <w:pPr>
        <w:pStyle w:val="FootnoteText"/>
        <w:spacing w:before="120"/>
        <w:ind w:firstLine="720"/>
        <w:jc w:val="both"/>
        <w:rPr>
          <w:rFonts w:asciiTheme="majorHAnsi" w:hAnsiTheme="majorHAnsi"/>
          <w:sz w:val="16"/>
          <w:szCs w:val="16"/>
          <w:lang w:val="es-BO"/>
        </w:rPr>
      </w:pPr>
      <w:r w:rsidRPr="002A3678">
        <w:rPr>
          <w:rStyle w:val="FootnoteReference"/>
          <w:rFonts w:asciiTheme="majorHAnsi" w:hAnsiTheme="majorHAnsi"/>
          <w:sz w:val="16"/>
          <w:szCs w:val="16"/>
        </w:rPr>
        <w:footnoteRef/>
      </w:r>
      <w:r w:rsidRPr="002A3678">
        <w:rPr>
          <w:rFonts w:asciiTheme="majorHAnsi" w:hAnsiTheme="majorHAnsi"/>
          <w:sz w:val="16"/>
          <w:szCs w:val="16"/>
          <w:lang w:val="es-BO"/>
        </w:rPr>
        <w:t xml:space="preserve"> </w:t>
      </w:r>
      <w:r w:rsidRPr="002A3678">
        <w:rPr>
          <w:rFonts w:asciiTheme="majorHAnsi" w:hAnsiTheme="majorHAnsi"/>
          <w:color w:val="auto"/>
          <w:sz w:val="16"/>
          <w:szCs w:val="16"/>
          <w:lang w:val="es-MX"/>
        </w:rPr>
        <w:t xml:space="preserve">Conforme </w:t>
      </w:r>
      <w:r w:rsidRPr="002A3678">
        <w:rPr>
          <w:rFonts w:asciiTheme="majorHAnsi" w:hAnsiTheme="majorHAnsi" w:cs="Arial"/>
          <w:color w:val="auto"/>
          <w:sz w:val="16"/>
          <w:szCs w:val="16"/>
          <w:lang w:val="es-ES"/>
        </w:rPr>
        <w:t xml:space="preserve">a lo dispuesto en el artículo 17.2.a del Reglamento de la Comisión, </w:t>
      </w:r>
      <w:sdt>
        <w:sdtPr>
          <w:rPr>
            <w:rFonts w:asciiTheme="majorHAnsi" w:hAnsiTheme="majorHAnsi" w:cs="Arial"/>
            <w:color w:val="auto"/>
            <w:sz w:val="16"/>
            <w:szCs w:val="16"/>
            <w:lang w:val="es-ES"/>
          </w:rPr>
          <w:id w:val="521975505"/>
          <w:dropDownList>
            <w:listItem w:value="Choose an item."/>
            <w:listItem w:displayText="el Comisionado Enrique Gil Botero, de nacionalidad colombiana" w:value="el Comisionado Enrique Gil Botero, de nacionalidad colombiana"/>
            <w:listItem w:displayText="la Comisionada Esmeralda Arosemena de Troitiño, de nacionalidad panameña" w:value="la Comisionada Esmeralda Arosemena de Troitiño, de nacionalidad panameña"/>
            <w:listItem w:displayText="el Comisionado Francisco José Eguiguren Praeli, de nacionalidad peruana" w:value="el Comisionado Francisco José Eguiguren Praeli, de nacionalidad peruana"/>
            <w:listItem w:displayText="el Comisionado James L. Cavallaro, de nacionalidad estadounidense" w:value="el Comisionado James L. Cavallaro, de nacionalidad estadounidense"/>
            <w:listItem w:displayText="el Comisionado José de Jesús Orozco Henríquez, de nacionalidad mexicana" w:value="el Comisionado José de Jesús Orozco Henríquez, de nacionalidad mexicana"/>
            <w:listItem w:displayText="la Comisionada Margarette May Macaulay, de nacionalidad jamaicana" w:value="la Comisionada Margarette May Macaulay, de nacionalidad jamaicana"/>
            <w:listItem w:displayText="el Comisionado Paulo Vannuchi, de nacionalidad brasileña" w:value="el Comisionado Paulo Vannuchi, de nacionalidad brasileña"/>
          </w:dropDownList>
        </w:sdtPr>
        <w:sdtEndPr/>
        <w:sdtContent>
          <w:r w:rsidRPr="002A3678">
            <w:rPr>
              <w:rFonts w:asciiTheme="majorHAnsi" w:hAnsiTheme="majorHAnsi" w:cs="Arial"/>
              <w:color w:val="auto"/>
              <w:sz w:val="16"/>
              <w:szCs w:val="16"/>
              <w:lang w:val="es-ES"/>
            </w:rPr>
            <w:t>el Comisionado Francisco José Eguiguren Praeli, de nacionalidad peruana</w:t>
          </w:r>
        </w:sdtContent>
      </w:sdt>
      <w:r w:rsidRPr="002A3678">
        <w:rPr>
          <w:rFonts w:asciiTheme="majorHAnsi" w:hAnsiTheme="majorHAnsi" w:cs="Arial"/>
          <w:color w:val="auto"/>
          <w:sz w:val="16"/>
          <w:szCs w:val="16"/>
          <w:lang w:val="es-ES"/>
        </w:rPr>
        <w:t>, no participó en el debate ni en la decisión del presente asunto.</w:t>
      </w:r>
    </w:p>
  </w:footnote>
  <w:footnote w:id="3">
    <w:p w14:paraId="3A2FBCF0" w14:textId="77777777" w:rsidR="00F23E8F" w:rsidRPr="002A3678" w:rsidRDefault="00F23E8F" w:rsidP="00F23E8F">
      <w:pPr>
        <w:pStyle w:val="FootnoteText"/>
        <w:spacing w:after="120"/>
        <w:ind w:firstLine="720"/>
        <w:jc w:val="both"/>
        <w:rPr>
          <w:rFonts w:asciiTheme="majorHAnsi" w:hAnsiTheme="majorHAnsi"/>
          <w:sz w:val="16"/>
          <w:szCs w:val="16"/>
          <w:lang w:val="es-ES"/>
        </w:rPr>
      </w:pPr>
      <w:r w:rsidRPr="002A3678">
        <w:rPr>
          <w:rStyle w:val="FootnoteReference"/>
          <w:rFonts w:asciiTheme="majorHAnsi" w:hAnsiTheme="majorHAnsi"/>
          <w:sz w:val="16"/>
          <w:szCs w:val="16"/>
        </w:rPr>
        <w:footnoteRef/>
      </w:r>
      <w:r w:rsidRPr="002A3678">
        <w:rPr>
          <w:rFonts w:asciiTheme="majorHAnsi" w:hAnsiTheme="majorHAnsi"/>
          <w:sz w:val="16"/>
          <w:szCs w:val="16"/>
          <w:lang w:val="es-ES"/>
        </w:rPr>
        <w:t xml:space="preserve"> En adelante “Convención” o  “Convención Americana”.</w:t>
      </w:r>
    </w:p>
  </w:footnote>
  <w:footnote w:id="4">
    <w:p w14:paraId="482B00B9" w14:textId="77777777" w:rsidR="00F23E8F" w:rsidRPr="002A3678" w:rsidRDefault="00F23E8F" w:rsidP="00F23E8F">
      <w:pPr>
        <w:pStyle w:val="FootnoteText"/>
        <w:spacing w:after="120"/>
        <w:ind w:firstLine="720"/>
        <w:jc w:val="both"/>
        <w:rPr>
          <w:rFonts w:asciiTheme="majorHAnsi" w:hAnsiTheme="majorHAnsi"/>
          <w:sz w:val="16"/>
          <w:szCs w:val="16"/>
          <w:lang w:val="es-BO"/>
        </w:rPr>
      </w:pPr>
      <w:r w:rsidRPr="002A3678">
        <w:rPr>
          <w:rStyle w:val="FootnoteReference"/>
          <w:rFonts w:asciiTheme="majorHAnsi" w:hAnsiTheme="majorHAnsi"/>
          <w:sz w:val="16"/>
          <w:szCs w:val="16"/>
        </w:rPr>
        <w:footnoteRef/>
      </w:r>
      <w:r w:rsidRPr="002A3678">
        <w:rPr>
          <w:rFonts w:asciiTheme="majorHAnsi" w:hAnsiTheme="majorHAnsi"/>
          <w:sz w:val="16"/>
          <w:szCs w:val="16"/>
          <w:lang w:val="es-BO"/>
        </w:rPr>
        <w:t xml:space="preserve"> </w:t>
      </w:r>
      <w:r w:rsidRPr="002A3678">
        <w:rPr>
          <w:rFonts w:asciiTheme="majorHAnsi" w:hAnsiTheme="majorHAnsi"/>
          <w:sz w:val="16"/>
          <w:szCs w:val="16"/>
          <w:lang w:val="es-ES"/>
        </w:rPr>
        <w:t>En adelante “Declaración” o  “Declaración Americana”.</w:t>
      </w:r>
    </w:p>
  </w:footnote>
  <w:footnote w:id="5">
    <w:p w14:paraId="7937EFAA" w14:textId="3412B672" w:rsidR="00B94041" w:rsidRPr="002A3678" w:rsidRDefault="00B94041" w:rsidP="00B94041">
      <w:pPr>
        <w:pStyle w:val="FootnoteText"/>
        <w:spacing w:before="120"/>
        <w:ind w:firstLine="720"/>
        <w:rPr>
          <w:rFonts w:asciiTheme="majorHAnsi" w:hAnsiTheme="majorHAnsi"/>
          <w:sz w:val="16"/>
          <w:szCs w:val="16"/>
          <w:lang w:val="es-ES"/>
        </w:rPr>
      </w:pPr>
      <w:r w:rsidRPr="002A3678">
        <w:rPr>
          <w:rStyle w:val="FootnoteReference"/>
          <w:rFonts w:asciiTheme="majorHAnsi" w:hAnsiTheme="majorHAnsi"/>
          <w:sz w:val="16"/>
          <w:szCs w:val="16"/>
        </w:rPr>
        <w:footnoteRef/>
      </w:r>
      <w:r w:rsidRPr="002A3678">
        <w:rPr>
          <w:rFonts w:asciiTheme="majorHAnsi" w:hAnsiTheme="majorHAnsi"/>
          <w:sz w:val="16"/>
          <w:szCs w:val="16"/>
          <w:lang w:val="es-ES"/>
        </w:rPr>
        <w:t xml:space="preserve"> Todas las observaciones fueron debidamente trasladadas a la parte contraria.</w:t>
      </w:r>
    </w:p>
  </w:footnote>
  <w:footnote w:id="6">
    <w:p w14:paraId="153EDC94" w14:textId="77777777" w:rsidR="00FA1F40" w:rsidRPr="002A3678" w:rsidRDefault="00FA1F40" w:rsidP="00097440">
      <w:pPr>
        <w:pStyle w:val="FootnoteText"/>
        <w:spacing w:after="120"/>
        <w:ind w:firstLine="720"/>
        <w:jc w:val="both"/>
        <w:rPr>
          <w:rFonts w:asciiTheme="majorHAnsi" w:hAnsiTheme="majorHAnsi"/>
          <w:color w:val="auto"/>
          <w:sz w:val="16"/>
          <w:szCs w:val="16"/>
          <w:lang w:val="es-BO"/>
        </w:rPr>
      </w:pPr>
      <w:r w:rsidRPr="002A3678">
        <w:rPr>
          <w:rStyle w:val="FootnoteReference"/>
          <w:rFonts w:asciiTheme="majorHAnsi" w:hAnsiTheme="majorHAnsi"/>
          <w:sz w:val="16"/>
          <w:szCs w:val="16"/>
        </w:rPr>
        <w:footnoteRef/>
      </w:r>
      <w:r w:rsidRPr="002A3678">
        <w:rPr>
          <w:rFonts w:asciiTheme="majorHAnsi" w:hAnsiTheme="majorHAnsi"/>
          <w:sz w:val="16"/>
          <w:szCs w:val="16"/>
          <w:lang w:val="es-BO"/>
        </w:rPr>
        <w:t xml:space="preserve"> </w:t>
      </w:r>
      <w:r w:rsidRPr="002A3678">
        <w:rPr>
          <w:rFonts w:asciiTheme="majorHAnsi" w:hAnsiTheme="majorHAnsi"/>
          <w:color w:val="auto"/>
          <w:sz w:val="16"/>
          <w:szCs w:val="16"/>
          <w:lang w:val="es-BO"/>
        </w:rPr>
        <w:t xml:space="preserve">Programa Global de Eliminación de la Silicosis de la OMS/OIT, marco de referencia disponible en: </w:t>
      </w:r>
      <w:hyperlink r:id="rId1" w:history="1">
        <w:r w:rsidRPr="002A3678">
          <w:rPr>
            <w:rStyle w:val="Hyperlink"/>
            <w:rFonts w:asciiTheme="majorHAnsi" w:hAnsiTheme="majorHAnsi"/>
            <w:color w:val="auto"/>
            <w:sz w:val="16"/>
            <w:szCs w:val="16"/>
            <w:lang w:val="es-BO"/>
          </w:rPr>
          <w:t>http://www.ilo.org/safework/areasofwork/occupational-health/WCMS_354286/lang--es/index.htm</w:t>
        </w:r>
      </w:hyperlink>
      <w:r w:rsidRPr="002A3678">
        <w:rPr>
          <w:rFonts w:asciiTheme="majorHAnsi" w:hAnsiTheme="majorHAnsi"/>
          <w:color w:val="auto"/>
          <w:sz w:val="16"/>
          <w:szCs w:val="16"/>
          <w:lang w:val="es-BO"/>
        </w:rPr>
        <w:t xml:space="preserve"> </w:t>
      </w:r>
    </w:p>
  </w:footnote>
  <w:footnote w:id="7">
    <w:p w14:paraId="27A0C3E1" w14:textId="1280B2D9" w:rsidR="00FA1F40" w:rsidRPr="002A3678" w:rsidRDefault="00FA1F40" w:rsidP="00097440">
      <w:pPr>
        <w:pStyle w:val="FootnoteText"/>
        <w:spacing w:after="120"/>
        <w:ind w:firstLine="720"/>
        <w:rPr>
          <w:rFonts w:asciiTheme="majorHAnsi" w:hAnsiTheme="majorHAnsi"/>
          <w:color w:val="auto"/>
          <w:sz w:val="16"/>
          <w:szCs w:val="16"/>
          <w:lang w:val="es-BO"/>
        </w:rPr>
      </w:pPr>
      <w:r w:rsidRPr="002A3678">
        <w:rPr>
          <w:rStyle w:val="FootnoteReference"/>
          <w:rFonts w:asciiTheme="majorHAnsi" w:hAnsiTheme="majorHAnsi"/>
          <w:color w:val="auto"/>
          <w:sz w:val="16"/>
          <w:szCs w:val="16"/>
        </w:rPr>
        <w:footnoteRef/>
      </w:r>
      <w:r w:rsidR="009851A3" w:rsidRPr="002A3678">
        <w:rPr>
          <w:rFonts w:asciiTheme="majorHAnsi" w:hAnsiTheme="majorHAnsi"/>
          <w:color w:val="auto"/>
          <w:sz w:val="16"/>
          <w:szCs w:val="16"/>
          <w:lang w:val="es-BO"/>
        </w:rPr>
        <w:t xml:space="preserve">  </w:t>
      </w:r>
      <w:r w:rsidRPr="002A3678">
        <w:rPr>
          <w:rFonts w:asciiTheme="majorHAnsi" w:hAnsiTheme="majorHAnsi"/>
          <w:color w:val="auto"/>
          <w:sz w:val="16"/>
          <w:szCs w:val="16"/>
          <w:lang w:val="es-BO"/>
        </w:rPr>
        <w:t>Red mundial de Salud Ocupacional, marco de referencia disponible en:</w:t>
      </w:r>
      <w:r w:rsidR="009851A3" w:rsidRPr="002A3678">
        <w:rPr>
          <w:rFonts w:asciiTheme="majorHAnsi" w:hAnsiTheme="majorHAnsi"/>
          <w:color w:val="auto"/>
          <w:sz w:val="16"/>
          <w:szCs w:val="16"/>
          <w:lang w:val="es-BO"/>
        </w:rPr>
        <w:t xml:space="preserve"> </w:t>
      </w:r>
      <w:r w:rsidRPr="002A3678">
        <w:rPr>
          <w:rFonts w:asciiTheme="majorHAnsi" w:hAnsiTheme="majorHAnsi"/>
          <w:color w:val="auto"/>
          <w:sz w:val="16"/>
          <w:szCs w:val="16"/>
          <w:u w:val="single"/>
          <w:lang w:val="es-BO"/>
        </w:rPr>
        <w:t>http://www.who.int/occupational_health/publications/newsletter/en/gohnet5s.pdf</w:t>
      </w:r>
    </w:p>
  </w:footnote>
  <w:footnote w:id="8">
    <w:p w14:paraId="13F630DE" w14:textId="77777777" w:rsidR="001D4246" w:rsidRPr="002A3678" w:rsidRDefault="001D4246" w:rsidP="00097440">
      <w:pPr>
        <w:pStyle w:val="FootnoteText"/>
        <w:spacing w:after="120"/>
        <w:ind w:firstLine="720"/>
        <w:jc w:val="both"/>
        <w:rPr>
          <w:rFonts w:asciiTheme="majorHAnsi" w:hAnsiTheme="majorHAnsi"/>
          <w:sz w:val="16"/>
          <w:szCs w:val="16"/>
          <w:lang w:val="es-BO"/>
        </w:rPr>
      </w:pPr>
      <w:r w:rsidRPr="002A3678">
        <w:rPr>
          <w:rStyle w:val="FootnoteReference"/>
          <w:rFonts w:asciiTheme="majorHAnsi" w:hAnsiTheme="majorHAnsi"/>
          <w:sz w:val="16"/>
          <w:szCs w:val="16"/>
        </w:rPr>
        <w:footnoteRef/>
      </w:r>
      <w:r w:rsidRPr="002A3678">
        <w:rPr>
          <w:rFonts w:asciiTheme="majorHAnsi" w:hAnsiTheme="majorHAnsi"/>
          <w:sz w:val="16"/>
          <w:szCs w:val="16"/>
          <w:lang w:val="es-BO"/>
        </w:rPr>
        <w:t xml:space="preserve"> CIDH, Informe No. 15/15, Petición 374-05. Trabajadores del Sindicato de Trabajadores de la Federación Nacional de Cafeteros de Colombia. Colombia. 24 de marzo de 2015, párr. 41. Véase en conformidad, Corte IDH, </w:t>
      </w:r>
      <w:r w:rsidRPr="002A3678">
        <w:rPr>
          <w:rFonts w:asciiTheme="majorHAnsi" w:hAnsiTheme="majorHAnsi"/>
          <w:i/>
          <w:sz w:val="16"/>
          <w:szCs w:val="16"/>
          <w:lang w:val="es-BO"/>
        </w:rPr>
        <w:t xml:space="preserve">Caso Wong Ho Wing vs, Perú. </w:t>
      </w:r>
      <w:r w:rsidRPr="002A3678">
        <w:rPr>
          <w:rFonts w:asciiTheme="majorHAnsi" w:hAnsiTheme="majorHAnsi"/>
          <w:sz w:val="16"/>
          <w:szCs w:val="16"/>
          <w:lang w:val="es-BO"/>
        </w:rPr>
        <w:t xml:space="preserve">Excepción Preliminar, </w:t>
      </w:r>
      <w:r w:rsidRPr="002A3678">
        <w:rPr>
          <w:rFonts w:asciiTheme="majorHAnsi" w:hAnsiTheme="majorHAnsi"/>
          <w:sz w:val="16"/>
          <w:szCs w:val="16"/>
          <w:lang w:val="es-CO"/>
        </w:rPr>
        <w:t xml:space="preserve">Fondo, Reparaciones y Costas. Sentencia de 30 de junio de 2015. Serie C No. 297, </w:t>
      </w:r>
      <w:r w:rsidRPr="002A3678">
        <w:rPr>
          <w:rFonts w:asciiTheme="majorHAnsi" w:hAnsiTheme="majorHAnsi"/>
          <w:sz w:val="16"/>
          <w:szCs w:val="16"/>
          <w:lang w:val="es-AR"/>
        </w:rPr>
        <w:t>p</w:t>
      </w:r>
      <w:r w:rsidRPr="002A3678">
        <w:rPr>
          <w:rFonts w:asciiTheme="majorHAnsi" w:hAnsiTheme="majorHAnsi"/>
          <w:sz w:val="16"/>
          <w:szCs w:val="16"/>
          <w:lang w:val="es-ES_tradnl"/>
        </w:rPr>
        <w:t>árr</w:t>
      </w:r>
      <w:r w:rsidRPr="002A3678">
        <w:rPr>
          <w:rFonts w:asciiTheme="majorHAnsi" w:hAnsiTheme="majorHAnsi"/>
          <w:sz w:val="16"/>
          <w:szCs w:val="16"/>
          <w:lang w:val="es-AR"/>
        </w:rPr>
        <w:t>. 25-28.</w:t>
      </w:r>
    </w:p>
  </w:footnote>
  <w:footnote w:id="9">
    <w:p w14:paraId="085AD69E" w14:textId="77777777" w:rsidR="00FC26ED" w:rsidRPr="002A3678" w:rsidRDefault="00FC26ED" w:rsidP="00FC26ED">
      <w:pPr>
        <w:pStyle w:val="FootnoteText"/>
        <w:spacing w:after="120"/>
        <w:ind w:firstLine="720"/>
        <w:jc w:val="both"/>
        <w:rPr>
          <w:rFonts w:asciiTheme="majorHAnsi" w:hAnsiTheme="majorHAnsi"/>
          <w:sz w:val="16"/>
          <w:szCs w:val="16"/>
          <w:lang w:val="es-BO"/>
        </w:rPr>
      </w:pPr>
      <w:r w:rsidRPr="002A3678">
        <w:rPr>
          <w:rStyle w:val="FootnoteReference"/>
          <w:rFonts w:asciiTheme="majorHAnsi" w:hAnsiTheme="majorHAnsi"/>
          <w:sz w:val="16"/>
          <w:szCs w:val="16"/>
        </w:rPr>
        <w:footnoteRef/>
      </w:r>
      <w:r w:rsidRPr="002A3678">
        <w:rPr>
          <w:rFonts w:asciiTheme="majorHAnsi" w:hAnsiTheme="majorHAnsi"/>
          <w:sz w:val="16"/>
          <w:szCs w:val="16"/>
          <w:lang w:val="es-BO"/>
        </w:rPr>
        <w:t xml:space="preserve"> CrEDH, Case of Oyal v. Turkey (Application No. 4864/05), Sentencia del 23 de marzo de 2010 (Sección Segunda de la Corte), párr. 89.</w:t>
      </w:r>
    </w:p>
  </w:footnote>
  <w:footnote w:id="10">
    <w:p w14:paraId="40F3A559" w14:textId="77777777" w:rsidR="001D4246" w:rsidRPr="002A3678" w:rsidRDefault="001D4246" w:rsidP="00097440">
      <w:pPr>
        <w:pStyle w:val="FootnoteText"/>
        <w:tabs>
          <w:tab w:val="left" w:pos="8060"/>
        </w:tabs>
        <w:spacing w:after="120"/>
        <w:ind w:firstLine="720"/>
        <w:jc w:val="both"/>
        <w:rPr>
          <w:rFonts w:asciiTheme="majorHAnsi" w:hAnsiTheme="majorHAnsi"/>
          <w:sz w:val="16"/>
          <w:szCs w:val="16"/>
          <w:lang w:val="es-BO"/>
        </w:rPr>
      </w:pPr>
      <w:r w:rsidRPr="002A3678">
        <w:rPr>
          <w:rStyle w:val="FootnoteReference"/>
          <w:rFonts w:asciiTheme="majorHAnsi" w:hAnsiTheme="majorHAnsi"/>
          <w:sz w:val="16"/>
          <w:szCs w:val="16"/>
        </w:rPr>
        <w:footnoteRef/>
      </w:r>
      <w:r w:rsidRPr="002A3678">
        <w:rPr>
          <w:rFonts w:asciiTheme="majorHAnsi" w:hAnsiTheme="majorHAnsi"/>
          <w:sz w:val="16"/>
          <w:szCs w:val="16"/>
          <w:lang w:val="es-BO"/>
        </w:rPr>
        <w:t xml:space="preserve"> CIDH, Informe No. 15/15, Petición 374-05. Colombia. 24 de marzo de 2015, párr. 32.</w:t>
      </w:r>
      <w:r w:rsidRPr="002A3678">
        <w:rPr>
          <w:rFonts w:asciiTheme="majorHAnsi" w:hAnsiTheme="majorHAnsi"/>
          <w:sz w:val="16"/>
          <w:szCs w:val="16"/>
          <w:lang w:val="es-BO"/>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CE0EE"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D2E00D9"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83EAC"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524CD9E4" wp14:editId="694FE535">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62793682" w14:textId="77777777" w:rsidR="00040C3A" w:rsidRPr="00EC7D62" w:rsidRDefault="000042C5" w:rsidP="00A50FCF">
    <w:pPr>
      <w:pStyle w:val="Header"/>
      <w:tabs>
        <w:tab w:val="clear" w:pos="4320"/>
        <w:tab w:val="clear" w:pos="8640"/>
      </w:tabs>
      <w:jc w:val="center"/>
      <w:rPr>
        <w:sz w:val="22"/>
        <w:szCs w:val="22"/>
      </w:rPr>
    </w:pPr>
    <w:r>
      <w:rPr>
        <w:sz w:val="22"/>
        <w:szCs w:val="22"/>
      </w:rPr>
      <w:pict w14:anchorId="391909E1">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EEA83" w14:textId="77777777" w:rsidR="00577596" w:rsidRDefault="005775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65E22192"/>
    <w:lvl w:ilvl="0" w:tplc="382C605A">
      <w:start w:val="4"/>
      <w:numFmt w:val="decimal"/>
      <w:lvlText w:val="%1."/>
      <w:lvlJc w:val="left"/>
      <w:pPr>
        <w:tabs>
          <w:tab w:val="num" w:pos="1440"/>
        </w:tabs>
        <w:ind w:left="720" w:firstLine="720"/>
      </w:pPr>
      <w:rPr>
        <w:rFonts w:hint="default"/>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0E12E89"/>
    <w:multiLevelType w:val="hybridMultilevel"/>
    <w:tmpl w:val="F752BF68"/>
    <w:lvl w:ilvl="0" w:tplc="FB721056">
      <w:start w:val="4"/>
      <w:numFmt w:val="decimal"/>
      <w:lvlText w:val="%1."/>
      <w:lvlJc w:val="left"/>
      <w:pPr>
        <w:ind w:left="144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9">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1">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8">
    <w:nsid w:val="24AF088B"/>
    <w:multiLevelType w:val="hybridMultilevel"/>
    <w:tmpl w:val="BF32785A"/>
    <w:lvl w:ilvl="0" w:tplc="9CF03EA6">
      <w:start w:val="1"/>
      <w:numFmt w:val="decimal"/>
      <w:lvlText w:val="%1."/>
      <w:lvlJc w:val="left"/>
      <w:pPr>
        <w:ind w:left="1080" w:hanging="360"/>
      </w:pPr>
      <w:rPr>
        <w:rFonts w:asciiTheme="majorHAnsi" w:hAnsiTheme="majorHAnsi"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5">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85A0D69"/>
    <w:multiLevelType w:val="hybridMultilevel"/>
    <w:tmpl w:val="4AB09AC8"/>
    <w:lvl w:ilvl="0" w:tplc="B67A0A9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39C508DA"/>
    <w:multiLevelType w:val="hybridMultilevel"/>
    <w:tmpl w:val="9C0C108C"/>
    <w:lvl w:ilvl="0" w:tplc="11044AE4">
      <w:start w:val="1"/>
      <w:numFmt w:val="decimal"/>
      <w:lvlText w:val="%1."/>
      <w:lvlJc w:val="left"/>
      <w:pPr>
        <w:ind w:left="990" w:hanging="360"/>
      </w:pPr>
      <w:rPr>
        <w:rFonts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4">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5">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2480E1C"/>
    <w:multiLevelType w:val="hybridMultilevel"/>
    <w:tmpl w:val="D9261FF8"/>
    <w:lvl w:ilvl="0" w:tplc="008EA2E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6">
    <w:nsid w:val="4CDE1A1D"/>
    <w:multiLevelType w:val="hybridMultilevel"/>
    <w:tmpl w:val="0AB41B12"/>
    <w:lvl w:ilvl="0" w:tplc="B67A0A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560E281B"/>
    <w:multiLevelType w:val="hybridMultilevel"/>
    <w:tmpl w:val="D4EA90BE"/>
    <w:lvl w:ilvl="0" w:tplc="11044AE4">
      <w:start w:val="1"/>
      <w:numFmt w:val="decimal"/>
      <w:lvlText w:val="%1."/>
      <w:lvlJc w:val="left"/>
      <w:pPr>
        <w:tabs>
          <w:tab w:val="num" w:pos="1440"/>
        </w:tabs>
        <w:ind w:left="720" w:firstLine="720"/>
      </w:pPr>
      <w:rPr>
        <w:rFonts w:hint="default"/>
        <w:i w:val="0"/>
        <w:color w:val="auto"/>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3">
    <w:nsid w:val="56E837F0"/>
    <w:multiLevelType w:val="hybridMultilevel"/>
    <w:tmpl w:val="3D984DDC"/>
    <w:lvl w:ilvl="0" w:tplc="B67A0A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5">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6">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65D90FBF"/>
    <w:multiLevelType w:val="hybridMultilevel"/>
    <w:tmpl w:val="95F661CE"/>
    <w:lvl w:ilvl="0" w:tplc="0B4CB03C">
      <w:start w:val="1"/>
      <w:numFmt w:val="decimal"/>
      <w:lvlText w:val="%1."/>
      <w:lvlJc w:val="left"/>
      <w:pPr>
        <w:ind w:left="720" w:hanging="360"/>
      </w:pPr>
      <w:rPr>
        <w:rFonts w:hint="default"/>
        <w:i w:val="0"/>
        <w:color w:val="auto"/>
        <w:lang w:val="es-B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6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61">
    <w:nsid w:val="6A70217E"/>
    <w:multiLevelType w:val="hybridMultilevel"/>
    <w:tmpl w:val="483210D2"/>
    <w:lvl w:ilvl="0" w:tplc="72386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63">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64">
    <w:nsid w:val="6D150273"/>
    <w:multiLevelType w:val="hybridMultilevel"/>
    <w:tmpl w:val="3D846260"/>
    <w:lvl w:ilvl="0" w:tplc="B67A0A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7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4"/>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50"/>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8"/>
  </w:num>
  <w:num w:numId="6">
    <w:abstractNumId w:val="55"/>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70"/>
  </w:num>
  <w:num w:numId="8">
    <w:abstractNumId w:val="25"/>
  </w:num>
  <w:num w:numId="9">
    <w:abstractNumId w:val="59"/>
  </w:num>
  <w:num w:numId="10">
    <w:abstractNumId w:val="17"/>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3"/>
  </w:num>
  <w:num w:numId="12">
    <w:abstractNumId w:val="68"/>
  </w:num>
  <w:num w:numId="13">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10"/>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3"/>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6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9"/>
  </w:num>
  <w:num w:numId="21">
    <w:abstractNumId w:val="4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7"/>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2"/>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54"/>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7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7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3"/>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21"/>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7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7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6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7"/>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20"/>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7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51"/>
  </w:num>
  <w:num w:numId="53">
    <w:abstractNumId w:val="0"/>
  </w:num>
  <w:num w:numId="54">
    <w:abstractNumId w:val="45"/>
  </w:num>
  <w:num w:numId="55">
    <w:abstractNumId w:val="47"/>
  </w:num>
  <w:num w:numId="56">
    <w:abstractNumId w:val="54"/>
  </w:num>
  <w:num w:numId="57">
    <w:abstractNumId w:val="1"/>
  </w:num>
  <w:num w:numId="58">
    <w:abstractNumId w:val="2"/>
  </w:num>
  <w:num w:numId="59">
    <w:abstractNumId w:val="10"/>
  </w:num>
  <w:num w:numId="60">
    <w:abstractNumId w:val="11"/>
  </w:num>
  <w:num w:numId="61">
    <w:abstractNumId w:val="12"/>
  </w:num>
  <w:num w:numId="62">
    <w:abstractNumId w:val="13"/>
  </w:num>
  <w:num w:numId="63">
    <w:abstractNumId w:val="14"/>
  </w:num>
  <w:num w:numId="64">
    <w:abstractNumId w:val="16"/>
  </w:num>
  <w:num w:numId="65">
    <w:abstractNumId w:val="17"/>
  </w:num>
  <w:num w:numId="66">
    <w:abstractNumId w:val="19"/>
  </w:num>
  <w:num w:numId="67">
    <w:abstractNumId w:val="20"/>
  </w:num>
  <w:num w:numId="68">
    <w:abstractNumId w:val="22"/>
  </w:num>
  <w:num w:numId="69">
    <w:abstractNumId w:val="23"/>
  </w:num>
  <w:num w:numId="70">
    <w:abstractNumId w:val="26"/>
  </w:num>
  <w:num w:numId="71">
    <w:abstractNumId w:val="27"/>
  </w:num>
  <w:num w:numId="72">
    <w:abstractNumId w:val="28"/>
  </w:num>
  <w:num w:numId="73">
    <w:abstractNumId w:val="31"/>
  </w:num>
  <w:num w:numId="74">
    <w:abstractNumId w:val="34"/>
  </w:num>
  <w:num w:numId="75">
    <w:abstractNumId w:val="36"/>
  </w:num>
  <w:num w:numId="76">
    <w:abstractNumId w:val="38"/>
  </w:num>
  <w:num w:numId="77">
    <w:abstractNumId w:val="39"/>
  </w:num>
  <w:num w:numId="78">
    <w:abstractNumId w:val="40"/>
  </w:num>
  <w:num w:numId="79">
    <w:abstractNumId w:val="41"/>
  </w:num>
  <w:num w:numId="80">
    <w:abstractNumId w:val="42"/>
  </w:num>
  <w:num w:numId="81">
    <w:abstractNumId w:val="43"/>
  </w:num>
  <w:num w:numId="82">
    <w:abstractNumId w:val="48"/>
  </w:num>
  <w:num w:numId="83">
    <w:abstractNumId w:val="49"/>
  </w:num>
  <w:num w:numId="84">
    <w:abstractNumId w:val="56"/>
  </w:num>
  <w:num w:numId="85">
    <w:abstractNumId w:val="60"/>
  </w:num>
  <w:num w:numId="86">
    <w:abstractNumId w:val="65"/>
  </w:num>
  <w:num w:numId="87">
    <w:abstractNumId w:val="67"/>
  </w:num>
  <w:num w:numId="88">
    <w:abstractNumId w:val="69"/>
  </w:num>
  <w:num w:numId="89">
    <w:abstractNumId w:val="71"/>
  </w:num>
  <w:num w:numId="90">
    <w:abstractNumId w:val="72"/>
  </w:num>
  <w:num w:numId="91">
    <w:abstractNumId w:val="73"/>
  </w:num>
  <w:num w:numId="92">
    <w:abstractNumId w:val="74"/>
  </w:num>
  <w:num w:numId="93">
    <w:abstractNumId w:val="76"/>
  </w:num>
  <w:num w:numId="94">
    <w:abstractNumId w:val="24"/>
  </w:num>
  <w:num w:numId="95">
    <w:abstractNumId w:val="50"/>
  </w:num>
  <w:num w:numId="96">
    <w:abstractNumId w:val="66"/>
  </w:num>
  <w:num w:numId="97">
    <w:abstractNumId w:val="62"/>
  </w:num>
  <w:num w:numId="98">
    <w:abstractNumId w:val="55"/>
  </w:num>
  <w:num w:numId="99">
    <w:abstractNumId w:val="44"/>
  </w:num>
  <w:num w:numId="100">
    <w:abstractNumId w:val="3"/>
  </w:num>
  <w:num w:numId="101">
    <w:abstractNumId w:val="29"/>
  </w:num>
  <w:num w:numId="102">
    <w:abstractNumId w:val="57"/>
  </w:num>
  <w:num w:numId="103">
    <w:abstractNumId w:val="6"/>
  </w:num>
  <w:num w:numId="104">
    <w:abstractNumId w:val="75"/>
  </w:num>
  <w:num w:numId="105">
    <w:abstractNumId w:val="63"/>
  </w:num>
  <w:num w:numId="106">
    <w:abstractNumId w:val="4"/>
  </w:num>
  <w:num w:numId="107">
    <w:abstractNumId w:val="35"/>
  </w:num>
  <w:num w:numId="108">
    <w:abstractNumId w:val="15"/>
  </w:num>
  <w:num w:numId="109">
    <w:abstractNumId w:val="52"/>
  </w:num>
  <w:num w:numId="110">
    <w:abstractNumId w:val="57"/>
    <w:lvlOverride w:ilvl="0">
      <w:startOverride w:val="1"/>
    </w:lvlOverride>
    <w:lvlOverride w:ilvl="1">
      <w:startOverride w:val="3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8"/>
  </w:num>
  <w:num w:numId="112">
    <w:abstractNumId w:val="61"/>
  </w:num>
  <w:num w:numId="113">
    <w:abstractNumId w:val="32"/>
  </w:num>
  <w:num w:numId="114">
    <w:abstractNumId w:val="64"/>
  </w:num>
  <w:num w:numId="115">
    <w:abstractNumId w:val="37"/>
  </w:num>
  <w:num w:numId="116">
    <w:abstractNumId w:val="30"/>
  </w:num>
  <w:num w:numId="117">
    <w:abstractNumId w:val="53"/>
  </w:num>
  <w:num w:numId="118">
    <w:abstractNumId w:val="7"/>
  </w:num>
  <w:num w:numId="119">
    <w:abstractNumId w:val="46"/>
  </w:num>
  <w:num w:numId="120">
    <w:abstractNumId w:val="18"/>
  </w:num>
  <w:numIdMacAtCleanup w:val="1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alía Banfi">
    <w15:presenceInfo w15:providerId="Windows Live" w15:userId="9942edc06d8b9b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3256"/>
    <w:rsid w:val="000042C5"/>
    <w:rsid w:val="00006E1F"/>
    <w:rsid w:val="000070D7"/>
    <w:rsid w:val="000126A9"/>
    <w:rsid w:val="00012C21"/>
    <w:rsid w:val="0001481E"/>
    <w:rsid w:val="0001788C"/>
    <w:rsid w:val="0002630D"/>
    <w:rsid w:val="00026BC6"/>
    <w:rsid w:val="00030FDF"/>
    <w:rsid w:val="000367FF"/>
    <w:rsid w:val="000400BE"/>
    <w:rsid w:val="00040C3A"/>
    <w:rsid w:val="000419AD"/>
    <w:rsid w:val="000479BC"/>
    <w:rsid w:val="00052FA2"/>
    <w:rsid w:val="00053F65"/>
    <w:rsid w:val="00063ABA"/>
    <w:rsid w:val="00064859"/>
    <w:rsid w:val="00065153"/>
    <w:rsid w:val="000716C5"/>
    <w:rsid w:val="0007200C"/>
    <w:rsid w:val="00075E23"/>
    <w:rsid w:val="00084B44"/>
    <w:rsid w:val="00086A8E"/>
    <w:rsid w:val="0009344A"/>
    <w:rsid w:val="00095EB9"/>
    <w:rsid w:val="00097440"/>
    <w:rsid w:val="000A2D41"/>
    <w:rsid w:val="000A392E"/>
    <w:rsid w:val="000A575F"/>
    <w:rsid w:val="000A5A6E"/>
    <w:rsid w:val="000B1D60"/>
    <w:rsid w:val="000D10DB"/>
    <w:rsid w:val="000D1F9A"/>
    <w:rsid w:val="000D266F"/>
    <w:rsid w:val="000D5BC0"/>
    <w:rsid w:val="000E5EB5"/>
    <w:rsid w:val="000E6779"/>
    <w:rsid w:val="000F0624"/>
    <w:rsid w:val="000F0D34"/>
    <w:rsid w:val="000F166C"/>
    <w:rsid w:val="000F35ED"/>
    <w:rsid w:val="000F3D4E"/>
    <w:rsid w:val="0010121C"/>
    <w:rsid w:val="00104DB8"/>
    <w:rsid w:val="00107131"/>
    <w:rsid w:val="0010736F"/>
    <w:rsid w:val="00107E6C"/>
    <w:rsid w:val="001105EB"/>
    <w:rsid w:val="00113F73"/>
    <w:rsid w:val="00115218"/>
    <w:rsid w:val="00121CC2"/>
    <w:rsid w:val="00123D59"/>
    <w:rsid w:val="00125751"/>
    <w:rsid w:val="00133EE5"/>
    <w:rsid w:val="00143787"/>
    <w:rsid w:val="00146B69"/>
    <w:rsid w:val="00152E35"/>
    <w:rsid w:val="0015660A"/>
    <w:rsid w:val="00160B70"/>
    <w:rsid w:val="001630A7"/>
    <w:rsid w:val="00166237"/>
    <w:rsid w:val="00167A34"/>
    <w:rsid w:val="0017351B"/>
    <w:rsid w:val="00177350"/>
    <w:rsid w:val="00184C55"/>
    <w:rsid w:val="00186933"/>
    <w:rsid w:val="00186EF5"/>
    <w:rsid w:val="001A75F8"/>
    <w:rsid w:val="001A7636"/>
    <w:rsid w:val="001A7870"/>
    <w:rsid w:val="001B4633"/>
    <w:rsid w:val="001B522D"/>
    <w:rsid w:val="001B6FDC"/>
    <w:rsid w:val="001C1B41"/>
    <w:rsid w:val="001C57A2"/>
    <w:rsid w:val="001C7306"/>
    <w:rsid w:val="001D0883"/>
    <w:rsid w:val="001D4246"/>
    <w:rsid w:val="001D65EF"/>
    <w:rsid w:val="001E08C8"/>
    <w:rsid w:val="001F6B1A"/>
    <w:rsid w:val="001F7201"/>
    <w:rsid w:val="00210CEC"/>
    <w:rsid w:val="002113E5"/>
    <w:rsid w:val="002250A3"/>
    <w:rsid w:val="0023456E"/>
    <w:rsid w:val="00235123"/>
    <w:rsid w:val="00235217"/>
    <w:rsid w:val="00236DE7"/>
    <w:rsid w:val="00237FF6"/>
    <w:rsid w:val="00241409"/>
    <w:rsid w:val="00243BC6"/>
    <w:rsid w:val="00246D1F"/>
    <w:rsid w:val="00247403"/>
    <w:rsid w:val="00247542"/>
    <w:rsid w:val="00247BEA"/>
    <w:rsid w:val="00266B61"/>
    <w:rsid w:val="0026712A"/>
    <w:rsid w:val="002674C8"/>
    <w:rsid w:val="002704DB"/>
    <w:rsid w:val="0028059C"/>
    <w:rsid w:val="002805AB"/>
    <w:rsid w:val="00282F2C"/>
    <w:rsid w:val="00290A75"/>
    <w:rsid w:val="002915DC"/>
    <w:rsid w:val="00293C04"/>
    <w:rsid w:val="002A0AAE"/>
    <w:rsid w:val="002A3678"/>
    <w:rsid w:val="002A5820"/>
    <w:rsid w:val="002B1EC2"/>
    <w:rsid w:val="002B7EFC"/>
    <w:rsid w:val="002C3AB5"/>
    <w:rsid w:val="002C56E6"/>
    <w:rsid w:val="002C695C"/>
    <w:rsid w:val="002D2B26"/>
    <w:rsid w:val="002D4A60"/>
    <w:rsid w:val="002D7EA2"/>
    <w:rsid w:val="002E0191"/>
    <w:rsid w:val="002E187C"/>
    <w:rsid w:val="002E6EA5"/>
    <w:rsid w:val="002F0C0F"/>
    <w:rsid w:val="00300BF4"/>
    <w:rsid w:val="00300ECD"/>
    <w:rsid w:val="00301C2B"/>
    <w:rsid w:val="00302733"/>
    <w:rsid w:val="00302C84"/>
    <w:rsid w:val="00305E7B"/>
    <w:rsid w:val="00307A7E"/>
    <w:rsid w:val="00314078"/>
    <w:rsid w:val="0031535D"/>
    <w:rsid w:val="0031611C"/>
    <w:rsid w:val="003239B8"/>
    <w:rsid w:val="00324315"/>
    <w:rsid w:val="0033169F"/>
    <w:rsid w:val="00331994"/>
    <w:rsid w:val="00335BAC"/>
    <w:rsid w:val="00346C95"/>
    <w:rsid w:val="0035354E"/>
    <w:rsid w:val="00356185"/>
    <w:rsid w:val="003601B5"/>
    <w:rsid w:val="00360380"/>
    <w:rsid w:val="003624C5"/>
    <w:rsid w:val="003659EE"/>
    <w:rsid w:val="00367FAB"/>
    <w:rsid w:val="00371D15"/>
    <w:rsid w:val="0037519E"/>
    <w:rsid w:val="00386CF0"/>
    <w:rsid w:val="003874AB"/>
    <w:rsid w:val="00387B07"/>
    <w:rsid w:val="003A4F2F"/>
    <w:rsid w:val="003A5A42"/>
    <w:rsid w:val="003B4488"/>
    <w:rsid w:val="003B70FB"/>
    <w:rsid w:val="003C0419"/>
    <w:rsid w:val="003C676B"/>
    <w:rsid w:val="003D1103"/>
    <w:rsid w:val="003D3BC2"/>
    <w:rsid w:val="003D5F0E"/>
    <w:rsid w:val="003E2479"/>
    <w:rsid w:val="003E3A17"/>
    <w:rsid w:val="003E3EA3"/>
    <w:rsid w:val="003E6CA1"/>
    <w:rsid w:val="003F0912"/>
    <w:rsid w:val="003F44F8"/>
    <w:rsid w:val="003F6960"/>
    <w:rsid w:val="003F7B75"/>
    <w:rsid w:val="0041409E"/>
    <w:rsid w:val="004165C2"/>
    <w:rsid w:val="00422B68"/>
    <w:rsid w:val="00424576"/>
    <w:rsid w:val="00427CC1"/>
    <w:rsid w:val="00430393"/>
    <w:rsid w:val="004336E7"/>
    <w:rsid w:val="00433F9A"/>
    <w:rsid w:val="00441ECB"/>
    <w:rsid w:val="00445193"/>
    <w:rsid w:val="0044558E"/>
    <w:rsid w:val="00447FD6"/>
    <w:rsid w:val="00452205"/>
    <w:rsid w:val="00462C1B"/>
    <w:rsid w:val="00467B7E"/>
    <w:rsid w:val="00471EE1"/>
    <w:rsid w:val="00473BB4"/>
    <w:rsid w:val="004741F4"/>
    <w:rsid w:val="004760A8"/>
    <w:rsid w:val="004774A2"/>
    <w:rsid w:val="00477592"/>
    <w:rsid w:val="00486F1C"/>
    <w:rsid w:val="004905B0"/>
    <w:rsid w:val="0049419D"/>
    <w:rsid w:val="00494C53"/>
    <w:rsid w:val="004A5B00"/>
    <w:rsid w:val="004A6288"/>
    <w:rsid w:val="004B13B7"/>
    <w:rsid w:val="004C20D2"/>
    <w:rsid w:val="004C4B62"/>
    <w:rsid w:val="004C54BC"/>
    <w:rsid w:val="004C54C9"/>
    <w:rsid w:val="004C6740"/>
    <w:rsid w:val="004D1F84"/>
    <w:rsid w:val="004D2C6F"/>
    <w:rsid w:val="004D4ABA"/>
    <w:rsid w:val="004D4DF3"/>
    <w:rsid w:val="004D6025"/>
    <w:rsid w:val="004E2649"/>
    <w:rsid w:val="004E33DE"/>
    <w:rsid w:val="004E763A"/>
    <w:rsid w:val="00501399"/>
    <w:rsid w:val="0050633D"/>
    <w:rsid w:val="00507BC4"/>
    <w:rsid w:val="005128E4"/>
    <w:rsid w:val="005133DB"/>
    <w:rsid w:val="005167C1"/>
    <w:rsid w:val="005177CC"/>
    <w:rsid w:val="005219AD"/>
    <w:rsid w:val="00525560"/>
    <w:rsid w:val="005256C7"/>
    <w:rsid w:val="00533C20"/>
    <w:rsid w:val="005350C8"/>
    <w:rsid w:val="00544C49"/>
    <w:rsid w:val="0054640D"/>
    <w:rsid w:val="00551166"/>
    <w:rsid w:val="005516A1"/>
    <w:rsid w:val="00554CAA"/>
    <w:rsid w:val="00560F75"/>
    <w:rsid w:val="00563557"/>
    <w:rsid w:val="0056766D"/>
    <w:rsid w:val="00567ED6"/>
    <w:rsid w:val="005727E0"/>
    <w:rsid w:val="005733E7"/>
    <w:rsid w:val="0057402A"/>
    <w:rsid w:val="00574280"/>
    <w:rsid w:val="005771D0"/>
    <w:rsid w:val="00577596"/>
    <w:rsid w:val="0059191A"/>
    <w:rsid w:val="005921FF"/>
    <w:rsid w:val="0059266F"/>
    <w:rsid w:val="005966AA"/>
    <w:rsid w:val="00597A59"/>
    <w:rsid w:val="005A24ED"/>
    <w:rsid w:val="005A5BEB"/>
    <w:rsid w:val="005A6D0E"/>
    <w:rsid w:val="005B52B0"/>
    <w:rsid w:val="005B6806"/>
    <w:rsid w:val="005C4225"/>
    <w:rsid w:val="005D000B"/>
    <w:rsid w:val="005D73C5"/>
    <w:rsid w:val="005E24F0"/>
    <w:rsid w:val="005E748A"/>
    <w:rsid w:val="005F0DAD"/>
    <w:rsid w:val="005F0F33"/>
    <w:rsid w:val="005F17DF"/>
    <w:rsid w:val="005F1E3E"/>
    <w:rsid w:val="005F2795"/>
    <w:rsid w:val="00600DEB"/>
    <w:rsid w:val="00602D7A"/>
    <w:rsid w:val="006063CB"/>
    <w:rsid w:val="0060760A"/>
    <w:rsid w:val="006162C7"/>
    <w:rsid w:val="00617684"/>
    <w:rsid w:val="00627C9F"/>
    <w:rsid w:val="006311E9"/>
    <w:rsid w:val="00632354"/>
    <w:rsid w:val="0063345B"/>
    <w:rsid w:val="00635F2F"/>
    <w:rsid w:val="00641BB2"/>
    <w:rsid w:val="00642810"/>
    <w:rsid w:val="00646E34"/>
    <w:rsid w:val="0065102D"/>
    <w:rsid w:val="00652333"/>
    <w:rsid w:val="00653C9A"/>
    <w:rsid w:val="0068009E"/>
    <w:rsid w:val="00681255"/>
    <w:rsid w:val="00692219"/>
    <w:rsid w:val="006952B2"/>
    <w:rsid w:val="006A17D2"/>
    <w:rsid w:val="006A5D14"/>
    <w:rsid w:val="006A73E6"/>
    <w:rsid w:val="006A7EB7"/>
    <w:rsid w:val="006B2D5C"/>
    <w:rsid w:val="006B4F19"/>
    <w:rsid w:val="006B5A56"/>
    <w:rsid w:val="006B6023"/>
    <w:rsid w:val="006B7A9F"/>
    <w:rsid w:val="006B7ACA"/>
    <w:rsid w:val="006C4EB1"/>
    <w:rsid w:val="006C6C8C"/>
    <w:rsid w:val="006D0AFF"/>
    <w:rsid w:val="006D1563"/>
    <w:rsid w:val="006E0166"/>
    <w:rsid w:val="006E62E3"/>
    <w:rsid w:val="006E7B34"/>
    <w:rsid w:val="006F329B"/>
    <w:rsid w:val="00702C64"/>
    <w:rsid w:val="00705067"/>
    <w:rsid w:val="0070544F"/>
    <w:rsid w:val="0070697F"/>
    <w:rsid w:val="00707274"/>
    <w:rsid w:val="00714B59"/>
    <w:rsid w:val="0072199C"/>
    <w:rsid w:val="00722C9F"/>
    <w:rsid w:val="00722DC6"/>
    <w:rsid w:val="007253B8"/>
    <w:rsid w:val="0073198B"/>
    <w:rsid w:val="00732E0D"/>
    <w:rsid w:val="0073741F"/>
    <w:rsid w:val="0074011E"/>
    <w:rsid w:val="007406CC"/>
    <w:rsid w:val="007430C6"/>
    <w:rsid w:val="00745680"/>
    <w:rsid w:val="00762406"/>
    <w:rsid w:val="007647D4"/>
    <w:rsid w:val="00765C43"/>
    <w:rsid w:val="0076643F"/>
    <w:rsid w:val="00773E0B"/>
    <w:rsid w:val="00775E75"/>
    <w:rsid w:val="0077636F"/>
    <w:rsid w:val="00777F63"/>
    <w:rsid w:val="007812AD"/>
    <w:rsid w:val="007A5817"/>
    <w:rsid w:val="007A68B5"/>
    <w:rsid w:val="007A6B0E"/>
    <w:rsid w:val="007A6E5F"/>
    <w:rsid w:val="007B05C4"/>
    <w:rsid w:val="007B09F5"/>
    <w:rsid w:val="007B60E9"/>
    <w:rsid w:val="007B6CC3"/>
    <w:rsid w:val="007C0C15"/>
    <w:rsid w:val="007C3334"/>
    <w:rsid w:val="007C42BA"/>
    <w:rsid w:val="007D2B98"/>
    <w:rsid w:val="007D4C8A"/>
    <w:rsid w:val="007D4E6A"/>
    <w:rsid w:val="007D6794"/>
    <w:rsid w:val="007E21BC"/>
    <w:rsid w:val="007F5F81"/>
    <w:rsid w:val="00801F05"/>
    <w:rsid w:val="008036CA"/>
    <w:rsid w:val="0080370E"/>
    <w:rsid w:val="00803F1C"/>
    <w:rsid w:val="00804B52"/>
    <w:rsid w:val="0080600E"/>
    <w:rsid w:val="008125EB"/>
    <w:rsid w:val="00812E74"/>
    <w:rsid w:val="00817612"/>
    <w:rsid w:val="00822A27"/>
    <w:rsid w:val="00822EDE"/>
    <w:rsid w:val="008338A4"/>
    <w:rsid w:val="008344A8"/>
    <w:rsid w:val="00837C45"/>
    <w:rsid w:val="00841745"/>
    <w:rsid w:val="00844730"/>
    <w:rsid w:val="00845245"/>
    <w:rsid w:val="008457C2"/>
    <w:rsid w:val="00850BB3"/>
    <w:rsid w:val="00857A82"/>
    <w:rsid w:val="00860912"/>
    <w:rsid w:val="00864A25"/>
    <w:rsid w:val="00865E63"/>
    <w:rsid w:val="00866345"/>
    <w:rsid w:val="00872937"/>
    <w:rsid w:val="00873836"/>
    <w:rsid w:val="0088153A"/>
    <w:rsid w:val="00885737"/>
    <w:rsid w:val="00890650"/>
    <w:rsid w:val="00891532"/>
    <w:rsid w:val="008917A3"/>
    <w:rsid w:val="00892954"/>
    <w:rsid w:val="00897E12"/>
    <w:rsid w:val="008A6E43"/>
    <w:rsid w:val="008A7E0F"/>
    <w:rsid w:val="008B12F5"/>
    <w:rsid w:val="008C3A48"/>
    <w:rsid w:val="008C431E"/>
    <w:rsid w:val="008D23A1"/>
    <w:rsid w:val="008D63CC"/>
    <w:rsid w:val="008D768D"/>
    <w:rsid w:val="008E3759"/>
    <w:rsid w:val="008E3911"/>
    <w:rsid w:val="008E5F16"/>
    <w:rsid w:val="008F05E0"/>
    <w:rsid w:val="008F1912"/>
    <w:rsid w:val="008F2F49"/>
    <w:rsid w:val="008F4091"/>
    <w:rsid w:val="0090270B"/>
    <w:rsid w:val="0090273C"/>
    <w:rsid w:val="009041DC"/>
    <w:rsid w:val="009044FC"/>
    <w:rsid w:val="0090741F"/>
    <w:rsid w:val="00910B5B"/>
    <w:rsid w:val="009127C7"/>
    <w:rsid w:val="00915860"/>
    <w:rsid w:val="00917B5A"/>
    <w:rsid w:val="00920A58"/>
    <w:rsid w:val="00920A8C"/>
    <w:rsid w:val="00934A2C"/>
    <w:rsid w:val="009368A4"/>
    <w:rsid w:val="009453F4"/>
    <w:rsid w:val="00945C4C"/>
    <w:rsid w:val="0095121A"/>
    <w:rsid w:val="00954D30"/>
    <w:rsid w:val="0096706E"/>
    <w:rsid w:val="0097309D"/>
    <w:rsid w:val="00974491"/>
    <w:rsid w:val="00975C4E"/>
    <w:rsid w:val="00981FBA"/>
    <w:rsid w:val="009851A3"/>
    <w:rsid w:val="00990126"/>
    <w:rsid w:val="00990EBF"/>
    <w:rsid w:val="00995528"/>
    <w:rsid w:val="009978CC"/>
    <w:rsid w:val="00997BC5"/>
    <w:rsid w:val="009A2BDD"/>
    <w:rsid w:val="009A4F41"/>
    <w:rsid w:val="009A7B64"/>
    <w:rsid w:val="009B016B"/>
    <w:rsid w:val="009B07DA"/>
    <w:rsid w:val="009B206C"/>
    <w:rsid w:val="009B381B"/>
    <w:rsid w:val="009C63FC"/>
    <w:rsid w:val="009C7093"/>
    <w:rsid w:val="009D0AED"/>
    <w:rsid w:val="009D1753"/>
    <w:rsid w:val="009D6386"/>
    <w:rsid w:val="009D7611"/>
    <w:rsid w:val="009D7D68"/>
    <w:rsid w:val="009E0B61"/>
    <w:rsid w:val="009E53DE"/>
    <w:rsid w:val="009F54B3"/>
    <w:rsid w:val="009F6C16"/>
    <w:rsid w:val="00A0412F"/>
    <w:rsid w:val="00A11E44"/>
    <w:rsid w:val="00A1412C"/>
    <w:rsid w:val="00A21BA7"/>
    <w:rsid w:val="00A328B3"/>
    <w:rsid w:val="00A34864"/>
    <w:rsid w:val="00A438EB"/>
    <w:rsid w:val="00A50FCF"/>
    <w:rsid w:val="00A528D1"/>
    <w:rsid w:val="00A52A91"/>
    <w:rsid w:val="00A535C6"/>
    <w:rsid w:val="00A610CD"/>
    <w:rsid w:val="00A6553D"/>
    <w:rsid w:val="00A74BDF"/>
    <w:rsid w:val="00A758AA"/>
    <w:rsid w:val="00A76FA5"/>
    <w:rsid w:val="00A80445"/>
    <w:rsid w:val="00A869A5"/>
    <w:rsid w:val="00AA09A2"/>
    <w:rsid w:val="00AA3880"/>
    <w:rsid w:val="00AA3C09"/>
    <w:rsid w:val="00AA7996"/>
    <w:rsid w:val="00AC19CB"/>
    <w:rsid w:val="00AC1C86"/>
    <w:rsid w:val="00AD33AC"/>
    <w:rsid w:val="00AD3B3A"/>
    <w:rsid w:val="00AD6EB7"/>
    <w:rsid w:val="00AE38F5"/>
    <w:rsid w:val="00AE5488"/>
    <w:rsid w:val="00AE6F91"/>
    <w:rsid w:val="00AF5571"/>
    <w:rsid w:val="00B0212C"/>
    <w:rsid w:val="00B0632E"/>
    <w:rsid w:val="00B07341"/>
    <w:rsid w:val="00B12E90"/>
    <w:rsid w:val="00B30539"/>
    <w:rsid w:val="00B314DB"/>
    <w:rsid w:val="00B321AC"/>
    <w:rsid w:val="00B352D7"/>
    <w:rsid w:val="00B361F2"/>
    <w:rsid w:val="00B3718B"/>
    <w:rsid w:val="00B4174F"/>
    <w:rsid w:val="00B44794"/>
    <w:rsid w:val="00B4632A"/>
    <w:rsid w:val="00B530F1"/>
    <w:rsid w:val="00B643A4"/>
    <w:rsid w:val="00B67645"/>
    <w:rsid w:val="00B71204"/>
    <w:rsid w:val="00B76396"/>
    <w:rsid w:val="00B76E0D"/>
    <w:rsid w:val="00B8771D"/>
    <w:rsid w:val="00B87C07"/>
    <w:rsid w:val="00B94041"/>
    <w:rsid w:val="00B944D6"/>
    <w:rsid w:val="00BA276C"/>
    <w:rsid w:val="00BA61D2"/>
    <w:rsid w:val="00BA78FD"/>
    <w:rsid w:val="00BB306F"/>
    <w:rsid w:val="00BB436F"/>
    <w:rsid w:val="00BB5EC0"/>
    <w:rsid w:val="00BC0C74"/>
    <w:rsid w:val="00BD14AB"/>
    <w:rsid w:val="00BD4B89"/>
    <w:rsid w:val="00BD56D1"/>
    <w:rsid w:val="00BE0B13"/>
    <w:rsid w:val="00BE4A03"/>
    <w:rsid w:val="00BE5470"/>
    <w:rsid w:val="00BE6A7E"/>
    <w:rsid w:val="00BF02CB"/>
    <w:rsid w:val="00BF4B69"/>
    <w:rsid w:val="00BF574A"/>
    <w:rsid w:val="00BF6FD8"/>
    <w:rsid w:val="00C03680"/>
    <w:rsid w:val="00C03BEB"/>
    <w:rsid w:val="00C054DF"/>
    <w:rsid w:val="00C13DAE"/>
    <w:rsid w:val="00C21762"/>
    <w:rsid w:val="00C21FEF"/>
    <w:rsid w:val="00C22966"/>
    <w:rsid w:val="00C23297"/>
    <w:rsid w:val="00C24543"/>
    <w:rsid w:val="00C256A2"/>
    <w:rsid w:val="00C311DA"/>
    <w:rsid w:val="00C35460"/>
    <w:rsid w:val="00C36A8E"/>
    <w:rsid w:val="00C43CEB"/>
    <w:rsid w:val="00C47A33"/>
    <w:rsid w:val="00C51515"/>
    <w:rsid w:val="00C55C4A"/>
    <w:rsid w:val="00C5660B"/>
    <w:rsid w:val="00C66B72"/>
    <w:rsid w:val="00C75767"/>
    <w:rsid w:val="00C9567A"/>
    <w:rsid w:val="00C966D1"/>
    <w:rsid w:val="00C969CD"/>
    <w:rsid w:val="00CA48CF"/>
    <w:rsid w:val="00CB105B"/>
    <w:rsid w:val="00CB212D"/>
    <w:rsid w:val="00CB2660"/>
    <w:rsid w:val="00CB62DB"/>
    <w:rsid w:val="00CB6F18"/>
    <w:rsid w:val="00CC56EF"/>
    <w:rsid w:val="00CC5E90"/>
    <w:rsid w:val="00CD046C"/>
    <w:rsid w:val="00CE05D1"/>
    <w:rsid w:val="00CE076C"/>
    <w:rsid w:val="00CE5199"/>
    <w:rsid w:val="00CE66D5"/>
    <w:rsid w:val="00CF637A"/>
    <w:rsid w:val="00D059DE"/>
    <w:rsid w:val="00D06810"/>
    <w:rsid w:val="00D12A70"/>
    <w:rsid w:val="00D13FCE"/>
    <w:rsid w:val="00D306D1"/>
    <w:rsid w:val="00D30800"/>
    <w:rsid w:val="00D315DB"/>
    <w:rsid w:val="00D33271"/>
    <w:rsid w:val="00D34786"/>
    <w:rsid w:val="00D3735D"/>
    <w:rsid w:val="00D37BFC"/>
    <w:rsid w:val="00D47A8E"/>
    <w:rsid w:val="00D50ADF"/>
    <w:rsid w:val="00D52D14"/>
    <w:rsid w:val="00D652E6"/>
    <w:rsid w:val="00D6534F"/>
    <w:rsid w:val="00D67FAD"/>
    <w:rsid w:val="00D712D3"/>
    <w:rsid w:val="00D71422"/>
    <w:rsid w:val="00D72DC6"/>
    <w:rsid w:val="00D7558D"/>
    <w:rsid w:val="00D81A15"/>
    <w:rsid w:val="00D81D92"/>
    <w:rsid w:val="00D84F61"/>
    <w:rsid w:val="00DA21D3"/>
    <w:rsid w:val="00DA7B5F"/>
    <w:rsid w:val="00DB2FCA"/>
    <w:rsid w:val="00DC1049"/>
    <w:rsid w:val="00DC11E7"/>
    <w:rsid w:val="00DC380F"/>
    <w:rsid w:val="00DC7023"/>
    <w:rsid w:val="00DC769A"/>
    <w:rsid w:val="00DD3D86"/>
    <w:rsid w:val="00DD7184"/>
    <w:rsid w:val="00DE4982"/>
    <w:rsid w:val="00DF1EC4"/>
    <w:rsid w:val="00DF2972"/>
    <w:rsid w:val="00DF6DDF"/>
    <w:rsid w:val="00E0340B"/>
    <w:rsid w:val="00E04A90"/>
    <w:rsid w:val="00E0551F"/>
    <w:rsid w:val="00E219C7"/>
    <w:rsid w:val="00E310A2"/>
    <w:rsid w:val="00E403A8"/>
    <w:rsid w:val="00E43157"/>
    <w:rsid w:val="00E461CE"/>
    <w:rsid w:val="00E51F8D"/>
    <w:rsid w:val="00E617C5"/>
    <w:rsid w:val="00E634E4"/>
    <w:rsid w:val="00E66F79"/>
    <w:rsid w:val="00E716CD"/>
    <w:rsid w:val="00E720CA"/>
    <w:rsid w:val="00E73A88"/>
    <w:rsid w:val="00E84EB5"/>
    <w:rsid w:val="00E85662"/>
    <w:rsid w:val="00E874CD"/>
    <w:rsid w:val="00E8789F"/>
    <w:rsid w:val="00E91B27"/>
    <w:rsid w:val="00E91BE4"/>
    <w:rsid w:val="00E941B9"/>
    <w:rsid w:val="00E94652"/>
    <w:rsid w:val="00E9678F"/>
    <w:rsid w:val="00E97B71"/>
    <w:rsid w:val="00E97F7D"/>
    <w:rsid w:val="00EA3D34"/>
    <w:rsid w:val="00EA6468"/>
    <w:rsid w:val="00EB454D"/>
    <w:rsid w:val="00EB470D"/>
    <w:rsid w:val="00EB7CFA"/>
    <w:rsid w:val="00EC058B"/>
    <w:rsid w:val="00ED08C1"/>
    <w:rsid w:val="00ED1ADF"/>
    <w:rsid w:val="00ED521C"/>
    <w:rsid w:val="00ED549D"/>
    <w:rsid w:val="00ED76BE"/>
    <w:rsid w:val="00EF21A1"/>
    <w:rsid w:val="00EF441D"/>
    <w:rsid w:val="00EF4B5C"/>
    <w:rsid w:val="00EF4D75"/>
    <w:rsid w:val="00EF619B"/>
    <w:rsid w:val="00F00B55"/>
    <w:rsid w:val="00F02AD1"/>
    <w:rsid w:val="00F05DA8"/>
    <w:rsid w:val="00F12CFC"/>
    <w:rsid w:val="00F168BE"/>
    <w:rsid w:val="00F204BD"/>
    <w:rsid w:val="00F23E8F"/>
    <w:rsid w:val="00F253CC"/>
    <w:rsid w:val="00F256CF"/>
    <w:rsid w:val="00F26B5A"/>
    <w:rsid w:val="00F319B2"/>
    <w:rsid w:val="00F320DA"/>
    <w:rsid w:val="00F32B1C"/>
    <w:rsid w:val="00F37106"/>
    <w:rsid w:val="00F40602"/>
    <w:rsid w:val="00F519CF"/>
    <w:rsid w:val="00F56BA5"/>
    <w:rsid w:val="00F60E22"/>
    <w:rsid w:val="00F65DDE"/>
    <w:rsid w:val="00F81395"/>
    <w:rsid w:val="00F81BB8"/>
    <w:rsid w:val="00F87C35"/>
    <w:rsid w:val="00F9124C"/>
    <w:rsid w:val="00F917D1"/>
    <w:rsid w:val="00F958BE"/>
    <w:rsid w:val="00F9653B"/>
    <w:rsid w:val="00FA1C4F"/>
    <w:rsid w:val="00FA1F40"/>
    <w:rsid w:val="00FA287D"/>
    <w:rsid w:val="00FA33DC"/>
    <w:rsid w:val="00FA49A1"/>
    <w:rsid w:val="00FA5585"/>
    <w:rsid w:val="00FB62CF"/>
    <w:rsid w:val="00FC26ED"/>
    <w:rsid w:val="00FC7C9B"/>
    <w:rsid w:val="00FD1FC9"/>
    <w:rsid w:val="00FD3C3B"/>
    <w:rsid w:val="00FD3C54"/>
    <w:rsid w:val="00FD4E56"/>
    <w:rsid w:val="00FE07DD"/>
    <w:rsid w:val="00FE6B45"/>
    <w:rsid w:val="00FF55F3"/>
    <w:rsid w:val="00FF5851"/>
    <w:rsid w:val="00FF5BCD"/>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9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semiHidden/>
    <w:unhideWhenUsed/>
    <w:rsid w:val="002F0C0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Times New Roman"/>
      <w:bdr w:val="none" w:sz="0" w:space="0" w:color="auto"/>
      <w:lang w:val="es-ES" w:eastAsia="es-CO"/>
    </w:rPr>
  </w:style>
  <w:style w:type="character" w:styleId="CommentReference">
    <w:name w:val="annotation reference"/>
    <w:basedOn w:val="DefaultParagraphFont"/>
    <w:uiPriority w:val="99"/>
    <w:semiHidden/>
    <w:unhideWhenUsed/>
    <w:rsid w:val="00551166"/>
    <w:rPr>
      <w:sz w:val="16"/>
      <w:szCs w:val="16"/>
    </w:rPr>
  </w:style>
  <w:style w:type="paragraph" w:styleId="CommentText">
    <w:name w:val="annotation text"/>
    <w:basedOn w:val="Normal"/>
    <w:link w:val="CommentTextChar"/>
    <w:uiPriority w:val="99"/>
    <w:semiHidden/>
    <w:unhideWhenUsed/>
    <w:rsid w:val="00551166"/>
    <w:rPr>
      <w:sz w:val="20"/>
      <w:szCs w:val="20"/>
    </w:rPr>
  </w:style>
  <w:style w:type="character" w:customStyle="1" w:styleId="CommentTextChar">
    <w:name w:val="Comment Text Char"/>
    <w:basedOn w:val="DefaultParagraphFont"/>
    <w:link w:val="CommentText"/>
    <w:uiPriority w:val="99"/>
    <w:semiHidden/>
    <w:rsid w:val="00551166"/>
    <w:rPr>
      <w:lang w:val="en-US" w:eastAsia="en-US"/>
    </w:rPr>
  </w:style>
  <w:style w:type="paragraph" w:styleId="CommentSubject">
    <w:name w:val="annotation subject"/>
    <w:basedOn w:val="CommentText"/>
    <w:next w:val="CommentText"/>
    <w:link w:val="CommentSubjectChar"/>
    <w:uiPriority w:val="99"/>
    <w:semiHidden/>
    <w:unhideWhenUsed/>
    <w:rsid w:val="00551166"/>
    <w:rPr>
      <w:b/>
      <w:bCs/>
    </w:rPr>
  </w:style>
  <w:style w:type="character" w:customStyle="1" w:styleId="CommentSubjectChar">
    <w:name w:val="Comment Subject Char"/>
    <w:basedOn w:val="CommentTextChar"/>
    <w:link w:val="CommentSubject"/>
    <w:uiPriority w:val="99"/>
    <w:semiHidden/>
    <w:rsid w:val="00551166"/>
    <w:rPr>
      <w:b/>
      <w:bCs/>
      <w:lang w:val="en-US" w:eastAsia="en-US"/>
    </w:rPr>
  </w:style>
  <w:style w:type="paragraph" w:styleId="Revision">
    <w:name w:val="Revision"/>
    <w:hidden/>
    <w:uiPriority w:val="99"/>
    <w:semiHidden/>
    <w:rsid w:val="0055116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semiHidden/>
    <w:unhideWhenUsed/>
    <w:rsid w:val="002F0C0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3" w:hanging="283"/>
    </w:pPr>
    <w:rPr>
      <w:rFonts w:eastAsia="Times New Roman"/>
      <w:bdr w:val="none" w:sz="0" w:space="0" w:color="auto"/>
      <w:lang w:val="es-ES" w:eastAsia="es-CO"/>
    </w:rPr>
  </w:style>
  <w:style w:type="character" w:styleId="CommentReference">
    <w:name w:val="annotation reference"/>
    <w:basedOn w:val="DefaultParagraphFont"/>
    <w:uiPriority w:val="99"/>
    <w:semiHidden/>
    <w:unhideWhenUsed/>
    <w:rsid w:val="00551166"/>
    <w:rPr>
      <w:sz w:val="16"/>
      <w:szCs w:val="16"/>
    </w:rPr>
  </w:style>
  <w:style w:type="paragraph" w:styleId="CommentText">
    <w:name w:val="annotation text"/>
    <w:basedOn w:val="Normal"/>
    <w:link w:val="CommentTextChar"/>
    <w:uiPriority w:val="99"/>
    <w:semiHidden/>
    <w:unhideWhenUsed/>
    <w:rsid w:val="00551166"/>
    <w:rPr>
      <w:sz w:val="20"/>
      <w:szCs w:val="20"/>
    </w:rPr>
  </w:style>
  <w:style w:type="character" w:customStyle="1" w:styleId="CommentTextChar">
    <w:name w:val="Comment Text Char"/>
    <w:basedOn w:val="DefaultParagraphFont"/>
    <w:link w:val="CommentText"/>
    <w:uiPriority w:val="99"/>
    <w:semiHidden/>
    <w:rsid w:val="00551166"/>
    <w:rPr>
      <w:lang w:val="en-US" w:eastAsia="en-US"/>
    </w:rPr>
  </w:style>
  <w:style w:type="paragraph" w:styleId="CommentSubject">
    <w:name w:val="annotation subject"/>
    <w:basedOn w:val="CommentText"/>
    <w:next w:val="CommentText"/>
    <w:link w:val="CommentSubjectChar"/>
    <w:uiPriority w:val="99"/>
    <w:semiHidden/>
    <w:unhideWhenUsed/>
    <w:rsid w:val="00551166"/>
    <w:rPr>
      <w:b/>
      <w:bCs/>
    </w:rPr>
  </w:style>
  <w:style w:type="character" w:customStyle="1" w:styleId="CommentSubjectChar">
    <w:name w:val="Comment Subject Char"/>
    <w:basedOn w:val="CommentTextChar"/>
    <w:link w:val="CommentSubject"/>
    <w:uiPriority w:val="99"/>
    <w:semiHidden/>
    <w:rsid w:val="00551166"/>
    <w:rPr>
      <w:b/>
      <w:bCs/>
      <w:lang w:val="en-US" w:eastAsia="en-US"/>
    </w:rPr>
  </w:style>
  <w:style w:type="paragraph" w:styleId="Revision">
    <w:name w:val="Revision"/>
    <w:hidden/>
    <w:uiPriority w:val="99"/>
    <w:semiHidden/>
    <w:rsid w:val="0055116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572377">
      <w:bodyDiv w:val="1"/>
      <w:marLeft w:val="0"/>
      <w:marRight w:val="0"/>
      <w:marTop w:val="0"/>
      <w:marBottom w:val="0"/>
      <w:divBdr>
        <w:top w:val="none" w:sz="0" w:space="0" w:color="auto"/>
        <w:left w:val="none" w:sz="0" w:space="0" w:color="auto"/>
        <w:bottom w:val="none" w:sz="0" w:space="0" w:color="auto"/>
        <w:right w:val="none" w:sz="0" w:space="0" w:color="auto"/>
      </w:divBdr>
    </w:div>
    <w:div w:id="719089295">
      <w:bodyDiv w:val="1"/>
      <w:marLeft w:val="0"/>
      <w:marRight w:val="0"/>
      <w:marTop w:val="0"/>
      <w:marBottom w:val="0"/>
      <w:divBdr>
        <w:top w:val="none" w:sz="0" w:space="0" w:color="auto"/>
        <w:left w:val="none" w:sz="0" w:space="0" w:color="auto"/>
        <w:bottom w:val="none" w:sz="0" w:space="0" w:color="auto"/>
        <w:right w:val="none" w:sz="0" w:space="0" w:color="auto"/>
      </w:divBdr>
    </w:div>
    <w:div w:id="927924788">
      <w:bodyDiv w:val="1"/>
      <w:marLeft w:val="0"/>
      <w:marRight w:val="0"/>
      <w:marTop w:val="0"/>
      <w:marBottom w:val="0"/>
      <w:divBdr>
        <w:top w:val="none" w:sz="0" w:space="0" w:color="auto"/>
        <w:left w:val="none" w:sz="0" w:space="0" w:color="auto"/>
        <w:bottom w:val="none" w:sz="0" w:space="0" w:color="auto"/>
        <w:right w:val="none" w:sz="0" w:space="0" w:color="auto"/>
      </w:divBdr>
    </w:div>
    <w:div w:id="1185947170">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www.ilo.org/safework/areasofwork/occupational-health/WCMS_354286/lang--es/index.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4537FB23E01497FBFA98CEF8CC776B5"/>
        <w:category>
          <w:name w:val="General"/>
          <w:gallery w:val="placeholder"/>
        </w:category>
        <w:types>
          <w:type w:val="bbPlcHdr"/>
        </w:types>
        <w:behaviors>
          <w:behavior w:val="content"/>
        </w:behaviors>
        <w:guid w:val="{4625314E-6E07-4272-95F0-EE71462A179D}"/>
      </w:docPartPr>
      <w:docPartBody>
        <w:p w:rsidR="001950CF" w:rsidRDefault="00305DA5" w:rsidP="00305DA5">
          <w:pPr>
            <w:pStyle w:val="14537FB23E01497FBFA98CEF8CC776B5"/>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442E2"/>
    <w:rsid w:val="00055D40"/>
    <w:rsid w:val="00067011"/>
    <w:rsid w:val="000C5364"/>
    <w:rsid w:val="001950CF"/>
    <w:rsid w:val="001D1EF9"/>
    <w:rsid w:val="00231729"/>
    <w:rsid w:val="00277A49"/>
    <w:rsid w:val="0028671B"/>
    <w:rsid w:val="00305DA5"/>
    <w:rsid w:val="0035334D"/>
    <w:rsid w:val="00394049"/>
    <w:rsid w:val="004518D5"/>
    <w:rsid w:val="00492F3E"/>
    <w:rsid w:val="004F2DF8"/>
    <w:rsid w:val="005D197A"/>
    <w:rsid w:val="005D3E7A"/>
    <w:rsid w:val="005D69B7"/>
    <w:rsid w:val="00651279"/>
    <w:rsid w:val="006A757F"/>
    <w:rsid w:val="007D0263"/>
    <w:rsid w:val="008161C5"/>
    <w:rsid w:val="0085206D"/>
    <w:rsid w:val="00917156"/>
    <w:rsid w:val="0096356B"/>
    <w:rsid w:val="009A261B"/>
    <w:rsid w:val="00AC15A4"/>
    <w:rsid w:val="00B806D7"/>
    <w:rsid w:val="00B907C6"/>
    <w:rsid w:val="00B93135"/>
    <w:rsid w:val="00BF3DA6"/>
    <w:rsid w:val="00C42CFA"/>
    <w:rsid w:val="00CA6A7F"/>
    <w:rsid w:val="00D256A2"/>
    <w:rsid w:val="00DF6FDB"/>
    <w:rsid w:val="00E6391C"/>
    <w:rsid w:val="00EB71C6"/>
    <w:rsid w:val="00F00D2F"/>
    <w:rsid w:val="00FA2388"/>
    <w:rsid w:val="00FB1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5DA5"/>
    <w:rPr>
      <w:color w:val="808080"/>
    </w:rPr>
  </w:style>
  <w:style w:type="paragraph" w:customStyle="1" w:styleId="EF85E8F873F2494CB1B0EF413DA4B061">
    <w:name w:val="EF85E8F873F2494CB1B0EF413DA4B061"/>
    <w:rsid w:val="00394049"/>
  </w:style>
  <w:style w:type="paragraph" w:customStyle="1" w:styleId="8E24EEB2CC8D48F3B9A87499B0B33045">
    <w:name w:val="8E24EEB2CC8D48F3B9A87499B0B33045"/>
    <w:rsid w:val="006A757F"/>
  </w:style>
  <w:style w:type="paragraph" w:customStyle="1" w:styleId="14537FB23E01497FBFA98CEF8CC776B5">
    <w:name w:val="14537FB23E01497FBFA98CEF8CC776B5"/>
    <w:rsid w:val="00305DA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5DA5"/>
    <w:rPr>
      <w:color w:val="808080"/>
    </w:rPr>
  </w:style>
  <w:style w:type="paragraph" w:customStyle="1" w:styleId="EF85E8F873F2494CB1B0EF413DA4B061">
    <w:name w:val="EF85E8F873F2494CB1B0EF413DA4B061"/>
    <w:rsid w:val="00394049"/>
  </w:style>
  <w:style w:type="paragraph" w:customStyle="1" w:styleId="8E24EEB2CC8D48F3B9A87499B0B33045">
    <w:name w:val="8E24EEB2CC8D48F3B9A87499B0B33045"/>
    <w:rsid w:val="006A757F"/>
  </w:style>
  <w:style w:type="paragraph" w:customStyle="1" w:styleId="14537FB23E01497FBFA98CEF8CC776B5">
    <w:name w:val="14537FB23E01497FBFA98CEF8CC776B5"/>
    <w:rsid w:val="00305D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12545-6703-48B1-A38E-0D897FB6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4366</Words>
  <Characters>23274</Characters>
  <Application>Microsoft Office Word</Application>
  <DocSecurity>0</DocSecurity>
  <Lines>465</Lines>
  <Paragraphs>164</Paragraphs>
  <ScaleCrop>false</ScaleCrop>
  <Company/>
  <LinksUpToDate>false</LinksUpToDate>
  <CharactersWithSpaces>27476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79/16</dc:title>
  <dc:creator/>
  <cp:lastModifiedBy/>
  <cp:revision>1</cp:revision>
  <dcterms:created xsi:type="dcterms:W3CDTF">2017-03-21T13:40:00Z</dcterms:created>
  <dcterms:modified xsi:type="dcterms:W3CDTF">2017-03-21T13:41:00Z</dcterms:modified>
</cp:coreProperties>
</file>