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016061" w:rsidRDefault="00D306D1" w:rsidP="00627C9F">
      <w:pPr>
        <w:jc w:val="both"/>
        <w:rPr>
          <w:rFonts w:asciiTheme="majorHAnsi" w:hAnsiTheme="majorHAnsi" w:cs="Univers"/>
          <w:b/>
          <w:bCs/>
          <w:sz w:val="22"/>
          <w:szCs w:val="22"/>
          <w:lang w:val="es-ES_tradnl"/>
        </w:rPr>
      </w:pPr>
      <w:r w:rsidRPr="00016061">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09D10F4" wp14:editId="24A0206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16061">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E07FF5D" wp14:editId="03DC600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277C" w:rsidRDefault="0059277C" w:rsidP="00AE5488">
                            <w:r>
                              <w:rPr>
                                <w:noProof/>
                              </w:rPr>
                              <w:drawing>
                                <wp:inline distT="0" distB="0" distL="0" distR="0" wp14:anchorId="69FC02D2" wp14:editId="04052E39">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59277C" w:rsidRDefault="0059277C"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2557CC" w:rsidRPr="00016061">
        <w:rPr>
          <w:rFonts w:asciiTheme="majorHAnsi" w:hAnsiTheme="majorHAnsi" w:cs="Univers"/>
          <w:b/>
          <w:bCs/>
          <w:sz w:val="22"/>
          <w:szCs w:val="22"/>
          <w:lang w:val="es-ES_tradnl"/>
        </w:rPr>
        <w:t xml:space="preserve"> </w:t>
      </w:r>
    </w:p>
    <w:p w:rsidR="00040C3A" w:rsidRPr="00016061" w:rsidRDefault="00040C3A" w:rsidP="00040C3A">
      <w:pPr>
        <w:tabs>
          <w:tab w:val="center" w:pos="5400"/>
        </w:tabs>
        <w:suppressAutoHyphens/>
        <w:jc w:val="both"/>
        <w:rPr>
          <w:rFonts w:asciiTheme="majorHAnsi" w:hAnsiTheme="majorHAnsi"/>
          <w:sz w:val="22"/>
          <w:szCs w:val="22"/>
          <w:lang w:val="es-ES"/>
        </w:rPr>
      </w:pPr>
    </w:p>
    <w:p w:rsidR="00040C3A" w:rsidRPr="00016061" w:rsidRDefault="00040C3A" w:rsidP="00040C3A">
      <w:pPr>
        <w:tabs>
          <w:tab w:val="center" w:pos="5400"/>
        </w:tabs>
        <w:suppressAutoHyphens/>
        <w:jc w:val="both"/>
        <w:rPr>
          <w:rFonts w:asciiTheme="majorHAnsi" w:hAnsiTheme="majorHAnsi"/>
          <w:sz w:val="22"/>
          <w:szCs w:val="22"/>
          <w:lang w:val="es-ES"/>
        </w:rPr>
      </w:pPr>
    </w:p>
    <w:p w:rsidR="005128E4" w:rsidRPr="00016061" w:rsidRDefault="005128E4" w:rsidP="00040C3A">
      <w:pPr>
        <w:tabs>
          <w:tab w:val="center" w:pos="5400"/>
        </w:tabs>
        <w:suppressAutoHyphens/>
        <w:rPr>
          <w:rFonts w:asciiTheme="majorHAnsi" w:hAnsiTheme="majorHAnsi"/>
          <w:sz w:val="22"/>
          <w:szCs w:val="22"/>
          <w:lang w:val="es-ES_tradnl"/>
        </w:rPr>
      </w:pPr>
    </w:p>
    <w:p w:rsidR="005128E4" w:rsidRPr="00016061" w:rsidRDefault="005128E4" w:rsidP="00040C3A">
      <w:pPr>
        <w:tabs>
          <w:tab w:val="center" w:pos="5400"/>
        </w:tabs>
        <w:suppressAutoHyphens/>
        <w:rPr>
          <w:rFonts w:asciiTheme="majorHAnsi" w:hAnsiTheme="majorHAnsi"/>
          <w:sz w:val="22"/>
          <w:szCs w:val="22"/>
          <w:lang w:val="es-ES_tradnl"/>
        </w:rPr>
      </w:pPr>
    </w:p>
    <w:p w:rsidR="005128E4" w:rsidRPr="00016061" w:rsidRDefault="005128E4" w:rsidP="00040C3A">
      <w:pPr>
        <w:tabs>
          <w:tab w:val="center" w:pos="5400"/>
        </w:tabs>
        <w:suppressAutoHyphens/>
        <w:rPr>
          <w:rFonts w:asciiTheme="majorHAnsi" w:hAnsiTheme="majorHAnsi"/>
          <w:sz w:val="22"/>
          <w:szCs w:val="22"/>
          <w:lang w:val="es-ES_tradnl"/>
        </w:rPr>
      </w:pPr>
    </w:p>
    <w:p w:rsidR="00040C3A" w:rsidRPr="00016061" w:rsidRDefault="00040C3A" w:rsidP="005128E4">
      <w:pPr>
        <w:tabs>
          <w:tab w:val="center" w:pos="5400"/>
        </w:tabs>
        <w:suppressAutoHyphens/>
        <w:jc w:val="center"/>
        <w:rPr>
          <w:rFonts w:asciiTheme="majorHAnsi" w:hAnsiTheme="majorHAnsi"/>
          <w:sz w:val="22"/>
          <w:szCs w:val="22"/>
          <w:lang w:val="es-ES_tradnl"/>
        </w:rPr>
      </w:pPr>
    </w:p>
    <w:p w:rsidR="00040C3A" w:rsidRPr="00016061" w:rsidRDefault="00040C3A" w:rsidP="005128E4">
      <w:pPr>
        <w:tabs>
          <w:tab w:val="center" w:pos="5400"/>
        </w:tabs>
        <w:suppressAutoHyphens/>
        <w:jc w:val="center"/>
        <w:rPr>
          <w:rFonts w:asciiTheme="majorHAnsi" w:hAnsiTheme="majorHAnsi"/>
          <w:sz w:val="22"/>
          <w:szCs w:val="22"/>
          <w:lang w:val="es-ES_tradnl"/>
        </w:rPr>
      </w:pPr>
    </w:p>
    <w:p w:rsidR="005B52B0" w:rsidRPr="00016061" w:rsidRDefault="005B52B0" w:rsidP="005128E4">
      <w:pPr>
        <w:tabs>
          <w:tab w:val="center" w:pos="5400"/>
        </w:tabs>
        <w:suppressAutoHyphens/>
        <w:jc w:val="center"/>
        <w:rPr>
          <w:rFonts w:asciiTheme="majorHAnsi" w:hAnsiTheme="majorHAnsi"/>
          <w:sz w:val="22"/>
          <w:szCs w:val="22"/>
          <w:lang w:val="es-ES_tradnl"/>
        </w:rPr>
      </w:pPr>
    </w:p>
    <w:p w:rsidR="005B52B0" w:rsidRPr="00016061" w:rsidRDefault="005B52B0" w:rsidP="005128E4">
      <w:pPr>
        <w:tabs>
          <w:tab w:val="center" w:pos="5400"/>
        </w:tabs>
        <w:suppressAutoHyphens/>
        <w:jc w:val="center"/>
        <w:rPr>
          <w:rFonts w:asciiTheme="majorHAnsi" w:hAnsiTheme="majorHAnsi"/>
          <w:sz w:val="22"/>
          <w:szCs w:val="22"/>
          <w:lang w:val="es-ES_tradnl"/>
        </w:rPr>
      </w:pPr>
    </w:p>
    <w:p w:rsidR="005B52B0" w:rsidRPr="00016061" w:rsidRDefault="005B52B0" w:rsidP="005128E4">
      <w:pPr>
        <w:tabs>
          <w:tab w:val="center" w:pos="5400"/>
        </w:tabs>
        <w:suppressAutoHyphens/>
        <w:jc w:val="center"/>
        <w:rPr>
          <w:rFonts w:asciiTheme="majorHAnsi" w:hAnsiTheme="majorHAnsi"/>
          <w:sz w:val="22"/>
          <w:szCs w:val="22"/>
          <w:lang w:val="es-ES_tradnl"/>
        </w:rPr>
      </w:pPr>
    </w:p>
    <w:p w:rsidR="00040C3A" w:rsidRPr="00016061" w:rsidRDefault="00040C3A" w:rsidP="00040C3A">
      <w:pPr>
        <w:tabs>
          <w:tab w:val="center" w:pos="5400"/>
        </w:tabs>
        <w:suppressAutoHyphens/>
        <w:jc w:val="center"/>
        <w:rPr>
          <w:rFonts w:asciiTheme="majorHAnsi" w:hAnsiTheme="majorHAnsi"/>
          <w:sz w:val="22"/>
          <w:szCs w:val="22"/>
          <w:lang w:val="es-ES_tradnl"/>
        </w:rPr>
      </w:pPr>
    </w:p>
    <w:p w:rsidR="00040C3A" w:rsidRPr="00016061" w:rsidRDefault="00040C3A" w:rsidP="00040C3A">
      <w:pPr>
        <w:tabs>
          <w:tab w:val="center" w:pos="5400"/>
        </w:tabs>
        <w:suppressAutoHyphens/>
        <w:jc w:val="center"/>
        <w:rPr>
          <w:rFonts w:asciiTheme="majorHAnsi" w:hAnsiTheme="majorHAnsi"/>
          <w:sz w:val="22"/>
          <w:szCs w:val="22"/>
          <w:lang w:val="es-ES_tradnl"/>
        </w:rPr>
      </w:pPr>
    </w:p>
    <w:p w:rsidR="00040C3A" w:rsidRPr="00016061" w:rsidRDefault="003D3BC2" w:rsidP="00040C3A">
      <w:pPr>
        <w:tabs>
          <w:tab w:val="center" w:pos="5400"/>
        </w:tabs>
        <w:suppressAutoHyphens/>
        <w:jc w:val="center"/>
        <w:rPr>
          <w:rFonts w:asciiTheme="majorHAnsi" w:hAnsiTheme="majorHAnsi"/>
          <w:sz w:val="22"/>
          <w:szCs w:val="22"/>
          <w:lang w:val="es-ES_tradnl"/>
        </w:rPr>
      </w:pPr>
      <w:r w:rsidRPr="00016061">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85BAD97" wp14:editId="301F43EC">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277C" w:rsidRPr="004E2649" w:rsidRDefault="0059277C"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B81877">
                              <w:rPr>
                                <w:rFonts w:asciiTheme="majorHAnsi" w:hAnsiTheme="majorHAnsi" w:cs="Arial"/>
                                <w:b/>
                                <w:bCs/>
                                <w:color w:val="0D0D0D" w:themeColor="text1" w:themeTint="F2"/>
                                <w:sz w:val="36"/>
                                <w:szCs w:val="22"/>
                                <w:lang w:val="es-ES_tradnl"/>
                              </w:rPr>
                              <w:t>35</w:t>
                            </w:r>
                            <w:r w:rsidRPr="004E2649">
                              <w:rPr>
                                <w:rFonts w:asciiTheme="majorHAnsi" w:hAnsiTheme="majorHAnsi" w:cs="Arial"/>
                                <w:b/>
                                <w:bCs/>
                                <w:color w:val="0D0D0D" w:themeColor="text1" w:themeTint="F2"/>
                                <w:sz w:val="36"/>
                                <w:szCs w:val="22"/>
                                <w:lang w:val="es-ES_tradnl"/>
                              </w:rPr>
                              <w:t>/1</w:t>
                            </w:r>
                            <w:r>
                              <w:rPr>
                                <w:rFonts w:asciiTheme="majorHAnsi" w:hAnsiTheme="majorHAnsi" w:cs="Arial"/>
                                <w:b/>
                                <w:bCs/>
                                <w:color w:val="0D0D0D" w:themeColor="text1" w:themeTint="F2"/>
                                <w:sz w:val="36"/>
                                <w:szCs w:val="22"/>
                                <w:lang w:val="es-ES_tradnl"/>
                              </w:rPr>
                              <w:t>6</w:t>
                            </w:r>
                          </w:p>
                          <w:p w:rsidR="0059277C" w:rsidRPr="004E2649" w:rsidRDefault="0059277C"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4480</w:t>
                            </w:r>
                            <w:r w:rsidRPr="00A61022">
                              <w:rPr>
                                <w:rFonts w:asciiTheme="majorHAnsi" w:hAnsiTheme="majorHAnsi" w:cs="Arial"/>
                                <w:b/>
                                <w:color w:val="0D0D0D" w:themeColor="text1" w:themeTint="F2"/>
                                <w:sz w:val="36"/>
                                <w:szCs w:val="22"/>
                                <w:lang w:val="es-ES_tradnl"/>
                              </w:rPr>
                              <w:t>-02</w:t>
                            </w:r>
                          </w:p>
                          <w:p w:rsidR="0059277C" w:rsidRPr="0010736F" w:rsidRDefault="0059277C" w:rsidP="00A61022">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59277C" w:rsidRPr="0010736F" w:rsidRDefault="0059277C" w:rsidP="00997BC5">
                            <w:pPr>
                              <w:spacing w:line="276" w:lineRule="auto"/>
                              <w:rPr>
                                <w:rFonts w:asciiTheme="majorHAnsi" w:hAnsiTheme="majorHAnsi" w:cs="Arial"/>
                                <w:color w:val="0D0D0D" w:themeColor="text1" w:themeTint="F2"/>
                                <w:szCs w:val="22"/>
                                <w:lang w:val="es-ES_tradnl"/>
                              </w:rPr>
                            </w:pPr>
                          </w:p>
                          <w:p w:rsidR="0059277C" w:rsidRPr="0010736F" w:rsidRDefault="0059277C" w:rsidP="00997BC5">
                            <w:pPr>
                              <w:spacing w:line="276" w:lineRule="auto"/>
                              <w:rPr>
                                <w:rFonts w:asciiTheme="majorHAnsi" w:hAnsiTheme="majorHAnsi" w:cs="Arial"/>
                                <w:color w:val="0D0D0D" w:themeColor="text1" w:themeTint="F2"/>
                                <w:szCs w:val="22"/>
                                <w:lang w:val="es-ES_tradnl"/>
                              </w:rPr>
                            </w:pPr>
                            <w:bookmarkStart w:id="0" w:name="_ftnref1"/>
                          </w:p>
                          <w:bookmarkEnd w:id="0"/>
                          <w:p w:rsidR="0059277C" w:rsidRPr="00A61022" w:rsidRDefault="0059277C" w:rsidP="00A61022">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CARLOS MANUEL VERAZA URTUSUÁSTEGUI</w:t>
                            </w:r>
                          </w:p>
                          <w:p w:rsidR="00F43645" w:rsidRPr="00F43645" w:rsidRDefault="00F43645" w:rsidP="00F43645">
                            <w:pPr>
                              <w:rPr>
                                <w:rFonts w:asciiTheme="majorHAnsi" w:hAnsiTheme="majorHAnsi" w:cs="Arial"/>
                                <w:color w:val="0D0D0D" w:themeColor="text1" w:themeTint="F2"/>
                                <w:szCs w:val="22"/>
                                <w:lang w:val="pt-BR"/>
                              </w:rPr>
                            </w:pPr>
                            <w:r w:rsidRPr="00F43645">
                              <w:rPr>
                                <w:rFonts w:asciiTheme="majorHAnsi" w:hAnsiTheme="majorHAnsi" w:cs="Arial"/>
                                <w:color w:val="0D0D0D" w:themeColor="text1" w:themeTint="F2"/>
                                <w:szCs w:val="22"/>
                              </w:rPr>
                              <w:t>MÉXICO</w:t>
                            </w:r>
                          </w:p>
                          <w:p w:rsidR="0059277C" w:rsidRPr="00AE5488" w:rsidRDefault="0059277C"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9277C" w:rsidRPr="004E2649" w:rsidRDefault="0059277C"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B81877">
                        <w:rPr>
                          <w:rFonts w:asciiTheme="majorHAnsi" w:hAnsiTheme="majorHAnsi" w:cs="Arial"/>
                          <w:b/>
                          <w:bCs/>
                          <w:color w:val="0D0D0D" w:themeColor="text1" w:themeTint="F2"/>
                          <w:sz w:val="36"/>
                          <w:szCs w:val="22"/>
                          <w:lang w:val="es-ES_tradnl"/>
                        </w:rPr>
                        <w:t>35</w:t>
                      </w:r>
                      <w:r w:rsidRPr="004E2649">
                        <w:rPr>
                          <w:rFonts w:asciiTheme="majorHAnsi" w:hAnsiTheme="majorHAnsi" w:cs="Arial"/>
                          <w:b/>
                          <w:bCs/>
                          <w:color w:val="0D0D0D" w:themeColor="text1" w:themeTint="F2"/>
                          <w:sz w:val="36"/>
                          <w:szCs w:val="22"/>
                          <w:lang w:val="es-ES_tradnl"/>
                        </w:rPr>
                        <w:t>/1</w:t>
                      </w:r>
                      <w:r>
                        <w:rPr>
                          <w:rFonts w:asciiTheme="majorHAnsi" w:hAnsiTheme="majorHAnsi" w:cs="Arial"/>
                          <w:b/>
                          <w:bCs/>
                          <w:color w:val="0D0D0D" w:themeColor="text1" w:themeTint="F2"/>
                          <w:sz w:val="36"/>
                          <w:szCs w:val="22"/>
                          <w:lang w:val="es-ES_tradnl"/>
                        </w:rPr>
                        <w:t>6</w:t>
                      </w:r>
                    </w:p>
                    <w:p w:rsidR="0059277C" w:rsidRPr="004E2649" w:rsidRDefault="0059277C"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4480</w:t>
                      </w:r>
                      <w:r w:rsidRPr="00A61022">
                        <w:rPr>
                          <w:rFonts w:asciiTheme="majorHAnsi" w:hAnsiTheme="majorHAnsi" w:cs="Arial"/>
                          <w:b/>
                          <w:color w:val="0D0D0D" w:themeColor="text1" w:themeTint="F2"/>
                          <w:sz w:val="36"/>
                          <w:szCs w:val="22"/>
                          <w:lang w:val="es-ES_tradnl"/>
                        </w:rPr>
                        <w:t>-02</w:t>
                      </w:r>
                    </w:p>
                    <w:p w:rsidR="0059277C" w:rsidRPr="0010736F" w:rsidRDefault="0059277C" w:rsidP="00A61022">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59277C" w:rsidRPr="0010736F" w:rsidRDefault="0059277C" w:rsidP="00997BC5">
                      <w:pPr>
                        <w:spacing w:line="276" w:lineRule="auto"/>
                        <w:rPr>
                          <w:rFonts w:asciiTheme="majorHAnsi" w:hAnsiTheme="majorHAnsi" w:cs="Arial"/>
                          <w:color w:val="0D0D0D" w:themeColor="text1" w:themeTint="F2"/>
                          <w:szCs w:val="22"/>
                          <w:lang w:val="es-ES_tradnl"/>
                        </w:rPr>
                      </w:pPr>
                    </w:p>
                    <w:p w:rsidR="0059277C" w:rsidRPr="0010736F" w:rsidRDefault="0059277C" w:rsidP="00997BC5">
                      <w:pPr>
                        <w:spacing w:line="276" w:lineRule="auto"/>
                        <w:rPr>
                          <w:rFonts w:asciiTheme="majorHAnsi" w:hAnsiTheme="majorHAnsi" w:cs="Arial"/>
                          <w:color w:val="0D0D0D" w:themeColor="text1" w:themeTint="F2"/>
                          <w:szCs w:val="22"/>
                          <w:lang w:val="es-ES_tradnl"/>
                        </w:rPr>
                      </w:pPr>
                      <w:bookmarkStart w:id="1" w:name="_ftnref1"/>
                    </w:p>
                    <w:bookmarkEnd w:id="1"/>
                    <w:p w:rsidR="0059277C" w:rsidRPr="00A61022" w:rsidRDefault="0059277C" w:rsidP="00A61022">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CARLOS MANUEL VERAZA URTUSUÁSTEGUI</w:t>
                      </w:r>
                    </w:p>
                    <w:p w:rsidR="00F43645" w:rsidRPr="00F43645" w:rsidRDefault="00F43645" w:rsidP="00F43645">
                      <w:pPr>
                        <w:rPr>
                          <w:rFonts w:asciiTheme="majorHAnsi" w:hAnsiTheme="majorHAnsi" w:cs="Arial"/>
                          <w:color w:val="0D0D0D" w:themeColor="text1" w:themeTint="F2"/>
                          <w:szCs w:val="22"/>
                          <w:lang w:val="pt-BR"/>
                        </w:rPr>
                      </w:pPr>
                      <w:r w:rsidRPr="00F43645">
                        <w:rPr>
                          <w:rFonts w:asciiTheme="majorHAnsi" w:hAnsiTheme="majorHAnsi" w:cs="Arial"/>
                          <w:color w:val="0D0D0D" w:themeColor="text1" w:themeTint="F2"/>
                          <w:szCs w:val="22"/>
                        </w:rPr>
                        <w:t>MÉXICO</w:t>
                      </w:r>
                    </w:p>
                    <w:p w:rsidR="0059277C" w:rsidRPr="00AE5488" w:rsidRDefault="0059277C" w:rsidP="007A5817">
                      <w:pPr>
                        <w:rPr>
                          <w:color w:val="0D0D0D" w:themeColor="text1" w:themeTint="F2"/>
                          <w:lang w:val="es-ES_tradnl"/>
                        </w:rPr>
                      </w:pPr>
                    </w:p>
                  </w:txbxContent>
                </v:textbox>
              </v:shape>
            </w:pict>
          </mc:Fallback>
        </mc:AlternateContent>
      </w:r>
      <w:r w:rsidR="004E2649" w:rsidRPr="00016061">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3A7D9099" wp14:editId="7E210B94">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277C" w:rsidRPr="004E2649" w:rsidRDefault="0013643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59277C" w:rsidRPr="004E2649" w:rsidRDefault="0059277C"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5D703E">
                              <w:rPr>
                                <w:rFonts w:asciiTheme="minorHAnsi" w:hAnsiTheme="minorHAnsi"/>
                                <w:color w:val="FFFFFF" w:themeColor="background1"/>
                                <w:sz w:val="22"/>
                                <w:lang w:val="pt-BR"/>
                              </w:rPr>
                              <w:t>40</w:t>
                            </w:r>
                          </w:p>
                          <w:p w:rsidR="0059277C" w:rsidRPr="004E2649" w:rsidRDefault="004C736E"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29</w:t>
                            </w:r>
                            <w:r w:rsidR="00B81877">
                              <w:rPr>
                                <w:rFonts w:asciiTheme="minorHAnsi" w:hAnsiTheme="minorHAnsi"/>
                                <w:color w:val="FFFFFF" w:themeColor="background1"/>
                                <w:sz w:val="22"/>
                              </w:rPr>
                              <w:t xml:space="preserve"> julio</w:t>
                            </w:r>
                            <w:r w:rsidR="0059277C" w:rsidRPr="004E2649">
                              <w:rPr>
                                <w:rFonts w:asciiTheme="minorHAnsi" w:hAnsiTheme="minorHAnsi"/>
                                <w:color w:val="FFFFFF" w:themeColor="background1"/>
                                <w:sz w:val="22"/>
                              </w:rPr>
                              <w:t xml:space="preserve"> 201</w:t>
                            </w:r>
                            <w:r w:rsidR="0059277C">
                              <w:rPr>
                                <w:rFonts w:asciiTheme="minorHAnsi" w:hAnsiTheme="minorHAnsi"/>
                                <w:color w:val="FFFFFF" w:themeColor="background1"/>
                                <w:sz w:val="22"/>
                              </w:rPr>
                              <w:t>6</w:t>
                            </w:r>
                          </w:p>
                          <w:p w:rsidR="0059277C" w:rsidRPr="004E2649" w:rsidRDefault="0059277C"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59277C" w:rsidRPr="004E2649" w:rsidRDefault="00136432"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59277C" w:rsidRPr="004E2649" w:rsidRDefault="0059277C"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5D703E">
                        <w:rPr>
                          <w:rFonts w:asciiTheme="minorHAnsi" w:hAnsiTheme="minorHAnsi"/>
                          <w:color w:val="FFFFFF" w:themeColor="background1"/>
                          <w:sz w:val="22"/>
                          <w:lang w:val="pt-BR"/>
                        </w:rPr>
                        <w:t>40</w:t>
                      </w:r>
                      <w:bookmarkStart w:id="2" w:name="_GoBack"/>
                      <w:bookmarkEnd w:id="2"/>
                    </w:p>
                    <w:p w:rsidR="0059277C" w:rsidRPr="004E2649" w:rsidRDefault="004C736E"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29</w:t>
                      </w:r>
                      <w:r w:rsidR="00B81877">
                        <w:rPr>
                          <w:rFonts w:asciiTheme="minorHAnsi" w:hAnsiTheme="minorHAnsi"/>
                          <w:color w:val="FFFFFF" w:themeColor="background1"/>
                          <w:sz w:val="22"/>
                        </w:rPr>
                        <w:t xml:space="preserve"> </w:t>
                      </w:r>
                      <w:proofErr w:type="spellStart"/>
                      <w:proofErr w:type="gramStart"/>
                      <w:r w:rsidR="00B81877">
                        <w:rPr>
                          <w:rFonts w:asciiTheme="minorHAnsi" w:hAnsiTheme="minorHAnsi"/>
                          <w:color w:val="FFFFFF" w:themeColor="background1"/>
                          <w:sz w:val="22"/>
                        </w:rPr>
                        <w:t>julio</w:t>
                      </w:r>
                      <w:proofErr w:type="spellEnd"/>
                      <w:proofErr w:type="gramEnd"/>
                      <w:r w:rsidR="0059277C" w:rsidRPr="004E2649">
                        <w:rPr>
                          <w:rFonts w:asciiTheme="minorHAnsi" w:hAnsiTheme="minorHAnsi"/>
                          <w:color w:val="FFFFFF" w:themeColor="background1"/>
                          <w:sz w:val="22"/>
                        </w:rPr>
                        <w:t xml:space="preserve"> 201</w:t>
                      </w:r>
                      <w:r w:rsidR="0059277C">
                        <w:rPr>
                          <w:rFonts w:asciiTheme="minorHAnsi" w:hAnsiTheme="minorHAnsi"/>
                          <w:color w:val="FFFFFF" w:themeColor="background1"/>
                          <w:sz w:val="22"/>
                        </w:rPr>
                        <w:t>6</w:t>
                      </w:r>
                    </w:p>
                    <w:p w:rsidR="0059277C" w:rsidRPr="004E2649" w:rsidRDefault="0059277C"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v:textbox>
              </v:shape>
            </w:pict>
          </mc:Fallback>
        </mc:AlternateContent>
      </w:r>
    </w:p>
    <w:p w:rsidR="00040C3A" w:rsidRPr="00016061" w:rsidRDefault="00040C3A" w:rsidP="00040C3A">
      <w:pPr>
        <w:tabs>
          <w:tab w:val="center" w:pos="5400"/>
        </w:tabs>
        <w:suppressAutoHyphens/>
        <w:jc w:val="center"/>
        <w:rPr>
          <w:rFonts w:asciiTheme="majorHAnsi" w:hAnsiTheme="majorHAnsi"/>
          <w:sz w:val="22"/>
          <w:szCs w:val="22"/>
          <w:lang w:val="es-ES_tradnl"/>
        </w:rPr>
      </w:pPr>
    </w:p>
    <w:p w:rsidR="00040C3A" w:rsidRPr="00016061" w:rsidRDefault="00040C3A" w:rsidP="00040C3A">
      <w:pPr>
        <w:tabs>
          <w:tab w:val="center" w:pos="5400"/>
        </w:tabs>
        <w:suppressAutoHyphens/>
        <w:jc w:val="center"/>
        <w:rPr>
          <w:rFonts w:asciiTheme="majorHAnsi" w:hAnsiTheme="majorHAnsi"/>
          <w:sz w:val="22"/>
          <w:szCs w:val="22"/>
          <w:lang w:val="es-ES_tradnl"/>
        </w:rPr>
      </w:pPr>
    </w:p>
    <w:p w:rsidR="00040C3A" w:rsidRPr="00016061" w:rsidRDefault="00040C3A" w:rsidP="00040C3A">
      <w:pPr>
        <w:tabs>
          <w:tab w:val="center" w:pos="5400"/>
        </w:tabs>
        <w:suppressAutoHyphens/>
        <w:jc w:val="center"/>
        <w:rPr>
          <w:rFonts w:asciiTheme="majorHAnsi" w:hAnsiTheme="majorHAnsi" w:cs="Arial"/>
          <w:sz w:val="22"/>
          <w:szCs w:val="22"/>
          <w:lang w:val="es-ES_tradnl"/>
        </w:rPr>
      </w:pPr>
    </w:p>
    <w:p w:rsidR="00040C3A" w:rsidRPr="00016061" w:rsidRDefault="00040C3A" w:rsidP="00040C3A">
      <w:pPr>
        <w:tabs>
          <w:tab w:val="center" w:pos="5400"/>
        </w:tabs>
        <w:suppressAutoHyphens/>
        <w:jc w:val="center"/>
        <w:rPr>
          <w:rFonts w:asciiTheme="majorHAnsi" w:hAnsiTheme="majorHAnsi"/>
          <w:sz w:val="22"/>
          <w:szCs w:val="22"/>
          <w:lang w:val="es-ES_tradnl"/>
        </w:rPr>
      </w:pPr>
    </w:p>
    <w:p w:rsidR="00040C3A" w:rsidRPr="00016061" w:rsidRDefault="00040C3A" w:rsidP="00040C3A">
      <w:pPr>
        <w:tabs>
          <w:tab w:val="center" w:pos="5400"/>
        </w:tabs>
        <w:suppressAutoHyphens/>
        <w:jc w:val="center"/>
        <w:rPr>
          <w:rFonts w:asciiTheme="majorHAnsi" w:hAnsiTheme="majorHAnsi"/>
          <w:sz w:val="22"/>
          <w:szCs w:val="22"/>
          <w:lang w:val="es-ES_tradnl"/>
        </w:rPr>
      </w:pPr>
    </w:p>
    <w:p w:rsidR="00040C3A" w:rsidRPr="00016061" w:rsidRDefault="00040C3A" w:rsidP="00040C3A">
      <w:pPr>
        <w:tabs>
          <w:tab w:val="center" w:pos="5400"/>
        </w:tabs>
        <w:suppressAutoHyphens/>
        <w:jc w:val="center"/>
        <w:rPr>
          <w:rFonts w:asciiTheme="majorHAnsi" w:hAnsiTheme="majorHAnsi"/>
          <w:sz w:val="22"/>
          <w:szCs w:val="22"/>
          <w:lang w:val="es-ES_tradnl"/>
        </w:rPr>
      </w:pPr>
    </w:p>
    <w:p w:rsidR="00040C3A" w:rsidRPr="00016061" w:rsidRDefault="00040C3A" w:rsidP="00040C3A">
      <w:pPr>
        <w:tabs>
          <w:tab w:val="center" w:pos="5400"/>
        </w:tabs>
        <w:suppressAutoHyphens/>
        <w:jc w:val="center"/>
        <w:rPr>
          <w:rFonts w:asciiTheme="majorHAnsi" w:hAnsiTheme="majorHAnsi"/>
          <w:sz w:val="22"/>
          <w:szCs w:val="22"/>
          <w:lang w:val="es-ES_tradnl"/>
        </w:rPr>
      </w:pPr>
    </w:p>
    <w:p w:rsidR="005128E4" w:rsidRPr="00016061" w:rsidRDefault="005128E4" w:rsidP="00040C3A">
      <w:pPr>
        <w:tabs>
          <w:tab w:val="center" w:pos="5400"/>
        </w:tabs>
        <w:suppressAutoHyphens/>
        <w:jc w:val="center"/>
        <w:rPr>
          <w:rFonts w:asciiTheme="majorHAnsi" w:hAnsiTheme="majorHAnsi"/>
          <w:sz w:val="22"/>
          <w:szCs w:val="22"/>
          <w:lang w:val="es-ES_tradnl"/>
        </w:rPr>
      </w:pPr>
    </w:p>
    <w:p w:rsidR="00040C3A" w:rsidRPr="00016061" w:rsidRDefault="00040C3A" w:rsidP="00040C3A">
      <w:pPr>
        <w:tabs>
          <w:tab w:val="center" w:pos="5400"/>
        </w:tabs>
        <w:suppressAutoHyphens/>
        <w:jc w:val="center"/>
        <w:rPr>
          <w:rFonts w:asciiTheme="majorHAnsi" w:hAnsiTheme="majorHAnsi"/>
          <w:sz w:val="22"/>
          <w:szCs w:val="22"/>
          <w:lang w:val="es-ES_tradnl"/>
        </w:rPr>
      </w:pPr>
    </w:p>
    <w:p w:rsidR="005128E4" w:rsidRPr="00016061" w:rsidRDefault="005128E4" w:rsidP="00040C3A">
      <w:pPr>
        <w:tabs>
          <w:tab w:val="center" w:pos="5400"/>
        </w:tabs>
        <w:suppressAutoHyphens/>
        <w:jc w:val="center"/>
        <w:rPr>
          <w:rFonts w:asciiTheme="majorHAnsi" w:hAnsiTheme="majorHAnsi"/>
          <w:sz w:val="22"/>
          <w:szCs w:val="22"/>
          <w:lang w:val="es-ES_tradnl"/>
        </w:rPr>
      </w:pPr>
    </w:p>
    <w:p w:rsidR="005128E4" w:rsidRPr="00016061" w:rsidRDefault="005128E4" w:rsidP="00040C3A">
      <w:pPr>
        <w:tabs>
          <w:tab w:val="center" w:pos="5400"/>
        </w:tabs>
        <w:suppressAutoHyphens/>
        <w:jc w:val="center"/>
        <w:rPr>
          <w:rFonts w:asciiTheme="majorHAnsi" w:hAnsiTheme="majorHAnsi"/>
          <w:sz w:val="22"/>
          <w:szCs w:val="22"/>
          <w:lang w:val="es-ES_tradnl"/>
        </w:rPr>
      </w:pPr>
    </w:p>
    <w:p w:rsidR="005128E4" w:rsidRPr="00016061" w:rsidRDefault="005128E4" w:rsidP="00040C3A">
      <w:pPr>
        <w:tabs>
          <w:tab w:val="center" w:pos="5400"/>
        </w:tabs>
        <w:suppressAutoHyphens/>
        <w:jc w:val="center"/>
        <w:rPr>
          <w:rFonts w:asciiTheme="majorHAnsi" w:hAnsiTheme="majorHAnsi"/>
          <w:sz w:val="22"/>
          <w:szCs w:val="22"/>
          <w:lang w:val="es-ES_tradnl"/>
        </w:rPr>
      </w:pPr>
    </w:p>
    <w:p w:rsidR="00040C3A" w:rsidRPr="00016061" w:rsidRDefault="00040C3A" w:rsidP="00040C3A">
      <w:pPr>
        <w:tabs>
          <w:tab w:val="center" w:pos="5400"/>
        </w:tabs>
        <w:suppressAutoHyphens/>
        <w:jc w:val="center"/>
        <w:rPr>
          <w:rFonts w:asciiTheme="majorHAnsi" w:hAnsiTheme="majorHAnsi"/>
          <w:sz w:val="22"/>
          <w:szCs w:val="22"/>
          <w:lang w:val="es-ES_tradnl"/>
        </w:rPr>
      </w:pPr>
    </w:p>
    <w:p w:rsidR="00040C3A" w:rsidRPr="00016061" w:rsidRDefault="00040C3A" w:rsidP="00040C3A">
      <w:pPr>
        <w:tabs>
          <w:tab w:val="center" w:pos="5400"/>
        </w:tabs>
        <w:suppressAutoHyphens/>
        <w:jc w:val="center"/>
        <w:rPr>
          <w:rFonts w:asciiTheme="majorHAnsi" w:hAnsiTheme="majorHAnsi"/>
          <w:sz w:val="22"/>
          <w:szCs w:val="22"/>
          <w:lang w:val="es-ES_tradnl"/>
        </w:rPr>
      </w:pPr>
    </w:p>
    <w:p w:rsidR="00A50FCF" w:rsidRPr="00016061" w:rsidRDefault="00A50FCF" w:rsidP="00040C3A">
      <w:pPr>
        <w:tabs>
          <w:tab w:val="center" w:pos="5400"/>
        </w:tabs>
        <w:suppressAutoHyphens/>
        <w:jc w:val="center"/>
        <w:rPr>
          <w:rFonts w:asciiTheme="majorHAnsi" w:hAnsiTheme="majorHAnsi"/>
          <w:sz w:val="18"/>
          <w:szCs w:val="22"/>
          <w:lang w:val="es-ES_tradnl"/>
        </w:rPr>
      </w:pPr>
    </w:p>
    <w:p w:rsidR="00A50FCF" w:rsidRPr="00016061" w:rsidRDefault="00A50FCF" w:rsidP="00040C3A">
      <w:pPr>
        <w:tabs>
          <w:tab w:val="center" w:pos="5400"/>
        </w:tabs>
        <w:suppressAutoHyphens/>
        <w:jc w:val="center"/>
        <w:rPr>
          <w:rFonts w:asciiTheme="majorHAnsi" w:hAnsiTheme="majorHAnsi"/>
          <w:sz w:val="18"/>
          <w:szCs w:val="22"/>
          <w:lang w:val="es-ES_tradnl"/>
        </w:rPr>
      </w:pPr>
    </w:p>
    <w:p w:rsidR="00A50FCF" w:rsidRPr="00016061" w:rsidRDefault="00A50FCF" w:rsidP="00040C3A">
      <w:pPr>
        <w:tabs>
          <w:tab w:val="center" w:pos="5400"/>
        </w:tabs>
        <w:suppressAutoHyphens/>
        <w:jc w:val="center"/>
        <w:rPr>
          <w:rFonts w:asciiTheme="majorHAnsi" w:hAnsiTheme="majorHAnsi"/>
          <w:sz w:val="18"/>
          <w:szCs w:val="22"/>
          <w:lang w:val="es-ES_tradnl"/>
        </w:rPr>
      </w:pPr>
    </w:p>
    <w:p w:rsidR="00A50FCF" w:rsidRPr="00016061" w:rsidRDefault="00A50FCF" w:rsidP="00040C3A">
      <w:pPr>
        <w:tabs>
          <w:tab w:val="center" w:pos="5400"/>
        </w:tabs>
        <w:suppressAutoHyphens/>
        <w:jc w:val="center"/>
        <w:rPr>
          <w:rFonts w:asciiTheme="majorHAnsi" w:hAnsiTheme="majorHAnsi"/>
          <w:sz w:val="18"/>
          <w:szCs w:val="22"/>
          <w:lang w:val="es-ES_tradnl"/>
        </w:rPr>
      </w:pPr>
    </w:p>
    <w:p w:rsidR="00A50FCF" w:rsidRPr="00016061" w:rsidRDefault="00A50FCF" w:rsidP="00040C3A">
      <w:pPr>
        <w:tabs>
          <w:tab w:val="center" w:pos="5400"/>
        </w:tabs>
        <w:suppressAutoHyphens/>
        <w:jc w:val="center"/>
        <w:rPr>
          <w:rFonts w:asciiTheme="majorHAnsi" w:hAnsiTheme="majorHAnsi"/>
          <w:sz w:val="18"/>
          <w:szCs w:val="22"/>
          <w:lang w:val="es-ES_tradnl"/>
        </w:rPr>
      </w:pPr>
    </w:p>
    <w:p w:rsidR="00A50FCF" w:rsidRPr="00016061" w:rsidRDefault="00A50FCF" w:rsidP="00040C3A">
      <w:pPr>
        <w:tabs>
          <w:tab w:val="center" w:pos="5400"/>
        </w:tabs>
        <w:suppressAutoHyphens/>
        <w:jc w:val="center"/>
        <w:rPr>
          <w:rFonts w:asciiTheme="majorHAnsi" w:hAnsiTheme="majorHAnsi"/>
          <w:sz w:val="18"/>
          <w:szCs w:val="22"/>
          <w:lang w:val="es-ES_tradnl"/>
        </w:rPr>
      </w:pPr>
    </w:p>
    <w:p w:rsidR="00A50FCF" w:rsidRPr="00016061" w:rsidRDefault="00A50FCF" w:rsidP="00040C3A">
      <w:pPr>
        <w:tabs>
          <w:tab w:val="center" w:pos="5400"/>
        </w:tabs>
        <w:suppressAutoHyphens/>
        <w:jc w:val="center"/>
        <w:rPr>
          <w:rFonts w:asciiTheme="majorHAnsi" w:hAnsiTheme="majorHAnsi"/>
          <w:sz w:val="18"/>
          <w:szCs w:val="22"/>
          <w:lang w:val="es-ES_tradnl"/>
        </w:rPr>
      </w:pPr>
    </w:p>
    <w:p w:rsidR="00A50FCF" w:rsidRPr="00016061" w:rsidRDefault="00A50FCF" w:rsidP="00040C3A">
      <w:pPr>
        <w:tabs>
          <w:tab w:val="center" w:pos="5400"/>
        </w:tabs>
        <w:suppressAutoHyphens/>
        <w:jc w:val="center"/>
        <w:rPr>
          <w:rFonts w:asciiTheme="majorHAnsi" w:hAnsiTheme="majorHAnsi"/>
          <w:sz w:val="18"/>
          <w:szCs w:val="22"/>
          <w:lang w:val="es-ES_tradnl"/>
        </w:rPr>
      </w:pPr>
    </w:p>
    <w:p w:rsidR="00A50FCF" w:rsidRPr="00016061" w:rsidRDefault="00A50FCF" w:rsidP="00040C3A">
      <w:pPr>
        <w:tabs>
          <w:tab w:val="center" w:pos="5400"/>
        </w:tabs>
        <w:suppressAutoHyphens/>
        <w:jc w:val="center"/>
        <w:rPr>
          <w:rFonts w:asciiTheme="majorHAnsi" w:hAnsiTheme="majorHAnsi"/>
          <w:sz w:val="18"/>
          <w:szCs w:val="22"/>
          <w:lang w:val="es-ES_tradnl"/>
        </w:rPr>
      </w:pPr>
    </w:p>
    <w:p w:rsidR="00A50FCF" w:rsidRPr="00016061" w:rsidRDefault="00A50FCF" w:rsidP="00040C3A">
      <w:pPr>
        <w:tabs>
          <w:tab w:val="center" w:pos="5400"/>
        </w:tabs>
        <w:suppressAutoHyphens/>
        <w:jc w:val="center"/>
        <w:rPr>
          <w:rFonts w:asciiTheme="majorHAnsi" w:hAnsiTheme="majorHAnsi"/>
          <w:sz w:val="18"/>
          <w:szCs w:val="22"/>
          <w:lang w:val="es-ES_tradnl"/>
        </w:rPr>
      </w:pPr>
    </w:p>
    <w:p w:rsidR="00A50FCF" w:rsidRPr="00016061" w:rsidRDefault="00A50FCF" w:rsidP="00040C3A">
      <w:pPr>
        <w:tabs>
          <w:tab w:val="center" w:pos="5400"/>
        </w:tabs>
        <w:suppressAutoHyphens/>
        <w:jc w:val="center"/>
        <w:rPr>
          <w:rFonts w:asciiTheme="majorHAnsi" w:hAnsiTheme="majorHAnsi"/>
          <w:sz w:val="18"/>
          <w:szCs w:val="22"/>
          <w:lang w:val="es-ES_tradnl"/>
        </w:rPr>
      </w:pPr>
    </w:p>
    <w:p w:rsidR="00A50FCF" w:rsidRPr="00016061" w:rsidRDefault="00A50FCF" w:rsidP="00040C3A">
      <w:pPr>
        <w:tabs>
          <w:tab w:val="center" w:pos="5400"/>
        </w:tabs>
        <w:suppressAutoHyphens/>
        <w:jc w:val="center"/>
        <w:rPr>
          <w:rFonts w:asciiTheme="majorHAnsi" w:hAnsiTheme="majorHAnsi"/>
          <w:sz w:val="18"/>
          <w:szCs w:val="22"/>
          <w:lang w:val="es-ES_tradnl"/>
        </w:rPr>
      </w:pPr>
    </w:p>
    <w:p w:rsidR="00A50FCF" w:rsidRPr="00016061" w:rsidRDefault="00A50FCF" w:rsidP="00040C3A">
      <w:pPr>
        <w:tabs>
          <w:tab w:val="center" w:pos="5400"/>
        </w:tabs>
        <w:suppressAutoHyphens/>
        <w:jc w:val="center"/>
        <w:rPr>
          <w:rFonts w:asciiTheme="majorHAnsi" w:hAnsiTheme="majorHAnsi"/>
          <w:sz w:val="18"/>
          <w:szCs w:val="22"/>
          <w:lang w:val="es-ES_tradnl"/>
        </w:rPr>
      </w:pPr>
    </w:p>
    <w:p w:rsidR="00A50FCF" w:rsidRPr="00016061" w:rsidRDefault="00A50FCF" w:rsidP="00040C3A">
      <w:pPr>
        <w:tabs>
          <w:tab w:val="center" w:pos="5400"/>
        </w:tabs>
        <w:suppressAutoHyphens/>
        <w:jc w:val="center"/>
        <w:rPr>
          <w:rFonts w:asciiTheme="majorHAnsi" w:hAnsiTheme="majorHAnsi"/>
          <w:sz w:val="18"/>
          <w:szCs w:val="22"/>
          <w:lang w:val="es-ES_tradnl"/>
        </w:rPr>
      </w:pPr>
    </w:p>
    <w:p w:rsidR="00A50FCF" w:rsidRPr="00016061" w:rsidRDefault="0090270B" w:rsidP="00040C3A">
      <w:pPr>
        <w:tabs>
          <w:tab w:val="center" w:pos="5400"/>
        </w:tabs>
        <w:suppressAutoHyphens/>
        <w:jc w:val="center"/>
        <w:rPr>
          <w:rFonts w:asciiTheme="majorHAnsi" w:hAnsiTheme="majorHAnsi"/>
          <w:sz w:val="18"/>
          <w:szCs w:val="22"/>
          <w:lang w:val="es-ES_tradnl"/>
        </w:rPr>
      </w:pPr>
      <w:r w:rsidRPr="00016061">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4C63057" wp14:editId="523951F2">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277C" w:rsidRPr="004C736E" w:rsidRDefault="0059277C" w:rsidP="00247403">
                            <w:pPr>
                              <w:tabs>
                                <w:tab w:val="center" w:pos="5400"/>
                              </w:tabs>
                              <w:suppressAutoHyphens/>
                              <w:spacing w:before="60"/>
                              <w:rPr>
                                <w:rFonts w:asciiTheme="majorHAnsi" w:hAnsiTheme="majorHAnsi" w:cs="Univers"/>
                                <w:color w:val="0D0D0D" w:themeColor="text1" w:themeTint="F2"/>
                                <w:sz w:val="18"/>
                                <w:szCs w:val="20"/>
                                <w:lang w:val="es-ES"/>
                              </w:rPr>
                            </w:pPr>
                            <w:r w:rsidRPr="003A7DB5">
                              <w:rPr>
                                <w:rFonts w:asciiTheme="majorHAnsi" w:hAnsiTheme="majorHAnsi"/>
                                <w:color w:val="0D0D0D" w:themeColor="text1" w:themeTint="F2"/>
                                <w:sz w:val="18"/>
                                <w:szCs w:val="20"/>
                                <w:lang w:val="es-ES"/>
                              </w:rPr>
                              <w:t xml:space="preserve">Aprobado por la Comisión </w:t>
                            </w:r>
                            <w:r w:rsidR="006B4163">
                              <w:rPr>
                                <w:rFonts w:asciiTheme="majorHAnsi" w:hAnsiTheme="majorHAnsi"/>
                                <w:color w:val="0D0D0D" w:themeColor="text1" w:themeTint="F2"/>
                                <w:sz w:val="18"/>
                                <w:szCs w:val="20"/>
                                <w:lang w:val="es-ES"/>
                              </w:rPr>
                              <w:t>Interamericana de Derechos Humanos</w:t>
                            </w:r>
                            <w:r w:rsidRPr="003A7DB5">
                              <w:rPr>
                                <w:rFonts w:asciiTheme="majorHAnsi" w:hAnsiTheme="majorHAnsi"/>
                                <w:color w:val="0D0D0D" w:themeColor="text1" w:themeTint="F2"/>
                                <w:sz w:val="18"/>
                                <w:szCs w:val="20"/>
                                <w:lang w:val="es-ES"/>
                              </w:rPr>
                              <w:t xml:space="preserve"> el </w:t>
                            </w:r>
                            <w:r w:rsidR="004C736E">
                              <w:rPr>
                                <w:rFonts w:asciiTheme="majorHAnsi" w:hAnsiTheme="majorHAnsi"/>
                                <w:color w:val="0D0D0D" w:themeColor="text1" w:themeTint="F2"/>
                                <w:sz w:val="18"/>
                                <w:szCs w:val="20"/>
                                <w:lang w:val="es-ES"/>
                              </w:rPr>
                              <w:t>29</w:t>
                            </w:r>
                            <w:r w:rsidRPr="003A7DB5">
                              <w:rPr>
                                <w:rFonts w:asciiTheme="majorHAnsi" w:hAnsiTheme="majorHAnsi"/>
                                <w:color w:val="0D0D0D" w:themeColor="text1" w:themeTint="F2"/>
                                <w:sz w:val="18"/>
                                <w:szCs w:val="20"/>
                                <w:lang w:val="es-ES"/>
                              </w:rPr>
                              <w:t xml:space="preserve"> de </w:t>
                            </w:r>
                            <w:r w:rsidR="004C736E">
                              <w:rPr>
                                <w:rFonts w:asciiTheme="majorHAnsi" w:hAnsiTheme="majorHAnsi"/>
                                <w:color w:val="0D0D0D" w:themeColor="text1" w:themeTint="F2"/>
                                <w:sz w:val="18"/>
                                <w:szCs w:val="20"/>
                                <w:lang w:val="es-ES"/>
                              </w:rPr>
                              <w:t>julio</w:t>
                            </w:r>
                            <w:r w:rsidR="00364CEF" w:rsidRPr="003A7DB5">
                              <w:rPr>
                                <w:rFonts w:asciiTheme="majorHAnsi" w:hAnsiTheme="majorHAnsi"/>
                                <w:color w:val="0D0D0D" w:themeColor="text1" w:themeTint="F2"/>
                                <w:sz w:val="18"/>
                                <w:szCs w:val="20"/>
                                <w:lang w:val="es-ES"/>
                              </w:rPr>
                              <w:t xml:space="preserve"> </w:t>
                            </w:r>
                            <w:r w:rsidRPr="003A7DB5">
                              <w:rPr>
                                <w:rFonts w:asciiTheme="majorHAnsi" w:hAnsiTheme="majorHAnsi"/>
                                <w:color w:val="0D0D0D" w:themeColor="text1" w:themeTint="F2"/>
                                <w:sz w:val="18"/>
                                <w:szCs w:val="20"/>
                                <w:lang w:val="es-ES"/>
                              </w:rPr>
                              <w:t>de 2016</w:t>
                            </w:r>
                            <w:r w:rsidR="006B4163">
                              <w:rPr>
                                <w:rFonts w:asciiTheme="majorHAnsi" w:hAnsiTheme="majorHAnsi"/>
                                <w:color w:val="0D0D0D" w:themeColor="text1" w:themeTint="F2"/>
                                <w:sz w:val="18"/>
                                <w:szCs w:val="20"/>
                                <w:lang w:val="es-ES"/>
                              </w:rPr>
                              <w:t>.</w:t>
                            </w:r>
                            <w:r w:rsidRPr="003A7DB5">
                              <w:rPr>
                                <w:rFonts w:asciiTheme="majorHAnsi" w:hAnsiTheme="majorHAnsi"/>
                                <w:color w:val="0D0D0D" w:themeColor="text1" w:themeTint="F2"/>
                                <w:sz w:val="18"/>
                                <w:szCs w:val="20"/>
                                <w:lang w:val="es-ES"/>
                              </w:rPr>
                              <w:br/>
                            </w:r>
                          </w:p>
                          <w:p w:rsidR="0059277C" w:rsidRPr="007A5817" w:rsidRDefault="0059277C" w:rsidP="00247403">
                            <w:pPr>
                              <w:tabs>
                                <w:tab w:val="center" w:pos="5400"/>
                              </w:tabs>
                              <w:suppressAutoHyphens/>
                              <w:spacing w:before="60"/>
                              <w:rPr>
                                <w:rFonts w:asciiTheme="minorHAnsi" w:hAnsiTheme="minorHAnsi" w:cs="Univers"/>
                                <w:color w:val="0D0D0D" w:themeColor="text1" w:themeTint="F2"/>
                                <w:sz w:val="20"/>
                                <w:szCs w:val="20"/>
                                <w:lang w:val="es-ES"/>
                              </w:rPr>
                            </w:pPr>
                          </w:p>
                          <w:p w:rsidR="0059277C" w:rsidRPr="00167A34" w:rsidRDefault="0059277C"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59277C" w:rsidRPr="004C736E" w:rsidRDefault="0059277C" w:rsidP="00247403">
                      <w:pPr>
                        <w:tabs>
                          <w:tab w:val="center" w:pos="5400"/>
                        </w:tabs>
                        <w:suppressAutoHyphens/>
                        <w:spacing w:before="60"/>
                        <w:rPr>
                          <w:rFonts w:asciiTheme="majorHAnsi" w:hAnsiTheme="majorHAnsi" w:cs="Univers"/>
                          <w:color w:val="0D0D0D" w:themeColor="text1" w:themeTint="F2"/>
                          <w:sz w:val="18"/>
                          <w:szCs w:val="20"/>
                          <w:lang w:val="es-ES"/>
                        </w:rPr>
                      </w:pPr>
                      <w:r w:rsidRPr="003A7DB5">
                        <w:rPr>
                          <w:rFonts w:asciiTheme="majorHAnsi" w:hAnsiTheme="majorHAnsi"/>
                          <w:color w:val="0D0D0D" w:themeColor="text1" w:themeTint="F2"/>
                          <w:sz w:val="18"/>
                          <w:szCs w:val="20"/>
                          <w:lang w:val="es-ES"/>
                        </w:rPr>
                        <w:t xml:space="preserve">Aprobado por la Comisión </w:t>
                      </w:r>
                      <w:r w:rsidR="006B4163">
                        <w:rPr>
                          <w:rFonts w:asciiTheme="majorHAnsi" w:hAnsiTheme="majorHAnsi"/>
                          <w:color w:val="0D0D0D" w:themeColor="text1" w:themeTint="F2"/>
                          <w:sz w:val="18"/>
                          <w:szCs w:val="20"/>
                          <w:lang w:val="es-ES"/>
                        </w:rPr>
                        <w:t>Interamericana de Derechos Humanos</w:t>
                      </w:r>
                      <w:r w:rsidRPr="003A7DB5">
                        <w:rPr>
                          <w:rFonts w:asciiTheme="majorHAnsi" w:hAnsiTheme="majorHAnsi"/>
                          <w:color w:val="0D0D0D" w:themeColor="text1" w:themeTint="F2"/>
                          <w:sz w:val="18"/>
                          <w:szCs w:val="20"/>
                          <w:lang w:val="es-ES"/>
                        </w:rPr>
                        <w:t xml:space="preserve"> el </w:t>
                      </w:r>
                      <w:r w:rsidR="004C736E">
                        <w:rPr>
                          <w:rFonts w:asciiTheme="majorHAnsi" w:hAnsiTheme="majorHAnsi"/>
                          <w:color w:val="0D0D0D" w:themeColor="text1" w:themeTint="F2"/>
                          <w:sz w:val="18"/>
                          <w:szCs w:val="20"/>
                          <w:lang w:val="es-ES"/>
                        </w:rPr>
                        <w:t>29</w:t>
                      </w:r>
                      <w:r w:rsidRPr="003A7DB5">
                        <w:rPr>
                          <w:rFonts w:asciiTheme="majorHAnsi" w:hAnsiTheme="majorHAnsi"/>
                          <w:color w:val="0D0D0D" w:themeColor="text1" w:themeTint="F2"/>
                          <w:sz w:val="18"/>
                          <w:szCs w:val="20"/>
                          <w:lang w:val="es-ES"/>
                        </w:rPr>
                        <w:t xml:space="preserve"> de </w:t>
                      </w:r>
                      <w:r w:rsidR="004C736E">
                        <w:rPr>
                          <w:rFonts w:asciiTheme="majorHAnsi" w:hAnsiTheme="majorHAnsi"/>
                          <w:color w:val="0D0D0D" w:themeColor="text1" w:themeTint="F2"/>
                          <w:sz w:val="18"/>
                          <w:szCs w:val="20"/>
                          <w:lang w:val="es-ES"/>
                        </w:rPr>
                        <w:t>julio</w:t>
                      </w:r>
                      <w:r w:rsidR="00364CEF" w:rsidRPr="003A7DB5">
                        <w:rPr>
                          <w:rFonts w:asciiTheme="majorHAnsi" w:hAnsiTheme="majorHAnsi"/>
                          <w:color w:val="0D0D0D" w:themeColor="text1" w:themeTint="F2"/>
                          <w:sz w:val="18"/>
                          <w:szCs w:val="20"/>
                          <w:lang w:val="es-ES"/>
                        </w:rPr>
                        <w:t xml:space="preserve"> </w:t>
                      </w:r>
                      <w:r w:rsidRPr="003A7DB5">
                        <w:rPr>
                          <w:rFonts w:asciiTheme="majorHAnsi" w:hAnsiTheme="majorHAnsi"/>
                          <w:color w:val="0D0D0D" w:themeColor="text1" w:themeTint="F2"/>
                          <w:sz w:val="18"/>
                          <w:szCs w:val="20"/>
                          <w:lang w:val="es-ES"/>
                        </w:rPr>
                        <w:t>de 2016</w:t>
                      </w:r>
                      <w:r w:rsidR="006B4163">
                        <w:rPr>
                          <w:rFonts w:asciiTheme="majorHAnsi" w:hAnsiTheme="majorHAnsi"/>
                          <w:color w:val="0D0D0D" w:themeColor="text1" w:themeTint="F2"/>
                          <w:sz w:val="18"/>
                          <w:szCs w:val="20"/>
                          <w:lang w:val="es-ES"/>
                        </w:rPr>
                        <w:t>.</w:t>
                      </w:r>
                      <w:r w:rsidRPr="003A7DB5">
                        <w:rPr>
                          <w:rFonts w:asciiTheme="majorHAnsi" w:hAnsiTheme="majorHAnsi"/>
                          <w:color w:val="0D0D0D" w:themeColor="text1" w:themeTint="F2"/>
                          <w:sz w:val="18"/>
                          <w:szCs w:val="20"/>
                          <w:lang w:val="es-ES"/>
                        </w:rPr>
                        <w:br/>
                      </w:r>
                    </w:p>
                    <w:p w:rsidR="0059277C" w:rsidRPr="007A5817" w:rsidRDefault="0059277C" w:rsidP="00247403">
                      <w:pPr>
                        <w:tabs>
                          <w:tab w:val="center" w:pos="5400"/>
                        </w:tabs>
                        <w:suppressAutoHyphens/>
                        <w:spacing w:before="60"/>
                        <w:rPr>
                          <w:rFonts w:asciiTheme="minorHAnsi" w:hAnsiTheme="minorHAnsi" w:cs="Univers"/>
                          <w:color w:val="0D0D0D" w:themeColor="text1" w:themeTint="F2"/>
                          <w:sz w:val="20"/>
                          <w:szCs w:val="20"/>
                          <w:lang w:val="es-ES"/>
                        </w:rPr>
                      </w:pPr>
                    </w:p>
                    <w:p w:rsidR="0059277C" w:rsidRPr="00167A34" w:rsidRDefault="0059277C"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016061" w:rsidRDefault="00A50FCF" w:rsidP="00040C3A">
      <w:pPr>
        <w:tabs>
          <w:tab w:val="center" w:pos="5400"/>
        </w:tabs>
        <w:suppressAutoHyphens/>
        <w:jc w:val="center"/>
        <w:rPr>
          <w:rFonts w:asciiTheme="majorHAnsi" w:hAnsiTheme="majorHAnsi"/>
          <w:sz w:val="18"/>
          <w:szCs w:val="22"/>
          <w:lang w:val="es-ES_tradnl"/>
        </w:rPr>
      </w:pPr>
    </w:p>
    <w:p w:rsidR="00A50FCF" w:rsidRPr="00016061" w:rsidRDefault="00A50FCF" w:rsidP="00040C3A">
      <w:pPr>
        <w:tabs>
          <w:tab w:val="center" w:pos="5400"/>
        </w:tabs>
        <w:suppressAutoHyphens/>
        <w:jc w:val="center"/>
        <w:rPr>
          <w:rFonts w:asciiTheme="majorHAnsi" w:hAnsiTheme="majorHAnsi"/>
          <w:sz w:val="18"/>
          <w:szCs w:val="22"/>
          <w:lang w:val="es-ES_tradnl"/>
        </w:rPr>
      </w:pPr>
    </w:p>
    <w:p w:rsidR="00A50FCF" w:rsidRPr="00016061" w:rsidRDefault="00A50FCF" w:rsidP="00040C3A">
      <w:pPr>
        <w:tabs>
          <w:tab w:val="center" w:pos="5400"/>
        </w:tabs>
        <w:suppressAutoHyphens/>
        <w:jc w:val="center"/>
        <w:rPr>
          <w:rFonts w:asciiTheme="majorHAnsi" w:hAnsiTheme="majorHAnsi"/>
          <w:sz w:val="18"/>
          <w:szCs w:val="22"/>
          <w:lang w:val="es-ES_tradnl"/>
        </w:rPr>
      </w:pPr>
    </w:p>
    <w:p w:rsidR="00A50FCF" w:rsidRPr="00016061" w:rsidRDefault="00A50FCF" w:rsidP="00040C3A">
      <w:pPr>
        <w:tabs>
          <w:tab w:val="center" w:pos="5400"/>
        </w:tabs>
        <w:suppressAutoHyphens/>
        <w:jc w:val="center"/>
        <w:rPr>
          <w:rFonts w:asciiTheme="majorHAnsi" w:hAnsiTheme="majorHAnsi"/>
          <w:sz w:val="18"/>
          <w:szCs w:val="22"/>
          <w:lang w:val="es-ES_tradnl"/>
        </w:rPr>
      </w:pPr>
    </w:p>
    <w:p w:rsidR="00A50FCF" w:rsidRPr="00016061" w:rsidRDefault="0090270B" w:rsidP="00040C3A">
      <w:pPr>
        <w:tabs>
          <w:tab w:val="center" w:pos="5400"/>
        </w:tabs>
        <w:suppressAutoHyphens/>
        <w:jc w:val="center"/>
        <w:rPr>
          <w:rFonts w:asciiTheme="majorHAnsi" w:hAnsiTheme="majorHAnsi"/>
          <w:sz w:val="18"/>
          <w:szCs w:val="22"/>
          <w:lang w:val="es-ES_tradnl"/>
        </w:rPr>
      </w:pPr>
      <w:r w:rsidRPr="00016061">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7C0990AB" wp14:editId="15FFF592">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277C" w:rsidRPr="00220784" w:rsidRDefault="0059277C" w:rsidP="00113F73">
                            <w:pPr>
                              <w:spacing w:line="276" w:lineRule="auto"/>
                              <w:rPr>
                                <w:rFonts w:asciiTheme="majorHAnsi" w:hAnsiTheme="majorHAnsi"/>
                                <w:color w:val="595959" w:themeColor="text1" w:themeTint="A6"/>
                                <w:sz w:val="18"/>
                                <w:szCs w:val="18"/>
                                <w:lang w:val="es-ES"/>
                              </w:rPr>
                            </w:pPr>
                            <w:r w:rsidRPr="006B4163">
                              <w:rPr>
                                <w:rFonts w:asciiTheme="majorHAnsi" w:hAnsiTheme="majorHAnsi"/>
                                <w:b/>
                                <w:color w:val="595959" w:themeColor="text1" w:themeTint="A6"/>
                                <w:sz w:val="18"/>
                                <w:szCs w:val="18"/>
                                <w:lang w:val="es-ES"/>
                              </w:rPr>
                              <w:t>Citar como:</w:t>
                            </w:r>
                            <w:r w:rsidRPr="006B4163">
                              <w:rPr>
                                <w:rFonts w:asciiTheme="majorHAnsi" w:hAnsiTheme="majorHAnsi"/>
                                <w:color w:val="595959" w:themeColor="text1" w:themeTint="A6"/>
                                <w:sz w:val="18"/>
                                <w:szCs w:val="18"/>
                                <w:lang w:val="es-ES"/>
                              </w:rPr>
                              <w:t xml:space="preserve"> CIDH, Informe No. </w:t>
                            </w:r>
                            <w:r w:rsidR="006B4163">
                              <w:rPr>
                                <w:rFonts w:asciiTheme="majorHAnsi" w:hAnsiTheme="majorHAnsi"/>
                                <w:color w:val="595959" w:themeColor="text1" w:themeTint="A6"/>
                                <w:sz w:val="18"/>
                                <w:szCs w:val="18"/>
                                <w:lang w:val="es-ES_tradnl"/>
                              </w:rPr>
                              <w:t>35/16</w:t>
                            </w:r>
                            <w:r w:rsidRPr="00890650">
                              <w:rPr>
                                <w:rFonts w:asciiTheme="majorHAnsi" w:hAnsiTheme="majorHAnsi"/>
                                <w:color w:val="595959" w:themeColor="text1" w:themeTint="A6"/>
                                <w:sz w:val="18"/>
                                <w:szCs w:val="18"/>
                                <w:lang w:val="es-ES_tradnl"/>
                              </w:rPr>
                              <w:t>,</w:t>
                            </w:r>
                            <w:r w:rsidR="00407B22">
                              <w:rPr>
                                <w:rFonts w:asciiTheme="majorHAnsi" w:hAnsiTheme="majorHAnsi"/>
                                <w:color w:val="595959" w:themeColor="text1" w:themeTint="A6"/>
                                <w:sz w:val="18"/>
                                <w:szCs w:val="18"/>
                                <w:lang w:val="es-ES_tradnl"/>
                              </w:rPr>
                              <w:t xml:space="preserve"> </w:t>
                            </w:r>
                            <w:r w:rsidRPr="00890650">
                              <w:rPr>
                                <w:rFonts w:asciiTheme="majorHAnsi" w:hAnsiTheme="majorHAnsi"/>
                                <w:color w:val="595959" w:themeColor="text1" w:themeTint="A6"/>
                                <w:sz w:val="18"/>
                                <w:szCs w:val="18"/>
                                <w:lang w:val="es-ES_tradnl"/>
                              </w:rPr>
                              <w:t xml:space="preserve">Petición </w:t>
                            </w:r>
                            <w:r w:rsidR="004C736E">
                              <w:rPr>
                                <w:rFonts w:asciiTheme="majorHAnsi" w:hAnsiTheme="majorHAnsi"/>
                                <w:color w:val="595959" w:themeColor="text1" w:themeTint="A6"/>
                                <w:sz w:val="18"/>
                                <w:szCs w:val="18"/>
                                <w:lang w:val="es-ES_tradnl"/>
                              </w:rPr>
                              <w:t xml:space="preserve">4480-02. </w:t>
                            </w:r>
                            <w:r w:rsidRPr="00890650">
                              <w:rPr>
                                <w:rFonts w:asciiTheme="majorHAnsi" w:hAnsiTheme="majorHAnsi"/>
                                <w:color w:val="595959" w:themeColor="text1" w:themeTint="A6"/>
                                <w:sz w:val="18"/>
                                <w:szCs w:val="18"/>
                                <w:lang w:val="es-ES_tradnl"/>
                              </w:rPr>
                              <w:t xml:space="preserve">Admisibilidad. </w:t>
                            </w:r>
                            <w:r w:rsidR="004C736E">
                              <w:rPr>
                                <w:rFonts w:asciiTheme="majorHAnsi" w:hAnsiTheme="majorHAnsi"/>
                                <w:color w:val="595959" w:themeColor="text1" w:themeTint="A6"/>
                                <w:sz w:val="18"/>
                                <w:szCs w:val="18"/>
                                <w:lang w:val="es-ES_tradnl"/>
                              </w:rPr>
                              <w:t>Carlos Manuel Veraza Urtusu</w:t>
                            </w:r>
                            <w:r w:rsidR="004C736E">
                              <w:rPr>
                                <w:rFonts w:asciiTheme="majorHAnsi" w:hAnsiTheme="majorHAnsi"/>
                                <w:color w:val="595959" w:themeColor="text1" w:themeTint="A6"/>
                                <w:sz w:val="18"/>
                                <w:szCs w:val="18"/>
                                <w:lang w:val="es-ES"/>
                              </w:rPr>
                              <w:t>ástegui</w:t>
                            </w:r>
                            <w:r w:rsidRPr="00890650">
                              <w:rPr>
                                <w:rFonts w:asciiTheme="majorHAnsi" w:hAnsiTheme="majorHAnsi"/>
                                <w:color w:val="595959" w:themeColor="text1" w:themeTint="A6"/>
                                <w:sz w:val="18"/>
                                <w:szCs w:val="18"/>
                                <w:lang w:val="es-ES_tradnl"/>
                              </w:rPr>
                              <w:t xml:space="preserve">. </w:t>
                            </w:r>
                            <w:r w:rsidR="004C736E">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4C736E">
                              <w:rPr>
                                <w:rFonts w:asciiTheme="majorHAnsi" w:hAnsiTheme="majorHAnsi"/>
                                <w:color w:val="595959" w:themeColor="text1" w:themeTint="A6"/>
                                <w:sz w:val="18"/>
                                <w:szCs w:val="18"/>
                                <w:lang w:val="es-ES_tradnl"/>
                              </w:rPr>
                              <w:t>29 de julio de 2016</w:t>
                            </w:r>
                            <w:r w:rsidRPr="0022078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59277C" w:rsidRPr="00220784" w:rsidRDefault="0059277C" w:rsidP="00113F73">
                      <w:pPr>
                        <w:spacing w:line="276" w:lineRule="auto"/>
                        <w:rPr>
                          <w:rFonts w:asciiTheme="majorHAnsi" w:hAnsiTheme="majorHAnsi"/>
                          <w:color w:val="595959" w:themeColor="text1" w:themeTint="A6"/>
                          <w:sz w:val="18"/>
                          <w:szCs w:val="18"/>
                          <w:lang w:val="es-ES"/>
                        </w:rPr>
                      </w:pPr>
                      <w:r w:rsidRPr="006B4163">
                        <w:rPr>
                          <w:rFonts w:asciiTheme="majorHAnsi" w:hAnsiTheme="majorHAnsi"/>
                          <w:b/>
                          <w:color w:val="595959" w:themeColor="text1" w:themeTint="A6"/>
                          <w:sz w:val="18"/>
                          <w:szCs w:val="18"/>
                          <w:lang w:val="es-ES"/>
                        </w:rPr>
                        <w:t>Citar como:</w:t>
                      </w:r>
                      <w:r w:rsidRPr="006B4163">
                        <w:rPr>
                          <w:rFonts w:asciiTheme="majorHAnsi" w:hAnsiTheme="majorHAnsi"/>
                          <w:color w:val="595959" w:themeColor="text1" w:themeTint="A6"/>
                          <w:sz w:val="18"/>
                          <w:szCs w:val="18"/>
                          <w:lang w:val="es-ES"/>
                        </w:rPr>
                        <w:t xml:space="preserve"> CIDH, Informe No. </w:t>
                      </w:r>
                      <w:r w:rsidR="006B4163">
                        <w:rPr>
                          <w:rFonts w:asciiTheme="majorHAnsi" w:hAnsiTheme="majorHAnsi"/>
                          <w:color w:val="595959" w:themeColor="text1" w:themeTint="A6"/>
                          <w:sz w:val="18"/>
                          <w:szCs w:val="18"/>
                          <w:lang w:val="es-ES_tradnl"/>
                        </w:rPr>
                        <w:t>35/16</w:t>
                      </w:r>
                      <w:r w:rsidRPr="00890650">
                        <w:rPr>
                          <w:rFonts w:asciiTheme="majorHAnsi" w:hAnsiTheme="majorHAnsi"/>
                          <w:color w:val="595959" w:themeColor="text1" w:themeTint="A6"/>
                          <w:sz w:val="18"/>
                          <w:szCs w:val="18"/>
                          <w:lang w:val="es-ES_tradnl"/>
                        </w:rPr>
                        <w:t>,</w:t>
                      </w:r>
                      <w:r w:rsidR="00407B22">
                        <w:rPr>
                          <w:rFonts w:asciiTheme="majorHAnsi" w:hAnsiTheme="majorHAnsi"/>
                          <w:color w:val="595959" w:themeColor="text1" w:themeTint="A6"/>
                          <w:sz w:val="18"/>
                          <w:szCs w:val="18"/>
                          <w:lang w:val="es-ES_tradnl"/>
                        </w:rPr>
                        <w:t xml:space="preserve"> </w:t>
                      </w:r>
                      <w:r w:rsidRPr="00890650">
                        <w:rPr>
                          <w:rFonts w:asciiTheme="majorHAnsi" w:hAnsiTheme="majorHAnsi"/>
                          <w:color w:val="595959" w:themeColor="text1" w:themeTint="A6"/>
                          <w:sz w:val="18"/>
                          <w:szCs w:val="18"/>
                          <w:lang w:val="es-ES_tradnl"/>
                        </w:rPr>
                        <w:t xml:space="preserve">Petición </w:t>
                      </w:r>
                      <w:r w:rsidR="004C736E">
                        <w:rPr>
                          <w:rFonts w:asciiTheme="majorHAnsi" w:hAnsiTheme="majorHAnsi"/>
                          <w:color w:val="595959" w:themeColor="text1" w:themeTint="A6"/>
                          <w:sz w:val="18"/>
                          <w:szCs w:val="18"/>
                          <w:lang w:val="es-ES_tradnl"/>
                        </w:rPr>
                        <w:t xml:space="preserve">4480-02. </w:t>
                      </w:r>
                      <w:r w:rsidRPr="00890650">
                        <w:rPr>
                          <w:rFonts w:asciiTheme="majorHAnsi" w:hAnsiTheme="majorHAnsi"/>
                          <w:color w:val="595959" w:themeColor="text1" w:themeTint="A6"/>
                          <w:sz w:val="18"/>
                          <w:szCs w:val="18"/>
                          <w:lang w:val="es-ES_tradnl"/>
                        </w:rPr>
                        <w:t xml:space="preserve">Admisibilidad. </w:t>
                      </w:r>
                      <w:r w:rsidR="004C736E">
                        <w:rPr>
                          <w:rFonts w:asciiTheme="majorHAnsi" w:hAnsiTheme="majorHAnsi"/>
                          <w:color w:val="595959" w:themeColor="text1" w:themeTint="A6"/>
                          <w:sz w:val="18"/>
                          <w:szCs w:val="18"/>
                          <w:lang w:val="es-ES_tradnl"/>
                        </w:rPr>
                        <w:t>Carlos Manuel Veraza Urtusu</w:t>
                      </w:r>
                      <w:r w:rsidR="004C736E">
                        <w:rPr>
                          <w:rFonts w:asciiTheme="majorHAnsi" w:hAnsiTheme="majorHAnsi"/>
                          <w:color w:val="595959" w:themeColor="text1" w:themeTint="A6"/>
                          <w:sz w:val="18"/>
                          <w:szCs w:val="18"/>
                          <w:lang w:val="es-ES"/>
                        </w:rPr>
                        <w:t>ástegui</w:t>
                      </w:r>
                      <w:r w:rsidRPr="00890650">
                        <w:rPr>
                          <w:rFonts w:asciiTheme="majorHAnsi" w:hAnsiTheme="majorHAnsi"/>
                          <w:color w:val="595959" w:themeColor="text1" w:themeTint="A6"/>
                          <w:sz w:val="18"/>
                          <w:szCs w:val="18"/>
                          <w:lang w:val="es-ES_tradnl"/>
                        </w:rPr>
                        <w:t xml:space="preserve">. </w:t>
                      </w:r>
                      <w:r w:rsidR="004C736E">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4C736E">
                        <w:rPr>
                          <w:rFonts w:asciiTheme="majorHAnsi" w:hAnsiTheme="majorHAnsi"/>
                          <w:color w:val="595959" w:themeColor="text1" w:themeTint="A6"/>
                          <w:sz w:val="18"/>
                          <w:szCs w:val="18"/>
                          <w:lang w:val="es-ES_tradnl"/>
                        </w:rPr>
                        <w:t>29 de julio de 2016</w:t>
                      </w:r>
                      <w:r w:rsidRPr="00220784">
                        <w:rPr>
                          <w:rFonts w:asciiTheme="majorHAnsi" w:hAnsiTheme="majorHAnsi"/>
                          <w:color w:val="595959" w:themeColor="text1" w:themeTint="A6"/>
                          <w:sz w:val="18"/>
                          <w:szCs w:val="18"/>
                          <w:lang w:val="es-ES"/>
                        </w:rPr>
                        <w:t>.</w:t>
                      </w:r>
                    </w:p>
                  </w:txbxContent>
                </v:textbox>
              </v:shape>
            </w:pict>
          </mc:Fallback>
        </mc:AlternateContent>
      </w:r>
    </w:p>
    <w:p w:rsidR="00A50FCF" w:rsidRPr="00016061" w:rsidRDefault="00A50FCF" w:rsidP="00040C3A">
      <w:pPr>
        <w:tabs>
          <w:tab w:val="center" w:pos="5400"/>
        </w:tabs>
        <w:suppressAutoHyphens/>
        <w:jc w:val="center"/>
        <w:rPr>
          <w:rFonts w:asciiTheme="majorHAnsi" w:hAnsiTheme="majorHAnsi"/>
          <w:sz w:val="18"/>
          <w:szCs w:val="22"/>
          <w:lang w:val="es-ES_tradnl"/>
        </w:rPr>
      </w:pPr>
    </w:p>
    <w:p w:rsidR="0090270B" w:rsidRPr="00016061" w:rsidRDefault="00D306D1" w:rsidP="005516A1">
      <w:pPr>
        <w:tabs>
          <w:tab w:val="center" w:pos="5400"/>
        </w:tabs>
        <w:suppressAutoHyphens/>
        <w:jc w:val="center"/>
        <w:rPr>
          <w:rFonts w:asciiTheme="majorHAnsi" w:hAnsiTheme="majorHAnsi"/>
          <w:b/>
          <w:sz w:val="20"/>
          <w:lang w:val="es-ES_tradnl"/>
        </w:rPr>
      </w:pPr>
      <w:r w:rsidRPr="00016061">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177CA8D9" wp14:editId="24665943">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277C" w:rsidRPr="00D72DC6" w:rsidRDefault="0059277C"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6EF2CEAF" wp14:editId="73F00150">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59277C" w:rsidRPr="00D72DC6" w:rsidRDefault="0059277C"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016061">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57B1D4F" wp14:editId="5F201B7E">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277C" w:rsidRPr="004B7EB6" w:rsidRDefault="0059277C"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59277C" w:rsidRPr="004B7EB6" w:rsidRDefault="0059277C"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016061" w:rsidRDefault="0070697F" w:rsidP="005516A1">
      <w:pPr>
        <w:tabs>
          <w:tab w:val="center" w:pos="5400"/>
        </w:tabs>
        <w:suppressAutoHyphens/>
        <w:jc w:val="center"/>
        <w:rPr>
          <w:rFonts w:asciiTheme="majorHAnsi" w:hAnsiTheme="majorHAnsi"/>
          <w:b/>
          <w:sz w:val="20"/>
          <w:lang w:val="es-ES_tradnl"/>
        </w:rPr>
        <w:sectPr w:rsidR="0070697F" w:rsidRPr="00016061"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016061" w:rsidRDefault="00722C9F" w:rsidP="00722C9F">
      <w:pPr>
        <w:tabs>
          <w:tab w:val="center" w:pos="5400"/>
        </w:tabs>
        <w:suppressAutoHyphens/>
        <w:spacing w:line="276" w:lineRule="auto"/>
        <w:jc w:val="center"/>
        <w:rPr>
          <w:rFonts w:asciiTheme="majorHAnsi" w:hAnsiTheme="majorHAnsi"/>
          <w:b/>
          <w:sz w:val="18"/>
          <w:szCs w:val="20"/>
          <w:lang w:val="es-ES_tradnl"/>
        </w:rPr>
      </w:pPr>
      <w:r w:rsidRPr="00016061">
        <w:rPr>
          <w:rFonts w:asciiTheme="majorHAnsi" w:hAnsiTheme="majorHAnsi"/>
          <w:b/>
          <w:sz w:val="18"/>
          <w:szCs w:val="20"/>
          <w:lang w:val="es-ES_tradnl"/>
        </w:rPr>
        <w:lastRenderedPageBreak/>
        <w:t xml:space="preserve">INFORME No. </w:t>
      </w:r>
      <w:r w:rsidR="00FA256E" w:rsidRPr="00016061">
        <w:rPr>
          <w:rFonts w:asciiTheme="majorHAnsi" w:hAnsiTheme="majorHAnsi"/>
          <w:b/>
          <w:sz w:val="18"/>
          <w:szCs w:val="20"/>
          <w:lang w:val="es-ES_tradnl"/>
        </w:rPr>
        <w:t>35</w:t>
      </w:r>
      <w:r w:rsidRPr="00016061">
        <w:rPr>
          <w:rFonts w:asciiTheme="majorHAnsi" w:hAnsiTheme="majorHAnsi"/>
          <w:b/>
          <w:sz w:val="18"/>
          <w:szCs w:val="20"/>
          <w:lang w:val="es-ES_tradnl"/>
        </w:rPr>
        <w:t>/1</w:t>
      </w:r>
      <w:r w:rsidR="00220784" w:rsidRPr="00016061">
        <w:rPr>
          <w:rFonts w:asciiTheme="majorHAnsi" w:hAnsiTheme="majorHAnsi"/>
          <w:b/>
          <w:sz w:val="18"/>
          <w:szCs w:val="20"/>
          <w:lang w:val="es-ES_tradnl"/>
        </w:rPr>
        <w:t>6</w:t>
      </w:r>
      <w:r w:rsidR="00C575C6" w:rsidRPr="00016061">
        <w:rPr>
          <w:rStyle w:val="FootnoteReference"/>
          <w:rFonts w:asciiTheme="majorHAnsi" w:hAnsiTheme="majorHAnsi"/>
          <w:b/>
          <w:sz w:val="18"/>
          <w:szCs w:val="20"/>
          <w:lang w:val="es-ES_tradnl"/>
        </w:rPr>
        <w:footnoteReference w:id="2"/>
      </w:r>
    </w:p>
    <w:p w:rsidR="00722C9F" w:rsidRPr="00016061" w:rsidRDefault="00722C9F" w:rsidP="00722C9F">
      <w:pPr>
        <w:tabs>
          <w:tab w:val="center" w:pos="5400"/>
        </w:tabs>
        <w:suppressAutoHyphens/>
        <w:spacing w:line="276" w:lineRule="auto"/>
        <w:jc w:val="center"/>
        <w:rPr>
          <w:rFonts w:asciiTheme="majorHAnsi" w:hAnsiTheme="majorHAnsi"/>
          <w:b/>
          <w:sz w:val="18"/>
          <w:szCs w:val="20"/>
          <w:lang w:val="es-ES_tradnl"/>
        </w:rPr>
      </w:pPr>
      <w:r w:rsidRPr="00016061">
        <w:rPr>
          <w:rFonts w:asciiTheme="majorHAnsi" w:hAnsiTheme="majorHAnsi"/>
          <w:b/>
          <w:sz w:val="18"/>
          <w:szCs w:val="20"/>
          <w:lang w:val="es-ES_tradnl"/>
        </w:rPr>
        <w:t xml:space="preserve">PETICIÓN </w:t>
      </w:r>
      <w:r w:rsidR="002E09B8" w:rsidRPr="00016061">
        <w:rPr>
          <w:rFonts w:asciiTheme="majorHAnsi" w:hAnsiTheme="majorHAnsi"/>
          <w:b/>
          <w:sz w:val="18"/>
          <w:szCs w:val="20"/>
          <w:lang w:val="es-ES_tradnl"/>
        </w:rPr>
        <w:t>4</w:t>
      </w:r>
      <w:r w:rsidR="00A5309C" w:rsidRPr="00016061">
        <w:rPr>
          <w:rFonts w:asciiTheme="majorHAnsi" w:hAnsiTheme="majorHAnsi"/>
          <w:b/>
          <w:sz w:val="18"/>
          <w:szCs w:val="20"/>
          <w:lang w:val="es-ES_tradnl"/>
        </w:rPr>
        <w:t>480</w:t>
      </w:r>
      <w:r w:rsidRPr="00016061">
        <w:rPr>
          <w:rFonts w:asciiTheme="majorHAnsi" w:hAnsiTheme="majorHAnsi"/>
          <w:b/>
          <w:sz w:val="18"/>
          <w:szCs w:val="20"/>
          <w:lang w:val="es-ES_tradnl"/>
        </w:rPr>
        <w:t>-</w:t>
      </w:r>
      <w:r w:rsidR="002E09B8" w:rsidRPr="00016061">
        <w:rPr>
          <w:rFonts w:asciiTheme="majorHAnsi" w:hAnsiTheme="majorHAnsi"/>
          <w:b/>
          <w:sz w:val="18"/>
          <w:szCs w:val="20"/>
          <w:lang w:val="es-ES_tradnl"/>
        </w:rPr>
        <w:t>02</w:t>
      </w:r>
    </w:p>
    <w:p w:rsidR="00722C9F" w:rsidRPr="00016061" w:rsidRDefault="002B7F7C" w:rsidP="00722C9F">
      <w:pPr>
        <w:tabs>
          <w:tab w:val="center" w:pos="5400"/>
        </w:tabs>
        <w:suppressAutoHyphens/>
        <w:spacing w:line="276" w:lineRule="auto"/>
        <w:jc w:val="center"/>
        <w:rPr>
          <w:rFonts w:asciiTheme="majorHAnsi" w:hAnsiTheme="majorHAnsi"/>
          <w:sz w:val="18"/>
          <w:szCs w:val="20"/>
          <w:lang w:val="es-ES_tradnl"/>
        </w:rPr>
      </w:pPr>
      <w:r w:rsidRPr="00016061">
        <w:rPr>
          <w:rFonts w:asciiTheme="majorHAnsi" w:hAnsiTheme="majorHAnsi"/>
          <w:sz w:val="18"/>
          <w:szCs w:val="20"/>
          <w:lang w:val="es-ES_tradnl"/>
        </w:rPr>
        <w:t>INFORME DE ADMISIBILIDAD</w:t>
      </w:r>
    </w:p>
    <w:p w:rsidR="00A76784" w:rsidRPr="00016061" w:rsidRDefault="00A76784" w:rsidP="00A76784">
      <w:pPr>
        <w:tabs>
          <w:tab w:val="center" w:pos="5400"/>
        </w:tabs>
        <w:suppressAutoHyphens/>
        <w:spacing w:line="276" w:lineRule="auto"/>
        <w:jc w:val="center"/>
        <w:rPr>
          <w:rFonts w:asciiTheme="majorHAnsi" w:hAnsiTheme="majorHAnsi"/>
          <w:sz w:val="18"/>
          <w:szCs w:val="20"/>
          <w:lang w:val="es-ES"/>
        </w:rPr>
      </w:pPr>
      <w:r w:rsidRPr="00016061">
        <w:rPr>
          <w:rFonts w:asciiTheme="majorHAnsi" w:hAnsiTheme="majorHAnsi"/>
          <w:sz w:val="18"/>
          <w:szCs w:val="20"/>
          <w:lang w:val="es-ES"/>
        </w:rPr>
        <w:t>CARLOS MANUEL VERAZA URTUSUÁSTEGUI</w:t>
      </w:r>
    </w:p>
    <w:p w:rsidR="00722C9F" w:rsidRPr="00016061" w:rsidRDefault="00F43645" w:rsidP="00722C9F">
      <w:pPr>
        <w:tabs>
          <w:tab w:val="center" w:pos="5400"/>
        </w:tabs>
        <w:suppressAutoHyphens/>
        <w:spacing w:line="276" w:lineRule="auto"/>
        <w:jc w:val="center"/>
        <w:rPr>
          <w:rFonts w:asciiTheme="majorHAnsi" w:hAnsiTheme="majorHAnsi"/>
          <w:sz w:val="18"/>
          <w:szCs w:val="20"/>
          <w:lang w:val="es-ES"/>
        </w:rPr>
      </w:pPr>
      <w:r w:rsidRPr="00016061">
        <w:rPr>
          <w:rFonts w:asciiTheme="majorHAnsi" w:hAnsiTheme="majorHAnsi"/>
          <w:sz w:val="18"/>
          <w:szCs w:val="20"/>
          <w:lang w:val="es-ES"/>
        </w:rPr>
        <w:t>MÉXICO</w:t>
      </w:r>
    </w:p>
    <w:p w:rsidR="00722C9F" w:rsidRPr="00016061" w:rsidRDefault="004C736E" w:rsidP="00722C9F">
      <w:pPr>
        <w:tabs>
          <w:tab w:val="center" w:pos="5400"/>
        </w:tabs>
        <w:suppressAutoHyphens/>
        <w:spacing w:line="276" w:lineRule="auto"/>
        <w:jc w:val="center"/>
        <w:rPr>
          <w:rFonts w:asciiTheme="majorHAnsi" w:hAnsiTheme="majorHAnsi"/>
          <w:sz w:val="18"/>
          <w:szCs w:val="20"/>
          <w:lang w:val="es-ES_tradnl"/>
        </w:rPr>
      </w:pPr>
      <w:r w:rsidRPr="00016061">
        <w:rPr>
          <w:rFonts w:asciiTheme="majorHAnsi" w:hAnsiTheme="majorHAnsi"/>
          <w:sz w:val="18"/>
          <w:szCs w:val="20"/>
          <w:lang w:val="es-ES_tradnl"/>
        </w:rPr>
        <w:t>29 DE JULIO DE 2016</w:t>
      </w:r>
    </w:p>
    <w:p w:rsidR="00220784" w:rsidRPr="00016061" w:rsidRDefault="00220784" w:rsidP="00217E4C">
      <w:pPr>
        <w:tabs>
          <w:tab w:val="center" w:pos="4680"/>
          <w:tab w:val="left" w:pos="6511"/>
        </w:tabs>
        <w:jc w:val="both"/>
        <w:rPr>
          <w:rFonts w:asciiTheme="majorHAnsi" w:hAnsiTheme="majorHAnsi" w:cs="Calibri"/>
          <w:sz w:val="20"/>
          <w:szCs w:val="20"/>
          <w:lang w:val="es-ES_tradnl"/>
        </w:rPr>
      </w:pPr>
    </w:p>
    <w:p w:rsidR="00183D79" w:rsidRPr="00016061" w:rsidRDefault="00183D79" w:rsidP="00721517">
      <w:pPr>
        <w:tabs>
          <w:tab w:val="center" w:pos="4680"/>
          <w:tab w:val="left" w:pos="6511"/>
        </w:tabs>
        <w:ind w:firstLine="720"/>
        <w:jc w:val="both"/>
        <w:rPr>
          <w:rFonts w:asciiTheme="majorHAnsi" w:hAnsiTheme="majorHAnsi" w:cs="Calibri"/>
          <w:sz w:val="20"/>
          <w:szCs w:val="20"/>
          <w:lang w:val="es-ES_tradnl"/>
        </w:rPr>
      </w:pPr>
    </w:p>
    <w:p w:rsidR="002B7F7C" w:rsidRPr="00016061" w:rsidRDefault="002B7F7C" w:rsidP="00721517">
      <w:pPr>
        <w:pStyle w:val="Heading2"/>
      </w:pPr>
      <w:r w:rsidRPr="00016061">
        <w:t>RESUMEN</w:t>
      </w:r>
    </w:p>
    <w:p w:rsidR="005064C3" w:rsidRPr="00016061" w:rsidRDefault="005064C3" w:rsidP="00721517">
      <w:pPr>
        <w:ind w:firstLine="720"/>
        <w:jc w:val="both"/>
        <w:rPr>
          <w:rFonts w:asciiTheme="majorHAnsi" w:hAnsiTheme="majorHAnsi"/>
          <w:sz w:val="20"/>
          <w:szCs w:val="20"/>
          <w:lang w:val="es-UY"/>
        </w:rPr>
      </w:pPr>
    </w:p>
    <w:p w:rsidR="002B7F7C" w:rsidRPr="00016061" w:rsidRDefault="002B7F7C" w:rsidP="00CA1DEC">
      <w:pPr>
        <w:pStyle w:val="Heading3"/>
        <w:ind w:left="0" w:firstLine="720"/>
      </w:pPr>
      <w:r w:rsidRPr="00016061">
        <w:t xml:space="preserve">El </w:t>
      </w:r>
      <w:r w:rsidR="00F23165" w:rsidRPr="00016061">
        <w:t>12 de noviembre de</w:t>
      </w:r>
      <w:r w:rsidR="00C005E6" w:rsidRPr="00016061">
        <w:t xml:space="preserve"> 2002</w:t>
      </w:r>
      <w:r w:rsidRPr="00016061">
        <w:t xml:space="preserve">  la Comisión Interamericana de Derechos Humanos (en adelante “la Comisión Interamericana” o “la CIDH”) </w:t>
      </w:r>
      <w:r w:rsidR="00C005E6" w:rsidRPr="00016061">
        <w:t>recibió una petición presentada</w:t>
      </w:r>
      <w:r w:rsidR="00D31F64" w:rsidRPr="00016061">
        <w:t xml:space="preserve"> en </w:t>
      </w:r>
      <w:r w:rsidR="0007702A" w:rsidRPr="00016061">
        <w:t>nombre</w:t>
      </w:r>
      <w:r w:rsidR="00D31F64" w:rsidRPr="00016061">
        <w:t xml:space="preserve"> </w:t>
      </w:r>
      <w:r w:rsidR="0007702A" w:rsidRPr="00016061">
        <w:t>propio</w:t>
      </w:r>
      <w:r w:rsidR="00D31F64" w:rsidRPr="00016061">
        <w:t xml:space="preserve"> por el Sr.</w:t>
      </w:r>
      <w:r w:rsidR="00C005E6" w:rsidRPr="00016061">
        <w:t xml:space="preserve"> </w:t>
      </w:r>
      <w:r w:rsidR="00AC4491" w:rsidRPr="00016061">
        <w:t xml:space="preserve">Carlos Manuel Veraza Urtusuástegui </w:t>
      </w:r>
      <w:r w:rsidR="00C005E6" w:rsidRPr="00016061">
        <w:t>(e</w:t>
      </w:r>
      <w:r w:rsidR="00D31F64" w:rsidRPr="00016061">
        <w:t>n adelante, “el peticionario”</w:t>
      </w:r>
      <w:r w:rsidR="00452996" w:rsidRPr="00016061">
        <w:t xml:space="preserve"> o “presunta víctima”</w:t>
      </w:r>
      <w:r w:rsidR="00D31F64" w:rsidRPr="00016061">
        <w:t xml:space="preserve">), en la </w:t>
      </w:r>
      <w:r w:rsidR="009D23E0" w:rsidRPr="00016061">
        <w:t>cual</w:t>
      </w:r>
      <w:r w:rsidR="00D31F64" w:rsidRPr="00016061">
        <w:t xml:space="preserve"> se </w:t>
      </w:r>
      <w:r w:rsidR="009D23E0" w:rsidRPr="00016061">
        <w:t>alega</w:t>
      </w:r>
      <w:r w:rsidR="00D31F64" w:rsidRPr="00016061">
        <w:t xml:space="preserve"> la responsabilidad internacional </w:t>
      </w:r>
      <w:r w:rsidR="009D23E0" w:rsidRPr="00016061">
        <w:t>de los Estados Unidos Mexicanos (en adelante "el Estado" o “México”)</w:t>
      </w:r>
      <w:r w:rsidR="00D31F64" w:rsidRPr="00016061">
        <w:t xml:space="preserve"> por la </w:t>
      </w:r>
      <w:r w:rsidR="00F16A71" w:rsidRPr="00016061">
        <w:t xml:space="preserve">violación </w:t>
      </w:r>
      <w:r w:rsidR="009D23E0" w:rsidRPr="00016061">
        <w:t>de</w:t>
      </w:r>
      <w:r w:rsidR="00F16A71" w:rsidRPr="00016061">
        <w:t xml:space="preserve"> su </w:t>
      </w:r>
      <w:r w:rsidR="00125A1F" w:rsidRPr="00016061">
        <w:t>derecho</w:t>
      </w:r>
      <w:r w:rsidR="00F16A71" w:rsidRPr="00016061">
        <w:t xml:space="preserve"> a</w:t>
      </w:r>
      <w:r w:rsidR="00C26439" w:rsidRPr="00016061">
        <w:t xml:space="preserve"> la propiedad </w:t>
      </w:r>
      <w:r w:rsidR="00125A1F" w:rsidRPr="00016061">
        <w:t xml:space="preserve">y a las garantías judiciales, fundamentalmente por </w:t>
      </w:r>
      <w:r w:rsidR="0043610C" w:rsidRPr="00016061">
        <w:t>la negativa y</w:t>
      </w:r>
      <w:r w:rsidRPr="00016061">
        <w:t xml:space="preserve"> retardo injustificado de </w:t>
      </w:r>
      <w:r w:rsidR="0043610C" w:rsidRPr="00016061">
        <w:t xml:space="preserve">las autoridades </w:t>
      </w:r>
      <w:r w:rsidR="00CF415E" w:rsidRPr="00016061">
        <w:t xml:space="preserve">judiciales y del Jefe de Gobierno del Distrito Federal de entregarle determinadas sumas de dinero a modo de </w:t>
      </w:r>
      <w:r w:rsidR="002C62EC" w:rsidRPr="00016061">
        <w:t>indemnización por la expropiación de un terreno</w:t>
      </w:r>
      <w:r w:rsidR="00125A1F" w:rsidRPr="00016061">
        <w:t>.</w:t>
      </w:r>
    </w:p>
    <w:p w:rsidR="002B7F7C" w:rsidRPr="00016061" w:rsidRDefault="002B7F7C" w:rsidP="00CA1DE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Theme="majorHAnsi" w:eastAsia="Times New Roman" w:hAnsiTheme="majorHAnsi"/>
          <w:sz w:val="20"/>
          <w:szCs w:val="20"/>
          <w:bdr w:val="none" w:sz="0" w:space="0" w:color="auto"/>
          <w:lang w:val="es-ES"/>
        </w:rPr>
      </w:pPr>
    </w:p>
    <w:p w:rsidR="007F6166" w:rsidRPr="00016061" w:rsidRDefault="0007343B" w:rsidP="00CA1DEC">
      <w:pPr>
        <w:pStyle w:val="Heading3"/>
        <w:ind w:left="0" w:firstLine="720"/>
        <w:rPr>
          <w:lang w:val="es-ES_tradnl"/>
        </w:rPr>
      </w:pPr>
      <w:r w:rsidRPr="00016061">
        <w:t xml:space="preserve">El peticionario alega que los hechos denunciados configuran la violación de los siguientes derechos garantizados por la Convención Americana sobre Derechos Humanos (en adelante “Convención Americana” o “Convención”): </w:t>
      </w:r>
      <w:r w:rsidR="00452C23" w:rsidRPr="00016061">
        <w:t xml:space="preserve">el derecho </w:t>
      </w:r>
      <w:r w:rsidR="00F43645" w:rsidRPr="00016061">
        <w:t>a las garantías judiciales,</w:t>
      </w:r>
      <w:r w:rsidRPr="00016061">
        <w:t xml:space="preserve"> </w:t>
      </w:r>
      <w:r w:rsidR="00452C23" w:rsidRPr="00016061">
        <w:t>el principio</w:t>
      </w:r>
      <w:r w:rsidRPr="00016061">
        <w:t xml:space="preserve"> de legalidad </w:t>
      </w:r>
      <w:r w:rsidR="00452C23" w:rsidRPr="00016061">
        <w:t xml:space="preserve">y de </w:t>
      </w:r>
      <w:r w:rsidR="00F43645" w:rsidRPr="00016061">
        <w:t>retroactividad,</w:t>
      </w:r>
      <w:r w:rsidRPr="00016061">
        <w:t xml:space="preserve"> </w:t>
      </w:r>
      <w:r w:rsidR="00452C23" w:rsidRPr="00016061">
        <w:t xml:space="preserve">el derecho a </w:t>
      </w:r>
      <w:r w:rsidRPr="00016061">
        <w:t>la protección de la honra y dignidad</w:t>
      </w:r>
      <w:r w:rsidR="00F43645" w:rsidRPr="00016061">
        <w:t>,</w:t>
      </w:r>
      <w:r w:rsidRPr="00016061">
        <w:t xml:space="preserve"> </w:t>
      </w:r>
      <w:r w:rsidR="00452C23" w:rsidRPr="00016061">
        <w:t xml:space="preserve">el derecho </w:t>
      </w:r>
      <w:r w:rsidRPr="00016061">
        <w:t>a la propiedad privada</w:t>
      </w:r>
      <w:r w:rsidR="00F43645" w:rsidRPr="00016061">
        <w:t>,</w:t>
      </w:r>
      <w:r w:rsidRPr="00016061">
        <w:t xml:space="preserve"> </w:t>
      </w:r>
      <w:r w:rsidR="00452C23" w:rsidRPr="00016061">
        <w:t>el derecho</w:t>
      </w:r>
      <w:r w:rsidRPr="00016061">
        <w:t xml:space="preserve"> a la pr</w:t>
      </w:r>
      <w:r w:rsidR="00F43645" w:rsidRPr="00016061">
        <w:t>otección judicial</w:t>
      </w:r>
      <w:r w:rsidRPr="00016061">
        <w:t xml:space="preserve"> </w:t>
      </w:r>
      <w:r w:rsidR="00217E4C" w:rsidRPr="00016061">
        <w:t xml:space="preserve">así como el deber del Estado de respetar y garantizar los derechos de las personas que se encuentran </w:t>
      </w:r>
      <w:r w:rsidR="00F43645" w:rsidRPr="00016061">
        <w:t>bajo su jurisdicción</w:t>
      </w:r>
      <w:r w:rsidR="00217E4C" w:rsidRPr="00016061">
        <w:t xml:space="preserve">. </w:t>
      </w:r>
      <w:r w:rsidR="005D6477" w:rsidRPr="00016061">
        <w:t xml:space="preserve">Por su parte, el Estado </w:t>
      </w:r>
      <w:r w:rsidR="007F6166" w:rsidRPr="00016061">
        <w:rPr>
          <w:rFonts w:eastAsia="Cambria"/>
          <w:lang w:val="es-ES_tradnl"/>
        </w:rPr>
        <w:t>sostiene</w:t>
      </w:r>
      <w:r w:rsidR="005D6477" w:rsidRPr="00016061">
        <w:t xml:space="preserve"> que la petición </w:t>
      </w:r>
      <w:r w:rsidR="007F6166" w:rsidRPr="00016061">
        <w:rPr>
          <w:rFonts w:eastAsia="Cambria"/>
          <w:lang w:val="es-ES_tradnl"/>
        </w:rPr>
        <w:t>debe ser declarada inadmisible porque no se exponen hechos que caractericen violaciones a los derechos humanos</w:t>
      </w:r>
      <w:r w:rsidR="000425A6" w:rsidRPr="00016061">
        <w:t>.</w:t>
      </w:r>
      <w:r w:rsidR="007F6166" w:rsidRPr="00016061">
        <w:t xml:space="preserve"> </w:t>
      </w:r>
      <w:r w:rsidR="007F6166" w:rsidRPr="00016061">
        <w:rPr>
          <w:rFonts w:eastAsia="Cambria"/>
          <w:lang w:val="es-ES_tradnl"/>
        </w:rPr>
        <w:t xml:space="preserve">Aduce que </w:t>
      </w:r>
      <w:r w:rsidR="000425A6" w:rsidRPr="00016061">
        <w:rPr>
          <w:rFonts w:eastAsia="Cambria"/>
          <w:lang w:val="es-ES_tradnl"/>
        </w:rPr>
        <w:t>el peticionario pretende</w:t>
      </w:r>
      <w:r w:rsidR="007F6166" w:rsidRPr="00016061">
        <w:rPr>
          <w:rFonts w:eastAsia="Cambria"/>
          <w:lang w:val="es-ES_tradnl"/>
        </w:rPr>
        <w:t xml:space="preserve"> que la Comisión revise las actuaciones de los órganos jurisdiccionales internos actuando como una cuarta instancia</w:t>
      </w:r>
      <w:r w:rsidR="00217E4C" w:rsidRPr="00016061">
        <w:rPr>
          <w:rFonts w:eastAsia="Cambria"/>
          <w:lang w:val="es-ES_tradnl"/>
        </w:rPr>
        <w:t>.</w:t>
      </w:r>
      <w:r w:rsidR="007F6166" w:rsidRPr="00016061">
        <w:rPr>
          <w:rFonts w:eastAsia="Cambria"/>
          <w:lang w:val="es-ES_tradnl"/>
        </w:rPr>
        <w:t xml:space="preserve"> Además,</w:t>
      </w:r>
      <w:r w:rsidR="000425A6" w:rsidRPr="00016061">
        <w:rPr>
          <w:rFonts w:eastAsia="Arial Unicode MS" w:cs="Times New Roman"/>
          <w:bdr w:val="nil"/>
          <w:lang w:eastAsia="en-US"/>
        </w:rPr>
        <w:t xml:space="preserve"> </w:t>
      </w:r>
      <w:r w:rsidR="000425A6" w:rsidRPr="00016061">
        <w:rPr>
          <w:rFonts w:eastAsia="Cambria"/>
        </w:rPr>
        <w:t xml:space="preserve">alega la falta de agotamiento de </w:t>
      </w:r>
      <w:r w:rsidR="006024AB" w:rsidRPr="00016061">
        <w:rPr>
          <w:rFonts w:eastAsia="Cambria"/>
        </w:rPr>
        <w:t xml:space="preserve">los </w:t>
      </w:r>
      <w:r w:rsidR="000425A6" w:rsidRPr="00016061">
        <w:rPr>
          <w:rFonts w:eastAsia="Cambria"/>
        </w:rPr>
        <w:t xml:space="preserve">recursos internos, en virtud de que existía </w:t>
      </w:r>
      <w:r w:rsidR="00217E4C" w:rsidRPr="00016061">
        <w:rPr>
          <w:rFonts w:eastAsia="Cambria"/>
        </w:rPr>
        <w:t>un</w:t>
      </w:r>
      <w:r w:rsidR="000425A6" w:rsidRPr="00016061">
        <w:rPr>
          <w:rFonts w:eastAsia="Cambria"/>
        </w:rPr>
        <w:t xml:space="preserve"> </w:t>
      </w:r>
      <w:r w:rsidR="006024AB" w:rsidRPr="00016061">
        <w:rPr>
          <w:rFonts w:eastAsia="Cambria"/>
        </w:rPr>
        <w:t>proceso pendiente</w:t>
      </w:r>
      <w:r w:rsidR="000425A6" w:rsidRPr="00016061">
        <w:rPr>
          <w:rFonts w:eastAsia="Cambria"/>
        </w:rPr>
        <w:t xml:space="preserve"> cuando se presentó la petición.</w:t>
      </w:r>
    </w:p>
    <w:p w:rsidR="005D6477" w:rsidRPr="00016061" w:rsidRDefault="005D6477" w:rsidP="00CA1DEC">
      <w:pPr>
        <w:ind w:firstLine="720"/>
        <w:jc w:val="both"/>
        <w:rPr>
          <w:rFonts w:asciiTheme="majorHAnsi" w:hAnsiTheme="majorHAnsi"/>
          <w:sz w:val="20"/>
          <w:szCs w:val="20"/>
          <w:lang w:val="es-ES" w:eastAsia="es-ES"/>
        </w:rPr>
      </w:pPr>
    </w:p>
    <w:p w:rsidR="00BD7175" w:rsidRPr="00016061" w:rsidRDefault="00BD7175" w:rsidP="00CA1DEC">
      <w:pPr>
        <w:pStyle w:val="Heading3"/>
        <w:ind w:left="0" w:firstLine="720"/>
      </w:pPr>
      <w:r w:rsidRPr="00016061">
        <w:t xml:space="preserve">Sin prejuzgar sobre el fondo de la denuncia, tras analizar las posiciones de las partes y en cumplimiento de los requisitos previstos en los artículos 46 y 47 de la Convención Americana, la Comisión decide declarar el caso admisible a efectos del examen de los alegatos relativos a </w:t>
      </w:r>
      <w:r w:rsidR="00820F73" w:rsidRPr="00016061">
        <w:t xml:space="preserve">la presunta violación de </w:t>
      </w:r>
      <w:r w:rsidRPr="00016061">
        <w:t>los derechos consagrados en los artículos</w:t>
      </w:r>
      <w:r w:rsidR="00820F73" w:rsidRPr="00016061">
        <w:t xml:space="preserve"> </w:t>
      </w:r>
      <w:r w:rsidR="000B0F38" w:rsidRPr="00016061">
        <w:t xml:space="preserve">7 (libertad personal), </w:t>
      </w:r>
      <w:r w:rsidR="00820F73" w:rsidRPr="00016061">
        <w:t>8</w:t>
      </w:r>
      <w:r w:rsidR="00220784" w:rsidRPr="00016061">
        <w:rPr>
          <w:rFonts w:eastAsia="Arial Unicode MS" w:cs="Times New Roman"/>
          <w:bdr w:val="nil"/>
          <w:lang w:eastAsia="en-US"/>
        </w:rPr>
        <w:t xml:space="preserve"> (</w:t>
      </w:r>
      <w:r w:rsidR="00220784" w:rsidRPr="00016061">
        <w:t>garantías judiciales)</w:t>
      </w:r>
      <w:r w:rsidR="00820F73" w:rsidRPr="00016061">
        <w:t xml:space="preserve">, </w:t>
      </w:r>
      <w:r w:rsidR="000B0F38" w:rsidRPr="00016061">
        <w:t xml:space="preserve">11 (honra y dignidad), </w:t>
      </w:r>
      <w:r w:rsidR="00820F73" w:rsidRPr="00016061">
        <w:t>21</w:t>
      </w:r>
      <w:r w:rsidR="00220784" w:rsidRPr="00016061">
        <w:t xml:space="preserve"> (propiedad privada)</w:t>
      </w:r>
      <w:r w:rsidR="00820F73" w:rsidRPr="00016061">
        <w:t xml:space="preserve"> y 25</w:t>
      </w:r>
      <w:r w:rsidR="00220784" w:rsidRPr="00016061">
        <w:t xml:space="preserve"> (protección judicial)</w:t>
      </w:r>
      <w:r w:rsidRPr="00016061">
        <w:t xml:space="preserve"> de la Convención </w:t>
      </w:r>
      <w:r w:rsidR="0060080F" w:rsidRPr="00016061">
        <w:rPr>
          <w:rFonts w:eastAsia="Arial Unicode MS" w:cs="Times New Roman"/>
          <w:bdr w:val="nil"/>
          <w:lang w:eastAsia="en-US"/>
        </w:rPr>
        <w:t xml:space="preserve">en conexión con las obligaciones establecidas en </w:t>
      </w:r>
      <w:r w:rsidR="005A6D6A" w:rsidRPr="00016061">
        <w:rPr>
          <w:rFonts w:eastAsia="Arial Unicode MS" w:cs="Times New Roman"/>
          <w:bdr w:val="nil"/>
          <w:lang w:eastAsia="en-US"/>
        </w:rPr>
        <w:t>el</w:t>
      </w:r>
      <w:r w:rsidR="0060080F" w:rsidRPr="00016061">
        <w:rPr>
          <w:rFonts w:eastAsia="Arial Unicode MS" w:cs="Times New Roman"/>
          <w:bdr w:val="nil"/>
          <w:lang w:eastAsia="en-US"/>
        </w:rPr>
        <w:t xml:space="preserve"> artículo 1</w:t>
      </w:r>
      <w:r w:rsidR="002D38E7" w:rsidRPr="00016061">
        <w:rPr>
          <w:rFonts w:eastAsia="Arial Unicode MS" w:cs="Times New Roman"/>
          <w:bdr w:val="nil"/>
          <w:lang w:eastAsia="en-US"/>
        </w:rPr>
        <w:t>.</w:t>
      </w:r>
      <w:r w:rsidR="0060080F" w:rsidRPr="00016061">
        <w:rPr>
          <w:rFonts w:eastAsia="Arial Unicode MS" w:cs="Times New Roman"/>
          <w:bdr w:val="nil"/>
          <w:lang w:eastAsia="en-US"/>
        </w:rPr>
        <w:t>1 del mismo instrumento</w:t>
      </w:r>
      <w:r w:rsidRPr="00016061">
        <w:t xml:space="preserve">. </w:t>
      </w:r>
      <w:r w:rsidR="00F62EBB" w:rsidRPr="00016061">
        <w:t xml:space="preserve">Asimismo, decidió declarar inadmisible la petición respecto de la presunta violación del artículo </w:t>
      </w:r>
      <w:r w:rsidR="00EF1878" w:rsidRPr="00016061">
        <w:t>11 (protección a la honra y a la dignidad)</w:t>
      </w:r>
      <w:r w:rsidR="00F62EBB" w:rsidRPr="00016061">
        <w:t xml:space="preserve"> del mismo instrumento</w:t>
      </w:r>
      <w:r w:rsidR="00EF1878" w:rsidRPr="00016061">
        <w:t>.</w:t>
      </w:r>
      <w:r w:rsidR="00F62EBB" w:rsidRPr="00016061">
        <w:t xml:space="preserve"> </w:t>
      </w:r>
      <w:r w:rsidRPr="00016061">
        <w:t xml:space="preserve">La Comisión decide además notificar esta decisión a las partes, publicarla e incluirla en su Informe Anual para la Asamblea General de la </w:t>
      </w:r>
      <w:r w:rsidR="00364CEF" w:rsidRPr="00016061">
        <w:t>Organización de Estados Americanos</w:t>
      </w:r>
      <w:r w:rsidRPr="00016061">
        <w:t>.</w:t>
      </w:r>
    </w:p>
    <w:p w:rsidR="002B7F7C" w:rsidRPr="00016061" w:rsidRDefault="002B7F7C" w:rsidP="007215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Theme="majorHAnsi" w:eastAsia="Times New Roman" w:hAnsiTheme="majorHAnsi"/>
          <w:sz w:val="20"/>
          <w:szCs w:val="20"/>
          <w:bdr w:val="none" w:sz="0" w:space="0" w:color="auto"/>
          <w:lang w:val="es-ES"/>
        </w:rPr>
      </w:pPr>
      <w:r w:rsidRPr="00016061">
        <w:rPr>
          <w:rFonts w:asciiTheme="majorHAnsi" w:eastAsia="Times New Roman" w:hAnsiTheme="majorHAnsi"/>
          <w:b/>
          <w:bCs/>
          <w:sz w:val="20"/>
          <w:szCs w:val="20"/>
          <w:bdr w:val="none" w:sz="0" w:space="0" w:color="auto"/>
          <w:lang w:val="es-ES"/>
        </w:rPr>
        <w:t> </w:t>
      </w:r>
    </w:p>
    <w:p w:rsidR="002B7F7C" w:rsidRPr="00016061" w:rsidRDefault="002B7F7C" w:rsidP="00721517">
      <w:pPr>
        <w:pStyle w:val="Heading2"/>
        <w:rPr>
          <w:bdr w:val="none" w:sz="0" w:space="0" w:color="auto"/>
        </w:rPr>
      </w:pPr>
      <w:r w:rsidRPr="00016061">
        <w:rPr>
          <w:bdr w:val="none" w:sz="0" w:space="0" w:color="auto"/>
        </w:rPr>
        <w:t xml:space="preserve">TRÁMITE </w:t>
      </w:r>
      <w:r w:rsidRPr="00016061">
        <w:t>ANTE</w:t>
      </w:r>
      <w:r w:rsidRPr="00016061">
        <w:rPr>
          <w:bdr w:val="none" w:sz="0" w:space="0" w:color="auto"/>
        </w:rPr>
        <w:t xml:space="preserve"> LA COMISIÓN</w:t>
      </w:r>
    </w:p>
    <w:p w:rsidR="000F212E" w:rsidRPr="00016061" w:rsidRDefault="000F212E" w:rsidP="00721517">
      <w:pPr>
        <w:ind w:firstLine="720"/>
        <w:jc w:val="both"/>
        <w:rPr>
          <w:rFonts w:asciiTheme="majorHAnsi" w:hAnsiTheme="majorHAnsi"/>
          <w:sz w:val="20"/>
          <w:szCs w:val="20"/>
          <w:lang w:val="es-UY"/>
        </w:rPr>
      </w:pPr>
    </w:p>
    <w:p w:rsidR="005477E7" w:rsidRPr="00016061" w:rsidRDefault="002B7F7C" w:rsidP="00CA1DEC">
      <w:pPr>
        <w:pStyle w:val="Heading3"/>
        <w:ind w:left="0" w:firstLine="720"/>
      </w:pPr>
      <w:r w:rsidRPr="00016061">
        <w:t xml:space="preserve">El </w:t>
      </w:r>
      <w:r w:rsidR="000E4407" w:rsidRPr="00016061">
        <w:t>12 de noviembre de 2002</w:t>
      </w:r>
      <w:r w:rsidRPr="00016061">
        <w:t xml:space="preserve">, </w:t>
      </w:r>
      <w:r w:rsidR="009848AF" w:rsidRPr="00016061">
        <w:t>la Comisión recibió la p</w:t>
      </w:r>
      <w:r w:rsidR="000E4407" w:rsidRPr="00016061">
        <w:t>etición y le asignó el número 4480</w:t>
      </w:r>
      <w:r w:rsidR="009848AF" w:rsidRPr="00016061">
        <w:t xml:space="preserve">-02. </w:t>
      </w:r>
      <w:r w:rsidR="009E342F" w:rsidRPr="00016061">
        <w:t xml:space="preserve">El </w:t>
      </w:r>
      <w:r w:rsidR="00217E4C" w:rsidRPr="00016061">
        <w:t>15 de octubre de 2003 l</w:t>
      </w:r>
      <w:r w:rsidR="000E4407" w:rsidRPr="00016061">
        <w:t>a CIDH trasladó las partes pertinentes de la petición al Estado, solicitándole que dentro del plazo de dos meses presentara su respuesta, de conformidad con lo establecido en el artículo 30.</w:t>
      </w:r>
      <w:r w:rsidR="00F507C4" w:rsidRPr="00016061">
        <w:t>3</w:t>
      </w:r>
      <w:r w:rsidR="000E4407" w:rsidRPr="00016061">
        <w:t xml:space="preserve"> del Reglamento de la CIDH entonces en vigor.</w:t>
      </w:r>
      <w:r w:rsidR="00F507C4" w:rsidRPr="00016061">
        <w:t xml:space="preserve"> </w:t>
      </w:r>
      <w:r w:rsidR="005477E7" w:rsidRPr="00016061">
        <w:t xml:space="preserve">La respuesta del Estado fue recibida el 17 de </w:t>
      </w:r>
      <w:r w:rsidR="00F507C4" w:rsidRPr="00016061">
        <w:t>febrero de 2004</w:t>
      </w:r>
      <w:r w:rsidR="005477E7" w:rsidRPr="00016061">
        <w:t>. Dicha comunicación fue debidamente trasladada al peticionario.</w:t>
      </w:r>
    </w:p>
    <w:p w:rsidR="00374A07" w:rsidRPr="00016061" w:rsidRDefault="00374A07" w:rsidP="00CA1DEC">
      <w:pPr>
        <w:ind w:firstLine="720"/>
        <w:jc w:val="both"/>
        <w:rPr>
          <w:rFonts w:asciiTheme="majorHAnsi" w:hAnsiTheme="majorHAnsi"/>
          <w:sz w:val="20"/>
          <w:szCs w:val="20"/>
          <w:lang w:val="es-ES" w:eastAsia="es-ES"/>
        </w:rPr>
      </w:pPr>
    </w:p>
    <w:p w:rsidR="00DE61F5" w:rsidRPr="00016061" w:rsidRDefault="00DE61F5" w:rsidP="00CA1DEC">
      <w:pPr>
        <w:pStyle w:val="Heading3"/>
        <w:ind w:left="0" w:firstLine="720"/>
      </w:pPr>
      <w:r w:rsidRPr="00016061">
        <w:t>La CIDH recibió observaciones adicionales de</w:t>
      </w:r>
      <w:r w:rsidR="00217E4C" w:rsidRPr="00016061">
        <w:t>l</w:t>
      </w:r>
      <w:r w:rsidRPr="00016061">
        <w:t xml:space="preserve"> </w:t>
      </w:r>
      <w:r w:rsidR="00217E4C" w:rsidRPr="00016061">
        <w:t>peticionario</w:t>
      </w:r>
      <w:r w:rsidRPr="00016061">
        <w:t xml:space="preserve"> el </w:t>
      </w:r>
      <w:r w:rsidR="005B4FF1" w:rsidRPr="00016061">
        <w:t xml:space="preserve">11 </w:t>
      </w:r>
      <w:r w:rsidR="00217E4C" w:rsidRPr="00016061">
        <w:t>y 20 de mayo de 2004</w:t>
      </w:r>
      <w:r w:rsidR="005B4FF1" w:rsidRPr="00016061">
        <w:t xml:space="preserve">, </w:t>
      </w:r>
      <w:r w:rsidR="00005C3D" w:rsidRPr="00016061">
        <w:t xml:space="preserve">22 de junio de 2004, </w:t>
      </w:r>
      <w:r w:rsidR="000A4753" w:rsidRPr="00016061">
        <w:t xml:space="preserve">7 de septiembre de 2004, 15 de febrero de 2005, </w:t>
      </w:r>
      <w:r w:rsidR="00C362CE" w:rsidRPr="00016061">
        <w:t xml:space="preserve">5 de agosto de 2005, </w:t>
      </w:r>
      <w:r w:rsidRPr="00016061">
        <w:t xml:space="preserve">1 de septiembre de 2006, </w:t>
      </w:r>
      <w:r w:rsidR="000E2C3D" w:rsidRPr="00016061">
        <w:t xml:space="preserve">5 de diciembre de 2006, </w:t>
      </w:r>
      <w:r w:rsidRPr="00016061">
        <w:t xml:space="preserve">8 de septiembre de 2007, </w:t>
      </w:r>
      <w:r w:rsidR="000E2C3D" w:rsidRPr="00016061">
        <w:t xml:space="preserve">12 de diciembre de 2007, 19 junio de 2008, 21 de </w:t>
      </w:r>
      <w:r w:rsidR="000E2C3D" w:rsidRPr="00016061">
        <w:lastRenderedPageBreak/>
        <w:t xml:space="preserve">enero de 2009, </w:t>
      </w:r>
      <w:r w:rsidR="00621696" w:rsidRPr="00016061">
        <w:t>12 de junio de 2009, 26 de agosto de 2009, 7 de junio de 2010, 26 de julio de 2010 y 23 de enero de 2013. Las anteriores comunicaciones fueron debidamente tr</w:t>
      </w:r>
      <w:r w:rsidR="004E5EEA" w:rsidRPr="00016061">
        <w:t xml:space="preserve">asladadas al Estado de México. </w:t>
      </w:r>
    </w:p>
    <w:p w:rsidR="004E5EEA" w:rsidRPr="00016061" w:rsidRDefault="004E5EEA" w:rsidP="00CA1DEC">
      <w:pPr>
        <w:ind w:firstLine="720"/>
        <w:jc w:val="both"/>
        <w:rPr>
          <w:rFonts w:asciiTheme="majorHAnsi" w:hAnsiTheme="majorHAnsi"/>
          <w:sz w:val="20"/>
          <w:szCs w:val="20"/>
          <w:lang w:val="es-ES" w:eastAsia="es-ES"/>
        </w:rPr>
      </w:pPr>
    </w:p>
    <w:p w:rsidR="005B4FF1" w:rsidRPr="00016061" w:rsidRDefault="00DE61F5" w:rsidP="00CA1DEC">
      <w:pPr>
        <w:pStyle w:val="Heading3"/>
        <w:ind w:left="0" w:firstLine="720"/>
      </w:pPr>
      <w:r w:rsidRPr="00016061">
        <w:t xml:space="preserve">Asimismo, la CIDH recibió las observaciones adicionales del Estado </w:t>
      </w:r>
      <w:r w:rsidR="005B4FF1" w:rsidRPr="00016061">
        <w:t xml:space="preserve">el </w:t>
      </w:r>
      <w:r w:rsidR="00217E4C" w:rsidRPr="00016061">
        <w:t>18 de mayo de 2004, 3 de junio de 2004,</w:t>
      </w:r>
      <w:r w:rsidR="005B4FF1" w:rsidRPr="00016061">
        <w:t xml:space="preserve"> </w:t>
      </w:r>
      <w:r w:rsidR="000A4753" w:rsidRPr="00016061">
        <w:t xml:space="preserve">24 de noviembre de 2004, </w:t>
      </w:r>
      <w:r w:rsidR="00C362CE" w:rsidRPr="00016061">
        <w:t>20 de enero de 2006, 23 de mayo de 2006</w:t>
      </w:r>
      <w:r w:rsidR="000E2C3D" w:rsidRPr="00016061">
        <w:t xml:space="preserve">, 12 de octubre de 2006, 2 de agosto de 2007, 1 de noviembre de 2007, 27 de abril de 2009, </w:t>
      </w:r>
      <w:r w:rsidR="00621696" w:rsidRPr="00016061">
        <w:t>29 de julio de 2009 y 16 de juli</w:t>
      </w:r>
      <w:r w:rsidR="00217E4C" w:rsidRPr="00016061">
        <w:t>o de 2013,</w:t>
      </w:r>
      <w:r w:rsidR="004E5EEA" w:rsidRPr="00016061">
        <w:t xml:space="preserve"> mismas que fueron debidamente trasladadas al peticionario.</w:t>
      </w:r>
    </w:p>
    <w:p w:rsidR="00E008BF" w:rsidRPr="00016061" w:rsidRDefault="00E008BF" w:rsidP="00721517">
      <w:pPr>
        <w:ind w:firstLine="720"/>
        <w:jc w:val="both"/>
        <w:rPr>
          <w:rFonts w:asciiTheme="majorHAnsi" w:hAnsiTheme="majorHAnsi"/>
          <w:sz w:val="20"/>
          <w:szCs w:val="20"/>
          <w:lang w:val="es-UY" w:eastAsia="es-ES"/>
        </w:rPr>
      </w:pPr>
    </w:p>
    <w:p w:rsidR="002B7F7C" w:rsidRPr="00016061" w:rsidRDefault="00214B42" w:rsidP="00721517">
      <w:pPr>
        <w:pStyle w:val="Heading2"/>
        <w:rPr>
          <w:bdr w:val="none" w:sz="0" w:space="0" w:color="auto"/>
        </w:rPr>
      </w:pPr>
      <w:r w:rsidRPr="00016061">
        <w:rPr>
          <w:bdr w:val="none" w:sz="0" w:space="0" w:color="auto"/>
          <w:lang w:val="en-US"/>
        </w:rPr>
        <w:t>POSICIÓN</w:t>
      </w:r>
      <w:r w:rsidR="000F212E" w:rsidRPr="00016061">
        <w:rPr>
          <w:bdr w:val="none" w:sz="0" w:space="0" w:color="auto"/>
        </w:rPr>
        <w:t xml:space="preserve"> DE LAS PARTES</w:t>
      </w:r>
    </w:p>
    <w:p w:rsidR="000F212E" w:rsidRPr="00016061" w:rsidRDefault="000F212E" w:rsidP="00721517">
      <w:pPr>
        <w:ind w:firstLine="720"/>
        <w:jc w:val="both"/>
        <w:rPr>
          <w:rFonts w:asciiTheme="majorHAnsi" w:hAnsiTheme="majorHAnsi"/>
          <w:sz w:val="20"/>
          <w:szCs w:val="20"/>
          <w:lang w:val="es-UY"/>
        </w:rPr>
      </w:pPr>
    </w:p>
    <w:p w:rsidR="002B7F7C" w:rsidRPr="00016061" w:rsidRDefault="00214B42" w:rsidP="00721517">
      <w:pPr>
        <w:pStyle w:val="NoSpacing"/>
      </w:pPr>
      <w:r w:rsidRPr="00016061">
        <w:t xml:space="preserve">Posición del </w:t>
      </w:r>
      <w:r w:rsidR="002B7F7C" w:rsidRPr="00016061">
        <w:t>peticionario</w:t>
      </w:r>
    </w:p>
    <w:p w:rsidR="002B7F7C" w:rsidRPr="00016061" w:rsidRDefault="002B7F7C" w:rsidP="007215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20"/>
        <w:jc w:val="both"/>
        <w:rPr>
          <w:rFonts w:asciiTheme="majorHAnsi" w:eastAsia="Times New Roman" w:hAnsiTheme="majorHAnsi"/>
          <w:sz w:val="20"/>
          <w:szCs w:val="20"/>
          <w:bdr w:val="none" w:sz="0" w:space="0" w:color="auto"/>
          <w:lang w:val="es-ES"/>
        </w:rPr>
      </w:pPr>
    </w:p>
    <w:p w:rsidR="00776C3F" w:rsidRPr="00016061" w:rsidRDefault="00CA1DEC" w:rsidP="00776C3F">
      <w:pPr>
        <w:pStyle w:val="Heading3"/>
        <w:ind w:left="0" w:firstLine="720"/>
      </w:pPr>
      <w:r w:rsidRPr="00016061">
        <w:t>Como antecedentes el peticionario indica que el 29 de junio de 1968 el Presidente de la República emitió un decreto expropiatorio por causa de utilidad pública que afectó al predio denominado “Tecaxi”, ubicado en la zona Sur de la Ciudad de México, propiedad del señor Ángel Veraza Villanueva (padre de la presunta víctima, de cuya sucesión es albacea</w:t>
      </w:r>
      <w:r w:rsidR="00901A82" w:rsidRPr="00016061">
        <w:t>. En adelante “el padre de la presunta víctima”</w:t>
      </w:r>
      <w:r w:rsidRPr="00016061">
        <w:t xml:space="preserve">). Indica que en 1974 el señor Ángel Veraza Villanueva solicitó a la Jefatura del Departamento del Distrito Federal la reversión del decreto expropiatorio ya que el inmueble no fue destinado dentro del plazo legal de cinco años a los fines de utilidad pública para los que fue expropiado, según lo establece el artículo 9 de la Ley de Expropiación. El 3 de noviembre de 1975 el Director General Jurídico y de Gobierno emitió opinión estimando que la reversión no era procedente. Contra dicha opinión el peticionario presentó recurso ante el Tribunal de lo Contencioso Administrativo del Distrito Federal, el cual el 7 de julio de 1982 ordenó al Jefe del Departamento del Distrito Federal resolver la solicitud planteada. </w:t>
      </w:r>
    </w:p>
    <w:p w:rsidR="00776C3F" w:rsidRPr="00016061" w:rsidRDefault="00776C3F" w:rsidP="00776C3F">
      <w:pPr>
        <w:pStyle w:val="Heading3"/>
        <w:numPr>
          <w:ilvl w:val="0"/>
          <w:numId w:val="0"/>
        </w:numPr>
        <w:ind w:left="720"/>
      </w:pPr>
    </w:p>
    <w:p w:rsidR="00D01718" w:rsidRPr="00016061" w:rsidRDefault="00CA1DEC" w:rsidP="00776C3F">
      <w:pPr>
        <w:pStyle w:val="Heading3"/>
        <w:ind w:left="0" w:firstLine="720"/>
      </w:pPr>
      <w:r w:rsidRPr="00016061">
        <w:t xml:space="preserve">En cumplimiento de dicha decisión, el 28 de julio de 1987 el Director General Jurídico y de Estudios Legislativos determinó improcedente la reversión en razón de que el predio afectado sí se destinó a los fines de utilidad pública para los que fue expropiado. En contra de dicha resolución la presunta víctima interpuso recurso de queja, el cual fue rechazado el 31 de enero de 1989. Contra dicha decisión el peticionario presentó demanda de amparo ante el Juez Primero de Distrito en Materia Administrativa en el Distrito Federal, el cual determinó amparar al señor Veraza. En cumplimiento de dicha decisión, el 17 </w:t>
      </w:r>
      <w:r w:rsidR="00596164" w:rsidRPr="00016061">
        <w:t>de agosto de 1989</w:t>
      </w:r>
      <w:r w:rsidRPr="00016061">
        <w:t xml:space="preserve"> el Tribunal de lo Contencioso Administrativo del Distrito Federal </w:t>
      </w:r>
      <w:r w:rsidR="005D3F40" w:rsidRPr="00016061">
        <w:t>ordenó a la autoridad responsable a cumplir con la sentencia del 7 de julio de 1982. El 6 de abril de 1990 el</w:t>
      </w:r>
      <w:r w:rsidR="007A5B99" w:rsidRPr="00016061">
        <w:t xml:space="preserve"> Jefe del Distrito Federal nuevamente denegó la solicitud de reversión. Contra dicha resolución el peticionario interpuso recurso de nulidad ante el Tribunal de lo Contencioso Administrativo, el cual fue otorgado con fecha 28 de febrero de 1991. El Tribunal ordenó a la autoridad que dicte una nueva resolución en la que considerara y apreciara legalmente las pruebas ofrecidas por el peticionario</w:t>
      </w:r>
      <w:r w:rsidR="00776C3F" w:rsidRPr="00016061">
        <w:t xml:space="preserve">. En esta nueva resolución, de fecha 5 de agosto de 1991, se negó la reversión del predio. Dicha resolución fue impugnada por el peticionario ante el Tribunal de lo Contencioso Administrativo del Distrito Federal, el cual, </w:t>
      </w:r>
      <w:r w:rsidR="00D01718" w:rsidRPr="00016061">
        <w:t xml:space="preserve">mediante sentencia de 14 de agosto de 1992, estimó fundada la acción y declaró </w:t>
      </w:r>
      <w:r w:rsidR="008F7961" w:rsidRPr="00016061">
        <w:t>“</w:t>
      </w:r>
      <w:r w:rsidR="00D01718" w:rsidRPr="00016061">
        <w:t>la nulidad de la resolución administrativa, para el efecto de que se dicta</w:t>
      </w:r>
      <w:r w:rsidR="002B0F26" w:rsidRPr="00016061">
        <w:t>ra</w:t>
      </w:r>
      <w:r w:rsidR="00D01718" w:rsidRPr="00016061">
        <w:t xml:space="preserve"> una nueva</w:t>
      </w:r>
      <w:r w:rsidR="00C26BF3" w:rsidRPr="00016061">
        <w:t xml:space="preserve"> </w:t>
      </w:r>
      <w:r w:rsidR="00D01718" w:rsidRPr="00016061">
        <w:t>declarando procedente la reversión del predio expropiado</w:t>
      </w:r>
      <w:r w:rsidR="008F7961" w:rsidRPr="00016061">
        <w:t>”</w:t>
      </w:r>
      <w:r w:rsidR="00D01718" w:rsidRPr="00016061">
        <w:t>.</w:t>
      </w:r>
    </w:p>
    <w:p w:rsidR="00EA7298" w:rsidRPr="00016061" w:rsidRDefault="00EA7298" w:rsidP="00721517">
      <w:pPr>
        <w:pStyle w:val="Heading3"/>
        <w:numPr>
          <w:ilvl w:val="0"/>
          <w:numId w:val="0"/>
        </w:numPr>
        <w:ind w:left="720" w:firstLine="720"/>
      </w:pPr>
    </w:p>
    <w:p w:rsidR="008F7961" w:rsidRPr="00016061" w:rsidRDefault="00256457" w:rsidP="00256457">
      <w:pPr>
        <w:pStyle w:val="Heading3"/>
        <w:tabs>
          <w:tab w:val="left" w:pos="0"/>
        </w:tabs>
        <w:ind w:left="0" w:firstLine="720"/>
      </w:pPr>
      <w:r w:rsidRPr="00016061">
        <w:t xml:space="preserve">Según el peticionario, dado que el mencionado Tribunal no tiene facultades para hacer cumplir sus determinaciones, una vez agotados los recursos disponibles, recurrió a la protección de la justicia federal. Es así que </w:t>
      </w:r>
      <w:r w:rsidR="008F7961" w:rsidRPr="00016061">
        <w:t xml:space="preserve">el 10 </w:t>
      </w:r>
      <w:r w:rsidR="00882BEA" w:rsidRPr="00016061">
        <w:t>de febrero de 1998</w:t>
      </w:r>
      <w:r w:rsidR="003913A1" w:rsidRPr="00016061">
        <w:t xml:space="preserve"> el</w:t>
      </w:r>
      <w:r w:rsidR="008F7961" w:rsidRPr="00016061">
        <w:t xml:space="preserve"> </w:t>
      </w:r>
      <w:r w:rsidR="003913A1" w:rsidRPr="00016061">
        <w:t>peticionario</w:t>
      </w:r>
      <w:r w:rsidR="008F7961" w:rsidRPr="00016061">
        <w:t xml:space="preserve"> </w:t>
      </w:r>
      <w:r w:rsidR="005558E6" w:rsidRPr="00016061">
        <w:t>promovió</w:t>
      </w:r>
      <w:r w:rsidR="00C35F8D" w:rsidRPr="00016061">
        <w:t xml:space="preserve"> un </w:t>
      </w:r>
      <w:r w:rsidR="005558E6" w:rsidRPr="00016061">
        <w:t>juicio</w:t>
      </w:r>
      <w:r w:rsidR="00C35F8D" w:rsidRPr="00016061">
        <w:t xml:space="preserve"> de amparo</w:t>
      </w:r>
      <w:r w:rsidR="00F022DD" w:rsidRPr="00016061">
        <w:t xml:space="preserve"> radicado bajo el expediente 94/98</w:t>
      </w:r>
      <w:r w:rsidRPr="00016061">
        <w:t>, el cual fue concedido</w:t>
      </w:r>
      <w:r w:rsidR="00C35F8D" w:rsidRPr="00016061">
        <w:t xml:space="preserve"> el 31 de marzo de 1998. La sentencia </w:t>
      </w:r>
      <w:r w:rsidR="005558E6" w:rsidRPr="00016061">
        <w:t>qued</w:t>
      </w:r>
      <w:r w:rsidR="002333E4" w:rsidRPr="00016061">
        <w:t>ó</w:t>
      </w:r>
      <w:r w:rsidR="00C35F8D" w:rsidRPr="00016061">
        <w:t xml:space="preserve"> firme el 29 de abril de 1998, al no ser impugnada por la autoridad responsable.</w:t>
      </w:r>
    </w:p>
    <w:p w:rsidR="005558E6" w:rsidRPr="00016061" w:rsidRDefault="005558E6" w:rsidP="00CA1DEC">
      <w:pPr>
        <w:tabs>
          <w:tab w:val="left" w:pos="0"/>
        </w:tabs>
        <w:ind w:firstLine="720"/>
        <w:jc w:val="both"/>
        <w:rPr>
          <w:rFonts w:asciiTheme="majorHAnsi" w:hAnsiTheme="majorHAnsi"/>
          <w:sz w:val="20"/>
          <w:szCs w:val="20"/>
          <w:lang w:val="es-ES" w:eastAsia="es-ES"/>
        </w:rPr>
      </w:pPr>
    </w:p>
    <w:p w:rsidR="005558E6" w:rsidRPr="00016061" w:rsidRDefault="008F72D2" w:rsidP="00CA1DEC">
      <w:pPr>
        <w:pStyle w:val="Heading3"/>
        <w:tabs>
          <w:tab w:val="left" w:pos="0"/>
        </w:tabs>
        <w:ind w:left="0" w:firstLine="720"/>
      </w:pPr>
      <w:r w:rsidRPr="00016061">
        <w:t xml:space="preserve">Señala </w:t>
      </w:r>
      <w:r w:rsidR="00256457" w:rsidRPr="00016061">
        <w:t xml:space="preserve">el peticionario </w:t>
      </w:r>
      <w:r w:rsidRPr="00016061">
        <w:t>que</w:t>
      </w:r>
      <w:r w:rsidR="00C868A1" w:rsidRPr="00016061">
        <w:t>,</w:t>
      </w:r>
      <w:r w:rsidRPr="00016061">
        <w:t xml:space="preserve"> </w:t>
      </w:r>
      <w:r w:rsidR="005558E6" w:rsidRPr="00016061">
        <w:t xml:space="preserve">en virtud de que el Departamento del Distrito Federal no cumplió con la sentencia, promovió un incidente de inejecución de sentencia. Durante la tramitación del mismo, se informó de la </w:t>
      </w:r>
      <w:r w:rsidR="005558E6" w:rsidRPr="00016061">
        <w:rPr>
          <w:rFonts w:cs="Arial"/>
          <w:bCs/>
        </w:rPr>
        <w:t xml:space="preserve">"imposibilidad física </w:t>
      </w:r>
      <w:r w:rsidR="005558E6" w:rsidRPr="00016061">
        <w:rPr>
          <w:bCs/>
        </w:rPr>
        <w:t xml:space="preserve">y </w:t>
      </w:r>
      <w:r w:rsidR="005558E6" w:rsidRPr="00016061">
        <w:rPr>
          <w:rFonts w:cs="Arial"/>
          <w:bCs/>
        </w:rPr>
        <w:t xml:space="preserve">jurídica de restituir al agraviado en el pleno goce de la garantía individual violada </w:t>
      </w:r>
      <w:r w:rsidR="005558E6" w:rsidRPr="00016061">
        <w:rPr>
          <w:bCs/>
        </w:rPr>
        <w:t xml:space="preserve">y </w:t>
      </w:r>
      <w:r w:rsidR="005558E6" w:rsidRPr="00016061">
        <w:rPr>
          <w:rFonts w:cs="Arial"/>
          <w:bCs/>
        </w:rPr>
        <w:t xml:space="preserve">restablecer las cosas al estado que guardaban antes de </w:t>
      </w:r>
      <w:r w:rsidR="005558E6" w:rsidRPr="00016061">
        <w:t>la</w:t>
      </w:r>
      <w:r w:rsidR="005558E6" w:rsidRPr="00016061">
        <w:rPr>
          <w:rFonts w:cs="Arial"/>
          <w:bCs/>
        </w:rPr>
        <w:t xml:space="preserve"> violación materia de la Litis Constitucional […] en virtud de que en el inmueble ubicado en la Delegación Tlalpan, Distrito Federal […] del predio denominado 'Tecaxi', mismo que fue expropiado por Decreto Presidencial de 29 de junio de 1968 […] actualmente es ocupado por el Instituto Nacional de </w:t>
      </w:r>
      <w:r w:rsidR="005558E6" w:rsidRPr="00016061">
        <w:rPr>
          <w:rFonts w:eastAsia="Arial Unicode MS" w:cs="Arial"/>
          <w:bCs/>
          <w:bdr w:val="nil"/>
        </w:rPr>
        <w:t>Antropología e Historia, como es del dominio público."</w:t>
      </w:r>
    </w:p>
    <w:p w:rsidR="005558E6" w:rsidRPr="00016061" w:rsidRDefault="005558E6" w:rsidP="00CA1DEC">
      <w:pPr>
        <w:pStyle w:val="Heading3"/>
        <w:numPr>
          <w:ilvl w:val="0"/>
          <w:numId w:val="0"/>
        </w:numPr>
        <w:tabs>
          <w:tab w:val="left" w:pos="0"/>
        </w:tabs>
        <w:ind w:firstLine="720"/>
      </w:pPr>
    </w:p>
    <w:p w:rsidR="009F2D15" w:rsidRPr="00016061" w:rsidRDefault="005558E6" w:rsidP="00CA1DEC">
      <w:pPr>
        <w:pStyle w:val="Heading3"/>
        <w:tabs>
          <w:tab w:val="left" w:pos="0"/>
        </w:tabs>
        <w:ind w:left="0" w:firstLine="720"/>
      </w:pPr>
      <w:r w:rsidRPr="00016061">
        <w:lastRenderedPageBreak/>
        <w:t xml:space="preserve">Por lo anterior, el 17 de octubre de 1998, la </w:t>
      </w:r>
      <w:r w:rsidR="003C2D96" w:rsidRPr="00016061">
        <w:t>Segunda Sala de la Suprema Corte de J</w:t>
      </w:r>
      <w:r w:rsidR="00DF2759" w:rsidRPr="00016061">
        <w:t xml:space="preserve">usticia </w:t>
      </w:r>
      <w:r w:rsidR="00DD5CB5" w:rsidRPr="00016061">
        <w:t>de la N</w:t>
      </w:r>
      <w:r w:rsidR="00DF2759" w:rsidRPr="00016061">
        <w:t>ación (</w:t>
      </w:r>
      <w:r w:rsidR="00A97692" w:rsidRPr="00016061">
        <w:t>en adelante “</w:t>
      </w:r>
      <w:r w:rsidR="00DF2759" w:rsidRPr="00016061">
        <w:t>SCJN</w:t>
      </w:r>
      <w:r w:rsidR="00A97692" w:rsidRPr="00016061">
        <w:t>”</w:t>
      </w:r>
      <w:r w:rsidR="00DF2759" w:rsidRPr="00016061">
        <w:t>)</w:t>
      </w:r>
      <w:r w:rsidR="003C2D96" w:rsidRPr="00016061">
        <w:t xml:space="preserve"> </w:t>
      </w:r>
      <w:r w:rsidR="00AD2515" w:rsidRPr="00016061">
        <w:t>declaró</w:t>
      </w:r>
      <w:r w:rsidR="003C2D96" w:rsidRPr="00016061">
        <w:t xml:space="preserve"> sin mater</w:t>
      </w:r>
      <w:r w:rsidR="00DF2759" w:rsidRPr="00016061">
        <w:t>ia el incidente de inejecución y</w:t>
      </w:r>
      <w:r w:rsidR="003C2D96" w:rsidRPr="00016061">
        <w:t xml:space="preserve"> el peticionario </w:t>
      </w:r>
      <w:r w:rsidR="00AD2515" w:rsidRPr="00016061">
        <w:t>promovió</w:t>
      </w:r>
      <w:r w:rsidR="003C2D96" w:rsidRPr="00016061">
        <w:t xml:space="preserve"> un incidente de pago de daños y perjuicios o de cumplimiento sustituto. El 17 de marzo de 1999, el Juez Primero de Distrito en Materia Administrativa en el Distrito Federal condenó al Jefe de Gobierno del Distrito Federal</w:t>
      </w:r>
      <w:r w:rsidR="00DD04DA" w:rsidRPr="00016061">
        <w:t xml:space="preserve"> al pago de la cantidad de $176,</w:t>
      </w:r>
      <w:r w:rsidR="003C2D96" w:rsidRPr="00016061">
        <w:t>50</w:t>
      </w:r>
      <w:r w:rsidR="00DD04DA" w:rsidRPr="00016061">
        <w:t>0,</w:t>
      </w:r>
      <w:r w:rsidR="003C2D96" w:rsidRPr="00016061">
        <w:t>000 pesos mexicanos</w:t>
      </w:r>
      <w:r w:rsidR="001506C7" w:rsidRPr="00016061">
        <w:t xml:space="preserve"> (aproximadamente USD$ </w:t>
      </w:r>
      <w:r w:rsidR="00DD04DA" w:rsidRPr="00016061">
        <w:t>18,233,471.</w:t>
      </w:r>
      <w:r w:rsidR="006829AA" w:rsidRPr="00016061">
        <w:t xml:space="preserve">07 </w:t>
      </w:r>
      <w:r w:rsidR="00A97692" w:rsidRPr="00016061">
        <w:t>de la época</w:t>
      </w:r>
      <w:r w:rsidR="009F2D15" w:rsidRPr="00016061">
        <w:t>)</w:t>
      </w:r>
      <w:r w:rsidR="003C2D96" w:rsidRPr="00016061">
        <w:t xml:space="preserve">, por concepto de </w:t>
      </w:r>
      <w:r w:rsidR="009F2D15" w:rsidRPr="00016061">
        <w:t>“</w:t>
      </w:r>
      <w:r w:rsidR="003C2D96" w:rsidRPr="00016061">
        <w:t xml:space="preserve">indemnización por los daños y perjuicios que se </w:t>
      </w:r>
      <w:r w:rsidR="005D152A" w:rsidRPr="00016061">
        <w:t>causa</w:t>
      </w:r>
      <w:r w:rsidR="003C2D96" w:rsidRPr="00016061">
        <w:t xml:space="preserve"> a particular al no poder restituirlo en uso y goce de la propiedad del que fue despojado ilegalmente</w:t>
      </w:r>
      <w:r w:rsidR="009F2D15" w:rsidRPr="00016061">
        <w:t>”</w:t>
      </w:r>
      <w:r w:rsidR="003C2D96" w:rsidRPr="00016061">
        <w:t xml:space="preserve">. </w:t>
      </w:r>
    </w:p>
    <w:p w:rsidR="009F2D15" w:rsidRPr="00016061" w:rsidRDefault="009F2D15" w:rsidP="00CA1DEC">
      <w:pPr>
        <w:pStyle w:val="Heading3"/>
        <w:numPr>
          <w:ilvl w:val="0"/>
          <w:numId w:val="0"/>
        </w:numPr>
        <w:tabs>
          <w:tab w:val="left" w:pos="0"/>
        </w:tabs>
        <w:ind w:firstLine="720"/>
      </w:pPr>
    </w:p>
    <w:p w:rsidR="005558E6" w:rsidRPr="00016061" w:rsidRDefault="009F2D15" w:rsidP="00CA1DEC">
      <w:pPr>
        <w:pStyle w:val="Heading3"/>
        <w:tabs>
          <w:tab w:val="left" w:pos="0"/>
        </w:tabs>
        <w:ind w:left="0" w:firstLine="720"/>
      </w:pPr>
      <w:r w:rsidRPr="00016061">
        <w:t>Dicha r</w:t>
      </w:r>
      <w:r w:rsidR="003C2D96" w:rsidRPr="00016061">
        <w:t>esolución fue con</w:t>
      </w:r>
      <w:r w:rsidRPr="00016061">
        <w:t>firmada el 16 de agosto de 1999</w:t>
      </w:r>
      <w:r w:rsidR="00A97692" w:rsidRPr="00016061">
        <w:t>,</w:t>
      </w:r>
      <w:r w:rsidRPr="00016061">
        <w:t xml:space="preserve"> y el </w:t>
      </w:r>
      <w:r w:rsidR="00AD2515" w:rsidRPr="00016061">
        <w:t xml:space="preserve">Juez de </w:t>
      </w:r>
      <w:r w:rsidR="001B7BE1" w:rsidRPr="00016061">
        <w:t>conocimiento</w:t>
      </w:r>
      <w:r w:rsidR="00AD2515" w:rsidRPr="00016061">
        <w:t xml:space="preserve"> </w:t>
      </w:r>
      <w:r w:rsidR="001B7BE1" w:rsidRPr="00016061">
        <w:t>procedió</w:t>
      </w:r>
      <w:r w:rsidR="00AD2515" w:rsidRPr="00016061">
        <w:t xml:space="preserve"> a requerir a la autoridad responsable el cumplimiento de la misma. En este contexto, el </w:t>
      </w:r>
      <w:r w:rsidR="001B7BE1" w:rsidRPr="00016061">
        <w:t>13 de diciembre de 2000, s</w:t>
      </w:r>
      <w:r w:rsidR="00DD04DA" w:rsidRPr="00016061">
        <w:t>e realizó un pago parcial de $2,788,326.</w:t>
      </w:r>
      <w:r w:rsidR="001B7BE1" w:rsidRPr="00016061">
        <w:t>10 pesos en favor del peticionario, lo que representa</w:t>
      </w:r>
      <w:r w:rsidR="00DD5CB5" w:rsidRPr="00016061">
        <w:t>, según el peticionario, menos d</w:t>
      </w:r>
      <w:r w:rsidR="001B7BE1" w:rsidRPr="00016061">
        <w:t>el 2% de</w:t>
      </w:r>
      <w:r w:rsidR="006A615E" w:rsidRPr="00016061">
        <w:t>l</w:t>
      </w:r>
      <w:r w:rsidR="001B7BE1" w:rsidRPr="00016061">
        <w:t xml:space="preserve"> monto total</w:t>
      </w:r>
      <w:r w:rsidR="00A97692" w:rsidRPr="00016061">
        <w:t xml:space="preserve"> ordenado por el Juez</w:t>
      </w:r>
      <w:r w:rsidR="00A97692" w:rsidRPr="00016061">
        <w:rPr>
          <w:rFonts w:ascii="Times New Roman" w:eastAsia="Arial Unicode MS" w:hAnsi="Times New Roman" w:cs="Times New Roman"/>
          <w:sz w:val="24"/>
          <w:szCs w:val="24"/>
          <w:bdr w:val="nil"/>
          <w:lang w:eastAsia="en-US"/>
        </w:rPr>
        <w:t xml:space="preserve"> </w:t>
      </w:r>
      <w:r w:rsidR="00A97692" w:rsidRPr="00016061">
        <w:t>Primero de Distrito en Materia Administrativa</w:t>
      </w:r>
      <w:r w:rsidR="001B7BE1" w:rsidRPr="00016061">
        <w:t>.</w:t>
      </w:r>
    </w:p>
    <w:p w:rsidR="00FE40A1" w:rsidRPr="00016061" w:rsidRDefault="00FE40A1" w:rsidP="00CA1DEC">
      <w:pPr>
        <w:tabs>
          <w:tab w:val="left" w:pos="0"/>
        </w:tabs>
        <w:ind w:firstLine="720"/>
        <w:jc w:val="both"/>
        <w:rPr>
          <w:rFonts w:asciiTheme="majorHAnsi" w:hAnsiTheme="majorHAnsi"/>
          <w:sz w:val="20"/>
          <w:szCs w:val="20"/>
          <w:lang w:val="es-ES" w:eastAsia="es-ES"/>
        </w:rPr>
      </w:pPr>
    </w:p>
    <w:p w:rsidR="00393A80" w:rsidRPr="00016061" w:rsidRDefault="00AC1B8B" w:rsidP="00CA1DEC">
      <w:pPr>
        <w:pStyle w:val="Heading3"/>
        <w:tabs>
          <w:tab w:val="left" w:pos="0"/>
        </w:tabs>
        <w:ind w:left="0" w:firstLine="720"/>
      </w:pPr>
      <w:r w:rsidRPr="00016061">
        <w:t>Al</w:t>
      </w:r>
      <w:r w:rsidR="00B815B2" w:rsidRPr="00016061">
        <w:t>e</w:t>
      </w:r>
      <w:r w:rsidRPr="00016061">
        <w:t>ga que una vez efectuado el pago anterior, el Jefe de Gobierno</w:t>
      </w:r>
      <w:r w:rsidR="00414CEB" w:rsidRPr="00016061">
        <w:t xml:space="preserve"> </w:t>
      </w:r>
      <w:r w:rsidRPr="00016061">
        <w:t>formul</w:t>
      </w:r>
      <w:r w:rsidR="00414CEB" w:rsidRPr="00016061">
        <w:t>ó</w:t>
      </w:r>
      <w:r w:rsidRPr="00016061">
        <w:t xml:space="preserve"> continuas declaraciones ante los medios de comunicación, </w:t>
      </w:r>
      <w:r w:rsidR="00414CEB" w:rsidRPr="00016061">
        <w:t>calificando</w:t>
      </w:r>
      <w:r w:rsidRPr="00016061">
        <w:t xml:space="preserve"> el fallo </w:t>
      </w:r>
      <w:r w:rsidR="00414CEB" w:rsidRPr="00016061">
        <w:t>del</w:t>
      </w:r>
      <w:r w:rsidRPr="00016061">
        <w:t xml:space="preserve"> Poder Judicial de la </w:t>
      </w:r>
      <w:r w:rsidR="00414CEB" w:rsidRPr="00016061">
        <w:t>Federación</w:t>
      </w:r>
      <w:r w:rsidRPr="00016061">
        <w:t xml:space="preserve"> como “injusto”</w:t>
      </w:r>
      <w:r w:rsidR="000B1908" w:rsidRPr="00016061">
        <w:t>,</w:t>
      </w:r>
      <w:r w:rsidRPr="00016061">
        <w:t xml:space="preserve"> y declarando que en ese caso existía un fraude cometido por el particular.</w:t>
      </w:r>
    </w:p>
    <w:p w:rsidR="00C33B2E" w:rsidRPr="00016061" w:rsidRDefault="00C33B2E" w:rsidP="00CA1DEC">
      <w:pPr>
        <w:pStyle w:val="Heading3"/>
        <w:numPr>
          <w:ilvl w:val="0"/>
          <w:numId w:val="0"/>
        </w:numPr>
        <w:tabs>
          <w:tab w:val="left" w:pos="0"/>
        </w:tabs>
        <w:ind w:firstLine="720"/>
      </w:pPr>
    </w:p>
    <w:p w:rsidR="00A921B9" w:rsidRPr="00016061" w:rsidRDefault="007247E9" w:rsidP="00CA1DEC">
      <w:pPr>
        <w:pStyle w:val="Heading3"/>
        <w:tabs>
          <w:tab w:val="left" w:pos="0"/>
        </w:tabs>
        <w:ind w:left="0" w:firstLine="720"/>
      </w:pPr>
      <w:r w:rsidRPr="00016061">
        <w:t>El peticionario i</w:t>
      </w:r>
      <w:r w:rsidR="00857E2F" w:rsidRPr="00016061">
        <w:t xml:space="preserve">ndica que </w:t>
      </w:r>
      <w:r w:rsidR="00393A80" w:rsidRPr="00016061">
        <w:t xml:space="preserve">ante la reiterada omisión </w:t>
      </w:r>
      <w:r w:rsidR="003E3D16" w:rsidRPr="00016061">
        <w:t>del</w:t>
      </w:r>
      <w:r w:rsidR="00393A80" w:rsidRPr="00016061">
        <w:t xml:space="preserve"> Jefe de Gobierno del Distrito Federal </w:t>
      </w:r>
      <w:r w:rsidR="006829AA" w:rsidRPr="00016061">
        <w:t>en</w:t>
      </w:r>
      <w:r w:rsidR="00393A80" w:rsidRPr="00016061">
        <w:t xml:space="preserve"> cumplir con </w:t>
      </w:r>
      <w:r w:rsidR="003E3D16" w:rsidRPr="00016061">
        <w:t>el pago de la</w:t>
      </w:r>
      <w:r w:rsidR="00393A80" w:rsidRPr="00016061">
        <w:t xml:space="preserve"> </w:t>
      </w:r>
      <w:r w:rsidR="00393A80" w:rsidRPr="00016061">
        <w:rPr>
          <w:rFonts w:eastAsia="HiddenHorzOCR"/>
        </w:rPr>
        <w:t xml:space="preserve">indemnización, </w:t>
      </w:r>
      <w:r w:rsidR="003E3D16" w:rsidRPr="00016061">
        <w:rPr>
          <w:rFonts w:eastAsia="HiddenHorzOCR"/>
        </w:rPr>
        <w:t xml:space="preserve">el </w:t>
      </w:r>
      <w:r w:rsidR="003E3D16" w:rsidRPr="00016061">
        <w:t>7 de enero de 2000 interpuso un</w:t>
      </w:r>
      <w:r w:rsidR="00393A80" w:rsidRPr="00016061">
        <w:t xml:space="preserve"> incidente de inejecución </w:t>
      </w:r>
      <w:r w:rsidR="003E3D16" w:rsidRPr="00016061">
        <w:t>(</w:t>
      </w:r>
      <w:r w:rsidR="00EE33EB" w:rsidRPr="00016061">
        <w:t>expediente</w:t>
      </w:r>
      <w:r w:rsidR="00393A80" w:rsidRPr="00016061">
        <w:t xml:space="preserve"> 62/2000</w:t>
      </w:r>
      <w:r w:rsidR="003E3D16" w:rsidRPr="00016061">
        <w:t>)</w:t>
      </w:r>
      <w:r w:rsidR="00393A80" w:rsidRPr="00016061">
        <w:t xml:space="preserve">. </w:t>
      </w:r>
      <w:r w:rsidR="00C33B2E" w:rsidRPr="00016061">
        <w:t>E</w:t>
      </w:r>
      <w:r w:rsidR="000D6C65" w:rsidRPr="00016061">
        <w:t>l 23 de marzo de 2004,</w:t>
      </w:r>
      <w:r w:rsidR="00C33B2E" w:rsidRPr="00016061">
        <w:t xml:space="preserve"> la SCJN</w:t>
      </w:r>
      <w:r w:rsidR="00CB6DC7" w:rsidRPr="00016061">
        <w:t xml:space="preserve"> determin</w:t>
      </w:r>
      <w:r w:rsidR="007B1F25" w:rsidRPr="00016061">
        <w:t>ó</w:t>
      </w:r>
      <w:r w:rsidR="00CB6DC7" w:rsidRPr="00016061">
        <w:t xml:space="preserve"> que la inejecución de la resolución emitida en el juicio de amparo 94/98</w:t>
      </w:r>
      <w:r w:rsidR="007B1F25" w:rsidRPr="00016061">
        <w:t xml:space="preserve"> era </w:t>
      </w:r>
      <w:r w:rsidR="00C33B2E" w:rsidRPr="00016061">
        <w:t>“</w:t>
      </w:r>
      <w:r w:rsidR="007B1F25" w:rsidRPr="00016061">
        <w:t>excusable</w:t>
      </w:r>
      <w:r w:rsidR="000D48D0" w:rsidRPr="00016061">
        <w:t>”</w:t>
      </w:r>
      <w:r w:rsidR="007B1F25" w:rsidRPr="00016061">
        <w:t xml:space="preserve"> dado que la mencionada sentencia no es jurídicamente ejecutable y ordenó devolver los autos del juicio para que el juez de ampa</w:t>
      </w:r>
      <w:r w:rsidR="009F1640" w:rsidRPr="00016061">
        <w:t>r</w:t>
      </w:r>
      <w:r w:rsidR="007B1F25" w:rsidRPr="00016061">
        <w:t>o emitiera una nueva sentencia. Asimismo ordenó que se efectuara</w:t>
      </w:r>
      <w:r w:rsidR="000D6C65" w:rsidRPr="00016061">
        <w:t xml:space="preserve"> un nuevo </w:t>
      </w:r>
      <w:r w:rsidR="003E3D16" w:rsidRPr="00016061">
        <w:t>avalúo</w:t>
      </w:r>
      <w:r w:rsidR="00A921B9" w:rsidRPr="00016061">
        <w:t xml:space="preserve"> sobre el</w:t>
      </w:r>
      <w:r w:rsidR="00720257" w:rsidRPr="00016061">
        <w:t xml:space="preserve"> valor</w:t>
      </w:r>
      <w:r w:rsidR="00A921B9" w:rsidRPr="00016061">
        <w:t xml:space="preserve"> </w:t>
      </w:r>
      <w:r w:rsidR="00720257" w:rsidRPr="00016061">
        <w:t xml:space="preserve">del </w:t>
      </w:r>
      <w:r w:rsidR="00A921B9" w:rsidRPr="00016061">
        <w:t>predio</w:t>
      </w:r>
      <w:r w:rsidR="00720257" w:rsidRPr="00016061">
        <w:t xml:space="preserve"> en disputa</w:t>
      </w:r>
      <w:r w:rsidR="00A921B9" w:rsidRPr="00016061">
        <w:t xml:space="preserve">, indicando que </w:t>
      </w:r>
      <w:r w:rsidR="00C65BF7" w:rsidRPr="00016061">
        <w:t>debía</w:t>
      </w:r>
      <w:r w:rsidR="00A921B9" w:rsidRPr="00016061">
        <w:t xml:space="preserve"> fijarse la indemnización a partir del valor </w:t>
      </w:r>
      <w:r w:rsidRPr="00016061">
        <w:t xml:space="preserve">histórico </w:t>
      </w:r>
      <w:r w:rsidR="00A921B9" w:rsidRPr="00016061">
        <w:t xml:space="preserve">del </w:t>
      </w:r>
      <w:r w:rsidRPr="00016061">
        <w:t>bien</w:t>
      </w:r>
      <w:r w:rsidR="00A921B9" w:rsidRPr="00016061">
        <w:t xml:space="preserve"> en el </w:t>
      </w:r>
      <w:r w:rsidR="00C65BF7" w:rsidRPr="00016061">
        <w:t>año 1975</w:t>
      </w:r>
      <w:r w:rsidR="00A921B9" w:rsidRPr="00016061">
        <w:t xml:space="preserve">, momento en el cual la </w:t>
      </w:r>
      <w:r w:rsidR="00C65BF7" w:rsidRPr="00016061">
        <w:t>autoridad</w:t>
      </w:r>
      <w:r w:rsidR="00A921B9" w:rsidRPr="00016061">
        <w:t xml:space="preserve"> </w:t>
      </w:r>
      <w:r w:rsidR="00C65BF7" w:rsidRPr="00016061">
        <w:t>debió</w:t>
      </w:r>
      <w:r w:rsidR="00A921B9" w:rsidRPr="00016061">
        <w:t xml:space="preserve"> de</w:t>
      </w:r>
      <w:r w:rsidR="007B1F25" w:rsidRPr="00016061">
        <w:t>cretar la reversión solicitada.</w:t>
      </w:r>
    </w:p>
    <w:p w:rsidR="00A921B9" w:rsidRPr="00016061" w:rsidRDefault="00A921B9" w:rsidP="00CA1DEC">
      <w:pPr>
        <w:pStyle w:val="Heading3"/>
        <w:numPr>
          <w:ilvl w:val="0"/>
          <w:numId w:val="0"/>
        </w:numPr>
        <w:tabs>
          <w:tab w:val="left" w:pos="0"/>
        </w:tabs>
        <w:ind w:firstLine="720"/>
      </w:pPr>
    </w:p>
    <w:p w:rsidR="008C75DB" w:rsidRPr="00016061" w:rsidRDefault="00A921B9" w:rsidP="00CA1DEC">
      <w:pPr>
        <w:pStyle w:val="Heading3"/>
        <w:tabs>
          <w:tab w:val="left" w:pos="0"/>
        </w:tabs>
        <w:ind w:left="0" w:firstLine="720"/>
      </w:pPr>
      <w:r w:rsidRPr="00016061">
        <w:t xml:space="preserve">Sobre este punto el peticionario alega que la </w:t>
      </w:r>
      <w:r w:rsidR="00CB6DC7" w:rsidRPr="00016061">
        <w:t>SCJN</w:t>
      </w:r>
      <w:r w:rsidRPr="00016061">
        <w:t xml:space="preserve"> </w:t>
      </w:r>
      <w:r w:rsidR="006829AA" w:rsidRPr="00016061">
        <w:t>aplicó</w:t>
      </w:r>
      <w:r w:rsidR="00C65BF7" w:rsidRPr="00016061">
        <w:t xml:space="preserve"> </w:t>
      </w:r>
      <w:r w:rsidRPr="00016061">
        <w:t>retroactiv</w:t>
      </w:r>
      <w:r w:rsidR="00C65BF7" w:rsidRPr="00016061">
        <w:t>amente una</w:t>
      </w:r>
      <w:r w:rsidRPr="00016061">
        <w:t xml:space="preserve"> reforma constitucional que entr</w:t>
      </w:r>
      <w:r w:rsidR="00CB6DC7" w:rsidRPr="00016061">
        <w:t>ó</w:t>
      </w:r>
      <w:r w:rsidRPr="00016061">
        <w:t xml:space="preserve"> en vigor en</w:t>
      </w:r>
      <w:r w:rsidR="00C65BF7" w:rsidRPr="00016061">
        <w:t xml:space="preserve"> el</w:t>
      </w:r>
      <w:r w:rsidRPr="00016061">
        <w:t xml:space="preserve"> </w:t>
      </w:r>
      <w:r w:rsidR="006829AA" w:rsidRPr="00016061">
        <w:t xml:space="preserve">año </w:t>
      </w:r>
      <w:r w:rsidRPr="00016061">
        <w:t xml:space="preserve">2001, desconociendo </w:t>
      </w:r>
      <w:r w:rsidR="002333E4" w:rsidRPr="00016061">
        <w:t>las</w:t>
      </w:r>
      <w:r w:rsidRPr="00016061">
        <w:t xml:space="preserve"> sentencia</w:t>
      </w:r>
      <w:r w:rsidR="002333E4" w:rsidRPr="00016061">
        <w:t>s que previamente habían</w:t>
      </w:r>
      <w:r w:rsidR="00365114" w:rsidRPr="00016061">
        <w:t xml:space="preserve"> ordenado la valuación de dicho inmueble a valores comerciales actuales</w:t>
      </w:r>
      <w:r w:rsidR="005F246D" w:rsidRPr="00016061">
        <w:t xml:space="preserve">, y </w:t>
      </w:r>
      <w:r w:rsidR="007247E9" w:rsidRPr="00016061">
        <w:t>que</w:t>
      </w:r>
      <w:r w:rsidR="005F246D" w:rsidRPr="00016061">
        <w:t xml:space="preserve"> ya habían </w:t>
      </w:r>
      <w:r w:rsidR="007247E9" w:rsidRPr="00016061">
        <w:t>adquirido</w:t>
      </w:r>
      <w:r w:rsidR="005F246D" w:rsidRPr="00016061">
        <w:t xml:space="preserve"> la calidad de cosa juzgada</w:t>
      </w:r>
      <w:r w:rsidR="00365114" w:rsidRPr="00016061">
        <w:t xml:space="preserve">. Alega que dicha conducta </w:t>
      </w:r>
      <w:r w:rsidR="006829AA" w:rsidRPr="00016061">
        <w:t>es</w:t>
      </w:r>
      <w:r w:rsidR="00365114" w:rsidRPr="00016061">
        <w:t xml:space="preserve"> violatoria del principio de seguridad jurídica y de irretroactividad, así como </w:t>
      </w:r>
      <w:r w:rsidR="000D48D0" w:rsidRPr="00016061">
        <w:t>de</w:t>
      </w:r>
      <w:r w:rsidR="00365114" w:rsidRPr="00016061">
        <w:t>l derecho de propiedad</w:t>
      </w:r>
      <w:r w:rsidRPr="00016061">
        <w:t>.</w:t>
      </w:r>
    </w:p>
    <w:p w:rsidR="007B1F25" w:rsidRPr="00016061" w:rsidRDefault="007B1F25" w:rsidP="00CA1DEC">
      <w:pPr>
        <w:tabs>
          <w:tab w:val="left" w:pos="0"/>
        </w:tabs>
        <w:ind w:firstLine="720"/>
        <w:jc w:val="both"/>
        <w:rPr>
          <w:rFonts w:asciiTheme="majorHAnsi" w:hAnsiTheme="majorHAnsi"/>
          <w:sz w:val="20"/>
          <w:szCs w:val="20"/>
          <w:lang w:val="es-ES" w:eastAsia="es-ES"/>
        </w:rPr>
      </w:pPr>
    </w:p>
    <w:p w:rsidR="00E53FC1" w:rsidRPr="00016061" w:rsidRDefault="009F1640" w:rsidP="00CA1DEC">
      <w:pPr>
        <w:pStyle w:val="Heading3"/>
        <w:tabs>
          <w:tab w:val="left" w:pos="0"/>
        </w:tabs>
        <w:ind w:left="0" w:firstLine="720"/>
      </w:pPr>
      <w:r w:rsidRPr="00016061">
        <w:t>Indica que</w:t>
      </w:r>
      <w:r w:rsidR="006E2547" w:rsidRPr="00016061">
        <w:t xml:space="preserve"> una vez resueltos </w:t>
      </w:r>
      <w:r w:rsidR="00E53FC1" w:rsidRPr="00016061">
        <w:t>los</w:t>
      </w:r>
      <w:r w:rsidR="006E2547" w:rsidRPr="00016061">
        <w:t xml:space="preserve"> recursos</w:t>
      </w:r>
      <w:r w:rsidR="00E53FC1" w:rsidRPr="00016061">
        <w:t xml:space="preserve"> de queja interpuestos por ambas partes</w:t>
      </w:r>
      <w:r w:rsidR="006E2547" w:rsidRPr="00016061">
        <w:t xml:space="preserve">, </w:t>
      </w:r>
      <w:r w:rsidR="00E53FC1" w:rsidRPr="00016061">
        <w:t xml:space="preserve">el 17 de octubre de 2005 la SCJN resolvió que </w:t>
      </w:r>
      <w:r w:rsidR="00897556" w:rsidRPr="00016061">
        <w:t>“</w:t>
      </w:r>
      <w:r w:rsidR="00E53FC1" w:rsidRPr="00016061">
        <w:t xml:space="preserve">el valor comercial retrospectivo del predio Tecaxi […] en las condiciones en que se encontraba al 3 de noviembre de 1975, convertido a la nueva unidad monetaria y </w:t>
      </w:r>
      <w:r w:rsidR="00897556" w:rsidRPr="00016061">
        <w:t>actualizado</w:t>
      </w:r>
      <w:r w:rsidR="00E53FC1" w:rsidRPr="00016061">
        <w:t xml:space="preserve"> a</w:t>
      </w:r>
      <w:r w:rsidR="006829AA" w:rsidRPr="00016061">
        <w:t>l</w:t>
      </w:r>
      <w:r w:rsidR="00E53FC1" w:rsidRPr="00016061">
        <w:t xml:space="preserve"> 19 de diciembre de 2000 es de </w:t>
      </w:r>
      <w:r w:rsidR="00897556" w:rsidRPr="00016061">
        <w:t>$</w:t>
      </w:r>
      <w:r w:rsidR="00DD04DA" w:rsidRPr="00016061">
        <w:t>43,428,863.</w:t>
      </w:r>
      <w:r w:rsidR="00E53FC1" w:rsidRPr="00016061">
        <w:t xml:space="preserve">10 </w:t>
      </w:r>
      <w:r w:rsidR="00897556" w:rsidRPr="00016061">
        <w:t xml:space="preserve">pesos </w:t>
      </w:r>
      <w:r w:rsidR="000D48D0" w:rsidRPr="00016061">
        <w:t xml:space="preserve">(aproximadamente USD$ </w:t>
      </w:r>
      <w:r w:rsidR="00DD04DA" w:rsidRPr="00016061">
        <w:t>4,</w:t>
      </w:r>
      <w:r w:rsidR="00AA4308" w:rsidRPr="00016061">
        <w:t>613</w:t>
      </w:r>
      <w:r w:rsidR="00DD04DA" w:rsidRPr="00016061">
        <w:t>,</w:t>
      </w:r>
      <w:r w:rsidR="00AA4308" w:rsidRPr="00016061">
        <w:t>32</w:t>
      </w:r>
      <w:r w:rsidR="00DD04DA" w:rsidRPr="00016061">
        <w:t>2</w:t>
      </w:r>
      <w:r w:rsidR="00AA4308" w:rsidRPr="00016061">
        <w:t>.45</w:t>
      </w:r>
      <w:r w:rsidR="000B1908" w:rsidRPr="00016061">
        <w:t xml:space="preserve"> de la época</w:t>
      </w:r>
      <w:r w:rsidR="000D48D0" w:rsidRPr="00016061">
        <w:t xml:space="preserve">) </w:t>
      </w:r>
      <w:r w:rsidR="00E53FC1" w:rsidRPr="00016061">
        <w:t xml:space="preserve">a </w:t>
      </w:r>
      <w:r w:rsidR="00897556" w:rsidRPr="00016061">
        <w:t>título</w:t>
      </w:r>
      <w:r w:rsidR="00E53FC1" w:rsidRPr="00016061">
        <w:t xml:space="preserve"> de da</w:t>
      </w:r>
      <w:r w:rsidR="00897556" w:rsidRPr="00016061">
        <w:t>ñ</w:t>
      </w:r>
      <w:r w:rsidR="00E53FC1" w:rsidRPr="00016061">
        <w:t>os y perjuicios o cumplimiento substituto de la ejecutoria pronunciada en el juicio de amparo indirecto 94/1998”.</w:t>
      </w:r>
    </w:p>
    <w:p w:rsidR="00E53FC1" w:rsidRPr="00016061" w:rsidRDefault="00E53FC1" w:rsidP="00CA1DEC">
      <w:pPr>
        <w:pStyle w:val="Heading3"/>
        <w:numPr>
          <w:ilvl w:val="0"/>
          <w:numId w:val="0"/>
        </w:numPr>
        <w:tabs>
          <w:tab w:val="left" w:pos="0"/>
        </w:tabs>
        <w:ind w:firstLine="720"/>
      </w:pPr>
      <w:r w:rsidRPr="00016061">
        <w:t xml:space="preserve"> </w:t>
      </w:r>
    </w:p>
    <w:p w:rsidR="00AE628B" w:rsidRPr="00016061" w:rsidRDefault="00E53FC1" w:rsidP="00CA1DEC">
      <w:pPr>
        <w:pStyle w:val="Heading3"/>
        <w:tabs>
          <w:tab w:val="left" w:pos="0"/>
        </w:tabs>
        <w:ind w:left="0" w:firstLine="720"/>
      </w:pPr>
      <w:r w:rsidRPr="00016061">
        <w:t>E</w:t>
      </w:r>
      <w:r w:rsidR="006E2547" w:rsidRPr="00016061">
        <w:t>l 4 de noviembre de 2005,</w:t>
      </w:r>
      <w:r w:rsidR="009F1640" w:rsidRPr="00016061">
        <w:t xml:space="preserve"> el Juez Primero de Distrito en Materia Administrativa en el Distrito Feder</w:t>
      </w:r>
      <w:r w:rsidR="006E2547" w:rsidRPr="00016061">
        <w:t>al</w:t>
      </w:r>
      <w:r w:rsidR="00897556" w:rsidRPr="00016061">
        <w:t xml:space="preserve"> </w:t>
      </w:r>
      <w:r w:rsidR="00E42105" w:rsidRPr="00016061">
        <w:t>ordenó al Jefe de Gobierno del Distrito F</w:t>
      </w:r>
      <w:r w:rsidR="00DD04DA" w:rsidRPr="00016061">
        <w:t>ederal pagar la cantidad de $40,640,</w:t>
      </w:r>
      <w:r w:rsidR="00E42105" w:rsidRPr="00016061">
        <w:t xml:space="preserve">537 pesos  </w:t>
      </w:r>
      <w:r w:rsidR="00572D39" w:rsidRPr="00016061">
        <w:t xml:space="preserve">(aproximadamente USD$ 3,789,515.72 de la época) </w:t>
      </w:r>
      <w:r w:rsidR="00897556" w:rsidRPr="00016061">
        <w:t>y el 8 de diciembre de 2005</w:t>
      </w:r>
      <w:r w:rsidR="00E42105" w:rsidRPr="00016061">
        <w:t xml:space="preserve"> requirió que se cubriera la </w:t>
      </w:r>
      <w:r w:rsidR="006829AA" w:rsidRPr="00016061">
        <w:t xml:space="preserve">cantidad </w:t>
      </w:r>
      <w:r w:rsidR="00DD04DA" w:rsidRPr="00016061">
        <w:t>de $9,375,</w:t>
      </w:r>
      <w:r w:rsidR="00B87A16" w:rsidRPr="00016061">
        <w:t>771</w:t>
      </w:r>
      <w:r w:rsidR="00DD04DA" w:rsidRPr="00016061">
        <w:t>.</w:t>
      </w:r>
      <w:r w:rsidR="00B87A16" w:rsidRPr="00016061">
        <w:t>88 pesos</w:t>
      </w:r>
      <w:r w:rsidR="00E42105" w:rsidRPr="00016061">
        <w:t xml:space="preserve"> </w:t>
      </w:r>
      <w:r w:rsidR="00572D39" w:rsidRPr="00016061">
        <w:t xml:space="preserve">(aproximadamente USD$ </w:t>
      </w:r>
      <w:r w:rsidR="008E09A0" w:rsidRPr="00016061">
        <w:t>894,</w:t>
      </w:r>
      <w:r w:rsidR="00572D39" w:rsidRPr="00016061">
        <w:t xml:space="preserve">725.86 de la época) </w:t>
      </w:r>
      <w:r w:rsidR="00E42105" w:rsidRPr="00016061">
        <w:t>por concepto de actualización a la fecha de pago. Finalmente, el 22 de diciembre de 2005, una vez pagada</w:t>
      </w:r>
      <w:r w:rsidR="004D2F34" w:rsidRPr="00016061">
        <w:t>s las cantidades antes señalada</w:t>
      </w:r>
      <w:r w:rsidR="00572D39" w:rsidRPr="00016061">
        <w:t>s</w:t>
      </w:r>
      <w:r w:rsidR="004D2F34" w:rsidRPr="00016061">
        <w:t xml:space="preserve"> -</w:t>
      </w:r>
      <w:r w:rsidR="00E42105" w:rsidRPr="00016061">
        <w:t xml:space="preserve">y </w:t>
      </w:r>
      <w:r w:rsidR="002333E4" w:rsidRPr="00016061">
        <w:t xml:space="preserve">descontando el pago parcial </w:t>
      </w:r>
      <w:r w:rsidR="004D2F34" w:rsidRPr="00016061">
        <w:t xml:space="preserve">realizado en el año 2000- </w:t>
      </w:r>
      <w:r w:rsidR="00E42105" w:rsidRPr="00016061">
        <w:t xml:space="preserve"> el Juez de Distrito declaró cumplido el fallo.</w:t>
      </w:r>
    </w:p>
    <w:p w:rsidR="00365114" w:rsidRPr="00016061" w:rsidRDefault="00365114" w:rsidP="00CA1DEC">
      <w:pPr>
        <w:pStyle w:val="Heading3"/>
        <w:numPr>
          <w:ilvl w:val="0"/>
          <w:numId w:val="0"/>
        </w:numPr>
        <w:tabs>
          <w:tab w:val="left" w:pos="0"/>
        </w:tabs>
        <w:ind w:firstLine="720"/>
      </w:pPr>
    </w:p>
    <w:p w:rsidR="00D10816" w:rsidRPr="00016061" w:rsidRDefault="002333E4" w:rsidP="00CA1DEC">
      <w:pPr>
        <w:pStyle w:val="Heading3"/>
        <w:tabs>
          <w:tab w:val="left" w:pos="0"/>
        </w:tabs>
        <w:ind w:left="0" w:firstLine="720"/>
      </w:pPr>
      <w:r w:rsidRPr="00016061">
        <w:t>E</w:t>
      </w:r>
      <w:r w:rsidR="00365114" w:rsidRPr="00016061">
        <w:t xml:space="preserve">l peticionario </w:t>
      </w:r>
      <w:r w:rsidR="00C62215" w:rsidRPr="00016061">
        <w:t>alega que</w:t>
      </w:r>
      <w:r w:rsidR="00B87A16" w:rsidRPr="00016061">
        <w:t xml:space="preserve"> durante los años del proceso,</w:t>
      </w:r>
      <w:r w:rsidR="00C62215" w:rsidRPr="00016061">
        <w:t xml:space="preserve"> el E</w:t>
      </w:r>
      <w:r w:rsidR="00C32519" w:rsidRPr="00016061">
        <w:t xml:space="preserve">stado ha implementado en su contra una política </w:t>
      </w:r>
      <w:r w:rsidR="0059092C" w:rsidRPr="00016061">
        <w:t>difamatoria y persecutoria en los medio</w:t>
      </w:r>
      <w:r w:rsidR="000B1908" w:rsidRPr="00016061">
        <w:t>s de comunicación y mediante la</w:t>
      </w:r>
      <w:r w:rsidR="0059092C" w:rsidRPr="00016061">
        <w:t xml:space="preserve"> Procura</w:t>
      </w:r>
      <w:r w:rsidR="004D2F34" w:rsidRPr="00016061">
        <w:t>duría de Justicia del Distrito F</w:t>
      </w:r>
      <w:r w:rsidR="0059092C" w:rsidRPr="00016061">
        <w:t>ederal.</w:t>
      </w:r>
      <w:r w:rsidR="00C62215" w:rsidRPr="00016061">
        <w:t xml:space="preserve"> </w:t>
      </w:r>
      <w:r w:rsidR="0059092C" w:rsidRPr="00016061">
        <w:t>En este sentido, señala</w:t>
      </w:r>
      <w:r w:rsidR="00B34D6B" w:rsidRPr="00016061">
        <w:t xml:space="preserve"> que agentes públicos se refirieron a la presunta víctima en medios de comunicación en forma peyorativa.</w:t>
      </w:r>
      <w:r w:rsidR="0059092C" w:rsidRPr="00016061">
        <w:t xml:space="preserve"> </w:t>
      </w:r>
      <w:r w:rsidR="00B34D6B" w:rsidRPr="00016061">
        <w:t xml:space="preserve">Asimismo, alega </w:t>
      </w:r>
      <w:r w:rsidR="0059092C" w:rsidRPr="00016061">
        <w:t>que en</w:t>
      </w:r>
      <w:r w:rsidR="00075436" w:rsidRPr="00016061">
        <w:t xml:space="preserve">tre noviembre de 2003 y </w:t>
      </w:r>
      <w:r w:rsidR="00E870DD" w:rsidRPr="00016061">
        <w:t>octubre de 2005 el Ministerio Pú</w:t>
      </w:r>
      <w:r w:rsidR="00075436" w:rsidRPr="00016061">
        <w:t xml:space="preserve">blico ejercitó </w:t>
      </w:r>
      <w:r w:rsidR="00BF3FCB" w:rsidRPr="00016061">
        <w:t xml:space="preserve">5 veces </w:t>
      </w:r>
      <w:r w:rsidR="00075436" w:rsidRPr="00016061">
        <w:t>acción penal en su contra por</w:t>
      </w:r>
      <w:r w:rsidR="004D2F34" w:rsidRPr="00016061">
        <w:t xml:space="preserve"> la supuesta comisión del delito de fraude en</w:t>
      </w:r>
      <w:r w:rsidR="000B1908" w:rsidRPr="00016061">
        <w:t xml:space="preserve"> agravio del Distrito Federal,</w:t>
      </w:r>
      <w:r w:rsidR="004D2F34" w:rsidRPr="00016061">
        <w:t xml:space="preserve"> </w:t>
      </w:r>
      <w:r w:rsidR="00075436" w:rsidRPr="00016061">
        <w:t xml:space="preserve">solicitando </w:t>
      </w:r>
      <w:r w:rsidRPr="00016061">
        <w:t>su aprehensión</w:t>
      </w:r>
      <w:r w:rsidR="004D2F34" w:rsidRPr="00016061">
        <w:t>. Dicha orden fue negada en cada ocasión</w:t>
      </w:r>
      <w:r w:rsidR="000B1908" w:rsidRPr="00016061">
        <w:t>, sin embargo le habría representado una carga procesal onerosa e injustificada</w:t>
      </w:r>
      <w:r w:rsidR="003913A1" w:rsidRPr="00016061">
        <w:t xml:space="preserve">. Finalmente el </w:t>
      </w:r>
      <w:r w:rsidR="00BF3FCB" w:rsidRPr="00016061">
        <w:t xml:space="preserve">14 de octubre </w:t>
      </w:r>
      <w:r w:rsidR="00BF3FCB" w:rsidRPr="00016061">
        <w:lastRenderedPageBreak/>
        <w:t xml:space="preserve">de 2005 </w:t>
      </w:r>
      <w:r w:rsidR="003913A1" w:rsidRPr="00016061">
        <w:t>nuevamente se consignó averiguación previa y el 23 de enero de 2006 el peticionario fue detenido por agentes de la Policía Judicial del Distrito Federal.</w:t>
      </w:r>
    </w:p>
    <w:p w:rsidR="00D10816" w:rsidRPr="00016061" w:rsidRDefault="00D10816" w:rsidP="00CA1DEC">
      <w:pPr>
        <w:pStyle w:val="Heading3"/>
        <w:numPr>
          <w:ilvl w:val="0"/>
          <w:numId w:val="0"/>
        </w:numPr>
        <w:tabs>
          <w:tab w:val="left" w:pos="0"/>
        </w:tabs>
        <w:ind w:firstLine="720"/>
      </w:pPr>
    </w:p>
    <w:p w:rsidR="00075436" w:rsidRPr="00016061" w:rsidRDefault="003913A1" w:rsidP="00CA1DEC">
      <w:pPr>
        <w:pStyle w:val="Heading3"/>
        <w:tabs>
          <w:tab w:val="left" w:pos="0"/>
        </w:tabs>
        <w:ind w:left="0" w:firstLine="720"/>
      </w:pPr>
      <w:r w:rsidRPr="00016061">
        <w:t>Indica que</w:t>
      </w:r>
      <w:r w:rsidR="00BF3FCB" w:rsidRPr="00016061">
        <w:t xml:space="preserve"> e</w:t>
      </w:r>
      <w:r w:rsidR="002C657A" w:rsidRPr="00016061">
        <w:t>stuvo privado de su libertad</w:t>
      </w:r>
      <w:r w:rsidR="004D2F34" w:rsidRPr="00016061">
        <w:t xml:space="preserve"> durante 7 meses,</w:t>
      </w:r>
      <w:r w:rsidR="00897556" w:rsidRPr="00016061">
        <w:t xml:space="preserve"> desde el 23 de enero de 2006</w:t>
      </w:r>
      <w:r w:rsidR="00BF3FCB" w:rsidRPr="00016061">
        <w:t xml:space="preserve"> hasta el 18 de agosto de 2006,</w:t>
      </w:r>
      <w:r w:rsidR="002C657A" w:rsidRPr="00016061">
        <w:t xml:space="preserve"> fecha en que el Quinto Tribunal Colegiado en Materia Penal del Primer Circuito ordenó dejar insubsistente el auto de formal prisión al considerar que “los medios de prueba que se allegaron al proceso son insuficientes para tener por dem</w:t>
      </w:r>
      <w:r w:rsidR="008F691A" w:rsidRPr="00016061">
        <w:t xml:space="preserve">ostrado el cuerpo del delito”. </w:t>
      </w:r>
      <w:r w:rsidR="006D7188" w:rsidRPr="00016061">
        <w:t xml:space="preserve">Respecto a este punto, el peticionario se refiere a la existencia de </w:t>
      </w:r>
      <w:r w:rsidR="00221016" w:rsidRPr="00016061">
        <w:t xml:space="preserve">un contexto de persecución en su contra </w:t>
      </w:r>
      <w:r w:rsidR="00422667" w:rsidRPr="00016061">
        <w:t>a través del uso indebido por parte del Gobierno del Distrito Federal de la institución d</w:t>
      </w:r>
      <w:r w:rsidR="004D2F34" w:rsidRPr="00016061">
        <w:t>e</w:t>
      </w:r>
      <w:r w:rsidR="00E870DD" w:rsidRPr="00016061">
        <w:t>l Ministerio Pú</w:t>
      </w:r>
      <w:r w:rsidR="00422667" w:rsidRPr="00016061">
        <w:t>blico</w:t>
      </w:r>
      <w:r w:rsidR="007412B9" w:rsidRPr="00016061">
        <w:t>,</w:t>
      </w:r>
      <w:r w:rsidR="00422667" w:rsidRPr="00016061">
        <w:t xml:space="preserve"> a </w:t>
      </w:r>
      <w:r w:rsidR="00603DEB" w:rsidRPr="00016061">
        <w:t>efectos</w:t>
      </w:r>
      <w:r w:rsidR="00422667" w:rsidRPr="00016061">
        <w:t xml:space="preserve"> de no cumplir con el mandato de pago </w:t>
      </w:r>
      <w:r w:rsidR="00C778C9" w:rsidRPr="00016061">
        <w:t>a su favor</w:t>
      </w:r>
      <w:r w:rsidR="00603DEB" w:rsidRPr="00016061">
        <w:t>.</w:t>
      </w:r>
      <w:r w:rsidR="00C52AF2" w:rsidRPr="00016061">
        <w:t xml:space="preserve"> </w:t>
      </w:r>
      <w:r w:rsidR="00AC4491" w:rsidRPr="00016061">
        <w:t>Asimismo, el peticionario indica que acudió a la Comisión Esta</w:t>
      </w:r>
      <w:r w:rsidR="0033363D" w:rsidRPr="00016061">
        <w:t>tal de Derechos Humanos del D</w:t>
      </w:r>
      <w:r w:rsidR="00C778C9" w:rsidRPr="00016061">
        <w:t xml:space="preserve">istrito </w:t>
      </w:r>
      <w:r w:rsidR="0033363D" w:rsidRPr="00016061">
        <w:t>F</w:t>
      </w:r>
      <w:r w:rsidR="00C778C9" w:rsidRPr="00016061">
        <w:t>ederal</w:t>
      </w:r>
      <w:r w:rsidR="0033363D" w:rsidRPr="00016061">
        <w:t xml:space="preserve"> la cual emitió recomendaciones</w:t>
      </w:r>
      <w:r w:rsidR="00AC4491" w:rsidRPr="00016061">
        <w:t xml:space="preserve"> favorable</w:t>
      </w:r>
      <w:r w:rsidR="0033363D" w:rsidRPr="00016061">
        <w:t>s</w:t>
      </w:r>
      <w:r w:rsidR="00AC4491" w:rsidRPr="00016061">
        <w:t xml:space="preserve"> a su queja.</w:t>
      </w:r>
    </w:p>
    <w:p w:rsidR="00857E2F" w:rsidRPr="00016061" w:rsidRDefault="00857E2F" w:rsidP="00CA1DEC">
      <w:pPr>
        <w:tabs>
          <w:tab w:val="left" w:pos="0"/>
        </w:tabs>
        <w:ind w:firstLine="720"/>
        <w:jc w:val="both"/>
        <w:rPr>
          <w:rFonts w:asciiTheme="majorHAnsi" w:hAnsiTheme="majorHAnsi"/>
          <w:sz w:val="20"/>
          <w:szCs w:val="20"/>
          <w:lang w:val="es-ES" w:eastAsia="es-ES"/>
        </w:rPr>
      </w:pPr>
    </w:p>
    <w:p w:rsidR="00882BEA" w:rsidRPr="00016061" w:rsidRDefault="00134DB7" w:rsidP="00CA1DEC">
      <w:pPr>
        <w:pStyle w:val="Heading3"/>
        <w:tabs>
          <w:tab w:val="left" w:pos="0"/>
        </w:tabs>
        <w:ind w:left="0" w:firstLine="720"/>
      </w:pPr>
      <w:r w:rsidRPr="00016061">
        <w:t>En suma</w:t>
      </w:r>
      <w:r w:rsidR="005B2F8A" w:rsidRPr="00016061">
        <w:t>,</w:t>
      </w:r>
      <w:r w:rsidRPr="00016061">
        <w:t xml:space="preserve"> </w:t>
      </w:r>
      <w:r w:rsidR="005B2F8A" w:rsidRPr="00016061">
        <w:t xml:space="preserve">el peticionario </w:t>
      </w:r>
      <w:r w:rsidRPr="00016061">
        <w:t xml:space="preserve">sostiene que existe un retardo injustificado de </w:t>
      </w:r>
      <w:r w:rsidR="009D24F1" w:rsidRPr="00016061">
        <w:t>más</w:t>
      </w:r>
      <w:r w:rsidRPr="00016061">
        <w:t xml:space="preserve"> de treinta </w:t>
      </w:r>
      <w:r w:rsidR="009D24F1" w:rsidRPr="00016061">
        <w:t>años</w:t>
      </w:r>
      <w:r w:rsidRPr="00016061">
        <w:t xml:space="preserve"> en la </w:t>
      </w:r>
      <w:r w:rsidR="00751869" w:rsidRPr="00016061">
        <w:t>resolución</w:t>
      </w:r>
      <w:r w:rsidRPr="00016061">
        <w:t xml:space="preserve"> de los procesos administrativos y jurisdiccionales que fueron iniciados desde el </w:t>
      </w:r>
      <w:r w:rsidR="009D24F1" w:rsidRPr="00016061">
        <w:t>año</w:t>
      </w:r>
      <w:r w:rsidRPr="00016061">
        <w:t xml:space="preserve"> 1975 y </w:t>
      </w:r>
      <w:r w:rsidR="00751869" w:rsidRPr="00016061">
        <w:t>concluyeron</w:t>
      </w:r>
      <w:r w:rsidRPr="00016061">
        <w:t xml:space="preserve"> en octubre de 2005</w:t>
      </w:r>
      <w:r w:rsidR="009D24F1" w:rsidRPr="00016061">
        <w:t xml:space="preserve">; </w:t>
      </w:r>
      <w:r w:rsidR="005B2F8A" w:rsidRPr="00016061">
        <w:t xml:space="preserve">que </w:t>
      </w:r>
      <w:r w:rsidR="009D24F1" w:rsidRPr="00016061">
        <w:t xml:space="preserve">una vez resueltos modificaron una sentencia que </w:t>
      </w:r>
      <w:r w:rsidR="00F51347" w:rsidRPr="00016061">
        <w:t>constituía</w:t>
      </w:r>
      <w:r w:rsidR="009D24F1" w:rsidRPr="00016061">
        <w:t xml:space="preserve"> cosa </w:t>
      </w:r>
      <w:r w:rsidR="00F51347" w:rsidRPr="00016061">
        <w:t>juzgada</w:t>
      </w:r>
      <w:r w:rsidR="009D24F1" w:rsidRPr="00016061">
        <w:t xml:space="preserve">  </w:t>
      </w:r>
      <w:r w:rsidR="00F51347" w:rsidRPr="00016061">
        <w:t>violenta</w:t>
      </w:r>
      <w:r w:rsidR="00C778C9" w:rsidRPr="00016061">
        <w:t>n</w:t>
      </w:r>
      <w:r w:rsidR="00F51347" w:rsidRPr="00016061">
        <w:t>do</w:t>
      </w:r>
      <w:r w:rsidR="009D24F1" w:rsidRPr="00016061">
        <w:t xml:space="preserve"> su derecho a la protección judicial, a la propiedad privada y </w:t>
      </w:r>
      <w:r w:rsidR="00E870DD" w:rsidRPr="00016061">
        <w:t>a</w:t>
      </w:r>
      <w:r w:rsidR="009D24F1" w:rsidRPr="00016061">
        <w:t xml:space="preserve">l principio de </w:t>
      </w:r>
      <w:r w:rsidR="00C778C9" w:rsidRPr="00016061">
        <w:t>no retroactividad;</w:t>
      </w:r>
      <w:r w:rsidR="005B2F8A" w:rsidRPr="00016061">
        <w:t xml:space="preserve"> que</w:t>
      </w:r>
      <w:r w:rsidR="009D24F1" w:rsidRPr="00016061">
        <w:t xml:space="preserve"> </w:t>
      </w:r>
      <w:r w:rsidR="00221016" w:rsidRPr="00016061">
        <w:t>por</w:t>
      </w:r>
      <w:r w:rsidR="009D24F1" w:rsidRPr="00016061">
        <w:t xml:space="preserve"> haber </w:t>
      </w:r>
      <w:r w:rsidR="005B2F8A" w:rsidRPr="00016061">
        <w:t xml:space="preserve">estado injustamente </w:t>
      </w:r>
      <w:r w:rsidR="009D24F1" w:rsidRPr="00016061">
        <w:t>privado de libertad por 7 meses sin haber cometido delito alguno</w:t>
      </w:r>
      <w:r w:rsidR="00F51347" w:rsidRPr="00016061">
        <w:t xml:space="preserve"> y tras difamaciones por parte del Estado</w:t>
      </w:r>
      <w:r w:rsidR="005B2F8A" w:rsidRPr="00016061">
        <w:t>,</w:t>
      </w:r>
      <w:r w:rsidR="00F51347" w:rsidRPr="00016061">
        <w:t xml:space="preserve"> se violentó su derecho a la </w:t>
      </w:r>
      <w:r w:rsidR="00C778C9" w:rsidRPr="00016061">
        <w:t>protección judicial</w:t>
      </w:r>
      <w:r w:rsidR="00F51347" w:rsidRPr="00016061">
        <w:t>, a la honra y a la dignidad</w:t>
      </w:r>
      <w:r w:rsidR="00396358" w:rsidRPr="00016061">
        <w:t>.</w:t>
      </w:r>
    </w:p>
    <w:p w:rsidR="00AC4491" w:rsidRPr="00016061" w:rsidRDefault="00AC4491" w:rsidP="00721517">
      <w:pPr>
        <w:tabs>
          <w:tab w:val="center" w:pos="4680"/>
          <w:tab w:val="left" w:pos="6511"/>
        </w:tabs>
        <w:ind w:firstLine="720"/>
        <w:jc w:val="both"/>
        <w:rPr>
          <w:rFonts w:asciiTheme="majorHAnsi" w:hAnsiTheme="majorHAnsi" w:cs="Calibri"/>
          <w:sz w:val="20"/>
          <w:szCs w:val="20"/>
          <w:lang w:val="es-ES"/>
        </w:rPr>
      </w:pPr>
    </w:p>
    <w:p w:rsidR="00CE4CD8" w:rsidRPr="00016061" w:rsidRDefault="00CE4CD8" w:rsidP="00721517">
      <w:pPr>
        <w:pStyle w:val="NoSpacing"/>
      </w:pPr>
      <w:r w:rsidRPr="00016061">
        <w:t>Posición del Estado</w:t>
      </w:r>
    </w:p>
    <w:p w:rsidR="00A23FB3" w:rsidRPr="00016061" w:rsidRDefault="00B555E1" w:rsidP="00721517">
      <w:pPr>
        <w:tabs>
          <w:tab w:val="center" w:pos="4680"/>
          <w:tab w:val="left" w:pos="6511"/>
        </w:tabs>
        <w:ind w:firstLine="720"/>
        <w:jc w:val="both"/>
        <w:rPr>
          <w:rFonts w:asciiTheme="majorHAnsi" w:hAnsiTheme="majorHAnsi" w:cs="Calibri"/>
          <w:sz w:val="20"/>
          <w:szCs w:val="20"/>
          <w:lang w:val="es-ES_tradnl"/>
        </w:rPr>
      </w:pPr>
      <w:r w:rsidRPr="00016061">
        <w:rPr>
          <w:rFonts w:asciiTheme="majorHAnsi" w:hAnsiTheme="majorHAnsi" w:cs="Calibri"/>
          <w:sz w:val="20"/>
          <w:szCs w:val="20"/>
          <w:lang w:val="es-ES_tradnl"/>
        </w:rPr>
        <w:t xml:space="preserve"> </w:t>
      </w:r>
    </w:p>
    <w:p w:rsidR="000F1CFA" w:rsidRPr="00016061" w:rsidRDefault="000F1CFA" w:rsidP="00CA1DEC">
      <w:pPr>
        <w:pStyle w:val="Heading3"/>
        <w:ind w:left="0" w:firstLine="720"/>
      </w:pPr>
      <w:r w:rsidRPr="00016061">
        <w:t xml:space="preserve">En primer lugar, el Estado mexicano alega que </w:t>
      </w:r>
      <w:r w:rsidR="00BD53A8" w:rsidRPr="00016061">
        <w:t xml:space="preserve">al momento de presentarse la petición ante la CIDH </w:t>
      </w:r>
      <w:r w:rsidRPr="00016061">
        <w:t>no habían sido agotados los recursos de la jurisdicción interna</w:t>
      </w:r>
      <w:r w:rsidR="00BD53A8" w:rsidRPr="00016061">
        <w:t xml:space="preserve"> ya </w:t>
      </w:r>
      <w:r w:rsidR="00407B22" w:rsidRPr="00016061">
        <w:t>q</w:t>
      </w:r>
      <w:r w:rsidR="00BD53A8" w:rsidRPr="00016061">
        <w:t>ue estaban pendientes de resolución diversos medios de defensa promovidos por el peticionario. Agrega que</w:t>
      </w:r>
      <w:r w:rsidRPr="00016061">
        <w:t xml:space="preserve">, una vez agotados esos recursos, </w:t>
      </w:r>
      <w:r w:rsidR="0032188E" w:rsidRPr="00016061">
        <w:t>las decisiones fueron favorables</w:t>
      </w:r>
      <w:r w:rsidRPr="00016061">
        <w:t xml:space="preserve"> al peticionario, por lo que no existe motivo para que la Comisión continúe revisando este asunto.</w:t>
      </w:r>
    </w:p>
    <w:p w:rsidR="000F1CFA" w:rsidRPr="00016061" w:rsidRDefault="000F1CFA" w:rsidP="00CA1DEC">
      <w:pPr>
        <w:ind w:firstLine="720"/>
        <w:jc w:val="both"/>
        <w:rPr>
          <w:rFonts w:asciiTheme="majorHAnsi" w:hAnsiTheme="majorHAnsi"/>
          <w:sz w:val="20"/>
          <w:szCs w:val="20"/>
          <w:lang w:val="es-ES" w:eastAsia="es-ES"/>
        </w:rPr>
      </w:pPr>
    </w:p>
    <w:p w:rsidR="000F1CFA" w:rsidRPr="00016061" w:rsidRDefault="00221016" w:rsidP="00CA1DEC">
      <w:pPr>
        <w:pStyle w:val="Heading3"/>
        <w:ind w:left="0" w:firstLine="720"/>
      </w:pPr>
      <w:r w:rsidRPr="00016061">
        <w:t>Con respecto a las alegadas violaciones a los artículos 8 y 25 de la Convención Americana, aduce que</w:t>
      </w:r>
      <w:r w:rsidR="000F1CFA" w:rsidRPr="00016061">
        <w:t xml:space="preserve"> todos los recursos internos que fueron activados con motivo de la expropiación del predio Tecaxi fueron revisados por tribunales competentes y constituidos previamente a los hechos; por jueces debidamente capacitados y facultados para emitir las sentencias referidas; por magistrados igualmente capacitados y facultados para revisar las sentencias de primera instancia y por ministros de instancias federales distintas a las locales, lo que le otorga independencia y objetividad a la resolución del asunto.</w:t>
      </w:r>
    </w:p>
    <w:p w:rsidR="00261521" w:rsidRPr="00016061" w:rsidRDefault="00261521" w:rsidP="00CA1DEC">
      <w:pPr>
        <w:ind w:firstLine="720"/>
        <w:jc w:val="both"/>
        <w:rPr>
          <w:rFonts w:asciiTheme="majorHAnsi" w:hAnsiTheme="majorHAnsi"/>
          <w:sz w:val="20"/>
          <w:szCs w:val="20"/>
          <w:lang w:val="es-ES" w:eastAsia="es-ES"/>
        </w:rPr>
      </w:pPr>
    </w:p>
    <w:p w:rsidR="00261521" w:rsidRPr="00016061" w:rsidRDefault="00261521" w:rsidP="00CA1DEC">
      <w:pPr>
        <w:pStyle w:val="Heading3"/>
        <w:ind w:left="0" w:firstLine="720"/>
      </w:pPr>
      <w:r w:rsidRPr="00016061">
        <w:t>Asimismo</w:t>
      </w:r>
      <w:r w:rsidR="00804E69" w:rsidRPr="00016061">
        <w:t xml:space="preserve"> señala que</w:t>
      </w:r>
      <w:r w:rsidR="0032188E" w:rsidRPr="00016061">
        <w:t xml:space="preserve"> mediante cheques de 7 y 12 de diciembre de 2005</w:t>
      </w:r>
      <w:r w:rsidR="00C778C9" w:rsidRPr="00016061">
        <w:t>,</w:t>
      </w:r>
      <w:r w:rsidRPr="00016061">
        <w:t xml:space="preserve"> </w:t>
      </w:r>
      <w:r w:rsidR="00C778C9" w:rsidRPr="00016061">
        <w:t xml:space="preserve">según lo dispuesto por el Juez de Distrito, </w:t>
      </w:r>
      <w:r w:rsidRPr="00016061">
        <w:t xml:space="preserve">se </w:t>
      </w:r>
      <w:r w:rsidR="00362CC3" w:rsidRPr="00016061">
        <w:t>otorgó</w:t>
      </w:r>
      <w:r w:rsidR="00C778C9" w:rsidRPr="00016061">
        <w:t xml:space="preserve"> la totalidad d</w:t>
      </w:r>
      <w:r w:rsidR="00362CC3" w:rsidRPr="00016061">
        <w:t>el pago correspondiente</w:t>
      </w:r>
      <w:r w:rsidRPr="00016061">
        <w:t xml:space="preserve"> </w:t>
      </w:r>
      <w:r w:rsidR="00362CC3" w:rsidRPr="00016061">
        <w:t>a la presunta víctima</w:t>
      </w:r>
      <w:r w:rsidR="0032188E" w:rsidRPr="00016061">
        <w:t>,</w:t>
      </w:r>
      <w:r w:rsidR="00362CC3" w:rsidRPr="00016061">
        <w:t xml:space="preserve"> por concepto de daños y perjuicios derivado de la expropiación del predio Tecaxi.</w:t>
      </w:r>
    </w:p>
    <w:p w:rsidR="00362CC3" w:rsidRPr="00016061" w:rsidRDefault="00362CC3" w:rsidP="00CA1D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sz w:val="20"/>
          <w:szCs w:val="20"/>
          <w:lang w:val="es-ES" w:eastAsia="es-ES"/>
        </w:rPr>
      </w:pPr>
    </w:p>
    <w:p w:rsidR="0032188E" w:rsidRPr="00016061" w:rsidRDefault="000F1CFA" w:rsidP="00CA1DEC">
      <w:pPr>
        <w:pStyle w:val="Heading3"/>
        <w:ind w:left="0" w:firstLine="720"/>
      </w:pPr>
      <w:r w:rsidRPr="00016061">
        <w:t>Por otro lado, indica  que</w:t>
      </w:r>
      <w:r w:rsidR="00A23104" w:rsidRPr="00016061">
        <w:t xml:space="preserve"> no </w:t>
      </w:r>
      <w:r w:rsidR="0032188E" w:rsidRPr="00016061">
        <w:t>existió</w:t>
      </w:r>
      <w:r w:rsidR="00A23104" w:rsidRPr="00016061">
        <w:t xml:space="preserve"> un retardo injustificado en la tramitación del </w:t>
      </w:r>
      <w:r w:rsidR="0032188E" w:rsidRPr="00016061">
        <w:t>asunto</w:t>
      </w:r>
      <w:r w:rsidR="00A23104" w:rsidRPr="00016061">
        <w:t xml:space="preserve"> a nivel interno, toda vez que el tiempo transcurrido</w:t>
      </w:r>
      <w:r w:rsidR="00407B22" w:rsidRPr="00016061">
        <w:t xml:space="preserve"> </w:t>
      </w:r>
      <w:r w:rsidR="00A23104" w:rsidRPr="00016061">
        <w:t xml:space="preserve">entre la interposición de los recursos </w:t>
      </w:r>
      <w:r w:rsidR="0032188E" w:rsidRPr="00016061">
        <w:t>intentados</w:t>
      </w:r>
      <w:r w:rsidR="00A23104" w:rsidRPr="00016061">
        <w:t xml:space="preserve"> y su resolución ha sido la razonable de acuerdo a la carga de trabajo con la que cuentan los tribunales, la actividad del peticionario y la complejidad del asunto.</w:t>
      </w:r>
      <w:r w:rsidR="0032188E" w:rsidRPr="00016061">
        <w:t xml:space="preserve"> Agrega que </w:t>
      </w:r>
      <w:r w:rsidR="0059277C" w:rsidRPr="00016061">
        <w:t xml:space="preserve">en el presente caso </w:t>
      </w:r>
      <w:r w:rsidRPr="00016061">
        <w:t xml:space="preserve">no </w:t>
      </w:r>
      <w:r w:rsidR="0032188E" w:rsidRPr="00016061">
        <w:t>existió</w:t>
      </w:r>
      <w:r w:rsidRPr="00016061">
        <w:t xml:space="preserve"> un solo </w:t>
      </w:r>
      <w:r w:rsidR="00C778C9" w:rsidRPr="00016061">
        <w:t>juicio</w:t>
      </w:r>
      <w:r w:rsidRPr="00016061">
        <w:t xml:space="preserve"> que duró más de treinta años, sino que se trata de diversos recursos interpuestos ante diferentes</w:t>
      </w:r>
      <w:r w:rsidR="00261521" w:rsidRPr="00016061">
        <w:t xml:space="preserve"> </w:t>
      </w:r>
      <w:r w:rsidRPr="00016061">
        <w:t>autoridades</w:t>
      </w:r>
      <w:r w:rsidR="00247A52" w:rsidRPr="00016061">
        <w:t xml:space="preserve"> jurisdiccionales. </w:t>
      </w:r>
    </w:p>
    <w:p w:rsidR="0032188E" w:rsidRPr="00016061" w:rsidRDefault="0032188E" w:rsidP="00CA1DEC">
      <w:pPr>
        <w:pStyle w:val="Heading3"/>
        <w:numPr>
          <w:ilvl w:val="0"/>
          <w:numId w:val="0"/>
        </w:numPr>
        <w:ind w:firstLine="720"/>
      </w:pPr>
    </w:p>
    <w:p w:rsidR="000F1CFA" w:rsidRPr="00016061" w:rsidRDefault="000B1908" w:rsidP="00CA1DEC">
      <w:pPr>
        <w:pStyle w:val="Heading3"/>
        <w:ind w:left="0" w:firstLine="720"/>
      </w:pPr>
      <w:r w:rsidRPr="00016061">
        <w:t xml:space="preserve">Respecto a la Sentencia de la </w:t>
      </w:r>
      <w:r w:rsidR="00247A52" w:rsidRPr="00016061">
        <w:t>S</w:t>
      </w:r>
      <w:r w:rsidRPr="00016061">
        <w:t>C</w:t>
      </w:r>
      <w:r w:rsidR="00247A52" w:rsidRPr="00016061">
        <w:t xml:space="preserve">JN en el incidente de </w:t>
      </w:r>
      <w:r w:rsidR="0059277C" w:rsidRPr="00016061">
        <w:t>inejecución</w:t>
      </w:r>
      <w:r w:rsidR="00247A52" w:rsidRPr="00016061">
        <w:t xml:space="preserve"> 62/2000</w:t>
      </w:r>
      <w:r w:rsidR="00154DB7" w:rsidRPr="00016061">
        <w:t>,</w:t>
      </w:r>
      <w:r w:rsidR="00247A52" w:rsidRPr="00016061">
        <w:t xml:space="preserve"> indica que fue emitida en un plazo razonable </w:t>
      </w:r>
      <w:r w:rsidR="0059277C" w:rsidRPr="00016061">
        <w:t>teniendo</w:t>
      </w:r>
      <w:r w:rsidR="00247A52" w:rsidRPr="00016061">
        <w:t xml:space="preserve"> en cuenta la complejidad del asunto, ya que se trataba de resolver un conflicto relacionado con un reclamo de pago de una cantidad desmedida a cargo del erario </w:t>
      </w:r>
      <w:r w:rsidR="0059277C" w:rsidRPr="00016061">
        <w:t>público</w:t>
      </w:r>
      <w:r w:rsidR="000F1CFA" w:rsidRPr="00016061">
        <w:t>.</w:t>
      </w:r>
      <w:r w:rsidR="0032188E" w:rsidRPr="00016061">
        <w:t xml:space="preserve"> Agrega que no se </w:t>
      </w:r>
      <w:r w:rsidR="00AC4872" w:rsidRPr="00016061">
        <w:t>aplicó</w:t>
      </w:r>
      <w:r w:rsidR="0032188E" w:rsidRPr="00016061">
        <w:t xml:space="preserve"> retroactivamente la reforma constitucional del </w:t>
      </w:r>
      <w:r w:rsidR="00AC4872" w:rsidRPr="00016061">
        <w:t>artículo</w:t>
      </w:r>
      <w:r w:rsidR="0032188E" w:rsidRPr="00016061">
        <w:t xml:space="preserve"> 107, </w:t>
      </w:r>
      <w:r w:rsidR="00C778C9" w:rsidRPr="00016061">
        <w:t>que</w:t>
      </w:r>
      <w:r w:rsidR="0032188E" w:rsidRPr="00016061">
        <w:t xml:space="preserve"> otorga a la SCJN la atribución de </w:t>
      </w:r>
      <w:r w:rsidR="00AC4872" w:rsidRPr="00016061">
        <w:t>examinar</w:t>
      </w:r>
      <w:r w:rsidR="0032188E" w:rsidRPr="00016061">
        <w:t xml:space="preserve"> la </w:t>
      </w:r>
      <w:r w:rsidR="00AC4872" w:rsidRPr="00016061">
        <w:t>excusabilidad</w:t>
      </w:r>
      <w:r w:rsidR="0032188E" w:rsidRPr="00016061">
        <w:t xml:space="preserve"> del cumplimiento de la</w:t>
      </w:r>
      <w:r w:rsidR="005B6F6B" w:rsidRPr="00016061">
        <w:t>s</w:t>
      </w:r>
      <w:r w:rsidR="0032188E" w:rsidRPr="00016061">
        <w:t xml:space="preserve"> sentencia</w:t>
      </w:r>
      <w:r w:rsidR="005B6F6B" w:rsidRPr="00016061">
        <w:t>s</w:t>
      </w:r>
      <w:r w:rsidR="00C778C9" w:rsidRPr="00016061">
        <w:t xml:space="preserve"> de amparo. Sostiene que dicha atribución de la SCJN </w:t>
      </w:r>
      <w:r w:rsidR="00AC4872" w:rsidRPr="00016061">
        <w:t xml:space="preserve">no </w:t>
      </w:r>
      <w:r w:rsidR="00FD147B" w:rsidRPr="00016061">
        <w:t>puede estimarse</w:t>
      </w:r>
      <w:r w:rsidR="00AC4872" w:rsidRPr="00016061">
        <w:t xml:space="preserve"> condicionad</w:t>
      </w:r>
      <w:r w:rsidR="00FD147B" w:rsidRPr="00016061">
        <w:t>a</w:t>
      </w:r>
      <w:r w:rsidR="00AC4872" w:rsidRPr="00016061">
        <w:t xml:space="preserve"> a la vigencia de</w:t>
      </w:r>
      <w:r w:rsidR="00FD147B" w:rsidRPr="00016061">
        <w:t>l artículo 107 de la Constitución,</w:t>
      </w:r>
      <w:r w:rsidR="00AC4872" w:rsidRPr="00016061">
        <w:t xml:space="preserve"> </w:t>
      </w:r>
      <w:r w:rsidR="00FD147B" w:rsidRPr="00016061">
        <w:t>de lo contrario</w:t>
      </w:r>
      <w:r w:rsidR="005B6F6B" w:rsidRPr="00016061">
        <w:t xml:space="preserve"> </w:t>
      </w:r>
      <w:r w:rsidR="00FD147B" w:rsidRPr="00016061">
        <w:t>se estaría</w:t>
      </w:r>
      <w:r w:rsidR="00AC4872" w:rsidRPr="00016061">
        <w:t xml:space="preserve"> afirma</w:t>
      </w:r>
      <w:r w:rsidR="00FD147B" w:rsidRPr="00016061">
        <w:t>ndo</w:t>
      </w:r>
      <w:r w:rsidR="00AC4872" w:rsidRPr="00016061">
        <w:t xml:space="preserve"> que las determinaciones adoptadas con anterioridad a </w:t>
      </w:r>
      <w:r w:rsidR="00C778C9" w:rsidRPr="00016061">
        <w:t>la reforma</w:t>
      </w:r>
      <w:r w:rsidR="00AC4872" w:rsidRPr="00016061">
        <w:t xml:space="preserve"> por los Juzgados del Distrito vinculan a la SCJN</w:t>
      </w:r>
      <w:r w:rsidR="005B6F6B" w:rsidRPr="00016061">
        <w:t>,</w:t>
      </w:r>
      <w:r w:rsidR="00AC4872" w:rsidRPr="00016061">
        <w:t xml:space="preserve"> lo cual no es jurídicamente posible.</w:t>
      </w:r>
      <w:r w:rsidR="00F34195" w:rsidRPr="00016061">
        <w:t xml:space="preserve"> Afirma que la </w:t>
      </w:r>
      <w:r w:rsidR="005F246D" w:rsidRPr="00016061">
        <w:t>Comisión</w:t>
      </w:r>
      <w:r w:rsidR="00F34195" w:rsidRPr="00016061">
        <w:t xml:space="preserve"> no es competente para revisar el sentido de las sentencias que dicta la SCJN, en virtud de que la jurisdicción </w:t>
      </w:r>
      <w:r w:rsidR="00F34195" w:rsidRPr="00016061">
        <w:lastRenderedPageBreak/>
        <w:t xml:space="preserve">internacional </w:t>
      </w:r>
      <w:r w:rsidR="005F246D" w:rsidRPr="00016061">
        <w:t xml:space="preserve">de los derechos humanos es coadyuvante y complementaria, pero no revisora de los procedimientos agotados internamente. </w:t>
      </w:r>
    </w:p>
    <w:p w:rsidR="000F1CFA" w:rsidRPr="00016061" w:rsidRDefault="000F1CFA" w:rsidP="00CA1DEC">
      <w:pPr>
        <w:ind w:firstLine="720"/>
        <w:jc w:val="both"/>
        <w:rPr>
          <w:rFonts w:asciiTheme="majorHAnsi" w:hAnsiTheme="majorHAnsi"/>
          <w:sz w:val="20"/>
          <w:szCs w:val="20"/>
          <w:lang w:val="es-ES"/>
        </w:rPr>
      </w:pPr>
    </w:p>
    <w:p w:rsidR="005B6F6B" w:rsidRPr="00016061" w:rsidRDefault="00362CC3" w:rsidP="00CA1DEC">
      <w:pPr>
        <w:pStyle w:val="Heading3"/>
        <w:ind w:left="0" w:firstLine="720"/>
      </w:pPr>
      <w:r w:rsidRPr="00016061">
        <w:t xml:space="preserve">Respecto a la </w:t>
      </w:r>
      <w:r w:rsidR="00247A52" w:rsidRPr="00016061">
        <w:t>supuesta</w:t>
      </w:r>
      <w:r w:rsidRPr="00016061">
        <w:t xml:space="preserve"> existencia de una política difamatoria y persecutoria en contra del peticionario, el Estado alega que  </w:t>
      </w:r>
      <w:r w:rsidR="0059277C" w:rsidRPr="00016061">
        <w:t>los di</w:t>
      </w:r>
      <w:r w:rsidRPr="00016061">
        <w:t>v</w:t>
      </w:r>
      <w:r w:rsidR="00247A52" w:rsidRPr="00016061">
        <w:t xml:space="preserve">ersos procesos que se tramitaron </w:t>
      </w:r>
      <w:r w:rsidRPr="00016061">
        <w:t>fueron acordes a la normatividad respectiva, llevándose</w:t>
      </w:r>
      <w:r w:rsidR="00247A52" w:rsidRPr="00016061">
        <w:t xml:space="preserve"> </w:t>
      </w:r>
      <w:r w:rsidRPr="00016061">
        <w:t>dichos procesos en tiempo y forma, y conforme a lo que</w:t>
      </w:r>
      <w:r w:rsidR="00247A52" w:rsidRPr="00016061">
        <w:t xml:space="preserve"> </w:t>
      </w:r>
      <w:r w:rsidRPr="00016061">
        <w:t>establecen las leyes mexicanas y la Convención</w:t>
      </w:r>
      <w:r w:rsidR="00247A52" w:rsidRPr="00016061">
        <w:t xml:space="preserve"> </w:t>
      </w:r>
      <w:r w:rsidRPr="00016061">
        <w:t>Americana.</w:t>
      </w:r>
      <w:r w:rsidR="00247A52" w:rsidRPr="00016061">
        <w:t xml:space="preserve"> </w:t>
      </w:r>
      <w:r w:rsidR="0059277C" w:rsidRPr="00016061">
        <w:t xml:space="preserve">Asimismo señala que </w:t>
      </w:r>
      <w:r w:rsidR="007033A7" w:rsidRPr="00016061">
        <w:t>la Procuraduría tiene a su cargo el deber de investigar todos los hechos que son sometidos a su conocimiento, a efecto de determinar si se acredita o no la existencia de un delito, hecho que no constituye violación a derechos humanos.</w:t>
      </w:r>
      <w:r w:rsidR="00D4762D" w:rsidRPr="00016061">
        <w:t xml:space="preserve"> </w:t>
      </w:r>
      <w:r w:rsidR="005B6F6B" w:rsidRPr="00016061">
        <w:t xml:space="preserve">Agrega que </w:t>
      </w:r>
      <w:r w:rsidR="00AD282B" w:rsidRPr="00016061">
        <w:t>la Procuraduría General de Justicia del Distrito Federal ha determinado el “no ejercicio de la acción penal" en contra de la presunta víctima por falta de elementos probatorios</w:t>
      </w:r>
      <w:r w:rsidR="00FD147B" w:rsidRPr="00016061">
        <w:t>,</w:t>
      </w:r>
      <w:r w:rsidR="00AD282B" w:rsidRPr="00016061">
        <w:t xml:space="preserve"> por lo que </w:t>
      </w:r>
      <w:r w:rsidR="00FD147B" w:rsidRPr="00016061">
        <w:t>l</w:t>
      </w:r>
      <w:r w:rsidR="00AD282B" w:rsidRPr="00016061">
        <w:t xml:space="preserve">a petición deviene insubsistente. </w:t>
      </w:r>
    </w:p>
    <w:p w:rsidR="005B6F6B" w:rsidRPr="00016061" w:rsidRDefault="005B6F6B" w:rsidP="00CA1DEC">
      <w:pPr>
        <w:ind w:firstLine="720"/>
        <w:jc w:val="both"/>
        <w:rPr>
          <w:rFonts w:asciiTheme="majorHAnsi" w:hAnsiTheme="majorHAnsi"/>
          <w:sz w:val="20"/>
          <w:szCs w:val="20"/>
          <w:lang w:val="es-ES"/>
        </w:rPr>
      </w:pPr>
    </w:p>
    <w:p w:rsidR="00247A52" w:rsidRPr="00016061" w:rsidRDefault="00D4762D" w:rsidP="00CA1DEC">
      <w:pPr>
        <w:pStyle w:val="Heading3"/>
        <w:ind w:left="0" w:firstLine="720"/>
      </w:pPr>
      <w:r w:rsidRPr="00016061">
        <w:t>Finalmente</w:t>
      </w:r>
      <w:r w:rsidR="000940D7" w:rsidRPr="00016061">
        <w:t xml:space="preserve">, indica que </w:t>
      </w:r>
      <w:r w:rsidR="00AD282B" w:rsidRPr="00016061">
        <w:t>en caso de que el peticionario se sienta agraviado por supuestas declaraciones hechas por el Jefe de Gobierno del Distrito Federal, cuenta con los recursos adecuados para solicitar  que se investigue y, en su caso, se sancionen los hechos señalados presuntamente en su contra.</w:t>
      </w:r>
    </w:p>
    <w:p w:rsidR="00AD282B" w:rsidRPr="00016061" w:rsidRDefault="00AD282B" w:rsidP="00CA1DEC">
      <w:pPr>
        <w:ind w:firstLine="720"/>
        <w:jc w:val="both"/>
        <w:rPr>
          <w:rFonts w:asciiTheme="majorHAnsi" w:hAnsiTheme="majorHAnsi"/>
          <w:sz w:val="20"/>
          <w:szCs w:val="20"/>
          <w:lang w:val="es-ES" w:eastAsia="es-ES"/>
        </w:rPr>
      </w:pPr>
    </w:p>
    <w:p w:rsidR="000F1CFA" w:rsidRPr="00016061" w:rsidRDefault="00362CC3" w:rsidP="00CA1DEC">
      <w:pPr>
        <w:pStyle w:val="Heading3"/>
        <w:ind w:left="0" w:firstLine="720"/>
      </w:pPr>
      <w:r w:rsidRPr="00016061">
        <w:t xml:space="preserve">Con lo anterior, el Estado mexicano </w:t>
      </w:r>
      <w:r w:rsidR="000940D7" w:rsidRPr="00016061">
        <w:t>concluye</w:t>
      </w:r>
      <w:r w:rsidRPr="00016061">
        <w:t xml:space="preserve"> que desde</w:t>
      </w:r>
      <w:r w:rsidR="00247A52" w:rsidRPr="00016061">
        <w:t xml:space="preserve"> </w:t>
      </w:r>
      <w:r w:rsidRPr="00016061">
        <w:t>la presentación de la petición ésta era</w:t>
      </w:r>
      <w:r w:rsidR="00247A52" w:rsidRPr="00016061">
        <w:t xml:space="preserve"> </w:t>
      </w:r>
      <w:r w:rsidRPr="00016061">
        <w:t>inadmisible, pues no cumplía con los requisitos</w:t>
      </w:r>
      <w:r w:rsidR="00247A52" w:rsidRPr="00016061">
        <w:t xml:space="preserve"> </w:t>
      </w:r>
      <w:r w:rsidRPr="00016061">
        <w:t>previstos por las normas que rigen el sistema</w:t>
      </w:r>
      <w:r w:rsidR="00247A52" w:rsidRPr="00016061">
        <w:t xml:space="preserve"> </w:t>
      </w:r>
      <w:r w:rsidR="00D4762D" w:rsidRPr="00016061">
        <w:t>interamericano</w:t>
      </w:r>
      <w:r w:rsidRPr="00016061">
        <w:t xml:space="preserve"> en relación al agotamiento de los</w:t>
      </w:r>
      <w:r w:rsidR="00247A52" w:rsidRPr="00016061">
        <w:t xml:space="preserve"> </w:t>
      </w:r>
      <w:r w:rsidRPr="00016061">
        <w:t>re</w:t>
      </w:r>
      <w:r w:rsidR="00247A52" w:rsidRPr="00016061">
        <w:t xml:space="preserve">cursos de jurisdicción interna. </w:t>
      </w:r>
      <w:r w:rsidRPr="00016061">
        <w:t>Así también, la petición actualmente es inadmisible y</w:t>
      </w:r>
      <w:r w:rsidR="00247A52" w:rsidRPr="00016061">
        <w:t xml:space="preserve"> </w:t>
      </w:r>
      <w:r w:rsidRPr="00016061">
        <w:t>debe ser archivada, pues se actualiza el supuesto del</w:t>
      </w:r>
      <w:r w:rsidR="00247A52" w:rsidRPr="00016061">
        <w:t xml:space="preserve"> </w:t>
      </w:r>
      <w:r w:rsidRPr="00016061">
        <w:t>artículo 48.b de la Convención Americana</w:t>
      </w:r>
      <w:r w:rsidR="00A26326" w:rsidRPr="00016061">
        <w:t xml:space="preserve"> según el cual, de no existir o subsistir los motivos de la petición, la CIDH podrá archivarla</w:t>
      </w:r>
      <w:r w:rsidRPr="00016061">
        <w:t>.</w:t>
      </w:r>
    </w:p>
    <w:p w:rsidR="0020542D" w:rsidRPr="00016061" w:rsidRDefault="0020542D" w:rsidP="00721517">
      <w:pPr>
        <w:ind w:firstLine="720"/>
        <w:jc w:val="both"/>
        <w:rPr>
          <w:rFonts w:asciiTheme="majorHAnsi" w:hAnsiTheme="majorHAnsi"/>
          <w:sz w:val="20"/>
          <w:szCs w:val="20"/>
          <w:lang w:val="es-ES" w:eastAsia="es-ES"/>
        </w:rPr>
      </w:pPr>
    </w:p>
    <w:p w:rsidR="00F16A71" w:rsidRPr="00016061" w:rsidRDefault="00F16A71" w:rsidP="00721517">
      <w:pPr>
        <w:pStyle w:val="Heading2"/>
      </w:pPr>
      <w:r w:rsidRPr="00016061">
        <w:t>ANÁLISIS SOBRE COMPETENCIA Y ADMISIBILIDAD</w:t>
      </w:r>
    </w:p>
    <w:p w:rsidR="000F212E" w:rsidRPr="00016061" w:rsidRDefault="000F212E" w:rsidP="00721517">
      <w:pPr>
        <w:ind w:firstLine="720"/>
        <w:jc w:val="both"/>
        <w:rPr>
          <w:rFonts w:asciiTheme="majorHAnsi" w:hAnsiTheme="majorHAnsi"/>
          <w:sz w:val="20"/>
          <w:szCs w:val="20"/>
          <w:lang w:val="es-UY"/>
        </w:rPr>
      </w:pPr>
    </w:p>
    <w:p w:rsidR="00F16A71" w:rsidRPr="00016061" w:rsidRDefault="00F16A71" w:rsidP="001C5D5F">
      <w:pPr>
        <w:pStyle w:val="NoSpacing"/>
        <w:numPr>
          <w:ilvl w:val="0"/>
          <w:numId w:val="57"/>
        </w:numPr>
        <w:ind w:firstLine="0"/>
      </w:pPr>
      <w:r w:rsidRPr="00016061">
        <w:t>Competencia</w:t>
      </w:r>
    </w:p>
    <w:p w:rsidR="00F16A71" w:rsidRPr="00016061" w:rsidRDefault="00F16A71" w:rsidP="00721517">
      <w:pPr>
        <w:ind w:firstLine="720"/>
        <w:jc w:val="both"/>
        <w:rPr>
          <w:rFonts w:asciiTheme="majorHAnsi" w:hAnsiTheme="majorHAnsi"/>
          <w:sz w:val="20"/>
          <w:szCs w:val="20"/>
          <w:lang w:val="es-UY"/>
        </w:rPr>
      </w:pPr>
    </w:p>
    <w:p w:rsidR="00B35983" w:rsidRPr="00016061" w:rsidRDefault="00B35983" w:rsidP="00CA1DEC">
      <w:pPr>
        <w:pStyle w:val="Heading3"/>
        <w:ind w:left="0" w:firstLine="720"/>
        <w:rPr>
          <w:rFonts w:cs="Calibri"/>
          <w:b/>
        </w:rPr>
      </w:pPr>
      <w:r w:rsidRPr="00016061">
        <w:t xml:space="preserve">El peticionario se encuentra facultado, en principio, por el artículo 44 de la Convención Americana para presentar peticiones ante la Comisión. La petición señala como presunta víctima a una persona natural, respecto de quien el Estado de México se comprometió a respetar y garantizar los derechos consagrados en la Convención Americana. En lo concerniente al Estado, la Comisión señala que México es un Estado parte en la Convención Americana desde el 24 de marzo de 1981, fecha en la que depositó su instrumento de ratificación. Por lo tanto, la Comisión tiene competencia </w:t>
      </w:r>
      <w:r w:rsidRPr="00016061">
        <w:rPr>
          <w:i/>
        </w:rPr>
        <w:t>ratione personae</w:t>
      </w:r>
      <w:r w:rsidRPr="00016061">
        <w:t xml:space="preserve"> para examinar la petición. Asimismo, la Comisión tiene competencia </w:t>
      </w:r>
      <w:r w:rsidRPr="00016061">
        <w:rPr>
          <w:i/>
        </w:rPr>
        <w:t>ratione loci</w:t>
      </w:r>
      <w:r w:rsidRPr="00016061">
        <w:t xml:space="preserve"> para conocer la petición, por cuanto en ella se alegan violaciones de derechos protegidos por la Convención Americana que habrían tenido lugar dentro del territorio de México, Estado Parte en dicho tratado.</w:t>
      </w:r>
    </w:p>
    <w:p w:rsidR="00B35983" w:rsidRPr="00016061" w:rsidRDefault="00B35983" w:rsidP="00CA1DEC">
      <w:pPr>
        <w:pStyle w:val="Heading3"/>
        <w:numPr>
          <w:ilvl w:val="0"/>
          <w:numId w:val="0"/>
        </w:numPr>
        <w:ind w:firstLine="720"/>
      </w:pPr>
    </w:p>
    <w:p w:rsidR="00F16A71" w:rsidRPr="00016061" w:rsidRDefault="00B35983" w:rsidP="00CA1DEC">
      <w:pPr>
        <w:pStyle w:val="Heading3"/>
        <w:ind w:left="0" w:firstLine="720"/>
      </w:pPr>
      <w:r w:rsidRPr="00016061">
        <w:t xml:space="preserve">La Comisión tiene competencia </w:t>
      </w:r>
      <w:r w:rsidRPr="00016061">
        <w:rPr>
          <w:i/>
        </w:rPr>
        <w:t>ratione temporis</w:t>
      </w:r>
      <w:r w:rsidRPr="00016061">
        <w:t xml:space="preserve"> por cuanto las obligaciones de respetar y garantizar los derechos protegidos en la Convención Americana ya se encontraban en vigor para el Estado en la fecha en que habrían ocurrido los hechos alegados en la petición. Finalmente, la Comisión tiene competencia </w:t>
      </w:r>
      <w:r w:rsidRPr="00016061">
        <w:rPr>
          <w:i/>
        </w:rPr>
        <w:t>ratione materiae</w:t>
      </w:r>
      <w:r w:rsidRPr="00016061">
        <w:t>, porque en la petición se denuncian posibles violaciones a derechos humanos protegidos por la Convención Americana.</w:t>
      </w:r>
    </w:p>
    <w:p w:rsidR="00B35983" w:rsidRPr="00016061" w:rsidRDefault="00B35983" w:rsidP="00721517">
      <w:pPr>
        <w:ind w:firstLine="720"/>
        <w:jc w:val="both"/>
        <w:rPr>
          <w:rFonts w:asciiTheme="majorHAnsi" w:hAnsiTheme="majorHAnsi"/>
          <w:sz w:val="20"/>
          <w:szCs w:val="20"/>
          <w:lang w:val="es-ES" w:eastAsia="es-ES"/>
        </w:rPr>
      </w:pPr>
    </w:p>
    <w:p w:rsidR="00480A83" w:rsidRPr="00016061" w:rsidRDefault="00480A83" w:rsidP="001C5D5F">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0"/>
        </w:tabs>
        <w:ind w:left="0" w:firstLine="720"/>
        <w:jc w:val="both"/>
        <w:rPr>
          <w:rFonts w:asciiTheme="majorHAnsi" w:hAnsiTheme="majorHAnsi"/>
          <w:b/>
          <w:sz w:val="20"/>
          <w:szCs w:val="20"/>
          <w:lang w:val="es-UY"/>
        </w:rPr>
      </w:pPr>
      <w:r w:rsidRPr="00016061">
        <w:rPr>
          <w:rFonts w:asciiTheme="majorHAnsi" w:hAnsiTheme="majorHAnsi"/>
          <w:b/>
          <w:bCs/>
          <w:sz w:val="20"/>
          <w:szCs w:val="20"/>
          <w:lang w:val="es-UY"/>
        </w:rPr>
        <w:t xml:space="preserve">Requisitos de </w:t>
      </w:r>
      <w:r w:rsidRPr="00016061">
        <w:rPr>
          <w:rFonts w:asciiTheme="majorHAnsi" w:hAnsiTheme="majorHAnsi"/>
          <w:b/>
          <w:sz w:val="20"/>
          <w:szCs w:val="20"/>
          <w:lang w:val="es-UY"/>
        </w:rPr>
        <w:t>Admisibilidad</w:t>
      </w:r>
    </w:p>
    <w:p w:rsidR="00480A83" w:rsidRPr="00016061" w:rsidRDefault="00480A83" w:rsidP="00721517">
      <w:pPr>
        <w:ind w:firstLine="720"/>
        <w:jc w:val="both"/>
        <w:rPr>
          <w:rFonts w:asciiTheme="majorHAnsi" w:hAnsiTheme="majorHAnsi"/>
          <w:sz w:val="20"/>
          <w:szCs w:val="20"/>
          <w:lang w:val="es-ES_tradnl"/>
        </w:rPr>
      </w:pPr>
    </w:p>
    <w:p w:rsidR="00480A83" w:rsidRPr="00016061" w:rsidRDefault="00480A83" w:rsidP="00721517">
      <w:pPr>
        <w:pStyle w:val="Heading1"/>
      </w:pPr>
      <w:r w:rsidRPr="00016061">
        <w:t>Agotamiento de los recursos internos</w:t>
      </w:r>
    </w:p>
    <w:p w:rsidR="00C26439" w:rsidRPr="00016061" w:rsidRDefault="00C26439" w:rsidP="00721517">
      <w:pPr>
        <w:tabs>
          <w:tab w:val="center" w:pos="4680"/>
          <w:tab w:val="left" w:pos="6511"/>
        </w:tabs>
        <w:ind w:firstLine="720"/>
        <w:jc w:val="both"/>
        <w:rPr>
          <w:rFonts w:asciiTheme="majorHAnsi" w:hAnsiTheme="majorHAnsi" w:cs="Calibri"/>
          <w:b/>
          <w:sz w:val="20"/>
          <w:szCs w:val="20"/>
          <w:lang w:val="es-ES_tradnl"/>
        </w:rPr>
      </w:pPr>
    </w:p>
    <w:p w:rsidR="0010217B" w:rsidRPr="00016061" w:rsidRDefault="00EF148C" w:rsidP="00CA1DEC">
      <w:pPr>
        <w:pStyle w:val="Heading3"/>
        <w:ind w:left="0" w:firstLine="720"/>
        <w:rPr>
          <w:lang w:val="es-UY"/>
        </w:rPr>
      </w:pPr>
      <w:r w:rsidRPr="00016061">
        <w:t>El artículo 46.1.</w:t>
      </w:r>
      <w:r w:rsidR="006643D6" w:rsidRPr="00016061">
        <w:t xml:space="preserve">a) de la Convención Americana exige el previo agotamiento de los recursos disponibles en la jurisdicción interna conforme a los principios de derecho internacional generalmente reconocidos, como requisito para la admisión de reclamos sobre la presunta violación de la Convención Americana.  </w:t>
      </w:r>
      <w:r w:rsidR="006643D6" w:rsidRPr="00016061">
        <w:rPr>
          <w:lang w:val="es-UY"/>
        </w:rPr>
        <w:t xml:space="preserve">Este requisito tiene como objeto </w:t>
      </w:r>
      <w:r w:rsidR="006643D6" w:rsidRPr="00016061">
        <w:t>permitir</w:t>
      </w:r>
      <w:r w:rsidR="006643D6" w:rsidRPr="00016061">
        <w:rPr>
          <w:lang w:val="es-UY"/>
        </w:rPr>
        <w:t xml:space="preserve"> que las autoridades nacionales conozcan sobre la supuesta violación de un derecho protegido y, de ser apropiado, solucionen la situación antes de que sea conocida por una instancia internacional.</w:t>
      </w:r>
    </w:p>
    <w:p w:rsidR="0010217B" w:rsidRPr="00016061" w:rsidRDefault="0010217B" w:rsidP="00CA1DEC">
      <w:pPr>
        <w:pStyle w:val="Heading3"/>
        <w:numPr>
          <w:ilvl w:val="0"/>
          <w:numId w:val="0"/>
        </w:numPr>
        <w:ind w:firstLine="720"/>
      </w:pPr>
    </w:p>
    <w:p w:rsidR="002A4745" w:rsidRPr="00016061" w:rsidRDefault="0010217B" w:rsidP="00CA1DEC">
      <w:pPr>
        <w:pStyle w:val="Heading3"/>
        <w:ind w:left="0" w:firstLine="720"/>
        <w:rPr>
          <w:rFonts w:eastAsia="MS Mincho"/>
        </w:rPr>
      </w:pPr>
      <w:r w:rsidRPr="00016061">
        <w:rPr>
          <w:rFonts w:eastAsia="MS Mincho"/>
        </w:rPr>
        <w:lastRenderedPageBreak/>
        <w:t xml:space="preserve">El Estado alegó que, al momento de presentarse la petición, existían procesos en trámite, los cuales estaban siendo atendidos eficazmente por las autoridades estatales. Afirmó además que no se ha producido un retardo injustificado en su consecución, toda vez que se trata de un asunto complejo y las autoridades a su cargo no han realizado dilaciones excesivas. </w:t>
      </w:r>
      <w:r w:rsidR="00BF3ADD" w:rsidRPr="00016061">
        <w:rPr>
          <w:rFonts w:eastAsia="MS Mincho"/>
        </w:rPr>
        <w:t>En</w:t>
      </w:r>
      <w:r w:rsidR="00436BD8" w:rsidRPr="00016061">
        <w:rPr>
          <w:rFonts w:eastAsia="MS Mincho"/>
        </w:rPr>
        <w:t xml:space="preserve"> escrito de 12 de octubre de 2006 el Estado </w:t>
      </w:r>
      <w:r w:rsidR="005A0DE2" w:rsidRPr="00016061">
        <w:rPr>
          <w:rFonts w:eastAsia="MS Mincho"/>
        </w:rPr>
        <w:t>reconoció</w:t>
      </w:r>
      <w:r w:rsidR="00436BD8" w:rsidRPr="00016061">
        <w:rPr>
          <w:rFonts w:eastAsia="MS Mincho"/>
        </w:rPr>
        <w:t xml:space="preserve"> el definitivo agotamiento de los recursos internos “al haberse </w:t>
      </w:r>
      <w:r w:rsidR="00897556" w:rsidRPr="00016061">
        <w:rPr>
          <w:rFonts w:eastAsia="MS Mincho"/>
        </w:rPr>
        <w:t>resuelto</w:t>
      </w:r>
      <w:r w:rsidR="00436BD8" w:rsidRPr="00016061">
        <w:rPr>
          <w:rFonts w:eastAsia="MS Mincho"/>
        </w:rPr>
        <w:t xml:space="preserve"> la situación planteada de </w:t>
      </w:r>
      <w:r w:rsidR="00897556" w:rsidRPr="00016061">
        <w:rPr>
          <w:rFonts w:eastAsia="MS Mincho"/>
        </w:rPr>
        <w:t>conformidad</w:t>
      </w:r>
      <w:r w:rsidR="00436BD8" w:rsidRPr="00016061">
        <w:rPr>
          <w:rFonts w:eastAsia="MS Mincho"/>
        </w:rPr>
        <w:t xml:space="preserve"> con los recursos e </w:t>
      </w:r>
      <w:r w:rsidR="00897556" w:rsidRPr="00016061">
        <w:rPr>
          <w:rFonts w:eastAsia="MS Mincho"/>
        </w:rPr>
        <w:t>instituciones</w:t>
      </w:r>
      <w:r w:rsidR="00436BD8" w:rsidRPr="00016061">
        <w:rPr>
          <w:rFonts w:eastAsia="MS Mincho"/>
        </w:rPr>
        <w:t xml:space="preserve"> del derecho mexicano existente y al haberse resuelto </w:t>
      </w:r>
      <w:r w:rsidR="00897556" w:rsidRPr="00016061">
        <w:rPr>
          <w:rFonts w:eastAsia="MS Mincho"/>
        </w:rPr>
        <w:t xml:space="preserve">favorablemente </w:t>
      </w:r>
      <w:r w:rsidR="00436BD8" w:rsidRPr="00016061">
        <w:rPr>
          <w:rFonts w:eastAsia="MS Mincho"/>
        </w:rPr>
        <w:t>para el señor Veraza Urtusu</w:t>
      </w:r>
      <w:r w:rsidR="00396358" w:rsidRPr="00016061">
        <w:rPr>
          <w:rFonts w:eastAsia="MS Mincho"/>
        </w:rPr>
        <w:t>á</w:t>
      </w:r>
      <w:r w:rsidR="00436BD8" w:rsidRPr="00016061">
        <w:rPr>
          <w:rFonts w:eastAsia="MS Mincho"/>
        </w:rPr>
        <w:t>stegui la situación que presuntamente lo afectaba”.</w:t>
      </w:r>
      <w:r w:rsidR="008E7C17" w:rsidRPr="00016061">
        <w:rPr>
          <w:rFonts w:eastAsia="MS Mincho"/>
        </w:rPr>
        <w:t xml:space="preserve"> Con ello sostiene que la petición se volvió inadmisible por ser los motivos </w:t>
      </w:r>
      <w:r w:rsidR="00897556" w:rsidRPr="00016061">
        <w:rPr>
          <w:rFonts w:eastAsia="MS Mincho"/>
        </w:rPr>
        <w:t>insubsistentes</w:t>
      </w:r>
      <w:r w:rsidR="008E7C17" w:rsidRPr="00016061">
        <w:rPr>
          <w:rFonts w:eastAsia="MS Mincho"/>
        </w:rPr>
        <w:t>.</w:t>
      </w:r>
    </w:p>
    <w:p w:rsidR="00436BD8" w:rsidRPr="00016061" w:rsidRDefault="00436BD8" w:rsidP="00CA1DEC">
      <w:pPr>
        <w:pStyle w:val="Heading3"/>
        <w:numPr>
          <w:ilvl w:val="0"/>
          <w:numId w:val="0"/>
        </w:numPr>
        <w:ind w:firstLine="720"/>
        <w:rPr>
          <w:rFonts w:eastAsia="MS Mincho"/>
        </w:rPr>
      </w:pPr>
    </w:p>
    <w:p w:rsidR="00B34D6B" w:rsidRPr="00016061" w:rsidRDefault="00897556" w:rsidP="00B34D6B">
      <w:pPr>
        <w:pStyle w:val="Heading3"/>
        <w:ind w:left="0" w:firstLine="720"/>
      </w:pPr>
      <w:r w:rsidRPr="00016061">
        <w:rPr>
          <w:rFonts w:eastAsia="MS Mincho"/>
          <w:lang w:val="es-CL"/>
        </w:rPr>
        <w:t>L</w:t>
      </w:r>
      <w:r w:rsidR="00436BD8" w:rsidRPr="00016061">
        <w:rPr>
          <w:rFonts w:eastAsia="MS Mincho"/>
          <w:lang w:val="es-CL"/>
        </w:rPr>
        <w:t xml:space="preserve">a </w:t>
      </w:r>
      <w:r w:rsidR="008E7C17" w:rsidRPr="00016061">
        <w:rPr>
          <w:rFonts w:eastAsia="MS Mincho"/>
          <w:lang w:val="es-CL"/>
        </w:rPr>
        <w:t>Comisión</w:t>
      </w:r>
      <w:r w:rsidR="00436BD8" w:rsidRPr="00016061">
        <w:rPr>
          <w:rFonts w:eastAsia="MS Mincho"/>
          <w:lang w:val="es-CL"/>
        </w:rPr>
        <w:t xml:space="preserve"> observa que</w:t>
      </w:r>
      <w:r w:rsidR="00087BD8" w:rsidRPr="00016061">
        <w:rPr>
          <w:rFonts w:eastAsia="MS Mincho"/>
          <w:lang w:val="es-CL"/>
        </w:rPr>
        <w:t>,</w:t>
      </w:r>
      <w:r w:rsidR="00436BD8" w:rsidRPr="00016061">
        <w:rPr>
          <w:rFonts w:eastAsia="MS Mincho"/>
          <w:lang w:val="es-CL"/>
        </w:rPr>
        <w:t xml:space="preserve"> </w:t>
      </w:r>
      <w:r w:rsidR="008E7C17" w:rsidRPr="00016061">
        <w:rPr>
          <w:rFonts w:eastAsia="MS Mincho"/>
        </w:rPr>
        <w:t>d</w:t>
      </w:r>
      <w:r w:rsidR="00436BD8" w:rsidRPr="00016061">
        <w:rPr>
          <w:rFonts w:eastAsia="MS Mincho"/>
        </w:rPr>
        <w:t>e acuerdo a la info</w:t>
      </w:r>
      <w:r w:rsidRPr="00016061">
        <w:rPr>
          <w:rFonts w:eastAsia="MS Mincho"/>
        </w:rPr>
        <w:t>rmación aportada por las partes</w:t>
      </w:r>
      <w:r w:rsidR="00436BD8" w:rsidRPr="00016061">
        <w:rPr>
          <w:rFonts w:eastAsia="MS Mincho"/>
        </w:rPr>
        <w:t xml:space="preserve">, los recursos judiciales internos quedaron definitivamente agotados con la decisión de la </w:t>
      </w:r>
      <w:r w:rsidR="00E657F5" w:rsidRPr="00016061">
        <w:rPr>
          <w:rFonts w:eastAsia="MS Mincho"/>
        </w:rPr>
        <w:t>SCJN</w:t>
      </w:r>
      <w:r w:rsidR="00436BD8" w:rsidRPr="00016061">
        <w:rPr>
          <w:rFonts w:eastAsia="MS Mincho"/>
        </w:rPr>
        <w:t xml:space="preserve"> de fecha </w:t>
      </w:r>
      <w:r w:rsidR="00E657F5" w:rsidRPr="00016061">
        <w:rPr>
          <w:rFonts w:eastAsia="MS Mincho"/>
        </w:rPr>
        <w:t>17 de octubre de 2005</w:t>
      </w:r>
      <w:r w:rsidR="006643D6" w:rsidRPr="00016061">
        <w:rPr>
          <w:rFonts w:eastAsia="MS Mincho"/>
        </w:rPr>
        <w:t>,</w:t>
      </w:r>
      <w:r w:rsidR="00436BD8" w:rsidRPr="00016061">
        <w:rPr>
          <w:rFonts w:eastAsia="MS Mincho"/>
        </w:rPr>
        <w:t xml:space="preserve"> mediante la cual </w:t>
      </w:r>
      <w:r w:rsidR="00FA6C33" w:rsidRPr="00016061">
        <w:rPr>
          <w:rFonts w:eastAsia="MS Mincho"/>
        </w:rPr>
        <w:t>resolvió el recurso de queja 11/2004 ordenando el pago de la indemnización correspondiente</w:t>
      </w:r>
      <w:r w:rsidR="00D53959" w:rsidRPr="00016061">
        <w:rPr>
          <w:rFonts w:eastAsia="MS Mincho"/>
        </w:rPr>
        <w:t>.</w:t>
      </w:r>
      <w:r w:rsidR="002A4745" w:rsidRPr="00016061">
        <w:t xml:space="preserve"> Al respecto, la Comisión reitera su doctrina según la cual el análisis sobre los requisitos previstos en los artículos 46 y 47 de la Convención debe hacerse a la luz de la situación vigente al momento en que se pronuncia sobre la admisibilidad o inadmisibilidad del reclamo. Es muy frecuente que, durante la tramitación, haya cambios en el estado de agotamiento de los recursos internos. No obstante, el sistema de peticiones y casos asegura que tanto el Estado como el peticionario tengan la plena oportunidad para presentar información y alegatos al respecto</w:t>
      </w:r>
      <w:r w:rsidR="002A4745" w:rsidRPr="00016061">
        <w:rPr>
          <w:rStyle w:val="FootnoteReference"/>
          <w:color w:val="000000"/>
        </w:rPr>
        <w:footnoteReference w:id="3"/>
      </w:r>
      <w:r w:rsidR="00B34D6B" w:rsidRPr="00016061">
        <w:t>.</w:t>
      </w:r>
    </w:p>
    <w:p w:rsidR="00B34D6B" w:rsidRPr="00016061" w:rsidRDefault="00B34D6B" w:rsidP="00B34D6B">
      <w:pPr>
        <w:rPr>
          <w:lang w:val="es-ES" w:eastAsia="es-ES"/>
        </w:rPr>
      </w:pPr>
    </w:p>
    <w:p w:rsidR="00B34D6B" w:rsidRPr="00016061" w:rsidRDefault="00B34D6B" w:rsidP="00B34D6B">
      <w:pPr>
        <w:pStyle w:val="Heading3"/>
        <w:ind w:left="0" w:firstLine="720"/>
      </w:pPr>
      <w:r w:rsidRPr="00016061">
        <w:t>En relación con la alegada privación arbitraria de la libertad, de acuerdo a la información proporcionada</w:t>
      </w:r>
      <w:r w:rsidR="008E10DF" w:rsidRPr="00016061">
        <w:t>,</w:t>
      </w:r>
      <w:r w:rsidRPr="00016061">
        <w:t xml:space="preserve"> el 18 de agosto de 2006 el Quinto Tribunal Colegiado en Materia Penal del Primer Circuito ordenó dejar insubsistente el auto de formal prisión.</w:t>
      </w:r>
    </w:p>
    <w:p w:rsidR="008660FD" w:rsidRPr="00016061" w:rsidRDefault="008660FD" w:rsidP="00CA1DEC">
      <w:pPr>
        <w:pStyle w:val="Heading3"/>
        <w:numPr>
          <w:ilvl w:val="0"/>
          <w:numId w:val="0"/>
        </w:numPr>
        <w:ind w:firstLine="720"/>
      </w:pPr>
    </w:p>
    <w:p w:rsidR="008660FD" w:rsidRPr="00016061" w:rsidRDefault="00D9467B" w:rsidP="00CA1DEC">
      <w:pPr>
        <w:pStyle w:val="Heading3"/>
        <w:ind w:left="0" w:firstLine="720"/>
        <w:rPr>
          <w:lang w:val="es-ES_tradnl"/>
        </w:rPr>
      </w:pPr>
      <w:r w:rsidRPr="00016061">
        <w:t xml:space="preserve">Por lo tanto, la Comisión concluye que en el presente caso se han interpuesto y agotado los recursos de la jurisdicción interna de conformidad con el artículo </w:t>
      </w:r>
      <w:r w:rsidR="00EF148C" w:rsidRPr="00016061">
        <w:rPr>
          <w:rFonts w:cs="Arial"/>
          <w:lang w:val="es-PE"/>
        </w:rPr>
        <w:t>46.1.</w:t>
      </w:r>
      <w:r w:rsidRPr="00016061">
        <w:rPr>
          <w:rFonts w:cs="Arial"/>
          <w:lang w:val="es-PE"/>
        </w:rPr>
        <w:t>a) de la Convención Americana.</w:t>
      </w:r>
      <w:r w:rsidR="00E7458E" w:rsidRPr="00016061">
        <w:t xml:space="preserve"> </w:t>
      </w:r>
    </w:p>
    <w:p w:rsidR="00480A83" w:rsidRPr="00016061" w:rsidRDefault="00480A83" w:rsidP="00CA1DEC">
      <w:pPr>
        <w:tabs>
          <w:tab w:val="center" w:pos="4680"/>
          <w:tab w:val="left" w:pos="6511"/>
        </w:tabs>
        <w:ind w:firstLine="720"/>
        <w:jc w:val="both"/>
        <w:rPr>
          <w:rFonts w:asciiTheme="majorHAnsi" w:hAnsiTheme="majorHAnsi" w:cs="Calibri"/>
          <w:b/>
          <w:sz w:val="20"/>
          <w:szCs w:val="20"/>
          <w:lang w:val="es-ES"/>
        </w:rPr>
      </w:pPr>
    </w:p>
    <w:p w:rsidR="00480A83" w:rsidRPr="00016061" w:rsidRDefault="00480A83" w:rsidP="00721517">
      <w:pPr>
        <w:pStyle w:val="Heading1"/>
      </w:pPr>
      <w:r w:rsidRPr="00016061">
        <w:t>Plazo de presentación de la petición</w:t>
      </w:r>
    </w:p>
    <w:p w:rsidR="0079306A" w:rsidRPr="00016061" w:rsidRDefault="0079306A" w:rsidP="00721517">
      <w:pPr>
        <w:pStyle w:val="Heading3"/>
        <w:numPr>
          <w:ilvl w:val="0"/>
          <w:numId w:val="0"/>
        </w:numPr>
        <w:ind w:firstLine="720"/>
      </w:pPr>
    </w:p>
    <w:p w:rsidR="004F0865" w:rsidRPr="00016061" w:rsidRDefault="00EF148C" w:rsidP="00CA1DEC">
      <w:pPr>
        <w:pStyle w:val="Heading3"/>
        <w:ind w:left="0" w:firstLine="720"/>
      </w:pPr>
      <w:r w:rsidRPr="00016061">
        <w:t>El artículo 46.1.</w:t>
      </w:r>
      <w:r w:rsidR="0079306A" w:rsidRPr="00016061">
        <w:t xml:space="preserve">b) de la Convención Americana establece que para que una petición resulte admisible por la Comisión se requerirá que sea presentada dentro del plazo de seis meses a partir de la fecha en que el presunto lesionado haya sido notificado de la decisión definitiva.  </w:t>
      </w:r>
    </w:p>
    <w:p w:rsidR="00CE786D" w:rsidRPr="00016061" w:rsidRDefault="00CE786D" w:rsidP="00CA1DEC">
      <w:pPr>
        <w:pStyle w:val="Heading3"/>
        <w:numPr>
          <w:ilvl w:val="0"/>
          <w:numId w:val="0"/>
        </w:numPr>
        <w:ind w:firstLine="720"/>
        <w:rPr>
          <w:color w:val="FF0000"/>
        </w:rPr>
      </w:pPr>
    </w:p>
    <w:p w:rsidR="0079306A" w:rsidRPr="00016061" w:rsidRDefault="00CE786D" w:rsidP="00CA1DEC">
      <w:pPr>
        <w:pStyle w:val="Heading3"/>
        <w:ind w:left="0" w:firstLine="720"/>
      </w:pPr>
      <w:r w:rsidRPr="00016061">
        <w:t xml:space="preserve">La petición ante la CIDH fue presentada el 12 de noviembre de 2002 y los recursos internos fueron agotados el </w:t>
      </w:r>
      <w:r w:rsidRPr="00016061">
        <w:rPr>
          <w:rFonts w:eastAsia="MS Mincho"/>
        </w:rPr>
        <w:t>17 de octubre de 2005</w:t>
      </w:r>
      <w:r w:rsidRPr="00016061">
        <w:rPr>
          <w:color w:val="FF0000"/>
        </w:rPr>
        <w:t xml:space="preserve"> </w:t>
      </w:r>
      <w:r w:rsidR="000B0F38" w:rsidRPr="00016061">
        <w:t>y 18 de agosto de 2006</w:t>
      </w:r>
      <w:r w:rsidRPr="00016061">
        <w:t>. Por lo tanto, el agotamiento de los recursos internos se dio mientras el caso se hallaba bajo estudio de admisibilidad. En estas circunstancias, el cumplimiento del requisito de presentación de la petición en plazo se encuentra intrínsecamente ligado al agotamiento de los recursos internos y, por lo tanto, corresponde darlo por cumplido</w:t>
      </w:r>
      <w:r w:rsidRPr="00016061">
        <w:rPr>
          <w:rStyle w:val="FootnoteReference"/>
          <w:color w:val="000000"/>
        </w:rPr>
        <w:footnoteReference w:id="4"/>
      </w:r>
      <w:r w:rsidRPr="00016061">
        <w:t>.</w:t>
      </w:r>
    </w:p>
    <w:p w:rsidR="004F0865" w:rsidRPr="00016061" w:rsidRDefault="004F0865" w:rsidP="00721517">
      <w:pPr>
        <w:ind w:firstLine="720"/>
        <w:jc w:val="both"/>
        <w:rPr>
          <w:rFonts w:asciiTheme="majorHAnsi" w:hAnsiTheme="majorHAnsi"/>
          <w:sz w:val="20"/>
          <w:szCs w:val="20"/>
          <w:lang w:val="es-ES" w:eastAsia="es-ES"/>
        </w:rPr>
      </w:pPr>
    </w:p>
    <w:p w:rsidR="00480A83" w:rsidRPr="00016061" w:rsidRDefault="00480A83" w:rsidP="00721517">
      <w:pPr>
        <w:pStyle w:val="Heading1"/>
      </w:pPr>
      <w:r w:rsidRPr="00016061">
        <w:t>Duplicación de procedimientos y cosa juzgada</w:t>
      </w:r>
      <w:r w:rsidRPr="00016061">
        <w:rPr>
          <w:i/>
        </w:rPr>
        <w:t xml:space="preserve"> </w:t>
      </w:r>
      <w:r w:rsidRPr="00016061">
        <w:t>internacional</w:t>
      </w:r>
    </w:p>
    <w:p w:rsidR="00480A83" w:rsidRPr="00016061" w:rsidRDefault="00480A83" w:rsidP="00721517">
      <w:pPr>
        <w:ind w:firstLine="720"/>
        <w:jc w:val="both"/>
        <w:rPr>
          <w:rFonts w:asciiTheme="majorHAnsi" w:hAnsiTheme="majorHAnsi"/>
          <w:sz w:val="20"/>
          <w:szCs w:val="20"/>
          <w:lang w:val="es-UY"/>
        </w:rPr>
      </w:pPr>
    </w:p>
    <w:p w:rsidR="00480A83" w:rsidRPr="00016061" w:rsidRDefault="00480A83" w:rsidP="00CA1DEC">
      <w:pPr>
        <w:pStyle w:val="Heading3"/>
        <w:ind w:left="0" w:firstLine="720"/>
      </w:pPr>
      <w:r w:rsidRPr="00016061">
        <w:t xml:space="preserve">No surge del expediente que la materia de la petición se encuentre pendiente de otro procedimiento de arreglo internacional, ni que reproduzca una petición ya examinada por éste u otro órgano internacional. Por lo tanto, </w:t>
      </w:r>
      <w:r w:rsidR="00F667F3" w:rsidRPr="00016061">
        <w:t>no son aplicables las causales de inadmisibilidad establecidas</w:t>
      </w:r>
      <w:r w:rsidR="00153A34" w:rsidRPr="00016061">
        <w:t xml:space="preserve"> en los artículos 46.1.c</w:t>
      </w:r>
      <w:r w:rsidR="002E360A" w:rsidRPr="00016061">
        <w:t>)</w:t>
      </w:r>
      <w:r w:rsidR="00153A34" w:rsidRPr="00016061">
        <w:t xml:space="preserve"> y 47.d</w:t>
      </w:r>
      <w:r w:rsidR="00FA2BFA" w:rsidRPr="00016061">
        <w:t>)</w:t>
      </w:r>
      <w:r w:rsidRPr="00016061">
        <w:t xml:space="preserve"> de la Convención.</w:t>
      </w:r>
    </w:p>
    <w:p w:rsidR="00DD04DA" w:rsidRPr="00016061" w:rsidRDefault="00DD04DA" w:rsidP="00721517">
      <w:pPr>
        <w:ind w:firstLine="720"/>
        <w:jc w:val="both"/>
        <w:rPr>
          <w:rFonts w:asciiTheme="majorHAnsi" w:hAnsiTheme="majorHAnsi"/>
          <w:sz w:val="20"/>
          <w:szCs w:val="20"/>
          <w:lang w:val="es-UY"/>
        </w:rPr>
      </w:pPr>
    </w:p>
    <w:p w:rsidR="00480A83" w:rsidRPr="00016061" w:rsidRDefault="00480A83" w:rsidP="00721517">
      <w:pPr>
        <w:pStyle w:val="Heading1"/>
      </w:pPr>
      <w:r w:rsidRPr="00016061">
        <w:t>Caracterización de los hechos alegados</w:t>
      </w:r>
    </w:p>
    <w:p w:rsidR="00480A83" w:rsidRPr="00016061" w:rsidRDefault="00480A83" w:rsidP="00721517">
      <w:pPr>
        <w:ind w:firstLine="720"/>
        <w:jc w:val="both"/>
        <w:rPr>
          <w:rFonts w:asciiTheme="majorHAnsi" w:hAnsiTheme="majorHAnsi"/>
          <w:sz w:val="20"/>
          <w:szCs w:val="20"/>
          <w:lang w:val="es-UY"/>
        </w:rPr>
      </w:pPr>
    </w:p>
    <w:p w:rsidR="00480A83" w:rsidRPr="00016061" w:rsidRDefault="00480A83" w:rsidP="00CA1DEC">
      <w:pPr>
        <w:pStyle w:val="Heading3"/>
        <w:ind w:left="0" w:firstLine="720"/>
      </w:pPr>
      <w:r w:rsidRPr="00016061">
        <w:t xml:space="preserve">A los efectos de la admisibilidad, la Comisión debe decidir si los hechos alegados pueden caracterizar una violación de derechos, según </w:t>
      </w:r>
      <w:r w:rsidR="00153A34" w:rsidRPr="00016061">
        <w:t>lo estipulado en el artículo 47.b</w:t>
      </w:r>
      <w:r w:rsidR="00FA2BFA" w:rsidRPr="00016061">
        <w:t>)</w:t>
      </w:r>
      <w:r w:rsidRPr="00016061">
        <w:t xml:space="preserve"> de la Convención Americana, o si la petición es "manifiestamente infundada" o es "evidente su total impr</w:t>
      </w:r>
      <w:r w:rsidR="002E360A" w:rsidRPr="00016061">
        <w:t xml:space="preserve">ocedencia", conforme al inciso </w:t>
      </w:r>
      <w:r w:rsidRPr="00016061">
        <w:t xml:space="preserve">c) de </w:t>
      </w:r>
      <w:r w:rsidRPr="00016061">
        <w:lastRenderedPageBreak/>
        <w:t xml:space="preserve">dicho artículo. El criterio para analizar la admisibilidad difiere del utilizado para el análisis del fondo de la petición dado que la Comisión sólo realiza un análisis </w:t>
      </w:r>
      <w:r w:rsidRPr="00016061">
        <w:rPr>
          <w:i/>
        </w:rPr>
        <w:t>prima facie</w:t>
      </w:r>
      <w:r w:rsidRPr="00016061">
        <w:t xml:space="preserve"> para determinar si los peticionarios establecen la aparente o posible violación de un derecho garantizado por la Convención Americana. Se trata de un análisis somero que no implica prejuzgar o emitir una opinión preliminar sobre el fondo del asunto.</w:t>
      </w:r>
    </w:p>
    <w:p w:rsidR="00480A83" w:rsidRPr="00016061" w:rsidRDefault="00480A83" w:rsidP="00CA1DEC">
      <w:pPr>
        <w:pStyle w:val="ListParagraph"/>
        <w:ind w:left="0" w:firstLine="720"/>
        <w:jc w:val="both"/>
        <w:rPr>
          <w:rFonts w:asciiTheme="majorHAnsi" w:eastAsia="Arial Unicode MS" w:hAnsiTheme="majorHAnsi" w:cs="Times New Roman"/>
          <w:color w:val="auto"/>
          <w:sz w:val="20"/>
          <w:szCs w:val="20"/>
          <w:lang w:val="es-UY" w:eastAsia="en-US"/>
        </w:rPr>
      </w:pPr>
    </w:p>
    <w:p w:rsidR="00C05C0E" w:rsidRPr="00016061" w:rsidRDefault="00480A83" w:rsidP="00CA1DEC">
      <w:pPr>
        <w:pStyle w:val="Heading3"/>
        <w:ind w:left="0" w:firstLine="720"/>
        <w:rPr>
          <w:rFonts w:eastAsia="Arial Unicode MS"/>
        </w:rPr>
      </w:pPr>
      <w:r w:rsidRPr="00016061">
        <w:rPr>
          <w:rFonts w:eastAsia="Arial Unicode MS"/>
        </w:rPr>
        <w:t>Asimismo, ni la Convención Americana ni el Reglamento de la CIDH exigen al peticionario identificar los derechos específicos que se alegan violados por parte del Estado en el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p>
    <w:p w:rsidR="00480A83" w:rsidRPr="00016061" w:rsidRDefault="00480A83" w:rsidP="00CA1DEC">
      <w:pPr>
        <w:ind w:firstLine="720"/>
        <w:jc w:val="both"/>
        <w:rPr>
          <w:rFonts w:asciiTheme="majorHAnsi" w:hAnsiTheme="majorHAnsi"/>
          <w:sz w:val="20"/>
          <w:szCs w:val="20"/>
          <w:lang w:val="es-UY"/>
        </w:rPr>
      </w:pPr>
    </w:p>
    <w:p w:rsidR="0078047B" w:rsidRPr="00016061" w:rsidRDefault="00C05C0E" w:rsidP="001851D5">
      <w:pPr>
        <w:pStyle w:val="Heading3"/>
        <w:tabs>
          <w:tab w:val="left" w:pos="0"/>
        </w:tabs>
        <w:ind w:left="0" w:firstLine="720"/>
      </w:pPr>
      <w:r w:rsidRPr="00016061">
        <w:t>En el presente asunto</w:t>
      </w:r>
      <w:r w:rsidR="00FC4AF0" w:rsidRPr="00016061">
        <w:t>, el Estado</w:t>
      </w:r>
      <w:r w:rsidR="004257C2" w:rsidRPr="00016061">
        <w:t xml:space="preserve"> alega que los hechos objeto de la </w:t>
      </w:r>
      <w:r w:rsidR="001900CB" w:rsidRPr="00016061">
        <w:t>petición no sólo no caracteriza</w:t>
      </w:r>
      <w:r w:rsidR="005A6D6A" w:rsidRPr="00016061">
        <w:t>n</w:t>
      </w:r>
      <w:r w:rsidR="004257C2" w:rsidRPr="00016061">
        <w:t xml:space="preserve"> una violación a los derechos consagrados en la Convención Americana, sino que </w:t>
      </w:r>
      <w:r w:rsidR="001900CB" w:rsidRPr="00016061">
        <w:t xml:space="preserve">además </w:t>
      </w:r>
      <w:r w:rsidR="007E6A61" w:rsidRPr="00016061">
        <w:t>todos los procesos judiciales</w:t>
      </w:r>
      <w:r w:rsidR="004257C2" w:rsidRPr="00016061">
        <w:t xml:space="preserve"> </w:t>
      </w:r>
      <w:r w:rsidR="00C01891" w:rsidRPr="00016061">
        <w:t>fueron resueltos</w:t>
      </w:r>
      <w:r w:rsidR="00AC555C" w:rsidRPr="00016061">
        <w:t xml:space="preserve"> favorablemente </w:t>
      </w:r>
      <w:r w:rsidR="00DD04DA" w:rsidRPr="00016061">
        <w:t>a</w:t>
      </w:r>
      <w:r w:rsidR="00AC555C" w:rsidRPr="00016061">
        <w:t>l peticionario</w:t>
      </w:r>
      <w:r w:rsidR="00D143F2" w:rsidRPr="00016061">
        <w:t xml:space="preserve">. </w:t>
      </w:r>
      <w:r w:rsidR="001900CB" w:rsidRPr="00016061">
        <w:t>A</w:t>
      </w:r>
      <w:r w:rsidR="004257C2" w:rsidRPr="00016061">
        <w:t>ñade que la petición debe ser declara inadmisible en tanto la CIDH no está facultada para revisar decisiones judiciales internas falladas con legalidad y justicia.</w:t>
      </w:r>
      <w:r w:rsidR="00FC4AF0" w:rsidRPr="00016061">
        <w:t xml:space="preserve"> Por su parte, el peticionario alega que las autoridades mexicanas </w:t>
      </w:r>
      <w:r w:rsidR="00C01891" w:rsidRPr="00016061">
        <w:t>retardaron</w:t>
      </w:r>
      <w:r w:rsidR="00FC4AF0" w:rsidRPr="00016061">
        <w:t xml:space="preserve"> los procedimientos administrativos y jurisdiccionales durante 35 años, desde 197</w:t>
      </w:r>
      <w:r w:rsidR="00DD04DA" w:rsidRPr="00016061">
        <w:t>4</w:t>
      </w:r>
      <w:r w:rsidR="00FC4AF0" w:rsidRPr="00016061">
        <w:t xml:space="preserve"> en que se inició el procedimi</w:t>
      </w:r>
      <w:r w:rsidR="00244C7E" w:rsidRPr="00016061">
        <w:t>ento administrativo de revisión</w:t>
      </w:r>
      <w:r w:rsidR="00FC4AF0" w:rsidRPr="00016061">
        <w:t xml:space="preserve"> hasta octubre de 2005, fecha en que se dictó la última resolución por la SCJN ordenando el pago de la indemnización correspondiente. </w:t>
      </w:r>
      <w:r w:rsidR="00DE1A88" w:rsidRPr="00016061">
        <w:t>Por otra parte</w:t>
      </w:r>
      <w:r w:rsidR="00244C7E" w:rsidRPr="00016061">
        <w:t>,</w:t>
      </w:r>
      <w:r w:rsidR="00FC4AF0" w:rsidRPr="00016061">
        <w:t xml:space="preserve"> </w:t>
      </w:r>
      <w:r w:rsidR="006C39ED" w:rsidRPr="00016061">
        <w:t xml:space="preserve">el peticionario </w:t>
      </w:r>
      <w:r w:rsidR="00FC4AF0" w:rsidRPr="00016061">
        <w:t xml:space="preserve">aduce que en </w:t>
      </w:r>
      <w:r w:rsidR="00260795" w:rsidRPr="00016061">
        <w:t>la</w:t>
      </w:r>
      <w:r w:rsidR="00FC4AF0" w:rsidRPr="00016061">
        <w:t xml:space="preserve"> decisión</w:t>
      </w:r>
      <w:r w:rsidR="00260795" w:rsidRPr="00016061">
        <w:t xml:space="preserve"> de</w:t>
      </w:r>
      <w:r w:rsidR="00FC4AF0" w:rsidRPr="00016061">
        <w:t xml:space="preserve"> la SCJN</w:t>
      </w:r>
      <w:r w:rsidR="00C01891" w:rsidRPr="00016061">
        <w:t xml:space="preserve"> se interpretó</w:t>
      </w:r>
      <w:r w:rsidR="007E6A61" w:rsidRPr="00016061">
        <w:t xml:space="preserve"> de forma retroactiva una reforma constitucional, en violación al derecho a la propiedad y a</w:t>
      </w:r>
      <w:r w:rsidR="00DD04DA" w:rsidRPr="00016061">
        <w:t xml:space="preserve"> los principios de</w:t>
      </w:r>
      <w:r w:rsidR="00FC4AF0" w:rsidRPr="00016061">
        <w:t xml:space="preserve"> cosa juzgada y de irretroactividad</w:t>
      </w:r>
      <w:r w:rsidR="007E6A61" w:rsidRPr="00016061">
        <w:t xml:space="preserve"> de las leyes</w:t>
      </w:r>
      <w:r w:rsidR="00FC4AF0" w:rsidRPr="00016061">
        <w:t>.</w:t>
      </w:r>
      <w:r w:rsidR="00DE1A88" w:rsidRPr="00016061">
        <w:t xml:space="preserve"> Asimismo, como consecuencia de dicha alegada interpretación retroactiva, el monto de la indemnización pagada al peticionario habría sido significativamente menor al valor real del inmueble. </w:t>
      </w:r>
      <w:r w:rsidR="00FC4AF0" w:rsidRPr="00016061">
        <w:t xml:space="preserve"> </w:t>
      </w:r>
      <w:r w:rsidR="001851D5" w:rsidRPr="00016061">
        <w:t>Alega además que fue injustamente privado de libertad por 7 meses sin haber cometido delito alguno y tras difamaciones por parte del Estado, se violentó su derecho a la protección judicial, a la honra y a la dignidad.</w:t>
      </w:r>
    </w:p>
    <w:p w:rsidR="0078047B" w:rsidRPr="00016061" w:rsidRDefault="0078047B" w:rsidP="00CA1DEC">
      <w:pPr>
        <w:ind w:firstLine="720"/>
        <w:rPr>
          <w:lang w:val="es-ES" w:eastAsia="es-ES"/>
        </w:rPr>
      </w:pPr>
    </w:p>
    <w:p w:rsidR="006A357A" w:rsidRPr="00016061" w:rsidRDefault="006A357A" w:rsidP="00CA1DEC">
      <w:pPr>
        <w:pStyle w:val="Heading3"/>
        <w:ind w:left="0" w:firstLine="720"/>
      </w:pPr>
      <w:r w:rsidRPr="00016061">
        <w:t>Con respecto al argumento planteado por el Estado, la CIDH reitera lo establecido en su jurisprudencia afirmando que no es competente para revisar las sentencias dictadas por tribunales nacionales que actúen en la esfera de su competencia y apliquen el debido proceso y las garantías judiciales.</w:t>
      </w:r>
      <w:r w:rsidRPr="00016061">
        <w:rPr>
          <w:vertAlign w:val="superscript"/>
        </w:rPr>
        <w:t xml:space="preserve">  </w:t>
      </w:r>
      <w:r w:rsidRPr="00016061">
        <w:t>La Comisión no puede actuar como un tribunal de alzada para examinar supuestos errores de derecho o de hecho que puedan haber comet</w:t>
      </w:r>
      <w:r w:rsidR="005A6D6A" w:rsidRPr="00016061">
        <w:t xml:space="preserve">ido los tribunales nacionales. </w:t>
      </w:r>
      <w:r w:rsidRPr="00016061">
        <w:t>No obstante, dentro de los límites de su mandato de garantizar la observancia de los derechos consagrados en la Convención Americana, la Comisión es competente para declarar admisible una petición y fallar sobre el fondo cuando ésta se refiere a una sentencia judicial nacional dictada al margen del debido proceso o violatoria de cualquier otro derecho garantizado por la Convención Americana</w:t>
      </w:r>
      <w:r w:rsidRPr="00016061">
        <w:rPr>
          <w:rFonts w:eastAsia="Trebuchet MS"/>
          <w:vertAlign w:val="superscript"/>
        </w:rPr>
        <w:footnoteReference w:id="5"/>
      </w:r>
      <w:r w:rsidRPr="00016061">
        <w:t xml:space="preserve">. </w:t>
      </w:r>
    </w:p>
    <w:p w:rsidR="006A357A" w:rsidRPr="00016061" w:rsidRDefault="006A357A" w:rsidP="00CA1DE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firstLine="720"/>
        <w:jc w:val="both"/>
        <w:outlineLvl w:val="1"/>
        <w:rPr>
          <w:rFonts w:asciiTheme="majorHAnsi" w:eastAsia="Times New Roman" w:hAnsiTheme="majorHAnsi" w:cs="Arial"/>
          <w:bCs/>
          <w:iCs/>
          <w:sz w:val="20"/>
          <w:szCs w:val="20"/>
          <w:bdr w:val="none" w:sz="0" w:space="0" w:color="auto"/>
          <w:lang w:val="es-ES_tradnl"/>
        </w:rPr>
      </w:pPr>
    </w:p>
    <w:p w:rsidR="006A357A" w:rsidRPr="00016061" w:rsidRDefault="006A357A" w:rsidP="00CA1DEC">
      <w:pPr>
        <w:pStyle w:val="Heading3"/>
        <w:ind w:left="0" w:firstLine="720"/>
      </w:pPr>
      <w:r w:rsidRPr="00016061">
        <w:t>De acuerdo a esta doctrina, la Comisión observa que al admitir esta petición no pretende suplantar la competencia de las autoridades judiciales domésticas para examinar errores de hecho y de derecho que pudieron haber sido cometidos</w:t>
      </w:r>
      <w:r w:rsidR="005A6D6A" w:rsidRPr="00016061">
        <w:t xml:space="preserve"> por los tribunales nacionales. </w:t>
      </w:r>
      <w:r w:rsidRPr="00016061">
        <w:t>La Comisión exclusivamente determinará en la etapa de fondo si las decisiones tomadas y</w:t>
      </w:r>
      <w:r w:rsidR="00932595" w:rsidRPr="00016061">
        <w:t xml:space="preserve"> actos</w:t>
      </w:r>
      <w:r w:rsidRPr="00016061">
        <w:t xml:space="preserve"> llevados a cabo por los tribunales y autoridades mexicanos fueron dictados al margen de las garantías del debido proceso y en violación de los derechos protegidos </w:t>
      </w:r>
      <w:r w:rsidR="00F016DF" w:rsidRPr="00016061">
        <w:t>por la Convención Americana</w:t>
      </w:r>
      <w:r w:rsidRPr="00016061">
        <w:rPr>
          <w:rFonts w:eastAsia="Trebuchet MS"/>
          <w:vertAlign w:val="superscript"/>
        </w:rPr>
        <w:footnoteReference w:id="6"/>
      </w:r>
      <w:r w:rsidRPr="00016061">
        <w:t>.</w:t>
      </w:r>
      <w:r w:rsidR="000B1908" w:rsidRPr="00016061">
        <w:t xml:space="preserve"> Asimismo, la Comisión analizará si el Estado cumplió con el deber de garantizar el derecho de la protección judicial de la presunta víctima con relación al cumplimiento de las sentencias que</w:t>
      </w:r>
      <w:r w:rsidR="00932595" w:rsidRPr="00016061">
        <w:t>,</w:t>
      </w:r>
      <w:r w:rsidR="000B1908" w:rsidRPr="00016061">
        <w:t xml:space="preserve"> de acuerdo </w:t>
      </w:r>
      <w:r w:rsidR="00932595" w:rsidRPr="00016061">
        <w:t>a</w:t>
      </w:r>
      <w:r w:rsidR="000B1908" w:rsidRPr="00016061">
        <w:t>l peticionario</w:t>
      </w:r>
      <w:r w:rsidR="00932595" w:rsidRPr="00016061">
        <w:t>,</w:t>
      </w:r>
      <w:r w:rsidR="000B1908" w:rsidRPr="00016061">
        <w:t xml:space="preserve"> le habrían sido favorables.</w:t>
      </w:r>
    </w:p>
    <w:p w:rsidR="006A357A" w:rsidRPr="00016061" w:rsidRDefault="006A357A" w:rsidP="00CA1DEC">
      <w:pPr>
        <w:ind w:firstLine="720"/>
        <w:jc w:val="both"/>
        <w:rPr>
          <w:rFonts w:asciiTheme="majorHAnsi" w:hAnsiTheme="majorHAnsi"/>
          <w:sz w:val="20"/>
          <w:szCs w:val="20"/>
          <w:lang w:val="es-ES_tradnl" w:eastAsia="es-ES"/>
        </w:rPr>
      </w:pPr>
    </w:p>
    <w:p w:rsidR="00637042" w:rsidRPr="00016061" w:rsidRDefault="00F016DF" w:rsidP="00CA1DEC">
      <w:pPr>
        <w:pStyle w:val="Heading3"/>
        <w:ind w:left="0" w:firstLine="720"/>
      </w:pPr>
      <w:r w:rsidRPr="00016061">
        <w:lastRenderedPageBreak/>
        <w:t xml:space="preserve">En base a las consideraciones anteriores, la CIDH </w:t>
      </w:r>
      <w:r w:rsidR="00932595" w:rsidRPr="00016061">
        <w:t>concluye</w:t>
      </w:r>
      <w:r w:rsidRPr="00016061">
        <w:t xml:space="preserve"> que los hechos alegados, en caso de resultar probados, caracterizarían posibles violaciones de los derechos garantizados en los artículos </w:t>
      </w:r>
      <w:r w:rsidR="001851D5" w:rsidRPr="00016061">
        <w:t xml:space="preserve">7, </w:t>
      </w:r>
      <w:r w:rsidR="00637042" w:rsidRPr="00016061">
        <w:t xml:space="preserve">8, </w:t>
      </w:r>
      <w:r w:rsidR="001851D5" w:rsidRPr="00016061">
        <w:t xml:space="preserve">11, </w:t>
      </w:r>
      <w:r w:rsidR="00637042" w:rsidRPr="00016061">
        <w:t>21 y 25 de la Convención Americana en concordancia con el artículo 1.1 del mismo instrumento</w:t>
      </w:r>
      <w:r w:rsidR="000B787D" w:rsidRPr="00016061">
        <w:t xml:space="preserve"> en perjuicio de la presunta víctima</w:t>
      </w:r>
      <w:r w:rsidR="00637042" w:rsidRPr="00016061">
        <w:t xml:space="preserve">. </w:t>
      </w:r>
    </w:p>
    <w:p w:rsidR="004257C2" w:rsidRPr="00016061" w:rsidRDefault="004257C2" w:rsidP="00721517">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lang w:val="es-ES"/>
        </w:rPr>
      </w:pPr>
    </w:p>
    <w:p w:rsidR="00480A83" w:rsidRPr="00016061" w:rsidRDefault="00480A83" w:rsidP="00721517">
      <w:pPr>
        <w:ind w:firstLine="720"/>
        <w:jc w:val="both"/>
        <w:rPr>
          <w:rFonts w:asciiTheme="majorHAnsi" w:hAnsiTheme="majorHAnsi"/>
          <w:b/>
          <w:bCs/>
          <w:sz w:val="20"/>
          <w:szCs w:val="20"/>
          <w:lang w:val="es-UY"/>
        </w:rPr>
      </w:pPr>
      <w:r w:rsidRPr="00016061">
        <w:rPr>
          <w:rFonts w:asciiTheme="majorHAnsi" w:hAnsiTheme="majorHAnsi"/>
          <w:b/>
          <w:bCs/>
          <w:sz w:val="20"/>
          <w:szCs w:val="20"/>
          <w:lang w:val="es-UY"/>
        </w:rPr>
        <w:t>V.</w:t>
      </w:r>
      <w:r w:rsidRPr="00016061">
        <w:rPr>
          <w:rFonts w:asciiTheme="majorHAnsi" w:hAnsiTheme="majorHAnsi"/>
          <w:b/>
          <w:bCs/>
          <w:sz w:val="20"/>
          <w:szCs w:val="20"/>
          <w:lang w:val="es-UY"/>
        </w:rPr>
        <w:tab/>
        <w:t>CONCLUSIONES</w:t>
      </w:r>
    </w:p>
    <w:p w:rsidR="00480A83" w:rsidRPr="00016061" w:rsidRDefault="00480A83" w:rsidP="00721517">
      <w:pPr>
        <w:ind w:firstLine="720"/>
        <w:jc w:val="both"/>
        <w:rPr>
          <w:rFonts w:asciiTheme="majorHAnsi" w:hAnsiTheme="majorHAnsi"/>
          <w:sz w:val="20"/>
          <w:szCs w:val="20"/>
          <w:lang w:val="es-AR"/>
        </w:rPr>
      </w:pPr>
    </w:p>
    <w:p w:rsidR="00480A83" w:rsidRPr="00016061" w:rsidRDefault="00480A83" w:rsidP="00CA1DEC">
      <w:pPr>
        <w:pStyle w:val="Heading3"/>
        <w:ind w:left="0" w:firstLine="720"/>
      </w:pPr>
      <w:r w:rsidRPr="00016061">
        <w:t>Con fundamento en las consideraciones de hecho y de derecho expuestas, la Comisión Interamericana concluye que la presente petición satisface los requisitos de admisibilidad enunciados en los artículos 46 y 47 de la Convención Americana y, sin prejuzgar sobre el fondo del asunto,</w:t>
      </w:r>
    </w:p>
    <w:p w:rsidR="00480A83" w:rsidRPr="00016061" w:rsidRDefault="00480A83" w:rsidP="00721517">
      <w:pPr>
        <w:ind w:firstLine="720"/>
        <w:jc w:val="both"/>
        <w:rPr>
          <w:rFonts w:asciiTheme="majorHAnsi" w:hAnsiTheme="majorHAnsi"/>
          <w:sz w:val="20"/>
          <w:szCs w:val="20"/>
          <w:lang w:val="es-AR"/>
        </w:rPr>
      </w:pPr>
    </w:p>
    <w:p w:rsidR="00480A83" w:rsidRPr="00016061" w:rsidRDefault="00480A83" w:rsidP="003A7DB5">
      <w:pPr>
        <w:jc w:val="center"/>
        <w:rPr>
          <w:rFonts w:asciiTheme="majorHAnsi" w:hAnsiTheme="majorHAnsi"/>
          <w:b/>
          <w:bCs/>
          <w:sz w:val="20"/>
          <w:szCs w:val="20"/>
          <w:lang w:val="es-ES"/>
        </w:rPr>
      </w:pPr>
      <w:r w:rsidRPr="00016061">
        <w:rPr>
          <w:rFonts w:asciiTheme="majorHAnsi" w:hAnsiTheme="majorHAnsi"/>
          <w:b/>
          <w:bCs/>
          <w:sz w:val="20"/>
          <w:szCs w:val="20"/>
          <w:lang w:val="es-ES"/>
        </w:rPr>
        <w:t>LA COMISIÓN INTERAMERICANA DE DERECHOS HUMANOS</w:t>
      </w:r>
    </w:p>
    <w:p w:rsidR="00480A83" w:rsidRPr="00016061" w:rsidRDefault="00480A83" w:rsidP="00721517">
      <w:pPr>
        <w:ind w:firstLine="720"/>
        <w:jc w:val="center"/>
        <w:rPr>
          <w:rFonts w:asciiTheme="majorHAnsi" w:hAnsiTheme="majorHAnsi"/>
          <w:sz w:val="20"/>
          <w:szCs w:val="20"/>
          <w:lang w:val="es-ES"/>
        </w:rPr>
      </w:pPr>
    </w:p>
    <w:p w:rsidR="00480A83" w:rsidRPr="00016061" w:rsidRDefault="00480A83" w:rsidP="003A7DB5">
      <w:pPr>
        <w:jc w:val="both"/>
        <w:rPr>
          <w:rFonts w:asciiTheme="majorHAnsi" w:hAnsiTheme="majorHAnsi"/>
          <w:b/>
          <w:bCs/>
          <w:sz w:val="20"/>
          <w:szCs w:val="20"/>
          <w:lang w:val="es-UY"/>
        </w:rPr>
      </w:pPr>
      <w:r w:rsidRPr="00016061">
        <w:rPr>
          <w:rFonts w:asciiTheme="majorHAnsi" w:hAnsiTheme="majorHAnsi"/>
          <w:b/>
          <w:bCs/>
          <w:sz w:val="20"/>
          <w:szCs w:val="20"/>
          <w:lang w:val="es-UY"/>
        </w:rPr>
        <w:t>DECIDE:</w:t>
      </w:r>
    </w:p>
    <w:p w:rsidR="00480A83" w:rsidRPr="00016061" w:rsidRDefault="00480A83" w:rsidP="00721517">
      <w:pPr>
        <w:ind w:firstLine="720"/>
        <w:jc w:val="both"/>
        <w:rPr>
          <w:rFonts w:asciiTheme="majorHAnsi" w:hAnsiTheme="majorHAnsi"/>
          <w:sz w:val="20"/>
          <w:szCs w:val="20"/>
          <w:lang w:val="es-UY"/>
        </w:rPr>
      </w:pPr>
    </w:p>
    <w:p w:rsidR="00480A83" w:rsidRPr="00016061" w:rsidRDefault="00480A83" w:rsidP="00721517">
      <w:pPr>
        <w:ind w:firstLine="720"/>
        <w:jc w:val="both"/>
        <w:rPr>
          <w:rFonts w:asciiTheme="majorHAnsi" w:hAnsiTheme="majorHAnsi"/>
          <w:sz w:val="20"/>
          <w:szCs w:val="20"/>
          <w:lang w:val="es-UY"/>
        </w:rPr>
      </w:pPr>
      <w:r w:rsidRPr="00016061">
        <w:rPr>
          <w:rFonts w:asciiTheme="majorHAnsi" w:hAnsiTheme="majorHAnsi"/>
          <w:sz w:val="20"/>
          <w:szCs w:val="20"/>
          <w:lang w:val="es-UY"/>
        </w:rPr>
        <w:t>1.</w:t>
      </w:r>
      <w:r w:rsidRPr="00016061">
        <w:rPr>
          <w:rFonts w:asciiTheme="majorHAnsi" w:hAnsiTheme="majorHAnsi"/>
          <w:sz w:val="20"/>
          <w:szCs w:val="20"/>
          <w:lang w:val="es-UY"/>
        </w:rPr>
        <w:tab/>
        <w:t xml:space="preserve">Declarar admisible la presente petición en relación con los artículos </w:t>
      </w:r>
      <w:r w:rsidR="00496D6C" w:rsidRPr="00016061">
        <w:rPr>
          <w:rFonts w:asciiTheme="majorHAnsi" w:hAnsiTheme="majorHAnsi"/>
          <w:sz w:val="20"/>
          <w:szCs w:val="20"/>
          <w:lang w:val="es-UY"/>
        </w:rPr>
        <w:t xml:space="preserve">7, </w:t>
      </w:r>
      <w:r w:rsidRPr="00016061">
        <w:rPr>
          <w:rFonts w:asciiTheme="majorHAnsi" w:hAnsiTheme="majorHAnsi"/>
          <w:sz w:val="20"/>
          <w:szCs w:val="20"/>
          <w:lang w:val="es-UY"/>
        </w:rPr>
        <w:t>8,</w:t>
      </w:r>
      <w:r w:rsidR="00EF148C" w:rsidRPr="00016061">
        <w:rPr>
          <w:rFonts w:asciiTheme="majorHAnsi" w:hAnsiTheme="majorHAnsi"/>
          <w:sz w:val="20"/>
          <w:szCs w:val="20"/>
          <w:lang w:val="es-UY"/>
        </w:rPr>
        <w:t xml:space="preserve"> </w:t>
      </w:r>
      <w:r w:rsidR="00496D6C" w:rsidRPr="00016061">
        <w:rPr>
          <w:rFonts w:asciiTheme="majorHAnsi" w:hAnsiTheme="majorHAnsi"/>
          <w:sz w:val="20"/>
          <w:szCs w:val="20"/>
          <w:lang w:val="es-UY"/>
        </w:rPr>
        <w:t xml:space="preserve">11, </w:t>
      </w:r>
      <w:r w:rsidR="00436214" w:rsidRPr="00016061">
        <w:rPr>
          <w:rFonts w:asciiTheme="majorHAnsi" w:hAnsiTheme="majorHAnsi"/>
          <w:sz w:val="20"/>
          <w:szCs w:val="20"/>
          <w:lang w:val="es-UY"/>
        </w:rPr>
        <w:t>21</w:t>
      </w:r>
      <w:r w:rsidRPr="00016061">
        <w:rPr>
          <w:rFonts w:asciiTheme="majorHAnsi" w:hAnsiTheme="majorHAnsi"/>
          <w:sz w:val="20"/>
          <w:szCs w:val="20"/>
          <w:lang w:val="es-UY"/>
        </w:rPr>
        <w:t xml:space="preserve"> y 25 de la Convención Americana en conexión con las obligaciones establecidas en </w:t>
      </w:r>
      <w:r w:rsidR="005A6D6A" w:rsidRPr="00016061">
        <w:rPr>
          <w:rFonts w:asciiTheme="majorHAnsi" w:hAnsiTheme="majorHAnsi"/>
          <w:sz w:val="20"/>
          <w:szCs w:val="20"/>
          <w:lang w:val="es-UY"/>
        </w:rPr>
        <w:t>el artículo</w:t>
      </w:r>
      <w:r w:rsidRPr="00016061">
        <w:rPr>
          <w:rFonts w:asciiTheme="majorHAnsi" w:hAnsiTheme="majorHAnsi"/>
          <w:sz w:val="20"/>
          <w:szCs w:val="20"/>
          <w:lang w:val="es-UY"/>
        </w:rPr>
        <w:t xml:space="preserve"> 1.1 del mismo instrumento</w:t>
      </w:r>
      <w:r w:rsidR="00932595" w:rsidRPr="00016061">
        <w:rPr>
          <w:rFonts w:asciiTheme="majorHAnsi" w:hAnsiTheme="majorHAnsi"/>
          <w:sz w:val="20"/>
          <w:szCs w:val="20"/>
          <w:lang w:val="es-UY"/>
        </w:rPr>
        <w:t>;</w:t>
      </w:r>
      <w:r w:rsidRPr="00016061">
        <w:rPr>
          <w:rFonts w:asciiTheme="majorHAnsi" w:hAnsiTheme="majorHAnsi"/>
          <w:sz w:val="20"/>
          <w:szCs w:val="20"/>
          <w:lang w:val="es-UY"/>
        </w:rPr>
        <w:t xml:space="preserve"> </w:t>
      </w:r>
    </w:p>
    <w:p w:rsidR="00932595" w:rsidRPr="00016061" w:rsidRDefault="00932595" w:rsidP="00721517">
      <w:pPr>
        <w:ind w:firstLine="720"/>
        <w:jc w:val="both"/>
        <w:rPr>
          <w:rFonts w:asciiTheme="majorHAnsi" w:hAnsiTheme="majorHAnsi"/>
          <w:sz w:val="20"/>
          <w:szCs w:val="20"/>
          <w:lang w:val="es-UY"/>
        </w:rPr>
      </w:pPr>
    </w:p>
    <w:p w:rsidR="00480A83" w:rsidRPr="00016061" w:rsidRDefault="00496D6C" w:rsidP="00721517">
      <w:pPr>
        <w:ind w:firstLine="720"/>
        <w:jc w:val="both"/>
        <w:rPr>
          <w:rFonts w:asciiTheme="majorHAnsi" w:hAnsiTheme="majorHAnsi"/>
          <w:sz w:val="20"/>
          <w:szCs w:val="20"/>
          <w:lang w:val="es-UY"/>
        </w:rPr>
      </w:pPr>
      <w:r w:rsidRPr="00016061">
        <w:rPr>
          <w:rFonts w:asciiTheme="majorHAnsi" w:hAnsiTheme="majorHAnsi"/>
          <w:sz w:val="20"/>
          <w:szCs w:val="20"/>
          <w:lang w:val="es-UY"/>
        </w:rPr>
        <w:t>2</w:t>
      </w:r>
      <w:r w:rsidR="00932595" w:rsidRPr="00016061">
        <w:rPr>
          <w:rFonts w:asciiTheme="majorHAnsi" w:hAnsiTheme="majorHAnsi"/>
          <w:sz w:val="20"/>
          <w:szCs w:val="20"/>
          <w:lang w:val="es-UY"/>
        </w:rPr>
        <w:t>.</w:t>
      </w:r>
      <w:r w:rsidR="00932595" w:rsidRPr="00016061">
        <w:rPr>
          <w:rFonts w:asciiTheme="majorHAnsi" w:hAnsiTheme="majorHAnsi"/>
          <w:sz w:val="20"/>
          <w:szCs w:val="20"/>
          <w:lang w:val="es-UY"/>
        </w:rPr>
        <w:tab/>
        <w:t>N</w:t>
      </w:r>
      <w:r w:rsidR="00480A83" w:rsidRPr="00016061">
        <w:rPr>
          <w:rFonts w:asciiTheme="majorHAnsi" w:hAnsiTheme="majorHAnsi"/>
          <w:sz w:val="20"/>
          <w:szCs w:val="20"/>
          <w:lang w:val="es-UY"/>
        </w:rPr>
        <w:t>otificar a las partes la presente decisión;</w:t>
      </w:r>
    </w:p>
    <w:p w:rsidR="00480A83" w:rsidRPr="00016061" w:rsidRDefault="00480A83" w:rsidP="00721517">
      <w:pPr>
        <w:ind w:firstLine="720"/>
        <w:jc w:val="both"/>
        <w:rPr>
          <w:rFonts w:asciiTheme="majorHAnsi" w:hAnsiTheme="majorHAnsi"/>
          <w:sz w:val="20"/>
          <w:szCs w:val="20"/>
          <w:lang w:val="es-UY"/>
        </w:rPr>
      </w:pPr>
    </w:p>
    <w:p w:rsidR="00480A83" w:rsidRPr="00016061" w:rsidRDefault="00496D6C" w:rsidP="00932595">
      <w:pPr>
        <w:ind w:firstLine="720"/>
        <w:jc w:val="both"/>
        <w:rPr>
          <w:rFonts w:asciiTheme="majorHAnsi" w:hAnsiTheme="majorHAnsi"/>
          <w:sz w:val="20"/>
          <w:szCs w:val="20"/>
          <w:lang w:val="es-UY"/>
        </w:rPr>
      </w:pPr>
      <w:r w:rsidRPr="00016061">
        <w:rPr>
          <w:rFonts w:asciiTheme="majorHAnsi" w:hAnsiTheme="majorHAnsi"/>
          <w:sz w:val="20"/>
          <w:szCs w:val="20"/>
          <w:lang w:val="es-UY"/>
        </w:rPr>
        <w:t>3</w:t>
      </w:r>
      <w:r w:rsidR="00480A83" w:rsidRPr="00016061">
        <w:rPr>
          <w:rFonts w:asciiTheme="majorHAnsi" w:hAnsiTheme="majorHAnsi"/>
          <w:sz w:val="20"/>
          <w:szCs w:val="20"/>
          <w:lang w:val="es-UY"/>
        </w:rPr>
        <w:t>.</w:t>
      </w:r>
      <w:r w:rsidR="00480A83" w:rsidRPr="00016061">
        <w:rPr>
          <w:rFonts w:asciiTheme="majorHAnsi" w:hAnsiTheme="majorHAnsi"/>
          <w:sz w:val="20"/>
          <w:szCs w:val="20"/>
          <w:lang w:val="es-UY"/>
        </w:rPr>
        <w:tab/>
        <w:t>Continuar con el análisis del fondo de la cuestión; y</w:t>
      </w:r>
    </w:p>
    <w:p w:rsidR="00480A83" w:rsidRPr="00016061" w:rsidRDefault="00480A83" w:rsidP="00721517">
      <w:pPr>
        <w:ind w:firstLine="720"/>
        <w:jc w:val="both"/>
        <w:rPr>
          <w:rFonts w:asciiTheme="majorHAnsi" w:hAnsiTheme="majorHAnsi"/>
          <w:sz w:val="20"/>
          <w:szCs w:val="20"/>
          <w:lang w:val="es-UY"/>
        </w:rPr>
      </w:pPr>
    </w:p>
    <w:p w:rsidR="00B555E1" w:rsidRPr="006B4163" w:rsidRDefault="00480A83" w:rsidP="006B4163">
      <w:pPr>
        <w:pStyle w:val="Heading1"/>
        <w:ind w:left="0" w:firstLine="720"/>
        <w:rPr>
          <w:b w:val="0"/>
        </w:rPr>
      </w:pPr>
      <w:r w:rsidRPr="006B4163">
        <w:rPr>
          <w:b w:val="0"/>
        </w:rPr>
        <w:t>Publicar esta decisión e incluirla en su Informe Anual a la Asamblea General de la Organización de los Estados Americanos.</w:t>
      </w:r>
    </w:p>
    <w:p w:rsidR="006B4163" w:rsidRDefault="006B4163" w:rsidP="006B4163">
      <w:pPr>
        <w:ind w:firstLine="720"/>
        <w:jc w:val="both"/>
        <w:rPr>
          <w:rFonts w:asciiTheme="majorHAnsi" w:hAnsiTheme="majorHAnsi" w:cs="Arial"/>
          <w:noProof/>
          <w:spacing w:val="-2"/>
          <w:sz w:val="20"/>
          <w:szCs w:val="20"/>
          <w:lang w:val="es-CL"/>
        </w:rPr>
      </w:pPr>
    </w:p>
    <w:p w:rsidR="006B4163" w:rsidRPr="009B6413" w:rsidRDefault="006B4163" w:rsidP="006B4163">
      <w:pPr>
        <w:ind w:firstLine="720"/>
        <w:jc w:val="both"/>
        <w:rPr>
          <w:rFonts w:ascii="Cambria" w:hAnsi="Cambria"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a los </w:t>
      </w:r>
      <w:r>
        <w:rPr>
          <w:rFonts w:asciiTheme="majorHAnsi" w:hAnsiTheme="majorHAnsi" w:cs="Arial"/>
          <w:noProof/>
          <w:spacing w:val="-2"/>
          <w:sz w:val="20"/>
          <w:szCs w:val="20"/>
          <w:lang w:val="es-CL"/>
        </w:rPr>
        <w:t>29</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julio</w:t>
      </w:r>
      <w:r w:rsidRPr="00A37B82">
        <w:rPr>
          <w:rFonts w:asciiTheme="majorHAnsi" w:hAnsiTheme="majorHAnsi" w:cs="Arial"/>
          <w:noProof/>
          <w:spacing w:val="-2"/>
          <w:sz w:val="20"/>
          <w:szCs w:val="20"/>
          <w:lang w:val="es-CL"/>
        </w:rPr>
        <w:t xml:space="preserve"> de 201</w:t>
      </w:r>
      <w:r>
        <w:rPr>
          <w:rFonts w:asciiTheme="majorHAnsi" w:hAnsiTheme="majorHAnsi" w:cs="Arial"/>
          <w:noProof/>
          <w:spacing w:val="-2"/>
          <w:sz w:val="20"/>
          <w:szCs w:val="20"/>
          <w:lang w:val="es-CL"/>
        </w:rPr>
        <w:t>6</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9B6413">
        <w:rPr>
          <w:rFonts w:ascii="Cambria" w:hAnsi="Cambria" w:cs="Arial"/>
          <w:noProof/>
          <w:spacing w:val="-2"/>
          <w:sz w:val="20"/>
          <w:szCs w:val="20"/>
          <w:lang w:val="es-CL"/>
        </w:rPr>
        <w:t>(Firmado): James L. Cavallaro, Presidente; Francisco José Eguiguren, Primer Vicepresidente; Margarette May Macaulay, Segunda Vicepresidenta; Paulo Vannuchi, Esmeralda E. Arosemena Bernal de Troitiño, y Enrique Gil Botero, Miembros de la Comisión.</w:t>
      </w:r>
      <w:r w:rsidRPr="009B6413">
        <w:rPr>
          <w:rFonts w:ascii="Cambria" w:hAnsi="Cambria" w:cs="Arial"/>
          <w:noProof/>
          <w:sz w:val="20"/>
          <w:szCs w:val="20"/>
          <w:lang w:val="es-CL"/>
        </w:rPr>
        <w:t xml:space="preserve"> </w:t>
      </w:r>
    </w:p>
    <w:p w:rsidR="006B4163" w:rsidRPr="00A37B82" w:rsidRDefault="006B4163" w:rsidP="006B4163">
      <w:pPr>
        <w:ind w:firstLine="720"/>
        <w:jc w:val="both"/>
        <w:rPr>
          <w:rFonts w:asciiTheme="majorHAnsi" w:hAnsiTheme="majorHAnsi" w:cs="Arial"/>
          <w:noProof/>
          <w:spacing w:val="-2"/>
          <w:sz w:val="20"/>
          <w:szCs w:val="20"/>
          <w:lang w:val="es-CL"/>
        </w:rPr>
      </w:pPr>
    </w:p>
    <w:p w:rsidR="006B4163" w:rsidRPr="00452C23" w:rsidRDefault="006B4163" w:rsidP="00721517">
      <w:pPr>
        <w:ind w:firstLine="720"/>
        <w:jc w:val="both"/>
        <w:rPr>
          <w:rFonts w:asciiTheme="majorHAnsi" w:hAnsiTheme="majorHAnsi"/>
          <w:sz w:val="20"/>
          <w:szCs w:val="20"/>
          <w:lang w:val="es-UY"/>
        </w:rPr>
      </w:pPr>
      <w:bookmarkStart w:id="1" w:name="_GoBack"/>
      <w:bookmarkEnd w:id="1"/>
    </w:p>
    <w:sectPr w:rsidR="006B4163" w:rsidRPr="00452C2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FF4" w:rsidRDefault="005C6FF4">
      <w:r>
        <w:separator/>
      </w:r>
    </w:p>
  </w:endnote>
  <w:endnote w:type="continuationSeparator" w:id="0">
    <w:p w:rsidR="005C6FF4" w:rsidRDefault="005C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HiddenHorzOCR">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A9F" w:rsidRDefault="00B45A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59277C" w:rsidRPr="00934A2C" w:rsidRDefault="0059277C">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45A9F">
          <w:rPr>
            <w:noProof/>
            <w:sz w:val="16"/>
            <w:szCs w:val="22"/>
          </w:rPr>
          <w:t>8</w:t>
        </w:r>
        <w:r w:rsidRPr="00934A2C">
          <w:rPr>
            <w:noProof/>
            <w:sz w:val="16"/>
            <w:szCs w:val="22"/>
          </w:rPr>
          <w:fldChar w:fldCharType="end"/>
        </w:r>
      </w:p>
    </w:sdtContent>
  </w:sdt>
  <w:p w:rsidR="0059277C" w:rsidRDefault="005927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7C" w:rsidRPr="00934A2C" w:rsidRDefault="0059277C">
    <w:pPr>
      <w:pStyle w:val="Footer"/>
      <w:jc w:val="center"/>
      <w:rPr>
        <w:sz w:val="16"/>
        <w:szCs w:val="22"/>
      </w:rPr>
    </w:pPr>
  </w:p>
  <w:p w:rsidR="0059277C" w:rsidRDefault="00592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FF4" w:rsidRPr="000F35ED" w:rsidRDefault="005C6FF4">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5C6FF4" w:rsidRPr="000F35ED" w:rsidRDefault="005C6FF4" w:rsidP="000F35ED">
      <w:pPr>
        <w:rPr>
          <w:rFonts w:asciiTheme="majorHAnsi" w:hAnsiTheme="majorHAnsi"/>
          <w:sz w:val="16"/>
          <w:szCs w:val="16"/>
        </w:rPr>
      </w:pPr>
      <w:r w:rsidRPr="000F35ED">
        <w:rPr>
          <w:rFonts w:asciiTheme="majorHAnsi" w:hAnsiTheme="majorHAnsi"/>
          <w:sz w:val="16"/>
          <w:szCs w:val="16"/>
        </w:rPr>
        <w:separator/>
      </w:r>
    </w:p>
    <w:p w:rsidR="005C6FF4" w:rsidRPr="000F35ED" w:rsidRDefault="005C6FF4"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5C6FF4" w:rsidRPr="000F35ED" w:rsidRDefault="005C6FF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C575C6" w:rsidRPr="00C575C6" w:rsidRDefault="00C575C6" w:rsidP="00C575C6">
      <w:pPr>
        <w:pStyle w:val="FootnoteText"/>
        <w:spacing w:before="120"/>
        <w:ind w:firstLine="720"/>
        <w:jc w:val="both"/>
        <w:rPr>
          <w:lang w:val="es-ES"/>
        </w:rPr>
      </w:pPr>
      <w:r>
        <w:rPr>
          <w:rStyle w:val="FootnoteReference"/>
        </w:rPr>
        <w:footnoteRef/>
      </w:r>
      <w:r w:rsidRPr="00C575C6">
        <w:rPr>
          <w:lang w:val="es-ES"/>
        </w:rPr>
        <w:t xml:space="preserve"> </w:t>
      </w:r>
      <w:r w:rsidRPr="00D474D8">
        <w:rPr>
          <w:rFonts w:ascii="Cambria" w:hAnsi="Cambria"/>
          <w:color w:val="auto"/>
          <w:sz w:val="16"/>
          <w:szCs w:val="16"/>
          <w:lang w:val="es-MX"/>
        </w:rPr>
        <w:t xml:space="preserve">Conforme </w:t>
      </w:r>
      <w:r w:rsidRPr="00D474D8">
        <w:rPr>
          <w:rFonts w:ascii="Cambria" w:hAnsi="Cambria" w:cs="Arial"/>
          <w:color w:val="auto"/>
          <w:sz w:val="16"/>
          <w:szCs w:val="16"/>
          <w:lang w:val="es-ES"/>
        </w:rPr>
        <w:t xml:space="preserve">a lo dispuesto en el artículo 17.2.a del Reglamento de la Comisión, </w:t>
      </w:r>
      <w:r>
        <w:rPr>
          <w:rFonts w:ascii="Cambria" w:hAnsi="Cambria" w:cs="Arial"/>
          <w:color w:val="auto"/>
          <w:sz w:val="16"/>
          <w:szCs w:val="16"/>
          <w:lang w:val="es-ES"/>
        </w:rPr>
        <w:t>el</w:t>
      </w:r>
      <w:r w:rsidRPr="00D474D8">
        <w:rPr>
          <w:rFonts w:ascii="Cambria" w:hAnsi="Cambria" w:cs="Arial"/>
          <w:color w:val="auto"/>
          <w:sz w:val="16"/>
          <w:szCs w:val="16"/>
          <w:lang w:val="es-ES"/>
        </w:rPr>
        <w:t xml:space="preserve"> Comisionado </w:t>
      </w:r>
      <w:r w:rsidRPr="00D474D8">
        <w:rPr>
          <w:rFonts w:ascii="Cambria" w:hAnsi="Cambria" w:cs="Arial"/>
          <w:bCs/>
          <w:color w:val="auto"/>
          <w:sz w:val="16"/>
          <w:szCs w:val="16"/>
          <w:lang w:val="es-CL"/>
        </w:rPr>
        <w:t>José de Jesús Orozco Henríquez</w:t>
      </w:r>
      <w:r w:rsidRPr="00D474D8">
        <w:rPr>
          <w:rFonts w:ascii="Cambria" w:hAnsi="Cambria" w:cs="Arial"/>
          <w:color w:val="auto"/>
          <w:sz w:val="16"/>
          <w:szCs w:val="16"/>
          <w:lang w:val="es-ES"/>
        </w:rPr>
        <w:t>, de nacionalidad mexicana, no participó en el debate ni en la decisión del presente asunto.</w:t>
      </w:r>
    </w:p>
  </w:footnote>
  <w:footnote w:id="3">
    <w:p w:rsidR="002A4745" w:rsidRPr="008651FF" w:rsidRDefault="002A4745" w:rsidP="00C575C6">
      <w:pPr>
        <w:pStyle w:val="FootnoteText"/>
        <w:spacing w:before="120"/>
        <w:ind w:firstLine="720"/>
        <w:jc w:val="both"/>
        <w:rPr>
          <w:rFonts w:asciiTheme="majorHAnsi" w:hAnsiTheme="majorHAnsi"/>
          <w:sz w:val="16"/>
          <w:szCs w:val="16"/>
          <w:lang w:val="es-ES"/>
        </w:rPr>
      </w:pPr>
      <w:r w:rsidRPr="008651FF">
        <w:rPr>
          <w:rStyle w:val="FootnoteReference"/>
          <w:rFonts w:asciiTheme="majorHAnsi" w:hAnsiTheme="majorHAnsi"/>
          <w:sz w:val="16"/>
          <w:szCs w:val="16"/>
        </w:rPr>
        <w:footnoteRef/>
      </w:r>
      <w:r w:rsidRPr="008651FF">
        <w:rPr>
          <w:rFonts w:asciiTheme="majorHAnsi" w:hAnsiTheme="majorHAnsi"/>
          <w:sz w:val="16"/>
          <w:szCs w:val="16"/>
          <w:lang w:val="es-ES"/>
        </w:rPr>
        <w:t xml:space="preserve"> CIDH, Informe No. 15/15, Petición 374-04. Admisibilidad. Trabajadores del Sindicato de Trabajadores de la Federación Nacional de Cafeteros de Colombia. 24 de marzo de 2015, párr. 39.</w:t>
      </w:r>
    </w:p>
  </w:footnote>
  <w:footnote w:id="4">
    <w:p w:rsidR="00CE786D" w:rsidRPr="00D91341" w:rsidRDefault="00CE786D" w:rsidP="00C575C6">
      <w:pPr>
        <w:pStyle w:val="FootnoteText"/>
        <w:spacing w:before="120"/>
        <w:ind w:firstLine="720"/>
        <w:jc w:val="both"/>
        <w:rPr>
          <w:rFonts w:asciiTheme="majorHAnsi" w:hAnsiTheme="majorHAnsi"/>
          <w:sz w:val="16"/>
          <w:szCs w:val="16"/>
          <w:lang w:val="es-ES"/>
        </w:rPr>
      </w:pPr>
      <w:r w:rsidRPr="00D91341">
        <w:rPr>
          <w:rStyle w:val="FootnoteReference"/>
          <w:rFonts w:asciiTheme="majorHAnsi" w:hAnsiTheme="majorHAnsi"/>
          <w:sz w:val="16"/>
          <w:szCs w:val="16"/>
        </w:rPr>
        <w:footnoteRef/>
      </w:r>
      <w:r w:rsidRPr="00D91341">
        <w:rPr>
          <w:rFonts w:asciiTheme="majorHAnsi" w:hAnsiTheme="majorHAnsi"/>
          <w:sz w:val="16"/>
          <w:szCs w:val="16"/>
          <w:lang w:val="es-ES"/>
        </w:rPr>
        <w:t xml:space="preserve"> CIDH, Informe No. 46/15, Petición 315-01. Cristina Britez Arce. Argentina. 28 de julio de 2015, párr. 47.</w:t>
      </w:r>
    </w:p>
  </w:footnote>
  <w:footnote w:id="5">
    <w:p w:rsidR="006A357A" w:rsidRDefault="006A357A" w:rsidP="00C575C6">
      <w:pPr>
        <w:pStyle w:val="FootnoteText"/>
        <w:spacing w:before="120"/>
        <w:ind w:firstLine="720"/>
        <w:jc w:val="both"/>
        <w:rPr>
          <w:rFonts w:ascii="Cambria" w:hAnsi="Cambria" w:cs="Times New Roman"/>
          <w:sz w:val="16"/>
          <w:szCs w:val="16"/>
          <w:lang w:val="es-ES_tradnl"/>
        </w:rPr>
      </w:pPr>
      <w:r>
        <w:rPr>
          <w:rStyle w:val="FootnoteReference"/>
          <w:rFonts w:ascii="Cambria" w:hAnsi="Cambria" w:cs="Times New Roman"/>
          <w:sz w:val="16"/>
          <w:szCs w:val="16"/>
          <w:lang w:val="es-ES_tradnl"/>
        </w:rPr>
        <w:footnoteRef/>
      </w:r>
      <w:r>
        <w:rPr>
          <w:rFonts w:ascii="Cambria" w:hAnsi="Cambria" w:cs="Times New Roman"/>
          <w:sz w:val="16"/>
          <w:szCs w:val="16"/>
          <w:lang w:val="es-ES_tradnl"/>
        </w:rPr>
        <w:t xml:space="preserve"> Véase</w:t>
      </w:r>
      <w:r w:rsidR="00AB580E">
        <w:rPr>
          <w:rFonts w:ascii="Cambria" w:hAnsi="Cambria" w:cs="Times New Roman"/>
          <w:sz w:val="16"/>
          <w:szCs w:val="16"/>
          <w:lang w:val="es-ES_tradnl"/>
        </w:rPr>
        <w:t xml:space="preserve"> </w:t>
      </w:r>
      <w:r w:rsidR="00AB580E" w:rsidRPr="00AB580E">
        <w:rPr>
          <w:rFonts w:ascii="Cambria" w:hAnsi="Cambria" w:cs="Times New Roman"/>
          <w:sz w:val="16"/>
          <w:szCs w:val="16"/>
          <w:lang w:val="es-ES"/>
        </w:rPr>
        <w:t xml:space="preserve">CIDH, Informe No. 18/15, Peticiones 929-04, 1082-07 y 1187-07. Admisibilidad. </w:t>
      </w:r>
      <w:r w:rsidR="00AB580E" w:rsidRPr="00AB580E">
        <w:rPr>
          <w:rFonts w:ascii="Cambria" w:hAnsi="Cambria" w:cs="Times New Roman"/>
          <w:i/>
          <w:sz w:val="16"/>
          <w:szCs w:val="16"/>
          <w:lang w:val="es-ES"/>
        </w:rPr>
        <w:t>José Antonio Arrona Salazar y Familia, Luz Claudia Irozaqui Félix y Joel Gutiérrez Ezquivel</w:t>
      </w:r>
      <w:r w:rsidR="00AB580E">
        <w:rPr>
          <w:rFonts w:ascii="Cambria" w:hAnsi="Cambria" w:cs="Times New Roman"/>
          <w:sz w:val="16"/>
          <w:szCs w:val="16"/>
          <w:lang w:val="es-ES"/>
        </w:rPr>
        <w:t>, México,</w:t>
      </w:r>
      <w:r w:rsidR="00AB580E" w:rsidRPr="00AB580E">
        <w:rPr>
          <w:rFonts w:ascii="Cambria" w:hAnsi="Cambria" w:cs="Times New Roman"/>
          <w:sz w:val="16"/>
          <w:szCs w:val="16"/>
          <w:lang w:val="es-ES"/>
        </w:rPr>
        <w:t xml:space="preserve"> 24 de marzo de 2015</w:t>
      </w:r>
      <w:r w:rsidR="00AB580E">
        <w:rPr>
          <w:rFonts w:ascii="Cambria" w:hAnsi="Cambria" w:cs="Times New Roman"/>
          <w:sz w:val="16"/>
          <w:szCs w:val="16"/>
          <w:lang w:val="es-ES"/>
        </w:rPr>
        <w:t>, parr. 48;</w:t>
      </w:r>
      <w:r>
        <w:rPr>
          <w:rFonts w:ascii="Cambria" w:hAnsi="Cambria" w:cs="Times New Roman"/>
          <w:sz w:val="16"/>
          <w:szCs w:val="16"/>
          <w:lang w:val="es-ES_tradnl"/>
        </w:rPr>
        <w:t xml:space="preserve"> Informe No. 42/08,  Petición 1271-04, Admisibilidad, </w:t>
      </w:r>
      <w:r>
        <w:rPr>
          <w:rFonts w:ascii="Cambria" w:hAnsi="Cambria" w:cs="Times New Roman"/>
          <w:i/>
          <w:sz w:val="16"/>
          <w:szCs w:val="16"/>
          <w:lang w:val="es-ES_tradnl"/>
        </w:rPr>
        <w:t>Karen Atala e hijas</w:t>
      </w:r>
      <w:r>
        <w:rPr>
          <w:rFonts w:ascii="Cambria" w:hAnsi="Cambria" w:cs="Times New Roman"/>
          <w:sz w:val="16"/>
          <w:szCs w:val="16"/>
          <w:lang w:val="es-ES_tradnl"/>
        </w:rPr>
        <w:t>, Chile, 23 de julio de 2008, párr. 59.</w:t>
      </w:r>
    </w:p>
  </w:footnote>
  <w:footnote w:id="6">
    <w:p w:rsidR="006A357A" w:rsidRDefault="006A357A" w:rsidP="00C575C6">
      <w:pPr>
        <w:pStyle w:val="FootnoteText"/>
        <w:spacing w:before="120"/>
        <w:ind w:firstLine="720"/>
        <w:jc w:val="both"/>
        <w:rPr>
          <w:rFonts w:ascii="Cambria" w:hAnsi="Cambria" w:cs="Times New Roman"/>
          <w:sz w:val="16"/>
          <w:szCs w:val="16"/>
          <w:lang w:val="es-ES_tradnl"/>
        </w:rPr>
      </w:pPr>
      <w:r>
        <w:rPr>
          <w:rStyle w:val="FootnoteReference"/>
          <w:rFonts w:ascii="Cambria" w:hAnsi="Cambria" w:cs="Times New Roman"/>
          <w:sz w:val="16"/>
          <w:szCs w:val="16"/>
          <w:lang w:val="es-ES_tradnl"/>
        </w:rPr>
        <w:footnoteRef/>
      </w:r>
      <w:r>
        <w:rPr>
          <w:rFonts w:ascii="Cambria" w:hAnsi="Cambria" w:cs="Times New Roman"/>
          <w:sz w:val="16"/>
          <w:szCs w:val="16"/>
          <w:lang w:val="es-ES_tradnl"/>
        </w:rPr>
        <w:t xml:space="preserve"> </w:t>
      </w:r>
      <w:r w:rsidR="00AB580E" w:rsidRPr="00AB580E">
        <w:rPr>
          <w:rFonts w:ascii="Cambria" w:hAnsi="Cambria" w:cs="Times New Roman"/>
          <w:sz w:val="16"/>
          <w:szCs w:val="16"/>
          <w:lang w:val="es-ES_tradnl"/>
        </w:rPr>
        <w:t xml:space="preserve">Véase </w:t>
      </w:r>
      <w:r w:rsidR="00AB580E" w:rsidRPr="00AB580E">
        <w:rPr>
          <w:rFonts w:ascii="Cambria" w:hAnsi="Cambria" w:cs="Times New Roman"/>
          <w:sz w:val="16"/>
          <w:szCs w:val="16"/>
          <w:lang w:val="es-ES"/>
        </w:rPr>
        <w:t xml:space="preserve">CIDH, Informe No. 18/15, Peticiones 929-04, 1082-07 y 1187-07. Admisibilidad. </w:t>
      </w:r>
      <w:r w:rsidR="00AB580E" w:rsidRPr="00AB580E">
        <w:rPr>
          <w:rFonts w:ascii="Cambria" w:hAnsi="Cambria" w:cs="Times New Roman"/>
          <w:i/>
          <w:sz w:val="16"/>
          <w:szCs w:val="16"/>
          <w:lang w:val="es-ES"/>
        </w:rPr>
        <w:t>José Antonio Arrona Salazar y Familia, Luz Claudia Irozaqui Félix y Joel Gutiérrez Ezquivel</w:t>
      </w:r>
      <w:r w:rsidR="00AB580E" w:rsidRPr="00AB580E">
        <w:rPr>
          <w:rFonts w:ascii="Cambria" w:hAnsi="Cambria" w:cs="Times New Roman"/>
          <w:sz w:val="16"/>
          <w:szCs w:val="16"/>
          <w:lang w:val="es-ES"/>
        </w:rPr>
        <w:t>, México, 24 de marzo de 2015, parr. 4</w:t>
      </w:r>
      <w:r w:rsidR="00AB580E">
        <w:rPr>
          <w:rFonts w:ascii="Cambria" w:hAnsi="Cambria" w:cs="Times New Roman"/>
          <w:sz w:val="16"/>
          <w:szCs w:val="16"/>
          <w:lang w:val="es-ES"/>
        </w:rPr>
        <w:t>9</w:t>
      </w:r>
      <w:r w:rsidR="00AB580E" w:rsidRPr="00AB580E">
        <w:rPr>
          <w:rFonts w:ascii="Cambria" w:hAnsi="Cambria" w:cs="Times New Roman"/>
          <w:sz w:val="16"/>
          <w:szCs w:val="16"/>
          <w:lang w:val="es-ES"/>
        </w:rPr>
        <w:t>;</w:t>
      </w:r>
      <w:r w:rsidR="00AB580E" w:rsidRPr="00AB580E">
        <w:rPr>
          <w:rFonts w:ascii="Cambria" w:hAnsi="Cambria" w:cs="Times New Roman"/>
          <w:sz w:val="16"/>
          <w:szCs w:val="16"/>
          <w:lang w:val="es-ES_tradnl"/>
        </w:rPr>
        <w:t xml:space="preserve"> Informe No. 42/08,  Petición 1271-04, Admisibilidad, </w:t>
      </w:r>
      <w:r w:rsidR="00AB580E" w:rsidRPr="00AB580E">
        <w:rPr>
          <w:rFonts w:ascii="Cambria" w:hAnsi="Cambria" w:cs="Times New Roman"/>
          <w:i/>
          <w:sz w:val="16"/>
          <w:szCs w:val="16"/>
          <w:lang w:val="es-ES_tradnl"/>
        </w:rPr>
        <w:t>Karen Atala e hijas</w:t>
      </w:r>
      <w:r w:rsidR="00AB580E" w:rsidRPr="00AB580E">
        <w:rPr>
          <w:rFonts w:ascii="Cambria" w:hAnsi="Cambria" w:cs="Times New Roman"/>
          <w:sz w:val="16"/>
          <w:szCs w:val="16"/>
          <w:lang w:val="es-ES_tradnl"/>
        </w:rPr>
        <w:t xml:space="preserve">, Chile, 23 de julio de 2008, párr. </w:t>
      </w:r>
      <w:r w:rsidR="00AB580E">
        <w:rPr>
          <w:rFonts w:ascii="Cambria" w:hAnsi="Cambria" w:cs="Times New Roman"/>
          <w:sz w:val="16"/>
          <w:szCs w:val="16"/>
          <w:lang w:val="es-ES_tradnl"/>
        </w:rPr>
        <w:t>60</w:t>
      </w:r>
      <w:r>
        <w:rPr>
          <w:rFonts w:ascii="Cambria" w:hAnsi="Cambria" w:cs="Times New Roman"/>
          <w:sz w:val="16"/>
          <w:szCs w:val="16"/>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7C" w:rsidRDefault="0059277C" w:rsidP="0059277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59277C" w:rsidRDefault="005927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7C" w:rsidRDefault="0059277C" w:rsidP="00A50FCF">
    <w:pPr>
      <w:pStyle w:val="Header"/>
      <w:tabs>
        <w:tab w:val="clear" w:pos="4320"/>
        <w:tab w:val="clear" w:pos="8640"/>
      </w:tabs>
      <w:jc w:val="center"/>
      <w:rPr>
        <w:sz w:val="22"/>
        <w:szCs w:val="22"/>
      </w:rPr>
    </w:pPr>
    <w:r>
      <w:rPr>
        <w:noProof/>
        <w:sz w:val="22"/>
        <w:szCs w:val="22"/>
      </w:rPr>
      <w:drawing>
        <wp:inline distT="0" distB="0" distL="0" distR="0" wp14:anchorId="58AC3FE8" wp14:editId="631C98F2">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59277C" w:rsidRPr="00EC7D62" w:rsidRDefault="005C6FF4"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A9F" w:rsidRDefault="00B45A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C16363D"/>
    <w:multiLevelType w:val="hybridMultilevel"/>
    <w:tmpl w:val="53FC3F9C"/>
    <w:lvl w:ilvl="0" w:tplc="D06A0252">
      <w:start w:val="1"/>
      <w:numFmt w:val="decimal"/>
      <w:pStyle w:val="Heading3"/>
      <w:lvlText w:val="%1."/>
      <w:lvlJc w:val="left"/>
      <w:pPr>
        <w:ind w:left="36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C402F6"/>
    <w:multiLevelType w:val="hybridMultilevel"/>
    <w:tmpl w:val="9FF86930"/>
    <w:lvl w:ilvl="0" w:tplc="C40A67D6">
      <w:start w:val="2"/>
      <w:numFmt w:val="upperLetter"/>
      <w:lvlText w:val="%1."/>
      <w:lvlJc w:val="left"/>
      <w:pPr>
        <w:tabs>
          <w:tab w:val="num" w:pos="1440"/>
        </w:tabs>
        <w:ind w:left="1440" w:hanging="720"/>
      </w:pPr>
      <w:rPr>
        <w:rFonts w:hint="default"/>
      </w:rPr>
    </w:lvl>
    <w:lvl w:ilvl="1" w:tplc="BF2C9D00">
      <w:start w:val="1"/>
      <w:numFmt w:val="decimal"/>
      <w:pStyle w:val="Heading1"/>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31430444"/>
    <w:multiLevelType w:val="hybridMultilevel"/>
    <w:tmpl w:val="8BD25CCC"/>
    <w:lvl w:ilvl="0" w:tplc="867A998E">
      <w:start w:val="1"/>
      <w:numFmt w:val="upperRoman"/>
      <w:pStyle w:val="Heading2"/>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93637"/>
    <w:multiLevelType w:val="hybridMultilevel"/>
    <w:tmpl w:val="DBACFE70"/>
    <w:lvl w:ilvl="0" w:tplc="D68093FE">
      <w:start w:val="1"/>
      <w:numFmt w:val="upperLetter"/>
      <w:pStyle w:val="NoSpac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1"/>
  </w:num>
  <w:num w:numId="4">
    <w:abstractNumId w:val="22"/>
  </w:num>
  <w:num w:numId="5">
    <w:abstractNumId w:val="46"/>
  </w:num>
  <w:num w:numId="6">
    <w:abstractNumId w:val="27"/>
  </w:num>
  <w:num w:numId="7">
    <w:abstractNumId w:val="6"/>
  </w:num>
  <w:num w:numId="8">
    <w:abstractNumId w:val="17"/>
  </w:num>
  <w:num w:numId="9">
    <w:abstractNumId w:val="42"/>
  </w:num>
  <w:num w:numId="10">
    <w:abstractNumId w:val="0"/>
  </w:num>
  <w:num w:numId="11">
    <w:abstractNumId w:val="37"/>
  </w:num>
  <w:num w:numId="12">
    <w:abstractNumId w:val="38"/>
  </w:num>
  <w:num w:numId="13">
    <w:abstractNumId w:val="43"/>
  </w:num>
  <w:num w:numId="14">
    <w:abstractNumId w:val="1"/>
  </w:num>
  <w:num w:numId="15">
    <w:abstractNumId w:val="2"/>
  </w:num>
  <w:num w:numId="16">
    <w:abstractNumId w:val="7"/>
  </w:num>
  <w:num w:numId="17">
    <w:abstractNumId w:val="8"/>
  </w:num>
  <w:num w:numId="18">
    <w:abstractNumId w:val="9"/>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5"/>
  </w:num>
  <w:num w:numId="42">
    <w:abstractNumId w:val="47"/>
  </w:num>
  <w:num w:numId="43">
    <w:abstractNumId w:val="48"/>
  </w:num>
  <w:num w:numId="44">
    <w:abstractNumId w:val="49"/>
  </w:num>
  <w:num w:numId="45">
    <w:abstractNumId w:val="50"/>
  </w:num>
  <w:num w:numId="46">
    <w:abstractNumId w:val="52"/>
  </w:num>
  <w:num w:numId="47">
    <w:abstractNumId w:val="53"/>
  </w:num>
  <w:num w:numId="48">
    <w:abstractNumId w:val="54"/>
  </w:num>
  <w:num w:numId="49">
    <w:abstractNumId w:val="55"/>
  </w:num>
  <w:num w:numId="50">
    <w:abstractNumId w:val="56"/>
  </w:num>
  <w:num w:numId="51">
    <w:abstractNumId w:val="21"/>
  </w:num>
  <w:num w:numId="52">
    <w:abstractNumId w:val="41"/>
  </w:num>
  <w:num w:numId="53">
    <w:abstractNumId w:val="44"/>
  </w:num>
  <w:num w:numId="54">
    <w:abstractNumId w:val="20"/>
  </w:num>
  <w:num w:numId="55">
    <w:abstractNumId w:val="5"/>
  </w:num>
  <w:num w:numId="56">
    <w:abstractNumId w:val="30"/>
  </w:num>
  <w:num w:numId="57">
    <w:abstractNumId w:val="30"/>
    <w:lvlOverride w:ilvl="0">
      <w:startOverride w:val="1"/>
    </w:lvlOverride>
  </w:num>
  <w:num w:numId="58">
    <w:abstractNumId w:val="10"/>
  </w:num>
  <w:num w:numId="59">
    <w:abstractNumId w:val="5"/>
  </w:num>
  <w:num w:numId="60">
    <w:abstractNumId w:val="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5C3D"/>
    <w:rsid w:val="00006E1F"/>
    <w:rsid w:val="000070D7"/>
    <w:rsid w:val="00012915"/>
    <w:rsid w:val="00013933"/>
    <w:rsid w:val="00016061"/>
    <w:rsid w:val="0001788C"/>
    <w:rsid w:val="00022CE8"/>
    <w:rsid w:val="00040C3A"/>
    <w:rsid w:val="000425A6"/>
    <w:rsid w:val="000575A8"/>
    <w:rsid w:val="000716C5"/>
    <w:rsid w:val="0007343B"/>
    <w:rsid w:val="00075436"/>
    <w:rsid w:val="00075E23"/>
    <w:rsid w:val="0007702A"/>
    <w:rsid w:val="00087BD8"/>
    <w:rsid w:val="00090D94"/>
    <w:rsid w:val="0009344A"/>
    <w:rsid w:val="00093A84"/>
    <w:rsid w:val="000940D7"/>
    <w:rsid w:val="00094FCC"/>
    <w:rsid w:val="00097F40"/>
    <w:rsid w:val="000A00F2"/>
    <w:rsid w:val="000A392E"/>
    <w:rsid w:val="000A4753"/>
    <w:rsid w:val="000A575F"/>
    <w:rsid w:val="000B0F38"/>
    <w:rsid w:val="000B1908"/>
    <w:rsid w:val="000B3C4D"/>
    <w:rsid w:val="000B787D"/>
    <w:rsid w:val="000C2B5E"/>
    <w:rsid w:val="000D10DB"/>
    <w:rsid w:val="000D48D0"/>
    <w:rsid w:val="000D6C65"/>
    <w:rsid w:val="000E2C3D"/>
    <w:rsid w:val="000E3C43"/>
    <w:rsid w:val="000E4407"/>
    <w:rsid w:val="000E5EB5"/>
    <w:rsid w:val="000F1CFA"/>
    <w:rsid w:val="000F212E"/>
    <w:rsid w:val="000F35ED"/>
    <w:rsid w:val="00101CD7"/>
    <w:rsid w:val="0010206C"/>
    <w:rsid w:val="0010217B"/>
    <w:rsid w:val="00106218"/>
    <w:rsid w:val="00107131"/>
    <w:rsid w:val="0010736F"/>
    <w:rsid w:val="00113F73"/>
    <w:rsid w:val="00114A94"/>
    <w:rsid w:val="00121CC2"/>
    <w:rsid w:val="00125194"/>
    <w:rsid w:val="00125A1F"/>
    <w:rsid w:val="00132F04"/>
    <w:rsid w:val="00133EE5"/>
    <w:rsid w:val="00134DB7"/>
    <w:rsid w:val="00136432"/>
    <w:rsid w:val="001408ED"/>
    <w:rsid w:val="001506C7"/>
    <w:rsid w:val="00153A34"/>
    <w:rsid w:val="00154DB7"/>
    <w:rsid w:val="001576A3"/>
    <w:rsid w:val="00167A34"/>
    <w:rsid w:val="00170505"/>
    <w:rsid w:val="00183D79"/>
    <w:rsid w:val="001851D5"/>
    <w:rsid w:val="001900CB"/>
    <w:rsid w:val="00193482"/>
    <w:rsid w:val="001A7870"/>
    <w:rsid w:val="001B2E0D"/>
    <w:rsid w:val="001B7BE1"/>
    <w:rsid w:val="001C1094"/>
    <w:rsid w:val="001C1B41"/>
    <w:rsid w:val="001C5D5F"/>
    <w:rsid w:val="001D65EF"/>
    <w:rsid w:val="001F4487"/>
    <w:rsid w:val="0020542D"/>
    <w:rsid w:val="00205FBB"/>
    <w:rsid w:val="00214B42"/>
    <w:rsid w:val="00217E4C"/>
    <w:rsid w:val="00220784"/>
    <w:rsid w:val="00221016"/>
    <w:rsid w:val="002243E8"/>
    <w:rsid w:val="002250A3"/>
    <w:rsid w:val="0022591D"/>
    <w:rsid w:val="002310B1"/>
    <w:rsid w:val="00231F22"/>
    <w:rsid w:val="002333E4"/>
    <w:rsid w:val="00235217"/>
    <w:rsid w:val="00242362"/>
    <w:rsid w:val="00244C7E"/>
    <w:rsid w:val="00246D1F"/>
    <w:rsid w:val="00247403"/>
    <w:rsid w:val="00247542"/>
    <w:rsid w:val="00247A52"/>
    <w:rsid w:val="00252157"/>
    <w:rsid w:val="002557CC"/>
    <w:rsid w:val="00256457"/>
    <w:rsid w:val="00260795"/>
    <w:rsid w:val="00261521"/>
    <w:rsid w:val="0026607C"/>
    <w:rsid w:val="00266B61"/>
    <w:rsid w:val="0026712A"/>
    <w:rsid w:val="002704DB"/>
    <w:rsid w:val="002740A1"/>
    <w:rsid w:val="00292B3A"/>
    <w:rsid w:val="002A0AAE"/>
    <w:rsid w:val="002A4745"/>
    <w:rsid w:val="002A5820"/>
    <w:rsid w:val="002B0F26"/>
    <w:rsid w:val="002B2A9B"/>
    <w:rsid w:val="002B7F7C"/>
    <w:rsid w:val="002C62EC"/>
    <w:rsid w:val="002C657A"/>
    <w:rsid w:val="002D2B26"/>
    <w:rsid w:val="002D38E7"/>
    <w:rsid w:val="002D6501"/>
    <w:rsid w:val="002D7EA2"/>
    <w:rsid w:val="002E09B8"/>
    <w:rsid w:val="002E187C"/>
    <w:rsid w:val="002E360A"/>
    <w:rsid w:val="002E4B1D"/>
    <w:rsid w:val="002E544F"/>
    <w:rsid w:val="002F0D7C"/>
    <w:rsid w:val="00302733"/>
    <w:rsid w:val="00314078"/>
    <w:rsid w:val="0031535D"/>
    <w:rsid w:val="0031601B"/>
    <w:rsid w:val="0032188E"/>
    <w:rsid w:val="00325879"/>
    <w:rsid w:val="0033169F"/>
    <w:rsid w:val="0033363D"/>
    <w:rsid w:val="0033593D"/>
    <w:rsid w:val="00336090"/>
    <w:rsid w:val="003441F8"/>
    <w:rsid w:val="00346C95"/>
    <w:rsid w:val="00347777"/>
    <w:rsid w:val="00356185"/>
    <w:rsid w:val="00360380"/>
    <w:rsid w:val="00362CC3"/>
    <w:rsid w:val="00364CEF"/>
    <w:rsid w:val="00365114"/>
    <w:rsid w:val="00374A07"/>
    <w:rsid w:val="0037519E"/>
    <w:rsid w:val="00386CF0"/>
    <w:rsid w:val="003913A1"/>
    <w:rsid w:val="003936A0"/>
    <w:rsid w:val="00393A80"/>
    <w:rsid w:val="00396358"/>
    <w:rsid w:val="003A288D"/>
    <w:rsid w:val="003A6A47"/>
    <w:rsid w:val="003A709C"/>
    <w:rsid w:val="003A72C7"/>
    <w:rsid w:val="003A7DB5"/>
    <w:rsid w:val="003B5B7C"/>
    <w:rsid w:val="003C1101"/>
    <w:rsid w:val="003C2D96"/>
    <w:rsid w:val="003C676B"/>
    <w:rsid w:val="003D3BC2"/>
    <w:rsid w:val="003E3D16"/>
    <w:rsid w:val="003E5E69"/>
    <w:rsid w:val="003E6B79"/>
    <w:rsid w:val="003E6CA1"/>
    <w:rsid w:val="003F4E44"/>
    <w:rsid w:val="003F52B1"/>
    <w:rsid w:val="00407B22"/>
    <w:rsid w:val="00411245"/>
    <w:rsid w:val="00413366"/>
    <w:rsid w:val="00414CEB"/>
    <w:rsid w:val="004165C2"/>
    <w:rsid w:val="00422667"/>
    <w:rsid w:val="004257C2"/>
    <w:rsid w:val="00432954"/>
    <w:rsid w:val="00433CBB"/>
    <w:rsid w:val="00434406"/>
    <w:rsid w:val="0043610C"/>
    <w:rsid w:val="00436214"/>
    <w:rsid w:val="00436BD8"/>
    <w:rsid w:val="0044006E"/>
    <w:rsid w:val="00441958"/>
    <w:rsid w:val="00441ECB"/>
    <w:rsid w:val="00445B1D"/>
    <w:rsid w:val="004523A2"/>
    <w:rsid w:val="00452996"/>
    <w:rsid w:val="00452C23"/>
    <w:rsid w:val="00456410"/>
    <w:rsid w:val="00456A9B"/>
    <w:rsid w:val="00467B7E"/>
    <w:rsid w:val="00477592"/>
    <w:rsid w:val="00480A83"/>
    <w:rsid w:val="00484069"/>
    <w:rsid w:val="00485F2F"/>
    <w:rsid w:val="00486F1C"/>
    <w:rsid w:val="0049419D"/>
    <w:rsid w:val="00495369"/>
    <w:rsid w:val="00496D6C"/>
    <w:rsid w:val="0049712D"/>
    <w:rsid w:val="004C1F52"/>
    <w:rsid w:val="004C20D2"/>
    <w:rsid w:val="004C3A95"/>
    <w:rsid w:val="004C4B62"/>
    <w:rsid w:val="004C54C9"/>
    <w:rsid w:val="004C736E"/>
    <w:rsid w:val="004D2F34"/>
    <w:rsid w:val="004D438B"/>
    <w:rsid w:val="004D6025"/>
    <w:rsid w:val="004D7C5A"/>
    <w:rsid w:val="004E2649"/>
    <w:rsid w:val="004E5EEA"/>
    <w:rsid w:val="004F0865"/>
    <w:rsid w:val="004F22B5"/>
    <w:rsid w:val="00501399"/>
    <w:rsid w:val="00503A0C"/>
    <w:rsid w:val="0050633D"/>
    <w:rsid w:val="005064C3"/>
    <w:rsid w:val="00507BC4"/>
    <w:rsid w:val="005128E4"/>
    <w:rsid w:val="005133DB"/>
    <w:rsid w:val="00525560"/>
    <w:rsid w:val="005263F2"/>
    <w:rsid w:val="00527EA1"/>
    <w:rsid w:val="00544C49"/>
    <w:rsid w:val="005477E7"/>
    <w:rsid w:val="005516A1"/>
    <w:rsid w:val="00553DE5"/>
    <w:rsid w:val="005558E6"/>
    <w:rsid w:val="0057151C"/>
    <w:rsid w:val="00572D39"/>
    <w:rsid w:val="0057402A"/>
    <w:rsid w:val="005771D0"/>
    <w:rsid w:val="0059092C"/>
    <w:rsid w:val="0059191A"/>
    <w:rsid w:val="005921FF"/>
    <w:rsid w:val="0059277C"/>
    <w:rsid w:val="00596164"/>
    <w:rsid w:val="005A0CBE"/>
    <w:rsid w:val="005A0DE2"/>
    <w:rsid w:val="005A45C8"/>
    <w:rsid w:val="005A6D0E"/>
    <w:rsid w:val="005A6D6A"/>
    <w:rsid w:val="005B2920"/>
    <w:rsid w:val="005B2F8A"/>
    <w:rsid w:val="005B38A0"/>
    <w:rsid w:val="005B4FF1"/>
    <w:rsid w:val="005B52B0"/>
    <w:rsid w:val="005B6806"/>
    <w:rsid w:val="005B6F6B"/>
    <w:rsid w:val="005C4225"/>
    <w:rsid w:val="005C6FF4"/>
    <w:rsid w:val="005C75EF"/>
    <w:rsid w:val="005D152A"/>
    <w:rsid w:val="005D3F40"/>
    <w:rsid w:val="005D6477"/>
    <w:rsid w:val="005D703E"/>
    <w:rsid w:val="005E138D"/>
    <w:rsid w:val="005E778C"/>
    <w:rsid w:val="005F0DAD"/>
    <w:rsid w:val="005F0F33"/>
    <w:rsid w:val="005F246D"/>
    <w:rsid w:val="0060080F"/>
    <w:rsid w:val="00600DEB"/>
    <w:rsid w:val="006024AB"/>
    <w:rsid w:val="00603DEB"/>
    <w:rsid w:val="00621696"/>
    <w:rsid w:val="00621FA5"/>
    <w:rsid w:val="00627C9F"/>
    <w:rsid w:val="006311E9"/>
    <w:rsid w:val="00632354"/>
    <w:rsid w:val="00633332"/>
    <w:rsid w:val="00634E62"/>
    <w:rsid w:val="00637042"/>
    <w:rsid w:val="00642810"/>
    <w:rsid w:val="00651BAA"/>
    <w:rsid w:val="00652333"/>
    <w:rsid w:val="006643D6"/>
    <w:rsid w:val="006725A0"/>
    <w:rsid w:val="00673263"/>
    <w:rsid w:val="00675281"/>
    <w:rsid w:val="0068009E"/>
    <w:rsid w:val="006829AA"/>
    <w:rsid w:val="00692219"/>
    <w:rsid w:val="00693D9C"/>
    <w:rsid w:val="006A17D2"/>
    <w:rsid w:val="006A357A"/>
    <w:rsid w:val="006A615E"/>
    <w:rsid w:val="006A73E6"/>
    <w:rsid w:val="006B2D5C"/>
    <w:rsid w:val="006B4163"/>
    <w:rsid w:val="006B568C"/>
    <w:rsid w:val="006C39ED"/>
    <w:rsid w:val="006C3CC0"/>
    <w:rsid w:val="006C4884"/>
    <w:rsid w:val="006C4EB1"/>
    <w:rsid w:val="006D7188"/>
    <w:rsid w:val="006D7D54"/>
    <w:rsid w:val="006E0166"/>
    <w:rsid w:val="006E050E"/>
    <w:rsid w:val="006E2547"/>
    <w:rsid w:val="006E415D"/>
    <w:rsid w:val="006E7B34"/>
    <w:rsid w:val="006F569C"/>
    <w:rsid w:val="00700741"/>
    <w:rsid w:val="0070247B"/>
    <w:rsid w:val="00703299"/>
    <w:rsid w:val="007033A7"/>
    <w:rsid w:val="0070697F"/>
    <w:rsid w:val="00714AE3"/>
    <w:rsid w:val="00720257"/>
    <w:rsid w:val="00721517"/>
    <w:rsid w:val="0072199C"/>
    <w:rsid w:val="00722C9F"/>
    <w:rsid w:val="007247E9"/>
    <w:rsid w:val="007253B8"/>
    <w:rsid w:val="00734647"/>
    <w:rsid w:val="0073741F"/>
    <w:rsid w:val="00737CA8"/>
    <w:rsid w:val="007412B9"/>
    <w:rsid w:val="00751869"/>
    <w:rsid w:val="0076225B"/>
    <w:rsid w:val="00762666"/>
    <w:rsid w:val="00762F77"/>
    <w:rsid w:val="0076643F"/>
    <w:rsid w:val="007727E5"/>
    <w:rsid w:val="00772CF9"/>
    <w:rsid w:val="00774F23"/>
    <w:rsid w:val="00776C3F"/>
    <w:rsid w:val="00777F63"/>
    <w:rsid w:val="0078047B"/>
    <w:rsid w:val="00786818"/>
    <w:rsid w:val="00786987"/>
    <w:rsid w:val="0079306A"/>
    <w:rsid w:val="00796A2B"/>
    <w:rsid w:val="007977AF"/>
    <w:rsid w:val="007A1229"/>
    <w:rsid w:val="007A5817"/>
    <w:rsid w:val="007A5B99"/>
    <w:rsid w:val="007A5E62"/>
    <w:rsid w:val="007B1F25"/>
    <w:rsid w:val="007B60E9"/>
    <w:rsid w:val="007B6CC3"/>
    <w:rsid w:val="007C3334"/>
    <w:rsid w:val="007D2B98"/>
    <w:rsid w:val="007D5FD3"/>
    <w:rsid w:val="007D6F3B"/>
    <w:rsid w:val="007E21BC"/>
    <w:rsid w:val="007E6A61"/>
    <w:rsid w:val="007F6166"/>
    <w:rsid w:val="00803F1C"/>
    <w:rsid w:val="0080439E"/>
    <w:rsid w:val="00804E69"/>
    <w:rsid w:val="0080600E"/>
    <w:rsid w:val="00813A7B"/>
    <w:rsid w:val="00817612"/>
    <w:rsid w:val="00820F73"/>
    <w:rsid w:val="008213AA"/>
    <w:rsid w:val="0083366D"/>
    <w:rsid w:val="008338A4"/>
    <w:rsid w:val="00834AAA"/>
    <w:rsid w:val="00837C45"/>
    <w:rsid w:val="008427DE"/>
    <w:rsid w:val="00844730"/>
    <w:rsid w:val="008457C2"/>
    <w:rsid w:val="00853A1A"/>
    <w:rsid w:val="00853BEF"/>
    <w:rsid w:val="008550B2"/>
    <w:rsid w:val="00857A82"/>
    <w:rsid w:val="00857E2F"/>
    <w:rsid w:val="008660FD"/>
    <w:rsid w:val="008702E3"/>
    <w:rsid w:val="00872AB0"/>
    <w:rsid w:val="00872CFE"/>
    <w:rsid w:val="00873836"/>
    <w:rsid w:val="008762A7"/>
    <w:rsid w:val="00882BEA"/>
    <w:rsid w:val="00885737"/>
    <w:rsid w:val="00890650"/>
    <w:rsid w:val="00897556"/>
    <w:rsid w:val="00897E12"/>
    <w:rsid w:val="008A7E0F"/>
    <w:rsid w:val="008B10EB"/>
    <w:rsid w:val="008B12F5"/>
    <w:rsid w:val="008B21F9"/>
    <w:rsid w:val="008C75DB"/>
    <w:rsid w:val="008D768D"/>
    <w:rsid w:val="008E09A0"/>
    <w:rsid w:val="008E10DF"/>
    <w:rsid w:val="008E3759"/>
    <w:rsid w:val="008E7C17"/>
    <w:rsid w:val="008F1912"/>
    <w:rsid w:val="008F691A"/>
    <w:rsid w:val="008F72D2"/>
    <w:rsid w:val="008F7961"/>
    <w:rsid w:val="00901A82"/>
    <w:rsid w:val="0090270B"/>
    <w:rsid w:val="009041DC"/>
    <w:rsid w:val="009135F7"/>
    <w:rsid w:val="00917B5A"/>
    <w:rsid w:val="00920A58"/>
    <w:rsid w:val="00920A8C"/>
    <w:rsid w:val="00920ADD"/>
    <w:rsid w:val="0092781C"/>
    <w:rsid w:val="00932595"/>
    <w:rsid w:val="00934A2C"/>
    <w:rsid w:val="00947359"/>
    <w:rsid w:val="00947FA1"/>
    <w:rsid w:val="00951773"/>
    <w:rsid w:val="00952E29"/>
    <w:rsid w:val="0096706E"/>
    <w:rsid w:val="009711A3"/>
    <w:rsid w:val="00975C4E"/>
    <w:rsid w:val="00981FBA"/>
    <w:rsid w:val="00982C40"/>
    <w:rsid w:val="009848AF"/>
    <w:rsid w:val="00997BC5"/>
    <w:rsid w:val="009A4F41"/>
    <w:rsid w:val="009B381B"/>
    <w:rsid w:val="009B612D"/>
    <w:rsid w:val="009B7AA8"/>
    <w:rsid w:val="009D1753"/>
    <w:rsid w:val="009D23E0"/>
    <w:rsid w:val="009D24F1"/>
    <w:rsid w:val="009D3EEF"/>
    <w:rsid w:val="009D7611"/>
    <w:rsid w:val="009E0B61"/>
    <w:rsid w:val="009E342F"/>
    <w:rsid w:val="009E53DE"/>
    <w:rsid w:val="009E7E73"/>
    <w:rsid w:val="009F07A9"/>
    <w:rsid w:val="009F1640"/>
    <w:rsid w:val="009F2D15"/>
    <w:rsid w:val="009F54A7"/>
    <w:rsid w:val="00A0218B"/>
    <w:rsid w:val="00A10132"/>
    <w:rsid w:val="00A11375"/>
    <w:rsid w:val="00A22099"/>
    <w:rsid w:val="00A23104"/>
    <w:rsid w:val="00A23FB3"/>
    <w:rsid w:val="00A26326"/>
    <w:rsid w:val="00A328B3"/>
    <w:rsid w:val="00A375F5"/>
    <w:rsid w:val="00A45B75"/>
    <w:rsid w:val="00A50FCF"/>
    <w:rsid w:val="00A528D1"/>
    <w:rsid w:val="00A5309C"/>
    <w:rsid w:val="00A561B9"/>
    <w:rsid w:val="00A61022"/>
    <w:rsid w:val="00A610CD"/>
    <w:rsid w:val="00A76784"/>
    <w:rsid w:val="00A82FBE"/>
    <w:rsid w:val="00A90AC9"/>
    <w:rsid w:val="00A921B9"/>
    <w:rsid w:val="00A9234D"/>
    <w:rsid w:val="00A97692"/>
    <w:rsid w:val="00AA09A2"/>
    <w:rsid w:val="00AA3004"/>
    <w:rsid w:val="00AA4308"/>
    <w:rsid w:val="00AA7996"/>
    <w:rsid w:val="00AB580E"/>
    <w:rsid w:val="00AB6AA5"/>
    <w:rsid w:val="00AC19CB"/>
    <w:rsid w:val="00AC1B8B"/>
    <w:rsid w:val="00AC4491"/>
    <w:rsid w:val="00AC4872"/>
    <w:rsid w:val="00AC555C"/>
    <w:rsid w:val="00AD2515"/>
    <w:rsid w:val="00AD282B"/>
    <w:rsid w:val="00AD36D8"/>
    <w:rsid w:val="00AD77D3"/>
    <w:rsid w:val="00AE5488"/>
    <w:rsid w:val="00AE628B"/>
    <w:rsid w:val="00AE6F91"/>
    <w:rsid w:val="00AF5571"/>
    <w:rsid w:val="00AF6FB0"/>
    <w:rsid w:val="00B03EF7"/>
    <w:rsid w:val="00B07341"/>
    <w:rsid w:val="00B15938"/>
    <w:rsid w:val="00B215C9"/>
    <w:rsid w:val="00B30539"/>
    <w:rsid w:val="00B314DB"/>
    <w:rsid w:val="00B34D6B"/>
    <w:rsid w:val="00B35845"/>
    <w:rsid w:val="00B35983"/>
    <w:rsid w:val="00B361F2"/>
    <w:rsid w:val="00B3718B"/>
    <w:rsid w:val="00B41F48"/>
    <w:rsid w:val="00B45A9F"/>
    <w:rsid w:val="00B4632A"/>
    <w:rsid w:val="00B5004C"/>
    <w:rsid w:val="00B52511"/>
    <w:rsid w:val="00B530F1"/>
    <w:rsid w:val="00B555E1"/>
    <w:rsid w:val="00B57198"/>
    <w:rsid w:val="00B61397"/>
    <w:rsid w:val="00B76AB6"/>
    <w:rsid w:val="00B815B2"/>
    <w:rsid w:val="00B81877"/>
    <w:rsid w:val="00B81A24"/>
    <w:rsid w:val="00B826E9"/>
    <w:rsid w:val="00B8502D"/>
    <w:rsid w:val="00B87A16"/>
    <w:rsid w:val="00B91DB0"/>
    <w:rsid w:val="00BA276C"/>
    <w:rsid w:val="00BA3353"/>
    <w:rsid w:val="00BB306F"/>
    <w:rsid w:val="00BC4A83"/>
    <w:rsid w:val="00BD36DC"/>
    <w:rsid w:val="00BD47C5"/>
    <w:rsid w:val="00BD4B89"/>
    <w:rsid w:val="00BD53A8"/>
    <w:rsid w:val="00BD7175"/>
    <w:rsid w:val="00BF2570"/>
    <w:rsid w:val="00BF3ADD"/>
    <w:rsid w:val="00BF3FCB"/>
    <w:rsid w:val="00BF6FD8"/>
    <w:rsid w:val="00C005E6"/>
    <w:rsid w:val="00C01891"/>
    <w:rsid w:val="00C03680"/>
    <w:rsid w:val="00C054DF"/>
    <w:rsid w:val="00C05C0E"/>
    <w:rsid w:val="00C13FE8"/>
    <w:rsid w:val="00C21762"/>
    <w:rsid w:val="00C24543"/>
    <w:rsid w:val="00C256A2"/>
    <w:rsid w:val="00C26439"/>
    <w:rsid w:val="00C26BF3"/>
    <w:rsid w:val="00C32519"/>
    <w:rsid w:val="00C33B2E"/>
    <w:rsid w:val="00C35F8D"/>
    <w:rsid w:val="00C362CE"/>
    <w:rsid w:val="00C461AC"/>
    <w:rsid w:val="00C46733"/>
    <w:rsid w:val="00C51515"/>
    <w:rsid w:val="00C52AF2"/>
    <w:rsid w:val="00C5660B"/>
    <w:rsid w:val="00C575C6"/>
    <w:rsid w:val="00C604B6"/>
    <w:rsid w:val="00C62215"/>
    <w:rsid w:val="00C65BF7"/>
    <w:rsid w:val="00C66B72"/>
    <w:rsid w:val="00C7435C"/>
    <w:rsid w:val="00C778C9"/>
    <w:rsid w:val="00C868A1"/>
    <w:rsid w:val="00C92317"/>
    <w:rsid w:val="00C9567A"/>
    <w:rsid w:val="00CA1DEC"/>
    <w:rsid w:val="00CA5E09"/>
    <w:rsid w:val="00CB212D"/>
    <w:rsid w:val="00CB2660"/>
    <w:rsid w:val="00CB3165"/>
    <w:rsid w:val="00CB6DC7"/>
    <w:rsid w:val="00CC5930"/>
    <w:rsid w:val="00CC5E90"/>
    <w:rsid w:val="00CD046C"/>
    <w:rsid w:val="00CD1EC0"/>
    <w:rsid w:val="00CE076C"/>
    <w:rsid w:val="00CE4CD8"/>
    <w:rsid w:val="00CE5199"/>
    <w:rsid w:val="00CE66D5"/>
    <w:rsid w:val="00CE786D"/>
    <w:rsid w:val="00CF415E"/>
    <w:rsid w:val="00CF4765"/>
    <w:rsid w:val="00CF637A"/>
    <w:rsid w:val="00D01718"/>
    <w:rsid w:val="00D059DE"/>
    <w:rsid w:val="00D10816"/>
    <w:rsid w:val="00D13FCE"/>
    <w:rsid w:val="00D143F2"/>
    <w:rsid w:val="00D204C0"/>
    <w:rsid w:val="00D306D1"/>
    <w:rsid w:val="00D31F64"/>
    <w:rsid w:val="00D3200C"/>
    <w:rsid w:val="00D34786"/>
    <w:rsid w:val="00D37BFC"/>
    <w:rsid w:val="00D4762D"/>
    <w:rsid w:val="00D47A8E"/>
    <w:rsid w:val="00D52D14"/>
    <w:rsid w:val="00D53959"/>
    <w:rsid w:val="00D712D3"/>
    <w:rsid w:val="00D71422"/>
    <w:rsid w:val="00D72DC6"/>
    <w:rsid w:val="00D7558D"/>
    <w:rsid w:val="00D81D92"/>
    <w:rsid w:val="00D9467B"/>
    <w:rsid w:val="00D94792"/>
    <w:rsid w:val="00DA7B5F"/>
    <w:rsid w:val="00DB646A"/>
    <w:rsid w:val="00DC11E7"/>
    <w:rsid w:val="00DC7023"/>
    <w:rsid w:val="00DC769A"/>
    <w:rsid w:val="00DD04DA"/>
    <w:rsid w:val="00DD3D86"/>
    <w:rsid w:val="00DD5CB5"/>
    <w:rsid w:val="00DE1A88"/>
    <w:rsid w:val="00DE61F5"/>
    <w:rsid w:val="00DF1EC4"/>
    <w:rsid w:val="00DF2759"/>
    <w:rsid w:val="00E008BF"/>
    <w:rsid w:val="00E013FE"/>
    <w:rsid w:val="00E0340B"/>
    <w:rsid w:val="00E04A90"/>
    <w:rsid w:val="00E219C7"/>
    <w:rsid w:val="00E256FC"/>
    <w:rsid w:val="00E26797"/>
    <w:rsid w:val="00E42105"/>
    <w:rsid w:val="00E43157"/>
    <w:rsid w:val="00E461CE"/>
    <w:rsid w:val="00E50119"/>
    <w:rsid w:val="00E53FC1"/>
    <w:rsid w:val="00E5709A"/>
    <w:rsid w:val="00E64633"/>
    <w:rsid w:val="00E657F5"/>
    <w:rsid w:val="00E6742D"/>
    <w:rsid w:val="00E718A4"/>
    <w:rsid w:val="00E720CA"/>
    <w:rsid w:val="00E7458E"/>
    <w:rsid w:val="00E770E1"/>
    <w:rsid w:val="00E84EB5"/>
    <w:rsid w:val="00E85662"/>
    <w:rsid w:val="00E870DD"/>
    <w:rsid w:val="00E8789F"/>
    <w:rsid w:val="00E97B71"/>
    <w:rsid w:val="00EA0B2E"/>
    <w:rsid w:val="00EA3D34"/>
    <w:rsid w:val="00EA7298"/>
    <w:rsid w:val="00EB454D"/>
    <w:rsid w:val="00EC616D"/>
    <w:rsid w:val="00ED37F6"/>
    <w:rsid w:val="00ED76BE"/>
    <w:rsid w:val="00EE33EB"/>
    <w:rsid w:val="00EF148C"/>
    <w:rsid w:val="00EF1878"/>
    <w:rsid w:val="00EF619B"/>
    <w:rsid w:val="00F00B55"/>
    <w:rsid w:val="00F016DF"/>
    <w:rsid w:val="00F022DD"/>
    <w:rsid w:val="00F02AD1"/>
    <w:rsid w:val="00F16A71"/>
    <w:rsid w:val="00F23165"/>
    <w:rsid w:val="00F253CC"/>
    <w:rsid w:val="00F34195"/>
    <w:rsid w:val="00F37106"/>
    <w:rsid w:val="00F43645"/>
    <w:rsid w:val="00F456E8"/>
    <w:rsid w:val="00F46843"/>
    <w:rsid w:val="00F507C4"/>
    <w:rsid w:val="00F51347"/>
    <w:rsid w:val="00F519CF"/>
    <w:rsid w:val="00F52B65"/>
    <w:rsid w:val="00F5311A"/>
    <w:rsid w:val="00F56BA5"/>
    <w:rsid w:val="00F57D14"/>
    <w:rsid w:val="00F60E22"/>
    <w:rsid w:val="00F62EBB"/>
    <w:rsid w:val="00F667F3"/>
    <w:rsid w:val="00F81395"/>
    <w:rsid w:val="00F85575"/>
    <w:rsid w:val="00F861E1"/>
    <w:rsid w:val="00F86AF2"/>
    <w:rsid w:val="00F90E0D"/>
    <w:rsid w:val="00F917D1"/>
    <w:rsid w:val="00F9653B"/>
    <w:rsid w:val="00FA256E"/>
    <w:rsid w:val="00FA2BFA"/>
    <w:rsid w:val="00FA44EB"/>
    <w:rsid w:val="00FA696C"/>
    <w:rsid w:val="00FA6C33"/>
    <w:rsid w:val="00FB62CF"/>
    <w:rsid w:val="00FB7384"/>
    <w:rsid w:val="00FC4AF0"/>
    <w:rsid w:val="00FC57E6"/>
    <w:rsid w:val="00FC5998"/>
    <w:rsid w:val="00FC7BD0"/>
    <w:rsid w:val="00FD02F7"/>
    <w:rsid w:val="00FD147B"/>
    <w:rsid w:val="00FD3C3B"/>
    <w:rsid w:val="00FD7B41"/>
    <w:rsid w:val="00FE3E78"/>
    <w:rsid w:val="00FE40A1"/>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ListParagraph"/>
    <w:next w:val="Normal"/>
    <w:link w:val="Heading1Char"/>
    <w:uiPriority w:val="9"/>
    <w:qFormat/>
    <w:rsid w:val="00721517"/>
    <w:pPr>
      <w:numPr>
        <w:ilvl w:val="1"/>
        <w:numId w:val="58"/>
      </w:numPr>
      <w:tabs>
        <w:tab w:val="clear" w:pos="1800"/>
        <w:tab w:val="num" w:pos="0"/>
      </w:tabs>
      <w:ind w:left="720" w:firstLine="0"/>
      <w:jc w:val="both"/>
      <w:outlineLvl w:val="0"/>
    </w:pPr>
    <w:rPr>
      <w:rFonts w:asciiTheme="majorHAnsi" w:hAnsiTheme="majorHAnsi"/>
      <w:b/>
      <w:sz w:val="20"/>
      <w:szCs w:val="20"/>
      <w:lang w:val="es-UY"/>
    </w:rPr>
  </w:style>
  <w:style w:type="paragraph" w:styleId="Heading2">
    <w:name w:val="heading 2"/>
    <w:basedOn w:val="Normal"/>
    <w:next w:val="Normal"/>
    <w:link w:val="Heading2Char"/>
    <w:qFormat/>
    <w:rsid w:val="000F212E"/>
    <w:pPr>
      <w:numPr>
        <w:numId w:val="54"/>
      </w:numPr>
      <w:ind w:left="0" w:firstLine="720"/>
      <w:jc w:val="both"/>
      <w:outlineLvl w:val="1"/>
    </w:pPr>
    <w:rPr>
      <w:rFonts w:asciiTheme="majorHAnsi" w:hAnsiTheme="majorHAnsi"/>
      <w:b/>
      <w:bCs/>
      <w:sz w:val="20"/>
      <w:szCs w:val="20"/>
      <w:lang w:val="es-UY"/>
    </w:rPr>
  </w:style>
  <w:style w:type="paragraph" w:styleId="Heading3">
    <w:name w:val="heading 3"/>
    <w:basedOn w:val="ListParagraph"/>
    <w:next w:val="Normal"/>
    <w:link w:val="Heading3Char"/>
    <w:qFormat/>
    <w:rsid w:val="0079306A"/>
    <w:pPr>
      <w:numPr>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outlineLvl w:val="2"/>
    </w:pPr>
    <w:rPr>
      <w:rFonts w:asciiTheme="majorHAnsi" w:eastAsia="Times New Roman" w:hAnsiTheme="majorHAnsi"/>
      <w:color w:val="auto"/>
      <w:sz w:val="20"/>
      <w:szCs w:val="20"/>
      <w:bdr w:val="none" w:sz="0" w:space="0" w:color="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721517"/>
    <w:rPr>
      <w:rFonts w:asciiTheme="majorHAnsi" w:eastAsia="Cambria" w:hAnsiTheme="majorHAnsi" w:cs="Cambria"/>
      <w:b/>
      <w:color w:val="000000"/>
      <w:u w:color="000000"/>
      <w:lang w:val="es-UY"/>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0F212E"/>
    <w:rPr>
      <w:rFonts w:asciiTheme="majorHAnsi" w:hAnsiTheme="majorHAnsi"/>
      <w:b/>
      <w:bCs/>
      <w:lang w:val="es-UY" w:eastAsia="en-US"/>
    </w:rPr>
  </w:style>
  <w:style w:type="character" w:customStyle="1" w:styleId="Heading3Char">
    <w:name w:val="Heading 3 Char"/>
    <w:basedOn w:val="DefaultParagraphFont"/>
    <w:link w:val="Heading3"/>
    <w:rsid w:val="0079306A"/>
    <w:rPr>
      <w:rFonts w:asciiTheme="majorHAnsi" w:eastAsia="Times New Roman" w:hAnsiTheme="majorHAnsi" w:cs="Cambria"/>
      <w:u w:color="000000"/>
      <w:bdr w:val="none" w:sz="0" w:space="0" w:color="auto"/>
      <w:shd w:val="clear" w:color="auto" w:fill="FFFFFF"/>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styleId="BodyTextIndent3">
    <w:name w:val="Body Text Indent 3"/>
    <w:basedOn w:val="Normal"/>
    <w:link w:val="BodyTextIndent3Char"/>
    <w:uiPriority w:val="99"/>
    <w:semiHidden/>
    <w:unhideWhenUsed/>
    <w:rsid w:val="002B7F7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B7F7C"/>
    <w:rPr>
      <w:sz w:val="16"/>
      <w:szCs w:val="16"/>
      <w:lang w:val="en-US" w:eastAsia="en-US"/>
    </w:rPr>
  </w:style>
  <w:style w:type="paragraph" w:styleId="NoSpacing">
    <w:name w:val="No Spacing"/>
    <w:basedOn w:val="ListParagraph"/>
    <w:uiPriority w:val="1"/>
    <w:qFormat/>
    <w:rsid w:val="000F212E"/>
    <w:pPr>
      <w:numPr>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outlineLvl w:val="1"/>
    </w:pPr>
    <w:rPr>
      <w:rFonts w:asciiTheme="majorHAnsi" w:eastAsia="Times New Roman" w:hAnsiTheme="majorHAnsi"/>
      <w:b/>
      <w:bCs/>
      <w:color w:val="auto"/>
      <w:sz w:val="20"/>
      <w:szCs w:val="20"/>
      <w:bdr w:val="none" w:sz="0" w:space="0" w:color="auto"/>
      <w:lang w:val="es-UY"/>
    </w:rPr>
  </w:style>
  <w:style w:type="character" w:customStyle="1" w:styleId="apple-converted-space">
    <w:name w:val="apple-converted-space"/>
    <w:basedOn w:val="DefaultParagraphFont"/>
    <w:rsid w:val="004564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ListParagraph"/>
    <w:next w:val="Normal"/>
    <w:link w:val="Heading1Char"/>
    <w:uiPriority w:val="9"/>
    <w:qFormat/>
    <w:rsid w:val="00721517"/>
    <w:pPr>
      <w:numPr>
        <w:ilvl w:val="1"/>
        <w:numId w:val="58"/>
      </w:numPr>
      <w:tabs>
        <w:tab w:val="clear" w:pos="1800"/>
        <w:tab w:val="num" w:pos="0"/>
      </w:tabs>
      <w:ind w:left="720" w:firstLine="0"/>
      <w:jc w:val="both"/>
      <w:outlineLvl w:val="0"/>
    </w:pPr>
    <w:rPr>
      <w:rFonts w:asciiTheme="majorHAnsi" w:hAnsiTheme="majorHAnsi"/>
      <w:b/>
      <w:sz w:val="20"/>
      <w:szCs w:val="20"/>
      <w:lang w:val="es-UY"/>
    </w:rPr>
  </w:style>
  <w:style w:type="paragraph" w:styleId="Heading2">
    <w:name w:val="heading 2"/>
    <w:basedOn w:val="Normal"/>
    <w:next w:val="Normal"/>
    <w:link w:val="Heading2Char"/>
    <w:qFormat/>
    <w:rsid w:val="000F212E"/>
    <w:pPr>
      <w:numPr>
        <w:numId w:val="54"/>
      </w:numPr>
      <w:ind w:left="0" w:firstLine="720"/>
      <w:jc w:val="both"/>
      <w:outlineLvl w:val="1"/>
    </w:pPr>
    <w:rPr>
      <w:rFonts w:asciiTheme="majorHAnsi" w:hAnsiTheme="majorHAnsi"/>
      <w:b/>
      <w:bCs/>
      <w:sz w:val="20"/>
      <w:szCs w:val="20"/>
      <w:lang w:val="es-UY"/>
    </w:rPr>
  </w:style>
  <w:style w:type="paragraph" w:styleId="Heading3">
    <w:name w:val="heading 3"/>
    <w:basedOn w:val="ListParagraph"/>
    <w:next w:val="Normal"/>
    <w:link w:val="Heading3Char"/>
    <w:qFormat/>
    <w:rsid w:val="0079306A"/>
    <w:pPr>
      <w:numPr>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outlineLvl w:val="2"/>
    </w:pPr>
    <w:rPr>
      <w:rFonts w:asciiTheme="majorHAnsi" w:eastAsia="Times New Roman" w:hAnsiTheme="majorHAnsi"/>
      <w:color w:val="auto"/>
      <w:sz w:val="20"/>
      <w:szCs w:val="20"/>
      <w:bdr w:val="none" w:sz="0" w:space="0" w:color="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721517"/>
    <w:rPr>
      <w:rFonts w:asciiTheme="majorHAnsi" w:eastAsia="Cambria" w:hAnsiTheme="majorHAnsi" w:cs="Cambria"/>
      <w:b/>
      <w:color w:val="000000"/>
      <w:u w:color="000000"/>
      <w:lang w:val="es-UY"/>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0F212E"/>
    <w:rPr>
      <w:rFonts w:asciiTheme="majorHAnsi" w:hAnsiTheme="majorHAnsi"/>
      <w:b/>
      <w:bCs/>
      <w:lang w:val="es-UY" w:eastAsia="en-US"/>
    </w:rPr>
  </w:style>
  <w:style w:type="character" w:customStyle="1" w:styleId="Heading3Char">
    <w:name w:val="Heading 3 Char"/>
    <w:basedOn w:val="DefaultParagraphFont"/>
    <w:link w:val="Heading3"/>
    <w:rsid w:val="0079306A"/>
    <w:rPr>
      <w:rFonts w:asciiTheme="majorHAnsi" w:eastAsia="Times New Roman" w:hAnsiTheme="majorHAnsi" w:cs="Cambria"/>
      <w:u w:color="000000"/>
      <w:bdr w:val="none" w:sz="0" w:space="0" w:color="auto"/>
      <w:shd w:val="clear" w:color="auto" w:fill="FFFFFF"/>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styleId="BodyTextIndent3">
    <w:name w:val="Body Text Indent 3"/>
    <w:basedOn w:val="Normal"/>
    <w:link w:val="BodyTextIndent3Char"/>
    <w:uiPriority w:val="99"/>
    <w:semiHidden/>
    <w:unhideWhenUsed/>
    <w:rsid w:val="002B7F7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B7F7C"/>
    <w:rPr>
      <w:sz w:val="16"/>
      <w:szCs w:val="16"/>
      <w:lang w:val="en-US" w:eastAsia="en-US"/>
    </w:rPr>
  </w:style>
  <w:style w:type="paragraph" w:styleId="NoSpacing">
    <w:name w:val="No Spacing"/>
    <w:basedOn w:val="ListParagraph"/>
    <w:uiPriority w:val="1"/>
    <w:qFormat/>
    <w:rsid w:val="000F212E"/>
    <w:pPr>
      <w:numPr>
        <w:numId w:val="5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outlineLvl w:val="1"/>
    </w:pPr>
    <w:rPr>
      <w:rFonts w:asciiTheme="majorHAnsi" w:eastAsia="Times New Roman" w:hAnsiTheme="majorHAnsi"/>
      <w:b/>
      <w:bCs/>
      <w:color w:val="auto"/>
      <w:sz w:val="20"/>
      <w:szCs w:val="20"/>
      <w:bdr w:val="none" w:sz="0" w:space="0" w:color="auto"/>
      <w:lang w:val="es-UY"/>
    </w:rPr>
  </w:style>
  <w:style w:type="character" w:customStyle="1" w:styleId="apple-converted-space">
    <w:name w:val="apple-converted-space"/>
    <w:basedOn w:val="DefaultParagraphFont"/>
    <w:rsid w:val="00456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69230">
      <w:bodyDiv w:val="1"/>
      <w:marLeft w:val="0"/>
      <w:marRight w:val="0"/>
      <w:marTop w:val="0"/>
      <w:marBottom w:val="0"/>
      <w:divBdr>
        <w:top w:val="none" w:sz="0" w:space="0" w:color="auto"/>
        <w:left w:val="none" w:sz="0" w:space="0" w:color="auto"/>
        <w:bottom w:val="none" w:sz="0" w:space="0" w:color="auto"/>
        <w:right w:val="none" w:sz="0" w:space="0" w:color="auto"/>
      </w:divBdr>
    </w:div>
    <w:div w:id="443234004">
      <w:bodyDiv w:val="1"/>
      <w:marLeft w:val="0"/>
      <w:marRight w:val="0"/>
      <w:marTop w:val="0"/>
      <w:marBottom w:val="0"/>
      <w:divBdr>
        <w:top w:val="none" w:sz="0" w:space="0" w:color="auto"/>
        <w:left w:val="none" w:sz="0" w:space="0" w:color="auto"/>
        <w:bottom w:val="none" w:sz="0" w:space="0" w:color="auto"/>
        <w:right w:val="none" w:sz="0" w:space="0" w:color="auto"/>
      </w:divBdr>
    </w:div>
    <w:div w:id="662052915">
      <w:bodyDiv w:val="1"/>
      <w:marLeft w:val="0"/>
      <w:marRight w:val="0"/>
      <w:marTop w:val="0"/>
      <w:marBottom w:val="0"/>
      <w:divBdr>
        <w:top w:val="none" w:sz="0" w:space="0" w:color="auto"/>
        <w:left w:val="none" w:sz="0" w:space="0" w:color="auto"/>
        <w:bottom w:val="none" w:sz="0" w:space="0" w:color="auto"/>
        <w:right w:val="none" w:sz="0" w:space="0" w:color="auto"/>
      </w:divBdr>
    </w:div>
    <w:div w:id="1006522967">
      <w:bodyDiv w:val="1"/>
      <w:marLeft w:val="0"/>
      <w:marRight w:val="0"/>
      <w:marTop w:val="0"/>
      <w:marBottom w:val="0"/>
      <w:divBdr>
        <w:top w:val="none" w:sz="0" w:space="0" w:color="auto"/>
        <w:left w:val="none" w:sz="0" w:space="0" w:color="auto"/>
        <w:bottom w:val="none" w:sz="0" w:space="0" w:color="auto"/>
        <w:right w:val="none" w:sz="0" w:space="0" w:color="auto"/>
      </w:divBdr>
    </w:div>
    <w:div w:id="1270970544">
      <w:bodyDiv w:val="1"/>
      <w:marLeft w:val="0"/>
      <w:marRight w:val="0"/>
      <w:marTop w:val="0"/>
      <w:marBottom w:val="0"/>
      <w:divBdr>
        <w:top w:val="none" w:sz="0" w:space="0" w:color="auto"/>
        <w:left w:val="none" w:sz="0" w:space="0" w:color="auto"/>
        <w:bottom w:val="none" w:sz="0" w:space="0" w:color="auto"/>
        <w:right w:val="none" w:sz="0" w:space="0" w:color="auto"/>
      </w:divBdr>
    </w:div>
    <w:div w:id="1372609858">
      <w:bodyDiv w:val="1"/>
      <w:marLeft w:val="0"/>
      <w:marRight w:val="0"/>
      <w:marTop w:val="0"/>
      <w:marBottom w:val="0"/>
      <w:divBdr>
        <w:top w:val="none" w:sz="0" w:space="0" w:color="auto"/>
        <w:left w:val="none" w:sz="0" w:space="0" w:color="auto"/>
        <w:bottom w:val="none" w:sz="0" w:space="0" w:color="auto"/>
        <w:right w:val="none" w:sz="0" w:space="0" w:color="auto"/>
      </w:divBdr>
    </w:div>
    <w:div w:id="1509516465">
      <w:bodyDiv w:val="1"/>
      <w:marLeft w:val="0"/>
      <w:marRight w:val="0"/>
      <w:marTop w:val="0"/>
      <w:marBottom w:val="0"/>
      <w:divBdr>
        <w:top w:val="none" w:sz="0" w:space="0" w:color="auto"/>
        <w:left w:val="none" w:sz="0" w:space="0" w:color="auto"/>
        <w:bottom w:val="none" w:sz="0" w:space="0" w:color="auto"/>
        <w:right w:val="none" w:sz="0" w:space="0" w:color="auto"/>
      </w:divBdr>
    </w:div>
    <w:div w:id="1558734786">
      <w:bodyDiv w:val="1"/>
      <w:marLeft w:val="0"/>
      <w:marRight w:val="0"/>
      <w:marTop w:val="0"/>
      <w:marBottom w:val="0"/>
      <w:divBdr>
        <w:top w:val="none" w:sz="0" w:space="0" w:color="auto"/>
        <w:left w:val="none" w:sz="0" w:space="0" w:color="auto"/>
        <w:bottom w:val="none" w:sz="0" w:space="0" w:color="auto"/>
        <w:right w:val="none" w:sz="0" w:space="0" w:color="auto"/>
      </w:divBdr>
    </w:div>
    <w:div w:id="174301701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71144700">
      <w:bodyDiv w:val="1"/>
      <w:marLeft w:val="0"/>
      <w:marRight w:val="0"/>
      <w:marTop w:val="0"/>
      <w:marBottom w:val="0"/>
      <w:divBdr>
        <w:top w:val="none" w:sz="0" w:space="0" w:color="auto"/>
        <w:left w:val="none" w:sz="0" w:space="0" w:color="auto"/>
        <w:bottom w:val="none" w:sz="0" w:space="0" w:color="auto"/>
        <w:right w:val="none" w:sz="0" w:space="0" w:color="auto"/>
      </w:divBdr>
    </w:div>
    <w:div w:id="1938247126">
      <w:bodyDiv w:val="1"/>
      <w:marLeft w:val="0"/>
      <w:marRight w:val="0"/>
      <w:marTop w:val="0"/>
      <w:marBottom w:val="0"/>
      <w:divBdr>
        <w:top w:val="none" w:sz="0" w:space="0" w:color="auto"/>
        <w:left w:val="none" w:sz="0" w:space="0" w:color="auto"/>
        <w:bottom w:val="none" w:sz="0" w:space="0" w:color="auto"/>
        <w:right w:val="none" w:sz="0" w:space="0" w:color="auto"/>
      </w:divBdr>
    </w:div>
    <w:div w:id="211212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7AF63-FA0F-4767-B626-F13CE14FB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4873</Words>
  <Characters>25340</Characters>
  <Application>Microsoft Office Word</Application>
  <DocSecurity>0</DocSecurity>
  <Lines>452</Lines>
  <Paragraphs>87</Paragraphs>
  <ScaleCrop>false</ScaleCrop>
  <Company/>
  <LinksUpToDate>false</LinksUpToDate>
  <CharactersWithSpaces>30126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35/16</dc:title>
  <dc:creator/>
  <cp:lastModifiedBy/>
  <cp:revision>1</cp:revision>
  <dcterms:created xsi:type="dcterms:W3CDTF">2016-09-28T13:38:00Z</dcterms:created>
  <dcterms:modified xsi:type="dcterms:W3CDTF">2016-09-28T13:38:00Z</dcterms:modified>
</cp:coreProperties>
</file>