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9BE6C6" w14:textId="77777777" w:rsidR="00A57A47" w:rsidRPr="00875FF9" w:rsidRDefault="00A124E2"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sidRPr="00875FF9">
        <w:rPr>
          <w:noProof/>
        </w:rPr>
        <mc:AlternateContent>
          <mc:Choice Requires="wps">
            <w:drawing>
              <wp:anchor distT="0" distB="0" distL="114300" distR="114300" simplePos="0" relativeHeight="251654144" behindDoc="0" locked="0" layoutInCell="1" allowOverlap="1" wp14:anchorId="1E1EA763" wp14:editId="19085171">
                <wp:simplePos x="0" y="0"/>
                <wp:positionH relativeFrom="column">
                  <wp:posOffset>-415925</wp:posOffset>
                </wp:positionH>
                <wp:positionV relativeFrom="paragraph">
                  <wp:posOffset>-439420</wp:posOffset>
                </wp:positionV>
                <wp:extent cx="1543050" cy="9096375"/>
                <wp:effectExtent l="0" t="0" r="0"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Pr="00875FF9">
        <w:rPr>
          <w:noProof/>
        </w:rPr>
        <mc:AlternateContent>
          <mc:Choice Requires="wps">
            <w:drawing>
              <wp:anchor distT="0" distB="0" distL="114300" distR="114300" simplePos="0" relativeHeight="251658240" behindDoc="0" locked="0" layoutInCell="1" allowOverlap="1" wp14:anchorId="6F2912AC" wp14:editId="15BE3A4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CA3F8" w14:textId="77777777" w:rsidR="003669FB" w:rsidRDefault="003669FB"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493136AC" wp14:editId="000B4047">
                                  <wp:extent cx="2630805" cy="50038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0805" cy="50038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14:paraId="2D4CA3F8" w14:textId="77777777" w:rsidR="003669FB" w:rsidRDefault="003669FB"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493136AC" wp14:editId="000B4047">
                            <wp:extent cx="2630805" cy="50038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0805" cy="500380"/>
                                    </a:xfrm>
                                    <a:prstGeom prst="rect">
                                      <a:avLst/>
                                    </a:prstGeom>
                                    <a:noFill/>
                                    <a:ln>
                                      <a:noFill/>
                                    </a:ln>
                                  </pic:spPr>
                                </pic:pic>
                              </a:graphicData>
                            </a:graphic>
                          </wp:inline>
                        </w:drawing>
                      </w:r>
                      <w:r>
                        <w:tab/>
                        <w:t xml:space="preserve">                              </w:t>
                      </w:r>
                    </w:p>
                  </w:txbxContent>
                </v:textbox>
              </v:shape>
            </w:pict>
          </mc:Fallback>
        </mc:AlternateContent>
      </w:r>
    </w:p>
    <w:p w14:paraId="09F10769"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_tradnl"/>
        </w:rPr>
      </w:pPr>
    </w:p>
    <w:p w14:paraId="7EB5F393"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_tradnl"/>
        </w:rPr>
      </w:pPr>
    </w:p>
    <w:p w14:paraId="254E4398"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14:paraId="4683D4FE"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14:paraId="670CCED2" w14:textId="6D56FB0E" w:rsidR="00A57A47" w:rsidRPr="00875FF9" w:rsidRDefault="00F9329D" w:rsidP="00F9329D">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r>
        <w:rPr>
          <w:rFonts w:ascii="Cambria" w:hAnsi="Cambria"/>
          <w:sz w:val="22"/>
          <w:szCs w:val="22"/>
          <w:lang w:val="es-ES_tradnl"/>
        </w:rPr>
        <w:t>ç</w:t>
      </w:r>
    </w:p>
    <w:p w14:paraId="480B05F9" w14:textId="0C58C98E" w:rsidR="00F9329D" w:rsidRPr="00C4161A" w:rsidRDefault="00F9329D" w:rsidP="00F9329D">
      <w:pPr>
        <w:tabs>
          <w:tab w:val="center" w:pos="5400"/>
        </w:tabs>
        <w:suppressAutoHyphens/>
        <w:jc w:val="right"/>
        <w:rPr>
          <w:rFonts w:asciiTheme="majorHAnsi" w:hAnsiTheme="majorHAnsi"/>
          <w:b/>
          <w:sz w:val="52"/>
          <w:szCs w:val="20"/>
          <w:lang w:val="es-ES_tradnl"/>
        </w:rPr>
      </w:pPr>
    </w:p>
    <w:p w14:paraId="3B39E189" w14:textId="77777777" w:rsidR="00F9329D" w:rsidRDefault="00F9329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2DA9DD86" w14:textId="69F0F4C6" w:rsidR="00A57A47" w:rsidRPr="00875FF9" w:rsidRDefault="00A124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sidRPr="00875FF9">
        <w:rPr>
          <w:noProof/>
        </w:rPr>
        <mc:AlternateContent>
          <mc:Choice Requires="wps">
            <w:drawing>
              <wp:anchor distT="0" distB="0" distL="114300" distR="114300" simplePos="0" relativeHeight="251655168" behindDoc="0" locked="0" layoutInCell="1" allowOverlap="1" wp14:anchorId="3DCEC847" wp14:editId="40E629C1">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4F4B3" w14:textId="793593C5" w:rsidR="003669FB" w:rsidRPr="00765AA3" w:rsidRDefault="003669F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765AA3">
                              <w:rPr>
                                <w:rFonts w:ascii="Cambria" w:hAnsi="Cambria" w:cs="Arial"/>
                                <w:b/>
                                <w:bCs/>
                                <w:color w:val="0D0D0D"/>
                                <w:sz w:val="36"/>
                                <w:szCs w:val="22"/>
                                <w:lang w:val="es-ES_tradnl"/>
                              </w:rPr>
                              <w:t xml:space="preserve">INFORME </w:t>
                            </w:r>
                            <w:r w:rsidRPr="00765AA3">
                              <w:rPr>
                                <w:rFonts w:ascii="Cambria" w:hAnsi="Cambria" w:cs="Arial"/>
                                <w:b/>
                                <w:bCs/>
                                <w:color w:val="0D0D0D"/>
                                <w:sz w:val="36"/>
                                <w:szCs w:val="40"/>
                                <w:lang w:val="es-ES_tradnl"/>
                              </w:rPr>
                              <w:t>No.</w:t>
                            </w:r>
                            <w:r w:rsidR="005E23C3">
                              <w:rPr>
                                <w:rFonts w:ascii="Cambria" w:hAnsi="Cambria" w:cs="Arial"/>
                                <w:b/>
                                <w:bCs/>
                                <w:color w:val="0D0D0D"/>
                                <w:sz w:val="36"/>
                                <w:szCs w:val="22"/>
                                <w:lang w:val="es-ES_tradnl"/>
                              </w:rPr>
                              <w:t xml:space="preserve"> 65</w:t>
                            </w:r>
                            <w:r w:rsidRPr="00765AA3">
                              <w:rPr>
                                <w:rFonts w:ascii="Cambria" w:hAnsi="Cambria" w:cs="Arial"/>
                                <w:b/>
                                <w:bCs/>
                                <w:color w:val="0D0D0D"/>
                                <w:sz w:val="36"/>
                                <w:szCs w:val="22"/>
                                <w:lang w:val="es-ES_tradnl"/>
                              </w:rPr>
                              <w:t>/</w:t>
                            </w:r>
                            <w:r w:rsidR="00481DDB">
                              <w:rPr>
                                <w:rFonts w:ascii="Cambria" w:hAnsi="Cambria" w:cs="Arial"/>
                                <w:b/>
                                <w:bCs/>
                                <w:color w:val="0D0D0D"/>
                                <w:sz w:val="36"/>
                                <w:szCs w:val="22"/>
                                <w:lang w:val="es-ES_tradnl"/>
                              </w:rPr>
                              <w:t>16</w:t>
                            </w:r>
                          </w:p>
                          <w:p w14:paraId="0FAC46D4" w14:textId="77777777" w:rsidR="003669FB" w:rsidRPr="00765AA3" w:rsidRDefault="003669F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765AA3">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404</w:t>
                            </w:r>
                            <w:r w:rsidRPr="00765AA3">
                              <w:rPr>
                                <w:rFonts w:ascii="Cambria" w:hAnsi="Cambria" w:cs="Arial"/>
                                <w:b/>
                                <w:color w:val="0D0D0D"/>
                                <w:sz w:val="36"/>
                                <w:szCs w:val="22"/>
                                <w:lang w:val="es-ES_tradnl"/>
                              </w:rPr>
                              <w:t>-</w:t>
                            </w:r>
                            <w:r>
                              <w:rPr>
                                <w:rFonts w:ascii="Cambria" w:hAnsi="Cambria" w:cs="Arial"/>
                                <w:b/>
                                <w:color w:val="0D0D0D"/>
                                <w:sz w:val="36"/>
                                <w:szCs w:val="22"/>
                                <w:lang w:val="es-ES_tradnl"/>
                              </w:rPr>
                              <w:t>03</w:t>
                            </w:r>
                            <w:r w:rsidRPr="00765AA3">
                              <w:rPr>
                                <w:rFonts w:ascii="Cambria" w:hAnsi="Cambria" w:cs="Arial"/>
                                <w:b/>
                                <w:color w:val="0D0D0D"/>
                                <w:sz w:val="36"/>
                                <w:szCs w:val="22"/>
                                <w:lang w:val="es-ES_tradnl"/>
                              </w:rPr>
                              <w:t xml:space="preserve"> </w:t>
                            </w:r>
                          </w:p>
                          <w:p w14:paraId="5F25F7A6" w14:textId="77777777" w:rsidR="003669FB" w:rsidRPr="00765AA3" w:rsidRDefault="003669F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765AA3">
                              <w:rPr>
                                <w:rFonts w:ascii="Cambria" w:hAnsi="Cambria" w:cs="Arial"/>
                                <w:color w:val="0D0D0D"/>
                                <w:szCs w:val="22"/>
                                <w:lang w:val="es-ES_tradnl"/>
                              </w:rPr>
                              <w:t xml:space="preserve">INFORME DE ADMISIBILIDAD </w:t>
                            </w:r>
                          </w:p>
                          <w:p w14:paraId="4E9A83D4" w14:textId="77777777" w:rsidR="003669FB" w:rsidRPr="00765AA3" w:rsidRDefault="003669F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18C044C5" w14:textId="77777777" w:rsidR="003669FB" w:rsidRPr="00765AA3" w:rsidRDefault="003669F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JOSÉ RAMÓN MEDINA RIVERA</w:t>
                            </w:r>
                          </w:p>
                          <w:bookmarkEnd w:id="1"/>
                          <w:p w14:paraId="231AEA7F" w14:textId="77777777" w:rsidR="003669FB" w:rsidRPr="00765AA3" w:rsidRDefault="003669F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MÉXICO</w:t>
                            </w:r>
                          </w:p>
                          <w:p w14:paraId="5AA2D510" w14:textId="77777777" w:rsidR="003669FB" w:rsidRPr="00765AA3" w:rsidRDefault="003669FB"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14:paraId="2884F4B3" w14:textId="793593C5" w:rsidR="003669FB" w:rsidRPr="00765AA3" w:rsidRDefault="003669F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765AA3">
                        <w:rPr>
                          <w:rFonts w:ascii="Cambria" w:hAnsi="Cambria" w:cs="Arial"/>
                          <w:b/>
                          <w:bCs/>
                          <w:color w:val="0D0D0D"/>
                          <w:sz w:val="36"/>
                          <w:szCs w:val="22"/>
                          <w:lang w:val="es-ES_tradnl"/>
                        </w:rPr>
                        <w:t xml:space="preserve">INFORME </w:t>
                      </w:r>
                      <w:r w:rsidRPr="00765AA3">
                        <w:rPr>
                          <w:rFonts w:ascii="Cambria" w:hAnsi="Cambria" w:cs="Arial"/>
                          <w:b/>
                          <w:bCs/>
                          <w:color w:val="0D0D0D"/>
                          <w:sz w:val="36"/>
                          <w:szCs w:val="40"/>
                          <w:lang w:val="es-ES_tradnl"/>
                        </w:rPr>
                        <w:t>No.</w:t>
                      </w:r>
                      <w:r w:rsidR="005E23C3">
                        <w:rPr>
                          <w:rFonts w:ascii="Cambria" w:hAnsi="Cambria" w:cs="Arial"/>
                          <w:b/>
                          <w:bCs/>
                          <w:color w:val="0D0D0D"/>
                          <w:sz w:val="36"/>
                          <w:szCs w:val="22"/>
                          <w:lang w:val="es-ES_tradnl"/>
                        </w:rPr>
                        <w:t xml:space="preserve"> 65</w:t>
                      </w:r>
                      <w:r w:rsidRPr="00765AA3">
                        <w:rPr>
                          <w:rFonts w:ascii="Cambria" w:hAnsi="Cambria" w:cs="Arial"/>
                          <w:b/>
                          <w:bCs/>
                          <w:color w:val="0D0D0D"/>
                          <w:sz w:val="36"/>
                          <w:szCs w:val="22"/>
                          <w:lang w:val="es-ES_tradnl"/>
                        </w:rPr>
                        <w:t>/</w:t>
                      </w:r>
                      <w:r w:rsidR="00481DDB">
                        <w:rPr>
                          <w:rFonts w:ascii="Cambria" w:hAnsi="Cambria" w:cs="Arial"/>
                          <w:b/>
                          <w:bCs/>
                          <w:color w:val="0D0D0D"/>
                          <w:sz w:val="36"/>
                          <w:szCs w:val="22"/>
                          <w:lang w:val="es-ES_tradnl"/>
                        </w:rPr>
                        <w:t>16</w:t>
                      </w:r>
                    </w:p>
                    <w:p w14:paraId="0FAC46D4" w14:textId="77777777" w:rsidR="003669FB" w:rsidRPr="00765AA3" w:rsidRDefault="003669F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765AA3">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404</w:t>
                      </w:r>
                      <w:r w:rsidRPr="00765AA3">
                        <w:rPr>
                          <w:rFonts w:ascii="Cambria" w:hAnsi="Cambria" w:cs="Arial"/>
                          <w:b/>
                          <w:color w:val="0D0D0D"/>
                          <w:sz w:val="36"/>
                          <w:szCs w:val="22"/>
                          <w:lang w:val="es-ES_tradnl"/>
                        </w:rPr>
                        <w:t>-</w:t>
                      </w:r>
                      <w:r>
                        <w:rPr>
                          <w:rFonts w:ascii="Cambria" w:hAnsi="Cambria" w:cs="Arial"/>
                          <w:b/>
                          <w:color w:val="0D0D0D"/>
                          <w:sz w:val="36"/>
                          <w:szCs w:val="22"/>
                          <w:lang w:val="es-ES_tradnl"/>
                        </w:rPr>
                        <w:t>03</w:t>
                      </w:r>
                      <w:r w:rsidRPr="00765AA3">
                        <w:rPr>
                          <w:rFonts w:ascii="Cambria" w:hAnsi="Cambria" w:cs="Arial"/>
                          <w:b/>
                          <w:color w:val="0D0D0D"/>
                          <w:sz w:val="36"/>
                          <w:szCs w:val="22"/>
                          <w:lang w:val="es-ES_tradnl"/>
                        </w:rPr>
                        <w:t xml:space="preserve"> </w:t>
                      </w:r>
                    </w:p>
                    <w:p w14:paraId="5F25F7A6" w14:textId="77777777" w:rsidR="003669FB" w:rsidRPr="00765AA3" w:rsidRDefault="003669F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765AA3">
                        <w:rPr>
                          <w:rFonts w:ascii="Cambria" w:hAnsi="Cambria" w:cs="Arial"/>
                          <w:color w:val="0D0D0D"/>
                          <w:szCs w:val="22"/>
                          <w:lang w:val="es-ES_tradnl"/>
                        </w:rPr>
                        <w:t xml:space="preserve">INFORME DE ADMISIBILIDAD </w:t>
                      </w:r>
                    </w:p>
                    <w:p w14:paraId="4E9A83D4" w14:textId="77777777" w:rsidR="003669FB" w:rsidRPr="00765AA3" w:rsidRDefault="003669F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18C044C5" w14:textId="77777777" w:rsidR="003669FB" w:rsidRPr="00765AA3" w:rsidRDefault="003669F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JOSÉ RAMÓN MEDINA RIVERA</w:t>
                      </w:r>
                    </w:p>
                    <w:bookmarkEnd w:id="1"/>
                    <w:p w14:paraId="231AEA7F" w14:textId="77777777" w:rsidR="003669FB" w:rsidRPr="00765AA3" w:rsidRDefault="003669FB"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MÉXICO</w:t>
                      </w:r>
                    </w:p>
                    <w:p w14:paraId="5AA2D510" w14:textId="77777777" w:rsidR="003669FB" w:rsidRPr="00765AA3" w:rsidRDefault="003669FB"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sidRPr="00875FF9">
        <w:rPr>
          <w:noProof/>
        </w:rPr>
        <mc:AlternateContent>
          <mc:Choice Requires="wps">
            <w:drawing>
              <wp:anchor distT="0" distB="0" distL="114300" distR="114300" simplePos="0" relativeHeight="251657216" behindDoc="0" locked="0" layoutInCell="1" allowOverlap="1" wp14:anchorId="58DCA269" wp14:editId="234F730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2CDED" w14:textId="48E5A327" w:rsidR="003669FB" w:rsidRPr="00481DDB" w:rsidRDefault="00656696"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481DDB">
                              <w:rPr>
                                <w:rFonts w:ascii="Calibri" w:hAnsi="Calibri"/>
                                <w:color w:val="FFFFFF" w:themeColor="background1"/>
                                <w:sz w:val="22"/>
                                <w:lang w:val="pt-BR"/>
                              </w:rPr>
                              <w:t>OEA/Ser.L/V/II.1</w:t>
                            </w:r>
                            <w:r w:rsidR="00481DDB">
                              <w:rPr>
                                <w:rFonts w:ascii="Calibri" w:hAnsi="Calibri"/>
                                <w:color w:val="FFFFFF" w:themeColor="background1"/>
                                <w:sz w:val="22"/>
                                <w:lang w:val="pt-BR"/>
                              </w:rPr>
                              <w:t>59</w:t>
                            </w:r>
                          </w:p>
                          <w:p w14:paraId="6C32A721" w14:textId="01F8D57F" w:rsidR="003669FB" w:rsidRPr="00481DDB" w:rsidRDefault="005E23C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Pr>
                                <w:rFonts w:ascii="Calibri" w:hAnsi="Calibri"/>
                                <w:color w:val="FFFFFF" w:themeColor="background1"/>
                                <w:sz w:val="22"/>
                                <w:lang w:val="pt-BR"/>
                              </w:rPr>
                              <w:t>Doc. 74</w:t>
                            </w:r>
                          </w:p>
                          <w:p w14:paraId="6E42995E" w14:textId="023F63F6" w:rsidR="003669FB" w:rsidRPr="00481DDB" w:rsidRDefault="005E23C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BO"/>
                              </w:rPr>
                            </w:pPr>
                            <w:r>
                              <w:rPr>
                                <w:rFonts w:ascii="Calibri" w:hAnsi="Calibri"/>
                                <w:color w:val="FFFFFF" w:themeColor="background1"/>
                                <w:sz w:val="22"/>
                                <w:lang w:val="es-BO"/>
                              </w:rPr>
                              <w:t>6 diciembre 2016</w:t>
                            </w:r>
                          </w:p>
                          <w:p w14:paraId="0C02B026" w14:textId="77777777" w:rsidR="003669FB" w:rsidRPr="00481DDB" w:rsidRDefault="003669FB"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BO"/>
                              </w:rPr>
                            </w:pPr>
                            <w:r w:rsidRPr="00481DDB">
                              <w:rPr>
                                <w:rFonts w:ascii="Calibri" w:hAnsi="Calibri"/>
                                <w:color w:val="FFFFFF" w:themeColor="background1"/>
                                <w:sz w:val="22"/>
                                <w:lang w:val="es-B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14:paraId="02D2CDED" w14:textId="48E5A327" w:rsidR="003669FB" w:rsidRPr="00481DDB" w:rsidRDefault="00656696"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481DDB">
                        <w:rPr>
                          <w:rFonts w:ascii="Calibri" w:hAnsi="Calibri"/>
                          <w:color w:val="FFFFFF" w:themeColor="background1"/>
                          <w:sz w:val="22"/>
                          <w:lang w:val="pt-BR"/>
                        </w:rPr>
                        <w:t>OEA/Ser.L/V/II.1</w:t>
                      </w:r>
                      <w:r w:rsidR="00481DDB">
                        <w:rPr>
                          <w:rFonts w:ascii="Calibri" w:hAnsi="Calibri"/>
                          <w:color w:val="FFFFFF" w:themeColor="background1"/>
                          <w:sz w:val="22"/>
                          <w:lang w:val="pt-BR"/>
                        </w:rPr>
                        <w:t>59</w:t>
                      </w:r>
                    </w:p>
                    <w:p w14:paraId="6C32A721" w14:textId="01F8D57F" w:rsidR="003669FB" w:rsidRPr="00481DDB" w:rsidRDefault="005E23C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Pr>
                          <w:rFonts w:ascii="Calibri" w:hAnsi="Calibri"/>
                          <w:color w:val="FFFFFF" w:themeColor="background1"/>
                          <w:sz w:val="22"/>
                          <w:lang w:val="pt-BR"/>
                        </w:rPr>
                        <w:t xml:space="preserve">Doc. </w:t>
                      </w:r>
                      <w:r>
                        <w:rPr>
                          <w:rFonts w:ascii="Calibri" w:hAnsi="Calibri"/>
                          <w:color w:val="FFFFFF" w:themeColor="background1"/>
                          <w:sz w:val="22"/>
                          <w:lang w:val="pt-BR"/>
                        </w:rPr>
                        <w:t>74</w:t>
                      </w:r>
                    </w:p>
                    <w:p w14:paraId="6E42995E" w14:textId="023F63F6" w:rsidR="003669FB" w:rsidRPr="00481DDB" w:rsidRDefault="005E23C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BO"/>
                        </w:rPr>
                      </w:pPr>
                      <w:r>
                        <w:rPr>
                          <w:rFonts w:ascii="Calibri" w:hAnsi="Calibri"/>
                          <w:color w:val="FFFFFF" w:themeColor="background1"/>
                          <w:sz w:val="22"/>
                          <w:lang w:val="es-BO"/>
                        </w:rPr>
                        <w:t>6 diciembre 2016</w:t>
                      </w:r>
                    </w:p>
                    <w:p w14:paraId="0C02B026" w14:textId="77777777" w:rsidR="003669FB" w:rsidRPr="00481DDB" w:rsidRDefault="003669FB"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BO"/>
                        </w:rPr>
                      </w:pPr>
                      <w:r w:rsidRPr="00481DDB">
                        <w:rPr>
                          <w:rFonts w:ascii="Calibri" w:hAnsi="Calibri"/>
                          <w:color w:val="FFFFFF" w:themeColor="background1"/>
                          <w:sz w:val="22"/>
                          <w:lang w:val="es-BO"/>
                        </w:rPr>
                        <w:t>Original: español</w:t>
                      </w:r>
                    </w:p>
                  </w:txbxContent>
                </v:textbox>
              </v:shape>
            </w:pict>
          </mc:Fallback>
        </mc:AlternateContent>
      </w:r>
    </w:p>
    <w:p w14:paraId="68A42E60"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7D940AC3"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14:paraId="336DDEA4"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1903008A"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23386223"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45198E70"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007A4199"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6D333510"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6087A6A4"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4F10C24F"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0FB3DA5"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178C0D3"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208A4F59"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7512C3FF"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6BF61674"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AC8540E"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24D76ED"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00D833C6"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0146E5F6"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17F0B63C"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088BCCB0"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76383F8F"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66EB3B4F"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694F2C93"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1D6DEC4E"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1D0F2B34"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69F92C93"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172FF692" w14:textId="77777777" w:rsidR="00A57A47" w:rsidRPr="00875FF9" w:rsidRDefault="00A124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sidRPr="00875FF9">
        <w:rPr>
          <w:noProof/>
        </w:rPr>
        <mc:AlternateContent>
          <mc:Choice Requires="wps">
            <w:drawing>
              <wp:anchor distT="0" distB="0" distL="114300" distR="114300" simplePos="0" relativeHeight="251656192" behindDoc="0" locked="0" layoutInCell="1" allowOverlap="1" wp14:anchorId="39FDC2EB" wp14:editId="572B7B4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color w:val="0D0D0D"/>
                                <w:sz w:val="18"/>
                                <w:szCs w:val="20"/>
                                <w:bdr w:val="nil"/>
                                <w:lang w:val="es-ES"/>
                              </w:rPr>
                              <w:alias w:val="Tipo de Aprobación"/>
                              <w:tag w:val="Tipo de Aprobación"/>
                              <w:id w:val="1680085251"/>
                              <w:docPartList>
                                <w:docPartGallery w:val="AutoText"/>
                                <w:docPartCategory w:val="Tipo de Aprobación"/>
                              </w:docPartList>
                            </w:sdtPr>
                            <w:sdtEndPr/>
                            <w:sdtContent>
                              <w:p w14:paraId="7985625D" w14:textId="2B8088A7" w:rsidR="005E23C3" w:rsidRPr="005E23C3" w:rsidRDefault="005E23C3" w:rsidP="005E23C3">
                                <w:pPr>
                                  <w:pBdr>
                                    <w:top w:val="nil"/>
                                    <w:left w:val="nil"/>
                                    <w:bottom w:val="nil"/>
                                    <w:right w:val="nil"/>
                                    <w:between w:val="nil"/>
                                    <w:bar w:val="nil"/>
                                  </w:pBdr>
                                  <w:tabs>
                                    <w:tab w:val="center" w:pos="5400"/>
                                  </w:tabs>
                                  <w:suppressAutoHyphens/>
                                  <w:spacing w:before="60"/>
                                  <w:rPr>
                                    <w:rFonts w:ascii="Cambria" w:hAnsi="Cambria" w:cs="Univers"/>
                                    <w:color w:val="0D0D0D"/>
                                    <w:sz w:val="18"/>
                                    <w:szCs w:val="20"/>
                                    <w:bdr w:val="nil"/>
                                    <w:lang w:val="es-ES_tradnl"/>
                                  </w:rPr>
                                </w:pPr>
                                <w:r w:rsidRPr="005E23C3">
                                  <w:rPr>
                                    <w:rFonts w:ascii="Cambria" w:hAnsi="Cambria"/>
                                    <w:color w:val="0D0D0D"/>
                                    <w:sz w:val="18"/>
                                    <w:szCs w:val="20"/>
                                    <w:bdr w:val="nil"/>
                                    <w:lang w:val="es-ES"/>
                                  </w:rPr>
                                  <w:t>Aprobado por la Comisión en su sesión No. 2070 celebrada el 6 de diciembre de 2016</w:t>
                                </w:r>
                                <w:r w:rsidR="00285054">
                                  <w:rPr>
                                    <w:rFonts w:ascii="Cambria" w:hAnsi="Cambria"/>
                                    <w:color w:val="0D0D0D"/>
                                    <w:sz w:val="18"/>
                                    <w:szCs w:val="20"/>
                                    <w:bdr w:val="nil"/>
                                    <w:lang w:val="es-ES"/>
                                  </w:rPr>
                                  <w:t>.</w:t>
                                </w:r>
                                <w:r w:rsidRPr="005E23C3">
                                  <w:rPr>
                                    <w:rFonts w:ascii="Cambria" w:hAnsi="Cambria"/>
                                    <w:color w:val="0D0D0D"/>
                                    <w:sz w:val="18"/>
                                    <w:szCs w:val="20"/>
                                    <w:bdr w:val="nil"/>
                                    <w:lang w:val="es-ES"/>
                                  </w:rPr>
                                  <w:br/>
                                </w:r>
                                <w:r w:rsidRPr="005E23C3">
                                  <w:rPr>
                                    <w:rFonts w:ascii="Cambria" w:hAnsi="Cambria" w:cs="Univers"/>
                                    <w:color w:val="0D0D0D"/>
                                    <w:sz w:val="18"/>
                                    <w:szCs w:val="20"/>
                                    <w:bdr w:val="nil"/>
                                    <w:lang w:val="es-ES_tradnl"/>
                                  </w:rPr>
                                  <w:t>159º período ordinario de sesiones</w:t>
                                </w:r>
                                <w:r w:rsidR="00285054">
                                  <w:rPr>
                                    <w:rFonts w:ascii="Cambria" w:hAnsi="Cambria" w:cs="Univers"/>
                                    <w:color w:val="0D0D0D"/>
                                    <w:sz w:val="18"/>
                                    <w:szCs w:val="20"/>
                                    <w:bdr w:val="nil"/>
                                    <w:lang w:val="es-ES_tradnl"/>
                                  </w:rPr>
                                  <w:t>.</w:t>
                                </w:r>
                              </w:p>
                              <w:p w14:paraId="0D1B89D7" w14:textId="77777777" w:rsidR="005E23C3" w:rsidRPr="005E23C3" w:rsidRDefault="00B754CC" w:rsidP="005E23C3">
                                <w:pPr>
                                  <w:pBdr>
                                    <w:top w:val="nil"/>
                                    <w:left w:val="nil"/>
                                    <w:bottom w:val="nil"/>
                                    <w:right w:val="nil"/>
                                    <w:between w:val="nil"/>
                                    <w:bar w:val="nil"/>
                                  </w:pBdr>
                                  <w:tabs>
                                    <w:tab w:val="center" w:pos="5400"/>
                                  </w:tabs>
                                  <w:suppressAutoHyphens/>
                                  <w:spacing w:before="60"/>
                                  <w:rPr>
                                    <w:rFonts w:ascii="Cambria" w:hAnsi="Cambria"/>
                                    <w:color w:val="0D0D0D"/>
                                    <w:sz w:val="18"/>
                                    <w:szCs w:val="20"/>
                                    <w:bdr w:val="nil"/>
                                    <w:lang w:val="es-ES"/>
                                  </w:rPr>
                                </w:pPr>
                              </w:p>
                            </w:sdtContent>
                          </w:sdt>
                          <w:p w14:paraId="353590FE" w14:textId="7483C0EA" w:rsidR="003669FB" w:rsidRPr="00765AA3" w:rsidRDefault="005E23C3"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r>
                              <w:rPr>
                                <w:rFonts w:ascii="Calibri" w:hAnsi="Calibri" w:cs="Univers"/>
                                <w:color w:val="0D0D0D"/>
                                <w:sz w:val="20"/>
                                <w:szCs w:val="20"/>
                                <w:lang w:val="es-ES"/>
                              </w:rPr>
                              <w:t xml:space="preserve"> </w:t>
                            </w:r>
                          </w:p>
                          <w:p w14:paraId="630840B4" w14:textId="77777777" w:rsidR="003669FB" w:rsidRPr="00765AA3" w:rsidRDefault="003669FB"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sdt>
                      <w:sdtPr>
                        <w:rPr>
                          <w:rFonts w:ascii="Cambria" w:hAnsi="Cambria"/>
                          <w:color w:val="0D0D0D"/>
                          <w:sz w:val="18"/>
                          <w:szCs w:val="20"/>
                          <w:bdr w:val="nil"/>
                          <w:lang w:val="es-ES"/>
                        </w:rPr>
                        <w:alias w:val="Tipo de Aprobación"/>
                        <w:tag w:val="Tipo de Aprobación"/>
                        <w:id w:val="1680085251"/>
                        <w:docPartList>
                          <w:docPartGallery w:val="AutoText"/>
                          <w:docPartCategory w:val="Tipo de Aprobación"/>
                        </w:docPartList>
                      </w:sdtPr>
                      <w:sdtEndPr/>
                      <w:sdtContent>
                        <w:p w14:paraId="7985625D" w14:textId="2B8088A7" w:rsidR="005E23C3" w:rsidRPr="005E23C3" w:rsidRDefault="005E23C3" w:rsidP="005E23C3">
                          <w:pPr>
                            <w:pBdr>
                              <w:top w:val="nil"/>
                              <w:left w:val="nil"/>
                              <w:bottom w:val="nil"/>
                              <w:right w:val="nil"/>
                              <w:between w:val="nil"/>
                              <w:bar w:val="nil"/>
                            </w:pBdr>
                            <w:tabs>
                              <w:tab w:val="center" w:pos="5400"/>
                            </w:tabs>
                            <w:suppressAutoHyphens/>
                            <w:spacing w:before="60"/>
                            <w:rPr>
                              <w:rFonts w:ascii="Cambria" w:hAnsi="Cambria" w:cs="Univers"/>
                              <w:color w:val="0D0D0D"/>
                              <w:sz w:val="18"/>
                              <w:szCs w:val="20"/>
                              <w:bdr w:val="nil"/>
                              <w:lang w:val="es-ES_tradnl"/>
                            </w:rPr>
                          </w:pPr>
                          <w:r w:rsidRPr="005E23C3">
                            <w:rPr>
                              <w:rFonts w:ascii="Cambria" w:hAnsi="Cambria"/>
                              <w:color w:val="0D0D0D"/>
                              <w:sz w:val="18"/>
                              <w:szCs w:val="20"/>
                              <w:bdr w:val="nil"/>
                              <w:lang w:val="es-ES"/>
                            </w:rPr>
                            <w:t>Aprobado por la Comisión en su sesión No. 2070 celebrada el 6 de diciembre de 2016</w:t>
                          </w:r>
                          <w:r w:rsidR="00285054">
                            <w:rPr>
                              <w:rFonts w:ascii="Cambria" w:hAnsi="Cambria"/>
                              <w:color w:val="0D0D0D"/>
                              <w:sz w:val="18"/>
                              <w:szCs w:val="20"/>
                              <w:bdr w:val="nil"/>
                              <w:lang w:val="es-ES"/>
                            </w:rPr>
                            <w:t>.</w:t>
                          </w:r>
                          <w:r w:rsidRPr="005E23C3">
                            <w:rPr>
                              <w:rFonts w:ascii="Cambria" w:hAnsi="Cambria"/>
                              <w:color w:val="0D0D0D"/>
                              <w:sz w:val="18"/>
                              <w:szCs w:val="20"/>
                              <w:bdr w:val="nil"/>
                              <w:lang w:val="es-ES"/>
                            </w:rPr>
                            <w:br/>
                          </w:r>
                          <w:r w:rsidRPr="005E23C3">
                            <w:rPr>
                              <w:rFonts w:ascii="Cambria" w:hAnsi="Cambria" w:cs="Univers"/>
                              <w:color w:val="0D0D0D"/>
                              <w:sz w:val="18"/>
                              <w:szCs w:val="20"/>
                              <w:bdr w:val="nil"/>
                              <w:lang w:val="es-ES_tradnl"/>
                            </w:rPr>
                            <w:t>159º período ordinario de sesiones</w:t>
                          </w:r>
                          <w:r w:rsidR="00285054">
                            <w:rPr>
                              <w:rFonts w:ascii="Cambria" w:hAnsi="Cambria" w:cs="Univers"/>
                              <w:color w:val="0D0D0D"/>
                              <w:sz w:val="18"/>
                              <w:szCs w:val="20"/>
                              <w:bdr w:val="nil"/>
                              <w:lang w:val="es-ES_tradnl"/>
                            </w:rPr>
                            <w:t>.</w:t>
                          </w:r>
                        </w:p>
                        <w:p w14:paraId="0D1B89D7" w14:textId="77777777" w:rsidR="005E23C3" w:rsidRPr="005E23C3" w:rsidRDefault="00B754CC" w:rsidP="005E23C3">
                          <w:pPr>
                            <w:pBdr>
                              <w:top w:val="nil"/>
                              <w:left w:val="nil"/>
                              <w:bottom w:val="nil"/>
                              <w:right w:val="nil"/>
                              <w:between w:val="nil"/>
                              <w:bar w:val="nil"/>
                            </w:pBdr>
                            <w:tabs>
                              <w:tab w:val="center" w:pos="5400"/>
                            </w:tabs>
                            <w:suppressAutoHyphens/>
                            <w:spacing w:before="60"/>
                            <w:rPr>
                              <w:rFonts w:ascii="Cambria" w:hAnsi="Cambria"/>
                              <w:color w:val="0D0D0D"/>
                              <w:sz w:val="18"/>
                              <w:szCs w:val="20"/>
                              <w:bdr w:val="nil"/>
                              <w:lang w:val="es-ES"/>
                            </w:rPr>
                          </w:pPr>
                        </w:p>
                      </w:sdtContent>
                    </w:sdt>
                    <w:p w14:paraId="353590FE" w14:textId="7483C0EA" w:rsidR="003669FB" w:rsidRPr="00765AA3" w:rsidRDefault="005E23C3"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r>
                        <w:rPr>
                          <w:rFonts w:ascii="Calibri" w:hAnsi="Calibri" w:cs="Univers"/>
                          <w:color w:val="0D0D0D"/>
                          <w:sz w:val="20"/>
                          <w:szCs w:val="20"/>
                          <w:lang w:val="es-ES"/>
                        </w:rPr>
                        <w:t xml:space="preserve"> </w:t>
                      </w:r>
                    </w:p>
                    <w:p w14:paraId="630840B4" w14:textId="77777777" w:rsidR="003669FB" w:rsidRPr="00765AA3" w:rsidRDefault="003669FB"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14:paraId="2612F97C"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40F9D799"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4BD0E259"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27883B0A"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304DA5C8" w14:textId="77777777" w:rsidR="00A57A47" w:rsidRPr="00875FF9" w:rsidRDefault="00A124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sidRPr="00875FF9">
        <w:rPr>
          <w:noProof/>
        </w:rPr>
        <mc:AlternateContent>
          <mc:Choice Requires="wps">
            <w:drawing>
              <wp:anchor distT="0" distB="0" distL="114300" distR="114300" simplePos="0" relativeHeight="251659264" behindDoc="0" locked="0" layoutInCell="1" allowOverlap="1" wp14:anchorId="3A2423D6" wp14:editId="177F9D9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08FD05" w14:textId="33C40A03" w:rsidR="003669FB" w:rsidRPr="00765AA3" w:rsidRDefault="003669FB"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5E23C3">
                              <w:rPr>
                                <w:rFonts w:ascii="Cambria" w:hAnsi="Cambria"/>
                                <w:b/>
                                <w:color w:val="595959"/>
                                <w:sz w:val="18"/>
                                <w:szCs w:val="18"/>
                                <w:lang w:val="pt-BR"/>
                              </w:rPr>
                              <w:t>Citar como:</w:t>
                            </w:r>
                            <w:r w:rsidRPr="005E23C3">
                              <w:rPr>
                                <w:rFonts w:ascii="Cambria" w:hAnsi="Cambria"/>
                                <w:color w:val="595959"/>
                                <w:sz w:val="18"/>
                                <w:szCs w:val="18"/>
                                <w:lang w:val="pt-BR"/>
                              </w:rPr>
                              <w:t xml:space="preserve"> CIDH, Informe No. </w:t>
                            </w:r>
                            <w:r w:rsidR="005E23C3" w:rsidRPr="005E23C3">
                              <w:rPr>
                                <w:rFonts w:ascii="Cambria" w:hAnsi="Cambria"/>
                                <w:color w:val="595959"/>
                                <w:sz w:val="18"/>
                                <w:szCs w:val="18"/>
                                <w:lang w:val="pt-BR"/>
                              </w:rPr>
                              <w:t>65/16.</w:t>
                            </w:r>
                            <w:r w:rsidRPr="005E23C3">
                              <w:rPr>
                                <w:rFonts w:ascii="Cambria" w:hAnsi="Cambria"/>
                                <w:color w:val="595959"/>
                                <w:sz w:val="18"/>
                                <w:szCs w:val="18"/>
                                <w:lang w:val="pt-BR"/>
                              </w:rPr>
                              <w:t xml:space="preserve"> </w:t>
                            </w:r>
                            <w:r w:rsidRPr="00765AA3">
                              <w:rPr>
                                <w:rFonts w:ascii="Cambria" w:hAnsi="Cambria"/>
                                <w:color w:val="595959"/>
                                <w:sz w:val="18"/>
                                <w:szCs w:val="18"/>
                                <w:lang w:val="es-ES_tradnl"/>
                              </w:rPr>
                              <w:t xml:space="preserve">Petición </w:t>
                            </w:r>
                            <w:r w:rsidR="005E23C3">
                              <w:rPr>
                                <w:rFonts w:ascii="Cambria" w:hAnsi="Cambria"/>
                                <w:color w:val="595959"/>
                                <w:sz w:val="18"/>
                                <w:szCs w:val="18"/>
                                <w:lang w:val="es-ES_tradnl"/>
                              </w:rPr>
                              <w:t>404-03.</w:t>
                            </w:r>
                            <w:r>
                              <w:rPr>
                                <w:rFonts w:ascii="Cambria" w:hAnsi="Cambria"/>
                                <w:color w:val="595959"/>
                                <w:sz w:val="18"/>
                                <w:szCs w:val="18"/>
                                <w:lang w:val="es-ES_tradnl"/>
                              </w:rPr>
                              <w:t xml:space="preserve"> </w:t>
                            </w:r>
                            <w:r w:rsidRPr="00765AA3">
                              <w:rPr>
                                <w:rFonts w:ascii="Cambria" w:hAnsi="Cambria"/>
                                <w:color w:val="595959"/>
                                <w:sz w:val="18"/>
                                <w:szCs w:val="18"/>
                                <w:lang w:val="es-ES_tradnl"/>
                              </w:rPr>
                              <w:t xml:space="preserve"> </w:t>
                            </w:r>
                            <w:r w:rsidR="005E23C3">
                              <w:rPr>
                                <w:rFonts w:ascii="Cambria" w:hAnsi="Cambria"/>
                                <w:color w:val="595959"/>
                                <w:sz w:val="18"/>
                                <w:szCs w:val="18"/>
                                <w:lang w:val="es-ES_tradnl"/>
                              </w:rPr>
                              <w:t>Admisibilidad.</w:t>
                            </w:r>
                            <w:r>
                              <w:rPr>
                                <w:rFonts w:ascii="Cambria" w:hAnsi="Cambria"/>
                                <w:color w:val="595959"/>
                                <w:sz w:val="18"/>
                                <w:szCs w:val="18"/>
                                <w:lang w:val="es-ES_tradnl"/>
                              </w:rPr>
                              <w:t xml:space="preserve"> J</w:t>
                            </w:r>
                            <w:r w:rsidR="005E23C3">
                              <w:rPr>
                                <w:rFonts w:ascii="Cambria" w:hAnsi="Cambria"/>
                                <w:color w:val="595959"/>
                                <w:sz w:val="18"/>
                                <w:szCs w:val="18"/>
                                <w:lang w:val="es-ES_tradnl"/>
                              </w:rPr>
                              <w:t>osé Ramón Medina Rivera. México.</w:t>
                            </w:r>
                            <w:r w:rsidRPr="00765AA3">
                              <w:rPr>
                                <w:rFonts w:ascii="Cambria" w:hAnsi="Cambria"/>
                                <w:color w:val="595959"/>
                                <w:sz w:val="18"/>
                                <w:szCs w:val="18"/>
                                <w:lang w:val="es-ES_tradnl"/>
                              </w:rPr>
                              <w:t xml:space="preserve"> </w:t>
                            </w:r>
                            <w:r w:rsidR="005E23C3">
                              <w:rPr>
                                <w:rFonts w:ascii="Cambria" w:hAnsi="Cambria"/>
                                <w:color w:val="595959"/>
                                <w:sz w:val="18"/>
                                <w:szCs w:val="18"/>
                                <w:lang w:val="es-ES"/>
                              </w:rPr>
                              <w:t>6 de diciembre de 2016</w:t>
                            </w:r>
                            <w:r w:rsidRPr="00765AA3">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14:paraId="7F08FD05" w14:textId="33C40A03" w:rsidR="003669FB" w:rsidRPr="00765AA3" w:rsidRDefault="003669FB"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5E23C3">
                        <w:rPr>
                          <w:rFonts w:ascii="Cambria" w:hAnsi="Cambria"/>
                          <w:b/>
                          <w:color w:val="595959"/>
                          <w:sz w:val="18"/>
                          <w:szCs w:val="18"/>
                          <w:lang w:val="pt-BR"/>
                        </w:rPr>
                        <w:t>Citar como:</w:t>
                      </w:r>
                      <w:r w:rsidRPr="005E23C3">
                        <w:rPr>
                          <w:rFonts w:ascii="Cambria" w:hAnsi="Cambria"/>
                          <w:color w:val="595959"/>
                          <w:sz w:val="18"/>
                          <w:szCs w:val="18"/>
                          <w:lang w:val="pt-BR"/>
                        </w:rPr>
                        <w:t xml:space="preserve"> CIDH, Informe No. </w:t>
                      </w:r>
                      <w:r w:rsidR="005E23C3" w:rsidRPr="005E23C3">
                        <w:rPr>
                          <w:rFonts w:ascii="Cambria" w:hAnsi="Cambria"/>
                          <w:color w:val="595959"/>
                          <w:sz w:val="18"/>
                          <w:szCs w:val="18"/>
                          <w:lang w:val="pt-BR"/>
                        </w:rPr>
                        <w:t>65/16.</w:t>
                      </w:r>
                      <w:r w:rsidRPr="005E23C3">
                        <w:rPr>
                          <w:rFonts w:ascii="Cambria" w:hAnsi="Cambria"/>
                          <w:color w:val="595959"/>
                          <w:sz w:val="18"/>
                          <w:szCs w:val="18"/>
                          <w:lang w:val="pt-BR"/>
                        </w:rPr>
                        <w:t xml:space="preserve"> </w:t>
                      </w:r>
                      <w:r w:rsidRPr="00765AA3">
                        <w:rPr>
                          <w:rFonts w:ascii="Cambria" w:hAnsi="Cambria"/>
                          <w:color w:val="595959"/>
                          <w:sz w:val="18"/>
                          <w:szCs w:val="18"/>
                          <w:lang w:val="es-ES_tradnl"/>
                        </w:rPr>
                        <w:t xml:space="preserve">Petición </w:t>
                      </w:r>
                      <w:r w:rsidR="005E23C3">
                        <w:rPr>
                          <w:rFonts w:ascii="Cambria" w:hAnsi="Cambria"/>
                          <w:color w:val="595959"/>
                          <w:sz w:val="18"/>
                          <w:szCs w:val="18"/>
                          <w:lang w:val="es-ES_tradnl"/>
                        </w:rPr>
                        <w:t>404-03.</w:t>
                      </w:r>
                      <w:r>
                        <w:rPr>
                          <w:rFonts w:ascii="Cambria" w:hAnsi="Cambria"/>
                          <w:color w:val="595959"/>
                          <w:sz w:val="18"/>
                          <w:szCs w:val="18"/>
                          <w:lang w:val="es-ES_tradnl"/>
                        </w:rPr>
                        <w:t xml:space="preserve"> </w:t>
                      </w:r>
                      <w:r w:rsidRPr="00765AA3">
                        <w:rPr>
                          <w:rFonts w:ascii="Cambria" w:hAnsi="Cambria"/>
                          <w:color w:val="595959"/>
                          <w:sz w:val="18"/>
                          <w:szCs w:val="18"/>
                          <w:lang w:val="es-ES_tradnl"/>
                        </w:rPr>
                        <w:t xml:space="preserve"> </w:t>
                      </w:r>
                      <w:r w:rsidR="005E23C3">
                        <w:rPr>
                          <w:rFonts w:ascii="Cambria" w:hAnsi="Cambria"/>
                          <w:color w:val="595959"/>
                          <w:sz w:val="18"/>
                          <w:szCs w:val="18"/>
                          <w:lang w:val="es-ES_tradnl"/>
                        </w:rPr>
                        <w:t>Admisibilidad.</w:t>
                      </w:r>
                      <w:r>
                        <w:rPr>
                          <w:rFonts w:ascii="Cambria" w:hAnsi="Cambria"/>
                          <w:color w:val="595959"/>
                          <w:sz w:val="18"/>
                          <w:szCs w:val="18"/>
                          <w:lang w:val="es-ES_tradnl"/>
                        </w:rPr>
                        <w:t xml:space="preserve"> J</w:t>
                      </w:r>
                      <w:r w:rsidR="005E23C3">
                        <w:rPr>
                          <w:rFonts w:ascii="Cambria" w:hAnsi="Cambria"/>
                          <w:color w:val="595959"/>
                          <w:sz w:val="18"/>
                          <w:szCs w:val="18"/>
                          <w:lang w:val="es-ES_tradnl"/>
                        </w:rPr>
                        <w:t>osé Ramón Medina Rivera. México.</w:t>
                      </w:r>
                      <w:r w:rsidRPr="00765AA3">
                        <w:rPr>
                          <w:rFonts w:ascii="Cambria" w:hAnsi="Cambria"/>
                          <w:color w:val="595959"/>
                          <w:sz w:val="18"/>
                          <w:szCs w:val="18"/>
                          <w:lang w:val="es-ES_tradnl"/>
                        </w:rPr>
                        <w:t xml:space="preserve"> </w:t>
                      </w:r>
                      <w:r w:rsidR="005E23C3">
                        <w:rPr>
                          <w:rFonts w:ascii="Cambria" w:hAnsi="Cambria"/>
                          <w:color w:val="595959"/>
                          <w:sz w:val="18"/>
                          <w:szCs w:val="18"/>
                          <w:lang w:val="es-ES"/>
                        </w:rPr>
                        <w:t>6 de diciembre de 2016</w:t>
                      </w:r>
                      <w:r w:rsidRPr="00765AA3">
                        <w:rPr>
                          <w:rFonts w:ascii="Cambria" w:hAnsi="Cambria"/>
                          <w:color w:val="595959"/>
                          <w:sz w:val="18"/>
                          <w:szCs w:val="18"/>
                          <w:lang w:val="es-ES"/>
                        </w:rPr>
                        <w:t>.</w:t>
                      </w:r>
                    </w:p>
                  </w:txbxContent>
                </v:textbox>
              </v:shape>
            </w:pict>
          </mc:Fallback>
        </mc:AlternateContent>
      </w:r>
    </w:p>
    <w:p w14:paraId="2DDDB782" w14:textId="77777777" w:rsidR="00A57A47" w:rsidRPr="00875FF9"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2DD5C581" w14:textId="77777777" w:rsidR="00A57A47" w:rsidRPr="00875FF9" w:rsidRDefault="00A124E2"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pPr>
      <w:r w:rsidRPr="00875FF9">
        <w:rPr>
          <w:noProof/>
        </w:rPr>
        <mc:AlternateContent>
          <mc:Choice Requires="wps">
            <w:drawing>
              <wp:anchor distT="0" distB="0" distL="114300" distR="114300" simplePos="0" relativeHeight="251660288" behindDoc="0" locked="0" layoutInCell="1" allowOverlap="1" wp14:anchorId="15CC6878" wp14:editId="5DD07E30">
                <wp:simplePos x="0" y="0"/>
                <wp:positionH relativeFrom="column">
                  <wp:posOffset>1329690</wp:posOffset>
                </wp:positionH>
                <wp:positionV relativeFrom="paragraph">
                  <wp:posOffset>638810</wp:posOffset>
                </wp:positionV>
                <wp:extent cx="4096385" cy="567055"/>
                <wp:effectExtent l="0" t="635" r="3175"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AD773D9" w14:textId="77777777" w:rsidR="003669FB" w:rsidRPr="00765AA3" w:rsidRDefault="003669FB"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4AAD8476" wp14:editId="7DBF8432">
                                  <wp:extent cx="1319530" cy="379730"/>
                                  <wp:effectExtent l="0" t="0" r="0" b="127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530" cy="3797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14:paraId="1AD773D9" w14:textId="77777777" w:rsidR="003669FB" w:rsidRPr="00765AA3" w:rsidRDefault="003669FB"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4AAD8476" wp14:editId="7DBF8432">
                            <wp:extent cx="1319530" cy="379730"/>
                            <wp:effectExtent l="0" t="0" r="0" b="127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9530" cy="379730"/>
                                    </a:xfrm>
                                    <a:prstGeom prst="rect">
                                      <a:avLst/>
                                    </a:prstGeom>
                                    <a:noFill/>
                                    <a:ln>
                                      <a:noFill/>
                                    </a:ln>
                                  </pic:spPr>
                                </pic:pic>
                              </a:graphicData>
                            </a:graphic>
                          </wp:inline>
                        </w:drawing>
                      </w:r>
                    </w:p>
                  </w:txbxContent>
                </v:textbox>
              </v:shape>
            </w:pict>
          </mc:Fallback>
        </mc:AlternateContent>
      </w:r>
      <w:r w:rsidRPr="00875FF9">
        <w:rPr>
          <w:noProof/>
        </w:rPr>
        <mc:AlternateContent>
          <mc:Choice Requires="wps">
            <w:drawing>
              <wp:anchor distT="0" distB="0" distL="114300" distR="114300" simplePos="0" relativeHeight="251661312" behindDoc="0" locked="0" layoutInCell="1" allowOverlap="1" wp14:anchorId="2285D2ED" wp14:editId="02F99FA0">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B52AC" w14:textId="77777777" w:rsidR="003669FB" w:rsidRPr="00765AA3" w:rsidRDefault="003669FB"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765AA3">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14:paraId="230B52AC" w14:textId="77777777" w:rsidR="003669FB" w:rsidRPr="00765AA3" w:rsidRDefault="003669FB"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765AA3">
                        <w:rPr>
                          <w:rFonts w:ascii="Calibri" w:hAnsi="Calibri"/>
                          <w:b/>
                          <w:color w:val="FFFFFF"/>
                          <w:lang w:val="pt-BR"/>
                        </w:rPr>
                        <w:t>www.cidh.org</w:t>
                      </w:r>
                    </w:p>
                  </w:txbxContent>
                </v:textbox>
              </v:shape>
            </w:pict>
          </mc:Fallback>
        </mc:AlternateContent>
      </w:r>
    </w:p>
    <w:p w14:paraId="7D06A014" w14:textId="77777777" w:rsidR="00A57A47" w:rsidRPr="00875FF9" w:rsidRDefault="00A57A47"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sectPr w:rsidR="00A57A47" w:rsidRPr="00875FF9"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rtlGutter/>
          <w:docGrid w:linePitch="326"/>
        </w:sectPr>
      </w:pPr>
    </w:p>
    <w:p w14:paraId="023824A4" w14:textId="0882A807" w:rsidR="00A57A47" w:rsidRPr="00875FF9" w:rsidRDefault="005E23C3"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65</w:t>
      </w:r>
      <w:r w:rsidR="00A57A47" w:rsidRPr="00875FF9">
        <w:rPr>
          <w:rFonts w:asciiTheme="majorHAnsi" w:hAnsiTheme="majorHAnsi"/>
          <w:b/>
          <w:sz w:val="18"/>
          <w:szCs w:val="20"/>
          <w:lang w:val="es-ES_tradnl"/>
        </w:rPr>
        <w:t>/1</w:t>
      </w:r>
      <w:r w:rsidR="0029535E">
        <w:rPr>
          <w:rFonts w:asciiTheme="majorHAnsi" w:hAnsiTheme="majorHAnsi"/>
          <w:b/>
          <w:sz w:val="18"/>
          <w:szCs w:val="20"/>
          <w:lang w:val="es-ES_tradnl"/>
        </w:rPr>
        <w:t>6</w:t>
      </w:r>
      <w:r w:rsidR="00153CAC" w:rsidRPr="00875FF9">
        <w:rPr>
          <w:rStyle w:val="FootnoteReference"/>
          <w:rFonts w:ascii="Cambria" w:hAnsi="Cambria"/>
          <w:sz w:val="18"/>
          <w:szCs w:val="18"/>
          <w:lang w:val="es-ES_tradnl"/>
        </w:rPr>
        <w:footnoteReference w:id="2"/>
      </w:r>
    </w:p>
    <w:p w14:paraId="3EE26758" w14:textId="77777777" w:rsidR="00A57A47" w:rsidRPr="00875FF9" w:rsidRDefault="00A57A47"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sz w:val="18"/>
          <w:szCs w:val="20"/>
          <w:lang w:val="es-ES_tradnl"/>
        </w:rPr>
      </w:pPr>
      <w:r w:rsidRPr="00875FF9">
        <w:rPr>
          <w:rFonts w:asciiTheme="majorHAnsi" w:hAnsiTheme="majorHAnsi"/>
          <w:b/>
          <w:sz w:val="18"/>
          <w:szCs w:val="20"/>
          <w:lang w:val="es-ES_tradnl"/>
        </w:rPr>
        <w:t xml:space="preserve">PETICIÓN </w:t>
      </w:r>
      <w:r w:rsidR="00203CAB" w:rsidRPr="00875FF9">
        <w:rPr>
          <w:rFonts w:asciiTheme="majorHAnsi" w:hAnsiTheme="majorHAnsi"/>
          <w:b/>
          <w:sz w:val="18"/>
          <w:szCs w:val="20"/>
          <w:lang w:val="es-ES_tradnl"/>
        </w:rPr>
        <w:t>404-03</w:t>
      </w:r>
    </w:p>
    <w:p w14:paraId="0EA3648E" w14:textId="77777777" w:rsidR="00A57A47" w:rsidRPr="00875FF9" w:rsidRDefault="00A57A47"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lang w:val="es-ES_tradnl"/>
        </w:rPr>
      </w:pPr>
      <w:r w:rsidRPr="00875FF9">
        <w:rPr>
          <w:rFonts w:asciiTheme="majorHAnsi" w:hAnsiTheme="majorHAnsi"/>
          <w:sz w:val="18"/>
          <w:szCs w:val="20"/>
          <w:lang w:val="es-ES_tradnl"/>
        </w:rPr>
        <w:t>INFORME DE ADMISIBILIDAD</w:t>
      </w:r>
    </w:p>
    <w:p w14:paraId="2D554DF0" w14:textId="77777777" w:rsidR="00A57A47" w:rsidRPr="00875FF9" w:rsidRDefault="00203CAB"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lang w:val="es-ES_tradnl"/>
        </w:rPr>
      </w:pPr>
      <w:r w:rsidRPr="00875FF9">
        <w:rPr>
          <w:rFonts w:asciiTheme="majorHAnsi" w:hAnsiTheme="majorHAnsi"/>
          <w:sz w:val="18"/>
          <w:szCs w:val="20"/>
          <w:lang w:val="es-ES_tradnl"/>
        </w:rPr>
        <w:t>JOSÉ RAMÓN MEDINA RIVERA</w:t>
      </w:r>
    </w:p>
    <w:p w14:paraId="3C9BCC6D" w14:textId="77777777" w:rsidR="00A57A47" w:rsidRPr="00875FF9" w:rsidRDefault="00203CAB"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lang w:val="es-ES_tradnl"/>
        </w:rPr>
      </w:pPr>
      <w:r w:rsidRPr="00875FF9">
        <w:rPr>
          <w:rFonts w:asciiTheme="majorHAnsi" w:hAnsiTheme="majorHAnsi"/>
          <w:sz w:val="18"/>
          <w:szCs w:val="20"/>
          <w:lang w:val="es-ES_tradnl"/>
        </w:rPr>
        <w:t>MÉXICO</w:t>
      </w:r>
    </w:p>
    <w:p w14:paraId="3FFE3C14" w14:textId="028597FD" w:rsidR="00A57A47" w:rsidRPr="00875FF9" w:rsidRDefault="005E23C3"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6 DE DICIEMBRE DE 2016</w:t>
      </w:r>
    </w:p>
    <w:p w14:paraId="175393E0" w14:textId="77777777" w:rsidR="00A57A47" w:rsidRDefault="00A57A47"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lang w:val="es-ES_tradnl"/>
        </w:rPr>
      </w:pPr>
    </w:p>
    <w:p w14:paraId="2CB0E3D7" w14:textId="77777777" w:rsidR="00481DDB" w:rsidRPr="00875FF9" w:rsidRDefault="00481DDB"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lang w:val="es-ES_tradnl"/>
        </w:rPr>
      </w:pPr>
    </w:p>
    <w:p w14:paraId="7C5CAC39" w14:textId="77777777" w:rsidR="00A57A47" w:rsidRPr="00875FF9" w:rsidRDefault="00A57A47"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ES_tradnl"/>
        </w:rPr>
      </w:pPr>
      <w:r w:rsidRPr="00875FF9">
        <w:rPr>
          <w:rFonts w:asciiTheme="majorHAnsi" w:hAnsiTheme="majorHAnsi"/>
          <w:b/>
          <w:bCs/>
          <w:sz w:val="20"/>
          <w:szCs w:val="20"/>
          <w:lang w:val="es-ES_tradnl"/>
        </w:rPr>
        <w:t>I.</w:t>
      </w:r>
      <w:r w:rsidRPr="00875FF9">
        <w:rPr>
          <w:rFonts w:asciiTheme="majorHAnsi" w:hAnsiTheme="majorHAnsi"/>
          <w:b/>
          <w:bCs/>
          <w:sz w:val="20"/>
          <w:szCs w:val="20"/>
          <w:lang w:val="es-ES_tradnl"/>
        </w:rPr>
        <w:tab/>
        <w:t>RESUMEN</w:t>
      </w:r>
    </w:p>
    <w:p w14:paraId="0A47FB39" w14:textId="7676246B" w:rsidR="002428AD" w:rsidRPr="00875FF9" w:rsidRDefault="00A57A47" w:rsidP="00182D70">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ES_tradnl"/>
        </w:rPr>
      </w:pPr>
      <w:r w:rsidRPr="00875FF9">
        <w:rPr>
          <w:rFonts w:asciiTheme="majorHAnsi" w:hAnsiTheme="majorHAnsi"/>
          <w:sz w:val="20"/>
          <w:szCs w:val="20"/>
          <w:lang w:val="es-ES_tradnl"/>
        </w:rPr>
        <w:t xml:space="preserve">El </w:t>
      </w:r>
      <w:r w:rsidR="00574114" w:rsidRPr="00875FF9">
        <w:rPr>
          <w:rFonts w:asciiTheme="majorHAnsi" w:hAnsiTheme="majorHAnsi"/>
          <w:sz w:val="20"/>
          <w:szCs w:val="20"/>
          <w:lang w:val="es-ES_tradnl"/>
        </w:rPr>
        <w:t>3 de junio de 2002 la</w:t>
      </w:r>
      <w:r w:rsidRPr="00875FF9">
        <w:rPr>
          <w:rFonts w:asciiTheme="majorHAnsi" w:hAnsiTheme="majorHAnsi"/>
          <w:sz w:val="20"/>
          <w:szCs w:val="20"/>
          <w:lang w:val="es-ES_tradnl"/>
        </w:rPr>
        <w:t xml:space="preserve"> Comisión Interamericana de Derechos Humanos (en adelante, “la Comisión Interamericana”, “la Comisión” o “la CIDH”) recibió una petición presentada por </w:t>
      </w:r>
      <w:r w:rsidR="00065D4D" w:rsidRPr="00875FF9">
        <w:rPr>
          <w:rFonts w:asciiTheme="majorHAnsi" w:hAnsiTheme="majorHAnsi"/>
          <w:sz w:val="20"/>
          <w:szCs w:val="20"/>
          <w:lang w:val="es-ES_tradnl"/>
        </w:rPr>
        <w:t>María Josefina Medina Ramírez</w:t>
      </w:r>
      <w:r w:rsidR="00574114" w:rsidRPr="00875FF9">
        <w:rPr>
          <w:rFonts w:asciiTheme="majorHAnsi" w:hAnsiTheme="majorHAnsi"/>
          <w:sz w:val="20"/>
          <w:szCs w:val="20"/>
          <w:lang w:val="es-ES_tradnl"/>
        </w:rPr>
        <w:t xml:space="preserve"> y </w:t>
      </w:r>
      <w:r w:rsidR="00844165" w:rsidRPr="00875FF9">
        <w:rPr>
          <w:rFonts w:asciiTheme="majorHAnsi" w:hAnsiTheme="majorHAnsi"/>
          <w:sz w:val="20"/>
          <w:szCs w:val="20"/>
          <w:lang w:val="es-ES_tradnl"/>
        </w:rPr>
        <w:t>José</w:t>
      </w:r>
      <w:r w:rsidR="00065D4D" w:rsidRPr="00875FF9">
        <w:rPr>
          <w:rFonts w:asciiTheme="majorHAnsi" w:hAnsiTheme="majorHAnsi"/>
          <w:sz w:val="20"/>
          <w:szCs w:val="20"/>
          <w:lang w:val="es-ES_tradnl"/>
        </w:rPr>
        <w:t xml:space="preserve"> Ramón Medina Rivera </w:t>
      </w:r>
      <w:r w:rsidRPr="00875FF9">
        <w:rPr>
          <w:rFonts w:asciiTheme="majorHAnsi" w:hAnsiTheme="majorHAnsi"/>
          <w:sz w:val="20"/>
          <w:szCs w:val="20"/>
          <w:lang w:val="es-ES_tradnl"/>
        </w:rPr>
        <w:t>(en adelante, “</w:t>
      </w:r>
      <w:r w:rsidR="00574114" w:rsidRPr="00875FF9">
        <w:rPr>
          <w:rFonts w:asciiTheme="majorHAnsi" w:hAnsiTheme="majorHAnsi"/>
          <w:sz w:val="20"/>
          <w:szCs w:val="20"/>
          <w:lang w:val="es-ES_tradnl"/>
        </w:rPr>
        <w:t xml:space="preserve">los </w:t>
      </w:r>
      <w:r w:rsidRPr="00875FF9">
        <w:rPr>
          <w:rFonts w:asciiTheme="majorHAnsi" w:hAnsiTheme="majorHAnsi"/>
          <w:sz w:val="20"/>
          <w:szCs w:val="20"/>
          <w:lang w:val="es-ES_tradnl"/>
        </w:rPr>
        <w:t>peticionario</w:t>
      </w:r>
      <w:r w:rsidR="00574114" w:rsidRPr="00875FF9">
        <w:rPr>
          <w:rFonts w:asciiTheme="majorHAnsi" w:hAnsiTheme="majorHAnsi"/>
          <w:sz w:val="20"/>
          <w:szCs w:val="20"/>
          <w:lang w:val="es-ES_tradnl"/>
        </w:rPr>
        <w:t>s</w:t>
      </w:r>
      <w:r w:rsidRPr="00875FF9">
        <w:rPr>
          <w:rFonts w:asciiTheme="majorHAnsi" w:hAnsiTheme="majorHAnsi"/>
          <w:sz w:val="20"/>
          <w:szCs w:val="20"/>
          <w:lang w:val="es-ES_tradnl"/>
        </w:rPr>
        <w:t>”) contra</w:t>
      </w:r>
      <w:r w:rsidR="00574114" w:rsidRPr="00875FF9">
        <w:rPr>
          <w:rFonts w:asciiTheme="majorHAnsi" w:hAnsiTheme="majorHAnsi"/>
          <w:sz w:val="20"/>
          <w:szCs w:val="20"/>
          <w:lang w:val="es-ES_tradnl"/>
        </w:rPr>
        <w:t xml:space="preserve"> </w:t>
      </w:r>
      <w:r w:rsidR="00BF4EC3" w:rsidRPr="00875FF9">
        <w:rPr>
          <w:rFonts w:asciiTheme="majorHAnsi" w:hAnsiTheme="majorHAnsi"/>
          <w:sz w:val="20"/>
          <w:szCs w:val="20"/>
          <w:lang w:val="es-ES_tradnl"/>
        </w:rPr>
        <w:t>el Estado d</w:t>
      </w:r>
      <w:r w:rsidR="009612FE" w:rsidRPr="00875FF9">
        <w:rPr>
          <w:rFonts w:asciiTheme="majorHAnsi" w:hAnsiTheme="majorHAnsi"/>
          <w:sz w:val="20"/>
          <w:szCs w:val="20"/>
          <w:lang w:val="es-ES_tradnl"/>
        </w:rPr>
        <w:t>e México (en adelante “México”,</w:t>
      </w:r>
      <w:r w:rsidR="00BF4EC3" w:rsidRPr="00875FF9">
        <w:rPr>
          <w:rFonts w:asciiTheme="majorHAnsi" w:hAnsiTheme="majorHAnsi"/>
          <w:sz w:val="20"/>
          <w:szCs w:val="20"/>
          <w:lang w:val="es-ES_tradnl"/>
        </w:rPr>
        <w:t xml:space="preserve"> “Estado mexicano” o “Estado”</w:t>
      </w:r>
      <w:r w:rsidR="00560D26" w:rsidRPr="00875FF9">
        <w:rPr>
          <w:rFonts w:asciiTheme="majorHAnsi" w:hAnsiTheme="majorHAnsi"/>
          <w:sz w:val="20"/>
          <w:szCs w:val="20"/>
          <w:lang w:val="es-ES_tradnl"/>
        </w:rPr>
        <w:t>)</w:t>
      </w:r>
      <w:r w:rsidR="008F518E" w:rsidRPr="00875FF9">
        <w:rPr>
          <w:rFonts w:asciiTheme="majorHAnsi" w:hAnsiTheme="majorHAnsi"/>
          <w:sz w:val="20"/>
          <w:szCs w:val="20"/>
          <w:lang w:val="es-ES_tradnl"/>
        </w:rPr>
        <w:t xml:space="preserve">. </w:t>
      </w:r>
      <w:r w:rsidR="00731759" w:rsidRPr="00875FF9">
        <w:rPr>
          <w:rFonts w:asciiTheme="majorHAnsi" w:hAnsiTheme="majorHAnsi"/>
          <w:sz w:val="20"/>
          <w:szCs w:val="20"/>
          <w:lang w:val="es-ES_tradnl"/>
        </w:rPr>
        <w:t>En la petición se alega fundamentalmente la responsabilidad internacional del Estado por</w:t>
      </w:r>
      <w:r w:rsidR="002428AD" w:rsidRPr="00875FF9">
        <w:rPr>
          <w:rFonts w:asciiTheme="majorHAnsi" w:hAnsiTheme="majorHAnsi"/>
          <w:sz w:val="20"/>
          <w:szCs w:val="20"/>
          <w:lang w:val="es-ES_tradnl"/>
        </w:rPr>
        <w:t xml:space="preserve"> la</w:t>
      </w:r>
      <w:r w:rsidR="00BF4EC3" w:rsidRPr="00875FF9">
        <w:rPr>
          <w:rFonts w:asciiTheme="majorHAnsi" w:hAnsiTheme="majorHAnsi"/>
          <w:sz w:val="20"/>
          <w:szCs w:val="20"/>
          <w:lang w:val="es-ES_tradnl"/>
        </w:rPr>
        <w:t xml:space="preserve"> </w:t>
      </w:r>
      <w:r w:rsidR="003C7097" w:rsidRPr="00875FF9">
        <w:rPr>
          <w:rFonts w:asciiTheme="majorHAnsi" w:hAnsiTheme="majorHAnsi"/>
          <w:sz w:val="20"/>
          <w:szCs w:val="20"/>
          <w:lang w:val="es-ES_tradnl"/>
        </w:rPr>
        <w:t xml:space="preserve">supuesta </w:t>
      </w:r>
      <w:r w:rsidR="00BF4EC3" w:rsidRPr="00875FF9">
        <w:rPr>
          <w:rFonts w:asciiTheme="majorHAnsi" w:hAnsiTheme="majorHAnsi"/>
          <w:sz w:val="20"/>
          <w:szCs w:val="20"/>
          <w:lang w:val="es-ES_tradnl"/>
        </w:rPr>
        <w:t>detención ilegal, actos de tortura</w:t>
      </w:r>
      <w:r w:rsidR="00844165" w:rsidRPr="00875FF9">
        <w:rPr>
          <w:rFonts w:asciiTheme="majorHAnsi" w:hAnsiTheme="majorHAnsi"/>
          <w:sz w:val="20"/>
          <w:szCs w:val="20"/>
          <w:lang w:val="es-ES_tradnl"/>
        </w:rPr>
        <w:t xml:space="preserve"> y vulneración de las garantías judiciales</w:t>
      </w:r>
      <w:r w:rsidR="00BF4EC3" w:rsidRPr="00875FF9">
        <w:rPr>
          <w:rFonts w:asciiTheme="majorHAnsi" w:hAnsiTheme="majorHAnsi"/>
          <w:sz w:val="20"/>
          <w:szCs w:val="20"/>
          <w:lang w:val="es-ES_tradnl"/>
        </w:rPr>
        <w:t xml:space="preserve"> en </w:t>
      </w:r>
      <w:r w:rsidR="00844165" w:rsidRPr="00875FF9">
        <w:rPr>
          <w:rFonts w:asciiTheme="majorHAnsi" w:hAnsiTheme="majorHAnsi"/>
          <w:sz w:val="20"/>
          <w:szCs w:val="20"/>
          <w:lang w:val="es-ES_tradnl"/>
        </w:rPr>
        <w:t>perjuicio</w:t>
      </w:r>
      <w:r w:rsidR="00BF4EC3" w:rsidRPr="00875FF9">
        <w:rPr>
          <w:rFonts w:asciiTheme="majorHAnsi" w:hAnsiTheme="majorHAnsi"/>
          <w:sz w:val="20"/>
          <w:szCs w:val="20"/>
          <w:lang w:val="es-ES_tradnl"/>
        </w:rPr>
        <w:t xml:space="preserve"> d</w:t>
      </w:r>
      <w:r w:rsidR="00844165" w:rsidRPr="00875FF9">
        <w:rPr>
          <w:rFonts w:asciiTheme="majorHAnsi" w:hAnsiTheme="majorHAnsi"/>
          <w:sz w:val="20"/>
          <w:szCs w:val="20"/>
          <w:lang w:val="es-ES_tradnl"/>
        </w:rPr>
        <w:t>e</w:t>
      </w:r>
      <w:r w:rsidR="00AE0EDC">
        <w:rPr>
          <w:rFonts w:asciiTheme="majorHAnsi" w:hAnsiTheme="majorHAnsi"/>
          <w:sz w:val="20"/>
          <w:szCs w:val="20"/>
          <w:lang w:val="es-ES_tradnl"/>
        </w:rPr>
        <w:t xml:space="preserve"> </w:t>
      </w:r>
      <w:r w:rsidR="00844165" w:rsidRPr="00875FF9">
        <w:rPr>
          <w:rFonts w:asciiTheme="majorHAnsi" w:hAnsiTheme="majorHAnsi"/>
          <w:sz w:val="20"/>
          <w:szCs w:val="20"/>
          <w:lang w:val="es-ES_tradnl"/>
        </w:rPr>
        <w:t xml:space="preserve">José Ramón Medina Rivera </w:t>
      </w:r>
      <w:r w:rsidR="00731759" w:rsidRPr="00875FF9">
        <w:rPr>
          <w:rFonts w:asciiTheme="majorHAnsi" w:hAnsiTheme="majorHAnsi"/>
          <w:sz w:val="20"/>
          <w:szCs w:val="20"/>
          <w:lang w:val="es-ES_tradnl"/>
        </w:rPr>
        <w:t xml:space="preserve">(en adelante, “la presunta víctima”). </w:t>
      </w:r>
      <w:r w:rsidR="00560D26" w:rsidRPr="00875FF9">
        <w:rPr>
          <w:rFonts w:asciiTheme="majorHAnsi" w:hAnsiTheme="majorHAnsi"/>
          <w:sz w:val="20"/>
          <w:szCs w:val="20"/>
          <w:lang w:val="es-ES_tradnl"/>
        </w:rPr>
        <w:t xml:space="preserve"> </w:t>
      </w:r>
    </w:p>
    <w:p w14:paraId="067D7E92" w14:textId="367CF073" w:rsidR="00986BEA" w:rsidRPr="00875FF9" w:rsidRDefault="00B10875" w:rsidP="00986BEA">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ES_tradnl"/>
        </w:rPr>
      </w:pPr>
      <w:r w:rsidRPr="00875FF9">
        <w:rPr>
          <w:rFonts w:asciiTheme="majorHAnsi" w:eastAsia="SimSun" w:hAnsiTheme="majorHAnsi"/>
          <w:sz w:val="20"/>
          <w:szCs w:val="20"/>
          <w:lang w:val="es-ES_tradnl"/>
        </w:rPr>
        <w:t>Los peticionarios</w:t>
      </w:r>
      <w:r w:rsidR="00A57A47" w:rsidRPr="00875FF9">
        <w:rPr>
          <w:rFonts w:asciiTheme="majorHAnsi" w:eastAsia="SimSun" w:hAnsiTheme="majorHAnsi"/>
          <w:sz w:val="20"/>
          <w:szCs w:val="20"/>
          <w:lang w:val="es-ES_tradnl"/>
        </w:rPr>
        <w:t xml:space="preserve"> </w:t>
      </w:r>
      <w:r w:rsidR="00844165" w:rsidRPr="00875FF9">
        <w:rPr>
          <w:rFonts w:asciiTheme="majorHAnsi" w:eastAsia="SimSun" w:hAnsiTheme="majorHAnsi"/>
          <w:sz w:val="20"/>
          <w:szCs w:val="20"/>
          <w:lang w:val="es-ES_tradnl"/>
        </w:rPr>
        <w:t xml:space="preserve">indican que </w:t>
      </w:r>
      <w:r w:rsidR="00AE0EDC">
        <w:rPr>
          <w:rFonts w:asciiTheme="majorHAnsi" w:eastAsia="SimSun" w:hAnsiTheme="majorHAnsi"/>
          <w:sz w:val="20"/>
          <w:szCs w:val="20"/>
          <w:lang w:val="es-ES_tradnl"/>
        </w:rPr>
        <w:t>la presunta víctima</w:t>
      </w:r>
      <w:r w:rsidR="00844165" w:rsidRPr="00875FF9">
        <w:rPr>
          <w:rFonts w:asciiTheme="majorHAnsi" w:eastAsia="SimSun" w:hAnsiTheme="majorHAnsi"/>
          <w:sz w:val="20"/>
          <w:szCs w:val="20"/>
          <w:lang w:val="es-ES_tradnl"/>
        </w:rPr>
        <w:t xml:space="preserve"> </w:t>
      </w:r>
      <w:r w:rsidR="003946CA" w:rsidRPr="00875FF9">
        <w:rPr>
          <w:rFonts w:asciiTheme="majorHAnsi" w:eastAsia="SimSun" w:hAnsiTheme="majorHAnsi"/>
          <w:sz w:val="20"/>
          <w:szCs w:val="20"/>
          <w:lang w:val="es-ES_tradnl"/>
        </w:rPr>
        <w:t>fue</w:t>
      </w:r>
      <w:r w:rsidR="00844165" w:rsidRPr="00875FF9">
        <w:rPr>
          <w:rFonts w:asciiTheme="majorHAnsi" w:eastAsia="SimSun" w:hAnsiTheme="majorHAnsi"/>
          <w:sz w:val="20"/>
          <w:szCs w:val="20"/>
          <w:lang w:val="es-ES_tradnl"/>
        </w:rPr>
        <w:t xml:space="preserve"> privad</w:t>
      </w:r>
      <w:r w:rsidR="00AE0EDC">
        <w:rPr>
          <w:rFonts w:asciiTheme="majorHAnsi" w:eastAsia="SimSun" w:hAnsiTheme="majorHAnsi"/>
          <w:sz w:val="20"/>
          <w:szCs w:val="20"/>
          <w:lang w:val="es-ES_tradnl"/>
        </w:rPr>
        <w:t>a</w:t>
      </w:r>
      <w:r w:rsidR="00844165" w:rsidRPr="00875FF9">
        <w:rPr>
          <w:rFonts w:asciiTheme="majorHAnsi" w:eastAsia="SimSun" w:hAnsiTheme="majorHAnsi"/>
          <w:sz w:val="20"/>
          <w:szCs w:val="20"/>
          <w:lang w:val="es-ES_tradnl"/>
        </w:rPr>
        <w:t xml:space="preserve"> indebidament</w:t>
      </w:r>
      <w:r w:rsidR="00F91F56" w:rsidRPr="00875FF9">
        <w:rPr>
          <w:rFonts w:asciiTheme="majorHAnsi" w:eastAsia="SimSun" w:hAnsiTheme="majorHAnsi"/>
          <w:sz w:val="20"/>
          <w:szCs w:val="20"/>
          <w:lang w:val="es-ES_tradnl"/>
        </w:rPr>
        <w:t>e de su libertad y torturad</w:t>
      </w:r>
      <w:r w:rsidR="00AE0EDC">
        <w:rPr>
          <w:rFonts w:asciiTheme="majorHAnsi" w:eastAsia="SimSun" w:hAnsiTheme="majorHAnsi"/>
          <w:sz w:val="20"/>
          <w:szCs w:val="20"/>
          <w:lang w:val="es-ES_tradnl"/>
        </w:rPr>
        <w:t>a</w:t>
      </w:r>
      <w:r w:rsidR="00844165" w:rsidRPr="00875FF9">
        <w:rPr>
          <w:rFonts w:asciiTheme="majorHAnsi" w:eastAsia="SimSun" w:hAnsiTheme="majorHAnsi"/>
          <w:sz w:val="20"/>
          <w:szCs w:val="20"/>
          <w:lang w:val="es-ES_tradnl"/>
        </w:rPr>
        <w:t xml:space="preserve"> </w:t>
      </w:r>
      <w:r w:rsidR="00F84A5C" w:rsidRPr="00875FF9">
        <w:rPr>
          <w:rFonts w:asciiTheme="majorHAnsi" w:eastAsia="SimSun" w:hAnsiTheme="majorHAnsi"/>
          <w:sz w:val="20"/>
          <w:szCs w:val="20"/>
          <w:lang w:val="es-ES_tradnl"/>
        </w:rPr>
        <w:t xml:space="preserve">por </w:t>
      </w:r>
      <w:r w:rsidR="00844165" w:rsidRPr="00875FF9">
        <w:rPr>
          <w:rFonts w:asciiTheme="majorHAnsi" w:eastAsia="SimSun" w:hAnsiTheme="majorHAnsi"/>
          <w:sz w:val="20"/>
          <w:szCs w:val="20"/>
          <w:lang w:val="es-ES_tradnl"/>
        </w:rPr>
        <w:t xml:space="preserve">un grupo de policías del </w:t>
      </w:r>
      <w:r w:rsidR="00AE0EDC">
        <w:rPr>
          <w:rFonts w:asciiTheme="majorHAnsi" w:eastAsia="SimSun" w:hAnsiTheme="majorHAnsi"/>
          <w:sz w:val="20"/>
          <w:szCs w:val="20"/>
          <w:lang w:val="es-ES_tradnl"/>
        </w:rPr>
        <w:t>E</w:t>
      </w:r>
      <w:r w:rsidR="00844165" w:rsidRPr="00875FF9">
        <w:rPr>
          <w:rFonts w:asciiTheme="majorHAnsi" w:eastAsia="SimSun" w:hAnsiTheme="majorHAnsi"/>
          <w:sz w:val="20"/>
          <w:szCs w:val="20"/>
          <w:lang w:val="es-ES_tradnl"/>
        </w:rPr>
        <w:t>stado de</w:t>
      </w:r>
      <w:r w:rsidR="003946CA" w:rsidRPr="00875FF9">
        <w:rPr>
          <w:rFonts w:asciiTheme="majorHAnsi" w:eastAsia="SimSun" w:hAnsiTheme="majorHAnsi"/>
          <w:sz w:val="20"/>
          <w:szCs w:val="20"/>
          <w:lang w:val="es-ES_tradnl"/>
        </w:rPr>
        <w:t xml:space="preserve"> Nayarit con la finalidad que</w:t>
      </w:r>
      <w:r w:rsidR="00844165" w:rsidRPr="00875FF9">
        <w:rPr>
          <w:rFonts w:asciiTheme="majorHAnsi" w:eastAsia="SimSun" w:hAnsiTheme="majorHAnsi"/>
          <w:sz w:val="20"/>
          <w:szCs w:val="20"/>
          <w:lang w:val="es-ES_tradnl"/>
        </w:rPr>
        <w:t xml:space="preserve"> </w:t>
      </w:r>
      <w:r w:rsidR="00F84A5C" w:rsidRPr="00875FF9">
        <w:rPr>
          <w:rFonts w:asciiTheme="majorHAnsi" w:eastAsia="SimSun" w:hAnsiTheme="majorHAnsi"/>
          <w:sz w:val="20"/>
          <w:szCs w:val="20"/>
          <w:lang w:val="es-ES_tradnl"/>
        </w:rPr>
        <w:t xml:space="preserve">se </w:t>
      </w:r>
      <w:r w:rsidR="003946CA" w:rsidRPr="00875FF9">
        <w:rPr>
          <w:rFonts w:asciiTheme="majorHAnsi" w:eastAsia="SimSun" w:hAnsiTheme="majorHAnsi"/>
          <w:sz w:val="20"/>
          <w:szCs w:val="20"/>
          <w:lang w:val="es-ES_tradnl"/>
        </w:rPr>
        <w:t>declarara</w:t>
      </w:r>
      <w:r w:rsidR="00844165" w:rsidRPr="00875FF9">
        <w:rPr>
          <w:rFonts w:asciiTheme="majorHAnsi" w:eastAsia="SimSun" w:hAnsiTheme="majorHAnsi"/>
          <w:sz w:val="20"/>
          <w:szCs w:val="20"/>
          <w:lang w:val="es-ES_tradnl"/>
        </w:rPr>
        <w:t xml:space="preserve"> </w:t>
      </w:r>
      <w:r w:rsidR="00F84A5C" w:rsidRPr="00875FF9">
        <w:rPr>
          <w:rFonts w:asciiTheme="majorHAnsi" w:eastAsia="SimSun" w:hAnsiTheme="majorHAnsi"/>
          <w:sz w:val="20"/>
          <w:szCs w:val="20"/>
          <w:lang w:val="es-ES_tradnl"/>
        </w:rPr>
        <w:t>responsable por delitos</w:t>
      </w:r>
      <w:r w:rsidR="003C7097" w:rsidRPr="00875FF9">
        <w:rPr>
          <w:rFonts w:asciiTheme="majorHAnsi" w:eastAsia="SimSun" w:hAnsiTheme="majorHAnsi"/>
          <w:sz w:val="20"/>
          <w:szCs w:val="20"/>
          <w:lang w:val="es-ES_tradnl"/>
        </w:rPr>
        <w:t xml:space="preserve"> de homicidio y lesiones agravadas</w:t>
      </w:r>
      <w:r w:rsidR="00F84A5C" w:rsidRPr="00875FF9">
        <w:rPr>
          <w:rFonts w:asciiTheme="majorHAnsi" w:eastAsia="SimSun" w:hAnsiTheme="majorHAnsi"/>
          <w:sz w:val="20"/>
          <w:szCs w:val="20"/>
          <w:lang w:val="es-ES_tradnl"/>
        </w:rPr>
        <w:t>,</w:t>
      </w:r>
      <w:r w:rsidR="00844165" w:rsidRPr="00875FF9">
        <w:rPr>
          <w:rFonts w:asciiTheme="majorHAnsi" w:eastAsia="SimSun" w:hAnsiTheme="majorHAnsi"/>
          <w:sz w:val="20"/>
          <w:szCs w:val="20"/>
          <w:lang w:val="es-ES_tradnl"/>
        </w:rPr>
        <w:t xml:space="preserve"> </w:t>
      </w:r>
      <w:r w:rsidR="003C7097" w:rsidRPr="00875FF9">
        <w:rPr>
          <w:rFonts w:asciiTheme="majorHAnsi" w:eastAsia="SimSun" w:hAnsiTheme="majorHAnsi"/>
          <w:sz w:val="20"/>
          <w:szCs w:val="20"/>
          <w:lang w:val="es-ES_tradnl"/>
        </w:rPr>
        <w:t xml:space="preserve">de los cuales </w:t>
      </w:r>
      <w:r w:rsidR="000A67A7" w:rsidRPr="00875FF9">
        <w:rPr>
          <w:rFonts w:asciiTheme="majorHAnsi" w:eastAsia="SimSun" w:hAnsiTheme="majorHAnsi"/>
          <w:sz w:val="20"/>
          <w:szCs w:val="20"/>
          <w:lang w:val="es-ES_tradnl"/>
        </w:rPr>
        <w:t>alega ser</w:t>
      </w:r>
      <w:r w:rsidR="003946CA" w:rsidRPr="00875FF9">
        <w:rPr>
          <w:rFonts w:asciiTheme="majorHAnsi" w:eastAsia="SimSun" w:hAnsiTheme="majorHAnsi"/>
          <w:sz w:val="20"/>
          <w:szCs w:val="20"/>
          <w:lang w:val="es-ES_tradnl"/>
        </w:rPr>
        <w:t xml:space="preserve"> inocente. A</w:t>
      </w:r>
      <w:r w:rsidR="00844165" w:rsidRPr="00875FF9">
        <w:rPr>
          <w:rFonts w:asciiTheme="majorHAnsi" w:eastAsia="SimSun" w:hAnsiTheme="majorHAnsi"/>
          <w:sz w:val="20"/>
          <w:szCs w:val="20"/>
          <w:lang w:val="es-ES_tradnl"/>
        </w:rPr>
        <w:t>simismo</w:t>
      </w:r>
      <w:r w:rsidR="003946CA" w:rsidRPr="00875FF9">
        <w:rPr>
          <w:rFonts w:asciiTheme="majorHAnsi" w:eastAsia="SimSun" w:hAnsiTheme="majorHAnsi"/>
          <w:sz w:val="20"/>
          <w:szCs w:val="20"/>
          <w:lang w:val="es-ES_tradnl"/>
        </w:rPr>
        <w:t>,</w:t>
      </w:r>
      <w:r w:rsidR="00844165" w:rsidRPr="00875FF9">
        <w:rPr>
          <w:rFonts w:asciiTheme="majorHAnsi" w:eastAsia="SimSun" w:hAnsiTheme="majorHAnsi"/>
          <w:sz w:val="20"/>
          <w:szCs w:val="20"/>
          <w:lang w:val="es-ES_tradnl"/>
        </w:rPr>
        <w:t xml:space="preserve"> señalan que durante el proceso </w:t>
      </w:r>
      <w:r w:rsidR="00F84A5C" w:rsidRPr="00875FF9">
        <w:rPr>
          <w:rFonts w:asciiTheme="majorHAnsi" w:eastAsia="SimSun" w:hAnsiTheme="majorHAnsi"/>
          <w:sz w:val="20"/>
          <w:szCs w:val="20"/>
          <w:lang w:val="es-ES_tradnl"/>
        </w:rPr>
        <w:t>instruido</w:t>
      </w:r>
      <w:r w:rsidR="00E46B2C" w:rsidRPr="00875FF9">
        <w:rPr>
          <w:rFonts w:asciiTheme="majorHAnsi" w:eastAsia="SimSun" w:hAnsiTheme="majorHAnsi"/>
          <w:sz w:val="20"/>
          <w:szCs w:val="20"/>
          <w:lang w:val="es-ES_tradnl"/>
        </w:rPr>
        <w:t xml:space="preserve"> en su contra</w:t>
      </w:r>
      <w:r w:rsidR="00844165" w:rsidRPr="00875FF9">
        <w:rPr>
          <w:rFonts w:asciiTheme="majorHAnsi" w:eastAsia="SimSun" w:hAnsiTheme="majorHAnsi"/>
          <w:sz w:val="20"/>
          <w:szCs w:val="20"/>
          <w:lang w:val="es-ES_tradnl"/>
        </w:rPr>
        <w:t xml:space="preserve"> se </w:t>
      </w:r>
      <w:r w:rsidR="003946CA" w:rsidRPr="00875FF9">
        <w:rPr>
          <w:rFonts w:asciiTheme="majorHAnsi" w:eastAsia="SimSun" w:hAnsiTheme="majorHAnsi"/>
          <w:sz w:val="20"/>
          <w:szCs w:val="20"/>
          <w:lang w:val="es-ES_tradnl"/>
        </w:rPr>
        <w:t>vulneraron</w:t>
      </w:r>
      <w:r w:rsidR="00E46B2C" w:rsidRPr="00875FF9">
        <w:rPr>
          <w:rFonts w:asciiTheme="majorHAnsi" w:eastAsia="SimSun" w:hAnsiTheme="majorHAnsi"/>
          <w:sz w:val="20"/>
          <w:szCs w:val="20"/>
          <w:lang w:val="es-ES_tradnl"/>
        </w:rPr>
        <w:t xml:space="preserve"> sus garantías individuales</w:t>
      </w:r>
      <w:r w:rsidR="0034256B" w:rsidRPr="00875FF9">
        <w:rPr>
          <w:rFonts w:asciiTheme="majorHAnsi" w:eastAsia="SimSun" w:hAnsiTheme="majorHAnsi"/>
          <w:sz w:val="20"/>
          <w:szCs w:val="20"/>
          <w:lang w:val="es-ES_tradnl"/>
        </w:rPr>
        <w:t>.</w:t>
      </w:r>
      <w:r w:rsidR="00F84A5C" w:rsidRPr="00875FF9">
        <w:rPr>
          <w:rFonts w:asciiTheme="majorHAnsi" w:eastAsia="SimSun" w:hAnsiTheme="majorHAnsi"/>
          <w:sz w:val="20"/>
          <w:szCs w:val="20"/>
          <w:lang w:val="es-ES_tradnl"/>
        </w:rPr>
        <w:t xml:space="preserve"> </w:t>
      </w:r>
      <w:r w:rsidR="009612FE" w:rsidRPr="00875FF9">
        <w:rPr>
          <w:rFonts w:asciiTheme="majorHAnsi" w:eastAsia="SimSun" w:hAnsiTheme="majorHAnsi"/>
          <w:sz w:val="20"/>
          <w:szCs w:val="20"/>
          <w:lang w:val="es-ES_tradnl"/>
        </w:rPr>
        <w:t>Alegan</w:t>
      </w:r>
      <w:r w:rsidR="0034256B" w:rsidRPr="00875FF9">
        <w:rPr>
          <w:rFonts w:asciiTheme="majorHAnsi" w:eastAsia="SimSun" w:hAnsiTheme="majorHAnsi"/>
          <w:sz w:val="20"/>
          <w:szCs w:val="20"/>
          <w:lang w:val="es-ES_tradnl"/>
        </w:rPr>
        <w:t xml:space="preserve"> que</w:t>
      </w:r>
      <w:r w:rsidR="003946CA" w:rsidRPr="00875FF9">
        <w:rPr>
          <w:rFonts w:asciiTheme="majorHAnsi" w:eastAsia="SimSun" w:hAnsiTheme="majorHAnsi"/>
          <w:sz w:val="20"/>
          <w:szCs w:val="20"/>
          <w:lang w:val="es-ES_tradnl"/>
        </w:rPr>
        <w:t>,</w:t>
      </w:r>
      <w:r w:rsidR="0034256B" w:rsidRPr="00875FF9">
        <w:rPr>
          <w:rFonts w:asciiTheme="majorHAnsi" w:eastAsia="SimSun" w:hAnsiTheme="majorHAnsi"/>
          <w:sz w:val="20"/>
          <w:szCs w:val="20"/>
          <w:lang w:val="es-ES_tradnl"/>
        </w:rPr>
        <w:t xml:space="preserve"> a pesar de haber interpuesto múltiples recursos</w:t>
      </w:r>
      <w:r w:rsidR="00AE0EDC">
        <w:rPr>
          <w:rFonts w:asciiTheme="majorHAnsi" w:eastAsia="SimSun" w:hAnsiTheme="majorHAnsi"/>
          <w:sz w:val="20"/>
          <w:szCs w:val="20"/>
          <w:lang w:val="es-ES_tradnl"/>
        </w:rPr>
        <w:t>,</w:t>
      </w:r>
      <w:r w:rsidR="003946CA" w:rsidRPr="00875FF9">
        <w:rPr>
          <w:rFonts w:asciiTheme="majorHAnsi" w:eastAsia="SimSun" w:hAnsiTheme="majorHAnsi"/>
          <w:sz w:val="20"/>
          <w:szCs w:val="20"/>
          <w:lang w:val="es-ES_tradnl"/>
        </w:rPr>
        <w:t xml:space="preserve"> é</w:t>
      </w:r>
      <w:r w:rsidR="0034256B" w:rsidRPr="00875FF9">
        <w:rPr>
          <w:rFonts w:asciiTheme="majorHAnsi" w:eastAsia="SimSun" w:hAnsiTheme="majorHAnsi"/>
          <w:sz w:val="20"/>
          <w:szCs w:val="20"/>
          <w:lang w:val="es-ES_tradnl"/>
        </w:rPr>
        <w:t xml:space="preserve">stos no </w:t>
      </w:r>
      <w:r w:rsidR="003946CA" w:rsidRPr="00875FF9">
        <w:rPr>
          <w:rFonts w:asciiTheme="majorHAnsi" w:eastAsia="SimSun" w:hAnsiTheme="majorHAnsi"/>
          <w:sz w:val="20"/>
          <w:szCs w:val="20"/>
          <w:lang w:val="es-ES_tradnl"/>
        </w:rPr>
        <w:t>fueron</w:t>
      </w:r>
      <w:r w:rsidR="0034256B" w:rsidRPr="00875FF9">
        <w:rPr>
          <w:rFonts w:asciiTheme="majorHAnsi" w:eastAsia="SimSun" w:hAnsiTheme="majorHAnsi"/>
          <w:sz w:val="20"/>
          <w:szCs w:val="20"/>
          <w:lang w:val="es-ES_tradnl"/>
        </w:rPr>
        <w:t xml:space="preserve"> eficaces</w:t>
      </w:r>
      <w:r w:rsidR="00F84A5C" w:rsidRPr="00875FF9">
        <w:rPr>
          <w:rFonts w:asciiTheme="majorHAnsi" w:eastAsia="SimSun" w:hAnsiTheme="majorHAnsi"/>
          <w:sz w:val="20"/>
          <w:szCs w:val="20"/>
          <w:lang w:val="es-ES_tradnl"/>
        </w:rPr>
        <w:t xml:space="preserve"> por lo que considera</w:t>
      </w:r>
      <w:r w:rsidR="00DA2558" w:rsidRPr="00875FF9">
        <w:rPr>
          <w:rFonts w:asciiTheme="majorHAnsi" w:eastAsia="SimSun" w:hAnsiTheme="majorHAnsi"/>
          <w:sz w:val="20"/>
          <w:szCs w:val="20"/>
          <w:lang w:val="es-ES_tradnl"/>
        </w:rPr>
        <w:t>n</w:t>
      </w:r>
      <w:r w:rsidR="00F84A5C" w:rsidRPr="00875FF9">
        <w:rPr>
          <w:rFonts w:asciiTheme="majorHAnsi" w:eastAsia="SimSun" w:hAnsiTheme="majorHAnsi"/>
          <w:sz w:val="20"/>
          <w:szCs w:val="20"/>
          <w:lang w:val="es-ES_tradnl"/>
        </w:rPr>
        <w:t xml:space="preserve"> </w:t>
      </w:r>
      <w:r w:rsidR="00690D7C" w:rsidRPr="00875FF9">
        <w:rPr>
          <w:rFonts w:asciiTheme="majorHAnsi" w:eastAsia="SimSun" w:hAnsiTheme="majorHAnsi"/>
          <w:sz w:val="20"/>
          <w:szCs w:val="20"/>
          <w:lang w:val="es-ES_tradnl"/>
        </w:rPr>
        <w:t xml:space="preserve">aplicable la excepción </w:t>
      </w:r>
      <w:r w:rsidR="003946CA" w:rsidRPr="00875FF9">
        <w:rPr>
          <w:rFonts w:asciiTheme="majorHAnsi" w:eastAsia="SimSun" w:hAnsiTheme="majorHAnsi"/>
          <w:sz w:val="20"/>
          <w:szCs w:val="20"/>
          <w:lang w:val="es-ES_tradnl"/>
        </w:rPr>
        <w:t>al</w:t>
      </w:r>
      <w:r w:rsidR="00C43963" w:rsidRPr="00875FF9">
        <w:rPr>
          <w:rFonts w:asciiTheme="majorHAnsi" w:eastAsia="SimSun" w:hAnsiTheme="majorHAnsi"/>
          <w:sz w:val="20"/>
          <w:szCs w:val="20"/>
          <w:lang w:val="es-ES_tradnl"/>
        </w:rPr>
        <w:t xml:space="preserve"> agotamiento de los recursos interno</w:t>
      </w:r>
      <w:r w:rsidR="00690D7C" w:rsidRPr="00875FF9">
        <w:rPr>
          <w:rFonts w:asciiTheme="majorHAnsi" w:eastAsia="SimSun" w:hAnsiTheme="majorHAnsi"/>
          <w:sz w:val="20"/>
          <w:szCs w:val="20"/>
          <w:lang w:val="es-ES_tradnl"/>
        </w:rPr>
        <w:t xml:space="preserve">s prevista en el artículo </w:t>
      </w:r>
      <w:r w:rsidR="00E46B2C" w:rsidRPr="00875FF9">
        <w:rPr>
          <w:rFonts w:asciiTheme="majorHAnsi" w:eastAsia="SimSun" w:hAnsiTheme="majorHAnsi"/>
          <w:sz w:val="20"/>
          <w:szCs w:val="20"/>
          <w:lang w:val="es-ES_tradnl"/>
        </w:rPr>
        <w:t>46.2.a</w:t>
      </w:r>
      <w:r w:rsidR="00C43963" w:rsidRPr="00875FF9">
        <w:rPr>
          <w:rFonts w:asciiTheme="majorHAnsi" w:eastAsia="SimSun" w:hAnsiTheme="majorHAnsi"/>
          <w:sz w:val="20"/>
          <w:szCs w:val="20"/>
          <w:lang w:val="es-ES_tradnl"/>
        </w:rPr>
        <w:t xml:space="preserve"> de la </w:t>
      </w:r>
      <w:r w:rsidR="00C43963" w:rsidRPr="00875FF9">
        <w:rPr>
          <w:rFonts w:asciiTheme="majorHAnsi" w:hAnsiTheme="majorHAnsi"/>
          <w:sz w:val="20"/>
          <w:szCs w:val="20"/>
          <w:lang w:val="es-ES_tradnl"/>
        </w:rPr>
        <w:t xml:space="preserve">Convención Americana sobre Derechos Humanos </w:t>
      </w:r>
      <w:r w:rsidR="00C43963" w:rsidRPr="00875FF9">
        <w:rPr>
          <w:rFonts w:asciiTheme="majorHAnsi" w:eastAsia="SimSun" w:hAnsiTheme="majorHAnsi"/>
          <w:sz w:val="20"/>
          <w:szCs w:val="20"/>
          <w:lang w:val="es-ES_tradnl"/>
        </w:rPr>
        <w:t>(en adelante, “la Convención Americana” o “la Convención”)</w:t>
      </w:r>
      <w:r w:rsidR="00C43963" w:rsidRPr="00875FF9">
        <w:rPr>
          <w:rFonts w:asciiTheme="majorHAnsi" w:hAnsiTheme="majorHAnsi"/>
          <w:sz w:val="20"/>
          <w:szCs w:val="20"/>
          <w:lang w:val="es-ES_tradnl"/>
        </w:rPr>
        <w:t>.</w:t>
      </w:r>
      <w:r w:rsidR="00A57A47" w:rsidRPr="00875FF9">
        <w:rPr>
          <w:rFonts w:asciiTheme="majorHAnsi" w:eastAsia="SimSun" w:hAnsiTheme="majorHAnsi"/>
          <w:sz w:val="20"/>
          <w:szCs w:val="20"/>
          <w:lang w:val="es-ES_tradnl"/>
        </w:rPr>
        <w:t xml:space="preserve"> </w:t>
      </w:r>
    </w:p>
    <w:p w14:paraId="176D57BF" w14:textId="71D21184" w:rsidR="00A57A47" w:rsidRPr="00875FF9" w:rsidRDefault="009612FE" w:rsidP="00986BEA">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ES_tradnl"/>
        </w:rPr>
      </w:pPr>
      <w:r w:rsidRPr="00875FF9">
        <w:rPr>
          <w:rFonts w:asciiTheme="majorHAnsi" w:eastAsia="SimSun" w:hAnsiTheme="majorHAnsi"/>
          <w:sz w:val="20"/>
          <w:szCs w:val="20"/>
          <w:lang w:val="es-ES_tradnl"/>
        </w:rPr>
        <w:t>El</w:t>
      </w:r>
      <w:r w:rsidR="00203CAB" w:rsidRPr="00875FF9">
        <w:rPr>
          <w:rFonts w:asciiTheme="majorHAnsi" w:eastAsia="SimSun" w:hAnsiTheme="majorHAnsi"/>
          <w:sz w:val="20"/>
          <w:szCs w:val="20"/>
          <w:lang w:val="es-ES_tradnl"/>
        </w:rPr>
        <w:t xml:space="preserve"> </w:t>
      </w:r>
      <w:r w:rsidR="00690D7C" w:rsidRPr="00875FF9">
        <w:rPr>
          <w:rFonts w:asciiTheme="majorHAnsi" w:eastAsia="SimSun" w:hAnsiTheme="majorHAnsi"/>
          <w:sz w:val="20"/>
          <w:szCs w:val="20"/>
          <w:lang w:val="es-ES_tradnl"/>
        </w:rPr>
        <w:t xml:space="preserve">Estado </w:t>
      </w:r>
      <w:r w:rsidR="0034256B" w:rsidRPr="00875FF9">
        <w:rPr>
          <w:rFonts w:asciiTheme="majorHAnsi" w:eastAsia="SimSun" w:hAnsiTheme="majorHAnsi"/>
          <w:sz w:val="20"/>
          <w:szCs w:val="20"/>
          <w:lang w:val="es-ES_tradnl"/>
        </w:rPr>
        <w:t>aduce</w:t>
      </w:r>
      <w:r w:rsidR="00690D7C" w:rsidRPr="00875FF9">
        <w:rPr>
          <w:rFonts w:asciiTheme="majorHAnsi" w:eastAsia="SimSun" w:hAnsiTheme="majorHAnsi"/>
          <w:sz w:val="20"/>
          <w:szCs w:val="20"/>
          <w:lang w:val="es-ES_tradnl"/>
        </w:rPr>
        <w:t xml:space="preserve"> que el </w:t>
      </w:r>
      <w:r w:rsidRPr="00875FF9">
        <w:rPr>
          <w:rFonts w:asciiTheme="majorHAnsi" w:eastAsia="SimSun" w:hAnsiTheme="majorHAnsi"/>
          <w:sz w:val="20"/>
          <w:szCs w:val="20"/>
          <w:lang w:val="es-ES_tradnl"/>
        </w:rPr>
        <w:t xml:space="preserve">proceso seguido contra </w:t>
      </w:r>
      <w:r w:rsidR="00AE0EDC">
        <w:rPr>
          <w:rFonts w:asciiTheme="majorHAnsi" w:eastAsia="SimSun" w:hAnsiTheme="majorHAnsi"/>
          <w:sz w:val="20"/>
          <w:szCs w:val="20"/>
          <w:lang w:val="es-ES_tradnl"/>
        </w:rPr>
        <w:t>la presunta víctima</w:t>
      </w:r>
      <w:r w:rsidR="00690D7C" w:rsidRPr="00875FF9">
        <w:rPr>
          <w:rFonts w:asciiTheme="majorHAnsi" w:eastAsia="SimSun" w:hAnsiTheme="majorHAnsi"/>
          <w:sz w:val="20"/>
          <w:szCs w:val="20"/>
          <w:lang w:val="es-ES_tradnl"/>
        </w:rPr>
        <w:t xml:space="preserve"> se </w:t>
      </w:r>
      <w:r w:rsidR="0034256B" w:rsidRPr="00875FF9">
        <w:rPr>
          <w:rFonts w:asciiTheme="majorHAnsi" w:eastAsia="SimSun" w:hAnsiTheme="majorHAnsi"/>
          <w:sz w:val="20"/>
          <w:szCs w:val="20"/>
          <w:lang w:val="es-ES_tradnl"/>
        </w:rPr>
        <w:t>resolvió de manera adecuada en la jurisdicción interna, con</w:t>
      </w:r>
      <w:r w:rsidR="00690D7C" w:rsidRPr="00875FF9">
        <w:rPr>
          <w:rFonts w:asciiTheme="majorHAnsi" w:eastAsia="SimSun" w:hAnsiTheme="majorHAnsi"/>
          <w:sz w:val="20"/>
          <w:szCs w:val="20"/>
          <w:lang w:val="es-ES_tradnl"/>
        </w:rPr>
        <w:t xml:space="preserve"> apego a las obligaciones internacionales derivadas de la Convención</w:t>
      </w:r>
      <w:r w:rsidR="00A465BF" w:rsidRPr="00875FF9">
        <w:rPr>
          <w:rFonts w:asciiTheme="majorHAnsi" w:eastAsia="SimSun" w:hAnsiTheme="majorHAnsi"/>
          <w:sz w:val="20"/>
          <w:szCs w:val="20"/>
          <w:lang w:val="es-ES_tradnl"/>
        </w:rPr>
        <w:t>,</w:t>
      </w:r>
      <w:r w:rsidR="00023404" w:rsidRPr="00875FF9">
        <w:rPr>
          <w:rFonts w:asciiTheme="majorHAnsi" w:eastAsia="SimSun" w:hAnsiTheme="majorHAnsi"/>
          <w:sz w:val="20"/>
          <w:szCs w:val="20"/>
          <w:lang w:val="es-ES_tradnl"/>
        </w:rPr>
        <w:t xml:space="preserve"> </w:t>
      </w:r>
      <w:r w:rsidR="00690D7C" w:rsidRPr="00875FF9">
        <w:rPr>
          <w:rFonts w:asciiTheme="majorHAnsi" w:eastAsia="SimSun" w:hAnsiTheme="majorHAnsi"/>
          <w:sz w:val="20"/>
          <w:szCs w:val="20"/>
          <w:lang w:val="es-ES_tradnl"/>
        </w:rPr>
        <w:t xml:space="preserve">por lo que no se exponen hechos que </w:t>
      </w:r>
      <w:r w:rsidRPr="00875FF9">
        <w:rPr>
          <w:rFonts w:asciiTheme="majorHAnsi" w:eastAsia="SimSun" w:hAnsiTheme="majorHAnsi"/>
          <w:sz w:val="20"/>
          <w:szCs w:val="20"/>
          <w:lang w:val="es-ES_tradnl"/>
        </w:rPr>
        <w:t xml:space="preserve">constituyan </w:t>
      </w:r>
      <w:r w:rsidR="00690D7C" w:rsidRPr="00875FF9">
        <w:rPr>
          <w:rFonts w:asciiTheme="majorHAnsi" w:eastAsia="SimSun" w:hAnsiTheme="majorHAnsi"/>
          <w:sz w:val="20"/>
          <w:szCs w:val="20"/>
          <w:lang w:val="es-ES_tradnl"/>
        </w:rPr>
        <w:t xml:space="preserve">violaciones a </w:t>
      </w:r>
      <w:r w:rsidR="00AE0EDC">
        <w:rPr>
          <w:rFonts w:asciiTheme="majorHAnsi" w:eastAsia="SimSun" w:hAnsiTheme="majorHAnsi"/>
          <w:sz w:val="20"/>
          <w:szCs w:val="20"/>
          <w:lang w:val="es-ES_tradnl"/>
        </w:rPr>
        <w:t>sus</w:t>
      </w:r>
      <w:r w:rsidR="00690D7C" w:rsidRPr="00875FF9">
        <w:rPr>
          <w:rFonts w:asciiTheme="majorHAnsi" w:eastAsia="SimSun" w:hAnsiTheme="majorHAnsi"/>
          <w:sz w:val="20"/>
          <w:szCs w:val="20"/>
          <w:lang w:val="es-ES_tradnl"/>
        </w:rPr>
        <w:t xml:space="preserve"> derechos humanos</w:t>
      </w:r>
      <w:r w:rsidR="003946CA" w:rsidRPr="00875FF9">
        <w:rPr>
          <w:rFonts w:asciiTheme="majorHAnsi" w:eastAsia="SimSun" w:hAnsiTheme="majorHAnsi"/>
          <w:sz w:val="20"/>
          <w:szCs w:val="20"/>
          <w:lang w:val="es-ES_tradnl"/>
        </w:rPr>
        <w:t>.</w:t>
      </w:r>
      <w:r w:rsidRPr="00875FF9">
        <w:rPr>
          <w:rFonts w:asciiTheme="majorHAnsi" w:eastAsia="SimSun" w:hAnsiTheme="majorHAnsi"/>
          <w:sz w:val="20"/>
          <w:szCs w:val="20"/>
          <w:lang w:val="es-ES_tradnl"/>
        </w:rPr>
        <w:t xml:space="preserve"> </w:t>
      </w:r>
      <w:r w:rsidR="003946CA" w:rsidRPr="00875FF9">
        <w:rPr>
          <w:rFonts w:asciiTheme="majorHAnsi" w:eastAsia="SimSun" w:hAnsiTheme="majorHAnsi"/>
          <w:sz w:val="20"/>
          <w:szCs w:val="20"/>
          <w:lang w:val="es-ES_tradnl"/>
        </w:rPr>
        <w:t xml:space="preserve">Alega </w:t>
      </w:r>
      <w:r w:rsidRPr="00875FF9">
        <w:rPr>
          <w:rFonts w:asciiTheme="majorHAnsi" w:eastAsia="SimSun" w:hAnsiTheme="majorHAnsi"/>
          <w:sz w:val="20"/>
          <w:szCs w:val="20"/>
          <w:lang w:val="es-ES_tradnl"/>
        </w:rPr>
        <w:t>además</w:t>
      </w:r>
      <w:r w:rsidR="00AE455E" w:rsidRPr="00875FF9">
        <w:rPr>
          <w:rFonts w:asciiTheme="majorHAnsi" w:eastAsia="SimSun" w:hAnsiTheme="majorHAnsi"/>
          <w:sz w:val="20"/>
          <w:szCs w:val="20"/>
          <w:lang w:val="es-ES_tradnl"/>
        </w:rPr>
        <w:t xml:space="preserve"> </w:t>
      </w:r>
      <w:r w:rsidR="003946CA" w:rsidRPr="00875FF9">
        <w:rPr>
          <w:rFonts w:asciiTheme="majorHAnsi" w:eastAsia="SimSun" w:hAnsiTheme="majorHAnsi"/>
          <w:sz w:val="20"/>
          <w:szCs w:val="20"/>
          <w:lang w:val="es-ES_tradnl"/>
        </w:rPr>
        <w:t>que, a pesar de haber tenido</w:t>
      </w:r>
      <w:r w:rsidR="001E542B" w:rsidRPr="00875FF9">
        <w:rPr>
          <w:rFonts w:asciiTheme="majorHAnsi" w:eastAsia="SimSun" w:hAnsiTheme="majorHAnsi"/>
          <w:sz w:val="20"/>
          <w:szCs w:val="20"/>
          <w:lang w:val="es-ES_tradnl"/>
        </w:rPr>
        <w:t xml:space="preserve"> acceso a todos los recursos </w:t>
      </w:r>
      <w:r w:rsidR="004959EB" w:rsidRPr="00875FF9">
        <w:rPr>
          <w:rFonts w:asciiTheme="majorHAnsi" w:eastAsia="SimSun" w:hAnsiTheme="majorHAnsi"/>
          <w:sz w:val="20"/>
          <w:szCs w:val="20"/>
          <w:lang w:val="es-ES_tradnl"/>
        </w:rPr>
        <w:t>legales aplicables</w:t>
      </w:r>
      <w:r w:rsidR="00EC1BCA" w:rsidRPr="00875FF9">
        <w:rPr>
          <w:rFonts w:asciiTheme="majorHAnsi" w:eastAsia="SimSun" w:hAnsiTheme="majorHAnsi"/>
          <w:sz w:val="20"/>
          <w:szCs w:val="20"/>
          <w:lang w:val="es-ES_tradnl"/>
        </w:rPr>
        <w:t>,</w:t>
      </w:r>
      <w:r w:rsidR="00F91F56" w:rsidRPr="00875FF9">
        <w:rPr>
          <w:rFonts w:asciiTheme="majorHAnsi" w:eastAsia="SimSun" w:hAnsiTheme="majorHAnsi"/>
          <w:sz w:val="20"/>
          <w:szCs w:val="20"/>
          <w:lang w:val="es-ES_tradnl"/>
        </w:rPr>
        <w:t xml:space="preserve"> </w:t>
      </w:r>
      <w:r w:rsidR="00857032" w:rsidRPr="00875FF9">
        <w:rPr>
          <w:rFonts w:asciiTheme="majorHAnsi" w:eastAsia="SimSun" w:hAnsiTheme="majorHAnsi"/>
          <w:sz w:val="20"/>
          <w:szCs w:val="20"/>
          <w:lang w:val="es-ES_tradnl"/>
        </w:rPr>
        <w:t>los peticionarios no agotaron</w:t>
      </w:r>
      <w:r w:rsidR="00582DDD">
        <w:rPr>
          <w:rFonts w:asciiTheme="majorHAnsi" w:eastAsia="SimSun" w:hAnsiTheme="majorHAnsi"/>
          <w:sz w:val="20"/>
          <w:szCs w:val="20"/>
          <w:lang w:val="es-ES_tradnl"/>
        </w:rPr>
        <w:t xml:space="preserve"> los recursos adecuados</w:t>
      </w:r>
      <w:r w:rsidR="00F91F56" w:rsidRPr="00875FF9">
        <w:rPr>
          <w:rFonts w:asciiTheme="majorHAnsi" w:eastAsia="SimSun" w:hAnsiTheme="majorHAnsi"/>
          <w:sz w:val="20"/>
          <w:szCs w:val="20"/>
          <w:lang w:val="es-ES_tradnl"/>
        </w:rPr>
        <w:t xml:space="preserve">. </w:t>
      </w:r>
      <w:r w:rsidR="00AE455E" w:rsidRPr="00875FF9">
        <w:rPr>
          <w:rFonts w:asciiTheme="majorHAnsi" w:eastAsia="SimSun" w:hAnsiTheme="majorHAnsi"/>
          <w:sz w:val="20"/>
          <w:szCs w:val="20"/>
          <w:lang w:val="es-ES_tradnl"/>
        </w:rPr>
        <w:t>Por otra parte,</w:t>
      </w:r>
      <w:r w:rsidR="00F91F56" w:rsidRPr="00875FF9">
        <w:rPr>
          <w:rFonts w:asciiTheme="majorHAnsi" w:eastAsia="SimSun" w:hAnsiTheme="majorHAnsi"/>
          <w:sz w:val="20"/>
          <w:szCs w:val="20"/>
          <w:lang w:val="es-ES_tradnl"/>
        </w:rPr>
        <w:t xml:space="preserve"> señala</w:t>
      </w:r>
      <w:r w:rsidR="00203CAB" w:rsidRPr="00875FF9">
        <w:rPr>
          <w:rFonts w:asciiTheme="majorHAnsi" w:eastAsia="SimSun" w:hAnsiTheme="majorHAnsi"/>
          <w:sz w:val="20"/>
          <w:szCs w:val="20"/>
          <w:lang w:val="es-ES_tradnl"/>
        </w:rPr>
        <w:t xml:space="preserve"> que la petición se </w:t>
      </w:r>
      <w:r w:rsidR="003946CA" w:rsidRPr="00875FF9">
        <w:rPr>
          <w:rFonts w:asciiTheme="majorHAnsi" w:eastAsia="SimSun" w:hAnsiTheme="majorHAnsi"/>
          <w:sz w:val="20"/>
          <w:szCs w:val="20"/>
          <w:lang w:val="es-ES_tradnl"/>
        </w:rPr>
        <w:t>presentó</w:t>
      </w:r>
      <w:r w:rsidR="00AE455E" w:rsidRPr="00875FF9">
        <w:rPr>
          <w:rFonts w:asciiTheme="majorHAnsi" w:eastAsia="SimSun" w:hAnsiTheme="majorHAnsi"/>
          <w:sz w:val="20"/>
          <w:szCs w:val="20"/>
          <w:lang w:val="es-ES_tradnl"/>
        </w:rPr>
        <w:t xml:space="preserve"> </w:t>
      </w:r>
      <w:r w:rsidR="0034256B" w:rsidRPr="00875FF9">
        <w:rPr>
          <w:rFonts w:asciiTheme="majorHAnsi" w:eastAsia="SimSun" w:hAnsiTheme="majorHAnsi"/>
          <w:sz w:val="20"/>
          <w:szCs w:val="20"/>
          <w:lang w:val="es-ES_tradnl"/>
        </w:rPr>
        <w:t>excediendo el plazo de</w:t>
      </w:r>
      <w:r w:rsidR="00203CAB" w:rsidRPr="00875FF9">
        <w:rPr>
          <w:rFonts w:asciiTheme="majorHAnsi" w:eastAsia="SimSun" w:hAnsiTheme="majorHAnsi"/>
          <w:sz w:val="20"/>
          <w:szCs w:val="20"/>
          <w:lang w:val="es-ES_tradnl"/>
        </w:rPr>
        <w:t xml:space="preserve"> seis meses previstos en la Convención</w:t>
      </w:r>
      <w:r w:rsidR="001E542B" w:rsidRPr="00875FF9">
        <w:rPr>
          <w:rFonts w:asciiTheme="majorHAnsi" w:eastAsia="SimSun" w:hAnsiTheme="majorHAnsi"/>
          <w:sz w:val="20"/>
          <w:szCs w:val="20"/>
          <w:lang w:val="es-ES_tradnl"/>
        </w:rPr>
        <w:t>, por lo que debe ser</w:t>
      </w:r>
      <w:r w:rsidR="003A4359">
        <w:rPr>
          <w:rFonts w:asciiTheme="majorHAnsi" w:eastAsia="SimSun" w:hAnsiTheme="majorHAnsi"/>
          <w:sz w:val="20"/>
          <w:szCs w:val="20"/>
          <w:lang w:val="es-ES_tradnl"/>
        </w:rPr>
        <w:t xml:space="preserve"> declarada</w:t>
      </w:r>
      <w:r w:rsidR="001E542B" w:rsidRPr="00875FF9">
        <w:rPr>
          <w:rFonts w:asciiTheme="majorHAnsi" w:eastAsia="SimSun" w:hAnsiTheme="majorHAnsi"/>
          <w:sz w:val="20"/>
          <w:szCs w:val="20"/>
          <w:lang w:val="es-ES_tradnl"/>
        </w:rPr>
        <w:t xml:space="preserve"> inadmisible de acuerdo con el artículo 46.1.a </w:t>
      </w:r>
      <w:r w:rsidR="00203CAB" w:rsidRPr="00875FF9">
        <w:rPr>
          <w:rFonts w:asciiTheme="majorHAnsi" w:eastAsia="SimSun" w:hAnsiTheme="majorHAnsi"/>
          <w:sz w:val="20"/>
          <w:szCs w:val="20"/>
          <w:lang w:val="es-ES_tradnl"/>
        </w:rPr>
        <w:t xml:space="preserve"> y 46.1.b </w:t>
      </w:r>
      <w:r w:rsidR="001E542B" w:rsidRPr="00875FF9">
        <w:rPr>
          <w:rFonts w:asciiTheme="majorHAnsi" w:eastAsia="SimSun" w:hAnsiTheme="majorHAnsi"/>
          <w:sz w:val="20"/>
          <w:szCs w:val="20"/>
          <w:lang w:val="es-ES_tradnl"/>
        </w:rPr>
        <w:t>de</w:t>
      </w:r>
      <w:r w:rsidR="00203CAB" w:rsidRPr="00875FF9">
        <w:rPr>
          <w:rFonts w:asciiTheme="majorHAnsi" w:eastAsia="SimSun" w:hAnsiTheme="majorHAnsi"/>
          <w:sz w:val="20"/>
          <w:szCs w:val="20"/>
          <w:lang w:val="es-ES_tradnl"/>
        </w:rPr>
        <w:t>l mismo instrumento</w:t>
      </w:r>
      <w:r w:rsidR="00C43963" w:rsidRPr="00875FF9">
        <w:rPr>
          <w:rFonts w:asciiTheme="majorHAnsi" w:hAnsiTheme="majorHAnsi"/>
          <w:sz w:val="20"/>
          <w:szCs w:val="20"/>
          <w:lang w:val="es-ES_tradnl"/>
        </w:rPr>
        <w:t>.</w:t>
      </w:r>
    </w:p>
    <w:p w14:paraId="58CBF069" w14:textId="729FB742" w:rsidR="00A57A47" w:rsidRPr="00875FF9" w:rsidRDefault="00A57A47" w:rsidP="00DA2558">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ES_tradnl"/>
        </w:rPr>
      </w:pPr>
      <w:r w:rsidRPr="00875FF9">
        <w:rPr>
          <w:rFonts w:asciiTheme="majorHAnsi" w:hAnsiTheme="majorHAnsi"/>
          <w:sz w:val="20"/>
          <w:szCs w:val="20"/>
          <w:lang w:val="es-ES_tradnl"/>
        </w:rPr>
        <w:t>Sin prejuzgar sobre el fondo de la denuncia, tras analizar</w:t>
      </w:r>
      <w:r w:rsidRPr="00875FF9">
        <w:rPr>
          <w:rFonts w:asciiTheme="majorHAnsi" w:hAnsiTheme="majorHAnsi"/>
          <w:color w:val="FF0000"/>
          <w:sz w:val="20"/>
          <w:szCs w:val="20"/>
          <w:lang w:val="es-ES_tradnl"/>
        </w:rPr>
        <w:t xml:space="preserve"> </w:t>
      </w:r>
      <w:r w:rsidRPr="00875FF9">
        <w:rPr>
          <w:rFonts w:asciiTheme="majorHAnsi" w:hAnsiTheme="majorHAnsi"/>
          <w:sz w:val="20"/>
          <w:szCs w:val="20"/>
          <w:lang w:val="es-ES_tradnl"/>
        </w:rPr>
        <w:t xml:space="preserve">las posiciones de las partes y en cumplimiento de los requisitos previstos en los artículos 46 y 47 de la Convención Americana, la Comisión decide declarar el caso </w:t>
      </w:r>
      <w:r w:rsidR="00B02892" w:rsidRPr="00875FF9">
        <w:rPr>
          <w:rFonts w:asciiTheme="majorHAnsi" w:hAnsiTheme="majorHAnsi"/>
          <w:sz w:val="20"/>
          <w:szCs w:val="20"/>
          <w:lang w:val="es-ES_tradnl"/>
        </w:rPr>
        <w:t>admisible</w:t>
      </w:r>
      <w:r w:rsidR="0019555C" w:rsidRPr="00875FF9">
        <w:rPr>
          <w:rFonts w:asciiTheme="majorHAnsi" w:hAnsiTheme="majorHAnsi"/>
          <w:sz w:val="20"/>
          <w:szCs w:val="20"/>
          <w:lang w:val="es-ES_tradnl"/>
        </w:rPr>
        <w:t xml:space="preserve"> a efectos del examen</w:t>
      </w:r>
      <w:r w:rsidR="00B02892" w:rsidRPr="00875FF9">
        <w:rPr>
          <w:rFonts w:asciiTheme="majorHAnsi" w:hAnsiTheme="majorHAnsi"/>
          <w:sz w:val="20"/>
          <w:szCs w:val="20"/>
          <w:lang w:val="es-ES_tradnl"/>
        </w:rPr>
        <w:t xml:space="preserve"> de los alegatos relativos a</w:t>
      </w:r>
      <w:r w:rsidR="0019555C" w:rsidRPr="00875FF9">
        <w:rPr>
          <w:rFonts w:asciiTheme="majorHAnsi" w:hAnsiTheme="majorHAnsi"/>
          <w:sz w:val="20"/>
          <w:szCs w:val="20"/>
          <w:lang w:val="es-ES_tradnl"/>
        </w:rPr>
        <w:t xml:space="preserve"> la presunta violación de los derechos consagrados en los artículos</w:t>
      </w:r>
      <w:r w:rsidR="00F94583" w:rsidRPr="00875FF9">
        <w:rPr>
          <w:rFonts w:asciiTheme="majorHAnsi" w:hAnsiTheme="majorHAnsi"/>
          <w:sz w:val="20"/>
          <w:szCs w:val="20"/>
          <w:lang w:val="es-ES_tradnl"/>
        </w:rPr>
        <w:t xml:space="preserve"> </w:t>
      </w:r>
      <w:r w:rsidR="00203CAB" w:rsidRPr="00875FF9">
        <w:rPr>
          <w:rFonts w:asciiTheme="majorHAnsi" w:hAnsiTheme="majorHAnsi"/>
          <w:sz w:val="20"/>
          <w:szCs w:val="20"/>
          <w:lang w:val="es-ES_tradnl"/>
        </w:rPr>
        <w:t xml:space="preserve">5 (Derecho a la integridad personal), </w:t>
      </w:r>
      <w:r w:rsidR="00F94583" w:rsidRPr="00875FF9">
        <w:rPr>
          <w:rFonts w:asciiTheme="majorHAnsi" w:hAnsiTheme="majorHAnsi"/>
          <w:sz w:val="20"/>
          <w:szCs w:val="20"/>
          <w:lang w:val="es-ES_tradnl"/>
        </w:rPr>
        <w:t>7</w:t>
      </w:r>
      <w:r w:rsidR="003E6A46" w:rsidRPr="00875FF9">
        <w:rPr>
          <w:rFonts w:asciiTheme="majorHAnsi" w:hAnsiTheme="majorHAnsi"/>
          <w:sz w:val="20"/>
          <w:szCs w:val="20"/>
          <w:lang w:val="es-ES_tradnl"/>
        </w:rPr>
        <w:t xml:space="preserve"> </w:t>
      </w:r>
      <w:r w:rsidR="00F94583" w:rsidRPr="00875FF9">
        <w:rPr>
          <w:rFonts w:asciiTheme="majorHAnsi" w:hAnsiTheme="majorHAnsi"/>
          <w:sz w:val="20"/>
          <w:szCs w:val="20"/>
          <w:lang w:val="es-ES_tradnl"/>
        </w:rPr>
        <w:t>(Derecho a la libertad pers</w:t>
      </w:r>
      <w:r w:rsidR="003A4359">
        <w:rPr>
          <w:rFonts w:asciiTheme="majorHAnsi" w:hAnsiTheme="majorHAnsi"/>
          <w:sz w:val="20"/>
          <w:szCs w:val="20"/>
          <w:lang w:val="es-ES_tradnl"/>
        </w:rPr>
        <w:t>onal), 8 (Garantías judiciales)</w:t>
      </w:r>
      <w:r w:rsidR="00F94583" w:rsidRPr="00875FF9">
        <w:rPr>
          <w:rFonts w:asciiTheme="majorHAnsi" w:hAnsiTheme="majorHAnsi"/>
          <w:sz w:val="20"/>
          <w:szCs w:val="20"/>
          <w:lang w:val="es-ES_tradnl"/>
        </w:rPr>
        <w:t xml:space="preserve"> y 25 (Protección judicial)</w:t>
      </w:r>
      <w:r w:rsidR="00B02892" w:rsidRPr="00875FF9">
        <w:rPr>
          <w:rFonts w:asciiTheme="majorHAnsi" w:hAnsiTheme="majorHAnsi"/>
          <w:sz w:val="20"/>
          <w:szCs w:val="20"/>
          <w:lang w:val="es-ES_tradnl"/>
        </w:rPr>
        <w:t>,</w:t>
      </w:r>
      <w:r w:rsidR="00F94583" w:rsidRPr="00875FF9">
        <w:rPr>
          <w:rFonts w:asciiTheme="majorHAnsi" w:hAnsiTheme="majorHAnsi"/>
          <w:sz w:val="20"/>
          <w:szCs w:val="20"/>
          <w:lang w:val="es-ES_tradnl"/>
        </w:rPr>
        <w:t xml:space="preserve"> en relación con </w:t>
      </w:r>
      <w:r w:rsidR="00203CAB" w:rsidRPr="00875FF9">
        <w:rPr>
          <w:rFonts w:asciiTheme="majorHAnsi" w:hAnsiTheme="majorHAnsi"/>
          <w:sz w:val="20"/>
          <w:szCs w:val="20"/>
          <w:lang w:val="es-ES_tradnl"/>
        </w:rPr>
        <w:t xml:space="preserve">el artículo </w:t>
      </w:r>
      <w:r w:rsidR="00F94583" w:rsidRPr="00875FF9">
        <w:rPr>
          <w:rFonts w:asciiTheme="majorHAnsi" w:hAnsiTheme="majorHAnsi"/>
          <w:sz w:val="20"/>
          <w:szCs w:val="20"/>
          <w:lang w:val="es-ES_tradnl"/>
        </w:rPr>
        <w:t>1.</w:t>
      </w:r>
      <w:r w:rsidR="00203CAB" w:rsidRPr="00875FF9">
        <w:rPr>
          <w:rFonts w:asciiTheme="majorHAnsi" w:hAnsiTheme="majorHAnsi"/>
          <w:sz w:val="20"/>
          <w:szCs w:val="20"/>
          <w:lang w:val="es-ES_tradnl"/>
        </w:rPr>
        <w:t xml:space="preserve">1 </w:t>
      </w:r>
      <w:r w:rsidR="005478D3" w:rsidRPr="00875FF9">
        <w:rPr>
          <w:rFonts w:asciiTheme="majorHAnsi" w:hAnsiTheme="majorHAnsi"/>
          <w:sz w:val="20"/>
          <w:szCs w:val="20"/>
          <w:lang w:val="es-ES_tradnl"/>
        </w:rPr>
        <w:t>de la misma</w:t>
      </w:r>
      <w:r w:rsidRPr="00875FF9">
        <w:rPr>
          <w:rFonts w:asciiTheme="majorHAnsi" w:hAnsiTheme="majorHAnsi"/>
          <w:sz w:val="20"/>
          <w:szCs w:val="20"/>
          <w:lang w:val="es-ES_tradnl"/>
        </w:rPr>
        <w:t>.</w:t>
      </w:r>
      <w:r w:rsidR="00DA2558" w:rsidRPr="00875FF9">
        <w:rPr>
          <w:rFonts w:asciiTheme="majorHAnsi" w:hAnsiTheme="majorHAnsi"/>
          <w:sz w:val="20"/>
          <w:szCs w:val="20"/>
          <w:lang w:val="es-ES_tradnl"/>
        </w:rPr>
        <w:t xml:space="preserve"> De igual manera, decidió declarar admisible la petición respecto de la presunta violación de los derechos consagrados en los artículos 1, 6 y 8 de la Convención Interamericana para Prevenir y Sancionar la Tortura. Finalmente, l</w:t>
      </w:r>
      <w:r w:rsidRPr="00875FF9">
        <w:rPr>
          <w:rFonts w:asciiTheme="majorHAnsi" w:hAnsiTheme="majorHAnsi"/>
          <w:sz w:val="20"/>
          <w:szCs w:val="20"/>
          <w:lang w:val="es-ES_tradnl"/>
        </w:rPr>
        <w:t>a Comisión decide además notificar esta decisión a las partes, publicarla e incluirla en su Informe Anual para la Asamblea General de la OEA.</w:t>
      </w:r>
    </w:p>
    <w:p w14:paraId="22D2C490" w14:textId="77777777" w:rsidR="00986BEA" w:rsidRPr="00875FF9" w:rsidRDefault="00A57A47" w:rsidP="00986BEA">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UY"/>
        </w:rPr>
      </w:pPr>
      <w:r w:rsidRPr="00875FF9">
        <w:rPr>
          <w:rFonts w:asciiTheme="majorHAnsi" w:hAnsiTheme="majorHAnsi"/>
          <w:b/>
          <w:bCs/>
          <w:sz w:val="20"/>
          <w:szCs w:val="20"/>
          <w:lang w:val="es-ES_tradnl"/>
        </w:rPr>
        <w:t>II.</w:t>
      </w:r>
      <w:r w:rsidRPr="00875FF9">
        <w:rPr>
          <w:rFonts w:asciiTheme="majorHAnsi" w:hAnsiTheme="majorHAnsi"/>
          <w:b/>
          <w:bCs/>
          <w:sz w:val="20"/>
          <w:szCs w:val="20"/>
          <w:lang w:val="es-ES_tradnl"/>
        </w:rPr>
        <w:tab/>
      </w:r>
      <w:r w:rsidR="00986BEA" w:rsidRPr="00875FF9">
        <w:rPr>
          <w:rFonts w:asciiTheme="majorHAnsi" w:hAnsiTheme="majorHAnsi"/>
          <w:b/>
          <w:bCs/>
          <w:sz w:val="20"/>
          <w:szCs w:val="20"/>
          <w:lang w:val="es-UY"/>
        </w:rPr>
        <w:t>TRÁMITE ANTE LA CIDH</w:t>
      </w:r>
    </w:p>
    <w:p w14:paraId="0ACB88AE" w14:textId="4F979273" w:rsidR="00986BEA" w:rsidRPr="00875FF9" w:rsidRDefault="00986BEA" w:rsidP="00986BEA">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875FF9">
        <w:rPr>
          <w:rFonts w:asciiTheme="majorHAnsi" w:hAnsiTheme="majorHAnsi"/>
          <w:sz w:val="20"/>
          <w:szCs w:val="20"/>
          <w:lang w:val="es-UY"/>
        </w:rPr>
        <w:t xml:space="preserve">La CIDH recibió la petición el </w:t>
      </w:r>
      <w:r w:rsidR="009C400B" w:rsidRPr="00875FF9">
        <w:rPr>
          <w:rFonts w:asciiTheme="majorHAnsi" w:hAnsiTheme="majorHAnsi"/>
          <w:sz w:val="20"/>
          <w:szCs w:val="20"/>
          <w:lang w:val="es-UY"/>
        </w:rPr>
        <w:t>20 de mayo de 2003</w:t>
      </w:r>
      <w:r w:rsidR="00582DDD">
        <w:rPr>
          <w:rFonts w:asciiTheme="majorHAnsi" w:hAnsiTheme="majorHAnsi"/>
          <w:sz w:val="20"/>
          <w:szCs w:val="20"/>
          <w:lang w:val="es-UY"/>
        </w:rPr>
        <w:t xml:space="preserve"> </w:t>
      </w:r>
      <w:r w:rsidRPr="00875FF9">
        <w:rPr>
          <w:rFonts w:asciiTheme="majorHAnsi" w:hAnsiTheme="majorHAnsi"/>
          <w:sz w:val="20"/>
          <w:szCs w:val="20"/>
          <w:lang w:val="es-UY"/>
        </w:rPr>
        <w:t xml:space="preserve">y transmitió copia de las partes pertinentes al Estado </w:t>
      </w:r>
      <w:r w:rsidR="00EC1BCA" w:rsidRPr="00875FF9">
        <w:rPr>
          <w:rFonts w:asciiTheme="majorHAnsi" w:hAnsiTheme="majorHAnsi"/>
          <w:sz w:val="20"/>
          <w:szCs w:val="20"/>
          <w:lang w:val="es-UY"/>
        </w:rPr>
        <w:t>el 14 de diciembre de 2004</w:t>
      </w:r>
      <w:r w:rsidR="00AE455E" w:rsidRPr="00875FF9">
        <w:rPr>
          <w:rFonts w:asciiTheme="majorHAnsi" w:hAnsiTheme="majorHAnsi"/>
          <w:sz w:val="20"/>
          <w:szCs w:val="20"/>
          <w:lang w:val="es-UY"/>
        </w:rPr>
        <w:t>,</w:t>
      </w:r>
      <w:r w:rsidR="00EC1BCA" w:rsidRPr="00875FF9">
        <w:rPr>
          <w:rFonts w:asciiTheme="majorHAnsi" w:hAnsiTheme="majorHAnsi"/>
          <w:sz w:val="20"/>
          <w:szCs w:val="20"/>
          <w:lang w:val="es-UY"/>
        </w:rPr>
        <w:t xml:space="preserve"> </w:t>
      </w:r>
      <w:r w:rsidRPr="00875FF9">
        <w:rPr>
          <w:rFonts w:asciiTheme="majorHAnsi" w:hAnsiTheme="majorHAnsi"/>
          <w:sz w:val="20"/>
          <w:szCs w:val="20"/>
          <w:lang w:val="es-UY"/>
        </w:rPr>
        <w:t xml:space="preserve">otorgándole un plazo de </w:t>
      </w:r>
      <w:r w:rsidR="009C400B" w:rsidRPr="00875FF9">
        <w:rPr>
          <w:rFonts w:asciiTheme="majorHAnsi" w:hAnsiTheme="majorHAnsi"/>
          <w:sz w:val="20"/>
          <w:szCs w:val="20"/>
          <w:lang w:val="es-UY"/>
        </w:rPr>
        <w:t>dos mese</w:t>
      </w:r>
      <w:r w:rsidR="005D00AB" w:rsidRPr="00875FF9">
        <w:rPr>
          <w:rFonts w:asciiTheme="majorHAnsi" w:hAnsiTheme="majorHAnsi"/>
          <w:sz w:val="20"/>
          <w:szCs w:val="20"/>
          <w:lang w:val="es-UY"/>
        </w:rPr>
        <w:t>s</w:t>
      </w:r>
      <w:r w:rsidR="009C400B" w:rsidRPr="00875FF9">
        <w:rPr>
          <w:rFonts w:asciiTheme="majorHAnsi" w:hAnsiTheme="majorHAnsi"/>
          <w:sz w:val="20"/>
          <w:szCs w:val="20"/>
          <w:lang w:val="es-UY"/>
        </w:rPr>
        <w:t xml:space="preserve"> </w:t>
      </w:r>
      <w:r w:rsidRPr="00875FF9">
        <w:rPr>
          <w:rFonts w:asciiTheme="majorHAnsi" w:hAnsiTheme="majorHAnsi"/>
          <w:sz w:val="20"/>
          <w:szCs w:val="20"/>
          <w:lang w:val="es-UY"/>
        </w:rPr>
        <w:t>para someter sus observaciones</w:t>
      </w:r>
      <w:r w:rsidR="005D00AB" w:rsidRPr="00875FF9">
        <w:rPr>
          <w:rFonts w:asciiTheme="majorHAnsi" w:hAnsiTheme="majorHAnsi"/>
          <w:sz w:val="20"/>
          <w:szCs w:val="20"/>
          <w:lang w:val="es-UY"/>
        </w:rPr>
        <w:t>, con base en el artículo 30.3</w:t>
      </w:r>
      <w:r w:rsidRPr="00875FF9">
        <w:rPr>
          <w:rFonts w:asciiTheme="majorHAnsi" w:hAnsiTheme="majorHAnsi"/>
          <w:sz w:val="20"/>
          <w:szCs w:val="20"/>
          <w:lang w:val="es-UY"/>
        </w:rPr>
        <w:t xml:space="preserve"> de su Reglamento entonces en vigor. </w:t>
      </w:r>
      <w:r w:rsidR="00757AFE" w:rsidRPr="00875FF9">
        <w:rPr>
          <w:rFonts w:asciiTheme="majorHAnsi" w:hAnsiTheme="majorHAnsi"/>
          <w:bCs/>
          <w:sz w:val="20"/>
          <w:szCs w:val="20"/>
          <w:lang w:val="es-PE"/>
        </w:rPr>
        <w:t>La respuesta del Estado fue recibida</w:t>
      </w:r>
      <w:r w:rsidR="005D00AB" w:rsidRPr="00875FF9">
        <w:rPr>
          <w:rFonts w:asciiTheme="majorHAnsi" w:hAnsiTheme="majorHAnsi"/>
          <w:bCs/>
          <w:sz w:val="20"/>
          <w:szCs w:val="20"/>
          <w:lang w:val="es-PE"/>
        </w:rPr>
        <w:t xml:space="preserve"> el 16 de marzo de 2005</w:t>
      </w:r>
      <w:r w:rsidRPr="00875FF9">
        <w:rPr>
          <w:rFonts w:asciiTheme="majorHAnsi" w:hAnsiTheme="majorHAnsi"/>
          <w:sz w:val="20"/>
          <w:szCs w:val="20"/>
          <w:lang w:val="es-ES"/>
        </w:rPr>
        <w:t xml:space="preserve">, </w:t>
      </w:r>
      <w:r w:rsidR="00757AFE" w:rsidRPr="00875FF9">
        <w:rPr>
          <w:rFonts w:asciiTheme="majorHAnsi" w:hAnsiTheme="majorHAnsi"/>
          <w:sz w:val="20"/>
          <w:szCs w:val="20"/>
          <w:lang w:val="es-ES"/>
        </w:rPr>
        <w:t>y debidamente</w:t>
      </w:r>
      <w:r w:rsidRPr="00875FF9">
        <w:rPr>
          <w:rFonts w:asciiTheme="majorHAnsi" w:hAnsiTheme="majorHAnsi"/>
          <w:sz w:val="20"/>
          <w:szCs w:val="20"/>
          <w:lang w:val="es-ES"/>
        </w:rPr>
        <w:t xml:space="preserve"> trasladada </w:t>
      </w:r>
      <w:r w:rsidR="005D00AB" w:rsidRPr="00875FF9">
        <w:rPr>
          <w:rFonts w:asciiTheme="majorHAnsi" w:hAnsiTheme="majorHAnsi"/>
          <w:sz w:val="20"/>
          <w:szCs w:val="20"/>
          <w:lang w:val="es-ES"/>
        </w:rPr>
        <w:t>a</w:t>
      </w:r>
      <w:r w:rsidRPr="00875FF9">
        <w:rPr>
          <w:rFonts w:asciiTheme="majorHAnsi" w:hAnsiTheme="majorHAnsi"/>
          <w:sz w:val="20"/>
          <w:szCs w:val="20"/>
          <w:lang w:val="es-ES"/>
        </w:rPr>
        <w:t xml:space="preserve"> los peticionarios el </w:t>
      </w:r>
      <w:r w:rsidR="005D00AB" w:rsidRPr="00875FF9">
        <w:rPr>
          <w:rFonts w:asciiTheme="majorHAnsi" w:hAnsiTheme="majorHAnsi"/>
          <w:sz w:val="20"/>
          <w:szCs w:val="20"/>
          <w:lang w:val="es-ES"/>
        </w:rPr>
        <w:t>26 de abril de 2005</w:t>
      </w:r>
      <w:r w:rsidRPr="00875FF9">
        <w:rPr>
          <w:rFonts w:asciiTheme="majorHAnsi" w:hAnsiTheme="majorHAnsi"/>
          <w:bCs/>
          <w:sz w:val="20"/>
          <w:szCs w:val="20"/>
          <w:lang w:val="es-PE"/>
        </w:rPr>
        <w:t>.</w:t>
      </w:r>
    </w:p>
    <w:p w14:paraId="3D472FD0" w14:textId="41EDEE5E" w:rsidR="00986BEA" w:rsidRPr="00875FF9" w:rsidRDefault="00986BEA" w:rsidP="00986BEA">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875FF9">
        <w:rPr>
          <w:rFonts w:asciiTheme="majorHAnsi" w:hAnsiTheme="majorHAnsi"/>
          <w:sz w:val="20"/>
          <w:szCs w:val="20"/>
          <w:lang w:val="es-UY"/>
        </w:rPr>
        <w:lastRenderedPageBreak/>
        <w:t>Los</w:t>
      </w:r>
      <w:r w:rsidRPr="00875FF9">
        <w:rPr>
          <w:rFonts w:asciiTheme="majorHAnsi" w:hAnsiTheme="majorHAnsi"/>
          <w:sz w:val="20"/>
          <w:szCs w:val="20"/>
          <w:lang w:val="es-ES"/>
        </w:rPr>
        <w:t xml:space="preserve"> peticionarios presentaron </w:t>
      </w:r>
      <w:r w:rsidR="005D00AB" w:rsidRPr="00875FF9">
        <w:rPr>
          <w:rFonts w:asciiTheme="majorHAnsi" w:hAnsiTheme="majorHAnsi"/>
          <w:sz w:val="20"/>
          <w:szCs w:val="20"/>
          <w:lang w:val="es-ES"/>
        </w:rPr>
        <w:t xml:space="preserve">información y </w:t>
      </w:r>
      <w:r w:rsidRPr="00875FF9">
        <w:rPr>
          <w:rFonts w:asciiTheme="majorHAnsi" w:hAnsiTheme="majorHAnsi"/>
          <w:sz w:val="20"/>
          <w:szCs w:val="20"/>
          <w:lang w:val="es-ES"/>
        </w:rPr>
        <w:t xml:space="preserve">observaciones adicionales el </w:t>
      </w:r>
      <w:r w:rsidR="0073320B" w:rsidRPr="00875FF9">
        <w:rPr>
          <w:rFonts w:asciiTheme="majorHAnsi" w:hAnsiTheme="majorHAnsi"/>
          <w:sz w:val="20"/>
          <w:szCs w:val="20"/>
          <w:lang w:val="es-ES"/>
        </w:rPr>
        <w:t xml:space="preserve">10 de febrero, </w:t>
      </w:r>
      <w:r w:rsidR="005D00AB" w:rsidRPr="00875FF9">
        <w:rPr>
          <w:rFonts w:asciiTheme="majorHAnsi" w:hAnsiTheme="majorHAnsi"/>
          <w:sz w:val="20"/>
          <w:szCs w:val="20"/>
          <w:lang w:val="es-UY"/>
        </w:rPr>
        <w:t>23 de ju</w:t>
      </w:r>
      <w:r w:rsidR="0073320B" w:rsidRPr="00875FF9">
        <w:rPr>
          <w:rFonts w:asciiTheme="majorHAnsi" w:hAnsiTheme="majorHAnsi"/>
          <w:sz w:val="20"/>
          <w:szCs w:val="20"/>
          <w:lang w:val="es-UY"/>
        </w:rPr>
        <w:t>nio, 5 de julio</w:t>
      </w:r>
      <w:r w:rsidR="006A3038" w:rsidRPr="00875FF9">
        <w:rPr>
          <w:rFonts w:asciiTheme="majorHAnsi" w:hAnsiTheme="majorHAnsi"/>
          <w:sz w:val="20"/>
          <w:szCs w:val="20"/>
          <w:lang w:val="es-UY"/>
        </w:rPr>
        <w:t>, 19 de septiembre</w:t>
      </w:r>
      <w:r w:rsidR="00EC1BCA" w:rsidRPr="00875FF9">
        <w:rPr>
          <w:rFonts w:asciiTheme="majorHAnsi" w:hAnsiTheme="majorHAnsi"/>
          <w:sz w:val="20"/>
          <w:szCs w:val="20"/>
          <w:lang w:val="es-UY"/>
        </w:rPr>
        <w:t>,</w:t>
      </w:r>
      <w:r w:rsidR="00654025" w:rsidRPr="00875FF9">
        <w:rPr>
          <w:rFonts w:asciiTheme="majorHAnsi" w:hAnsiTheme="majorHAnsi"/>
          <w:sz w:val="20"/>
          <w:szCs w:val="20"/>
          <w:lang w:val="es-UY"/>
        </w:rPr>
        <w:t xml:space="preserve"> y 8</w:t>
      </w:r>
      <w:r w:rsidR="0073320B" w:rsidRPr="00875FF9">
        <w:rPr>
          <w:rFonts w:asciiTheme="majorHAnsi" w:hAnsiTheme="majorHAnsi"/>
          <w:sz w:val="20"/>
          <w:szCs w:val="20"/>
          <w:lang w:val="es-UY"/>
        </w:rPr>
        <w:t xml:space="preserve"> y</w:t>
      </w:r>
      <w:r w:rsidR="005D00AB" w:rsidRPr="00875FF9">
        <w:rPr>
          <w:rFonts w:asciiTheme="majorHAnsi" w:hAnsiTheme="majorHAnsi"/>
          <w:sz w:val="20"/>
          <w:szCs w:val="20"/>
          <w:lang w:val="es-UY"/>
        </w:rPr>
        <w:t xml:space="preserve"> 21 de noviembre de 2005, </w:t>
      </w:r>
      <w:r w:rsidR="0073320B" w:rsidRPr="00875FF9">
        <w:rPr>
          <w:rFonts w:asciiTheme="majorHAnsi" w:hAnsiTheme="majorHAnsi"/>
          <w:sz w:val="20"/>
          <w:szCs w:val="20"/>
          <w:lang w:val="es-UY"/>
        </w:rPr>
        <w:t xml:space="preserve">el </w:t>
      </w:r>
      <w:r w:rsidR="005D00AB" w:rsidRPr="00875FF9">
        <w:rPr>
          <w:rFonts w:asciiTheme="majorHAnsi" w:hAnsiTheme="majorHAnsi"/>
          <w:sz w:val="20"/>
          <w:szCs w:val="20"/>
          <w:lang w:val="es-UY"/>
        </w:rPr>
        <w:t xml:space="preserve">3 de septiembre </w:t>
      </w:r>
      <w:r w:rsidR="0073320B" w:rsidRPr="00875FF9">
        <w:rPr>
          <w:rFonts w:asciiTheme="majorHAnsi" w:hAnsiTheme="majorHAnsi"/>
          <w:sz w:val="20"/>
          <w:szCs w:val="20"/>
          <w:lang w:val="es-UY"/>
        </w:rPr>
        <w:t xml:space="preserve">y </w:t>
      </w:r>
      <w:r w:rsidR="005D00AB" w:rsidRPr="00875FF9">
        <w:rPr>
          <w:rFonts w:asciiTheme="majorHAnsi" w:hAnsiTheme="majorHAnsi"/>
          <w:sz w:val="20"/>
          <w:szCs w:val="20"/>
          <w:lang w:val="es-UY"/>
        </w:rPr>
        <w:t>12 de julio de 2006,</w:t>
      </w:r>
      <w:r w:rsidR="0073320B" w:rsidRPr="00875FF9">
        <w:rPr>
          <w:rFonts w:asciiTheme="majorHAnsi" w:hAnsiTheme="majorHAnsi"/>
          <w:sz w:val="20"/>
          <w:szCs w:val="20"/>
          <w:lang w:val="es-UY"/>
        </w:rPr>
        <w:t xml:space="preserve"> el</w:t>
      </w:r>
      <w:r w:rsidR="005D00AB" w:rsidRPr="00875FF9">
        <w:rPr>
          <w:rFonts w:asciiTheme="majorHAnsi" w:hAnsiTheme="majorHAnsi"/>
          <w:sz w:val="20"/>
          <w:szCs w:val="20"/>
          <w:lang w:val="es-UY"/>
        </w:rPr>
        <w:t xml:space="preserve"> 18 de abril de 2007, el 31 de marzo de 2009, el 18 de febrero de 2010</w:t>
      </w:r>
      <w:r w:rsidR="0073320B" w:rsidRPr="00875FF9">
        <w:rPr>
          <w:rFonts w:asciiTheme="majorHAnsi" w:hAnsiTheme="majorHAnsi"/>
          <w:sz w:val="20"/>
          <w:szCs w:val="20"/>
          <w:lang w:val="es-UY"/>
        </w:rPr>
        <w:t>, el 16 de mayo de 2011, el 28 de julio de 2014 y el 23 de abril y 22 de junio de 2015</w:t>
      </w:r>
      <w:r w:rsidR="00AE455E" w:rsidRPr="00875FF9">
        <w:rPr>
          <w:rFonts w:asciiTheme="majorHAnsi" w:hAnsiTheme="majorHAnsi"/>
          <w:bCs/>
          <w:sz w:val="20"/>
          <w:szCs w:val="20"/>
          <w:lang w:val="es-PE"/>
        </w:rPr>
        <w:t xml:space="preserve">. </w:t>
      </w:r>
      <w:r w:rsidRPr="00875FF9">
        <w:rPr>
          <w:rFonts w:asciiTheme="majorHAnsi" w:hAnsiTheme="majorHAnsi"/>
          <w:bCs/>
          <w:sz w:val="20"/>
          <w:szCs w:val="20"/>
          <w:lang w:val="es-PE"/>
        </w:rPr>
        <w:t xml:space="preserve">Por su parte, el Estado remitió observaciones adicionales el </w:t>
      </w:r>
      <w:r w:rsidR="0073320B" w:rsidRPr="00875FF9">
        <w:rPr>
          <w:rFonts w:asciiTheme="majorHAnsi" w:hAnsiTheme="majorHAnsi"/>
          <w:bCs/>
          <w:sz w:val="20"/>
          <w:szCs w:val="20"/>
          <w:lang w:val="es-PE"/>
        </w:rPr>
        <w:t>24 de agosto de 2005, el 6 de septiembre de 2007, el 4 de diciembre de 2009, el 2 de junio de 2010 y el 28 de noviembre de 2011</w:t>
      </w:r>
      <w:r w:rsidR="00AE455E" w:rsidRPr="00875FF9">
        <w:rPr>
          <w:rFonts w:asciiTheme="majorHAnsi" w:hAnsiTheme="majorHAnsi"/>
          <w:bCs/>
          <w:sz w:val="20"/>
          <w:szCs w:val="20"/>
          <w:lang w:val="es-PE"/>
        </w:rPr>
        <w:t>.</w:t>
      </w:r>
      <w:r w:rsidRPr="00875FF9">
        <w:rPr>
          <w:rFonts w:asciiTheme="majorHAnsi" w:hAnsiTheme="majorHAnsi"/>
          <w:bCs/>
          <w:sz w:val="20"/>
          <w:szCs w:val="20"/>
          <w:lang w:val="es-PE"/>
        </w:rPr>
        <w:t xml:space="preserve"> Estas comunicaciones fueron debidamente trasladadas a la parte contraria.</w:t>
      </w:r>
      <w:r w:rsidRPr="00875FF9">
        <w:rPr>
          <w:rFonts w:asciiTheme="majorHAnsi" w:hAnsiTheme="majorHAnsi"/>
          <w:sz w:val="20"/>
          <w:szCs w:val="20"/>
          <w:lang w:val="es-UY"/>
        </w:rPr>
        <w:t xml:space="preserve"> </w:t>
      </w:r>
    </w:p>
    <w:p w14:paraId="6F0205AB" w14:textId="77777777" w:rsidR="00986BEA" w:rsidRPr="00875FF9" w:rsidRDefault="00986BEA" w:rsidP="00986BEA">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UY"/>
        </w:rPr>
      </w:pPr>
      <w:r w:rsidRPr="00875FF9">
        <w:rPr>
          <w:rFonts w:asciiTheme="majorHAnsi" w:hAnsiTheme="majorHAnsi"/>
          <w:b/>
          <w:bCs/>
          <w:sz w:val="20"/>
          <w:szCs w:val="20"/>
          <w:lang w:val="es-UY"/>
        </w:rPr>
        <w:t>III.</w:t>
      </w:r>
      <w:r w:rsidRPr="00875FF9">
        <w:rPr>
          <w:rFonts w:asciiTheme="majorHAnsi" w:hAnsiTheme="majorHAnsi"/>
          <w:b/>
          <w:bCs/>
          <w:sz w:val="20"/>
          <w:szCs w:val="20"/>
          <w:lang w:val="es-UY"/>
        </w:rPr>
        <w:tab/>
        <w:t>POSICIÓN DE LAS PARTES</w:t>
      </w:r>
    </w:p>
    <w:p w14:paraId="3BA0596C" w14:textId="504742F1" w:rsidR="00986BEA" w:rsidRPr="00875FF9" w:rsidRDefault="009B14C6" w:rsidP="00986BEA">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UY"/>
        </w:rPr>
      </w:pPr>
      <w:r w:rsidRPr="00875FF9">
        <w:rPr>
          <w:rFonts w:asciiTheme="majorHAnsi" w:hAnsiTheme="majorHAnsi"/>
          <w:b/>
          <w:bCs/>
          <w:sz w:val="20"/>
          <w:szCs w:val="20"/>
          <w:lang w:val="es-UY"/>
        </w:rPr>
        <w:t>A.</w:t>
      </w:r>
      <w:r w:rsidRPr="00875FF9">
        <w:rPr>
          <w:rFonts w:asciiTheme="majorHAnsi" w:hAnsiTheme="majorHAnsi"/>
          <w:b/>
          <w:bCs/>
          <w:sz w:val="20"/>
          <w:szCs w:val="20"/>
          <w:lang w:val="es-UY"/>
        </w:rPr>
        <w:tab/>
        <w:t xml:space="preserve">Posición </w:t>
      </w:r>
      <w:r w:rsidR="00986BEA" w:rsidRPr="00875FF9">
        <w:rPr>
          <w:rFonts w:asciiTheme="majorHAnsi" w:hAnsiTheme="majorHAnsi"/>
          <w:b/>
          <w:bCs/>
          <w:sz w:val="20"/>
          <w:szCs w:val="20"/>
          <w:lang w:val="es-UY"/>
        </w:rPr>
        <w:t xml:space="preserve">de los peticionarios </w:t>
      </w:r>
    </w:p>
    <w:p w14:paraId="376870D2" w14:textId="77777777" w:rsidR="00810643" w:rsidRPr="00875FF9" w:rsidRDefault="00810643" w:rsidP="00810643">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cs="Arial"/>
          <w:sz w:val="20"/>
          <w:szCs w:val="20"/>
          <w:u w:val="single"/>
          <w:lang w:val="es-UY"/>
        </w:rPr>
      </w:pPr>
      <w:r w:rsidRPr="00875FF9">
        <w:rPr>
          <w:rFonts w:asciiTheme="majorHAnsi" w:hAnsiTheme="majorHAnsi" w:cs="Arial"/>
          <w:sz w:val="20"/>
          <w:szCs w:val="20"/>
          <w:u w:val="single"/>
          <w:lang w:val="es-UY"/>
        </w:rPr>
        <w:t xml:space="preserve">Alegatos sobre la detención </w:t>
      </w:r>
    </w:p>
    <w:p w14:paraId="3AF0532F" w14:textId="7B8233EF" w:rsidR="00810643" w:rsidRPr="00EA387E" w:rsidRDefault="00810643" w:rsidP="006D36BA">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UY"/>
        </w:rPr>
      </w:pPr>
      <w:r w:rsidRPr="00875FF9">
        <w:rPr>
          <w:rFonts w:asciiTheme="majorHAnsi" w:hAnsiTheme="majorHAnsi" w:cs="Arial"/>
          <w:sz w:val="20"/>
          <w:szCs w:val="20"/>
          <w:lang w:val="es-UY"/>
        </w:rPr>
        <w:t xml:space="preserve">Los peticionarios señalan que el 3 de enero de 1997 varios agentes de la policía judicial ingresaron violentamente </w:t>
      </w:r>
      <w:r w:rsidR="00582DDD">
        <w:rPr>
          <w:rFonts w:asciiTheme="majorHAnsi" w:hAnsiTheme="majorHAnsi" w:cs="Arial"/>
          <w:sz w:val="20"/>
          <w:szCs w:val="20"/>
          <w:lang w:val="es-UY"/>
        </w:rPr>
        <w:t>al domicilio de la presunta víctima</w:t>
      </w:r>
      <w:r w:rsidRPr="00875FF9">
        <w:rPr>
          <w:rFonts w:asciiTheme="majorHAnsi" w:hAnsiTheme="majorHAnsi" w:cs="Arial"/>
          <w:sz w:val="20"/>
          <w:szCs w:val="20"/>
          <w:lang w:val="es-UY"/>
        </w:rPr>
        <w:t>, sin motivo alguno u orden de cateo. Indican que</w:t>
      </w:r>
      <w:r w:rsidR="009319A0">
        <w:rPr>
          <w:rFonts w:asciiTheme="majorHAnsi" w:hAnsiTheme="majorHAnsi" w:cs="Arial"/>
          <w:sz w:val="20"/>
          <w:szCs w:val="20"/>
          <w:lang w:val="es-UY"/>
        </w:rPr>
        <w:t xml:space="preserve"> </w:t>
      </w:r>
      <w:r w:rsidR="001108D7">
        <w:rPr>
          <w:rFonts w:asciiTheme="majorHAnsi" w:hAnsiTheme="majorHAnsi" w:cs="Arial"/>
          <w:sz w:val="20"/>
          <w:szCs w:val="20"/>
          <w:lang w:val="es-UY"/>
        </w:rPr>
        <w:t>apuntándole</w:t>
      </w:r>
      <w:r w:rsidRPr="00875FF9">
        <w:rPr>
          <w:rFonts w:asciiTheme="majorHAnsi" w:hAnsiTheme="majorHAnsi" w:cs="Arial"/>
          <w:sz w:val="20"/>
          <w:szCs w:val="20"/>
          <w:lang w:val="es-UY"/>
        </w:rPr>
        <w:t xml:space="preserve"> con rifles </w:t>
      </w:r>
      <w:r w:rsidR="001108D7">
        <w:rPr>
          <w:rFonts w:asciiTheme="majorHAnsi" w:hAnsiTheme="majorHAnsi" w:cs="Arial"/>
          <w:sz w:val="20"/>
          <w:szCs w:val="20"/>
          <w:lang w:val="es-UY"/>
        </w:rPr>
        <w:t>lo encañonaron mientras inspeccionaban</w:t>
      </w:r>
      <w:r w:rsidR="00181364">
        <w:rPr>
          <w:rFonts w:asciiTheme="majorHAnsi" w:hAnsiTheme="majorHAnsi" w:cs="Arial"/>
          <w:sz w:val="20"/>
          <w:szCs w:val="20"/>
          <w:lang w:val="es-UY"/>
        </w:rPr>
        <w:t xml:space="preserve"> su vivienda</w:t>
      </w:r>
      <w:r w:rsidR="001108D7">
        <w:rPr>
          <w:rFonts w:asciiTheme="majorHAnsi" w:hAnsiTheme="majorHAnsi" w:cs="Arial"/>
          <w:sz w:val="20"/>
          <w:szCs w:val="20"/>
          <w:lang w:val="es-UY"/>
        </w:rPr>
        <w:t xml:space="preserve">, para luego informarle que </w:t>
      </w:r>
      <w:r w:rsidR="00181364">
        <w:rPr>
          <w:rFonts w:asciiTheme="majorHAnsi" w:hAnsiTheme="majorHAnsi" w:cs="Arial"/>
          <w:sz w:val="20"/>
          <w:szCs w:val="20"/>
          <w:lang w:val="es-UY"/>
        </w:rPr>
        <w:t>hab</w:t>
      </w:r>
      <w:r w:rsidR="001108D7">
        <w:rPr>
          <w:rFonts w:asciiTheme="majorHAnsi" w:hAnsiTheme="majorHAnsi" w:cs="Arial"/>
          <w:sz w:val="20"/>
          <w:szCs w:val="20"/>
          <w:lang w:val="es-UY"/>
        </w:rPr>
        <w:t xml:space="preserve">ían </w:t>
      </w:r>
      <w:r w:rsidR="00181364">
        <w:rPr>
          <w:rFonts w:asciiTheme="majorHAnsi" w:hAnsiTheme="majorHAnsi" w:cs="Arial"/>
          <w:sz w:val="20"/>
          <w:szCs w:val="20"/>
          <w:lang w:val="es-UY"/>
        </w:rPr>
        <w:t>e</w:t>
      </w:r>
      <w:r w:rsidRPr="00875FF9">
        <w:rPr>
          <w:rFonts w:asciiTheme="majorHAnsi" w:hAnsiTheme="majorHAnsi" w:cs="Arial"/>
          <w:sz w:val="20"/>
          <w:szCs w:val="20"/>
          <w:lang w:val="es-UY"/>
        </w:rPr>
        <w:t>ncontrado tres armas de uso exclusivo del ejé</w:t>
      </w:r>
      <w:r w:rsidR="00EA387E">
        <w:rPr>
          <w:rFonts w:asciiTheme="majorHAnsi" w:hAnsiTheme="majorHAnsi" w:cs="Arial"/>
          <w:sz w:val="20"/>
          <w:szCs w:val="20"/>
          <w:lang w:val="es-UY"/>
        </w:rPr>
        <w:t xml:space="preserve">rcito y una pistola de calibre </w:t>
      </w:r>
      <w:r w:rsidRPr="00875FF9">
        <w:rPr>
          <w:rFonts w:asciiTheme="majorHAnsi" w:hAnsiTheme="majorHAnsi" w:cs="Arial"/>
          <w:sz w:val="20"/>
          <w:szCs w:val="20"/>
          <w:lang w:val="es-UY"/>
        </w:rPr>
        <w:t>25.</w:t>
      </w:r>
      <w:r w:rsidR="00EA387E">
        <w:rPr>
          <w:rFonts w:asciiTheme="majorHAnsi" w:hAnsiTheme="majorHAnsi" w:cs="Arial"/>
          <w:sz w:val="20"/>
          <w:szCs w:val="20"/>
          <w:lang w:val="es-UY"/>
        </w:rPr>
        <w:t xml:space="preserve"> </w:t>
      </w:r>
      <w:r w:rsidR="001108D7">
        <w:rPr>
          <w:rFonts w:asciiTheme="majorHAnsi" w:hAnsiTheme="majorHAnsi" w:cs="Arial"/>
          <w:sz w:val="20"/>
          <w:szCs w:val="20"/>
          <w:lang w:val="es-UY"/>
        </w:rPr>
        <w:t xml:space="preserve">Ese mismo día </w:t>
      </w:r>
      <w:r w:rsidRPr="00EA387E">
        <w:rPr>
          <w:rFonts w:asciiTheme="majorHAnsi" w:hAnsiTheme="majorHAnsi" w:cs="Arial"/>
          <w:sz w:val="20"/>
          <w:szCs w:val="20"/>
          <w:lang w:val="es-UY"/>
        </w:rPr>
        <w:t>fue detenido aproximadamente a las 8:00</w:t>
      </w:r>
      <w:r w:rsidR="00EA387E">
        <w:rPr>
          <w:rFonts w:asciiTheme="majorHAnsi" w:hAnsiTheme="majorHAnsi" w:cs="Arial"/>
          <w:sz w:val="20"/>
          <w:szCs w:val="20"/>
          <w:lang w:val="es-UY"/>
        </w:rPr>
        <w:t xml:space="preserve"> horas sin orden de aprehensión</w:t>
      </w:r>
      <w:r w:rsidR="001108D7">
        <w:rPr>
          <w:rFonts w:asciiTheme="majorHAnsi" w:hAnsiTheme="majorHAnsi" w:cs="Arial"/>
          <w:sz w:val="20"/>
          <w:szCs w:val="20"/>
          <w:lang w:val="es-UY"/>
        </w:rPr>
        <w:t xml:space="preserve"> y trasladado a la estación policial </w:t>
      </w:r>
      <w:r w:rsidR="006D36BA">
        <w:rPr>
          <w:rFonts w:asciiTheme="majorHAnsi" w:hAnsiTheme="majorHAnsi" w:cs="Arial"/>
          <w:sz w:val="20"/>
          <w:szCs w:val="20"/>
          <w:lang w:val="es-UY"/>
        </w:rPr>
        <w:t xml:space="preserve">cinco horas después. Una vez allí fue torturado física y </w:t>
      </w:r>
      <w:r w:rsidR="006D36BA" w:rsidRPr="00EA387E">
        <w:rPr>
          <w:rFonts w:asciiTheme="majorHAnsi" w:hAnsiTheme="majorHAnsi" w:cs="Arial"/>
          <w:sz w:val="20"/>
          <w:szCs w:val="20"/>
          <w:lang w:val="es-UY"/>
        </w:rPr>
        <w:t xml:space="preserve">psicológicamente </w:t>
      </w:r>
      <w:r w:rsidR="006D36BA">
        <w:rPr>
          <w:rFonts w:asciiTheme="majorHAnsi" w:hAnsiTheme="majorHAnsi" w:cs="Arial"/>
          <w:sz w:val="20"/>
          <w:szCs w:val="20"/>
          <w:lang w:val="es-UY"/>
        </w:rPr>
        <w:t>por más de 32 horas,</w:t>
      </w:r>
      <w:r w:rsidR="006D36BA" w:rsidRPr="00EA387E">
        <w:rPr>
          <w:rFonts w:asciiTheme="majorHAnsi" w:hAnsiTheme="majorHAnsi" w:cs="Arial"/>
          <w:sz w:val="20"/>
          <w:szCs w:val="20"/>
          <w:lang w:val="es-UY"/>
        </w:rPr>
        <w:t xml:space="preserve"> para que aceptara los delitos de homicidio en contra de tres hombres y lesiones en contra de dos mujeres, que sostiene no cometió</w:t>
      </w:r>
      <w:r w:rsidR="006D36BA">
        <w:rPr>
          <w:rFonts w:asciiTheme="majorHAnsi" w:hAnsiTheme="majorHAnsi" w:cs="Arial"/>
          <w:sz w:val="20"/>
          <w:szCs w:val="20"/>
          <w:lang w:val="es-UY"/>
        </w:rPr>
        <w:t xml:space="preserve">. </w:t>
      </w:r>
      <w:r w:rsidR="00EA387E">
        <w:rPr>
          <w:rFonts w:asciiTheme="majorHAnsi" w:hAnsiTheme="majorHAnsi" w:cs="Arial"/>
          <w:sz w:val="20"/>
          <w:szCs w:val="20"/>
          <w:lang w:val="es-UY"/>
        </w:rPr>
        <w:t>Refieren</w:t>
      </w:r>
      <w:r w:rsidRPr="00EA387E">
        <w:rPr>
          <w:rFonts w:asciiTheme="majorHAnsi" w:hAnsiTheme="majorHAnsi" w:cs="Arial"/>
          <w:sz w:val="20"/>
          <w:szCs w:val="20"/>
          <w:lang w:val="es-UY"/>
        </w:rPr>
        <w:t xml:space="preserve"> que en ese lugar le v</w:t>
      </w:r>
      <w:r w:rsidR="00582DDD">
        <w:rPr>
          <w:rFonts w:asciiTheme="majorHAnsi" w:hAnsiTheme="majorHAnsi" w:cs="Arial"/>
          <w:sz w:val="20"/>
          <w:szCs w:val="20"/>
          <w:lang w:val="es-UY"/>
        </w:rPr>
        <w:t>endaron los ojos y lo golpearon,</w:t>
      </w:r>
      <w:r w:rsidRPr="00EA387E">
        <w:rPr>
          <w:rFonts w:asciiTheme="majorHAnsi" w:hAnsiTheme="majorHAnsi" w:cs="Arial"/>
          <w:sz w:val="20"/>
          <w:szCs w:val="20"/>
          <w:lang w:val="es-UY"/>
        </w:rPr>
        <w:t xml:space="preserve"> le amarraron las manos, lo acostaron en el piso </w:t>
      </w:r>
      <w:r w:rsidR="006D36BA">
        <w:rPr>
          <w:rFonts w:asciiTheme="majorHAnsi" w:hAnsiTheme="majorHAnsi" w:cs="Arial"/>
          <w:sz w:val="20"/>
          <w:szCs w:val="20"/>
          <w:lang w:val="es-UY"/>
        </w:rPr>
        <w:t>colocándole</w:t>
      </w:r>
      <w:r w:rsidRPr="00EA387E">
        <w:rPr>
          <w:rFonts w:asciiTheme="majorHAnsi" w:hAnsiTheme="majorHAnsi" w:cs="Arial"/>
          <w:sz w:val="20"/>
          <w:szCs w:val="20"/>
          <w:lang w:val="es-UY"/>
        </w:rPr>
        <w:t xml:space="preserve"> un trapo húmedo sobre la nariz y boca para vaciarle agua intermitentemente. Asimismo, </w:t>
      </w:r>
      <w:r w:rsidR="00582DDD">
        <w:rPr>
          <w:rFonts w:asciiTheme="majorHAnsi" w:hAnsiTheme="majorHAnsi" w:cs="Arial"/>
          <w:sz w:val="20"/>
          <w:szCs w:val="20"/>
          <w:lang w:val="es-UY"/>
        </w:rPr>
        <w:t xml:space="preserve">indican </w:t>
      </w:r>
      <w:r w:rsidRPr="00EA387E">
        <w:rPr>
          <w:rFonts w:asciiTheme="majorHAnsi" w:hAnsiTheme="majorHAnsi" w:cs="Arial"/>
          <w:sz w:val="20"/>
          <w:szCs w:val="20"/>
          <w:lang w:val="es-UY"/>
        </w:rPr>
        <w:t xml:space="preserve">que </w:t>
      </w:r>
      <w:r w:rsidR="00000EDC">
        <w:rPr>
          <w:rFonts w:asciiTheme="majorHAnsi" w:hAnsiTheme="majorHAnsi" w:cs="Arial"/>
          <w:sz w:val="20"/>
          <w:szCs w:val="20"/>
          <w:lang w:val="es-UY"/>
        </w:rPr>
        <w:t>esa</w:t>
      </w:r>
      <w:r w:rsidRPr="00EA387E">
        <w:rPr>
          <w:rFonts w:asciiTheme="majorHAnsi" w:hAnsiTheme="majorHAnsi" w:cs="Arial"/>
          <w:sz w:val="20"/>
          <w:szCs w:val="20"/>
          <w:lang w:val="es-UY"/>
        </w:rPr>
        <w:t xml:space="preserve"> madrugada lo trasladaron al pueblo </w:t>
      </w:r>
      <w:r w:rsidR="00EA387E">
        <w:rPr>
          <w:rFonts w:asciiTheme="majorHAnsi" w:hAnsiTheme="majorHAnsi" w:cs="Arial"/>
          <w:sz w:val="20"/>
          <w:szCs w:val="20"/>
          <w:lang w:val="es-UY"/>
        </w:rPr>
        <w:t xml:space="preserve">Carmen, municipio de Huajirepi </w:t>
      </w:r>
      <w:r w:rsidRPr="00EA387E">
        <w:rPr>
          <w:rFonts w:asciiTheme="majorHAnsi" w:hAnsiTheme="majorHAnsi" w:cs="Arial"/>
          <w:sz w:val="20"/>
          <w:szCs w:val="20"/>
          <w:lang w:val="es-UY"/>
        </w:rPr>
        <w:t>y que durante el recorrido lo siguieron  golpeando</w:t>
      </w:r>
      <w:r w:rsidR="00000EDC">
        <w:rPr>
          <w:rFonts w:asciiTheme="majorHAnsi" w:hAnsiTheme="majorHAnsi" w:cs="Arial"/>
          <w:sz w:val="20"/>
          <w:szCs w:val="20"/>
          <w:lang w:val="es-UY"/>
        </w:rPr>
        <w:t xml:space="preserve"> y</w:t>
      </w:r>
      <w:r w:rsidRPr="00EA387E">
        <w:rPr>
          <w:rFonts w:asciiTheme="majorHAnsi" w:hAnsiTheme="majorHAnsi" w:cs="Arial"/>
          <w:sz w:val="20"/>
          <w:szCs w:val="20"/>
          <w:lang w:val="es-UY"/>
        </w:rPr>
        <w:t xml:space="preserve"> </w:t>
      </w:r>
      <w:r w:rsidR="00000EDC">
        <w:rPr>
          <w:rFonts w:asciiTheme="majorHAnsi" w:hAnsiTheme="majorHAnsi" w:cs="Arial"/>
          <w:sz w:val="20"/>
          <w:szCs w:val="20"/>
          <w:lang w:val="es-UY"/>
        </w:rPr>
        <w:t>amenazándolo</w:t>
      </w:r>
      <w:r w:rsidRPr="00EA387E">
        <w:rPr>
          <w:rFonts w:asciiTheme="majorHAnsi" w:hAnsiTheme="majorHAnsi" w:cs="Arial"/>
          <w:sz w:val="20"/>
          <w:szCs w:val="20"/>
          <w:lang w:val="es-UY"/>
        </w:rPr>
        <w:t xml:space="preserve"> de muerte. </w:t>
      </w:r>
    </w:p>
    <w:p w14:paraId="30B416EE" w14:textId="763535A4" w:rsidR="00810643" w:rsidRPr="00875FF9" w:rsidRDefault="00810643" w:rsidP="00810643">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UY"/>
        </w:rPr>
      </w:pPr>
      <w:r w:rsidRPr="00875FF9">
        <w:rPr>
          <w:rFonts w:asciiTheme="majorHAnsi" w:hAnsiTheme="majorHAnsi" w:cs="Arial"/>
          <w:sz w:val="20"/>
          <w:szCs w:val="20"/>
          <w:lang w:val="es-UY"/>
        </w:rPr>
        <w:t xml:space="preserve">De acuerdo con los peticionarios, el 4 de enero de 1997 </w:t>
      </w:r>
      <w:r w:rsidR="00D354CF">
        <w:rPr>
          <w:rFonts w:asciiTheme="majorHAnsi" w:hAnsiTheme="majorHAnsi" w:cs="Arial"/>
          <w:sz w:val="20"/>
          <w:szCs w:val="20"/>
          <w:lang w:val="es-UY"/>
        </w:rPr>
        <w:t xml:space="preserve">la presunta víctima fue incomunicada y puesta a </w:t>
      </w:r>
      <w:r w:rsidRPr="00875FF9">
        <w:rPr>
          <w:rFonts w:asciiTheme="majorHAnsi" w:hAnsiTheme="majorHAnsi" w:cs="Arial"/>
          <w:sz w:val="20"/>
          <w:szCs w:val="20"/>
          <w:lang w:val="es-UY"/>
        </w:rPr>
        <w:t>disposición del Minis</w:t>
      </w:r>
      <w:r w:rsidR="00D354CF">
        <w:rPr>
          <w:rFonts w:asciiTheme="majorHAnsi" w:hAnsiTheme="majorHAnsi" w:cs="Arial"/>
          <w:sz w:val="20"/>
          <w:szCs w:val="20"/>
          <w:lang w:val="es-UY"/>
        </w:rPr>
        <w:t xml:space="preserve">terio Público de Tepic Nayarit. </w:t>
      </w:r>
      <w:r w:rsidRPr="00875FF9">
        <w:rPr>
          <w:rFonts w:asciiTheme="majorHAnsi" w:hAnsiTheme="majorHAnsi" w:cs="Arial"/>
          <w:sz w:val="20"/>
          <w:szCs w:val="20"/>
          <w:lang w:val="es-UY"/>
        </w:rPr>
        <w:t>A</w:t>
      </w:r>
      <w:r w:rsidR="00000EDC">
        <w:rPr>
          <w:rFonts w:asciiTheme="majorHAnsi" w:hAnsiTheme="majorHAnsi" w:cs="Arial"/>
          <w:sz w:val="20"/>
          <w:szCs w:val="20"/>
          <w:lang w:val="es-UY"/>
        </w:rPr>
        <w:t>demás</w:t>
      </w:r>
      <w:r w:rsidRPr="00875FF9">
        <w:rPr>
          <w:rFonts w:asciiTheme="majorHAnsi" w:hAnsiTheme="majorHAnsi" w:cs="Arial"/>
          <w:sz w:val="20"/>
          <w:szCs w:val="20"/>
          <w:lang w:val="es-UY"/>
        </w:rPr>
        <w:t xml:space="preserve">, </w:t>
      </w:r>
      <w:r w:rsidR="00165DEE" w:rsidRPr="00875FF9">
        <w:rPr>
          <w:rFonts w:asciiTheme="majorHAnsi" w:hAnsiTheme="majorHAnsi" w:cs="Arial"/>
          <w:sz w:val="20"/>
          <w:szCs w:val="20"/>
          <w:lang w:val="es-UY"/>
        </w:rPr>
        <w:t xml:space="preserve">habría </w:t>
      </w:r>
      <w:r w:rsidR="00165DEE">
        <w:rPr>
          <w:rFonts w:asciiTheme="majorHAnsi" w:hAnsiTheme="majorHAnsi" w:cs="Arial"/>
          <w:sz w:val="20"/>
          <w:szCs w:val="20"/>
          <w:lang w:val="es-UY"/>
        </w:rPr>
        <w:t xml:space="preserve">sido </w:t>
      </w:r>
      <w:r w:rsidR="00E57BB8">
        <w:rPr>
          <w:rFonts w:asciiTheme="majorHAnsi" w:hAnsiTheme="majorHAnsi" w:cs="Arial"/>
          <w:sz w:val="20"/>
          <w:szCs w:val="20"/>
          <w:lang w:val="es-UY"/>
        </w:rPr>
        <w:t>amenaz</w:t>
      </w:r>
      <w:r w:rsidR="00000EDC">
        <w:rPr>
          <w:rFonts w:asciiTheme="majorHAnsi" w:hAnsiTheme="majorHAnsi" w:cs="Arial"/>
          <w:sz w:val="20"/>
          <w:szCs w:val="20"/>
          <w:lang w:val="es-UY"/>
        </w:rPr>
        <w:t>a</w:t>
      </w:r>
      <w:r w:rsidR="00E57BB8">
        <w:rPr>
          <w:rFonts w:asciiTheme="majorHAnsi" w:hAnsiTheme="majorHAnsi" w:cs="Arial"/>
          <w:sz w:val="20"/>
          <w:szCs w:val="20"/>
          <w:lang w:val="es-UY"/>
        </w:rPr>
        <w:t>do</w:t>
      </w:r>
      <w:r w:rsidR="00165DEE" w:rsidRPr="00875FF9">
        <w:rPr>
          <w:rFonts w:asciiTheme="majorHAnsi" w:hAnsiTheme="majorHAnsi" w:cs="Arial"/>
          <w:sz w:val="20"/>
          <w:szCs w:val="20"/>
          <w:lang w:val="es-UY"/>
        </w:rPr>
        <w:t xml:space="preserve"> </w:t>
      </w:r>
      <w:r w:rsidR="00165DEE">
        <w:rPr>
          <w:rFonts w:asciiTheme="majorHAnsi" w:hAnsiTheme="majorHAnsi" w:cs="Arial"/>
          <w:sz w:val="20"/>
          <w:szCs w:val="20"/>
          <w:lang w:val="es-UY"/>
        </w:rPr>
        <w:t xml:space="preserve">por </w:t>
      </w:r>
      <w:r w:rsidRPr="00875FF9">
        <w:rPr>
          <w:rFonts w:asciiTheme="majorHAnsi" w:hAnsiTheme="majorHAnsi" w:cs="Arial"/>
          <w:sz w:val="20"/>
          <w:szCs w:val="20"/>
          <w:lang w:val="es-UY"/>
        </w:rPr>
        <w:t xml:space="preserve">otro agente </w:t>
      </w:r>
      <w:r w:rsidR="00165DEE">
        <w:rPr>
          <w:rFonts w:asciiTheme="majorHAnsi" w:hAnsiTheme="majorHAnsi" w:cs="Arial"/>
          <w:sz w:val="20"/>
          <w:szCs w:val="20"/>
          <w:lang w:val="es-UY"/>
        </w:rPr>
        <w:t>policial</w:t>
      </w:r>
      <w:r w:rsidRPr="00875FF9">
        <w:rPr>
          <w:rFonts w:asciiTheme="majorHAnsi" w:hAnsiTheme="majorHAnsi" w:cs="Arial"/>
          <w:sz w:val="20"/>
          <w:szCs w:val="20"/>
          <w:lang w:val="es-UY"/>
        </w:rPr>
        <w:t xml:space="preserve"> para que no </w:t>
      </w:r>
      <w:r w:rsidR="00000EDC">
        <w:rPr>
          <w:rFonts w:asciiTheme="majorHAnsi" w:hAnsiTheme="majorHAnsi" w:cs="Arial"/>
          <w:sz w:val="20"/>
          <w:szCs w:val="20"/>
          <w:lang w:val="es-UY"/>
        </w:rPr>
        <w:t>denunciara los actos de tortura</w:t>
      </w:r>
      <w:r w:rsidRPr="00875FF9">
        <w:rPr>
          <w:rFonts w:asciiTheme="majorHAnsi" w:hAnsiTheme="majorHAnsi" w:cs="Arial"/>
          <w:sz w:val="20"/>
          <w:szCs w:val="20"/>
          <w:lang w:val="es-UY"/>
        </w:rPr>
        <w:t xml:space="preserve">, indicándole que de lo contrario estaría en riesgo su familia y él </w:t>
      </w:r>
      <w:r w:rsidR="00000EDC">
        <w:rPr>
          <w:rFonts w:asciiTheme="majorHAnsi" w:hAnsiTheme="majorHAnsi" w:cs="Arial"/>
          <w:sz w:val="20"/>
          <w:szCs w:val="20"/>
          <w:lang w:val="es-UY"/>
        </w:rPr>
        <w:t>sufriría</w:t>
      </w:r>
      <w:r w:rsidRPr="00875FF9">
        <w:rPr>
          <w:rFonts w:asciiTheme="majorHAnsi" w:hAnsiTheme="majorHAnsi" w:cs="Arial"/>
          <w:sz w:val="20"/>
          <w:szCs w:val="20"/>
          <w:lang w:val="es-UY"/>
        </w:rPr>
        <w:t xml:space="preserve"> un accidente dentro del penal. Denuncian </w:t>
      </w:r>
      <w:r w:rsidR="00D354CF">
        <w:rPr>
          <w:rFonts w:asciiTheme="majorHAnsi" w:hAnsiTheme="majorHAnsi" w:cs="Arial"/>
          <w:sz w:val="20"/>
          <w:szCs w:val="20"/>
          <w:lang w:val="es-UY"/>
        </w:rPr>
        <w:t>además</w:t>
      </w:r>
      <w:r w:rsidRPr="00875FF9">
        <w:rPr>
          <w:rFonts w:asciiTheme="majorHAnsi" w:hAnsiTheme="majorHAnsi" w:cs="Arial"/>
          <w:sz w:val="20"/>
          <w:szCs w:val="20"/>
          <w:lang w:val="es-UY"/>
        </w:rPr>
        <w:t xml:space="preserve"> que no contó con defenso</w:t>
      </w:r>
      <w:r w:rsidR="00D354CF">
        <w:rPr>
          <w:rFonts w:asciiTheme="majorHAnsi" w:hAnsiTheme="majorHAnsi" w:cs="Arial"/>
          <w:sz w:val="20"/>
          <w:szCs w:val="20"/>
          <w:lang w:val="es-UY"/>
        </w:rPr>
        <w:t>r en su declaración provisional</w:t>
      </w:r>
      <w:r w:rsidRPr="00875FF9">
        <w:rPr>
          <w:rFonts w:asciiTheme="majorHAnsi" w:hAnsiTheme="majorHAnsi" w:cs="Arial"/>
          <w:sz w:val="20"/>
          <w:szCs w:val="20"/>
          <w:lang w:val="es-UY"/>
        </w:rPr>
        <w:t xml:space="preserve"> y que el Ministerio Público duplicó injustificadamente el término constitucional a 98 horas para </w:t>
      </w:r>
      <w:r w:rsidR="00D354CF">
        <w:rPr>
          <w:rFonts w:asciiTheme="majorHAnsi" w:hAnsiTheme="majorHAnsi" w:cs="Arial"/>
          <w:sz w:val="20"/>
          <w:szCs w:val="20"/>
          <w:lang w:val="es-UY"/>
        </w:rPr>
        <w:t>que su caso sea conocido por un</w:t>
      </w:r>
      <w:r w:rsidRPr="00875FF9">
        <w:rPr>
          <w:rFonts w:asciiTheme="majorHAnsi" w:hAnsiTheme="majorHAnsi" w:cs="Arial"/>
          <w:sz w:val="20"/>
          <w:szCs w:val="20"/>
          <w:lang w:val="es-UY"/>
        </w:rPr>
        <w:t xml:space="preserve"> juez. </w:t>
      </w:r>
      <w:r w:rsidR="00E57BB8">
        <w:rPr>
          <w:rFonts w:asciiTheme="majorHAnsi" w:hAnsiTheme="majorHAnsi" w:cs="Arial"/>
          <w:sz w:val="20"/>
          <w:szCs w:val="20"/>
          <w:lang w:val="es-UY"/>
        </w:rPr>
        <w:t>S</w:t>
      </w:r>
      <w:r w:rsidRPr="00875FF9">
        <w:rPr>
          <w:rFonts w:asciiTheme="majorHAnsi" w:hAnsiTheme="majorHAnsi" w:cs="Arial"/>
          <w:sz w:val="20"/>
          <w:szCs w:val="20"/>
          <w:lang w:val="es-UY"/>
        </w:rPr>
        <w:t>eñalan que el 5 de enero de 1997</w:t>
      </w:r>
      <w:r w:rsidR="00E57BB8">
        <w:rPr>
          <w:rFonts w:asciiTheme="majorHAnsi" w:hAnsiTheme="majorHAnsi" w:cs="Arial"/>
          <w:sz w:val="20"/>
          <w:szCs w:val="20"/>
          <w:lang w:val="es-UY"/>
        </w:rPr>
        <w:t xml:space="preserve"> </w:t>
      </w:r>
      <w:r w:rsidRPr="00875FF9">
        <w:rPr>
          <w:rFonts w:asciiTheme="majorHAnsi" w:hAnsiTheme="majorHAnsi" w:cs="Arial"/>
          <w:sz w:val="20"/>
          <w:szCs w:val="20"/>
          <w:lang w:val="es-UY"/>
        </w:rPr>
        <w:t>fue ingresado al Centro de Readaptación Social Venustiano Carr</w:t>
      </w:r>
      <w:r w:rsidR="00E57BB8">
        <w:rPr>
          <w:rFonts w:asciiTheme="majorHAnsi" w:hAnsiTheme="majorHAnsi" w:cs="Arial"/>
          <w:sz w:val="20"/>
          <w:szCs w:val="20"/>
          <w:lang w:val="es-UY"/>
        </w:rPr>
        <w:t>anza de Tecuala y p</w:t>
      </w:r>
      <w:r w:rsidR="00165DEE">
        <w:rPr>
          <w:rFonts w:asciiTheme="majorHAnsi" w:hAnsiTheme="majorHAnsi" w:cs="Arial"/>
          <w:sz w:val="20"/>
          <w:szCs w:val="20"/>
          <w:lang w:val="es-UY"/>
        </w:rPr>
        <w:t xml:space="preserve">osteriormente </w:t>
      </w:r>
      <w:r w:rsidRPr="00875FF9">
        <w:rPr>
          <w:rFonts w:asciiTheme="majorHAnsi" w:hAnsiTheme="majorHAnsi" w:cs="Arial"/>
          <w:sz w:val="20"/>
          <w:szCs w:val="20"/>
          <w:lang w:val="es-UY"/>
        </w:rPr>
        <w:t xml:space="preserve">el Juzgado Segundo de </w:t>
      </w:r>
      <w:r w:rsidR="00000EDC">
        <w:rPr>
          <w:rFonts w:asciiTheme="majorHAnsi" w:hAnsiTheme="majorHAnsi" w:cs="Arial"/>
          <w:sz w:val="20"/>
          <w:szCs w:val="20"/>
          <w:lang w:val="es-UY"/>
        </w:rPr>
        <w:t>P</w:t>
      </w:r>
      <w:r w:rsidRPr="00875FF9">
        <w:rPr>
          <w:rFonts w:asciiTheme="majorHAnsi" w:hAnsiTheme="majorHAnsi" w:cs="Arial"/>
          <w:sz w:val="20"/>
          <w:szCs w:val="20"/>
          <w:lang w:val="es-UY"/>
        </w:rPr>
        <w:t xml:space="preserve">rimera </w:t>
      </w:r>
      <w:r w:rsidR="00000EDC">
        <w:rPr>
          <w:rFonts w:asciiTheme="majorHAnsi" w:hAnsiTheme="majorHAnsi" w:cs="Arial"/>
          <w:sz w:val="20"/>
          <w:szCs w:val="20"/>
          <w:lang w:val="es-UY"/>
        </w:rPr>
        <w:t>I</w:t>
      </w:r>
      <w:r w:rsidRPr="00875FF9">
        <w:rPr>
          <w:rFonts w:asciiTheme="majorHAnsi" w:hAnsiTheme="majorHAnsi" w:cs="Arial"/>
          <w:sz w:val="20"/>
          <w:szCs w:val="20"/>
          <w:lang w:val="es-UY"/>
        </w:rPr>
        <w:t xml:space="preserve">nstancia de Tepic Nayarit, </w:t>
      </w:r>
      <w:r w:rsidR="00E57BB8">
        <w:rPr>
          <w:rFonts w:asciiTheme="majorHAnsi" w:hAnsiTheme="majorHAnsi" w:cs="Arial"/>
          <w:sz w:val="20"/>
          <w:szCs w:val="20"/>
          <w:lang w:val="es-UY"/>
        </w:rPr>
        <w:t>pese a</w:t>
      </w:r>
      <w:r w:rsidR="00E57BB8" w:rsidRPr="00875FF9">
        <w:rPr>
          <w:rFonts w:asciiTheme="majorHAnsi" w:hAnsiTheme="majorHAnsi" w:cs="Arial"/>
          <w:sz w:val="20"/>
          <w:szCs w:val="20"/>
          <w:lang w:val="es-UY"/>
        </w:rPr>
        <w:t xml:space="preserve"> no ser competente por razón de territorio</w:t>
      </w:r>
      <w:r w:rsidR="00E57BB8">
        <w:rPr>
          <w:rFonts w:asciiTheme="majorHAnsi" w:hAnsiTheme="majorHAnsi" w:cs="Arial"/>
          <w:sz w:val="20"/>
          <w:szCs w:val="20"/>
          <w:lang w:val="es-UY"/>
        </w:rPr>
        <w:t>,</w:t>
      </w:r>
      <w:r w:rsidR="00E57BB8" w:rsidRPr="00875FF9">
        <w:rPr>
          <w:rFonts w:asciiTheme="majorHAnsi" w:hAnsiTheme="majorHAnsi" w:cs="Arial"/>
          <w:sz w:val="20"/>
          <w:szCs w:val="20"/>
          <w:lang w:val="es-UY"/>
        </w:rPr>
        <w:t xml:space="preserve"> </w:t>
      </w:r>
      <w:r w:rsidRPr="00875FF9">
        <w:rPr>
          <w:rFonts w:asciiTheme="majorHAnsi" w:hAnsiTheme="majorHAnsi" w:cs="Arial"/>
          <w:sz w:val="20"/>
          <w:szCs w:val="20"/>
          <w:lang w:val="es-UY"/>
        </w:rPr>
        <w:t>dictó auto de formal prisi</w:t>
      </w:r>
      <w:r w:rsidR="00E57BB8">
        <w:rPr>
          <w:rFonts w:asciiTheme="majorHAnsi" w:hAnsiTheme="majorHAnsi" w:cs="Arial"/>
          <w:sz w:val="20"/>
          <w:szCs w:val="20"/>
          <w:lang w:val="es-UY"/>
        </w:rPr>
        <w:t xml:space="preserve">ón en su contra. </w:t>
      </w:r>
    </w:p>
    <w:p w14:paraId="07E06EAC" w14:textId="5CCCC5F7" w:rsidR="00810643" w:rsidRPr="00875FF9" w:rsidRDefault="00810643" w:rsidP="00810643">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cs="Arial"/>
          <w:sz w:val="20"/>
          <w:szCs w:val="20"/>
          <w:u w:val="single"/>
          <w:lang w:val="es-UY"/>
        </w:rPr>
      </w:pPr>
      <w:r w:rsidRPr="00875FF9">
        <w:rPr>
          <w:rFonts w:asciiTheme="majorHAnsi" w:hAnsiTheme="majorHAnsi" w:cs="Arial"/>
          <w:sz w:val="20"/>
          <w:szCs w:val="20"/>
          <w:u w:val="single"/>
          <w:lang w:val="es-UY"/>
        </w:rPr>
        <w:t xml:space="preserve">Alegatos respecto </w:t>
      </w:r>
      <w:r w:rsidR="000A67A7" w:rsidRPr="00875FF9">
        <w:rPr>
          <w:rFonts w:asciiTheme="majorHAnsi" w:hAnsiTheme="majorHAnsi" w:cs="Arial"/>
          <w:sz w:val="20"/>
          <w:szCs w:val="20"/>
          <w:u w:val="single"/>
          <w:lang w:val="es-UY"/>
        </w:rPr>
        <w:t>de</w:t>
      </w:r>
      <w:r w:rsidRPr="00875FF9">
        <w:rPr>
          <w:rFonts w:asciiTheme="majorHAnsi" w:hAnsiTheme="majorHAnsi" w:cs="Arial"/>
          <w:sz w:val="20"/>
          <w:szCs w:val="20"/>
          <w:u w:val="single"/>
          <w:lang w:val="es-UY"/>
        </w:rPr>
        <w:t>l proceso penal contra el Sr. Medina</w:t>
      </w:r>
    </w:p>
    <w:p w14:paraId="48027787" w14:textId="6A3F2BD3" w:rsidR="00810643" w:rsidRPr="00875FF9" w:rsidRDefault="00810643" w:rsidP="00810643">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UY"/>
        </w:rPr>
      </w:pPr>
      <w:r w:rsidRPr="00875FF9">
        <w:rPr>
          <w:rFonts w:asciiTheme="majorHAnsi" w:hAnsiTheme="majorHAnsi" w:cs="Arial"/>
          <w:sz w:val="20"/>
          <w:szCs w:val="20"/>
          <w:lang w:val="es-UY"/>
        </w:rPr>
        <w:t>Los peticionarios afirman que durante el proceso penal diversas pruebas fueron alteradas. Indican al respecto que los cuerpos encontrados en la escena del crimen, así como los casquillos fueron recogidos por los policí</w:t>
      </w:r>
      <w:r w:rsidR="00B216AB" w:rsidRPr="00875FF9">
        <w:rPr>
          <w:rFonts w:asciiTheme="majorHAnsi" w:hAnsiTheme="majorHAnsi" w:cs="Arial"/>
          <w:sz w:val="20"/>
          <w:szCs w:val="20"/>
          <w:lang w:val="es-UY"/>
        </w:rPr>
        <w:t xml:space="preserve">as y no por peritos. </w:t>
      </w:r>
      <w:r w:rsidR="002D47B6" w:rsidRPr="00875FF9">
        <w:rPr>
          <w:rFonts w:asciiTheme="majorHAnsi" w:hAnsiTheme="majorHAnsi" w:cs="Arial"/>
          <w:sz w:val="20"/>
          <w:szCs w:val="20"/>
          <w:lang w:val="es-UY"/>
        </w:rPr>
        <w:t>Alegan</w:t>
      </w:r>
      <w:r w:rsidRPr="00875FF9">
        <w:rPr>
          <w:rFonts w:asciiTheme="majorHAnsi" w:hAnsiTheme="majorHAnsi" w:cs="Arial"/>
          <w:sz w:val="20"/>
          <w:szCs w:val="20"/>
          <w:lang w:val="es-UY"/>
        </w:rPr>
        <w:t xml:space="preserve"> </w:t>
      </w:r>
      <w:r w:rsidR="00C740B0">
        <w:rPr>
          <w:rFonts w:asciiTheme="majorHAnsi" w:hAnsiTheme="majorHAnsi" w:cs="Arial"/>
          <w:sz w:val="20"/>
          <w:szCs w:val="20"/>
          <w:lang w:val="es-UY"/>
        </w:rPr>
        <w:t xml:space="preserve">también </w:t>
      </w:r>
      <w:r w:rsidRPr="00875FF9">
        <w:rPr>
          <w:rFonts w:asciiTheme="majorHAnsi" w:hAnsiTheme="majorHAnsi" w:cs="Arial"/>
          <w:sz w:val="20"/>
          <w:szCs w:val="20"/>
          <w:lang w:val="es-UY"/>
        </w:rPr>
        <w:t xml:space="preserve">que las armas encontradas en su domicilio no fueron debidamente identificadas, ni puestas de forma inmediata ante autoridad judicial, por lo que pudieron </w:t>
      </w:r>
      <w:r w:rsidR="00705125">
        <w:rPr>
          <w:rFonts w:asciiTheme="majorHAnsi" w:hAnsiTheme="majorHAnsi" w:cs="Arial"/>
          <w:sz w:val="20"/>
          <w:szCs w:val="20"/>
          <w:lang w:val="es-UY"/>
        </w:rPr>
        <w:t xml:space="preserve">haber sido </w:t>
      </w:r>
      <w:r w:rsidR="00A717A8">
        <w:rPr>
          <w:rFonts w:asciiTheme="majorHAnsi" w:hAnsiTheme="majorHAnsi" w:cs="Arial"/>
          <w:sz w:val="20"/>
          <w:szCs w:val="20"/>
          <w:lang w:val="es-UY"/>
        </w:rPr>
        <w:t>manipuladas, a</w:t>
      </w:r>
      <w:r w:rsidR="00C740B0">
        <w:rPr>
          <w:rFonts w:asciiTheme="majorHAnsi" w:hAnsiTheme="majorHAnsi" w:cs="Arial"/>
          <w:sz w:val="20"/>
          <w:szCs w:val="20"/>
          <w:lang w:val="es-UY"/>
        </w:rPr>
        <w:t xml:space="preserve">demás </w:t>
      </w:r>
      <w:r w:rsidR="00A717A8">
        <w:rPr>
          <w:rFonts w:asciiTheme="majorHAnsi" w:hAnsiTheme="majorHAnsi" w:cs="Arial"/>
          <w:sz w:val="20"/>
          <w:szCs w:val="20"/>
          <w:lang w:val="es-UY"/>
        </w:rPr>
        <w:t xml:space="preserve">que </w:t>
      </w:r>
      <w:r w:rsidR="00C805B6">
        <w:rPr>
          <w:rFonts w:asciiTheme="majorHAnsi" w:hAnsiTheme="majorHAnsi" w:cs="Arial"/>
          <w:sz w:val="20"/>
          <w:szCs w:val="20"/>
          <w:lang w:val="es-UY"/>
        </w:rPr>
        <w:t>éstas no coincidía</w:t>
      </w:r>
      <w:r w:rsidRPr="00875FF9">
        <w:rPr>
          <w:rFonts w:asciiTheme="majorHAnsi" w:hAnsiTheme="majorHAnsi" w:cs="Arial"/>
          <w:sz w:val="20"/>
          <w:szCs w:val="20"/>
          <w:lang w:val="es-UY"/>
        </w:rPr>
        <w:t>n con las armas utilizadas en la escena del crimen. Señalan que hubo contradicciones en los testimonios de los agentes que realizaron el cateo en cuanto al número de armas encontradas. Indican además que una prueba pericial señaló que, si bien una de las armas encontrada</w:t>
      </w:r>
      <w:r w:rsidR="00D002FF" w:rsidRPr="00875FF9">
        <w:rPr>
          <w:rFonts w:asciiTheme="majorHAnsi" w:hAnsiTheme="majorHAnsi" w:cs="Arial"/>
          <w:sz w:val="20"/>
          <w:szCs w:val="20"/>
          <w:lang w:val="es-UY"/>
        </w:rPr>
        <w:t>s</w:t>
      </w:r>
      <w:r w:rsidRPr="00875FF9">
        <w:rPr>
          <w:rFonts w:asciiTheme="majorHAnsi" w:hAnsiTheme="majorHAnsi" w:cs="Arial"/>
          <w:sz w:val="20"/>
          <w:szCs w:val="20"/>
          <w:lang w:val="es-UY"/>
        </w:rPr>
        <w:t xml:space="preserve"> en la casa de</w:t>
      </w:r>
      <w:r w:rsidR="00A717A8">
        <w:rPr>
          <w:rFonts w:asciiTheme="majorHAnsi" w:hAnsiTheme="majorHAnsi" w:cs="Arial"/>
          <w:sz w:val="20"/>
          <w:szCs w:val="20"/>
          <w:lang w:val="es-UY"/>
        </w:rPr>
        <w:t xml:space="preserve"> la presunta víctima </w:t>
      </w:r>
      <w:r w:rsidRPr="00875FF9">
        <w:rPr>
          <w:rFonts w:asciiTheme="majorHAnsi" w:hAnsiTheme="majorHAnsi" w:cs="Arial"/>
          <w:sz w:val="20"/>
          <w:szCs w:val="20"/>
          <w:lang w:val="es-UY"/>
        </w:rPr>
        <w:t xml:space="preserve">había sido accionada múltiples veces, ésta no correspondía con los casquillos encontrados en el lugar de los hechos. </w:t>
      </w:r>
    </w:p>
    <w:p w14:paraId="21B054FB" w14:textId="09E9D9A9" w:rsidR="00810643" w:rsidRPr="00875FF9" w:rsidRDefault="00810643" w:rsidP="00810643">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UY"/>
        </w:rPr>
      </w:pPr>
      <w:r w:rsidRPr="00875FF9">
        <w:rPr>
          <w:rFonts w:asciiTheme="majorHAnsi" w:hAnsiTheme="majorHAnsi" w:cs="Arial"/>
          <w:sz w:val="20"/>
          <w:szCs w:val="20"/>
          <w:lang w:val="es-UY"/>
        </w:rPr>
        <w:t>Adicionalmente, señalan que las autoridades no tomaron en cuenta diversas pruebas que demostraban la inocen</w:t>
      </w:r>
      <w:r w:rsidR="00A717A8">
        <w:rPr>
          <w:rFonts w:asciiTheme="majorHAnsi" w:hAnsiTheme="majorHAnsi" w:cs="Arial"/>
          <w:sz w:val="20"/>
          <w:szCs w:val="20"/>
          <w:lang w:val="es-UY"/>
        </w:rPr>
        <w:t>cia del Sr. Medina</w:t>
      </w:r>
      <w:r w:rsidR="005B172F">
        <w:rPr>
          <w:rFonts w:asciiTheme="majorHAnsi" w:hAnsiTheme="majorHAnsi" w:cs="Arial"/>
          <w:sz w:val="20"/>
          <w:szCs w:val="20"/>
          <w:lang w:val="es-UY"/>
        </w:rPr>
        <w:t xml:space="preserve"> Rivera</w:t>
      </w:r>
      <w:r w:rsidR="00A717A8">
        <w:rPr>
          <w:rFonts w:asciiTheme="majorHAnsi" w:hAnsiTheme="majorHAnsi" w:cs="Arial"/>
          <w:sz w:val="20"/>
          <w:szCs w:val="20"/>
          <w:lang w:val="es-UY"/>
        </w:rPr>
        <w:t>. Por ejemplo,</w:t>
      </w:r>
      <w:r w:rsidRPr="00875FF9">
        <w:rPr>
          <w:rFonts w:asciiTheme="majorHAnsi" w:hAnsiTheme="majorHAnsi" w:cs="Arial"/>
          <w:sz w:val="20"/>
          <w:szCs w:val="20"/>
          <w:lang w:val="es-UY"/>
        </w:rPr>
        <w:t xml:space="preserve"> las declaraciones realizadas</w:t>
      </w:r>
      <w:r w:rsidR="00F371FD">
        <w:rPr>
          <w:rFonts w:asciiTheme="majorHAnsi" w:hAnsiTheme="majorHAnsi" w:cs="Arial"/>
          <w:sz w:val="20"/>
          <w:szCs w:val="20"/>
          <w:lang w:val="es-UY"/>
        </w:rPr>
        <w:t xml:space="preserve"> la Sra. Angelita Domínguez, </w:t>
      </w:r>
      <w:r w:rsidRPr="00875FF9">
        <w:rPr>
          <w:rFonts w:asciiTheme="majorHAnsi" w:hAnsiTheme="majorHAnsi" w:cs="Arial"/>
          <w:sz w:val="20"/>
          <w:szCs w:val="20"/>
          <w:lang w:val="es-UY"/>
        </w:rPr>
        <w:t>esposa de una de las víctimas de los delitos que se le imputaron, que identificaba y señalaba a los verdaderos responsables de los delitos; así como la declaración de la Sra. Clara Barrón Parra, víctima de los delitos, quien señaló que la policía judicial de Tecuala la habría obligado a declarar en contra del Sr. José Medina Rivera aun cuando éste no era responsable.</w:t>
      </w:r>
    </w:p>
    <w:p w14:paraId="428F3FE2" w14:textId="238E59A8" w:rsidR="00810643" w:rsidRPr="007B5CB6" w:rsidRDefault="00810643" w:rsidP="007B5CB6">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UY"/>
        </w:rPr>
      </w:pPr>
      <w:r w:rsidRPr="00875FF9">
        <w:rPr>
          <w:rFonts w:asciiTheme="majorHAnsi" w:hAnsiTheme="majorHAnsi" w:cs="Arial"/>
          <w:sz w:val="20"/>
          <w:szCs w:val="20"/>
          <w:lang w:val="es-UY"/>
        </w:rPr>
        <w:lastRenderedPageBreak/>
        <w:t>Los peticionarios denuncian que</w:t>
      </w:r>
      <w:r w:rsidR="001042A6" w:rsidRPr="00875FF9">
        <w:rPr>
          <w:rFonts w:asciiTheme="majorHAnsi" w:hAnsiTheme="majorHAnsi" w:cs="Arial"/>
          <w:sz w:val="20"/>
          <w:szCs w:val="20"/>
          <w:lang w:val="es-UY"/>
        </w:rPr>
        <w:t>,</w:t>
      </w:r>
      <w:r w:rsidRPr="00875FF9">
        <w:rPr>
          <w:rFonts w:asciiTheme="majorHAnsi" w:hAnsiTheme="majorHAnsi" w:cs="Arial"/>
          <w:sz w:val="20"/>
          <w:szCs w:val="20"/>
          <w:lang w:val="es-UY"/>
        </w:rPr>
        <w:t xml:space="preserve"> aun cuando de las declaraciones de la testigo y víctima se desprendía que los asesinos fueron cinco o seis personas, la policía judicial no continúo las investigaciones para detener a los verdaderos responsables</w:t>
      </w:r>
      <w:r w:rsidR="001042A6" w:rsidRPr="00875FF9">
        <w:rPr>
          <w:rFonts w:asciiTheme="majorHAnsi" w:hAnsiTheme="majorHAnsi" w:cs="Arial"/>
          <w:sz w:val="20"/>
          <w:szCs w:val="20"/>
          <w:lang w:val="es-UY"/>
        </w:rPr>
        <w:t>. Indican que</w:t>
      </w:r>
      <w:r w:rsidR="0041508A">
        <w:rPr>
          <w:rFonts w:asciiTheme="majorHAnsi" w:hAnsiTheme="majorHAnsi" w:cs="Arial"/>
          <w:sz w:val="20"/>
          <w:szCs w:val="20"/>
          <w:lang w:val="es-UY"/>
        </w:rPr>
        <w:t xml:space="preserve"> </w:t>
      </w:r>
      <w:r w:rsidR="001042A6" w:rsidRPr="00875FF9">
        <w:rPr>
          <w:rFonts w:asciiTheme="majorHAnsi" w:hAnsiTheme="majorHAnsi" w:cs="Arial"/>
          <w:sz w:val="20"/>
          <w:szCs w:val="20"/>
          <w:lang w:val="es-UY"/>
        </w:rPr>
        <w:t>el Sr. José Medina</w:t>
      </w:r>
      <w:r w:rsidR="005B172F">
        <w:rPr>
          <w:rFonts w:asciiTheme="majorHAnsi" w:hAnsiTheme="majorHAnsi" w:cs="Arial"/>
          <w:sz w:val="20"/>
          <w:szCs w:val="20"/>
          <w:lang w:val="es-UY"/>
        </w:rPr>
        <w:t xml:space="preserve"> Rivera</w:t>
      </w:r>
      <w:r w:rsidR="001042A6" w:rsidRPr="00875FF9">
        <w:rPr>
          <w:rFonts w:asciiTheme="majorHAnsi" w:hAnsiTheme="majorHAnsi" w:cs="Arial"/>
          <w:sz w:val="20"/>
          <w:szCs w:val="20"/>
          <w:lang w:val="es-UY"/>
        </w:rPr>
        <w:t xml:space="preserve"> fue</w:t>
      </w:r>
      <w:r w:rsidRPr="00875FF9">
        <w:rPr>
          <w:rFonts w:asciiTheme="majorHAnsi" w:hAnsiTheme="majorHAnsi" w:cs="Arial"/>
          <w:sz w:val="20"/>
          <w:szCs w:val="20"/>
          <w:lang w:val="es-UY"/>
        </w:rPr>
        <w:t xml:space="preserve"> condenado injustamente el 26 de marzo de 1997 a treinta y tres años y quince días de prisión</w:t>
      </w:r>
      <w:r w:rsidR="005B172F">
        <w:rPr>
          <w:rFonts w:asciiTheme="majorHAnsi" w:hAnsiTheme="majorHAnsi" w:cs="Arial"/>
          <w:sz w:val="20"/>
          <w:szCs w:val="20"/>
          <w:lang w:val="es-UY"/>
        </w:rPr>
        <w:t>,</w:t>
      </w:r>
      <w:r w:rsidR="00C805B6">
        <w:rPr>
          <w:rFonts w:asciiTheme="majorHAnsi" w:hAnsiTheme="majorHAnsi" w:cs="Arial"/>
          <w:sz w:val="20"/>
          <w:szCs w:val="20"/>
          <w:lang w:val="es-UY"/>
        </w:rPr>
        <w:t xml:space="preserve"> sanción penal </w:t>
      </w:r>
      <w:r w:rsidR="005B172F">
        <w:rPr>
          <w:rFonts w:asciiTheme="majorHAnsi" w:hAnsiTheme="majorHAnsi" w:cs="Arial"/>
          <w:sz w:val="20"/>
          <w:szCs w:val="20"/>
          <w:lang w:val="es-UY"/>
        </w:rPr>
        <w:t>que</w:t>
      </w:r>
      <w:r w:rsidR="00C805B6">
        <w:rPr>
          <w:rFonts w:asciiTheme="majorHAnsi" w:hAnsiTheme="majorHAnsi" w:cs="Arial"/>
          <w:sz w:val="20"/>
          <w:szCs w:val="20"/>
          <w:lang w:val="es-UY"/>
        </w:rPr>
        <w:t xml:space="preserve"> por sentencia de </w:t>
      </w:r>
      <w:r w:rsidR="005B172F">
        <w:rPr>
          <w:rFonts w:asciiTheme="majorHAnsi" w:hAnsiTheme="majorHAnsi" w:cs="Arial"/>
          <w:sz w:val="20"/>
          <w:szCs w:val="20"/>
          <w:lang w:val="es-UY"/>
        </w:rPr>
        <w:t>segun</w:t>
      </w:r>
      <w:r w:rsidRPr="00875FF9">
        <w:rPr>
          <w:rFonts w:asciiTheme="majorHAnsi" w:hAnsiTheme="majorHAnsi" w:cs="Arial"/>
          <w:sz w:val="20"/>
          <w:szCs w:val="20"/>
          <w:lang w:val="es-UY"/>
        </w:rPr>
        <w:t>da instancia el 24 de agosto de 1998</w:t>
      </w:r>
      <w:r w:rsidR="001042A6" w:rsidRPr="00875FF9">
        <w:rPr>
          <w:rFonts w:asciiTheme="majorHAnsi" w:hAnsiTheme="majorHAnsi" w:cs="Arial"/>
          <w:sz w:val="20"/>
          <w:szCs w:val="20"/>
          <w:lang w:val="es-UY"/>
        </w:rPr>
        <w:t>,</w:t>
      </w:r>
      <w:r w:rsidR="00C805B6">
        <w:rPr>
          <w:rFonts w:asciiTheme="majorHAnsi" w:hAnsiTheme="majorHAnsi" w:cs="Arial"/>
          <w:sz w:val="20"/>
          <w:szCs w:val="20"/>
          <w:lang w:val="es-UY"/>
        </w:rPr>
        <w:t xml:space="preserve"> fue reducida </w:t>
      </w:r>
      <w:r w:rsidRPr="00875FF9">
        <w:rPr>
          <w:rFonts w:asciiTheme="majorHAnsi" w:hAnsiTheme="majorHAnsi" w:cs="Arial"/>
          <w:sz w:val="20"/>
          <w:szCs w:val="20"/>
          <w:lang w:val="es-UY"/>
        </w:rPr>
        <w:t>a treinta años cuatro meses y quince días de prisión</w:t>
      </w:r>
      <w:r w:rsidR="001042A6" w:rsidRPr="00875FF9">
        <w:rPr>
          <w:rFonts w:asciiTheme="majorHAnsi" w:hAnsiTheme="majorHAnsi" w:cs="Arial"/>
          <w:sz w:val="20"/>
          <w:szCs w:val="20"/>
          <w:lang w:val="es-UY"/>
        </w:rPr>
        <w:t xml:space="preserve">. </w:t>
      </w:r>
      <w:r w:rsidR="00792A48">
        <w:rPr>
          <w:rFonts w:asciiTheme="majorHAnsi" w:hAnsiTheme="majorHAnsi" w:cs="Arial"/>
          <w:sz w:val="20"/>
          <w:szCs w:val="20"/>
          <w:lang w:val="es-UY"/>
        </w:rPr>
        <w:t>Posteriormente, e</w:t>
      </w:r>
      <w:r w:rsidR="00EC5A34" w:rsidRPr="00875FF9">
        <w:rPr>
          <w:rFonts w:asciiTheme="majorHAnsi" w:hAnsiTheme="majorHAnsi" w:cs="Arial"/>
          <w:sz w:val="20"/>
          <w:szCs w:val="20"/>
          <w:lang w:val="es-UY"/>
        </w:rPr>
        <w:t xml:space="preserve">l amparo directo interpuesto contra dicha sentencia fue rechazado </w:t>
      </w:r>
      <w:r w:rsidRPr="00875FF9">
        <w:rPr>
          <w:rFonts w:asciiTheme="majorHAnsi" w:hAnsiTheme="majorHAnsi" w:cs="Arial"/>
          <w:sz w:val="20"/>
          <w:szCs w:val="20"/>
          <w:lang w:val="es-UY"/>
        </w:rPr>
        <w:t>el 24 de mayo de 2000,</w:t>
      </w:r>
      <w:r w:rsidR="00EC5A34" w:rsidRPr="00875FF9">
        <w:rPr>
          <w:rFonts w:asciiTheme="majorHAnsi" w:hAnsiTheme="majorHAnsi" w:cs="Arial"/>
          <w:sz w:val="20"/>
          <w:szCs w:val="20"/>
          <w:lang w:val="es-UY"/>
        </w:rPr>
        <w:t xml:space="preserve"> aunque la pena se redujo </w:t>
      </w:r>
      <w:r w:rsidRPr="00875FF9">
        <w:rPr>
          <w:rFonts w:asciiTheme="majorHAnsi" w:hAnsiTheme="majorHAnsi" w:cs="Arial"/>
          <w:sz w:val="20"/>
          <w:szCs w:val="20"/>
          <w:lang w:val="es-UY"/>
        </w:rPr>
        <w:t xml:space="preserve">a veinticinco años. </w:t>
      </w:r>
      <w:r w:rsidRPr="007B5CB6">
        <w:rPr>
          <w:rFonts w:asciiTheme="majorHAnsi" w:hAnsiTheme="majorHAnsi" w:cs="Arial"/>
          <w:sz w:val="20"/>
          <w:szCs w:val="20"/>
          <w:lang w:val="es-UY"/>
        </w:rPr>
        <w:t xml:space="preserve">Inconformes con la decisión, </w:t>
      </w:r>
      <w:r w:rsidR="007B5CB6" w:rsidRPr="007B5CB6">
        <w:rPr>
          <w:rFonts w:asciiTheme="majorHAnsi" w:hAnsiTheme="majorHAnsi" w:cs="Arial"/>
          <w:sz w:val="20"/>
          <w:szCs w:val="20"/>
          <w:lang w:val="es-UY"/>
        </w:rPr>
        <w:t>presentaron</w:t>
      </w:r>
      <w:r w:rsidRPr="007B5CB6">
        <w:rPr>
          <w:rFonts w:asciiTheme="majorHAnsi" w:hAnsiTheme="majorHAnsi" w:cs="Arial"/>
          <w:sz w:val="20"/>
          <w:szCs w:val="20"/>
          <w:lang w:val="es-UY"/>
        </w:rPr>
        <w:t xml:space="preserve"> un recurso de revisión extraordinaria de reconocimiento de inocencia ante el Tribunal Superior de Justicia de Nayarit, el cual fue declarado i</w:t>
      </w:r>
      <w:r w:rsidR="005B172F" w:rsidRPr="007B5CB6">
        <w:rPr>
          <w:rFonts w:asciiTheme="majorHAnsi" w:hAnsiTheme="majorHAnsi" w:cs="Arial"/>
          <w:sz w:val="20"/>
          <w:szCs w:val="20"/>
          <w:lang w:val="es-UY"/>
        </w:rPr>
        <w:t>nfundado el 31 de julio de 2001. Frente a ello,</w:t>
      </w:r>
      <w:r w:rsidRPr="007B5CB6">
        <w:rPr>
          <w:rFonts w:asciiTheme="majorHAnsi" w:hAnsiTheme="majorHAnsi" w:cs="Arial"/>
          <w:sz w:val="20"/>
          <w:szCs w:val="20"/>
          <w:lang w:val="es-UY"/>
        </w:rPr>
        <w:t xml:space="preserve"> </w:t>
      </w:r>
      <w:r w:rsidR="007B5CB6" w:rsidRPr="007B5CB6">
        <w:rPr>
          <w:rFonts w:asciiTheme="majorHAnsi" w:hAnsiTheme="majorHAnsi" w:cs="Arial"/>
          <w:sz w:val="20"/>
          <w:szCs w:val="20"/>
          <w:lang w:val="es-UY"/>
        </w:rPr>
        <w:t>el 28 de septiembre de 2001</w:t>
      </w:r>
      <w:r w:rsidR="007B5CB6">
        <w:rPr>
          <w:rFonts w:asciiTheme="majorHAnsi" w:hAnsiTheme="majorHAnsi" w:cs="Arial"/>
          <w:sz w:val="20"/>
          <w:szCs w:val="20"/>
          <w:lang w:val="es-UY"/>
        </w:rPr>
        <w:t xml:space="preserve"> interpusieron </w:t>
      </w:r>
      <w:r w:rsidRPr="007B5CB6">
        <w:rPr>
          <w:rFonts w:asciiTheme="majorHAnsi" w:hAnsiTheme="majorHAnsi" w:cs="Arial"/>
          <w:sz w:val="20"/>
          <w:szCs w:val="20"/>
          <w:lang w:val="es-UY"/>
        </w:rPr>
        <w:t xml:space="preserve">un amparo indirecto </w:t>
      </w:r>
      <w:r w:rsidR="005B172F" w:rsidRPr="007B5CB6">
        <w:rPr>
          <w:rFonts w:asciiTheme="majorHAnsi" w:hAnsiTheme="majorHAnsi" w:cs="Arial"/>
          <w:sz w:val="20"/>
          <w:szCs w:val="20"/>
          <w:lang w:val="es-UY"/>
        </w:rPr>
        <w:t xml:space="preserve">que fue denegado </w:t>
      </w:r>
      <w:r w:rsidR="007B5CB6" w:rsidRPr="007B5CB6">
        <w:rPr>
          <w:rFonts w:asciiTheme="majorHAnsi" w:hAnsiTheme="majorHAnsi" w:cs="Arial"/>
          <w:sz w:val="20"/>
          <w:szCs w:val="20"/>
          <w:lang w:val="es-UY"/>
        </w:rPr>
        <w:t xml:space="preserve">por el </w:t>
      </w:r>
      <w:r w:rsidRPr="007B5CB6">
        <w:rPr>
          <w:rFonts w:asciiTheme="majorHAnsi" w:hAnsiTheme="majorHAnsi" w:cs="Arial"/>
          <w:sz w:val="20"/>
          <w:szCs w:val="20"/>
          <w:lang w:val="es-UY"/>
        </w:rPr>
        <w:t>Juzgado Primero de Distrito de Nayarit. Esta decisión fue confirmada por el mismo tribunal el 8 de marzo de 2002.</w:t>
      </w:r>
    </w:p>
    <w:p w14:paraId="0C92A8CE" w14:textId="77777777" w:rsidR="00810643" w:rsidRPr="00875FF9" w:rsidRDefault="00810643" w:rsidP="00810643">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cs="Arial"/>
          <w:sz w:val="20"/>
          <w:szCs w:val="20"/>
          <w:u w:val="single"/>
          <w:lang w:val="es-UY"/>
        </w:rPr>
      </w:pPr>
      <w:r w:rsidRPr="00875FF9">
        <w:rPr>
          <w:rFonts w:asciiTheme="majorHAnsi" w:hAnsiTheme="majorHAnsi" w:cs="Arial"/>
          <w:sz w:val="20"/>
          <w:szCs w:val="20"/>
          <w:u w:val="single"/>
          <w:lang w:val="es-UY"/>
        </w:rPr>
        <w:t xml:space="preserve">Proceso por actos de tortura e investigación de las muertes imputadas </w:t>
      </w:r>
    </w:p>
    <w:p w14:paraId="7162A94B" w14:textId="2712555A" w:rsidR="00810643" w:rsidRPr="00220A5D" w:rsidRDefault="00810643" w:rsidP="00E121AE">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UY"/>
        </w:rPr>
      </w:pPr>
      <w:r w:rsidRPr="00875FF9">
        <w:rPr>
          <w:rFonts w:asciiTheme="majorHAnsi" w:hAnsiTheme="majorHAnsi" w:cs="Arial"/>
          <w:sz w:val="20"/>
          <w:szCs w:val="20"/>
          <w:lang w:val="es-UY"/>
        </w:rPr>
        <w:t>Ante las irregularidades en la investigación</w:t>
      </w:r>
      <w:r w:rsidR="001A6E3B">
        <w:rPr>
          <w:rFonts w:asciiTheme="majorHAnsi" w:hAnsiTheme="majorHAnsi" w:cs="Arial"/>
          <w:sz w:val="20"/>
          <w:szCs w:val="20"/>
          <w:lang w:val="es-UY"/>
        </w:rPr>
        <w:t xml:space="preserve"> de los hechos que se imputaban</w:t>
      </w:r>
      <w:r w:rsidRPr="00875FF9">
        <w:rPr>
          <w:rFonts w:asciiTheme="majorHAnsi" w:hAnsiTheme="majorHAnsi" w:cs="Arial"/>
          <w:sz w:val="20"/>
          <w:szCs w:val="20"/>
          <w:lang w:val="es-UY"/>
        </w:rPr>
        <w:t xml:space="preserve"> y los supuestos actos de tortura e intimidación perpetrados en su contra, la presunta víctima interpuso una denuncia el 5 de diciembre de 2001 contra varios funcionarios de la Procuraduría General de Justicia de Nayarit. En esa misma fecha la Sra. Angelita Domínguez, denunció a los responsables intelectuales y materiales de los hechos donde perdió la vida su esposo. </w:t>
      </w:r>
      <w:r w:rsidR="00720851">
        <w:rPr>
          <w:rFonts w:asciiTheme="majorHAnsi" w:hAnsiTheme="majorHAnsi" w:cs="Arial"/>
          <w:sz w:val="20"/>
          <w:szCs w:val="20"/>
          <w:lang w:val="es-UY"/>
        </w:rPr>
        <w:t>No obstante, a</w:t>
      </w:r>
      <w:r w:rsidRPr="00875FF9">
        <w:rPr>
          <w:rFonts w:asciiTheme="majorHAnsi" w:hAnsiTheme="majorHAnsi" w:cs="Arial"/>
          <w:sz w:val="20"/>
          <w:szCs w:val="20"/>
          <w:lang w:val="es-UY"/>
        </w:rPr>
        <w:t>nte la inacción de las autoridades</w:t>
      </w:r>
      <w:r w:rsidR="00720851">
        <w:rPr>
          <w:rFonts w:asciiTheme="majorHAnsi" w:hAnsiTheme="majorHAnsi" w:cs="Arial"/>
          <w:sz w:val="20"/>
          <w:szCs w:val="20"/>
          <w:lang w:val="es-UY"/>
        </w:rPr>
        <w:t xml:space="preserve"> y </w:t>
      </w:r>
      <w:r w:rsidR="00E121AE">
        <w:rPr>
          <w:rFonts w:asciiTheme="majorHAnsi" w:hAnsiTheme="majorHAnsi" w:cs="Arial"/>
          <w:sz w:val="20"/>
          <w:szCs w:val="20"/>
          <w:lang w:val="es-UY"/>
        </w:rPr>
        <w:t>en el marco de</w:t>
      </w:r>
      <w:r w:rsidR="00720851">
        <w:rPr>
          <w:rFonts w:asciiTheme="majorHAnsi" w:hAnsiTheme="majorHAnsi" w:cs="Arial"/>
          <w:sz w:val="20"/>
          <w:szCs w:val="20"/>
          <w:lang w:val="es-UY"/>
        </w:rPr>
        <w:t xml:space="preserve"> </w:t>
      </w:r>
      <w:r w:rsidRPr="00875FF9">
        <w:rPr>
          <w:rFonts w:asciiTheme="majorHAnsi" w:hAnsiTheme="majorHAnsi" w:cs="Arial"/>
          <w:sz w:val="20"/>
          <w:szCs w:val="20"/>
          <w:lang w:val="es-UY"/>
        </w:rPr>
        <w:t xml:space="preserve">un amparo indirecto </w:t>
      </w:r>
      <w:r w:rsidR="00720851">
        <w:rPr>
          <w:rFonts w:asciiTheme="majorHAnsi" w:hAnsiTheme="majorHAnsi" w:cs="Arial"/>
          <w:sz w:val="20"/>
          <w:szCs w:val="20"/>
          <w:lang w:val="es-UY"/>
        </w:rPr>
        <w:t>presentado por los peticionarios</w:t>
      </w:r>
      <w:r w:rsidR="00E121AE">
        <w:rPr>
          <w:rFonts w:asciiTheme="majorHAnsi" w:hAnsiTheme="majorHAnsi" w:cs="Arial"/>
          <w:sz w:val="20"/>
          <w:szCs w:val="20"/>
          <w:lang w:val="es-UY"/>
        </w:rPr>
        <w:t>,</w:t>
      </w:r>
      <w:r w:rsidR="00720851">
        <w:rPr>
          <w:rFonts w:asciiTheme="majorHAnsi" w:hAnsiTheme="majorHAnsi" w:cs="Arial"/>
          <w:sz w:val="20"/>
          <w:szCs w:val="20"/>
          <w:lang w:val="es-UY"/>
        </w:rPr>
        <w:t xml:space="preserve"> se</w:t>
      </w:r>
      <w:r w:rsidR="00E121AE">
        <w:rPr>
          <w:rFonts w:asciiTheme="majorHAnsi" w:hAnsiTheme="majorHAnsi" w:cs="Arial"/>
          <w:sz w:val="20"/>
          <w:szCs w:val="20"/>
          <w:lang w:val="es-UY"/>
        </w:rPr>
        <w:t xml:space="preserve"> ordenó </w:t>
      </w:r>
      <w:r w:rsidRPr="00E121AE">
        <w:rPr>
          <w:rFonts w:asciiTheme="majorHAnsi" w:hAnsiTheme="majorHAnsi" w:cs="Arial"/>
          <w:sz w:val="20"/>
          <w:szCs w:val="20"/>
          <w:lang w:val="es-UY"/>
        </w:rPr>
        <w:t xml:space="preserve">al Ministerio Público que procediera </w:t>
      </w:r>
      <w:r w:rsidRPr="00220A5D">
        <w:rPr>
          <w:rFonts w:asciiTheme="majorHAnsi" w:hAnsiTheme="majorHAnsi" w:cs="Arial"/>
          <w:sz w:val="20"/>
          <w:szCs w:val="20"/>
          <w:lang w:val="es-UY"/>
        </w:rPr>
        <w:t xml:space="preserve">con la diligencia de ratificación de las denuncias realizadas. </w:t>
      </w:r>
    </w:p>
    <w:p w14:paraId="7105A6DE" w14:textId="583EB03E" w:rsidR="00810643" w:rsidRDefault="00E121AE" w:rsidP="00810643">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UY"/>
        </w:rPr>
      </w:pPr>
      <w:r w:rsidRPr="00220A5D">
        <w:rPr>
          <w:rFonts w:asciiTheme="majorHAnsi" w:hAnsiTheme="majorHAnsi" w:cs="Arial"/>
          <w:sz w:val="20"/>
          <w:szCs w:val="20"/>
          <w:lang w:val="es-UY"/>
        </w:rPr>
        <w:t>Posteriormente,</w:t>
      </w:r>
      <w:r w:rsidR="00810643" w:rsidRPr="00220A5D">
        <w:rPr>
          <w:rFonts w:asciiTheme="majorHAnsi" w:hAnsiTheme="majorHAnsi" w:cs="Arial"/>
          <w:sz w:val="20"/>
          <w:szCs w:val="20"/>
          <w:lang w:val="es-UY"/>
        </w:rPr>
        <w:t xml:space="preserve"> el 22 de agosto de 2003 el Ministerio Público declaró el no ejercicio de la acción penal por prescripción de los delitos denunciados, tanto por el Sr. José Medina</w:t>
      </w:r>
      <w:r w:rsidR="00F371FD" w:rsidRPr="00220A5D">
        <w:rPr>
          <w:rFonts w:asciiTheme="majorHAnsi" w:hAnsiTheme="majorHAnsi" w:cs="Arial"/>
          <w:sz w:val="20"/>
          <w:szCs w:val="20"/>
          <w:lang w:val="es-UY"/>
        </w:rPr>
        <w:t xml:space="preserve"> Rivera</w:t>
      </w:r>
      <w:r w:rsidR="00810643" w:rsidRPr="00220A5D">
        <w:rPr>
          <w:rFonts w:asciiTheme="majorHAnsi" w:hAnsiTheme="majorHAnsi" w:cs="Arial"/>
          <w:sz w:val="20"/>
          <w:szCs w:val="20"/>
          <w:lang w:val="es-UY"/>
        </w:rPr>
        <w:t>, como por la Sra. Angelita Domínguez</w:t>
      </w:r>
      <w:r w:rsidR="001C74FA" w:rsidRPr="00220A5D">
        <w:rPr>
          <w:rFonts w:asciiTheme="majorHAnsi" w:hAnsiTheme="majorHAnsi" w:cs="Arial"/>
          <w:sz w:val="20"/>
          <w:szCs w:val="20"/>
          <w:lang w:val="es-UY"/>
        </w:rPr>
        <w:t>. Dicha</w:t>
      </w:r>
      <w:r w:rsidR="00810643" w:rsidRPr="00220A5D">
        <w:rPr>
          <w:rFonts w:asciiTheme="majorHAnsi" w:hAnsiTheme="majorHAnsi" w:cs="Arial"/>
          <w:sz w:val="20"/>
          <w:szCs w:val="20"/>
          <w:lang w:val="es-UY"/>
        </w:rPr>
        <w:t xml:space="preserve"> resolución </w:t>
      </w:r>
      <w:r w:rsidR="001C74FA" w:rsidRPr="00220A5D">
        <w:rPr>
          <w:rFonts w:asciiTheme="majorHAnsi" w:hAnsiTheme="majorHAnsi" w:cs="Arial"/>
          <w:sz w:val="20"/>
          <w:szCs w:val="20"/>
          <w:lang w:val="es-UY"/>
        </w:rPr>
        <w:t xml:space="preserve">fue </w:t>
      </w:r>
      <w:r w:rsidR="00810643" w:rsidRPr="00220A5D">
        <w:rPr>
          <w:rFonts w:asciiTheme="majorHAnsi" w:hAnsiTheme="majorHAnsi" w:cs="Arial"/>
          <w:sz w:val="20"/>
          <w:szCs w:val="20"/>
          <w:lang w:val="es-UY"/>
        </w:rPr>
        <w:t>confirmada por el Procurador General de Justicia el 26 de agosto de 2003</w:t>
      </w:r>
      <w:r w:rsidR="001C74FA" w:rsidRPr="00220A5D">
        <w:rPr>
          <w:rFonts w:asciiTheme="majorHAnsi" w:hAnsiTheme="majorHAnsi" w:cs="Arial"/>
          <w:sz w:val="20"/>
          <w:szCs w:val="20"/>
          <w:lang w:val="es-UY"/>
        </w:rPr>
        <w:t>, por lo que a</w:t>
      </w:r>
      <w:r w:rsidR="00810643" w:rsidRPr="00220A5D">
        <w:rPr>
          <w:rFonts w:asciiTheme="majorHAnsi" w:hAnsiTheme="majorHAnsi" w:cs="Arial"/>
          <w:sz w:val="20"/>
          <w:szCs w:val="20"/>
          <w:lang w:val="es-UY"/>
        </w:rPr>
        <w:t>mbos interpusieron por cuenta propia amparo</w:t>
      </w:r>
      <w:r w:rsidR="00792A48">
        <w:rPr>
          <w:rFonts w:asciiTheme="majorHAnsi" w:hAnsiTheme="majorHAnsi" w:cs="Arial"/>
          <w:sz w:val="20"/>
          <w:szCs w:val="20"/>
          <w:lang w:val="es-UY"/>
        </w:rPr>
        <w:t>s</w:t>
      </w:r>
      <w:r w:rsidR="00810643" w:rsidRPr="00220A5D">
        <w:rPr>
          <w:rFonts w:asciiTheme="majorHAnsi" w:hAnsiTheme="majorHAnsi" w:cs="Arial"/>
          <w:sz w:val="20"/>
          <w:szCs w:val="20"/>
          <w:lang w:val="es-UY"/>
        </w:rPr>
        <w:t xml:space="preserve"> indirecto</w:t>
      </w:r>
      <w:r w:rsidR="00792A48">
        <w:rPr>
          <w:rFonts w:asciiTheme="majorHAnsi" w:hAnsiTheme="majorHAnsi" w:cs="Arial"/>
          <w:sz w:val="20"/>
          <w:szCs w:val="20"/>
          <w:lang w:val="es-UY"/>
        </w:rPr>
        <w:t>s</w:t>
      </w:r>
      <w:r w:rsidR="00810643" w:rsidRPr="00220A5D">
        <w:rPr>
          <w:rFonts w:asciiTheme="majorHAnsi" w:hAnsiTheme="majorHAnsi" w:cs="Arial"/>
          <w:sz w:val="20"/>
          <w:szCs w:val="20"/>
          <w:lang w:val="es-UY"/>
        </w:rPr>
        <w:t xml:space="preserve">. Estos recursos fueron acumulados </w:t>
      </w:r>
      <w:r w:rsidR="00B34DBE" w:rsidRPr="00220A5D">
        <w:rPr>
          <w:rFonts w:asciiTheme="majorHAnsi" w:hAnsiTheme="majorHAnsi" w:cs="Arial"/>
          <w:sz w:val="20"/>
          <w:szCs w:val="20"/>
          <w:lang w:val="es-UY"/>
        </w:rPr>
        <w:t>por</w:t>
      </w:r>
      <w:r w:rsidR="00810643" w:rsidRPr="00220A5D">
        <w:rPr>
          <w:rFonts w:asciiTheme="majorHAnsi" w:hAnsiTheme="majorHAnsi" w:cs="Arial"/>
          <w:sz w:val="20"/>
          <w:szCs w:val="20"/>
          <w:lang w:val="es-UY"/>
        </w:rPr>
        <w:t xml:space="preserve"> el Juzgado Tercero de Distrito, el cual el 17 de agosto de 2</w:t>
      </w:r>
      <w:r w:rsidR="00792A48">
        <w:rPr>
          <w:rFonts w:asciiTheme="majorHAnsi" w:hAnsiTheme="majorHAnsi" w:cs="Arial"/>
          <w:sz w:val="20"/>
          <w:szCs w:val="20"/>
          <w:lang w:val="es-UY"/>
        </w:rPr>
        <w:t>004 determinó que no amparaba a la presunta víctima</w:t>
      </w:r>
      <w:r w:rsidR="00810643" w:rsidRPr="00220A5D">
        <w:rPr>
          <w:rFonts w:asciiTheme="majorHAnsi" w:hAnsiTheme="majorHAnsi" w:cs="Arial"/>
          <w:sz w:val="20"/>
          <w:szCs w:val="20"/>
          <w:lang w:val="es-UY"/>
        </w:rPr>
        <w:t xml:space="preserve">, </w:t>
      </w:r>
      <w:r w:rsidR="009B5D57">
        <w:rPr>
          <w:rFonts w:asciiTheme="majorHAnsi" w:hAnsiTheme="majorHAnsi" w:cs="Arial"/>
          <w:sz w:val="20"/>
          <w:szCs w:val="20"/>
          <w:lang w:val="es-UY"/>
        </w:rPr>
        <w:t xml:space="preserve">pero </w:t>
      </w:r>
      <w:r w:rsidR="00220A5D" w:rsidRPr="00220A5D">
        <w:rPr>
          <w:rFonts w:asciiTheme="majorHAnsi" w:hAnsiTheme="majorHAnsi" w:cs="Arial"/>
          <w:sz w:val="20"/>
          <w:szCs w:val="20"/>
          <w:lang w:val="es-UY"/>
        </w:rPr>
        <w:t>disp</w:t>
      </w:r>
      <w:r w:rsidR="009B5D57">
        <w:rPr>
          <w:rFonts w:asciiTheme="majorHAnsi" w:hAnsiTheme="majorHAnsi" w:cs="Arial"/>
          <w:sz w:val="20"/>
          <w:szCs w:val="20"/>
          <w:lang w:val="es-UY"/>
        </w:rPr>
        <w:t xml:space="preserve">uso que </w:t>
      </w:r>
      <w:r w:rsidR="00220A5D" w:rsidRPr="00220A5D">
        <w:rPr>
          <w:rFonts w:asciiTheme="majorHAnsi" w:hAnsiTheme="majorHAnsi" w:cs="Arial"/>
          <w:sz w:val="20"/>
          <w:szCs w:val="20"/>
          <w:lang w:val="es-UY"/>
        </w:rPr>
        <w:t>el Procurador General de Justicia debía</w:t>
      </w:r>
      <w:r w:rsidR="00810643" w:rsidRPr="00220A5D">
        <w:rPr>
          <w:rFonts w:asciiTheme="majorHAnsi" w:hAnsiTheme="majorHAnsi" w:cs="Arial"/>
          <w:sz w:val="20"/>
          <w:szCs w:val="20"/>
          <w:lang w:val="es-UY"/>
        </w:rPr>
        <w:t xml:space="preserve"> seguir investigando los delitos </w:t>
      </w:r>
      <w:r w:rsidR="009B5D57">
        <w:rPr>
          <w:rFonts w:asciiTheme="majorHAnsi" w:hAnsiTheme="majorHAnsi" w:cs="Arial"/>
          <w:sz w:val="20"/>
          <w:szCs w:val="20"/>
          <w:lang w:val="es-UY"/>
        </w:rPr>
        <w:t>denunciados por la Sra. Angelita Domínguez</w:t>
      </w:r>
      <w:r w:rsidR="00810643" w:rsidRPr="00220A5D">
        <w:rPr>
          <w:rFonts w:asciiTheme="majorHAnsi" w:hAnsiTheme="majorHAnsi" w:cs="Arial"/>
          <w:sz w:val="20"/>
          <w:szCs w:val="20"/>
          <w:lang w:val="es-UY"/>
        </w:rPr>
        <w:t xml:space="preserve">. Sin embargo, el Ministerio Público no habría llevado a cabo investigación alguna, e incluso envió el expediente al archivo de reserva, por lo que la </w:t>
      </w:r>
      <w:r w:rsidR="009B5D57">
        <w:rPr>
          <w:rFonts w:asciiTheme="majorHAnsi" w:hAnsiTheme="majorHAnsi" w:cs="Arial"/>
          <w:sz w:val="20"/>
          <w:szCs w:val="20"/>
          <w:lang w:val="es-UY"/>
        </w:rPr>
        <w:t>denunciante</w:t>
      </w:r>
      <w:r w:rsidR="00810643" w:rsidRPr="00220A5D">
        <w:rPr>
          <w:rFonts w:asciiTheme="majorHAnsi" w:hAnsiTheme="majorHAnsi" w:cs="Arial"/>
          <w:sz w:val="20"/>
          <w:szCs w:val="20"/>
          <w:lang w:val="es-UY"/>
        </w:rPr>
        <w:t xml:space="preserve"> interpuso otro amparo indirecto ante el Juez Tercero de Distrito, quien concedió este recurso a los efectos de extraer el expediente del archivo y que se continuara con la investigación. Los peticionarios señalan que en el transcurso del proceso la Sra. Angelita Domínguez recibió amenazas por parte de agentes del Ministerio Público con el fin de que se retractara de los hechos denunciados, por lo que tuvo que salir de la ciudad de Tepic.</w:t>
      </w:r>
    </w:p>
    <w:p w14:paraId="5DCFB5AE" w14:textId="3217DEDF" w:rsidR="00656696" w:rsidRPr="00656696" w:rsidRDefault="00656696" w:rsidP="00656696">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UY"/>
        </w:rPr>
      </w:pPr>
      <w:r w:rsidRPr="00875FF9">
        <w:rPr>
          <w:rFonts w:asciiTheme="majorHAnsi" w:hAnsiTheme="majorHAnsi" w:cs="Arial"/>
          <w:sz w:val="20"/>
          <w:szCs w:val="20"/>
          <w:lang w:val="es-UY"/>
        </w:rPr>
        <w:t>Los peticionarios alegan que frente a la demora en la investigación de las torturas denunciadas</w:t>
      </w:r>
      <w:r>
        <w:rPr>
          <w:rFonts w:asciiTheme="majorHAnsi" w:hAnsiTheme="majorHAnsi" w:cs="Arial"/>
          <w:sz w:val="20"/>
          <w:szCs w:val="20"/>
          <w:lang w:val="es-UY"/>
        </w:rPr>
        <w:t xml:space="preserve"> </w:t>
      </w:r>
      <w:r w:rsidRPr="00875FF9">
        <w:rPr>
          <w:rFonts w:asciiTheme="majorHAnsi" w:hAnsiTheme="majorHAnsi" w:cs="Arial"/>
          <w:sz w:val="20"/>
          <w:szCs w:val="20"/>
          <w:lang w:val="es-UY"/>
        </w:rPr>
        <w:t>la Comisión de Derechos Humanos de Nayarit</w:t>
      </w:r>
      <w:r>
        <w:rPr>
          <w:rFonts w:asciiTheme="majorHAnsi" w:hAnsiTheme="majorHAnsi" w:cs="Arial"/>
          <w:sz w:val="20"/>
          <w:szCs w:val="20"/>
          <w:lang w:val="es-UY"/>
        </w:rPr>
        <w:t xml:space="preserve"> </w:t>
      </w:r>
      <w:r w:rsidRPr="00875FF9">
        <w:rPr>
          <w:rFonts w:asciiTheme="majorHAnsi" w:hAnsiTheme="majorHAnsi" w:cs="Arial"/>
          <w:sz w:val="20"/>
          <w:szCs w:val="20"/>
          <w:lang w:val="es-UY"/>
        </w:rPr>
        <w:t>el 28 de mayo de 2003</w:t>
      </w:r>
      <w:r>
        <w:rPr>
          <w:rFonts w:asciiTheme="majorHAnsi" w:hAnsiTheme="majorHAnsi" w:cs="Arial"/>
          <w:sz w:val="20"/>
          <w:szCs w:val="20"/>
          <w:lang w:val="es-UY"/>
        </w:rPr>
        <w:t xml:space="preserve">, </w:t>
      </w:r>
      <w:r w:rsidRPr="00875FF9">
        <w:rPr>
          <w:rFonts w:asciiTheme="majorHAnsi" w:hAnsiTheme="majorHAnsi" w:cs="Arial"/>
          <w:sz w:val="20"/>
          <w:szCs w:val="20"/>
          <w:lang w:val="es-UY"/>
        </w:rPr>
        <w:t xml:space="preserve">instó al </w:t>
      </w:r>
      <w:r>
        <w:rPr>
          <w:rFonts w:asciiTheme="majorHAnsi" w:hAnsiTheme="majorHAnsi" w:cs="Arial"/>
          <w:sz w:val="20"/>
          <w:szCs w:val="20"/>
          <w:lang w:val="es-UY"/>
        </w:rPr>
        <w:t>Procurador  de Justicia de ese E</w:t>
      </w:r>
      <w:r w:rsidRPr="00875FF9">
        <w:rPr>
          <w:rFonts w:asciiTheme="majorHAnsi" w:hAnsiTheme="majorHAnsi" w:cs="Arial"/>
          <w:sz w:val="20"/>
          <w:szCs w:val="20"/>
          <w:lang w:val="es-UY"/>
        </w:rPr>
        <w:t xml:space="preserve">stado a iniciar un juicio sancionatorio de carácter disciplinario en contra de varios agentes del Ministerio Público por dilación e incumplimiento de la función pública de la procuración de justicia. No obstante, en </w:t>
      </w:r>
      <w:r>
        <w:rPr>
          <w:rFonts w:asciiTheme="majorHAnsi" w:hAnsiTheme="majorHAnsi" w:cs="Arial"/>
          <w:sz w:val="20"/>
          <w:szCs w:val="20"/>
          <w:lang w:val="es-UY"/>
        </w:rPr>
        <w:t xml:space="preserve">dicho </w:t>
      </w:r>
      <w:r w:rsidRPr="00875FF9">
        <w:rPr>
          <w:rFonts w:asciiTheme="majorHAnsi" w:hAnsiTheme="majorHAnsi" w:cs="Arial"/>
          <w:sz w:val="20"/>
          <w:szCs w:val="20"/>
          <w:lang w:val="es-UY"/>
        </w:rPr>
        <w:t xml:space="preserve">procedimiento el Procurador absolvió a sus subalternos el 28 de agosto de 2003. </w:t>
      </w:r>
      <w:r w:rsidRPr="00251590">
        <w:rPr>
          <w:rFonts w:asciiTheme="majorHAnsi" w:hAnsiTheme="majorHAnsi" w:cs="Arial"/>
          <w:sz w:val="20"/>
          <w:szCs w:val="20"/>
          <w:lang w:val="es-UY"/>
        </w:rPr>
        <w:t xml:space="preserve">Contra dicha absolución los peticionarios </w:t>
      </w:r>
      <w:r>
        <w:rPr>
          <w:rFonts w:asciiTheme="majorHAnsi" w:hAnsiTheme="majorHAnsi" w:cs="Arial"/>
          <w:sz w:val="20"/>
          <w:szCs w:val="20"/>
          <w:lang w:val="es-UY"/>
        </w:rPr>
        <w:t>presentaron</w:t>
      </w:r>
      <w:r w:rsidRPr="00251590">
        <w:rPr>
          <w:rFonts w:asciiTheme="majorHAnsi" w:hAnsiTheme="majorHAnsi" w:cs="Arial"/>
          <w:sz w:val="20"/>
          <w:szCs w:val="20"/>
          <w:lang w:val="es-UY"/>
        </w:rPr>
        <w:t xml:space="preserve"> una demanda contenciosa administrativa </w:t>
      </w:r>
      <w:r>
        <w:rPr>
          <w:rFonts w:asciiTheme="majorHAnsi" w:hAnsiTheme="majorHAnsi" w:cs="Arial"/>
          <w:sz w:val="20"/>
          <w:szCs w:val="20"/>
          <w:lang w:val="es-UY"/>
        </w:rPr>
        <w:t xml:space="preserve">que fue </w:t>
      </w:r>
      <w:r w:rsidRPr="00251590">
        <w:rPr>
          <w:rFonts w:asciiTheme="majorHAnsi" w:hAnsiTheme="majorHAnsi" w:cs="Arial"/>
          <w:sz w:val="20"/>
          <w:szCs w:val="20"/>
          <w:lang w:val="es-UY"/>
        </w:rPr>
        <w:t>rechazada por el Tribunal de Justicia Administrativa el 10 de octubre de 2003; un recurso de reconsideración que confirmó el rechazo el 11 de marzo de 2004 y</w:t>
      </w:r>
      <w:r>
        <w:rPr>
          <w:rFonts w:asciiTheme="majorHAnsi" w:hAnsiTheme="majorHAnsi" w:cs="Arial"/>
          <w:sz w:val="20"/>
          <w:szCs w:val="20"/>
          <w:lang w:val="es-UY"/>
        </w:rPr>
        <w:t xml:space="preserve"> finalmente</w:t>
      </w:r>
      <w:r w:rsidRPr="00251590">
        <w:rPr>
          <w:rFonts w:asciiTheme="majorHAnsi" w:hAnsiTheme="majorHAnsi" w:cs="Arial"/>
          <w:sz w:val="20"/>
          <w:szCs w:val="20"/>
          <w:lang w:val="es-UY"/>
        </w:rPr>
        <w:t xml:space="preserve"> un amparo directo que fue concedido por el Tribunal Colegiado del Vigésimo Cuarto Circuito el 7 de marzo de 2005 y por el cual se dispuso la reposición del proceso a cargo de la Contraloría Interna de la Procuraduría General de Justicia. No obstante, los agentes del Ministerio Público fueron nuevamente absueltos, por lo que recurrieron una vez más ante el Tribunal de Justicia Administrativa, </w:t>
      </w:r>
      <w:r>
        <w:rPr>
          <w:rFonts w:asciiTheme="majorHAnsi" w:hAnsiTheme="majorHAnsi" w:cs="Arial"/>
          <w:sz w:val="20"/>
          <w:szCs w:val="20"/>
          <w:lang w:val="es-UY"/>
        </w:rPr>
        <w:t>que</w:t>
      </w:r>
      <w:r w:rsidRPr="00251590">
        <w:rPr>
          <w:rFonts w:asciiTheme="majorHAnsi" w:hAnsiTheme="majorHAnsi" w:cs="Arial"/>
          <w:sz w:val="20"/>
          <w:szCs w:val="20"/>
          <w:lang w:val="es-UY"/>
        </w:rPr>
        <w:t xml:space="preserve"> el 11 de mayo de 2007 declaró inválida la resolución recurrida y ordenó la emisión de una nueva.</w:t>
      </w:r>
    </w:p>
    <w:p w14:paraId="00DF7FF9" w14:textId="77777777" w:rsidR="00810643" w:rsidRPr="00875FF9" w:rsidRDefault="00810643" w:rsidP="00810643">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cs="Arial"/>
          <w:sz w:val="20"/>
          <w:szCs w:val="20"/>
          <w:u w:val="single"/>
          <w:lang w:val="es-UY"/>
        </w:rPr>
      </w:pPr>
      <w:r w:rsidRPr="00875FF9">
        <w:rPr>
          <w:rFonts w:asciiTheme="majorHAnsi" w:hAnsiTheme="majorHAnsi" w:cs="Arial"/>
          <w:sz w:val="20"/>
          <w:szCs w:val="20"/>
          <w:u w:val="single"/>
          <w:lang w:val="es-UY"/>
        </w:rPr>
        <w:t>Nuevos recursos frente a la sentencia condenatoria</w:t>
      </w:r>
    </w:p>
    <w:p w14:paraId="5A226F76" w14:textId="2D3CBBC8" w:rsidR="00810643" w:rsidRPr="00FA30D6" w:rsidRDefault="00810643" w:rsidP="00FA30D6">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UY"/>
        </w:rPr>
      </w:pPr>
      <w:r w:rsidRPr="00FA30D6">
        <w:rPr>
          <w:rFonts w:asciiTheme="majorHAnsi" w:hAnsiTheme="majorHAnsi" w:cs="Arial"/>
          <w:sz w:val="20"/>
          <w:szCs w:val="20"/>
          <w:lang w:val="es-UY"/>
        </w:rPr>
        <w:t>Los peticionarios señalan que ante la denuncia de la Sra. Angelita Domínguez, así como la actuación indebida de las autoridades que detuvieron y condenaron a</w:t>
      </w:r>
      <w:r w:rsidR="00220A5D" w:rsidRPr="00FA30D6">
        <w:rPr>
          <w:rFonts w:asciiTheme="majorHAnsi" w:hAnsiTheme="majorHAnsi" w:cs="Arial"/>
          <w:sz w:val="20"/>
          <w:szCs w:val="20"/>
          <w:lang w:val="es-UY"/>
        </w:rPr>
        <w:t xml:space="preserve"> la presunta víctima</w:t>
      </w:r>
      <w:r w:rsidRPr="00FA30D6">
        <w:rPr>
          <w:rFonts w:asciiTheme="majorHAnsi" w:hAnsiTheme="majorHAnsi" w:cs="Arial"/>
          <w:sz w:val="20"/>
          <w:szCs w:val="20"/>
          <w:lang w:val="es-UY"/>
        </w:rPr>
        <w:t xml:space="preserve">, </w:t>
      </w:r>
      <w:r w:rsidR="00910E2F" w:rsidRPr="00FA30D6">
        <w:rPr>
          <w:rFonts w:asciiTheme="majorHAnsi" w:hAnsiTheme="majorHAnsi" w:cs="Arial"/>
          <w:sz w:val="20"/>
          <w:szCs w:val="20"/>
          <w:lang w:val="es-UY"/>
        </w:rPr>
        <w:t>presentaron</w:t>
      </w:r>
      <w:r w:rsidRPr="00FA30D6">
        <w:rPr>
          <w:rFonts w:asciiTheme="majorHAnsi" w:hAnsiTheme="majorHAnsi" w:cs="Arial"/>
          <w:sz w:val="20"/>
          <w:szCs w:val="20"/>
          <w:lang w:val="es-UY"/>
        </w:rPr>
        <w:t xml:space="preserve"> un recurso de revisión extraordinaria</w:t>
      </w:r>
      <w:r w:rsidR="000468BF">
        <w:rPr>
          <w:rFonts w:asciiTheme="majorHAnsi" w:hAnsiTheme="majorHAnsi" w:cs="Arial"/>
          <w:sz w:val="20"/>
          <w:szCs w:val="20"/>
          <w:lang w:val="es-UY"/>
        </w:rPr>
        <w:t>,</w:t>
      </w:r>
      <w:r w:rsidR="00910E2F" w:rsidRPr="00FA30D6">
        <w:rPr>
          <w:rFonts w:asciiTheme="majorHAnsi" w:hAnsiTheme="majorHAnsi" w:cs="Arial"/>
          <w:sz w:val="20"/>
          <w:szCs w:val="20"/>
          <w:lang w:val="es-UY"/>
        </w:rPr>
        <w:t xml:space="preserve"> denegado por</w:t>
      </w:r>
      <w:r w:rsidRPr="00FA30D6">
        <w:rPr>
          <w:rFonts w:asciiTheme="majorHAnsi" w:hAnsiTheme="majorHAnsi" w:cs="Arial"/>
          <w:sz w:val="20"/>
          <w:szCs w:val="20"/>
          <w:lang w:val="es-UY"/>
        </w:rPr>
        <w:t xml:space="preserve"> la Sala Penal del Tribunal Superior de Justicia de Nayarit</w:t>
      </w:r>
      <w:r w:rsidR="00910E2F" w:rsidRPr="00FA30D6">
        <w:rPr>
          <w:rFonts w:asciiTheme="majorHAnsi" w:hAnsiTheme="majorHAnsi" w:cs="Arial"/>
          <w:sz w:val="20"/>
          <w:szCs w:val="20"/>
          <w:lang w:val="es-UY"/>
        </w:rPr>
        <w:t xml:space="preserve"> </w:t>
      </w:r>
      <w:r w:rsidR="000468BF">
        <w:rPr>
          <w:rFonts w:asciiTheme="majorHAnsi" w:hAnsiTheme="majorHAnsi" w:cs="Arial"/>
          <w:sz w:val="20"/>
          <w:szCs w:val="20"/>
          <w:lang w:val="es-UY"/>
        </w:rPr>
        <w:t xml:space="preserve">el </w:t>
      </w:r>
      <w:r w:rsidR="000468BF">
        <w:rPr>
          <w:rFonts w:asciiTheme="majorHAnsi" w:hAnsiTheme="majorHAnsi" w:cs="Arial"/>
          <w:sz w:val="20"/>
          <w:szCs w:val="20"/>
          <w:lang w:val="es-UY"/>
        </w:rPr>
        <w:lastRenderedPageBreak/>
        <w:t>11 de agosto de 2006; u</w:t>
      </w:r>
      <w:r w:rsidR="0010466F" w:rsidRPr="00FA30D6">
        <w:rPr>
          <w:rFonts w:asciiTheme="majorHAnsi" w:hAnsiTheme="majorHAnsi" w:cs="Arial"/>
          <w:sz w:val="20"/>
          <w:szCs w:val="20"/>
          <w:lang w:val="es-UY"/>
        </w:rPr>
        <w:t>n amparo indirecto</w:t>
      </w:r>
      <w:r w:rsidR="00250F86" w:rsidRPr="00FA30D6">
        <w:rPr>
          <w:rFonts w:asciiTheme="majorHAnsi" w:hAnsiTheme="majorHAnsi" w:cs="Arial"/>
          <w:sz w:val="20"/>
          <w:szCs w:val="20"/>
          <w:lang w:val="es-UY"/>
        </w:rPr>
        <w:t xml:space="preserve"> ante</w:t>
      </w:r>
      <w:r w:rsidR="0010466F" w:rsidRPr="00FA30D6">
        <w:rPr>
          <w:rFonts w:asciiTheme="majorHAnsi" w:hAnsiTheme="majorHAnsi" w:cs="Arial"/>
          <w:sz w:val="20"/>
          <w:szCs w:val="20"/>
          <w:lang w:val="es-UY"/>
        </w:rPr>
        <w:t xml:space="preserve"> </w:t>
      </w:r>
      <w:r w:rsidR="00250F86" w:rsidRPr="00FA30D6">
        <w:rPr>
          <w:rFonts w:asciiTheme="majorHAnsi" w:hAnsiTheme="majorHAnsi" w:cs="Arial"/>
          <w:sz w:val="20"/>
          <w:szCs w:val="20"/>
          <w:lang w:val="es-UY"/>
        </w:rPr>
        <w:t xml:space="preserve">el Juez Tercero de Distrito de Nayarit, quien </w:t>
      </w:r>
      <w:r w:rsidR="0010466F" w:rsidRPr="00FA30D6">
        <w:rPr>
          <w:rFonts w:asciiTheme="majorHAnsi" w:hAnsiTheme="majorHAnsi" w:cs="Arial"/>
          <w:sz w:val="20"/>
          <w:szCs w:val="20"/>
          <w:lang w:val="es-UY"/>
        </w:rPr>
        <w:t>conced</w:t>
      </w:r>
      <w:r w:rsidR="008C7FA1" w:rsidRPr="00FA30D6">
        <w:rPr>
          <w:rFonts w:asciiTheme="majorHAnsi" w:hAnsiTheme="majorHAnsi" w:cs="Arial"/>
          <w:sz w:val="20"/>
          <w:szCs w:val="20"/>
          <w:lang w:val="es-UY"/>
        </w:rPr>
        <w:t xml:space="preserve">iendo </w:t>
      </w:r>
      <w:r w:rsidR="0010466F" w:rsidRPr="00FA30D6">
        <w:rPr>
          <w:rFonts w:asciiTheme="majorHAnsi" w:hAnsiTheme="majorHAnsi" w:cs="Arial"/>
          <w:sz w:val="20"/>
          <w:szCs w:val="20"/>
          <w:lang w:val="es-UY"/>
        </w:rPr>
        <w:t>el</w:t>
      </w:r>
      <w:r w:rsidR="008C7FA1" w:rsidRPr="00FA30D6">
        <w:rPr>
          <w:rFonts w:asciiTheme="majorHAnsi" w:hAnsiTheme="majorHAnsi" w:cs="Arial"/>
          <w:sz w:val="20"/>
          <w:szCs w:val="20"/>
          <w:lang w:val="es-UY"/>
        </w:rPr>
        <w:t xml:space="preserve"> recurso el</w:t>
      </w:r>
      <w:r w:rsidR="0010466F" w:rsidRPr="00FA30D6">
        <w:rPr>
          <w:rFonts w:asciiTheme="majorHAnsi" w:hAnsiTheme="majorHAnsi" w:cs="Arial"/>
          <w:sz w:val="20"/>
          <w:szCs w:val="20"/>
          <w:lang w:val="es-UY"/>
        </w:rPr>
        <w:t xml:space="preserve"> 18 de enero de 2007</w:t>
      </w:r>
      <w:r w:rsidRPr="00FA30D6">
        <w:rPr>
          <w:rFonts w:asciiTheme="majorHAnsi" w:hAnsiTheme="majorHAnsi" w:cs="Arial"/>
          <w:sz w:val="20"/>
          <w:szCs w:val="20"/>
          <w:lang w:val="es-UY"/>
        </w:rPr>
        <w:t xml:space="preserve"> </w:t>
      </w:r>
      <w:r w:rsidR="009B5D57">
        <w:rPr>
          <w:rFonts w:asciiTheme="majorHAnsi" w:hAnsiTheme="majorHAnsi" w:cs="Arial"/>
          <w:sz w:val="20"/>
          <w:szCs w:val="20"/>
          <w:lang w:val="es-UY"/>
        </w:rPr>
        <w:t xml:space="preserve">y </w:t>
      </w:r>
      <w:r w:rsidR="0010466F" w:rsidRPr="00FA30D6">
        <w:rPr>
          <w:rFonts w:asciiTheme="majorHAnsi" w:hAnsiTheme="majorHAnsi" w:cs="Arial"/>
          <w:sz w:val="20"/>
          <w:szCs w:val="20"/>
          <w:lang w:val="es-UY"/>
        </w:rPr>
        <w:t>ordenó se emita</w:t>
      </w:r>
      <w:r w:rsidR="008C7FA1" w:rsidRPr="00FA30D6">
        <w:rPr>
          <w:rFonts w:asciiTheme="majorHAnsi" w:hAnsiTheme="majorHAnsi" w:cs="Arial"/>
          <w:sz w:val="20"/>
          <w:szCs w:val="20"/>
          <w:lang w:val="es-UY"/>
        </w:rPr>
        <w:t xml:space="preserve"> una nueva </w:t>
      </w:r>
      <w:r w:rsidRPr="00FA30D6">
        <w:rPr>
          <w:rFonts w:asciiTheme="majorHAnsi" w:hAnsiTheme="majorHAnsi" w:cs="Arial"/>
          <w:sz w:val="20"/>
          <w:szCs w:val="20"/>
          <w:lang w:val="es-UY"/>
        </w:rPr>
        <w:t xml:space="preserve">resolución. </w:t>
      </w:r>
      <w:r w:rsidR="008C7FA1" w:rsidRPr="00FA30D6">
        <w:rPr>
          <w:rFonts w:asciiTheme="majorHAnsi" w:hAnsiTheme="majorHAnsi" w:cs="Arial"/>
          <w:sz w:val="20"/>
          <w:szCs w:val="20"/>
          <w:lang w:val="es-UY"/>
        </w:rPr>
        <w:t xml:space="preserve">No obstante, </w:t>
      </w:r>
      <w:r w:rsidR="00FA30D6" w:rsidRPr="00FA30D6">
        <w:rPr>
          <w:rFonts w:asciiTheme="majorHAnsi" w:hAnsiTheme="majorHAnsi" w:cs="Arial"/>
          <w:sz w:val="20"/>
          <w:szCs w:val="20"/>
          <w:lang w:val="es-UY"/>
        </w:rPr>
        <w:t xml:space="preserve">el nuevo fallo emitido el </w:t>
      </w:r>
      <w:r w:rsidR="00250F86" w:rsidRPr="00FA30D6">
        <w:rPr>
          <w:rFonts w:asciiTheme="majorHAnsi" w:hAnsiTheme="majorHAnsi" w:cs="Arial"/>
          <w:sz w:val="20"/>
          <w:szCs w:val="20"/>
          <w:lang w:val="es-UY"/>
        </w:rPr>
        <w:t xml:space="preserve">9 de febrero de 2007 </w:t>
      </w:r>
      <w:r w:rsidR="00FA30D6" w:rsidRPr="00FA30D6">
        <w:rPr>
          <w:rFonts w:asciiTheme="majorHAnsi" w:hAnsiTheme="majorHAnsi" w:cs="Arial"/>
          <w:sz w:val="20"/>
          <w:szCs w:val="20"/>
          <w:lang w:val="es-UY"/>
        </w:rPr>
        <w:t xml:space="preserve">confirmó el </w:t>
      </w:r>
      <w:r w:rsidRPr="00FA30D6">
        <w:rPr>
          <w:rFonts w:asciiTheme="majorHAnsi" w:hAnsiTheme="majorHAnsi" w:cs="Arial"/>
          <w:sz w:val="20"/>
          <w:szCs w:val="20"/>
          <w:lang w:val="es-UY"/>
        </w:rPr>
        <w:t>rechazo</w:t>
      </w:r>
      <w:r w:rsidR="00FA30D6" w:rsidRPr="00FA30D6">
        <w:rPr>
          <w:rFonts w:asciiTheme="majorHAnsi" w:hAnsiTheme="majorHAnsi" w:cs="Arial"/>
          <w:sz w:val="20"/>
          <w:szCs w:val="20"/>
          <w:lang w:val="es-UY"/>
        </w:rPr>
        <w:t xml:space="preserve"> inicial</w:t>
      </w:r>
      <w:r w:rsidRPr="00FA30D6">
        <w:rPr>
          <w:rFonts w:asciiTheme="majorHAnsi" w:hAnsiTheme="majorHAnsi" w:cs="Arial"/>
          <w:sz w:val="20"/>
          <w:szCs w:val="20"/>
          <w:lang w:val="es-UY"/>
        </w:rPr>
        <w:t xml:space="preserve">. </w:t>
      </w:r>
      <w:r w:rsidR="00FA30D6" w:rsidRPr="00EE1428">
        <w:rPr>
          <w:rFonts w:asciiTheme="majorHAnsi" w:hAnsiTheme="majorHAnsi" w:cs="Arial"/>
          <w:sz w:val="20"/>
          <w:szCs w:val="20"/>
          <w:lang w:val="es-UY"/>
        </w:rPr>
        <w:t>Por segunda vez la presunta víctima presentó un</w:t>
      </w:r>
      <w:r w:rsidRPr="00EE1428">
        <w:rPr>
          <w:rFonts w:asciiTheme="majorHAnsi" w:hAnsiTheme="majorHAnsi" w:cs="Arial"/>
          <w:sz w:val="20"/>
          <w:szCs w:val="20"/>
          <w:lang w:val="es-UY"/>
        </w:rPr>
        <w:t xml:space="preserve"> amparo indirecto </w:t>
      </w:r>
      <w:r w:rsidR="00FA30D6" w:rsidRPr="00EE1428">
        <w:rPr>
          <w:rFonts w:asciiTheme="majorHAnsi" w:hAnsiTheme="majorHAnsi" w:cs="Arial"/>
          <w:sz w:val="20"/>
          <w:szCs w:val="20"/>
          <w:lang w:val="es-UY"/>
        </w:rPr>
        <w:t xml:space="preserve">que fue desestimado </w:t>
      </w:r>
      <w:r w:rsidRPr="00EE1428">
        <w:rPr>
          <w:rFonts w:asciiTheme="majorHAnsi" w:hAnsiTheme="majorHAnsi" w:cs="Arial"/>
          <w:sz w:val="20"/>
          <w:szCs w:val="20"/>
          <w:lang w:val="es-UY"/>
        </w:rPr>
        <w:t>el 27 de marzo de 2007</w:t>
      </w:r>
      <w:r w:rsidR="009B5D57" w:rsidRPr="00EE1428">
        <w:rPr>
          <w:rFonts w:asciiTheme="majorHAnsi" w:hAnsiTheme="majorHAnsi" w:cs="Arial"/>
          <w:sz w:val="20"/>
          <w:szCs w:val="20"/>
          <w:lang w:val="es-UY"/>
        </w:rPr>
        <w:t xml:space="preserve">. </w:t>
      </w:r>
      <w:r w:rsidRPr="00EE1428">
        <w:rPr>
          <w:rFonts w:asciiTheme="majorHAnsi" w:hAnsiTheme="majorHAnsi" w:cs="Arial"/>
          <w:sz w:val="20"/>
          <w:szCs w:val="20"/>
          <w:lang w:val="es-UY"/>
        </w:rPr>
        <w:t>Frente a esta negativa interpuso un recurso de revisión ante el Tribunal Colegiado del Vigésimo Cuarto Circuito el cual</w:t>
      </w:r>
      <w:r w:rsidR="00EE1428" w:rsidRPr="00EE1428">
        <w:rPr>
          <w:rFonts w:asciiTheme="majorHAnsi" w:hAnsiTheme="majorHAnsi" w:cs="Arial"/>
          <w:sz w:val="20"/>
          <w:szCs w:val="20"/>
          <w:lang w:val="es-UY"/>
        </w:rPr>
        <w:t xml:space="preserve"> el 17 de abril de 2007, </w:t>
      </w:r>
      <w:r w:rsidRPr="00EE1428">
        <w:rPr>
          <w:rFonts w:asciiTheme="majorHAnsi" w:hAnsiTheme="majorHAnsi" w:cs="Arial"/>
          <w:sz w:val="20"/>
          <w:szCs w:val="20"/>
          <w:lang w:val="es-UY"/>
        </w:rPr>
        <w:t xml:space="preserve"> confirmó la resolución del juez de distrito.</w:t>
      </w:r>
    </w:p>
    <w:p w14:paraId="5CA6DAEB" w14:textId="340412D7" w:rsidR="00986BEA" w:rsidRPr="00875FF9" w:rsidRDefault="00810643" w:rsidP="00810643">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UY"/>
        </w:rPr>
      </w:pPr>
      <w:r w:rsidRPr="00875FF9">
        <w:rPr>
          <w:rFonts w:asciiTheme="majorHAnsi" w:hAnsiTheme="majorHAnsi" w:cs="Arial"/>
          <w:sz w:val="20"/>
          <w:szCs w:val="20"/>
          <w:lang w:val="es-UY"/>
        </w:rPr>
        <w:t>Con base en lo anterior, los peticionarios alegan que el Estado violó los derechos reconocidos en los artículos 5, 7, 8 y 25 en relación con el artículo 1.1 de la Convención Americana en perjuicio de</w:t>
      </w:r>
      <w:r w:rsidR="003F6815">
        <w:rPr>
          <w:rFonts w:asciiTheme="majorHAnsi" w:hAnsiTheme="majorHAnsi" w:cs="Arial"/>
          <w:sz w:val="20"/>
          <w:szCs w:val="20"/>
          <w:lang w:val="es-UY"/>
        </w:rPr>
        <w:t xml:space="preserve"> la presunta víctima</w:t>
      </w:r>
      <w:r w:rsidRPr="00875FF9">
        <w:rPr>
          <w:rFonts w:asciiTheme="majorHAnsi" w:hAnsiTheme="majorHAnsi" w:cs="Arial"/>
          <w:sz w:val="20"/>
          <w:szCs w:val="20"/>
          <w:lang w:val="es-UY"/>
        </w:rPr>
        <w:t xml:space="preserve">. Asimismo, alegan que </w:t>
      </w:r>
      <w:r w:rsidR="003F6815">
        <w:rPr>
          <w:rFonts w:asciiTheme="majorHAnsi" w:hAnsiTheme="majorHAnsi" w:cs="Arial"/>
          <w:sz w:val="20"/>
          <w:szCs w:val="20"/>
          <w:lang w:val="es-UY"/>
        </w:rPr>
        <w:t>los</w:t>
      </w:r>
      <w:r w:rsidRPr="00875FF9">
        <w:rPr>
          <w:rFonts w:asciiTheme="majorHAnsi" w:hAnsiTheme="majorHAnsi" w:cs="Arial"/>
          <w:sz w:val="20"/>
          <w:szCs w:val="20"/>
          <w:lang w:val="es-UY"/>
        </w:rPr>
        <w:t xml:space="preserve"> múltiples recursos</w:t>
      </w:r>
      <w:r w:rsidR="003F6815">
        <w:rPr>
          <w:rFonts w:asciiTheme="majorHAnsi" w:hAnsiTheme="majorHAnsi" w:cs="Arial"/>
          <w:sz w:val="20"/>
          <w:szCs w:val="20"/>
          <w:lang w:val="es-UY"/>
        </w:rPr>
        <w:t xml:space="preserve"> interpuestos </w:t>
      </w:r>
      <w:r w:rsidRPr="00875FF9">
        <w:rPr>
          <w:rFonts w:asciiTheme="majorHAnsi" w:hAnsiTheme="majorHAnsi" w:cs="Arial"/>
          <w:sz w:val="20"/>
          <w:szCs w:val="20"/>
          <w:lang w:val="es-UY"/>
        </w:rPr>
        <w:t>no fueron eficaces, por lo que consideran aplicable la excepción al agotamiento de los recursos internos prevista en el artículo 46.2.a del mismo instrumento.</w:t>
      </w:r>
    </w:p>
    <w:p w14:paraId="0829598B" w14:textId="64A9203F" w:rsidR="00986BEA" w:rsidRPr="00875FF9" w:rsidRDefault="00986BEA" w:rsidP="00986BEA">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UY"/>
        </w:rPr>
      </w:pPr>
      <w:r w:rsidRPr="00875FF9">
        <w:rPr>
          <w:rFonts w:asciiTheme="majorHAnsi" w:hAnsiTheme="majorHAnsi"/>
          <w:b/>
          <w:bCs/>
          <w:sz w:val="20"/>
          <w:szCs w:val="20"/>
          <w:lang w:val="es-UY"/>
        </w:rPr>
        <w:t>B.</w:t>
      </w:r>
      <w:r w:rsidRPr="00875FF9">
        <w:rPr>
          <w:rFonts w:asciiTheme="majorHAnsi" w:hAnsiTheme="majorHAnsi"/>
          <w:b/>
          <w:bCs/>
          <w:sz w:val="20"/>
          <w:szCs w:val="20"/>
          <w:lang w:val="es-UY"/>
        </w:rPr>
        <w:tab/>
        <w:t>Posición del Estado</w:t>
      </w:r>
    </w:p>
    <w:p w14:paraId="2539950A" w14:textId="661850CD" w:rsidR="009B14C6" w:rsidRPr="00133FFB" w:rsidRDefault="009B14C6" w:rsidP="00133FFB">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875FF9">
        <w:rPr>
          <w:rFonts w:asciiTheme="majorHAnsi" w:hAnsiTheme="majorHAnsi"/>
          <w:sz w:val="20"/>
          <w:szCs w:val="20"/>
          <w:lang w:val="es-UY"/>
        </w:rPr>
        <w:t>El Estado</w:t>
      </w:r>
      <w:r w:rsidR="00C25C7A" w:rsidRPr="00875FF9">
        <w:rPr>
          <w:rFonts w:asciiTheme="majorHAnsi" w:hAnsiTheme="majorHAnsi"/>
          <w:sz w:val="20"/>
          <w:szCs w:val="20"/>
          <w:lang w:val="es-UY"/>
        </w:rPr>
        <w:t xml:space="preserve"> s</w:t>
      </w:r>
      <w:r w:rsidRPr="00875FF9">
        <w:rPr>
          <w:rFonts w:asciiTheme="majorHAnsi" w:hAnsiTheme="majorHAnsi"/>
          <w:sz w:val="20"/>
          <w:szCs w:val="20"/>
          <w:lang w:val="es-UY"/>
        </w:rPr>
        <w:t xml:space="preserve">eñala que </w:t>
      </w:r>
      <w:r w:rsidR="00443EDF" w:rsidRPr="00875FF9">
        <w:rPr>
          <w:rFonts w:asciiTheme="majorHAnsi" w:hAnsiTheme="majorHAnsi"/>
          <w:sz w:val="20"/>
          <w:szCs w:val="20"/>
          <w:lang w:val="es-UY"/>
        </w:rPr>
        <w:t>inició</w:t>
      </w:r>
      <w:r w:rsidR="00DA2B18" w:rsidRPr="00875FF9">
        <w:rPr>
          <w:rFonts w:asciiTheme="majorHAnsi" w:hAnsiTheme="majorHAnsi"/>
          <w:sz w:val="20"/>
          <w:szCs w:val="20"/>
          <w:lang w:val="es-UY"/>
        </w:rPr>
        <w:t xml:space="preserve"> una investigación</w:t>
      </w:r>
      <w:r w:rsidRPr="00875FF9">
        <w:rPr>
          <w:rFonts w:asciiTheme="majorHAnsi" w:hAnsiTheme="majorHAnsi"/>
          <w:sz w:val="20"/>
          <w:szCs w:val="20"/>
          <w:lang w:val="es-UY"/>
        </w:rPr>
        <w:t xml:space="preserve"> por el homicidio de tres hombre</w:t>
      </w:r>
      <w:r w:rsidR="00DA2B18" w:rsidRPr="00875FF9">
        <w:rPr>
          <w:rFonts w:asciiTheme="majorHAnsi" w:hAnsiTheme="majorHAnsi"/>
          <w:sz w:val="20"/>
          <w:szCs w:val="20"/>
          <w:lang w:val="es-UY"/>
        </w:rPr>
        <w:t>s</w:t>
      </w:r>
      <w:r w:rsidRPr="00875FF9">
        <w:rPr>
          <w:rFonts w:asciiTheme="majorHAnsi" w:hAnsiTheme="majorHAnsi"/>
          <w:sz w:val="20"/>
          <w:szCs w:val="20"/>
          <w:lang w:val="es-UY"/>
        </w:rPr>
        <w:t xml:space="preserve"> y la</w:t>
      </w:r>
      <w:r w:rsidR="00313DD1" w:rsidRPr="00875FF9">
        <w:rPr>
          <w:rFonts w:asciiTheme="majorHAnsi" w:hAnsiTheme="majorHAnsi"/>
          <w:sz w:val="20"/>
          <w:szCs w:val="20"/>
          <w:lang w:val="es-UY"/>
        </w:rPr>
        <w:t xml:space="preserve"> lesión de dos mujeres, ocurrido</w:t>
      </w:r>
      <w:r w:rsidRPr="00875FF9">
        <w:rPr>
          <w:rFonts w:asciiTheme="majorHAnsi" w:hAnsiTheme="majorHAnsi"/>
          <w:sz w:val="20"/>
          <w:szCs w:val="20"/>
          <w:lang w:val="es-UY"/>
        </w:rPr>
        <w:t xml:space="preserve">s </w:t>
      </w:r>
      <w:r w:rsidR="00251590">
        <w:rPr>
          <w:rFonts w:asciiTheme="majorHAnsi" w:hAnsiTheme="majorHAnsi"/>
          <w:sz w:val="20"/>
          <w:szCs w:val="20"/>
          <w:lang w:val="es-UY"/>
        </w:rPr>
        <w:t>el 2 de enero de 1997</w:t>
      </w:r>
      <w:r w:rsidRPr="00875FF9">
        <w:rPr>
          <w:rFonts w:asciiTheme="majorHAnsi" w:hAnsiTheme="majorHAnsi"/>
          <w:sz w:val="20"/>
          <w:szCs w:val="20"/>
          <w:lang w:val="es-UY"/>
        </w:rPr>
        <w:t xml:space="preserve"> en el municipio de T</w:t>
      </w:r>
      <w:r w:rsidR="00DA2B18" w:rsidRPr="00875FF9">
        <w:rPr>
          <w:rFonts w:asciiTheme="majorHAnsi" w:hAnsiTheme="majorHAnsi"/>
          <w:sz w:val="20"/>
          <w:szCs w:val="20"/>
          <w:lang w:val="es-UY"/>
        </w:rPr>
        <w:t xml:space="preserve">ecuala, Nayarit. </w:t>
      </w:r>
      <w:r w:rsidR="003F6815">
        <w:rPr>
          <w:rFonts w:asciiTheme="majorHAnsi" w:hAnsiTheme="majorHAnsi"/>
          <w:sz w:val="20"/>
          <w:szCs w:val="20"/>
          <w:lang w:val="es-UY"/>
        </w:rPr>
        <w:t xml:space="preserve">Así, </w:t>
      </w:r>
      <w:r w:rsidRPr="00875FF9">
        <w:rPr>
          <w:rFonts w:asciiTheme="majorHAnsi" w:hAnsiTheme="majorHAnsi"/>
          <w:sz w:val="20"/>
          <w:szCs w:val="20"/>
          <w:lang w:val="es-UY"/>
        </w:rPr>
        <w:t xml:space="preserve"> en</w:t>
      </w:r>
      <w:r w:rsidR="00133FFB">
        <w:rPr>
          <w:rFonts w:asciiTheme="majorHAnsi" w:hAnsiTheme="majorHAnsi"/>
          <w:sz w:val="20"/>
          <w:szCs w:val="20"/>
          <w:lang w:val="es-UY"/>
        </w:rPr>
        <w:t xml:space="preserve"> sus declaraciones </w:t>
      </w:r>
      <w:r w:rsidRPr="00875FF9">
        <w:rPr>
          <w:rFonts w:asciiTheme="majorHAnsi" w:hAnsiTheme="majorHAnsi"/>
          <w:sz w:val="20"/>
          <w:szCs w:val="20"/>
          <w:lang w:val="es-UY"/>
        </w:rPr>
        <w:t xml:space="preserve">una de las víctimas </w:t>
      </w:r>
      <w:r w:rsidR="00D052C2" w:rsidRPr="00875FF9">
        <w:rPr>
          <w:rFonts w:asciiTheme="majorHAnsi" w:hAnsiTheme="majorHAnsi"/>
          <w:sz w:val="20"/>
          <w:szCs w:val="20"/>
          <w:lang w:val="es-UY"/>
        </w:rPr>
        <w:t>identificó</w:t>
      </w:r>
      <w:r w:rsidR="00DA2B18" w:rsidRPr="00875FF9">
        <w:rPr>
          <w:rFonts w:asciiTheme="majorHAnsi" w:hAnsiTheme="majorHAnsi"/>
          <w:sz w:val="20"/>
          <w:szCs w:val="20"/>
          <w:lang w:val="es-UY"/>
        </w:rPr>
        <w:t xml:space="preserve"> </w:t>
      </w:r>
      <w:r w:rsidRPr="00875FF9">
        <w:rPr>
          <w:rFonts w:asciiTheme="majorHAnsi" w:hAnsiTheme="majorHAnsi"/>
          <w:sz w:val="20"/>
          <w:szCs w:val="20"/>
          <w:lang w:val="es-UY"/>
        </w:rPr>
        <w:t>a</w:t>
      </w:r>
      <w:r w:rsidR="003F6815">
        <w:rPr>
          <w:rFonts w:asciiTheme="majorHAnsi" w:hAnsiTheme="majorHAnsi"/>
          <w:sz w:val="20"/>
          <w:szCs w:val="20"/>
          <w:lang w:val="es-UY"/>
        </w:rPr>
        <w:t xml:space="preserve"> </w:t>
      </w:r>
      <w:r w:rsidRPr="00875FF9">
        <w:rPr>
          <w:rFonts w:asciiTheme="majorHAnsi" w:hAnsiTheme="majorHAnsi"/>
          <w:sz w:val="20"/>
          <w:szCs w:val="20"/>
          <w:lang w:val="es-UY"/>
        </w:rPr>
        <w:t>l</w:t>
      </w:r>
      <w:r w:rsidR="003F6815">
        <w:rPr>
          <w:rFonts w:asciiTheme="majorHAnsi" w:hAnsiTheme="majorHAnsi"/>
          <w:sz w:val="20"/>
          <w:szCs w:val="20"/>
          <w:lang w:val="es-UY"/>
        </w:rPr>
        <w:t>a</w:t>
      </w:r>
      <w:r w:rsidRPr="00875FF9">
        <w:rPr>
          <w:rFonts w:asciiTheme="majorHAnsi" w:hAnsiTheme="majorHAnsi"/>
          <w:sz w:val="20"/>
          <w:szCs w:val="20"/>
          <w:lang w:val="es-UY"/>
        </w:rPr>
        <w:t xml:space="preserve"> </w:t>
      </w:r>
      <w:r w:rsidR="003F6815">
        <w:rPr>
          <w:rFonts w:asciiTheme="majorHAnsi" w:hAnsiTheme="majorHAnsi"/>
          <w:sz w:val="20"/>
          <w:szCs w:val="20"/>
          <w:lang w:val="es-UY"/>
        </w:rPr>
        <w:t xml:space="preserve">presunta víctima </w:t>
      </w:r>
      <w:r w:rsidRPr="00875FF9">
        <w:rPr>
          <w:rFonts w:asciiTheme="majorHAnsi" w:hAnsiTheme="majorHAnsi"/>
          <w:sz w:val="20"/>
          <w:szCs w:val="20"/>
          <w:lang w:val="es-UY"/>
        </w:rPr>
        <w:t>como uno d</w:t>
      </w:r>
      <w:r w:rsidR="00133FFB">
        <w:rPr>
          <w:rFonts w:asciiTheme="majorHAnsi" w:hAnsiTheme="majorHAnsi"/>
          <w:sz w:val="20"/>
          <w:szCs w:val="20"/>
          <w:lang w:val="es-UY"/>
        </w:rPr>
        <w:t>e los responsables de los hecho</w:t>
      </w:r>
      <w:r w:rsidR="00251590">
        <w:rPr>
          <w:rFonts w:asciiTheme="majorHAnsi" w:hAnsiTheme="majorHAnsi"/>
          <w:sz w:val="20"/>
          <w:szCs w:val="20"/>
          <w:lang w:val="es-UY"/>
        </w:rPr>
        <w:t>s</w:t>
      </w:r>
      <w:r w:rsidR="00133FFB">
        <w:rPr>
          <w:rFonts w:asciiTheme="majorHAnsi" w:hAnsiTheme="majorHAnsi"/>
          <w:sz w:val="20"/>
          <w:szCs w:val="20"/>
          <w:lang w:val="es-UY"/>
        </w:rPr>
        <w:t>;</w:t>
      </w:r>
      <w:r w:rsidRPr="00875FF9">
        <w:rPr>
          <w:rFonts w:asciiTheme="majorHAnsi" w:hAnsiTheme="majorHAnsi"/>
          <w:sz w:val="20"/>
          <w:szCs w:val="20"/>
          <w:lang w:val="es-UY"/>
        </w:rPr>
        <w:t xml:space="preserve"> por lo que el Ministerio Público </w:t>
      </w:r>
      <w:r w:rsidR="00133FFB">
        <w:rPr>
          <w:rFonts w:asciiTheme="majorHAnsi" w:hAnsiTheme="majorHAnsi"/>
          <w:sz w:val="20"/>
          <w:szCs w:val="20"/>
          <w:lang w:val="es-UY"/>
        </w:rPr>
        <w:t>con una autorización judicial, desarrolló</w:t>
      </w:r>
      <w:r w:rsidR="00133FFB" w:rsidRPr="00875FF9">
        <w:rPr>
          <w:rFonts w:asciiTheme="majorHAnsi" w:hAnsiTheme="majorHAnsi"/>
          <w:sz w:val="20"/>
          <w:szCs w:val="20"/>
          <w:lang w:val="es-UY"/>
        </w:rPr>
        <w:t xml:space="preserve"> </w:t>
      </w:r>
      <w:r w:rsidR="00133FFB">
        <w:rPr>
          <w:rFonts w:asciiTheme="majorHAnsi" w:hAnsiTheme="majorHAnsi"/>
          <w:sz w:val="20"/>
          <w:szCs w:val="20"/>
          <w:lang w:val="es-UY"/>
        </w:rPr>
        <w:t xml:space="preserve">la </w:t>
      </w:r>
      <w:r w:rsidRPr="00875FF9">
        <w:rPr>
          <w:rFonts w:asciiTheme="majorHAnsi" w:hAnsiTheme="majorHAnsi"/>
          <w:sz w:val="20"/>
          <w:szCs w:val="20"/>
          <w:lang w:val="es-UY"/>
        </w:rPr>
        <w:t>inspecci</w:t>
      </w:r>
      <w:r w:rsidR="00133FFB">
        <w:rPr>
          <w:rFonts w:asciiTheme="majorHAnsi" w:hAnsiTheme="majorHAnsi"/>
          <w:sz w:val="20"/>
          <w:szCs w:val="20"/>
          <w:lang w:val="es-UY"/>
        </w:rPr>
        <w:t>ón de</w:t>
      </w:r>
      <w:r w:rsidRPr="00875FF9">
        <w:rPr>
          <w:rFonts w:asciiTheme="majorHAnsi" w:hAnsiTheme="majorHAnsi"/>
          <w:sz w:val="20"/>
          <w:szCs w:val="20"/>
          <w:lang w:val="es-UY"/>
        </w:rPr>
        <w:t xml:space="preserve"> </w:t>
      </w:r>
      <w:r w:rsidR="00133FFB">
        <w:rPr>
          <w:rFonts w:asciiTheme="majorHAnsi" w:hAnsiTheme="majorHAnsi"/>
          <w:sz w:val="20"/>
          <w:szCs w:val="20"/>
          <w:lang w:val="es-UY"/>
        </w:rPr>
        <w:t>su</w:t>
      </w:r>
      <w:r w:rsidRPr="00875FF9">
        <w:rPr>
          <w:rFonts w:asciiTheme="majorHAnsi" w:hAnsiTheme="majorHAnsi"/>
          <w:sz w:val="20"/>
          <w:szCs w:val="20"/>
          <w:lang w:val="es-UY"/>
        </w:rPr>
        <w:t xml:space="preserve"> domicilio </w:t>
      </w:r>
      <w:r w:rsidR="00625C8F">
        <w:rPr>
          <w:rFonts w:asciiTheme="majorHAnsi" w:hAnsiTheme="majorHAnsi"/>
          <w:sz w:val="20"/>
          <w:szCs w:val="20"/>
          <w:lang w:val="es-UY"/>
        </w:rPr>
        <w:t>e</w:t>
      </w:r>
      <w:r w:rsidRPr="00875FF9">
        <w:rPr>
          <w:rFonts w:asciiTheme="majorHAnsi" w:hAnsiTheme="majorHAnsi"/>
          <w:sz w:val="20"/>
          <w:szCs w:val="20"/>
          <w:lang w:val="es-UY"/>
        </w:rPr>
        <w:t>l 3 de enero de 1997</w:t>
      </w:r>
      <w:r w:rsidR="00625C8F">
        <w:rPr>
          <w:rFonts w:asciiTheme="majorHAnsi" w:hAnsiTheme="majorHAnsi"/>
          <w:sz w:val="20"/>
          <w:szCs w:val="20"/>
          <w:lang w:val="es-UY"/>
        </w:rPr>
        <w:t xml:space="preserve"> a</w:t>
      </w:r>
      <w:r w:rsidR="00BA0150">
        <w:rPr>
          <w:rFonts w:asciiTheme="majorHAnsi" w:hAnsiTheme="majorHAnsi"/>
          <w:sz w:val="20"/>
          <w:szCs w:val="20"/>
          <w:lang w:val="es-UY"/>
        </w:rPr>
        <w:t xml:space="preserve"> las 8:00 horas</w:t>
      </w:r>
      <w:r w:rsidR="00133FFB">
        <w:rPr>
          <w:rFonts w:asciiTheme="majorHAnsi" w:hAnsiTheme="majorHAnsi"/>
          <w:sz w:val="20"/>
          <w:szCs w:val="20"/>
          <w:lang w:val="es-UY"/>
        </w:rPr>
        <w:t xml:space="preserve"> </w:t>
      </w:r>
      <w:r w:rsidR="00FB1ADA">
        <w:rPr>
          <w:rFonts w:asciiTheme="majorHAnsi" w:hAnsiTheme="majorHAnsi"/>
          <w:sz w:val="20"/>
          <w:szCs w:val="20"/>
          <w:lang w:val="es-UY"/>
        </w:rPr>
        <w:t>en presencia del Juez Mixto de Primera I</w:t>
      </w:r>
      <w:r w:rsidRPr="00875FF9">
        <w:rPr>
          <w:rFonts w:asciiTheme="majorHAnsi" w:hAnsiTheme="majorHAnsi"/>
          <w:sz w:val="20"/>
          <w:szCs w:val="20"/>
          <w:lang w:val="es-UY"/>
        </w:rPr>
        <w:t xml:space="preserve">nstancia, </w:t>
      </w:r>
      <w:r w:rsidR="00FB1ADA">
        <w:rPr>
          <w:rFonts w:asciiTheme="majorHAnsi" w:hAnsiTheme="majorHAnsi"/>
          <w:sz w:val="20"/>
          <w:szCs w:val="20"/>
          <w:lang w:val="es-UY"/>
        </w:rPr>
        <w:t>un</w:t>
      </w:r>
      <w:r w:rsidRPr="00875FF9">
        <w:rPr>
          <w:rFonts w:asciiTheme="majorHAnsi" w:hAnsiTheme="majorHAnsi"/>
          <w:sz w:val="20"/>
          <w:szCs w:val="20"/>
          <w:lang w:val="es-UY"/>
        </w:rPr>
        <w:t xml:space="preserve"> agente del Ministerio Público y de policías</w:t>
      </w:r>
      <w:r w:rsidR="00635821">
        <w:rPr>
          <w:rFonts w:asciiTheme="majorHAnsi" w:hAnsiTheme="majorHAnsi"/>
          <w:sz w:val="20"/>
          <w:szCs w:val="20"/>
          <w:lang w:val="es-UY"/>
        </w:rPr>
        <w:t xml:space="preserve"> judiciales</w:t>
      </w:r>
      <w:r w:rsidR="00133FFB">
        <w:rPr>
          <w:rFonts w:asciiTheme="majorHAnsi" w:hAnsiTheme="majorHAnsi"/>
          <w:sz w:val="20"/>
          <w:szCs w:val="20"/>
          <w:lang w:val="es-UY"/>
        </w:rPr>
        <w:t xml:space="preserve">. Afirma </w:t>
      </w:r>
      <w:r w:rsidRPr="00133FFB">
        <w:rPr>
          <w:rFonts w:asciiTheme="majorHAnsi" w:hAnsiTheme="majorHAnsi"/>
          <w:sz w:val="20"/>
          <w:szCs w:val="20"/>
          <w:lang w:val="es-UY"/>
        </w:rPr>
        <w:t xml:space="preserve">que </w:t>
      </w:r>
      <w:r w:rsidR="00133FFB">
        <w:rPr>
          <w:rFonts w:asciiTheme="majorHAnsi" w:hAnsiTheme="majorHAnsi"/>
          <w:sz w:val="20"/>
          <w:szCs w:val="20"/>
          <w:lang w:val="es-UY"/>
        </w:rPr>
        <w:t xml:space="preserve">informada </w:t>
      </w:r>
      <w:r w:rsidR="00B1377E" w:rsidRPr="00133FFB">
        <w:rPr>
          <w:rFonts w:asciiTheme="majorHAnsi" w:hAnsiTheme="majorHAnsi"/>
          <w:sz w:val="20"/>
          <w:szCs w:val="20"/>
          <w:lang w:val="es-UY"/>
        </w:rPr>
        <w:t>d</w:t>
      </w:r>
      <w:r w:rsidR="00FB1ADA">
        <w:rPr>
          <w:rFonts w:asciiTheme="majorHAnsi" w:hAnsiTheme="majorHAnsi"/>
          <w:sz w:val="20"/>
          <w:szCs w:val="20"/>
          <w:lang w:val="es-UY"/>
        </w:rPr>
        <w:t>el motivo de la diligencia, la presunta víctima</w:t>
      </w:r>
      <w:r w:rsidR="00635821">
        <w:rPr>
          <w:rFonts w:asciiTheme="majorHAnsi" w:hAnsiTheme="majorHAnsi"/>
          <w:sz w:val="20"/>
          <w:szCs w:val="20"/>
          <w:lang w:val="es-UY"/>
        </w:rPr>
        <w:t xml:space="preserve"> </w:t>
      </w:r>
      <w:r w:rsidR="00B1377E" w:rsidRPr="00133FFB">
        <w:rPr>
          <w:rFonts w:asciiTheme="majorHAnsi" w:hAnsiTheme="majorHAnsi"/>
          <w:sz w:val="20"/>
          <w:szCs w:val="20"/>
          <w:lang w:val="es-UY"/>
        </w:rPr>
        <w:t>permitió</w:t>
      </w:r>
      <w:r w:rsidRPr="00133FFB">
        <w:rPr>
          <w:rFonts w:asciiTheme="majorHAnsi" w:hAnsiTheme="majorHAnsi"/>
          <w:sz w:val="20"/>
          <w:szCs w:val="20"/>
          <w:lang w:val="es-UY"/>
        </w:rPr>
        <w:t xml:space="preserve"> la entrada</w:t>
      </w:r>
      <w:r w:rsidR="00635821">
        <w:rPr>
          <w:rFonts w:asciiTheme="majorHAnsi" w:hAnsiTheme="majorHAnsi"/>
          <w:sz w:val="20"/>
          <w:szCs w:val="20"/>
          <w:lang w:val="es-UY"/>
        </w:rPr>
        <w:t xml:space="preserve"> los efectivos policiales, quienes e</w:t>
      </w:r>
      <w:r w:rsidR="00B1377E" w:rsidRPr="00133FFB">
        <w:rPr>
          <w:rFonts w:asciiTheme="majorHAnsi" w:hAnsiTheme="majorHAnsi"/>
          <w:sz w:val="20"/>
          <w:szCs w:val="20"/>
          <w:lang w:val="es-UY"/>
        </w:rPr>
        <w:t xml:space="preserve">ncontraron </w:t>
      </w:r>
      <w:r w:rsidRPr="00133FFB">
        <w:rPr>
          <w:rFonts w:asciiTheme="majorHAnsi" w:hAnsiTheme="majorHAnsi"/>
          <w:sz w:val="20"/>
          <w:szCs w:val="20"/>
          <w:lang w:val="es-UY"/>
        </w:rPr>
        <w:t>armas de fuego y cartuchos útiles.</w:t>
      </w:r>
      <w:r w:rsidR="00635821">
        <w:rPr>
          <w:rFonts w:asciiTheme="majorHAnsi" w:hAnsiTheme="majorHAnsi"/>
          <w:sz w:val="20"/>
          <w:szCs w:val="20"/>
          <w:lang w:val="es-UY"/>
        </w:rPr>
        <w:t xml:space="preserve"> </w:t>
      </w:r>
      <w:r w:rsidR="00CE4B4E">
        <w:rPr>
          <w:rFonts w:asciiTheme="majorHAnsi" w:hAnsiTheme="majorHAnsi"/>
          <w:sz w:val="20"/>
          <w:szCs w:val="20"/>
          <w:lang w:val="es-UY"/>
        </w:rPr>
        <w:t>I</w:t>
      </w:r>
      <w:r w:rsidR="00635821">
        <w:rPr>
          <w:rFonts w:asciiTheme="majorHAnsi" w:hAnsiTheme="majorHAnsi"/>
          <w:sz w:val="20"/>
          <w:szCs w:val="20"/>
          <w:lang w:val="es-UY"/>
        </w:rPr>
        <w:t xml:space="preserve">ndica que </w:t>
      </w:r>
      <w:r w:rsidRPr="00133FFB">
        <w:rPr>
          <w:rFonts w:asciiTheme="majorHAnsi" w:hAnsiTheme="majorHAnsi"/>
          <w:sz w:val="20"/>
          <w:szCs w:val="20"/>
          <w:lang w:val="es-UY"/>
        </w:rPr>
        <w:t xml:space="preserve">ese mismo día se </w:t>
      </w:r>
      <w:r w:rsidR="00B1377E" w:rsidRPr="00133FFB">
        <w:rPr>
          <w:rFonts w:asciiTheme="majorHAnsi" w:hAnsiTheme="majorHAnsi"/>
          <w:sz w:val="20"/>
          <w:szCs w:val="20"/>
          <w:lang w:val="es-UY"/>
        </w:rPr>
        <w:t>tomó</w:t>
      </w:r>
      <w:r w:rsidR="00635821">
        <w:rPr>
          <w:rFonts w:asciiTheme="majorHAnsi" w:hAnsiTheme="majorHAnsi"/>
          <w:sz w:val="20"/>
          <w:szCs w:val="20"/>
          <w:lang w:val="es-UY"/>
        </w:rPr>
        <w:t xml:space="preserve"> su </w:t>
      </w:r>
      <w:r w:rsidRPr="00133FFB">
        <w:rPr>
          <w:rFonts w:asciiTheme="majorHAnsi" w:hAnsiTheme="majorHAnsi"/>
          <w:sz w:val="20"/>
          <w:szCs w:val="20"/>
          <w:lang w:val="es-UY"/>
        </w:rPr>
        <w:t>declaración en presencia de un defensor de oficio</w:t>
      </w:r>
      <w:r w:rsidR="00FB1ADA">
        <w:rPr>
          <w:rFonts w:asciiTheme="majorHAnsi" w:hAnsiTheme="majorHAnsi"/>
          <w:sz w:val="20"/>
          <w:szCs w:val="20"/>
          <w:lang w:val="es-UY"/>
        </w:rPr>
        <w:t xml:space="preserve"> y que</w:t>
      </w:r>
      <w:r w:rsidR="00B1377E" w:rsidRPr="00133FFB">
        <w:rPr>
          <w:rFonts w:asciiTheme="majorHAnsi" w:hAnsiTheme="majorHAnsi"/>
          <w:sz w:val="20"/>
          <w:szCs w:val="20"/>
          <w:lang w:val="es-UY"/>
        </w:rPr>
        <w:t xml:space="preserve"> </w:t>
      </w:r>
      <w:r w:rsidRPr="00133FFB">
        <w:rPr>
          <w:rFonts w:asciiTheme="majorHAnsi" w:hAnsiTheme="majorHAnsi"/>
          <w:sz w:val="20"/>
          <w:szCs w:val="20"/>
          <w:lang w:val="es-UY"/>
        </w:rPr>
        <w:t>se acordó duplicar el término constitucional</w:t>
      </w:r>
      <w:r w:rsidR="00CD3C65" w:rsidRPr="00133FFB">
        <w:rPr>
          <w:rFonts w:asciiTheme="majorHAnsi" w:hAnsiTheme="majorHAnsi"/>
          <w:sz w:val="20"/>
          <w:szCs w:val="20"/>
          <w:lang w:val="es-UY"/>
        </w:rPr>
        <w:t xml:space="preserve"> de 48 horas para ponerlo a disposición de juez</w:t>
      </w:r>
      <w:r w:rsidR="00A52D49" w:rsidRPr="00133FFB">
        <w:rPr>
          <w:rFonts w:asciiTheme="majorHAnsi" w:hAnsiTheme="majorHAnsi"/>
          <w:sz w:val="20"/>
          <w:szCs w:val="20"/>
          <w:lang w:val="es-UY"/>
        </w:rPr>
        <w:t>,</w:t>
      </w:r>
      <w:r w:rsidR="002E1DCD" w:rsidRPr="00133FFB">
        <w:rPr>
          <w:rFonts w:asciiTheme="majorHAnsi" w:hAnsiTheme="majorHAnsi"/>
          <w:sz w:val="20"/>
          <w:szCs w:val="20"/>
          <w:lang w:val="es-UY"/>
        </w:rPr>
        <w:t xml:space="preserve"> para resolver su</w:t>
      </w:r>
      <w:r w:rsidRPr="00133FFB">
        <w:rPr>
          <w:rFonts w:asciiTheme="majorHAnsi" w:hAnsiTheme="majorHAnsi"/>
          <w:sz w:val="20"/>
          <w:szCs w:val="20"/>
          <w:lang w:val="es-UY"/>
        </w:rPr>
        <w:t xml:space="preserve"> situación jurídica </w:t>
      </w:r>
      <w:r w:rsidR="00FB1ADA">
        <w:rPr>
          <w:rFonts w:asciiTheme="majorHAnsi" w:hAnsiTheme="majorHAnsi"/>
          <w:sz w:val="20"/>
          <w:szCs w:val="20"/>
          <w:lang w:val="es-UY"/>
        </w:rPr>
        <w:t>pues</w:t>
      </w:r>
      <w:r w:rsidRPr="00133FFB">
        <w:rPr>
          <w:rFonts w:asciiTheme="majorHAnsi" w:hAnsiTheme="majorHAnsi"/>
          <w:sz w:val="20"/>
          <w:szCs w:val="20"/>
          <w:lang w:val="es-UY"/>
        </w:rPr>
        <w:t xml:space="preserve"> exis</w:t>
      </w:r>
      <w:r w:rsidR="002E1DCD" w:rsidRPr="00133FFB">
        <w:rPr>
          <w:rFonts w:asciiTheme="majorHAnsi" w:hAnsiTheme="majorHAnsi"/>
          <w:sz w:val="20"/>
          <w:szCs w:val="20"/>
          <w:lang w:val="es-UY"/>
        </w:rPr>
        <w:t>t</w:t>
      </w:r>
      <w:r w:rsidR="00FB1ADA">
        <w:rPr>
          <w:rFonts w:asciiTheme="majorHAnsi" w:hAnsiTheme="majorHAnsi"/>
          <w:sz w:val="20"/>
          <w:szCs w:val="20"/>
          <w:lang w:val="es-UY"/>
        </w:rPr>
        <w:t xml:space="preserve">ían </w:t>
      </w:r>
      <w:r w:rsidR="002E1DCD" w:rsidRPr="00133FFB">
        <w:rPr>
          <w:rFonts w:asciiTheme="majorHAnsi" w:hAnsiTheme="majorHAnsi"/>
          <w:sz w:val="20"/>
          <w:szCs w:val="20"/>
          <w:lang w:val="es-UY"/>
        </w:rPr>
        <w:t xml:space="preserve">elementos que presumían su </w:t>
      </w:r>
      <w:r w:rsidRPr="00133FFB">
        <w:rPr>
          <w:rFonts w:asciiTheme="majorHAnsi" w:hAnsiTheme="majorHAnsi"/>
          <w:sz w:val="20"/>
          <w:szCs w:val="20"/>
          <w:lang w:val="es-UY"/>
        </w:rPr>
        <w:t>responsabilidad en el delito de delincuencia organizada.</w:t>
      </w:r>
    </w:p>
    <w:p w14:paraId="769A5E75" w14:textId="3C97CB19" w:rsidR="009B14C6" w:rsidRPr="006B0269" w:rsidRDefault="00CE4B4E" w:rsidP="00993997">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Pr>
          <w:rFonts w:asciiTheme="majorHAnsi" w:hAnsiTheme="majorHAnsi"/>
          <w:sz w:val="20"/>
          <w:szCs w:val="20"/>
          <w:lang w:val="es-UY"/>
        </w:rPr>
        <w:t>Refiere</w:t>
      </w:r>
      <w:r w:rsidR="00313DD1" w:rsidRPr="00875FF9">
        <w:rPr>
          <w:rFonts w:asciiTheme="majorHAnsi" w:hAnsiTheme="majorHAnsi"/>
          <w:sz w:val="20"/>
          <w:szCs w:val="20"/>
          <w:lang w:val="es-UY"/>
        </w:rPr>
        <w:t xml:space="preserve"> que el 6 de enero de 1997</w:t>
      </w:r>
      <w:r w:rsidR="009B14C6" w:rsidRPr="00875FF9">
        <w:rPr>
          <w:rFonts w:asciiTheme="majorHAnsi" w:hAnsiTheme="majorHAnsi"/>
          <w:sz w:val="20"/>
          <w:szCs w:val="20"/>
          <w:lang w:val="es-UY"/>
        </w:rPr>
        <w:t xml:space="preserve"> </w:t>
      </w:r>
      <w:r w:rsidR="00AE4DC6" w:rsidRPr="00875FF9">
        <w:rPr>
          <w:rFonts w:asciiTheme="majorHAnsi" w:hAnsiTheme="majorHAnsi"/>
          <w:sz w:val="20"/>
          <w:szCs w:val="20"/>
          <w:lang w:val="es-UY"/>
        </w:rPr>
        <w:t>el asunto fue radicado ante el Juez S</w:t>
      </w:r>
      <w:r w:rsidR="00FB1ADA">
        <w:rPr>
          <w:rFonts w:asciiTheme="majorHAnsi" w:hAnsiTheme="majorHAnsi"/>
          <w:sz w:val="20"/>
          <w:szCs w:val="20"/>
          <w:lang w:val="es-UY"/>
        </w:rPr>
        <w:t>egundo de P</w:t>
      </w:r>
      <w:r w:rsidR="009B14C6" w:rsidRPr="00875FF9">
        <w:rPr>
          <w:rFonts w:asciiTheme="majorHAnsi" w:hAnsiTheme="majorHAnsi"/>
          <w:sz w:val="20"/>
          <w:szCs w:val="20"/>
          <w:lang w:val="es-UY"/>
        </w:rPr>
        <w:t xml:space="preserve">rimera </w:t>
      </w:r>
      <w:r w:rsidR="00FB1ADA">
        <w:rPr>
          <w:rFonts w:asciiTheme="majorHAnsi" w:hAnsiTheme="majorHAnsi"/>
          <w:sz w:val="20"/>
          <w:szCs w:val="20"/>
          <w:lang w:val="es-UY"/>
        </w:rPr>
        <w:t>I</w:t>
      </w:r>
      <w:r w:rsidR="009B14C6" w:rsidRPr="00875FF9">
        <w:rPr>
          <w:rFonts w:asciiTheme="majorHAnsi" w:hAnsiTheme="majorHAnsi"/>
          <w:sz w:val="20"/>
          <w:szCs w:val="20"/>
          <w:lang w:val="es-UY"/>
        </w:rPr>
        <w:t xml:space="preserve">nstancia Penal de Tepic Nayarit, </w:t>
      </w:r>
      <w:r>
        <w:rPr>
          <w:rFonts w:asciiTheme="majorHAnsi" w:hAnsiTheme="majorHAnsi"/>
          <w:sz w:val="20"/>
          <w:szCs w:val="20"/>
          <w:lang w:val="es-UY"/>
        </w:rPr>
        <w:t>quien determinó su traslado al</w:t>
      </w:r>
      <w:r w:rsidR="009B14C6" w:rsidRPr="00875FF9">
        <w:rPr>
          <w:rFonts w:asciiTheme="majorHAnsi" w:hAnsiTheme="majorHAnsi"/>
          <w:sz w:val="20"/>
          <w:szCs w:val="20"/>
          <w:lang w:val="es-UY"/>
        </w:rPr>
        <w:t xml:space="preserve"> Centro de Rehabilitación Social “Venustiano Carranza” por los delitos de homicidio calificado y lesiones cal</w:t>
      </w:r>
      <w:r w:rsidR="002E1DCD" w:rsidRPr="00875FF9">
        <w:rPr>
          <w:rFonts w:asciiTheme="majorHAnsi" w:hAnsiTheme="majorHAnsi"/>
          <w:sz w:val="20"/>
          <w:szCs w:val="20"/>
          <w:lang w:val="es-UY"/>
        </w:rPr>
        <w:t xml:space="preserve">ificadas. </w:t>
      </w:r>
      <w:r w:rsidR="006B0269">
        <w:rPr>
          <w:rFonts w:asciiTheme="majorHAnsi" w:hAnsiTheme="majorHAnsi"/>
          <w:sz w:val="20"/>
          <w:szCs w:val="20"/>
          <w:lang w:val="es-UY"/>
        </w:rPr>
        <w:t>El</w:t>
      </w:r>
      <w:r w:rsidR="00313DD1" w:rsidRPr="00875FF9">
        <w:rPr>
          <w:rFonts w:asciiTheme="majorHAnsi" w:hAnsiTheme="majorHAnsi"/>
          <w:sz w:val="20"/>
          <w:szCs w:val="20"/>
          <w:lang w:val="es-UY"/>
        </w:rPr>
        <w:t xml:space="preserve"> 7 de enero de 1997</w:t>
      </w:r>
      <w:r w:rsidR="002E1DCD" w:rsidRPr="00875FF9">
        <w:rPr>
          <w:rFonts w:asciiTheme="majorHAnsi" w:hAnsiTheme="majorHAnsi"/>
          <w:sz w:val="20"/>
          <w:szCs w:val="20"/>
          <w:lang w:val="es-UY"/>
        </w:rPr>
        <w:t xml:space="preserve"> </w:t>
      </w:r>
      <w:r w:rsidR="006B0269">
        <w:rPr>
          <w:rFonts w:asciiTheme="majorHAnsi" w:hAnsiTheme="majorHAnsi"/>
          <w:sz w:val="20"/>
          <w:szCs w:val="20"/>
          <w:lang w:val="es-UY"/>
        </w:rPr>
        <w:t>la presunta víctima</w:t>
      </w:r>
      <w:r w:rsidR="002E1DCD" w:rsidRPr="00875FF9">
        <w:rPr>
          <w:rFonts w:asciiTheme="majorHAnsi" w:hAnsiTheme="majorHAnsi"/>
          <w:sz w:val="20"/>
          <w:szCs w:val="20"/>
          <w:lang w:val="es-UY"/>
        </w:rPr>
        <w:t xml:space="preserve"> rindió</w:t>
      </w:r>
      <w:r w:rsidR="009B14C6" w:rsidRPr="00875FF9">
        <w:rPr>
          <w:rFonts w:asciiTheme="majorHAnsi" w:hAnsiTheme="majorHAnsi"/>
          <w:sz w:val="20"/>
          <w:szCs w:val="20"/>
          <w:lang w:val="es-UY"/>
        </w:rPr>
        <w:t xml:space="preserve"> su declaración preparatoria en presencia de</w:t>
      </w:r>
      <w:r w:rsidR="00FB1ADA">
        <w:rPr>
          <w:rFonts w:asciiTheme="majorHAnsi" w:hAnsiTheme="majorHAnsi"/>
          <w:sz w:val="20"/>
          <w:szCs w:val="20"/>
          <w:lang w:val="es-UY"/>
        </w:rPr>
        <w:t xml:space="preserve"> las autoridades</w:t>
      </w:r>
      <w:r w:rsidR="006B0269">
        <w:rPr>
          <w:rFonts w:asciiTheme="majorHAnsi" w:hAnsiTheme="majorHAnsi"/>
          <w:sz w:val="20"/>
          <w:szCs w:val="20"/>
          <w:lang w:val="es-UY"/>
        </w:rPr>
        <w:t xml:space="preserve"> y de su defensor particular</w:t>
      </w:r>
      <w:r w:rsidR="009B14C6" w:rsidRPr="00875FF9">
        <w:rPr>
          <w:rFonts w:asciiTheme="majorHAnsi" w:hAnsiTheme="majorHAnsi"/>
          <w:sz w:val="20"/>
          <w:szCs w:val="20"/>
          <w:lang w:val="es-UY"/>
        </w:rPr>
        <w:t xml:space="preserve"> y el 12 de enero de 1997 se </w:t>
      </w:r>
      <w:r w:rsidR="002E1DCD" w:rsidRPr="00875FF9">
        <w:rPr>
          <w:rFonts w:asciiTheme="majorHAnsi" w:hAnsiTheme="majorHAnsi"/>
          <w:sz w:val="20"/>
          <w:szCs w:val="20"/>
          <w:lang w:val="es-UY"/>
        </w:rPr>
        <w:t>dictó</w:t>
      </w:r>
      <w:r w:rsidR="009B14C6" w:rsidRPr="00875FF9">
        <w:rPr>
          <w:rFonts w:asciiTheme="majorHAnsi" w:hAnsiTheme="majorHAnsi"/>
          <w:sz w:val="20"/>
          <w:szCs w:val="20"/>
          <w:lang w:val="es-UY"/>
        </w:rPr>
        <w:t xml:space="preserve"> auto de formal prisión en su contra.</w:t>
      </w:r>
      <w:r w:rsidR="006B0269">
        <w:rPr>
          <w:rFonts w:asciiTheme="majorHAnsi" w:hAnsiTheme="majorHAnsi"/>
          <w:sz w:val="20"/>
          <w:szCs w:val="20"/>
          <w:lang w:val="es-UY"/>
        </w:rPr>
        <w:t xml:space="preserve"> </w:t>
      </w:r>
      <w:r w:rsidR="00FB1ADA">
        <w:rPr>
          <w:rFonts w:asciiTheme="majorHAnsi" w:hAnsiTheme="majorHAnsi"/>
          <w:sz w:val="20"/>
          <w:szCs w:val="20"/>
          <w:lang w:val="es-UY"/>
        </w:rPr>
        <w:t>S</w:t>
      </w:r>
      <w:r w:rsidR="009B14C6" w:rsidRPr="00993997">
        <w:rPr>
          <w:rFonts w:asciiTheme="majorHAnsi" w:hAnsiTheme="majorHAnsi"/>
          <w:sz w:val="20"/>
          <w:szCs w:val="20"/>
          <w:lang w:val="es-UY"/>
        </w:rPr>
        <w:t>eñala que si bien el Ministerio Público de Tepic no</w:t>
      </w:r>
      <w:r w:rsidR="006B0269" w:rsidRPr="00993997">
        <w:rPr>
          <w:rFonts w:asciiTheme="majorHAnsi" w:hAnsiTheme="majorHAnsi"/>
          <w:sz w:val="20"/>
          <w:szCs w:val="20"/>
          <w:lang w:val="es-UY"/>
        </w:rPr>
        <w:t xml:space="preserve"> tenía competencia por</w:t>
      </w:r>
      <w:r w:rsidR="009B14C6" w:rsidRPr="00993997">
        <w:rPr>
          <w:rFonts w:asciiTheme="majorHAnsi" w:hAnsiTheme="majorHAnsi"/>
          <w:sz w:val="20"/>
          <w:szCs w:val="20"/>
          <w:lang w:val="es-UY"/>
        </w:rPr>
        <w:t xml:space="preserve"> razón de territorio, el </w:t>
      </w:r>
      <w:r w:rsidR="004F55BE" w:rsidRPr="00993997">
        <w:rPr>
          <w:rFonts w:asciiTheme="majorHAnsi" w:hAnsiTheme="majorHAnsi"/>
          <w:sz w:val="20"/>
          <w:szCs w:val="20"/>
          <w:lang w:val="es-UY"/>
        </w:rPr>
        <w:t>caso</w:t>
      </w:r>
      <w:r w:rsidR="009B14C6" w:rsidRPr="00993997">
        <w:rPr>
          <w:rFonts w:asciiTheme="majorHAnsi" w:hAnsiTheme="majorHAnsi"/>
          <w:sz w:val="20"/>
          <w:szCs w:val="20"/>
          <w:lang w:val="es-UY"/>
        </w:rPr>
        <w:t xml:space="preserve"> </w:t>
      </w:r>
      <w:r w:rsidR="002E1DCD" w:rsidRPr="00993997">
        <w:rPr>
          <w:rFonts w:asciiTheme="majorHAnsi" w:hAnsiTheme="majorHAnsi"/>
          <w:sz w:val="20"/>
          <w:szCs w:val="20"/>
          <w:lang w:val="es-UY"/>
        </w:rPr>
        <w:t>fue</w:t>
      </w:r>
      <w:r w:rsidR="009B14C6" w:rsidRPr="00993997">
        <w:rPr>
          <w:rFonts w:asciiTheme="majorHAnsi" w:hAnsiTheme="majorHAnsi"/>
          <w:sz w:val="20"/>
          <w:szCs w:val="20"/>
          <w:lang w:val="es-UY"/>
        </w:rPr>
        <w:t xml:space="preserve"> </w:t>
      </w:r>
      <w:r w:rsidR="004F55BE" w:rsidRPr="00993997">
        <w:rPr>
          <w:rFonts w:asciiTheme="majorHAnsi" w:hAnsiTheme="majorHAnsi"/>
          <w:sz w:val="20"/>
          <w:szCs w:val="20"/>
          <w:lang w:val="es-UY"/>
        </w:rPr>
        <w:t>conocido y resuelto por el</w:t>
      </w:r>
      <w:r w:rsidR="00FB1ADA">
        <w:rPr>
          <w:rFonts w:asciiTheme="majorHAnsi" w:hAnsiTheme="majorHAnsi"/>
          <w:sz w:val="20"/>
          <w:szCs w:val="20"/>
          <w:lang w:val="es-UY"/>
        </w:rPr>
        <w:t xml:space="preserve"> J</w:t>
      </w:r>
      <w:r w:rsidR="009B14C6" w:rsidRPr="00993997">
        <w:rPr>
          <w:rFonts w:asciiTheme="majorHAnsi" w:hAnsiTheme="majorHAnsi"/>
          <w:sz w:val="20"/>
          <w:szCs w:val="20"/>
          <w:lang w:val="es-UY"/>
        </w:rPr>
        <w:t xml:space="preserve">uez </w:t>
      </w:r>
      <w:r w:rsidR="00FB1ADA">
        <w:rPr>
          <w:rFonts w:asciiTheme="majorHAnsi" w:hAnsiTheme="majorHAnsi"/>
          <w:sz w:val="20"/>
          <w:szCs w:val="20"/>
          <w:lang w:val="es-UY"/>
        </w:rPr>
        <w:t>M</w:t>
      </w:r>
      <w:r w:rsidR="009B14C6" w:rsidRPr="00993997">
        <w:rPr>
          <w:rFonts w:asciiTheme="majorHAnsi" w:hAnsiTheme="majorHAnsi"/>
          <w:sz w:val="20"/>
          <w:szCs w:val="20"/>
          <w:lang w:val="es-UY"/>
        </w:rPr>
        <w:t xml:space="preserve">ixto de </w:t>
      </w:r>
      <w:r w:rsidR="00FB1ADA">
        <w:rPr>
          <w:rFonts w:asciiTheme="majorHAnsi" w:hAnsiTheme="majorHAnsi"/>
          <w:sz w:val="20"/>
          <w:szCs w:val="20"/>
          <w:lang w:val="es-UY"/>
        </w:rPr>
        <w:t>Primera I</w:t>
      </w:r>
      <w:r w:rsidR="009B14C6" w:rsidRPr="00993997">
        <w:rPr>
          <w:rFonts w:asciiTheme="majorHAnsi" w:hAnsiTheme="majorHAnsi"/>
          <w:sz w:val="20"/>
          <w:szCs w:val="20"/>
          <w:lang w:val="es-UY"/>
        </w:rPr>
        <w:t>nstanci</w:t>
      </w:r>
      <w:r w:rsidR="004839F8" w:rsidRPr="00993997">
        <w:rPr>
          <w:rFonts w:asciiTheme="majorHAnsi" w:hAnsiTheme="majorHAnsi"/>
          <w:sz w:val="20"/>
          <w:szCs w:val="20"/>
          <w:lang w:val="es-UY"/>
        </w:rPr>
        <w:t xml:space="preserve">a de Tecuala, </w:t>
      </w:r>
      <w:r w:rsidR="004F55BE" w:rsidRPr="00993997">
        <w:rPr>
          <w:rFonts w:asciiTheme="majorHAnsi" w:hAnsiTheme="majorHAnsi"/>
          <w:sz w:val="20"/>
          <w:szCs w:val="20"/>
          <w:lang w:val="es-UY"/>
        </w:rPr>
        <w:t>autoridad competente que</w:t>
      </w:r>
      <w:r w:rsidR="006B0269" w:rsidRPr="00993997">
        <w:rPr>
          <w:rFonts w:asciiTheme="majorHAnsi" w:hAnsiTheme="majorHAnsi"/>
          <w:sz w:val="20"/>
          <w:szCs w:val="20"/>
          <w:lang w:val="es-UY"/>
        </w:rPr>
        <w:t xml:space="preserve"> </w:t>
      </w:r>
      <w:r w:rsidR="00CD3C65" w:rsidRPr="00993997">
        <w:rPr>
          <w:rFonts w:asciiTheme="majorHAnsi" w:hAnsiTheme="majorHAnsi"/>
          <w:sz w:val="20"/>
          <w:szCs w:val="20"/>
          <w:lang w:val="es-UY"/>
        </w:rPr>
        <w:t>declaró</w:t>
      </w:r>
      <w:r w:rsidR="009B14C6" w:rsidRPr="00993997">
        <w:rPr>
          <w:rFonts w:asciiTheme="majorHAnsi" w:hAnsiTheme="majorHAnsi"/>
          <w:sz w:val="20"/>
          <w:szCs w:val="20"/>
          <w:lang w:val="es-UY"/>
        </w:rPr>
        <w:t xml:space="preserve"> a la presunta víctima penalmente responsable </w:t>
      </w:r>
      <w:r w:rsidR="004E462C" w:rsidRPr="00993997">
        <w:rPr>
          <w:rFonts w:asciiTheme="majorHAnsi" w:hAnsiTheme="majorHAnsi"/>
          <w:sz w:val="20"/>
          <w:szCs w:val="20"/>
          <w:lang w:val="es-UY"/>
        </w:rPr>
        <w:t>por los</w:t>
      </w:r>
      <w:r w:rsidR="00CD3C65" w:rsidRPr="00993997">
        <w:rPr>
          <w:rFonts w:asciiTheme="majorHAnsi" w:hAnsiTheme="majorHAnsi"/>
          <w:sz w:val="20"/>
          <w:szCs w:val="20"/>
          <w:lang w:val="es-UY"/>
        </w:rPr>
        <w:t xml:space="preserve"> delitos</w:t>
      </w:r>
      <w:r w:rsidR="004E462C" w:rsidRPr="00993997">
        <w:rPr>
          <w:rFonts w:asciiTheme="majorHAnsi" w:hAnsiTheme="majorHAnsi"/>
          <w:sz w:val="20"/>
          <w:szCs w:val="20"/>
          <w:lang w:val="es-UY"/>
        </w:rPr>
        <w:t xml:space="preserve"> de h</w:t>
      </w:r>
      <w:r w:rsidR="004F55BE" w:rsidRPr="00993997">
        <w:rPr>
          <w:rFonts w:asciiTheme="majorHAnsi" w:hAnsiTheme="majorHAnsi"/>
          <w:sz w:val="20"/>
          <w:szCs w:val="20"/>
          <w:lang w:val="es-UY"/>
        </w:rPr>
        <w:t>omicidio y lesiones calificadas</w:t>
      </w:r>
      <w:r w:rsidR="004E462C" w:rsidRPr="00993997">
        <w:rPr>
          <w:rFonts w:asciiTheme="majorHAnsi" w:hAnsiTheme="majorHAnsi"/>
          <w:sz w:val="20"/>
          <w:szCs w:val="20"/>
          <w:lang w:val="es-UY"/>
        </w:rPr>
        <w:t xml:space="preserve"> </w:t>
      </w:r>
      <w:r w:rsidR="00CD3C65" w:rsidRPr="00993997">
        <w:rPr>
          <w:rFonts w:asciiTheme="majorHAnsi" w:hAnsiTheme="majorHAnsi"/>
          <w:sz w:val="20"/>
          <w:szCs w:val="20"/>
          <w:lang w:val="es-UY"/>
        </w:rPr>
        <w:t xml:space="preserve">y </w:t>
      </w:r>
      <w:r w:rsidR="00993997" w:rsidRPr="00993997">
        <w:rPr>
          <w:rFonts w:asciiTheme="majorHAnsi" w:hAnsiTheme="majorHAnsi"/>
          <w:sz w:val="20"/>
          <w:szCs w:val="20"/>
          <w:lang w:val="es-UY"/>
        </w:rPr>
        <w:t>condenándolo</w:t>
      </w:r>
      <w:r w:rsidR="009B14C6" w:rsidRPr="00993997">
        <w:rPr>
          <w:rFonts w:asciiTheme="majorHAnsi" w:hAnsiTheme="majorHAnsi"/>
          <w:sz w:val="20"/>
          <w:szCs w:val="20"/>
          <w:lang w:val="es-UY"/>
        </w:rPr>
        <w:t xml:space="preserve"> a una pena de treinta y tres años el 26 de marzo de 1998</w:t>
      </w:r>
      <w:r w:rsidR="00EE4446" w:rsidRPr="00993997">
        <w:rPr>
          <w:rFonts w:asciiTheme="majorHAnsi" w:hAnsiTheme="majorHAnsi"/>
          <w:sz w:val="20"/>
          <w:szCs w:val="20"/>
          <w:lang w:val="es-UY"/>
        </w:rPr>
        <w:t xml:space="preserve">. </w:t>
      </w:r>
      <w:r w:rsidR="00BB20AD">
        <w:rPr>
          <w:rFonts w:asciiTheme="majorHAnsi" w:hAnsiTheme="majorHAnsi"/>
          <w:sz w:val="20"/>
          <w:szCs w:val="20"/>
          <w:lang w:val="es-UY"/>
        </w:rPr>
        <w:t>Precisa</w:t>
      </w:r>
      <w:r w:rsidR="00993997">
        <w:rPr>
          <w:rFonts w:asciiTheme="majorHAnsi" w:hAnsiTheme="majorHAnsi"/>
          <w:sz w:val="20"/>
          <w:szCs w:val="20"/>
          <w:lang w:val="es-UY"/>
        </w:rPr>
        <w:t xml:space="preserve"> que dicha sentencia fue emitida </w:t>
      </w:r>
      <w:r w:rsidR="002E1DCD" w:rsidRPr="006B0269">
        <w:rPr>
          <w:rFonts w:asciiTheme="majorHAnsi" w:hAnsiTheme="majorHAnsi"/>
          <w:sz w:val="20"/>
          <w:szCs w:val="20"/>
          <w:lang w:val="es-UY"/>
        </w:rPr>
        <w:t>con base en</w:t>
      </w:r>
      <w:r w:rsidR="009B14C6" w:rsidRPr="006B0269">
        <w:rPr>
          <w:rFonts w:asciiTheme="majorHAnsi" w:hAnsiTheme="majorHAnsi"/>
          <w:sz w:val="20"/>
          <w:szCs w:val="20"/>
          <w:lang w:val="es-UY"/>
        </w:rPr>
        <w:t xml:space="preserve"> decla</w:t>
      </w:r>
      <w:r w:rsidR="00EE4446" w:rsidRPr="006B0269">
        <w:rPr>
          <w:rFonts w:asciiTheme="majorHAnsi" w:hAnsiTheme="majorHAnsi"/>
          <w:sz w:val="20"/>
          <w:szCs w:val="20"/>
          <w:lang w:val="es-UY"/>
        </w:rPr>
        <w:t>raciones directas en su contra</w:t>
      </w:r>
      <w:r w:rsidR="00993997">
        <w:rPr>
          <w:rFonts w:asciiTheme="majorHAnsi" w:hAnsiTheme="majorHAnsi"/>
          <w:sz w:val="20"/>
          <w:szCs w:val="20"/>
          <w:lang w:val="es-UY"/>
        </w:rPr>
        <w:t xml:space="preserve">, en la </w:t>
      </w:r>
      <w:r w:rsidR="009B14C6" w:rsidRPr="006B0269">
        <w:rPr>
          <w:rFonts w:asciiTheme="majorHAnsi" w:hAnsiTheme="majorHAnsi"/>
          <w:sz w:val="20"/>
          <w:szCs w:val="20"/>
          <w:lang w:val="es-UY"/>
        </w:rPr>
        <w:t xml:space="preserve">prueba de radizonato de sodio </w:t>
      </w:r>
      <w:r w:rsidR="002E1DCD" w:rsidRPr="006B0269">
        <w:rPr>
          <w:rFonts w:asciiTheme="majorHAnsi" w:hAnsiTheme="majorHAnsi"/>
          <w:sz w:val="20"/>
          <w:szCs w:val="20"/>
          <w:lang w:val="es-UY"/>
        </w:rPr>
        <w:t>realizada</w:t>
      </w:r>
      <w:r w:rsidR="009B14C6" w:rsidRPr="006B0269">
        <w:rPr>
          <w:rFonts w:asciiTheme="majorHAnsi" w:hAnsiTheme="majorHAnsi"/>
          <w:sz w:val="20"/>
          <w:szCs w:val="20"/>
          <w:lang w:val="es-UY"/>
        </w:rPr>
        <w:t xml:space="preserve"> en ambas manos</w:t>
      </w:r>
      <w:r w:rsidR="00993997">
        <w:rPr>
          <w:rFonts w:asciiTheme="majorHAnsi" w:hAnsiTheme="majorHAnsi"/>
          <w:sz w:val="20"/>
          <w:szCs w:val="20"/>
          <w:lang w:val="es-UY"/>
        </w:rPr>
        <w:t xml:space="preserve"> </w:t>
      </w:r>
      <w:r w:rsidR="009B14C6" w:rsidRPr="006B0269">
        <w:rPr>
          <w:rFonts w:asciiTheme="majorHAnsi" w:hAnsiTheme="majorHAnsi"/>
          <w:sz w:val="20"/>
          <w:szCs w:val="20"/>
          <w:lang w:val="es-UY"/>
        </w:rPr>
        <w:t>y los peritajes</w:t>
      </w:r>
      <w:r w:rsidR="00EE4446" w:rsidRPr="006B0269">
        <w:rPr>
          <w:rFonts w:asciiTheme="majorHAnsi" w:hAnsiTheme="majorHAnsi"/>
          <w:sz w:val="20"/>
          <w:szCs w:val="20"/>
          <w:lang w:val="es-UY"/>
        </w:rPr>
        <w:t xml:space="preserve"> </w:t>
      </w:r>
      <w:r w:rsidR="002E1DCD" w:rsidRPr="006B0269">
        <w:rPr>
          <w:rFonts w:asciiTheme="majorHAnsi" w:hAnsiTheme="majorHAnsi"/>
          <w:sz w:val="20"/>
          <w:szCs w:val="20"/>
          <w:lang w:val="es-UY"/>
        </w:rPr>
        <w:t xml:space="preserve">que concluyeron </w:t>
      </w:r>
      <w:r w:rsidR="009B14C6" w:rsidRPr="006B0269">
        <w:rPr>
          <w:rFonts w:asciiTheme="majorHAnsi" w:hAnsiTheme="majorHAnsi"/>
          <w:sz w:val="20"/>
          <w:szCs w:val="20"/>
          <w:lang w:val="es-UY"/>
        </w:rPr>
        <w:t xml:space="preserve">que uno de los casquillos </w:t>
      </w:r>
      <w:r w:rsidR="00EE4446" w:rsidRPr="006B0269">
        <w:rPr>
          <w:rFonts w:asciiTheme="majorHAnsi" w:hAnsiTheme="majorHAnsi"/>
          <w:sz w:val="20"/>
          <w:szCs w:val="20"/>
          <w:lang w:val="es-UY"/>
        </w:rPr>
        <w:t xml:space="preserve">encontrados en el lugar de los hechos </w:t>
      </w:r>
      <w:r w:rsidR="009B14C6" w:rsidRPr="006B0269">
        <w:rPr>
          <w:rFonts w:asciiTheme="majorHAnsi" w:hAnsiTheme="majorHAnsi"/>
          <w:sz w:val="20"/>
          <w:szCs w:val="20"/>
          <w:lang w:val="es-UY"/>
        </w:rPr>
        <w:t>correspondía a uno de los rifles encontrados durante el cateo.</w:t>
      </w:r>
    </w:p>
    <w:p w14:paraId="1B269FDF" w14:textId="03E4FF3C" w:rsidR="009B14C6" w:rsidRPr="00993997" w:rsidRDefault="009B14C6" w:rsidP="009B14C6">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993997">
        <w:rPr>
          <w:rFonts w:asciiTheme="majorHAnsi" w:hAnsiTheme="majorHAnsi"/>
          <w:sz w:val="20"/>
          <w:szCs w:val="20"/>
          <w:lang w:val="es-UY"/>
        </w:rPr>
        <w:t xml:space="preserve">En cuanto a la retractación de </w:t>
      </w:r>
      <w:r w:rsidR="00CD3C65" w:rsidRPr="00993997">
        <w:rPr>
          <w:rFonts w:asciiTheme="majorHAnsi" w:hAnsiTheme="majorHAnsi"/>
          <w:sz w:val="20"/>
          <w:szCs w:val="20"/>
          <w:lang w:val="es-UY"/>
        </w:rPr>
        <w:t xml:space="preserve">la Sra. </w:t>
      </w:r>
      <w:r w:rsidRPr="00993997">
        <w:rPr>
          <w:rFonts w:asciiTheme="majorHAnsi" w:hAnsiTheme="majorHAnsi"/>
          <w:sz w:val="20"/>
          <w:szCs w:val="20"/>
          <w:lang w:val="es-UY"/>
        </w:rPr>
        <w:t>Clara Barrón Parra</w:t>
      </w:r>
      <w:r w:rsidR="00A52D49" w:rsidRPr="00993997">
        <w:rPr>
          <w:rFonts w:asciiTheme="majorHAnsi" w:hAnsiTheme="majorHAnsi"/>
          <w:sz w:val="20"/>
          <w:szCs w:val="20"/>
          <w:lang w:val="es-UY"/>
        </w:rPr>
        <w:t xml:space="preserve">, el Estado </w:t>
      </w:r>
      <w:r w:rsidR="00EE4446" w:rsidRPr="00993997">
        <w:rPr>
          <w:rFonts w:asciiTheme="majorHAnsi" w:hAnsiTheme="majorHAnsi"/>
          <w:sz w:val="20"/>
          <w:szCs w:val="20"/>
          <w:lang w:val="es-UY"/>
        </w:rPr>
        <w:t xml:space="preserve">indica </w:t>
      </w:r>
      <w:r w:rsidR="00A52D49" w:rsidRPr="00993997">
        <w:rPr>
          <w:rFonts w:asciiTheme="majorHAnsi" w:hAnsiTheme="majorHAnsi"/>
          <w:sz w:val="20"/>
          <w:szCs w:val="20"/>
          <w:lang w:val="es-UY"/>
        </w:rPr>
        <w:t>que se le</w:t>
      </w:r>
      <w:r w:rsidR="00EE4446" w:rsidRPr="00993997">
        <w:rPr>
          <w:rFonts w:asciiTheme="majorHAnsi" w:hAnsiTheme="majorHAnsi"/>
          <w:sz w:val="20"/>
          <w:szCs w:val="20"/>
          <w:lang w:val="es-UY"/>
        </w:rPr>
        <w:t xml:space="preserve"> restó valor, porque</w:t>
      </w:r>
      <w:r w:rsidRPr="00993997">
        <w:rPr>
          <w:rFonts w:asciiTheme="majorHAnsi" w:hAnsiTheme="majorHAnsi"/>
          <w:sz w:val="20"/>
          <w:szCs w:val="20"/>
          <w:lang w:val="es-UY"/>
        </w:rPr>
        <w:t xml:space="preserve"> el juez </w:t>
      </w:r>
      <w:r w:rsidR="00EE4446" w:rsidRPr="00993997">
        <w:rPr>
          <w:rFonts w:asciiTheme="majorHAnsi" w:hAnsiTheme="majorHAnsi"/>
          <w:sz w:val="20"/>
          <w:szCs w:val="20"/>
          <w:lang w:val="es-UY"/>
        </w:rPr>
        <w:t xml:space="preserve">estimó </w:t>
      </w:r>
      <w:r w:rsidRPr="00993997">
        <w:rPr>
          <w:rFonts w:asciiTheme="majorHAnsi" w:hAnsiTheme="majorHAnsi"/>
          <w:sz w:val="20"/>
          <w:szCs w:val="20"/>
          <w:lang w:val="es-UY"/>
        </w:rPr>
        <w:t>que existía aleccionamiento</w:t>
      </w:r>
      <w:r w:rsidR="00A52D49" w:rsidRPr="00993997">
        <w:rPr>
          <w:rFonts w:asciiTheme="majorHAnsi" w:hAnsiTheme="majorHAnsi"/>
          <w:sz w:val="20"/>
          <w:szCs w:val="20"/>
          <w:lang w:val="es-UY"/>
        </w:rPr>
        <w:t xml:space="preserve"> en sus declaraciones</w:t>
      </w:r>
      <w:r w:rsidR="00EE4446" w:rsidRPr="00993997">
        <w:rPr>
          <w:rFonts w:asciiTheme="majorHAnsi" w:hAnsiTheme="majorHAnsi"/>
          <w:sz w:val="20"/>
          <w:szCs w:val="20"/>
          <w:lang w:val="es-UY"/>
        </w:rPr>
        <w:t xml:space="preserve">; </w:t>
      </w:r>
      <w:r w:rsidR="002E1DCD" w:rsidRPr="00993997">
        <w:rPr>
          <w:rFonts w:asciiTheme="majorHAnsi" w:hAnsiTheme="majorHAnsi"/>
          <w:sz w:val="20"/>
          <w:szCs w:val="20"/>
          <w:lang w:val="es-UY"/>
        </w:rPr>
        <w:t>sin embargo,</w:t>
      </w:r>
      <w:r w:rsidR="00EE4446" w:rsidRPr="00993997">
        <w:rPr>
          <w:rFonts w:asciiTheme="majorHAnsi" w:hAnsiTheme="majorHAnsi"/>
          <w:sz w:val="20"/>
          <w:szCs w:val="20"/>
          <w:lang w:val="es-UY"/>
        </w:rPr>
        <w:t xml:space="preserve"> </w:t>
      </w:r>
      <w:r w:rsidR="00993997" w:rsidRPr="00993997">
        <w:rPr>
          <w:rFonts w:asciiTheme="majorHAnsi" w:hAnsiTheme="majorHAnsi"/>
          <w:sz w:val="20"/>
          <w:szCs w:val="20"/>
          <w:lang w:val="es-UY"/>
        </w:rPr>
        <w:t>las</w:t>
      </w:r>
      <w:r w:rsidRPr="00993997">
        <w:rPr>
          <w:rFonts w:asciiTheme="majorHAnsi" w:hAnsiTheme="majorHAnsi"/>
          <w:sz w:val="20"/>
          <w:szCs w:val="20"/>
          <w:lang w:val="es-UY"/>
        </w:rPr>
        <w:t xml:space="preserve"> dos primera</w:t>
      </w:r>
      <w:r w:rsidR="00A52D49" w:rsidRPr="00993997">
        <w:rPr>
          <w:rFonts w:asciiTheme="majorHAnsi" w:hAnsiTheme="majorHAnsi"/>
          <w:sz w:val="20"/>
          <w:szCs w:val="20"/>
          <w:lang w:val="es-UY"/>
        </w:rPr>
        <w:t>s</w:t>
      </w:r>
      <w:r w:rsidRPr="00993997">
        <w:rPr>
          <w:rFonts w:asciiTheme="majorHAnsi" w:hAnsiTheme="majorHAnsi"/>
          <w:sz w:val="20"/>
          <w:szCs w:val="20"/>
          <w:lang w:val="es-UY"/>
        </w:rPr>
        <w:t xml:space="preserve"> </w:t>
      </w:r>
      <w:r w:rsidR="00E24FF8" w:rsidRPr="00993997">
        <w:rPr>
          <w:rFonts w:asciiTheme="majorHAnsi" w:hAnsiTheme="majorHAnsi"/>
          <w:sz w:val="20"/>
          <w:szCs w:val="20"/>
          <w:lang w:val="es-UY"/>
        </w:rPr>
        <w:t>tuvieron</w:t>
      </w:r>
      <w:r w:rsidR="00EE4446" w:rsidRPr="00993997">
        <w:rPr>
          <w:rFonts w:asciiTheme="majorHAnsi" w:hAnsiTheme="majorHAnsi"/>
          <w:sz w:val="20"/>
          <w:szCs w:val="20"/>
          <w:lang w:val="es-UY"/>
        </w:rPr>
        <w:t xml:space="preserve"> valor ya que</w:t>
      </w:r>
      <w:r w:rsidRPr="00993997">
        <w:rPr>
          <w:rFonts w:asciiTheme="majorHAnsi" w:hAnsiTheme="majorHAnsi"/>
          <w:sz w:val="20"/>
          <w:szCs w:val="20"/>
          <w:lang w:val="es-UY"/>
        </w:rPr>
        <w:t xml:space="preserve"> </w:t>
      </w:r>
      <w:r w:rsidR="00E24FF8" w:rsidRPr="00993997">
        <w:rPr>
          <w:rFonts w:asciiTheme="majorHAnsi" w:hAnsiTheme="majorHAnsi"/>
          <w:sz w:val="20"/>
          <w:szCs w:val="20"/>
          <w:lang w:val="es-UY"/>
        </w:rPr>
        <w:t>fueron</w:t>
      </w:r>
      <w:r w:rsidRPr="00993997">
        <w:rPr>
          <w:rFonts w:asciiTheme="majorHAnsi" w:hAnsiTheme="majorHAnsi"/>
          <w:sz w:val="20"/>
          <w:szCs w:val="20"/>
          <w:lang w:val="es-UY"/>
        </w:rPr>
        <w:t xml:space="preserve"> cercanas al momento de los hechos. Aunado a lo anterior</w:t>
      </w:r>
      <w:r w:rsidR="009F4B5E" w:rsidRPr="00993997">
        <w:rPr>
          <w:rFonts w:asciiTheme="majorHAnsi" w:hAnsiTheme="majorHAnsi"/>
          <w:sz w:val="20"/>
          <w:szCs w:val="20"/>
          <w:lang w:val="es-UY"/>
        </w:rPr>
        <w:t>,</w:t>
      </w:r>
      <w:r w:rsidRPr="00993997">
        <w:rPr>
          <w:rFonts w:asciiTheme="majorHAnsi" w:hAnsiTheme="majorHAnsi"/>
          <w:sz w:val="20"/>
          <w:szCs w:val="20"/>
          <w:lang w:val="es-UY"/>
        </w:rPr>
        <w:t xml:space="preserve"> </w:t>
      </w:r>
      <w:r w:rsidR="00BB20AD">
        <w:rPr>
          <w:rFonts w:asciiTheme="majorHAnsi" w:hAnsiTheme="majorHAnsi"/>
          <w:sz w:val="20"/>
          <w:szCs w:val="20"/>
          <w:lang w:val="es-UY"/>
        </w:rPr>
        <w:t>señala</w:t>
      </w:r>
      <w:r w:rsidRPr="00993997">
        <w:rPr>
          <w:rFonts w:asciiTheme="majorHAnsi" w:hAnsiTheme="majorHAnsi"/>
          <w:sz w:val="20"/>
          <w:szCs w:val="20"/>
          <w:lang w:val="es-UY"/>
        </w:rPr>
        <w:t xml:space="preserve"> que las supuestas amenazas que habría sufrido</w:t>
      </w:r>
      <w:r w:rsidR="00CD3C65" w:rsidRPr="00993997">
        <w:rPr>
          <w:rFonts w:asciiTheme="majorHAnsi" w:hAnsiTheme="majorHAnsi"/>
          <w:sz w:val="20"/>
          <w:szCs w:val="20"/>
          <w:lang w:val="es-UY"/>
        </w:rPr>
        <w:t xml:space="preserve"> la Sra. Clara Barrón Parra</w:t>
      </w:r>
      <w:r w:rsidRPr="00993997">
        <w:rPr>
          <w:rFonts w:asciiTheme="majorHAnsi" w:hAnsiTheme="majorHAnsi"/>
          <w:sz w:val="20"/>
          <w:szCs w:val="20"/>
          <w:lang w:val="es-UY"/>
        </w:rPr>
        <w:t xml:space="preserve"> </w:t>
      </w:r>
      <w:r w:rsidR="00E24FF8" w:rsidRPr="00993997">
        <w:rPr>
          <w:rFonts w:asciiTheme="majorHAnsi" w:hAnsiTheme="majorHAnsi"/>
          <w:sz w:val="20"/>
          <w:szCs w:val="20"/>
          <w:lang w:val="es-UY"/>
        </w:rPr>
        <w:t>al momento de rendir s</w:t>
      </w:r>
      <w:r w:rsidRPr="00993997">
        <w:rPr>
          <w:rFonts w:asciiTheme="majorHAnsi" w:hAnsiTheme="majorHAnsi"/>
          <w:sz w:val="20"/>
          <w:szCs w:val="20"/>
          <w:lang w:val="es-UY"/>
        </w:rPr>
        <w:t xml:space="preserve">us primeras declaraciones, no </w:t>
      </w:r>
      <w:r w:rsidR="00E24FF8" w:rsidRPr="00993997">
        <w:rPr>
          <w:rFonts w:asciiTheme="majorHAnsi" w:hAnsiTheme="majorHAnsi"/>
          <w:sz w:val="20"/>
          <w:szCs w:val="20"/>
          <w:lang w:val="es-UY"/>
        </w:rPr>
        <w:t>fueron</w:t>
      </w:r>
      <w:r w:rsidRPr="00993997">
        <w:rPr>
          <w:rFonts w:asciiTheme="majorHAnsi" w:hAnsiTheme="majorHAnsi"/>
          <w:sz w:val="20"/>
          <w:szCs w:val="20"/>
          <w:lang w:val="es-UY"/>
        </w:rPr>
        <w:t xml:space="preserve"> denunciadas</w:t>
      </w:r>
      <w:r w:rsidR="00BB20AD">
        <w:rPr>
          <w:rFonts w:asciiTheme="majorHAnsi" w:hAnsiTheme="majorHAnsi"/>
          <w:sz w:val="20"/>
          <w:szCs w:val="20"/>
          <w:lang w:val="es-UY"/>
        </w:rPr>
        <w:t xml:space="preserve"> </w:t>
      </w:r>
      <w:r w:rsidR="00E24FF8" w:rsidRPr="00993997">
        <w:rPr>
          <w:rFonts w:asciiTheme="majorHAnsi" w:hAnsiTheme="majorHAnsi"/>
          <w:sz w:val="20"/>
          <w:szCs w:val="20"/>
          <w:lang w:val="es-UY"/>
        </w:rPr>
        <w:t>por lo que carece</w:t>
      </w:r>
      <w:r w:rsidR="009F0250" w:rsidRPr="00993997">
        <w:rPr>
          <w:rFonts w:asciiTheme="majorHAnsi" w:hAnsiTheme="majorHAnsi"/>
          <w:sz w:val="20"/>
          <w:szCs w:val="20"/>
          <w:lang w:val="es-UY"/>
        </w:rPr>
        <w:t>n de validez</w:t>
      </w:r>
      <w:r w:rsidRPr="00993997">
        <w:rPr>
          <w:rFonts w:asciiTheme="majorHAnsi" w:hAnsiTheme="majorHAnsi"/>
          <w:sz w:val="20"/>
          <w:szCs w:val="20"/>
          <w:lang w:val="es-UY"/>
        </w:rPr>
        <w:t>.</w:t>
      </w:r>
    </w:p>
    <w:p w14:paraId="4B656442" w14:textId="7EC49A1B" w:rsidR="00825541" w:rsidRPr="00982994" w:rsidRDefault="009B14C6" w:rsidP="00982994">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875FF9">
        <w:rPr>
          <w:rFonts w:asciiTheme="majorHAnsi" w:hAnsiTheme="majorHAnsi"/>
          <w:sz w:val="20"/>
          <w:szCs w:val="20"/>
          <w:lang w:val="es-UY"/>
        </w:rPr>
        <w:t>El Estado aduce</w:t>
      </w:r>
      <w:r w:rsidR="009F0250" w:rsidRPr="00875FF9">
        <w:rPr>
          <w:rFonts w:asciiTheme="majorHAnsi" w:hAnsiTheme="majorHAnsi"/>
          <w:sz w:val="20"/>
          <w:szCs w:val="20"/>
          <w:lang w:val="es-UY"/>
        </w:rPr>
        <w:t xml:space="preserve"> </w:t>
      </w:r>
      <w:r w:rsidR="00A55858" w:rsidRPr="00875FF9">
        <w:rPr>
          <w:rFonts w:asciiTheme="majorHAnsi" w:hAnsiTheme="majorHAnsi"/>
          <w:sz w:val="20"/>
          <w:szCs w:val="20"/>
          <w:lang w:val="es-UY"/>
        </w:rPr>
        <w:t xml:space="preserve">que </w:t>
      </w:r>
      <w:r w:rsidR="00982994">
        <w:rPr>
          <w:rFonts w:asciiTheme="majorHAnsi" w:hAnsiTheme="majorHAnsi"/>
          <w:sz w:val="20"/>
          <w:szCs w:val="20"/>
          <w:lang w:val="es-UY"/>
        </w:rPr>
        <w:t>la presunta víctima</w:t>
      </w:r>
      <w:r w:rsidR="00A55858" w:rsidRPr="00875FF9">
        <w:rPr>
          <w:rFonts w:asciiTheme="majorHAnsi" w:hAnsiTheme="majorHAnsi"/>
          <w:sz w:val="20"/>
          <w:szCs w:val="20"/>
          <w:lang w:val="es-UY"/>
        </w:rPr>
        <w:t xml:space="preserve"> </w:t>
      </w:r>
      <w:r w:rsidR="00E24FF8" w:rsidRPr="00875FF9">
        <w:rPr>
          <w:rFonts w:asciiTheme="majorHAnsi" w:hAnsiTheme="majorHAnsi"/>
          <w:sz w:val="20"/>
          <w:szCs w:val="20"/>
          <w:lang w:val="es-UY"/>
        </w:rPr>
        <w:t>contó</w:t>
      </w:r>
      <w:r w:rsidR="00EE4446" w:rsidRPr="00875FF9">
        <w:rPr>
          <w:rFonts w:asciiTheme="majorHAnsi" w:hAnsiTheme="majorHAnsi"/>
          <w:sz w:val="20"/>
          <w:szCs w:val="20"/>
          <w:lang w:val="es-UY"/>
        </w:rPr>
        <w:t xml:space="preserve"> con recursos adecuados y </w:t>
      </w:r>
      <w:r w:rsidR="00A55858" w:rsidRPr="00875FF9">
        <w:rPr>
          <w:rFonts w:asciiTheme="majorHAnsi" w:hAnsiTheme="majorHAnsi"/>
          <w:sz w:val="20"/>
          <w:szCs w:val="20"/>
          <w:lang w:val="es-UY"/>
        </w:rPr>
        <w:t>efectivos que l</w:t>
      </w:r>
      <w:r w:rsidR="00824FD3" w:rsidRPr="00875FF9">
        <w:rPr>
          <w:rFonts w:asciiTheme="majorHAnsi" w:hAnsiTheme="majorHAnsi"/>
          <w:sz w:val="20"/>
          <w:szCs w:val="20"/>
          <w:lang w:val="es-UY"/>
        </w:rPr>
        <w:t>e fueron útiles para hacer valer</w:t>
      </w:r>
      <w:r w:rsidR="00A55858" w:rsidRPr="00875FF9">
        <w:rPr>
          <w:rFonts w:asciiTheme="majorHAnsi" w:hAnsiTheme="majorHAnsi"/>
          <w:sz w:val="20"/>
          <w:szCs w:val="20"/>
          <w:lang w:val="es-UY"/>
        </w:rPr>
        <w:t xml:space="preserve"> sus inconformidades, corregir y en su caso reparar aquellas actuaciones que tenían algunos def</w:t>
      </w:r>
      <w:r w:rsidR="00E24FF8" w:rsidRPr="00875FF9">
        <w:rPr>
          <w:rFonts w:asciiTheme="majorHAnsi" w:hAnsiTheme="majorHAnsi"/>
          <w:sz w:val="20"/>
          <w:szCs w:val="20"/>
          <w:lang w:val="es-UY"/>
        </w:rPr>
        <w:t xml:space="preserve">ectos jurídicos en su emisión. </w:t>
      </w:r>
      <w:r w:rsidR="00BC672F">
        <w:rPr>
          <w:rFonts w:asciiTheme="majorHAnsi" w:hAnsiTheme="majorHAnsi"/>
          <w:sz w:val="20"/>
          <w:szCs w:val="20"/>
          <w:lang w:val="es-UY"/>
        </w:rPr>
        <w:t>Así,</w:t>
      </w:r>
      <w:r w:rsidR="00E24FF8" w:rsidRPr="00875FF9">
        <w:rPr>
          <w:rFonts w:asciiTheme="majorHAnsi" w:hAnsiTheme="majorHAnsi"/>
          <w:sz w:val="20"/>
          <w:szCs w:val="20"/>
          <w:lang w:val="es-UY"/>
        </w:rPr>
        <w:t xml:space="preserve"> </w:t>
      </w:r>
      <w:r w:rsidR="00BB20AD">
        <w:rPr>
          <w:rFonts w:asciiTheme="majorHAnsi" w:hAnsiTheme="majorHAnsi"/>
          <w:sz w:val="20"/>
          <w:szCs w:val="20"/>
          <w:lang w:val="es-UY"/>
        </w:rPr>
        <w:t xml:space="preserve">producto de los recursos presentados su sentencia inicial  fue reducida </w:t>
      </w:r>
      <w:r w:rsidRPr="00875FF9">
        <w:rPr>
          <w:rFonts w:asciiTheme="majorHAnsi" w:hAnsiTheme="majorHAnsi"/>
          <w:sz w:val="20"/>
          <w:szCs w:val="20"/>
          <w:lang w:val="es-UY"/>
        </w:rPr>
        <w:t>a veinticinco años</w:t>
      </w:r>
      <w:r w:rsidR="00714D50" w:rsidRPr="00875FF9">
        <w:rPr>
          <w:rFonts w:asciiTheme="majorHAnsi" w:hAnsiTheme="majorHAnsi"/>
          <w:sz w:val="20"/>
          <w:szCs w:val="20"/>
          <w:lang w:val="es-UY"/>
        </w:rPr>
        <w:t xml:space="preserve"> de prisión</w:t>
      </w:r>
      <w:r w:rsidRPr="00875FF9">
        <w:rPr>
          <w:rFonts w:asciiTheme="majorHAnsi" w:hAnsiTheme="majorHAnsi"/>
          <w:sz w:val="20"/>
          <w:szCs w:val="20"/>
          <w:lang w:val="es-UY"/>
        </w:rPr>
        <w:t>.</w:t>
      </w:r>
      <w:r w:rsidR="00714D50" w:rsidRPr="00875FF9">
        <w:rPr>
          <w:rFonts w:asciiTheme="majorHAnsi" w:hAnsiTheme="majorHAnsi"/>
          <w:sz w:val="20"/>
          <w:szCs w:val="20"/>
          <w:lang w:val="es-UY"/>
        </w:rPr>
        <w:t xml:space="preserve"> </w:t>
      </w:r>
      <w:r w:rsidR="00982994">
        <w:rPr>
          <w:rFonts w:asciiTheme="majorHAnsi" w:hAnsiTheme="majorHAnsi"/>
          <w:sz w:val="20"/>
          <w:szCs w:val="20"/>
          <w:lang w:val="es-UY"/>
        </w:rPr>
        <w:t>Por otra parte, s</w:t>
      </w:r>
      <w:r w:rsidR="00825541" w:rsidRPr="00982994">
        <w:rPr>
          <w:rFonts w:asciiTheme="majorHAnsi" w:hAnsiTheme="majorHAnsi"/>
          <w:sz w:val="20"/>
          <w:szCs w:val="20"/>
          <w:lang w:val="es-UY"/>
        </w:rPr>
        <w:t xml:space="preserve">eñala que </w:t>
      </w:r>
      <w:r w:rsidR="006361AA" w:rsidRPr="00982994">
        <w:rPr>
          <w:rFonts w:asciiTheme="majorHAnsi" w:hAnsiTheme="majorHAnsi"/>
          <w:sz w:val="20"/>
          <w:szCs w:val="20"/>
          <w:lang w:val="es-UY"/>
        </w:rPr>
        <w:t xml:space="preserve">la condena quedó firme </w:t>
      </w:r>
      <w:r w:rsidR="00825541" w:rsidRPr="00982994">
        <w:rPr>
          <w:rFonts w:asciiTheme="majorHAnsi" w:hAnsiTheme="majorHAnsi"/>
          <w:sz w:val="20"/>
          <w:szCs w:val="20"/>
          <w:lang w:val="es-UY"/>
        </w:rPr>
        <w:t xml:space="preserve">con la </w:t>
      </w:r>
      <w:r w:rsidR="00BB20AD">
        <w:rPr>
          <w:rFonts w:asciiTheme="majorHAnsi" w:hAnsiTheme="majorHAnsi"/>
          <w:sz w:val="20"/>
          <w:szCs w:val="20"/>
          <w:lang w:val="es-UY"/>
        </w:rPr>
        <w:t xml:space="preserve">resolución </w:t>
      </w:r>
      <w:r w:rsidR="00825541" w:rsidRPr="00982994">
        <w:rPr>
          <w:rFonts w:asciiTheme="majorHAnsi" w:hAnsiTheme="majorHAnsi"/>
          <w:sz w:val="20"/>
          <w:szCs w:val="20"/>
          <w:lang w:val="es-UY"/>
        </w:rPr>
        <w:t xml:space="preserve"> dictada en junio de 200</w:t>
      </w:r>
      <w:r w:rsidR="00F5792C" w:rsidRPr="00982994">
        <w:rPr>
          <w:rFonts w:asciiTheme="majorHAnsi" w:hAnsiTheme="majorHAnsi"/>
          <w:sz w:val="20"/>
          <w:szCs w:val="20"/>
          <w:lang w:val="es-UY"/>
        </w:rPr>
        <w:t>0</w:t>
      </w:r>
      <w:r w:rsidR="00825541" w:rsidRPr="00982994">
        <w:rPr>
          <w:rFonts w:asciiTheme="majorHAnsi" w:hAnsiTheme="majorHAnsi"/>
          <w:sz w:val="20"/>
          <w:szCs w:val="20"/>
          <w:lang w:val="es-UY"/>
        </w:rPr>
        <w:t xml:space="preserve">, pues los peticionarios </w:t>
      </w:r>
      <w:r w:rsidR="00BB20AD">
        <w:rPr>
          <w:rFonts w:asciiTheme="majorHAnsi" w:hAnsiTheme="majorHAnsi"/>
          <w:sz w:val="20"/>
          <w:szCs w:val="20"/>
          <w:lang w:val="es-UY"/>
        </w:rPr>
        <w:t>no interpusieron</w:t>
      </w:r>
      <w:r w:rsidR="00825541" w:rsidRPr="00982994">
        <w:rPr>
          <w:rFonts w:asciiTheme="majorHAnsi" w:hAnsiTheme="majorHAnsi"/>
          <w:sz w:val="20"/>
          <w:szCs w:val="20"/>
          <w:lang w:val="es-UY"/>
        </w:rPr>
        <w:t xml:space="preserve"> un nuevo amparo y revisión de éste</w:t>
      </w:r>
      <w:r w:rsidR="00BB20AD">
        <w:rPr>
          <w:rFonts w:asciiTheme="majorHAnsi" w:hAnsiTheme="majorHAnsi"/>
          <w:sz w:val="20"/>
          <w:szCs w:val="20"/>
          <w:lang w:val="es-UY"/>
        </w:rPr>
        <w:t xml:space="preserve">, optando por </w:t>
      </w:r>
      <w:r w:rsidR="00982994" w:rsidRPr="00982994">
        <w:rPr>
          <w:rFonts w:asciiTheme="majorHAnsi" w:hAnsiTheme="majorHAnsi"/>
          <w:sz w:val="20"/>
          <w:szCs w:val="20"/>
          <w:lang w:val="es-UY"/>
        </w:rPr>
        <w:t>presentar</w:t>
      </w:r>
      <w:r w:rsidR="00BB20AD">
        <w:rPr>
          <w:rFonts w:asciiTheme="majorHAnsi" w:hAnsiTheme="majorHAnsi"/>
          <w:sz w:val="20"/>
          <w:szCs w:val="20"/>
          <w:lang w:val="es-UY"/>
        </w:rPr>
        <w:t xml:space="preserve"> </w:t>
      </w:r>
      <w:r w:rsidR="00B90C93" w:rsidRPr="00982994">
        <w:rPr>
          <w:rFonts w:asciiTheme="majorHAnsi" w:hAnsiTheme="majorHAnsi"/>
          <w:sz w:val="20"/>
          <w:szCs w:val="20"/>
          <w:lang w:val="es-UY"/>
        </w:rPr>
        <w:t xml:space="preserve">dos </w:t>
      </w:r>
      <w:r w:rsidR="00825541" w:rsidRPr="00982994">
        <w:rPr>
          <w:rFonts w:asciiTheme="majorHAnsi" w:hAnsiTheme="majorHAnsi"/>
          <w:sz w:val="20"/>
          <w:szCs w:val="20"/>
          <w:lang w:val="es-UY"/>
        </w:rPr>
        <w:t>recurso</w:t>
      </w:r>
      <w:r w:rsidR="00B90C93" w:rsidRPr="00982994">
        <w:rPr>
          <w:rFonts w:asciiTheme="majorHAnsi" w:hAnsiTheme="majorHAnsi"/>
          <w:sz w:val="20"/>
          <w:szCs w:val="20"/>
          <w:lang w:val="es-UY"/>
        </w:rPr>
        <w:t>s</w:t>
      </w:r>
      <w:r w:rsidR="00825541" w:rsidRPr="00982994">
        <w:rPr>
          <w:rFonts w:asciiTheme="majorHAnsi" w:hAnsiTheme="majorHAnsi"/>
          <w:sz w:val="20"/>
          <w:szCs w:val="20"/>
          <w:lang w:val="es-UY"/>
        </w:rPr>
        <w:t xml:space="preserve"> extraordinario</w:t>
      </w:r>
      <w:r w:rsidR="00B90C93" w:rsidRPr="00982994">
        <w:rPr>
          <w:rFonts w:asciiTheme="majorHAnsi" w:hAnsiTheme="majorHAnsi"/>
          <w:sz w:val="20"/>
          <w:szCs w:val="20"/>
          <w:lang w:val="es-UY"/>
        </w:rPr>
        <w:t>s, uno</w:t>
      </w:r>
      <w:r w:rsidR="00825541" w:rsidRPr="00982994">
        <w:rPr>
          <w:rFonts w:asciiTheme="majorHAnsi" w:hAnsiTheme="majorHAnsi"/>
          <w:sz w:val="20"/>
          <w:szCs w:val="20"/>
          <w:lang w:val="es-UY"/>
        </w:rPr>
        <w:t xml:space="preserve"> </w:t>
      </w:r>
      <w:r w:rsidR="00B90C93" w:rsidRPr="00982994">
        <w:rPr>
          <w:rFonts w:asciiTheme="majorHAnsi" w:hAnsiTheme="majorHAnsi"/>
          <w:sz w:val="20"/>
          <w:szCs w:val="20"/>
          <w:lang w:val="es-UY"/>
        </w:rPr>
        <w:t>en febrero de 2001</w:t>
      </w:r>
      <w:r w:rsidR="00982994" w:rsidRPr="00982994">
        <w:rPr>
          <w:rFonts w:asciiTheme="majorHAnsi" w:hAnsiTheme="majorHAnsi"/>
          <w:sz w:val="20"/>
          <w:szCs w:val="20"/>
          <w:lang w:val="es-UY"/>
        </w:rPr>
        <w:t xml:space="preserve"> </w:t>
      </w:r>
      <w:r w:rsidR="00B90C93" w:rsidRPr="00982994">
        <w:rPr>
          <w:rFonts w:asciiTheme="majorHAnsi" w:hAnsiTheme="majorHAnsi"/>
          <w:sz w:val="20"/>
          <w:szCs w:val="20"/>
          <w:lang w:val="es-UY"/>
        </w:rPr>
        <w:t xml:space="preserve">y otro </w:t>
      </w:r>
      <w:r w:rsidR="00EE4446" w:rsidRPr="00982994">
        <w:rPr>
          <w:rFonts w:asciiTheme="majorHAnsi" w:hAnsiTheme="majorHAnsi"/>
          <w:sz w:val="20"/>
          <w:szCs w:val="20"/>
          <w:lang w:val="es-UY"/>
        </w:rPr>
        <w:t xml:space="preserve">el </w:t>
      </w:r>
      <w:r w:rsidR="00B90C93" w:rsidRPr="00982994">
        <w:rPr>
          <w:rFonts w:asciiTheme="majorHAnsi" w:hAnsiTheme="majorHAnsi"/>
          <w:sz w:val="20"/>
          <w:szCs w:val="20"/>
          <w:lang w:val="es-UY"/>
        </w:rPr>
        <w:t xml:space="preserve">24 de febrero de 2006 </w:t>
      </w:r>
      <w:r w:rsidR="00BB20AD">
        <w:rPr>
          <w:rFonts w:asciiTheme="majorHAnsi" w:hAnsiTheme="majorHAnsi"/>
          <w:sz w:val="20"/>
          <w:szCs w:val="20"/>
          <w:lang w:val="es-UY"/>
        </w:rPr>
        <w:t>los cuales, según el Estado</w:t>
      </w:r>
      <w:r w:rsidR="00825541" w:rsidRPr="00982994">
        <w:rPr>
          <w:rFonts w:asciiTheme="majorHAnsi" w:hAnsiTheme="majorHAnsi"/>
          <w:sz w:val="20"/>
          <w:szCs w:val="20"/>
          <w:lang w:val="es-UY"/>
        </w:rPr>
        <w:t xml:space="preserve"> por sus requisitos y efectos no eran recursos</w:t>
      </w:r>
      <w:r w:rsidR="00EE4446" w:rsidRPr="00982994">
        <w:rPr>
          <w:rFonts w:asciiTheme="majorHAnsi" w:hAnsiTheme="majorHAnsi"/>
          <w:sz w:val="20"/>
          <w:szCs w:val="20"/>
          <w:lang w:val="es-UY"/>
        </w:rPr>
        <w:t xml:space="preserve"> que debieran </w:t>
      </w:r>
      <w:r w:rsidR="00E24FF8" w:rsidRPr="00982994">
        <w:rPr>
          <w:rFonts w:asciiTheme="majorHAnsi" w:hAnsiTheme="majorHAnsi"/>
          <w:sz w:val="20"/>
          <w:szCs w:val="20"/>
          <w:lang w:val="es-UY"/>
        </w:rPr>
        <w:t>haberse agotado</w:t>
      </w:r>
      <w:r w:rsidR="00825541" w:rsidRPr="00982994">
        <w:rPr>
          <w:rFonts w:asciiTheme="majorHAnsi" w:hAnsiTheme="majorHAnsi"/>
          <w:sz w:val="20"/>
          <w:szCs w:val="20"/>
          <w:lang w:val="es-UY"/>
        </w:rPr>
        <w:t>.</w:t>
      </w:r>
    </w:p>
    <w:p w14:paraId="6739809B" w14:textId="116EDBB0" w:rsidR="009B14C6" w:rsidRPr="003669FB" w:rsidRDefault="006B3536" w:rsidP="003669FB">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Pr>
          <w:rFonts w:asciiTheme="majorHAnsi" w:hAnsiTheme="majorHAnsi"/>
          <w:sz w:val="20"/>
          <w:szCs w:val="20"/>
          <w:lang w:val="es-UY"/>
        </w:rPr>
        <w:t>Respecto</w:t>
      </w:r>
      <w:r w:rsidR="009B14C6" w:rsidRPr="00875FF9">
        <w:rPr>
          <w:rFonts w:asciiTheme="majorHAnsi" w:hAnsiTheme="majorHAnsi"/>
          <w:sz w:val="20"/>
          <w:szCs w:val="20"/>
          <w:lang w:val="es-UY"/>
        </w:rPr>
        <w:t xml:space="preserve"> a los </w:t>
      </w:r>
      <w:r w:rsidR="00624E57" w:rsidRPr="00875FF9">
        <w:rPr>
          <w:rFonts w:asciiTheme="majorHAnsi" w:hAnsiTheme="majorHAnsi"/>
          <w:sz w:val="20"/>
          <w:szCs w:val="20"/>
          <w:lang w:val="es-UY"/>
        </w:rPr>
        <w:t xml:space="preserve">alegados </w:t>
      </w:r>
      <w:r w:rsidR="009B14C6" w:rsidRPr="00875FF9">
        <w:rPr>
          <w:rFonts w:asciiTheme="majorHAnsi" w:hAnsiTheme="majorHAnsi"/>
          <w:sz w:val="20"/>
          <w:szCs w:val="20"/>
          <w:lang w:val="es-UY"/>
        </w:rPr>
        <w:t xml:space="preserve">hechos de tortura señala </w:t>
      </w:r>
      <w:r w:rsidR="004A683B" w:rsidRPr="00875FF9">
        <w:rPr>
          <w:rFonts w:asciiTheme="majorHAnsi" w:hAnsiTheme="majorHAnsi"/>
          <w:sz w:val="20"/>
          <w:szCs w:val="20"/>
          <w:lang w:val="es-UY"/>
        </w:rPr>
        <w:t xml:space="preserve">que </w:t>
      </w:r>
      <w:r w:rsidR="009B14C6" w:rsidRPr="00875FF9">
        <w:rPr>
          <w:rFonts w:asciiTheme="majorHAnsi" w:hAnsiTheme="majorHAnsi"/>
          <w:sz w:val="20"/>
          <w:szCs w:val="20"/>
          <w:lang w:val="es-UY"/>
        </w:rPr>
        <w:t xml:space="preserve">resultan infundados, </w:t>
      </w:r>
      <w:r w:rsidR="00982994">
        <w:rPr>
          <w:rFonts w:asciiTheme="majorHAnsi" w:hAnsiTheme="majorHAnsi"/>
          <w:sz w:val="20"/>
          <w:szCs w:val="20"/>
          <w:lang w:val="es-UY"/>
        </w:rPr>
        <w:t>toda vez que</w:t>
      </w:r>
      <w:r w:rsidR="009B14C6" w:rsidRPr="00875FF9">
        <w:rPr>
          <w:rFonts w:asciiTheme="majorHAnsi" w:hAnsiTheme="majorHAnsi"/>
          <w:sz w:val="20"/>
          <w:szCs w:val="20"/>
          <w:lang w:val="es-UY"/>
        </w:rPr>
        <w:t xml:space="preserve"> </w:t>
      </w:r>
      <w:r w:rsidR="00691DFC" w:rsidRPr="00875FF9">
        <w:rPr>
          <w:rFonts w:asciiTheme="majorHAnsi" w:hAnsiTheme="majorHAnsi"/>
          <w:sz w:val="20"/>
          <w:szCs w:val="20"/>
          <w:lang w:val="es-UY"/>
        </w:rPr>
        <w:t>hab</w:t>
      </w:r>
      <w:r w:rsidR="0068085F">
        <w:rPr>
          <w:rFonts w:asciiTheme="majorHAnsi" w:hAnsiTheme="majorHAnsi"/>
          <w:sz w:val="20"/>
          <w:szCs w:val="20"/>
          <w:lang w:val="es-UY"/>
        </w:rPr>
        <w:t xml:space="preserve">rían </w:t>
      </w:r>
      <w:r w:rsidR="00691DFC" w:rsidRPr="00875FF9">
        <w:rPr>
          <w:rFonts w:asciiTheme="majorHAnsi" w:hAnsiTheme="majorHAnsi"/>
          <w:sz w:val="20"/>
          <w:szCs w:val="20"/>
          <w:lang w:val="es-UY"/>
        </w:rPr>
        <w:t>sido</w:t>
      </w:r>
      <w:r w:rsidR="009B14C6" w:rsidRPr="00875FF9">
        <w:rPr>
          <w:rFonts w:asciiTheme="majorHAnsi" w:hAnsiTheme="majorHAnsi"/>
          <w:sz w:val="20"/>
          <w:szCs w:val="20"/>
          <w:lang w:val="es-UY"/>
        </w:rPr>
        <w:t xml:space="preserve"> denunciados </w:t>
      </w:r>
      <w:r>
        <w:rPr>
          <w:rFonts w:asciiTheme="majorHAnsi" w:hAnsiTheme="majorHAnsi"/>
          <w:sz w:val="20"/>
          <w:szCs w:val="20"/>
          <w:lang w:val="es-UY"/>
        </w:rPr>
        <w:t>por la presunta víctima</w:t>
      </w:r>
      <w:r w:rsidR="009B14C6" w:rsidRPr="00875FF9">
        <w:rPr>
          <w:rFonts w:asciiTheme="majorHAnsi" w:hAnsiTheme="majorHAnsi"/>
          <w:sz w:val="20"/>
          <w:szCs w:val="20"/>
          <w:lang w:val="es-UY"/>
        </w:rPr>
        <w:t xml:space="preserve"> despu</w:t>
      </w:r>
      <w:r w:rsidR="00982994">
        <w:rPr>
          <w:rFonts w:asciiTheme="majorHAnsi" w:hAnsiTheme="majorHAnsi"/>
          <w:sz w:val="20"/>
          <w:szCs w:val="20"/>
          <w:lang w:val="es-UY"/>
        </w:rPr>
        <w:t xml:space="preserve">és de cuatro años de ocurridos y </w:t>
      </w:r>
      <w:r w:rsidR="009B14C6" w:rsidRPr="00875FF9">
        <w:rPr>
          <w:rFonts w:asciiTheme="majorHAnsi" w:hAnsiTheme="majorHAnsi"/>
          <w:sz w:val="20"/>
          <w:szCs w:val="20"/>
          <w:lang w:val="es-UY"/>
        </w:rPr>
        <w:t xml:space="preserve">no </w:t>
      </w:r>
      <w:r w:rsidR="002D7F06">
        <w:rPr>
          <w:rFonts w:asciiTheme="majorHAnsi" w:hAnsiTheme="majorHAnsi"/>
          <w:sz w:val="20"/>
          <w:szCs w:val="20"/>
          <w:lang w:val="es-UY"/>
        </w:rPr>
        <w:t>desde</w:t>
      </w:r>
      <w:r w:rsidR="009B14C6" w:rsidRPr="00875FF9">
        <w:rPr>
          <w:rFonts w:asciiTheme="majorHAnsi" w:hAnsiTheme="majorHAnsi"/>
          <w:sz w:val="20"/>
          <w:szCs w:val="20"/>
          <w:lang w:val="es-UY"/>
        </w:rPr>
        <w:t xml:space="preserve"> </w:t>
      </w:r>
      <w:r w:rsidR="00A23C42">
        <w:rPr>
          <w:rFonts w:asciiTheme="majorHAnsi" w:hAnsiTheme="majorHAnsi"/>
          <w:sz w:val="20"/>
          <w:szCs w:val="20"/>
          <w:lang w:val="es-UY"/>
        </w:rPr>
        <w:t>su</w:t>
      </w:r>
      <w:r w:rsidR="002D7F06">
        <w:rPr>
          <w:rFonts w:asciiTheme="majorHAnsi" w:hAnsiTheme="majorHAnsi"/>
          <w:sz w:val="20"/>
          <w:szCs w:val="20"/>
          <w:lang w:val="es-UY"/>
        </w:rPr>
        <w:t xml:space="preserve"> </w:t>
      </w:r>
      <w:r w:rsidR="009B14C6" w:rsidRPr="00875FF9">
        <w:rPr>
          <w:rFonts w:asciiTheme="majorHAnsi" w:hAnsiTheme="majorHAnsi"/>
          <w:sz w:val="20"/>
          <w:szCs w:val="20"/>
          <w:lang w:val="es-UY"/>
        </w:rPr>
        <w:lastRenderedPageBreak/>
        <w:t>declaración</w:t>
      </w:r>
      <w:r w:rsidR="002D7F06">
        <w:rPr>
          <w:rFonts w:asciiTheme="majorHAnsi" w:hAnsiTheme="majorHAnsi"/>
          <w:sz w:val="20"/>
          <w:szCs w:val="20"/>
          <w:lang w:val="es-UY"/>
        </w:rPr>
        <w:t xml:space="preserve"> </w:t>
      </w:r>
      <w:r w:rsidR="009B14C6" w:rsidRPr="00875FF9">
        <w:rPr>
          <w:rFonts w:asciiTheme="majorHAnsi" w:hAnsiTheme="majorHAnsi"/>
          <w:sz w:val="20"/>
          <w:szCs w:val="20"/>
          <w:lang w:val="es-UY"/>
        </w:rPr>
        <w:t>ante el Ministerio Público, ni en su declaración preparatoria ante el juez de primera instancia</w:t>
      </w:r>
      <w:r w:rsidR="00691DFC" w:rsidRPr="00875FF9">
        <w:rPr>
          <w:rFonts w:asciiTheme="majorHAnsi" w:hAnsiTheme="majorHAnsi"/>
          <w:sz w:val="20"/>
          <w:szCs w:val="20"/>
          <w:lang w:val="es-UY"/>
        </w:rPr>
        <w:t xml:space="preserve">. </w:t>
      </w:r>
      <w:r w:rsidR="002D7F06">
        <w:rPr>
          <w:rFonts w:asciiTheme="majorHAnsi" w:hAnsiTheme="majorHAnsi"/>
          <w:sz w:val="20"/>
          <w:szCs w:val="20"/>
          <w:lang w:val="es-UY"/>
        </w:rPr>
        <w:t>Además sostiene</w:t>
      </w:r>
      <w:r w:rsidR="00691DFC" w:rsidRPr="00875FF9">
        <w:rPr>
          <w:rFonts w:asciiTheme="majorHAnsi" w:hAnsiTheme="majorHAnsi"/>
          <w:sz w:val="20"/>
          <w:szCs w:val="20"/>
          <w:lang w:val="es-UY"/>
        </w:rPr>
        <w:t xml:space="preserve"> </w:t>
      </w:r>
      <w:r w:rsidR="009B14C6" w:rsidRPr="00875FF9">
        <w:rPr>
          <w:rFonts w:asciiTheme="majorHAnsi" w:hAnsiTheme="majorHAnsi"/>
          <w:sz w:val="20"/>
          <w:szCs w:val="20"/>
          <w:lang w:val="es-UY"/>
        </w:rPr>
        <w:t xml:space="preserve">que no </w:t>
      </w:r>
      <w:r w:rsidR="00A23C42">
        <w:rPr>
          <w:rFonts w:asciiTheme="majorHAnsi" w:hAnsiTheme="majorHAnsi"/>
          <w:sz w:val="20"/>
          <w:szCs w:val="20"/>
          <w:lang w:val="es-UY"/>
        </w:rPr>
        <w:t>existe</w:t>
      </w:r>
      <w:r w:rsidR="00691DFC" w:rsidRPr="00875FF9">
        <w:rPr>
          <w:rFonts w:asciiTheme="majorHAnsi" w:hAnsiTheme="majorHAnsi"/>
          <w:sz w:val="20"/>
          <w:szCs w:val="20"/>
          <w:lang w:val="es-UY"/>
        </w:rPr>
        <w:t xml:space="preserve"> </w:t>
      </w:r>
      <w:r w:rsidR="009B14C6" w:rsidRPr="00875FF9">
        <w:rPr>
          <w:rFonts w:asciiTheme="majorHAnsi" w:hAnsiTheme="majorHAnsi"/>
          <w:sz w:val="20"/>
          <w:szCs w:val="20"/>
          <w:lang w:val="es-UY"/>
        </w:rPr>
        <w:t xml:space="preserve">constancia que </w:t>
      </w:r>
      <w:r w:rsidR="00A23C42">
        <w:rPr>
          <w:rFonts w:asciiTheme="majorHAnsi" w:hAnsiTheme="majorHAnsi"/>
          <w:sz w:val="20"/>
          <w:szCs w:val="20"/>
          <w:lang w:val="es-UY"/>
        </w:rPr>
        <w:t>hubiese</w:t>
      </w:r>
      <w:r w:rsidR="009B14C6" w:rsidRPr="00875FF9">
        <w:rPr>
          <w:rFonts w:asciiTheme="majorHAnsi" w:hAnsiTheme="majorHAnsi"/>
          <w:sz w:val="20"/>
          <w:szCs w:val="20"/>
          <w:lang w:val="es-UY"/>
        </w:rPr>
        <w:t xml:space="preserve"> presentado lesiones al momento de ponerlo a disposición de dichas autoridades. </w:t>
      </w:r>
      <w:r w:rsidR="002D7F06">
        <w:rPr>
          <w:rFonts w:asciiTheme="majorHAnsi" w:hAnsiTheme="majorHAnsi"/>
          <w:sz w:val="20"/>
          <w:szCs w:val="20"/>
          <w:lang w:val="es-UY"/>
        </w:rPr>
        <w:t>Asimismo, argumenta</w:t>
      </w:r>
      <w:r w:rsidR="009B14C6" w:rsidRPr="00875FF9">
        <w:rPr>
          <w:rFonts w:asciiTheme="majorHAnsi" w:hAnsiTheme="majorHAnsi"/>
          <w:sz w:val="20"/>
          <w:szCs w:val="20"/>
          <w:lang w:val="es-UY"/>
        </w:rPr>
        <w:t xml:space="preserve"> que </w:t>
      </w:r>
      <w:r w:rsidR="00A23C42">
        <w:rPr>
          <w:rFonts w:asciiTheme="majorHAnsi" w:hAnsiTheme="majorHAnsi"/>
          <w:sz w:val="20"/>
          <w:szCs w:val="20"/>
          <w:lang w:val="es-UY"/>
        </w:rPr>
        <w:t>tampoco</w:t>
      </w:r>
      <w:r w:rsidR="009B14C6" w:rsidRPr="00875FF9">
        <w:rPr>
          <w:rFonts w:asciiTheme="majorHAnsi" w:hAnsiTheme="majorHAnsi"/>
          <w:sz w:val="20"/>
          <w:szCs w:val="20"/>
          <w:lang w:val="es-UY"/>
        </w:rPr>
        <w:t xml:space="preserve"> durante el procedimiento ordinario y el recurso extraordinario</w:t>
      </w:r>
      <w:r w:rsidR="00624E57" w:rsidRPr="00875FF9">
        <w:rPr>
          <w:rFonts w:asciiTheme="majorHAnsi" w:hAnsiTheme="majorHAnsi"/>
          <w:sz w:val="20"/>
          <w:szCs w:val="20"/>
          <w:lang w:val="es-UY"/>
        </w:rPr>
        <w:t>,</w:t>
      </w:r>
      <w:r w:rsidR="009B14C6" w:rsidRPr="00875FF9">
        <w:rPr>
          <w:rFonts w:asciiTheme="majorHAnsi" w:hAnsiTheme="majorHAnsi"/>
          <w:sz w:val="20"/>
          <w:szCs w:val="20"/>
          <w:lang w:val="es-UY"/>
        </w:rPr>
        <w:t xml:space="preserve"> </w:t>
      </w:r>
      <w:r w:rsidR="00691DFC" w:rsidRPr="00875FF9">
        <w:rPr>
          <w:rFonts w:asciiTheme="majorHAnsi" w:hAnsiTheme="majorHAnsi"/>
          <w:sz w:val="20"/>
          <w:szCs w:val="20"/>
          <w:lang w:val="es-UY"/>
        </w:rPr>
        <w:t>manifestó</w:t>
      </w:r>
      <w:r w:rsidR="009B14C6" w:rsidRPr="00875FF9">
        <w:rPr>
          <w:rFonts w:asciiTheme="majorHAnsi" w:hAnsiTheme="majorHAnsi"/>
          <w:sz w:val="20"/>
          <w:szCs w:val="20"/>
          <w:lang w:val="es-UY"/>
        </w:rPr>
        <w:t xml:space="preserve"> haber sido objeto de malos tratos o tortura</w:t>
      </w:r>
      <w:r w:rsidR="004A683B" w:rsidRPr="00875FF9">
        <w:rPr>
          <w:rFonts w:asciiTheme="majorHAnsi" w:hAnsiTheme="majorHAnsi"/>
          <w:sz w:val="20"/>
          <w:szCs w:val="20"/>
          <w:lang w:val="es-UY"/>
        </w:rPr>
        <w:t xml:space="preserve">, por lo que </w:t>
      </w:r>
      <w:r w:rsidR="00691DFC" w:rsidRPr="00875FF9">
        <w:rPr>
          <w:rFonts w:hint="eastAsia"/>
          <w:sz w:val="20"/>
          <w:szCs w:val="20"/>
          <w:lang w:val="es-UY" w:eastAsia="ja-JP"/>
        </w:rPr>
        <w:t xml:space="preserve">estos hechos </w:t>
      </w:r>
      <w:r w:rsidR="004A683B" w:rsidRPr="00875FF9">
        <w:rPr>
          <w:rFonts w:asciiTheme="majorHAnsi" w:hAnsiTheme="majorHAnsi"/>
          <w:sz w:val="20"/>
          <w:szCs w:val="20"/>
          <w:lang w:val="es-UY"/>
        </w:rPr>
        <w:t>no puede</w:t>
      </w:r>
      <w:r w:rsidR="00412A8C" w:rsidRPr="00875FF9">
        <w:rPr>
          <w:rFonts w:asciiTheme="majorHAnsi" w:hAnsiTheme="majorHAnsi"/>
          <w:sz w:val="20"/>
          <w:szCs w:val="20"/>
          <w:lang w:val="es-UY"/>
        </w:rPr>
        <w:t>n</w:t>
      </w:r>
      <w:r w:rsidR="004A683B" w:rsidRPr="00875FF9">
        <w:rPr>
          <w:rFonts w:asciiTheme="majorHAnsi" w:hAnsiTheme="majorHAnsi"/>
          <w:sz w:val="20"/>
          <w:szCs w:val="20"/>
          <w:lang w:val="es-UY"/>
        </w:rPr>
        <w:t xml:space="preserve"> ser imputable</w:t>
      </w:r>
      <w:r w:rsidR="00412A8C" w:rsidRPr="00875FF9">
        <w:rPr>
          <w:rFonts w:asciiTheme="majorHAnsi" w:hAnsiTheme="majorHAnsi"/>
          <w:sz w:val="20"/>
          <w:szCs w:val="20"/>
          <w:lang w:val="es-UY"/>
        </w:rPr>
        <w:t>s</w:t>
      </w:r>
      <w:r w:rsidR="004A683B" w:rsidRPr="00875FF9">
        <w:rPr>
          <w:rFonts w:asciiTheme="majorHAnsi" w:hAnsiTheme="majorHAnsi"/>
          <w:sz w:val="20"/>
          <w:szCs w:val="20"/>
          <w:lang w:val="es-UY"/>
        </w:rPr>
        <w:t xml:space="preserve"> al Estado</w:t>
      </w:r>
      <w:r w:rsidR="009B14C6" w:rsidRPr="00875FF9">
        <w:rPr>
          <w:rFonts w:asciiTheme="majorHAnsi" w:hAnsiTheme="majorHAnsi"/>
          <w:sz w:val="20"/>
          <w:szCs w:val="20"/>
          <w:lang w:val="es-UY"/>
        </w:rPr>
        <w:t xml:space="preserve">. </w:t>
      </w:r>
      <w:r w:rsidR="00A23C42" w:rsidRPr="002F08A9">
        <w:rPr>
          <w:rFonts w:asciiTheme="majorHAnsi" w:hAnsiTheme="majorHAnsi"/>
          <w:sz w:val="20"/>
          <w:szCs w:val="20"/>
          <w:lang w:val="es-UY"/>
        </w:rPr>
        <w:t>No obstante</w:t>
      </w:r>
      <w:r w:rsidR="002F08A9">
        <w:rPr>
          <w:rFonts w:asciiTheme="majorHAnsi" w:hAnsiTheme="majorHAnsi"/>
          <w:sz w:val="20"/>
          <w:szCs w:val="20"/>
          <w:lang w:val="es-UY"/>
        </w:rPr>
        <w:t xml:space="preserve"> lo anterior</w:t>
      </w:r>
      <w:r w:rsidR="00A23C42" w:rsidRPr="002F08A9">
        <w:rPr>
          <w:rFonts w:asciiTheme="majorHAnsi" w:hAnsiTheme="majorHAnsi"/>
          <w:sz w:val="20"/>
          <w:szCs w:val="20"/>
          <w:lang w:val="es-UY"/>
        </w:rPr>
        <w:t xml:space="preserve">, </w:t>
      </w:r>
      <w:r w:rsidR="009F4B5E" w:rsidRPr="002F08A9">
        <w:rPr>
          <w:rFonts w:asciiTheme="majorHAnsi" w:hAnsiTheme="majorHAnsi"/>
          <w:sz w:val="20"/>
          <w:szCs w:val="20"/>
          <w:lang w:val="es-UY"/>
        </w:rPr>
        <w:t xml:space="preserve">afirma que </w:t>
      </w:r>
      <w:r w:rsidR="00691DFC" w:rsidRPr="002F08A9">
        <w:rPr>
          <w:rFonts w:asciiTheme="majorHAnsi" w:hAnsiTheme="majorHAnsi"/>
          <w:sz w:val="20"/>
          <w:szCs w:val="20"/>
          <w:lang w:val="es-UY"/>
        </w:rPr>
        <w:t>investigó</w:t>
      </w:r>
      <w:r w:rsidR="00A23C42" w:rsidRPr="002F08A9">
        <w:rPr>
          <w:rFonts w:asciiTheme="majorHAnsi" w:hAnsiTheme="majorHAnsi"/>
          <w:sz w:val="20"/>
          <w:szCs w:val="20"/>
          <w:lang w:val="es-UY"/>
        </w:rPr>
        <w:t xml:space="preserve"> la</w:t>
      </w:r>
      <w:r w:rsidR="00AE4DC6" w:rsidRPr="002F08A9">
        <w:rPr>
          <w:rFonts w:asciiTheme="majorHAnsi" w:hAnsiTheme="majorHAnsi"/>
          <w:sz w:val="20"/>
          <w:szCs w:val="20"/>
          <w:lang w:val="es-UY"/>
        </w:rPr>
        <w:t xml:space="preserve">s </w:t>
      </w:r>
      <w:r w:rsidR="00A23C42" w:rsidRPr="002F08A9">
        <w:rPr>
          <w:rFonts w:asciiTheme="majorHAnsi" w:hAnsiTheme="majorHAnsi"/>
          <w:sz w:val="20"/>
          <w:szCs w:val="20"/>
          <w:lang w:val="es-UY"/>
        </w:rPr>
        <w:t>alegada</w:t>
      </w:r>
      <w:r w:rsidR="00691DFC" w:rsidRPr="002F08A9">
        <w:rPr>
          <w:rFonts w:asciiTheme="majorHAnsi" w:hAnsiTheme="majorHAnsi"/>
          <w:sz w:val="20"/>
          <w:szCs w:val="20"/>
          <w:lang w:val="es-UY"/>
        </w:rPr>
        <w:t xml:space="preserve">s </w:t>
      </w:r>
      <w:r w:rsidR="00A23C42" w:rsidRPr="002F08A9">
        <w:rPr>
          <w:rFonts w:asciiTheme="majorHAnsi" w:hAnsiTheme="majorHAnsi"/>
          <w:sz w:val="20"/>
          <w:szCs w:val="20"/>
          <w:lang w:val="es-UY"/>
        </w:rPr>
        <w:t>t</w:t>
      </w:r>
      <w:r w:rsidR="00691DFC" w:rsidRPr="002F08A9">
        <w:rPr>
          <w:rFonts w:asciiTheme="majorHAnsi" w:hAnsiTheme="majorHAnsi"/>
          <w:sz w:val="20"/>
          <w:szCs w:val="20"/>
          <w:lang w:val="es-UY"/>
        </w:rPr>
        <w:t>ortura</w:t>
      </w:r>
      <w:r w:rsidR="00A23C42" w:rsidRPr="002F08A9">
        <w:rPr>
          <w:rFonts w:asciiTheme="majorHAnsi" w:hAnsiTheme="majorHAnsi"/>
          <w:sz w:val="20"/>
          <w:szCs w:val="20"/>
          <w:lang w:val="es-UY"/>
        </w:rPr>
        <w:t>s</w:t>
      </w:r>
      <w:r w:rsidR="00AE4DC6" w:rsidRPr="002F08A9">
        <w:rPr>
          <w:rFonts w:asciiTheme="majorHAnsi" w:hAnsiTheme="majorHAnsi"/>
          <w:sz w:val="20"/>
          <w:szCs w:val="20"/>
          <w:lang w:val="es-UY"/>
        </w:rPr>
        <w:t xml:space="preserve"> en acumulación </w:t>
      </w:r>
      <w:r w:rsidR="009B14C6" w:rsidRPr="002F08A9">
        <w:rPr>
          <w:rFonts w:asciiTheme="majorHAnsi" w:hAnsiTheme="majorHAnsi"/>
          <w:sz w:val="20"/>
          <w:szCs w:val="20"/>
          <w:lang w:val="es-UY"/>
        </w:rPr>
        <w:t>a la denuncia presentada por la Sra. Angelita Domínguez</w:t>
      </w:r>
      <w:r w:rsidR="00F2709B" w:rsidRPr="002F08A9">
        <w:rPr>
          <w:rFonts w:asciiTheme="majorHAnsi" w:hAnsiTheme="majorHAnsi"/>
          <w:sz w:val="20"/>
          <w:szCs w:val="20"/>
          <w:lang w:val="es-UY"/>
        </w:rPr>
        <w:t>,</w:t>
      </w:r>
      <w:r w:rsidR="00A80044" w:rsidRPr="002F08A9">
        <w:rPr>
          <w:rFonts w:asciiTheme="majorHAnsi" w:hAnsiTheme="majorHAnsi"/>
          <w:sz w:val="20"/>
          <w:szCs w:val="20"/>
          <w:lang w:val="es-UY"/>
        </w:rPr>
        <w:t xml:space="preserve"> </w:t>
      </w:r>
      <w:r w:rsidR="009B14C6" w:rsidRPr="002F08A9">
        <w:rPr>
          <w:rFonts w:asciiTheme="majorHAnsi" w:hAnsiTheme="majorHAnsi"/>
          <w:sz w:val="20"/>
          <w:szCs w:val="20"/>
          <w:lang w:val="es-UY"/>
        </w:rPr>
        <w:t>por</w:t>
      </w:r>
      <w:r w:rsidR="00F2709B" w:rsidRPr="002F08A9">
        <w:rPr>
          <w:rFonts w:asciiTheme="majorHAnsi" w:hAnsiTheme="majorHAnsi"/>
          <w:sz w:val="20"/>
          <w:szCs w:val="20"/>
          <w:lang w:val="es-UY"/>
        </w:rPr>
        <w:t xml:space="preserve"> tratarse de </w:t>
      </w:r>
      <w:r w:rsidR="002F08A9" w:rsidRPr="002F08A9">
        <w:rPr>
          <w:rFonts w:asciiTheme="majorHAnsi" w:hAnsiTheme="majorHAnsi"/>
          <w:sz w:val="20"/>
          <w:szCs w:val="20"/>
          <w:lang w:val="es-UY"/>
        </w:rPr>
        <w:t>sucesos relacionados con</w:t>
      </w:r>
      <w:r w:rsidR="009B14C6" w:rsidRPr="002F08A9">
        <w:rPr>
          <w:rFonts w:asciiTheme="majorHAnsi" w:hAnsiTheme="majorHAnsi"/>
          <w:sz w:val="20"/>
          <w:szCs w:val="20"/>
          <w:lang w:val="es-UY"/>
        </w:rPr>
        <w:t xml:space="preserve"> las indagatorias </w:t>
      </w:r>
      <w:r w:rsidR="00216A4C" w:rsidRPr="002F08A9">
        <w:rPr>
          <w:rFonts w:asciiTheme="majorHAnsi" w:hAnsiTheme="majorHAnsi"/>
          <w:sz w:val="20"/>
          <w:szCs w:val="20"/>
          <w:lang w:val="es-UY"/>
        </w:rPr>
        <w:t>d</w:t>
      </w:r>
      <w:r w:rsidR="002F08A9" w:rsidRPr="002F08A9">
        <w:rPr>
          <w:rFonts w:asciiTheme="majorHAnsi" w:hAnsiTheme="majorHAnsi"/>
          <w:sz w:val="20"/>
          <w:szCs w:val="20"/>
          <w:lang w:val="es-UY"/>
        </w:rPr>
        <w:t>e</w:t>
      </w:r>
      <w:r w:rsidR="00216A4C" w:rsidRPr="002F08A9">
        <w:rPr>
          <w:rFonts w:asciiTheme="majorHAnsi" w:hAnsiTheme="majorHAnsi"/>
          <w:sz w:val="20"/>
          <w:szCs w:val="20"/>
          <w:lang w:val="es-UY"/>
        </w:rPr>
        <w:t>l 3 de enero de 1997</w:t>
      </w:r>
      <w:r w:rsidR="004F3FB7" w:rsidRPr="002F08A9">
        <w:rPr>
          <w:rFonts w:asciiTheme="majorHAnsi" w:hAnsiTheme="majorHAnsi"/>
          <w:sz w:val="20"/>
          <w:szCs w:val="20"/>
          <w:lang w:val="es-UY"/>
        </w:rPr>
        <w:t xml:space="preserve">. </w:t>
      </w:r>
      <w:r w:rsidR="002F08A9" w:rsidRPr="002F08A9">
        <w:rPr>
          <w:rFonts w:asciiTheme="majorHAnsi" w:hAnsiTheme="majorHAnsi"/>
          <w:sz w:val="20"/>
          <w:szCs w:val="20"/>
          <w:lang w:val="es-UY"/>
        </w:rPr>
        <w:t>Al respecto</w:t>
      </w:r>
      <w:r w:rsidR="004F3FB7" w:rsidRPr="002F08A9">
        <w:rPr>
          <w:rFonts w:asciiTheme="majorHAnsi" w:hAnsiTheme="majorHAnsi"/>
          <w:sz w:val="20"/>
          <w:szCs w:val="20"/>
          <w:lang w:val="es-UY"/>
        </w:rPr>
        <w:t xml:space="preserve">, </w:t>
      </w:r>
      <w:r w:rsidR="005131F9">
        <w:rPr>
          <w:rFonts w:asciiTheme="majorHAnsi" w:hAnsiTheme="majorHAnsi"/>
          <w:sz w:val="20"/>
          <w:szCs w:val="20"/>
          <w:lang w:val="es-UY"/>
        </w:rPr>
        <w:t xml:space="preserve">el </w:t>
      </w:r>
      <w:r w:rsidR="005131F9" w:rsidRPr="002F08A9">
        <w:rPr>
          <w:rFonts w:asciiTheme="majorHAnsi" w:hAnsiTheme="majorHAnsi"/>
          <w:sz w:val="20"/>
          <w:szCs w:val="20"/>
          <w:lang w:val="es-UY"/>
        </w:rPr>
        <w:t>26 de agosto de 2003</w:t>
      </w:r>
      <w:r w:rsidR="002F08A9">
        <w:rPr>
          <w:rFonts w:asciiTheme="majorHAnsi" w:hAnsiTheme="majorHAnsi"/>
          <w:sz w:val="20"/>
          <w:szCs w:val="20"/>
          <w:lang w:val="es-UY"/>
        </w:rPr>
        <w:t xml:space="preserve"> el </w:t>
      </w:r>
      <w:r w:rsidR="00412A8C" w:rsidRPr="002F08A9">
        <w:rPr>
          <w:rFonts w:asciiTheme="majorHAnsi" w:hAnsiTheme="majorHAnsi"/>
          <w:sz w:val="20"/>
          <w:szCs w:val="20"/>
          <w:lang w:val="es-UY"/>
        </w:rPr>
        <w:t>Ministerio Público determinó</w:t>
      </w:r>
      <w:r w:rsidR="004F3FB7" w:rsidRPr="002F08A9">
        <w:rPr>
          <w:rFonts w:asciiTheme="majorHAnsi" w:hAnsiTheme="majorHAnsi"/>
          <w:sz w:val="20"/>
          <w:szCs w:val="20"/>
          <w:lang w:val="es-UY"/>
        </w:rPr>
        <w:t xml:space="preserve"> el no ejercicio de la acción penal en contra de</w:t>
      </w:r>
      <w:r w:rsidR="00A23C42" w:rsidRPr="002F08A9">
        <w:rPr>
          <w:rFonts w:asciiTheme="majorHAnsi" w:hAnsiTheme="majorHAnsi"/>
          <w:sz w:val="20"/>
          <w:szCs w:val="20"/>
          <w:lang w:val="es-UY"/>
        </w:rPr>
        <w:t xml:space="preserve"> las personas investigadas, pues los hechos </w:t>
      </w:r>
      <w:r w:rsidR="00B40E17">
        <w:rPr>
          <w:rFonts w:asciiTheme="majorHAnsi" w:hAnsiTheme="majorHAnsi"/>
          <w:sz w:val="20"/>
          <w:szCs w:val="20"/>
          <w:lang w:val="es-UY"/>
        </w:rPr>
        <w:t>habían prescrito</w:t>
      </w:r>
      <w:r w:rsidR="00A23C42" w:rsidRPr="002F08A9">
        <w:rPr>
          <w:rFonts w:asciiTheme="majorHAnsi" w:hAnsiTheme="majorHAnsi"/>
          <w:sz w:val="20"/>
          <w:szCs w:val="20"/>
          <w:lang w:val="es-UY"/>
        </w:rPr>
        <w:t xml:space="preserve"> </w:t>
      </w:r>
      <w:r w:rsidR="004F3FB7" w:rsidRPr="002F08A9">
        <w:rPr>
          <w:rFonts w:asciiTheme="majorHAnsi" w:hAnsiTheme="majorHAnsi"/>
          <w:sz w:val="20"/>
          <w:szCs w:val="20"/>
          <w:lang w:val="es-UY"/>
        </w:rPr>
        <w:t xml:space="preserve">el 22 de agosto de 2003. </w:t>
      </w:r>
      <w:r w:rsidR="00F2709B" w:rsidRPr="003669FB">
        <w:rPr>
          <w:rFonts w:asciiTheme="majorHAnsi" w:hAnsiTheme="majorHAnsi"/>
          <w:sz w:val="20"/>
          <w:szCs w:val="20"/>
          <w:lang w:val="es-UY"/>
        </w:rPr>
        <w:t xml:space="preserve">Frente a </w:t>
      </w:r>
      <w:r w:rsidR="004F3FB7" w:rsidRPr="003669FB">
        <w:rPr>
          <w:rFonts w:asciiTheme="majorHAnsi" w:hAnsiTheme="majorHAnsi"/>
          <w:sz w:val="20"/>
          <w:szCs w:val="20"/>
          <w:lang w:val="es-UY"/>
        </w:rPr>
        <w:t>esta determinación</w:t>
      </w:r>
      <w:r w:rsidR="00F2709B" w:rsidRPr="003669FB">
        <w:rPr>
          <w:rFonts w:asciiTheme="majorHAnsi" w:hAnsiTheme="majorHAnsi"/>
          <w:sz w:val="20"/>
          <w:szCs w:val="20"/>
          <w:lang w:val="es-UY"/>
        </w:rPr>
        <w:t>,</w:t>
      </w:r>
      <w:r w:rsidR="004F3FB7" w:rsidRPr="003669FB">
        <w:rPr>
          <w:rFonts w:asciiTheme="majorHAnsi" w:hAnsiTheme="majorHAnsi"/>
          <w:sz w:val="20"/>
          <w:szCs w:val="20"/>
          <w:lang w:val="es-UY"/>
        </w:rPr>
        <w:t xml:space="preserve"> tanto el peticionario como la Sra. Angelita Domínguez </w:t>
      </w:r>
      <w:r w:rsidR="00412A8C" w:rsidRPr="003669FB">
        <w:rPr>
          <w:rFonts w:asciiTheme="majorHAnsi" w:hAnsiTheme="majorHAnsi"/>
          <w:sz w:val="20"/>
          <w:szCs w:val="20"/>
          <w:lang w:val="es-UY"/>
        </w:rPr>
        <w:t xml:space="preserve">interpusieron </w:t>
      </w:r>
      <w:r w:rsidR="00F5792C" w:rsidRPr="003669FB">
        <w:rPr>
          <w:rFonts w:asciiTheme="majorHAnsi" w:hAnsiTheme="majorHAnsi"/>
          <w:sz w:val="20"/>
          <w:szCs w:val="20"/>
          <w:lang w:val="es-UY"/>
        </w:rPr>
        <w:t>recursos de</w:t>
      </w:r>
      <w:r w:rsidR="004F3FB7" w:rsidRPr="003669FB">
        <w:rPr>
          <w:rFonts w:asciiTheme="majorHAnsi" w:hAnsiTheme="majorHAnsi"/>
          <w:sz w:val="20"/>
          <w:szCs w:val="20"/>
          <w:lang w:val="es-UY"/>
        </w:rPr>
        <w:t xml:space="preserve"> amparo</w:t>
      </w:r>
      <w:r w:rsidR="00B40E17">
        <w:rPr>
          <w:rFonts w:asciiTheme="majorHAnsi" w:hAnsiTheme="majorHAnsi"/>
          <w:sz w:val="20"/>
          <w:szCs w:val="20"/>
          <w:lang w:val="es-UY"/>
        </w:rPr>
        <w:t xml:space="preserve"> que </w:t>
      </w:r>
      <w:r w:rsidR="00412A8C" w:rsidRPr="003669FB">
        <w:rPr>
          <w:rFonts w:asciiTheme="majorHAnsi" w:hAnsiTheme="majorHAnsi"/>
          <w:sz w:val="20"/>
          <w:szCs w:val="20"/>
          <w:lang w:val="es-UY"/>
        </w:rPr>
        <w:t xml:space="preserve">fueron nuevamente </w:t>
      </w:r>
      <w:r w:rsidR="004F3FB7" w:rsidRPr="003669FB">
        <w:rPr>
          <w:rFonts w:asciiTheme="majorHAnsi" w:hAnsiTheme="majorHAnsi"/>
          <w:sz w:val="20"/>
          <w:szCs w:val="20"/>
          <w:lang w:val="es-UY"/>
        </w:rPr>
        <w:t>acumulado</w:t>
      </w:r>
      <w:r w:rsidR="00412A8C" w:rsidRPr="003669FB">
        <w:rPr>
          <w:rFonts w:asciiTheme="majorHAnsi" w:hAnsiTheme="majorHAnsi"/>
          <w:sz w:val="20"/>
          <w:szCs w:val="20"/>
          <w:lang w:val="es-UY"/>
        </w:rPr>
        <w:t>s</w:t>
      </w:r>
      <w:r w:rsidR="004F3FB7" w:rsidRPr="003669FB">
        <w:rPr>
          <w:rFonts w:asciiTheme="majorHAnsi" w:hAnsiTheme="majorHAnsi"/>
          <w:sz w:val="20"/>
          <w:szCs w:val="20"/>
          <w:lang w:val="es-UY"/>
        </w:rPr>
        <w:t xml:space="preserve"> el 8 </w:t>
      </w:r>
      <w:r w:rsidR="00B40E17">
        <w:rPr>
          <w:rFonts w:asciiTheme="majorHAnsi" w:hAnsiTheme="majorHAnsi"/>
          <w:sz w:val="20"/>
          <w:szCs w:val="20"/>
          <w:lang w:val="es-UY"/>
        </w:rPr>
        <w:t xml:space="preserve">de septiembre de 2004 por </w:t>
      </w:r>
      <w:r w:rsidR="005204BC" w:rsidRPr="003669FB">
        <w:rPr>
          <w:rFonts w:asciiTheme="majorHAnsi" w:hAnsiTheme="majorHAnsi"/>
          <w:sz w:val="20"/>
          <w:szCs w:val="20"/>
          <w:lang w:val="es-UY"/>
        </w:rPr>
        <w:t>e</w:t>
      </w:r>
      <w:r w:rsidR="00ED0D9C" w:rsidRPr="003669FB">
        <w:rPr>
          <w:rFonts w:asciiTheme="majorHAnsi" w:hAnsiTheme="majorHAnsi"/>
          <w:sz w:val="20"/>
          <w:szCs w:val="20"/>
          <w:lang w:val="es-UY"/>
        </w:rPr>
        <w:t>l Juez T</w:t>
      </w:r>
      <w:r w:rsidR="00CB3145" w:rsidRPr="003669FB">
        <w:rPr>
          <w:rFonts w:asciiTheme="majorHAnsi" w:hAnsiTheme="majorHAnsi"/>
          <w:sz w:val="20"/>
          <w:szCs w:val="20"/>
          <w:lang w:val="es-UY"/>
        </w:rPr>
        <w:t xml:space="preserve">ercero de Distrito </w:t>
      </w:r>
      <w:r w:rsidR="00B40E17">
        <w:rPr>
          <w:rFonts w:asciiTheme="majorHAnsi" w:hAnsiTheme="majorHAnsi"/>
          <w:sz w:val="20"/>
          <w:szCs w:val="20"/>
          <w:lang w:val="es-UY"/>
        </w:rPr>
        <w:t xml:space="preserve">que </w:t>
      </w:r>
      <w:r w:rsidR="00CB3145" w:rsidRPr="003669FB">
        <w:rPr>
          <w:rFonts w:asciiTheme="majorHAnsi" w:hAnsiTheme="majorHAnsi"/>
          <w:sz w:val="20"/>
          <w:szCs w:val="20"/>
          <w:lang w:val="es-UY"/>
        </w:rPr>
        <w:t>determinó</w:t>
      </w:r>
      <w:r w:rsidR="004F3FB7" w:rsidRPr="003669FB">
        <w:rPr>
          <w:rFonts w:asciiTheme="majorHAnsi" w:hAnsiTheme="majorHAnsi"/>
          <w:sz w:val="20"/>
          <w:szCs w:val="20"/>
          <w:lang w:val="es-UY"/>
        </w:rPr>
        <w:t xml:space="preserve"> </w:t>
      </w:r>
      <w:r w:rsidR="00BB0709" w:rsidRPr="003669FB">
        <w:rPr>
          <w:rFonts w:asciiTheme="majorHAnsi" w:hAnsiTheme="majorHAnsi"/>
          <w:sz w:val="20"/>
          <w:szCs w:val="20"/>
          <w:lang w:val="es-UY"/>
        </w:rPr>
        <w:t>amparar sólo</w:t>
      </w:r>
      <w:r w:rsidR="004F3FB7" w:rsidRPr="003669FB">
        <w:rPr>
          <w:rFonts w:asciiTheme="majorHAnsi" w:hAnsiTheme="majorHAnsi"/>
          <w:sz w:val="20"/>
          <w:szCs w:val="20"/>
          <w:lang w:val="es-UY"/>
        </w:rPr>
        <w:t xml:space="preserve"> a la Sra. Angelita </w:t>
      </w:r>
      <w:r w:rsidR="005204BC" w:rsidRPr="003669FB">
        <w:rPr>
          <w:rFonts w:asciiTheme="majorHAnsi" w:hAnsiTheme="majorHAnsi"/>
          <w:sz w:val="20"/>
          <w:szCs w:val="20"/>
          <w:lang w:val="es-UY"/>
        </w:rPr>
        <w:t>disponiendo</w:t>
      </w:r>
      <w:r w:rsidR="00216A4C" w:rsidRPr="003669FB">
        <w:rPr>
          <w:rFonts w:asciiTheme="majorHAnsi" w:hAnsiTheme="majorHAnsi"/>
          <w:sz w:val="20"/>
          <w:szCs w:val="20"/>
          <w:lang w:val="es-UY"/>
        </w:rPr>
        <w:t xml:space="preserve"> </w:t>
      </w:r>
      <w:r w:rsidR="007478FF">
        <w:rPr>
          <w:rFonts w:asciiTheme="majorHAnsi" w:hAnsiTheme="majorHAnsi"/>
          <w:sz w:val="20"/>
          <w:szCs w:val="20"/>
          <w:lang w:val="es-UY"/>
        </w:rPr>
        <w:t xml:space="preserve">la investigación de </w:t>
      </w:r>
      <w:r w:rsidR="005204BC" w:rsidRPr="003669FB">
        <w:rPr>
          <w:rFonts w:asciiTheme="majorHAnsi" w:hAnsiTheme="majorHAnsi"/>
          <w:sz w:val="20"/>
          <w:szCs w:val="20"/>
          <w:lang w:val="es-UY"/>
        </w:rPr>
        <w:t>sus denuncias</w:t>
      </w:r>
      <w:r w:rsidR="004F3FB7" w:rsidRPr="003669FB">
        <w:rPr>
          <w:rFonts w:asciiTheme="majorHAnsi" w:hAnsiTheme="majorHAnsi"/>
          <w:sz w:val="20"/>
          <w:szCs w:val="20"/>
          <w:lang w:val="es-UY"/>
        </w:rPr>
        <w:t>,</w:t>
      </w:r>
      <w:r w:rsidR="003669FB" w:rsidRPr="003669FB">
        <w:rPr>
          <w:rFonts w:asciiTheme="majorHAnsi" w:hAnsiTheme="majorHAnsi"/>
          <w:sz w:val="20"/>
          <w:szCs w:val="20"/>
          <w:lang w:val="es-UY"/>
        </w:rPr>
        <w:t xml:space="preserve"> </w:t>
      </w:r>
      <w:r>
        <w:rPr>
          <w:rFonts w:asciiTheme="majorHAnsi" w:hAnsiTheme="majorHAnsi"/>
          <w:sz w:val="20"/>
          <w:szCs w:val="20"/>
          <w:lang w:val="es-UY"/>
        </w:rPr>
        <w:t>aspecto</w:t>
      </w:r>
      <w:r w:rsidR="007478FF">
        <w:rPr>
          <w:rFonts w:asciiTheme="majorHAnsi" w:hAnsiTheme="majorHAnsi"/>
          <w:sz w:val="20"/>
          <w:szCs w:val="20"/>
          <w:lang w:val="es-UY"/>
        </w:rPr>
        <w:t xml:space="preserve"> que</w:t>
      </w:r>
      <w:r w:rsidR="004F3FB7" w:rsidRPr="003669FB">
        <w:rPr>
          <w:rFonts w:asciiTheme="majorHAnsi" w:hAnsiTheme="majorHAnsi"/>
          <w:sz w:val="20"/>
          <w:szCs w:val="20"/>
          <w:lang w:val="es-UY"/>
        </w:rPr>
        <w:t xml:space="preserve"> </w:t>
      </w:r>
      <w:r w:rsidR="00F2709B" w:rsidRPr="003669FB">
        <w:rPr>
          <w:rFonts w:asciiTheme="majorHAnsi" w:hAnsiTheme="majorHAnsi"/>
          <w:sz w:val="20"/>
          <w:szCs w:val="20"/>
          <w:lang w:val="es-UY"/>
        </w:rPr>
        <w:t>se e</w:t>
      </w:r>
      <w:r w:rsidR="00BB0709" w:rsidRPr="003669FB">
        <w:rPr>
          <w:rFonts w:asciiTheme="majorHAnsi" w:hAnsiTheme="majorHAnsi"/>
          <w:sz w:val="20"/>
          <w:szCs w:val="20"/>
          <w:lang w:val="es-UY"/>
        </w:rPr>
        <w:t>ncontra</w:t>
      </w:r>
      <w:r w:rsidR="003669FB" w:rsidRPr="003669FB">
        <w:rPr>
          <w:rFonts w:asciiTheme="majorHAnsi" w:hAnsiTheme="majorHAnsi"/>
          <w:sz w:val="20"/>
          <w:szCs w:val="20"/>
          <w:lang w:val="es-UY"/>
        </w:rPr>
        <w:t xml:space="preserve">ría </w:t>
      </w:r>
      <w:r w:rsidR="00F2709B" w:rsidRPr="003669FB">
        <w:rPr>
          <w:rFonts w:asciiTheme="majorHAnsi" w:hAnsiTheme="majorHAnsi"/>
          <w:sz w:val="20"/>
          <w:szCs w:val="20"/>
          <w:lang w:val="es-UY"/>
        </w:rPr>
        <w:t>en trámite ante el</w:t>
      </w:r>
      <w:r w:rsidR="004F3FB7" w:rsidRPr="003669FB">
        <w:rPr>
          <w:rFonts w:asciiTheme="majorHAnsi" w:hAnsiTheme="majorHAnsi"/>
          <w:sz w:val="20"/>
          <w:szCs w:val="20"/>
          <w:lang w:val="es-UY"/>
        </w:rPr>
        <w:t xml:space="preserve"> Ministerio Público.</w:t>
      </w:r>
    </w:p>
    <w:p w14:paraId="2508326B" w14:textId="7716D4A2" w:rsidR="009B14C6" w:rsidRPr="00E51F4A" w:rsidRDefault="00BB0709" w:rsidP="00E51F4A">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875FF9">
        <w:rPr>
          <w:rFonts w:asciiTheme="majorHAnsi" w:hAnsiTheme="majorHAnsi"/>
          <w:sz w:val="20"/>
          <w:szCs w:val="20"/>
          <w:lang w:val="es-UY"/>
        </w:rPr>
        <w:t>Por otra parte</w:t>
      </w:r>
      <w:r w:rsidR="00B338D4" w:rsidRPr="00875FF9">
        <w:rPr>
          <w:rFonts w:asciiTheme="majorHAnsi" w:hAnsiTheme="majorHAnsi"/>
          <w:sz w:val="20"/>
          <w:szCs w:val="20"/>
          <w:lang w:val="es-UY"/>
        </w:rPr>
        <w:t xml:space="preserve">, resalta que </w:t>
      </w:r>
      <w:r w:rsidR="003669FB">
        <w:rPr>
          <w:rFonts w:asciiTheme="majorHAnsi" w:hAnsiTheme="majorHAnsi"/>
          <w:sz w:val="20"/>
          <w:szCs w:val="20"/>
          <w:lang w:val="es-UY"/>
        </w:rPr>
        <w:t>en cumplimiento de</w:t>
      </w:r>
      <w:r w:rsidR="00B338D4" w:rsidRPr="00875FF9">
        <w:rPr>
          <w:rFonts w:asciiTheme="majorHAnsi" w:hAnsiTheme="majorHAnsi"/>
          <w:sz w:val="20"/>
          <w:szCs w:val="20"/>
          <w:lang w:val="es-UY"/>
        </w:rPr>
        <w:t xml:space="preserve"> la resolución</w:t>
      </w:r>
      <w:r w:rsidR="006C54F1" w:rsidRPr="00875FF9">
        <w:rPr>
          <w:rFonts w:asciiTheme="majorHAnsi" w:hAnsiTheme="majorHAnsi"/>
          <w:sz w:val="20"/>
          <w:szCs w:val="20"/>
          <w:lang w:val="es-UY"/>
        </w:rPr>
        <w:t xml:space="preserve"> emitida </w:t>
      </w:r>
      <w:r w:rsidR="003669FB" w:rsidRPr="00875FF9">
        <w:rPr>
          <w:rFonts w:asciiTheme="majorHAnsi" w:hAnsiTheme="majorHAnsi"/>
          <w:sz w:val="20"/>
          <w:szCs w:val="20"/>
          <w:lang w:val="es-UY"/>
        </w:rPr>
        <w:t>el 28 de mayo de 2003</w:t>
      </w:r>
      <w:r w:rsidR="003669FB">
        <w:rPr>
          <w:rFonts w:asciiTheme="majorHAnsi" w:hAnsiTheme="majorHAnsi"/>
          <w:sz w:val="20"/>
          <w:szCs w:val="20"/>
          <w:lang w:val="es-UY"/>
        </w:rPr>
        <w:t xml:space="preserve"> </w:t>
      </w:r>
      <w:r w:rsidR="006C54F1" w:rsidRPr="00875FF9">
        <w:rPr>
          <w:rFonts w:asciiTheme="majorHAnsi" w:hAnsiTheme="majorHAnsi"/>
          <w:sz w:val="20"/>
          <w:szCs w:val="20"/>
          <w:lang w:val="es-UY"/>
        </w:rPr>
        <w:t>por l</w:t>
      </w:r>
      <w:r w:rsidR="00B360ED" w:rsidRPr="00875FF9">
        <w:rPr>
          <w:rFonts w:asciiTheme="majorHAnsi" w:hAnsiTheme="majorHAnsi"/>
          <w:sz w:val="20"/>
          <w:szCs w:val="20"/>
          <w:lang w:val="es-UY"/>
        </w:rPr>
        <w:t>a Comisión de Defensa de los Derechos Humanos de Nayarit</w:t>
      </w:r>
      <w:r w:rsidR="00F2709B" w:rsidRPr="00875FF9">
        <w:rPr>
          <w:rFonts w:asciiTheme="majorHAnsi" w:hAnsiTheme="majorHAnsi"/>
          <w:sz w:val="20"/>
          <w:szCs w:val="20"/>
          <w:lang w:val="es-UY"/>
        </w:rPr>
        <w:t>,</w:t>
      </w:r>
      <w:r w:rsidR="00B360ED" w:rsidRPr="00875FF9">
        <w:rPr>
          <w:rFonts w:asciiTheme="majorHAnsi" w:hAnsiTheme="majorHAnsi"/>
          <w:sz w:val="20"/>
          <w:szCs w:val="20"/>
          <w:lang w:val="es-UY"/>
        </w:rPr>
        <w:t xml:space="preserve"> </w:t>
      </w:r>
      <w:r w:rsidR="00B17BAF">
        <w:rPr>
          <w:rFonts w:asciiTheme="majorHAnsi" w:hAnsiTheme="majorHAnsi"/>
          <w:sz w:val="20"/>
          <w:szCs w:val="20"/>
          <w:lang w:val="es-UY"/>
        </w:rPr>
        <w:t xml:space="preserve">se </w:t>
      </w:r>
      <w:r w:rsidR="003669FB">
        <w:rPr>
          <w:rFonts w:asciiTheme="majorHAnsi" w:hAnsiTheme="majorHAnsi"/>
          <w:sz w:val="20"/>
          <w:szCs w:val="20"/>
          <w:lang w:val="es-UY"/>
        </w:rPr>
        <w:t>inici</w:t>
      </w:r>
      <w:r w:rsidR="00B17BAF">
        <w:rPr>
          <w:rFonts w:asciiTheme="majorHAnsi" w:hAnsiTheme="majorHAnsi"/>
          <w:sz w:val="20"/>
          <w:szCs w:val="20"/>
          <w:lang w:val="es-UY"/>
        </w:rPr>
        <w:t xml:space="preserve">aron </w:t>
      </w:r>
      <w:r w:rsidR="00B360ED" w:rsidRPr="00875FF9">
        <w:rPr>
          <w:rFonts w:asciiTheme="majorHAnsi" w:hAnsiTheme="majorHAnsi"/>
          <w:sz w:val="20"/>
          <w:szCs w:val="20"/>
          <w:lang w:val="es-UY"/>
        </w:rPr>
        <w:t>procedimiento</w:t>
      </w:r>
      <w:r w:rsidR="003669FB">
        <w:rPr>
          <w:rFonts w:asciiTheme="majorHAnsi" w:hAnsiTheme="majorHAnsi"/>
          <w:sz w:val="20"/>
          <w:szCs w:val="20"/>
          <w:lang w:val="es-UY"/>
        </w:rPr>
        <w:t>s</w:t>
      </w:r>
      <w:r w:rsidR="00B360ED" w:rsidRPr="00875FF9">
        <w:rPr>
          <w:rFonts w:asciiTheme="majorHAnsi" w:hAnsiTheme="majorHAnsi"/>
          <w:sz w:val="20"/>
          <w:szCs w:val="20"/>
          <w:lang w:val="es-UY"/>
        </w:rPr>
        <w:t xml:space="preserve"> administrativo</w:t>
      </w:r>
      <w:r w:rsidR="003669FB">
        <w:rPr>
          <w:rFonts w:asciiTheme="majorHAnsi" w:hAnsiTheme="majorHAnsi"/>
          <w:sz w:val="20"/>
          <w:szCs w:val="20"/>
          <w:lang w:val="es-UY"/>
        </w:rPr>
        <w:t>s</w:t>
      </w:r>
      <w:r w:rsidR="00B360ED" w:rsidRPr="00875FF9">
        <w:rPr>
          <w:rFonts w:asciiTheme="majorHAnsi" w:hAnsiTheme="majorHAnsi"/>
          <w:sz w:val="20"/>
          <w:szCs w:val="20"/>
          <w:lang w:val="es-UY"/>
        </w:rPr>
        <w:t xml:space="preserve"> en contra de tres agentes del Ministerio P</w:t>
      </w:r>
      <w:r w:rsidR="006C54F1" w:rsidRPr="00875FF9">
        <w:rPr>
          <w:rFonts w:asciiTheme="majorHAnsi" w:hAnsiTheme="majorHAnsi"/>
          <w:sz w:val="20"/>
          <w:szCs w:val="20"/>
          <w:lang w:val="es-UY"/>
        </w:rPr>
        <w:t>úblico</w:t>
      </w:r>
      <w:r w:rsidR="003669FB">
        <w:rPr>
          <w:rFonts w:asciiTheme="majorHAnsi" w:hAnsiTheme="majorHAnsi"/>
          <w:sz w:val="20"/>
          <w:szCs w:val="20"/>
          <w:lang w:val="es-UY"/>
        </w:rPr>
        <w:t xml:space="preserve"> y del Subprocurador</w:t>
      </w:r>
      <w:r w:rsidR="009B14C6" w:rsidRPr="00875FF9">
        <w:rPr>
          <w:rFonts w:asciiTheme="majorHAnsi" w:hAnsiTheme="majorHAnsi"/>
          <w:sz w:val="20"/>
          <w:szCs w:val="20"/>
          <w:lang w:val="es-UY"/>
        </w:rPr>
        <w:t>. No obstante</w:t>
      </w:r>
      <w:r w:rsidR="00554A5F">
        <w:rPr>
          <w:rFonts w:asciiTheme="majorHAnsi" w:hAnsiTheme="majorHAnsi"/>
          <w:sz w:val="20"/>
          <w:szCs w:val="20"/>
          <w:lang w:val="es-UY"/>
        </w:rPr>
        <w:t>,</w:t>
      </w:r>
      <w:r w:rsidR="00554A5F" w:rsidRPr="00554A5F">
        <w:rPr>
          <w:rFonts w:asciiTheme="majorHAnsi" w:hAnsiTheme="majorHAnsi"/>
          <w:sz w:val="20"/>
          <w:szCs w:val="20"/>
          <w:lang w:val="es-UY"/>
        </w:rPr>
        <w:t xml:space="preserve"> </w:t>
      </w:r>
      <w:r w:rsidR="00554A5F" w:rsidRPr="00875FF9">
        <w:rPr>
          <w:rFonts w:asciiTheme="majorHAnsi" w:hAnsiTheme="majorHAnsi"/>
          <w:sz w:val="20"/>
          <w:szCs w:val="20"/>
          <w:lang w:val="es-UY"/>
        </w:rPr>
        <w:t>el 28 de agosto de 2003</w:t>
      </w:r>
      <w:r w:rsidR="00554A5F">
        <w:rPr>
          <w:rFonts w:asciiTheme="majorHAnsi" w:hAnsiTheme="majorHAnsi"/>
          <w:sz w:val="20"/>
          <w:szCs w:val="20"/>
          <w:lang w:val="es-UY"/>
        </w:rPr>
        <w:t xml:space="preserve"> </w:t>
      </w:r>
      <w:r w:rsidR="00F2709B" w:rsidRPr="00875FF9">
        <w:rPr>
          <w:rFonts w:asciiTheme="majorHAnsi" w:hAnsiTheme="majorHAnsi"/>
          <w:sz w:val="20"/>
          <w:szCs w:val="20"/>
          <w:lang w:val="es-UY"/>
        </w:rPr>
        <w:t>el Procurador General de Justicia de Nayarit</w:t>
      </w:r>
      <w:r w:rsidR="009B14C6" w:rsidRPr="00875FF9">
        <w:rPr>
          <w:rFonts w:asciiTheme="majorHAnsi" w:hAnsiTheme="majorHAnsi"/>
          <w:sz w:val="20"/>
          <w:szCs w:val="20"/>
          <w:lang w:val="es-UY"/>
        </w:rPr>
        <w:t xml:space="preserve"> </w:t>
      </w:r>
      <w:r w:rsidRPr="00875FF9">
        <w:rPr>
          <w:rFonts w:asciiTheme="majorHAnsi" w:hAnsiTheme="majorHAnsi"/>
          <w:sz w:val="20"/>
          <w:szCs w:val="20"/>
          <w:lang w:val="es-UY"/>
        </w:rPr>
        <w:t>determinó</w:t>
      </w:r>
      <w:r w:rsidR="00554A5F">
        <w:rPr>
          <w:rFonts w:asciiTheme="majorHAnsi" w:hAnsiTheme="majorHAnsi"/>
          <w:sz w:val="20"/>
          <w:szCs w:val="20"/>
          <w:lang w:val="es-UY"/>
        </w:rPr>
        <w:t xml:space="preserve"> que los acusados no tenían </w:t>
      </w:r>
      <w:r w:rsidRPr="00875FF9">
        <w:rPr>
          <w:rFonts w:asciiTheme="majorHAnsi" w:hAnsiTheme="majorHAnsi"/>
          <w:sz w:val="20"/>
          <w:szCs w:val="20"/>
          <w:lang w:val="es-UY"/>
        </w:rPr>
        <w:t>responsabilidad</w:t>
      </w:r>
      <w:r w:rsidR="00554A5F">
        <w:rPr>
          <w:rFonts w:asciiTheme="majorHAnsi" w:hAnsiTheme="majorHAnsi"/>
          <w:sz w:val="20"/>
          <w:szCs w:val="20"/>
          <w:lang w:val="es-UY"/>
        </w:rPr>
        <w:t xml:space="preserve"> administrativa</w:t>
      </w:r>
      <w:r w:rsidR="009B14C6" w:rsidRPr="00875FF9">
        <w:rPr>
          <w:rFonts w:asciiTheme="majorHAnsi" w:hAnsiTheme="majorHAnsi"/>
          <w:sz w:val="20"/>
          <w:szCs w:val="20"/>
          <w:lang w:val="es-UY"/>
        </w:rPr>
        <w:t>.</w:t>
      </w:r>
      <w:r w:rsidR="00E51F4A">
        <w:rPr>
          <w:rFonts w:asciiTheme="majorHAnsi" w:hAnsiTheme="majorHAnsi"/>
          <w:sz w:val="20"/>
          <w:szCs w:val="20"/>
          <w:lang w:val="es-UY"/>
        </w:rPr>
        <w:t xml:space="preserve"> </w:t>
      </w:r>
      <w:r w:rsidR="00E51F4A" w:rsidRPr="00E51F4A">
        <w:rPr>
          <w:rFonts w:asciiTheme="majorHAnsi" w:hAnsiTheme="majorHAnsi"/>
          <w:sz w:val="20"/>
          <w:szCs w:val="20"/>
          <w:lang w:val="es-UY"/>
        </w:rPr>
        <w:t>Posteriormente,</w:t>
      </w:r>
      <w:r w:rsidR="00E51F4A">
        <w:rPr>
          <w:rFonts w:asciiTheme="majorHAnsi" w:hAnsiTheme="majorHAnsi"/>
          <w:sz w:val="20"/>
          <w:szCs w:val="20"/>
          <w:lang w:val="es-UY"/>
        </w:rPr>
        <w:t xml:space="preserve"> los peticionarios presentaron una</w:t>
      </w:r>
      <w:r w:rsidR="00E51F4A" w:rsidRPr="00E51F4A">
        <w:rPr>
          <w:rFonts w:asciiTheme="majorHAnsi" w:hAnsiTheme="majorHAnsi"/>
          <w:sz w:val="20"/>
          <w:szCs w:val="20"/>
          <w:lang w:val="es-UY"/>
        </w:rPr>
        <w:t xml:space="preserve"> demanda contenciosa a</w:t>
      </w:r>
      <w:r w:rsidR="003971D5" w:rsidRPr="00E51F4A">
        <w:rPr>
          <w:rFonts w:asciiTheme="majorHAnsi" w:hAnsiTheme="majorHAnsi"/>
          <w:sz w:val="20"/>
          <w:szCs w:val="20"/>
          <w:lang w:val="es-UY"/>
        </w:rPr>
        <w:t>dministrativ</w:t>
      </w:r>
      <w:r w:rsidR="00E51F4A" w:rsidRPr="00E51F4A">
        <w:rPr>
          <w:rFonts w:asciiTheme="majorHAnsi" w:hAnsiTheme="majorHAnsi"/>
          <w:sz w:val="20"/>
          <w:szCs w:val="20"/>
          <w:lang w:val="es-UY"/>
        </w:rPr>
        <w:t>a</w:t>
      </w:r>
      <w:r w:rsidR="003971D5" w:rsidRPr="00E51F4A">
        <w:rPr>
          <w:rFonts w:asciiTheme="majorHAnsi" w:hAnsiTheme="majorHAnsi"/>
          <w:sz w:val="20"/>
          <w:szCs w:val="20"/>
          <w:lang w:val="es-UY"/>
        </w:rPr>
        <w:t xml:space="preserve"> </w:t>
      </w:r>
      <w:r w:rsidR="00E51F4A">
        <w:rPr>
          <w:rFonts w:asciiTheme="majorHAnsi" w:hAnsiTheme="majorHAnsi"/>
          <w:sz w:val="20"/>
          <w:szCs w:val="20"/>
          <w:lang w:val="es-UY"/>
        </w:rPr>
        <w:t xml:space="preserve">que fue desestimada por </w:t>
      </w:r>
      <w:r w:rsidR="003971D5" w:rsidRPr="00E51F4A">
        <w:rPr>
          <w:rFonts w:asciiTheme="majorHAnsi" w:hAnsiTheme="majorHAnsi"/>
          <w:sz w:val="20"/>
          <w:szCs w:val="20"/>
          <w:lang w:val="es-UY"/>
        </w:rPr>
        <w:t xml:space="preserve">el Tribunal de Justicia Administrativa </w:t>
      </w:r>
      <w:r w:rsidR="009B14C6" w:rsidRPr="00E51F4A">
        <w:rPr>
          <w:rFonts w:asciiTheme="majorHAnsi" w:hAnsiTheme="majorHAnsi"/>
          <w:sz w:val="20"/>
          <w:szCs w:val="20"/>
          <w:lang w:val="es-UY"/>
        </w:rPr>
        <w:t xml:space="preserve">el 10 </w:t>
      </w:r>
      <w:r w:rsidR="00F2709B" w:rsidRPr="00E51F4A">
        <w:rPr>
          <w:rFonts w:asciiTheme="majorHAnsi" w:hAnsiTheme="majorHAnsi"/>
          <w:sz w:val="20"/>
          <w:szCs w:val="20"/>
          <w:lang w:val="es-UY"/>
        </w:rPr>
        <w:t>de octubre de 2003</w:t>
      </w:r>
      <w:r w:rsidR="00E51F4A">
        <w:rPr>
          <w:rFonts w:asciiTheme="majorHAnsi" w:hAnsiTheme="majorHAnsi"/>
          <w:sz w:val="20"/>
          <w:szCs w:val="20"/>
          <w:lang w:val="es-UY"/>
        </w:rPr>
        <w:t xml:space="preserve">; </w:t>
      </w:r>
      <w:r w:rsidR="009B14C6" w:rsidRPr="00E51F4A">
        <w:rPr>
          <w:rFonts w:asciiTheme="majorHAnsi" w:hAnsiTheme="majorHAnsi"/>
          <w:sz w:val="20"/>
          <w:szCs w:val="20"/>
          <w:lang w:val="es-UY"/>
        </w:rPr>
        <w:t>un recurso de reconside</w:t>
      </w:r>
      <w:r w:rsidR="00671F7D">
        <w:rPr>
          <w:rFonts w:asciiTheme="majorHAnsi" w:hAnsiTheme="majorHAnsi"/>
          <w:sz w:val="20"/>
          <w:szCs w:val="20"/>
          <w:lang w:val="es-UY"/>
        </w:rPr>
        <w:t xml:space="preserve">ración que </w:t>
      </w:r>
      <w:r w:rsidR="00066775" w:rsidRPr="00E51F4A">
        <w:rPr>
          <w:rFonts w:asciiTheme="majorHAnsi" w:hAnsiTheme="majorHAnsi"/>
          <w:sz w:val="20"/>
          <w:szCs w:val="20"/>
          <w:lang w:val="es-UY"/>
        </w:rPr>
        <w:t>confirmó</w:t>
      </w:r>
      <w:r w:rsidR="009B14C6" w:rsidRPr="00E51F4A">
        <w:rPr>
          <w:rFonts w:asciiTheme="majorHAnsi" w:hAnsiTheme="majorHAnsi"/>
          <w:sz w:val="20"/>
          <w:szCs w:val="20"/>
          <w:lang w:val="es-UY"/>
        </w:rPr>
        <w:t xml:space="preserve"> </w:t>
      </w:r>
      <w:r w:rsidR="00671F7D">
        <w:rPr>
          <w:rFonts w:asciiTheme="majorHAnsi" w:hAnsiTheme="majorHAnsi"/>
          <w:sz w:val="20"/>
          <w:szCs w:val="20"/>
          <w:lang w:val="es-UY"/>
        </w:rPr>
        <w:t>tal</w:t>
      </w:r>
      <w:r w:rsidR="009B14C6" w:rsidRPr="00E51F4A">
        <w:rPr>
          <w:rFonts w:asciiTheme="majorHAnsi" w:hAnsiTheme="majorHAnsi"/>
          <w:sz w:val="20"/>
          <w:szCs w:val="20"/>
          <w:lang w:val="es-UY"/>
        </w:rPr>
        <w:t xml:space="preserve"> </w:t>
      </w:r>
      <w:r w:rsidR="00066775" w:rsidRPr="00E51F4A">
        <w:rPr>
          <w:rFonts w:asciiTheme="majorHAnsi" w:hAnsiTheme="majorHAnsi"/>
          <w:sz w:val="20"/>
          <w:szCs w:val="20"/>
          <w:lang w:val="es-UY"/>
        </w:rPr>
        <w:t>rechazo</w:t>
      </w:r>
      <w:r w:rsidR="00671F7D">
        <w:rPr>
          <w:rFonts w:asciiTheme="majorHAnsi" w:hAnsiTheme="majorHAnsi"/>
          <w:sz w:val="20"/>
          <w:szCs w:val="20"/>
          <w:lang w:val="es-UY"/>
        </w:rPr>
        <w:t xml:space="preserve"> y un recurso de amparo que fue concedido y que resolvió </w:t>
      </w:r>
      <w:r w:rsidR="009B14C6" w:rsidRPr="00E51F4A">
        <w:rPr>
          <w:rFonts w:asciiTheme="majorHAnsi" w:hAnsiTheme="majorHAnsi"/>
          <w:sz w:val="20"/>
          <w:szCs w:val="20"/>
          <w:lang w:val="es-UY"/>
        </w:rPr>
        <w:t xml:space="preserve">revocar </w:t>
      </w:r>
      <w:r w:rsidR="00EC19E3">
        <w:rPr>
          <w:rFonts w:asciiTheme="majorHAnsi" w:hAnsiTheme="majorHAnsi"/>
          <w:sz w:val="20"/>
          <w:szCs w:val="20"/>
          <w:lang w:val="es-UY"/>
        </w:rPr>
        <w:t xml:space="preserve">dicha </w:t>
      </w:r>
      <w:r w:rsidR="009B14C6" w:rsidRPr="00E51F4A">
        <w:rPr>
          <w:rFonts w:asciiTheme="majorHAnsi" w:hAnsiTheme="majorHAnsi"/>
          <w:sz w:val="20"/>
          <w:szCs w:val="20"/>
          <w:lang w:val="es-UY"/>
        </w:rPr>
        <w:t xml:space="preserve">sentencia </w:t>
      </w:r>
      <w:r w:rsidR="00EC19E3">
        <w:rPr>
          <w:rFonts w:asciiTheme="majorHAnsi" w:hAnsiTheme="majorHAnsi"/>
          <w:sz w:val="20"/>
          <w:szCs w:val="20"/>
          <w:lang w:val="es-UY"/>
        </w:rPr>
        <w:t>y dispuso emitir una nueva</w:t>
      </w:r>
      <w:r w:rsidR="009B14C6" w:rsidRPr="00E51F4A">
        <w:rPr>
          <w:rFonts w:asciiTheme="majorHAnsi" w:hAnsiTheme="majorHAnsi"/>
          <w:sz w:val="20"/>
          <w:szCs w:val="20"/>
          <w:lang w:val="es-UY"/>
        </w:rPr>
        <w:t xml:space="preserve">. </w:t>
      </w:r>
      <w:r w:rsidR="00CB3145" w:rsidRPr="00E51F4A">
        <w:rPr>
          <w:rFonts w:asciiTheme="majorHAnsi" w:hAnsiTheme="majorHAnsi"/>
          <w:sz w:val="20"/>
          <w:szCs w:val="20"/>
          <w:lang w:val="es-UY"/>
        </w:rPr>
        <w:t xml:space="preserve">Finalmente, </w:t>
      </w:r>
      <w:r w:rsidR="00EC19E3">
        <w:rPr>
          <w:rFonts w:asciiTheme="majorHAnsi" w:hAnsiTheme="majorHAnsi"/>
          <w:sz w:val="20"/>
          <w:szCs w:val="20"/>
          <w:lang w:val="es-UY"/>
        </w:rPr>
        <w:t>el</w:t>
      </w:r>
      <w:r w:rsidR="00E15A58" w:rsidRPr="00E51F4A">
        <w:rPr>
          <w:rFonts w:asciiTheme="majorHAnsi" w:hAnsiTheme="majorHAnsi"/>
          <w:sz w:val="20"/>
          <w:szCs w:val="20"/>
          <w:lang w:val="es-UY"/>
        </w:rPr>
        <w:t xml:space="preserve"> 11 de septiembre de 2009 </w:t>
      </w:r>
      <w:r w:rsidR="005D6127" w:rsidRPr="00E51F4A">
        <w:rPr>
          <w:rFonts w:asciiTheme="majorHAnsi" w:hAnsiTheme="majorHAnsi"/>
          <w:sz w:val="20"/>
          <w:szCs w:val="20"/>
          <w:lang w:val="es-UY"/>
        </w:rPr>
        <w:t>se orden</w:t>
      </w:r>
      <w:r w:rsidR="0023306D" w:rsidRPr="00E51F4A">
        <w:rPr>
          <w:rFonts w:asciiTheme="majorHAnsi" w:hAnsiTheme="majorHAnsi"/>
          <w:sz w:val="20"/>
          <w:szCs w:val="20"/>
          <w:lang w:val="es-UY"/>
        </w:rPr>
        <w:t>ó</w:t>
      </w:r>
      <w:r w:rsidR="005D6127" w:rsidRPr="00E51F4A">
        <w:rPr>
          <w:rFonts w:asciiTheme="majorHAnsi" w:hAnsiTheme="majorHAnsi"/>
          <w:sz w:val="20"/>
          <w:szCs w:val="20"/>
          <w:lang w:val="es-UY"/>
        </w:rPr>
        <w:t xml:space="preserve"> auto de formal prisión en contra de las autoridades responsables por los delitos de dilación e incumplimiento de la función </w:t>
      </w:r>
      <w:r w:rsidR="0023306D" w:rsidRPr="00E51F4A">
        <w:rPr>
          <w:rFonts w:asciiTheme="majorHAnsi" w:hAnsiTheme="majorHAnsi"/>
          <w:sz w:val="20"/>
          <w:szCs w:val="20"/>
          <w:lang w:val="es-UY"/>
        </w:rPr>
        <w:t xml:space="preserve"> pública en la procuración de</w:t>
      </w:r>
      <w:r w:rsidR="005D6127" w:rsidRPr="00E51F4A">
        <w:rPr>
          <w:rFonts w:asciiTheme="majorHAnsi" w:hAnsiTheme="majorHAnsi"/>
          <w:sz w:val="20"/>
          <w:szCs w:val="20"/>
          <w:lang w:val="es-UY"/>
        </w:rPr>
        <w:t xml:space="preserve"> justicia. </w:t>
      </w:r>
      <w:r w:rsidR="0023306D" w:rsidRPr="00E51F4A">
        <w:rPr>
          <w:rFonts w:asciiTheme="majorHAnsi" w:hAnsiTheme="majorHAnsi"/>
          <w:sz w:val="20"/>
          <w:szCs w:val="20"/>
          <w:lang w:val="es-UY"/>
        </w:rPr>
        <w:t xml:space="preserve">Este proceso, según </w:t>
      </w:r>
      <w:r w:rsidR="005D6127" w:rsidRPr="00E51F4A">
        <w:rPr>
          <w:rFonts w:asciiTheme="majorHAnsi" w:hAnsiTheme="majorHAnsi"/>
          <w:sz w:val="20"/>
          <w:szCs w:val="20"/>
          <w:lang w:val="es-UY"/>
        </w:rPr>
        <w:t>el Estado</w:t>
      </w:r>
      <w:r w:rsidR="00EC19E3">
        <w:rPr>
          <w:rFonts w:asciiTheme="majorHAnsi" w:hAnsiTheme="majorHAnsi"/>
          <w:sz w:val="20"/>
          <w:szCs w:val="20"/>
          <w:lang w:val="es-UY"/>
        </w:rPr>
        <w:t xml:space="preserve"> es</w:t>
      </w:r>
      <w:r w:rsidR="005D6127" w:rsidRPr="00E51F4A">
        <w:rPr>
          <w:rFonts w:asciiTheme="majorHAnsi" w:hAnsiTheme="majorHAnsi"/>
          <w:sz w:val="20"/>
          <w:szCs w:val="20"/>
          <w:lang w:val="es-UY"/>
        </w:rPr>
        <w:t xml:space="preserve"> independiente de los otros y no modifica en nada la sentencia </w:t>
      </w:r>
      <w:r w:rsidR="00EC19E3">
        <w:rPr>
          <w:rFonts w:asciiTheme="majorHAnsi" w:hAnsiTheme="majorHAnsi"/>
          <w:sz w:val="20"/>
          <w:szCs w:val="20"/>
          <w:lang w:val="es-UY"/>
        </w:rPr>
        <w:t>penal dictada contra la presunta víctima</w:t>
      </w:r>
      <w:r w:rsidR="004A2781" w:rsidRPr="00E51F4A">
        <w:rPr>
          <w:rFonts w:asciiTheme="majorHAnsi" w:hAnsiTheme="majorHAnsi"/>
          <w:sz w:val="20"/>
          <w:szCs w:val="20"/>
          <w:lang w:val="es-UY"/>
        </w:rPr>
        <w:t>.</w:t>
      </w:r>
    </w:p>
    <w:p w14:paraId="461A73B1" w14:textId="0DD84CCC" w:rsidR="00986BEA" w:rsidRPr="00875FF9" w:rsidRDefault="00986BEA" w:rsidP="00C51DEE">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lang w:val="es-UY"/>
        </w:rPr>
      </w:pPr>
      <w:r w:rsidRPr="00875FF9">
        <w:rPr>
          <w:rFonts w:asciiTheme="majorHAnsi" w:hAnsiTheme="majorHAnsi"/>
          <w:sz w:val="20"/>
          <w:szCs w:val="20"/>
          <w:lang w:val="es-UY"/>
        </w:rPr>
        <w:t xml:space="preserve">En conclusión, el Estado </w:t>
      </w:r>
      <w:r w:rsidR="00EC19E3">
        <w:rPr>
          <w:rFonts w:asciiTheme="majorHAnsi" w:hAnsiTheme="majorHAnsi"/>
          <w:sz w:val="20"/>
          <w:szCs w:val="20"/>
          <w:lang w:val="es-UY"/>
        </w:rPr>
        <w:t xml:space="preserve">solicita </w:t>
      </w:r>
      <w:r w:rsidR="004552D4">
        <w:rPr>
          <w:rFonts w:asciiTheme="majorHAnsi" w:hAnsiTheme="majorHAnsi"/>
          <w:sz w:val="20"/>
          <w:szCs w:val="20"/>
          <w:lang w:val="es-UY"/>
        </w:rPr>
        <w:t>se</w:t>
      </w:r>
      <w:r w:rsidR="00C51DEE" w:rsidRPr="00875FF9">
        <w:rPr>
          <w:rFonts w:asciiTheme="majorHAnsi" w:hAnsiTheme="majorHAnsi"/>
          <w:sz w:val="20"/>
          <w:szCs w:val="20"/>
          <w:lang w:val="es-UY"/>
        </w:rPr>
        <w:t xml:space="preserve"> declare inadmisible la presente petición</w:t>
      </w:r>
      <w:r w:rsidR="00EC19E3">
        <w:rPr>
          <w:rFonts w:asciiTheme="majorHAnsi" w:hAnsiTheme="majorHAnsi"/>
          <w:sz w:val="20"/>
          <w:szCs w:val="20"/>
          <w:lang w:val="es-UY"/>
        </w:rPr>
        <w:t xml:space="preserve"> toda vez que los hechos </w:t>
      </w:r>
      <w:r w:rsidR="004552D4">
        <w:rPr>
          <w:rFonts w:asciiTheme="majorHAnsi" w:hAnsiTheme="majorHAnsi"/>
          <w:sz w:val="20"/>
          <w:szCs w:val="20"/>
          <w:lang w:val="es-UY"/>
        </w:rPr>
        <w:t xml:space="preserve">denunciados </w:t>
      </w:r>
      <w:r w:rsidR="00EC19E3">
        <w:rPr>
          <w:rFonts w:asciiTheme="majorHAnsi" w:hAnsiTheme="majorHAnsi"/>
          <w:sz w:val="20"/>
          <w:szCs w:val="20"/>
          <w:lang w:val="es-UY"/>
        </w:rPr>
        <w:t>no caracterizan vulneraciones de d</w:t>
      </w:r>
      <w:r w:rsidR="00C51DEE" w:rsidRPr="00875FF9">
        <w:rPr>
          <w:rFonts w:asciiTheme="majorHAnsi" w:hAnsiTheme="majorHAnsi"/>
          <w:sz w:val="20"/>
          <w:szCs w:val="20"/>
          <w:lang w:val="es-UY"/>
        </w:rPr>
        <w:t>erechos h</w:t>
      </w:r>
      <w:r w:rsidR="004552D4">
        <w:rPr>
          <w:rFonts w:asciiTheme="majorHAnsi" w:hAnsiTheme="majorHAnsi"/>
          <w:sz w:val="20"/>
          <w:szCs w:val="20"/>
          <w:lang w:val="es-UY"/>
        </w:rPr>
        <w:t xml:space="preserve">umanos </w:t>
      </w:r>
      <w:r w:rsidR="00C51DEE" w:rsidRPr="00875FF9">
        <w:rPr>
          <w:rFonts w:asciiTheme="majorHAnsi" w:hAnsiTheme="majorHAnsi"/>
          <w:sz w:val="20"/>
          <w:szCs w:val="20"/>
          <w:lang w:val="es-UY"/>
        </w:rPr>
        <w:t>y</w:t>
      </w:r>
      <w:r w:rsidR="00FA5080" w:rsidRPr="00875FF9">
        <w:rPr>
          <w:rFonts w:asciiTheme="majorHAnsi" w:hAnsiTheme="majorHAnsi"/>
          <w:sz w:val="20"/>
          <w:szCs w:val="20"/>
          <w:lang w:val="es-UY"/>
        </w:rPr>
        <w:t xml:space="preserve"> </w:t>
      </w:r>
      <w:r w:rsidR="004552D4">
        <w:rPr>
          <w:rFonts w:asciiTheme="majorHAnsi" w:hAnsiTheme="majorHAnsi"/>
          <w:sz w:val="20"/>
          <w:szCs w:val="20"/>
          <w:lang w:val="es-UY"/>
        </w:rPr>
        <w:t xml:space="preserve">que se pretende que la Comisión actúe  como </w:t>
      </w:r>
      <w:r w:rsidR="00C51DEE" w:rsidRPr="00875FF9">
        <w:rPr>
          <w:rFonts w:asciiTheme="majorHAnsi" w:hAnsiTheme="majorHAnsi"/>
          <w:sz w:val="20"/>
          <w:szCs w:val="20"/>
          <w:lang w:val="es-UY"/>
        </w:rPr>
        <w:t>un tribunal de alzada</w:t>
      </w:r>
      <w:r w:rsidRPr="00875FF9">
        <w:rPr>
          <w:rFonts w:asciiTheme="majorHAnsi" w:hAnsiTheme="majorHAnsi"/>
          <w:sz w:val="20"/>
          <w:szCs w:val="20"/>
          <w:lang w:val="es-UY"/>
        </w:rPr>
        <w:t>.</w:t>
      </w:r>
    </w:p>
    <w:p w14:paraId="7FD51813" w14:textId="77777777" w:rsidR="00986BEA" w:rsidRPr="00875FF9" w:rsidRDefault="00986BEA" w:rsidP="00986BEA">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UY"/>
        </w:rPr>
      </w:pPr>
      <w:r w:rsidRPr="00875FF9">
        <w:rPr>
          <w:rFonts w:asciiTheme="majorHAnsi" w:hAnsiTheme="majorHAnsi"/>
          <w:b/>
          <w:bCs/>
          <w:sz w:val="20"/>
          <w:szCs w:val="20"/>
          <w:lang w:val="es-UY"/>
        </w:rPr>
        <w:t>IV.</w:t>
      </w:r>
      <w:r w:rsidRPr="00875FF9">
        <w:rPr>
          <w:rFonts w:asciiTheme="majorHAnsi" w:hAnsiTheme="majorHAnsi"/>
          <w:b/>
          <w:bCs/>
          <w:sz w:val="20"/>
          <w:szCs w:val="20"/>
          <w:lang w:val="es-UY"/>
        </w:rPr>
        <w:tab/>
        <w:t>ANÁLISIS SOBRE COMPETENCIA Y ADMISIBILIDAD</w:t>
      </w:r>
    </w:p>
    <w:p w14:paraId="2D099BBF" w14:textId="77777777" w:rsidR="00986BEA" w:rsidRPr="00875FF9" w:rsidRDefault="00986BEA" w:rsidP="00986BEA">
      <w:pPr>
        <w:pBdr>
          <w:top w:val="none" w:sz="0" w:space="0" w:color="auto"/>
          <w:left w:val="none" w:sz="0" w:space="0" w:color="auto"/>
          <w:bottom w:val="none" w:sz="0" w:space="0" w:color="auto"/>
          <w:right w:val="none" w:sz="0" w:space="0" w:color="auto"/>
          <w:bar w:val="none" w:sz="0" w:color="auto"/>
        </w:pBdr>
        <w:spacing w:after="240"/>
        <w:ind w:left="1440" w:hanging="720"/>
        <w:jc w:val="both"/>
        <w:rPr>
          <w:rFonts w:asciiTheme="majorHAnsi" w:hAnsiTheme="majorHAnsi"/>
          <w:sz w:val="20"/>
          <w:szCs w:val="20"/>
          <w:lang w:val="es-UY"/>
        </w:rPr>
      </w:pPr>
      <w:r w:rsidRPr="00875FF9">
        <w:rPr>
          <w:rFonts w:asciiTheme="majorHAnsi" w:hAnsiTheme="majorHAnsi"/>
          <w:b/>
          <w:bCs/>
          <w:sz w:val="20"/>
          <w:szCs w:val="20"/>
          <w:lang w:val="es-UY"/>
        </w:rPr>
        <w:t>A.</w:t>
      </w:r>
      <w:r w:rsidRPr="00875FF9">
        <w:rPr>
          <w:rFonts w:asciiTheme="majorHAnsi" w:hAnsiTheme="majorHAnsi"/>
          <w:b/>
          <w:bCs/>
          <w:sz w:val="20"/>
          <w:szCs w:val="20"/>
          <w:lang w:val="es-UY"/>
        </w:rPr>
        <w:tab/>
        <w:t xml:space="preserve">Competencia </w:t>
      </w:r>
    </w:p>
    <w:p w14:paraId="38A74E46" w14:textId="6E9471FE" w:rsidR="004552D4" w:rsidRPr="00772E2E" w:rsidRDefault="00986BEA" w:rsidP="00772E2E">
      <w:pPr>
        <w:pStyle w:val="BodyText"/>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eastAsia="SimSun" w:hAnsiTheme="majorHAnsi"/>
          <w:sz w:val="20"/>
          <w:szCs w:val="20"/>
          <w:lang w:val="es-UY"/>
        </w:rPr>
      </w:pPr>
      <w:r w:rsidRPr="00875FF9">
        <w:rPr>
          <w:rFonts w:asciiTheme="majorHAnsi" w:eastAsia="SimSun" w:hAnsiTheme="majorHAnsi"/>
          <w:sz w:val="20"/>
          <w:szCs w:val="20"/>
          <w:lang w:val="es-UY"/>
        </w:rPr>
        <w:t xml:space="preserve">El peticionario se encuentra facultado, en principio, por el artículo 44 de la Convención Americana para presentar peticiones ante la Comisión. La petición señala como presunta víctima a una persona individual, respecto de quien el Estado </w:t>
      </w:r>
      <w:r w:rsidR="004552D4" w:rsidRPr="000C4180">
        <w:rPr>
          <w:rFonts w:asciiTheme="majorHAnsi" w:eastAsia="SimSun" w:hAnsiTheme="majorHAnsi"/>
          <w:sz w:val="20"/>
          <w:szCs w:val="20"/>
          <w:lang w:val="es-ES"/>
        </w:rPr>
        <w:t>ha asumido el compromiso de respetar y garantizar los derechos consagrados en la Convención Americana</w:t>
      </w:r>
      <w:r w:rsidR="004552D4">
        <w:rPr>
          <w:rFonts w:asciiTheme="majorHAnsi" w:eastAsia="SimSun" w:hAnsiTheme="majorHAnsi"/>
          <w:sz w:val="20"/>
          <w:szCs w:val="20"/>
          <w:lang w:val="es-ES"/>
        </w:rPr>
        <w:t xml:space="preserve">, </w:t>
      </w:r>
      <w:r w:rsidR="004552D4">
        <w:rPr>
          <w:rFonts w:asciiTheme="majorHAnsi" w:eastAsia="SimSun" w:hAnsiTheme="majorHAnsi"/>
          <w:sz w:val="20"/>
          <w:szCs w:val="20"/>
          <w:lang w:val="es-UY"/>
        </w:rPr>
        <w:t>a partir de</w:t>
      </w:r>
      <w:r w:rsidRPr="00875FF9">
        <w:rPr>
          <w:rFonts w:asciiTheme="majorHAnsi" w:eastAsia="SimSun" w:hAnsiTheme="majorHAnsi"/>
          <w:sz w:val="20"/>
          <w:szCs w:val="20"/>
          <w:lang w:val="es-UY"/>
        </w:rPr>
        <w:t xml:space="preserve">l </w:t>
      </w:r>
      <w:r w:rsidR="00E50536" w:rsidRPr="00875FF9">
        <w:rPr>
          <w:rFonts w:asciiTheme="majorHAnsi" w:eastAsia="SimSun" w:hAnsiTheme="majorHAnsi"/>
          <w:sz w:val="20"/>
          <w:szCs w:val="20"/>
          <w:lang w:val="es-UY"/>
        </w:rPr>
        <w:t>24 de marzo de 1981</w:t>
      </w:r>
      <w:r w:rsidRPr="00875FF9">
        <w:rPr>
          <w:rFonts w:asciiTheme="majorHAnsi" w:eastAsia="SimSun" w:hAnsiTheme="majorHAnsi"/>
          <w:sz w:val="20"/>
          <w:szCs w:val="20"/>
          <w:lang w:val="es-UY"/>
        </w:rPr>
        <w:t xml:space="preserve">, fecha </w:t>
      </w:r>
      <w:r w:rsidR="004552D4">
        <w:rPr>
          <w:rFonts w:asciiTheme="majorHAnsi" w:eastAsia="SimSun" w:hAnsiTheme="majorHAnsi"/>
          <w:sz w:val="20"/>
          <w:szCs w:val="20"/>
          <w:lang w:val="es-UY"/>
        </w:rPr>
        <w:t>de</w:t>
      </w:r>
      <w:r w:rsidRPr="00875FF9">
        <w:rPr>
          <w:rFonts w:asciiTheme="majorHAnsi" w:eastAsia="SimSun" w:hAnsiTheme="majorHAnsi"/>
          <w:sz w:val="20"/>
          <w:szCs w:val="20"/>
          <w:lang w:val="es-UY"/>
        </w:rPr>
        <w:t xml:space="preserve"> depositó </w:t>
      </w:r>
      <w:r w:rsidR="00772E2E">
        <w:rPr>
          <w:rFonts w:asciiTheme="majorHAnsi" w:eastAsia="SimSun" w:hAnsiTheme="majorHAnsi"/>
          <w:sz w:val="20"/>
          <w:szCs w:val="20"/>
          <w:lang w:val="es-UY"/>
        </w:rPr>
        <w:t>del</w:t>
      </w:r>
      <w:r w:rsidRPr="00875FF9">
        <w:rPr>
          <w:rFonts w:asciiTheme="majorHAnsi" w:eastAsia="SimSun" w:hAnsiTheme="majorHAnsi"/>
          <w:sz w:val="20"/>
          <w:szCs w:val="20"/>
          <w:lang w:val="es-UY"/>
        </w:rPr>
        <w:t xml:space="preserve"> instrumento de ratificación</w:t>
      </w:r>
      <w:r w:rsidR="00772E2E">
        <w:rPr>
          <w:rFonts w:asciiTheme="majorHAnsi" w:eastAsia="SimSun" w:hAnsiTheme="majorHAnsi"/>
          <w:sz w:val="20"/>
          <w:szCs w:val="20"/>
          <w:lang w:val="es-UY"/>
        </w:rPr>
        <w:t xml:space="preserve"> de México; a</w:t>
      </w:r>
      <w:r w:rsidR="00E50536" w:rsidRPr="00875FF9">
        <w:rPr>
          <w:rFonts w:asciiTheme="majorHAnsi" w:eastAsia="SimSun" w:hAnsiTheme="majorHAnsi"/>
          <w:sz w:val="20"/>
          <w:szCs w:val="20"/>
          <w:lang w:val="es-UY"/>
        </w:rPr>
        <w:t xml:space="preserve">simismo, </w:t>
      </w:r>
      <w:r w:rsidR="00772E2E">
        <w:rPr>
          <w:rFonts w:asciiTheme="majorHAnsi" w:eastAsia="SimSun" w:hAnsiTheme="majorHAnsi"/>
          <w:sz w:val="20"/>
          <w:szCs w:val="20"/>
          <w:lang w:val="es-UY"/>
        </w:rPr>
        <w:t xml:space="preserve">el Estado </w:t>
      </w:r>
      <w:r w:rsidR="00E50536" w:rsidRPr="00875FF9">
        <w:rPr>
          <w:rFonts w:asciiTheme="majorHAnsi" w:eastAsia="SimSun" w:hAnsiTheme="majorHAnsi"/>
          <w:sz w:val="20"/>
          <w:szCs w:val="20"/>
          <w:lang w:val="es-UY"/>
        </w:rPr>
        <w:t xml:space="preserve">ratificó la Convención Interamericana para Prevenir y Sancionar la Tortura el 22 de junio de 1987. </w:t>
      </w:r>
      <w:r w:rsidRPr="00875FF9">
        <w:rPr>
          <w:rFonts w:asciiTheme="majorHAnsi" w:eastAsia="SimSun" w:hAnsiTheme="majorHAnsi"/>
          <w:sz w:val="20"/>
          <w:szCs w:val="20"/>
          <w:lang w:val="es-UY"/>
        </w:rPr>
        <w:t xml:space="preserve">Por lo tanto, la Comisión tiene competencia </w:t>
      </w:r>
      <w:r w:rsidRPr="00875FF9">
        <w:rPr>
          <w:rFonts w:asciiTheme="majorHAnsi" w:eastAsia="SimSun" w:hAnsiTheme="majorHAnsi"/>
          <w:i/>
          <w:sz w:val="20"/>
          <w:szCs w:val="20"/>
          <w:lang w:val="es-UY"/>
        </w:rPr>
        <w:t>ratione personae</w:t>
      </w:r>
      <w:r w:rsidRPr="00875FF9">
        <w:rPr>
          <w:rFonts w:asciiTheme="majorHAnsi" w:eastAsia="SimSun" w:hAnsiTheme="majorHAnsi"/>
          <w:sz w:val="20"/>
          <w:szCs w:val="20"/>
          <w:lang w:val="es-UY"/>
        </w:rPr>
        <w:t xml:space="preserve"> para examinar la petición. </w:t>
      </w:r>
      <w:r w:rsidR="00772E2E">
        <w:rPr>
          <w:rFonts w:asciiTheme="majorHAnsi" w:eastAsia="SimSun" w:hAnsiTheme="majorHAnsi"/>
          <w:sz w:val="20"/>
          <w:szCs w:val="20"/>
          <w:lang w:val="es-UY"/>
        </w:rPr>
        <w:t>Por otra parte,</w:t>
      </w:r>
      <w:r w:rsidRPr="00875FF9">
        <w:rPr>
          <w:rFonts w:asciiTheme="majorHAnsi" w:eastAsia="SimSun" w:hAnsiTheme="majorHAnsi"/>
          <w:sz w:val="20"/>
          <w:szCs w:val="20"/>
          <w:lang w:val="es-UY"/>
        </w:rPr>
        <w:t xml:space="preserve"> la Comisión tiene competencia </w:t>
      </w:r>
      <w:r w:rsidRPr="00875FF9">
        <w:rPr>
          <w:rFonts w:asciiTheme="majorHAnsi" w:eastAsia="SimSun" w:hAnsiTheme="majorHAnsi"/>
          <w:i/>
          <w:sz w:val="20"/>
          <w:szCs w:val="20"/>
          <w:lang w:val="es-UY"/>
        </w:rPr>
        <w:t>ratione loci</w:t>
      </w:r>
      <w:r w:rsidRPr="00875FF9">
        <w:rPr>
          <w:rFonts w:asciiTheme="majorHAnsi" w:eastAsia="SimSun" w:hAnsiTheme="majorHAnsi"/>
          <w:sz w:val="20"/>
          <w:szCs w:val="20"/>
          <w:lang w:val="es-UY"/>
        </w:rPr>
        <w:t xml:space="preserve"> para conocer la petición, por cuanto en ella se alegan violaciones de derechos protegidos en la Convención Americana que habrían tenido lugar dentro del territorio de </w:t>
      </w:r>
      <w:r w:rsidR="00E50536" w:rsidRPr="00875FF9">
        <w:rPr>
          <w:rFonts w:asciiTheme="majorHAnsi" w:eastAsia="SimSun" w:hAnsiTheme="majorHAnsi"/>
          <w:sz w:val="20"/>
          <w:szCs w:val="20"/>
          <w:lang w:val="es-UY"/>
        </w:rPr>
        <w:t>México</w:t>
      </w:r>
      <w:r w:rsidRPr="00875FF9">
        <w:rPr>
          <w:rFonts w:asciiTheme="majorHAnsi" w:eastAsia="SimSun" w:hAnsiTheme="majorHAnsi"/>
          <w:sz w:val="20"/>
          <w:szCs w:val="20"/>
          <w:lang w:val="es-UY"/>
        </w:rPr>
        <w:t xml:space="preserve">, Estado Parte </w:t>
      </w:r>
      <w:r w:rsidR="00772E2E">
        <w:rPr>
          <w:rFonts w:asciiTheme="majorHAnsi" w:eastAsia="SimSun" w:hAnsiTheme="majorHAnsi"/>
          <w:sz w:val="20"/>
          <w:szCs w:val="20"/>
          <w:lang w:val="es-UY"/>
        </w:rPr>
        <w:t>de</w:t>
      </w:r>
      <w:r w:rsidRPr="00875FF9">
        <w:rPr>
          <w:rFonts w:asciiTheme="majorHAnsi" w:eastAsia="SimSun" w:hAnsiTheme="majorHAnsi"/>
          <w:sz w:val="20"/>
          <w:szCs w:val="20"/>
          <w:lang w:val="es-UY"/>
        </w:rPr>
        <w:t xml:space="preserve"> dicho</w:t>
      </w:r>
      <w:r w:rsidR="00E50536" w:rsidRPr="00875FF9">
        <w:rPr>
          <w:rFonts w:asciiTheme="majorHAnsi" w:eastAsia="SimSun" w:hAnsiTheme="majorHAnsi"/>
          <w:sz w:val="20"/>
          <w:szCs w:val="20"/>
          <w:lang w:val="es-UY"/>
        </w:rPr>
        <w:t>s</w:t>
      </w:r>
      <w:r w:rsidRPr="00875FF9">
        <w:rPr>
          <w:rFonts w:asciiTheme="majorHAnsi" w:eastAsia="SimSun" w:hAnsiTheme="majorHAnsi"/>
          <w:sz w:val="20"/>
          <w:szCs w:val="20"/>
          <w:lang w:val="es-UY"/>
        </w:rPr>
        <w:t xml:space="preserve"> tratado</w:t>
      </w:r>
      <w:r w:rsidR="00E50536" w:rsidRPr="00875FF9">
        <w:rPr>
          <w:rFonts w:asciiTheme="majorHAnsi" w:eastAsia="SimSun" w:hAnsiTheme="majorHAnsi"/>
          <w:sz w:val="20"/>
          <w:szCs w:val="20"/>
          <w:lang w:val="es-UY"/>
        </w:rPr>
        <w:t>s</w:t>
      </w:r>
      <w:r w:rsidRPr="00875FF9">
        <w:rPr>
          <w:rFonts w:asciiTheme="majorHAnsi" w:eastAsia="SimSun" w:hAnsiTheme="majorHAnsi"/>
          <w:sz w:val="20"/>
          <w:szCs w:val="20"/>
          <w:lang w:val="es-UY"/>
        </w:rPr>
        <w:t>. </w:t>
      </w:r>
    </w:p>
    <w:p w14:paraId="37AF066B" w14:textId="77777777" w:rsidR="00986BEA" w:rsidRPr="00875FF9" w:rsidRDefault="00986BEA" w:rsidP="00986BEA">
      <w:pPr>
        <w:pStyle w:val="BodyText"/>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eastAsia="SimSun" w:hAnsiTheme="majorHAnsi"/>
          <w:sz w:val="20"/>
          <w:szCs w:val="20"/>
          <w:lang w:val="es-UY"/>
        </w:rPr>
      </w:pPr>
      <w:r w:rsidRPr="00875FF9">
        <w:rPr>
          <w:rFonts w:asciiTheme="majorHAnsi" w:eastAsia="SimSun" w:hAnsiTheme="majorHAnsi"/>
          <w:sz w:val="20"/>
          <w:szCs w:val="20"/>
          <w:lang w:val="es-UY"/>
        </w:rPr>
        <w:t xml:space="preserve">La Comisión tiene competencia </w:t>
      </w:r>
      <w:r w:rsidRPr="00875FF9">
        <w:rPr>
          <w:rFonts w:asciiTheme="majorHAnsi" w:eastAsia="SimSun" w:hAnsiTheme="majorHAnsi"/>
          <w:i/>
          <w:sz w:val="20"/>
          <w:szCs w:val="20"/>
          <w:lang w:val="es-UY"/>
        </w:rPr>
        <w:t>ratione temporis</w:t>
      </w:r>
      <w:r w:rsidRPr="00875FF9">
        <w:rPr>
          <w:rFonts w:asciiTheme="majorHAnsi" w:eastAsia="SimSun" w:hAnsiTheme="majorHAnsi"/>
          <w:sz w:val="20"/>
          <w:szCs w:val="20"/>
          <w:lang w:val="es-UY"/>
        </w:rPr>
        <w:t xml:space="preserve"> por cuanto la obligación de respetar y garantizar los derechos protegidos en la Convención Americana </w:t>
      </w:r>
      <w:r w:rsidR="00E50536" w:rsidRPr="00875FF9">
        <w:rPr>
          <w:rFonts w:asciiTheme="majorHAnsi" w:eastAsia="SimSun" w:hAnsiTheme="majorHAnsi"/>
          <w:sz w:val="20"/>
          <w:szCs w:val="20"/>
          <w:lang w:val="es-UY"/>
        </w:rPr>
        <w:t>y en la Convención Interamericana para Prevenir y Sancionar la Tortura, en</w:t>
      </w:r>
      <w:r w:rsidRPr="00875FF9">
        <w:rPr>
          <w:rFonts w:asciiTheme="majorHAnsi" w:eastAsia="SimSun" w:hAnsiTheme="majorHAnsi"/>
          <w:sz w:val="20"/>
          <w:szCs w:val="20"/>
          <w:lang w:val="es-UY"/>
        </w:rPr>
        <w:t xml:space="preserve"> vigor para el Estado en la fecha en que habrían ocurrido los hechos alegados en la petición. Finalmente, la Comisión tiene competencia </w:t>
      </w:r>
      <w:r w:rsidRPr="00875FF9">
        <w:rPr>
          <w:rFonts w:asciiTheme="majorHAnsi" w:eastAsia="SimSun" w:hAnsiTheme="majorHAnsi"/>
          <w:i/>
          <w:sz w:val="20"/>
          <w:szCs w:val="20"/>
          <w:lang w:val="es-UY"/>
        </w:rPr>
        <w:t>ratione materiae</w:t>
      </w:r>
      <w:r w:rsidRPr="00875FF9">
        <w:rPr>
          <w:rFonts w:asciiTheme="majorHAnsi" w:eastAsia="SimSun" w:hAnsiTheme="majorHAnsi"/>
          <w:sz w:val="20"/>
          <w:szCs w:val="20"/>
          <w:lang w:val="es-UY"/>
        </w:rPr>
        <w:t>, dado que en la petición se denuncian posibles violaciones a derechos humanos protegidos por la Convenci</w:t>
      </w:r>
      <w:r w:rsidR="00E50536" w:rsidRPr="00875FF9">
        <w:rPr>
          <w:rFonts w:asciiTheme="majorHAnsi" w:eastAsia="SimSun" w:hAnsiTheme="majorHAnsi"/>
          <w:sz w:val="20"/>
          <w:szCs w:val="20"/>
          <w:lang w:val="es-UY"/>
        </w:rPr>
        <w:t>ón Americana y la Convención Interamericana para Prevenir y Sancionar la Tortura.</w:t>
      </w:r>
    </w:p>
    <w:p w14:paraId="1209A6AD" w14:textId="77777777" w:rsidR="00481DDB" w:rsidRDefault="00481DDB">
      <w:pPr>
        <w:pBdr>
          <w:top w:val="none" w:sz="0" w:space="0" w:color="auto"/>
          <w:left w:val="none" w:sz="0" w:space="0" w:color="auto"/>
          <w:bottom w:val="none" w:sz="0" w:space="0" w:color="auto"/>
          <w:right w:val="none" w:sz="0" w:space="0" w:color="auto"/>
          <w:bar w:val="none" w:sz="0" w:color="auto"/>
        </w:pBdr>
        <w:rPr>
          <w:rFonts w:asciiTheme="majorHAnsi" w:hAnsiTheme="majorHAnsi"/>
          <w:b/>
          <w:bCs/>
          <w:sz w:val="20"/>
          <w:szCs w:val="20"/>
          <w:lang w:val="es-UY"/>
        </w:rPr>
      </w:pPr>
      <w:r>
        <w:rPr>
          <w:rFonts w:asciiTheme="majorHAnsi" w:hAnsiTheme="majorHAnsi"/>
          <w:b/>
          <w:bCs/>
          <w:sz w:val="20"/>
          <w:szCs w:val="20"/>
          <w:lang w:val="es-UY"/>
        </w:rPr>
        <w:br w:type="page"/>
      </w:r>
    </w:p>
    <w:p w14:paraId="50960FCF" w14:textId="0CEA4299" w:rsidR="00986BEA" w:rsidRPr="00875FF9" w:rsidRDefault="00986BEA" w:rsidP="00986BEA">
      <w:pPr>
        <w:numPr>
          <w:ilvl w:val="0"/>
          <w:numId w:val="57"/>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b/>
          <w:sz w:val="20"/>
          <w:szCs w:val="20"/>
          <w:lang w:val="es-UY"/>
        </w:rPr>
      </w:pPr>
      <w:r w:rsidRPr="00875FF9">
        <w:rPr>
          <w:rFonts w:asciiTheme="majorHAnsi" w:hAnsiTheme="majorHAnsi"/>
          <w:b/>
          <w:bCs/>
          <w:sz w:val="20"/>
          <w:szCs w:val="20"/>
          <w:lang w:val="es-UY"/>
        </w:rPr>
        <w:lastRenderedPageBreak/>
        <w:t xml:space="preserve">Requisitos de </w:t>
      </w:r>
      <w:r w:rsidRPr="00875FF9">
        <w:rPr>
          <w:rFonts w:asciiTheme="majorHAnsi" w:hAnsiTheme="majorHAnsi"/>
          <w:b/>
          <w:sz w:val="20"/>
          <w:szCs w:val="20"/>
          <w:lang w:val="es-UY"/>
        </w:rPr>
        <w:t>Admisibilidad</w:t>
      </w:r>
    </w:p>
    <w:p w14:paraId="27E96958" w14:textId="77777777" w:rsidR="00986BEA" w:rsidRPr="00875FF9" w:rsidRDefault="00986BEA" w:rsidP="00986BEA">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sz w:val="20"/>
          <w:szCs w:val="20"/>
          <w:lang w:val="es-UY"/>
        </w:rPr>
      </w:pPr>
      <w:r w:rsidRPr="00875FF9">
        <w:rPr>
          <w:rFonts w:asciiTheme="majorHAnsi" w:hAnsiTheme="majorHAnsi"/>
          <w:b/>
          <w:sz w:val="20"/>
          <w:szCs w:val="20"/>
          <w:lang w:val="es-UY"/>
        </w:rPr>
        <w:t>1.</w:t>
      </w:r>
      <w:r w:rsidRPr="00875FF9">
        <w:rPr>
          <w:rFonts w:asciiTheme="majorHAnsi" w:hAnsiTheme="majorHAnsi"/>
          <w:b/>
          <w:sz w:val="20"/>
          <w:szCs w:val="20"/>
          <w:lang w:val="es-UY"/>
        </w:rPr>
        <w:tab/>
        <w:t>Agotamiento de los recursos internos</w:t>
      </w:r>
    </w:p>
    <w:p w14:paraId="564DA009" w14:textId="625F917B" w:rsidR="00DF4D32" w:rsidRPr="00875FF9" w:rsidRDefault="00DF4D32" w:rsidP="00DF4D32">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PE"/>
        </w:rPr>
      </w:pPr>
      <w:r w:rsidRPr="00875FF9">
        <w:rPr>
          <w:rFonts w:asciiTheme="majorHAnsi" w:hAnsiTheme="majorHAnsi" w:cs="Arial"/>
          <w:sz w:val="20"/>
          <w:szCs w:val="20"/>
          <w:lang w:val="es-PE"/>
        </w:rPr>
        <w:t xml:space="preserve">El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tener la oportunidad de solucionarla antes de que sea conocida por una instancia internacional. </w:t>
      </w:r>
    </w:p>
    <w:p w14:paraId="2ECFEE19" w14:textId="2BC9ED37" w:rsidR="00DF4D32" w:rsidRPr="00482220" w:rsidRDefault="00482220" w:rsidP="00482220">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PE"/>
        </w:rPr>
      </w:pPr>
      <w:r w:rsidRPr="00482220">
        <w:rPr>
          <w:rFonts w:asciiTheme="majorHAnsi" w:hAnsiTheme="majorHAnsi" w:cs="Arial"/>
          <w:sz w:val="20"/>
          <w:szCs w:val="20"/>
          <w:lang w:val="es-PE"/>
        </w:rPr>
        <w:t xml:space="preserve">En vista de lo expresado por </w:t>
      </w:r>
      <w:r>
        <w:rPr>
          <w:rFonts w:asciiTheme="majorHAnsi" w:hAnsiTheme="majorHAnsi" w:cs="Arial"/>
          <w:sz w:val="20"/>
          <w:szCs w:val="20"/>
          <w:lang w:val="es-PE"/>
        </w:rPr>
        <w:t>las partes</w:t>
      </w:r>
      <w:r w:rsidRPr="00482220">
        <w:rPr>
          <w:rFonts w:asciiTheme="majorHAnsi" w:hAnsiTheme="majorHAnsi" w:cs="Arial"/>
          <w:sz w:val="20"/>
          <w:szCs w:val="20"/>
          <w:lang w:val="es-PE"/>
        </w:rPr>
        <w:t xml:space="preserve"> y según consta en el expediente, la Comisión considera que el objeto principal de la presente petición son las alegadas irregularidades en el proceso penal instaurado en contra la presunta víctima, así como en los alegados actos de tortura sufridos con la finalidad que se auto incriminara. </w:t>
      </w:r>
      <w:r>
        <w:rPr>
          <w:rFonts w:asciiTheme="majorHAnsi" w:hAnsiTheme="majorHAnsi" w:cs="Arial"/>
          <w:sz w:val="20"/>
          <w:szCs w:val="20"/>
          <w:lang w:val="es-PE"/>
        </w:rPr>
        <w:t xml:space="preserve">Al respecto, </w:t>
      </w:r>
      <w:r w:rsidRPr="00875FF9">
        <w:rPr>
          <w:rFonts w:asciiTheme="majorHAnsi" w:hAnsiTheme="majorHAnsi" w:cs="Arial"/>
          <w:sz w:val="20"/>
          <w:szCs w:val="20"/>
          <w:lang w:val="es-PE"/>
        </w:rPr>
        <w:t>los peticionarios señalan que los recursos no fueron eficaces ni en la investigación de los hechos de tortura denunciados, ni en la reparación de la violación a sus garantías judiciales en el proceso penal instruido en contra</w:t>
      </w:r>
      <w:r>
        <w:rPr>
          <w:rFonts w:asciiTheme="majorHAnsi" w:hAnsiTheme="majorHAnsi" w:cs="Arial"/>
          <w:sz w:val="20"/>
          <w:szCs w:val="20"/>
          <w:lang w:val="es-PE"/>
        </w:rPr>
        <w:t xml:space="preserve"> de la presunta víctima</w:t>
      </w:r>
      <w:r w:rsidRPr="00875FF9">
        <w:rPr>
          <w:rFonts w:asciiTheme="majorHAnsi" w:hAnsiTheme="majorHAnsi" w:cs="Arial"/>
          <w:sz w:val="20"/>
          <w:szCs w:val="20"/>
          <w:lang w:val="es-PE"/>
        </w:rPr>
        <w:t xml:space="preserve">, por lo que es aplicable la excepción establecida en el artículo 46.2.a de la Convención. </w:t>
      </w:r>
      <w:r>
        <w:rPr>
          <w:rFonts w:asciiTheme="majorHAnsi" w:hAnsiTheme="majorHAnsi" w:cs="Arial"/>
          <w:sz w:val="20"/>
          <w:szCs w:val="20"/>
          <w:lang w:val="es-PE"/>
        </w:rPr>
        <w:t>Por su parte,</w:t>
      </w:r>
      <w:r w:rsidR="00DF4D32" w:rsidRPr="00875FF9">
        <w:rPr>
          <w:rFonts w:asciiTheme="majorHAnsi" w:hAnsiTheme="majorHAnsi" w:cs="Arial"/>
          <w:sz w:val="20"/>
          <w:szCs w:val="20"/>
          <w:lang w:val="es-PE"/>
        </w:rPr>
        <w:t xml:space="preserve"> el Estado sostiene que el peticionario</w:t>
      </w:r>
      <w:r w:rsidR="007C2242" w:rsidRPr="00875FF9">
        <w:rPr>
          <w:rFonts w:asciiTheme="majorHAnsi" w:hAnsiTheme="majorHAnsi" w:cs="Arial"/>
          <w:sz w:val="20"/>
          <w:szCs w:val="20"/>
          <w:lang w:val="es-PE"/>
        </w:rPr>
        <w:t xml:space="preserve"> </w:t>
      </w:r>
      <w:r w:rsidR="005B2EA6" w:rsidRPr="00875FF9">
        <w:rPr>
          <w:rFonts w:asciiTheme="majorHAnsi" w:hAnsiTheme="majorHAnsi" w:cs="Arial"/>
          <w:sz w:val="20"/>
          <w:szCs w:val="20"/>
          <w:lang w:val="es-PE"/>
        </w:rPr>
        <w:t xml:space="preserve">frente a la sentencia condenatoria </w:t>
      </w:r>
      <w:r w:rsidR="00ED59BB" w:rsidRPr="00875FF9">
        <w:rPr>
          <w:rFonts w:asciiTheme="majorHAnsi" w:hAnsiTheme="majorHAnsi" w:cs="Arial"/>
          <w:sz w:val="20"/>
          <w:szCs w:val="20"/>
          <w:lang w:val="es-PE"/>
        </w:rPr>
        <w:t xml:space="preserve">de junio de 2000 </w:t>
      </w:r>
      <w:r w:rsidR="007C2242" w:rsidRPr="00875FF9">
        <w:rPr>
          <w:rFonts w:asciiTheme="majorHAnsi" w:hAnsiTheme="majorHAnsi" w:cs="Arial"/>
          <w:sz w:val="20"/>
          <w:szCs w:val="20"/>
          <w:lang w:val="es-PE"/>
        </w:rPr>
        <w:t>no agotó los recursos adecuados</w:t>
      </w:r>
      <w:r w:rsidR="005B2EA6" w:rsidRPr="00875FF9">
        <w:rPr>
          <w:rFonts w:asciiTheme="majorHAnsi" w:hAnsiTheme="majorHAnsi" w:cs="Arial"/>
          <w:sz w:val="20"/>
          <w:szCs w:val="20"/>
          <w:lang w:val="es-PE"/>
        </w:rPr>
        <w:t xml:space="preserve"> </w:t>
      </w:r>
      <w:r w:rsidR="009911F0" w:rsidRPr="00875FF9">
        <w:rPr>
          <w:rFonts w:asciiTheme="majorHAnsi" w:hAnsiTheme="majorHAnsi" w:cs="Arial"/>
          <w:sz w:val="20"/>
          <w:szCs w:val="20"/>
          <w:lang w:val="es-PE"/>
        </w:rPr>
        <w:t>disponibles</w:t>
      </w:r>
      <w:r w:rsidR="005B2EA6" w:rsidRPr="00875FF9">
        <w:rPr>
          <w:rFonts w:asciiTheme="majorHAnsi" w:hAnsiTheme="majorHAnsi" w:cs="Arial"/>
          <w:sz w:val="20"/>
          <w:szCs w:val="20"/>
          <w:lang w:val="es-PE"/>
        </w:rPr>
        <w:t xml:space="preserve"> a nivel interno, como el recurso de</w:t>
      </w:r>
      <w:r w:rsidR="00C67482" w:rsidRPr="00875FF9">
        <w:rPr>
          <w:rFonts w:asciiTheme="majorHAnsi" w:hAnsiTheme="majorHAnsi" w:cs="Arial"/>
          <w:sz w:val="20"/>
          <w:szCs w:val="20"/>
          <w:lang w:val="es-PE"/>
        </w:rPr>
        <w:t xml:space="preserve"> amparo y el recurso de revisión. Asimismo, considera que la sentencia</w:t>
      </w:r>
      <w:r w:rsidR="001A3280">
        <w:rPr>
          <w:rFonts w:asciiTheme="majorHAnsi" w:hAnsiTheme="majorHAnsi" w:cs="Arial"/>
          <w:sz w:val="20"/>
          <w:szCs w:val="20"/>
          <w:lang w:val="es-PE"/>
        </w:rPr>
        <w:t xml:space="preserve"> quedó</w:t>
      </w:r>
      <w:r w:rsidR="00C67482" w:rsidRPr="00875FF9">
        <w:rPr>
          <w:rFonts w:asciiTheme="majorHAnsi" w:hAnsiTheme="majorHAnsi" w:cs="Arial"/>
          <w:sz w:val="20"/>
          <w:szCs w:val="20"/>
          <w:lang w:val="es-PE"/>
        </w:rPr>
        <w:t xml:space="preserve"> firme en junio de 2000</w:t>
      </w:r>
      <w:r w:rsidR="00850150" w:rsidRPr="00875FF9">
        <w:rPr>
          <w:rFonts w:asciiTheme="majorHAnsi" w:hAnsiTheme="majorHAnsi" w:cs="Arial"/>
          <w:sz w:val="20"/>
          <w:szCs w:val="20"/>
          <w:lang w:val="es-PE"/>
        </w:rPr>
        <w:t>,</w:t>
      </w:r>
      <w:r w:rsidR="00C67482" w:rsidRPr="00875FF9">
        <w:rPr>
          <w:rFonts w:asciiTheme="majorHAnsi" w:hAnsiTheme="majorHAnsi" w:cs="Arial"/>
          <w:sz w:val="20"/>
          <w:szCs w:val="20"/>
          <w:lang w:val="es-PE"/>
        </w:rPr>
        <w:t xml:space="preserve"> </w:t>
      </w:r>
      <w:r w:rsidR="001A3280">
        <w:rPr>
          <w:rFonts w:asciiTheme="majorHAnsi" w:hAnsiTheme="majorHAnsi" w:cs="Arial"/>
          <w:sz w:val="20"/>
          <w:szCs w:val="20"/>
          <w:lang w:val="es-PE"/>
        </w:rPr>
        <w:t xml:space="preserve">por tanto </w:t>
      </w:r>
      <w:r w:rsidR="00C67482" w:rsidRPr="00875FF9">
        <w:rPr>
          <w:rFonts w:asciiTheme="majorHAnsi" w:hAnsiTheme="majorHAnsi" w:cs="Arial"/>
          <w:sz w:val="20"/>
          <w:szCs w:val="20"/>
          <w:lang w:val="es-PE"/>
        </w:rPr>
        <w:t>no cumple con el</w:t>
      </w:r>
      <w:r w:rsidR="003D2C3F" w:rsidRPr="00875FF9">
        <w:rPr>
          <w:rFonts w:asciiTheme="majorHAnsi" w:eastAsia="SimSun" w:hAnsiTheme="majorHAnsi"/>
          <w:sz w:val="20"/>
          <w:szCs w:val="20"/>
          <w:lang w:val="es-ES_tradnl"/>
        </w:rPr>
        <w:t xml:space="preserve"> plazo</w:t>
      </w:r>
      <w:r w:rsidR="00C67482" w:rsidRPr="00875FF9">
        <w:rPr>
          <w:rFonts w:asciiTheme="majorHAnsi" w:eastAsia="SimSun" w:hAnsiTheme="majorHAnsi"/>
          <w:sz w:val="20"/>
          <w:szCs w:val="20"/>
          <w:lang w:val="es-ES_tradnl"/>
        </w:rPr>
        <w:t xml:space="preserve"> de presentación </w:t>
      </w:r>
      <w:r w:rsidR="003D2C3F" w:rsidRPr="00875FF9">
        <w:rPr>
          <w:rFonts w:asciiTheme="majorHAnsi" w:eastAsia="SimSun" w:hAnsiTheme="majorHAnsi"/>
          <w:sz w:val="20"/>
          <w:szCs w:val="20"/>
          <w:lang w:val="es-ES_tradnl"/>
        </w:rPr>
        <w:t>previsto en la Convención</w:t>
      </w:r>
      <w:r w:rsidR="001A3280">
        <w:rPr>
          <w:rFonts w:asciiTheme="majorHAnsi" w:eastAsia="SimSun" w:hAnsiTheme="majorHAnsi"/>
          <w:sz w:val="20"/>
          <w:szCs w:val="20"/>
          <w:lang w:val="es-ES_tradnl"/>
        </w:rPr>
        <w:t>.</w:t>
      </w:r>
      <w:r w:rsidR="00DF4D32" w:rsidRPr="00875FF9">
        <w:rPr>
          <w:rFonts w:asciiTheme="majorHAnsi" w:hAnsiTheme="majorHAnsi" w:cs="Arial"/>
          <w:sz w:val="20"/>
          <w:szCs w:val="20"/>
          <w:lang w:val="es-PE"/>
        </w:rPr>
        <w:t xml:space="preserve"> </w:t>
      </w:r>
    </w:p>
    <w:p w14:paraId="29E4C11C" w14:textId="634ABE8B" w:rsidR="004B125A" w:rsidRPr="00875FF9" w:rsidRDefault="004B763E" w:rsidP="0087081B">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PE"/>
        </w:rPr>
      </w:pPr>
      <w:r>
        <w:rPr>
          <w:rFonts w:asciiTheme="majorHAnsi" w:hAnsiTheme="majorHAnsi" w:cs="Arial"/>
          <w:sz w:val="20"/>
          <w:szCs w:val="20"/>
          <w:lang w:val="es-PE"/>
        </w:rPr>
        <w:t xml:space="preserve">Con respecto </w:t>
      </w:r>
      <w:r w:rsidR="00A334E8" w:rsidRPr="00875FF9">
        <w:rPr>
          <w:rFonts w:asciiTheme="majorHAnsi" w:hAnsiTheme="majorHAnsi" w:cs="Arial"/>
          <w:sz w:val="20"/>
          <w:szCs w:val="20"/>
          <w:lang w:val="es-PE"/>
        </w:rPr>
        <w:t>al proceso penal seguido en contra la presunta v</w:t>
      </w:r>
      <w:r w:rsidR="003B5B1C" w:rsidRPr="00875FF9">
        <w:rPr>
          <w:rFonts w:asciiTheme="majorHAnsi" w:hAnsiTheme="majorHAnsi" w:cs="Arial"/>
          <w:sz w:val="20"/>
          <w:szCs w:val="20"/>
          <w:lang w:val="es-PE"/>
        </w:rPr>
        <w:t>íctima</w:t>
      </w:r>
      <w:r w:rsidR="008635B6" w:rsidRPr="00875FF9">
        <w:rPr>
          <w:rFonts w:asciiTheme="majorHAnsi" w:hAnsiTheme="majorHAnsi" w:cs="Arial"/>
          <w:sz w:val="20"/>
          <w:szCs w:val="20"/>
          <w:lang w:val="es-PE"/>
        </w:rPr>
        <w:t>,</w:t>
      </w:r>
      <w:r w:rsidR="003B5B1C" w:rsidRPr="00875FF9">
        <w:rPr>
          <w:rFonts w:asciiTheme="majorHAnsi" w:hAnsiTheme="majorHAnsi" w:cs="Arial"/>
          <w:sz w:val="20"/>
          <w:szCs w:val="20"/>
          <w:lang w:val="es-PE"/>
        </w:rPr>
        <w:t xml:space="preserve"> la Comisión</w:t>
      </w:r>
      <w:r w:rsidR="00956A07" w:rsidRPr="00875FF9">
        <w:rPr>
          <w:rFonts w:asciiTheme="majorHAnsi" w:hAnsiTheme="majorHAnsi" w:cs="Arial"/>
          <w:sz w:val="20"/>
          <w:szCs w:val="20"/>
          <w:lang w:val="es-PE"/>
        </w:rPr>
        <w:t xml:space="preserve"> observa que </w:t>
      </w:r>
      <w:r w:rsidR="00EB0A22">
        <w:rPr>
          <w:rFonts w:asciiTheme="majorHAnsi" w:hAnsiTheme="majorHAnsi" w:cs="Arial"/>
          <w:sz w:val="20"/>
          <w:szCs w:val="20"/>
          <w:lang w:val="es-PE"/>
        </w:rPr>
        <w:t xml:space="preserve">fueron presentados </w:t>
      </w:r>
      <w:r>
        <w:rPr>
          <w:rFonts w:asciiTheme="majorHAnsi" w:hAnsiTheme="majorHAnsi" w:cs="Arial"/>
          <w:sz w:val="20"/>
          <w:szCs w:val="20"/>
          <w:lang w:val="es-PE"/>
        </w:rPr>
        <w:t>múltiples</w:t>
      </w:r>
      <w:r w:rsidR="00A334E8" w:rsidRPr="00875FF9">
        <w:rPr>
          <w:rFonts w:asciiTheme="majorHAnsi" w:hAnsiTheme="majorHAnsi" w:cs="Arial"/>
          <w:sz w:val="20"/>
          <w:szCs w:val="20"/>
          <w:lang w:val="es-PE"/>
        </w:rPr>
        <w:t xml:space="preserve"> recursos ordinarios</w:t>
      </w:r>
      <w:r w:rsidR="008635B6" w:rsidRPr="00875FF9">
        <w:rPr>
          <w:rFonts w:asciiTheme="majorHAnsi" w:hAnsiTheme="majorHAnsi" w:cs="Arial"/>
          <w:sz w:val="20"/>
          <w:szCs w:val="20"/>
          <w:lang w:val="es-PE"/>
        </w:rPr>
        <w:t xml:space="preserve"> y extraordinarios</w:t>
      </w:r>
      <w:r w:rsidR="00EB0A22">
        <w:rPr>
          <w:rFonts w:asciiTheme="majorHAnsi" w:hAnsiTheme="majorHAnsi" w:cs="Arial"/>
          <w:sz w:val="20"/>
          <w:szCs w:val="20"/>
          <w:lang w:val="es-PE"/>
        </w:rPr>
        <w:t xml:space="preserve"> </w:t>
      </w:r>
      <w:r>
        <w:rPr>
          <w:rFonts w:asciiTheme="majorHAnsi" w:hAnsiTheme="majorHAnsi" w:cs="Arial"/>
          <w:sz w:val="20"/>
          <w:szCs w:val="20"/>
          <w:lang w:val="es-PE"/>
        </w:rPr>
        <w:t xml:space="preserve">que </w:t>
      </w:r>
      <w:r w:rsidR="004B2FE1" w:rsidRPr="00875FF9">
        <w:rPr>
          <w:rFonts w:asciiTheme="majorHAnsi" w:hAnsiTheme="majorHAnsi" w:cs="Arial"/>
          <w:sz w:val="20"/>
          <w:szCs w:val="20"/>
          <w:lang w:val="es-PE"/>
        </w:rPr>
        <w:t>culminaron</w:t>
      </w:r>
      <w:r w:rsidR="00A334E8" w:rsidRPr="00875FF9">
        <w:rPr>
          <w:rFonts w:asciiTheme="majorHAnsi" w:hAnsiTheme="majorHAnsi" w:cs="Arial"/>
          <w:sz w:val="20"/>
          <w:szCs w:val="20"/>
          <w:lang w:val="es-PE"/>
        </w:rPr>
        <w:t xml:space="preserve"> con </w:t>
      </w:r>
      <w:r>
        <w:rPr>
          <w:rFonts w:asciiTheme="majorHAnsi" w:hAnsiTheme="majorHAnsi" w:cs="Arial"/>
          <w:sz w:val="20"/>
          <w:szCs w:val="20"/>
          <w:lang w:val="es-PE"/>
        </w:rPr>
        <w:t>la resolución</w:t>
      </w:r>
      <w:r w:rsidR="0094710D">
        <w:rPr>
          <w:rFonts w:asciiTheme="majorHAnsi" w:hAnsiTheme="majorHAnsi" w:cs="Arial"/>
          <w:sz w:val="20"/>
          <w:szCs w:val="20"/>
          <w:lang w:val="es-PE"/>
        </w:rPr>
        <w:t xml:space="preserve"> del recurso de revisión</w:t>
      </w:r>
      <w:r>
        <w:rPr>
          <w:rFonts w:asciiTheme="majorHAnsi" w:hAnsiTheme="majorHAnsi" w:cs="Arial"/>
          <w:sz w:val="20"/>
          <w:szCs w:val="20"/>
          <w:lang w:val="es-PE"/>
        </w:rPr>
        <w:t xml:space="preserve"> emitida por el Tribunal Colegiado del Vigésimo Cuarto Circuito </w:t>
      </w:r>
      <w:r w:rsidR="008970B9" w:rsidRPr="00875FF9">
        <w:rPr>
          <w:rFonts w:asciiTheme="majorHAnsi" w:hAnsiTheme="majorHAnsi" w:cs="Arial"/>
          <w:sz w:val="20"/>
          <w:szCs w:val="20"/>
          <w:lang w:val="es-PE"/>
        </w:rPr>
        <w:t>el 17 de</w:t>
      </w:r>
      <w:r w:rsidR="008635B6" w:rsidRPr="00875FF9">
        <w:rPr>
          <w:rFonts w:asciiTheme="majorHAnsi" w:hAnsiTheme="majorHAnsi" w:cs="Arial"/>
          <w:sz w:val="20"/>
          <w:szCs w:val="20"/>
          <w:lang w:val="es-PE"/>
        </w:rPr>
        <w:t xml:space="preserve"> abril de 2007</w:t>
      </w:r>
      <w:r w:rsidR="00661979" w:rsidRPr="00875FF9">
        <w:rPr>
          <w:rFonts w:asciiTheme="majorHAnsi" w:hAnsiTheme="majorHAnsi" w:cs="Arial"/>
          <w:sz w:val="20"/>
          <w:szCs w:val="20"/>
          <w:lang w:val="es-PE"/>
        </w:rPr>
        <w:t>. En este sentido</w:t>
      </w:r>
      <w:r w:rsidR="008635B6" w:rsidRPr="00875FF9">
        <w:rPr>
          <w:rFonts w:asciiTheme="majorHAnsi" w:hAnsiTheme="majorHAnsi" w:cs="Arial"/>
          <w:sz w:val="20"/>
          <w:szCs w:val="20"/>
          <w:lang w:val="es-PE"/>
        </w:rPr>
        <w:t>,</w:t>
      </w:r>
      <w:r w:rsidR="00661979" w:rsidRPr="00875FF9">
        <w:rPr>
          <w:rFonts w:asciiTheme="majorHAnsi" w:hAnsiTheme="majorHAnsi" w:cs="Arial"/>
          <w:sz w:val="20"/>
          <w:szCs w:val="20"/>
          <w:lang w:val="es-PE"/>
        </w:rPr>
        <w:t xml:space="preserve"> la CIDH considera que los peticionarios agotaron los recursos internos conforme el artículo 46.1.a</w:t>
      </w:r>
      <w:r w:rsidR="008635B6" w:rsidRPr="00875FF9">
        <w:rPr>
          <w:rFonts w:asciiTheme="majorHAnsi" w:hAnsiTheme="majorHAnsi" w:cs="Arial"/>
          <w:sz w:val="20"/>
          <w:szCs w:val="20"/>
          <w:lang w:val="es-PE"/>
        </w:rPr>
        <w:t xml:space="preserve"> de la Convención</w:t>
      </w:r>
      <w:r w:rsidR="00EB0A22">
        <w:rPr>
          <w:rFonts w:asciiTheme="majorHAnsi" w:hAnsiTheme="majorHAnsi" w:cs="Arial"/>
          <w:sz w:val="20"/>
          <w:szCs w:val="20"/>
          <w:lang w:val="es-PE"/>
        </w:rPr>
        <w:t xml:space="preserve"> Americana</w:t>
      </w:r>
      <w:r w:rsidR="00661979" w:rsidRPr="00875FF9">
        <w:rPr>
          <w:rFonts w:asciiTheme="majorHAnsi" w:hAnsiTheme="majorHAnsi" w:cs="Arial"/>
          <w:sz w:val="20"/>
          <w:szCs w:val="20"/>
          <w:lang w:val="es-PE"/>
        </w:rPr>
        <w:t xml:space="preserve">. </w:t>
      </w:r>
    </w:p>
    <w:p w14:paraId="121EF942" w14:textId="71B8948D" w:rsidR="00A473F7" w:rsidRDefault="00E41C86" w:rsidP="00A21F6E">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PE"/>
        </w:rPr>
      </w:pPr>
      <w:r>
        <w:rPr>
          <w:rFonts w:asciiTheme="majorHAnsi" w:hAnsiTheme="majorHAnsi" w:cs="Arial"/>
          <w:sz w:val="20"/>
          <w:szCs w:val="20"/>
          <w:lang w:val="es-PE"/>
        </w:rPr>
        <w:t>La Comisión sostiene que en</w:t>
      </w:r>
      <w:r w:rsidRPr="00875FF9">
        <w:rPr>
          <w:rFonts w:asciiTheme="majorHAnsi" w:hAnsiTheme="majorHAnsi" w:cs="Arial"/>
          <w:sz w:val="20"/>
          <w:szCs w:val="20"/>
          <w:lang w:val="es-PE"/>
        </w:rPr>
        <w:t xml:space="preserve"> los casos en los que se alega tortura, el cual es un delito penal procesable de oficio en México, el recurso adecuado y efectivo es normalmente una</w:t>
      </w:r>
      <w:r>
        <w:rPr>
          <w:rFonts w:asciiTheme="majorHAnsi" w:hAnsiTheme="majorHAnsi" w:cs="Arial"/>
          <w:sz w:val="20"/>
          <w:szCs w:val="20"/>
          <w:lang w:val="es-PE"/>
        </w:rPr>
        <w:t xml:space="preserve"> investigación y proceso penal </w:t>
      </w:r>
      <w:r w:rsidRPr="00875FF9">
        <w:rPr>
          <w:rFonts w:asciiTheme="majorHAnsi" w:hAnsiTheme="majorHAnsi" w:cs="Arial"/>
          <w:sz w:val="20"/>
          <w:szCs w:val="20"/>
          <w:lang w:val="es-PE"/>
        </w:rPr>
        <w:t>y que el Estado tiene la obligación de promover e impulsar los mismos. En tal sentido, en relación con los delitos perseguibles de oficio, la CIDH ha manifestado en reiteradas ocasiones que las autoridades deben realizar una investigación penal eficaz destinada a esclarecer los hechos y sancionar a los responsables</w:t>
      </w:r>
      <w:r w:rsidRPr="00875FF9">
        <w:rPr>
          <w:rStyle w:val="FootnoteReference"/>
          <w:rFonts w:asciiTheme="majorHAnsi" w:hAnsiTheme="majorHAnsi"/>
          <w:sz w:val="20"/>
          <w:szCs w:val="20"/>
          <w:lang w:val="es-PE"/>
        </w:rPr>
        <w:footnoteReference w:id="3"/>
      </w:r>
      <w:r w:rsidRPr="00875FF9">
        <w:rPr>
          <w:rFonts w:asciiTheme="majorHAnsi" w:hAnsiTheme="majorHAnsi" w:cs="Arial"/>
          <w:sz w:val="20"/>
          <w:szCs w:val="20"/>
          <w:lang w:val="es-PE"/>
        </w:rPr>
        <w:t xml:space="preserve">. </w:t>
      </w:r>
      <w:r>
        <w:rPr>
          <w:rFonts w:asciiTheme="majorHAnsi" w:hAnsiTheme="majorHAnsi" w:cs="Arial"/>
          <w:sz w:val="20"/>
          <w:szCs w:val="20"/>
          <w:lang w:val="es-PE"/>
        </w:rPr>
        <w:t xml:space="preserve">Según la información disponible, </w:t>
      </w:r>
      <w:r w:rsidR="002341F3" w:rsidRPr="00E41C86">
        <w:rPr>
          <w:rFonts w:asciiTheme="majorHAnsi" w:hAnsiTheme="majorHAnsi" w:cs="Arial"/>
          <w:sz w:val="20"/>
          <w:szCs w:val="20"/>
          <w:lang w:val="es-PE"/>
        </w:rPr>
        <w:t xml:space="preserve">los </w:t>
      </w:r>
      <w:r w:rsidR="00D7791F" w:rsidRPr="00E41C86">
        <w:rPr>
          <w:rFonts w:asciiTheme="majorHAnsi" w:hAnsiTheme="majorHAnsi" w:cs="Arial"/>
          <w:sz w:val="20"/>
          <w:szCs w:val="20"/>
          <w:lang w:val="es-PE"/>
        </w:rPr>
        <w:t xml:space="preserve">alegados </w:t>
      </w:r>
      <w:r w:rsidR="002341F3" w:rsidRPr="00E41C86">
        <w:rPr>
          <w:rFonts w:asciiTheme="majorHAnsi" w:hAnsiTheme="majorHAnsi" w:cs="Arial"/>
          <w:sz w:val="20"/>
          <w:szCs w:val="20"/>
          <w:lang w:val="es-PE"/>
        </w:rPr>
        <w:t>actos de tortura</w:t>
      </w:r>
      <w:r w:rsidR="0094710D" w:rsidRPr="00E41C86">
        <w:rPr>
          <w:rFonts w:asciiTheme="majorHAnsi" w:hAnsiTheme="majorHAnsi" w:cs="Arial"/>
          <w:sz w:val="20"/>
          <w:szCs w:val="20"/>
          <w:lang w:val="es-PE"/>
        </w:rPr>
        <w:t xml:space="preserve"> </w:t>
      </w:r>
      <w:r w:rsidR="00EB0A22" w:rsidRPr="00E41C86">
        <w:rPr>
          <w:rFonts w:asciiTheme="majorHAnsi" w:hAnsiTheme="majorHAnsi" w:cs="Arial"/>
          <w:sz w:val="20"/>
          <w:szCs w:val="20"/>
          <w:lang w:val="es-PE"/>
        </w:rPr>
        <w:t>cometidos</w:t>
      </w:r>
      <w:r w:rsidR="0094710D" w:rsidRPr="00E41C86">
        <w:rPr>
          <w:rFonts w:asciiTheme="majorHAnsi" w:hAnsiTheme="majorHAnsi" w:cs="Arial"/>
          <w:sz w:val="20"/>
          <w:szCs w:val="20"/>
          <w:lang w:val="es-PE"/>
        </w:rPr>
        <w:t xml:space="preserve"> contra de la presunta víctima</w:t>
      </w:r>
      <w:r w:rsidR="002341F3" w:rsidRPr="00E41C86">
        <w:rPr>
          <w:rFonts w:asciiTheme="majorHAnsi" w:hAnsiTheme="majorHAnsi" w:cs="Arial"/>
          <w:sz w:val="20"/>
          <w:szCs w:val="20"/>
          <w:lang w:val="es-PE"/>
        </w:rPr>
        <w:t xml:space="preserve">, </w:t>
      </w:r>
      <w:r w:rsidR="004B2FE1" w:rsidRPr="00E41C86">
        <w:rPr>
          <w:rFonts w:asciiTheme="majorHAnsi" w:hAnsiTheme="majorHAnsi" w:cs="Arial"/>
          <w:sz w:val="20"/>
          <w:szCs w:val="20"/>
          <w:lang w:val="es-PE"/>
        </w:rPr>
        <w:t xml:space="preserve">fueron puestos en </w:t>
      </w:r>
      <w:r w:rsidR="00F729C4" w:rsidRPr="00E41C86">
        <w:rPr>
          <w:rFonts w:asciiTheme="majorHAnsi" w:hAnsiTheme="majorHAnsi" w:cs="Arial"/>
          <w:sz w:val="20"/>
          <w:szCs w:val="20"/>
          <w:lang w:val="es-PE"/>
        </w:rPr>
        <w:t xml:space="preserve">conocimiento de las </w:t>
      </w:r>
      <w:r w:rsidR="002341F3" w:rsidRPr="00E41C86">
        <w:rPr>
          <w:rFonts w:asciiTheme="majorHAnsi" w:hAnsiTheme="majorHAnsi" w:cs="Arial"/>
          <w:sz w:val="20"/>
          <w:szCs w:val="20"/>
          <w:lang w:val="es-PE"/>
        </w:rPr>
        <w:t>autoridades en los siguientes momentos:</w:t>
      </w:r>
      <w:r w:rsidR="00EB0A22" w:rsidRPr="00E41C86">
        <w:rPr>
          <w:rFonts w:asciiTheme="majorHAnsi" w:hAnsiTheme="majorHAnsi" w:cs="Arial"/>
          <w:sz w:val="20"/>
          <w:szCs w:val="20"/>
          <w:lang w:val="es-PE"/>
        </w:rPr>
        <w:t xml:space="preserve"> a) </w:t>
      </w:r>
      <w:r w:rsidR="002341F3" w:rsidRPr="00E41C86">
        <w:rPr>
          <w:rFonts w:asciiTheme="majorHAnsi" w:hAnsiTheme="majorHAnsi" w:cs="Arial"/>
          <w:sz w:val="20"/>
          <w:szCs w:val="20"/>
          <w:lang w:val="es-PE"/>
        </w:rPr>
        <w:t>al presentar su declaración prepa</w:t>
      </w:r>
      <w:r w:rsidR="00A21F6E">
        <w:rPr>
          <w:rFonts w:asciiTheme="majorHAnsi" w:hAnsiTheme="majorHAnsi" w:cs="Arial"/>
          <w:sz w:val="20"/>
          <w:szCs w:val="20"/>
          <w:lang w:val="es-PE"/>
        </w:rPr>
        <w:t>ratoria el 4 de febrero de 1997;</w:t>
      </w:r>
      <w:r w:rsidR="002341F3" w:rsidRPr="00E41C86">
        <w:rPr>
          <w:rFonts w:asciiTheme="majorHAnsi" w:hAnsiTheme="majorHAnsi" w:cs="Arial"/>
          <w:sz w:val="20"/>
          <w:szCs w:val="20"/>
          <w:lang w:val="es-PE"/>
        </w:rPr>
        <w:t xml:space="preserve"> </w:t>
      </w:r>
      <w:r w:rsidR="00EB0A22" w:rsidRPr="00E41C86">
        <w:rPr>
          <w:rFonts w:asciiTheme="majorHAnsi" w:hAnsiTheme="majorHAnsi" w:cs="Arial"/>
          <w:sz w:val="20"/>
          <w:szCs w:val="20"/>
          <w:lang w:val="es-PE"/>
        </w:rPr>
        <w:t xml:space="preserve">b) </w:t>
      </w:r>
      <w:r w:rsidR="002341F3" w:rsidRPr="00E41C86">
        <w:rPr>
          <w:rFonts w:asciiTheme="majorHAnsi" w:hAnsiTheme="majorHAnsi" w:cs="Arial"/>
          <w:sz w:val="20"/>
          <w:szCs w:val="20"/>
          <w:lang w:val="es-PE"/>
        </w:rPr>
        <w:t xml:space="preserve">mediante escrito </w:t>
      </w:r>
      <w:r w:rsidR="004B2FE1" w:rsidRPr="00E41C86">
        <w:rPr>
          <w:rFonts w:asciiTheme="majorHAnsi" w:hAnsiTheme="majorHAnsi" w:cs="Arial"/>
          <w:sz w:val="20"/>
          <w:szCs w:val="20"/>
          <w:lang w:val="es-PE"/>
        </w:rPr>
        <w:t>al</w:t>
      </w:r>
      <w:r w:rsidR="002341F3" w:rsidRPr="00E41C86">
        <w:rPr>
          <w:rFonts w:asciiTheme="majorHAnsi" w:hAnsiTheme="majorHAnsi" w:cs="Arial"/>
          <w:sz w:val="20"/>
          <w:szCs w:val="20"/>
          <w:lang w:val="es-PE"/>
        </w:rPr>
        <w:t xml:space="preserve"> Gobernador Constitucional del estado de N</w:t>
      </w:r>
      <w:r w:rsidR="00A21F6E">
        <w:rPr>
          <w:rFonts w:asciiTheme="majorHAnsi" w:hAnsiTheme="majorHAnsi" w:cs="Arial"/>
          <w:sz w:val="20"/>
          <w:szCs w:val="20"/>
          <w:lang w:val="es-PE"/>
        </w:rPr>
        <w:t>ayarit el 14 de febrero de 2000;</w:t>
      </w:r>
      <w:r w:rsidR="002341F3" w:rsidRPr="00E41C86">
        <w:rPr>
          <w:rFonts w:asciiTheme="majorHAnsi" w:hAnsiTheme="majorHAnsi" w:cs="Arial"/>
          <w:sz w:val="20"/>
          <w:szCs w:val="20"/>
          <w:lang w:val="es-PE"/>
        </w:rPr>
        <w:t xml:space="preserve"> </w:t>
      </w:r>
      <w:r w:rsidR="00EB0A22" w:rsidRPr="00E41C86">
        <w:rPr>
          <w:rFonts w:asciiTheme="majorHAnsi" w:hAnsiTheme="majorHAnsi" w:cs="Arial"/>
          <w:sz w:val="20"/>
          <w:szCs w:val="20"/>
          <w:lang w:val="es-PE"/>
        </w:rPr>
        <w:t>c) a través de una</w:t>
      </w:r>
      <w:r w:rsidR="00F729C4" w:rsidRPr="00E41C86">
        <w:rPr>
          <w:rFonts w:asciiTheme="majorHAnsi" w:hAnsiTheme="majorHAnsi" w:cs="Arial"/>
          <w:sz w:val="20"/>
          <w:szCs w:val="20"/>
          <w:lang w:val="es-PE"/>
        </w:rPr>
        <w:t xml:space="preserve"> queja ante la Comisión de Derechos Humanos de </w:t>
      </w:r>
      <w:r w:rsidR="00EB0A22" w:rsidRPr="00E41C86">
        <w:rPr>
          <w:rFonts w:asciiTheme="majorHAnsi" w:hAnsiTheme="majorHAnsi" w:cs="Arial"/>
          <w:sz w:val="20"/>
          <w:szCs w:val="20"/>
          <w:lang w:val="es-PE"/>
        </w:rPr>
        <w:t xml:space="preserve">Nayarit el 17 de abril de 2002 y d) </w:t>
      </w:r>
      <w:r w:rsidR="00F729C4" w:rsidRPr="00E41C86">
        <w:rPr>
          <w:rFonts w:asciiTheme="majorHAnsi" w:hAnsiTheme="majorHAnsi" w:cs="Arial"/>
          <w:sz w:val="20"/>
          <w:szCs w:val="20"/>
          <w:lang w:val="es-PE"/>
        </w:rPr>
        <w:t>denuncia presentada el 5 de diciembre de 2001 en contra de cinco funcionarios públicos</w:t>
      </w:r>
      <w:r w:rsidR="00A473F7">
        <w:rPr>
          <w:rFonts w:asciiTheme="majorHAnsi" w:hAnsiTheme="majorHAnsi" w:cs="Arial"/>
          <w:sz w:val="20"/>
          <w:szCs w:val="20"/>
          <w:lang w:val="es-PE"/>
        </w:rPr>
        <w:t>, que culminó con la decisión emitida por el Juzgado de Distrito De Nayarit</w:t>
      </w:r>
      <w:r w:rsidR="00A473F7" w:rsidRPr="00A473F7">
        <w:rPr>
          <w:rFonts w:asciiTheme="majorHAnsi" w:hAnsiTheme="majorHAnsi" w:cs="Arial"/>
          <w:sz w:val="20"/>
          <w:szCs w:val="20"/>
          <w:lang w:val="es-PE"/>
        </w:rPr>
        <w:t xml:space="preserve"> </w:t>
      </w:r>
      <w:r w:rsidR="00A473F7">
        <w:rPr>
          <w:rFonts w:asciiTheme="majorHAnsi" w:hAnsiTheme="majorHAnsi" w:cs="Arial"/>
          <w:sz w:val="20"/>
          <w:szCs w:val="20"/>
          <w:lang w:val="es-PE"/>
        </w:rPr>
        <w:t>el 17 de agosto de 2004.</w:t>
      </w:r>
      <w:r w:rsidR="00E65B29" w:rsidRPr="00E41C86">
        <w:rPr>
          <w:rFonts w:asciiTheme="majorHAnsi" w:hAnsiTheme="majorHAnsi" w:cs="Arial"/>
          <w:sz w:val="20"/>
          <w:szCs w:val="20"/>
          <w:lang w:val="es-PE"/>
        </w:rPr>
        <w:t xml:space="preserve"> </w:t>
      </w:r>
    </w:p>
    <w:p w14:paraId="3507A696" w14:textId="494D0928" w:rsidR="004B05E1" w:rsidRDefault="006B2747" w:rsidP="00A21F6E">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PE"/>
        </w:rPr>
      </w:pPr>
      <w:r w:rsidRPr="00A21F6E">
        <w:rPr>
          <w:rFonts w:asciiTheme="majorHAnsi" w:hAnsiTheme="majorHAnsi" w:cs="Arial"/>
          <w:sz w:val="20"/>
          <w:szCs w:val="20"/>
          <w:lang w:val="es-PE"/>
        </w:rPr>
        <w:t>Conforme</w:t>
      </w:r>
      <w:r w:rsidR="006E7811" w:rsidRPr="00A21F6E">
        <w:rPr>
          <w:rFonts w:asciiTheme="majorHAnsi" w:hAnsiTheme="majorHAnsi" w:cs="Arial"/>
          <w:sz w:val="20"/>
          <w:szCs w:val="20"/>
          <w:lang w:val="es-PE"/>
        </w:rPr>
        <w:t xml:space="preserve"> a l</w:t>
      </w:r>
      <w:r w:rsidR="00A21F6E">
        <w:rPr>
          <w:rFonts w:asciiTheme="majorHAnsi" w:hAnsiTheme="majorHAnsi" w:cs="Arial"/>
          <w:sz w:val="20"/>
          <w:szCs w:val="20"/>
          <w:lang w:val="es-PE"/>
        </w:rPr>
        <w:t>o descrito</w:t>
      </w:r>
      <w:r w:rsidR="006E7811" w:rsidRPr="00A21F6E">
        <w:rPr>
          <w:rFonts w:asciiTheme="majorHAnsi" w:hAnsiTheme="majorHAnsi" w:cs="Arial"/>
          <w:sz w:val="20"/>
          <w:szCs w:val="20"/>
          <w:lang w:val="es-PE"/>
        </w:rPr>
        <w:t xml:space="preserve">, la Comisión </w:t>
      </w:r>
      <w:r w:rsidR="00A21F6E">
        <w:rPr>
          <w:rFonts w:asciiTheme="majorHAnsi" w:hAnsiTheme="majorHAnsi" w:cs="Arial"/>
          <w:sz w:val="20"/>
          <w:szCs w:val="20"/>
          <w:lang w:val="es-PE"/>
        </w:rPr>
        <w:t>concluye</w:t>
      </w:r>
      <w:r w:rsidR="006E7811" w:rsidRPr="00A21F6E">
        <w:rPr>
          <w:rFonts w:asciiTheme="majorHAnsi" w:hAnsiTheme="majorHAnsi" w:cs="Arial"/>
          <w:sz w:val="20"/>
          <w:szCs w:val="20"/>
          <w:lang w:val="es-PE"/>
        </w:rPr>
        <w:t xml:space="preserve"> que</w:t>
      </w:r>
      <w:r w:rsidRPr="00A21F6E">
        <w:rPr>
          <w:rFonts w:asciiTheme="majorHAnsi" w:hAnsiTheme="majorHAnsi" w:cs="Arial"/>
          <w:sz w:val="20"/>
          <w:szCs w:val="20"/>
          <w:lang w:val="es-PE"/>
        </w:rPr>
        <w:t xml:space="preserve"> </w:t>
      </w:r>
      <w:r w:rsidR="006D16FD" w:rsidRPr="00A21F6E">
        <w:rPr>
          <w:rFonts w:asciiTheme="majorHAnsi" w:hAnsiTheme="majorHAnsi" w:cs="Arial"/>
          <w:sz w:val="20"/>
          <w:szCs w:val="20"/>
          <w:lang w:val="es-PE"/>
        </w:rPr>
        <w:t xml:space="preserve">los peticionarios </w:t>
      </w:r>
      <w:r w:rsidR="006E7811" w:rsidRPr="00A21F6E">
        <w:rPr>
          <w:rFonts w:asciiTheme="majorHAnsi" w:hAnsiTheme="majorHAnsi" w:cs="Arial"/>
          <w:sz w:val="20"/>
          <w:szCs w:val="20"/>
          <w:lang w:val="es-PE"/>
        </w:rPr>
        <w:t>agotaron</w:t>
      </w:r>
      <w:r w:rsidR="006D16FD" w:rsidRPr="00A21F6E">
        <w:rPr>
          <w:rFonts w:asciiTheme="majorHAnsi" w:hAnsiTheme="majorHAnsi" w:cs="Arial"/>
          <w:sz w:val="20"/>
          <w:szCs w:val="20"/>
          <w:lang w:val="es-PE"/>
        </w:rPr>
        <w:t xml:space="preserve"> los recursos de jurisdicción interna</w:t>
      </w:r>
      <w:r w:rsidR="0068085F" w:rsidRPr="00A21F6E">
        <w:rPr>
          <w:rFonts w:asciiTheme="majorHAnsi" w:hAnsiTheme="majorHAnsi" w:cs="Arial"/>
          <w:sz w:val="20"/>
          <w:szCs w:val="20"/>
          <w:lang w:val="es-PE"/>
        </w:rPr>
        <w:t xml:space="preserve"> en la medida necesaria para cumplir </w:t>
      </w:r>
      <w:r w:rsidR="004B05E1" w:rsidRPr="00A21F6E">
        <w:rPr>
          <w:rFonts w:asciiTheme="majorHAnsi" w:hAnsiTheme="majorHAnsi" w:cs="Arial"/>
          <w:sz w:val="20"/>
          <w:szCs w:val="20"/>
          <w:lang w:val="es-PE"/>
        </w:rPr>
        <w:t>con el requisito de agotamiento de recursos previsto en el artículo 46.1.a de la Convención Americana.</w:t>
      </w:r>
    </w:p>
    <w:p w14:paraId="61037DB6" w14:textId="40789306" w:rsidR="00986BEA" w:rsidRPr="00875FF9" w:rsidRDefault="00986BEA" w:rsidP="002341F3">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b/>
          <w:sz w:val="20"/>
          <w:szCs w:val="20"/>
          <w:lang w:val="es-UY"/>
        </w:rPr>
      </w:pPr>
      <w:r w:rsidRPr="00875FF9">
        <w:rPr>
          <w:rFonts w:asciiTheme="majorHAnsi" w:hAnsiTheme="majorHAnsi"/>
          <w:b/>
          <w:sz w:val="20"/>
          <w:szCs w:val="20"/>
          <w:lang w:val="es-UY"/>
        </w:rPr>
        <w:t>2.</w:t>
      </w:r>
      <w:r w:rsidRPr="00875FF9">
        <w:rPr>
          <w:rFonts w:asciiTheme="majorHAnsi" w:hAnsiTheme="majorHAnsi"/>
          <w:b/>
          <w:sz w:val="20"/>
          <w:szCs w:val="20"/>
          <w:lang w:val="es-UY"/>
        </w:rPr>
        <w:tab/>
        <w:t>Plazo de presentación de la petición</w:t>
      </w:r>
    </w:p>
    <w:p w14:paraId="3E35B6C8" w14:textId="05FD642E" w:rsidR="00844426" w:rsidRPr="00875FF9" w:rsidRDefault="00384050" w:rsidP="00844426">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bCs/>
          <w:sz w:val="20"/>
          <w:szCs w:val="20"/>
          <w:lang w:val="es-ES"/>
        </w:rPr>
      </w:pPr>
      <w:r w:rsidRPr="00875FF9">
        <w:rPr>
          <w:rFonts w:asciiTheme="majorHAnsi" w:hAnsiTheme="majorHAnsi" w:cs="Arial"/>
          <w:sz w:val="20"/>
          <w:szCs w:val="20"/>
          <w:lang w:val="es-ES"/>
        </w:rPr>
        <w:t>El artículo 46.1.b de l</w:t>
      </w:r>
      <w:r w:rsidRPr="00875FF9">
        <w:rPr>
          <w:rFonts w:asciiTheme="majorHAnsi" w:hAnsiTheme="majorHAnsi"/>
          <w:sz w:val="20"/>
          <w:szCs w:val="20"/>
          <w:lang w:val="es-ES"/>
        </w:rPr>
        <w:t>a Convención Americana</w:t>
      </w:r>
      <w:r w:rsidR="00844426" w:rsidRPr="00875FF9">
        <w:rPr>
          <w:rFonts w:asciiTheme="majorHAnsi" w:hAnsiTheme="majorHAnsi"/>
          <w:bCs/>
          <w:sz w:val="20"/>
          <w:szCs w:val="20"/>
          <w:lang w:val="es-ES"/>
        </w:rPr>
        <w:t xml:space="preserve"> establece que para que una petición resulte admisible por la Comisión se requerirá que sea presentada dentro del plazo de seis meses a partir de la fecha en que el presunto lesionado haya sido notificado de la decisión definitiva. </w:t>
      </w:r>
    </w:p>
    <w:p w14:paraId="452046FC" w14:textId="67A775A0" w:rsidR="008970B9" w:rsidRPr="00875FF9" w:rsidRDefault="008970B9" w:rsidP="0025468D">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cs="Arial"/>
          <w:sz w:val="20"/>
          <w:szCs w:val="20"/>
          <w:lang w:val="es-UY"/>
        </w:rPr>
      </w:pPr>
      <w:r w:rsidRPr="00875FF9">
        <w:rPr>
          <w:rFonts w:ascii="Cambria" w:hAnsi="Cambria"/>
          <w:sz w:val="20"/>
          <w:szCs w:val="20"/>
          <w:lang w:val="es-UY"/>
        </w:rPr>
        <w:lastRenderedPageBreak/>
        <w:t xml:space="preserve">La petición ante la CIDH fue presentada el 20 de mayo de 2003 y los recursos </w:t>
      </w:r>
      <w:r w:rsidR="00C625FB" w:rsidRPr="00875FF9">
        <w:rPr>
          <w:rFonts w:ascii="Cambria" w:hAnsi="Cambria"/>
          <w:sz w:val="20"/>
          <w:szCs w:val="20"/>
          <w:lang w:val="es-UY"/>
        </w:rPr>
        <w:t>relativos</w:t>
      </w:r>
      <w:r w:rsidR="00F04E62" w:rsidRPr="00875FF9">
        <w:rPr>
          <w:rFonts w:ascii="Cambria" w:hAnsi="Cambria"/>
          <w:sz w:val="20"/>
          <w:szCs w:val="20"/>
          <w:lang w:val="es-UY"/>
        </w:rPr>
        <w:t xml:space="preserve"> al proceso </w:t>
      </w:r>
      <w:r w:rsidR="00C625FB" w:rsidRPr="00875FF9">
        <w:rPr>
          <w:rFonts w:ascii="Cambria" w:hAnsi="Cambria"/>
          <w:sz w:val="20"/>
          <w:szCs w:val="20"/>
          <w:lang w:val="es-UY"/>
        </w:rPr>
        <w:t xml:space="preserve">penal contra </w:t>
      </w:r>
      <w:r w:rsidR="00A473F7">
        <w:rPr>
          <w:rFonts w:ascii="Cambria" w:hAnsi="Cambria"/>
          <w:sz w:val="20"/>
          <w:szCs w:val="20"/>
          <w:lang w:val="es-UY"/>
        </w:rPr>
        <w:t xml:space="preserve">la presunta víctima </w:t>
      </w:r>
      <w:r w:rsidRPr="00875FF9">
        <w:rPr>
          <w:rFonts w:ascii="Cambria" w:hAnsi="Cambria"/>
          <w:sz w:val="20"/>
          <w:szCs w:val="20"/>
          <w:lang w:val="es-UY"/>
        </w:rPr>
        <w:t xml:space="preserve">fueron agotados </w:t>
      </w:r>
      <w:r w:rsidR="0025468D" w:rsidRPr="00875FF9">
        <w:rPr>
          <w:rFonts w:ascii="Cambria" w:hAnsi="Cambria"/>
          <w:sz w:val="20"/>
          <w:szCs w:val="20"/>
          <w:lang w:val="es-UY"/>
        </w:rPr>
        <w:t xml:space="preserve">con el </w:t>
      </w:r>
      <w:r w:rsidR="0025468D" w:rsidRPr="00875FF9">
        <w:rPr>
          <w:rFonts w:asciiTheme="majorHAnsi" w:hAnsiTheme="majorHAnsi" w:cs="Arial"/>
          <w:sz w:val="20"/>
          <w:szCs w:val="20"/>
          <w:lang w:val="es-PE"/>
        </w:rPr>
        <w:t>recurso de revisión ante el Tribunal Colegiado del Vigésimo Cuarto Circuito el 17 de abril de 2007</w:t>
      </w:r>
      <w:r w:rsidR="0025468D" w:rsidRPr="00875FF9">
        <w:rPr>
          <w:rFonts w:asciiTheme="majorHAnsi" w:hAnsiTheme="majorHAnsi" w:cs="Arial"/>
          <w:sz w:val="20"/>
          <w:szCs w:val="20"/>
          <w:lang w:val="es-UY"/>
        </w:rPr>
        <w:t xml:space="preserve">. </w:t>
      </w:r>
      <w:r w:rsidR="00C625FB" w:rsidRPr="00875FF9">
        <w:rPr>
          <w:rFonts w:ascii="Cambria" w:hAnsi="Cambria"/>
          <w:sz w:val="20"/>
          <w:szCs w:val="20"/>
          <w:lang w:val="es-UY"/>
        </w:rPr>
        <w:t xml:space="preserve">A su vez los recursos respecto </w:t>
      </w:r>
      <w:r w:rsidR="00F04E62" w:rsidRPr="00875FF9">
        <w:rPr>
          <w:rFonts w:ascii="Cambria" w:hAnsi="Cambria"/>
          <w:sz w:val="20"/>
          <w:szCs w:val="20"/>
          <w:lang w:val="es-UY"/>
        </w:rPr>
        <w:t>de los alegados actos de tortura</w:t>
      </w:r>
      <w:r w:rsidR="0025468D" w:rsidRPr="00875FF9">
        <w:rPr>
          <w:rFonts w:ascii="Cambria" w:hAnsi="Cambria"/>
          <w:sz w:val="20"/>
          <w:szCs w:val="20"/>
          <w:lang w:val="es-UY"/>
        </w:rPr>
        <w:t xml:space="preserve"> </w:t>
      </w:r>
      <w:r w:rsidR="00F04E62" w:rsidRPr="00875FF9">
        <w:rPr>
          <w:rFonts w:ascii="Cambria" w:hAnsi="Cambria"/>
          <w:sz w:val="20"/>
          <w:szCs w:val="20"/>
          <w:lang w:val="es-UY"/>
        </w:rPr>
        <w:t xml:space="preserve">fueron agotados el </w:t>
      </w:r>
      <w:r w:rsidR="00B35665" w:rsidRPr="00875FF9">
        <w:rPr>
          <w:rFonts w:asciiTheme="majorHAnsi" w:hAnsiTheme="majorHAnsi" w:cs="Arial"/>
          <w:sz w:val="20"/>
          <w:szCs w:val="20"/>
          <w:lang w:val="es-PE"/>
        </w:rPr>
        <w:t xml:space="preserve">17 de agosto de 2004 </w:t>
      </w:r>
      <w:r w:rsidR="00F04E62" w:rsidRPr="00875FF9">
        <w:rPr>
          <w:rFonts w:ascii="Cambria" w:hAnsi="Cambria"/>
          <w:sz w:val="20"/>
          <w:szCs w:val="20"/>
          <w:lang w:val="es-UY"/>
        </w:rPr>
        <w:t xml:space="preserve">con la </w:t>
      </w:r>
      <w:r w:rsidR="000511ED" w:rsidRPr="00875FF9">
        <w:rPr>
          <w:rFonts w:ascii="Cambria" w:hAnsi="Cambria"/>
          <w:sz w:val="20"/>
          <w:szCs w:val="20"/>
          <w:lang w:val="es-UY"/>
        </w:rPr>
        <w:t>decisión</w:t>
      </w:r>
      <w:r w:rsidR="00B35665" w:rsidRPr="00875FF9">
        <w:rPr>
          <w:rFonts w:ascii="Cambria" w:hAnsi="Cambria"/>
          <w:sz w:val="20"/>
          <w:szCs w:val="20"/>
          <w:lang w:val="es-UY"/>
        </w:rPr>
        <w:t xml:space="preserve"> del</w:t>
      </w:r>
      <w:r w:rsidR="00F04E62" w:rsidRPr="00875FF9">
        <w:rPr>
          <w:rFonts w:ascii="Cambria" w:hAnsi="Cambria"/>
          <w:sz w:val="20"/>
          <w:szCs w:val="20"/>
          <w:lang w:val="es-UY"/>
        </w:rPr>
        <w:t xml:space="preserve"> </w:t>
      </w:r>
      <w:r w:rsidR="00B35665" w:rsidRPr="00875FF9">
        <w:rPr>
          <w:rFonts w:asciiTheme="majorHAnsi" w:hAnsiTheme="majorHAnsi"/>
          <w:sz w:val="20"/>
          <w:szCs w:val="20"/>
          <w:lang w:val="es-UY"/>
        </w:rPr>
        <w:t>Juez Tercero de Distrito</w:t>
      </w:r>
      <w:r w:rsidR="0025468D" w:rsidRPr="00875FF9">
        <w:rPr>
          <w:rFonts w:asciiTheme="majorHAnsi" w:hAnsiTheme="majorHAnsi"/>
          <w:sz w:val="20"/>
          <w:szCs w:val="20"/>
          <w:lang w:val="es-UY"/>
        </w:rPr>
        <w:t xml:space="preserve"> de Nayarit</w:t>
      </w:r>
      <w:r w:rsidRPr="00875FF9">
        <w:rPr>
          <w:rFonts w:ascii="Cambria" w:hAnsi="Cambria"/>
          <w:sz w:val="20"/>
          <w:szCs w:val="20"/>
          <w:lang w:val="es-UY"/>
        </w:rPr>
        <w:t xml:space="preserve">. </w:t>
      </w:r>
      <w:r w:rsidR="00743F21">
        <w:rPr>
          <w:rFonts w:ascii="Cambria" w:hAnsi="Cambria"/>
          <w:sz w:val="20"/>
          <w:szCs w:val="20"/>
          <w:lang w:val="es-UY"/>
        </w:rPr>
        <w:t>En consecuencia</w:t>
      </w:r>
      <w:r w:rsidRPr="00875FF9">
        <w:rPr>
          <w:rFonts w:ascii="Cambria" w:hAnsi="Cambria"/>
          <w:sz w:val="20"/>
          <w:szCs w:val="20"/>
          <w:lang w:val="es-UY"/>
        </w:rPr>
        <w:t xml:space="preserve">, </w:t>
      </w:r>
      <w:r w:rsidR="00CC4644" w:rsidRPr="00875FF9">
        <w:rPr>
          <w:rFonts w:ascii="Cambria" w:hAnsi="Cambria" w:cs="Cambria"/>
          <w:color w:val="000000"/>
          <w:sz w:val="20"/>
          <w:szCs w:val="20"/>
          <w:lang w:val="es-ES" w:eastAsia="es-ES"/>
        </w:rPr>
        <w:t>el agotamiento de los recursos internos se dio mientras el caso se hallaba bajo estudio de admisibilidad</w:t>
      </w:r>
      <w:r w:rsidR="00FC639C" w:rsidRPr="00875FF9">
        <w:rPr>
          <w:rFonts w:ascii="Cambria" w:hAnsi="Cambria" w:cs="Cambria"/>
          <w:color w:val="000000"/>
          <w:sz w:val="20"/>
          <w:szCs w:val="20"/>
          <w:lang w:val="es-ES" w:eastAsia="es-ES"/>
        </w:rPr>
        <w:t>.</w:t>
      </w:r>
      <w:r w:rsidRPr="00875FF9">
        <w:rPr>
          <w:rFonts w:ascii="Cambria" w:hAnsi="Cambria" w:cs="Cambria"/>
          <w:color w:val="000000"/>
          <w:sz w:val="20"/>
          <w:szCs w:val="20"/>
          <w:lang w:val="es-ES" w:eastAsia="es-ES"/>
        </w:rPr>
        <w:t xml:space="preserve"> </w:t>
      </w:r>
      <w:r w:rsidR="00743F21">
        <w:rPr>
          <w:rFonts w:ascii="Cambria" w:hAnsi="Cambria" w:cs="Cambria"/>
          <w:color w:val="000000"/>
          <w:sz w:val="20"/>
          <w:szCs w:val="20"/>
          <w:lang w:val="es-ES" w:eastAsia="es-ES"/>
        </w:rPr>
        <w:t>Al respecto</w:t>
      </w:r>
      <w:r w:rsidRPr="00875FF9">
        <w:rPr>
          <w:rFonts w:ascii="Cambria" w:hAnsi="Cambria" w:cs="Cambria"/>
          <w:color w:val="000000"/>
          <w:sz w:val="20"/>
          <w:szCs w:val="20"/>
          <w:lang w:val="es-ES" w:eastAsia="es-ES"/>
        </w:rPr>
        <w:t>, ha sido criterio constante de la Comisión que el cumplimiento del requisito de presentación de la petición en plazo se encuentra intrínsecamente ligado al agotami</w:t>
      </w:r>
      <w:r w:rsidR="00743F21">
        <w:rPr>
          <w:rFonts w:ascii="Cambria" w:hAnsi="Cambria" w:cs="Cambria"/>
          <w:color w:val="000000"/>
          <w:sz w:val="20"/>
          <w:szCs w:val="20"/>
          <w:lang w:val="es-ES" w:eastAsia="es-ES"/>
        </w:rPr>
        <w:t>ento de los recursos internos</w:t>
      </w:r>
      <w:r w:rsidR="00743F21" w:rsidRPr="00875FF9">
        <w:rPr>
          <w:rStyle w:val="FootnoteReference"/>
          <w:rFonts w:ascii="Cambria" w:hAnsi="Cambria" w:cs="Cambria"/>
          <w:color w:val="000000"/>
          <w:sz w:val="20"/>
          <w:szCs w:val="20"/>
          <w:lang w:val="es-ES" w:eastAsia="es-ES"/>
        </w:rPr>
        <w:footnoteReference w:id="4"/>
      </w:r>
      <w:r w:rsidR="00743F21">
        <w:rPr>
          <w:rFonts w:ascii="Cambria" w:hAnsi="Cambria" w:cs="Cambria"/>
          <w:color w:val="000000"/>
          <w:sz w:val="20"/>
          <w:szCs w:val="20"/>
          <w:lang w:val="es-ES" w:eastAsia="es-ES"/>
        </w:rPr>
        <w:t xml:space="preserve">, </w:t>
      </w:r>
      <w:r w:rsidRPr="00875FF9">
        <w:rPr>
          <w:rFonts w:ascii="Cambria" w:hAnsi="Cambria" w:cs="Cambria"/>
          <w:color w:val="000000"/>
          <w:sz w:val="20"/>
          <w:szCs w:val="20"/>
          <w:lang w:val="es-ES" w:eastAsia="es-ES"/>
        </w:rPr>
        <w:t xml:space="preserve">corresponde </w:t>
      </w:r>
      <w:r w:rsidR="00743F21" w:rsidRPr="00875FF9">
        <w:rPr>
          <w:rFonts w:ascii="Cambria" w:hAnsi="Cambria" w:cs="Cambria"/>
          <w:color w:val="000000"/>
          <w:sz w:val="20"/>
          <w:szCs w:val="20"/>
          <w:lang w:val="es-ES" w:eastAsia="es-ES"/>
        </w:rPr>
        <w:t xml:space="preserve">por lo tanto </w:t>
      </w:r>
      <w:r w:rsidRPr="00875FF9">
        <w:rPr>
          <w:rFonts w:ascii="Cambria" w:hAnsi="Cambria" w:cs="Cambria"/>
          <w:color w:val="000000"/>
          <w:sz w:val="20"/>
          <w:szCs w:val="20"/>
          <w:lang w:val="es-ES" w:eastAsia="es-ES"/>
        </w:rPr>
        <w:t>darlo por cumplido</w:t>
      </w:r>
      <w:r w:rsidR="00743F21">
        <w:rPr>
          <w:rFonts w:ascii="Cambria" w:hAnsi="Cambria" w:cs="Cambria"/>
          <w:color w:val="000000"/>
          <w:sz w:val="20"/>
          <w:szCs w:val="20"/>
          <w:lang w:val="es-ES" w:eastAsia="es-ES"/>
        </w:rPr>
        <w:t xml:space="preserve"> en el presente caso</w:t>
      </w:r>
      <w:r w:rsidRPr="00875FF9">
        <w:rPr>
          <w:rFonts w:ascii="Cambria" w:hAnsi="Cambria" w:cs="Cambria"/>
          <w:color w:val="000000"/>
          <w:sz w:val="20"/>
          <w:szCs w:val="20"/>
          <w:lang w:val="es-ES" w:eastAsia="es-ES"/>
        </w:rPr>
        <w:t>.</w:t>
      </w:r>
    </w:p>
    <w:p w14:paraId="5D83C381" w14:textId="77777777" w:rsidR="00986BEA" w:rsidRPr="00875FF9" w:rsidRDefault="00986BEA" w:rsidP="00986BEA">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b/>
          <w:bCs/>
          <w:sz w:val="20"/>
          <w:szCs w:val="20"/>
          <w:lang w:val="es-UY"/>
        </w:rPr>
      </w:pPr>
      <w:r w:rsidRPr="00875FF9">
        <w:rPr>
          <w:rFonts w:asciiTheme="majorHAnsi" w:hAnsiTheme="majorHAnsi"/>
          <w:b/>
          <w:bCs/>
          <w:sz w:val="20"/>
          <w:szCs w:val="20"/>
          <w:lang w:val="es-UY"/>
        </w:rPr>
        <w:t>3.</w:t>
      </w:r>
      <w:r w:rsidRPr="00875FF9">
        <w:rPr>
          <w:rFonts w:asciiTheme="majorHAnsi" w:hAnsiTheme="majorHAnsi"/>
          <w:b/>
          <w:bCs/>
          <w:sz w:val="20"/>
          <w:szCs w:val="20"/>
          <w:lang w:val="es-UY"/>
        </w:rPr>
        <w:tab/>
        <w:t>Duplicación de procedimientos y cosa juzgada</w:t>
      </w:r>
      <w:r w:rsidRPr="00875FF9">
        <w:rPr>
          <w:rFonts w:asciiTheme="majorHAnsi" w:hAnsiTheme="majorHAnsi"/>
          <w:b/>
          <w:bCs/>
          <w:i/>
          <w:sz w:val="20"/>
          <w:szCs w:val="20"/>
          <w:lang w:val="es-UY"/>
        </w:rPr>
        <w:t xml:space="preserve"> </w:t>
      </w:r>
      <w:r w:rsidRPr="00875FF9">
        <w:rPr>
          <w:rFonts w:asciiTheme="majorHAnsi" w:hAnsiTheme="majorHAnsi"/>
          <w:b/>
          <w:bCs/>
          <w:sz w:val="20"/>
          <w:szCs w:val="20"/>
          <w:lang w:val="es-UY"/>
        </w:rPr>
        <w:t>internacional</w:t>
      </w:r>
    </w:p>
    <w:p w14:paraId="22F017C3" w14:textId="79026649" w:rsidR="00986BEA" w:rsidRPr="00875FF9" w:rsidRDefault="00986BEA" w:rsidP="00986BEA">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875FF9">
        <w:rPr>
          <w:rFonts w:asciiTheme="majorHAnsi" w:hAnsiTheme="majorHAnsi"/>
          <w:sz w:val="20"/>
          <w:szCs w:val="20"/>
          <w:lang w:val="es-UY"/>
        </w:rPr>
        <w:t>No surge del expediente que la materia de la petición se encuentre pendiente de otro procedimiento de arreglo internacional, ni que reproduzca una petición ya examinada por éste u otro órgano internacional</w:t>
      </w:r>
      <w:r w:rsidR="00C625FB" w:rsidRPr="00875FF9">
        <w:rPr>
          <w:rFonts w:asciiTheme="majorHAnsi" w:hAnsiTheme="majorHAnsi"/>
          <w:sz w:val="20"/>
          <w:szCs w:val="20"/>
          <w:lang w:val="es-ES"/>
        </w:rPr>
        <w:t>. Por lo tanto, no son aplicables las causales de inadmisibilidad establecidas en los artículos 46.1.c y 47.d de la Convención</w:t>
      </w:r>
      <w:r w:rsidRPr="00875FF9">
        <w:rPr>
          <w:rFonts w:asciiTheme="majorHAnsi" w:hAnsiTheme="majorHAnsi"/>
          <w:sz w:val="20"/>
          <w:szCs w:val="20"/>
          <w:lang w:val="es-UY"/>
        </w:rPr>
        <w:t>.</w:t>
      </w:r>
    </w:p>
    <w:p w14:paraId="6FCC5CE4" w14:textId="77777777" w:rsidR="00986BEA" w:rsidRPr="00875FF9" w:rsidRDefault="00986BEA" w:rsidP="00986BEA">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b/>
          <w:bCs/>
          <w:sz w:val="20"/>
          <w:szCs w:val="20"/>
          <w:lang w:val="es-UY"/>
        </w:rPr>
      </w:pPr>
      <w:r w:rsidRPr="00875FF9">
        <w:rPr>
          <w:rFonts w:asciiTheme="majorHAnsi" w:hAnsiTheme="majorHAnsi"/>
          <w:b/>
          <w:bCs/>
          <w:sz w:val="20"/>
          <w:szCs w:val="20"/>
          <w:lang w:val="es-UY"/>
        </w:rPr>
        <w:t>4.</w:t>
      </w:r>
      <w:r w:rsidRPr="00875FF9">
        <w:rPr>
          <w:rFonts w:asciiTheme="majorHAnsi" w:hAnsiTheme="majorHAnsi"/>
          <w:b/>
          <w:bCs/>
          <w:sz w:val="20"/>
          <w:szCs w:val="20"/>
          <w:lang w:val="es-UY"/>
        </w:rPr>
        <w:tab/>
        <w:t>Caracterización de los hechos alegados</w:t>
      </w:r>
    </w:p>
    <w:p w14:paraId="47857922" w14:textId="28B5973C" w:rsidR="00986BEA" w:rsidRPr="00875FF9" w:rsidRDefault="00986BEA" w:rsidP="00D34CDE">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875FF9">
        <w:rPr>
          <w:rFonts w:asciiTheme="majorHAnsi" w:hAnsiTheme="majorHAnsi"/>
          <w:sz w:val="20"/>
          <w:szCs w:val="20"/>
          <w:lang w:val="es-UY"/>
        </w:rPr>
        <w:t xml:space="preserve">A los efectos de la admisibilidad, la Comisión debe decidir si los hechos alegados pueden caracterizar una violación de derechos, según lo </w:t>
      </w:r>
      <w:r w:rsidR="00D34CDE" w:rsidRPr="00875FF9">
        <w:rPr>
          <w:rFonts w:asciiTheme="majorHAnsi" w:hAnsiTheme="majorHAnsi"/>
          <w:sz w:val="20"/>
          <w:szCs w:val="20"/>
          <w:lang w:val="es-UY"/>
        </w:rPr>
        <w:t xml:space="preserve">estipulado en el artículo 47.b </w:t>
      </w:r>
      <w:r w:rsidRPr="00875FF9">
        <w:rPr>
          <w:rFonts w:asciiTheme="majorHAnsi" w:hAnsiTheme="majorHAnsi"/>
          <w:sz w:val="20"/>
          <w:szCs w:val="20"/>
          <w:lang w:val="es-UY"/>
        </w:rPr>
        <w:t xml:space="preserve">de la Convención Americana, o si la petición es "manifiestamente infundada" o es "evidente su total improcedencia", conforme al inciso (c) de dicho artículo.  El criterio para analizar la admisibilidad difiere del utilizado para el análisis del fondo de la petición dado que la Comisión sólo realiza un análisis </w:t>
      </w:r>
      <w:r w:rsidRPr="00875FF9">
        <w:rPr>
          <w:rFonts w:asciiTheme="majorHAnsi" w:hAnsiTheme="majorHAnsi"/>
          <w:i/>
          <w:sz w:val="20"/>
          <w:szCs w:val="20"/>
          <w:lang w:val="es-UY"/>
        </w:rPr>
        <w:t>prima facie</w:t>
      </w:r>
      <w:r w:rsidRPr="00875FF9">
        <w:rPr>
          <w:rFonts w:asciiTheme="majorHAnsi" w:hAnsiTheme="majorHAnsi"/>
          <w:sz w:val="20"/>
          <w:szCs w:val="20"/>
          <w:lang w:val="es-UY"/>
        </w:rPr>
        <w:t xml:space="preserve"> para determinar si los peticionarios establecen la aparente o posible violación de un derecho garantizado por la Convención Americana. Se trata de un análisis somero que no implica prejuzgar o emitir una opinión preliminar sobre el fondo del asunto.</w:t>
      </w:r>
    </w:p>
    <w:p w14:paraId="1CBA4778" w14:textId="77777777" w:rsidR="00C625FB" w:rsidRPr="00875FF9" w:rsidRDefault="00986BEA" w:rsidP="00C625FB">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875FF9">
        <w:rPr>
          <w:rFonts w:asciiTheme="majorHAnsi" w:hAnsiTheme="majorHAnsi"/>
          <w:sz w:val="20"/>
          <w:szCs w:val="20"/>
          <w:lang w:val="es-UY"/>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14:paraId="535CB80D" w14:textId="5AEDC7A4" w:rsidR="00354FB5" w:rsidRPr="00875FF9" w:rsidRDefault="00844426" w:rsidP="00354FB5">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UY"/>
        </w:rPr>
      </w:pPr>
      <w:r w:rsidRPr="00875FF9">
        <w:rPr>
          <w:rFonts w:asciiTheme="majorHAnsi" w:eastAsia="SimSun" w:hAnsiTheme="majorHAnsi"/>
          <w:sz w:val="20"/>
          <w:szCs w:val="20"/>
          <w:lang w:val="es-UY"/>
        </w:rPr>
        <w:t>Los peticionarios sostienen que la Pol</w:t>
      </w:r>
      <w:r w:rsidR="006A6BBE" w:rsidRPr="00875FF9">
        <w:rPr>
          <w:rFonts w:asciiTheme="majorHAnsi" w:eastAsia="SimSun" w:hAnsiTheme="majorHAnsi"/>
          <w:sz w:val="20"/>
          <w:szCs w:val="20"/>
          <w:lang w:val="es-UY"/>
        </w:rPr>
        <w:t>icía Judicial allan</w:t>
      </w:r>
      <w:r w:rsidR="00C625FB" w:rsidRPr="00875FF9">
        <w:rPr>
          <w:rFonts w:asciiTheme="majorHAnsi" w:eastAsia="SimSun" w:hAnsiTheme="majorHAnsi"/>
          <w:sz w:val="20"/>
          <w:szCs w:val="20"/>
          <w:lang w:val="es-UY"/>
        </w:rPr>
        <w:t>ó</w:t>
      </w:r>
      <w:r w:rsidR="006A6BBE" w:rsidRPr="00875FF9">
        <w:rPr>
          <w:rFonts w:asciiTheme="majorHAnsi" w:eastAsia="SimSun" w:hAnsiTheme="majorHAnsi"/>
          <w:sz w:val="20"/>
          <w:szCs w:val="20"/>
          <w:lang w:val="es-UY"/>
        </w:rPr>
        <w:t xml:space="preserve"> el</w:t>
      </w:r>
      <w:r w:rsidRPr="00875FF9">
        <w:rPr>
          <w:rFonts w:asciiTheme="majorHAnsi" w:eastAsia="SimSun" w:hAnsiTheme="majorHAnsi"/>
          <w:sz w:val="20"/>
          <w:szCs w:val="20"/>
          <w:lang w:val="es-UY"/>
        </w:rPr>
        <w:t xml:space="preserve"> hogar de</w:t>
      </w:r>
      <w:r w:rsidR="00743F21">
        <w:rPr>
          <w:rFonts w:asciiTheme="majorHAnsi" w:eastAsia="SimSun" w:hAnsiTheme="majorHAnsi"/>
          <w:sz w:val="20"/>
          <w:szCs w:val="20"/>
          <w:lang w:val="es-UY"/>
        </w:rPr>
        <w:t xml:space="preserve"> </w:t>
      </w:r>
      <w:r w:rsidR="006A6BBE" w:rsidRPr="00875FF9">
        <w:rPr>
          <w:rFonts w:asciiTheme="majorHAnsi" w:eastAsia="SimSun" w:hAnsiTheme="majorHAnsi"/>
          <w:sz w:val="20"/>
          <w:szCs w:val="20"/>
          <w:lang w:val="es-UY"/>
        </w:rPr>
        <w:t>l</w:t>
      </w:r>
      <w:r w:rsidR="00743F21">
        <w:rPr>
          <w:rFonts w:asciiTheme="majorHAnsi" w:eastAsia="SimSun" w:hAnsiTheme="majorHAnsi"/>
          <w:sz w:val="20"/>
          <w:szCs w:val="20"/>
          <w:lang w:val="es-UY"/>
        </w:rPr>
        <w:t>a presunta víctima</w:t>
      </w:r>
      <w:r w:rsidR="006A6BBE" w:rsidRPr="00875FF9">
        <w:rPr>
          <w:rFonts w:asciiTheme="majorHAnsi" w:eastAsia="SimSun" w:hAnsiTheme="majorHAnsi"/>
          <w:sz w:val="20"/>
          <w:szCs w:val="20"/>
          <w:lang w:val="es-UY"/>
        </w:rPr>
        <w:t xml:space="preserve"> de</w:t>
      </w:r>
      <w:r w:rsidRPr="00875FF9">
        <w:rPr>
          <w:rFonts w:asciiTheme="majorHAnsi" w:eastAsia="SimSun" w:hAnsiTheme="majorHAnsi"/>
          <w:sz w:val="20"/>
          <w:szCs w:val="20"/>
          <w:lang w:val="es-UY"/>
        </w:rPr>
        <w:t xml:space="preserve"> forma viole</w:t>
      </w:r>
      <w:r w:rsidR="006A6BBE" w:rsidRPr="00875FF9">
        <w:rPr>
          <w:rFonts w:asciiTheme="majorHAnsi" w:eastAsia="SimSun" w:hAnsiTheme="majorHAnsi"/>
          <w:sz w:val="20"/>
          <w:szCs w:val="20"/>
          <w:lang w:val="es-UY"/>
        </w:rPr>
        <w:t>nta y sin orden de cateo;</w:t>
      </w:r>
      <w:r w:rsidR="00AA36EE" w:rsidRPr="00875FF9">
        <w:rPr>
          <w:rFonts w:asciiTheme="majorHAnsi" w:eastAsia="SimSun" w:hAnsiTheme="majorHAnsi"/>
          <w:sz w:val="20"/>
          <w:szCs w:val="20"/>
          <w:lang w:val="es-UY"/>
        </w:rPr>
        <w:t xml:space="preserve"> </w:t>
      </w:r>
      <w:r w:rsidR="00C625FB" w:rsidRPr="00875FF9">
        <w:rPr>
          <w:rFonts w:asciiTheme="majorHAnsi" w:eastAsia="SimSun" w:hAnsiTheme="majorHAnsi"/>
          <w:sz w:val="20"/>
          <w:szCs w:val="20"/>
          <w:lang w:val="es-UY"/>
        </w:rPr>
        <w:t>lo detuvo</w:t>
      </w:r>
      <w:r w:rsidR="00743F21">
        <w:rPr>
          <w:rFonts w:asciiTheme="majorHAnsi" w:eastAsia="SimSun" w:hAnsiTheme="majorHAnsi"/>
          <w:sz w:val="20"/>
          <w:szCs w:val="20"/>
          <w:lang w:val="es-UY"/>
        </w:rPr>
        <w:t xml:space="preserve"> sin orden judicial</w:t>
      </w:r>
      <w:r w:rsidRPr="00875FF9">
        <w:rPr>
          <w:rFonts w:asciiTheme="majorHAnsi" w:eastAsia="SimSun" w:hAnsiTheme="majorHAnsi"/>
          <w:sz w:val="20"/>
          <w:szCs w:val="20"/>
          <w:lang w:val="es-UY"/>
        </w:rPr>
        <w:t xml:space="preserve"> y </w:t>
      </w:r>
      <w:r w:rsidR="00C625FB" w:rsidRPr="00875FF9">
        <w:rPr>
          <w:rFonts w:asciiTheme="majorHAnsi" w:eastAsia="SimSun" w:hAnsiTheme="majorHAnsi"/>
          <w:sz w:val="20"/>
          <w:szCs w:val="20"/>
          <w:lang w:val="es-UY"/>
        </w:rPr>
        <w:t>lo sometió</w:t>
      </w:r>
      <w:r w:rsidRPr="00875FF9">
        <w:rPr>
          <w:rFonts w:asciiTheme="majorHAnsi" w:eastAsia="SimSun" w:hAnsiTheme="majorHAnsi"/>
          <w:sz w:val="20"/>
          <w:szCs w:val="20"/>
          <w:lang w:val="es-UY"/>
        </w:rPr>
        <w:t xml:space="preserve"> a tortura por más de </w:t>
      </w:r>
      <w:r w:rsidR="00C625FB" w:rsidRPr="00875FF9">
        <w:rPr>
          <w:rFonts w:asciiTheme="majorHAnsi" w:eastAsia="SimSun" w:hAnsiTheme="majorHAnsi"/>
          <w:sz w:val="20"/>
          <w:szCs w:val="20"/>
          <w:lang w:val="es-UY"/>
        </w:rPr>
        <w:t>30 horas, con el fin de que</w:t>
      </w:r>
      <w:r w:rsidRPr="00875FF9">
        <w:rPr>
          <w:rFonts w:asciiTheme="majorHAnsi" w:eastAsia="SimSun" w:hAnsiTheme="majorHAnsi"/>
          <w:sz w:val="20"/>
          <w:szCs w:val="20"/>
          <w:lang w:val="es-UY"/>
        </w:rPr>
        <w:t xml:space="preserve"> confesara la participación en un crimen que alega</w:t>
      </w:r>
      <w:r w:rsidR="00C625FB" w:rsidRPr="00875FF9">
        <w:rPr>
          <w:rFonts w:asciiTheme="majorHAnsi" w:eastAsia="SimSun" w:hAnsiTheme="majorHAnsi"/>
          <w:sz w:val="20"/>
          <w:szCs w:val="20"/>
          <w:lang w:val="es-UY"/>
        </w:rPr>
        <w:t>n</w:t>
      </w:r>
      <w:r w:rsidRPr="00875FF9">
        <w:rPr>
          <w:rFonts w:asciiTheme="majorHAnsi" w:eastAsia="SimSun" w:hAnsiTheme="majorHAnsi"/>
          <w:sz w:val="20"/>
          <w:szCs w:val="20"/>
          <w:lang w:val="es-UY"/>
        </w:rPr>
        <w:t xml:space="preserve"> no cometió.</w:t>
      </w:r>
      <w:r w:rsidR="00AA36EE" w:rsidRPr="00875FF9">
        <w:rPr>
          <w:rFonts w:asciiTheme="majorHAnsi" w:eastAsia="SimSun" w:hAnsiTheme="majorHAnsi"/>
          <w:sz w:val="20"/>
          <w:szCs w:val="20"/>
          <w:lang w:val="es-UY"/>
        </w:rPr>
        <w:t xml:space="preserve"> Asimismo</w:t>
      </w:r>
      <w:r w:rsidR="006A6BBE" w:rsidRPr="00875FF9">
        <w:rPr>
          <w:rFonts w:asciiTheme="majorHAnsi" w:eastAsia="SimSun" w:hAnsiTheme="majorHAnsi"/>
          <w:sz w:val="20"/>
          <w:szCs w:val="20"/>
          <w:lang w:val="es-UY"/>
        </w:rPr>
        <w:t>,</w:t>
      </w:r>
      <w:r w:rsidR="00AA36EE" w:rsidRPr="00875FF9">
        <w:rPr>
          <w:rFonts w:asciiTheme="majorHAnsi" w:eastAsia="SimSun" w:hAnsiTheme="majorHAnsi"/>
          <w:sz w:val="20"/>
          <w:szCs w:val="20"/>
          <w:lang w:val="es-UY"/>
        </w:rPr>
        <w:t xml:space="preserve"> señalan</w:t>
      </w:r>
      <w:r w:rsidR="006A6BBE" w:rsidRPr="00875FF9">
        <w:rPr>
          <w:rFonts w:asciiTheme="majorHAnsi" w:eastAsia="SimSun" w:hAnsiTheme="majorHAnsi"/>
          <w:sz w:val="20"/>
          <w:szCs w:val="20"/>
          <w:lang w:val="es-UY"/>
        </w:rPr>
        <w:t xml:space="preserve"> que los recursos interpuestos</w:t>
      </w:r>
      <w:r w:rsidR="00AA36EE" w:rsidRPr="00875FF9">
        <w:rPr>
          <w:rFonts w:asciiTheme="majorHAnsi" w:eastAsia="SimSun" w:hAnsiTheme="majorHAnsi"/>
          <w:sz w:val="20"/>
          <w:szCs w:val="20"/>
          <w:lang w:val="es-UY"/>
        </w:rPr>
        <w:t xml:space="preserve"> no </w:t>
      </w:r>
      <w:r w:rsidR="00C625FB" w:rsidRPr="00875FF9">
        <w:rPr>
          <w:rFonts w:asciiTheme="majorHAnsi" w:eastAsia="SimSun" w:hAnsiTheme="majorHAnsi"/>
          <w:sz w:val="20"/>
          <w:szCs w:val="20"/>
          <w:lang w:val="es-UY"/>
        </w:rPr>
        <w:t>fueron</w:t>
      </w:r>
      <w:r w:rsidR="00AA36EE" w:rsidRPr="00875FF9">
        <w:rPr>
          <w:rFonts w:asciiTheme="majorHAnsi" w:eastAsia="SimSun" w:hAnsiTheme="majorHAnsi"/>
          <w:sz w:val="20"/>
          <w:szCs w:val="20"/>
          <w:lang w:val="es-UY"/>
        </w:rPr>
        <w:t xml:space="preserve"> eficaces</w:t>
      </w:r>
      <w:r w:rsidR="00C625FB" w:rsidRPr="00875FF9">
        <w:rPr>
          <w:rFonts w:asciiTheme="majorHAnsi" w:eastAsia="SimSun" w:hAnsiTheme="majorHAnsi"/>
          <w:sz w:val="20"/>
          <w:szCs w:val="20"/>
          <w:lang w:val="es-UY"/>
        </w:rPr>
        <w:t xml:space="preserve"> y que existió</w:t>
      </w:r>
      <w:r w:rsidR="00AA36EE" w:rsidRPr="00875FF9">
        <w:rPr>
          <w:rFonts w:asciiTheme="majorHAnsi" w:eastAsia="SimSun" w:hAnsiTheme="majorHAnsi"/>
          <w:sz w:val="20"/>
          <w:szCs w:val="20"/>
          <w:lang w:val="es-UY"/>
        </w:rPr>
        <w:t xml:space="preserve"> una demora </w:t>
      </w:r>
      <w:r w:rsidR="002803E2" w:rsidRPr="00875FF9">
        <w:rPr>
          <w:rFonts w:asciiTheme="majorHAnsi" w:eastAsia="SimSun" w:hAnsiTheme="majorHAnsi"/>
          <w:sz w:val="20"/>
          <w:szCs w:val="20"/>
          <w:lang w:val="es-UY"/>
        </w:rPr>
        <w:t>injustificada</w:t>
      </w:r>
      <w:r w:rsidR="00AA36EE" w:rsidRPr="00875FF9">
        <w:rPr>
          <w:rFonts w:asciiTheme="majorHAnsi" w:eastAsia="SimSun" w:hAnsiTheme="majorHAnsi"/>
          <w:sz w:val="20"/>
          <w:szCs w:val="20"/>
          <w:lang w:val="es-UY"/>
        </w:rPr>
        <w:t xml:space="preserve"> por parte de las autoridades mexicanas </w:t>
      </w:r>
      <w:r w:rsidR="002803E2" w:rsidRPr="00875FF9">
        <w:rPr>
          <w:rFonts w:asciiTheme="majorHAnsi" w:eastAsia="SimSun" w:hAnsiTheme="majorHAnsi"/>
          <w:sz w:val="20"/>
          <w:szCs w:val="20"/>
          <w:lang w:val="es-UY"/>
        </w:rPr>
        <w:t>en</w:t>
      </w:r>
      <w:r w:rsidR="00AA36EE" w:rsidRPr="00875FF9">
        <w:rPr>
          <w:rFonts w:asciiTheme="majorHAnsi" w:eastAsia="SimSun" w:hAnsiTheme="majorHAnsi"/>
          <w:sz w:val="20"/>
          <w:szCs w:val="20"/>
          <w:lang w:val="es-UY"/>
        </w:rPr>
        <w:t xml:space="preserve"> las diligencia</w:t>
      </w:r>
      <w:r w:rsidR="00F705D3" w:rsidRPr="00875FF9">
        <w:rPr>
          <w:rFonts w:asciiTheme="majorHAnsi" w:eastAsia="SimSun" w:hAnsiTheme="majorHAnsi"/>
          <w:sz w:val="20"/>
          <w:szCs w:val="20"/>
          <w:lang w:val="es-UY"/>
        </w:rPr>
        <w:t>s</w:t>
      </w:r>
      <w:r w:rsidR="00AA36EE" w:rsidRPr="00875FF9">
        <w:rPr>
          <w:rFonts w:asciiTheme="majorHAnsi" w:eastAsia="SimSun" w:hAnsiTheme="majorHAnsi"/>
          <w:sz w:val="20"/>
          <w:szCs w:val="20"/>
          <w:lang w:val="es-UY"/>
        </w:rPr>
        <w:t xml:space="preserve"> e </w:t>
      </w:r>
      <w:r w:rsidR="002803E2" w:rsidRPr="00875FF9">
        <w:rPr>
          <w:rFonts w:asciiTheme="majorHAnsi" w:eastAsia="SimSun" w:hAnsiTheme="majorHAnsi"/>
          <w:sz w:val="20"/>
          <w:szCs w:val="20"/>
          <w:lang w:val="es-UY"/>
        </w:rPr>
        <w:t>investigaciones relativas a</w:t>
      </w:r>
      <w:r w:rsidR="006A6BBE" w:rsidRPr="00875FF9">
        <w:rPr>
          <w:rFonts w:asciiTheme="majorHAnsi" w:eastAsia="SimSun" w:hAnsiTheme="majorHAnsi"/>
          <w:sz w:val="20"/>
          <w:szCs w:val="20"/>
          <w:lang w:val="es-UY"/>
        </w:rPr>
        <w:t xml:space="preserve"> los actos de tortura</w:t>
      </w:r>
      <w:r w:rsidR="00F705D3" w:rsidRPr="00875FF9">
        <w:rPr>
          <w:rFonts w:asciiTheme="majorHAnsi" w:eastAsia="SimSun" w:hAnsiTheme="majorHAnsi"/>
          <w:sz w:val="20"/>
          <w:szCs w:val="20"/>
          <w:lang w:val="es-UY"/>
        </w:rPr>
        <w:t xml:space="preserve">. </w:t>
      </w:r>
      <w:r w:rsidR="002803E2" w:rsidRPr="00875FF9">
        <w:rPr>
          <w:rFonts w:asciiTheme="majorHAnsi" w:eastAsia="SimSun" w:hAnsiTheme="majorHAnsi"/>
          <w:sz w:val="20"/>
          <w:szCs w:val="20"/>
          <w:lang w:val="es-UY"/>
        </w:rPr>
        <w:t>Por su parte</w:t>
      </w:r>
      <w:r w:rsidR="00AA36EE" w:rsidRPr="00875FF9">
        <w:rPr>
          <w:rFonts w:asciiTheme="majorHAnsi" w:eastAsia="SimSun" w:hAnsiTheme="majorHAnsi"/>
          <w:sz w:val="20"/>
          <w:szCs w:val="20"/>
          <w:lang w:val="es-UY"/>
        </w:rPr>
        <w:t>,</w:t>
      </w:r>
      <w:r w:rsidRPr="00875FF9">
        <w:rPr>
          <w:rFonts w:asciiTheme="majorHAnsi" w:eastAsia="SimSun" w:hAnsiTheme="majorHAnsi"/>
          <w:sz w:val="20"/>
          <w:szCs w:val="20"/>
          <w:lang w:val="es-UY"/>
        </w:rPr>
        <w:t xml:space="preserve"> el Estado </w:t>
      </w:r>
      <w:r w:rsidR="002803E2" w:rsidRPr="00875FF9">
        <w:rPr>
          <w:rFonts w:asciiTheme="majorHAnsi" w:eastAsia="SimSun" w:hAnsiTheme="majorHAnsi"/>
          <w:sz w:val="20"/>
          <w:szCs w:val="20"/>
          <w:lang w:val="es-UY"/>
        </w:rPr>
        <w:t>señal</w:t>
      </w:r>
      <w:r w:rsidR="002D279D" w:rsidRPr="00875FF9">
        <w:rPr>
          <w:rFonts w:asciiTheme="majorHAnsi" w:eastAsia="SimSun" w:hAnsiTheme="majorHAnsi"/>
          <w:sz w:val="20"/>
          <w:szCs w:val="20"/>
          <w:lang w:val="es-UY"/>
        </w:rPr>
        <w:t>a</w:t>
      </w:r>
      <w:r w:rsidR="006A6BBE" w:rsidRPr="00875FF9">
        <w:rPr>
          <w:rFonts w:asciiTheme="majorHAnsi" w:eastAsia="SimSun" w:hAnsiTheme="majorHAnsi"/>
          <w:sz w:val="20"/>
          <w:szCs w:val="20"/>
          <w:lang w:val="es-UY"/>
        </w:rPr>
        <w:t xml:space="preserve"> que la Comi</w:t>
      </w:r>
      <w:r w:rsidR="002803E2" w:rsidRPr="00875FF9">
        <w:rPr>
          <w:rFonts w:asciiTheme="majorHAnsi" w:eastAsia="SimSun" w:hAnsiTheme="majorHAnsi"/>
          <w:sz w:val="20"/>
          <w:szCs w:val="20"/>
          <w:lang w:val="es-UY"/>
        </w:rPr>
        <w:t>sión no puede actuar como cuarta</w:t>
      </w:r>
      <w:r w:rsidR="006A6BBE" w:rsidRPr="00875FF9">
        <w:rPr>
          <w:rFonts w:asciiTheme="majorHAnsi" w:eastAsia="SimSun" w:hAnsiTheme="majorHAnsi"/>
          <w:sz w:val="20"/>
          <w:szCs w:val="20"/>
          <w:lang w:val="es-UY"/>
        </w:rPr>
        <w:t xml:space="preserve"> instancia pues </w:t>
      </w:r>
      <w:r w:rsidRPr="00875FF9">
        <w:rPr>
          <w:rFonts w:asciiTheme="majorHAnsi" w:eastAsia="SimSun" w:hAnsiTheme="majorHAnsi"/>
          <w:sz w:val="20"/>
          <w:szCs w:val="20"/>
          <w:lang w:val="es-UY"/>
        </w:rPr>
        <w:t>se habrían respetado las garantías de</w:t>
      </w:r>
      <w:r w:rsidR="00253B14">
        <w:rPr>
          <w:rFonts w:asciiTheme="majorHAnsi" w:eastAsia="SimSun" w:hAnsiTheme="majorHAnsi"/>
          <w:sz w:val="20"/>
          <w:szCs w:val="20"/>
          <w:lang w:val="es-UY"/>
        </w:rPr>
        <w:t xml:space="preserve"> </w:t>
      </w:r>
      <w:r w:rsidRPr="00875FF9">
        <w:rPr>
          <w:rFonts w:asciiTheme="majorHAnsi" w:eastAsia="SimSun" w:hAnsiTheme="majorHAnsi"/>
          <w:sz w:val="20"/>
          <w:szCs w:val="20"/>
          <w:lang w:val="es-UY"/>
        </w:rPr>
        <w:t>l</w:t>
      </w:r>
      <w:r w:rsidR="00253B14">
        <w:rPr>
          <w:rFonts w:asciiTheme="majorHAnsi" w:eastAsia="SimSun" w:hAnsiTheme="majorHAnsi"/>
          <w:sz w:val="20"/>
          <w:szCs w:val="20"/>
          <w:lang w:val="es-UY"/>
        </w:rPr>
        <w:t>a presunta víctima</w:t>
      </w:r>
      <w:r w:rsidRPr="00875FF9">
        <w:rPr>
          <w:rFonts w:asciiTheme="majorHAnsi" w:eastAsia="SimSun" w:hAnsiTheme="majorHAnsi"/>
          <w:sz w:val="20"/>
          <w:szCs w:val="20"/>
          <w:lang w:val="es-UY"/>
        </w:rPr>
        <w:t xml:space="preserve"> en todo momento, </w:t>
      </w:r>
      <w:r w:rsidR="00D34CDE" w:rsidRPr="00875FF9">
        <w:rPr>
          <w:rFonts w:asciiTheme="majorHAnsi" w:eastAsia="SimSun" w:hAnsiTheme="majorHAnsi"/>
          <w:sz w:val="20"/>
          <w:szCs w:val="20"/>
          <w:lang w:val="es-UY"/>
        </w:rPr>
        <w:t xml:space="preserve">por lo que de la presente petición no se desprenden hechos violatorios de </w:t>
      </w:r>
      <w:r w:rsidR="002803E2" w:rsidRPr="00875FF9">
        <w:rPr>
          <w:rFonts w:asciiTheme="majorHAnsi" w:eastAsia="SimSun" w:hAnsiTheme="majorHAnsi"/>
          <w:sz w:val="20"/>
          <w:szCs w:val="20"/>
          <w:lang w:val="es-UY"/>
        </w:rPr>
        <w:t xml:space="preserve">sus </w:t>
      </w:r>
      <w:r w:rsidR="00D34CDE" w:rsidRPr="00875FF9">
        <w:rPr>
          <w:rFonts w:asciiTheme="majorHAnsi" w:eastAsia="SimSun" w:hAnsiTheme="majorHAnsi"/>
          <w:sz w:val="20"/>
          <w:szCs w:val="20"/>
          <w:lang w:val="es-UY"/>
        </w:rPr>
        <w:t>derechos humanos.</w:t>
      </w:r>
    </w:p>
    <w:p w14:paraId="12EB3CE2" w14:textId="6369232B" w:rsidR="00986BEA" w:rsidRPr="00875FF9" w:rsidRDefault="00844426" w:rsidP="00844426">
      <w:pPr>
        <w:pStyle w:val="BodyText"/>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eastAsia="SimSun" w:hAnsiTheme="majorHAnsi"/>
          <w:sz w:val="20"/>
          <w:szCs w:val="20"/>
          <w:lang w:val="es-UY"/>
        </w:rPr>
      </w:pPr>
      <w:r w:rsidRPr="00875FF9">
        <w:rPr>
          <w:rFonts w:asciiTheme="majorHAnsi" w:hAnsiTheme="majorHAnsi"/>
          <w:sz w:val="20"/>
          <w:szCs w:val="20"/>
          <w:lang w:val="es-AR"/>
        </w:rPr>
        <w:t>En vista de los elementos de hecho y de derecho presentados por las partes y la naturaleza del asunto puesto bajo su conocimiento, la CIDH considera que, de ser probados, los hechos alegados podrían caracterizar posibles violaciones a los derechos protegidos en los artículos</w:t>
      </w:r>
      <w:r w:rsidR="00D34CDE" w:rsidRPr="00875FF9">
        <w:rPr>
          <w:rFonts w:asciiTheme="majorHAnsi" w:hAnsiTheme="majorHAnsi"/>
          <w:sz w:val="20"/>
          <w:szCs w:val="20"/>
          <w:lang w:val="es-AR"/>
        </w:rPr>
        <w:t xml:space="preserve"> </w:t>
      </w:r>
      <w:r w:rsidRPr="00875FF9">
        <w:rPr>
          <w:rFonts w:asciiTheme="majorHAnsi" w:eastAsia="SimSun" w:hAnsiTheme="majorHAnsi"/>
          <w:sz w:val="20"/>
          <w:szCs w:val="20"/>
          <w:lang w:val="es-UY"/>
        </w:rPr>
        <w:t>5, 7, 8 y 25 de la Convención Americana e</w:t>
      </w:r>
      <w:r w:rsidR="002803E2" w:rsidRPr="00875FF9">
        <w:rPr>
          <w:rFonts w:asciiTheme="majorHAnsi" w:eastAsia="SimSun" w:hAnsiTheme="majorHAnsi"/>
          <w:sz w:val="20"/>
          <w:szCs w:val="20"/>
          <w:lang w:val="es-UY"/>
        </w:rPr>
        <w:t>n relación con su artículo 1.1</w:t>
      </w:r>
      <w:r w:rsidRPr="00875FF9">
        <w:rPr>
          <w:rFonts w:asciiTheme="majorHAnsi" w:eastAsia="SimSun" w:hAnsiTheme="majorHAnsi"/>
          <w:sz w:val="20"/>
          <w:szCs w:val="20"/>
          <w:lang w:val="es-UY"/>
        </w:rPr>
        <w:t>, así como a los artículos 1, 6 y 8 de la Convención Interamericana para Prevenir y Sancionar la Tortura</w:t>
      </w:r>
      <w:r w:rsidR="00905B73" w:rsidRPr="00875FF9">
        <w:rPr>
          <w:rFonts w:asciiTheme="majorHAnsi" w:eastAsia="SimSun" w:hAnsiTheme="majorHAnsi"/>
          <w:sz w:val="20"/>
          <w:szCs w:val="20"/>
          <w:lang w:val="es-UY"/>
        </w:rPr>
        <w:t xml:space="preserve"> en perjuicio </w:t>
      </w:r>
      <w:r w:rsidR="00253B14">
        <w:rPr>
          <w:rFonts w:asciiTheme="majorHAnsi" w:eastAsia="SimSun" w:hAnsiTheme="majorHAnsi"/>
          <w:sz w:val="20"/>
          <w:szCs w:val="20"/>
          <w:lang w:val="es-UY"/>
        </w:rPr>
        <w:t>de la presunta víctima</w:t>
      </w:r>
      <w:r w:rsidRPr="00875FF9">
        <w:rPr>
          <w:rFonts w:asciiTheme="majorHAnsi" w:eastAsia="SimSun" w:hAnsiTheme="majorHAnsi"/>
          <w:sz w:val="20"/>
          <w:szCs w:val="20"/>
          <w:lang w:val="es-UY"/>
        </w:rPr>
        <w:t>.</w:t>
      </w:r>
      <w:r w:rsidR="006E7811" w:rsidRPr="00875FF9">
        <w:rPr>
          <w:rFonts w:asciiTheme="majorHAnsi" w:eastAsia="SimSun" w:hAnsiTheme="majorHAnsi"/>
          <w:sz w:val="20"/>
          <w:szCs w:val="20"/>
          <w:lang w:val="es-UY"/>
        </w:rPr>
        <w:t xml:space="preserve"> En la etapa de fondo del presente caso, la Comisión analizará si los hechos denunciados por los peticionarios constituyen violaciones por parte del Estado mexicano a los derechos arriba mencionados, lo que no significa que </w:t>
      </w:r>
      <w:r w:rsidR="00FC639C" w:rsidRPr="00875FF9">
        <w:rPr>
          <w:rFonts w:asciiTheme="majorHAnsi" w:eastAsia="SimSun" w:hAnsiTheme="majorHAnsi"/>
          <w:sz w:val="20"/>
          <w:szCs w:val="20"/>
          <w:lang w:val="es-UY"/>
        </w:rPr>
        <w:t xml:space="preserve">la CIDH </w:t>
      </w:r>
      <w:r w:rsidR="006E7811" w:rsidRPr="00875FF9">
        <w:rPr>
          <w:rFonts w:asciiTheme="majorHAnsi" w:eastAsia="SimSun" w:hAnsiTheme="majorHAnsi"/>
          <w:sz w:val="20"/>
          <w:szCs w:val="20"/>
          <w:lang w:val="es-UY"/>
        </w:rPr>
        <w:t>actúe como cuarta instancia de las decisiones adoptadas a nivel interno.</w:t>
      </w:r>
    </w:p>
    <w:p w14:paraId="56AC7BB4" w14:textId="77777777" w:rsidR="00481DDB" w:rsidRDefault="00481DDB">
      <w:pPr>
        <w:pBdr>
          <w:top w:val="none" w:sz="0" w:space="0" w:color="auto"/>
          <w:left w:val="none" w:sz="0" w:space="0" w:color="auto"/>
          <w:bottom w:val="none" w:sz="0" w:space="0" w:color="auto"/>
          <w:right w:val="none" w:sz="0" w:space="0" w:color="auto"/>
          <w:bar w:val="none" w:sz="0" w:color="auto"/>
        </w:pBdr>
        <w:rPr>
          <w:rFonts w:asciiTheme="majorHAnsi" w:hAnsiTheme="majorHAnsi"/>
          <w:b/>
          <w:bCs/>
          <w:sz w:val="20"/>
          <w:szCs w:val="20"/>
          <w:lang w:val="es-UY"/>
        </w:rPr>
      </w:pPr>
      <w:r>
        <w:rPr>
          <w:rFonts w:asciiTheme="majorHAnsi" w:hAnsiTheme="majorHAnsi"/>
          <w:b/>
          <w:bCs/>
          <w:sz w:val="20"/>
          <w:szCs w:val="20"/>
          <w:lang w:val="es-UY"/>
        </w:rPr>
        <w:br w:type="page"/>
      </w:r>
    </w:p>
    <w:p w14:paraId="33A315B8" w14:textId="174BEC14" w:rsidR="00986BEA" w:rsidRPr="00875FF9" w:rsidRDefault="00986BEA" w:rsidP="00986BEA">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lang w:val="es-UY"/>
        </w:rPr>
      </w:pPr>
      <w:r w:rsidRPr="00875FF9">
        <w:rPr>
          <w:rFonts w:asciiTheme="majorHAnsi" w:hAnsiTheme="majorHAnsi"/>
          <w:b/>
          <w:bCs/>
          <w:sz w:val="20"/>
          <w:szCs w:val="20"/>
          <w:lang w:val="es-UY"/>
        </w:rPr>
        <w:lastRenderedPageBreak/>
        <w:t>V.</w:t>
      </w:r>
      <w:r w:rsidRPr="00875FF9">
        <w:rPr>
          <w:rFonts w:asciiTheme="majorHAnsi" w:hAnsiTheme="majorHAnsi"/>
          <w:b/>
          <w:bCs/>
          <w:sz w:val="20"/>
          <w:szCs w:val="20"/>
          <w:lang w:val="es-UY"/>
        </w:rPr>
        <w:tab/>
        <w:t>CONCLUSIONES</w:t>
      </w:r>
    </w:p>
    <w:p w14:paraId="1284FC74" w14:textId="77777777" w:rsidR="00986BEA" w:rsidRPr="00875FF9" w:rsidRDefault="00986BEA" w:rsidP="00986BEA">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AR"/>
        </w:rPr>
      </w:pPr>
      <w:r w:rsidRPr="00875FF9">
        <w:rPr>
          <w:rFonts w:asciiTheme="majorHAnsi" w:hAnsiTheme="majorHAnsi"/>
          <w:sz w:val="20"/>
          <w:szCs w:val="20"/>
          <w:lang w:val="es-AR"/>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14:paraId="12D5A1FE" w14:textId="77777777" w:rsidR="00986BEA" w:rsidRPr="00875FF9" w:rsidRDefault="00986BEA" w:rsidP="00285054">
      <w:pPr>
        <w:pBdr>
          <w:top w:val="none" w:sz="0" w:space="0" w:color="auto"/>
          <w:left w:val="none" w:sz="0" w:space="0" w:color="auto"/>
          <w:bottom w:val="none" w:sz="0" w:space="0" w:color="auto"/>
          <w:right w:val="none" w:sz="0" w:space="0" w:color="auto"/>
          <w:bar w:val="none" w:sz="0" w:color="auto"/>
        </w:pBdr>
        <w:spacing w:after="240"/>
        <w:jc w:val="center"/>
        <w:rPr>
          <w:rFonts w:asciiTheme="majorHAnsi" w:hAnsiTheme="majorHAnsi"/>
          <w:b/>
          <w:bCs/>
          <w:sz w:val="20"/>
          <w:szCs w:val="20"/>
          <w:lang w:val="es-ES"/>
        </w:rPr>
      </w:pPr>
      <w:r w:rsidRPr="00875FF9">
        <w:rPr>
          <w:rFonts w:asciiTheme="majorHAnsi" w:hAnsiTheme="majorHAnsi"/>
          <w:b/>
          <w:bCs/>
          <w:sz w:val="20"/>
          <w:szCs w:val="20"/>
          <w:lang w:val="es-ES"/>
        </w:rPr>
        <w:t>LA COMISIÓN INTERAMERICANA DE DERECHOS HUMANOS</w:t>
      </w:r>
    </w:p>
    <w:p w14:paraId="28B45B6D" w14:textId="77777777" w:rsidR="00986BEA" w:rsidRPr="00875FF9" w:rsidRDefault="00986BEA" w:rsidP="00285054">
      <w:p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b/>
          <w:bCs/>
          <w:sz w:val="20"/>
          <w:szCs w:val="20"/>
          <w:lang w:val="es-UY"/>
        </w:rPr>
      </w:pPr>
      <w:r w:rsidRPr="00875FF9">
        <w:rPr>
          <w:rFonts w:asciiTheme="majorHAnsi" w:hAnsiTheme="majorHAnsi"/>
          <w:b/>
          <w:bCs/>
          <w:sz w:val="20"/>
          <w:szCs w:val="20"/>
          <w:lang w:val="es-UY"/>
        </w:rPr>
        <w:t>DECIDE:</w:t>
      </w:r>
    </w:p>
    <w:p w14:paraId="485464B3" w14:textId="1DE4A3D6" w:rsidR="00986BEA" w:rsidRPr="00875FF9" w:rsidRDefault="00986BEA" w:rsidP="00D34CDE">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sz w:val="20"/>
          <w:szCs w:val="20"/>
          <w:lang w:val="es-UY"/>
        </w:rPr>
      </w:pPr>
      <w:r w:rsidRPr="00875FF9">
        <w:rPr>
          <w:rFonts w:asciiTheme="majorHAnsi" w:hAnsiTheme="majorHAnsi"/>
          <w:sz w:val="20"/>
          <w:szCs w:val="20"/>
          <w:lang w:val="es-UY"/>
        </w:rPr>
        <w:t>1.</w:t>
      </w:r>
      <w:r w:rsidRPr="00875FF9">
        <w:rPr>
          <w:rFonts w:asciiTheme="majorHAnsi" w:hAnsiTheme="majorHAnsi"/>
          <w:sz w:val="20"/>
          <w:szCs w:val="20"/>
          <w:lang w:val="es-UY"/>
        </w:rPr>
        <w:tab/>
        <w:t xml:space="preserve">Declarar admisible la presente petición en relación </w:t>
      </w:r>
      <w:r w:rsidR="00D34CDE" w:rsidRPr="00875FF9">
        <w:rPr>
          <w:rFonts w:asciiTheme="majorHAnsi" w:hAnsiTheme="majorHAnsi"/>
          <w:sz w:val="20"/>
          <w:szCs w:val="20"/>
          <w:lang w:val="es-UY"/>
        </w:rPr>
        <w:t xml:space="preserve">a los </w:t>
      </w:r>
      <w:r w:rsidR="00D34CDE" w:rsidRPr="00875FF9">
        <w:rPr>
          <w:rFonts w:asciiTheme="majorHAnsi" w:hAnsiTheme="majorHAnsi"/>
          <w:sz w:val="20"/>
          <w:szCs w:val="20"/>
          <w:lang w:val="es-AR"/>
        </w:rPr>
        <w:t xml:space="preserve">derechos protegidos en los artículos </w:t>
      </w:r>
      <w:r w:rsidR="00D34CDE" w:rsidRPr="00875FF9">
        <w:rPr>
          <w:rFonts w:asciiTheme="majorHAnsi" w:eastAsia="SimSun" w:hAnsiTheme="majorHAnsi"/>
          <w:sz w:val="20"/>
          <w:szCs w:val="20"/>
          <w:lang w:val="es-UY"/>
        </w:rPr>
        <w:t>5, 7, 8 y 25 de la Convención Americana</w:t>
      </w:r>
      <w:r w:rsidRPr="00875FF9">
        <w:rPr>
          <w:rFonts w:asciiTheme="majorHAnsi" w:hAnsiTheme="majorHAnsi"/>
          <w:sz w:val="20"/>
          <w:szCs w:val="20"/>
          <w:lang w:val="es-UY"/>
        </w:rPr>
        <w:t xml:space="preserve"> en conexión con las obligaciones establecidas en </w:t>
      </w:r>
      <w:r w:rsidR="00D34CDE" w:rsidRPr="00875FF9">
        <w:rPr>
          <w:rFonts w:asciiTheme="majorHAnsi" w:hAnsiTheme="majorHAnsi"/>
          <w:sz w:val="20"/>
          <w:szCs w:val="20"/>
          <w:lang w:val="es-UY"/>
        </w:rPr>
        <w:t>el artículo</w:t>
      </w:r>
      <w:r w:rsidRPr="00875FF9">
        <w:rPr>
          <w:rFonts w:asciiTheme="majorHAnsi" w:hAnsiTheme="majorHAnsi"/>
          <w:sz w:val="20"/>
          <w:szCs w:val="20"/>
          <w:lang w:val="es-UY"/>
        </w:rPr>
        <w:t xml:space="preserve"> 1.1 del mismo instrumento</w:t>
      </w:r>
      <w:r w:rsidR="00986EB0" w:rsidRPr="00875FF9">
        <w:rPr>
          <w:rFonts w:asciiTheme="majorHAnsi" w:hAnsiTheme="majorHAnsi"/>
          <w:sz w:val="20"/>
          <w:szCs w:val="20"/>
          <w:lang w:val="es-UY"/>
        </w:rPr>
        <w:t xml:space="preserve">, </w:t>
      </w:r>
      <w:r w:rsidR="00986EB0" w:rsidRPr="00875FF9">
        <w:rPr>
          <w:rFonts w:asciiTheme="majorHAnsi" w:eastAsia="SimSun" w:hAnsiTheme="majorHAnsi"/>
          <w:sz w:val="20"/>
          <w:szCs w:val="20"/>
          <w:lang w:val="es-UY"/>
        </w:rPr>
        <w:t>así como a los artículos 1, 6 y 8 de la Convención Interamericana para Prevenir y Sancionar la Tortura</w:t>
      </w:r>
      <w:r w:rsidR="00905B73" w:rsidRPr="00875FF9">
        <w:rPr>
          <w:rFonts w:asciiTheme="majorHAnsi" w:eastAsia="SimSun" w:hAnsiTheme="majorHAnsi"/>
          <w:sz w:val="20"/>
          <w:szCs w:val="20"/>
          <w:lang w:val="es-UY"/>
        </w:rPr>
        <w:t xml:space="preserve"> en perjuicio </w:t>
      </w:r>
      <w:r w:rsidR="00743F21">
        <w:rPr>
          <w:rFonts w:asciiTheme="majorHAnsi" w:eastAsia="SimSun" w:hAnsiTheme="majorHAnsi"/>
          <w:sz w:val="20"/>
          <w:szCs w:val="20"/>
          <w:lang w:val="es-UY"/>
        </w:rPr>
        <w:t>de la presunta víctima</w:t>
      </w:r>
      <w:r w:rsidR="00905B73" w:rsidRPr="00875FF9">
        <w:rPr>
          <w:rFonts w:asciiTheme="majorHAnsi" w:eastAsia="SimSun" w:hAnsiTheme="majorHAnsi"/>
          <w:sz w:val="20"/>
          <w:szCs w:val="20"/>
          <w:lang w:val="es-UY"/>
        </w:rPr>
        <w:t>.</w:t>
      </w:r>
    </w:p>
    <w:p w14:paraId="68A80788" w14:textId="1F384A4A" w:rsidR="00986BEA" w:rsidRPr="00875FF9" w:rsidRDefault="00985805" w:rsidP="00986BEA">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sz w:val="20"/>
          <w:szCs w:val="20"/>
          <w:lang w:val="es-UY"/>
        </w:rPr>
      </w:pPr>
      <w:r>
        <w:rPr>
          <w:rFonts w:asciiTheme="majorHAnsi" w:hAnsiTheme="majorHAnsi"/>
          <w:sz w:val="20"/>
          <w:szCs w:val="20"/>
          <w:lang w:val="es-UY"/>
        </w:rPr>
        <w:t>2</w:t>
      </w:r>
      <w:r w:rsidR="00986BEA" w:rsidRPr="00875FF9">
        <w:rPr>
          <w:rFonts w:asciiTheme="majorHAnsi" w:hAnsiTheme="majorHAnsi"/>
          <w:sz w:val="20"/>
          <w:szCs w:val="20"/>
          <w:lang w:val="es-UY"/>
        </w:rPr>
        <w:t>.</w:t>
      </w:r>
      <w:r w:rsidR="00986BEA" w:rsidRPr="00875FF9">
        <w:rPr>
          <w:rFonts w:asciiTheme="majorHAnsi" w:hAnsiTheme="majorHAnsi"/>
          <w:sz w:val="20"/>
          <w:szCs w:val="20"/>
          <w:lang w:val="es-UY"/>
        </w:rPr>
        <w:tab/>
        <w:t>Notificar a las partes la presente decisión;</w:t>
      </w:r>
    </w:p>
    <w:p w14:paraId="1135EAD0" w14:textId="46DEE56F" w:rsidR="00986BEA" w:rsidRPr="00875FF9" w:rsidRDefault="00985805" w:rsidP="00986BEA">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sz w:val="20"/>
          <w:szCs w:val="20"/>
          <w:lang w:val="es-UY"/>
        </w:rPr>
      </w:pPr>
      <w:r>
        <w:rPr>
          <w:rFonts w:asciiTheme="majorHAnsi" w:hAnsiTheme="majorHAnsi"/>
          <w:sz w:val="20"/>
          <w:szCs w:val="20"/>
          <w:lang w:val="es-UY"/>
        </w:rPr>
        <w:t>3</w:t>
      </w:r>
      <w:r w:rsidR="00986BEA" w:rsidRPr="00875FF9">
        <w:rPr>
          <w:rFonts w:asciiTheme="majorHAnsi" w:hAnsiTheme="majorHAnsi"/>
          <w:sz w:val="20"/>
          <w:szCs w:val="20"/>
          <w:lang w:val="es-UY"/>
        </w:rPr>
        <w:t>.</w:t>
      </w:r>
      <w:r w:rsidR="00986BEA" w:rsidRPr="00875FF9">
        <w:rPr>
          <w:rFonts w:asciiTheme="majorHAnsi" w:hAnsiTheme="majorHAnsi"/>
          <w:sz w:val="20"/>
          <w:szCs w:val="20"/>
          <w:lang w:val="es-UY"/>
        </w:rPr>
        <w:tab/>
        <w:t>Continuar con el análisis del fondo de la cuestión; y</w:t>
      </w:r>
    </w:p>
    <w:p w14:paraId="27E8840D" w14:textId="62C2C742" w:rsidR="00A57A47" w:rsidRDefault="00985805" w:rsidP="00C8153E">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sz w:val="20"/>
          <w:szCs w:val="20"/>
          <w:lang w:val="es-UY"/>
        </w:rPr>
      </w:pPr>
      <w:r>
        <w:rPr>
          <w:rFonts w:asciiTheme="majorHAnsi" w:hAnsiTheme="majorHAnsi"/>
          <w:sz w:val="20"/>
          <w:szCs w:val="20"/>
          <w:lang w:val="es-UY"/>
        </w:rPr>
        <w:t>4</w:t>
      </w:r>
      <w:r w:rsidR="00986BEA" w:rsidRPr="00875FF9">
        <w:rPr>
          <w:rFonts w:asciiTheme="majorHAnsi" w:hAnsiTheme="majorHAnsi"/>
          <w:sz w:val="20"/>
          <w:szCs w:val="20"/>
          <w:lang w:val="es-UY"/>
        </w:rPr>
        <w:t>.</w:t>
      </w:r>
      <w:r w:rsidR="00986BEA" w:rsidRPr="00875FF9">
        <w:rPr>
          <w:rFonts w:asciiTheme="majorHAnsi" w:hAnsiTheme="majorHAnsi"/>
          <w:sz w:val="20"/>
          <w:szCs w:val="20"/>
          <w:lang w:val="es-UY"/>
        </w:rPr>
        <w:tab/>
        <w:t>Publicar esta decisión e incluirla en su Informe Anual a la Asamblea General de la Organización de los Estados Americanos.</w:t>
      </w:r>
    </w:p>
    <w:p w14:paraId="100B65A2" w14:textId="6F26A83D" w:rsidR="005E23C3" w:rsidRPr="005E23C3" w:rsidRDefault="005E23C3" w:rsidP="005E23C3">
      <w:pPr>
        <w:pBdr>
          <w:top w:val="nil"/>
          <w:left w:val="nil"/>
          <w:bottom w:val="nil"/>
          <w:right w:val="nil"/>
          <w:between w:val="nil"/>
          <w:bar w:val="nil"/>
        </w:pBdr>
        <w:ind w:firstLine="720"/>
        <w:jc w:val="both"/>
        <w:rPr>
          <w:rFonts w:ascii="Cambria" w:hAnsi="Cambria" w:cs="Arial"/>
          <w:noProof/>
          <w:spacing w:val="-2"/>
          <w:sz w:val="20"/>
          <w:szCs w:val="20"/>
          <w:bdr w:val="nil"/>
          <w:lang w:val="es-CL"/>
        </w:rPr>
      </w:pPr>
      <w:r w:rsidRPr="005E23C3">
        <w:rPr>
          <w:rFonts w:ascii="Cambria" w:hAnsi="Cambria" w:cs="Arial"/>
          <w:noProof/>
          <w:spacing w:val="-2"/>
          <w:sz w:val="20"/>
          <w:szCs w:val="20"/>
          <w:bdr w:val="nil"/>
          <w:lang w:val="es-CL"/>
        </w:rPr>
        <w:t xml:space="preserve">Dado </w:t>
      </w:r>
      <w:r w:rsidR="002833D0">
        <w:rPr>
          <w:rFonts w:ascii="Cambria" w:hAnsi="Cambria" w:cs="Arial"/>
          <w:noProof/>
          <w:spacing w:val="-2"/>
          <w:sz w:val="20"/>
          <w:szCs w:val="20"/>
          <w:bdr w:val="nil"/>
          <w:lang w:val="es-CL"/>
        </w:rPr>
        <w:t>y firmado en la ciudad de Panamá</w:t>
      </w:r>
      <w:r w:rsidRPr="005E23C3">
        <w:rPr>
          <w:rFonts w:ascii="Cambria" w:hAnsi="Cambria" w:cs="Arial"/>
          <w:noProof/>
          <w:spacing w:val="-2"/>
          <w:sz w:val="20"/>
          <w:szCs w:val="20"/>
          <w:bdr w:val="nil"/>
          <w:lang w:val="es-CL"/>
        </w:rPr>
        <w:t>, a los 6 días del mes de diciembre de 2016</w:t>
      </w:r>
      <w:r>
        <w:rPr>
          <w:rFonts w:ascii="Cambria" w:hAnsi="Cambria" w:cs="Arial"/>
          <w:noProof/>
          <w:spacing w:val="-2"/>
          <w:sz w:val="20"/>
          <w:szCs w:val="20"/>
          <w:bdr w:val="nil"/>
          <w:lang w:val="es-CL"/>
        </w:rPr>
        <w:t xml:space="preserve">. </w:t>
      </w:r>
      <w:r w:rsidRPr="005E23C3">
        <w:rPr>
          <w:rFonts w:ascii="Cambria" w:hAnsi="Cambria" w:cs="Arial"/>
          <w:noProof/>
          <w:spacing w:val="-2"/>
          <w:sz w:val="20"/>
          <w:szCs w:val="20"/>
          <w:bdr w:val="nil"/>
          <w:lang w:val="es-CL"/>
        </w:rPr>
        <w:t>(Firmado): James L. Cavallaro, Presidente; Francisco José Eguiguren, Primer Vicepresidente; Margarette May Macaulay, Segunda Vicepresidenta; Paulo Vannuchi, Esmeralda E. Arosem</w:t>
      </w:r>
      <w:r w:rsidR="00285054">
        <w:rPr>
          <w:rFonts w:ascii="Cambria" w:hAnsi="Cambria" w:cs="Arial"/>
          <w:noProof/>
          <w:spacing w:val="-2"/>
          <w:sz w:val="20"/>
          <w:szCs w:val="20"/>
          <w:bdr w:val="nil"/>
          <w:lang w:val="es-CL"/>
        </w:rPr>
        <w:t>en</w:t>
      </w:r>
      <w:r w:rsidRPr="005E23C3">
        <w:rPr>
          <w:rFonts w:ascii="Cambria" w:hAnsi="Cambria" w:cs="Arial"/>
          <w:noProof/>
          <w:spacing w:val="-2"/>
          <w:sz w:val="20"/>
          <w:szCs w:val="20"/>
          <w:bdr w:val="nil"/>
          <w:lang w:val="es-CL"/>
        </w:rPr>
        <w:t>a Bernal de Troitiño, y Enrique Gil Botero, Miembros de la Comisión.</w:t>
      </w:r>
      <w:r w:rsidRPr="005E23C3">
        <w:rPr>
          <w:rFonts w:ascii="Cambria" w:hAnsi="Cambria" w:cs="Arial"/>
          <w:noProof/>
          <w:sz w:val="20"/>
          <w:szCs w:val="20"/>
          <w:bdr w:val="nil"/>
          <w:lang w:val="es-CL"/>
        </w:rPr>
        <w:t xml:space="preserve"> </w:t>
      </w:r>
    </w:p>
    <w:p w14:paraId="2046BB40" w14:textId="77777777" w:rsidR="005E23C3" w:rsidRPr="005E23C3" w:rsidRDefault="005E23C3" w:rsidP="005E23C3">
      <w:pPr>
        <w:pBdr>
          <w:top w:val="nil"/>
          <w:left w:val="nil"/>
          <w:bottom w:val="nil"/>
          <w:right w:val="nil"/>
          <w:between w:val="nil"/>
          <w:bar w:val="nil"/>
        </w:pBdr>
        <w:suppressAutoHyphens/>
        <w:ind w:firstLine="720"/>
        <w:jc w:val="both"/>
        <w:rPr>
          <w:rFonts w:ascii="Cambria" w:hAnsi="Cambria" w:cs="Arial"/>
          <w:noProof/>
          <w:spacing w:val="-2"/>
          <w:sz w:val="20"/>
          <w:szCs w:val="20"/>
          <w:bdr w:val="nil"/>
          <w:lang w:val="es-CL"/>
        </w:rPr>
      </w:pPr>
    </w:p>
    <w:sectPr w:rsidR="005E23C3" w:rsidRPr="005E23C3"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7DD4D" w14:textId="77777777" w:rsidR="00B754CC" w:rsidRDefault="00B754C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E067833" w14:textId="77777777" w:rsidR="00B754CC" w:rsidRDefault="00B754C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E39D8" w14:textId="77777777" w:rsidR="00093B87" w:rsidRDefault="00093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3DD9E" w14:textId="77777777" w:rsidR="003669FB" w:rsidRPr="00934A2C" w:rsidRDefault="003669FB">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93B87">
      <w:rPr>
        <w:noProof/>
        <w:sz w:val="16"/>
        <w:szCs w:val="22"/>
      </w:rPr>
      <w:t>8</w:t>
    </w:r>
    <w:r w:rsidRPr="00934A2C">
      <w:rPr>
        <w:sz w:val="16"/>
        <w:szCs w:val="22"/>
      </w:rPr>
      <w:fldChar w:fldCharType="end"/>
    </w:r>
  </w:p>
  <w:p w14:paraId="4CA9A707" w14:textId="77777777" w:rsidR="003669FB" w:rsidRDefault="003669FB">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95E8" w14:textId="77777777" w:rsidR="003669FB" w:rsidRPr="00934A2C" w:rsidRDefault="003669FB">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14:paraId="6880A545" w14:textId="77777777" w:rsidR="003669FB" w:rsidRDefault="003669FB">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EF1A9" w14:textId="77777777" w:rsidR="00B754CC" w:rsidRPr="000F35ED" w:rsidRDefault="00B754CC">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14:paraId="5FF884D5" w14:textId="77777777" w:rsidR="00B754CC" w:rsidRPr="000F35ED" w:rsidRDefault="00B754CC"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14:paraId="5C0CC594" w14:textId="77777777" w:rsidR="00B754CC" w:rsidRPr="000F35ED" w:rsidRDefault="00B754CC"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c</w:t>
      </w:r>
      <w:r w:rsidRPr="000F35ED">
        <w:rPr>
          <w:sz w:val="16"/>
          <w:szCs w:val="16"/>
        </w:rPr>
        <w:t>ontinuación</w:t>
      </w:r>
      <w:r>
        <w:rPr>
          <w:sz w:val="16"/>
          <w:szCs w:val="16"/>
        </w:rPr>
        <w:t>]</w:t>
      </w:r>
    </w:p>
  </w:footnote>
  <w:footnote w:type="continuationNotice" w:id="1">
    <w:p w14:paraId="5CBA91CD" w14:textId="77777777" w:rsidR="00B754CC" w:rsidRPr="000F35ED" w:rsidRDefault="00B754CC"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14:paraId="52CF9927" w14:textId="77777777" w:rsidR="003669FB" w:rsidRPr="00EC1083" w:rsidRDefault="003669FB" w:rsidP="00481DDB">
      <w:pPr>
        <w:pStyle w:val="FootnoteText"/>
        <w:pBdr>
          <w:top w:val="none" w:sz="96" w:space="14" w:color="FFFFFF" w:frame="1"/>
        </w:pBdr>
        <w:spacing w:after="120"/>
        <w:ind w:firstLine="720"/>
        <w:jc w:val="both"/>
        <w:rPr>
          <w:rFonts w:asciiTheme="majorHAnsi" w:hAnsiTheme="majorHAnsi"/>
          <w:color w:val="0070C0"/>
          <w:sz w:val="16"/>
          <w:szCs w:val="16"/>
          <w:lang w:val="es-MX"/>
        </w:rPr>
      </w:pPr>
      <w:r w:rsidRPr="00EC1083">
        <w:rPr>
          <w:rStyle w:val="FootnoteReference"/>
          <w:rFonts w:asciiTheme="majorHAnsi" w:hAnsiTheme="majorHAnsi"/>
          <w:color w:val="auto"/>
          <w:sz w:val="16"/>
          <w:szCs w:val="16"/>
        </w:rPr>
        <w:footnoteRef/>
      </w:r>
      <w:r w:rsidRPr="00EC1083">
        <w:rPr>
          <w:rFonts w:asciiTheme="majorHAnsi" w:hAnsiTheme="majorHAnsi"/>
          <w:color w:val="auto"/>
          <w:sz w:val="16"/>
          <w:szCs w:val="16"/>
          <w:lang w:val="es-MX"/>
        </w:rPr>
        <w:t xml:space="preserve"> Conforme </w:t>
      </w:r>
      <w:r w:rsidRPr="00EC1083">
        <w:rPr>
          <w:rFonts w:asciiTheme="majorHAnsi" w:hAnsiTheme="majorHAnsi" w:cs="Arial"/>
          <w:color w:val="auto"/>
          <w:sz w:val="16"/>
          <w:szCs w:val="16"/>
          <w:lang w:val="es-ES"/>
        </w:rPr>
        <w:t xml:space="preserve">a lo dispuesto en el artículo 17.2.a del Reglamento de la Comisión, el Comisionado José de Jesús Orozco Henríquez, de nacionalidad Mexicana, no participó en el debate ni en la decisión del presente asunto. </w:t>
      </w:r>
    </w:p>
  </w:footnote>
  <w:footnote w:id="3">
    <w:p w14:paraId="5A4941F9" w14:textId="77777777" w:rsidR="00E41C86" w:rsidRPr="0087081B" w:rsidRDefault="00E41C86" w:rsidP="00481DDB">
      <w:pPr>
        <w:pStyle w:val="FootnoteText"/>
        <w:pBdr>
          <w:top w:val="none" w:sz="96" w:space="5" w:color="FFFFFF" w:frame="1"/>
        </w:pBdr>
        <w:spacing w:after="120"/>
        <w:ind w:firstLine="720"/>
        <w:jc w:val="both"/>
        <w:rPr>
          <w:rFonts w:asciiTheme="majorHAnsi" w:hAnsiTheme="majorHAnsi"/>
          <w:lang w:val="es-ES_tradnl"/>
        </w:rPr>
      </w:pPr>
      <w:r w:rsidRPr="0087081B">
        <w:rPr>
          <w:rStyle w:val="FootnoteReference"/>
          <w:rFonts w:asciiTheme="majorHAnsi" w:hAnsiTheme="majorHAnsi"/>
          <w:sz w:val="16"/>
          <w:szCs w:val="16"/>
        </w:rPr>
        <w:footnoteRef/>
      </w:r>
      <w:r w:rsidRPr="00364197">
        <w:rPr>
          <w:rFonts w:asciiTheme="majorHAnsi" w:hAnsiTheme="majorHAnsi"/>
          <w:sz w:val="16"/>
          <w:szCs w:val="16"/>
          <w:lang w:val="es-UY"/>
        </w:rPr>
        <w:t>CIDH, Informe</w:t>
      </w:r>
      <w:r w:rsidRPr="00206CE2">
        <w:rPr>
          <w:rFonts w:asciiTheme="majorHAnsi" w:hAnsiTheme="majorHAnsi"/>
          <w:sz w:val="16"/>
          <w:szCs w:val="16"/>
          <w:lang w:val="es-UY"/>
        </w:rPr>
        <w:t xml:space="preserve"> </w:t>
      </w:r>
      <w:r w:rsidRPr="0087081B">
        <w:rPr>
          <w:rFonts w:asciiTheme="majorHAnsi" w:hAnsiTheme="majorHAnsi"/>
          <w:sz w:val="16"/>
          <w:szCs w:val="16"/>
          <w:lang w:val="es-UY"/>
        </w:rPr>
        <w:t xml:space="preserve">N° </w:t>
      </w:r>
      <w:r w:rsidRPr="00364197">
        <w:rPr>
          <w:rFonts w:asciiTheme="majorHAnsi" w:hAnsiTheme="majorHAnsi"/>
          <w:sz w:val="16"/>
          <w:szCs w:val="16"/>
          <w:lang w:val="es-UY"/>
        </w:rPr>
        <w:t>7/15, (Admisibilidad), Petición 547/04, José Antonio Bolaños Juárez, México, 2</w:t>
      </w:r>
      <w:r>
        <w:rPr>
          <w:rFonts w:asciiTheme="majorHAnsi" w:hAnsiTheme="majorHAnsi"/>
          <w:sz w:val="16"/>
          <w:szCs w:val="16"/>
          <w:lang w:val="es-UY"/>
        </w:rPr>
        <w:t>9 de enero De 2015, párrs. 20-23.</w:t>
      </w:r>
    </w:p>
  </w:footnote>
  <w:footnote w:id="4">
    <w:p w14:paraId="65862E34" w14:textId="32128A53" w:rsidR="00743F21" w:rsidRPr="0094710D" w:rsidRDefault="00743F21" w:rsidP="00481DDB">
      <w:pPr>
        <w:pStyle w:val="FootnoteText"/>
        <w:spacing w:after="120"/>
        <w:ind w:firstLine="720"/>
        <w:jc w:val="both"/>
        <w:rPr>
          <w:lang w:val="es-BO"/>
        </w:rPr>
      </w:pPr>
      <w:r w:rsidRPr="00D91341">
        <w:rPr>
          <w:rStyle w:val="FootnoteReference"/>
          <w:rFonts w:ascii="Cambria" w:hAnsi="Cambria"/>
          <w:sz w:val="16"/>
          <w:szCs w:val="16"/>
        </w:rPr>
        <w:footnoteRef/>
      </w:r>
      <w:r w:rsidR="00481DDB">
        <w:rPr>
          <w:rFonts w:ascii="Cambria" w:hAnsi="Cambria"/>
          <w:sz w:val="16"/>
          <w:szCs w:val="16"/>
          <w:lang w:val="es-ES"/>
        </w:rPr>
        <w:t xml:space="preserve"> </w:t>
      </w:r>
      <w:r w:rsidRPr="00D91341">
        <w:rPr>
          <w:rFonts w:ascii="Cambria" w:hAnsi="Cambria"/>
          <w:sz w:val="16"/>
          <w:szCs w:val="16"/>
          <w:lang w:val="es-ES"/>
        </w:rPr>
        <w:t xml:space="preserve">CIDH, Informe </w:t>
      </w:r>
      <w:r w:rsidRPr="0087081B">
        <w:rPr>
          <w:rFonts w:asciiTheme="majorHAnsi" w:hAnsiTheme="majorHAnsi"/>
          <w:sz w:val="16"/>
          <w:szCs w:val="16"/>
          <w:lang w:val="es-UY"/>
        </w:rPr>
        <w:t xml:space="preserve">N° </w:t>
      </w:r>
      <w:r w:rsidRPr="00D91341">
        <w:rPr>
          <w:rFonts w:ascii="Cambria" w:hAnsi="Cambria"/>
          <w:sz w:val="16"/>
          <w:szCs w:val="16"/>
          <w:lang w:val="es-ES"/>
        </w:rPr>
        <w:t>46/15</w:t>
      </w:r>
      <w:r>
        <w:rPr>
          <w:rFonts w:ascii="Cambria" w:hAnsi="Cambria"/>
          <w:sz w:val="16"/>
          <w:szCs w:val="16"/>
          <w:lang w:val="es-ES"/>
        </w:rPr>
        <w:t xml:space="preserve"> </w:t>
      </w:r>
      <w:r>
        <w:rPr>
          <w:rFonts w:asciiTheme="majorHAnsi" w:hAnsiTheme="majorHAnsi"/>
          <w:sz w:val="16"/>
          <w:szCs w:val="16"/>
          <w:lang w:val="es-UY"/>
        </w:rPr>
        <w:t>(Admisibilidad)</w:t>
      </w:r>
      <w:r w:rsidRPr="00D91341">
        <w:rPr>
          <w:rFonts w:ascii="Cambria" w:hAnsi="Cambria"/>
          <w:sz w:val="16"/>
          <w:szCs w:val="16"/>
          <w:lang w:val="es-ES"/>
        </w:rPr>
        <w:t>, Petici</w:t>
      </w:r>
      <w:r>
        <w:rPr>
          <w:rFonts w:ascii="Cambria" w:hAnsi="Cambria"/>
          <w:sz w:val="16"/>
          <w:szCs w:val="16"/>
          <w:lang w:val="es-ES"/>
        </w:rPr>
        <w:t>ón 315-01, Cristina Britez Arce, Argentina,</w:t>
      </w:r>
      <w:r w:rsidRPr="00D91341">
        <w:rPr>
          <w:rFonts w:ascii="Cambria" w:hAnsi="Cambria"/>
          <w:sz w:val="16"/>
          <w:szCs w:val="16"/>
          <w:lang w:val="es-ES"/>
        </w:rPr>
        <w:t xml:space="preserve"> 28 de julio de 2015, párr.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770D9" w14:textId="77777777" w:rsidR="003669FB" w:rsidRDefault="003669FB" w:rsidP="00B54CDF">
    <w:pPr>
      <w:pStyle w:val="Header"/>
      <w:framePr w:wrap="around" w:vAnchor="text" w:hAnchor="margin" w:xAlign="center" w:y="1"/>
      <w:rPr>
        <w:rStyle w:val="PageNumber"/>
        <w:rFonts w:eastAsia="Times New Roman" w:cs="Univers"/>
      </w:rPr>
    </w:pPr>
    <w:r>
      <w:rPr>
        <w:rStyle w:val="PageNumber"/>
        <w:rFonts w:eastAsia="Times New Roman" w:cs="Univers"/>
      </w:rPr>
      <w:fldChar w:fldCharType="begin"/>
    </w:r>
    <w:r>
      <w:rPr>
        <w:rStyle w:val="PageNumber"/>
        <w:rFonts w:eastAsia="Times New Roman" w:cs="Univers"/>
      </w:rPr>
      <w:instrText xml:space="preserve">PAGE  </w:instrText>
    </w:r>
    <w:r>
      <w:rPr>
        <w:rStyle w:val="PageNumber"/>
        <w:rFonts w:eastAsia="Times New Roman" w:cs="Univers"/>
      </w:rPr>
      <w:fldChar w:fldCharType="end"/>
    </w:r>
  </w:p>
  <w:p w14:paraId="746105AD" w14:textId="77777777" w:rsidR="003669FB" w:rsidRDefault="003669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06B30" w14:textId="77777777" w:rsidR="003669FB" w:rsidRDefault="003669FB" w:rsidP="00A50FCF">
    <w:pPr>
      <w:pStyle w:val="Header"/>
      <w:tabs>
        <w:tab w:val="clear" w:pos="4320"/>
        <w:tab w:val="clear" w:pos="8640"/>
      </w:tabs>
      <w:jc w:val="center"/>
      <w:rPr>
        <w:sz w:val="22"/>
        <w:szCs w:val="22"/>
      </w:rPr>
    </w:pPr>
    <w:r>
      <w:rPr>
        <w:noProof/>
        <w:sz w:val="22"/>
        <w:szCs w:val="22"/>
      </w:rPr>
      <w:drawing>
        <wp:inline distT="0" distB="0" distL="0" distR="0" wp14:anchorId="7EB6193F" wp14:editId="2AF391B4">
          <wp:extent cx="1949450" cy="10350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103505"/>
                  </a:xfrm>
                  <a:prstGeom prst="rect">
                    <a:avLst/>
                  </a:prstGeom>
                  <a:noFill/>
                  <a:ln>
                    <a:noFill/>
                  </a:ln>
                </pic:spPr>
              </pic:pic>
            </a:graphicData>
          </a:graphic>
        </wp:inline>
      </w:drawing>
    </w:r>
  </w:p>
  <w:p w14:paraId="0B8D0C5F" w14:textId="77777777" w:rsidR="003669FB" w:rsidRPr="00EC7D62" w:rsidRDefault="00B754CC" w:rsidP="00A50FCF">
    <w:pPr>
      <w:pStyle w:val="Header"/>
      <w:tabs>
        <w:tab w:val="clear" w:pos="4320"/>
        <w:tab w:val="clear" w:pos="8640"/>
      </w:tabs>
      <w:jc w:val="center"/>
      <w:rPr>
        <w:sz w:val="22"/>
        <w:szCs w:val="22"/>
      </w:rPr>
    </w:pPr>
    <w:r>
      <w:rPr>
        <w:sz w:val="22"/>
        <w:szCs w:val="22"/>
      </w:rPr>
      <w:pict w14:anchorId="5D297E21">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E6B77" w14:textId="77777777" w:rsidR="00093B87" w:rsidRDefault="00093B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firstLine="720"/>
      </w:pPr>
      <w:rPr>
        <w:rFonts w:ascii="Calibri" w:hAnsi="Calibri" w:cs="Calibri" w:hint="default"/>
        <w:b w:val="0"/>
        <w:bCs/>
        <w:i w:val="0"/>
        <w:color w:val="auto"/>
        <w:sz w:val="20"/>
        <w:szCs w:val="20"/>
      </w:rPr>
    </w:lvl>
    <w:lvl w:ilvl="1">
      <w:start w:val="2"/>
      <w:numFmt w:val="upperRoman"/>
      <w:lvlText w:val="%2."/>
      <w:lvlJc w:val="left"/>
      <w:pPr>
        <w:tabs>
          <w:tab w:val="num" w:pos="2520"/>
        </w:tabs>
        <w:ind w:left="2520" w:hanging="720"/>
      </w:pPr>
      <w:rPr>
        <w:rFonts w:cs="Times New Roman"/>
        <w:i w:val="0"/>
      </w:rPr>
    </w:lvl>
    <w:lvl w:ilvl="2">
      <w:start w:val="3"/>
      <w:numFmt w:val="decimal"/>
      <w:lvlText w:val="%3"/>
      <w:lvlJc w:val="left"/>
      <w:pPr>
        <w:tabs>
          <w:tab w:val="num" w:pos="3060"/>
        </w:tabs>
        <w:ind w:left="306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nsid w:val="0E1D2261"/>
    <w:multiLevelType w:val="hybridMultilevel"/>
    <w:tmpl w:val="C562F6E0"/>
    <w:lvl w:ilvl="0" w:tplc="96361A2C">
      <w:start w:val="4"/>
      <w:numFmt w:val="decimal"/>
      <w:lvlText w:val="%1."/>
      <w:lvlJc w:val="left"/>
      <w:pPr>
        <w:tabs>
          <w:tab w:val="num" w:pos="720"/>
        </w:tabs>
        <w:ind w:firstLine="720"/>
      </w:pPr>
      <w:rPr>
        <w:rFonts w:cs="Times New Roman" w:hint="default"/>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9">
    <w:nsid w:val="3D8F5268"/>
    <w:multiLevelType w:val="multilevel"/>
    <w:tmpl w:val="C562F6E0"/>
    <w:lvl w:ilvl="0">
      <w:start w:val="4"/>
      <w:numFmt w:val="decimal"/>
      <w:lvlText w:val="%1."/>
      <w:lvlJc w:val="left"/>
      <w:pPr>
        <w:tabs>
          <w:tab w:val="num" w:pos="720"/>
        </w:tabs>
        <w:ind w:firstLine="720"/>
      </w:pPr>
      <w:rPr>
        <w:rFonts w:cs="Times New Roman" w:hint="default"/>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4">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6">
    <w:nsid w:val="637E3506"/>
    <w:multiLevelType w:val="hybridMultilevel"/>
    <w:tmpl w:val="65BEB53A"/>
    <w:lvl w:ilvl="0" w:tplc="8C82E214">
      <w:start w:val="1"/>
      <w:numFmt w:val="decimal"/>
      <w:lvlText w:val="%1."/>
      <w:lvlJc w:val="left"/>
      <w:pPr>
        <w:tabs>
          <w:tab w:val="num" w:pos="63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nsid w:val="6ED81DD2"/>
    <w:multiLevelType w:val="hybridMultilevel"/>
    <w:tmpl w:val="17209BEA"/>
    <w:lvl w:ilvl="0" w:tplc="0409000F">
      <w:start w:val="1"/>
      <w:numFmt w:val="decimal"/>
      <w:lvlText w:val="%1."/>
      <w:lvlJc w:val="left"/>
      <w:pPr>
        <w:ind w:left="477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6"/>
  </w:num>
  <w:num w:numId="3">
    <w:abstractNumId w:val="54"/>
  </w:num>
  <w:num w:numId="4">
    <w:abstractNumId w:val="22"/>
  </w:num>
  <w:num w:numId="5">
    <w:abstractNumId w:val="47"/>
  </w:num>
  <w:num w:numId="6">
    <w:abstractNumId w:val="27"/>
  </w:num>
  <w:num w:numId="7">
    <w:abstractNumId w:val="7"/>
  </w:num>
  <w:num w:numId="8">
    <w:abstractNumId w:val="18"/>
  </w:num>
  <w:num w:numId="9">
    <w:abstractNumId w:val="42"/>
  </w:num>
  <w:num w:numId="10">
    <w:abstractNumId w:val="1"/>
  </w:num>
  <w:num w:numId="11">
    <w:abstractNumId w:val="37"/>
  </w:num>
  <w:num w:numId="12">
    <w:abstractNumId w:val="38"/>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5"/>
  </w:num>
  <w:num w:numId="42">
    <w:abstractNumId w:val="48"/>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1"/>
  </w:num>
  <w:num w:numId="52">
    <w:abstractNumId w:val="41"/>
  </w:num>
  <w:num w:numId="53">
    <w:abstractNumId w:val="51"/>
  </w:num>
  <w:num w:numId="54">
    <w:abstractNumId w:val="44"/>
  </w:num>
  <w:num w:numId="55">
    <w:abstractNumId w:val="46"/>
  </w:num>
  <w:num w:numId="56">
    <w:abstractNumId w:val="5"/>
  </w:num>
  <w:num w:numId="57">
    <w:abstractNumId w:val="11"/>
  </w:num>
  <w:num w:numId="58">
    <w:abstractNumId w:val="50"/>
  </w:num>
  <w:num w:numId="59">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11D"/>
    <w:rsid w:val="0000036F"/>
    <w:rsid w:val="00000CDA"/>
    <w:rsid w:val="00000EDC"/>
    <w:rsid w:val="00006E1F"/>
    <w:rsid w:val="000070D7"/>
    <w:rsid w:val="00013A16"/>
    <w:rsid w:val="0001498D"/>
    <w:rsid w:val="00016ABC"/>
    <w:rsid w:val="0001788C"/>
    <w:rsid w:val="00023404"/>
    <w:rsid w:val="00024654"/>
    <w:rsid w:val="00030678"/>
    <w:rsid w:val="00030772"/>
    <w:rsid w:val="00030917"/>
    <w:rsid w:val="00032530"/>
    <w:rsid w:val="00034527"/>
    <w:rsid w:val="00037A80"/>
    <w:rsid w:val="00040576"/>
    <w:rsid w:val="00040C3A"/>
    <w:rsid w:val="00044004"/>
    <w:rsid w:val="000468BF"/>
    <w:rsid w:val="000511ED"/>
    <w:rsid w:val="00057DD7"/>
    <w:rsid w:val="00065D4D"/>
    <w:rsid w:val="00066736"/>
    <w:rsid w:val="00066775"/>
    <w:rsid w:val="00066E7C"/>
    <w:rsid w:val="000716C5"/>
    <w:rsid w:val="00075E23"/>
    <w:rsid w:val="00081D61"/>
    <w:rsid w:val="000832DF"/>
    <w:rsid w:val="00083F4A"/>
    <w:rsid w:val="00092C0E"/>
    <w:rsid w:val="0009344A"/>
    <w:rsid w:val="00093B87"/>
    <w:rsid w:val="00096A36"/>
    <w:rsid w:val="000A392E"/>
    <w:rsid w:val="000A575F"/>
    <w:rsid w:val="000A67A7"/>
    <w:rsid w:val="000C16DA"/>
    <w:rsid w:val="000C21F7"/>
    <w:rsid w:val="000C2AC6"/>
    <w:rsid w:val="000C59EC"/>
    <w:rsid w:val="000C653B"/>
    <w:rsid w:val="000C796E"/>
    <w:rsid w:val="000D051B"/>
    <w:rsid w:val="000D10DB"/>
    <w:rsid w:val="000D2753"/>
    <w:rsid w:val="000E3ACA"/>
    <w:rsid w:val="000E5EB5"/>
    <w:rsid w:val="000F35ED"/>
    <w:rsid w:val="000F4C3C"/>
    <w:rsid w:val="000F4E0A"/>
    <w:rsid w:val="000F521B"/>
    <w:rsid w:val="000F64E8"/>
    <w:rsid w:val="000F7C1B"/>
    <w:rsid w:val="001042A6"/>
    <w:rsid w:val="0010466F"/>
    <w:rsid w:val="001067D2"/>
    <w:rsid w:val="00107131"/>
    <w:rsid w:val="0010736F"/>
    <w:rsid w:val="00107967"/>
    <w:rsid w:val="001108D7"/>
    <w:rsid w:val="00112D7A"/>
    <w:rsid w:val="00113F73"/>
    <w:rsid w:val="0011533B"/>
    <w:rsid w:val="001218CB"/>
    <w:rsid w:val="00121CC2"/>
    <w:rsid w:val="00125B76"/>
    <w:rsid w:val="00130A2E"/>
    <w:rsid w:val="00133EE5"/>
    <w:rsid w:val="00133FFB"/>
    <w:rsid w:val="0014424C"/>
    <w:rsid w:val="00144385"/>
    <w:rsid w:val="00150474"/>
    <w:rsid w:val="001520FA"/>
    <w:rsid w:val="00152E95"/>
    <w:rsid w:val="00153CAC"/>
    <w:rsid w:val="001557F1"/>
    <w:rsid w:val="0015651B"/>
    <w:rsid w:val="00161EE2"/>
    <w:rsid w:val="00165DEE"/>
    <w:rsid w:val="00166994"/>
    <w:rsid w:val="00167A34"/>
    <w:rsid w:val="001707A9"/>
    <w:rsid w:val="001712AF"/>
    <w:rsid w:val="0017245F"/>
    <w:rsid w:val="001736C0"/>
    <w:rsid w:val="00181364"/>
    <w:rsid w:val="00182D70"/>
    <w:rsid w:val="00186963"/>
    <w:rsid w:val="0019555C"/>
    <w:rsid w:val="0019566C"/>
    <w:rsid w:val="00195845"/>
    <w:rsid w:val="00197900"/>
    <w:rsid w:val="001A2798"/>
    <w:rsid w:val="001A3280"/>
    <w:rsid w:val="001A3821"/>
    <w:rsid w:val="001A400B"/>
    <w:rsid w:val="001A6E3B"/>
    <w:rsid w:val="001A701C"/>
    <w:rsid w:val="001A7870"/>
    <w:rsid w:val="001B2A9F"/>
    <w:rsid w:val="001C10EC"/>
    <w:rsid w:val="001C1B41"/>
    <w:rsid w:val="001C74FA"/>
    <w:rsid w:val="001C7FC5"/>
    <w:rsid w:val="001D0A98"/>
    <w:rsid w:val="001D6208"/>
    <w:rsid w:val="001D65EF"/>
    <w:rsid w:val="001E2EF4"/>
    <w:rsid w:val="001E542B"/>
    <w:rsid w:val="001F1EDE"/>
    <w:rsid w:val="001F4D06"/>
    <w:rsid w:val="00202138"/>
    <w:rsid w:val="00202374"/>
    <w:rsid w:val="00203CAB"/>
    <w:rsid w:val="0020657B"/>
    <w:rsid w:val="00206CE2"/>
    <w:rsid w:val="00216A4C"/>
    <w:rsid w:val="00220A5D"/>
    <w:rsid w:val="002250A3"/>
    <w:rsid w:val="00225525"/>
    <w:rsid w:val="0023306D"/>
    <w:rsid w:val="002341F3"/>
    <w:rsid w:val="00235217"/>
    <w:rsid w:val="002428AD"/>
    <w:rsid w:val="0024292C"/>
    <w:rsid w:val="00245CA3"/>
    <w:rsid w:val="00246D1F"/>
    <w:rsid w:val="00247403"/>
    <w:rsid w:val="00247542"/>
    <w:rsid w:val="00250F86"/>
    <w:rsid w:val="00251590"/>
    <w:rsid w:val="00253B14"/>
    <w:rsid w:val="0025468D"/>
    <w:rsid w:val="002561DA"/>
    <w:rsid w:val="00257FF7"/>
    <w:rsid w:val="00261DE9"/>
    <w:rsid w:val="00262BEA"/>
    <w:rsid w:val="0026525D"/>
    <w:rsid w:val="00266B61"/>
    <w:rsid w:val="0026712A"/>
    <w:rsid w:val="002704DB"/>
    <w:rsid w:val="00272AB4"/>
    <w:rsid w:val="00276F88"/>
    <w:rsid w:val="002803E2"/>
    <w:rsid w:val="002809E2"/>
    <w:rsid w:val="00282F64"/>
    <w:rsid w:val="002833D0"/>
    <w:rsid w:val="00285054"/>
    <w:rsid w:val="00293F8E"/>
    <w:rsid w:val="0029535E"/>
    <w:rsid w:val="00296FD0"/>
    <w:rsid w:val="002A0AAE"/>
    <w:rsid w:val="002A5820"/>
    <w:rsid w:val="002A72D1"/>
    <w:rsid w:val="002D279D"/>
    <w:rsid w:val="002D2B26"/>
    <w:rsid w:val="002D375B"/>
    <w:rsid w:val="002D47B6"/>
    <w:rsid w:val="002D6A01"/>
    <w:rsid w:val="002D7EA2"/>
    <w:rsid w:val="002D7F06"/>
    <w:rsid w:val="002E0A91"/>
    <w:rsid w:val="002E187C"/>
    <w:rsid w:val="002E1AC9"/>
    <w:rsid w:val="002E1DCD"/>
    <w:rsid w:val="002E31AA"/>
    <w:rsid w:val="002E3B3D"/>
    <w:rsid w:val="002E51B4"/>
    <w:rsid w:val="002F08A9"/>
    <w:rsid w:val="002F61DC"/>
    <w:rsid w:val="00302733"/>
    <w:rsid w:val="00303272"/>
    <w:rsid w:val="00305573"/>
    <w:rsid w:val="003065E5"/>
    <w:rsid w:val="003122F9"/>
    <w:rsid w:val="00313DD1"/>
    <w:rsid w:val="00314078"/>
    <w:rsid w:val="0031535D"/>
    <w:rsid w:val="0031781B"/>
    <w:rsid w:val="00327BDA"/>
    <w:rsid w:val="0033169F"/>
    <w:rsid w:val="00331D37"/>
    <w:rsid w:val="003332C7"/>
    <w:rsid w:val="0033467B"/>
    <w:rsid w:val="0034256B"/>
    <w:rsid w:val="00344B67"/>
    <w:rsid w:val="00346C95"/>
    <w:rsid w:val="00346CB3"/>
    <w:rsid w:val="0035160C"/>
    <w:rsid w:val="00351E91"/>
    <w:rsid w:val="00354FB5"/>
    <w:rsid w:val="00356185"/>
    <w:rsid w:val="00360380"/>
    <w:rsid w:val="00364197"/>
    <w:rsid w:val="00364B68"/>
    <w:rsid w:val="00365D51"/>
    <w:rsid w:val="003664B3"/>
    <w:rsid w:val="003669FB"/>
    <w:rsid w:val="0037376A"/>
    <w:rsid w:val="0037519E"/>
    <w:rsid w:val="00377886"/>
    <w:rsid w:val="003803CC"/>
    <w:rsid w:val="00384050"/>
    <w:rsid w:val="00386CF0"/>
    <w:rsid w:val="00391AB1"/>
    <w:rsid w:val="003946CA"/>
    <w:rsid w:val="003971D5"/>
    <w:rsid w:val="003A090A"/>
    <w:rsid w:val="003A0E08"/>
    <w:rsid w:val="003A4359"/>
    <w:rsid w:val="003A6BD2"/>
    <w:rsid w:val="003B5B1C"/>
    <w:rsid w:val="003B75C0"/>
    <w:rsid w:val="003C5618"/>
    <w:rsid w:val="003C676B"/>
    <w:rsid w:val="003C7097"/>
    <w:rsid w:val="003D2966"/>
    <w:rsid w:val="003D2C3F"/>
    <w:rsid w:val="003D3BC2"/>
    <w:rsid w:val="003E0C6C"/>
    <w:rsid w:val="003E22E3"/>
    <w:rsid w:val="003E6A46"/>
    <w:rsid w:val="003E6CA1"/>
    <w:rsid w:val="003E70E5"/>
    <w:rsid w:val="003E7316"/>
    <w:rsid w:val="003E75A9"/>
    <w:rsid w:val="003F06A6"/>
    <w:rsid w:val="003F6815"/>
    <w:rsid w:val="003F7A56"/>
    <w:rsid w:val="0040513F"/>
    <w:rsid w:val="00412A8C"/>
    <w:rsid w:val="0041508A"/>
    <w:rsid w:val="00416429"/>
    <w:rsid w:val="004165C2"/>
    <w:rsid w:val="004224BB"/>
    <w:rsid w:val="004242E5"/>
    <w:rsid w:val="00437ABA"/>
    <w:rsid w:val="00440D2C"/>
    <w:rsid w:val="00441DBA"/>
    <w:rsid w:val="00441ECB"/>
    <w:rsid w:val="00443EDF"/>
    <w:rsid w:val="004452BA"/>
    <w:rsid w:val="00446D2B"/>
    <w:rsid w:val="00447930"/>
    <w:rsid w:val="00450F05"/>
    <w:rsid w:val="004552D4"/>
    <w:rsid w:val="00456819"/>
    <w:rsid w:val="00457C81"/>
    <w:rsid w:val="00464AD3"/>
    <w:rsid w:val="00467B7E"/>
    <w:rsid w:val="004700C1"/>
    <w:rsid w:val="0047261F"/>
    <w:rsid w:val="00474F52"/>
    <w:rsid w:val="00477592"/>
    <w:rsid w:val="00480554"/>
    <w:rsid w:val="00481DDB"/>
    <w:rsid w:val="00482220"/>
    <w:rsid w:val="004839F8"/>
    <w:rsid w:val="00485810"/>
    <w:rsid w:val="00486241"/>
    <w:rsid w:val="00486F1C"/>
    <w:rsid w:val="0049265A"/>
    <w:rsid w:val="0049419D"/>
    <w:rsid w:val="004959EB"/>
    <w:rsid w:val="004A2781"/>
    <w:rsid w:val="004A683B"/>
    <w:rsid w:val="004B05E1"/>
    <w:rsid w:val="004B125A"/>
    <w:rsid w:val="004B2FE1"/>
    <w:rsid w:val="004B763E"/>
    <w:rsid w:val="004B7A65"/>
    <w:rsid w:val="004C06B2"/>
    <w:rsid w:val="004C20D2"/>
    <w:rsid w:val="004C4B62"/>
    <w:rsid w:val="004C54C9"/>
    <w:rsid w:val="004D077C"/>
    <w:rsid w:val="004D6025"/>
    <w:rsid w:val="004E1B41"/>
    <w:rsid w:val="004E2649"/>
    <w:rsid w:val="004E462C"/>
    <w:rsid w:val="004E688A"/>
    <w:rsid w:val="004F3300"/>
    <w:rsid w:val="004F3FB7"/>
    <w:rsid w:val="004F48DA"/>
    <w:rsid w:val="004F55BE"/>
    <w:rsid w:val="00501399"/>
    <w:rsid w:val="0050633D"/>
    <w:rsid w:val="00507BC4"/>
    <w:rsid w:val="005128E4"/>
    <w:rsid w:val="00512B5A"/>
    <w:rsid w:val="005131F9"/>
    <w:rsid w:val="005133DB"/>
    <w:rsid w:val="00515C78"/>
    <w:rsid w:val="005204BC"/>
    <w:rsid w:val="00523589"/>
    <w:rsid w:val="00525560"/>
    <w:rsid w:val="005316A2"/>
    <w:rsid w:val="00531A90"/>
    <w:rsid w:val="00535215"/>
    <w:rsid w:val="00541CA3"/>
    <w:rsid w:val="00544C49"/>
    <w:rsid w:val="005465F5"/>
    <w:rsid w:val="005478D3"/>
    <w:rsid w:val="00547C2B"/>
    <w:rsid w:val="005516A1"/>
    <w:rsid w:val="00552A9F"/>
    <w:rsid w:val="005532B4"/>
    <w:rsid w:val="00554A5F"/>
    <w:rsid w:val="00560D26"/>
    <w:rsid w:val="00563A30"/>
    <w:rsid w:val="00564F05"/>
    <w:rsid w:val="00565EAA"/>
    <w:rsid w:val="0057402A"/>
    <w:rsid w:val="00574114"/>
    <w:rsid w:val="005744DC"/>
    <w:rsid w:val="0057520E"/>
    <w:rsid w:val="005758BA"/>
    <w:rsid w:val="005771D0"/>
    <w:rsid w:val="00577729"/>
    <w:rsid w:val="00582DDD"/>
    <w:rsid w:val="005840CF"/>
    <w:rsid w:val="0059191A"/>
    <w:rsid w:val="005921FF"/>
    <w:rsid w:val="00593F5A"/>
    <w:rsid w:val="00594E40"/>
    <w:rsid w:val="00595CA4"/>
    <w:rsid w:val="00596831"/>
    <w:rsid w:val="005A3CDE"/>
    <w:rsid w:val="005A5CFB"/>
    <w:rsid w:val="005A6D0E"/>
    <w:rsid w:val="005B172F"/>
    <w:rsid w:val="005B2EA6"/>
    <w:rsid w:val="005B4763"/>
    <w:rsid w:val="005B52B0"/>
    <w:rsid w:val="005B6386"/>
    <w:rsid w:val="005B6806"/>
    <w:rsid w:val="005B7705"/>
    <w:rsid w:val="005C4225"/>
    <w:rsid w:val="005D00AB"/>
    <w:rsid w:val="005D202D"/>
    <w:rsid w:val="005D5603"/>
    <w:rsid w:val="005D6127"/>
    <w:rsid w:val="005E23C3"/>
    <w:rsid w:val="005E4B86"/>
    <w:rsid w:val="005E6692"/>
    <w:rsid w:val="005F0DAD"/>
    <w:rsid w:val="005F0F33"/>
    <w:rsid w:val="005F4B8F"/>
    <w:rsid w:val="006003F1"/>
    <w:rsid w:val="00600DEB"/>
    <w:rsid w:val="0061202E"/>
    <w:rsid w:val="006179B9"/>
    <w:rsid w:val="00624E57"/>
    <w:rsid w:val="00625C8F"/>
    <w:rsid w:val="00627C9F"/>
    <w:rsid w:val="006311E9"/>
    <w:rsid w:val="00632354"/>
    <w:rsid w:val="00632BCB"/>
    <w:rsid w:val="00635821"/>
    <w:rsid w:val="006361AA"/>
    <w:rsid w:val="0063685A"/>
    <w:rsid w:val="00642810"/>
    <w:rsid w:val="00645A82"/>
    <w:rsid w:val="00646E50"/>
    <w:rsid w:val="00650506"/>
    <w:rsid w:val="00651394"/>
    <w:rsid w:val="00652333"/>
    <w:rsid w:val="00654025"/>
    <w:rsid w:val="006548EA"/>
    <w:rsid w:val="00656696"/>
    <w:rsid w:val="00661979"/>
    <w:rsid w:val="0066351D"/>
    <w:rsid w:val="006651EC"/>
    <w:rsid w:val="00667CCA"/>
    <w:rsid w:val="006713EB"/>
    <w:rsid w:val="00671F7D"/>
    <w:rsid w:val="006722E8"/>
    <w:rsid w:val="0068009E"/>
    <w:rsid w:val="0068085F"/>
    <w:rsid w:val="00690858"/>
    <w:rsid w:val="00690AD7"/>
    <w:rsid w:val="00690D7C"/>
    <w:rsid w:val="00691DFC"/>
    <w:rsid w:val="00692219"/>
    <w:rsid w:val="00693523"/>
    <w:rsid w:val="006A0793"/>
    <w:rsid w:val="006A1474"/>
    <w:rsid w:val="006A17D2"/>
    <w:rsid w:val="006A183B"/>
    <w:rsid w:val="006A18F1"/>
    <w:rsid w:val="006A3038"/>
    <w:rsid w:val="006A5197"/>
    <w:rsid w:val="006A6BBE"/>
    <w:rsid w:val="006A73E6"/>
    <w:rsid w:val="006B0269"/>
    <w:rsid w:val="006B2747"/>
    <w:rsid w:val="006B2D5C"/>
    <w:rsid w:val="006B3536"/>
    <w:rsid w:val="006B585B"/>
    <w:rsid w:val="006C4EB1"/>
    <w:rsid w:val="006C54F1"/>
    <w:rsid w:val="006D16FD"/>
    <w:rsid w:val="006D23D9"/>
    <w:rsid w:val="006D335E"/>
    <w:rsid w:val="006D36BA"/>
    <w:rsid w:val="006E0166"/>
    <w:rsid w:val="006E0457"/>
    <w:rsid w:val="006E2E24"/>
    <w:rsid w:val="006E692D"/>
    <w:rsid w:val="006E7811"/>
    <w:rsid w:val="006E7B34"/>
    <w:rsid w:val="006E7E46"/>
    <w:rsid w:val="00702AF9"/>
    <w:rsid w:val="00704625"/>
    <w:rsid w:val="007046D1"/>
    <w:rsid w:val="00705125"/>
    <w:rsid w:val="00705174"/>
    <w:rsid w:val="0070697F"/>
    <w:rsid w:val="00710F52"/>
    <w:rsid w:val="00711192"/>
    <w:rsid w:val="0071139F"/>
    <w:rsid w:val="00714D50"/>
    <w:rsid w:val="00715F0E"/>
    <w:rsid w:val="00720851"/>
    <w:rsid w:val="0072199C"/>
    <w:rsid w:val="00722C9F"/>
    <w:rsid w:val="007253B8"/>
    <w:rsid w:val="00727629"/>
    <w:rsid w:val="00731759"/>
    <w:rsid w:val="007321ED"/>
    <w:rsid w:val="0073320B"/>
    <w:rsid w:val="0073741F"/>
    <w:rsid w:val="00743111"/>
    <w:rsid w:val="00743F21"/>
    <w:rsid w:val="007453EA"/>
    <w:rsid w:val="007478FF"/>
    <w:rsid w:val="007539FB"/>
    <w:rsid w:val="00757742"/>
    <w:rsid w:val="00757AFE"/>
    <w:rsid w:val="00765AA3"/>
    <w:rsid w:val="007663D1"/>
    <w:rsid w:val="0076643F"/>
    <w:rsid w:val="00770C3A"/>
    <w:rsid w:val="007728F7"/>
    <w:rsid w:val="00772E2E"/>
    <w:rsid w:val="007767F4"/>
    <w:rsid w:val="00777F63"/>
    <w:rsid w:val="00782D95"/>
    <w:rsid w:val="007845BF"/>
    <w:rsid w:val="007873CF"/>
    <w:rsid w:val="00787F1E"/>
    <w:rsid w:val="00791F39"/>
    <w:rsid w:val="00792A48"/>
    <w:rsid w:val="00795639"/>
    <w:rsid w:val="007A00B9"/>
    <w:rsid w:val="007A30F2"/>
    <w:rsid w:val="007A5817"/>
    <w:rsid w:val="007A6DC5"/>
    <w:rsid w:val="007B252D"/>
    <w:rsid w:val="007B5CB6"/>
    <w:rsid w:val="007B60E9"/>
    <w:rsid w:val="007B6CC3"/>
    <w:rsid w:val="007C2242"/>
    <w:rsid w:val="007C3334"/>
    <w:rsid w:val="007C655E"/>
    <w:rsid w:val="007D286D"/>
    <w:rsid w:val="007D2B98"/>
    <w:rsid w:val="007D3FD1"/>
    <w:rsid w:val="007D52EE"/>
    <w:rsid w:val="007E1669"/>
    <w:rsid w:val="007E21BC"/>
    <w:rsid w:val="007E26E2"/>
    <w:rsid w:val="007E42A6"/>
    <w:rsid w:val="007E5346"/>
    <w:rsid w:val="007E76AD"/>
    <w:rsid w:val="0080370D"/>
    <w:rsid w:val="00803F1C"/>
    <w:rsid w:val="008050B8"/>
    <w:rsid w:val="0080600E"/>
    <w:rsid w:val="00810643"/>
    <w:rsid w:val="00812B2B"/>
    <w:rsid w:val="00812B8A"/>
    <w:rsid w:val="00814112"/>
    <w:rsid w:val="00817612"/>
    <w:rsid w:val="0082414C"/>
    <w:rsid w:val="00824FD3"/>
    <w:rsid w:val="00825541"/>
    <w:rsid w:val="00831155"/>
    <w:rsid w:val="008338A4"/>
    <w:rsid w:val="00836E2B"/>
    <w:rsid w:val="00837C45"/>
    <w:rsid w:val="00842553"/>
    <w:rsid w:val="00844165"/>
    <w:rsid w:val="00844426"/>
    <w:rsid w:val="00844730"/>
    <w:rsid w:val="008447B1"/>
    <w:rsid w:val="00844D48"/>
    <w:rsid w:val="008457C2"/>
    <w:rsid w:val="00847102"/>
    <w:rsid w:val="00850150"/>
    <w:rsid w:val="00857032"/>
    <w:rsid w:val="00857A56"/>
    <w:rsid w:val="00857A82"/>
    <w:rsid w:val="0086301D"/>
    <w:rsid w:val="008635B6"/>
    <w:rsid w:val="0086455C"/>
    <w:rsid w:val="008651FF"/>
    <w:rsid w:val="0087081B"/>
    <w:rsid w:val="00872E3A"/>
    <w:rsid w:val="00873836"/>
    <w:rsid w:val="00875FF9"/>
    <w:rsid w:val="0087681A"/>
    <w:rsid w:val="00877DDC"/>
    <w:rsid w:val="008817AB"/>
    <w:rsid w:val="008835E6"/>
    <w:rsid w:val="00885035"/>
    <w:rsid w:val="00885737"/>
    <w:rsid w:val="008858F9"/>
    <w:rsid w:val="00890650"/>
    <w:rsid w:val="00893773"/>
    <w:rsid w:val="008970B9"/>
    <w:rsid w:val="00897E12"/>
    <w:rsid w:val="008A1D75"/>
    <w:rsid w:val="008A7E0F"/>
    <w:rsid w:val="008B12F5"/>
    <w:rsid w:val="008B3624"/>
    <w:rsid w:val="008B364F"/>
    <w:rsid w:val="008C4FD8"/>
    <w:rsid w:val="008C7FA1"/>
    <w:rsid w:val="008D534E"/>
    <w:rsid w:val="008D768D"/>
    <w:rsid w:val="008E3759"/>
    <w:rsid w:val="008E4906"/>
    <w:rsid w:val="008F1912"/>
    <w:rsid w:val="008F1FC3"/>
    <w:rsid w:val="008F518E"/>
    <w:rsid w:val="008F56A8"/>
    <w:rsid w:val="0090270B"/>
    <w:rsid w:val="0090382E"/>
    <w:rsid w:val="009041DC"/>
    <w:rsid w:val="00905527"/>
    <w:rsid w:val="00905B73"/>
    <w:rsid w:val="00905F0F"/>
    <w:rsid w:val="00906926"/>
    <w:rsid w:val="009100CE"/>
    <w:rsid w:val="00910E2F"/>
    <w:rsid w:val="00917B5A"/>
    <w:rsid w:val="00920120"/>
    <w:rsid w:val="00920A58"/>
    <w:rsid w:val="00920A8C"/>
    <w:rsid w:val="009319A0"/>
    <w:rsid w:val="00932B50"/>
    <w:rsid w:val="00934A2C"/>
    <w:rsid w:val="0094412F"/>
    <w:rsid w:val="00946A6F"/>
    <w:rsid w:val="0094710D"/>
    <w:rsid w:val="00951998"/>
    <w:rsid w:val="009568DB"/>
    <w:rsid w:val="00956A07"/>
    <w:rsid w:val="009612FE"/>
    <w:rsid w:val="00962C13"/>
    <w:rsid w:val="00962D12"/>
    <w:rsid w:val="00963A80"/>
    <w:rsid w:val="00966A67"/>
    <w:rsid w:val="0096706E"/>
    <w:rsid w:val="009750C4"/>
    <w:rsid w:val="00975C4E"/>
    <w:rsid w:val="00975CF8"/>
    <w:rsid w:val="00981FBA"/>
    <w:rsid w:val="00982994"/>
    <w:rsid w:val="00985805"/>
    <w:rsid w:val="00986BEA"/>
    <w:rsid w:val="00986EB0"/>
    <w:rsid w:val="009911F0"/>
    <w:rsid w:val="00993997"/>
    <w:rsid w:val="0099542C"/>
    <w:rsid w:val="00996E8A"/>
    <w:rsid w:val="00997BC5"/>
    <w:rsid w:val="009A1CA7"/>
    <w:rsid w:val="009A1D3C"/>
    <w:rsid w:val="009A29DB"/>
    <w:rsid w:val="009A4B1F"/>
    <w:rsid w:val="009A4F41"/>
    <w:rsid w:val="009B14C6"/>
    <w:rsid w:val="009B2E24"/>
    <w:rsid w:val="009B381B"/>
    <w:rsid w:val="009B5D57"/>
    <w:rsid w:val="009B646B"/>
    <w:rsid w:val="009C400B"/>
    <w:rsid w:val="009D1753"/>
    <w:rsid w:val="009D7611"/>
    <w:rsid w:val="009E0B61"/>
    <w:rsid w:val="009E53DE"/>
    <w:rsid w:val="009E5B3A"/>
    <w:rsid w:val="009F0250"/>
    <w:rsid w:val="009F0583"/>
    <w:rsid w:val="009F088E"/>
    <w:rsid w:val="009F0B9A"/>
    <w:rsid w:val="009F4B5E"/>
    <w:rsid w:val="00A01CBD"/>
    <w:rsid w:val="00A02949"/>
    <w:rsid w:val="00A1165D"/>
    <w:rsid w:val="00A124E2"/>
    <w:rsid w:val="00A156BA"/>
    <w:rsid w:val="00A17807"/>
    <w:rsid w:val="00A21F6E"/>
    <w:rsid w:val="00A22502"/>
    <w:rsid w:val="00A233F1"/>
    <w:rsid w:val="00A23C42"/>
    <w:rsid w:val="00A274F0"/>
    <w:rsid w:val="00A31261"/>
    <w:rsid w:val="00A31C61"/>
    <w:rsid w:val="00A328B3"/>
    <w:rsid w:val="00A334E8"/>
    <w:rsid w:val="00A45363"/>
    <w:rsid w:val="00A465BF"/>
    <w:rsid w:val="00A473F7"/>
    <w:rsid w:val="00A47F90"/>
    <w:rsid w:val="00A50FCF"/>
    <w:rsid w:val="00A528D1"/>
    <w:rsid w:val="00A52D49"/>
    <w:rsid w:val="00A55858"/>
    <w:rsid w:val="00A57A47"/>
    <w:rsid w:val="00A610CD"/>
    <w:rsid w:val="00A630FF"/>
    <w:rsid w:val="00A6496D"/>
    <w:rsid w:val="00A6635B"/>
    <w:rsid w:val="00A717A8"/>
    <w:rsid w:val="00A72B47"/>
    <w:rsid w:val="00A73AB7"/>
    <w:rsid w:val="00A80044"/>
    <w:rsid w:val="00A85C67"/>
    <w:rsid w:val="00A96364"/>
    <w:rsid w:val="00AA09A2"/>
    <w:rsid w:val="00AA0A46"/>
    <w:rsid w:val="00AA2DE4"/>
    <w:rsid w:val="00AA36EE"/>
    <w:rsid w:val="00AA3E3F"/>
    <w:rsid w:val="00AA7996"/>
    <w:rsid w:val="00AB32F0"/>
    <w:rsid w:val="00AB3B29"/>
    <w:rsid w:val="00AC19CB"/>
    <w:rsid w:val="00AC275B"/>
    <w:rsid w:val="00AC614B"/>
    <w:rsid w:val="00AD744F"/>
    <w:rsid w:val="00AE0EDC"/>
    <w:rsid w:val="00AE4557"/>
    <w:rsid w:val="00AE455E"/>
    <w:rsid w:val="00AE4DA0"/>
    <w:rsid w:val="00AE4DC6"/>
    <w:rsid w:val="00AE5488"/>
    <w:rsid w:val="00AE6F91"/>
    <w:rsid w:val="00AF170D"/>
    <w:rsid w:val="00AF2198"/>
    <w:rsid w:val="00AF2CE1"/>
    <w:rsid w:val="00AF5571"/>
    <w:rsid w:val="00B01C91"/>
    <w:rsid w:val="00B020E1"/>
    <w:rsid w:val="00B02892"/>
    <w:rsid w:val="00B04E43"/>
    <w:rsid w:val="00B05658"/>
    <w:rsid w:val="00B056A5"/>
    <w:rsid w:val="00B071E3"/>
    <w:rsid w:val="00B07341"/>
    <w:rsid w:val="00B07F31"/>
    <w:rsid w:val="00B10875"/>
    <w:rsid w:val="00B12131"/>
    <w:rsid w:val="00B1377E"/>
    <w:rsid w:val="00B1731E"/>
    <w:rsid w:val="00B17BAF"/>
    <w:rsid w:val="00B216AB"/>
    <w:rsid w:val="00B3043F"/>
    <w:rsid w:val="00B30539"/>
    <w:rsid w:val="00B314DB"/>
    <w:rsid w:val="00B338D4"/>
    <w:rsid w:val="00B34DBE"/>
    <w:rsid w:val="00B35665"/>
    <w:rsid w:val="00B360ED"/>
    <w:rsid w:val="00B361F2"/>
    <w:rsid w:val="00B3718B"/>
    <w:rsid w:val="00B40E17"/>
    <w:rsid w:val="00B445BE"/>
    <w:rsid w:val="00B4632A"/>
    <w:rsid w:val="00B476CA"/>
    <w:rsid w:val="00B530F1"/>
    <w:rsid w:val="00B54B5C"/>
    <w:rsid w:val="00B54CDF"/>
    <w:rsid w:val="00B66FAA"/>
    <w:rsid w:val="00B754CC"/>
    <w:rsid w:val="00B80AAF"/>
    <w:rsid w:val="00B851B0"/>
    <w:rsid w:val="00B90C93"/>
    <w:rsid w:val="00B956F2"/>
    <w:rsid w:val="00BA0150"/>
    <w:rsid w:val="00BA276C"/>
    <w:rsid w:val="00BB0709"/>
    <w:rsid w:val="00BB1957"/>
    <w:rsid w:val="00BB20AD"/>
    <w:rsid w:val="00BB306F"/>
    <w:rsid w:val="00BB7ECF"/>
    <w:rsid w:val="00BC1FC0"/>
    <w:rsid w:val="00BC2990"/>
    <w:rsid w:val="00BC672F"/>
    <w:rsid w:val="00BD4B89"/>
    <w:rsid w:val="00BD56A5"/>
    <w:rsid w:val="00BD59B0"/>
    <w:rsid w:val="00BE2BDE"/>
    <w:rsid w:val="00BE5D72"/>
    <w:rsid w:val="00BF4EC3"/>
    <w:rsid w:val="00BF501C"/>
    <w:rsid w:val="00BF64F4"/>
    <w:rsid w:val="00BF6FD8"/>
    <w:rsid w:val="00C00B36"/>
    <w:rsid w:val="00C01468"/>
    <w:rsid w:val="00C03680"/>
    <w:rsid w:val="00C054DF"/>
    <w:rsid w:val="00C06330"/>
    <w:rsid w:val="00C10BDE"/>
    <w:rsid w:val="00C13F1E"/>
    <w:rsid w:val="00C1563D"/>
    <w:rsid w:val="00C21762"/>
    <w:rsid w:val="00C24543"/>
    <w:rsid w:val="00C256A2"/>
    <w:rsid w:val="00C25C7A"/>
    <w:rsid w:val="00C27236"/>
    <w:rsid w:val="00C35523"/>
    <w:rsid w:val="00C36AB1"/>
    <w:rsid w:val="00C4158B"/>
    <w:rsid w:val="00C43963"/>
    <w:rsid w:val="00C51515"/>
    <w:rsid w:val="00C51DEE"/>
    <w:rsid w:val="00C5660B"/>
    <w:rsid w:val="00C56A9B"/>
    <w:rsid w:val="00C625FB"/>
    <w:rsid w:val="00C64E3A"/>
    <w:rsid w:val="00C66B72"/>
    <w:rsid w:val="00C67482"/>
    <w:rsid w:val="00C67861"/>
    <w:rsid w:val="00C740B0"/>
    <w:rsid w:val="00C77B4F"/>
    <w:rsid w:val="00C805B6"/>
    <w:rsid w:val="00C8153E"/>
    <w:rsid w:val="00C82E9F"/>
    <w:rsid w:val="00C84B38"/>
    <w:rsid w:val="00C9567A"/>
    <w:rsid w:val="00CA4B0F"/>
    <w:rsid w:val="00CB0578"/>
    <w:rsid w:val="00CB1B3A"/>
    <w:rsid w:val="00CB212D"/>
    <w:rsid w:val="00CB2660"/>
    <w:rsid w:val="00CB3145"/>
    <w:rsid w:val="00CB55F9"/>
    <w:rsid w:val="00CB68F8"/>
    <w:rsid w:val="00CC4644"/>
    <w:rsid w:val="00CC5E90"/>
    <w:rsid w:val="00CC63F3"/>
    <w:rsid w:val="00CC6E48"/>
    <w:rsid w:val="00CD046C"/>
    <w:rsid w:val="00CD2817"/>
    <w:rsid w:val="00CD3C65"/>
    <w:rsid w:val="00CE04D4"/>
    <w:rsid w:val="00CE076C"/>
    <w:rsid w:val="00CE4B4E"/>
    <w:rsid w:val="00CE5199"/>
    <w:rsid w:val="00CE6553"/>
    <w:rsid w:val="00CE66D5"/>
    <w:rsid w:val="00CF51CE"/>
    <w:rsid w:val="00CF637A"/>
    <w:rsid w:val="00CF77CE"/>
    <w:rsid w:val="00D002FF"/>
    <w:rsid w:val="00D052C2"/>
    <w:rsid w:val="00D059DE"/>
    <w:rsid w:val="00D05F66"/>
    <w:rsid w:val="00D110D7"/>
    <w:rsid w:val="00D13FCE"/>
    <w:rsid w:val="00D143B2"/>
    <w:rsid w:val="00D143EA"/>
    <w:rsid w:val="00D1656C"/>
    <w:rsid w:val="00D219D3"/>
    <w:rsid w:val="00D221BC"/>
    <w:rsid w:val="00D306D1"/>
    <w:rsid w:val="00D32942"/>
    <w:rsid w:val="00D33121"/>
    <w:rsid w:val="00D34786"/>
    <w:rsid w:val="00D34CDE"/>
    <w:rsid w:val="00D354CF"/>
    <w:rsid w:val="00D3554C"/>
    <w:rsid w:val="00D377B9"/>
    <w:rsid w:val="00D37BFC"/>
    <w:rsid w:val="00D41E96"/>
    <w:rsid w:val="00D454E9"/>
    <w:rsid w:val="00D47A8E"/>
    <w:rsid w:val="00D52D14"/>
    <w:rsid w:val="00D53598"/>
    <w:rsid w:val="00D65137"/>
    <w:rsid w:val="00D712D3"/>
    <w:rsid w:val="00D71422"/>
    <w:rsid w:val="00D72DC6"/>
    <w:rsid w:val="00D7558D"/>
    <w:rsid w:val="00D7791F"/>
    <w:rsid w:val="00D77BE6"/>
    <w:rsid w:val="00D81D92"/>
    <w:rsid w:val="00D87A44"/>
    <w:rsid w:val="00D91341"/>
    <w:rsid w:val="00D969BE"/>
    <w:rsid w:val="00DA2558"/>
    <w:rsid w:val="00DA2B18"/>
    <w:rsid w:val="00DA4D1D"/>
    <w:rsid w:val="00DA7B5F"/>
    <w:rsid w:val="00DB2EEB"/>
    <w:rsid w:val="00DC11E7"/>
    <w:rsid w:val="00DC38E9"/>
    <w:rsid w:val="00DC7023"/>
    <w:rsid w:val="00DC769A"/>
    <w:rsid w:val="00DD3D86"/>
    <w:rsid w:val="00DD5DE4"/>
    <w:rsid w:val="00DE0CB6"/>
    <w:rsid w:val="00DE2D7B"/>
    <w:rsid w:val="00DE51DC"/>
    <w:rsid w:val="00DE6B0B"/>
    <w:rsid w:val="00DF1EC4"/>
    <w:rsid w:val="00DF37DE"/>
    <w:rsid w:val="00DF44D7"/>
    <w:rsid w:val="00DF4D32"/>
    <w:rsid w:val="00E0340B"/>
    <w:rsid w:val="00E046CD"/>
    <w:rsid w:val="00E04A90"/>
    <w:rsid w:val="00E121AE"/>
    <w:rsid w:val="00E13420"/>
    <w:rsid w:val="00E15A58"/>
    <w:rsid w:val="00E20F88"/>
    <w:rsid w:val="00E21043"/>
    <w:rsid w:val="00E219C7"/>
    <w:rsid w:val="00E24FF8"/>
    <w:rsid w:val="00E2604F"/>
    <w:rsid w:val="00E30122"/>
    <w:rsid w:val="00E406CB"/>
    <w:rsid w:val="00E41C86"/>
    <w:rsid w:val="00E423BF"/>
    <w:rsid w:val="00E43157"/>
    <w:rsid w:val="00E445A9"/>
    <w:rsid w:val="00E45005"/>
    <w:rsid w:val="00E4546E"/>
    <w:rsid w:val="00E461CE"/>
    <w:rsid w:val="00E46AA7"/>
    <w:rsid w:val="00E46B2C"/>
    <w:rsid w:val="00E50536"/>
    <w:rsid w:val="00E51F4A"/>
    <w:rsid w:val="00E57BB8"/>
    <w:rsid w:val="00E65B29"/>
    <w:rsid w:val="00E66340"/>
    <w:rsid w:val="00E67B25"/>
    <w:rsid w:val="00E720CA"/>
    <w:rsid w:val="00E73BBB"/>
    <w:rsid w:val="00E80288"/>
    <w:rsid w:val="00E81D32"/>
    <w:rsid w:val="00E84EB5"/>
    <w:rsid w:val="00E85662"/>
    <w:rsid w:val="00E8789F"/>
    <w:rsid w:val="00E90288"/>
    <w:rsid w:val="00E91663"/>
    <w:rsid w:val="00E9460C"/>
    <w:rsid w:val="00E97B71"/>
    <w:rsid w:val="00EA1780"/>
    <w:rsid w:val="00EA1785"/>
    <w:rsid w:val="00EA387E"/>
    <w:rsid w:val="00EA3D34"/>
    <w:rsid w:val="00EA3F7B"/>
    <w:rsid w:val="00EB0A22"/>
    <w:rsid w:val="00EB454D"/>
    <w:rsid w:val="00EC19E3"/>
    <w:rsid w:val="00EC1BCA"/>
    <w:rsid w:val="00EC1F00"/>
    <w:rsid w:val="00EC5989"/>
    <w:rsid w:val="00EC5A34"/>
    <w:rsid w:val="00EC64B0"/>
    <w:rsid w:val="00EC7D62"/>
    <w:rsid w:val="00ED0D9C"/>
    <w:rsid w:val="00ED3A83"/>
    <w:rsid w:val="00ED5450"/>
    <w:rsid w:val="00ED59BB"/>
    <w:rsid w:val="00ED6E9D"/>
    <w:rsid w:val="00ED76BE"/>
    <w:rsid w:val="00EE1428"/>
    <w:rsid w:val="00EE4446"/>
    <w:rsid w:val="00EE59CA"/>
    <w:rsid w:val="00EE7B31"/>
    <w:rsid w:val="00EF1E7A"/>
    <w:rsid w:val="00EF4CEA"/>
    <w:rsid w:val="00EF619B"/>
    <w:rsid w:val="00EF6F79"/>
    <w:rsid w:val="00F00B55"/>
    <w:rsid w:val="00F01097"/>
    <w:rsid w:val="00F02AD1"/>
    <w:rsid w:val="00F04E62"/>
    <w:rsid w:val="00F15DD3"/>
    <w:rsid w:val="00F17D97"/>
    <w:rsid w:val="00F218CC"/>
    <w:rsid w:val="00F2241E"/>
    <w:rsid w:val="00F253CC"/>
    <w:rsid w:val="00F258BD"/>
    <w:rsid w:val="00F2709B"/>
    <w:rsid w:val="00F36695"/>
    <w:rsid w:val="00F37106"/>
    <w:rsid w:val="00F371FD"/>
    <w:rsid w:val="00F42CE4"/>
    <w:rsid w:val="00F519CF"/>
    <w:rsid w:val="00F52013"/>
    <w:rsid w:val="00F52754"/>
    <w:rsid w:val="00F56BA5"/>
    <w:rsid w:val="00F5792C"/>
    <w:rsid w:val="00F57F2D"/>
    <w:rsid w:val="00F60E22"/>
    <w:rsid w:val="00F61A78"/>
    <w:rsid w:val="00F64A25"/>
    <w:rsid w:val="00F64B1E"/>
    <w:rsid w:val="00F679E4"/>
    <w:rsid w:val="00F705D3"/>
    <w:rsid w:val="00F7065A"/>
    <w:rsid w:val="00F729C4"/>
    <w:rsid w:val="00F77FB5"/>
    <w:rsid w:val="00F81395"/>
    <w:rsid w:val="00F84A5C"/>
    <w:rsid w:val="00F8686E"/>
    <w:rsid w:val="00F917D1"/>
    <w:rsid w:val="00F91F56"/>
    <w:rsid w:val="00F9329D"/>
    <w:rsid w:val="00F9431D"/>
    <w:rsid w:val="00F94583"/>
    <w:rsid w:val="00F94F43"/>
    <w:rsid w:val="00F9653B"/>
    <w:rsid w:val="00F97749"/>
    <w:rsid w:val="00FA30D6"/>
    <w:rsid w:val="00FA44CE"/>
    <w:rsid w:val="00FA5080"/>
    <w:rsid w:val="00FB1ADA"/>
    <w:rsid w:val="00FB2655"/>
    <w:rsid w:val="00FB59D3"/>
    <w:rsid w:val="00FB62CF"/>
    <w:rsid w:val="00FC4CFE"/>
    <w:rsid w:val="00FC639C"/>
    <w:rsid w:val="00FD1E17"/>
    <w:rsid w:val="00FD3532"/>
    <w:rsid w:val="00FD3C3B"/>
    <w:rsid w:val="00FE3386"/>
    <w:rsid w:val="00FE5F37"/>
    <w:rsid w:val="00FE6B45"/>
    <w:rsid w:val="00FF32B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6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caption" w:locked="1" w:uiPriority="0" w:qFormat="1"/>
    <w:lsdException w:name="footnote reference" w:locked="1" w:semiHidden="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0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195845"/>
    <w:rPr>
      <w:rFonts w:cs="Times New Roman"/>
      <w:u w:val="single"/>
    </w:rPr>
  </w:style>
  <w:style w:type="paragraph" w:customStyle="1" w:styleId="Cabeceraypie">
    <w:name w:val="Cabecera y pie"/>
    <w:uiPriority w:val="99"/>
    <w:rsid w:val="0019584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s-ES" w:eastAsia="es-ES"/>
    </w:rPr>
  </w:style>
  <w:style w:type="paragraph" w:styleId="Footer">
    <w:name w:val="footer"/>
    <w:basedOn w:val="Normal"/>
    <w:link w:val="FooterChar"/>
    <w:uiPriority w:val="99"/>
    <w:rsid w:val="00195845"/>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19584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195845"/>
    <w:pPr>
      <w:ind w:left="2160" w:hanging="720"/>
    </w:pPr>
    <w:rPr>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0E66D5"/>
    <w:rPr>
      <w:sz w:val="24"/>
      <w:szCs w:val="24"/>
    </w:rPr>
  </w:style>
  <w:style w:type="paragraph" w:styleId="ListParagraph">
    <w:name w:val="List Paragraph"/>
    <w:basedOn w:val="Normal"/>
    <w:uiPriority w:val="99"/>
    <w:qFormat/>
    <w:rsid w:val="00195845"/>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t,C"/>
    <w:basedOn w:val="Normal"/>
    <w:link w:val="FootnoteTextChar1"/>
    <w:uiPriority w:val="99"/>
    <w:rsid w:val="00481DDB"/>
    <w:pPr>
      <w:pBdr>
        <w:top w:val="none" w:sz="0" w:space="0" w:color="auto"/>
        <w:left w:val="none" w:sz="0" w:space="0" w:color="auto"/>
        <w:bottom w:val="none" w:sz="0" w:space="0" w:color="auto"/>
        <w:right w:val="none" w:sz="0" w:space="0" w:color="auto"/>
        <w:bar w:val="none" w:sz="0" w:color="auto"/>
      </w:pBdr>
    </w:pPr>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rsid w:val="000E66D5"/>
    <w:rPr>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basedOn w:val="DefaultParagraphFont"/>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481DDB"/>
    <w:rPr>
      <w:rFonts w:ascii="Calibri" w:hAnsi="Calibri"/>
      <w:color w:val="000000"/>
      <w:sz w:val="20"/>
      <w:szCs w:val="20"/>
      <w:u w:color="000000"/>
    </w:rPr>
  </w:style>
  <w:style w:type="paragraph" w:customStyle="1" w:styleId="Default">
    <w:name w:val="Default"/>
    <w:link w:val="DefaultChar"/>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color w:val="000000"/>
      <w:sz w:val="24"/>
      <w:szCs w:val="24"/>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lang w:val="en-US" w:eastAsia="en-US"/>
    </w:rPr>
  </w:style>
  <w:style w:type="character" w:customStyle="1" w:styleId="apple-converted-space">
    <w:name w:val="apple-converted-space"/>
    <w:basedOn w:val="DefaultParagraphFont"/>
    <w:uiPriority w:val="99"/>
    <w:rsid w:val="00F01097"/>
    <w:rPr>
      <w:rFonts w:cs="Times New Roman"/>
    </w:rPr>
  </w:style>
  <w:style w:type="numbering" w:customStyle="1" w:styleId="List16">
    <w:name w:val="List 16"/>
    <w:rsid w:val="000E66D5"/>
    <w:pPr>
      <w:numPr>
        <w:numId w:val="10"/>
      </w:numPr>
    </w:pPr>
  </w:style>
  <w:style w:type="numbering" w:customStyle="1" w:styleId="List36">
    <w:name w:val="List 36"/>
    <w:rsid w:val="000E66D5"/>
    <w:pPr>
      <w:numPr>
        <w:numId w:val="14"/>
      </w:numPr>
    </w:pPr>
  </w:style>
  <w:style w:type="numbering" w:customStyle="1" w:styleId="List25">
    <w:name w:val="List 25"/>
    <w:rsid w:val="000E66D5"/>
    <w:pPr>
      <w:numPr>
        <w:numId w:val="15"/>
      </w:numPr>
    </w:pPr>
  </w:style>
  <w:style w:type="numbering" w:customStyle="1" w:styleId="List1">
    <w:name w:val="List 1"/>
    <w:rsid w:val="000E66D5"/>
    <w:pPr>
      <w:numPr>
        <w:numId w:val="1"/>
      </w:numPr>
    </w:pPr>
  </w:style>
  <w:style w:type="numbering" w:customStyle="1" w:styleId="List11">
    <w:name w:val="List 11"/>
    <w:rsid w:val="000E66D5"/>
    <w:pPr>
      <w:numPr>
        <w:numId w:val="7"/>
      </w:numPr>
    </w:pPr>
  </w:style>
  <w:style w:type="numbering" w:customStyle="1" w:styleId="List15">
    <w:name w:val="List 15"/>
    <w:rsid w:val="000E66D5"/>
    <w:pPr>
      <w:numPr>
        <w:numId w:val="16"/>
      </w:numPr>
    </w:pPr>
  </w:style>
  <w:style w:type="numbering" w:customStyle="1" w:styleId="List14">
    <w:name w:val="List 14"/>
    <w:rsid w:val="000E66D5"/>
    <w:pPr>
      <w:numPr>
        <w:numId w:val="17"/>
      </w:numPr>
    </w:pPr>
  </w:style>
  <w:style w:type="numbering" w:customStyle="1" w:styleId="List23">
    <w:name w:val="List 23"/>
    <w:rsid w:val="000E66D5"/>
    <w:pPr>
      <w:numPr>
        <w:numId w:val="18"/>
      </w:numPr>
    </w:pPr>
  </w:style>
  <w:style w:type="numbering" w:customStyle="1" w:styleId="List19">
    <w:name w:val="List 19"/>
    <w:rsid w:val="000E66D5"/>
    <w:pPr>
      <w:numPr>
        <w:numId w:val="19"/>
      </w:numPr>
    </w:pPr>
  </w:style>
  <w:style w:type="numbering" w:customStyle="1" w:styleId="List45">
    <w:name w:val="List 45"/>
    <w:rsid w:val="000E66D5"/>
    <w:pPr>
      <w:numPr>
        <w:numId w:val="20"/>
      </w:numPr>
    </w:pPr>
  </w:style>
  <w:style w:type="numbering" w:customStyle="1" w:styleId="List40">
    <w:name w:val="List 40"/>
    <w:rsid w:val="000E66D5"/>
    <w:pPr>
      <w:numPr>
        <w:numId w:val="21"/>
      </w:numPr>
    </w:pPr>
  </w:style>
  <w:style w:type="numbering" w:customStyle="1" w:styleId="List9">
    <w:name w:val="List 9"/>
    <w:rsid w:val="000E66D5"/>
    <w:pPr>
      <w:numPr>
        <w:numId w:val="22"/>
      </w:numPr>
    </w:pPr>
  </w:style>
  <w:style w:type="numbering" w:customStyle="1" w:styleId="List43">
    <w:name w:val="List 43"/>
    <w:rsid w:val="000E66D5"/>
    <w:pPr>
      <w:numPr>
        <w:numId w:val="23"/>
      </w:numPr>
    </w:pPr>
  </w:style>
  <w:style w:type="numbering" w:customStyle="1" w:styleId="List46">
    <w:name w:val="List 46"/>
    <w:rsid w:val="000E66D5"/>
    <w:pPr>
      <w:numPr>
        <w:numId w:val="24"/>
      </w:numPr>
    </w:pPr>
  </w:style>
  <w:style w:type="numbering" w:customStyle="1" w:styleId="List35">
    <w:name w:val="List 35"/>
    <w:rsid w:val="000E66D5"/>
    <w:pPr>
      <w:numPr>
        <w:numId w:val="8"/>
      </w:numPr>
    </w:pPr>
  </w:style>
  <w:style w:type="numbering" w:customStyle="1" w:styleId="List17">
    <w:name w:val="List 17"/>
    <w:rsid w:val="000E66D5"/>
    <w:pPr>
      <w:numPr>
        <w:numId w:val="25"/>
      </w:numPr>
    </w:pPr>
  </w:style>
  <w:style w:type="numbering" w:customStyle="1" w:styleId="List33">
    <w:name w:val="List 33"/>
    <w:rsid w:val="000E66D5"/>
    <w:pPr>
      <w:numPr>
        <w:numId w:val="26"/>
      </w:numPr>
    </w:pPr>
  </w:style>
  <w:style w:type="numbering" w:customStyle="1" w:styleId="List7">
    <w:name w:val="List 7"/>
    <w:rsid w:val="000E66D5"/>
    <w:pPr>
      <w:numPr>
        <w:numId w:val="4"/>
      </w:numPr>
    </w:pPr>
  </w:style>
  <w:style w:type="numbering" w:customStyle="1" w:styleId="List18">
    <w:name w:val="List 18"/>
    <w:rsid w:val="000E66D5"/>
    <w:pPr>
      <w:numPr>
        <w:numId w:val="27"/>
      </w:numPr>
    </w:pPr>
  </w:style>
  <w:style w:type="numbering" w:customStyle="1" w:styleId="List22">
    <w:name w:val="List 22"/>
    <w:rsid w:val="000E66D5"/>
    <w:pPr>
      <w:numPr>
        <w:numId w:val="28"/>
      </w:numPr>
    </w:pPr>
  </w:style>
  <w:style w:type="numbering" w:customStyle="1" w:styleId="List47">
    <w:name w:val="List 47"/>
    <w:rsid w:val="000E66D5"/>
    <w:pPr>
      <w:numPr>
        <w:numId w:val="29"/>
      </w:numPr>
    </w:pPr>
  </w:style>
  <w:style w:type="numbering" w:customStyle="1" w:styleId="List28">
    <w:name w:val="List 28"/>
    <w:rsid w:val="000E66D5"/>
    <w:pPr>
      <w:numPr>
        <w:numId w:val="30"/>
      </w:numPr>
    </w:pPr>
  </w:style>
  <w:style w:type="numbering" w:customStyle="1" w:styleId="List10">
    <w:name w:val="List 10"/>
    <w:rsid w:val="000E66D5"/>
    <w:pPr>
      <w:numPr>
        <w:numId w:val="6"/>
      </w:numPr>
    </w:pPr>
  </w:style>
  <w:style w:type="numbering" w:customStyle="1" w:styleId="List0">
    <w:name w:val="List 0"/>
    <w:rsid w:val="000E66D5"/>
    <w:pPr>
      <w:numPr>
        <w:numId w:val="31"/>
      </w:numPr>
    </w:pPr>
  </w:style>
  <w:style w:type="numbering" w:customStyle="1" w:styleId="List30">
    <w:name w:val="List 30"/>
    <w:rsid w:val="000E66D5"/>
    <w:pPr>
      <w:numPr>
        <w:numId w:val="32"/>
      </w:numPr>
    </w:pPr>
  </w:style>
  <w:style w:type="numbering" w:customStyle="1" w:styleId="List29">
    <w:name w:val="List 29"/>
    <w:rsid w:val="000E66D5"/>
    <w:pPr>
      <w:numPr>
        <w:numId w:val="34"/>
      </w:numPr>
    </w:pPr>
  </w:style>
  <w:style w:type="numbering" w:customStyle="1" w:styleId="List38">
    <w:name w:val="List 38"/>
    <w:rsid w:val="000E66D5"/>
    <w:pPr>
      <w:numPr>
        <w:numId w:val="35"/>
      </w:numPr>
    </w:pPr>
  </w:style>
  <w:style w:type="numbering" w:customStyle="1" w:styleId="List12">
    <w:name w:val="List 12"/>
    <w:rsid w:val="000E66D5"/>
    <w:pPr>
      <w:numPr>
        <w:numId w:val="36"/>
      </w:numPr>
    </w:pPr>
  </w:style>
  <w:style w:type="numbering" w:customStyle="1" w:styleId="List50">
    <w:name w:val="List 50"/>
    <w:rsid w:val="000E66D5"/>
    <w:pPr>
      <w:numPr>
        <w:numId w:val="37"/>
      </w:numPr>
    </w:pPr>
  </w:style>
  <w:style w:type="numbering" w:customStyle="1" w:styleId="List34">
    <w:name w:val="List 34"/>
    <w:rsid w:val="000E66D5"/>
    <w:pPr>
      <w:numPr>
        <w:numId w:val="11"/>
      </w:numPr>
    </w:pPr>
  </w:style>
  <w:style w:type="numbering" w:customStyle="1" w:styleId="List42">
    <w:name w:val="List 42"/>
    <w:rsid w:val="000E66D5"/>
    <w:pPr>
      <w:numPr>
        <w:numId w:val="12"/>
      </w:numPr>
    </w:pPr>
  </w:style>
  <w:style w:type="numbering" w:customStyle="1" w:styleId="List49">
    <w:name w:val="List 49"/>
    <w:rsid w:val="000E66D5"/>
    <w:pPr>
      <w:numPr>
        <w:numId w:val="39"/>
      </w:numPr>
    </w:pPr>
  </w:style>
  <w:style w:type="numbering" w:customStyle="1" w:styleId="List44">
    <w:name w:val="List 44"/>
    <w:rsid w:val="000E66D5"/>
    <w:pPr>
      <w:numPr>
        <w:numId w:val="40"/>
      </w:numPr>
    </w:pPr>
  </w:style>
  <w:style w:type="numbering" w:customStyle="1" w:styleId="List21">
    <w:name w:val="List 21"/>
    <w:rsid w:val="000E66D5"/>
    <w:pPr>
      <w:numPr>
        <w:numId w:val="52"/>
      </w:numPr>
    </w:pPr>
  </w:style>
  <w:style w:type="numbering" w:customStyle="1" w:styleId="List52">
    <w:name w:val="List 52"/>
    <w:rsid w:val="000E66D5"/>
    <w:pPr>
      <w:numPr>
        <w:numId w:val="9"/>
      </w:numPr>
    </w:pPr>
  </w:style>
  <w:style w:type="numbering" w:customStyle="1" w:styleId="List24">
    <w:name w:val="List 24"/>
    <w:rsid w:val="000E66D5"/>
    <w:pPr>
      <w:numPr>
        <w:numId w:val="13"/>
      </w:numPr>
    </w:pPr>
  </w:style>
  <w:style w:type="numbering" w:customStyle="1" w:styleId="List51">
    <w:name w:val="List 51"/>
    <w:rsid w:val="000E66D5"/>
    <w:pPr>
      <w:numPr>
        <w:numId w:val="54"/>
      </w:numPr>
    </w:pPr>
  </w:style>
  <w:style w:type="numbering" w:customStyle="1" w:styleId="List27">
    <w:name w:val="List 27"/>
    <w:rsid w:val="000E66D5"/>
    <w:pPr>
      <w:numPr>
        <w:numId w:val="41"/>
      </w:numPr>
    </w:pPr>
  </w:style>
  <w:style w:type="numbering" w:customStyle="1" w:styleId="List8">
    <w:name w:val="List 8"/>
    <w:rsid w:val="000E66D5"/>
    <w:pPr>
      <w:numPr>
        <w:numId w:val="5"/>
      </w:numPr>
    </w:pPr>
  </w:style>
  <w:style w:type="numbering" w:customStyle="1" w:styleId="List13">
    <w:name w:val="List 13"/>
    <w:rsid w:val="000E66D5"/>
    <w:pPr>
      <w:numPr>
        <w:numId w:val="42"/>
      </w:numPr>
    </w:pPr>
  </w:style>
  <w:style w:type="numbering" w:customStyle="1" w:styleId="List20">
    <w:name w:val="List 20"/>
    <w:rsid w:val="000E66D5"/>
    <w:pPr>
      <w:numPr>
        <w:numId w:val="43"/>
      </w:numPr>
    </w:pPr>
  </w:style>
  <w:style w:type="numbering" w:customStyle="1" w:styleId="List41">
    <w:name w:val="List 41"/>
    <w:rsid w:val="000E66D5"/>
    <w:pPr>
      <w:numPr>
        <w:numId w:val="44"/>
      </w:numPr>
    </w:pPr>
  </w:style>
  <w:style w:type="numbering" w:customStyle="1" w:styleId="List31">
    <w:name w:val="List 31"/>
    <w:rsid w:val="000E66D5"/>
    <w:pPr>
      <w:numPr>
        <w:numId w:val="45"/>
      </w:numPr>
    </w:pPr>
  </w:style>
  <w:style w:type="numbering" w:customStyle="1" w:styleId="List6">
    <w:name w:val="List 6"/>
    <w:rsid w:val="000E66D5"/>
    <w:pPr>
      <w:numPr>
        <w:numId w:val="3"/>
      </w:numPr>
    </w:pPr>
  </w:style>
  <w:style w:type="numbering" w:customStyle="1" w:styleId="List39">
    <w:name w:val="List 39"/>
    <w:rsid w:val="000E66D5"/>
    <w:pPr>
      <w:numPr>
        <w:numId w:val="46"/>
      </w:numPr>
    </w:pPr>
  </w:style>
  <w:style w:type="numbering" w:customStyle="1" w:styleId="List37">
    <w:name w:val="List 37"/>
    <w:rsid w:val="000E66D5"/>
    <w:pPr>
      <w:numPr>
        <w:numId w:val="47"/>
      </w:numPr>
    </w:pPr>
  </w:style>
  <w:style w:type="numbering" w:customStyle="1" w:styleId="List32">
    <w:name w:val="List 32"/>
    <w:rsid w:val="000E66D5"/>
    <w:pPr>
      <w:numPr>
        <w:numId w:val="48"/>
      </w:numPr>
    </w:pPr>
  </w:style>
  <w:style w:type="numbering" w:customStyle="1" w:styleId="List26">
    <w:name w:val="List 26"/>
    <w:rsid w:val="000E66D5"/>
    <w:pPr>
      <w:numPr>
        <w:numId w:val="49"/>
      </w:numPr>
    </w:pPr>
  </w:style>
  <w:style w:type="numbering" w:customStyle="1" w:styleId="List48">
    <w:name w:val="List 48"/>
    <w:rsid w:val="000E66D5"/>
    <w:pPr>
      <w:numPr>
        <w:numId w:val="50"/>
      </w:numPr>
    </w:pPr>
  </w:style>
  <w:style w:type="character" w:styleId="PlaceholderText">
    <w:name w:val="Placeholder Text"/>
    <w:basedOn w:val="DefaultParagraphFont"/>
    <w:uiPriority w:val="99"/>
    <w:semiHidden/>
    <w:rsid w:val="00C06330"/>
    <w:rPr>
      <w:color w:val="808080"/>
    </w:rPr>
  </w:style>
  <w:style w:type="character" w:styleId="EndnoteReference">
    <w:name w:val="endnote reference"/>
    <w:basedOn w:val="DefaultParagraphFont"/>
    <w:uiPriority w:val="99"/>
    <w:semiHidden/>
    <w:unhideWhenUsed/>
    <w:rsid w:val="002D37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caption" w:locked="1" w:uiPriority="0" w:qFormat="1"/>
    <w:lsdException w:name="footnote reference" w:locked="1" w:semiHidden="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0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195845"/>
    <w:rPr>
      <w:rFonts w:cs="Times New Roman"/>
      <w:u w:val="single"/>
    </w:rPr>
  </w:style>
  <w:style w:type="paragraph" w:customStyle="1" w:styleId="Cabeceraypie">
    <w:name w:val="Cabecera y pie"/>
    <w:uiPriority w:val="99"/>
    <w:rsid w:val="0019584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s-ES" w:eastAsia="es-ES"/>
    </w:rPr>
  </w:style>
  <w:style w:type="paragraph" w:styleId="Footer">
    <w:name w:val="footer"/>
    <w:basedOn w:val="Normal"/>
    <w:link w:val="FooterChar"/>
    <w:uiPriority w:val="99"/>
    <w:rsid w:val="00195845"/>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19584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195845"/>
    <w:pPr>
      <w:ind w:left="2160" w:hanging="720"/>
    </w:pPr>
    <w:rPr>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0E66D5"/>
    <w:rPr>
      <w:sz w:val="24"/>
      <w:szCs w:val="24"/>
    </w:rPr>
  </w:style>
  <w:style w:type="paragraph" w:styleId="ListParagraph">
    <w:name w:val="List Paragraph"/>
    <w:basedOn w:val="Normal"/>
    <w:uiPriority w:val="99"/>
    <w:qFormat/>
    <w:rsid w:val="00195845"/>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t,C"/>
    <w:basedOn w:val="Normal"/>
    <w:link w:val="FootnoteTextChar1"/>
    <w:uiPriority w:val="99"/>
    <w:rsid w:val="00481DDB"/>
    <w:pPr>
      <w:pBdr>
        <w:top w:val="none" w:sz="0" w:space="0" w:color="auto"/>
        <w:left w:val="none" w:sz="0" w:space="0" w:color="auto"/>
        <w:bottom w:val="none" w:sz="0" w:space="0" w:color="auto"/>
        <w:right w:val="none" w:sz="0" w:space="0" w:color="auto"/>
        <w:bar w:val="none" w:sz="0" w:color="auto"/>
      </w:pBdr>
    </w:pPr>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rsid w:val="000E66D5"/>
    <w:rPr>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basedOn w:val="DefaultParagraphFont"/>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481DDB"/>
    <w:rPr>
      <w:rFonts w:ascii="Calibri" w:hAnsi="Calibri"/>
      <w:color w:val="000000"/>
      <w:sz w:val="20"/>
      <w:szCs w:val="20"/>
      <w:u w:color="000000"/>
    </w:rPr>
  </w:style>
  <w:style w:type="paragraph" w:customStyle="1" w:styleId="Default">
    <w:name w:val="Default"/>
    <w:link w:val="DefaultChar"/>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color w:val="000000"/>
      <w:sz w:val="24"/>
      <w:szCs w:val="24"/>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lang w:val="en-US" w:eastAsia="en-US"/>
    </w:rPr>
  </w:style>
  <w:style w:type="character" w:customStyle="1" w:styleId="apple-converted-space">
    <w:name w:val="apple-converted-space"/>
    <w:basedOn w:val="DefaultParagraphFont"/>
    <w:uiPriority w:val="99"/>
    <w:rsid w:val="00F01097"/>
    <w:rPr>
      <w:rFonts w:cs="Times New Roman"/>
    </w:rPr>
  </w:style>
  <w:style w:type="numbering" w:customStyle="1" w:styleId="List16">
    <w:name w:val="List 16"/>
    <w:rsid w:val="000E66D5"/>
    <w:pPr>
      <w:numPr>
        <w:numId w:val="10"/>
      </w:numPr>
    </w:pPr>
  </w:style>
  <w:style w:type="numbering" w:customStyle="1" w:styleId="List36">
    <w:name w:val="List 36"/>
    <w:rsid w:val="000E66D5"/>
    <w:pPr>
      <w:numPr>
        <w:numId w:val="14"/>
      </w:numPr>
    </w:pPr>
  </w:style>
  <w:style w:type="numbering" w:customStyle="1" w:styleId="List25">
    <w:name w:val="List 25"/>
    <w:rsid w:val="000E66D5"/>
    <w:pPr>
      <w:numPr>
        <w:numId w:val="15"/>
      </w:numPr>
    </w:pPr>
  </w:style>
  <w:style w:type="numbering" w:customStyle="1" w:styleId="List1">
    <w:name w:val="List 1"/>
    <w:rsid w:val="000E66D5"/>
    <w:pPr>
      <w:numPr>
        <w:numId w:val="1"/>
      </w:numPr>
    </w:pPr>
  </w:style>
  <w:style w:type="numbering" w:customStyle="1" w:styleId="List11">
    <w:name w:val="List 11"/>
    <w:rsid w:val="000E66D5"/>
    <w:pPr>
      <w:numPr>
        <w:numId w:val="7"/>
      </w:numPr>
    </w:pPr>
  </w:style>
  <w:style w:type="numbering" w:customStyle="1" w:styleId="List15">
    <w:name w:val="List 15"/>
    <w:rsid w:val="000E66D5"/>
    <w:pPr>
      <w:numPr>
        <w:numId w:val="16"/>
      </w:numPr>
    </w:pPr>
  </w:style>
  <w:style w:type="numbering" w:customStyle="1" w:styleId="List14">
    <w:name w:val="List 14"/>
    <w:rsid w:val="000E66D5"/>
    <w:pPr>
      <w:numPr>
        <w:numId w:val="17"/>
      </w:numPr>
    </w:pPr>
  </w:style>
  <w:style w:type="numbering" w:customStyle="1" w:styleId="List23">
    <w:name w:val="List 23"/>
    <w:rsid w:val="000E66D5"/>
    <w:pPr>
      <w:numPr>
        <w:numId w:val="18"/>
      </w:numPr>
    </w:pPr>
  </w:style>
  <w:style w:type="numbering" w:customStyle="1" w:styleId="List19">
    <w:name w:val="List 19"/>
    <w:rsid w:val="000E66D5"/>
    <w:pPr>
      <w:numPr>
        <w:numId w:val="19"/>
      </w:numPr>
    </w:pPr>
  </w:style>
  <w:style w:type="numbering" w:customStyle="1" w:styleId="List45">
    <w:name w:val="List 45"/>
    <w:rsid w:val="000E66D5"/>
    <w:pPr>
      <w:numPr>
        <w:numId w:val="20"/>
      </w:numPr>
    </w:pPr>
  </w:style>
  <w:style w:type="numbering" w:customStyle="1" w:styleId="List40">
    <w:name w:val="List 40"/>
    <w:rsid w:val="000E66D5"/>
    <w:pPr>
      <w:numPr>
        <w:numId w:val="21"/>
      </w:numPr>
    </w:pPr>
  </w:style>
  <w:style w:type="numbering" w:customStyle="1" w:styleId="List9">
    <w:name w:val="List 9"/>
    <w:rsid w:val="000E66D5"/>
    <w:pPr>
      <w:numPr>
        <w:numId w:val="22"/>
      </w:numPr>
    </w:pPr>
  </w:style>
  <w:style w:type="numbering" w:customStyle="1" w:styleId="List43">
    <w:name w:val="List 43"/>
    <w:rsid w:val="000E66D5"/>
    <w:pPr>
      <w:numPr>
        <w:numId w:val="23"/>
      </w:numPr>
    </w:pPr>
  </w:style>
  <w:style w:type="numbering" w:customStyle="1" w:styleId="List46">
    <w:name w:val="List 46"/>
    <w:rsid w:val="000E66D5"/>
    <w:pPr>
      <w:numPr>
        <w:numId w:val="24"/>
      </w:numPr>
    </w:pPr>
  </w:style>
  <w:style w:type="numbering" w:customStyle="1" w:styleId="List35">
    <w:name w:val="List 35"/>
    <w:rsid w:val="000E66D5"/>
    <w:pPr>
      <w:numPr>
        <w:numId w:val="8"/>
      </w:numPr>
    </w:pPr>
  </w:style>
  <w:style w:type="numbering" w:customStyle="1" w:styleId="List17">
    <w:name w:val="List 17"/>
    <w:rsid w:val="000E66D5"/>
    <w:pPr>
      <w:numPr>
        <w:numId w:val="25"/>
      </w:numPr>
    </w:pPr>
  </w:style>
  <w:style w:type="numbering" w:customStyle="1" w:styleId="List33">
    <w:name w:val="List 33"/>
    <w:rsid w:val="000E66D5"/>
    <w:pPr>
      <w:numPr>
        <w:numId w:val="26"/>
      </w:numPr>
    </w:pPr>
  </w:style>
  <w:style w:type="numbering" w:customStyle="1" w:styleId="List7">
    <w:name w:val="List 7"/>
    <w:rsid w:val="000E66D5"/>
    <w:pPr>
      <w:numPr>
        <w:numId w:val="4"/>
      </w:numPr>
    </w:pPr>
  </w:style>
  <w:style w:type="numbering" w:customStyle="1" w:styleId="List18">
    <w:name w:val="List 18"/>
    <w:rsid w:val="000E66D5"/>
    <w:pPr>
      <w:numPr>
        <w:numId w:val="27"/>
      </w:numPr>
    </w:pPr>
  </w:style>
  <w:style w:type="numbering" w:customStyle="1" w:styleId="List22">
    <w:name w:val="List 22"/>
    <w:rsid w:val="000E66D5"/>
    <w:pPr>
      <w:numPr>
        <w:numId w:val="28"/>
      </w:numPr>
    </w:pPr>
  </w:style>
  <w:style w:type="numbering" w:customStyle="1" w:styleId="List47">
    <w:name w:val="List 47"/>
    <w:rsid w:val="000E66D5"/>
    <w:pPr>
      <w:numPr>
        <w:numId w:val="29"/>
      </w:numPr>
    </w:pPr>
  </w:style>
  <w:style w:type="numbering" w:customStyle="1" w:styleId="List28">
    <w:name w:val="List 28"/>
    <w:rsid w:val="000E66D5"/>
    <w:pPr>
      <w:numPr>
        <w:numId w:val="30"/>
      </w:numPr>
    </w:pPr>
  </w:style>
  <w:style w:type="numbering" w:customStyle="1" w:styleId="List10">
    <w:name w:val="List 10"/>
    <w:rsid w:val="000E66D5"/>
    <w:pPr>
      <w:numPr>
        <w:numId w:val="6"/>
      </w:numPr>
    </w:pPr>
  </w:style>
  <w:style w:type="numbering" w:customStyle="1" w:styleId="List0">
    <w:name w:val="List 0"/>
    <w:rsid w:val="000E66D5"/>
    <w:pPr>
      <w:numPr>
        <w:numId w:val="31"/>
      </w:numPr>
    </w:pPr>
  </w:style>
  <w:style w:type="numbering" w:customStyle="1" w:styleId="List30">
    <w:name w:val="List 30"/>
    <w:rsid w:val="000E66D5"/>
    <w:pPr>
      <w:numPr>
        <w:numId w:val="32"/>
      </w:numPr>
    </w:pPr>
  </w:style>
  <w:style w:type="numbering" w:customStyle="1" w:styleId="List29">
    <w:name w:val="List 29"/>
    <w:rsid w:val="000E66D5"/>
    <w:pPr>
      <w:numPr>
        <w:numId w:val="34"/>
      </w:numPr>
    </w:pPr>
  </w:style>
  <w:style w:type="numbering" w:customStyle="1" w:styleId="List38">
    <w:name w:val="List 38"/>
    <w:rsid w:val="000E66D5"/>
    <w:pPr>
      <w:numPr>
        <w:numId w:val="35"/>
      </w:numPr>
    </w:pPr>
  </w:style>
  <w:style w:type="numbering" w:customStyle="1" w:styleId="List12">
    <w:name w:val="List 12"/>
    <w:rsid w:val="000E66D5"/>
    <w:pPr>
      <w:numPr>
        <w:numId w:val="36"/>
      </w:numPr>
    </w:pPr>
  </w:style>
  <w:style w:type="numbering" w:customStyle="1" w:styleId="List50">
    <w:name w:val="List 50"/>
    <w:rsid w:val="000E66D5"/>
    <w:pPr>
      <w:numPr>
        <w:numId w:val="37"/>
      </w:numPr>
    </w:pPr>
  </w:style>
  <w:style w:type="numbering" w:customStyle="1" w:styleId="List34">
    <w:name w:val="List 34"/>
    <w:rsid w:val="000E66D5"/>
    <w:pPr>
      <w:numPr>
        <w:numId w:val="11"/>
      </w:numPr>
    </w:pPr>
  </w:style>
  <w:style w:type="numbering" w:customStyle="1" w:styleId="List42">
    <w:name w:val="List 42"/>
    <w:rsid w:val="000E66D5"/>
    <w:pPr>
      <w:numPr>
        <w:numId w:val="12"/>
      </w:numPr>
    </w:pPr>
  </w:style>
  <w:style w:type="numbering" w:customStyle="1" w:styleId="List49">
    <w:name w:val="List 49"/>
    <w:rsid w:val="000E66D5"/>
    <w:pPr>
      <w:numPr>
        <w:numId w:val="39"/>
      </w:numPr>
    </w:pPr>
  </w:style>
  <w:style w:type="numbering" w:customStyle="1" w:styleId="List44">
    <w:name w:val="List 44"/>
    <w:rsid w:val="000E66D5"/>
    <w:pPr>
      <w:numPr>
        <w:numId w:val="40"/>
      </w:numPr>
    </w:pPr>
  </w:style>
  <w:style w:type="numbering" w:customStyle="1" w:styleId="List21">
    <w:name w:val="List 21"/>
    <w:rsid w:val="000E66D5"/>
    <w:pPr>
      <w:numPr>
        <w:numId w:val="52"/>
      </w:numPr>
    </w:pPr>
  </w:style>
  <w:style w:type="numbering" w:customStyle="1" w:styleId="List52">
    <w:name w:val="List 52"/>
    <w:rsid w:val="000E66D5"/>
    <w:pPr>
      <w:numPr>
        <w:numId w:val="9"/>
      </w:numPr>
    </w:pPr>
  </w:style>
  <w:style w:type="numbering" w:customStyle="1" w:styleId="List24">
    <w:name w:val="List 24"/>
    <w:rsid w:val="000E66D5"/>
    <w:pPr>
      <w:numPr>
        <w:numId w:val="13"/>
      </w:numPr>
    </w:pPr>
  </w:style>
  <w:style w:type="numbering" w:customStyle="1" w:styleId="List51">
    <w:name w:val="List 51"/>
    <w:rsid w:val="000E66D5"/>
    <w:pPr>
      <w:numPr>
        <w:numId w:val="54"/>
      </w:numPr>
    </w:pPr>
  </w:style>
  <w:style w:type="numbering" w:customStyle="1" w:styleId="List27">
    <w:name w:val="List 27"/>
    <w:rsid w:val="000E66D5"/>
    <w:pPr>
      <w:numPr>
        <w:numId w:val="41"/>
      </w:numPr>
    </w:pPr>
  </w:style>
  <w:style w:type="numbering" w:customStyle="1" w:styleId="List8">
    <w:name w:val="List 8"/>
    <w:rsid w:val="000E66D5"/>
    <w:pPr>
      <w:numPr>
        <w:numId w:val="5"/>
      </w:numPr>
    </w:pPr>
  </w:style>
  <w:style w:type="numbering" w:customStyle="1" w:styleId="List13">
    <w:name w:val="List 13"/>
    <w:rsid w:val="000E66D5"/>
    <w:pPr>
      <w:numPr>
        <w:numId w:val="42"/>
      </w:numPr>
    </w:pPr>
  </w:style>
  <w:style w:type="numbering" w:customStyle="1" w:styleId="List20">
    <w:name w:val="List 20"/>
    <w:rsid w:val="000E66D5"/>
    <w:pPr>
      <w:numPr>
        <w:numId w:val="43"/>
      </w:numPr>
    </w:pPr>
  </w:style>
  <w:style w:type="numbering" w:customStyle="1" w:styleId="List41">
    <w:name w:val="List 41"/>
    <w:rsid w:val="000E66D5"/>
    <w:pPr>
      <w:numPr>
        <w:numId w:val="44"/>
      </w:numPr>
    </w:pPr>
  </w:style>
  <w:style w:type="numbering" w:customStyle="1" w:styleId="List31">
    <w:name w:val="List 31"/>
    <w:rsid w:val="000E66D5"/>
    <w:pPr>
      <w:numPr>
        <w:numId w:val="45"/>
      </w:numPr>
    </w:pPr>
  </w:style>
  <w:style w:type="numbering" w:customStyle="1" w:styleId="List6">
    <w:name w:val="List 6"/>
    <w:rsid w:val="000E66D5"/>
    <w:pPr>
      <w:numPr>
        <w:numId w:val="3"/>
      </w:numPr>
    </w:pPr>
  </w:style>
  <w:style w:type="numbering" w:customStyle="1" w:styleId="List39">
    <w:name w:val="List 39"/>
    <w:rsid w:val="000E66D5"/>
    <w:pPr>
      <w:numPr>
        <w:numId w:val="46"/>
      </w:numPr>
    </w:pPr>
  </w:style>
  <w:style w:type="numbering" w:customStyle="1" w:styleId="List37">
    <w:name w:val="List 37"/>
    <w:rsid w:val="000E66D5"/>
    <w:pPr>
      <w:numPr>
        <w:numId w:val="47"/>
      </w:numPr>
    </w:pPr>
  </w:style>
  <w:style w:type="numbering" w:customStyle="1" w:styleId="List32">
    <w:name w:val="List 32"/>
    <w:rsid w:val="000E66D5"/>
    <w:pPr>
      <w:numPr>
        <w:numId w:val="48"/>
      </w:numPr>
    </w:pPr>
  </w:style>
  <w:style w:type="numbering" w:customStyle="1" w:styleId="List26">
    <w:name w:val="List 26"/>
    <w:rsid w:val="000E66D5"/>
    <w:pPr>
      <w:numPr>
        <w:numId w:val="49"/>
      </w:numPr>
    </w:pPr>
  </w:style>
  <w:style w:type="numbering" w:customStyle="1" w:styleId="List48">
    <w:name w:val="List 48"/>
    <w:rsid w:val="000E66D5"/>
    <w:pPr>
      <w:numPr>
        <w:numId w:val="50"/>
      </w:numPr>
    </w:pPr>
  </w:style>
  <w:style w:type="character" w:styleId="PlaceholderText">
    <w:name w:val="Placeholder Text"/>
    <w:basedOn w:val="DefaultParagraphFont"/>
    <w:uiPriority w:val="99"/>
    <w:semiHidden/>
    <w:rsid w:val="00C06330"/>
    <w:rPr>
      <w:color w:val="808080"/>
    </w:rPr>
  </w:style>
  <w:style w:type="character" w:styleId="EndnoteReference">
    <w:name w:val="endnote reference"/>
    <w:basedOn w:val="DefaultParagraphFont"/>
    <w:uiPriority w:val="99"/>
    <w:semiHidden/>
    <w:unhideWhenUsed/>
    <w:rsid w:val="002D3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40536">
      <w:bodyDiv w:val="1"/>
      <w:marLeft w:val="0"/>
      <w:marRight w:val="0"/>
      <w:marTop w:val="0"/>
      <w:marBottom w:val="0"/>
      <w:divBdr>
        <w:top w:val="none" w:sz="0" w:space="0" w:color="auto"/>
        <w:left w:val="none" w:sz="0" w:space="0" w:color="auto"/>
        <w:bottom w:val="none" w:sz="0" w:space="0" w:color="auto"/>
        <w:right w:val="none" w:sz="0" w:space="0" w:color="auto"/>
      </w:divBdr>
    </w:div>
    <w:div w:id="1387994914">
      <w:bodyDiv w:val="1"/>
      <w:marLeft w:val="0"/>
      <w:marRight w:val="0"/>
      <w:marTop w:val="0"/>
      <w:marBottom w:val="0"/>
      <w:divBdr>
        <w:top w:val="none" w:sz="0" w:space="0" w:color="auto"/>
        <w:left w:val="none" w:sz="0" w:space="0" w:color="auto"/>
        <w:bottom w:val="none" w:sz="0" w:space="0" w:color="auto"/>
        <w:right w:val="none" w:sz="0" w:space="0" w:color="auto"/>
      </w:divBdr>
    </w:div>
    <w:div w:id="1498883260">
      <w:marLeft w:val="0"/>
      <w:marRight w:val="0"/>
      <w:marTop w:val="0"/>
      <w:marBottom w:val="0"/>
      <w:divBdr>
        <w:top w:val="none" w:sz="0" w:space="0" w:color="auto"/>
        <w:left w:val="none" w:sz="0" w:space="0" w:color="auto"/>
        <w:bottom w:val="none" w:sz="0" w:space="0" w:color="auto"/>
        <w:right w:val="none" w:sz="0" w:space="0" w:color="auto"/>
      </w:divBdr>
    </w:div>
    <w:div w:id="1498883261">
      <w:marLeft w:val="0"/>
      <w:marRight w:val="0"/>
      <w:marTop w:val="0"/>
      <w:marBottom w:val="0"/>
      <w:divBdr>
        <w:top w:val="none" w:sz="0" w:space="0" w:color="auto"/>
        <w:left w:val="none" w:sz="0" w:space="0" w:color="auto"/>
        <w:bottom w:val="none" w:sz="0" w:space="0" w:color="auto"/>
        <w:right w:val="none" w:sz="0" w:space="0" w:color="auto"/>
      </w:divBdr>
    </w:div>
    <w:div w:id="16853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0A833-EF0B-49FE-899F-510A5B4C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4536</Words>
  <Characters>25860</Characters>
  <Application>Microsoft Office Word</Application>
  <DocSecurity>0</DocSecurity>
  <Lines>215</Lines>
  <Paragraphs>60</Paragraphs>
  <ScaleCrop>false</ScaleCrop>
  <Company/>
  <LinksUpToDate>false</LinksUpToDate>
  <CharactersWithSpaces>30336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74/16</dc:title>
  <dc:creator/>
  <cp:lastModifiedBy/>
  <cp:revision>1</cp:revision>
  <dcterms:created xsi:type="dcterms:W3CDTF">2017-01-12T20:56:00Z</dcterms:created>
  <dcterms:modified xsi:type="dcterms:W3CDTF">2017-01-12T20:56:00Z</dcterms:modified>
</cp:coreProperties>
</file>