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16616C7" w14:textId="77777777" w:rsidR="00040C3A" w:rsidRPr="00175907" w:rsidRDefault="00D306D1" w:rsidP="00627C9F">
      <w:pPr>
        <w:jc w:val="both"/>
        <w:rPr>
          <w:rFonts w:asciiTheme="majorHAnsi" w:hAnsiTheme="majorHAnsi" w:cs="Univers"/>
          <w:b/>
          <w:bCs/>
          <w:sz w:val="22"/>
          <w:szCs w:val="22"/>
          <w:lang w:val="es-ES"/>
        </w:rPr>
      </w:pPr>
      <w:r w:rsidRPr="0017590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C74C9A0" wp14:editId="4767B72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7590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0EAFEBB" wp14:editId="023B2D6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43C31D" w14:textId="77777777" w:rsidR="00CB2660" w:rsidRDefault="00AE5488" w:rsidP="00AE5488">
                            <w:r>
                              <w:rPr>
                                <w:noProof/>
                              </w:rPr>
                              <w:drawing>
                                <wp:inline distT="0" distB="0" distL="0" distR="0" wp14:anchorId="3A058CE0" wp14:editId="01FA4CB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D43C31D" w14:textId="77777777" w:rsidR="00CB2660" w:rsidRDefault="00AE5488" w:rsidP="00AE5488">
                      <w:r>
                        <w:rPr>
                          <w:noProof/>
                        </w:rPr>
                        <w:drawing>
                          <wp:inline distT="0" distB="0" distL="0" distR="0" wp14:anchorId="3A058CE0" wp14:editId="01FA4CB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48490A8" w14:textId="77777777" w:rsidR="00040C3A" w:rsidRPr="00175907" w:rsidRDefault="00040C3A" w:rsidP="00040C3A">
      <w:pPr>
        <w:tabs>
          <w:tab w:val="center" w:pos="5400"/>
        </w:tabs>
        <w:suppressAutoHyphens/>
        <w:jc w:val="both"/>
        <w:rPr>
          <w:rFonts w:asciiTheme="majorHAnsi" w:hAnsiTheme="majorHAnsi"/>
          <w:sz w:val="22"/>
          <w:szCs w:val="22"/>
          <w:lang w:val="es-ES"/>
        </w:rPr>
      </w:pPr>
    </w:p>
    <w:p w14:paraId="2CAE57FF" w14:textId="77777777" w:rsidR="00040C3A" w:rsidRPr="00175907" w:rsidRDefault="00040C3A" w:rsidP="00040C3A">
      <w:pPr>
        <w:tabs>
          <w:tab w:val="center" w:pos="5400"/>
        </w:tabs>
        <w:suppressAutoHyphens/>
        <w:jc w:val="both"/>
        <w:rPr>
          <w:rFonts w:asciiTheme="majorHAnsi" w:hAnsiTheme="majorHAnsi"/>
          <w:sz w:val="22"/>
          <w:szCs w:val="22"/>
          <w:lang w:val="es-ES"/>
        </w:rPr>
      </w:pPr>
    </w:p>
    <w:p w14:paraId="3772A435" w14:textId="77777777" w:rsidR="005128E4" w:rsidRPr="00175907" w:rsidRDefault="005128E4" w:rsidP="00040C3A">
      <w:pPr>
        <w:tabs>
          <w:tab w:val="center" w:pos="5400"/>
        </w:tabs>
        <w:suppressAutoHyphens/>
        <w:rPr>
          <w:rFonts w:asciiTheme="majorHAnsi" w:hAnsiTheme="majorHAnsi"/>
          <w:sz w:val="22"/>
          <w:szCs w:val="22"/>
          <w:lang w:val="es-ES"/>
        </w:rPr>
      </w:pPr>
    </w:p>
    <w:p w14:paraId="44126589" w14:textId="77777777" w:rsidR="005128E4" w:rsidRPr="00175907" w:rsidRDefault="005128E4" w:rsidP="00040C3A">
      <w:pPr>
        <w:tabs>
          <w:tab w:val="center" w:pos="5400"/>
        </w:tabs>
        <w:suppressAutoHyphens/>
        <w:rPr>
          <w:rFonts w:asciiTheme="majorHAnsi" w:hAnsiTheme="majorHAnsi"/>
          <w:sz w:val="22"/>
          <w:szCs w:val="22"/>
          <w:lang w:val="es-ES"/>
        </w:rPr>
      </w:pPr>
    </w:p>
    <w:p w14:paraId="10CE2246" w14:textId="77777777" w:rsidR="005128E4" w:rsidRPr="00175907" w:rsidRDefault="005128E4" w:rsidP="00040C3A">
      <w:pPr>
        <w:tabs>
          <w:tab w:val="center" w:pos="5400"/>
        </w:tabs>
        <w:suppressAutoHyphens/>
        <w:rPr>
          <w:rFonts w:asciiTheme="majorHAnsi" w:hAnsiTheme="majorHAnsi"/>
          <w:sz w:val="22"/>
          <w:szCs w:val="22"/>
          <w:lang w:val="es-ES"/>
        </w:rPr>
      </w:pPr>
    </w:p>
    <w:p w14:paraId="4F058150" w14:textId="592861AC" w:rsidR="00040C3A" w:rsidRPr="00175907" w:rsidRDefault="00040C3A" w:rsidP="005128E4">
      <w:pPr>
        <w:tabs>
          <w:tab w:val="center" w:pos="5400"/>
        </w:tabs>
        <w:suppressAutoHyphens/>
        <w:jc w:val="center"/>
        <w:rPr>
          <w:rFonts w:asciiTheme="majorHAnsi" w:hAnsiTheme="majorHAnsi"/>
          <w:sz w:val="22"/>
          <w:szCs w:val="22"/>
          <w:lang w:val="es-ES"/>
        </w:rPr>
      </w:pPr>
    </w:p>
    <w:p w14:paraId="213EC882" w14:textId="77777777" w:rsidR="00040C3A" w:rsidRPr="00175907" w:rsidRDefault="00040C3A" w:rsidP="005128E4">
      <w:pPr>
        <w:tabs>
          <w:tab w:val="center" w:pos="5400"/>
        </w:tabs>
        <w:suppressAutoHyphens/>
        <w:jc w:val="center"/>
        <w:rPr>
          <w:rFonts w:asciiTheme="majorHAnsi" w:hAnsiTheme="majorHAnsi"/>
          <w:sz w:val="22"/>
          <w:szCs w:val="22"/>
          <w:lang w:val="es-ES"/>
        </w:rPr>
      </w:pPr>
    </w:p>
    <w:p w14:paraId="009EF308" w14:textId="77777777" w:rsidR="005B52B0" w:rsidRPr="00175907" w:rsidRDefault="005B52B0" w:rsidP="005128E4">
      <w:pPr>
        <w:tabs>
          <w:tab w:val="center" w:pos="5400"/>
        </w:tabs>
        <w:suppressAutoHyphens/>
        <w:jc w:val="center"/>
        <w:rPr>
          <w:rFonts w:asciiTheme="majorHAnsi" w:hAnsiTheme="majorHAnsi"/>
          <w:sz w:val="22"/>
          <w:szCs w:val="22"/>
          <w:lang w:val="es-ES"/>
        </w:rPr>
      </w:pPr>
    </w:p>
    <w:p w14:paraId="6CDE182D" w14:textId="77777777" w:rsidR="005B52B0" w:rsidRPr="00175907" w:rsidRDefault="005B52B0" w:rsidP="005128E4">
      <w:pPr>
        <w:tabs>
          <w:tab w:val="center" w:pos="5400"/>
        </w:tabs>
        <w:suppressAutoHyphens/>
        <w:jc w:val="center"/>
        <w:rPr>
          <w:rFonts w:asciiTheme="majorHAnsi" w:hAnsiTheme="majorHAnsi"/>
          <w:sz w:val="22"/>
          <w:szCs w:val="22"/>
          <w:lang w:val="es-ES"/>
        </w:rPr>
      </w:pPr>
    </w:p>
    <w:p w14:paraId="1F525EE0" w14:textId="77777777" w:rsidR="005B52B0" w:rsidRPr="00175907" w:rsidRDefault="005B52B0" w:rsidP="005128E4">
      <w:pPr>
        <w:tabs>
          <w:tab w:val="center" w:pos="5400"/>
        </w:tabs>
        <w:suppressAutoHyphens/>
        <w:jc w:val="center"/>
        <w:rPr>
          <w:rFonts w:asciiTheme="majorHAnsi" w:hAnsiTheme="majorHAnsi"/>
          <w:sz w:val="22"/>
          <w:szCs w:val="22"/>
          <w:lang w:val="es-ES"/>
        </w:rPr>
      </w:pPr>
    </w:p>
    <w:p w14:paraId="360E8560" w14:textId="77777777" w:rsidR="00040C3A" w:rsidRPr="00175907" w:rsidRDefault="00040C3A" w:rsidP="00040C3A">
      <w:pPr>
        <w:tabs>
          <w:tab w:val="center" w:pos="5400"/>
        </w:tabs>
        <w:suppressAutoHyphens/>
        <w:jc w:val="center"/>
        <w:rPr>
          <w:rFonts w:asciiTheme="majorHAnsi" w:hAnsiTheme="majorHAnsi"/>
          <w:sz w:val="22"/>
          <w:szCs w:val="22"/>
          <w:lang w:val="es-ES"/>
        </w:rPr>
      </w:pPr>
    </w:p>
    <w:p w14:paraId="661F9115" w14:textId="77777777" w:rsidR="00040C3A" w:rsidRPr="00175907" w:rsidRDefault="00040C3A" w:rsidP="00040C3A">
      <w:pPr>
        <w:tabs>
          <w:tab w:val="center" w:pos="5400"/>
        </w:tabs>
        <w:suppressAutoHyphens/>
        <w:jc w:val="center"/>
        <w:rPr>
          <w:rFonts w:asciiTheme="majorHAnsi" w:hAnsiTheme="majorHAnsi"/>
          <w:sz w:val="22"/>
          <w:szCs w:val="22"/>
          <w:lang w:val="es-ES"/>
        </w:rPr>
      </w:pPr>
    </w:p>
    <w:p w14:paraId="640DD155" w14:textId="77777777" w:rsidR="00040C3A" w:rsidRPr="00175907" w:rsidRDefault="003D3BC2" w:rsidP="00040C3A">
      <w:pPr>
        <w:tabs>
          <w:tab w:val="center" w:pos="5400"/>
        </w:tabs>
        <w:suppressAutoHyphens/>
        <w:jc w:val="center"/>
        <w:rPr>
          <w:rFonts w:asciiTheme="majorHAnsi" w:hAnsiTheme="majorHAnsi"/>
          <w:sz w:val="22"/>
          <w:szCs w:val="22"/>
          <w:lang w:val="es-ES"/>
        </w:rPr>
      </w:pPr>
      <w:r w:rsidRPr="0017590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34A217C" wp14:editId="3DF3740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FDA711" w14:textId="16CB344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3685A">
                              <w:rPr>
                                <w:rFonts w:asciiTheme="majorHAnsi" w:hAnsiTheme="majorHAnsi" w:cs="Arial"/>
                                <w:b/>
                                <w:bCs/>
                                <w:color w:val="0D0D0D" w:themeColor="text1" w:themeTint="F2"/>
                                <w:sz w:val="36"/>
                                <w:szCs w:val="22"/>
                                <w:lang w:val="es-ES_tradnl"/>
                              </w:rPr>
                              <w:t xml:space="preserve"> </w:t>
                            </w:r>
                            <w:r w:rsidR="005B278E">
                              <w:rPr>
                                <w:rFonts w:asciiTheme="majorHAnsi" w:hAnsiTheme="majorHAnsi" w:cs="Arial"/>
                                <w:b/>
                                <w:bCs/>
                                <w:color w:val="0D0D0D" w:themeColor="text1" w:themeTint="F2"/>
                                <w:sz w:val="36"/>
                                <w:szCs w:val="22"/>
                                <w:lang w:val="es-ES_tradnl"/>
                              </w:rPr>
                              <w:t>22</w:t>
                            </w:r>
                            <w:r w:rsidR="0063685A">
                              <w:rPr>
                                <w:rFonts w:asciiTheme="majorHAnsi" w:hAnsiTheme="majorHAnsi" w:cs="Arial"/>
                                <w:b/>
                                <w:bCs/>
                                <w:color w:val="0D0D0D" w:themeColor="text1" w:themeTint="F2"/>
                                <w:sz w:val="36"/>
                                <w:szCs w:val="22"/>
                                <w:lang w:val="es-ES_tradnl"/>
                              </w:rPr>
                              <w:t>/</w:t>
                            </w:r>
                            <w:r w:rsidR="008324D2">
                              <w:rPr>
                                <w:rFonts w:asciiTheme="majorHAnsi" w:hAnsiTheme="majorHAnsi" w:cs="Arial"/>
                                <w:b/>
                                <w:bCs/>
                                <w:color w:val="0D0D0D" w:themeColor="text1" w:themeTint="F2"/>
                                <w:sz w:val="36"/>
                                <w:szCs w:val="22"/>
                                <w:lang w:val="es-ES_tradnl"/>
                              </w:rPr>
                              <w:t>16</w:t>
                            </w:r>
                          </w:p>
                          <w:p w14:paraId="08FF2FE4" w14:textId="77777777"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166CB">
                              <w:rPr>
                                <w:rFonts w:asciiTheme="majorHAnsi" w:hAnsiTheme="majorHAnsi" w:cs="Arial"/>
                                <w:b/>
                                <w:color w:val="0D0D0D" w:themeColor="text1" w:themeTint="F2"/>
                                <w:sz w:val="36"/>
                                <w:szCs w:val="22"/>
                                <w:lang w:val="es-ES_tradnl"/>
                              </w:rPr>
                              <w:t>189</w:t>
                            </w:r>
                            <w:r w:rsidR="00246D1F" w:rsidRPr="004E2649">
                              <w:rPr>
                                <w:rFonts w:asciiTheme="majorHAnsi" w:hAnsiTheme="majorHAnsi" w:cs="Arial"/>
                                <w:b/>
                                <w:color w:val="0D0D0D" w:themeColor="text1" w:themeTint="F2"/>
                                <w:sz w:val="36"/>
                                <w:szCs w:val="22"/>
                                <w:lang w:val="es-ES_tradnl"/>
                              </w:rPr>
                              <w:t>-</w:t>
                            </w:r>
                            <w:r w:rsidR="005166CB">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40DCE2D8"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74F747F7"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D90C438" w14:textId="0C76E804" w:rsidR="005B52B0" w:rsidRPr="0010736F" w:rsidRDefault="0010527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SAÚL GAMARRO MEN</w:t>
                            </w:r>
                            <w:r w:rsidR="005166CB">
                              <w:rPr>
                                <w:rFonts w:asciiTheme="majorHAnsi" w:hAnsiTheme="majorHAnsi" w:cs="Arial"/>
                                <w:color w:val="0D0D0D" w:themeColor="text1" w:themeTint="F2"/>
                                <w:szCs w:val="22"/>
                                <w:lang w:val="es-ES_tradnl"/>
                              </w:rPr>
                              <w:t>ESES</w:t>
                            </w:r>
                          </w:p>
                          <w:bookmarkEnd w:id="1"/>
                          <w:p w14:paraId="45C46AFD" w14:textId="77777777" w:rsidR="005B52B0" w:rsidRPr="0010736F" w:rsidRDefault="005166C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GUATEMALA</w:t>
                            </w:r>
                          </w:p>
                          <w:p w14:paraId="1B49532A"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14:paraId="67FDA711" w14:textId="16CB344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3685A">
                        <w:rPr>
                          <w:rFonts w:asciiTheme="majorHAnsi" w:hAnsiTheme="majorHAnsi" w:cs="Arial"/>
                          <w:b/>
                          <w:bCs/>
                          <w:color w:val="0D0D0D" w:themeColor="text1" w:themeTint="F2"/>
                          <w:sz w:val="36"/>
                          <w:szCs w:val="22"/>
                          <w:lang w:val="es-ES_tradnl"/>
                        </w:rPr>
                        <w:t xml:space="preserve"> </w:t>
                      </w:r>
                      <w:r w:rsidR="005B278E">
                        <w:rPr>
                          <w:rFonts w:asciiTheme="majorHAnsi" w:hAnsiTheme="majorHAnsi" w:cs="Arial"/>
                          <w:b/>
                          <w:bCs/>
                          <w:color w:val="0D0D0D" w:themeColor="text1" w:themeTint="F2"/>
                          <w:sz w:val="36"/>
                          <w:szCs w:val="22"/>
                          <w:lang w:val="es-ES_tradnl"/>
                        </w:rPr>
                        <w:t>22</w:t>
                      </w:r>
                      <w:r w:rsidR="0063685A">
                        <w:rPr>
                          <w:rFonts w:asciiTheme="majorHAnsi" w:hAnsiTheme="majorHAnsi" w:cs="Arial"/>
                          <w:b/>
                          <w:bCs/>
                          <w:color w:val="0D0D0D" w:themeColor="text1" w:themeTint="F2"/>
                          <w:sz w:val="36"/>
                          <w:szCs w:val="22"/>
                          <w:lang w:val="es-ES_tradnl"/>
                        </w:rPr>
                        <w:t>/</w:t>
                      </w:r>
                      <w:r w:rsidR="008324D2">
                        <w:rPr>
                          <w:rFonts w:asciiTheme="majorHAnsi" w:hAnsiTheme="majorHAnsi" w:cs="Arial"/>
                          <w:b/>
                          <w:bCs/>
                          <w:color w:val="0D0D0D" w:themeColor="text1" w:themeTint="F2"/>
                          <w:sz w:val="36"/>
                          <w:szCs w:val="22"/>
                          <w:lang w:val="es-ES_tradnl"/>
                        </w:rPr>
                        <w:t>16</w:t>
                      </w:r>
                    </w:p>
                    <w:p w14:paraId="08FF2FE4" w14:textId="77777777"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166CB">
                        <w:rPr>
                          <w:rFonts w:asciiTheme="majorHAnsi" w:hAnsiTheme="majorHAnsi" w:cs="Arial"/>
                          <w:b/>
                          <w:color w:val="0D0D0D" w:themeColor="text1" w:themeTint="F2"/>
                          <w:sz w:val="36"/>
                          <w:szCs w:val="22"/>
                          <w:lang w:val="es-ES_tradnl"/>
                        </w:rPr>
                        <w:t>189</w:t>
                      </w:r>
                      <w:r w:rsidR="00246D1F" w:rsidRPr="004E2649">
                        <w:rPr>
                          <w:rFonts w:asciiTheme="majorHAnsi" w:hAnsiTheme="majorHAnsi" w:cs="Arial"/>
                          <w:b/>
                          <w:color w:val="0D0D0D" w:themeColor="text1" w:themeTint="F2"/>
                          <w:sz w:val="36"/>
                          <w:szCs w:val="22"/>
                          <w:lang w:val="es-ES_tradnl"/>
                        </w:rPr>
                        <w:t>-</w:t>
                      </w:r>
                      <w:r w:rsidR="005166CB">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40DCE2D8"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74F747F7"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D90C438" w14:textId="0C76E804" w:rsidR="005B52B0" w:rsidRPr="0010736F" w:rsidRDefault="0010527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SAÚL GAMARRO MEN</w:t>
                      </w:r>
                      <w:r w:rsidR="005166CB">
                        <w:rPr>
                          <w:rFonts w:asciiTheme="majorHAnsi" w:hAnsiTheme="majorHAnsi" w:cs="Arial"/>
                          <w:color w:val="0D0D0D" w:themeColor="text1" w:themeTint="F2"/>
                          <w:szCs w:val="22"/>
                          <w:lang w:val="es-ES_tradnl"/>
                        </w:rPr>
                        <w:t>ESES</w:t>
                      </w:r>
                    </w:p>
                    <w:bookmarkEnd w:id="1"/>
                    <w:p w14:paraId="45C46AFD" w14:textId="77777777" w:rsidR="005B52B0" w:rsidRPr="0010736F" w:rsidRDefault="005166C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GUATEMALA</w:t>
                      </w:r>
                    </w:p>
                    <w:p w14:paraId="1B49532A" w14:textId="77777777" w:rsidR="005B52B0" w:rsidRPr="00AE5488" w:rsidRDefault="005B52B0" w:rsidP="007A5817">
                      <w:pPr>
                        <w:rPr>
                          <w:color w:val="0D0D0D" w:themeColor="text1" w:themeTint="F2"/>
                          <w:lang w:val="es-ES_tradnl"/>
                        </w:rPr>
                      </w:pPr>
                    </w:p>
                  </w:txbxContent>
                </v:textbox>
              </v:shape>
            </w:pict>
          </mc:Fallback>
        </mc:AlternateContent>
      </w:r>
      <w:r w:rsidR="004E2649" w:rsidRPr="0017590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FB81E0B" wp14:editId="1565677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571B0E" w14:textId="63266120" w:rsidR="00627C9F" w:rsidRPr="005B278E" w:rsidRDefault="00627C9F" w:rsidP="007A5817">
                            <w:pPr>
                              <w:spacing w:line="276" w:lineRule="auto"/>
                              <w:jc w:val="right"/>
                              <w:rPr>
                                <w:rFonts w:asciiTheme="minorHAnsi" w:hAnsiTheme="minorHAnsi"/>
                                <w:color w:val="FFFFFF" w:themeColor="background1"/>
                                <w:sz w:val="22"/>
                                <w:lang w:val="pt-BR"/>
                              </w:rPr>
                            </w:pPr>
                            <w:r w:rsidRPr="005B278E">
                              <w:rPr>
                                <w:rFonts w:asciiTheme="minorHAnsi" w:hAnsiTheme="minorHAnsi"/>
                                <w:color w:val="FFFFFF" w:themeColor="background1"/>
                                <w:sz w:val="22"/>
                                <w:lang w:val="pt-BR"/>
                              </w:rPr>
                              <w:t>OEA/Ser.L/V/II.15</w:t>
                            </w:r>
                            <w:r w:rsidR="008324D2" w:rsidRPr="005B278E">
                              <w:rPr>
                                <w:rFonts w:asciiTheme="minorHAnsi" w:hAnsiTheme="minorHAnsi"/>
                                <w:color w:val="FFFFFF" w:themeColor="background1"/>
                                <w:sz w:val="22"/>
                                <w:lang w:val="pt-BR"/>
                              </w:rPr>
                              <w:t>7</w:t>
                            </w:r>
                          </w:p>
                          <w:p w14:paraId="68B5ACA5" w14:textId="66DEB47A" w:rsidR="00627C9F" w:rsidRPr="005B278E" w:rsidRDefault="00627C9F" w:rsidP="007A5817">
                            <w:pPr>
                              <w:spacing w:line="276" w:lineRule="auto"/>
                              <w:jc w:val="right"/>
                              <w:rPr>
                                <w:rFonts w:asciiTheme="minorHAnsi" w:hAnsiTheme="minorHAnsi"/>
                                <w:color w:val="FFFFFF" w:themeColor="background1"/>
                                <w:sz w:val="22"/>
                                <w:lang w:val="pt-BR"/>
                              </w:rPr>
                            </w:pPr>
                            <w:r w:rsidRPr="005B278E">
                              <w:rPr>
                                <w:rFonts w:asciiTheme="minorHAnsi" w:hAnsiTheme="minorHAnsi"/>
                                <w:color w:val="FFFFFF" w:themeColor="background1"/>
                                <w:sz w:val="22"/>
                                <w:lang w:val="pt-BR"/>
                              </w:rPr>
                              <w:t xml:space="preserve">Doc. </w:t>
                            </w:r>
                            <w:r w:rsidR="005B278E" w:rsidRPr="005B278E">
                              <w:rPr>
                                <w:rFonts w:asciiTheme="minorHAnsi" w:hAnsiTheme="minorHAnsi"/>
                                <w:color w:val="FFFFFF" w:themeColor="background1"/>
                                <w:sz w:val="22"/>
                                <w:lang w:val="pt-BR"/>
                              </w:rPr>
                              <w:t>26</w:t>
                            </w:r>
                          </w:p>
                          <w:p w14:paraId="1CAD1780" w14:textId="4315E271" w:rsidR="00627C9F" w:rsidRPr="005B278E" w:rsidRDefault="005B278E" w:rsidP="007A5817">
                            <w:pPr>
                              <w:spacing w:line="276" w:lineRule="auto"/>
                              <w:jc w:val="right"/>
                              <w:rPr>
                                <w:rFonts w:asciiTheme="minorHAnsi" w:hAnsiTheme="minorHAnsi"/>
                                <w:color w:val="FFFFFF" w:themeColor="background1"/>
                                <w:sz w:val="22"/>
                              </w:rPr>
                            </w:pPr>
                            <w:r w:rsidRPr="005B278E">
                              <w:rPr>
                                <w:rFonts w:asciiTheme="minorHAnsi" w:hAnsiTheme="minorHAnsi"/>
                                <w:color w:val="FFFFFF" w:themeColor="background1"/>
                                <w:sz w:val="22"/>
                              </w:rPr>
                              <w:t>15</w:t>
                            </w:r>
                            <w:r w:rsidR="00627C9F" w:rsidRPr="005B278E">
                              <w:rPr>
                                <w:rFonts w:asciiTheme="minorHAnsi" w:hAnsiTheme="minorHAnsi"/>
                                <w:color w:val="FFFFFF" w:themeColor="background1"/>
                                <w:sz w:val="22"/>
                              </w:rPr>
                              <w:t xml:space="preserve"> </w:t>
                            </w:r>
                            <w:r w:rsidRPr="005B278E">
                              <w:rPr>
                                <w:rFonts w:asciiTheme="minorHAnsi" w:hAnsiTheme="minorHAnsi"/>
                                <w:color w:val="FFFFFF" w:themeColor="background1"/>
                                <w:sz w:val="22"/>
                              </w:rPr>
                              <w:t>abril</w:t>
                            </w:r>
                            <w:r w:rsidR="0063685A" w:rsidRPr="005B278E">
                              <w:rPr>
                                <w:rFonts w:asciiTheme="minorHAnsi" w:hAnsiTheme="minorHAnsi"/>
                                <w:color w:val="FFFFFF" w:themeColor="background1"/>
                                <w:sz w:val="22"/>
                              </w:rPr>
                              <w:t xml:space="preserve"> 201</w:t>
                            </w:r>
                            <w:r w:rsidRPr="005B278E">
                              <w:rPr>
                                <w:rFonts w:asciiTheme="minorHAnsi" w:hAnsiTheme="minorHAnsi"/>
                                <w:color w:val="FFFFFF" w:themeColor="background1"/>
                                <w:sz w:val="22"/>
                              </w:rPr>
                              <w:t>6</w:t>
                            </w:r>
                          </w:p>
                          <w:p w14:paraId="376B5002" w14:textId="77777777" w:rsidR="00627C9F" w:rsidRPr="005B278E" w:rsidRDefault="00E0340B" w:rsidP="007A5817">
                            <w:pPr>
                              <w:spacing w:line="276" w:lineRule="auto"/>
                              <w:jc w:val="right"/>
                              <w:rPr>
                                <w:rFonts w:asciiTheme="minorHAnsi" w:hAnsiTheme="minorHAnsi"/>
                                <w:color w:val="FFFFFF" w:themeColor="background1"/>
                                <w:sz w:val="22"/>
                              </w:rPr>
                            </w:pPr>
                            <w:r w:rsidRPr="005B278E">
                              <w:rPr>
                                <w:rFonts w:asciiTheme="minorHAnsi" w:hAnsiTheme="minorHAnsi"/>
                                <w:color w:val="FFFFFF" w:themeColor="background1"/>
                                <w:sz w:val="22"/>
                              </w:rPr>
                              <w:t xml:space="preserve">Original: </w:t>
                            </w:r>
                            <w:r w:rsidR="008B12F5" w:rsidRPr="005B278E">
                              <w:rPr>
                                <w:rFonts w:asciiTheme="minorHAnsi" w:hAnsiTheme="minorHAnsi"/>
                                <w:color w:val="FFFFFF" w:themeColor="background1"/>
                                <w:sz w:val="22"/>
                              </w:rPr>
                              <w:t>e</w:t>
                            </w:r>
                            <w:r w:rsidR="00627C9F" w:rsidRPr="005B278E">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Text Box 8" o:spid="_x0000_s1029"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1Sfg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AyVHYJ1RYLHqAbmOjlTY1FuRUxPYiAE4KFxKlP9/jRBjD50Euc&#10;rSD8+pue8Ni4aOWswYkrefy5FkFxZr46bOnz8dERjWg+HB2fHuIh7FuW+xa3tleAVRnjfvEyi4RP&#10;ZhB1APuEy2FOr6JJOIlvlzwN4lXq9gAuF6nm8wzCofQi3bqFl0RNRaKWe2yfRPB9XyZs6TsYZlNM&#10;37Rnh6WbDubrBLrOvUt57rLa5x8HOnd/v3xoY+yfM+p1Rc5e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MSSnVJ+&#10;AgAAagUAAA4AAAAAAAAAAAAAAAAALgIAAGRycy9lMm9Eb2MueG1sUEsBAi0AFAAGAAgAAAAhAKlP&#10;pHfhAAAACgEAAA8AAAAAAAAAAAAAAAAA2AQAAGRycy9kb3ducmV2LnhtbFBLBQYAAAAABAAEAPMA&#10;AADmBQAAAAA=&#10;" filled="f" stroked="f" strokeweight=".5pt">
                <v:textbox>
                  <w:txbxContent>
                    <w:p w14:paraId="40571B0E" w14:textId="63266120" w:rsidR="00627C9F" w:rsidRPr="005B278E" w:rsidRDefault="00627C9F" w:rsidP="007A5817">
                      <w:pPr>
                        <w:spacing w:line="276" w:lineRule="auto"/>
                        <w:jc w:val="right"/>
                        <w:rPr>
                          <w:rFonts w:asciiTheme="minorHAnsi" w:hAnsiTheme="minorHAnsi"/>
                          <w:color w:val="FFFFFF" w:themeColor="background1"/>
                          <w:sz w:val="22"/>
                          <w:lang w:val="pt-BR"/>
                        </w:rPr>
                      </w:pPr>
                      <w:r w:rsidRPr="005B278E">
                        <w:rPr>
                          <w:rFonts w:asciiTheme="minorHAnsi" w:hAnsiTheme="minorHAnsi"/>
                          <w:color w:val="FFFFFF" w:themeColor="background1"/>
                          <w:sz w:val="22"/>
                          <w:lang w:val="pt-BR"/>
                        </w:rPr>
                        <w:t>OEA/</w:t>
                      </w:r>
                      <w:proofErr w:type="spellStart"/>
                      <w:proofErr w:type="gramStart"/>
                      <w:r w:rsidRPr="005B278E">
                        <w:rPr>
                          <w:rFonts w:asciiTheme="minorHAnsi" w:hAnsiTheme="minorHAnsi"/>
                          <w:color w:val="FFFFFF" w:themeColor="background1"/>
                          <w:sz w:val="22"/>
                          <w:lang w:val="pt-BR"/>
                        </w:rPr>
                        <w:t>Ser.</w:t>
                      </w:r>
                      <w:proofErr w:type="gramEnd"/>
                      <w:r w:rsidRPr="005B278E">
                        <w:rPr>
                          <w:rFonts w:asciiTheme="minorHAnsi" w:hAnsiTheme="minorHAnsi"/>
                          <w:color w:val="FFFFFF" w:themeColor="background1"/>
                          <w:sz w:val="22"/>
                          <w:lang w:val="pt-BR"/>
                        </w:rPr>
                        <w:t>L</w:t>
                      </w:r>
                      <w:proofErr w:type="spellEnd"/>
                      <w:r w:rsidRPr="005B278E">
                        <w:rPr>
                          <w:rFonts w:asciiTheme="minorHAnsi" w:hAnsiTheme="minorHAnsi"/>
                          <w:color w:val="FFFFFF" w:themeColor="background1"/>
                          <w:sz w:val="22"/>
                          <w:lang w:val="pt-BR"/>
                        </w:rPr>
                        <w:t>/V/II.15</w:t>
                      </w:r>
                      <w:r w:rsidR="008324D2" w:rsidRPr="005B278E">
                        <w:rPr>
                          <w:rFonts w:asciiTheme="minorHAnsi" w:hAnsiTheme="minorHAnsi"/>
                          <w:color w:val="FFFFFF" w:themeColor="background1"/>
                          <w:sz w:val="22"/>
                          <w:lang w:val="pt-BR"/>
                        </w:rPr>
                        <w:t>7</w:t>
                      </w:r>
                    </w:p>
                    <w:p w14:paraId="68B5ACA5" w14:textId="66DEB47A" w:rsidR="00627C9F" w:rsidRPr="005B278E" w:rsidRDefault="00627C9F" w:rsidP="007A5817">
                      <w:pPr>
                        <w:spacing w:line="276" w:lineRule="auto"/>
                        <w:jc w:val="right"/>
                        <w:rPr>
                          <w:rFonts w:asciiTheme="minorHAnsi" w:hAnsiTheme="minorHAnsi"/>
                          <w:color w:val="FFFFFF" w:themeColor="background1"/>
                          <w:sz w:val="22"/>
                          <w:lang w:val="pt-BR"/>
                        </w:rPr>
                      </w:pPr>
                      <w:r w:rsidRPr="005B278E">
                        <w:rPr>
                          <w:rFonts w:asciiTheme="minorHAnsi" w:hAnsiTheme="minorHAnsi"/>
                          <w:color w:val="FFFFFF" w:themeColor="background1"/>
                          <w:sz w:val="22"/>
                          <w:lang w:val="pt-BR"/>
                        </w:rPr>
                        <w:t xml:space="preserve">Doc. </w:t>
                      </w:r>
                      <w:r w:rsidR="005B278E" w:rsidRPr="005B278E">
                        <w:rPr>
                          <w:rFonts w:asciiTheme="minorHAnsi" w:hAnsiTheme="minorHAnsi"/>
                          <w:color w:val="FFFFFF" w:themeColor="background1"/>
                          <w:sz w:val="22"/>
                          <w:lang w:val="pt-BR"/>
                        </w:rPr>
                        <w:t>26</w:t>
                      </w:r>
                    </w:p>
                    <w:p w14:paraId="1CAD1780" w14:textId="4315E271" w:rsidR="00627C9F" w:rsidRPr="005B278E" w:rsidRDefault="005B278E" w:rsidP="007A5817">
                      <w:pPr>
                        <w:spacing w:line="276" w:lineRule="auto"/>
                        <w:jc w:val="right"/>
                        <w:rPr>
                          <w:rFonts w:asciiTheme="minorHAnsi" w:hAnsiTheme="minorHAnsi"/>
                          <w:color w:val="FFFFFF" w:themeColor="background1"/>
                          <w:sz w:val="22"/>
                        </w:rPr>
                      </w:pPr>
                      <w:r w:rsidRPr="005B278E">
                        <w:rPr>
                          <w:rFonts w:asciiTheme="minorHAnsi" w:hAnsiTheme="minorHAnsi"/>
                          <w:color w:val="FFFFFF" w:themeColor="background1"/>
                          <w:sz w:val="22"/>
                        </w:rPr>
                        <w:t>15</w:t>
                      </w:r>
                      <w:r w:rsidR="00627C9F" w:rsidRPr="005B278E">
                        <w:rPr>
                          <w:rFonts w:asciiTheme="minorHAnsi" w:hAnsiTheme="minorHAnsi"/>
                          <w:color w:val="FFFFFF" w:themeColor="background1"/>
                          <w:sz w:val="22"/>
                        </w:rPr>
                        <w:t xml:space="preserve"> </w:t>
                      </w:r>
                      <w:proofErr w:type="spellStart"/>
                      <w:r w:rsidRPr="005B278E">
                        <w:rPr>
                          <w:rFonts w:asciiTheme="minorHAnsi" w:hAnsiTheme="minorHAnsi"/>
                          <w:color w:val="FFFFFF" w:themeColor="background1"/>
                          <w:sz w:val="22"/>
                        </w:rPr>
                        <w:t>abril</w:t>
                      </w:r>
                      <w:proofErr w:type="spellEnd"/>
                      <w:r w:rsidR="0063685A" w:rsidRPr="005B278E">
                        <w:rPr>
                          <w:rFonts w:asciiTheme="minorHAnsi" w:hAnsiTheme="minorHAnsi"/>
                          <w:color w:val="FFFFFF" w:themeColor="background1"/>
                          <w:sz w:val="22"/>
                        </w:rPr>
                        <w:t xml:space="preserve"> 201</w:t>
                      </w:r>
                      <w:r w:rsidRPr="005B278E">
                        <w:rPr>
                          <w:rFonts w:asciiTheme="minorHAnsi" w:hAnsiTheme="minorHAnsi"/>
                          <w:color w:val="FFFFFF" w:themeColor="background1"/>
                          <w:sz w:val="22"/>
                        </w:rPr>
                        <w:t>6</w:t>
                      </w:r>
                    </w:p>
                    <w:p w14:paraId="376B5002" w14:textId="77777777" w:rsidR="00627C9F" w:rsidRPr="005B278E" w:rsidRDefault="00E0340B" w:rsidP="007A5817">
                      <w:pPr>
                        <w:spacing w:line="276" w:lineRule="auto"/>
                        <w:jc w:val="right"/>
                        <w:rPr>
                          <w:rFonts w:asciiTheme="minorHAnsi" w:hAnsiTheme="minorHAnsi"/>
                          <w:color w:val="FFFFFF" w:themeColor="background1"/>
                          <w:sz w:val="22"/>
                        </w:rPr>
                      </w:pPr>
                      <w:r w:rsidRPr="005B278E">
                        <w:rPr>
                          <w:rFonts w:asciiTheme="minorHAnsi" w:hAnsiTheme="minorHAnsi"/>
                          <w:color w:val="FFFFFF" w:themeColor="background1"/>
                          <w:sz w:val="22"/>
                        </w:rPr>
                        <w:t xml:space="preserve">Original: </w:t>
                      </w:r>
                      <w:proofErr w:type="spellStart"/>
                      <w:r w:rsidR="008B12F5" w:rsidRPr="005B278E">
                        <w:rPr>
                          <w:rFonts w:asciiTheme="minorHAnsi" w:hAnsiTheme="minorHAnsi"/>
                          <w:color w:val="FFFFFF" w:themeColor="background1"/>
                          <w:sz w:val="22"/>
                        </w:rPr>
                        <w:t>e</w:t>
                      </w:r>
                      <w:r w:rsidR="00627C9F" w:rsidRPr="005B278E">
                        <w:rPr>
                          <w:rFonts w:asciiTheme="minorHAnsi" w:hAnsiTheme="minorHAnsi"/>
                          <w:color w:val="FFFFFF" w:themeColor="background1"/>
                          <w:sz w:val="22"/>
                        </w:rPr>
                        <w:t>spañol</w:t>
                      </w:r>
                      <w:proofErr w:type="spellEnd"/>
                    </w:p>
                  </w:txbxContent>
                </v:textbox>
              </v:shape>
            </w:pict>
          </mc:Fallback>
        </mc:AlternateContent>
      </w:r>
    </w:p>
    <w:p w14:paraId="012489A4" w14:textId="77777777" w:rsidR="00040C3A" w:rsidRPr="00175907" w:rsidRDefault="00040C3A" w:rsidP="00040C3A">
      <w:pPr>
        <w:tabs>
          <w:tab w:val="center" w:pos="5400"/>
        </w:tabs>
        <w:suppressAutoHyphens/>
        <w:jc w:val="center"/>
        <w:rPr>
          <w:rFonts w:asciiTheme="majorHAnsi" w:hAnsiTheme="majorHAnsi"/>
          <w:sz w:val="22"/>
          <w:szCs w:val="22"/>
          <w:lang w:val="es-ES"/>
        </w:rPr>
      </w:pPr>
    </w:p>
    <w:p w14:paraId="71C1114C" w14:textId="77777777" w:rsidR="00040C3A" w:rsidRPr="00175907" w:rsidRDefault="00040C3A" w:rsidP="00040C3A">
      <w:pPr>
        <w:tabs>
          <w:tab w:val="center" w:pos="5400"/>
        </w:tabs>
        <w:suppressAutoHyphens/>
        <w:jc w:val="center"/>
        <w:rPr>
          <w:rFonts w:asciiTheme="majorHAnsi" w:hAnsiTheme="majorHAnsi"/>
          <w:sz w:val="22"/>
          <w:szCs w:val="22"/>
          <w:lang w:val="es-ES"/>
        </w:rPr>
      </w:pPr>
    </w:p>
    <w:p w14:paraId="16C17DB5" w14:textId="77777777" w:rsidR="00040C3A" w:rsidRPr="00175907" w:rsidRDefault="00040C3A" w:rsidP="00040C3A">
      <w:pPr>
        <w:tabs>
          <w:tab w:val="center" w:pos="5400"/>
        </w:tabs>
        <w:suppressAutoHyphens/>
        <w:jc w:val="center"/>
        <w:rPr>
          <w:rFonts w:asciiTheme="majorHAnsi" w:hAnsiTheme="majorHAnsi" w:cs="Arial"/>
          <w:sz w:val="22"/>
          <w:szCs w:val="22"/>
          <w:lang w:val="es-ES"/>
        </w:rPr>
      </w:pPr>
    </w:p>
    <w:p w14:paraId="180059C1" w14:textId="77777777" w:rsidR="00040C3A" w:rsidRPr="00175907" w:rsidRDefault="00040C3A" w:rsidP="00040C3A">
      <w:pPr>
        <w:tabs>
          <w:tab w:val="center" w:pos="5400"/>
        </w:tabs>
        <w:suppressAutoHyphens/>
        <w:jc w:val="center"/>
        <w:rPr>
          <w:rFonts w:asciiTheme="majorHAnsi" w:hAnsiTheme="majorHAnsi"/>
          <w:sz w:val="22"/>
          <w:szCs w:val="22"/>
          <w:lang w:val="es-ES"/>
        </w:rPr>
      </w:pPr>
    </w:p>
    <w:p w14:paraId="60800226" w14:textId="77777777" w:rsidR="00040C3A" w:rsidRPr="00175907" w:rsidRDefault="00040C3A" w:rsidP="00040C3A">
      <w:pPr>
        <w:tabs>
          <w:tab w:val="center" w:pos="5400"/>
        </w:tabs>
        <w:suppressAutoHyphens/>
        <w:jc w:val="center"/>
        <w:rPr>
          <w:rFonts w:asciiTheme="majorHAnsi" w:hAnsiTheme="majorHAnsi"/>
          <w:sz w:val="22"/>
          <w:szCs w:val="22"/>
          <w:lang w:val="es-ES"/>
        </w:rPr>
      </w:pPr>
    </w:p>
    <w:p w14:paraId="29DF5F1F" w14:textId="77777777" w:rsidR="00040C3A" w:rsidRPr="00175907" w:rsidRDefault="00040C3A" w:rsidP="00040C3A">
      <w:pPr>
        <w:tabs>
          <w:tab w:val="center" w:pos="5400"/>
        </w:tabs>
        <w:suppressAutoHyphens/>
        <w:jc w:val="center"/>
        <w:rPr>
          <w:rFonts w:asciiTheme="majorHAnsi" w:hAnsiTheme="majorHAnsi"/>
          <w:sz w:val="22"/>
          <w:szCs w:val="22"/>
          <w:lang w:val="es-ES"/>
        </w:rPr>
      </w:pPr>
    </w:p>
    <w:p w14:paraId="7950F0A4" w14:textId="77777777" w:rsidR="00040C3A" w:rsidRPr="00175907" w:rsidRDefault="00040C3A" w:rsidP="00040C3A">
      <w:pPr>
        <w:tabs>
          <w:tab w:val="center" w:pos="5400"/>
        </w:tabs>
        <w:suppressAutoHyphens/>
        <w:jc w:val="center"/>
        <w:rPr>
          <w:rFonts w:asciiTheme="majorHAnsi" w:hAnsiTheme="majorHAnsi"/>
          <w:sz w:val="22"/>
          <w:szCs w:val="22"/>
          <w:lang w:val="es-ES"/>
        </w:rPr>
      </w:pPr>
    </w:p>
    <w:p w14:paraId="312CAF40" w14:textId="77777777" w:rsidR="005128E4" w:rsidRPr="00175907" w:rsidRDefault="005128E4" w:rsidP="00040C3A">
      <w:pPr>
        <w:tabs>
          <w:tab w:val="center" w:pos="5400"/>
        </w:tabs>
        <w:suppressAutoHyphens/>
        <w:jc w:val="center"/>
        <w:rPr>
          <w:rFonts w:asciiTheme="majorHAnsi" w:hAnsiTheme="majorHAnsi"/>
          <w:sz w:val="22"/>
          <w:szCs w:val="22"/>
          <w:lang w:val="es-ES"/>
        </w:rPr>
      </w:pPr>
    </w:p>
    <w:p w14:paraId="1A4C04D7" w14:textId="77777777" w:rsidR="00040C3A" w:rsidRPr="00175907" w:rsidRDefault="00040C3A" w:rsidP="00040C3A">
      <w:pPr>
        <w:tabs>
          <w:tab w:val="center" w:pos="5400"/>
        </w:tabs>
        <w:suppressAutoHyphens/>
        <w:jc w:val="center"/>
        <w:rPr>
          <w:rFonts w:asciiTheme="majorHAnsi" w:hAnsiTheme="majorHAnsi"/>
          <w:sz w:val="22"/>
          <w:szCs w:val="22"/>
          <w:lang w:val="es-ES"/>
        </w:rPr>
      </w:pPr>
    </w:p>
    <w:p w14:paraId="716276BB" w14:textId="77777777" w:rsidR="005128E4" w:rsidRPr="00175907" w:rsidRDefault="005128E4" w:rsidP="00040C3A">
      <w:pPr>
        <w:tabs>
          <w:tab w:val="center" w:pos="5400"/>
        </w:tabs>
        <w:suppressAutoHyphens/>
        <w:jc w:val="center"/>
        <w:rPr>
          <w:rFonts w:asciiTheme="majorHAnsi" w:hAnsiTheme="majorHAnsi"/>
          <w:sz w:val="22"/>
          <w:szCs w:val="22"/>
          <w:lang w:val="es-ES"/>
        </w:rPr>
      </w:pPr>
    </w:p>
    <w:p w14:paraId="6971E0D6" w14:textId="77777777" w:rsidR="005128E4" w:rsidRPr="00175907" w:rsidRDefault="005128E4" w:rsidP="00040C3A">
      <w:pPr>
        <w:tabs>
          <w:tab w:val="center" w:pos="5400"/>
        </w:tabs>
        <w:suppressAutoHyphens/>
        <w:jc w:val="center"/>
        <w:rPr>
          <w:rFonts w:asciiTheme="majorHAnsi" w:hAnsiTheme="majorHAnsi"/>
          <w:sz w:val="22"/>
          <w:szCs w:val="22"/>
          <w:lang w:val="es-ES"/>
        </w:rPr>
      </w:pPr>
    </w:p>
    <w:p w14:paraId="50CB6A27" w14:textId="77777777" w:rsidR="005128E4" w:rsidRPr="00175907" w:rsidRDefault="005128E4" w:rsidP="00040C3A">
      <w:pPr>
        <w:tabs>
          <w:tab w:val="center" w:pos="5400"/>
        </w:tabs>
        <w:suppressAutoHyphens/>
        <w:jc w:val="center"/>
        <w:rPr>
          <w:rFonts w:asciiTheme="majorHAnsi" w:hAnsiTheme="majorHAnsi"/>
          <w:sz w:val="22"/>
          <w:szCs w:val="22"/>
          <w:lang w:val="es-ES"/>
        </w:rPr>
      </w:pPr>
    </w:p>
    <w:p w14:paraId="26B4300A" w14:textId="77777777" w:rsidR="00040C3A" w:rsidRPr="00175907" w:rsidRDefault="00040C3A" w:rsidP="00040C3A">
      <w:pPr>
        <w:tabs>
          <w:tab w:val="center" w:pos="5400"/>
        </w:tabs>
        <w:suppressAutoHyphens/>
        <w:jc w:val="center"/>
        <w:rPr>
          <w:rFonts w:asciiTheme="majorHAnsi" w:hAnsiTheme="majorHAnsi"/>
          <w:sz w:val="22"/>
          <w:szCs w:val="22"/>
          <w:lang w:val="es-ES"/>
        </w:rPr>
      </w:pPr>
    </w:p>
    <w:p w14:paraId="69A3A940" w14:textId="77777777" w:rsidR="00040C3A" w:rsidRPr="00175907" w:rsidRDefault="00040C3A" w:rsidP="00040C3A">
      <w:pPr>
        <w:tabs>
          <w:tab w:val="center" w:pos="5400"/>
        </w:tabs>
        <w:suppressAutoHyphens/>
        <w:jc w:val="center"/>
        <w:rPr>
          <w:rFonts w:asciiTheme="majorHAnsi" w:hAnsiTheme="majorHAnsi"/>
          <w:sz w:val="22"/>
          <w:szCs w:val="22"/>
          <w:lang w:val="es-ES"/>
        </w:rPr>
      </w:pPr>
    </w:p>
    <w:p w14:paraId="46A0F03D" w14:textId="77777777" w:rsidR="00A50FCF" w:rsidRPr="00175907" w:rsidRDefault="00A50FCF" w:rsidP="00040C3A">
      <w:pPr>
        <w:tabs>
          <w:tab w:val="center" w:pos="5400"/>
        </w:tabs>
        <w:suppressAutoHyphens/>
        <w:jc w:val="center"/>
        <w:rPr>
          <w:rFonts w:asciiTheme="majorHAnsi" w:hAnsiTheme="majorHAnsi"/>
          <w:sz w:val="18"/>
          <w:szCs w:val="22"/>
          <w:lang w:val="es-ES"/>
        </w:rPr>
      </w:pPr>
    </w:p>
    <w:p w14:paraId="272D34E5" w14:textId="77777777" w:rsidR="00A50FCF" w:rsidRPr="00175907" w:rsidRDefault="00A50FCF" w:rsidP="00040C3A">
      <w:pPr>
        <w:tabs>
          <w:tab w:val="center" w:pos="5400"/>
        </w:tabs>
        <w:suppressAutoHyphens/>
        <w:jc w:val="center"/>
        <w:rPr>
          <w:rFonts w:asciiTheme="majorHAnsi" w:hAnsiTheme="majorHAnsi"/>
          <w:sz w:val="18"/>
          <w:szCs w:val="22"/>
          <w:lang w:val="es-ES"/>
        </w:rPr>
      </w:pPr>
    </w:p>
    <w:p w14:paraId="0C52FBC7" w14:textId="77777777" w:rsidR="00A50FCF" w:rsidRPr="00175907" w:rsidRDefault="00A50FCF" w:rsidP="00040C3A">
      <w:pPr>
        <w:tabs>
          <w:tab w:val="center" w:pos="5400"/>
        </w:tabs>
        <w:suppressAutoHyphens/>
        <w:jc w:val="center"/>
        <w:rPr>
          <w:rFonts w:asciiTheme="majorHAnsi" w:hAnsiTheme="majorHAnsi"/>
          <w:sz w:val="18"/>
          <w:szCs w:val="22"/>
          <w:lang w:val="es-ES"/>
        </w:rPr>
      </w:pPr>
    </w:p>
    <w:p w14:paraId="6691B8D0" w14:textId="77777777" w:rsidR="00A50FCF" w:rsidRPr="00175907" w:rsidRDefault="00A50FCF" w:rsidP="00040C3A">
      <w:pPr>
        <w:tabs>
          <w:tab w:val="center" w:pos="5400"/>
        </w:tabs>
        <w:suppressAutoHyphens/>
        <w:jc w:val="center"/>
        <w:rPr>
          <w:rFonts w:asciiTheme="majorHAnsi" w:hAnsiTheme="majorHAnsi"/>
          <w:sz w:val="18"/>
          <w:szCs w:val="22"/>
          <w:lang w:val="es-ES"/>
        </w:rPr>
      </w:pPr>
    </w:p>
    <w:p w14:paraId="7F6BF440" w14:textId="77777777" w:rsidR="00A50FCF" w:rsidRPr="00175907" w:rsidRDefault="00A50FCF" w:rsidP="00040C3A">
      <w:pPr>
        <w:tabs>
          <w:tab w:val="center" w:pos="5400"/>
        </w:tabs>
        <w:suppressAutoHyphens/>
        <w:jc w:val="center"/>
        <w:rPr>
          <w:rFonts w:asciiTheme="majorHAnsi" w:hAnsiTheme="majorHAnsi"/>
          <w:sz w:val="18"/>
          <w:szCs w:val="22"/>
          <w:lang w:val="es-ES"/>
        </w:rPr>
      </w:pPr>
    </w:p>
    <w:p w14:paraId="6B8642A5" w14:textId="77777777" w:rsidR="00A50FCF" w:rsidRPr="00175907" w:rsidRDefault="00A50FCF" w:rsidP="00040C3A">
      <w:pPr>
        <w:tabs>
          <w:tab w:val="center" w:pos="5400"/>
        </w:tabs>
        <w:suppressAutoHyphens/>
        <w:jc w:val="center"/>
        <w:rPr>
          <w:rFonts w:asciiTheme="majorHAnsi" w:hAnsiTheme="majorHAnsi"/>
          <w:sz w:val="18"/>
          <w:szCs w:val="22"/>
          <w:lang w:val="es-ES"/>
        </w:rPr>
      </w:pPr>
    </w:p>
    <w:p w14:paraId="18B7967A" w14:textId="77777777" w:rsidR="00A50FCF" w:rsidRPr="00175907" w:rsidRDefault="00A50FCF" w:rsidP="00040C3A">
      <w:pPr>
        <w:tabs>
          <w:tab w:val="center" w:pos="5400"/>
        </w:tabs>
        <w:suppressAutoHyphens/>
        <w:jc w:val="center"/>
        <w:rPr>
          <w:rFonts w:asciiTheme="majorHAnsi" w:hAnsiTheme="majorHAnsi"/>
          <w:sz w:val="18"/>
          <w:szCs w:val="22"/>
          <w:lang w:val="es-ES"/>
        </w:rPr>
      </w:pPr>
    </w:p>
    <w:p w14:paraId="56147466" w14:textId="77777777" w:rsidR="00A50FCF" w:rsidRPr="00175907" w:rsidRDefault="00A50FCF" w:rsidP="00040C3A">
      <w:pPr>
        <w:tabs>
          <w:tab w:val="center" w:pos="5400"/>
        </w:tabs>
        <w:suppressAutoHyphens/>
        <w:jc w:val="center"/>
        <w:rPr>
          <w:rFonts w:asciiTheme="majorHAnsi" w:hAnsiTheme="majorHAnsi"/>
          <w:sz w:val="18"/>
          <w:szCs w:val="22"/>
          <w:lang w:val="es-ES"/>
        </w:rPr>
      </w:pPr>
    </w:p>
    <w:p w14:paraId="69C26217" w14:textId="77777777" w:rsidR="00A50FCF" w:rsidRPr="00175907" w:rsidRDefault="00A50FCF" w:rsidP="00040C3A">
      <w:pPr>
        <w:tabs>
          <w:tab w:val="center" w:pos="5400"/>
        </w:tabs>
        <w:suppressAutoHyphens/>
        <w:jc w:val="center"/>
        <w:rPr>
          <w:rFonts w:asciiTheme="majorHAnsi" w:hAnsiTheme="majorHAnsi"/>
          <w:sz w:val="18"/>
          <w:szCs w:val="22"/>
          <w:lang w:val="es-ES"/>
        </w:rPr>
      </w:pPr>
    </w:p>
    <w:p w14:paraId="613A01EB" w14:textId="77777777" w:rsidR="00A50FCF" w:rsidRPr="00175907" w:rsidRDefault="00A50FCF" w:rsidP="00040C3A">
      <w:pPr>
        <w:tabs>
          <w:tab w:val="center" w:pos="5400"/>
        </w:tabs>
        <w:suppressAutoHyphens/>
        <w:jc w:val="center"/>
        <w:rPr>
          <w:rFonts w:asciiTheme="majorHAnsi" w:hAnsiTheme="majorHAnsi"/>
          <w:sz w:val="18"/>
          <w:szCs w:val="22"/>
          <w:lang w:val="es-ES"/>
        </w:rPr>
      </w:pPr>
    </w:p>
    <w:p w14:paraId="09686DFD" w14:textId="77777777" w:rsidR="00A50FCF" w:rsidRPr="00175907" w:rsidRDefault="00A50FCF" w:rsidP="00040C3A">
      <w:pPr>
        <w:tabs>
          <w:tab w:val="center" w:pos="5400"/>
        </w:tabs>
        <w:suppressAutoHyphens/>
        <w:jc w:val="center"/>
        <w:rPr>
          <w:rFonts w:asciiTheme="majorHAnsi" w:hAnsiTheme="majorHAnsi"/>
          <w:sz w:val="18"/>
          <w:szCs w:val="22"/>
          <w:lang w:val="es-ES"/>
        </w:rPr>
      </w:pPr>
    </w:p>
    <w:p w14:paraId="06503FAE" w14:textId="77777777" w:rsidR="00A50FCF" w:rsidRPr="00175907" w:rsidRDefault="00A50FCF" w:rsidP="00040C3A">
      <w:pPr>
        <w:tabs>
          <w:tab w:val="center" w:pos="5400"/>
        </w:tabs>
        <w:suppressAutoHyphens/>
        <w:jc w:val="center"/>
        <w:rPr>
          <w:rFonts w:asciiTheme="majorHAnsi" w:hAnsiTheme="majorHAnsi"/>
          <w:sz w:val="18"/>
          <w:szCs w:val="22"/>
          <w:lang w:val="es-ES"/>
        </w:rPr>
      </w:pPr>
    </w:p>
    <w:p w14:paraId="4FA7B59A" w14:textId="77777777" w:rsidR="00A50FCF" w:rsidRPr="00175907" w:rsidRDefault="00A50FCF" w:rsidP="00040C3A">
      <w:pPr>
        <w:tabs>
          <w:tab w:val="center" w:pos="5400"/>
        </w:tabs>
        <w:suppressAutoHyphens/>
        <w:jc w:val="center"/>
        <w:rPr>
          <w:rFonts w:asciiTheme="majorHAnsi" w:hAnsiTheme="majorHAnsi"/>
          <w:sz w:val="18"/>
          <w:szCs w:val="22"/>
          <w:lang w:val="es-ES"/>
        </w:rPr>
      </w:pPr>
    </w:p>
    <w:p w14:paraId="6FEEA20B" w14:textId="77777777" w:rsidR="00A50FCF" w:rsidRPr="00175907" w:rsidRDefault="00A50FCF" w:rsidP="00040C3A">
      <w:pPr>
        <w:tabs>
          <w:tab w:val="center" w:pos="5400"/>
        </w:tabs>
        <w:suppressAutoHyphens/>
        <w:jc w:val="center"/>
        <w:rPr>
          <w:rFonts w:asciiTheme="majorHAnsi" w:hAnsiTheme="majorHAnsi"/>
          <w:sz w:val="18"/>
          <w:szCs w:val="22"/>
          <w:lang w:val="es-ES"/>
        </w:rPr>
      </w:pPr>
    </w:p>
    <w:p w14:paraId="30CB7CAE" w14:textId="77777777" w:rsidR="00A50FCF" w:rsidRPr="00175907" w:rsidRDefault="0090270B" w:rsidP="00040C3A">
      <w:pPr>
        <w:tabs>
          <w:tab w:val="center" w:pos="5400"/>
        </w:tabs>
        <w:suppressAutoHyphens/>
        <w:jc w:val="center"/>
        <w:rPr>
          <w:rFonts w:asciiTheme="majorHAnsi" w:hAnsiTheme="majorHAnsi"/>
          <w:sz w:val="18"/>
          <w:szCs w:val="22"/>
          <w:lang w:val="es-ES"/>
        </w:rPr>
      </w:pPr>
      <w:r w:rsidRPr="0017590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E3FD191" wp14:editId="2157997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D62C3" w14:textId="0CF9160D" w:rsidR="005B52B0" w:rsidRPr="00AE03A0" w:rsidRDefault="005B52B0" w:rsidP="0059191A">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5B278E">
                              <w:rPr>
                                <w:rFonts w:asciiTheme="majorHAnsi" w:hAnsiTheme="majorHAnsi"/>
                                <w:color w:val="0D0D0D" w:themeColor="text1" w:themeTint="F2"/>
                                <w:sz w:val="18"/>
                                <w:szCs w:val="20"/>
                                <w:lang w:val="es-ES"/>
                              </w:rPr>
                              <w:t>2065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5B278E">
                              <w:rPr>
                                <w:rFonts w:asciiTheme="majorHAnsi" w:hAnsiTheme="majorHAnsi"/>
                                <w:color w:val="0D0D0D" w:themeColor="text1" w:themeTint="F2"/>
                                <w:sz w:val="18"/>
                                <w:szCs w:val="20"/>
                                <w:lang w:val="es-ES"/>
                              </w:rPr>
                              <w:t>15</w:t>
                            </w:r>
                            <w:r w:rsidRPr="00890650">
                              <w:rPr>
                                <w:rFonts w:asciiTheme="majorHAnsi" w:hAnsiTheme="majorHAnsi"/>
                                <w:color w:val="0D0D0D" w:themeColor="text1" w:themeTint="F2"/>
                                <w:sz w:val="18"/>
                                <w:szCs w:val="20"/>
                                <w:lang w:val="es-ES"/>
                              </w:rPr>
                              <w:t xml:space="preserve"> de </w:t>
                            </w:r>
                            <w:r w:rsidR="005B278E">
                              <w:rPr>
                                <w:rFonts w:asciiTheme="majorHAnsi" w:hAnsiTheme="majorHAnsi"/>
                                <w:color w:val="0D0D0D" w:themeColor="text1" w:themeTint="F2"/>
                                <w:sz w:val="18"/>
                                <w:szCs w:val="20"/>
                                <w:lang w:val="es-ES"/>
                              </w:rPr>
                              <w:t>abril</w:t>
                            </w:r>
                            <w:r w:rsidR="0063685A">
                              <w:rPr>
                                <w:rFonts w:asciiTheme="majorHAnsi" w:hAnsiTheme="majorHAnsi"/>
                                <w:color w:val="0D0D0D" w:themeColor="text1" w:themeTint="F2"/>
                                <w:sz w:val="18"/>
                                <w:szCs w:val="20"/>
                                <w:lang w:val="es-ES"/>
                              </w:rPr>
                              <w:t xml:space="preserve"> de 201</w:t>
                            </w:r>
                            <w:r w:rsidR="005B278E">
                              <w:rPr>
                                <w:rFonts w:asciiTheme="majorHAnsi" w:hAnsiTheme="majorHAnsi"/>
                                <w:color w:val="0D0D0D" w:themeColor="text1" w:themeTint="F2"/>
                                <w:sz w:val="18"/>
                                <w:szCs w:val="20"/>
                                <w:lang w:val="es-ES"/>
                              </w:rPr>
                              <w:t>6</w:t>
                            </w:r>
                            <w:r w:rsidR="00E461CE" w:rsidRPr="00890650">
                              <w:rPr>
                                <w:rFonts w:asciiTheme="majorHAnsi" w:hAnsiTheme="majorHAnsi"/>
                                <w:color w:val="0D0D0D" w:themeColor="text1" w:themeTint="F2"/>
                                <w:sz w:val="18"/>
                                <w:szCs w:val="20"/>
                                <w:lang w:val="es-ES"/>
                              </w:rPr>
                              <w:br/>
                            </w:r>
                            <w:r w:rsidR="005B278E">
                              <w:rPr>
                                <w:rFonts w:asciiTheme="majorHAnsi" w:hAnsiTheme="majorHAnsi" w:cs="Univers"/>
                                <w:color w:val="0D0D0D" w:themeColor="text1" w:themeTint="F2"/>
                                <w:sz w:val="18"/>
                                <w:szCs w:val="20"/>
                                <w:lang w:val="es-ES_tradnl"/>
                              </w:rPr>
                              <w:t>157</w:t>
                            </w:r>
                            <w:r w:rsidR="005B278E">
                              <w:rPr>
                                <w:rFonts w:asciiTheme="majorHAnsi" w:hAnsiTheme="majorHAnsi" w:cs="Univers"/>
                                <w:color w:val="0D0D0D" w:themeColor="text1" w:themeTint="F2"/>
                                <w:sz w:val="18"/>
                                <w:szCs w:val="20"/>
                                <w:lang w:val="es-ES"/>
                              </w:rPr>
                              <w:t>º</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Text Box 7" o:spid="_x0000_s1030"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JDfQIAAGkFAAAOAAAAZHJzL2Uyb0RvYy54bWysVN1P2zAQf5+0/8Hy+0gL4asiRR2IaRIa&#10;aDDx7Do2jWb7PPvapPvrd3aS0rG9MO0lOd/9/PN9X1x21rCNCrEBV/HpwYQz5STUjXuu+LfHmw9n&#10;nEUUrhYGnKr4VkV+OX//7qL1M3UIKzC1CoxIXJy1vuIrRD8riihXyop4AF45MmoIViAdw3NRB9ES&#10;uzXF4WRyUrQQah9AqhhJe90b+Tzza60k3mkdFTJTcfIN8zfk7zJ9i/mFmD0H4VeNHNwQ/+CFFY2j&#10;R3dU1wIFW4fmDyrbyAARNB5IsAVo3UiVY6BoppNX0TyshFc5FkpO9Ls0xf9HK79s7gNr6oqfcuaE&#10;pRI9qg7ZR+jYacpO6+OMQA+eYNiRmqo86iMpU9CdDjb9KRxGdsrzdpfbRCZJWZ4fHZ0fk0mS7eSk&#10;PCuPE03xctuHiJ8UWJaEigeqXU6p2NxG7KEjJD3m4KYxJtfPONYS6RHR/2YhcuOSRuVOGGhSRL3n&#10;WcKtUQlj3FelKRM5gKTIPaiuTGAbQd0jpFQOc+yZl9AJpcmJt1wc8C9eveVyH8f4MjjcXbaNg5Cj&#10;f+V2/X10Wfd4yvle3EnEbtnlFijHwi6h3lK9A/TzEr28aagotyLivQg0IFRHGnq8o482QMmHQeJs&#10;BeHn3/QJT31LVs5aGriKxx9rERRn5rOjjj6flmWa0Hwoj08P6RD2Lct9i1vbK6CqTGm9eJnFhEcz&#10;ijqAfaLdsEivkkk4SW9XHEfxCvs1QLtFqsUig2gmvcBb9+Blok5FSi332D2J4Ie+ROroLzCOppi9&#10;as8em246WKwRdJN7N+W5z+qQf5rn3P3D7kkLY/+cUS8bcv4L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BJ68kN9AgAA&#10;aQUAAA4AAAAAAAAAAAAAAAAALgIAAGRycy9lMm9Eb2MueG1sUEsBAi0AFAAGAAgAAAAhADRfRQzf&#10;AAAACQEAAA8AAAAAAAAAAAAAAAAA1wQAAGRycy9kb3ducmV2LnhtbFBLBQYAAAAABAAEAPMAAADj&#10;BQAAAAA=&#10;" filled="f" stroked="f" strokeweight=".5pt">
                <v:textbox>
                  <w:txbxContent>
                    <w:p w14:paraId="2DCD62C3" w14:textId="0CF9160D" w:rsidR="005B52B0" w:rsidRPr="00AE03A0" w:rsidRDefault="005B52B0" w:rsidP="0059191A">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5B278E">
                        <w:rPr>
                          <w:rFonts w:asciiTheme="majorHAnsi" w:hAnsiTheme="majorHAnsi"/>
                          <w:color w:val="0D0D0D" w:themeColor="text1" w:themeTint="F2"/>
                          <w:sz w:val="18"/>
                          <w:szCs w:val="20"/>
                          <w:lang w:val="es-ES"/>
                        </w:rPr>
                        <w:t>2065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5B278E">
                        <w:rPr>
                          <w:rFonts w:asciiTheme="majorHAnsi" w:hAnsiTheme="majorHAnsi"/>
                          <w:color w:val="0D0D0D" w:themeColor="text1" w:themeTint="F2"/>
                          <w:sz w:val="18"/>
                          <w:szCs w:val="20"/>
                          <w:lang w:val="es-ES"/>
                        </w:rPr>
                        <w:t>15</w:t>
                      </w:r>
                      <w:r w:rsidRPr="00890650">
                        <w:rPr>
                          <w:rFonts w:asciiTheme="majorHAnsi" w:hAnsiTheme="majorHAnsi"/>
                          <w:color w:val="0D0D0D" w:themeColor="text1" w:themeTint="F2"/>
                          <w:sz w:val="18"/>
                          <w:szCs w:val="20"/>
                          <w:lang w:val="es-ES"/>
                        </w:rPr>
                        <w:t xml:space="preserve"> de </w:t>
                      </w:r>
                      <w:r w:rsidR="005B278E">
                        <w:rPr>
                          <w:rFonts w:asciiTheme="majorHAnsi" w:hAnsiTheme="majorHAnsi"/>
                          <w:color w:val="0D0D0D" w:themeColor="text1" w:themeTint="F2"/>
                          <w:sz w:val="18"/>
                          <w:szCs w:val="20"/>
                          <w:lang w:val="es-ES"/>
                        </w:rPr>
                        <w:t>abril</w:t>
                      </w:r>
                      <w:r w:rsidR="0063685A">
                        <w:rPr>
                          <w:rFonts w:asciiTheme="majorHAnsi" w:hAnsiTheme="majorHAnsi"/>
                          <w:color w:val="0D0D0D" w:themeColor="text1" w:themeTint="F2"/>
                          <w:sz w:val="18"/>
                          <w:szCs w:val="20"/>
                          <w:lang w:val="es-ES"/>
                        </w:rPr>
                        <w:t xml:space="preserve"> de 201</w:t>
                      </w:r>
                      <w:r w:rsidR="005B278E">
                        <w:rPr>
                          <w:rFonts w:asciiTheme="majorHAnsi" w:hAnsiTheme="majorHAnsi"/>
                          <w:color w:val="0D0D0D" w:themeColor="text1" w:themeTint="F2"/>
                          <w:sz w:val="18"/>
                          <w:szCs w:val="20"/>
                          <w:lang w:val="es-ES"/>
                        </w:rPr>
                        <w:t>6</w:t>
                      </w:r>
                      <w:r w:rsidR="00E461CE" w:rsidRPr="00890650">
                        <w:rPr>
                          <w:rFonts w:asciiTheme="majorHAnsi" w:hAnsiTheme="majorHAnsi"/>
                          <w:color w:val="0D0D0D" w:themeColor="text1" w:themeTint="F2"/>
                          <w:sz w:val="18"/>
                          <w:szCs w:val="20"/>
                          <w:lang w:val="es-ES"/>
                        </w:rPr>
                        <w:br/>
                      </w:r>
                      <w:r w:rsidR="005B278E">
                        <w:rPr>
                          <w:rFonts w:asciiTheme="majorHAnsi" w:hAnsiTheme="majorHAnsi" w:cs="Univers"/>
                          <w:color w:val="0D0D0D" w:themeColor="text1" w:themeTint="F2"/>
                          <w:sz w:val="18"/>
                          <w:szCs w:val="20"/>
                          <w:lang w:val="es-ES_tradnl"/>
                        </w:rPr>
                        <w:t>157</w:t>
                      </w:r>
                      <w:r w:rsidR="005B278E">
                        <w:rPr>
                          <w:rFonts w:asciiTheme="majorHAnsi" w:hAnsiTheme="majorHAnsi" w:cs="Univers"/>
                          <w:color w:val="0D0D0D" w:themeColor="text1" w:themeTint="F2"/>
                          <w:sz w:val="18"/>
                          <w:szCs w:val="20"/>
                          <w:lang w:val="es-ES"/>
                        </w:rPr>
                        <w:t>º</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txbxContent>
                </v:textbox>
              </v:shape>
            </w:pict>
          </mc:Fallback>
        </mc:AlternateContent>
      </w:r>
    </w:p>
    <w:p w14:paraId="097ADC48" w14:textId="77777777" w:rsidR="00A50FCF" w:rsidRPr="00175907" w:rsidRDefault="00A50FCF" w:rsidP="00040C3A">
      <w:pPr>
        <w:tabs>
          <w:tab w:val="center" w:pos="5400"/>
        </w:tabs>
        <w:suppressAutoHyphens/>
        <w:jc w:val="center"/>
        <w:rPr>
          <w:rFonts w:asciiTheme="majorHAnsi" w:hAnsiTheme="majorHAnsi"/>
          <w:sz w:val="18"/>
          <w:szCs w:val="22"/>
          <w:lang w:val="es-ES"/>
        </w:rPr>
      </w:pPr>
    </w:p>
    <w:p w14:paraId="49616B0E" w14:textId="77777777" w:rsidR="00A50FCF" w:rsidRPr="00175907" w:rsidRDefault="00A50FCF" w:rsidP="00040C3A">
      <w:pPr>
        <w:tabs>
          <w:tab w:val="center" w:pos="5400"/>
        </w:tabs>
        <w:suppressAutoHyphens/>
        <w:jc w:val="center"/>
        <w:rPr>
          <w:rFonts w:asciiTheme="majorHAnsi" w:hAnsiTheme="majorHAnsi"/>
          <w:sz w:val="18"/>
          <w:szCs w:val="22"/>
          <w:lang w:val="es-ES"/>
        </w:rPr>
      </w:pPr>
    </w:p>
    <w:p w14:paraId="3954DB11" w14:textId="77777777" w:rsidR="00A50FCF" w:rsidRPr="00175907" w:rsidRDefault="00A50FCF" w:rsidP="00040C3A">
      <w:pPr>
        <w:tabs>
          <w:tab w:val="center" w:pos="5400"/>
        </w:tabs>
        <w:suppressAutoHyphens/>
        <w:jc w:val="center"/>
        <w:rPr>
          <w:rFonts w:asciiTheme="majorHAnsi" w:hAnsiTheme="majorHAnsi"/>
          <w:sz w:val="18"/>
          <w:szCs w:val="22"/>
          <w:lang w:val="es-ES"/>
        </w:rPr>
      </w:pPr>
    </w:p>
    <w:p w14:paraId="0764F2FF" w14:textId="77777777" w:rsidR="00A50FCF" w:rsidRPr="00175907" w:rsidRDefault="00A50FCF" w:rsidP="00040C3A">
      <w:pPr>
        <w:tabs>
          <w:tab w:val="center" w:pos="5400"/>
        </w:tabs>
        <w:suppressAutoHyphens/>
        <w:jc w:val="center"/>
        <w:rPr>
          <w:rFonts w:asciiTheme="majorHAnsi" w:hAnsiTheme="majorHAnsi"/>
          <w:sz w:val="18"/>
          <w:szCs w:val="22"/>
          <w:lang w:val="es-ES"/>
        </w:rPr>
      </w:pPr>
    </w:p>
    <w:p w14:paraId="46CACF9E" w14:textId="77777777" w:rsidR="00A50FCF" w:rsidRPr="00175907" w:rsidRDefault="0090270B" w:rsidP="00040C3A">
      <w:pPr>
        <w:tabs>
          <w:tab w:val="center" w:pos="5400"/>
        </w:tabs>
        <w:suppressAutoHyphens/>
        <w:jc w:val="center"/>
        <w:rPr>
          <w:rFonts w:asciiTheme="majorHAnsi" w:hAnsiTheme="majorHAnsi"/>
          <w:sz w:val="18"/>
          <w:szCs w:val="22"/>
          <w:lang w:val="es-ES"/>
        </w:rPr>
      </w:pPr>
      <w:r w:rsidRPr="0017590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8A84D51" wp14:editId="2BAAEE6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15045" w14:textId="01AAA61C" w:rsidR="00113F73" w:rsidRPr="0063685A"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5B278E">
                              <w:rPr>
                                <w:rFonts w:asciiTheme="majorHAnsi" w:hAnsiTheme="majorHAnsi"/>
                                <w:color w:val="595959" w:themeColor="text1" w:themeTint="A6"/>
                                <w:sz w:val="18"/>
                                <w:szCs w:val="18"/>
                                <w:lang w:val="pt-BR"/>
                              </w:rPr>
                              <w:t>22/16.</w:t>
                            </w:r>
                            <w:r w:rsidR="0045320D" w:rsidRPr="005B278E">
                              <w:rPr>
                                <w:rFonts w:asciiTheme="majorHAnsi" w:hAnsiTheme="majorHAnsi"/>
                                <w:color w:val="595959" w:themeColor="text1" w:themeTint="A6"/>
                                <w:sz w:val="18"/>
                                <w:szCs w:val="18"/>
                                <w:lang w:val="pt-BR"/>
                              </w:rPr>
                              <w:t xml:space="preserve"> </w:t>
                            </w:r>
                            <w:r w:rsidR="0045320D">
                              <w:rPr>
                                <w:rFonts w:asciiTheme="majorHAnsi" w:hAnsiTheme="majorHAnsi"/>
                                <w:color w:val="595959" w:themeColor="text1" w:themeTint="A6"/>
                                <w:sz w:val="18"/>
                                <w:szCs w:val="18"/>
                                <w:lang w:val="es-ES_tradnl"/>
                              </w:rPr>
                              <w:t>Petición 189-08</w:t>
                            </w:r>
                            <w:r w:rsidRPr="00890650">
                              <w:rPr>
                                <w:rFonts w:asciiTheme="majorHAnsi" w:hAnsiTheme="majorHAnsi"/>
                                <w:color w:val="595959" w:themeColor="text1" w:themeTint="A6"/>
                                <w:sz w:val="18"/>
                                <w:szCs w:val="18"/>
                                <w:lang w:val="es-ES_tradnl"/>
                              </w:rPr>
                              <w:t xml:space="preserve">. Admisibilidad. </w:t>
                            </w:r>
                            <w:r w:rsidR="0045320D">
                              <w:rPr>
                                <w:rFonts w:asciiTheme="majorHAnsi" w:hAnsiTheme="majorHAnsi"/>
                                <w:color w:val="595959" w:themeColor="text1" w:themeTint="A6"/>
                                <w:sz w:val="18"/>
                                <w:szCs w:val="18"/>
                                <w:lang w:val="es-ES_tradnl"/>
                              </w:rPr>
                              <w:t>Sa</w:t>
                            </w:r>
                            <w:r w:rsidR="0045320D">
                              <w:rPr>
                                <w:rFonts w:asciiTheme="majorHAnsi" w:hAnsiTheme="majorHAnsi"/>
                                <w:color w:val="595959" w:themeColor="text1" w:themeTint="A6"/>
                                <w:sz w:val="18"/>
                                <w:szCs w:val="18"/>
                                <w:lang w:val="es-ES"/>
                              </w:rPr>
                              <w:t>úl Gamarro Meneses</w:t>
                            </w:r>
                            <w:r w:rsidRPr="00890650">
                              <w:rPr>
                                <w:rFonts w:asciiTheme="majorHAnsi" w:hAnsiTheme="majorHAnsi"/>
                                <w:color w:val="595959" w:themeColor="text1" w:themeTint="A6"/>
                                <w:sz w:val="18"/>
                                <w:szCs w:val="18"/>
                                <w:lang w:val="es-ES_tradnl"/>
                              </w:rPr>
                              <w:t xml:space="preserve">. </w:t>
                            </w:r>
                            <w:r w:rsidR="0045320D">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5B278E">
                              <w:rPr>
                                <w:rFonts w:asciiTheme="majorHAnsi" w:hAnsiTheme="majorHAnsi"/>
                                <w:color w:val="595959" w:themeColor="text1" w:themeTint="A6"/>
                                <w:sz w:val="18"/>
                                <w:szCs w:val="18"/>
                                <w:lang w:val="es-ES_tradnl"/>
                              </w:rPr>
                              <w:t>15 de abril de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Text Box 10" o:spid="_x0000_s1031"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kHfQIAAGsFAAAOAAAAZHJzL2Uyb0RvYy54bWysVE1PGzEQvVfqf7B8L5uEhJaIDUpBVJUQ&#10;oELF2fHaZFWvx7WdZNNf32fv5kO0F6pedsczz8/zfXHZNoatlQ812ZIPTwacKSupqu1Lyb8/3Xz4&#10;xFmIwlbCkFUl36rAL2fv311s3FSNaEmmUp6BxIbpxpV8GaObFkWQS9WIcEJOWRg1+UZEHP1LUXmx&#10;AXtjitFgcFZsyFfOk1QhQHvdGfks82utZLzXOqjITMnhW8xfn7+L9C1mF2L64oVb1rJ3Q/yDF42o&#10;LR7dU12LKNjK139QNbX0FEjHE0lNQVrXUuUYEM1w8Cqax6VwKseC5AS3T1P4f7Tybv3gWV2hdkiP&#10;FQ1q9KTayD5Ty6BCfjYuTAF7dADGFnpgd/oAZQq71b5JfwTEYAfVdp/dxCahHJ+PT8cfJ5xJ2M4m&#10;H0ejSaIpDredD/GLooYloeQe1ctJFevbEDvoDpIes3RTG5MraCzbgPR0MsgX9haQG5uwKvdCT5Mi&#10;6jzPUtwalTDGflMaucgBJEXuQnVlPFsL9I+QUtmYY8+8QCeUhhNvudjjD1695XIXx+5lsnF/uakt&#10;+Rz9K7erHzuXdYdHzo/iTmJsF21uglyRpFlQtUW9PXUTE5y8qVGUWxHig/AYEZQYYx/v8dGGkHzq&#10;Jc6W5H/9TZ/w6FxYOdtg5Eoefq6EV5yZrxY9fT4cj9OM5sMYDYKDP7Ysji121VwRqjLEgnEyiwkf&#10;zU7UnppnbId5ehUmYSXeLnnciVexWwTYLlLN5xmEqXQi3tpHJxN1KlJquaf2WXjX92VER9/RbjjF&#10;9FV7dth009J8FUnXuXcPWe3zj4nO3d9vn7Qyjs8ZddiRs98AAAD//wMAUEsDBBQABgAIAAAAIQCy&#10;j9jW4AAAAAgBAAAPAAAAZHJzL2Rvd25yZXYueG1sTI9BS8NAFITvgv9heYI3u9vQShqzKSVQBNFD&#10;ay/eXrKvSTC7G7PbNvrrfZ7scZhh5pt8PdlenGkMnXca5jMFglztTecaDYf37UMKIkR0BnvvSMM3&#10;BVgXtzc5ZsZf3I7O+9gILnEhQw1tjEMmZahbshhmfiDH3tGPFiPLsZFmxAuX214mSj1Ki53jhRYH&#10;KluqP/cnq+Gl3L7hrkps+tOXz6/HzfB1+FhqfX83bZ5ARJrifxj+8BkdCmaq/MmZIHoNyVzxl6hh&#10;BYLtVZouQVScU4sFyCKX1weKXwAAAP//AwBQSwECLQAUAAYACAAAACEAtoM4kv4AAADhAQAAEwAA&#10;AAAAAAAAAAAAAAAAAAAAW0NvbnRlbnRfVHlwZXNdLnhtbFBLAQItABQABgAIAAAAIQA4/SH/1gAA&#10;AJQBAAALAAAAAAAAAAAAAAAAAC8BAABfcmVscy8ucmVsc1BLAQItABQABgAIAAAAIQAMx1kHfQIA&#10;AGsFAAAOAAAAAAAAAAAAAAAAAC4CAABkcnMvZTJvRG9jLnhtbFBLAQItABQABgAIAAAAIQCyj9jW&#10;4AAAAAgBAAAPAAAAAAAAAAAAAAAAANcEAABkcnMvZG93bnJldi54bWxQSwUGAAAAAAQABADzAAAA&#10;5AUAAAAA&#10;" filled="f" stroked="f" strokeweight=".5pt">
                <v:textbox>
                  <w:txbxContent>
                    <w:p w14:paraId="6C615045" w14:textId="01AAA61C" w:rsidR="00113F73" w:rsidRPr="0063685A"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proofErr w:type="gramStart"/>
                      <w:r w:rsidRPr="00890650">
                        <w:rPr>
                          <w:rFonts w:asciiTheme="majorHAnsi" w:hAnsiTheme="majorHAnsi"/>
                          <w:color w:val="595959" w:themeColor="text1" w:themeTint="A6"/>
                          <w:sz w:val="18"/>
                          <w:szCs w:val="18"/>
                          <w:lang w:val="pt-BR"/>
                        </w:rPr>
                        <w:t>No.</w:t>
                      </w:r>
                      <w:proofErr w:type="gramEnd"/>
                      <w:r w:rsidR="005B278E">
                        <w:rPr>
                          <w:rFonts w:asciiTheme="majorHAnsi" w:hAnsiTheme="majorHAnsi"/>
                          <w:color w:val="595959" w:themeColor="text1" w:themeTint="A6"/>
                          <w:sz w:val="18"/>
                          <w:szCs w:val="18"/>
                          <w:lang w:val="pt-BR"/>
                        </w:rPr>
                        <w:t>22/16.</w:t>
                      </w:r>
                      <w:r w:rsidR="0045320D" w:rsidRPr="005B278E">
                        <w:rPr>
                          <w:rFonts w:asciiTheme="majorHAnsi" w:hAnsiTheme="majorHAnsi"/>
                          <w:color w:val="595959" w:themeColor="text1" w:themeTint="A6"/>
                          <w:sz w:val="18"/>
                          <w:szCs w:val="18"/>
                          <w:lang w:val="pt-BR"/>
                        </w:rPr>
                        <w:t xml:space="preserve"> </w:t>
                      </w:r>
                      <w:r w:rsidR="0045320D">
                        <w:rPr>
                          <w:rFonts w:asciiTheme="majorHAnsi" w:hAnsiTheme="majorHAnsi"/>
                          <w:color w:val="595959" w:themeColor="text1" w:themeTint="A6"/>
                          <w:sz w:val="18"/>
                          <w:szCs w:val="18"/>
                          <w:lang w:val="es-ES_tradnl"/>
                        </w:rPr>
                        <w:t>Petición 189-08</w:t>
                      </w:r>
                      <w:r w:rsidRPr="00890650">
                        <w:rPr>
                          <w:rFonts w:asciiTheme="majorHAnsi" w:hAnsiTheme="majorHAnsi"/>
                          <w:color w:val="595959" w:themeColor="text1" w:themeTint="A6"/>
                          <w:sz w:val="18"/>
                          <w:szCs w:val="18"/>
                          <w:lang w:val="es-ES_tradnl"/>
                        </w:rPr>
                        <w:t xml:space="preserve">. Admisibilidad. </w:t>
                      </w:r>
                      <w:proofErr w:type="spellStart"/>
                      <w:r w:rsidR="0045320D">
                        <w:rPr>
                          <w:rFonts w:asciiTheme="majorHAnsi" w:hAnsiTheme="majorHAnsi"/>
                          <w:color w:val="595959" w:themeColor="text1" w:themeTint="A6"/>
                          <w:sz w:val="18"/>
                          <w:szCs w:val="18"/>
                          <w:lang w:val="es-ES_tradnl"/>
                        </w:rPr>
                        <w:t>Sa</w:t>
                      </w:r>
                      <w:r w:rsidR="0045320D">
                        <w:rPr>
                          <w:rFonts w:asciiTheme="majorHAnsi" w:hAnsiTheme="majorHAnsi"/>
                          <w:color w:val="595959" w:themeColor="text1" w:themeTint="A6"/>
                          <w:sz w:val="18"/>
                          <w:szCs w:val="18"/>
                          <w:lang w:val="es-ES"/>
                        </w:rPr>
                        <w:t>úl</w:t>
                      </w:r>
                      <w:proofErr w:type="spellEnd"/>
                      <w:r w:rsidR="0045320D">
                        <w:rPr>
                          <w:rFonts w:asciiTheme="majorHAnsi" w:hAnsiTheme="majorHAnsi"/>
                          <w:color w:val="595959" w:themeColor="text1" w:themeTint="A6"/>
                          <w:sz w:val="18"/>
                          <w:szCs w:val="18"/>
                          <w:lang w:val="es-ES"/>
                        </w:rPr>
                        <w:t xml:space="preserve"> </w:t>
                      </w:r>
                      <w:proofErr w:type="spellStart"/>
                      <w:r w:rsidR="0045320D">
                        <w:rPr>
                          <w:rFonts w:asciiTheme="majorHAnsi" w:hAnsiTheme="majorHAnsi"/>
                          <w:color w:val="595959" w:themeColor="text1" w:themeTint="A6"/>
                          <w:sz w:val="18"/>
                          <w:szCs w:val="18"/>
                          <w:lang w:val="es-ES"/>
                        </w:rPr>
                        <w:t>Gamarro</w:t>
                      </w:r>
                      <w:proofErr w:type="spellEnd"/>
                      <w:r w:rsidR="0045320D">
                        <w:rPr>
                          <w:rFonts w:asciiTheme="majorHAnsi" w:hAnsiTheme="majorHAnsi"/>
                          <w:color w:val="595959" w:themeColor="text1" w:themeTint="A6"/>
                          <w:sz w:val="18"/>
                          <w:szCs w:val="18"/>
                          <w:lang w:val="es-ES"/>
                        </w:rPr>
                        <w:t xml:space="preserve"> Meneses</w:t>
                      </w:r>
                      <w:r w:rsidRPr="00890650">
                        <w:rPr>
                          <w:rFonts w:asciiTheme="majorHAnsi" w:hAnsiTheme="majorHAnsi"/>
                          <w:color w:val="595959" w:themeColor="text1" w:themeTint="A6"/>
                          <w:sz w:val="18"/>
                          <w:szCs w:val="18"/>
                          <w:lang w:val="es-ES_tradnl"/>
                        </w:rPr>
                        <w:t xml:space="preserve">. </w:t>
                      </w:r>
                      <w:r w:rsidR="0045320D">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5B278E">
                        <w:rPr>
                          <w:rFonts w:asciiTheme="majorHAnsi" w:hAnsiTheme="majorHAnsi"/>
                          <w:color w:val="595959" w:themeColor="text1" w:themeTint="A6"/>
                          <w:sz w:val="18"/>
                          <w:szCs w:val="18"/>
                          <w:lang w:val="es-ES_tradnl"/>
                        </w:rPr>
                        <w:t>15 de abril de 2016.</w:t>
                      </w:r>
                    </w:p>
                  </w:txbxContent>
                </v:textbox>
              </v:shape>
            </w:pict>
          </mc:Fallback>
        </mc:AlternateContent>
      </w:r>
    </w:p>
    <w:p w14:paraId="6D8BB5F7" w14:textId="77777777" w:rsidR="00A50FCF" w:rsidRPr="00175907" w:rsidRDefault="00A50FCF" w:rsidP="00040C3A">
      <w:pPr>
        <w:tabs>
          <w:tab w:val="center" w:pos="5400"/>
        </w:tabs>
        <w:suppressAutoHyphens/>
        <w:jc w:val="center"/>
        <w:rPr>
          <w:rFonts w:asciiTheme="majorHAnsi" w:hAnsiTheme="majorHAnsi"/>
          <w:sz w:val="18"/>
          <w:szCs w:val="22"/>
          <w:lang w:val="es-ES"/>
        </w:rPr>
      </w:pPr>
    </w:p>
    <w:p w14:paraId="23D0AF35" w14:textId="77777777" w:rsidR="0090270B" w:rsidRPr="00175907" w:rsidRDefault="00D306D1" w:rsidP="005516A1">
      <w:pPr>
        <w:tabs>
          <w:tab w:val="center" w:pos="5400"/>
        </w:tabs>
        <w:suppressAutoHyphens/>
        <w:jc w:val="center"/>
        <w:rPr>
          <w:rFonts w:asciiTheme="majorHAnsi" w:hAnsiTheme="majorHAnsi"/>
          <w:b/>
          <w:sz w:val="20"/>
          <w:lang w:val="es-ES"/>
        </w:rPr>
      </w:pPr>
      <w:r w:rsidRPr="0017590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7888DF4" wp14:editId="2CBAADB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34306"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A5CB135" wp14:editId="5107441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8A34306"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A5CB135" wp14:editId="5107441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17590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0A845A4" wp14:editId="2284627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033E0"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10033E0"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7DE3C14" w14:textId="77777777" w:rsidR="0070697F" w:rsidRPr="00175907" w:rsidRDefault="0070697F" w:rsidP="005516A1">
      <w:pPr>
        <w:tabs>
          <w:tab w:val="center" w:pos="5400"/>
        </w:tabs>
        <w:suppressAutoHyphens/>
        <w:jc w:val="center"/>
        <w:rPr>
          <w:rFonts w:asciiTheme="majorHAnsi" w:hAnsiTheme="majorHAnsi"/>
          <w:b/>
          <w:sz w:val="20"/>
          <w:lang w:val="es-ES"/>
        </w:rPr>
        <w:sectPr w:rsidR="0070697F" w:rsidRPr="00175907"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43B38B1B" w14:textId="143FA714" w:rsidR="00722C9F" w:rsidRPr="00175907" w:rsidRDefault="0063685A" w:rsidP="00722C9F">
      <w:pPr>
        <w:tabs>
          <w:tab w:val="center" w:pos="5400"/>
        </w:tabs>
        <w:suppressAutoHyphens/>
        <w:spacing w:line="276" w:lineRule="auto"/>
        <w:jc w:val="center"/>
        <w:rPr>
          <w:rFonts w:asciiTheme="majorHAnsi" w:hAnsiTheme="majorHAnsi"/>
          <w:b/>
          <w:sz w:val="18"/>
          <w:szCs w:val="20"/>
          <w:lang w:val="es-ES"/>
        </w:rPr>
      </w:pPr>
      <w:r w:rsidRPr="00175907">
        <w:rPr>
          <w:rFonts w:asciiTheme="majorHAnsi" w:hAnsiTheme="majorHAnsi"/>
          <w:b/>
          <w:sz w:val="18"/>
          <w:szCs w:val="20"/>
          <w:lang w:val="es-ES"/>
        </w:rPr>
        <w:lastRenderedPageBreak/>
        <w:t xml:space="preserve">INFORME No. </w:t>
      </w:r>
      <w:r w:rsidR="005B278E">
        <w:rPr>
          <w:rFonts w:asciiTheme="majorHAnsi" w:hAnsiTheme="majorHAnsi"/>
          <w:b/>
          <w:sz w:val="18"/>
          <w:szCs w:val="20"/>
          <w:lang w:val="es-ES"/>
        </w:rPr>
        <w:t>22</w:t>
      </w:r>
      <w:r w:rsidRPr="00175907">
        <w:rPr>
          <w:rFonts w:asciiTheme="majorHAnsi" w:hAnsiTheme="majorHAnsi"/>
          <w:b/>
          <w:sz w:val="18"/>
          <w:szCs w:val="20"/>
          <w:lang w:val="es-ES"/>
        </w:rPr>
        <w:t>/1</w:t>
      </w:r>
      <w:r w:rsidR="008324D2">
        <w:rPr>
          <w:rFonts w:asciiTheme="majorHAnsi" w:hAnsiTheme="majorHAnsi"/>
          <w:b/>
          <w:sz w:val="18"/>
          <w:szCs w:val="20"/>
          <w:lang w:val="es-ES"/>
        </w:rPr>
        <w:t>6</w:t>
      </w:r>
    </w:p>
    <w:p w14:paraId="59EC5B5B" w14:textId="4C6B8842" w:rsidR="00722C9F" w:rsidRPr="00175907" w:rsidRDefault="00E24F45" w:rsidP="00722C9F">
      <w:pPr>
        <w:tabs>
          <w:tab w:val="center" w:pos="5400"/>
        </w:tabs>
        <w:suppressAutoHyphens/>
        <w:spacing w:line="276" w:lineRule="auto"/>
        <w:jc w:val="center"/>
        <w:rPr>
          <w:rFonts w:asciiTheme="majorHAnsi" w:hAnsiTheme="majorHAnsi"/>
          <w:b/>
          <w:sz w:val="18"/>
          <w:szCs w:val="20"/>
          <w:lang w:val="es-ES"/>
        </w:rPr>
      </w:pPr>
      <w:r>
        <w:rPr>
          <w:rFonts w:asciiTheme="majorHAnsi" w:hAnsiTheme="majorHAnsi"/>
          <w:b/>
          <w:sz w:val="18"/>
          <w:szCs w:val="20"/>
          <w:lang w:val="es-ES"/>
        </w:rPr>
        <w:t>PETICIÓN 189-08</w:t>
      </w:r>
    </w:p>
    <w:p w14:paraId="5B799603" w14:textId="77777777" w:rsidR="00722C9F" w:rsidRPr="00175907" w:rsidRDefault="006E0457" w:rsidP="00722C9F">
      <w:pPr>
        <w:tabs>
          <w:tab w:val="center" w:pos="5400"/>
        </w:tabs>
        <w:suppressAutoHyphens/>
        <w:spacing w:line="276" w:lineRule="auto"/>
        <w:jc w:val="center"/>
        <w:rPr>
          <w:rFonts w:asciiTheme="majorHAnsi" w:hAnsiTheme="majorHAnsi"/>
          <w:sz w:val="18"/>
          <w:szCs w:val="20"/>
          <w:lang w:val="es-ES"/>
        </w:rPr>
      </w:pPr>
      <w:r w:rsidRPr="00175907">
        <w:rPr>
          <w:rFonts w:asciiTheme="majorHAnsi" w:hAnsiTheme="majorHAnsi"/>
          <w:sz w:val="18"/>
          <w:szCs w:val="20"/>
          <w:lang w:val="es-ES"/>
        </w:rPr>
        <w:t>INFORME DE ADMISIBILIDAD</w:t>
      </w:r>
    </w:p>
    <w:p w14:paraId="627CD6C4" w14:textId="5E02D551" w:rsidR="00722C9F" w:rsidRPr="00175907" w:rsidRDefault="00703DCB" w:rsidP="00722C9F">
      <w:pPr>
        <w:tabs>
          <w:tab w:val="center" w:pos="5400"/>
        </w:tabs>
        <w:suppressAutoHyphens/>
        <w:spacing w:line="276" w:lineRule="auto"/>
        <w:jc w:val="center"/>
        <w:rPr>
          <w:rFonts w:asciiTheme="majorHAnsi" w:hAnsiTheme="majorHAnsi"/>
          <w:sz w:val="18"/>
          <w:szCs w:val="20"/>
          <w:lang w:val="es-ES"/>
        </w:rPr>
      </w:pPr>
      <w:r w:rsidRPr="00175907">
        <w:rPr>
          <w:rFonts w:asciiTheme="majorHAnsi" w:hAnsiTheme="majorHAnsi"/>
          <w:sz w:val="18"/>
          <w:szCs w:val="20"/>
          <w:lang w:val="es-ES"/>
        </w:rPr>
        <w:t>SAUL GAMARRO MENESES</w:t>
      </w:r>
    </w:p>
    <w:p w14:paraId="6A4809B2" w14:textId="7D3B70F7" w:rsidR="0070697F" w:rsidRPr="00175907" w:rsidRDefault="00703DCB" w:rsidP="00722C9F">
      <w:pPr>
        <w:tabs>
          <w:tab w:val="center" w:pos="5400"/>
        </w:tabs>
        <w:suppressAutoHyphens/>
        <w:spacing w:line="276" w:lineRule="auto"/>
        <w:jc w:val="center"/>
        <w:rPr>
          <w:rFonts w:asciiTheme="majorHAnsi" w:hAnsiTheme="majorHAnsi"/>
          <w:sz w:val="18"/>
          <w:szCs w:val="20"/>
          <w:lang w:val="es-ES"/>
        </w:rPr>
      </w:pPr>
      <w:r w:rsidRPr="00175907">
        <w:rPr>
          <w:rFonts w:asciiTheme="majorHAnsi" w:hAnsiTheme="majorHAnsi"/>
          <w:sz w:val="18"/>
          <w:szCs w:val="20"/>
          <w:lang w:val="es-ES"/>
        </w:rPr>
        <w:t>GUATEMALA</w:t>
      </w:r>
    </w:p>
    <w:p w14:paraId="68A8F277" w14:textId="62DA680D" w:rsidR="00722C9F" w:rsidRPr="00175907" w:rsidRDefault="005B278E" w:rsidP="00722C9F">
      <w:pPr>
        <w:tabs>
          <w:tab w:val="center" w:pos="5400"/>
        </w:tabs>
        <w:suppressAutoHyphens/>
        <w:spacing w:line="276" w:lineRule="auto"/>
        <w:jc w:val="center"/>
        <w:rPr>
          <w:rFonts w:asciiTheme="majorHAnsi" w:hAnsiTheme="majorHAnsi"/>
          <w:sz w:val="18"/>
          <w:szCs w:val="20"/>
          <w:lang w:val="es-ES"/>
        </w:rPr>
      </w:pPr>
      <w:r>
        <w:rPr>
          <w:rFonts w:asciiTheme="majorHAnsi" w:hAnsiTheme="majorHAnsi"/>
          <w:sz w:val="18"/>
          <w:szCs w:val="20"/>
          <w:lang w:val="es-ES"/>
        </w:rPr>
        <w:t>15 DE ABRIL DE 2016</w:t>
      </w:r>
    </w:p>
    <w:p w14:paraId="346AA249" w14:textId="77777777" w:rsidR="00722C9F" w:rsidRDefault="00722C9F" w:rsidP="00722C9F">
      <w:pPr>
        <w:tabs>
          <w:tab w:val="center" w:pos="5400"/>
        </w:tabs>
        <w:suppressAutoHyphens/>
        <w:spacing w:line="276" w:lineRule="auto"/>
        <w:jc w:val="center"/>
        <w:rPr>
          <w:rFonts w:asciiTheme="majorHAnsi" w:hAnsiTheme="majorHAnsi"/>
          <w:sz w:val="18"/>
          <w:szCs w:val="20"/>
          <w:lang w:val="es-ES"/>
        </w:rPr>
      </w:pPr>
    </w:p>
    <w:p w14:paraId="69390925" w14:textId="77777777" w:rsidR="004D4155" w:rsidRPr="00175907" w:rsidRDefault="004D4155" w:rsidP="00722C9F">
      <w:pPr>
        <w:tabs>
          <w:tab w:val="center" w:pos="5400"/>
        </w:tabs>
        <w:suppressAutoHyphens/>
        <w:spacing w:line="276" w:lineRule="auto"/>
        <w:jc w:val="center"/>
        <w:rPr>
          <w:rFonts w:asciiTheme="majorHAnsi" w:hAnsiTheme="majorHAnsi"/>
          <w:sz w:val="18"/>
          <w:szCs w:val="20"/>
          <w:lang w:val="es-ES"/>
        </w:rPr>
      </w:pPr>
    </w:p>
    <w:p w14:paraId="79E0A94D" w14:textId="77777777" w:rsidR="0063685A" w:rsidRPr="00175907" w:rsidRDefault="0063685A" w:rsidP="009F0583">
      <w:pPr>
        <w:spacing w:after="240"/>
        <w:ind w:firstLine="720"/>
        <w:jc w:val="both"/>
        <w:rPr>
          <w:rFonts w:asciiTheme="majorHAnsi" w:hAnsiTheme="majorHAnsi"/>
          <w:b/>
          <w:bCs/>
          <w:sz w:val="20"/>
          <w:szCs w:val="20"/>
          <w:lang w:val="es-ES"/>
        </w:rPr>
      </w:pPr>
      <w:r w:rsidRPr="00175907">
        <w:rPr>
          <w:rFonts w:asciiTheme="majorHAnsi" w:hAnsiTheme="majorHAnsi"/>
          <w:b/>
          <w:bCs/>
          <w:sz w:val="20"/>
          <w:szCs w:val="20"/>
          <w:lang w:val="es-ES"/>
        </w:rPr>
        <w:t>I.</w:t>
      </w:r>
      <w:r w:rsidRPr="00175907">
        <w:rPr>
          <w:rFonts w:asciiTheme="majorHAnsi" w:hAnsiTheme="majorHAnsi"/>
          <w:b/>
          <w:bCs/>
          <w:sz w:val="20"/>
          <w:szCs w:val="20"/>
          <w:lang w:val="es-ES"/>
        </w:rPr>
        <w:tab/>
        <w:t>RESUMEN</w:t>
      </w:r>
    </w:p>
    <w:p w14:paraId="3ACBE68F" w14:textId="77777777" w:rsidR="00EC3ADE" w:rsidRPr="00175907" w:rsidRDefault="00EC3ADE" w:rsidP="00EC3ADE">
      <w:pPr>
        <w:numPr>
          <w:ilvl w:val="0"/>
          <w:numId w:val="55"/>
        </w:numPr>
        <w:jc w:val="both"/>
        <w:rPr>
          <w:rFonts w:ascii="Cambria" w:hAnsi="Cambria"/>
          <w:sz w:val="20"/>
          <w:szCs w:val="20"/>
          <w:lang w:val="es-ES"/>
        </w:rPr>
      </w:pPr>
      <w:r w:rsidRPr="00175907">
        <w:rPr>
          <w:rFonts w:ascii="Cambria" w:hAnsi="Cambria" w:cs="Tunga"/>
          <w:sz w:val="20"/>
          <w:szCs w:val="20"/>
          <w:lang w:val="es-ES"/>
        </w:rPr>
        <w:t>El 19 de febrero de 2008</w:t>
      </w:r>
      <w:r w:rsidRPr="00175907">
        <w:rPr>
          <w:rFonts w:ascii="Cambria" w:hAnsi="Cambria"/>
          <w:sz w:val="20"/>
          <w:szCs w:val="20"/>
          <w:lang w:val="es-ES"/>
        </w:rPr>
        <w:t xml:space="preserve"> la Comisión Interamericana de Derechos Humanos (en adelante "Comisión Interamericana", "Comisión" o "CIDH"), </w:t>
      </w:r>
      <w:r w:rsidRPr="00175907">
        <w:rPr>
          <w:rFonts w:ascii="Cambria" w:hAnsi="Cambria" w:cs="Tunga"/>
          <w:sz w:val="20"/>
          <w:szCs w:val="20"/>
          <w:lang w:val="es-ES"/>
        </w:rPr>
        <w:t>recibió una petición presentada</w:t>
      </w:r>
      <w:r w:rsidRPr="00175907">
        <w:rPr>
          <w:rFonts w:ascii="Cambria" w:hAnsi="Cambria"/>
          <w:sz w:val="20"/>
          <w:szCs w:val="20"/>
          <w:lang w:val="es-ES"/>
        </w:rPr>
        <w:t xml:space="preserve"> en representación propia por el señor Saúl Gamarro </w:t>
      </w:r>
      <w:r w:rsidRPr="00E24F45">
        <w:rPr>
          <w:rFonts w:ascii="Cambria" w:hAnsi="Cambria"/>
          <w:sz w:val="20"/>
          <w:szCs w:val="20"/>
          <w:lang w:val="es-ES"/>
        </w:rPr>
        <w:t>Meneses</w:t>
      </w:r>
      <w:r w:rsidRPr="00175907">
        <w:rPr>
          <w:rFonts w:ascii="Cambria" w:hAnsi="Cambria"/>
          <w:sz w:val="20"/>
          <w:szCs w:val="20"/>
          <w:lang w:val="es-ES"/>
        </w:rPr>
        <w:t xml:space="preserve"> (en adelante “</w:t>
      </w:r>
      <w:r w:rsidR="00E4213B" w:rsidRPr="00175907">
        <w:rPr>
          <w:rFonts w:ascii="Cambria" w:hAnsi="Cambria"/>
          <w:sz w:val="20"/>
          <w:szCs w:val="20"/>
          <w:lang w:val="es-ES"/>
        </w:rPr>
        <w:t xml:space="preserve">el </w:t>
      </w:r>
      <w:r w:rsidRPr="00175907">
        <w:rPr>
          <w:rFonts w:ascii="Cambria" w:hAnsi="Cambria"/>
          <w:sz w:val="20"/>
          <w:szCs w:val="20"/>
          <w:lang w:val="es-ES"/>
        </w:rPr>
        <w:t>peticionario” o “presunta víctima”), en la cual se alega la responsabilidad internacional del Estado de Gu</w:t>
      </w:r>
      <w:r w:rsidR="00E4213B" w:rsidRPr="00175907">
        <w:rPr>
          <w:rFonts w:ascii="Cambria" w:hAnsi="Cambria"/>
          <w:sz w:val="20"/>
          <w:szCs w:val="20"/>
          <w:lang w:val="es-ES"/>
        </w:rPr>
        <w:t>atemala (en adelante “el Estado”</w:t>
      </w:r>
      <w:r w:rsidRPr="00175907">
        <w:rPr>
          <w:rFonts w:ascii="Cambria" w:hAnsi="Cambria"/>
          <w:sz w:val="20"/>
          <w:szCs w:val="20"/>
          <w:lang w:val="es-ES"/>
        </w:rPr>
        <w:t xml:space="preserve"> o “Guatemala”) por la presunta violación de su derecho de propiedad </w:t>
      </w:r>
      <w:r w:rsidR="00E4213B" w:rsidRPr="00175907">
        <w:rPr>
          <w:rFonts w:ascii="Cambria" w:hAnsi="Cambria"/>
          <w:sz w:val="20"/>
          <w:szCs w:val="20"/>
          <w:lang w:val="es-ES"/>
        </w:rPr>
        <w:t>y de garantía y protección judicial.</w:t>
      </w:r>
    </w:p>
    <w:p w14:paraId="3B58D1E5" w14:textId="77777777" w:rsidR="00EC3ADE" w:rsidRPr="00175907" w:rsidRDefault="00EC3ADE" w:rsidP="00EC3ADE">
      <w:pPr>
        <w:ind w:left="720"/>
        <w:jc w:val="both"/>
        <w:rPr>
          <w:rFonts w:ascii="Cambria" w:hAnsi="Cambria"/>
          <w:sz w:val="20"/>
          <w:szCs w:val="20"/>
          <w:lang w:val="es-ES"/>
        </w:rPr>
      </w:pPr>
    </w:p>
    <w:p w14:paraId="5978FEC7" w14:textId="69FEFE45" w:rsidR="0063685A" w:rsidRPr="00175907" w:rsidRDefault="0063685A" w:rsidP="009F0583">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175907">
        <w:rPr>
          <w:rFonts w:asciiTheme="majorHAnsi" w:eastAsia="SimSun" w:hAnsiTheme="majorHAnsi"/>
          <w:sz w:val="20"/>
          <w:szCs w:val="20"/>
          <w:lang w:val="es-ES"/>
        </w:rPr>
        <w:t xml:space="preserve">El peticionario sostiene que </w:t>
      </w:r>
      <w:r w:rsidR="00E4213B" w:rsidRPr="00175907">
        <w:rPr>
          <w:rFonts w:asciiTheme="majorHAnsi" w:eastAsia="SimSun" w:hAnsiTheme="majorHAnsi"/>
          <w:color w:val="000000" w:themeColor="text1"/>
          <w:sz w:val="20"/>
          <w:szCs w:val="20"/>
          <w:lang w:val="es-ES"/>
        </w:rPr>
        <w:t>30 mil pies de madera y un aserradero móvil de su propiedad fueron incautados por el Estado</w:t>
      </w:r>
      <w:r w:rsidR="00E4213B" w:rsidRPr="00175907">
        <w:rPr>
          <w:rFonts w:asciiTheme="majorHAnsi" w:eastAsia="SimSun" w:hAnsiTheme="majorHAnsi"/>
          <w:sz w:val="20"/>
          <w:szCs w:val="20"/>
          <w:lang w:val="es-ES"/>
        </w:rPr>
        <w:t xml:space="preserve"> de forma ilegal </w:t>
      </w:r>
      <w:r w:rsidR="00426EEE" w:rsidRPr="00175907">
        <w:rPr>
          <w:rFonts w:asciiTheme="majorHAnsi" w:eastAsia="SimSun" w:hAnsiTheme="majorHAnsi"/>
          <w:sz w:val="20"/>
          <w:szCs w:val="20"/>
          <w:lang w:val="es-ES"/>
        </w:rPr>
        <w:t xml:space="preserve">en marzo de 2004 </w:t>
      </w:r>
      <w:r w:rsidR="00E4213B" w:rsidRPr="00175907">
        <w:rPr>
          <w:rFonts w:asciiTheme="majorHAnsi" w:eastAsia="SimSun" w:hAnsiTheme="majorHAnsi"/>
          <w:sz w:val="20"/>
          <w:szCs w:val="20"/>
          <w:lang w:val="es-ES"/>
        </w:rPr>
        <w:t xml:space="preserve">y posteriormente </w:t>
      </w:r>
      <w:r w:rsidR="00426EEE" w:rsidRPr="00175907">
        <w:rPr>
          <w:rFonts w:asciiTheme="majorHAnsi" w:eastAsia="SimSun" w:hAnsiTheme="majorHAnsi"/>
          <w:sz w:val="20"/>
          <w:szCs w:val="20"/>
          <w:lang w:val="es-ES"/>
        </w:rPr>
        <w:t>depositados con</w:t>
      </w:r>
      <w:r w:rsidR="00E4213B" w:rsidRPr="00175907">
        <w:rPr>
          <w:rFonts w:asciiTheme="majorHAnsi" w:eastAsia="SimSun" w:hAnsiTheme="majorHAnsi"/>
          <w:sz w:val="20"/>
          <w:szCs w:val="20"/>
          <w:lang w:val="es-ES"/>
        </w:rPr>
        <w:t xml:space="preserve"> </w:t>
      </w:r>
      <w:r w:rsidR="00A53312">
        <w:rPr>
          <w:rFonts w:asciiTheme="majorHAnsi" w:eastAsia="SimSun" w:hAnsiTheme="majorHAnsi"/>
          <w:sz w:val="20"/>
          <w:szCs w:val="20"/>
          <w:lang w:val="es-ES"/>
        </w:rPr>
        <w:t>terceros</w:t>
      </w:r>
      <w:r w:rsidR="001102F7">
        <w:rPr>
          <w:rFonts w:asciiTheme="majorHAnsi" w:eastAsia="SimSun" w:hAnsiTheme="majorHAnsi"/>
          <w:sz w:val="20"/>
          <w:szCs w:val="20"/>
          <w:lang w:val="es-ES"/>
        </w:rPr>
        <w:t>.</w:t>
      </w:r>
      <w:r w:rsidR="00E4213B" w:rsidRPr="00175907">
        <w:rPr>
          <w:rFonts w:asciiTheme="majorHAnsi" w:eastAsia="SimSun" w:hAnsiTheme="majorHAnsi"/>
          <w:sz w:val="20"/>
          <w:szCs w:val="20"/>
          <w:lang w:val="es-ES"/>
        </w:rPr>
        <w:t xml:space="preserve"> Alega además que es</w:t>
      </w:r>
      <w:r w:rsidR="007C26E3" w:rsidRPr="00175907">
        <w:rPr>
          <w:rFonts w:asciiTheme="majorHAnsi" w:eastAsia="SimSun" w:hAnsiTheme="majorHAnsi"/>
          <w:sz w:val="20"/>
          <w:szCs w:val="20"/>
          <w:lang w:val="es-ES"/>
        </w:rPr>
        <w:t xml:space="preserve">tas personas </w:t>
      </w:r>
      <w:r w:rsidR="00317992">
        <w:rPr>
          <w:rFonts w:asciiTheme="majorHAnsi" w:eastAsia="SimSun" w:hAnsiTheme="majorHAnsi"/>
          <w:sz w:val="20"/>
          <w:szCs w:val="20"/>
          <w:lang w:val="es-ES"/>
        </w:rPr>
        <w:t>se apropiaron</w:t>
      </w:r>
      <w:r w:rsidR="007C26E3" w:rsidRPr="00175907">
        <w:rPr>
          <w:rFonts w:asciiTheme="majorHAnsi" w:eastAsia="SimSun" w:hAnsiTheme="majorHAnsi"/>
          <w:sz w:val="20"/>
          <w:szCs w:val="20"/>
          <w:lang w:val="es-ES"/>
        </w:rPr>
        <w:t xml:space="preserve"> </w:t>
      </w:r>
      <w:r w:rsidR="00317992">
        <w:rPr>
          <w:rFonts w:asciiTheme="majorHAnsi" w:eastAsia="SimSun" w:hAnsiTheme="majorHAnsi"/>
          <w:sz w:val="20"/>
          <w:szCs w:val="20"/>
          <w:lang w:val="es-ES"/>
        </w:rPr>
        <w:t>de</w:t>
      </w:r>
      <w:r w:rsidR="007C26E3" w:rsidRPr="00175907">
        <w:rPr>
          <w:rFonts w:asciiTheme="majorHAnsi" w:eastAsia="SimSun" w:hAnsiTheme="majorHAnsi"/>
          <w:sz w:val="20"/>
          <w:szCs w:val="20"/>
          <w:lang w:val="es-ES"/>
        </w:rPr>
        <w:t xml:space="preserve"> estos</w:t>
      </w:r>
      <w:r w:rsidR="00426EEE" w:rsidRPr="00175907">
        <w:rPr>
          <w:rFonts w:asciiTheme="majorHAnsi" w:eastAsia="SimSun" w:hAnsiTheme="majorHAnsi"/>
          <w:sz w:val="20"/>
          <w:szCs w:val="20"/>
          <w:lang w:val="es-ES"/>
        </w:rPr>
        <w:t xml:space="preserve"> bienes y que </w:t>
      </w:r>
      <w:r w:rsidR="00E4213B" w:rsidRPr="00175907">
        <w:rPr>
          <w:rFonts w:asciiTheme="majorHAnsi" w:eastAsia="SimSun" w:hAnsiTheme="majorHAnsi"/>
          <w:sz w:val="20"/>
          <w:szCs w:val="20"/>
          <w:lang w:val="es-ES"/>
        </w:rPr>
        <w:t xml:space="preserve">su intento de recuperarlos judicialmente </w:t>
      </w:r>
      <w:r w:rsidR="00BC11B9" w:rsidRPr="00175907">
        <w:rPr>
          <w:rFonts w:asciiTheme="majorHAnsi" w:eastAsia="SimSun" w:hAnsiTheme="majorHAnsi"/>
          <w:sz w:val="20"/>
          <w:szCs w:val="20"/>
          <w:lang w:val="es-ES"/>
        </w:rPr>
        <w:t>no tuvo éxito</w:t>
      </w:r>
      <w:r w:rsidR="00E4213B" w:rsidRPr="00175907">
        <w:rPr>
          <w:rFonts w:asciiTheme="majorHAnsi" w:eastAsia="SimSun" w:hAnsiTheme="majorHAnsi"/>
          <w:sz w:val="20"/>
          <w:szCs w:val="20"/>
          <w:lang w:val="es-ES"/>
        </w:rPr>
        <w:t xml:space="preserve"> debido la inactividad del Ministerio</w:t>
      </w:r>
      <w:r w:rsidR="00677B40">
        <w:rPr>
          <w:rFonts w:asciiTheme="majorHAnsi" w:eastAsia="SimSun" w:hAnsiTheme="majorHAnsi"/>
          <w:sz w:val="20"/>
          <w:szCs w:val="20"/>
          <w:lang w:val="es-ES"/>
        </w:rPr>
        <w:t xml:space="preserve"> Público</w:t>
      </w:r>
      <w:r w:rsidRPr="00175907">
        <w:rPr>
          <w:rFonts w:asciiTheme="majorHAnsi" w:eastAsia="SimSun" w:hAnsiTheme="majorHAnsi"/>
          <w:sz w:val="20"/>
          <w:szCs w:val="20"/>
          <w:lang w:val="es-ES"/>
        </w:rPr>
        <w:t xml:space="preserve">. </w:t>
      </w:r>
      <w:r w:rsidR="00EC3ADE" w:rsidRPr="00E24F45">
        <w:rPr>
          <w:rFonts w:ascii="Cambria" w:hAnsi="Cambria"/>
          <w:sz w:val="20"/>
          <w:szCs w:val="20"/>
          <w:lang w:val="es-ES"/>
        </w:rPr>
        <w:t xml:space="preserve">Por su parte, el Estado señala </w:t>
      </w:r>
      <w:r w:rsidR="00E4213B" w:rsidRPr="00E24F45">
        <w:rPr>
          <w:rFonts w:ascii="Cambria" w:hAnsi="Cambria"/>
          <w:sz w:val="20"/>
          <w:szCs w:val="20"/>
          <w:lang w:val="es-ES"/>
        </w:rPr>
        <w:t xml:space="preserve">que el Ministerio Público continúa promoviendo la </w:t>
      </w:r>
      <w:r w:rsidR="0088763B">
        <w:rPr>
          <w:rFonts w:ascii="Cambria" w:hAnsi="Cambria"/>
          <w:sz w:val="20"/>
          <w:szCs w:val="20"/>
          <w:lang w:val="es-ES"/>
        </w:rPr>
        <w:t>persecución</w:t>
      </w:r>
      <w:r w:rsidR="00E4213B" w:rsidRPr="00E24F45">
        <w:rPr>
          <w:rFonts w:ascii="Cambria" w:hAnsi="Cambria"/>
          <w:sz w:val="20"/>
          <w:szCs w:val="20"/>
          <w:lang w:val="es-ES"/>
        </w:rPr>
        <w:t xml:space="preserve"> penal </w:t>
      </w:r>
      <w:r w:rsidR="0088763B">
        <w:rPr>
          <w:rFonts w:ascii="Cambria" w:hAnsi="Cambria"/>
          <w:sz w:val="20"/>
          <w:szCs w:val="20"/>
          <w:lang w:val="es-ES"/>
        </w:rPr>
        <w:t>iniciada</w:t>
      </w:r>
      <w:r w:rsidR="00E4213B" w:rsidRPr="00E24F45">
        <w:rPr>
          <w:rFonts w:ascii="Cambria" w:hAnsi="Cambria"/>
          <w:sz w:val="20"/>
          <w:szCs w:val="20"/>
          <w:lang w:val="es-ES"/>
        </w:rPr>
        <w:t xml:space="preserve"> por el peticionario como mecanismo de restitución de los derechos que considera vulnerados</w:t>
      </w:r>
      <w:r w:rsidR="00BC11B9" w:rsidRPr="00E24F45">
        <w:rPr>
          <w:rFonts w:ascii="Cambria" w:hAnsi="Cambria"/>
          <w:sz w:val="20"/>
          <w:szCs w:val="20"/>
          <w:lang w:val="es-ES"/>
        </w:rPr>
        <w:t xml:space="preserve"> y alega</w:t>
      </w:r>
      <w:r w:rsidR="00E4213B" w:rsidRPr="00E24F45">
        <w:rPr>
          <w:rFonts w:ascii="Cambria" w:hAnsi="Cambria"/>
          <w:sz w:val="20"/>
          <w:szCs w:val="20"/>
          <w:lang w:val="es-ES"/>
        </w:rPr>
        <w:t xml:space="preserve"> que la petición es inadmisible </w:t>
      </w:r>
      <w:r w:rsidR="00BC11B9" w:rsidRPr="00E24F45">
        <w:rPr>
          <w:rFonts w:ascii="Cambria" w:hAnsi="Cambria"/>
          <w:sz w:val="20"/>
          <w:szCs w:val="20"/>
          <w:lang w:val="es-ES"/>
        </w:rPr>
        <w:t>debido a la falta de agotamiento</w:t>
      </w:r>
      <w:r w:rsidR="00E4213B" w:rsidRPr="00E24F45">
        <w:rPr>
          <w:rFonts w:ascii="Cambria" w:hAnsi="Cambria"/>
          <w:sz w:val="20"/>
          <w:szCs w:val="20"/>
          <w:lang w:val="es-ES"/>
        </w:rPr>
        <w:t xml:space="preserve"> </w:t>
      </w:r>
      <w:r w:rsidR="00BC11B9" w:rsidRPr="00E24F45">
        <w:rPr>
          <w:rFonts w:ascii="Cambria" w:hAnsi="Cambria"/>
          <w:sz w:val="20"/>
          <w:szCs w:val="20"/>
          <w:lang w:val="es-ES"/>
        </w:rPr>
        <w:t xml:space="preserve">de </w:t>
      </w:r>
      <w:r w:rsidR="00E4213B" w:rsidRPr="00E24F45">
        <w:rPr>
          <w:rFonts w:ascii="Cambria" w:hAnsi="Cambria"/>
          <w:sz w:val="20"/>
          <w:szCs w:val="20"/>
          <w:lang w:val="es-ES"/>
        </w:rPr>
        <w:t>los recursos internos</w:t>
      </w:r>
      <w:r w:rsidRPr="00E24F45">
        <w:rPr>
          <w:rFonts w:asciiTheme="majorHAnsi" w:eastAsia="SimSun" w:hAnsiTheme="majorHAnsi"/>
          <w:sz w:val="20"/>
          <w:szCs w:val="20"/>
          <w:lang w:val="es-ES"/>
        </w:rPr>
        <w:t>.</w:t>
      </w:r>
    </w:p>
    <w:p w14:paraId="11D3082A" w14:textId="0728C4BE" w:rsidR="00332918" w:rsidRPr="00175907" w:rsidRDefault="00332918" w:rsidP="00F54158">
      <w:pPr>
        <w:pStyle w:val="List"/>
        <w:numPr>
          <w:ilvl w:val="0"/>
          <w:numId w:val="55"/>
        </w:numPr>
        <w:jc w:val="both"/>
        <w:rPr>
          <w:rFonts w:ascii="Cambria" w:hAnsi="Cambria"/>
          <w:sz w:val="20"/>
          <w:szCs w:val="20"/>
          <w:lang w:eastAsia="en-US"/>
        </w:rPr>
      </w:pPr>
      <w:r w:rsidRPr="00175907">
        <w:rPr>
          <w:rFonts w:ascii="Cambria" w:hAnsi="Cambria"/>
          <w:sz w:val="20"/>
          <w:szCs w:val="20"/>
        </w:rPr>
        <w:t>Sin prejuzgar sobre el fondo de la denuncia, tras analizar las posiciones de las partes y en cumplimiento de los requisitos previstos en los artículos 46 y 47 de la Convención Americana, la Comisión decide declarar el caso admisible a efectos del examen sobre la presunta violación de los derechos consagrados en los artículos 8 (garantías judiciales), 21 (propiedad privada) y 25 (protección judicial) de la Convención Americana sobre Derechos Humanos (en adelante también, “la Convención” o “la Convención Americana”), en</w:t>
      </w:r>
      <w:r w:rsidR="00F54158" w:rsidRPr="00175907">
        <w:rPr>
          <w:rFonts w:ascii="Cambria" w:hAnsi="Cambria"/>
          <w:sz w:val="20"/>
          <w:szCs w:val="20"/>
        </w:rPr>
        <w:t xml:space="preserve"> concordancia con el artículo 1.1</w:t>
      </w:r>
      <w:r w:rsidRPr="00175907">
        <w:rPr>
          <w:rFonts w:ascii="Cambria" w:hAnsi="Cambria"/>
          <w:sz w:val="20"/>
          <w:szCs w:val="20"/>
        </w:rPr>
        <w:t xml:space="preserve"> del mismo tratado. La Comisión decide además, notificar esta decisión a las partes, y publicarla e incluirla en su Informe Anual para la Asamblea General de la OEA. </w:t>
      </w:r>
    </w:p>
    <w:p w14:paraId="67ECEE00" w14:textId="77777777" w:rsidR="0063685A" w:rsidRPr="00175907" w:rsidRDefault="0063685A" w:rsidP="00332918">
      <w:pPr>
        <w:pStyle w:val="List"/>
        <w:ind w:left="720" w:firstLine="0"/>
        <w:jc w:val="both"/>
        <w:rPr>
          <w:rFonts w:ascii="Cambria" w:hAnsi="Cambria"/>
          <w:sz w:val="20"/>
          <w:szCs w:val="20"/>
          <w:lang w:eastAsia="en-US"/>
        </w:rPr>
      </w:pPr>
    </w:p>
    <w:p w14:paraId="07735F6E" w14:textId="77777777" w:rsidR="0063685A" w:rsidRPr="00175907" w:rsidRDefault="0063685A" w:rsidP="009F0583">
      <w:pPr>
        <w:spacing w:after="240"/>
        <w:ind w:firstLine="720"/>
        <w:jc w:val="both"/>
        <w:rPr>
          <w:rFonts w:asciiTheme="majorHAnsi" w:hAnsiTheme="majorHAnsi"/>
          <w:b/>
          <w:bCs/>
          <w:sz w:val="20"/>
          <w:szCs w:val="20"/>
          <w:lang w:val="es-ES"/>
        </w:rPr>
      </w:pPr>
      <w:r w:rsidRPr="00175907">
        <w:rPr>
          <w:rFonts w:asciiTheme="majorHAnsi" w:hAnsiTheme="majorHAnsi"/>
          <w:b/>
          <w:bCs/>
          <w:sz w:val="20"/>
          <w:szCs w:val="20"/>
          <w:lang w:val="es-ES"/>
        </w:rPr>
        <w:t>II.</w:t>
      </w:r>
      <w:r w:rsidRPr="00175907">
        <w:rPr>
          <w:rFonts w:asciiTheme="majorHAnsi" w:hAnsiTheme="majorHAnsi"/>
          <w:b/>
          <w:bCs/>
          <w:sz w:val="20"/>
          <w:szCs w:val="20"/>
          <w:lang w:val="es-ES"/>
        </w:rPr>
        <w:tab/>
        <w:t>TRÁMITE ANTE LA CIDH</w:t>
      </w:r>
    </w:p>
    <w:p w14:paraId="7020A1E0" w14:textId="77777777" w:rsidR="0063685A" w:rsidRPr="00175907" w:rsidRDefault="00332918" w:rsidP="009F0583">
      <w:pPr>
        <w:numPr>
          <w:ilvl w:val="0"/>
          <w:numId w:val="56"/>
        </w:numPr>
        <w:spacing w:after="240"/>
        <w:jc w:val="both"/>
        <w:rPr>
          <w:rFonts w:asciiTheme="majorHAnsi" w:hAnsiTheme="majorHAnsi"/>
          <w:sz w:val="20"/>
          <w:szCs w:val="20"/>
          <w:lang w:val="es-ES"/>
        </w:rPr>
      </w:pPr>
      <w:r w:rsidRPr="00175907">
        <w:rPr>
          <w:rFonts w:ascii="Cambria" w:hAnsi="Cambria"/>
          <w:sz w:val="20"/>
          <w:szCs w:val="20"/>
          <w:lang w:val="es-ES"/>
        </w:rPr>
        <w:t xml:space="preserve">La petición fue recibida el </w:t>
      </w:r>
      <w:r w:rsidRPr="00175907">
        <w:rPr>
          <w:rFonts w:ascii="Cambria" w:hAnsi="Cambria" w:cs="Tunga"/>
          <w:sz w:val="20"/>
          <w:szCs w:val="20"/>
          <w:lang w:val="es-ES"/>
        </w:rPr>
        <w:t>19 de febrero de 2008</w:t>
      </w:r>
      <w:r w:rsidRPr="00175907">
        <w:rPr>
          <w:rFonts w:ascii="Cambria" w:hAnsi="Cambria"/>
          <w:sz w:val="20"/>
          <w:szCs w:val="20"/>
          <w:lang w:val="es-ES"/>
        </w:rPr>
        <w:t xml:space="preserve">. El </w:t>
      </w:r>
      <w:r w:rsidR="00B54544" w:rsidRPr="00175907">
        <w:rPr>
          <w:rFonts w:ascii="Cambria" w:hAnsi="Cambria"/>
          <w:sz w:val="20"/>
          <w:szCs w:val="20"/>
          <w:lang w:val="es-ES"/>
        </w:rPr>
        <w:t>30</w:t>
      </w:r>
      <w:r w:rsidRPr="00175907">
        <w:rPr>
          <w:rFonts w:ascii="Cambria" w:hAnsi="Cambria"/>
          <w:sz w:val="20"/>
          <w:szCs w:val="20"/>
          <w:lang w:val="es-ES"/>
        </w:rPr>
        <w:t xml:space="preserve"> de junio de 2008 la Comisión transmitió al Estado las partes pertinentes de la petición, otorgándole el plazo de dos meses para que presentara sus observaciones, de acuerdo con el artículo 30</w:t>
      </w:r>
      <w:r w:rsidR="00B54544" w:rsidRPr="00175907">
        <w:rPr>
          <w:rFonts w:ascii="Cambria" w:hAnsi="Cambria"/>
          <w:sz w:val="20"/>
          <w:szCs w:val="20"/>
          <w:lang w:val="es-ES"/>
        </w:rPr>
        <w:t>.</w:t>
      </w:r>
      <w:r w:rsidRPr="00175907">
        <w:rPr>
          <w:rFonts w:ascii="Cambria" w:hAnsi="Cambria"/>
          <w:sz w:val="20"/>
          <w:szCs w:val="20"/>
          <w:lang w:val="es-ES"/>
        </w:rPr>
        <w:t xml:space="preserve">3 del Reglamento de la CIDH entonces </w:t>
      </w:r>
      <w:r w:rsidR="00B54544" w:rsidRPr="00175907">
        <w:rPr>
          <w:rFonts w:ascii="Cambria" w:hAnsi="Cambria"/>
          <w:sz w:val="20"/>
          <w:szCs w:val="20"/>
          <w:lang w:val="es-ES"/>
        </w:rPr>
        <w:t>en vigor</w:t>
      </w:r>
      <w:r w:rsidRPr="00175907">
        <w:rPr>
          <w:rFonts w:ascii="Cambria" w:hAnsi="Cambria"/>
          <w:sz w:val="20"/>
          <w:szCs w:val="20"/>
          <w:lang w:val="es-ES"/>
        </w:rPr>
        <w:t xml:space="preserve">. El 1 de octubre de 2008 el Estado presentó sus observaciones a la petición, las cuales fueron trasladadas al peticionario el </w:t>
      </w:r>
      <w:r w:rsidR="00B54544" w:rsidRPr="00175907">
        <w:rPr>
          <w:rFonts w:ascii="Cambria" w:hAnsi="Cambria"/>
          <w:sz w:val="20"/>
          <w:szCs w:val="20"/>
          <w:lang w:val="es-ES"/>
        </w:rPr>
        <w:t>10</w:t>
      </w:r>
      <w:r w:rsidRPr="00175907">
        <w:rPr>
          <w:rFonts w:ascii="Cambria" w:hAnsi="Cambria"/>
          <w:sz w:val="20"/>
          <w:szCs w:val="20"/>
          <w:lang w:val="es-ES"/>
        </w:rPr>
        <w:t xml:space="preserve"> de noviembre de 2008. El 10 de diciembre de 2008 el peticionario presentó sus observaciones; las cuales fueron trasladadas al Estado el 19 de marzo de 2009</w:t>
      </w:r>
      <w:r w:rsidR="0063685A" w:rsidRPr="00175907">
        <w:rPr>
          <w:rFonts w:asciiTheme="majorHAnsi" w:hAnsiTheme="majorHAnsi"/>
          <w:bCs/>
          <w:sz w:val="20"/>
          <w:szCs w:val="20"/>
          <w:lang w:val="es-ES"/>
        </w:rPr>
        <w:t>.</w:t>
      </w:r>
    </w:p>
    <w:p w14:paraId="2EEF00F1" w14:textId="77777777" w:rsidR="0063685A" w:rsidRPr="00175907" w:rsidRDefault="00B54544" w:rsidP="009F0583">
      <w:pPr>
        <w:numPr>
          <w:ilvl w:val="0"/>
          <w:numId w:val="56"/>
        </w:numPr>
        <w:spacing w:after="240"/>
        <w:jc w:val="both"/>
        <w:rPr>
          <w:rFonts w:asciiTheme="majorHAnsi" w:hAnsiTheme="majorHAnsi"/>
          <w:sz w:val="20"/>
          <w:szCs w:val="20"/>
          <w:lang w:val="es-ES"/>
        </w:rPr>
      </w:pPr>
      <w:r w:rsidRPr="00175907">
        <w:rPr>
          <w:rFonts w:ascii="Cambria" w:hAnsi="Cambria"/>
          <w:sz w:val="20"/>
          <w:szCs w:val="20"/>
          <w:lang w:val="es-ES"/>
        </w:rPr>
        <w:t>La</w:t>
      </w:r>
      <w:r w:rsidR="00763649" w:rsidRPr="00175907">
        <w:rPr>
          <w:rFonts w:ascii="Cambria" w:hAnsi="Cambria"/>
          <w:sz w:val="20"/>
          <w:szCs w:val="20"/>
          <w:lang w:val="es-ES"/>
        </w:rPr>
        <w:t xml:space="preserve"> Comisión recibió </w:t>
      </w:r>
      <w:r w:rsidRPr="00175907">
        <w:rPr>
          <w:rFonts w:ascii="Cambria" w:hAnsi="Cambria"/>
          <w:sz w:val="20"/>
          <w:szCs w:val="20"/>
          <w:lang w:val="es-ES"/>
        </w:rPr>
        <w:t xml:space="preserve">observaciones </w:t>
      </w:r>
      <w:r w:rsidR="00BA23E1" w:rsidRPr="00175907">
        <w:rPr>
          <w:rFonts w:ascii="Cambria" w:hAnsi="Cambria"/>
          <w:sz w:val="20"/>
          <w:szCs w:val="20"/>
          <w:lang w:val="es-ES"/>
        </w:rPr>
        <w:t>adicionales</w:t>
      </w:r>
      <w:r w:rsidR="00763649" w:rsidRPr="00175907">
        <w:rPr>
          <w:rFonts w:ascii="Cambria" w:hAnsi="Cambria"/>
          <w:sz w:val="20"/>
          <w:szCs w:val="20"/>
          <w:lang w:val="es-ES"/>
        </w:rPr>
        <w:t xml:space="preserve"> del peticionario en las siguientes fechas: </w:t>
      </w:r>
      <w:r w:rsidR="00041487" w:rsidRPr="00175907">
        <w:rPr>
          <w:rFonts w:ascii="Cambria" w:hAnsi="Cambria"/>
          <w:sz w:val="20"/>
          <w:szCs w:val="20"/>
          <w:lang w:val="es-ES"/>
        </w:rPr>
        <w:t>9</w:t>
      </w:r>
      <w:r w:rsidR="008B0311" w:rsidRPr="00175907">
        <w:rPr>
          <w:rFonts w:ascii="Cambria" w:hAnsi="Cambria"/>
          <w:sz w:val="20"/>
          <w:szCs w:val="20"/>
          <w:lang w:val="es-ES"/>
        </w:rPr>
        <w:t xml:space="preserve"> de diciembre de 2008; </w:t>
      </w:r>
      <w:r w:rsidR="00497870" w:rsidRPr="00175907">
        <w:rPr>
          <w:rFonts w:ascii="Cambria" w:hAnsi="Cambria"/>
          <w:sz w:val="20"/>
          <w:szCs w:val="20"/>
          <w:lang w:val="es-ES"/>
        </w:rPr>
        <w:t>7 y 11 de mayo de 2009; 3 y 29 de junio de 2009;</w:t>
      </w:r>
      <w:r w:rsidR="00763649" w:rsidRPr="00175907">
        <w:rPr>
          <w:rFonts w:ascii="Cambria" w:hAnsi="Cambria"/>
          <w:sz w:val="20"/>
          <w:szCs w:val="20"/>
          <w:lang w:val="es-ES"/>
        </w:rPr>
        <w:t xml:space="preserve"> 11 </w:t>
      </w:r>
      <w:r w:rsidR="00497870" w:rsidRPr="00175907">
        <w:rPr>
          <w:rFonts w:ascii="Cambria" w:hAnsi="Cambria"/>
          <w:sz w:val="20"/>
          <w:szCs w:val="20"/>
          <w:lang w:val="es-ES"/>
        </w:rPr>
        <w:t xml:space="preserve">de </w:t>
      </w:r>
      <w:r w:rsidR="00763649" w:rsidRPr="00175907">
        <w:rPr>
          <w:rFonts w:ascii="Cambria" w:hAnsi="Cambria"/>
          <w:sz w:val="20"/>
          <w:szCs w:val="20"/>
          <w:lang w:val="es-ES"/>
        </w:rPr>
        <w:t>agosto de 2009</w:t>
      </w:r>
      <w:r w:rsidR="00497870" w:rsidRPr="00175907">
        <w:rPr>
          <w:rFonts w:ascii="Cambria" w:hAnsi="Cambria"/>
          <w:sz w:val="20"/>
          <w:szCs w:val="20"/>
          <w:lang w:val="es-ES"/>
        </w:rPr>
        <w:t>;</w:t>
      </w:r>
      <w:r w:rsidR="00763649" w:rsidRPr="00175907">
        <w:rPr>
          <w:rFonts w:ascii="Cambria" w:hAnsi="Cambria"/>
          <w:sz w:val="20"/>
          <w:szCs w:val="20"/>
          <w:lang w:val="es-ES"/>
        </w:rPr>
        <w:t xml:space="preserve"> 14 de septiembre de 2009</w:t>
      </w:r>
      <w:r w:rsidR="001006EE" w:rsidRPr="00175907">
        <w:rPr>
          <w:rFonts w:ascii="Cambria" w:hAnsi="Cambria"/>
          <w:sz w:val="20"/>
          <w:szCs w:val="20"/>
          <w:lang w:val="es-ES"/>
        </w:rPr>
        <w:t>; 8 de octubre de 2009;</w:t>
      </w:r>
      <w:r w:rsidR="00763649" w:rsidRPr="00175907">
        <w:rPr>
          <w:rFonts w:ascii="Cambria" w:hAnsi="Cambria"/>
          <w:sz w:val="20"/>
          <w:szCs w:val="20"/>
          <w:lang w:val="es-ES"/>
        </w:rPr>
        <w:t xml:space="preserve"> 1</w:t>
      </w:r>
      <w:r w:rsidR="00C72CCD" w:rsidRPr="00175907">
        <w:rPr>
          <w:rFonts w:ascii="Cambria" w:hAnsi="Cambria"/>
          <w:sz w:val="20"/>
          <w:szCs w:val="20"/>
          <w:lang w:val="es-ES"/>
        </w:rPr>
        <w:t xml:space="preserve">4 </w:t>
      </w:r>
      <w:r w:rsidR="00763649" w:rsidRPr="00175907">
        <w:rPr>
          <w:rFonts w:ascii="Cambria" w:hAnsi="Cambria"/>
          <w:sz w:val="20"/>
          <w:szCs w:val="20"/>
          <w:lang w:val="es-ES"/>
        </w:rPr>
        <w:t>de enero de 2010</w:t>
      </w:r>
      <w:r w:rsidR="00C72CCD" w:rsidRPr="00175907">
        <w:rPr>
          <w:rFonts w:ascii="Cambria" w:hAnsi="Cambria"/>
          <w:sz w:val="20"/>
          <w:szCs w:val="20"/>
          <w:lang w:val="es-ES"/>
        </w:rPr>
        <w:t>;</w:t>
      </w:r>
      <w:r w:rsidR="00763649" w:rsidRPr="00175907">
        <w:rPr>
          <w:rFonts w:ascii="Cambria" w:hAnsi="Cambria"/>
          <w:sz w:val="20"/>
          <w:szCs w:val="20"/>
          <w:lang w:val="es-ES"/>
        </w:rPr>
        <w:t xml:space="preserve"> </w:t>
      </w:r>
      <w:r w:rsidR="00FA1A4F" w:rsidRPr="00175907">
        <w:rPr>
          <w:rFonts w:ascii="Cambria" w:hAnsi="Cambria"/>
          <w:sz w:val="20"/>
          <w:szCs w:val="20"/>
          <w:lang w:val="es-ES"/>
        </w:rPr>
        <w:t>3 y 15</w:t>
      </w:r>
      <w:r w:rsidR="00441989" w:rsidRPr="00175907">
        <w:rPr>
          <w:rFonts w:ascii="Cambria" w:hAnsi="Cambria"/>
          <w:sz w:val="20"/>
          <w:szCs w:val="20"/>
          <w:lang w:val="es-ES"/>
        </w:rPr>
        <w:t xml:space="preserve"> de marzo de 2010; 13 de mayo de 2010;</w:t>
      </w:r>
      <w:r w:rsidR="00B464D9" w:rsidRPr="00175907">
        <w:rPr>
          <w:rFonts w:ascii="Cambria" w:hAnsi="Cambria"/>
          <w:sz w:val="20"/>
          <w:szCs w:val="20"/>
          <w:lang w:val="es-ES"/>
        </w:rPr>
        <w:t xml:space="preserve"> </w:t>
      </w:r>
      <w:r w:rsidR="00763649" w:rsidRPr="00175907">
        <w:rPr>
          <w:rFonts w:ascii="Cambria" w:hAnsi="Cambria"/>
          <w:sz w:val="20"/>
          <w:szCs w:val="20"/>
          <w:lang w:val="es-ES"/>
        </w:rPr>
        <w:t>4 y 16 de agosto de 2010</w:t>
      </w:r>
      <w:r w:rsidR="00441989" w:rsidRPr="00175907">
        <w:rPr>
          <w:rFonts w:ascii="Cambria" w:hAnsi="Cambria"/>
          <w:sz w:val="20"/>
          <w:szCs w:val="20"/>
          <w:lang w:val="es-ES"/>
        </w:rPr>
        <w:t>;</w:t>
      </w:r>
      <w:r w:rsidR="00763649" w:rsidRPr="00175907">
        <w:rPr>
          <w:rFonts w:ascii="Cambria" w:hAnsi="Cambria"/>
          <w:sz w:val="20"/>
          <w:szCs w:val="20"/>
          <w:lang w:val="es-ES"/>
        </w:rPr>
        <w:t xml:space="preserve"> 25 de enero de 2011</w:t>
      </w:r>
      <w:r w:rsidR="00B464D9" w:rsidRPr="00175907">
        <w:rPr>
          <w:rFonts w:ascii="Cambria" w:hAnsi="Cambria"/>
          <w:sz w:val="20"/>
          <w:szCs w:val="20"/>
          <w:lang w:val="es-ES"/>
        </w:rPr>
        <w:t>;</w:t>
      </w:r>
      <w:r w:rsidR="00763649" w:rsidRPr="00175907">
        <w:rPr>
          <w:rFonts w:ascii="Cambria" w:hAnsi="Cambria"/>
          <w:sz w:val="20"/>
          <w:szCs w:val="20"/>
          <w:lang w:val="es-ES"/>
        </w:rPr>
        <w:t xml:space="preserve"> 18 de noviembre de 2011</w:t>
      </w:r>
      <w:r w:rsidR="00682CFD" w:rsidRPr="00175907">
        <w:rPr>
          <w:rFonts w:ascii="Cambria" w:hAnsi="Cambria"/>
          <w:sz w:val="20"/>
          <w:szCs w:val="20"/>
          <w:lang w:val="es-ES"/>
        </w:rPr>
        <w:t>;</w:t>
      </w:r>
      <w:r w:rsidR="00763649" w:rsidRPr="00175907">
        <w:rPr>
          <w:rFonts w:ascii="Cambria" w:hAnsi="Cambria"/>
          <w:sz w:val="20"/>
          <w:szCs w:val="20"/>
          <w:lang w:val="es-ES"/>
        </w:rPr>
        <w:t xml:space="preserve"> 25 de febrero de 2013</w:t>
      </w:r>
      <w:r w:rsidR="00682CFD" w:rsidRPr="00175907">
        <w:rPr>
          <w:rFonts w:ascii="Cambria" w:hAnsi="Cambria"/>
          <w:sz w:val="20"/>
          <w:szCs w:val="20"/>
          <w:lang w:val="es-ES"/>
        </w:rPr>
        <w:t>;</w:t>
      </w:r>
      <w:r w:rsidR="00763649" w:rsidRPr="00175907">
        <w:rPr>
          <w:rFonts w:ascii="Cambria" w:hAnsi="Cambria"/>
          <w:sz w:val="20"/>
          <w:szCs w:val="20"/>
          <w:lang w:val="es-ES"/>
        </w:rPr>
        <w:t xml:space="preserve"> </w:t>
      </w:r>
      <w:r w:rsidR="007F59D8" w:rsidRPr="00175907">
        <w:rPr>
          <w:rFonts w:ascii="Cambria" w:hAnsi="Cambria"/>
          <w:sz w:val="20"/>
          <w:szCs w:val="20"/>
          <w:lang w:val="es-ES"/>
        </w:rPr>
        <w:t xml:space="preserve">y </w:t>
      </w:r>
      <w:r w:rsidR="00763649" w:rsidRPr="00175907">
        <w:rPr>
          <w:rFonts w:ascii="Cambria" w:hAnsi="Cambria"/>
          <w:sz w:val="20"/>
          <w:szCs w:val="20"/>
          <w:lang w:val="es-ES"/>
        </w:rPr>
        <w:t>9 de septiembre de 2014</w:t>
      </w:r>
      <w:r w:rsidR="00682CFD" w:rsidRPr="00175907">
        <w:rPr>
          <w:rFonts w:ascii="Cambria" w:hAnsi="Cambria"/>
          <w:sz w:val="20"/>
          <w:szCs w:val="20"/>
          <w:lang w:val="es-ES"/>
        </w:rPr>
        <w:t>.</w:t>
      </w:r>
      <w:r w:rsidR="00763649" w:rsidRPr="00175907">
        <w:rPr>
          <w:rFonts w:ascii="Cambria" w:hAnsi="Cambria"/>
          <w:sz w:val="20"/>
          <w:szCs w:val="20"/>
          <w:lang w:val="es-ES"/>
        </w:rPr>
        <w:t xml:space="preserve"> Estas comunicaciones fueron debidamente trasladadas al Estado</w:t>
      </w:r>
      <w:r w:rsidR="0063685A" w:rsidRPr="00175907">
        <w:rPr>
          <w:rFonts w:asciiTheme="majorHAnsi" w:hAnsiTheme="majorHAnsi"/>
          <w:bCs/>
          <w:sz w:val="20"/>
          <w:szCs w:val="20"/>
          <w:lang w:val="es-ES"/>
        </w:rPr>
        <w:t>.</w:t>
      </w:r>
      <w:r w:rsidR="0063685A" w:rsidRPr="00175907">
        <w:rPr>
          <w:rFonts w:asciiTheme="majorHAnsi" w:hAnsiTheme="majorHAnsi"/>
          <w:sz w:val="20"/>
          <w:szCs w:val="20"/>
          <w:lang w:val="es-ES"/>
        </w:rPr>
        <w:t xml:space="preserve"> </w:t>
      </w:r>
    </w:p>
    <w:p w14:paraId="2203ED0D" w14:textId="77777777" w:rsidR="00763649" w:rsidRPr="00175907" w:rsidRDefault="00763649" w:rsidP="009F0583">
      <w:pPr>
        <w:numPr>
          <w:ilvl w:val="0"/>
          <w:numId w:val="56"/>
        </w:numPr>
        <w:spacing w:after="240"/>
        <w:jc w:val="both"/>
        <w:rPr>
          <w:rFonts w:asciiTheme="majorHAnsi" w:hAnsiTheme="majorHAnsi"/>
          <w:sz w:val="20"/>
          <w:szCs w:val="20"/>
          <w:lang w:val="es-ES"/>
        </w:rPr>
      </w:pPr>
      <w:r w:rsidRPr="00175907">
        <w:rPr>
          <w:rFonts w:ascii="Cambria" w:hAnsi="Cambria"/>
          <w:sz w:val="20"/>
          <w:szCs w:val="20"/>
          <w:lang w:val="es-ES"/>
        </w:rPr>
        <w:t>Por su parte, Guatemala envió información e</w:t>
      </w:r>
      <w:r w:rsidR="00C72CCD" w:rsidRPr="00175907">
        <w:rPr>
          <w:rFonts w:ascii="Cambria" w:hAnsi="Cambria"/>
          <w:sz w:val="20"/>
          <w:szCs w:val="20"/>
          <w:lang w:val="es-ES"/>
        </w:rPr>
        <w:t>n las siguientes fechas:</w:t>
      </w:r>
      <w:r w:rsidRPr="00175907">
        <w:rPr>
          <w:rFonts w:ascii="Cambria" w:hAnsi="Cambria"/>
          <w:sz w:val="20"/>
          <w:szCs w:val="20"/>
          <w:lang w:val="es-ES"/>
        </w:rPr>
        <w:t xml:space="preserve"> 2 de marzo de 2009</w:t>
      </w:r>
      <w:r w:rsidR="00C72CCD" w:rsidRPr="00175907">
        <w:rPr>
          <w:rFonts w:ascii="Cambria" w:hAnsi="Cambria"/>
          <w:sz w:val="20"/>
          <w:szCs w:val="20"/>
          <w:lang w:val="es-ES"/>
        </w:rPr>
        <w:t>;</w:t>
      </w:r>
      <w:r w:rsidRPr="00175907">
        <w:rPr>
          <w:rFonts w:ascii="Cambria" w:hAnsi="Cambria"/>
          <w:sz w:val="20"/>
          <w:szCs w:val="20"/>
          <w:lang w:val="es-ES"/>
        </w:rPr>
        <w:t xml:space="preserve"> 24 de abril de 2009</w:t>
      </w:r>
      <w:r w:rsidR="00C72CCD" w:rsidRPr="00175907">
        <w:rPr>
          <w:rFonts w:ascii="Cambria" w:hAnsi="Cambria"/>
          <w:sz w:val="20"/>
          <w:szCs w:val="20"/>
          <w:lang w:val="es-ES"/>
        </w:rPr>
        <w:t>;</w:t>
      </w:r>
      <w:r w:rsidRPr="00175907">
        <w:rPr>
          <w:rFonts w:ascii="Cambria" w:hAnsi="Cambria"/>
          <w:sz w:val="20"/>
          <w:szCs w:val="20"/>
          <w:lang w:val="es-ES"/>
        </w:rPr>
        <w:t xml:space="preserve"> 24 de agosto de 2009</w:t>
      </w:r>
      <w:r w:rsidR="00C72CCD" w:rsidRPr="00175907">
        <w:rPr>
          <w:rFonts w:ascii="Cambria" w:hAnsi="Cambria"/>
          <w:sz w:val="20"/>
          <w:szCs w:val="20"/>
          <w:lang w:val="es-ES"/>
        </w:rPr>
        <w:t>;</w:t>
      </w:r>
      <w:r w:rsidRPr="00175907">
        <w:rPr>
          <w:rFonts w:ascii="Cambria" w:hAnsi="Cambria"/>
          <w:sz w:val="20"/>
          <w:szCs w:val="20"/>
          <w:lang w:val="es-ES"/>
        </w:rPr>
        <w:t xml:space="preserve"> 14 de octubre de 2009</w:t>
      </w:r>
      <w:r w:rsidR="00C72CCD" w:rsidRPr="00175907">
        <w:rPr>
          <w:rFonts w:ascii="Cambria" w:hAnsi="Cambria"/>
          <w:sz w:val="20"/>
          <w:szCs w:val="20"/>
          <w:lang w:val="es-ES"/>
        </w:rPr>
        <w:t xml:space="preserve">; </w:t>
      </w:r>
      <w:r w:rsidRPr="00175907">
        <w:rPr>
          <w:rFonts w:ascii="Cambria" w:hAnsi="Cambria"/>
          <w:sz w:val="20"/>
          <w:szCs w:val="20"/>
          <w:lang w:val="es-ES"/>
        </w:rPr>
        <w:t>9 de diciembre de 2009</w:t>
      </w:r>
      <w:r w:rsidR="00C72CCD" w:rsidRPr="00175907">
        <w:rPr>
          <w:rFonts w:ascii="Cambria" w:hAnsi="Cambria"/>
          <w:sz w:val="20"/>
          <w:szCs w:val="20"/>
          <w:lang w:val="es-ES"/>
        </w:rPr>
        <w:t>;</w:t>
      </w:r>
      <w:r w:rsidRPr="00175907">
        <w:rPr>
          <w:rFonts w:ascii="Cambria" w:hAnsi="Cambria"/>
          <w:sz w:val="20"/>
          <w:szCs w:val="20"/>
          <w:lang w:val="es-ES"/>
        </w:rPr>
        <w:t xml:space="preserve"> 15 de enero de 2010</w:t>
      </w:r>
      <w:r w:rsidR="00C72CCD" w:rsidRPr="00175907">
        <w:rPr>
          <w:rFonts w:ascii="Cambria" w:hAnsi="Cambria"/>
          <w:sz w:val="20"/>
          <w:szCs w:val="20"/>
          <w:lang w:val="es-ES"/>
        </w:rPr>
        <w:t>;</w:t>
      </w:r>
      <w:r w:rsidRPr="00175907">
        <w:rPr>
          <w:rFonts w:ascii="Cambria" w:hAnsi="Cambria"/>
          <w:sz w:val="20"/>
          <w:szCs w:val="20"/>
          <w:lang w:val="es-ES"/>
        </w:rPr>
        <w:t xml:space="preserve"> </w:t>
      </w:r>
      <w:r w:rsidR="00B464D9" w:rsidRPr="00175907">
        <w:rPr>
          <w:rFonts w:ascii="Cambria" w:hAnsi="Cambria"/>
          <w:sz w:val="20"/>
          <w:szCs w:val="20"/>
          <w:lang w:val="es-ES"/>
        </w:rPr>
        <w:t xml:space="preserve">21 </w:t>
      </w:r>
      <w:r w:rsidRPr="00175907">
        <w:rPr>
          <w:rFonts w:ascii="Cambria" w:hAnsi="Cambria"/>
          <w:sz w:val="20"/>
          <w:szCs w:val="20"/>
          <w:lang w:val="es-ES"/>
        </w:rPr>
        <w:t>de mayo de 2010</w:t>
      </w:r>
      <w:r w:rsidR="00441989" w:rsidRPr="00175907">
        <w:rPr>
          <w:rFonts w:ascii="Cambria" w:hAnsi="Cambria"/>
          <w:sz w:val="20"/>
          <w:szCs w:val="20"/>
          <w:lang w:val="es-ES"/>
        </w:rPr>
        <w:t>;</w:t>
      </w:r>
      <w:r w:rsidRPr="00175907">
        <w:rPr>
          <w:rFonts w:ascii="Cambria" w:hAnsi="Cambria"/>
          <w:sz w:val="20"/>
          <w:szCs w:val="20"/>
          <w:lang w:val="es-ES"/>
        </w:rPr>
        <w:t xml:space="preserve"> 29 de noviembre de 2010</w:t>
      </w:r>
      <w:r w:rsidR="00B464D9" w:rsidRPr="00175907">
        <w:rPr>
          <w:rFonts w:ascii="Cambria" w:hAnsi="Cambria"/>
          <w:sz w:val="20"/>
          <w:szCs w:val="20"/>
          <w:lang w:val="es-ES"/>
        </w:rPr>
        <w:t xml:space="preserve">; </w:t>
      </w:r>
      <w:r w:rsidR="007F59D8" w:rsidRPr="00175907">
        <w:rPr>
          <w:rFonts w:ascii="Cambria" w:hAnsi="Cambria"/>
          <w:sz w:val="20"/>
          <w:szCs w:val="20"/>
          <w:lang w:val="es-ES"/>
        </w:rPr>
        <w:t>y</w:t>
      </w:r>
      <w:r w:rsidRPr="00175907">
        <w:rPr>
          <w:rFonts w:ascii="Cambria" w:hAnsi="Cambria"/>
          <w:sz w:val="20"/>
          <w:szCs w:val="20"/>
          <w:lang w:val="es-ES"/>
        </w:rPr>
        <w:t xml:space="preserve"> 1</w:t>
      </w:r>
      <w:r w:rsidR="00B464D9" w:rsidRPr="00175907">
        <w:rPr>
          <w:rFonts w:ascii="Cambria" w:hAnsi="Cambria"/>
          <w:sz w:val="20"/>
          <w:szCs w:val="20"/>
          <w:lang w:val="es-ES"/>
        </w:rPr>
        <w:t>0</w:t>
      </w:r>
      <w:r w:rsidRPr="00175907">
        <w:rPr>
          <w:rFonts w:ascii="Cambria" w:hAnsi="Cambria"/>
          <w:sz w:val="20"/>
          <w:szCs w:val="20"/>
          <w:lang w:val="es-ES"/>
        </w:rPr>
        <w:t xml:space="preserve"> de marzo de 2011. </w:t>
      </w:r>
      <w:r w:rsidR="007F59D8" w:rsidRPr="00175907">
        <w:rPr>
          <w:rFonts w:ascii="Cambria" w:hAnsi="Cambria"/>
          <w:sz w:val="20"/>
          <w:szCs w:val="20"/>
          <w:lang w:val="es-ES"/>
        </w:rPr>
        <w:t xml:space="preserve">Estas comunicaciones </w:t>
      </w:r>
      <w:r w:rsidRPr="00175907">
        <w:rPr>
          <w:rFonts w:ascii="Cambria" w:hAnsi="Cambria"/>
          <w:sz w:val="20"/>
          <w:szCs w:val="20"/>
          <w:lang w:val="es-ES"/>
        </w:rPr>
        <w:t>también fueron debidamente trasladadas al peticionario.</w:t>
      </w:r>
    </w:p>
    <w:p w14:paraId="0E256D11" w14:textId="77777777" w:rsidR="001E2C26" w:rsidRDefault="001E2C26">
      <w:pPr>
        <w:pBdr>
          <w:top w:val="nil"/>
          <w:left w:val="nil"/>
          <w:bottom w:val="nil"/>
          <w:right w:val="nil"/>
          <w:between w:val="nil"/>
          <w:bar w:val="nil"/>
        </w:pBdr>
        <w:rPr>
          <w:rFonts w:asciiTheme="majorHAnsi" w:hAnsiTheme="majorHAnsi"/>
          <w:b/>
          <w:bCs/>
          <w:sz w:val="20"/>
          <w:szCs w:val="20"/>
          <w:lang w:val="es-ES"/>
        </w:rPr>
      </w:pPr>
      <w:r>
        <w:rPr>
          <w:rFonts w:asciiTheme="majorHAnsi" w:hAnsiTheme="majorHAnsi"/>
          <w:b/>
          <w:bCs/>
          <w:sz w:val="20"/>
          <w:szCs w:val="20"/>
          <w:lang w:val="es-ES"/>
        </w:rPr>
        <w:br w:type="page"/>
      </w:r>
    </w:p>
    <w:p w14:paraId="0BA9DADA" w14:textId="27053741" w:rsidR="0063685A" w:rsidRPr="00175907" w:rsidRDefault="0063685A" w:rsidP="009F0583">
      <w:pPr>
        <w:spacing w:after="240"/>
        <w:ind w:firstLine="720"/>
        <w:jc w:val="both"/>
        <w:rPr>
          <w:rFonts w:asciiTheme="majorHAnsi" w:hAnsiTheme="majorHAnsi"/>
          <w:b/>
          <w:bCs/>
          <w:sz w:val="20"/>
          <w:szCs w:val="20"/>
          <w:lang w:val="es-ES"/>
        </w:rPr>
      </w:pPr>
      <w:r w:rsidRPr="00175907">
        <w:rPr>
          <w:rFonts w:asciiTheme="majorHAnsi" w:hAnsiTheme="majorHAnsi"/>
          <w:b/>
          <w:bCs/>
          <w:sz w:val="20"/>
          <w:szCs w:val="20"/>
          <w:lang w:val="es-ES"/>
        </w:rPr>
        <w:lastRenderedPageBreak/>
        <w:t>III.</w:t>
      </w:r>
      <w:r w:rsidRPr="00175907">
        <w:rPr>
          <w:rFonts w:asciiTheme="majorHAnsi" w:hAnsiTheme="majorHAnsi"/>
          <w:b/>
          <w:bCs/>
          <w:sz w:val="20"/>
          <w:szCs w:val="20"/>
          <w:lang w:val="es-ES"/>
        </w:rPr>
        <w:tab/>
        <w:t>POSICIÓN DE LAS PARTES</w:t>
      </w:r>
    </w:p>
    <w:p w14:paraId="11450FBE" w14:textId="7F41F981" w:rsidR="00C14A72" w:rsidRPr="00C14A72" w:rsidRDefault="0063685A" w:rsidP="00C14A72">
      <w:pPr>
        <w:pBdr>
          <w:top w:val="nil"/>
          <w:left w:val="nil"/>
          <w:bottom w:val="nil"/>
          <w:right w:val="nil"/>
          <w:between w:val="nil"/>
          <w:bar w:val="nil"/>
        </w:pBdr>
        <w:spacing w:after="240"/>
        <w:ind w:firstLine="720"/>
        <w:jc w:val="both"/>
        <w:rPr>
          <w:rFonts w:asciiTheme="majorHAnsi" w:hAnsiTheme="majorHAnsi"/>
          <w:b/>
          <w:bCs/>
          <w:color w:val="FF0000"/>
          <w:sz w:val="20"/>
          <w:szCs w:val="20"/>
          <w:lang w:val="es-ES"/>
        </w:rPr>
      </w:pPr>
      <w:r w:rsidRPr="00175907">
        <w:rPr>
          <w:rFonts w:asciiTheme="majorHAnsi" w:hAnsiTheme="majorHAnsi"/>
          <w:b/>
          <w:bCs/>
          <w:sz w:val="20"/>
          <w:szCs w:val="20"/>
          <w:lang w:val="es-ES"/>
        </w:rPr>
        <w:t>A.</w:t>
      </w:r>
      <w:r w:rsidRPr="00175907">
        <w:rPr>
          <w:rFonts w:asciiTheme="majorHAnsi" w:hAnsiTheme="majorHAnsi"/>
          <w:b/>
          <w:bCs/>
          <w:sz w:val="20"/>
          <w:szCs w:val="20"/>
          <w:lang w:val="es-ES"/>
        </w:rPr>
        <w:tab/>
        <w:t>Posición del</w:t>
      </w:r>
      <w:r w:rsidRPr="00175907">
        <w:rPr>
          <w:rFonts w:asciiTheme="majorHAnsi" w:hAnsiTheme="majorHAnsi"/>
          <w:b/>
          <w:bCs/>
          <w:color w:val="FF0000"/>
          <w:sz w:val="20"/>
          <w:szCs w:val="20"/>
          <w:lang w:val="es-ES"/>
        </w:rPr>
        <w:t xml:space="preserve"> </w:t>
      </w:r>
      <w:r w:rsidRPr="00175907">
        <w:rPr>
          <w:rFonts w:asciiTheme="majorHAnsi" w:hAnsiTheme="majorHAnsi"/>
          <w:b/>
          <w:bCs/>
          <w:sz w:val="20"/>
          <w:szCs w:val="20"/>
          <w:lang w:val="es-ES"/>
        </w:rPr>
        <w:t>peticionario</w:t>
      </w:r>
    </w:p>
    <w:p w14:paraId="00FEEAB1" w14:textId="571DCB3C" w:rsidR="00CB3FB2" w:rsidRPr="00317992" w:rsidRDefault="00CB3FB2" w:rsidP="00CB3FB2">
      <w:pPr>
        <w:numPr>
          <w:ilvl w:val="0"/>
          <w:numId w:val="56"/>
        </w:numPr>
        <w:spacing w:after="240"/>
        <w:jc w:val="both"/>
        <w:rPr>
          <w:rFonts w:asciiTheme="majorHAnsi" w:hAnsiTheme="majorHAnsi" w:cs="Arial"/>
          <w:color w:val="FF0000"/>
          <w:sz w:val="20"/>
          <w:szCs w:val="20"/>
          <w:lang w:val="es-ES"/>
        </w:rPr>
      </w:pPr>
      <w:r w:rsidRPr="00317992">
        <w:rPr>
          <w:rFonts w:asciiTheme="majorHAnsi" w:hAnsiTheme="majorHAnsi" w:cs="Arial"/>
          <w:sz w:val="20"/>
          <w:szCs w:val="20"/>
          <w:lang w:val="es-ES"/>
        </w:rPr>
        <w:t xml:space="preserve">El peticionario sostiene que el Estado de Guatemala es responsable por la incautación y posterior depósito ilegal de </w:t>
      </w:r>
      <w:r w:rsidR="00F87917" w:rsidRPr="00317992">
        <w:rPr>
          <w:rFonts w:asciiTheme="majorHAnsi" w:hAnsiTheme="majorHAnsi" w:cs="Arial"/>
          <w:sz w:val="20"/>
          <w:szCs w:val="20"/>
          <w:lang w:val="es-ES"/>
        </w:rPr>
        <w:t xml:space="preserve">sus </w:t>
      </w:r>
      <w:r w:rsidRPr="00317992">
        <w:rPr>
          <w:rFonts w:asciiTheme="majorHAnsi" w:hAnsiTheme="majorHAnsi" w:cs="Arial"/>
          <w:sz w:val="20"/>
          <w:szCs w:val="20"/>
          <w:lang w:val="es-ES"/>
        </w:rPr>
        <w:t>bienes con terceros</w:t>
      </w:r>
      <w:r w:rsidR="00A12271" w:rsidRPr="00317992">
        <w:rPr>
          <w:rFonts w:asciiTheme="majorHAnsi" w:hAnsiTheme="majorHAnsi" w:cs="Arial"/>
          <w:sz w:val="20"/>
          <w:szCs w:val="20"/>
          <w:lang w:val="es-ES"/>
        </w:rPr>
        <w:t>; actos que resultaron en la pérdida de estos bienes</w:t>
      </w:r>
      <w:r w:rsidRPr="00317992">
        <w:rPr>
          <w:rFonts w:asciiTheme="majorHAnsi" w:hAnsiTheme="majorHAnsi" w:cs="Arial"/>
          <w:sz w:val="20"/>
          <w:szCs w:val="20"/>
          <w:lang w:val="es-ES"/>
        </w:rPr>
        <w:t xml:space="preserve">. Alega además que el Estado es responsable por una denegación de justicia, pues, a pesar de contar con una orden judicial para recuperar sus bienes, los mismos nunca le fueron devueltos y el Estado nunca investigó </w:t>
      </w:r>
      <w:r w:rsidR="00A12271" w:rsidRPr="00317992">
        <w:rPr>
          <w:rFonts w:asciiTheme="majorHAnsi" w:hAnsiTheme="majorHAnsi" w:cs="Arial"/>
          <w:sz w:val="20"/>
          <w:szCs w:val="20"/>
          <w:lang w:val="es-ES"/>
        </w:rPr>
        <w:t xml:space="preserve">con seriedad </w:t>
      </w:r>
      <w:r w:rsidR="00C40E37" w:rsidRPr="00317992">
        <w:rPr>
          <w:rFonts w:asciiTheme="majorHAnsi" w:hAnsiTheme="majorHAnsi" w:cs="Arial"/>
          <w:sz w:val="20"/>
          <w:szCs w:val="20"/>
          <w:lang w:val="es-ES"/>
        </w:rPr>
        <w:t>o</w:t>
      </w:r>
      <w:r w:rsidRPr="00317992">
        <w:rPr>
          <w:rFonts w:asciiTheme="majorHAnsi" w:hAnsiTheme="majorHAnsi" w:cs="Arial"/>
          <w:sz w:val="20"/>
          <w:szCs w:val="20"/>
          <w:lang w:val="es-ES"/>
        </w:rPr>
        <w:t xml:space="preserve"> sancionó </w:t>
      </w:r>
      <w:r w:rsidR="00A12271" w:rsidRPr="00317992">
        <w:rPr>
          <w:rFonts w:asciiTheme="majorHAnsi" w:hAnsiTheme="majorHAnsi" w:cs="Arial"/>
          <w:sz w:val="20"/>
          <w:szCs w:val="20"/>
          <w:lang w:val="es-ES"/>
        </w:rPr>
        <w:t xml:space="preserve">a </w:t>
      </w:r>
      <w:r w:rsidRPr="00317992">
        <w:rPr>
          <w:rFonts w:asciiTheme="majorHAnsi" w:hAnsiTheme="majorHAnsi" w:cs="Arial"/>
          <w:sz w:val="20"/>
          <w:szCs w:val="20"/>
          <w:lang w:val="es-ES"/>
        </w:rPr>
        <w:t>los responsables por estos hechos.</w:t>
      </w:r>
    </w:p>
    <w:p w14:paraId="403F35FF" w14:textId="6EFE5801" w:rsidR="00291F34" w:rsidRDefault="00CB3FB2" w:rsidP="00F87917">
      <w:pPr>
        <w:numPr>
          <w:ilvl w:val="0"/>
          <w:numId w:val="56"/>
        </w:numPr>
        <w:spacing w:after="240"/>
        <w:jc w:val="both"/>
        <w:rPr>
          <w:rFonts w:asciiTheme="majorHAnsi" w:eastAsia="SimSun" w:hAnsiTheme="majorHAnsi"/>
          <w:sz w:val="20"/>
          <w:szCs w:val="20"/>
          <w:lang w:val="es-ES"/>
        </w:rPr>
      </w:pPr>
      <w:r>
        <w:rPr>
          <w:rFonts w:ascii="Cambria" w:hAnsi="Cambria"/>
          <w:sz w:val="20"/>
          <w:szCs w:val="20"/>
          <w:lang w:val="es-ES"/>
        </w:rPr>
        <w:t xml:space="preserve">Como </w:t>
      </w:r>
      <w:r w:rsidR="00A12271">
        <w:rPr>
          <w:rFonts w:ascii="Cambria" w:hAnsi="Cambria"/>
          <w:sz w:val="20"/>
          <w:szCs w:val="20"/>
          <w:lang w:val="es-ES"/>
        </w:rPr>
        <w:t>antecedentes</w:t>
      </w:r>
      <w:r>
        <w:rPr>
          <w:rFonts w:ascii="Cambria" w:hAnsi="Cambria"/>
          <w:sz w:val="20"/>
          <w:szCs w:val="20"/>
          <w:lang w:val="es-ES"/>
        </w:rPr>
        <w:t xml:space="preserve"> de la incautación y depósito ilegal de sus bienes, informa </w:t>
      </w:r>
      <w:r w:rsidR="00E44EB2" w:rsidRPr="00175907">
        <w:rPr>
          <w:rFonts w:asciiTheme="majorHAnsi" w:hAnsiTheme="majorHAnsi" w:cs="Arial"/>
          <w:color w:val="000000" w:themeColor="text1"/>
          <w:sz w:val="20"/>
          <w:szCs w:val="20"/>
          <w:lang w:val="es-ES"/>
        </w:rPr>
        <w:t>que</w:t>
      </w:r>
      <w:r w:rsidR="00A53312">
        <w:rPr>
          <w:rFonts w:asciiTheme="majorHAnsi" w:hAnsiTheme="majorHAnsi" w:cs="Arial"/>
          <w:color w:val="000000" w:themeColor="text1"/>
          <w:sz w:val="20"/>
          <w:szCs w:val="20"/>
          <w:lang w:val="es-ES"/>
        </w:rPr>
        <w:t xml:space="preserve"> desde el año 2000</w:t>
      </w:r>
      <w:r w:rsidR="00D30187">
        <w:rPr>
          <w:rFonts w:asciiTheme="majorHAnsi" w:hAnsiTheme="majorHAnsi" w:cs="Arial"/>
          <w:color w:val="000000" w:themeColor="text1"/>
          <w:sz w:val="20"/>
          <w:szCs w:val="20"/>
          <w:lang w:val="es-ES"/>
        </w:rPr>
        <w:t xml:space="preserve"> </w:t>
      </w:r>
      <w:r w:rsidR="00A53312">
        <w:rPr>
          <w:rFonts w:asciiTheme="majorHAnsi" w:hAnsiTheme="majorHAnsi" w:cs="Arial"/>
          <w:color w:val="000000" w:themeColor="text1"/>
          <w:sz w:val="20"/>
          <w:szCs w:val="20"/>
          <w:lang w:val="es-ES"/>
        </w:rPr>
        <w:t xml:space="preserve">tenía un acuerdo </w:t>
      </w:r>
      <w:r w:rsidR="002C70F8">
        <w:rPr>
          <w:rFonts w:asciiTheme="majorHAnsi" w:hAnsiTheme="majorHAnsi" w:cs="Arial"/>
          <w:color w:val="000000" w:themeColor="text1"/>
          <w:sz w:val="20"/>
          <w:szCs w:val="20"/>
          <w:lang w:val="es-ES"/>
        </w:rPr>
        <w:t>con</w:t>
      </w:r>
      <w:r w:rsidR="00D30187">
        <w:rPr>
          <w:rFonts w:asciiTheme="majorHAnsi" w:hAnsiTheme="majorHAnsi" w:cs="Arial"/>
          <w:color w:val="000000" w:themeColor="text1"/>
          <w:sz w:val="20"/>
          <w:szCs w:val="20"/>
          <w:lang w:val="es-ES"/>
        </w:rPr>
        <w:t xml:space="preserve"> los</w:t>
      </w:r>
      <w:r w:rsidR="003B6603" w:rsidRPr="00175907">
        <w:rPr>
          <w:rFonts w:asciiTheme="majorHAnsi" w:hAnsiTheme="majorHAnsi" w:cs="Arial"/>
          <w:color w:val="000000" w:themeColor="text1"/>
          <w:sz w:val="20"/>
          <w:szCs w:val="20"/>
          <w:lang w:val="es-ES"/>
        </w:rPr>
        <w:t xml:space="preserve"> comuneros de la </w:t>
      </w:r>
      <w:r w:rsidR="003B6603" w:rsidRPr="00175907">
        <w:rPr>
          <w:rFonts w:ascii="Cambria" w:hAnsi="Cambria"/>
          <w:sz w:val="20"/>
          <w:szCs w:val="20"/>
          <w:lang w:val="es-ES"/>
        </w:rPr>
        <w:t>Comunidad Nuevo Chunacté</w:t>
      </w:r>
      <w:r w:rsidR="00B13741" w:rsidRPr="00175907">
        <w:rPr>
          <w:rFonts w:ascii="Cambria" w:hAnsi="Cambria"/>
          <w:sz w:val="20"/>
          <w:szCs w:val="20"/>
          <w:lang w:val="es-ES"/>
        </w:rPr>
        <w:t xml:space="preserve"> (en adelante, “</w:t>
      </w:r>
      <w:r w:rsidR="00A53312">
        <w:rPr>
          <w:rFonts w:ascii="Cambria" w:hAnsi="Cambria"/>
          <w:sz w:val="20"/>
          <w:szCs w:val="20"/>
          <w:lang w:val="es-ES"/>
        </w:rPr>
        <w:t>la Comunidad</w:t>
      </w:r>
      <w:r w:rsidR="003B6603" w:rsidRPr="00175907">
        <w:rPr>
          <w:rFonts w:ascii="Cambria" w:hAnsi="Cambria"/>
          <w:sz w:val="20"/>
          <w:szCs w:val="20"/>
          <w:lang w:val="es-ES"/>
        </w:rPr>
        <w:t>”), municipio de Chahal, Alta Verapaz,</w:t>
      </w:r>
      <w:r w:rsidR="00A53312">
        <w:rPr>
          <w:rFonts w:ascii="Cambria" w:hAnsi="Cambria"/>
          <w:sz w:val="20"/>
          <w:szCs w:val="20"/>
          <w:lang w:val="es-ES"/>
        </w:rPr>
        <w:t xml:space="preserve"> </w:t>
      </w:r>
      <w:r w:rsidR="00D04E49">
        <w:rPr>
          <w:rFonts w:ascii="Cambria" w:hAnsi="Cambria"/>
          <w:sz w:val="20"/>
          <w:szCs w:val="20"/>
          <w:lang w:val="es-ES"/>
        </w:rPr>
        <w:t>quienes</w:t>
      </w:r>
      <w:r w:rsidR="00A12271">
        <w:rPr>
          <w:rFonts w:ascii="Cambria" w:hAnsi="Cambria"/>
          <w:sz w:val="20"/>
          <w:szCs w:val="20"/>
          <w:lang w:val="es-ES"/>
        </w:rPr>
        <w:t xml:space="preserve"> utiliza</w:t>
      </w:r>
      <w:r w:rsidR="00D04E49">
        <w:rPr>
          <w:rFonts w:ascii="Cambria" w:hAnsi="Cambria"/>
          <w:sz w:val="20"/>
          <w:szCs w:val="20"/>
          <w:lang w:val="es-ES"/>
        </w:rPr>
        <w:t>ban</w:t>
      </w:r>
      <w:r w:rsidR="00A12271">
        <w:rPr>
          <w:rFonts w:ascii="Cambria" w:hAnsi="Cambria"/>
          <w:sz w:val="20"/>
          <w:szCs w:val="20"/>
          <w:lang w:val="es-ES"/>
        </w:rPr>
        <w:t xml:space="preserve"> un aserradero móvil de propiedad del señor Gamarro para </w:t>
      </w:r>
      <w:r w:rsidR="00A53312">
        <w:rPr>
          <w:rFonts w:ascii="Cambria" w:hAnsi="Cambria"/>
          <w:sz w:val="20"/>
          <w:szCs w:val="20"/>
          <w:lang w:val="es-ES"/>
        </w:rPr>
        <w:t>talar</w:t>
      </w:r>
      <w:r w:rsidR="00A53312" w:rsidRPr="00175907">
        <w:rPr>
          <w:rFonts w:ascii="Cambria" w:hAnsi="Cambria"/>
          <w:sz w:val="20"/>
          <w:szCs w:val="20"/>
          <w:lang w:val="es-ES"/>
        </w:rPr>
        <w:t xml:space="preserve"> madera en </w:t>
      </w:r>
      <w:r w:rsidR="00F26932">
        <w:rPr>
          <w:rFonts w:ascii="Cambria" w:hAnsi="Cambria"/>
          <w:sz w:val="20"/>
          <w:szCs w:val="20"/>
          <w:lang w:val="es-ES"/>
        </w:rPr>
        <w:t>sus</w:t>
      </w:r>
      <w:r w:rsidR="00951F80">
        <w:rPr>
          <w:rFonts w:ascii="Cambria" w:hAnsi="Cambria"/>
          <w:sz w:val="20"/>
          <w:szCs w:val="20"/>
          <w:lang w:val="es-ES"/>
        </w:rPr>
        <w:t xml:space="preserve"> tierras</w:t>
      </w:r>
      <w:r w:rsidR="00D04E49">
        <w:rPr>
          <w:rFonts w:ascii="Cambria" w:hAnsi="Cambria"/>
          <w:sz w:val="20"/>
          <w:szCs w:val="20"/>
          <w:lang w:val="es-ES"/>
        </w:rPr>
        <w:t xml:space="preserve"> ya que </w:t>
      </w:r>
      <w:r w:rsidR="00D04E49" w:rsidRPr="00D04E49">
        <w:rPr>
          <w:rFonts w:ascii="Cambria" w:hAnsi="Cambria"/>
          <w:sz w:val="20"/>
          <w:szCs w:val="20"/>
          <w:lang w:val="es-ES"/>
        </w:rPr>
        <w:t>contaban con un permiso de tala otorgado por el Instituto Nacional de Bosques (en adelante, “INAB”)</w:t>
      </w:r>
      <w:r w:rsidR="00D04E49">
        <w:rPr>
          <w:rFonts w:ascii="Cambria" w:hAnsi="Cambria"/>
          <w:sz w:val="20"/>
          <w:szCs w:val="20"/>
          <w:lang w:val="es-ES"/>
        </w:rPr>
        <w:t>. Según el peticionario, esta</w:t>
      </w:r>
      <w:r w:rsidR="00A12271">
        <w:rPr>
          <w:rFonts w:ascii="Cambria" w:hAnsi="Cambria"/>
          <w:sz w:val="20"/>
          <w:szCs w:val="20"/>
          <w:lang w:val="es-ES"/>
        </w:rPr>
        <w:t xml:space="preserve"> madera </w:t>
      </w:r>
      <w:r w:rsidR="00D04E49">
        <w:rPr>
          <w:rFonts w:ascii="Cambria" w:hAnsi="Cambria"/>
          <w:sz w:val="20"/>
          <w:szCs w:val="20"/>
          <w:lang w:val="es-ES"/>
        </w:rPr>
        <w:t>le era</w:t>
      </w:r>
      <w:r w:rsidR="00A12271">
        <w:rPr>
          <w:rFonts w:ascii="Cambria" w:hAnsi="Cambria"/>
          <w:sz w:val="20"/>
          <w:szCs w:val="20"/>
          <w:lang w:val="es-ES"/>
        </w:rPr>
        <w:t xml:space="preserve"> posteriormente vendida</w:t>
      </w:r>
      <w:r w:rsidR="00D04E49">
        <w:rPr>
          <w:rFonts w:ascii="Cambria" w:hAnsi="Cambria"/>
          <w:sz w:val="20"/>
          <w:szCs w:val="20"/>
          <w:lang w:val="es-ES"/>
        </w:rPr>
        <w:t xml:space="preserve"> por los comuneros</w:t>
      </w:r>
      <w:r w:rsidR="002C70F8" w:rsidRPr="00A53312">
        <w:rPr>
          <w:rFonts w:ascii="Cambria" w:hAnsi="Cambria"/>
          <w:sz w:val="20"/>
          <w:szCs w:val="20"/>
          <w:lang w:val="es-ES"/>
        </w:rPr>
        <w:t xml:space="preserve">. </w:t>
      </w:r>
      <w:r w:rsidR="00F87917">
        <w:rPr>
          <w:rFonts w:ascii="Cambria" w:hAnsi="Cambria"/>
          <w:sz w:val="20"/>
          <w:szCs w:val="20"/>
          <w:lang w:val="es-ES"/>
        </w:rPr>
        <w:t xml:space="preserve">No obstante, </w:t>
      </w:r>
      <w:r w:rsidR="0043447A">
        <w:rPr>
          <w:rFonts w:ascii="Cambria" w:hAnsi="Cambria"/>
          <w:sz w:val="20"/>
          <w:szCs w:val="20"/>
          <w:lang w:val="es-ES"/>
        </w:rPr>
        <w:t xml:space="preserve">señala </w:t>
      </w:r>
      <w:r w:rsidR="00F87917">
        <w:rPr>
          <w:rFonts w:ascii="Cambria" w:hAnsi="Cambria"/>
          <w:sz w:val="20"/>
          <w:szCs w:val="20"/>
          <w:lang w:val="es-ES"/>
        </w:rPr>
        <w:t xml:space="preserve">que en </w:t>
      </w:r>
      <w:r w:rsidR="00D30187">
        <w:rPr>
          <w:rFonts w:ascii="Cambria" w:hAnsi="Cambria"/>
          <w:sz w:val="20"/>
          <w:szCs w:val="20"/>
          <w:lang w:val="es-ES"/>
        </w:rPr>
        <w:t xml:space="preserve">diciembre de 2003, </w:t>
      </w:r>
      <w:r w:rsidR="00E53B21" w:rsidRPr="00175907">
        <w:rPr>
          <w:rFonts w:ascii="Cambria" w:hAnsi="Cambria"/>
          <w:sz w:val="20"/>
          <w:szCs w:val="20"/>
          <w:lang w:val="es-ES"/>
        </w:rPr>
        <w:t xml:space="preserve">el señor </w:t>
      </w:r>
      <w:r w:rsidR="00E53B21" w:rsidRPr="00175907">
        <w:rPr>
          <w:rFonts w:asciiTheme="majorHAnsi" w:eastAsia="SimSun" w:hAnsiTheme="majorHAnsi"/>
          <w:sz w:val="20"/>
          <w:szCs w:val="20"/>
          <w:lang w:val="es-ES"/>
        </w:rPr>
        <w:t xml:space="preserve">Fernando Valle Arizpe (en adelante, “el </w:t>
      </w:r>
      <w:r w:rsidR="0024050D">
        <w:rPr>
          <w:rFonts w:asciiTheme="majorHAnsi" w:eastAsia="SimSun" w:hAnsiTheme="majorHAnsi"/>
          <w:sz w:val="20"/>
          <w:szCs w:val="20"/>
          <w:lang w:val="es-ES"/>
        </w:rPr>
        <w:t>señor Valle</w:t>
      </w:r>
      <w:r w:rsidR="00E53B21" w:rsidRPr="00175907">
        <w:rPr>
          <w:rFonts w:asciiTheme="majorHAnsi" w:eastAsia="SimSun" w:hAnsiTheme="majorHAnsi"/>
          <w:sz w:val="20"/>
          <w:szCs w:val="20"/>
          <w:lang w:val="es-ES"/>
        </w:rPr>
        <w:t>”)</w:t>
      </w:r>
      <w:r w:rsidR="00C40A50">
        <w:rPr>
          <w:rFonts w:ascii="Cambria" w:hAnsi="Cambria"/>
          <w:sz w:val="20"/>
          <w:szCs w:val="20"/>
          <w:lang w:val="es-ES"/>
        </w:rPr>
        <w:t xml:space="preserve">, </w:t>
      </w:r>
      <w:r w:rsidR="001102F7" w:rsidRPr="00175907">
        <w:rPr>
          <w:rFonts w:asciiTheme="majorHAnsi" w:eastAsia="SimSun" w:hAnsiTheme="majorHAnsi"/>
          <w:sz w:val="20"/>
          <w:szCs w:val="20"/>
          <w:lang w:val="es-ES"/>
        </w:rPr>
        <w:t>valiéndose de una certificación</w:t>
      </w:r>
      <w:r w:rsidR="001102F7" w:rsidRPr="00175907">
        <w:rPr>
          <w:rFonts w:ascii="Cambria" w:hAnsi="Cambria"/>
          <w:sz w:val="20"/>
          <w:szCs w:val="20"/>
          <w:lang w:val="es-ES"/>
        </w:rPr>
        <w:t xml:space="preserve"> anómala expedida por el Fondo de Tierras</w:t>
      </w:r>
      <w:r w:rsidR="001102F7">
        <w:rPr>
          <w:rFonts w:ascii="Cambria" w:hAnsi="Cambria"/>
          <w:sz w:val="20"/>
          <w:szCs w:val="20"/>
          <w:lang w:val="es-ES"/>
        </w:rPr>
        <w:t xml:space="preserve">, </w:t>
      </w:r>
      <w:r w:rsidR="00E53B21" w:rsidRPr="00175907">
        <w:rPr>
          <w:rFonts w:ascii="Cambria" w:hAnsi="Cambria"/>
          <w:sz w:val="20"/>
          <w:szCs w:val="20"/>
          <w:lang w:val="es-ES"/>
        </w:rPr>
        <w:t>a travé</w:t>
      </w:r>
      <w:r w:rsidR="00175907">
        <w:rPr>
          <w:rFonts w:ascii="Cambria" w:hAnsi="Cambria"/>
          <w:sz w:val="20"/>
          <w:szCs w:val="20"/>
          <w:lang w:val="es-ES"/>
        </w:rPr>
        <w:t>s de su funcionario</w:t>
      </w:r>
      <w:r w:rsidR="00E53B21" w:rsidRPr="00175907">
        <w:rPr>
          <w:rFonts w:ascii="Cambria" w:hAnsi="Cambria"/>
          <w:sz w:val="20"/>
          <w:szCs w:val="20"/>
          <w:lang w:val="es-ES"/>
        </w:rPr>
        <w:t xml:space="preserve"> </w:t>
      </w:r>
      <w:r w:rsidR="00E53B21" w:rsidRPr="00987D8E">
        <w:rPr>
          <w:rFonts w:asciiTheme="majorHAnsi" w:eastAsia="SimSun" w:hAnsiTheme="majorHAnsi"/>
          <w:sz w:val="20"/>
          <w:szCs w:val="20"/>
          <w:lang w:val="es-ES"/>
        </w:rPr>
        <w:t>Benjamín Roderico Ic Coc (en adelante, “el señor Roderico”)</w:t>
      </w:r>
      <w:r w:rsidR="00E53B21" w:rsidRPr="00175907">
        <w:rPr>
          <w:rFonts w:asciiTheme="majorHAnsi" w:eastAsia="SimSun" w:hAnsiTheme="majorHAnsi"/>
          <w:sz w:val="20"/>
          <w:szCs w:val="20"/>
          <w:lang w:val="es-ES"/>
        </w:rPr>
        <w:t xml:space="preserve">, presentó denuncia </w:t>
      </w:r>
      <w:r w:rsidR="00D30187">
        <w:rPr>
          <w:rFonts w:asciiTheme="majorHAnsi" w:eastAsia="SimSun" w:hAnsiTheme="majorHAnsi"/>
          <w:sz w:val="20"/>
          <w:szCs w:val="20"/>
          <w:lang w:val="es-ES"/>
        </w:rPr>
        <w:t xml:space="preserve">al Ministerio Público </w:t>
      </w:r>
      <w:r w:rsidR="00E53B21" w:rsidRPr="00175907">
        <w:rPr>
          <w:rFonts w:asciiTheme="majorHAnsi" w:eastAsia="SimSun" w:hAnsiTheme="majorHAnsi"/>
          <w:sz w:val="20"/>
          <w:szCs w:val="20"/>
          <w:lang w:val="es-ES"/>
        </w:rPr>
        <w:t>en contra de los comuneros</w:t>
      </w:r>
      <w:r w:rsidR="00113A6A">
        <w:rPr>
          <w:rFonts w:asciiTheme="majorHAnsi" w:eastAsia="SimSun" w:hAnsiTheme="majorHAnsi"/>
          <w:sz w:val="20"/>
          <w:szCs w:val="20"/>
          <w:lang w:val="es-ES"/>
        </w:rPr>
        <w:t xml:space="preserve"> </w:t>
      </w:r>
      <w:r w:rsidR="00E53B21" w:rsidRPr="00175907">
        <w:rPr>
          <w:rFonts w:asciiTheme="majorHAnsi" w:eastAsia="SimSun" w:hAnsiTheme="majorHAnsi"/>
          <w:sz w:val="20"/>
          <w:szCs w:val="20"/>
          <w:lang w:val="es-ES"/>
        </w:rPr>
        <w:t xml:space="preserve">alegando que </w:t>
      </w:r>
      <w:r w:rsidR="00FE247B">
        <w:rPr>
          <w:rFonts w:asciiTheme="majorHAnsi" w:eastAsia="SimSun" w:hAnsiTheme="majorHAnsi"/>
          <w:sz w:val="20"/>
          <w:szCs w:val="20"/>
          <w:lang w:val="es-ES"/>
        </w:rPr>
        <w:t>hab</w:t>
      </w:r>
      <w:r w:rsidR="00113A6A">
        <w:rPr>
          <w:rFonts w:asciiTheme="majorHAnsi" w:eastAsia="SimSun" w:hAnsiTheme="majorHAnsi"/>
          <w:sz w:val="20"/>
          <w:szCs w:val="20"/>
          <w:lang w:val="es-ES"/>
        </w:rPr>
        <w:t>ían ingresado a los terrenos de su finca, se</w:t>
      </w:r>
      <w:r w:rsidR="00F26932">
        <w:rPr>
          <w:rFonts w:asciiTheme="majorHAnsi" w:eastAsia="SimSun" w:hAnsiTheme="majorHAnsi"/>
          <w:sz w:val="20"/>
          <w:szCs w:val="20"/>
          <w:lang w:val="es-ES"/>
        </w:rPr>
        <w:t xml:space="preserve"> habían</w:t>
      </w:r>
      <w:r w:rsidR="00113A6A">
        <w:rPr>
          <w:rFonts w:asciiTheme="majorHAnsi" w:eastAsia="SimSun" w:hAnsiTheme="majorHAnsi"/>
          <w:sz w:val="20"/>
          <w:szCs w:val="20"/>
          <w:lang w:val="es-ES"/>
        </w:rPr>
        <w:t xml:space="preserve"> dedicado a</w:t>
      </w:r>
      <w:r w:rsidR="00E53B21" w:rsidRPr="00175907">
        <w:rPr>
          <w:rFonts w:asciiTheme="majorHAnsi" w:eastAsia="SimSun" w:hAnsiTheme="majorHAnsi"/>
          <w:sz w:val="20"/>
          <w:szCs w:val="20"/>
          <w:lang w:val="es-ES"/>
        </w:rPr>
        <w:t xml:space="preserve"> </w:t>
      </w:r>
      <w:r w:rsidR="00113A6A">
        <w:rPr>
          <w:rFonts w:asciiTheme="majorHAnsi" w:eastAsia="SimSun" w:hAnsiTheme="majorHAnsi"/>
          <w:sz w:val="20"/>
          <w:szCs w:val="20"/>
          <w:lang w:val="es-ES"/>
        </w:rPr>
        <w:t>talar</w:t>
      </w:r>
      <w:r w:rsidR="00E53B21" w:rsidRPr="00175907">
        <w:rPr>
          <w:rFonts w:asciiTheme="majorHAnsi" w:eastAsia="SimSun" w:hAnsiTheme="majorHAnsi"/>
          <w:sz w:val="20"/>
          <w:szCs w:val="20"/>
          <w:lang w:val="es-ES"/>
        </w:rPr>
        <w:t xml:space="preserve"> mad</w:t>
      </w:r>
      <w:r w:rsidR="00113A6A">
        <w:rPr>
          <w:rFonts w:asciiTheme="majorHAnsi" w:eastAsia="SimSun" w:hAnsiTheme="majorHAnsi"/>
          <w:sz w:val="20"/>
          <w:szCs w:val="20"/>
          <w:lang w:val="es-ES"/>
        </w:rPr>
        <w:t>era ilegalmente y construido viviendas con la intención de permanecer dentro de su propiedad.</w:t>
      </w:r>
      <w:r w:rsidR="00E53B21" w:rsidRPr="00175907">
        <w:rPr>
          <w:rFonts w:asciiTheme="majorHAnsi" w:eastAsia="SimSun" w:hAnsiTheme="majorHAnsi"/>
          <w:sz w:val="20"/>
          <w:szCs w:val="20"/>
          <w:lang w:val="es-ES"/>
        </w:rPr>
        <w:t xml:space="preserve"> Indica que </w:t>
      </w:r>
      <w:r>
        <w:rPr>
          <w:rFonts w:asciiTheme="majorHAnsi" w:eastAsia="SimSun" w:hAnsiTheme="majorHAnsi"/>
          <w:sz w:val="20"/>
          <w:szCs w:val="20"/>
          <w:lang w:val="es-ES"/>
        </w:rPr>
        <w:t xml:space="preserve">en razón de esta denuncia </w:t>
      </w:r>
      <w:r w:rsidR="00175907">
        <w:rPr>
          <w:rFonts w:asciiTheme="majorHAnsi" w:eastAsia="SimSun" w:hAnsiTheme="majorHAnsi"/>
          <w:sz w:val="20"/>
          <w:szCs w:val="20"/>
          <w:lang w:val="es-ES"/>
        </w:rPr>
        <w:t>el Ministerio Público</w:t>
      </w:r>
      <w:r w:rsidR="002D2A47">
        <w:rPr>
          <w:rFonts w:asciiTheme="majorHAnsi" w:eastAsia="SimSun" w:hAnsiTheme="majorHAnsi"/>
          <w:sz w:val="20"/>
          <w:szCs w:val="20"/>
          <w:lang w:val="es-ES"/>
        </w:rPr>
        <w:t xml:space="preserve"> </w:t>
      </w:r>
      <w:r w:rsidR="00291F34">
        <w:rPr>
          <w:rFonts w:asciiTheme="majorHAnsi" w:eastAsia="SimSun" w:hAnsiTheme="majorHAnsi"/>
          <w:sz w:val="20"/>
          <w:szCs w:val="20"/>
          <w:lang w:val="es-ES"/>
        </w:rPr>
        <w:t xml:space="preserve">instauró una persecución penal </w:t>
      </w:r>
      <w:r w:rsidR="00113A6A">
        <w:rPr>
          <w:rFonts w:asciiTheme="majorHAnsi" w:eastAsia="SimSun" w:hAnsiTheme="majorHAnsi"/>
          <w:sz w:val="20"/>
          <w:szCs w:val="20"/>
          <w:lang w:val="es-ES"/>
        </w:rPr>
        <w:t xml:space="preserve">en contra </w:t>
      </w:r>
      <w:r w:rsidR="00175907">
        <w:rPr>
          <w:rFonts w:asciiTheme="majorHAnsi" w:eastAsia="SimSun" w:hAnsiTheme="majorHAnsi"/>
          <w:sz w:val="20"/>
          <w:szCs w:val="20"/>
          <w:lang w:val="es-ES"/>
        </w:rPr>
        <w:t xml:space="preserve">de </w:t>
      </w:r>
      <w:r w:rsidR="00557379">
        <w:rPr>
          <w:rFonts w:asciiTheme="majorHAnsi" w:eastAsia="SimSun" w:hAnsiTheme="majorHAnsi"/>
          <w:sz w:val="20"/>
          <w:szCs w:val="20"/>
          <w:lang w:val="es-ES"/>
        </w:rPr>
        <w:t xml:space="preserve">los </w:t>
      </w:r>
      <w:r w:rsidR="00175907">
        <w:rPr>
          <w:rFonts w:asciiTheme="majorHAnsi" w:eastAsia="SimSun" w:hAnsiTheme="majorHAnsi"/>
          <w:sz w:val="20"/>
          <w:szCs w:val="20"/>
          <w:lang w:val="es-ES"/>
        </w:rPr>
        <w:t xml:space="preserve">comuneros por </w:t>
      </w:r>
      <w:r w:rsidR="007E66E8">
        <w:rPr>
          <w:rFonts w:asciiTheme="majorHAnsi" w:eastAsia="SimSun" w:hAnsiTheme="majorHAnsi"/>
          <w:sz w:val="20"/>
          <w:szCs w:val="20"/>
          <w:lang w:val="es-ES"/>
        </w:rPr>
        <w:t xml:space="preserve">los delitos de usurpación agravada y atentado contra el patrimonio </w:t>
      </w:r>
      <w:r w:rsidR="00291F34">
        <w:rPr>
          <w:rFonts w:asciiTheme="majorHAnsi" w:eastAsia="SimSun" w:hAnsiTheme="majorHAnsi"/>
          <w:sz w:val="20"/>
          <w:szCs w:val="20"/>
          <w:lang w:val="es-ES"/>
        </w:rPr>
        <w:t>natural y cultural de la nación, dando inicio al proceso 214-2004, tramitado ante el Juzgado de Primera Instancia Penal y Delitos Contra el Ambiente del Municipio de Poptún, Peten</w:t>
      </w:r>
      <w:r w:rsidR="00772718">
        <w:rPr>
          <w:rFonts w:asciiTheme="majorHAnsi" w:eastAsia="SimSun" w:hAnsiTheme="majorHAnsi"/>
          <w:sz w:val="20"/>
          <w:szCs w:val="20"/>
          <w:lang w:val="es-ES"/>
        </w:rPr>
        <w:t xml:space="preserve"> (en adelante, “el Juzgado de Peten”)</w:t>
      </w:r>
      <w:r w:rsidR="00291F34">
        <w:rPr>
          <w:rFonts w:asciiTheme="majorHAnsi" w:eastAsia="SimSun" w:hAnsiTheme="majorHAnsi"/>
          <w:sz w:val="20"/>
          <w:szCs w:val="20"/>
          <w:lang w:val="es-ES"/>
        </w:rPr>
        <w:t>.</w:t>
      </w:r>
    </w:p>
    <w:p w14:paraId="103A83A5" w14:textId="77777777" w:rsidR="0043447A" w:rsidRDefault="00557379" w:rsidP="00A12271">
      <w:pPr>
        <w:numPr>
          <w:ilvl w:val="0"/>
          <w:numId w:val="56"/>
        </w:numPr>
        <w:spacing w:after="240"/>
        <w:jc w:val="both"/>
        <w:rPr>
          <w:rFonts w:asciiTheme="majorHAnsi" w:eastAsia="SimSun" w:hAnsiTheme="majorHAnsi"/>
          <w:sz w:val="20"/>
          <w:szCs w:val="20"/>
          <w:lang w:val="es-ES"/>
        </w:rPr>
      </w:pPr>
      <w:r w:rsidRPr="00A12271">
        <w:rPr>
          <w:rFonts w:asciiTheme="majorHAnsi" w:eastAsia="SimSun" w:hAnsiTheme="majorHAnsi"/>
          <w:sz w:val="20"/>
          <w:szCs w:val="20"/>
          <w:lang w:val="es-ES"/>
        </w:rPr>
        <w:t>Añade que</w:t>
      </w:r>
      <w:r w:rsidR="007E66E8" w:rsidRPr="00A12271">
        <w:rPr>
          <w:rFonts w:asciiTheme="majorHAnsi" w:eastAsia="SimSun" w:hAnsiTheme="majorHAnsi"/>
          <w:sz w:val="20"/>
          <w:szCs w:val="20"/>
          <w:lang w:val="es-ES"/>
        </w:rPr>
        <w:t xml:space="preserve"> el </w:t>
      </w:r>
      <w:r w:rsidR="00FE247B" w:rsidRPr="00A12271">
        <w:rPr>
          <w:rFonts w:asciiTheme="majorHAnsi" w:eastAsia="SimSun" w:hAnsiTheme="majorHAnsi"/>
          <w:sz w:val="20"/>
          <w:szCs w:val="20"/>
          <w:lang w:val="es-ES"/>
        </w:rPr>
        <w:t>10 de marzo de 2004</w:t>
      </w:r>
      <w:r w:rsidR="0072404C" w:rsidRPr="00A12271">
        <w:rPr>
          <w:rFonts w:asciiTheme="majorHAnsi" w:eastAsia="SimSun" w:hAnsiTheme="majorHAnsi"/>
          <w:sz w:val="20"/>
          <w:szCs w:val="20"/>
          <w:lang w:val="es-ES"/>
        </w:rPr>
        <w:t>,</w:t>
      </w:r>
      <w:r w:rsidR="00FE247B" w:rsidRPr="00A12271">
        <w:rPr>
          <w:rFonts w:asciiTheme="majorHAnsi" w:eastAsia="SimSun" w:hAnsiTheme="majorHAnsi"/>
          <w:sz w:val="20"/>
          <w:szCs w:val="20"/>
          <w:lang w:val="es-ES"/>
        </w:rPr>
        <w:t xml:space="preserve"> el </w:t>
      </w:r>
      <w:r w:rsidR="00D71843" w:rsidRPr="00A12271">
        <w:rPr>
          <w:rFonts w:asciiTheme="majorHAnsi" w:eastAsia="SimSun" w:hAnsiTheme="majorHAnsi"/>
          <w:sz w:val="20"/>
          <w:szCs w:val="20"/>
          <w:lang w:val="es-ES"/>
        </w:rPr>
        <w:t>Juzgado de Peten</w:t>
      </w:r>
      <w:r w:rsidR="0043447A">
        <w:rPr>
          <w:rFonts w:asciiTheme="majorHAnsi" w:eastAsia="SimSun" w:hAnsiTheme="majorHAnsi"/>
          <w:sz w:val="20"/>
          <w:szCs w:val="20"/>
          <w:lang w:val="es-ES"/>
        </w:rPr>
        <w:t xml:space="preserve"> </w:t>
      </w:r>
      <w:r w:rsidRPr="00D04E49">
        <w:rPr>
          <w:rFonts w:asciiTheme="majorHAnsi" w:eastAsia="SimSun" w:hAnsiTheme="majorHAnsi"/>
          <w:sz w:val="20"/>
          <w:szCs w:val="20"/>
          <w:lang w:val="es-ES"/>
        </w:rPr>
        <w:t>autorizó</w:t>
      </w:r>
      <w:r w:rsidR="00FE247B" w:rsidRPr="00D04E49">
        <w:rPr>
          <w:rFonts w:asciiTheme="majorHAnsi" w:eastAsia="SimSun" w:hAnsiTheme="majorHAnsi"/>
          <w:sz w:val="20"/>
          <w:szCs w:val="20"/>
          <w:lang w:val="es-ES"/>
        </w:rPr>
        <w:t xml:space="preserve"> la </w:t>
      </w:r>
      <w:r w:rsidR="0024050D" w:rsidRPr="00D04E49">
        <w:rPr>
          <w:rFonts w:asciiTheme="majorHAnsi" w:eastAsia="SimSun" w:hAnsiTheme="majorHAnsi"/>
          <w:sz w:val="20"/>
          <w:szCs w:val="20"/>
          <w:lang w:val="es-ES"/>
        </w:rPr>
        <w:t>detención</w:t>
      </w:r>
      <w:r w:rsidR="00113A6A" w:rsidRPr="00D04E49">
        <w:rPr>
          <w:rFonts w:asciiTheme="majorHAnsi" w:eastAsia="SimSun" w:hAnsiTheme="majorHAnsi"/>
          <w:sz w:val="20"/>
          <w:szCs w:val="20"/>
          <w:lang w:val="es-ES"/>
        </w:rPr>
        <w:t xml:space="preserve"> de varios comuneros</w:t>
      </w:r>
      <w:r w:rsidR="002D2A47" w:rsidRPr="00D04E49">
        <w:rPr>
          <w:rFonts w:asciiTheme="majorHAnsi" w:eastAsia="SimSun" w:hAnsiTheme="majorHAnsi"/>
          <w:sz w:val="20"/>
          <w:szCs w:val="20"/>
          <w:lang w:val="es-ES"/>
        </w:rPr>
        <w:t>.</w:t>
      </w:r>
      <w:r w:rsidR="00D71843" w:rsidRPr="00D04E49">
        <w:rPr>
          <w:rFonts w:asciiTheme="majorHAnsi" w:eastAsia="SimSun" w:hAnsiTheme="majorHAnsi"/>
          <w:sz w:val="20"/>
          <w:szCs w:val="20"/>
          <w:lang w:val="es-ES"/>
        </w:rPr>
        <w:t xml:space="preserve"> Señala que </w:t>
      </w:r>
      <w:r w:rsidR="00FE247B" w:rsidRPr="00D04E49">
        <w:rPr>
          <w:rFonts w:asciiTheme="majorHAnsi" w:eastAsia="SimSun" w:hAnsiTheme="majorHAnsi"/>
          <w:sz w:val="20"/>
          <w:szCs w:val="20"/>
          <w:lang w:val="es-ES"/>
        </w:rPr>
        <w:t xml:space="preserve">el 31 de marzo de </w:t>
      </w:r>
      <w:r w:rsidR="00E53B21" w:rsidRPr="00D04E49">
        <w:rPr>
          <w:rFonts w:asciiTheme="majorHAnsi" w:eastAsia="SimSun" w:hAnsiTheme="majorHAnsi"/>
          <w:sz w:val="20"/>
          <w:szCs w:val="20"/>
          <w:lang w:val="es-ES"/>
        </w:rPr>
        <w:t>2004</w:t>
      </w:r>
      <w:r w:rsidR="001102F7" w:rsidRPr="00D04E49">
        <w:rPr>
          <w:rFonts w:asciiTheme="majorHAnsi" w:eastAsia="SimSun" w:hAnsiTheme="majorHAnsi"/>
          <w:sz w:val="20"/>
          <w:szCs w:val="20"/>
          <w:lang w:val="es-ES"/>
        </w:rPr>
        <w:t>,</w:t>
      </w:r>
      <w:r w:rsidR="00E53B21" w:rsidRPr="00D04E49">
        <w:rPr>
          <w:rFonts w:asciiTheme="majorHAnsi" w:eastAsia="SimSun" w:hAnsiTheme="majorHAnsi"/>
          <w:sz w:val="20"/>
          <w:szCs w:val="20"/>
          <w:lang w:val="es-ES"/>
        </w:rPr>
        <w:t xml:space="preserve"> policías </w:t>
      </w:r>
      <w:r w:rsidR="00E53B21" w:rsidRPr="0043447A">
        <w:rPr>
          <w:rFonts w:ascii="Cambria" w:hAnsi="Cambria"/>
          <w:sz w:val="20"/>
          <w:szCs w:val="20"/>
          <w:lang w:val="es-ES"/>
        </w:rPr>
        <w:t>del Servicio para la Protección de la Naturaleza (en adelante, “SEPRONA”) y guardias del Consejo Nacional de Áreas Protegidas (en adela</w:t>
      </w:r>
      <w:r w:rsidR="00E53B21" w:rsidRPr="00A54282">
        <w:rPr>
          <w:rFonts w:ascii="Cambria" w:hAnsi="Cambria"/>
          <w:sz w:val="20"/>
          <w:szCs w:val="20"/>
          <w:lang w:val="es-ES"/>
        </w:rPr>
        <w:t>nte, “CONAP</w:t>
      </w:r>
      <w:r w:rsidR="00113A6A" w:rsidRPr="00A54282">
        <w:rPr>
          <w:rFonts w:ascii="Cambria" w:hAnsi="Cambria"/>
          <w:sz w:val="20"/>
          <w:szCs w:val="20"/>
          <w:lang w:val="es-ES"/>
        </w:rPr>
        <w:t>”) organiz</w:t>
      </w:r>
      <w:r w:rsidR="0024050D" w:rsidRPr="007E7365">
        <w:rPr>
          <w:rFonts w:ascii="Cambria" w:hAnsi="Cambria"/>
          <w:sz w:val="20"/>
          <w:szCs w:val="20"/>
          <w:lang w:val="es-ES"/>
        </w:rPr>
        <w:t xml:space="preserve">aron una comisión para detener </w:t>
      </w:r>
      <w:r w:rsidR="00113A6A" w:rsidRPr="00A12271">
        <w:rPr>
          <w:rFonts w:ascii="Cambria" w:hAnsi="Cambria"/>
          <w:sz w:val="20"/>
          <w:szCs w:val="20"/>
          <w:lang w:val="es-ES"/>
        </w:rPr>
        <w:t>a los comuneros</w:t>
      </w:r>
      <w:r w:rsidR="00FE247B" w:rsidRPr="00A12271">
        <w:rPr>
          <w:rFonts w:ascii="Cambria" w:hAnsi="Cambria"/>
          <w:sz w:val="20"/>
          <w:szCs w:val="20"/>
          <w:lang w:val="es-ES"/>
        </w:rPr>
        <w:t>;</w:t>
      </w:r>
      <w:r w:rsidR="001102F7" w:rsidRPr="00A12271">
        <w:rPr>
          <w:rFonts w:ascii="Cambria" w:hAnsi="Cambria"/>
          <w:sz w:val="20"/>
          <w:szCs w:val="20"/>
          <w:lang w:val="es-ES"/>
        </w:rPr>
        <w:t xml:space="preserve"> operación </w:t>
      </w:r>
      <w:r w:rsidR="00FE247B" w:rsidRPr="00A12271">
        <w:rPr>
          <w:rFonts w:ascii="Cambria" w:hAnsi="Cambria"/>
          <w:sz w:val="20"/>
          <w:szCs w:val="20"/>
          <w:lang w:val="es-ES"/>
        </w:rPr>
        <w:t xml:space="preserve">que </w:t>
      </w:r>
      <w:r w:rsidR="00D51331" w:rsidRPr="00A12271">
        <w:rPr>
          <w:rFonts w:ascii="Cambria" w:hAnsi="Cambria"/>
          <w:sz w:val="20"/>
          <w:szCs w:val="20"/>
          <w:lang w:val="es-ES"/>
        </w:rPr>
        <w:t xml:space="preserve">resultó en </w:t>
      </w:r>
      <w:r w:rsidR="001102F7" w:rsidRPr="00A12271">
        <w:rPr>
          <w:rFonts w:ascii="Cambria" w:hAnsi="Cambria"/>
          <w:sz w:val="20"/>
          <w:szCs w:val="20"/>
          <w:lang w:val="es-ES"/>
        </w:rPr>
        <w:t>la incautación de 30 mil pies de madera y de</w:t>
      </w:r>
      <w:r w:rsidR="00D51331" w:rsidRPr="00A12271">
        <w:rPr>
          <w:rFonts w:ascii="Cambria" w:hAnsi="Cambria"/>
          <w:sz w:val="20"/>
          <w:szCs w:val="20"/>
          <w:lang w:val="es-ES"/>
        </w:rPr>
        <w:t xml:space="preserve"> su</w:t>
      </w:r>
      <w:r w:rsidR="00D30187" w:rsidRPr="00A12271">
        <w:rPr>
          <w:rFonts w:ascii="Cambria" w:hAnsi="Cambria"/>
          <w:sz w:val="20"/>
          <w:szCs w:val="20"/>
          <w:lang w:val="es-ES"/>
        </w:rPr>
        <w:t xml:space="preserve"> </w:t>
      </w:r>
      <w:r w:rsidR="001102F7" w:rsidRPr="00A12271">
        <w:rPr>
          <w:rFonts w:ascii="Cambria" w:hAnsi="Cambria"/>
          <w:sz w:val="20"/>
          <w:szCs w:val="20"/>
          <w:lang w:val="es-ES"/>
        </w:rPr>
        <w:t>aserradero móvil</w:t>
      </w:r>
      <w:r w:rsidR="00D51331" w:rsidRPr="00A12271">
        <w:rPr>
          <w:rFonts w:ascii="Cambria" w:hAnsi="Cambria"/>
          <w:sz w:val="20"/>
          <w:szCs w:val="20"/>
          <w:lang w:val="es-ES"/>
        </w:rPr>
        <w:t xml:space="preserve"> y en la </w:t>
      </w:r>
      <w:r w:rsidR="0024050D" w:rsidRPr="00A12271">
        <w:rPr>
          <w:rFonts w:ascii="Cambria" w:hAnsi="Cambria"/>
          <w:sz w:val="20"/>
          <w:szCs w:val="20"/>
          <w:lang w:val="es-ES"/>
        </w:rPr>
        <w:t>detención</w:t>
      </w:r>
      <w:r w:rsidR="00490689" w:rsidRPr="00A12271">
        <w:rPr>
          <w:rFonts w:ascii="Cambria" w:hAnsi="Cambria"/>
          <w:sz w:val="20"/>
          <w:szCs w:val="20"/>
          <w:lang w:val="es-ES"/>
        </w:rPr>
        <w:t xml:space="preserve"> de </w:t>
      </w:r>
      <w:r w:rsidR="00CB3FB2" w:rsidRPr="00A12271">
        <w:rPr>
          <w:rFonts w:ascii="Cambria" w:hAnsi="Cambria"/>
          <w:sz w:val="20"/>
          <w:szCs w:val="20"/>
          <w:lang w:val="es-ES"/>
        </w:rPr>
        <w:t xml:space="preserve">un </w:t>
      </w:r>
      <w:r w:rsidR="00490689" w:rsidRPr="00A12271">
        <w:rPr>
          <w:rFonts w:ascii="Cambria" w:hAnsi="Cambria"/>
          <w:sz w:val="20"/>
          <w:szCs w:val="20"/>
          <w:lang w:val="es-ES"/>
        </w:rPr>
        <w:t>comunero.</w:t>
      </w:r>
      <w:r w:rsidR="00A12271">
        <w:rPr>
          <w:rFonts w:ascii="Cambria" w:hAnsi="Cambria"/>
          <w:sz w:val="20"/>
          <w:szCs w:val="20"/>
          <w:lang w:val="es-ES"/>
        </w:rPr>
        <w:t xml:space="preserve"> </w:t>
      </w:r>
      <w:r w:rsidRPr="00A12271">
        <w:rPr>
          <w:rFonts w:ascii="Cambria" w:hAnsi="Cambria"/>
          <w:sz w:val="20"/>
          <w:szCs w:val="20"/>
          <w:lang w:val="es-ES"/>
        </w:rPr>
        <w:t>Señala además</w:t>
      </w:r>
      <w:r w:rsidR="00D71843" w:rsidRPr="00A12271">
        <w:rPr>
          <w:rFonts w:ascii="Cambria" w:hAnsi="Cambria"/>
          <w:sz w:val="20"/>
          <w:szCs w:val="20"/>
          <w:lang w:val="es-ES"/>
        </w:rPr>
        <w:t xml:space="preserve"> que el 27 de abril de 2004, el Ministerio Público solicit</w:t>
      </w:r>
      <w:r w:rsidR="0050229B" w:rsidRPr="00D04E49">
        <w:rPr>
          <w:rFonts w:ascii="Cambria" w:hAnsi="Cambria"/>
          <w:sz w:val="20"/>
          <w:szCs w:val="20"/>
          <w:lang w:val="es-ES"/>
        </w:rPr>
        <w:t xml:space="preserve">ó al Juzgado de Peten autorización para </w:t>
      </w:r>
      <w:r w:rsidR="00D71843" w:rsidRPr="00D04E49">
        <w:rPr>
          <w:rFonts w:ascii="Cambria" w:hAnsi="Cambria"/>
          <w:sz w:val="20"/>
          <w:szCs w:val="20"/>
          <w:lang w:val="es-ES"/>
        </w:rPr>
        <w:t>traslad</w:t>
      </w:r>
      <w:r w:rsidR="0050229B" w:rsidRPr="00D04E49">
        <w:rPr>
          <w:rFonts w:ascii="Cambria" w:hAnsi="Cambria"/>
          <w:sz w:val="20"/>
          <w:szCs w:val="20"/>
          <w:lang w:val="es-ES"/>
        </w:rPr>
        <w:t>ar</w:t>
      </w:r>
      <w:r w:rsidR="00D71843" w:rsidRPr="00D04E49">
        <w:rPr>
          <w:rFonts w:ascii="Cambria" w:hAnsi="Cambria"/>
          <w:sz w:val="20"/>
          <w:szCs w:val="20"/>
          <w:lang w:val="es-ES"/>
        </w:rPr>
        <w:t xml:space="preserve"> la madera y el aserradero m</w:t>
      </w:r>
      <w:r w:rsidR="00E86330" w:rsidRPr="00D04E49">
        <w:rPr>
          <w:rFonts w:ascii="Cambria" w:hAnsi="Cambria"/>
          <w:sz w:val="20"/>
          <w:szCs w:val="20"/>
          <w:lang w:val="es-ES"/>
        </w:rPr>
        <w:t xml:space="preserve">óvil </w:t>
      </w:r>
      <w:r w:rsidR="0050229B" w:rsidRPr="0043447A">
        <w:rPr>
          <w:rFonts w:ascii="Cambria" w:hAnsi="Cambria"/>
          <w:sz w:val="20"/>
          <w:szCs w:val="20"/>
          <w:lang w:val="es-ES"/>
        </w:rPr>
        <w:t xml:space="preserve">incautados </w:t>
      </w:r>
      <w:r w:rsidR="00E86330" w:rsidRPr="0043447A">
        <w:rPr>
          <w:rFonts w:ascii="Cambria" w:hAnsi="Cambria"/>
          <w:sz w:val="20"/>
          <w:szCs w:val="20"/>
          <w:lang w:val="es-ES"/>
        </w:rPr>
        <w:t xml:space="preserve">a un lugar seguro; autorización concedida </w:t>
      </w:r>
      <w:r w:rsidR="0024050D" w:rsidRPr="0043447A">
        <w:rPr>
          <w:rFonts w:ascii="Cambria" w:hAnsi="Cambria"/>
          <w:sz w:val="20"/>
          <w:szCs w:val="20"/>
          <w:lang w:val="es-ES"/>
        </w:rPr>
        <w:t>a</w:t>
      </w:r>
      <w:r w:rsidR="00E86330" w:rsidRPr="0043447A">
        <w:rPr>
          <w:rFonts w:ascii="Cambria" w:hAnsi="Cambria"/>
          <w:sz w:val="20"/>
          <w:szCs w:val="20"/>
          <w:lang w:val="es-ES"/>
        </w:rPr>
        <w:t xml:space="preserve">l </w:t>
      </w:r>
      <w:r w:rsidR="00114FFB" w:rsidRPr="0043447A">
        <w:rPr>
          <w:rFonts w:ascii="Cambria" w:hAnsi="Cambria"/>
          <w:sz w:val="20"/>
          <w:szCs w:val="20"/>
          <w:lang w:val="es-ES"/>
        </w:rPr>
        <w:t>día siguiente</w:t>
      </w:r>
      <w:r w:rsidR="00E86330" w:rsidRPr="0043447A">
        <w:rPr>
          <w:rFonts w:ascii="Cambria" w:hAnsi="Cambria"/>
          <w:sz w:val="20"/>
          <w:szCs w:val="20"/>
          <w:lang w:val="es-ES"/>
        </w:rPr>
        <w:t xml:space="preserve">. Indica que </w:t>
      </w:r>
      <w:r w:rsidRPr="0043447A">
        <w:rPr>
          <w:rFonts w:ascii="Cambria" w:hAnsi="Cambria"/>
          <w:sz w:val="20"/>
          <w:szCs w:val="20"/>
          <w:lang w:val="es-ES"/>
        </w:rPr>
        <w:t>en</w:t>
      </w:r>
      <w:r w:rsidR="00E86330" w:rsidRPr="0043447A">
        <w:rPr>
          <w:rFonts w:asciiTheme="majorHAnsi" w:eastAsia="SimSun" w:hAnsiTheme="majorHAnsi"/>
          <w:sz w:val="20"/>
          <w:szCs w:val="20"/>
          <w:lang w:val="es-ES"/>
        </w:rPr>
        <w:t xml:space="preserve"> julio de 2004, policías de SEPRONA auxiliaron </w:t>
      </w:r>
      <w:r w:rsidR="0024050D" w:rsidRPr="00A54282">
        <w:rPr>
          <w:rFonts w:asciiTheme="majorHAnsi" w:eastAsia="SimSun" w:hAnsiTheme="majorHAnsi"/>
          <w:sz w:val="20"/>
          <w:szCs w:val="20"/>
          <w:lang w:val="es-ES"/>
        </w:rPr>
        <w:t>a</w:t>
      </w:r>
      <w:r w:rsidR="00E86330" w:rsidRPr="00A54282">
        <w:rPr>
          <w:rFonts w:asciiTheme="majorHAnsi" w:eastAsia="SimSun" w:hAnsiTheme="majorHAnsi"/>
          <w:sz w:val="20"/>
          <w:szCs w:val="20"/>
          <w:lang w:val="es-ES"/>
        </w:rPr>
        <w:t>l señor Roderico a desarmar el aserradero móvil para que sus partes pudieran ser trasladas a un l</w:t>
      </w:r>
      <w:r w:rsidR="00E86330" w:rsidRPr="00A12271">
        <w:rPr>
          <w:rFonts w:asciiTheme="majorHAnsi" w:eastAsia="SimSun" w:hAnsiTheme="majorHAnsi"/>
          <w:sz w:val="20"/>
          <w:szCs w:val="20"/>
          <w:lang w:val="es-ES"/>
        </w:rPr>
        <w:t xml:space="preserve">ocal secreto dentro de la finca junto con la madera. </w:t>
      </w:r>
    </w:p>
    <w:p w14:paraId="24A080DE" w14:textId="62030B11" w:rsidR="00E86330" w:rsidRPr="0043447A" w:rsidRDefault="0043447A" w:rsidP="00A12271">
      <w:pPr>
        <w:numPr>
          <w:ilvl w:val="0"/>
          <w:numId w:val="56"/>
        </w:numPr>
        <w:spacing w:after="240"/>
        <w:jc w:val="both"/>
        <w:rPr>
          <w:rFonts w:asciiTheme="majorHAnsi" w:eastAsia="SimSun" w:hAnsiTheme="majorHAnsi"/>
          <w:sz w:val="20"/>
          <w:szCs w:val="20"/>
          <w:lang w:val="es-ES"/>
        </w:rPr>
      </w:pPr>
      <w:r>
        <w:rPr>
          <w:rFonts w:asciiTheme="majorHAnsi" w:eastAsia="SimSun" w:hAnsiTheme="majorHAnsi"/>
          <w:sz w:val="20"/>
          <w:szCs w:val="20"/>
          <w:lang w:val="es-ES"/>
        </w:rPr>
        <w:t xml:space="preserve">El peticionario indica que en </w:t>
      </w:r>
      <w:r w:rsidR="00F5323A">
        <w:rPr>
          <w:rFonts w:asciiTheme="majorHAnsi" w:eastAsia="SimSun" w:hAnsiTheme="majorHAnsi"/>
          <w:sz w:val="20"/>
          <w:szCs w:val="20"/>
          <w:lang w:val="es-ES"/>
        </w:rPr>
        <w:t>aquel</w:t>
      </w:r>
      <w:r>
        <w:rPr>
          <w:rFonts w:asciiTheme="majorHAnsi" w:eastAsia="SimSun" w:hAnsiTheme="majorHAnsi"/>
          <w:sz w:val="20"/>
          <w:szCs w:val="20"/>
          <w:lang w:val="es-ES"/>
        </w:rPr>
        <w:t xml:space="preserve"> momento </w:t>
      </w:r>
      <w:r w:rsidR="0011524E">
        <w:rPr>
          <w:rFonts w:asciiTheme="majorHAnsi" w:eastAsia="SimSun" w:hAnsiTheme="majorHAnsi"/>
          <w:sz w:val="20"/>
          <w:szCs w:val="20"/>
          <w:lang w:val="es-ES"/>
        </w:rPr>
        <w:t xml:space="preserve">se opuso </w:t>
      </w:r>
      <w:r>
        <w:rPr>
          <w:rFonts w:asciiTheme="majorHAnsi" w:eastAsia="SimSun" w:hAnsiTheme="majorHAnsi"/>
          <w:sz w:val="20"/>
          <w:szCs w:val="20"/>
          <w:lang w:val="es-ES"/>
        </w:rPr>
        <w:t>a</w:t>
      </w:r>
      <w:r w:rsidR="0011524E">
        <w:rPr>
          <w:rFonts w:asciiTheme="majorHAnsi" w:eastAsia="SimSun" w:hAnsiTheme="majorHAnsi"/>
          <w:sz w:val="20"/>
          <w:szCs w:val="20"/>
          <w:lang w:val="es-ES"/>
        </w:rPr>
        <w:t>l</w:t>
      </w:r>
      <w:r w:rsidR="00DE6E7C" w:rsidRPr="0043447A">
        <w:rPr>
          <w:rFonts w:asciiTheme="majorHAnsi" w:eastAsia="SimSun" w:hAnsiTheme="majorHAnsi"/>
          <w:sz w:val="20"/>
          <w:szCs w:val="20"/>
          <w:lang w:val="es-ES"/>
        </w:rPr>
        <w:t xml:space="preserve"> traslado</w:t>
      </w:r>
      <w:r w:rsidR="0011524E">
        <w:rPr>
          <w:rFonts w:asciiTheme="majorHAnsi" w:eastAsia="SimSun" w:hAnsiTheme="majorHAnsi"/>
          <w:sz w:val="20"/>
          <w:szCs w:val="20"/>
          <w:lang w:val="es-ES"/>
        </w:rPr>
        <w:t xml:space="preserve"> de sus bienes</w:t>
      </w:r>
      <w:r>
        <w:rPr>
          <w:rFonts w:asciiTheme="majorHAnsi" w:eastAsia="SimSun" w:hAnsiTheme="majorHAnsi"/>
          <w:sz w:val="20"/>
          <w:szCs w:val="20"/>
          <w:lang w:val="es-ES"/>
        </w:rPr>
        <w:t xml:space="preserve"> y </w:t>
      </w:r>
      <w:r w:rsidR="0011524E">
        <w:rPr>
          <w:rFonts w:asciiTheme="majorHAnsi" w:eastAsia="SimSun" w:hAnsiTheme="majorHAnsi"/>
          <w:sz w:val="20"/>
          <w:szCs w:val="20"/>
          <w:lang w:val="es-ES"/>
        </w:rPr>
        <w:t>solicitó que éste no se llevara a cabo</w:t>
      </w:r>
      <w:r>
        <w:rPr>
          <w:rFonts w:asciiTheme="majorHAnsi" w:eastAsia="SimSun" w:hAnsiTheme="majorHAnsi"/>
          <w:sz w:val="20"/>
          <w:szCs w:val="20"/>
          <w:lang w:val="es-ES"/>
        </w:rPr>
        <w:t xml:space="preserve">. </w:t>
      </w:r>
      <w:r w:rsidR="00DE6E7C" w:rsidRPr="0043447A">
        <w:rPr>
          <w:rFonts w:asciiTheme="majorHAnsi" w:eastAsia="SimSun" w:hAnsiTheme="majorHAnsi"/>
          <w:sz w:val="20"/>
          <w:szCs w:val="20"/>
          <w:lang w:val="es-ES"/>
        </w:rPr>
        <w:t xml:space="preserve">Sin embargo, afirma que fue informado por SEPRONA que </w:t>
      </w:r>
      <w:r w:rsidR="0024050D" w:rsidRPr="0043447A">
        <w:rPr>
          <w:rFonts w:asciiTheme="majorHAnsi" w:eastAsia="SimSun" w:hAnsiTheme="majorHAnsi"/>
          <w:sz w:val="20"/>
          <w:szCs w:val="20"/>
          <w:lang w:val="es-ES"/>
        </w:rPr>
        <w:t>el traslado se realizaba con base en una orden judicial</w:t>
      </w:r>
      <w:r w:rsidR="00DE6E7C" w:rsidRPr="0043447A">
        <w:rPr>
          <w:rFonts w:asciiTheme="majorHAnsi" w:eastAsia="SimSun" w:hAnsiTheme="majorHAnsi"/>
          <w:sz w:val="20"/>
          <w:szCs w:val="20"/>
          <w:lang w:val="es-ES"/>
        </w:rPr>
        <w:t xml:space="preserve">. </w:t>
      </w:r>
      <w:r w:rsidR="0011524E">
        <w:rPr>
          <w:rFonts w:asciiTheme="majorHAnsi" w:eastAsia="SimSun" w:hAnsiTheme="majorHAnsi"/>
          <w:sz w:val="20"/>
          <w:szCs w:val="20"/>
          <w:lang w:val="es-ES"/>
        </w:rPr>
        <w:t>Agrega que intentó entonces enviar</w:t>
      </w:r>
      <w:r w:rsidR="0011524E" w:rsidRPr="0043447A">
        <w:rPr>
          <w:rFonts w:asciiTheme="majorHAnsi" w:eastAsia="SimSun" w:hAnsiTheme="majorHAnsi"/>
          <w:sz w:val="20"/>
          <w:szCs w:val="20"/>
          <w:lang w:val="es-ES"/>
        </w:rPr>
        <w:t xml:space="preserve"> a su hijo y a otras personas para acompañar la diligencia</w:t>
      </w:r>
      <w:r w:rsidR="0011524E">
        <w:rPr>
          <w:rFonts w:asciiTheme="majorHAnsi" w:eastAsia="SimSun" w:hAnsiTheme="majorHAnsi"/>
          <w:sz w:val="20"/>
          <w:szCs w:val="20"/>
          <w:lang w:val="es-ES"/>
        </w:rPr>
        <w:t xml:space="preserve"> pero estas personas</w:t>
      </w:r>
      <w:r w:rsidR="00DE6E7C" w:rsidRPr="0043447A">
        <w:rPr>
          <w:rFonts w:asciiTheme="majorHAnsi" w:eastAsia="SimSun" w:hAnsiTheme="majorHAnsi"/>
          <w:sz w:val="20"/>
          <w:szCs w:val="20"/>
          <w:lang w:val="es-ES"/>
        </w:rPr>
        <w:t xml:space="preserve"> fueron </w:t>
      </w:r>
      <w:r w:rsidR="0011524E" w:rsidRPr="0043447A">
        <w:rPr>
          <w:rFonts w:asciiTheme="majorHAnsi" w:eastAsia="SimSun" w:hAnsiTheme="majorHAnsi"/>
          <w:sz w:val="20"/>
          <w:szCs w:val="20"/>
          <w:lang w:val="es-ES"/>
        </w:rPr>
        <w:t>recibid</w:t>
      </w:r>
      <w:r w:rsidR="0011524E">
        <w:rPr>
          <w:rFonts w:asciiTheme="majorHAnsi" w:eastAsia="SimSun" w:hAnsiTheme="majorHAnsi"/>
          <w:sz w:val="20"/>
          <w:szCs w:val="20"/>
          <w:lang w:val="es-ES"/>
        </w:rPr>
        <w:t>a</w:t>
      </w:r>
      <w:r w:rsidR="0011524E" w:rsidRPr="0043447A">
        <w:rPr>
          <w:rFonts w:asciiTheme="majorHAnsi" w:eastAsia="SimSun" w:hAnsiTheme="majorHAnsi"/>
          <w:sz w:val="20"/>
          <w:szCs w:val="20"/>
          <w:lang w:val="es-ES"/>
        </w:rPr>
        <w:t xml:space="preserve">s </w:t>
      </w:r>
      <w:r w:rsidR="00DE6E7C" w:rsidRPr="0043447A">
        <w:rPr>
          <w:rFonts w:asciiTheme="majorHAnsi" w:eastAsia="SimSun" w:hAnsiTheme="majorHAnsi"/>
          <w:sz w:val="20"/>
          <w:szCs w:val="20"/>
          <w:lang w:val="es-ES"/>
        </w:rPr>
        <w:t>a “balazos”.</w:t>
      </w:r>
    </w:p>
    <w:p w14:paraId="4E636D04" w14:textId="144461F1" w:rsidR="0011524E" w:rsidRPr="007E7935" w:rsidRDefault="0011524E" w:rsidP="0027361B">
      <w:pPr>
        <w:numPr>
          <w:ilvl w:val="0"/>
          <w:numId w:val="56"/>
        </w:numPr>
        <w:spacing w:after="240"/>
        <w:jc w:val="both"/>
        <w:rPr>
          <w:rFonts w:asciiTheme="majorHAnsi" w:eastAsia="SimSun" w:hAnsiTheme="majorHAnsi"/>
          <w:sz w:val="20"/>
          <w:szCs w:val="20"/>
          <w:lang w:val="es-ES"/>
        </w:rPr>
      </w:pPr>
      <w:r w:rsidRPr="007E7935">
        <w:rPr>
          <w:rFonts w:asciiTheme="majorHAnsi" w:eastAsia="SimSun" w:hAnsiTheme="majorHAnsi"/>
          <w:sz w:val="20"/>
          <w:szCs w:val="20"/>
          <w:lang w:val="es-ES"/>
        </w:rPr>
        <w:t>El peticionario afirma que, después de no haber podido impedir el depósito de sus bienes con terceros y el traslado de los mismos a un local desconocido,</w:t>
      </w:r>
      <w:r w:rsidR="0027361B" w:rsidRPr="007E7935">
        <w:rPr>
          <w:rFonts w:asciiTheme="majorHAnsi" w:eastAsia="SimSun" w:hAnsiTheme="majorHAnsi"/>
          <w:sz w:val="20"/>
          <w:szCs w:val="20"/>
          <w:lang w:val="es-ES"/>
        </w:rPr>
        <w:t xml:space="preserve"> adoptó </w:t>
      </w:r>
      <w:r w:rsidR="0049547E" w:rsidRPr="007E7935">
        <w:rPr>
          <w:rFonts w:asciiTheme="majorHAnsi" w:eastAsia="SimSun" w:hAnsiTheme="majorHAnsi"/>
          <w:sz w:val="20"/>
          <w:szCs w:val="20"/>
          <w:lang w:val="es-ES"/>
        </w:rPr>
        <w:t>varias</w:t>
      </w:r>
      <w:r w:rsidRPr="007E7935">
        <w:rPr>
          <w:rFonts w:asciiTheme="majorHAnsi" w:eastAsia="SimSun" w:hAnsiTheme="majorHAnsi"/>
          <w:sz w:val="20"/>
          <w:szCs w:val="20"/>
          <w:lang w:val="es-ES"/>
        </w:rPr>
        <w:t xml:space="preserve"> medidas </w:t>
      </w:r>
      <w:r w:rsidR="0027361B" w:rsidRPr="007E7935">
        <w:rPr>
          <w:rFonts w:asciiTheme="majorHAnsi" w:eastAsia="SimSun" w:hAnsiTheme="majorHAnsi"/>
          <w:sz w:val="20"/>
          <w:szCs w:val="20"/>
          <w:lang w:val="es-ES"/>
        </w:rPr>
        <w:t>para recuperar</w:t>
      </w:r>
      <w:r w:rsidRPr="007E7935">
        <w:rPr>
          <w:rFonts w:asciiTheme="majorHAnsi" w:eastAsia="SimSun" w:hAnsiTheme="majorHAnsi"/>
          <w:sz w:val="20"/>
          <w:szCs w:val="20"/>
          <w:lang w:val="es-ES"/>
        </w:rPr>
        <w:t>los</w:t>
      </w:r>
      <w:r w:rsidR="0027361B" w:rsidRPr="007E7935">
        <w:rPr>
          <w:rFonts w:asciiTheme="majorHAnsi" w:eastAsia="SimSun" w:hAnsiTheme="majorHAnsi"/>
          <w:sz w:val="20"/>
          <w:szCs w:val="20"/>
          <w:lang w:val="es-ES"/>
        </w:rPr>
        <w:t xml:space="preserve"> y</w:t>
      </w:r>
      <w:r w:rsidRPr="007E7935">
        <w:rPr>
          <w:rFonts w:asciiTheme="majorHAnsi" w:eastAsia="SimSun" w:hAnsiTheme="majorHAnsi"/>
          <w:sz w:val="20"/>
          <w:szCs w:val="20"/>
          <w:lang w:val="es-ES"/>
        </w:rPr>
        <w:t xml:space="preserve"> </w:t>
      </w:r>
      <w:r w:rsidR="00EC5551" w:rsidRPr="007E7935">
        <w:rPr>
          <w:rFonts w:asciiTheme="majorHAnsi" w:eastAsia="SimSun" w:hAnsiTheme="majorHAnsi"/>
          <w:sz w:val="20"/>
          <w:szCs w:val="20"/>
          <w:lang w:val="es-ES"/>
        </w:rPr>
        <w:t>para solicitar que</w:t>
      </w:r>
      <w:r w:rsidR="0027361B" w:rsidRPr="007E7935">
        <w:rPr>
          <w:rFonts w:asciiTheme="majorHAnsi" w:eastAsia="SimSun" w:hAnsiTheme="majorHAnsi"/>
          <w:sz w:val="20"/>
          <w:szCs w:val="20"/>
          <w:lang w:val="es-ES"/>
        </w:rPr>
        <w:t xml:space="preserve"> los </w:t>
      </w:r>
      <w:r w:rsidR="0049547E" w:rsidRPr="007E7935">
        <w:rPr>
          <w:rFonts w:asciiTheme="majorHAnsi" w:eastAsia="SimSun" w:hAnsiTheme="majorHAnsi"/>
          <w:sz w:val="20"/>
          <w:szCs w:val="20"/>
          <w:lang w:val="es-ES"/>
        </w:rPr>
        <w:t xml:space="preserve">agentes públicos </w:t>
      </w:r>
      <w:r w:rsidR="00EC5551" w:rsidRPr="007E7935">
        <w:rPr>
          <w:rFonts w:asciiTheme="majorHAnsi" w:eastAsia="SimSun" w:hAnsiTheme="majorHAnsi"/>
          <w:sz w:val="20"/>
          <w:szCs w:val="20"/>
          <w:lang w:val="es-ES"/>
        </w:rPr>
        <w:t>r</w:t>
      </w:r>
      <w:r w:rsidR="007E7935" w:rsidRPr="007E7935">
        <w:rPr>
          <w:rFonts w:asciiTheme="majorHAnsi" w:eastAsia="SimSun" w:hAnsiTheme="majorHAnsi"/>
          <w:sz w:val="20"/>
          <w:szCs w:val="20"/>
          <w:lang w:val="es-ES"/>
        </w:rPr>
        <w:t xml:space="preserve">esponsables por el depósito ilegal </w:t>
      </w:r>
      <w:r w:rsidR="007E7935">
        <w:rPr>
          <w:rFonts w:asciiTheme="majorHAnsi" w:eastAsia="SimSun" w:hAnsiTheme="majorHAnsi"/>
          <w:sz w:val="20"/>
          <w:szCs w:val="20"/>
          <w:lang w:val="es-ES"/>
        </w:rPr>
        <w:t xml:space="preserve">y de los bienes y los terceros que habían quedado con </w:t>
      </w:r>
      <w:r w:rsidR="00684978">
        <w:rPr>
          <w:rFonts w:asciiTheme="majorHAnsi" w:eastAsia="SimSun" w:hAnsiTheme="majorHAnsi"/>
          <w:sz w:val="20"/>
          <w:szCs w:val="20"/>
          <w:lang w:val="es-ES"/>
        </w:rPr>
        <w:t>los mismos</w:t>
      </w:r>
      <w:r w:rsidR="007E7935">
        <w:rPr>
          <w:rFonts w:asciiTheme="majorHAnsi" w:eastAsia="SimSun" w:hAnsiTheme="majorHAnsi"/>
          <w:sz w:val="20"/>
          <w:szCs w:val="20"/>
          <w:lang w:val="es-ES"/>
        </w:rPr>
        <w:t xml:space="preserve"> </w:t>
      </w:r>
      <w:r w:rsidR="007E7935" w:rsidRPr="007E7935">
        <w:rPr>
          <w:rFonts w:asciiTheme="majorHAnsi" w:eastAsia="SimSun" w:hAnsiTheme="majorHAnsi"/>
          <w:sz w:val="20"/>
          <w:szCs w:val="20"/>
          <w:lang w:val="es-ES"/>
        </w:rPr>
        <w:t>fueran responsabilizados</w:t>
      </w:r>
      <w:r w:rsidR="0027361B" w:rsidRPr="007E7935">
        <w:rPr>
          <w:rFonts w:asciiTheme="majorHAnsi" w:eastAsia="SimSun" w:hAnsiTheme="majorHAnsi"/>
          <w:sz w:val="20"/>
          <w:szCs w:val="20"/>
          <w:lang w:val="es-ES"/>
        </w:rPr>
        <w:t xml:space="preserve">. </w:t>
      </w:r>
    </w:p>
    <w:p w14:paraId="784E45D5" w14:textId="444FBE16" w:rsidR="00772718" w:rsidRPr="0027361B" w:rsidRDefault="0049547E" w:rsidP="0027361B">
      <w:pPr>
        <w:numPr>
          <w:ilvl w:val="0"/>
          <w:numId w:val="56"/>
        </w:numPr>
        <w:spacing w:after="240"/>
        <w:jc w:val="both"/>
        <w:rPr>
          <w:rFonts w:asciiTheme="majorHAnsi" w:eastAsia="SimSun" w:hAnsiTheme="majorHAnsi"/>
          <w:sz w:val="20"/>
          <w:szCs w:val="20"/>
          <w:lang w:val="es-ES"/>
        </w:rPr>
      </w:pPr>
      <w:r>
        <w:rPr>
          <w:rFonts w:asciiTheme="majorHAnsi" w:eastAsia="SimSun" w:hAnsiTheme="majorHAnsi"/>
          <w:sz w:val="20"/>
          <w:szCs w:val="20"/>
          <w:lang w:val="es-ES"/>
        </w:rPr>
        <w:t xml:space="preserve">En ese sentido, </w:t>
      </w:r>
      <w:r w:rsidR="0027361B">
        <w:rPr>
          <w:rFonts w:asciiTheme="majorHAnsi" w:eastAsia="SimSun" w:hAnsiTheme="majorHAnsi"/>
          <w:sz w:val="20"/>
          <w:szCs w:val="20"/>
          <w:lang w:val="es-ES"/>
        </w:rPr>
        <w:t>i</w:t>
      </w:r>
      <w:r w:rsidR="00A47EB0" w:rsidRPr="0027361B">
        <w:rPr>
          <w:rFonts w:asciiTheme="majorHAnsi" w:eastAsia="SimSun" w:hAnsiTheme="majorHAnsi"/>
          <w:sz w:val="20"/>
          <w:szCs w:val="20"/>
          <w:lang w:val="es-ES"/>
        </w:rPr>
        <w:t>ndica que</w:t>
      </w:r>
      <w:r w:rsidR="00490689" w:rsidRPr="0027361B">
        <w:rPr>
          <w:rFonts w:asciiTheme="majorHAnsi" w:eastAsia="SimSun" w:hAnsiTheme="majorHAnsi"/>
          <w:sz w:val="20"/>
          <w:szCs w:val="20"/>
          <w:lang w:val="es-ES"/>
        </w:rPr>
        <w:t xml:space="preserve"> </w:t>
      </w:r>
      <w:r>
        <w:rPr>
          <w:rFonts w:asciiTheme="majorHAnsi" w:eastAsia="SimSun" w:hAnsiTheme="majorHAnsi"/>
          <w:sz w:val="20"/>
          <w:szCs w:val="20"/>
          <w:lang w:val="es-ES"/>
        </w:rPr>
        <w:t xml:space="preserve">primero </w:t>
      </w:r>
      <w:r w:rsidR="00A47EB0" w:rsidRPr="0027361B">
        <w:rPr>
          <w:rFonts w:asciiTheme="majorHAnsi" w:eastAsia="SimSun" w:hAnsiTheme="majorHAnsi"/>
          <w:sz w:val="20"/>
          <w:szCs w:val="20"/>
          <w:lang w:val="es-ES"/>
        </w:rPr>
        <w:t xml:space="preserve">presentó una denuncia en contra del fiscal auxiliar del Ministerio Público a cargo de </w:t>
      </w:r>
      <w:r w:rsidR="00B74472">
        <w:rPr>
          <w:rFonts w:asciiTheme="majorHAnsi" w:eastAsia="SimSun" w:hAnsiTheme="majorHAnsi"/>
          <w:sz w:val="20"/>
          <w:szCs w:val="20"/>
          <w:lang w:val="es-ES"/>
        </w:rPr>
        <w:t>la</w:t>
      </w:r>
      <w:r w:rsidR="00B74472" w:rsidRPr="00105E26">
        <w:rPr>
          <w:rFonts w:asciiTheme="majorHAnsi" w:eastAsia="SimSun" w:hAnsiTheme="majorHAnsi"/>
          <w:sz w:val="20"/>
          <w:szCs w:val="20"/>
          <w:lang w:val="es-ES"/>
        </w:rPr>
        <w:t xml:space="preserve"> </w:t>
      </w:r>
      <w:r w:rsidR="00A47EB0" w:rsidRPr="00105E26">
        <w:rPr>
          <w:rFonts w:asciiTheme="majorHAnsi" w:eastAsia="SimSun" w:hAnsiTheme="majorHAnsi"/>
          <w:sz w:val="20"/>
          <w:szCs w:val="20"/>
          <w:lang w:val="es-ES"/>
        </w:rPr>
        <w:t>persecución penal</w:t>
      </w:r>
      <w:r w:rsidR="00B74472">
        <w:rPr>
          <w:rFonts w:asciiTheme="majorHAnsi" w:eastAsia="SimSun" w:hAnsiTheme="majorHAnsi"/>
          <w:sz w:val="20"/>
          <w:szCs w:val="20"/>
          <w:lang w:val="es-ES"/>
        </w:rPr>
        <w:t xml:space="preserve"> instaurada contra los comuneros</w:t>
      </w:r>
      <w:r w:rsidR="00A47D34" w:rsidRPr="00105E26">
        <w:rPr>
          <w:rFonts w:asciiTheme="majorHAnsi" w:eastAsia="SimSun" w:hAnsiTheme="majorHAnsi"/>
          <w:sz w:val="20"/>
          <w:szCs w:val="20"/>
          <w:lang w:val="es-ES"/>
        </w:rPr>
        <w:t>, el señor Victor Hugo Rosales (en adelante, “el señor Rosales”),</w:t>
      </w:r>
      <w:r w:rsidR="00A47EB0" w:rsidRPr="00105E26">
        <w:rPr>
          <w:rFonts w:asciiTheme="majorHAnsi" w:eastAsia="SimSun" w:hAnsiTheme="majorHAnsi"/>
          <w:sz w:val="20"/>
          <w:szCs w:val="20"/>
          <w:lang w:val="es-ES"/>
        </w:rPr>
        <w:t xml:space="preserve"> por entender que su</w:t>
      </w:r>
      <w:r w:rsidR="00E86330" w:rsidRPr="00105E26">
        <w:rPr>
          <w:rFonts w:asciiTheme="majorHAnsi" w:eastAsia="SimSun" w:hAnsiTheme="majorHAnsi"/>
          <w:sz w:val="20"/>
          <w:szCs w:val="20"/>
          <w:lang w:val="es-ES"/>
        </w:rPr>
        <w:t xml:space="preserve"> actuación </w:t>
      </w:r>
      <w:r w:rsidR="00A47EB0" w:rsidRPr="00105E26">
        <w:rPr>
          <w:rFonts w:asciiTheme="majorHAnsi" w:eastAsia="SimSun" w:hAnsiTheme="majorHAnsi"/>
          <w:sz w:val="20"/>
          <w:szCs w:val="20"/>
          <w:lang w:val="es-ES"/>
        </w:rPr>
        <w:t>había sido</w:t>
      </w:r>
      <w:r w:rsidR="00490689" w:rsidRPr="00105E26">
        <w:rPr>
          <w:rFonts w:asciiTheme="majorHAnsi" w:eastAsia="SimSun" w:hAnsiTheme="majorHAnsi"/>
          <w:sz w:val="20"/>
          <w:szCs w:val="20"/>
          <w:lang w:val="es-ES"/>
        </w:rPr>
        <w:t xml:space="preserve"> ilegal. </w:t>
      </w:r>
      <w:r w:rsidR="00C94532" w:rsidRPr="00987D8E">
        <w:rPr>
          <w:rFonts w:asciiTheme="majorHAnsi" w:eastAsia="SimSun" w:hAnsiTheme="majorHAnsi"/>
          <w:sz w:val="20"/>
          <w:szCs w:val="20"/>
          <w:lang w:val="es-ES"/>
        </w:rPr>
        <w:t xml:space="preserve">Indica que </w:t>
      </w:r>
      <w:r w:rsidR="00772718" w:rsidRPr="00987D8E">
        <w:rPr>
          <w:rFonts w:asciiTheme="majorHAnsi" w:eastAsia="SimSun" w:hAnsiTheme="majorHAnsi"/>
          <w:sz w:val="20"/>
          <w:szCs w:val="20"/>
          <w:lang w:val="es-ES"/>
        </w:rPr>
        <w:t xml:space="preserve">un informe </w:t>
      </w:r>
      <w:r w:rsidR="0050229B" w:rsidRPr="00987D8E">
        <w:rPr>
          <w:rFonts w:asciiTheme="majorHAnsi" w:eastAsia="SimSun" w:hAnsiTheme="majorHAnsi"/>
          <w:sz w:val="20"/>
          <w:szCs w:val="20"/>
          <w:lang w:val="es-ES"/>
        </w:rPr>
        <w:t xml:space="preserve">con fecha de </w:t>
      </w:r>
      <w:r w:rsidR="00772718" w:rsidRPr="00987D8E">
        <w:rPr>
          <w:rFonts w:asciiTheme="majorHAnsi" w:eastAsia="SimSun" w:hAnsiTheme="majorHAnsi"/>
          <w:sz w:val="20"/>
          <w:szCs w:val="20"/>
          <w:lang w:val="es-ES"/>
        </w:rPr>
        <w:t>6 de octubre de 2004</w:t>
      </w:r>
      <w:r w:rsidR="0050229B" w:rsidRPr="00987D8E">
        <w:rPr>
          <w:rFonts w:asciiTheme="majorHAnsi" w:eastAsia="SimSun" w:hAnsiTheme="majorHAnsi"/>
          <w:sz w:val="20"/>
          <w:szCs w:val="20"/>
          <w:lang w:val="es-ES"/>
        </w:rPr>
        <w:t>, elaborado</w:t>
      </w:r>
      <w:r w:rsidR="00772718" w:rsidRPr="00987D8E">
        <w:rPr>
          <w:rFonts w:asciiTheme="majorHAnsi" w:eastAsia="SimSun" w:hAnsiTheme="majorHAnsi"/>
          <w:sz w:val="20"/>
          <w:szCs w:val="20"/>
          <w:lang w:val="es-ES"/>
        </w:rPr>
        <w:t xml:space="preserve"> por la Supervisora Auxiliar del Ministerio Público</w:t>
      </w:r>
      <w:r w:rsidR="0050229B" w:rsidRPr="00D04E49">
        <w:rPr>
          <w:rFonts w:asciiTheme="majorHAnsi" w:eastAsia="SimSun" w:hAnsiTheme="majorHAnsi"/>
          <w:sz w:val="20"/>
          <w:szCs w:val="20"/>
          <w:lang w:val="es-ES"/>
        </w:rPr>
        <w:t>,</w:t>
      </w:r>
      <w:r w:rsidR="00772718" w:rsidRPr="00D04E49">
        <w:rPr>
          <w:rFonts w:asciiTheme="majorHAnsi" w:eastAsia="SimSun" w:hAnsiTheme="majorHAnsi"/>
          <w:sz w:val="20"/>
          <w:szCs w:val="20"/>
          <w:lang w:val="es-ES"/>
        </w:rPr>
        <w:t xml:space="preserve"> </w:t>
      </w:r>
      <w:r w:rsidR="00B21AB7" w:rsidRPr="00D04E49">
        <w:rPr>
          <w:rFonts w:asciiTheme="majorHAnsi" w:eastAsia="SimSun" w:hAnsiTheme="majorHAnsi"/>
          <w:sz w:val="20"/>
          <w:szCs w:val="20"/>
          <w:lang w:val="es-ES"/>
        </w:rPr>
        <w:t>confirma</w:t>
      </w:r>
      <w:r w:rsidR="002C70F8" w:rsidRPr="00D04E49">
        <w:rPr>
          <w:rFonts w:asciiTheme="majorHAnsi" w:eastAsia="SimSun" w:hAnsiTheme="majorHAnsi"/>
          <w:sz w:val="20"/>
          <w:szCs w:val="20"/>
          <w:lang w:val="es-ES"/>
        </w:rPr>
        <w:t xml:space="preserve"> que el </w:t>
      </w:r>
      <w:r w:rsidR="00772718" w:rsidRPr="00D04E49">
        <w:rPr>
          <w:rFonts w:asciiTheme="majorHAnsi" w:eastAsia="SimSun" w:hAnsiTheme="majorHAnsi"/>
          <w:sz w:val="20"/>
          <w:szCs w:val="20"/>
          <w:lang w:val="es-ES"/>
        </w:rPr>
        <w:t>señor Rosales había incurrido en falta administrativa</w:t>
      </w:r>
      <w:r w:rsidR="0050229B" w:rsidRPr="0011524E">
        <w:rPr>
          <w:rFonts w:asciiTheme="majorHAnsi" w:eastAsia="SimSun" w:hAnsiTheme="majorHAnsi"/>
          <w:sz w:val="20"/>
          <w:szCs w:val="20"/>
          <w:lang w:val="es-ES"/>
        </w:rPr>
        <w:t>: i)</w:t>
      </w:r>
      <w:r w:rsidR="00976CDD" w:rsidRPr="0011524E">
        <w:rPr>
          <w:rFonts w:asciiTheme="majorHAnsi" w:eastAsia="SimSun" w:hAnsiTheme="majorHAnsi"/>
          <w:sz w:val="20"/>
          <w:szCs w:val="20"/>
          <w:lang w:val="es-ES"/>
        </w:rPr>
        <w:t xml:space="preserve"> por</w:t>
      </w:r>
      <w:r w:rsidR="00772718" w:rsidRPr="0011524E">
        <w:rPr>
          <w:rFonts w:asciiTheme="majorHAnsi" w:eastAsia="SimSun" w:hAnsiTheme="majorHAnsi"/>
          <w:sz w:val="20"/>
          <w:szCs w:val="20"/>
          <w:lang w:val="es-ES"/>
        </w:rPr>
        <w:t xml:space="preserve"> </w:t>
      </w:r>
      <w:r w:rsidR="002C70F8" w:rsidRPr="0011524E">
        <w:rPr>
          <w:rFonts w:asciiTheme="majorHAnsi" w:eastAsia="SimSun" w:hAnsiTheme="majorHAnsi"/>
          <w:sz w:val="20"/>
          <w:szCs w:val="20"/>
          <w:lang w:val="es-ES"/>
        </w:rPr>
        <w:t xml:space="preserve">haber iniciado la persecución penal y solicitado la captura de los </w:t>
      </w:r>
      <w:r w:rsidR="0027361B">
        <w:rPr>
          <w:rFonts w:asciiTheme="majorHAnsi" w:eastAsia="SimSun" w:hAnsiTheme="majorHAnsi"/>
          <w:sz w:val="20"/>
          <w:szCs w:val="20"/>
          <w:lang w:val="es-ES"/>
        </w:rPr>
        <w:t>comuneros</w:t>
      </w:r>
      <w:r w:rsidR="0027361B" w:rsidRPr="0027361B">
        <w:rPr>
          <w:rFonts w:asciiTheme="majorHAnsi" w:eastAsia="SimSun" w:hAnsiTheme="majorHAnsi"/>
          <w:sz w:val="20"/>
          <w:szCs w:val="20"/>
          <w:lang w:val="es-ES"/>
        </w:rPr>
        <w:t xml:space="preserve"> </w:t>
      </w:r>
      <w:r w:rsidR="002C70F8" w:rsidRPr="0027361B">
        <w:rPr>
          <w:rFonts w:asciiTheme="majorHAnsi" w:eastAsia="SimSun" w:hAnsiTheme="majorHAnsi"/>
          <w:sz w:val="20"/>
          <w:szCs w:val="20"/>
          <w:lang w:val="es-ES"/>
        </w:rPr>
        <w:t xml:space="preserve">sin </w:t>
      </w:r>
      <w:r w:rsidR="0050229B" w:rsidRPr="0027361B">
        <w:rPr>
          <w:rFonts w:asciiTheme="majorHAnsi" w:eastAsia="SimSun" w:hAnsiTheme="majorHAnsi"/>
          <w:sz w:val="20"/>
          <w:szCs w:val="20"/>
          <w:lang w:val="es-ES"/>
        </w:rPr>
        <w:t>haber antes investigado quien sería el propietario de la finca objeto en el proceso;</w:t>
      </w:r>
      <w:r w:rsidR="00976CDD" w:rsidRPr="0027361B">
        <w:rPr>
          <w:rFonts w:asciiTheme="majorHAnsi" w:eastAsia="SimSun" w:hAnsiTheme="majorHAnsi"/>
          <w:sz w:val="20"/>
          <w:szCs w:val="20"/>
          <w:lang w:val="es-ES"/>
        </w:rPr>
        <w:t xml:space="preserve"> y</w:t>
      </w:r>
      <w:r w:rsidR="0050229B" w:rsidRPr="0027361B">
        <w:rPr>
          <w:rFonts w:asciiTheme="majorHAnsi" w:eastAsia="SimSun" w:hAnsiTheme="majorHAnsi"/>
          <w:sz w:val="20"/>
          <w:szCs w:val="20"/>
          <w:lang w:val="es-ES"/>
        </w:rPr>
        <w:t xml:space="preserve"> ii)</w:t>
      </w:r>
      <w:r w:rsidR="00976CDD" w:rsidRPr="0027361B">
        <w:rPr>
          <w:rFonts w:asciiTheme="majorHAnsi" w:eastAsia="SimSun" w:hAnsiTheme="majorHAnsi"/>
          <w:sz w:val="20"/>
          <w:szCs w:val="20"/>
          <w:lang w:val="es-ES"/>
        </w:rPr>
        <w:t xml:space="preserve"> por haber solicitado el secuestro de los biene</w:t>
      </w:r>
      <w:r w:rsidR="00A47D34" w:rsidRPr="0027361B">
        <w:rPr>
          <w:rFonts w:asciiTheme="majorHAnsi" w:eastAsia="SimSun" w:hAnsiTheme="majorHAnsi"/>
          <w:sz w:val="20"/>
          <w:szCs w:val="20"/>
          <w:lang w:val="es-ES"/>
        </w:rPr>
        <w:t>s cuando ya existía un auto de falta de m</w:t>
      </w:r>
      <w:r w:rsidR="00976CDD" w:rsidRPr="0027361B">
        <w:rPr>
          <w:rFonts w:asciiTheme="majorHAnsi" w:eastAsia="SimSun" w:hAnsiTheme="majorHAnsi"/>
          <w:sz w:val="20"/>
          <w:szCs w:val="20"/>
          <w:lang w:val="es-ES"/>
        </w:rPr>
        <w:t>érito a favor de</w:t>
      </w:r>
      <w:r w:rsidR="0027361B">
        <w:rPr>
          <w:rFonts w:asciiTheme="majorHAnsi" w:eastAsia="SimSun" w:hAnsiTheme="majorHAnsi"/>
          <w:sz w:val="20"/>
          <w:szCs w:val="20"/>
          <w:lang w:val="es-ES"/>
        </w:rPr>
        <w:t>l comunero detenido</w:t>
      </w:r>
      <w:r w:rsidR="00976CDD" w:rsidRPr="0027361B">
        <w:rPr>
          <w:rFonts w:asciiTheme="majorHAnsi" w:eastAsia="SimSun" w:hAnsiTheme="majorHAnsi"/>
          <w:sz w:val="20"/>
          <w:szCs w:val="20"/>
          <w:lang w:val="es-ES"/>
        </w:rPr>
        <w:t xml:space="preserve">. </w:t>
      </w:r>
      <w:r w:rsidR="00A47D34" w:rsidRPr="0027361B">
        <w:rPr>
          <w:rFonts w:asciiTheme="majorHAnsi" w:eastAsia="SimSun" w:hAnsiTheme="majorHAnsi"/>
          <w:sz w:val="20"/>
          <w:szCs w:val="20"/>
          <w:lang w:val="es-ES"/>
        </w:rPr>
        <w:t>Alega</w:t>
      </w:r>
      <w:r w:rsidR="00976CDD" w:rsidRPr="0027361B">
        <w:rPr>
          <w:rFonts w:asciiTheme="majorHAnsi" w:eastAsia="SimSun" w:hAnsiTheme="majorHAnsi"/>
          <w:sz w:val="20"/>
          <w:szCs w:val="20"/>
          <w:lang w:val="es-ES"/>
        </w:rPr>
        <w:t xml:space="preserve"> que la Supervisora Auxiliar recomendó la apertura de proceso administrativo en contra del señor Rosales </w:t>
      </w:r>
      <w:r w:rsidR="00C857C3" w:rsidRPr="0027361B">
        <w:rPr>
          <w:rFonts w:asciiTheme="majorHAnsi" w:eastAsia="SimSun" w:hAnsiTheme="majorHAnsi"/>
          <w:sz w:val="20"/>
          <w:szCs w:val="20"/>
          <w:lang w:val="es-ES"/>
        </w:rPr>
        <w:t xml:space="preserve">y su jefe superior </w:t>
      </w:r>
      <w:r w:rsidR="00A47D34" w:rsidRPr="0027361B">
        <w:rPr>
          <w:rFonts w:asciiTheme="majorHAnsi" w:eastAsia="SimSun" w:hAnsiTheme="majorHAnsi"/>
          <w:sz w:val="20"/>
          <w:szCs w:val="20"/>
          <w:lang w:val="es-ES"/>
        </w:rPr>
        <w:t>pero</w:t>
      </w:r>
      <w:r w:rsidR="00D97632" w:rsidRPr="0027361B">
        <w:rPr>
          <w:rFonts w:asciiTheme="majorHAnsi" w:eastAsia="SimSun" w:hAnsiTheme="majorHAnsi"/>
          <w:sz w:val="20"/>
          <w:szCs w:val="20"/>
          <w:lang w:val="es-ES"/>
        </w:rPr>
        <w:t xml:space="preserve"> </w:t>
      </w:r>
      <w:r w:rsidR="00A47D34" w:rsidRPr="0027361B">
        <w:rPr>
          <w:rFonts w:asciiTheme="majorHAnsi" w:eastAsia="SimSun" w:hAnsiTheme="majorHAnsi"/>
          <w:sz w:val="20"/>
          <w:szCs w:val="20"/>
          <w:lang w:val="es-ES"/>
        </w:rPr>
        <w:t xml:space="preserve">que </w:t>
      </w:r>
      <w:r w:rsidR="00D97632" w:rsidRPr="0027361B">
        <w:rPr>
          <w:rFonts w:asciiTheme="majorHAnsi" w:eastAsia="SimSun" w:hAnsiTheme="majorHAnsi"/>
          <w:sz w:val="20"/>
          <w:szCs w:val="20"/>
          <w:lang w:val="es-ES"/>
        </w:rPr>
        <w:t>ninguna sanción</w:t>
      </w:r>
      <w:r w:rsidR="00A47D34" w:rsidRPr="0027361B">
        <w:rPr>
          <w:rFonts w:asciiTheme="majorHAnsi" w:eastAsia="SimSun" w:hAnsiTheme="majorHAnsi"/>
          <w:sz w:val="20"/>
          <w:szCs w:val="20"/>
          <w:lang w:val="es-ES"/>
        </w:rPr>
        <w:t xml:space="preserve"> les</w:t>
      </w:r>
      <w:r w:rsidR="00D97632" w:rsidRPr="0027361B">
        <w:rPr>
          <w:rFonts w:asciiTheme="majorHAnsi" w:eastAsia="SimSun" w:hAnsiTheme="majorHAnsi"/>
          <w:sz w:val="20"/>
          <w:szCs w:val="20"/>
          <w:lang w:val="es-ES"/>
        </w:rPr>
        <w:t xml:space="preserve"> fue aplicada.</w:t>
      </w:r>
    </w:p>
    <w:p w14:paraId="6E34B023" w14:textId="74A487B2" w:rsidR="001331F0" w:rsidRPr="00B21AB7" w:rsidRDefault="0027361B" w:rsidP="00B21AB7">
      <w:pPr>
        <w:numPr>
          <w:ilvl w:val="0"/>
          <w:numId w:val="56"/>
        </w:numPr>
        <w:spacing w:after="240"/>
        <w:jc w:val="both"/>
        <w:rPr>
          <w:rFonts w:asciiTheme="majorHAnsi" w:eastAsia="SimSun" w:hAnsiTheme="majorHAnsi"/>
          <w:sz w:val="20"/>
          <w:szCs w:val="20"/>
          <w:lang w:val="es-ES"/>
        </w:rPr>
      </w:pPr>
      <w:r>
        <w:rPr>
          <w:rFonts w:asciiTheme="majorHAnsi" w:eastAsia="SimSun" w:hAnsiTheme="majorHAnsi"/>
          <w:sz w:val="20"/>
          <w:szCs w:val="20"/>
          <w:lang w:val="es-ES"/>
        </w:rPr>
        <w:lastRenderedPageBreak/>
        <w:t>En segundo lugar</w:t>
      </w:r>
      <w:r w:rsidR="00A47EB0">
        <w:rPr>
          <w:rFonts w:asciiTheme="majorHAnsi" w:eastAsia="SimSun" w:hAnsiTheme="majorHAnsi"/>
          <w:sz w:val="20"/>
          <w:szCs w:val="20"/>
          <w:lang w:val="es-ES"/>
        </w:rPr>
        <w:t xml:space="preserve">, </w:t>
      </w:r>
      <w:r w:rsidR="008F3665">
        <w:rPr>
          <w:rFonts w:asciiTheme="majorHAnsi" w:eastAsia="SimSun" w:hAnsiTheme="majorHAnsi"/>
          <w:sz w:val="20"/>
          <w:szCs w:val="20"/>
          <w:lang w:val="es-ES"/>
        </w:rPr>
        <w:t xml:space="preserve">indica haber solicitado al Juzgado de Peten la devolución de sus bienes. En ese sentido, </w:t>
      </w:r>
      <w:r w:rsidR="00A47EB0">
        <w:rPr>
          <w:rFonts w:asciiTheme="majorHAnsi" w:eastAsia="SimSun" w:hAnsiTheme="majorHAnsi"/>
          <w:sz w:val="20"/>
          <w:szCs w:val="20"/>
          <w:lang w:val="es-ES"/>
        </w:rPr>
        <w:t xml:space="preserve">indica haber </w:t>
      </w:r>
      <w:r w:rsidR="00B21AB7">
        <w:rPr>
          <w:rFonts w:asciiTheme="majorHAnsi" w:eastAsia="SimSun" w:hAnsiTheme="majorHAnsi"/>
          <w:sz w:val="20"/>
          <w:szCs w:val="20"/>
          <w:lang w:val="es-ES"/>
        </w:rPr>
        <w:t xml:space="preserve">informado </w:t>
      </w:r>
      <w:r w:rsidR="0024050D">
        <w:rPr>
          <w:rFonts w:asciiTheme="majorHAnsi" w:eastAsia="SimSun" w:hAnsiTheme="majorHAnsi"/>
          <w:sz w:val="20"/>
          <w:szCs w:val="20"/>
          <w:lang w:val="es-ES"/>
        </w:rPr>
        <w:t>a</w:t>
      </w:r>
      <w:r w:rsidR="00B21AB7">
        <w:rPr>
          <w:rFonts w:asciiTheme="majorHAnsi" w:eastAsia="SimSun" w:hAnsiTheme="majorHAnsi"/>
          <w:sz w:val="20"/>
          <w:szCs w:val="20"/>
          <w:lang w:val="es-ES"/>
        </w:rPr>
        <w:t>l</w:t>
      </w:r>
      <w:r w:rsidR="00A47EB0">
        <w:rPr>
          <w:rFonts w:asciiTheme="majorHAnsi" w:eastAsia="SimSun" w:hAnsiTheme="majorHAnsi"/>
          <w:sz w:val="20"/>
          <w:szCs w:val="20"/>
          <w:lang w:val="es-ES"/>
        </w:rPr>
        <w:t xml:space="preserve"> Juzgado de Peten </w:t>
      </w:r>
      <w:r w:rsidR="00B21AB7">
        <w:rPr>
          <w:rFonts w:asciiTheme="majorHAnsi" w:eastAsia="SimSun" w:hAnsiTheme="majorHAnsi"/>
          <w:sz w:val="20"/>
          <w:szCs w:val="20"/>
          <w:lang w:val="es-ES"/>
        </w:rPr>
        <w:t>en septiembre</w:t>
      </w:r>
      <w:r w:rsidR="00A47EB0">
        <w:rPr>
          <w:rFonts w:asciiTheme="majorHAnsi" w:eastAsia="SimSun" w:hAnsiTheme="majorHAnsi"/>
          <w:sz w:val="20"/>
          <w:szCs w:val="20"/>
          <w:lang w:val="es-ES"/>
        </w:rPr>
        <w:t xml:space="preserve"> de 2004</w:t>
      </w:r>
      <w:r w:rsidR="0065524A">
        <w:rPr>
          <w:rFonts w:asciiTheme="majorHAnsi" w:eastAsia="SimSun" w:hAnsiTheme="majorHAnsi"/>
          <w:sz w:val="20"/>
          <w:szCs w:val="20"/>
          <w:lang w:val="es-ES"/>
        </w:rPr>
        <w:t xml:space="preserve"> que la madera</w:t>
      </w:r>
      <w:r w:rsidR="00A47EB0">
        <w:rPr>
          <w:rFonts w:asciiTheme="majorHAnsi" w:eastAsia="SimSun" w:hAnsiTheme="majorHAnsi"/>
          <w:sz w:val="20"/>
          <w:szCs w:val="20"/>
          <w:lang w:val="es-ES"/>
        </w:rPr>
        <w:t xml:space="preserve"> incautada</w:t>
      </w:r>
      <w:r w:rsidR="0065524A">
        <w:rPr>
          <w:rFonts w:asciiTheme="majorHAnsi" w:eastAsia="SimSun" w:hAnsiTheme="majorHAnsi"/>
          <w:sz w:val="20"/>
          <w:szCs w:val="20"/>
          <w:lang w:val="es-ES"/>
        </w:rPr>
        <w:t xml:space="preserve"> había sido talada de forma legal y </w:t>
      </w:r>
      <w:r w:rsidR="00105E26">
        <w:rPr>
          <w:rFonts w:asciiTheme="majorHAnsi" w:eastAsia="SimSun" w:hAnsiTheme="majorHAnsi"/>
          <w:sz w:val="20"/>
          <w:szCs w:val="20"/>
          <w:lang w:val="es-ES"/>
        </w:rPr>
        <w:t xml:space="preserve">solicitado </w:t>
      </w:r>
      <w:r w:rsidR="0065524A">
        <w:rPr>
          <w:rFonts w:asciiTheme="majorHAnsi" w:eastAsia="SimSun" w:hAnsiTheme="majorHAnsi"/>
          <w:sz w:val="20"/>
          <w:szCs w:val="20"/>
          <w:lang w:val="es-ES"/>
        </w:rPr>
        <w:t xml:space="preserve">que se le </w:t>
      </w:r>
      <w:r w:rsidR="00E61003">
        <w:rPr>
          <w:rFonts w:asciiTheme="majorHAnsi" w:eastAsia="SimSun" w:hAnsiTheme="majorHAnsi"/>
          <w:sz w:val="20"/>
          <w:szCs w:val="20"/>
          <w:lang w:val="es-ES"/>
        </w:rPr>
        <w:t xml:space="preserve">devolviera </w:t>
      </w:r>
      <w:r w:rsidR="00A47EB0">
        <w:rPr>
          <w:rFonts w:asciiTheme="majorHAnsi" w:eastAsia="SimSun" w:hAnsiTheme="majorHAnsi"/>
          <w:sz w:val="20"/>
          <w:szCs w:val="20"/>
          <w:lang w:val="es-ES"/>
        </w:rPr>
        <w:t xml:space="preserve">la madera y su aserradero. </w:t>
      </w:r>
      <w:r w:rsidR="003975F5">
        <w:rPr>
          <w:rFonts w:asciiTheme="majorHAnsi" w:eastAsia="SimSun" w:hAnsiTheme="majorHAnsi"/>
          <w:sz w:val="20"/>
          <w:szCs w:val="20"/>
          <w:lang w:val="es-ES"/>
        </w:rPr>
        <w:t xml:space="preserve">Indica que </w:t>
      </w:r>
      <w:r w:rsidR="00B74472">
        <w:rPr>
          <w:rFonts w:asciiTheme="majorHAnsi" w:eastAsia="SimSun" w:hAnsiTheme="majorHAnsi"/>
          <w:sz w:val="20"/>
          <w:szCs w:val="20"/>
          <w:lang w:val="es-ES"/>
        </w:rPr>
        <w:t>en</w:t>
      </w:r>
      <w:r w:rsidR="00236ADB">
        <w:rPr>
          <w:rFonts w:asciiTheme="majorHAnsi" w:eastAsia="SimSun" w:hAnsiTheme="majorHAnsi"/>
          <w:sz w:val="20"/>
          <w:szCs w:val="20"/>
          <w:lang w:val="es-ES"/>
        </w:rPr>
        <w:t xml:space="preserve"> octubre de 2004</w:t>
      </w:r>
      <w:r w:rsidR="00D51331">
        <w:rPr>
          <w:rFonts w:asciiTheme="majorHAnsi" w:eastAsia="SimSun" w:hAnsiTheme="majorHAnsi"/>
          <w:sz w:val="20"/>
          <w:szCs w:val="20"/>
          <w:lang w:val="es-ES"/>
        </w:rPr>
        <w:t>,</w:t>
      </w:r>
      <w:r w:rsidR="00236ADB">
        <w:rPr>
          <w:rFonts w:asciiTheme="majorHAnsi" w:eastAsia="SimSun" w:hAnsiTheme="majorHAnsi"/>
          <w:sz w:val="20"/>
          <w:szCs w:val="20"/>
          <w:lang w:val="es-ES"/>
        </w:rPr>
        <w:t xml:space="preserve"> el </w:t>
      </w:r>
      <w:r w:rsidR="00105E26">
        <w:rPr>
          <w:rFonts w:asciiTheme="majorHAnsi" w:eastAsia="SimSun" w:hAnsiTheme="majorHAnsi"/>
          <w:sz w:val="20"/>
          <w:szCs w:val="20"/>
          <w:lang w:val="es-ES"/>
        </w:rPr>
        <w:t xml:space="preserve">propio </w:t>
      </w:r>
      <w:r w:rsidR="0024050D">
        <w:rPr>
          <w:rFonts w:asciiTheme="majorHAnsi" w:eastAsia="SimSun" w:hAnsiTheme="majorHAnsi"/>
          <w:sz w:val="20"/>
          <w:szCs w:val="20"/>
          <w:lang w:val="es-ES"/>
        </w:rPr>
        <w:t>señor Valle</w:t>
      </w:r>
      <w:r w:rsidR="0065524A">
        <w:rPr>
          <w:rFonts w:asciiTheme="majorHAnsi" w:eastAsia="SimSun" w:hAnsiTheme="majorHAnsi"/>
          <w:sz w:val="20"/>
          <w:szCs w:val="20"/>
          <w:lang w:val="es-ES"/>
        </w:rPr>
        <w:t xml:space="preserve"> </w:t>
      </w:r>
      <w:r w:rsidR="00B21AB7">
        <w:rPr>
          <w:rFonts w:asciiTheme="majorHAnsi" w:eastAsia="SimSun" w:hAnsiTheme="majorHAnsi"/>
          <w:sz w:val="20"/>
          <w:szCs w:val="20"/>
          <w:lang w:val="es-ES"/>
        </w:rPr>
        <w:t>informó</w:t>
      </w:r>
      <w:r w:rsidR="00236ADB">
        <w:rPr>
          <w:rFonts w:asciiTheme="majorHAnsi" w:eastAsia="SimSun" w:hAnsiTheme="majorHAnsi"/>
          <w:sz w:val="20"/>
          <w:szCs w:val="20"/>
          <w:lang w:val="es-ES"/>
        </w:rPr>
        <w:t xml:space="preserve"> </w:t>
      </w:r>
      <w:r w:rsidR="00105E26">
        <w:rPr>
          <w:rFonts w:asciiTheme="majorHAnsi" w:eastAsia="SimSun" w:hAnsiTheme="majorHAnsi"/>
          <w:sz w:val="20"/>
          <w:szCs w:val="20"/>
          <w:lang w:val="es-ES"/>
        </w:rPr>
        <w:t xml:space="preserve">el Juzgado </w:t>
      </w:r>
      <w:r w:rsidR="00B74472">
        <w:rPr>
          <w:rFonts w:asciiTheme="majorHAnsi" w:eastAsia="SimSun" w:hAnsiTheme="majorHAnsi"/>
          <w:sz w:val="20"/>
          <w:szCs w:val="20"/>
          <w:lang w:val="es-ES"/>
        </w:rPr>
        <w:t xml:space="preserve">de Peten </w:t>
      </w:r>
      <w:r w:rsidR="00105E26">
        <w:rPr>
          <w:rFonts w:asciiTheme="majorHAnsi" w:eastAsia="SimSun" w:hAnsiTheme="majorHAnsi"/>
          <w:sz w:val="20"/>
          <w:szCs w:val="20"/>
          <w:lang w:val="es-ES"/>
        </w:rPr>
        <w:t xml:space="preserve">sobre </w:t>
      </w:r>
      <w:r w:rsidR="00236ADB">
        <w:rPr>
          <w:rFonts w:asciiTheme="majorHAnsi" w:eastAsia="SimSun" w:hAnsiTheme="majorHAnsi"/>
          <w:sz w:val="20"/>
          <w:szCs w:val="20"/>
          <w:lang w:val="es-ES"/>
        </w:rPr>
        <w:t xml:space="preserve">su renuncia y desistimiento total y expreso de las acciones penales en contra de los comuneros </w:t>
      </w:r>
      <w:r w:rsidR="00105E26">
        <w:rPr>
          <w:rFonts w:asciiTheme="majorHAnsi" w:eastAsia="SimSun" w:hAnsiTheme="majorHAnsi"/>
          <w:sz w:val="20"/>
          <w:szCs w:val="20"/>
          <w:lang w:val="es-ES"/>
        </w:rPr>
        <w:t xml:space="preserve">y </w:t>
      </w:r>
      <w:r w:rsidR="00236ADB">
        <w:rPr>
          <w:rFonts w:asciiTheme="majorHAnsi" w:eastAsia="SimSun" w:hAnsiTheme="majorHAnsi"/>
          <w:sz w:val="20"/>
          <w:szCs w:val="20"/>
          <w:lang w:val="es-ES"/>
        </w:rPr>
        <w:t xml:space="preserve">solicitó que </w:t>
      </w:r>
      <w:r w:rsidR="009A79FA">
        <w:rPr>
          <w:rFonts w:asciiTheme="majorHAnsi" w:eastAsia="SimSun" w:hAnsiTheme="majorHAnsi"/>
          <w:sz w:val="20"/>
          <w:szCs w:val="20"/>
          <w:lang w:val="es-ES"/>
        </w:rPr>
        <w:t>se devolviera</w:t>
      </w:r>
      <w:r w:rsidR="00D51331">
        <w:rPr>
          <w:rFonts w:asciiTheme="majorHAnsi" w:eastAsia="SimSun" w:hAnsiTheme="majorHAnsi"/>
          <w:sz w:val="20"/>
          <w:szCs w:val="20"/>
          <w:lang w:val="es-ES"/>
        </w:rPr>
        <w:t>n los bienes incautados a</w:t>
      </w:r>
      <w:r w:rsidR="009A79FA">
        <w:rPr>
          <w:rFonts w:asciiTheme="majorHAnsi" w:eastAsia="SimSun" w:hAnsiTheme="majorHAnsi"/>
          <w:sz w:val="20"/>
          <w:szCs w:val="20"/>
          <w:lang w:val="es-ES"/>
        </w:rPr>
        <w:t xml:space="preserve"> sus propietarios</w:t>
      </w:r>
      <w:r w:rsidR="00236ADB">
        <w:rPr>
          <w:rFonts w:asciiTheme="majorHAnsi" w:eastAsia="SimSun" w:hAnsiTheme="majorHAnsi"/>
          <w:sz w:val="20"/>
          <w:szCs w:val="20"/>
          <w:lang w:val="es-ES"/>
        </w:rPr>
        <w:t xml:space="preserve"> ya que todo no había pasado de “un mal entendido”.</w:t>
      </w:r>
      <w:r w:rsidR="00B21AB7">
        <w:rPr>
          <w:rFonts w:asciiTheme="majorHAnsi" w:eastAsia="SimSun" w:hAnsiTheme="majorHAnsi"/>
          <w:sz w:val="20"/>
          <w:szCs w:val="20"/>
          <w:lang w:val="es-ES"/>
        </w:rPr>
        <w:t xml:space="preserve"> </w:t>
      </w:r>
      <w:r w:rsidR="008E40A5" w:rsidRPr="00B21AB7">
        <w:rPr>
          <w:rFonts w:asciiTheme="majorHAnsi" w:eastAsia="SimSun" w:hAnsiTheme="majorHAnsi"/>
          <w:sz w:val="20"/>
          <w:szCs w:val="20"/>
          <w:lang w:val="es-ES"/>
        </w:rPr>
        <w:t>Indica que</w:t>
      </w:r>
      <w:r w:rsidR="00105E26">
        <w:rPr>
          <w:rFonts w:asciiTheme="majorHAnsi" w:eastAsia="SimSun" w:hAnsiTheme="majorHAnsi"/>
          <w:sz w:val="20"/>
          <w:szCs w:val="20"/>
          <w:lang w:val="es-ES"/>
        </w:rPr>
        <w:t xml:space="preserve">, después de algunas diligencias, </w:t>
      </w:r>
      <w:r w:rsidR="00DD0853" w:rsidRPr="00B21AB7">
        <w:rPr>
          <w:rFonts w:asciiTheme="majorHAnsi" w:eastAsia="SimSun" w:hAnsiTheme="majorHAnsi"/>
          <w:sz w:val="20"/>
          <w:szCs w:val="20"/>
          <w:lang w:val="es-ES"/>
        </w:rPr>
        <w:t xml:space="preserve">el </w:t>
      </w:r>
      <w:r w:rsidR="00B21AB7" w:rsidRPr="00B21AB7">
        <w:rPr>
          <w:rFonts w:asciiTheme="majorHAnsi" w:eastAsia="SimSun" w:hAnsiTheme="majorHAnsi"/>
          <w:sz w:val="20"/>
          <w:szCs w:val="20"/>
          <w:lang w:val="es-ES"/>
        </w:rPr>
        <w:t>Juzgado de Peten ordenó</w:t>
      </w:r>
      <w:r w:rsidR="008E40A5" w:rsidRPr="00B21AB7">
        <w:rPr>
          <w:rFonts w:asciiTheme="majorHAnsi" w:eastAsia="SimSun" w:hAnsiTheme="majorHAnsi"/>
          <w:sz w:val="20"/>
          <w:szCs w:val="20"/>
          <w:lang w:val="es-ES"/>
        </w:rPr>
        <w:t xml:space="preserve"> </w:t>
      </w:r>
      <w:r w:rsidR="00DD0853" w:rsidRPr="00B21AB7">
        <w:rPr>
          <w:rFonts w:asciiTheme="majorHAnsi" w:eastAsia="SimSun" w:hAnsiTheme="majorHAnsi"/>
          <w:sz w:val="20"/>
          <w:szCs w:val="20"/>
          <w:lang w:val="es-ES"/>
        </w:rPr>
        <w:t xml:space="preserve">que el aserradero móvil fuera devuelto </w:t>
      </w:r>
      <w:r w:rsidR="008E40A5" w:rsidRPr="00B21AB7">
        <w:rPr>
          <w:rFonts w:asciiTheme="majorHAnsi" w:eastAsia="SimSun" w:hAnsiTheme="majorHAnsi"/>
          <w:sz w:val="20"/>
          <w:szCs w:val="20"/>
          <w:lang w:val="es-ES"/>
        </w:rPr>
        <w:t xml:space="preserve">al </w:t>
      </w:r>
      <w:r w:rsidR="00E61003" w:rsidRPr="00B21AB7">
        <w:rPr>
          <w:rFonts w:asciiTheme="majorHAnsi" w:eastAsia="SimSun" w:hAnsiTheme="majorHAnsi"/>
          <w:sz w:val="20"/>
          <w:szCs w:val="20"/>
          <w:lang w:val="es-ES"/>
        </w:rPr>
        <w:t>peticionario</w:t>
      </w:r>
      <w:r w:rsidR="008E40A5" w:rsidRPr="00B21AB7">
        <w:rPr>
          <w:rFonts w:asciiTheme="majorHAnsi" w:eastAsia="SimSun" w:hAnsiTheme="majorHAnsi"/>
          <w:sz w:val="20"/>
          <w:szCs w:val="20"/>
          <w:lang w:val="es-ES"/>
        </w:rPr>
        <w:t xml:space="preserve"> </w:t>
      </w:r>
      <w:r w:rsidR="00D51331" w:rsidRPr="00B21AB7">
        <w:rPr>
          <w:rFonts w:asciiTheme="majorHAnsi" w:eastAsia="SimSun" w:hAnsiTheme="majorHAnsi"/>
          <w:sz w:val="20"/>
          <w:szCs w:val="20"/>
          <w:lang w:val="es-ES"/>
        </w:rPr>
        <w:t>pues</w:t>
      </w:r>
      <w:r w:rsidR="00DD0853" w:rsidRPr="00B21AB7">
        <w:rPr>
          <w:rFonts w:asciiTheme="majorHAnsi" w:eastAsia="SimSun" w:hAnsiTheme="majorHAnsi"/>
          <w:sz w:val="20"/>
          <w:szCs w:val="20"/>
          <w:lang w:val="es-ES"/>
        </w:rPr>
        <w:t xml:space="preserve"> se había acreditado en autos </w:t>
      </w:r>
      <w:r w:rsidR="00D51331" w:rsidRPr="00B21AB7">
        <w:rPr>
          <w:rFonts w:asciiTheme="majorHAnsi" w:eastAsia="SimSun" w:hAnsiTheme="majorHAnsi"/>
          <w:sz w:val="20"/>
          <w:szCs w:val="20"/>
          <w:lang w:val="es-ES"/>
        </w:rPr>
        <w:t>la</w:t>
      </w:r>
      <w:r w:rsidR="00DD0853" w:rsidRPr="00B21AB7">
        <w:rPr>
          <w:rFonts w:asciiTheme="majorHAnsi" w:eastAsia="SimSun" w:hAnsiTheme="majorHAnsi"/>
          <w:sz w:val="20"/>
          <w:szCs w:val="20"/>
          <w:lang w:val="es-ES"/>
        </w:rPr>
        <w:t xml:space="preserve"> propiedad y preexistencia del mismo y</w:t>
      </w:r>
      <w:r w:rsidR="008E40A5" w:rsidRPr="00B21AB7">
        <w:rPr>
          <w:rFonts w:asciiTheme="majorHAnsi" w:eastAsia="SimSun" w:hAnsiTheme="majorHAnsi"/>
          <w:sz w:val="20"/>
          <w:szCs w:val="20"/>
          <w:lang w:val="es-ES"/>
        </w:rPr>
        <w:t xml:space="preserve"> que</w:t>
      </w:r>
      <w:r w:rsidR="00DD0853" w:rsidRPr="00B21AB7">
        <w:rPr>
          <w:rFonts w:asciiTheme="majorHAnsi" w:eastAsia="SimSun" w:hAnsiTheme="majorHAnsi"/>
          <w:sz w:val="20"/>
          <w:szCs w:val="20"/>
          <w:lang w:val="es-ES"/>
        </w:rPr>
        <w:t xml:space="preserve"> la madera </w:t>
      </w:r>
      <w:r w:rsidR="008E40A5" w:rsidRPr="00B21AB7">
        <w:rPr>
          <w:rFonts w:asciiTheme="majorHAnsi" w:eastAsia="SimSun" w:hAnsiTheme="majorHAnsi"/>
          <w:sz w:val="20"/>
          <w:szCs w:val="20"/>
          <w:lang w:val="es-ES"/>
        </w:rPr>
        <w:t xml:space="preserve">fuera devuelta </w:t>
      </w:r>
      <w:r w:rsidR="00DD0853" w:rsidRPr="00B21AB7">
        <w:rPr>
          <w:rFonts w:asciiTheme="majorHAnsi" w:eastAsia="SimSun" w:hAnsiTheme="majorHAnsi"/>
          <w:sz w:val="20"/>
          <w:szCs w:val="20"/>
          <w:lang w:val="es-ES"/>
        </w:rPr>
        <w:t xml:space="preserve">a </w:t>
      </w:r>
      <w:r w:rsidR="00867616" w:rsidRPr="00B21AB7">
        <w:rPr>
          <w:rFonts w:asciiTheme="majorHAnsi" w:eastAsia="SimSun" w:hAnsiTheme="majorHAnsi"/>
          <w:sz w:val="20"/>
          <w:szCs w:val="20"/>
          <w:lang w:val="es-ES"/>
        </w:rPr>
        <w:t>Estéban</w:t>
      </w:r>
      <w:r w:rsidR="00DD0853" w:rsidRPr="00B21AB7">
        <w:rPr>
          <w:rFonts w:asciiTheme="majorHAnsi" w:eastAsia="SimSun" w:hAnsiTheme="majorHAnsi"/>
          <w:sz w:val="20"/>
          <w:szCs w:val="20"/>
          <w:lang w:val="es-ES"/>
        </w:rPr>
        <w:t xml:space="preserve"> Tut Tzul</w:t>
      </w:r>
      <w:r w:rsidR="00105E26">
        <w:rPr>
          <w:rFonts w:asciiTheme="majorHAnsi" w:eastAsia="SimSun" w:hAnsiTheme="majorHAnsi"/>
          <w:sz w:val="20"/>
          <w:szCs w:val="20"/>
          <w:lang w:val="es-ES"/>
        </w:rPr>
        <w:t xml:space="preserve"> (en adelante, “el señor Tut Tzul”)</w:t>
      </w:r>
      <w:r w:rsidR="00DD0853" w:rsidRPr="00B21AB7">
        <w:rPr>
          <w:rFonts w:asciiTheme="majorHAnsi" w:eastAsia="SimSun" w:hAnsiTheme="majorHAnsi"/>
          <w:sz w:val="20"/>
          <w:szCs w:val="20"/>
          <w:lang w:val="es-ES"/>
        </w:rPr>
        <w:t>, uno de los comuneros</w:t>
      </w:r>
      <w:r w:rsidR="00105E26">
        <w:rPr>
          <w:rFonts w:asciiTheme="majorHAnsi" w:eastAsia="SimSun" w:hAnsiTheme="majorHAnsi"/>
          <w:sz w:val="20"/>
          <w:szCs w:val="20"/>
          <w:lang w:val="es-ES"/>
        </w:rPr>
        <w:t xml:space="preserve"> que había vendido la madera al señor Gamarro.</w:t>
      </w:r>
      <w:r w:rsidR="001331F0" w:rsidRPr="00B21AB7">
        <w:rPr>
          <w:rFonts w:asciiTheme="majorHAnsi" w:eastAsia="SimSun" w:hAnsiTheme="majorHAnsi"/>
          <w:sz w:val="20"/>
          <w:szCs w:val="20"/>
          <w:lang w:val="es-ES"/>
        </w:rPr>
        <w:t xml:space="preserve"> </w:t>
      </w:r>
    </w:p>
    <w:p w14:paraId="6FCAA96B" w14:textId="7D04F6D1" w:rsidR="00867616" w:rsidRPr="00B74472" w:rsidRDefault="008F3665" w:rsidP="00B74472">
      <w:pPr>
        <w:numPr>
          <w:ilvl w:val="0"/>
          <w:numId w:val="56"/>
        </w:numPr>
        <w:spacing w:after="240"/>
        <w:jc w:val="both"/>
        <w:rPr>
          <w:rFonts w:asciiTheme="majorHAnsi" w:eastAsia="SimSun" w:hAnsiTheme="majorHAnsi"/>
          <w:sz w:val="20"/>
          <w:szCs w:val="20"/>
          <w:lang w:val="es-ES"/>
        </w:rPr>
      </w:pPr>
      <w:r>
        <w:rPr>
          <w:rFonts w:asciiTheme="majorHAnsi" w:eastAsia="SimSun" w:hAnsiTheme="majorHAnsi"/>
          <w:sz w:val="20"/>
          <w:szCs w:val="20"/>
          <w:lang w:val="es-ES"/>
        </w:rPr>
        <w:t>Sin embargo, s</w:t>
      </w:r>
      <w:r w:rsidR="00043E8C" w:rsidRPr="00D51331">
        <w:rPr>
          <w:rFonts w:asciiTheme="majorHAnsi" w:eastAsia="SimSun" w:hAnsiTheme="majorHAnsi"/>
          <w:sz w:val="20"/>
          <w:szCs w:val="20"/>
          <w:lang w:val="es-ES"/>
        </w:rPr>
        <w:t>eñala que el 12 de octubre de 2004</w:t>
      </w:r>
      <w:r w:rsidR="009A79FA" w:rsidRPr="00D51331">
        <w:rPr>
          <w:rFonts w:asciiTheme="majorHAnsi" w:eastAsia="SimSun" w:hAnsiTheme="majorHAnsi"/>
          <w:sz w:val="20"/>
          <w:szCs w:val="20"/>
          <w:lang w:val="es-ES"/>
        </w:rPr>
        <w:t>,</w:t>
      </w:r>
      <w:r w:rsidR="00043E8C" w:rsidRPr="00D51331">
        <w:rPr>
          <w:rFonts w:asciiTheme="majorHAnsi" w:eastAsia="SimSun" w:hAnsiTheme="majorHAnsi"/>
          <w:sz w:val="20"/>
          <w:szCs w:val="20"/>
          <w:lang w:val="es-ES"/>
        </w:rPr>
        <w:t xml:space="preserve"> la pol</w:t>
      </w:r>
      <w:r w:rsidR="009A79FA" w:rsidRPr="00D51331">
        <w:rPr>
          <w:rFonts w:asciiTheme="majorHAnsi" w:eastAsia="SimSun" w:hAnsiTheme="majorHAnsi"/>
          <w:sz w:val="20"/>
          <w:szCs w:val="20"/>
          <w:lang w:val="es-ES"/>
        </w:rPr>
        <w:t xml:space="preserve">icía informó al </w:t>
      </w:r>
      <w:r w:rsidR="00D97632">
        <w:rPr>
          <w:rFonts w:asciiTheme="majorHAnsi" w:eastAsia="SimSun" w:hAnsiTheme="majorHAnsi"/>
          <w:sz w:val="20"/>
          <w:szCs w:val="20"/>
          <w:lang w:val="es-ES"/>
        </w:rPr>
        <w:t>Juzgado de Peten</w:t>
      </w:r>
      <w:r w:rsidR="009A79FA" w:rsidRPr="00D51331">
        <w:rPr>
          <w:rFonts w:asciiTheme="majorHAnsi" w:eastAsia="SimSun" w:hAnsiTheme="majorHAnsi"/>
          <w:sz w:val="20"/>
          <w:szCs w:val="20"/>
          <w:lang w:val="es-ES"/>
        </w:rPr>
        <w:t xml:space="preserve"> que no pod</w:t>
      </w:r>
      <w:r w:rsidR="00043E8C" w:rsidRPr="00D51331">
        <w:rPr>
          <w:rFonts w:asciiTheme="majorHAnsi" w:eastAsia="SimSun" w:hAnsiTheme="majorHAnsi"/>
          <w:sz w:val="20"/>
          <w:szCs w:val="20"/>
          <w:lang w:val="es-ES"/>
        </w:rPr>
        <w:t xml:space="preserve">ía proceder con la devolución de estos bienes </w:t>
      </w:r>
      <w:r w:rsidR="00176594">
        <w:rPr>
          <w:rFonts w:asciiTheme="majorHAnsi" w:eastAsia="SimSun" w:hAnsiTheme="majorHAnsi"/>
          <w:sz w:val="20"/>
          <w:szCs w:val="20"/>
          <w:lang w:val="es-ES"/>
        </w:rPr>
        <w:t xml:space="preserve">a sus </w:t>
      </w:r>
      <w:r w:rsidR="00B21AB7">
        <w:rPr>
          <w:rFonts w:asciiTheme="majorHAnsi" w:eastAsia="SimSun" w:hAnsiTheme="majorHAnsi"/>
          <w:sz w:val="20"/>
          <w:szCs w:val="20"/>
          <w:lang w:val="es-ES"/>
        </w:rPr>
        <w:t>propietarios</w:t>
      </w:r>
      <w:r w:rsidR="00176594">
        <w:rPr>
          <w:rFonts w:asciiTheme="majorHAnsi" w:eastAsia="SimSun" w:hAnsiTheme="majorHAnsi"/>
          <w:sz w:val="20"/>
          <w:szCs w:val="20"/>
          <w:lang w:val="es-ES"/>
        </w:rPr>
        <w:t xml:space="preserve"> </w:t>
      </w:r>
      <w:r w:rsidR="00E663CC">
        <w:rPr>
          <w:rFonts w:asciiTheme="majorHAnsi" w:eastAsia="SimSun" w:hAnsiTheme="majorHAnsi"/>
          <w:sz w:val="20"/>
          <w:szCs w:val="20"/>
          <w:lang w:val="es-ES"/>
        </w:rPr>
        <w:t xml:space="preserve">pues desconocía su paradero ya </w:t>
      </w:r>
      <w:r w:rsidR="00B21AB7">
        <w:rPr>
          <w:rFonts w:asciiTheme="majorHAnsi" w:eastAsia="SimSun" w:hAnsiTheme="majorHAnsi"/>
          <w:sz w:val="20"/>
          <w:szCs w:val="20"/>
          <w:lang w:val="es-ES"/>
        </w:rPr>
        <w:t xml:space="preserve">que los bienes </w:t>
      </w:r>
      <w:r w:rsidR="00043E8C" w:rsidRPr="00D51331">
        <w:rPr>
          <w:rFonts w:asciiTheme="majorHAnsi" w:eastAsia="SimSun" w:hAnsiTheme="majorHAnsi"/>
          <w:sz w:val="20"/>
          <w:szCs w:val="20"/>
          <w:lang w:val="es-ES"/>
        </w:rPr>
        <w:t xml:space="preserve">habían quedado en la finca del </w:t>
      </w:r>
      <w:r w:rsidR="0024050D">
        <w:rPr>
          <w:rFonts w:asciiTheme="majorHAnsi" w:eastAsia="SimSun" w:hAnsiTheme="majorHAnsi"/>
          <w:sz w:val="20"/>
          <w:szCs w:val="20"/>
          <w:lang w:val="es-ES"/>
        </w:rPr>
        <w:t>señor Valle</w:t>
      </w:r>
      <w:r w:rsidR="00043E8C" w:rsidRPr="00D51331">
        <w:rPr>
          <w:rFonts w:asciiTheme="majorHAnsi" w:eastAsia="SimSun" w:hAnsiTheme="majorHAnsi"/>
          <w:sz w:val="20"/>
          <w:szCs w:val="20"/>
          <w:lang w:val="es-ES"/>
        </w:rPr>
        <w:t xml:space="preserve"> bajo el cuidado </w:t>
      </w:r>
      <w:r w:rsidR="00E663CC">
        <w:rPr>
          <w:rFonts w:asciiTheme="majorHAnsi" w:eastAsia="SimSun" w:hAnsiTheme="majorHAnsi"/>
          <w:sz w:val="20"/>
          <w:szCs w:val="20"/>
          <w:lang w:val="es-ES"/>
        </w:rPr>
        <w:t>del</w:t>
      </w:r>
      <w:r w:rsidR="00043E8C" w:rsidRPr="00D51331">
        <w:rPr>
          <w:rFonts w:asciiTheme="majorHAnsi" w:eastAsia="SimSun" w:hAnsiTheme="majorHAnsi"/>
          <w:sz w:val="20"/>
          <w:szCs w:val="20"/>
          <w:lang w:val="es-ES"/>
        </w:rPr>
        <w:t xml:space="preserve"> señor Roderico. Indica que </w:t>
      </w:r>
      <w:r w:rsidR="00176594">
        <w:rPr>
          <w:rFonts w:asciiTheme="majorHAnsi" w:eastAsia="SimSun" w:hAnsiTheme="majorHAnsi"/>
          <w:sz w:val="20"/>
          <w:szCs w:val="20"/>
          <w:lang w:val="es-ES"/>
        </w:rPr>
        <w:t>el Juzgado</w:t>
      </w:r>
      <w:r w:rsidR="007E7935">
        <w:rPr>
          <w:rFonts w:asciiTheme="majorHAnsi" w:eastAsia="SimSun" w:hAnsiTheme="majorHAnsi"/>
          <w:sz w:val="20"/>
          <w:szCs w:val="20"/>
          <w:lang w:val="es-ES"/>
        </w:rPr>
        <w:t xml:space="preserve"> de Peten</w:t>
      </w:r>
      <w:r w:rsidR="00176594">
        <w:rPr>
          <w:rFonts w:asciiTheme="majorHAnsi" w:eastAsia="SimSun" w:hAnsiTheme="majorHAnsi"/>
          <w:sz w:val="20"/>
          <w:szCs w:val="20"/>
          <w:lang w:val="es-ES"/>
        </w:rPr>
        <w:t xml:space="preserve"> entonces</w:t>
      </w:r>
      <w:r w:rsidR="004270B2">
        <w:rPr>
          <w:rFonts w:asciiTheme="majorHAnsi" w:eastAsia="SimSun" w:hAnsiTheme="majorHAnsi"/>
          <w:sz w:val="20"/>
          <w:szCs w:val="20"/>
          <w:lang w:val="es-ES"/>
        </w:rPr>
        <w:t xml:space="preserve"> </w:t>
      </w:r>
      <w:r w:rsidR="00043E8C" w:rsidRPr="00D51331">
        <w:rPr>
          <w:rFonts w:asciiTheme="majorHAnsi" w:eastAsia="SimSun" w:hAnsiTheme="majorHAnsi"/>
          <w:sz w:val="20"/>
          <w:szCs w:val="20"/>
          <w:lang w:val="es-ES"/>
        </w:rPr>
        <w:t xml:space="preserve">solicitó al </w:t>
      </w:r>
      <w:r w:rsidR="0024050D">
        <w:rPr>
          <w:rFonts w:asciiTheme="majorHAnsi" w:eastAsia="SimSun" w:hAnsiTheme="majorHAnsi"/>
          <w:sz w:val="20"/>
          <w:szCs w:val="20"/>
          <w:lang w:val="es-ES"/>
        </w:rPr>
        <w:t>señor Valle</w:t>
      </w:r>
      <w:r w:rsidR="00043E8C" w:rsidRPr="00D51331">
        <w:rPr>
          <w:rFonts w:asciiTheme="majorHAnsi" w:eastAsia="SimSun" w:hAnsiTheme="majorHAnsi"/>
          <w:sz w:val="20"/>
          <w:szCs w:val="20"/>
          <w:lang w:val="es-ES"/>
        </w:rPr>
        <w:t xml:space="preserve"> que instruyera </w:t>
      </w:r>
      <w:r w:rsidR="00D86593">
        <w:rPr>
          <w:rFonts w:asciiTheme="majorHAnsi" w:eastAsia="SimSun" w:hAnsiTheme="majorHAnsi"/>
          <w:sz w:val="20"/>
          <w:szCs w:val="20"/>
          <w:lang w:val="es-ES"/>
        </w:rPr>
        <w:t>a</w:t>
      </w:r>
      <w:r w:rsidR="009A79FA" w:rsidRPr="00D51331">
        <w:rPr>
          <w:rFonts w:asciiTheme="majorHAnsi" w:eastAsia="SimSun" w:hAnsiTheme="majorHAnsi"/>
          <w:sz w:val="20"/>
          <w:szCs w:val="20"/>
          <w:lang w:val="es-ES"/>
        </w:rPr>
        <w:t>l</w:t>
      </w:r>
      <w:r w:rsidR="00043E8C" w:rsidRPr="00D51331">
        <w:rPr>
          <w:rFonts w:asciiTheme="majorHAnsi" w:eastAsia="SimSun" w:hAnsiTheme="majorHAnsi"/>
          <w:sz w:val="20"/>
          <w:szCs w:val="20"/>
          <w:lang w:val="es-ES"/>
        </w:rPr>
        <w:t xml:space="preserve"> señor Roderico a</w:t>
      </w:r>
      <w:r w:rsidR="00E663CC">
        <w:rPr>
          <w:rFonts w:asciiTheme="majorHAnsi" w:eastAsia="SimSun" w:hAnsiTheme="majorHAnsi"/>
          <w:sz w:val="20"/>
          <w:szCs w:val="20"/>
          <w:lang w:val="es-ES"/>
        </w:rPr>
        <w:t xml:space="preserve"> devolver los refe</w:t>
      </w:r>
      <w:r w:rsidR="00176594">
        <w:rPr>
          <w:rFonts w:asciiTheme="majorHAnsi" w:eastAsia="SimSun" w:hAnsiTheme="majorHAnsi"/>
          <w:sz w:val="20"/>
          <w:szCs w:val="20"/>
          <w:lang w:val="es-ES"/>
        </w:rPr>
        <w:t>ridos bienes a sus propietarios; solicitu</w:t>
      </w:r>
      <w:r w:rsidR="00D86593">
        <w:rPr>
          <w:rFonts w:asciiTheme="majorHAnsi" w:eastAsia="SimSun" w:hAnsiTheme="majorHAnsi"/>
          <w:sz w:val="20"/>
          <w:szCs w:val="20"/>
          <w:lang w:val="es-ES"/>
        </w:rPr>
        <w:t xml:space="preserve">d rechazada y contestada </w:t>
      </w:r>
      <w:r w:rsidR="00093DCF">
        <w:rPr>
          <w:rFonts w:asciiTheme="majorHAnsi" w:eastAsia="SimSun" w:hAnsiTheme="majorHAnsi"/>
          <w:sz w:val="20"/>
          <w:szCs w:val="20"/>
          <w:lang w:val="es-ES"/>
        </w:rPr>
        <w:t xml:space="preserve">por </w:t>
      </w:r>
      <w:r w:rsidR="00D86593">
        <w:rPr>
          <w:rFonts w:asciiTheme="majorHAnsi" w:eastAsia="SimSun" w:hAnsiTheme="majorHAnsi"/>
          <w:sz w:val="20"/>
          <w:szCs w:val="20"/>
          <w:lang w:val="es-ES"/>
        </w:rPr>
        <w:t>el señor Valle</w:t>
      </w:r>
      <w:r w:rsidR="00093DCF">
        <w:rPr>
          <w:rFonts w:asciiTheme="majorHAnsi" w:eastAsia="SimSun" w:hAnsiTheme="majorHAnsi"/>
          <w:sz w:val="20"/>
          <w:szCs w:val="20"/>
          <w:lang w:val="es-ES"/>
        </w:rPr>
        <w:t xml:space="preserve"> </w:t>
      </w:r>
      <w:r w:rsidR="00093DCF" w:rsidRPr="00EC5551">
        <w:rPr>
          <w:rFonts w:asciiTheme="majorHAnsi" w:eastAsia="SimSun" w:hAnsiTheme="majorHAnsi"/>
          <w:sz w:val="20"/>
          <w:szCs w:val="20"/>
          <w:lang w:val="es-ES"/>
        </w:rPr>
        <w:t xml:space="preserve">en </w:t>
      </w:r>
      <w:r w:rsidR="00234A47" w:rsidRPr="00EC5551">
        <w:rPr>
          <w:rFonts w:asciiTheme="majorHAnsi" w:eastAsia="SimSun" w:hAnsiTheme="majorHAnsi"/>
          <w:sz w:val="20"/>
          <w:szCs w:val="20"/>
          <w:lang w:val="es-ES"/>
        </w:rPr>
        <w:t>escrito</w:t>
      </w:r>
      <w:r w:rsidR="00093DCF" w:rsidRPr="00EC5551">
        <w:rPr>
          <w:rFonts w:asciiTheme="majorHAnsi" w:eastAsia="SimSun" w:hAnsiTheme="majorHAnsi"/>
          <w:sz w:val="20"/>
          <w:szCs w:val="20"/>
          <w:lang w:val="es-ES"/>
        </w:rPr>
        <w:t xml:space="preserve"> presentado</w:t>
      </w:r>
      <w:r w:rsidR="00093DCF">
        <w:rPr>
          <w:rFonts w:asciiTheme="majorHAnsi" w:eastAsia="SimSun" w:hAnsiTheme="majorHAnsi"/>
          <w:sz w:val="20"/>
          <w:szCs w:val="20"/>
          <w:lang w:val="es-ES"/>
        </w:rPr>
        <w:t xml:space="preserve"> ante el Juzgado</w:t>
      </w:r>
      <w:r w:rsidR="00D86593">
        <w:rPr>
          <w:rFonts w:asciiTheme="majorHAnsi" w:eastAsia="SimSun" w:hAnsiTheme="majorHAnsi"/>
          <w:sz w:val="20"/>
          <w:szCs w:val="20"/>
          <w:lang w:val="es-ES"/>
        </w:rPr>
        <w:t>.</w:t>
      </w:r>
      <w:r w:rsidR="00176594">
        <w:rPr>
          <w:rFonts w:asciiTheme="majorHAnsi" w:eastAsia="SimSun" w:hAnsiTheme="majorHAnsi"/>
          <w:sz w:val="20"/>
          <w:szCs w:val="20"/>
          <w:lang w:val="es-ES"/>
        </w:rPr>
        <w:t xml:space="preserve"> </w:t>
      </w:r>
      <w:r w:rsidR="0049401E" w:rsidRPr="00B74472">
        <w:rPr>
          <w:rFonts w:asciiTheme="majorHAnsi" w:eastAsia="SimSun" w:hAnsiTheme="majorHAnsi"/>
          <w:sz w:val="20"/>
          <w:szCs w:val="20"/>
          <w:lang w:val="es-ES"/>
        </w:rPr>
        <w:t xml:space="preserve">Indica </w:t>
      </w:r>
      <w:r w:rsidR="00F87917" w:rsidRPr="00B74472">
        <w:rPr>
          <w:rFonts w:asciiTheme="majorHAnsi" w:eastAsia="SimSun" w:hAnsiTheme="majorHAnsi"/>
          <w:sz w:val="20"/>
          <w:szCs w:val="20"/>
          <w:lang w:val="es-ES"/>
        </w:rPr>
        <w:t xml:space="preserve">además </w:t>
      </w:r>
      <w:r w:rsidR="0049401E" w:rsidRPr="00B74472">
        <w:rPr>
          <w:rFonts w:asciiTheme="majorHAnsi" w:eastAsia="SimSun" w:hAnsiTheme="majorHAnsi"/>
          <w:sz w:val="20"/>
          <w:szCs w:val="20"/>
          <w:lang w:val="es-ES"/>
        </w:rPr>
        <w:t xml:space="preserve">que en noviembre de 2004 el Juzgado fue informado por </w:t>
      </w:r>
      <w:r w:rsidR="00F87917" w:rsidRPr="00B74472">
        <w:rPr>
          <w:rFonts w:asciiTheme="majorHAnsi" w:eastAsia="SimSun" w:hAnsiTheme="majorHAnsi"/>
          <w:sz w:val="20"/>
          <w:szCs w:val="20"/>
          <w:lang w:val="es-ES"/>
        </w:rPr>
        <w:t xml:space="preserve">el señor </w:t>
      </w:r>
      <w:r w:rsidR="0049401E" w:rsidRPr="00B74472">
        <w:rPr>
          <w:rFonts w:asciiTheme="majorHAnsi" w:eastAsia="SimSun" w:hAnsiTheme="majorHAnsi"/>
          <w:sz w:val="20"/>
          <w:szCs w:val="20"/>
          <w:lang w:val="es-ES"/>
        </w:rPr>
        <w:t>Tut Tzul</w:t>
      </w:r>
      <w:r w:rsidR="000C074F" w:rsidRPr="00B74472">
        <w:rPr>
          <w:rFonts w:asciiTheme="majorHAnsi" w:eastAsia="SimSun" w:hAnsiTheme="majorHAnsi"/>
          <w:sz w:val="20"/>
          <w:szCs w:val="20"/>
          <w:lang w:val="es-ES"/>
        </w:rPr>
        <w:t xml:space="preserve">: </w:t>
      </w:r>
      <w:r w:rsidR="00944995" w:rsidRPr="00B74472">
        <w:rPr>
          <w:rFonts w:asciiTheme="majorHAnsi" w:eastAsia="SimSun" w:hAnsiTheme="majorHAnsi"/>
          <w:sz w:val="20"/>
          <w:szCs w:val="20"/>
          <w:lang w:val="es-ES"/>
        </w:rPr>
        <w:t>i)</w:t>
      </w:r>
      <w:r w:rsidR="000C074F" w:rsidRPr="00B74472">
        <w:rPr>
          <w:rFonts w:asciiTheme="majorHAnsi" w:eastAsia="SimSun" w:hAnsiTheme="majorHAnsi"/>
          <w:sz w:val="20"/>
          <w:szCs w:val="20"/>
          <w:lang w:val="es-ES"/>
        </w:rPr>
        <w:t xml:space="preserve"> </w:t>
      </w:r>
      <w:r w:rsidR="00176594" w:rsidRPr="00B74472">
        <w:rPr>
          <w:rFonts w:asciiTheme="majorHAnsi" w:eastAsia="SimSun" w:hAnsiTheme="majorHAnsi"/>
          <w:sz w:val="20"/>
          <w:szCs w:val="20"/>
          <w:lang w:val="es-ES"/>
        </w:rPr>
        <w:t xml:space="preserve">que </w:t>
      </w:r>
      <w:r w:rsidR="00867616" w:rsidRPr="00B74472">
        <w:rPr>
          <w:rFonts w:asciiTheme="majorHAnsi" w:eastAsia="SimSun" w:hAnsiTheme="majorHAnsi"/>
          <w:sz w:val="20"/>
          <w:szCs w:val="20"/>
          <w:lang w:val="es-ES"/>
        </w:rPr>
        <w:t xml:space="preserve">los </w:t>
      </w:r>
      <w:r w:rsidR="0024050D" w:rsidRPr="00B74472">
        <w:rPr>
          <w:rFonts w:asciiTheme="majorHAnsi" w:eastAsia="SimSun" w:hAnsiTheme="majorHAnsi"/>
          <w:sz w:val="20"/>
          <w:szCs w:val="20"/>
          <w:lang w:val="es-ES"/>
        </w:rPr>
        <w:t>señores Valle</w:t>
      </w:r>
      <w:r w:rsidR="00867616" w:rsidRPr="00B74472">
        <w:rPr>
          <w:rFonts w:asciiTheme="majorHAnsi" w:eastAsia="SimSun" w:hAnsiTheme="majorHAnsi"/>
          <w:sz w:val="20"/>
          <w:szCs w:val="20"/>
          <w:lang w:val="es-ES"/>
        </w:rPr>
        <w:t xml:space="preserve"> y Roderico serían los responsables por la desaparición de la madera</w:t>
      </w:r>
      <w:r w:rsidR="00043946" w:rsidRPr="00A54282">
        <w:rPr>
          <w:rFonts w:asciiTheme="majorHAnsi" w:eastAsia="SimSun" w:hAnsiTheme="majorHAnsi"/>
          <w:sz w:val="20"/>
          <w:szCs w:val="20"/>
          <w:lang w:val="es-ES"/>
        </w:rPr>
        <w:t xml:space="preserve"> y del aserradero móvil</w:t>
      </w:r>
      <w:r w:rsidR="00944995" w:rsidRPr="00A54282">
        <w:rPr>
          <w:rFonts w:asciiTheme="majorHAnsi" w:eastAsia="SimSun" w:hAnsiTheme="majorHAnsi"/>
          <w:sz w:val="20"/>
          <w:szCs w:val="20"/>
          <w:lang w:val="es-ES"/>
        </w:rPr>
        <w:t xml:space="preserve">; ii) </w:t>
      </w:r>
      <w:r w:rsidR="00867616" w:rsidRPr="00A54282">
        <w:rPr>
          <w:rFonts w:asciiTheme="majorHAnsi" w:eastAsia="SimSun" w:hAnsiTheme="majorHAnsi"/>
          <w:sz w:val="20"/>
          <w:szCs w:val="20"/>
          <w:lang w:val="es-ES"/>
        </w:rPr>
        <w:t xml:space="preserve">que, </w:t>
      </w:r>
      <w:r w:rsidR="00D86593" w:rsidRPr="00A54282">
        <w:rPr>
          <w:rFonts w:asciiTheme="majorHAnsi" w:eastAsia="SimSun" w:hAnsiTheme="majorHAnsi"/>
          <w:sz w:val="20"/>
          <w:szCs w:val="20"/>
          <w:lang w:val="es-ES"/>
        </w:rPr>
        <w:t>en la</w:t>
      </w:r>
      <w:r w:rsidR="00867616" w:rsidRPr="00A54282">
        <w:rPr>
          <w:rFonts w:asciiTheme="majorHAnsi" w:eastAsia="SimSun" w:hAnsiTheme="majorHAnsi"/>
          <w:sz w:val="20"/>
          <w:szCs w:val="20"/>
          <w:lang w:val="es-ES"/>
        </w:rPr>
        <w:t xml:space="preserve"> búsque</w:t>
      </w:r>
      <w:r w:rsidR="003975F5" w:rsidRPr="00B74472">
        <w:rPr>
          <w:rFonts w:asciiTheme="majorHAnsi" w:eastAsia="SimSun" w:hAnsiTheme="majorHAnsi"/>
          <w:sz w:val="20"/>
          <w:szCs w:val="20"/>
          <w:lang w:val="es-ES"/>
        </w:rPr>
        <w:t xml:space="preserve">da </w:t>
      </w:r>
      <w:r w:rsidR="00D86593" w:rsidRPr="00B74472">
        <w:rPr>
          <w:rFonts w:asciiTheme="majorHAnsi" w:eastAsia="SimSun" w:hAnsiTheme="majorHAnsi"/>
          <w:sz w:val="20"/>
          <w:szCs w:val="20"/>
          <w:lang w:val="es-ES"/>
        </w:rPr>
        <w:t>de</w:t>
      </w:r>
      <w:r w:rsidR="003975F5" w:rsidRPr="00B74472">
        <w:rPr>
          <w:rFonts w:asciiTheme="majorHAnsi" w:eastAsia="SimSun" w:hAnsiTheme="majorHAnsi"/>
          <w:sz w:val="20"/>
          <w:szCs w:val="20"/>
          <w:lang w:val="es-ES"/>
        </w:rPr>
        <w:t xml:space="preserve"> la madera </w:t>
      </w:r>
      <w:r w:rsidR="00D86593" w:rsidRPr="00B74472">
        <w:rPr>
          <w:rFonts w:asciiTheme="majorHAnsi" w:eastAsia="SimSun" w:hAnsiTheme="majorHAnsi"/>
          <w:sz w:val="20"/>
          <w:szCs w:val="20"/>
          <w:lang w:val="es-ES"/>
        </w:rPr>
        <w:t>por</w:t>
      </w:r>
      <w:r w:rsidR="003975F5" w:rsidRPr="00B74472">
        <w:rPr>
          <w:rFonts w:asciiTheme="majorHAnsi" w:eastAsia="SimSun" w:hAnsiTheme="majorHAnsi"/>
          <w:sz w:val="20"/>
          <w:szCs w:val="20"/>
          <w:lang w:val="es-ES"/>
        </w:rPr>
        <w:t xml:space="preserve"> las cercanías de los límites con la supuesta finca del </w:t>
      </w:r>
      <w:r w:rsidR="0024050D" w:rsidRPr="00B74472">
        <w:rPr>
          <w:rFonts w:asciiTheme="majorHAnsi" w:eastAsia="SimSun" w:hAnsiTheme="majorHAnsi"/>
          <w:sz w:val="20"/>
          <w:szCs w:val="20"/>
          <w:lang w:val="es-ES"/>
        </w:rPr>
        <w:t>señor Valle</w:t>
      </w:r>
      <w:r w:rsidR="003975F5" w:rsidRPr="00B74472">
        <w:rPr>
          <w:rFonts w:asciiTheme="majorHAnsi" w:eastAsia="SimSun" w:hAnsiTheme="majorHAnsi"/>
          <w:sz w:val="20"/>
          <w:szCs w:val="20"/>
          <w:lang w:val="es-ES"/>
        </w:rPr>
        <w:t xml:space="preserve">, </w:t>
      </w:r>
      <w:r w:rsidR="00043946" w:rsidRPr="00B74472">
        <w:rPr>
          <w:rFonts w:asciiTheme="majorHAnsi" w:eastAsia="SimSun" w:hAnsiTheme="majorHAnsi"/>
          <w:sz w:val="20"/>
          <w:szCs w:val="20"/>
          <w:lang w:val="es-ES"/>
        </w:rPr>
        <w:t xml:space="preserve">el señor Tut Tzul y otros comuneros </w:t>
      </w:r>
      <w:r w:rsidR="003975F5" w:rsidRPr="00B74472">
        <w:rPr>
          <w:rFonts w:asciiTheme="majorHAnsi" w:eastAsia="SimSun" w:hAnsiTheme="majorHAnsi"/>
          <w:sz w:val="20"/>
          <w:szCs w:val="20"/>
          <w:lang w:val="es-ES"/>
        </w:rPr>
        <w:t>constataron que</w:t>
      </w:r>
      <w:r w:rsidR="00176594" w:rsidRPr="00B74472">
        <w:rPr>
          <w:rFonts w:asciiTheme="majorHAnsi" w:eastAsia="SimSun" w:hAnsiTheme="majorHAnsi"/>
          <w:sz w:val="20"/>
          <w:szCs w:val="20"/>
          <w:lang w:val="es-ES"/>
        </w:rPr>
        <w:t>, después de haber destruido los cercos y posteados y quemado sus ranchos,</w:t>
      </w:r>
      <w:r w:rsidR="003975F5" w:rsidRPr="00B74472">
        <w:rPr>
          <w:rFonts w:asciiTheme="majorHAnsi" w:eastAsia="SimSun" w:hAnsiTheme="majorHAnsi"/>
          <w:sz w:val="20"/>
          <w:szCs w:val="20"/>
          <w:lang w:val="es-ES"/>
        </w:rPr>
        <w:t xml:space="preserve"> alrededor de 20 hombres armados </w:t>
      </w:r>
      <w:r w:rsidR="00043946" w:rsidRPr="00B74472">
        <w:rPr>
          <w:rFonts w:asciiTheme="majorHAnsi" w:eastAsia="SimSun" w:hAnsiTheme="majorHAnsi"/>
          <w:sz w:val="20"/>
          <w:szCs w:val="20"/>
          <w:lang w:val="es-ES"/>
        </w:rPr>
        <w:t>transportaban madera de los comuneros hacía la finca</w:t>
      </w:r>
      <w:r w:rsidR="00944995" w:rsidRPr="00B74472">
        <w:rPr>
          <w:rFonts w:asciiTheme="majorHAnsi" w:eastAsia="SimSun" w:hAnsiTheme="majorHAnsi"/>
          <w:sz w:val="20"/>
          <w:szCs w:val="20"/>
          <w:lang w:val="es-ES"/>
        </w:rPr>
        <w:t xml:space="preserve">; y iii) que los hombres armados les informaron que habían tomado la madera y el aserradero móvil </w:t>
      </w:r>
      <w:r w:rsidR="00D86593" w:rsidRPr="00B74472">
        <w:rPr>
          <w:rFonts w:asciiTheme="majorHAnsi" w:eastAsia="SimSun" w:hAnsiTheme="majorHAnsi"/>
          <w:sz w:val="20"/>
          <w:szCs w:val="20"/>
          <w:lang w:val="es-ES"/>
        </w:rPr>
        <w:t>por órdenes</w:t>
      </w:r>
      <w:r w:rsidR="00944995" w:rsidRPr="00B74472">
        <w:rPr>
          <w:rFonts w:asciiTheme="majorHAnsi" w:eastAsia="SimSun" w:hAnsiTheme="majorHAnsi"/>
          <w:sz w:val="20"/>
          <w:szCs w:val="20"/>
          <w:lang w:val="es-ES"/>
        </w:rPr>
        <w:t xml:space="preserve"> del dueño de la finca como forma de represalia </w:t>
      </w:r>
      <w:r w:rsidR="00176594" w:rsidRPr="00B74472">
        <w:rPr>
          <w:rFonts w:asciiTheme="majorHAnsi" w:eastAsia="SimSun" w:hAnsiTheme="majorHAnsi"/>
          <w:sz w:val="20"/>
          <w:szCs w:val="20"/>
          <w:lang w:val="es-ES"/>
        </w:rPr>
        <w:t>contra los</w:t>
      </w:r>
      <w:r w:rsidR="00944995" w:rsidRPr="00B74472">
        <w:rPr>
          <w:rFonts w:asciiTheme="majorHAnsi" w:eastAsia="SimSun" w:hAnsiTheme="majorHAnsi"/>
          <w:sz w:val="20"/>
          <w:szCs w:val="20"/>
          <w:lang w:val="es-ES"/>
        </w:rPr>
        <w:t xml:space="preserve"> comuneros </w:t>
      </w:r>
      <w:r w:rsidR="00176594" w:rsidRPr="00B74472">
        <w:rPr>
          <w:rFonts w:asciiTheme="majorHAnsi" w:eastAsia="SimSun" w:hAnsiTheme="majorHAnsi"/>
          <w:sz w:val="20"/>
          <w:szCs w:val="20"/>
          <w:lang w:val="es-ES"/>
        </w:rPr>
        <w:t>pues ellos habían</w:t>
      </w:r>
      <w:r w:rsidR="00944995" w:rsidRPr="00B74472">
        <w:rPr>
          <w:rFonts w:asciiTheme="majorHAnsi" w:eastAsia="SimSun" w:hAnsiTheme="majorHAnsi"/>
          <w:sz w:val="20"/>
          <w:szCs w:val="20"/>
          <w:lang w:val="es-ES"/>
        </w:rPr>
        <w:t xml:space="preserve"> impedido </w:t>
      </w:r>
      <w:r w:rsidR="00D86593" w:rsidRPr="00B74472">
        <w:rPr>
          <w:rFonts w:asciiTheme="majorHAnsi" w:eastAsia="SimSun" w:hAnsiTheme="majorHAnsi"/>
          <w:sz w:val="20"/>
          <w:szCs w:val="20"/>
          <w:lang w:val="es-ES"/>
        </w:rPr>
        <w:t>a</w:t>
      </w:r>
      <w:r w:rsidR="00176594" w:rsidRPr="00B74472">
        <w:rPr>
          <w:rFonts w:asciiTheme="majorHAnsi" w:eastAsia="SimSun" w:hAnsiTheme="majorHAnsi"/>
          <w:sz w:val="20"/>
          <w:szCs w:val="20"/>
          <w:lang w:val="es-ES"/>
        </w:rPr>
        <w:t xml:space="preserve">l </w:t>
      </w:r>
      <w:r w:rsidR="0024050D" w:rsidRPr="00B74472">
        <w:rPr>
          <w:rFonts w:asciiTheme="majorHAnsi" w:eastAsia="SimSun" w:hAnsiTheme="majorHAnsi"/>
          <w:sz w:val="20"/>
          <w:szCs w:val="20"/>
          <w:lang w:val="es-ES"/>
        </w:rPr>
        <w:t>señor Valle</w:t>
      </w:r>
      <w:r w:rsidR="00176594" w:rsidRPr="00B74472">
        <w:rPr>
          <w:rFonts w:asciiTheme="majorHAnsi" w:eastAsia="SimSun" w:hAnsiTheme="majorHAnsi"/>
          <w:sz w:val="20"/>
          <w:szCs w:val="20"/>
          <w:lang w:val="es-ES"/>
        </w:rPr>
        <w:t xml:space="preserve"> </w:t>
      </w:r>
      <w:r w:rsidR="00D86593" w:rsidRPr="00B74472">
        <w:rPr>
          <w:rFonts w:asciiTheme="majorHAnsi" w:eastAsia="SimSun" w:hAnsiTheme="majorHAnsi"/>
          <w:sz w:val="20"/>
          <w:szCs w:val="20"/>
          <w:lang w:val="es-ES"/>
        </w:rPr>
        <w:t>obtener</w:t>
      </w:r>
      <w:r w:rsidR="00944995" w:rsidRPr="00B74472">
        <w:rPr>
          <w:rFonts w:asciiTheme="majorHAnsi" w:eastAsia="SimSun" w:hAnsiTheme="majorHAnsi"/>
          <w:sz w:val="20"/>
          <w:szCs w:val="20"/>
          <w:lang w:val="es-ES"/>
        </w:rPr>
        <w:t xml:space="preserve"> una autorización de tala </w:t>
      </w:r>
      <w:r w:rsidR="00176594" w:rsidRPr="00B74472">
        <w:rPr>
          <w:rFonts w:asciiTheme="majorHAnsi" w:eastAsia="SimSun" w:hAnsiTheme="majorHAnsi"/>
          <w:sz w:val="20"/>
          <w:szCs w:val="20"/>
          <w:lang w:val="es-ES"/>
        </w:rPr>
        <w:t>del</w:t>
      </w:r>
      <w:r w:rsidR="00944995" w:rsidRPr="00B74472">
        <w:rPr>
          <w:rFonts w:asciiTheme="majorHAnsi" w:eastAsia="SimSun" w:hAnsiTheme="majorHAnsi"/>
          <w:sz w:val="20"/>
          <w:szCs w:val="20"/>
          <w:lang w:val="es-ES"/>
        </w:rPr>
        <w:t xml:space="preserve"> INAB</w:t>
      </w:r>
      <w:r w:rsidR="00077FBC" w:rsidRPr="00B74472">
        <w:rPr>
          <w:rFonts w:asciiTheme="majorHAnsi" w:eastAsia="SimSun" w:hAnsiTheme="majorHAnsi"/>
          <w:sz w:val="20"/>
          <w:szCs w:val="20"/>
          <w:lang w:val="es-ES"/>
        </w:rPr>
        <w:t xml:space="preserve">. </w:t>
      </w:r>
      <w:r w:rsidR="00F87917" w:rsidRPr="00B74472">
        <w:rPr>
          <w:rFonts w:asciiTheme="majorHAnsi" w:eastAsia="SimSun" w:hAnsiTheme="majorHAnsi"/>
          <w:sz w:val="20"/>
          <w:szCs w:val="20"/>
          <w:lang w:val="es-ES"/>
        </w:rPr>
        <w:t xml:space="preserve">En respuesta el Juzgado indicó que los hechos </w:t>
      </w:r>
      <w:r w:rsidR="00234A47">
        <w:rPr>
          <w:rFonts w:asciiTheme="majorHAnsi" w:eastAsia="SimSun" w:hAnsiTheme="majorHAnsi"/>
          <w:sz w:val="20"/>
          <w:szCs w:val="20"/>
          <w:lang w:val="es-ES"/>
        </w:rPr>
        <w:t>alegados</w:t>
      </w:r>
      <w:r w:rsidR="00F87917" w:rsidRPr="00B74472">
        <w:rPr>
          <w:rFonts w:asciiTheme="majorHAnsi" w:eastAsia="SimSun" w:hAnsiTheme="majorHAnsi"/>
          <w:sz w:val="20"/>
          <w:szCs w:val="20"/>
          <w:lang w:val="es-ES"/>
        </w:rPr>
        <w:t xml:space="preserve"> deberían ser denunciados al Ministerio Público.</w:t>
      </w:r>
    </w:p>
    <w:p w14:paraId="0BAD104C" w14:textId="589CF3D6" w:rsidR="00F5323A" w:rsidRPr="007D6A6D" w:rsidRDefault="0049547E" w:rsidP="00F5323A">
      <w:pPr>
        <w:numPr>
          <w:ilvl w:val="0"/>
          <w:numId w:val="56"/>
        </w:numPr>
        <w:spacing w:after="240"/>
        <w:jc w:val="both"/>
        <w:rPr>
          <w:rFonts w:asciiTheme="majorHAnsi" w:eastAsia="SimSun" w:hAnsiTheme="majorHAnsi"/>
          <w:sz w:val="20"/>
          <w:szCs w:val="20"/>
          <w:lang w:val="es-ES"/>
        </w:rPr>
      </w:pPr>
      <w:r w:rsidRPr="00EC5551">
        <w:rPr>
          <w:rFonts w:asciiTheme="majorHAnsi" w:eastAsia="SimSun" w:hAnsiTheme="majorHAnsi"/>
          <w:sz w:val="20"/>
          <w:szCs w:val="20"/>
          <w:lang w:val="es-ES"/>
        </w:rPr>
        <w:t xml:space="preserve">El peticionario </w:t>
      </w:r>
      <w:r w:rsidR="00F5323A" w:rsidRPr="00EC5551">
        <w:rPr>
          <w:rFonts w:asciiTheme="majorHAnsi" w:eastAsia="SimSun" w:hAnsiTheme="majorHAnsi"/>
          <w:sz w:val="20"/>
          <w:szCs w:val="20"/>
          <w:lang w:val="es-ES"/>
        </w:rPr>
        <w:t>afirma que</w:t>
      </w:r>
      <w:r w:rsidRPr="00EC5551">
        <w:rPr>
          <w:rFonts w:ascii="Cambria" w:hAnsi="Cambria"/>
          <w:sz w:val="20"/>
          <w:szCs w:val="20"/>
          <w:lang w:val="es-ES"/>
        </w:rPr>
        <w:t xml:space="preserve"> ante la respuesta del Juzgado de Peten y el incumplimiento del señor Valle a la orden de devolución, tuvo que tomar medidas adicionales para </w:t>
      </w:r>
      <w:r w:rsidR="00EC5551" w:rsidRPr="00EC5551">
        <w:rPr>
          <w:rFonts w:ascii="Cambria" w:hAnsi="Cambria"/>
          <w:sz w:val="20"/>
          <w:szCs w:val="20"/>
          <w:lang w:val="es-ES"/>
        </w:rPr>
        <w:t>denunciar la situación al Ministerio Público y solicitar que los responsables fueran procesados penalmente.</w:t>
      </w:r>
      <w:r>
        <w:rPr>
          <w:rFonts w:ascii="Cambria" w:hAnsi="Cambria"/>
          <w:sz w:val="20"/>
          <w:szCs w:val="20"/>
          <w:lang w:val="es-ES"/>
        </w:rPr>
        <w:t xml:space="preserve"> En ese sentido, señala que </w:t>
      </w:r>
      <w:r w:rsidR="000C074F">
        <w:rPr>
          <w:rFonts w:ascii="Cambria" w:hAnsi="Cambria"/>
          <w:sz w:val="20"/>
          <w:szCs w:val="20"/>
          <w:lang w:val="es-ES"/>
        </w:rPr>
        <w:t xml:space="preserve">en </w:t>
      </w:r>
      <w:r w:rsidR="002E7CF6" w:rsidRPr="00353A69">
        <w:rPr>
          <w:rFonts w:ascii="Cambria" w:hAnsi="Cambria"/>
          <w:sz w:val="20"/>
          <w:szCs w:val="20"/>
          <w:lang w:val="es-ES"/>
        </w:rPr>
        <w:t>diciembre de 2004</w:t>
      </w:r>
      <w:r w:rsidR="00E663CC">
        <w:rPr>
          <w:rFonts w:ascii="Cambria" w:hAnsi="Cambria"/>
          <w:sz w:val="20"/>
          <w:szCs w:val="20"/>
          <w:lang w:val="es-ES"/>
        </w:rPr>
        <w:t>,</w:t>
      </w:r>
      <w:r w:rsidR="002E7CF6" w:rsidRPr="00353A69">
        <w:rPr>
          <w:rFonts w:ascii="Cambria" w:hAnsi="Cambria"/>
          <w:sz w:val="20"/>
          <w:szCs w:val="20"/>
          <w:lang w:val="es-ES"/>
        </w:rPr>
        <w:t xml:space="preserve"> </w:t>
      </w:r>
      <w:r w:rsidR="00BA753B">
        <w:rPr>
          <w:rFonts w:ascii="Cambria" w:hAnsi="Cambria"/>
          <w:sz w:val="20"/>
          <w:szCs w:val="20"/>
          <w:lang w:val="es-ES"/>
        </w:rPr>
        <w:t xml:space="preserve">junto con </w:t>
      </w:r>
      <w:r w:rsidR="005B4BAB" w:rsidRPr="00353A69">
        <w:rPr>
          <w:rFonts w:ascii="Cambria" w:hAnsi="Cambria"/>
          <w:sz w:val="20"/>
          <w:szCs w:val="20"/>
          <w:lang w:val="es-ES"/>
        </w:rPr>
        <w:t xml:space="preserve">el </w:t>
      </w:r>
      <w:r w:rsidR="00106CD4" w:rsidRPr="00353A69">
        <w:rPr>
          <w:rFonts w:ascii="Cambria" w:hAnsi="Cambria"/>
          <w:sz w:val="20"/>
          <w:szCs w:val="20"/>
          <w:lang w:val="es-ES"/>
        </w:rPr>
        <w:t>señor</w:t>
      </w:r>
      <w:r w:rsidR="005B4BAB" w:rsidRPr="00353A69">
        <w:rPr>
          <w:rFonts w:ascii="Cambria" w:hAnsi="Cambria"/>
          <w:sz w:val="20"/>
          <w:szCs w:val="20"/>
          <w:lang w:val="es-ES"/>
        </w:rPr>
        <w:t xml:space="preserve"> Tut Tzul</w:t>
      </w:r>
      <w:r w:rsidR="00BA753B">
        <w:rPr>
          <w:rFonts w:ascii="Cambria" w:hAnsi="Cambria"/>
          <w:sz w:val="20"/>
          <w:szCs w:val="20"/>
          <w:lang w:val="es-ES"/>
        </w:rPr>
        <w:t>,</w:t>
      </w:r>
      <w:r w:rsidR="005B4BAB" w:rsidRPr="00353A69">
        <w:rPr>
          <w:rFonts w:ascii="Cambria" w:hAnsi="Cambria"/>
          <w:sz w:val="20"/>
          <w:szCs w:val="20"/>
          <w:lang w:val="es-ES"/>
        </w:rPr>
        <w:t xml:space="preserve"> </w:t>
      </w:r>
      <w:r w:rsidR="00BA753B">
        <w:rPr>
          <w:rFonts w:ascii="Cambria" w:hAnsi="Cambria"/>
          <w:sz w:val="20"/>
          <w:szCs w:val="20"/>
          <w:lang w:val="es-ES"/>
        </w:rPr>
        <w:t xml:space="preserve">interpuso ante el Ministerio Público </w:t>
      </w:r>
      <w:r w:rsidR="005B4BAB" w:rsidRPr="00353A69">
        <w:rPr>
          <w:rFonts w:ascii="Cambria" w:hAnsi="Cambria"/>
          <w:sz w:val="20"/>
          <w:szCs w:val="20"/>
          <w:lang w:val="es-ES"/>
        </w:rPr>
        <w:t xml:space="preserve">una denuncia por apropiación y retención indebida </w:t>
      </w:r>
      <w:r w:rsidR="00077FBC">
        <w:rPr>
          <w:rFonts w:ascii="Cambria" w:hAnsi="Cambria"/>
          <w:sz w:val="20"/>
          <w:szCs w:val="20"/>
          <w:lang w:val="es-ES"/>
        </w:rPr>
        <w:t xml:space="preserve">en </w:t>
      </w:r>
      <w:r w:rsidR="005B4BAB" w:rsidRPr="00353A69">
        <w:rPr>
          <w:rFonts w:ascii="Cambria" w:hAnsi="Cambria"/>
          <w:sz w:val="20"/>
          <w:szCs w:val="20"/>
          <w:lang w:val="es-ES"/>
        </w:rPr>
        <w:t>contra</w:t>
      </w:r>
      <w:r w:rsidR="00077FBC">
        <w:rPr>
          <w:rFonts w:ascii="Cambria" w:hAnsi="Cambria"/>
          <w:sz w:val="20"/>
          <w:szCs w:val="20"/>
          <w:lang w:val="es-ES"/>
        </w:rPr>
        <w:t xml:space="preserve"> de</w:t>
      </w:r>
      <w:r w:rsidR="005B4BAB" w:rsidRPr="00353A69">
        <w:rPr>
          <w:rFonts w:ascii="Cambria" w:hAnsi="Cambria"/>
          <w:sz w:val="20"/>
          <w:szCs w:val="20"/>
          <w:lang w:val="es-ES"/>
        </w:rPr>
        <w:t xml:space="preserve"> </w:t>
      </w:r>
      <w:r w:rsidR="002E7CF6" w:rsidRPr="00353A69">
        <w:rPr>
          <w:rFonts w:ascii="Cambria" w:hAnsi="Cambria"/>
          <w:sz w:val="20"/>
          <w:szCs w:val="20"/>
          <w:lang w:val="es-ES"/>
        </w:rPr>
        <w:t xml:space="preserve">los </w:t>
      </w:r>
      <w:r w:rsidR="0024050D">
        <w:rPr>
          <w:rFonts w:ascii="Cambria" w:hAnsi="Cambria"/>
          <w:sz w:val="20"/>
          <w:szCs w:val="20"/>
          <w:lang w:val="es-ES"/>
        </w:rPr>
        <w:t>señores Valle</w:t>
      </w:r>
      <w:r w:rsidR="002E7CF6" w:rsidRPr="00353A69">
        <w:rPr>
          <w:rFonts w:ascii="Cambria" w:hAnsi="Cambria"/>
          <w:sz w:val="20"/>
          <w:szCs w:val="20"/>
          <w:lang w:val="es-ES"/>
        </w:rPr>
        <w:t xml:space="preserve"> y Roderico</w:t>
      </w:r>
      <w:r w:rsidR="00BA753B">
        <w:rPr>
          <w:rFonts w:ascii="Cambria" w:hAnsi="Cambria"/>
          <w:sz w:val="20"/>
          <w:szCs w:val="20"/>
          <w:lang w:val="es-ES"/>
        </w:rPr>
        <w:t xml:space="preserve">. </w:t>
      </w:r>
      <w:r w:rsidR="007E7365">
        <w:rPr>
          <w:rFonts w:ascii="Cambria" w:hAnsi="Cambria"/>
          <w:sz w:val="20"/>
          <w:szCs w:val="20"/>
          <w:lang w:val="es-ES"/>
        </w:rPr>
        <w:t>Afirma que e</w:t>
      </w:r>
      <w:r w:rsidR="00BA753B">
        <w:rPr>
          <w:rFonts w:ascii="Cambria" w:hAnsi="Cambria"/>
          <w:sz w:val="20"/>
          <w:szCs w:val="20"/>
          <w:lang w:val="es-ES"/>
        </w:rPr>
        <w:t xml:space="preserve">sta </w:t>
      </w:r>
      <w:r w:rsidR="002E7CF6" w:rsidRPr="00353A69">
        <w:rPr>
          <w:rFonts w:ascii="Cambria" w:hAnsi="Cambria" w:cs="Arial"/>
          <w:sz w:val="20"/>
          <w:szCs w:val="20"/>
          <w:lang w:val="es-ES"/>
        </w:rPr>
        <w:t xml:space="preserve">denuncia </w:t>
      </w:r>
      <w:r w:rsidR="002C588A" w:rsidRPr="00353A69">
        <w:rPr>
          <w:rFonts w:ascii="Cambria" w:hAnsi="Cambria" w:cs="Arial"/>
          <w:sz w:val="20"/>
          <w:szCs w:val="20"/>
          <w:lang w:val="es-ES"/>
        </w:rPr>
        <w:t>dio</w:t>
      </w:r>
      <w:r w:rsidR="002E7CF6" w:rsidRPr="00353A69">
        <w:rPr>
          <w:rFonts w:ascii="Cambria" w:hAnsi="Cambria" w:cs="Arial"/>
          <w:sz w:val="20"/>
          <w:szCs w:val="20"/>
          <w:lang w:val="es-ES"/>
        </w:rPr>
        <w:t xml:space="preserve"> inicio </w:t>
      </w:r>
      <w:r w:rsidR="00077FBC">
        <w:rPr>
          <w:rFonts w:ascii="Cambria" w:hAnsi="Cambria" w:cs="Arial"/>
          <w:sz w:val="20"/>
          <w:szCs w:val="20"/>
          <w:lang w:val="es-ES"/>
        </w:rPr>
        <w:t>a la persecución</w:t>
      </w:r>
      <w:r w:rsidR="002E7CF6" w:rsidRPr="00353A69">
        <w:rPr>
          <w:rFonts w:ascii="Cambria" w:hAnsi="Cambria" w:cs="Arial"/>
          <w:sz w:val="20"/>
          <w:szCs w:val="20"/>
          <w:lang w:val="es-ES"/>
        </w:rPr>
        <w:t xml:space="preserve"> penal </w:t>
      </w:r>
      <w:r w:rsidR="002C588A" w:rsidRPr="00353A69">
        <w:rPr>
          <w:rFonts w:ascii="Cambria" w:hAnsi="Cambria" w:cs="Arial"/>
          <w:sz w:val="20"/>
          <w:szCs w:val="20"/>
          <w:lang w:val="es-ES"/>
        </w:rPr>
        <w:t>1361-2004</w:t>
      </w:r>
      <w:r w:rsidR="00A54282">
        <w:rPr>
          <w:rFonts w:ascii="Cambria" w:hAnsi="Cambria" w:cs="Arial"/>
          <w:sz w:val="20"/>
          <w:szCs w:val="20"/>
          <w:lang w:val="es-ES"/>
        </w:rPr>
        <w:t xml:space="preserve"> que </w:t>
      </w:r>
      <w:r w:rsidR="007E7365">
        <w:rPr>
          <w:rFonts w:ascii="Cambria" w:hAnsi="Cambria" w:cs="Arial"/>
          <w:sz w:val="20"/>
          <w:szCs w:val="20"/>
          <w:lang w:val="es-ES"/>
        </w:rPr>
        <w:t>tramitó</w:t>
      </w:r>
      <w:r w:rsidR="00A54282">
        <w:rPr>
          <w:rFonts w:ascii="Cambria" w:hAnsi="Cambria" w:cs="Arial"/>
          <w:sz w:val="20"/>
          <w:szCs w:val="20"/>
          <w:lang w:val="es-ES"/>
        </w:rPr>
        <w:t xml:space="preserve"> ante el </w:t>
      </w:r>
      <w:r w:rsidR="00A54282" w:rsidRPr="00A54282">
        <w:rPr>
          <w:rFonts w:ascii="Cambria" w:hAnsi="Cambria" w:cs="Arial"/>
          <w:sz w:val="20"/>
          <w:szCs w:val="20"/>
          <w:lang w:val="es-ES"/>
        </w:rPr>
        <w:t>al Juzgado de Primera Instancia Penal Narcoactividad y Delitos Contra el Ambiente del Departamento de Alta Verapaz (en adelante “el Juzgado de Alta Verapaz”)</w:t>
      </w:r>
      <w:r w:rsidR="00A54282" w:rsidRPr="00EC5551">
        <w:rPr>
          <w:rStyle w:val="FootnoteReference"/>
          <w:rFonts w:ascii="Cambria" w:hAnsi="Cambria"/>
          <w:sz w:val="20"/>
          <w:szCs w:val="20"/>
          <w:lang w:val="es-ES"/>
        </w:rPr>
        <w:footnoteReference w:id="2"/>
      </w:r>
      <w:r w:rsidR="007E7365">
        <w:rPr>
          <w:rFonts w:ascii="Cambria" w:hAnsi="Cambria" w:cs="Arial"/>
          <w:sz w:val="20"/>
          <w:szCs w:val="20"/>
          <w:lang w:val="es-ES"/>
        </w:rPr>
        <w:t>.</w:t>
      </w:r>
      <w:r w:rsidR="00F5323A">
        <w:rPr>
          <w:rFonts w:asciiTheme="majorHAnsi" w:eastAsia="SimSun" w:hAnsiTheme="majorHAnsi"/>
          <w:sz w:val="20"/>
          <w:szCs w:val="20"/>
          <w:lang w:val="es-ES"/>
        </w:rPr>
        <w:t xml:space="preserve"> </w:t>
      </w:r>
      <w:r w:rsidR="00F5323A" w:rsidRPr="00F5323A">
        <w:rPr>
          <w:rFonts w:ascii="Cambria" w:hAnsi="Cambria" w:cs="Arial"/>
          <w:sz w:val="20"/>
          <w:szCs w:val="20"/>
          <w:lang w:val="es-ES"/>
        </w:rPr>
        <w:t xml:space="preserve">Señala </w:t>
      </w:r>
      <w:r w:rsidR="00BA753B" w:rsidRPr="00F5323A">
        <w:rPr>
          <w:rFonts w:ascii="Cambria" w:hAnsi="Cambria" w:cs="Arial"/>
          <w:sz w:val="20"/>
          <w:szCs w:val="20"/>
          <w:lang w:val="es-ES"/>
        </w:rPr>
        <w:t xml:space="preserve">que  </w:t>
      </w:r>
      <w:r w:rsidR="00F5323A" w:rsidRPr="00F5323A">
        <w:rPr>
          <w:rFonts w:ascii="Cambria" w:hAnsi="Cambria" w:cs="Arial"/>
          <w:sz w:val="20"/>
          <w:szCs w:val="20"/>
          <w:lang w:val="es-ES"/>
        </w:rPr>
        <w:t xml:space="preserve">el Juzgado de Alta Verapaz </w:t>
      </w:r>
      <w:r w:rsidR="00BA753B" w:rsidRPr="00F5323A">
        <w:rPr>
          <w:rFonts w:ascii="Cambria" w:hAnsi="Cambria" w:cs="Arial"/>
          <w:sz w:val="20"/>
          <w:szCs w:val="20"/>
          <w:lang w:val="es-ES"/>
        </w:rPr>
        <w:t>otorgó</w:t>
      </w:r>
      <w:r w:rsidR="00AC395F" w:rsidRPr="00F5323A">
        <w:rPr>
          <w:rFonts w:asciiTheme="majorHAnsi" w:hAnsiTheme="majorHAnsi" w:cs="Arial"/>
          <w:sz w:val="20"/>
          <w:szCs w:val="20"/>
          <w:lang w:val="es-ES"/>
        </w:rPr>
        <w:t xml:space="preserve"> </w:t>
      </w:r>
      <w:r w:rsidR="00014080" w:rsidRPr="00F5323A">
        <w:rPr>
          <w:rFonts w:asciiTheme="majorHAnsi" w:hAnsiTheme="majorHAnsi" w:cs="Arial"/>
          <w:sz w:val="20"/>
          <w:szCs w:val="20"/>
          <w:lang w:val="es-ES"/>
        </w:rPr>
        <w:t xml:space="preserve">al peticionario y al señor Tut Tzul </w:t>
      </w:r>
      <w:r w:rsidR="00AC395F" w:rsidRPr="00F5323A">
        <w:rPr>
          <w:rFonts w:asciiTheme="majorHAnsi" w:hAnsiTheme="majorHAnsi" w:cs="Arial"/>
          <w:sz w:val="20"/>
          <w:szCs w:val="20"/>
          <w:lang w:val="es-ES"/>
        </w:rPr>
        <w:t>intervención provisi</w:t>
      </w:r>
      <w:r w:rsidR="00BA753B" w:rsidRPr="00F5323A">
        <w:rPr>
          <w:rFonts w:asciiTheme="majorHAnsi" w:hAnsiTheme="majorHAnsi" w:cs="Arial"/>
          <w:sz w:val="20"/>
          <w:szCs w:val="20"/>
          <w:lang w:val="es-ES"/>
        </w:rPr>
        <w:t>onal como q</w:t>
      </w:r>
      <w:r w:rsidR="005413CD" w:rsidRPr="007D6A6D">
        <w:rPr>
          <w:rFonts w:asciiTheme="majorHAnsi" w:hAnsiTheme="majorHAnsi" w:cs="Arial"/>
          <w:sz w:val="20"/>
          <w:szCs w:val="20"/>
          <w:lang w:val="es-ES"/>
        </w:rPr>
        <w:t xml:space="preserve">uerellantes </w:t>
      </w:r>
      <w:r w:rsidR="00BA753B" w:rsidRPr="007D6A6D">
        <w:rPr>
          <w:rFonts w:asciiTheme="majorHAnsi" w:hAnsiTheme="majorHAnsi" w:cs="Arial"/>
          <w:sz w:val="20"/>
          <w:szCs w:val="20"/>
          <w:lang w:val="es-ES"/>
        </w:rPr>
        <w:t>a</w:t>
      </w:r>
      <w:r w:rsidR="005413CD" w:rsidRPr="007D6A6D">
        <w:rPr>
          <w:rFonts w:asciiTheme="majorHAnsi" w:hAnsiTheme="majorHAnsi" w:cs="Arial"/>
          <w:sz w:val="20"/>
          <w:szCs w:val="20"/>
          <w:lang w:val="es-ES"/>
        </w:rPr>
        <w:t xml:space="preserve">dhesivos y </w:t>
      </w:r>
      <w:r w:rsidR="00BA753B" w:rsidRPr="007D6A6D">
        <w:rPr>
          <w:rFonts w:asciiTheme="majorHAnsi" w:hAnsiTheme="majorHAnsi" w:cs="Arial"/>
          <w:sz w:val="20"/>
          <w:szCs w:val="20"/>
          <w:lang w:val="es-ES"/>
        </w:rPr>
        <w:t>a</w:t>
      </w:r>
      <w:r w:rsidR="005413CD" w:rsidRPr="007D6A6D">
        <w:rPr>
          <w:rFonts w:asciiTheme="majorHAnsi" w:hAnsiTheme="majorHAnsi" w:cs="Arial"/>
          <w:sz w:val="20"/>
          <w:szCs w:val="20"/>
          <w:lang w:val="es-ES"/>
        </w:rPr>
        <w:t xml:space="preserve">ctores </w:t>
      </w:r>
      <w:r w:rsidR="00BA753B" w:rsidRPr="007D6A6D">
        <w:rPr>
          <w:rFonts w:asciiTheme="majorHAnsi" w:hAnsiTheme="majorHAnsi" w:cs="Arial"/>
          <w:sz w:val="20"/>
          <w:szCs w:val="20"/>
          <w:lang w:val="es-ES"/>
        </w:rPr>
        <w:t>c</w:t>
      </w:r>
      <w:r w:rsidR="005413CD" w:rsidRPr="007D6A6D">
        <w:rPr>
          <w:rFonts w:asciiTheme="majorHAnsi" w:hAnsiTheme="majorHAnsi" w:cs="Arial"/>
          <w:sz w:val="20"/>
          <w:szCs w:val="20"/>
          <w:lang w:val="es-ES"/>
        </w:rPr>
        <w:t>iviles</w:t>
      </w:r>
      <w:r w:rsidR="00F5323A" w:rsidRPr="007D6A6D">
        <w:rPr>
          <w:rFonts w:asciiTheme="majorHAnsi" w:hAnsiTheme="majorHAnsi" w:cs="Arial"/>
          <w:sz w:val="20"/>
          <w:szCs w:val="20"/>
          <w:lang w:val="es-ES"/>
        </w:rPr>
        <w:t xml:space="preserve"> en esta persecución penal</w:t>
      </w:r>
      <w:r w:rsidR="00AC395F" w:rsidRPr="007D6A6D">
        <w:rPr>
          <w:rFonts w:asciiTheme="majorHAnsi" w:hAnsiTheme="majorHAnsi" w:cs="Arial"/>
          <w:sz w:val="20"/>
          <w:szCs w:val="20"/>
          <w:lang w:val="es-ES"/>
        </w:rPr>
        <w:t xml:space="preserve">. </w:t>
      </w:r>
    </w:p>
    <w:p w14:paraId="4CA9FEAB" w14:textId="77777777" w:rsidR="004443D3" w:rsidRPr="00EC5551" w:rsidRDefault="007D6A6D" w:rsidP="00F5323A">
      <w:pPr>
        <w:numPr>
          <w:ilvl w:val="0"/>
          <w:numId w:val="56"/>
        </w:numPr>
        <w:spacing w:after="240"/>
        <w:jc w:val="both"/>
        <w:rPr>
          <w:rFonts w:asciiTheme="majorHAnsi" w:eastAsia="SimSun" w:hAnsiTheme="majorHAnsi"/>
          <w:sz w:val="20"/>
          <w:szCs w:val="20"/>
          <w:lang w:val="es-ES"/>
        </w:rPr>
      </w:pPr>
      <w:r w:rsidRPr="00EC5551">
        <w:rPr>
          <w:rFonts w:ascii="Cambria" w:hAnsi="Cambria" w:cs="Arial"/>
          <w:sz w:val="20"/>
          <w:szCs w:val="20"/>
          <w:lang w:val="es-ES"/>
        </w:rPr>
        <w:t xml:space="preserve">No obstante, </w:t>
      </w:r>
      <w:r w:rsidR="004443D3" w:rsidRPr="00EC5551">
        <w:rPr>
          <w:rFonts w:ascii="Cambria" w:hAnsi="Cambria" w:cs="Arial"/>
          <w:sz w:val="20"/>
          <w:szCs w:val="20"/>
          <w:lang w:val="es-ES"/>
        </w:rPr>
        <w:t xml:space="preserve">a pesar de la denuncia y de la instauración de la persecución penal, </w:t>
      </w:r>
      <w:r w:rsidRPr="00EC5551">
        <w:rPr>
          <w:rFonts w:ascii="Cambria" w:hAnsi="Cambria" w:cs="Arial"/>
          <w:sz w:val="20"/>
          <w:szCs w:val="20"/>
          <w:lang w:val="es-ES"/>
        </w:rPr>
        <w:t xml:space="preserve">afirma que le fue denegado acceso a la justicia pues el Ministerio Público nunca investigó con seriedad la responsabilidad de los señores Valle y Roderico en la desaparición de sus bienes y nadie fue sancionado. </w:t>
      </w:r>
    </w:p>
    <w:p w14:paraId="1FE3A193" w14:textId="267C1B16" w:rsidR="0069452C" w:rsidRPr="007D6A6D" w:rsidRDefault="008519B5" w:rsidP="00F5323A">
      <w:pPr>
        <w:numPr>
          <w:ilvl w:val="0"/>
          <w:numId w:val="56"/>
        </w:numPr>
        <w:spacing w:after="240"/>
        <w:jc w:val="both"/>
        <w:rPr>
          <w:rFonts w:asciiTheme="majorHAnsi" w:eastAsia="SimSun" w:hAnsiTheme="majorHAnsi"/>
          <w:sz w:val="20"/>
          <w:szCs w:val="20"/>
          <w:lang w:val="es-ES"/>
        </w:rPr>
      </w:pPr>
      <w:r>
        <w:rPr>
          <w:rFonts w:ascii="Cambria" w:hAnsi="Cambria" w:cs="Arial"/>
          <w:sz w:val="20"/>
          <w:szCs w:val="20"/>
          <w:lang w:val="es-ES"/>
        </w:rPr>
        <w:t xml:space="preserve">Además, </w:t>
      </w:r>
      <w:r w:rsidR="007D6A6D">
        <w:rPr>
          <w:rFonts w:ascii="Cambria" w:hAnsi="Cambria" w:cs="Arial"/>
          <w:sz w:val="20"/>
          <w:szCs w:val="20"/>
          <w:lang w:val="es-ES"/>
        </w:rPr>
        <w:t>a</w:t>
      </w:r>
      <w:r w:rsidR="00F5323A">
        <w:rPr>
          <w:rFonts w:ascii="Cambria" w:hAnsi="Cambria" w:cs="Arial"/>
          <w:sz w:val="20"/>
          <w:szCs w:val="20"/>
          <w:lang w:val="es-ES"/>
        </w:rPr>
        <w:t>grega</w:t>
      </w:r>
      <w:r w:rsidR="00F5323A" w:rsidRPr="00F5323A">
        <w:rPr>
          <w:rFonts w:ascii="Cambria" w:hAnsi="Cambria" w:cs="Arial"/>
          <w:sz w:val="20"/>
          <w:szCs w:val="20"/>
          <w:lang w:val="es-ES"/>
        </w:rPr>
        <w:t xml:space="preserve"> </w:t>
      </w:r>
      <w:r w:rsidR="00DB4CF9" w:rsidRPr="00F5323A">
        <w:rPr>
          <w:rFonts w:ascii="Cambria" w:hAnsi="Cambria" w:cs="Arial"/>
          <w:sz w:val="20"/>
          <w:szCs w:val="20"/>
          <w:lang w:val="es-ES"/>
        </w:rPr>
        <w:t>que</w:t>
      </w:r>
      <w:r w:rsidR="000C074F" w:rsidRPr="00F5323A">
        <w:rPr>
          <w:rFonts w:ascii="Cambria" w:hAnsi="Cambria" w:cs="Arial"/>
          <w:sz w:val="20"/>
          <w:szCs w:val="20"/>
          <w:lang w:val="es-ES"/>
        </w:rPr>
        <w:t xml:space="preserve"> </w:t>
      </w:r>
      <w:r w:rsidR="000C074F" w:rsidRPr="007D6A6D">
        <w:rPr>
          <w:rFonts w:ascii="Cambria" w:hAnsi="Cambria"/>
          <w:sz w:val="20"/>
          <w:szCs w:val="20"/>
          <w:lang w:val="es-ES"/>
        </w:rPr>
        <w:t>el</w:t>
      </w:r>
      <w:r w:rsidR="000C074F" w:rsidRPr="00F5323A">
        <w:rPr>
          <w:rFonts w:ascii="Cambria" w:hAnsi="Cambria"/>
          <w:sz w:val="20"/>
          <w:szCs w:val="20"/>
          <w:lang w:val="es-ES"/>
        </w:rPr>
        <w:t xml:space="preserve"> 14 de septiembre de 2005, el Ministerio Público solicitó la clausura provisional del proceso con respecto al </w:t>
      </w:r>
      <w:r w:rsidR="0024050D" w:rsidRPr="007D6A6D">
        <w:rPr>
          <w:rFonts w:ascii="Cambria" w:hAnsi="Cambria"/>
          <w:sz w:val="20"/>
          <w:szCs w:val="20"/>
          <w:lang w:val="es-ES"/>
        </w:rPr>
        <w:t>señor Valle</w:t>
      </w:r>
      <w:r w:rsidR="004443D3">
        <w:rPr>
          <w:rFonts w:ascii="Cambria" w:hAnsi="Cambria"/>
          <w:sz w:val="20"/>
          <w:szCs w:val="20"/>
          <w:lang w:val="es-ES"/>
        </w:rPr>
        <w:t>. Según el peticionario, esta clausura</w:t>
      </w:r>
      <w:r w:rsidR="001A00F3">
        <w:rPr>
          <w:rFonts w:ascii="Cambria" w:hAnsi="Cambria"/>
          <w:sz w:val="20"/>
          <w:szCs w:val="20"/>
          <w:lang w:val="es-ES"/>
        </w:rPr>
        <w:t xml:space="preserve"> fue</w:t>
      </w:r>
      <w:r w:rsidR="004443D3">
        <w:rPr>
          <w:rFonts w:ascii="Cambria" w:hAnsi="Cambria"/>
          <w:sz w:val="20"/>
          <w:szCs w:val="20"/>
          <w:lang w:val="es-ES"/>
        </w:rPr>
        <w:t xml:space="preserve"> solicitada</w:t>
      </w:r>
      <w:r w:rsidR="000C074F" w:rsidRPr="007D6A6D">
        <w:rPr>
          <w:rFonts w:ascii="Cambria" w:hAnsi="Cambria"/>
          <w:sz w:val="20"/>
          <w:szCs w:val="20"/>
          <w:lang w:val="es-ES"/>
        </w:rPr>
        <w:t xml:space="preserve"> para</w:t>
      </w:r>
      <w:r w:rsidR="004443D3">
        <w:rPr>
          <w:rFonts w:ascii="Cambria" w:hAnsi="Cambria"/>
          <w:sz w:val="20"/>
          <w:szCs w:val="20"/>
          <w:lang w:val="es-ES"/>
        </w:rPr>
        <w:t xml:space="preserve"> que el Ministerio Público pudiera</w:t>
      </w:r>
      <w:r w:rsidR="000C074F" w:rsidRPr="007D6A6D">
        <w:rPr>
          <w:rFonts w:ascii="Cambria" w:hAnsi="Cambria"/>
          <w:sz w:val="20"/>
          <w:szCs w:val="20"/>
          <w:lang w:val="es-ES"/>
        </w:rPr>
        <w:t xml:space="preserve"> solicitar al Fondo de Tierras información sobre quién </w:t>
      </w:r>
      <w:r w:rsidR="00D86593" w:rsidRPr="007D6A6D">
        <w:rPr>
          <w:rFonts w:ascii="Cambria" w:hAnsi="Cambria"/>
          <w:sz w:val="20"/>
          <w:szCs w:val="20"/>
          <w:lang w:val="es-ES"/>
        </w:rPr>
        <w:t>era</w:t>
      </w:r>
      <w:r w:rsidR="000C074F" w:rsidRPr="007D6A6D">
        <w:rPr>
          <w:rFonts w:ascii="Cambria" w:hAnsi="Cambria"/>
          <w:sz w:val="20"/>
          <w:szCs w:val="20"/>
          <w:lang w:val="es-ES"/>
        </w:rPr>
        <w:t xml:space="preserve"> el propietario del inmueble de </w:t>
      </w:r>
      <w:r w:rsidR="004443D3">
        <w:rPr>
          <w:rFonts w:ascii="Cambria" w:hAnsi="Cambria"/>
          <w:sz w:val="20"/>
          <w:szCs w:val="20"/>
          <w:lang w:val="es-ES"/>
        </w:rPr>
        <w:t>donde se había extraído la madera y</w:t>
      </w:r>
      <w:r w:rsidR="000C074F" w:rsidRPr="007D6A6D">
        <w:rPr>
          <w:rFonts w:ascii="Cambria" w:hAnsi="Cambria"/>
          <w:sz w:val="20"/>
          <w:szCs w:val="20"/>
          <w:lang w:val="es-ES"/>
        </w:rPr>
        <w:t xml:space="preserve">, de no haber propietario, información sobre quién tendría más derecho sobre </w:t>
      </w:r>
      <w:r w:rsidR="004443D3">
        <w:rPr>
          <w:rFonts w:ascii="Cambria" w:hAnsi="Cambria"/>
          <w:sz w:val="20"/>
          <w:szCs w:val="20"/>
          <w:lang w:val="es-ES"/>
        </w:rPr>
        <w:t>ello</w:t>
      </w:r>
      <w:r w:rsidR="000C074F" w:rsidRPr="007D6A6D">
        <w:rPr>
          <w:rFonts w:ascii="Cambria" w:hAnsi="Cambria"/>
          <w:sz w:val="20"/>
          <w:szCs w:val="20"/>
          <w:lang w:val="es-ES"/>
        </w:rPr>
        <w:t xml:space="preserve">. Indica que, en audiencia realizada el 26 de octubre de 2005, </w:t>
      </w:r>
      <w:r w:rsidR="007D6A6D">
        <w:rPr>
          <w:rFonts w:ascii="Cambria" w:hAnsi="Cambria"/>
          <w:sz w:val="20"/>
          <w:szCs w:val="20"/>
          <w:lang w:val="es-ES"/>
        </w:rPr>
        <w:t>el peticionario se</w:t>
      </w:r>
      <w:r w:rsidR="007D6A6D" w:rsidRPr="007D6A6D">
        <w:rPr>
          <w:rFonts w:ascii="Cambria" w:hAnsi="Cambria"/>
          <w:sz w:val="20"/>
          <w:szCs w:val="20"/>
          <w:lang w:val="es-ES"/>
        </w:rPr>
        <w:t xml:space="preserve"> </w:t>
      </w:r>
      <w:r w:rsidR="000C074F" w:rsidRPr="007D6A6D">
        <w:rPr>
          <w:rFonts w:ascii="Cambria" w:hAnsi="Cambria"/>
          <w:sz w:val="20"/>
          <w:szCs w:val="20"/>
          <w:lang w:val="es-ES"/>
        </w:rPr>
        <w:t xml:space="preserve">opuso a esta solicitud pues </w:t>
      </w:r>
      <w:r w:rsidR="007D6A6D">
        <w:rPr>
          <w:rFonts w:ascii="Cambria" w:hAnsi="Cambria"/>
          <w:sz w:val="20"/>
          <w:szCs w:val="20"/>
          <w:lang w:val="es-ES"/>
        </w:rPr>
        <w:t xml:space="preserve">consideraba que </w:t>
      </w:r>
      <w:r w:rsidR="000C074F" w:rsidRPr="007D6A6D">
        <w:rPr>
          <w:rFonts w:ascii="Cambria" w:hAnsi="Cambria"/>
          <w:sz w:val="20"/>
          <w:szCs w:val="20"/>
          <w:lang w:val="es-ES"/>
        </w:rPr>
        <w:t xml:space="preserve">la propiedad de los bienes ya había sido acreditada en autos y una determinación sobre la propiedad del inmueble no era necesaria para que se llevara a cabo la devolución de los bienes muebles incautados. Agrega que en la audiencia el juez a cargo del proceso decidió acceder a la solicitud del Ministerio Público y ordenó la clausura provisional del proceso con respecto al </w:t>
      </w:r>
      <w:r w:rsidR="0024050D" w:rsidRPr="007D6A6D">
        <w:rPr>
          <w:rFonts w:ascii="Cambria" w:hAnsi="Cambria"/>
          <w:sz w:val="20"/>
          <w:szCs w:val="20"/>
          <w:lang w:val="es-ES"/>
        </w:rPr>
        <w:t>señor Valle</w:t>
      </w:r>
      <w:r w:rsidR="000C074F" w:rsidRPr="007D6A6D">
        <w:rPr>
          <w:rFonts w:ascii="Cambria" w:hAnsi="Cambria"/>
          <w:sz w:val="20"/>
          <w:szCs w:val="20"/>
          <w:lang w:val="es-ES"/>
        </w:rPr>
        <w:t xml:space="preserve">. </w:t>
      </w:r>
    </w:p>
    <w:p w14:paraId="3A60F72C" w14:textId="2A6008AF" w:rsidR="000C074F" w:rsidRPr="0049401E" w:rsidRDefault="000C074F" w:rsidP="0049401E">
      <w:pPr>
        <w:numPr>
          <w:ilvl w:val="0"/>
          <w:numId w:val="56"/>
        </w:numPr>
        <w:spacing w:after="240"/>
        <w:jc w:val="both"/>
        <w:rPr>
          <w:rFonts w:asciiTheme="majorHAnsi" w:eastAsia="SimSun" w:hAnsiTheme="majorHAnsi"/>
          <w:sz w:val="20"/>
          <w:szCs w:val="20"/>
          <w:lang w:val="es-ES"/>
        </w:rPr>
      </w:pPr>
      <w:r w:rsidRPr="0049401E">
        <w:rPr>
          <w:rFonts w:ascii="Cambria" w:hAnsi="Cambria"/>
          <w:sz w:val="20"/>
          <w:szCs w:val="20"/>
          <w:lang w:val="es-ES"/>
        </w:rPr>
        <w:lastRenderedPageBreak/>
        <w:t>S</w:t>
      </w:r>
      <w:r w:rsidRPr="0049401E">
        <w:rPr>
          <w:rFonts w:asciiTheme="majorHAnsi" w:hAnsiTheme="majorHAnsi" w:cs="Arial"/>
          <w:sz w:val="20"/>
          <w:szCs w:val="20"/>
          <w:lang w:val="es-ES"/>
        </w:rPr>
        <w:t>imilarmente, indica que, el 24 de enero de 2006, el Ministerio Público, por los mismos motivos, solicitó la clausura provisional del proceso</w:t>
      </w:r>
      <w:r w:rsidR="0069452C">
        <w:rPr>
          <w:rFonts w:asciiTheme="majorHAnsi" w:hAnsiTheme="majorHAnsi" w:cs="Arial"/>
          <w:sz w:val="20"/>
          <w:szCs w:val="20"/>
          <w:lang w:val="es-ES"/>
        </w:rPr>
        <w:t xml:space="preserve"> con respecto al señor Roderico, y que</w:t>
      </w:r>
      <w:r w:rsidRPr="0049401E">
        <w:rPr>
          <w:rFonts w:asciiTheme="majorHAnsi" w:hAnsiTheme="majorHAnsi" w:cs="Arial"/>
          <w:sz w:val="20"/>
          <w:szCs w:val="20"/>
          <w:lang w:val="es-ES"/>
        </w:rPr>
        <w:t xml:space="preserve"> el 2 de marzo de 2006, </w:t>
      </w:r>
      <w:r w:rsidR="0069452C">
        <w:rPr>
          <w:rFonts w:asciiTheme="majorHAnsi" w:hAnsiTheme="majorHAnsi" w:cs="Arial"/>
          <w:sz w:val="20"/>
          <w:szCs w:val="20"/>
          <w:lang w:val="es-ES"/>
        </w:rPr>
        <w:t>el peticionario</w:t>
      </w:r>
      <w:r w:rsidR="008A32F5">
        <w:rPr>
          <w:rFonts w:asciiTheme="majorHAnsi" w:hAnsiTheme="majorHAnsi" w:cs="Arial"/>
          <w:sz w:val="20"/>
          <w:szCs w:val="20"/>
          <w:lang w:val="es-ES"/>
        </w:rPr>
        <w:t xml:space="preserve">, </w:t>
      </w:r>
      <w:r w:rsidR="008A32F5" w:rsidRPr="00EC5551">
        <w:rPr>
          <w:rFonts w:asciiTheme="majorHAnsi" w:hAnsiTheme="majorHAnsi" w:cs="Arial"/>
          <w:sz w:val="20"/>
          <w:szCs w:val="20"/>
          <w:lang w:val="es-ES"/>
        </w:rPr>
        <w:t>asistido por un nuevo abogado</w:t>
      </w:r>
      <w:r w:rsidR="007D6A6D">
        <w:rPr>
          <w:rFonts w:asciiTheme="majorHAnsi" w:hAnsiTheme="majorHAnsi" w:cs="Arial"/>
          <w:sz w:val="20"/>
          <w:szCs w:val="20"/>
          <w:lang w:val="es-ES"/>
        </w:rPr>
        <w:t>,</w:t>
      </w:r>
      <w:r w:rsidR="0069452C">
        <w:rPr>
          <w:rFonts w:asciiTheme="majorHAnsi" w:hAnsiTheme="majorHAnsi" w:cs="Arial"/>
          <w:sz w:val="20"/>
          <w:szCs w:val="20"/>
          <w:lang w:val="es-ES"/>
        </w:rPr>
        <w:t xml:space="preserve"> </w:t>
      </w:r>
      <w:r w:rsidRPr="0049401E">
        <w:rPr>
          <w:rFonts w:asciiTheme="majorHAnsi" w:hAnsiTheme="majorHAnsi" w:cs="Arial"/>
          <w:sz w:val="20"/>
          <w:szCs w:val="20"/>
          <w:lang w:val="es-ES"/>
        </w:rPr>
        <w:t xml:space="preserve">manifestó su concordancia con </w:t>
      </w:r>
      <w:r w:rsidR="0069452C">
        <w:rPr>
          <w:rFonts w:asciiTheme="majorHAnsi" w:hAnsiTheme="majorHAnsi" w:cs="Arial"/>
          <w:sz w:val="20"/>
          <w:szCs w:val="20"/>
          <w:lang w:val="es-ES"/>
        </w:rPr>
        <w:t xml:space="preserve">esta medida </w:t>
      </w:r>
      <w:r w:rsidR="0069452C" w:rsidRPr="00EC5551">
        <w:rPr>
          <w:rFonts w:asciiTheme="majorHAnsi" w:hAnsiTheme="majorHAnsi" w:cs="Arial"/>
          <w:sz w:val="20"/>
          <w:szCs w:val="20"/>
          <w:lang w:val="es-ES"/>
        </w:rPr>
        <w:t xml:space="preserve">pues consideraba pertinente </w:t>
      </w:r>
      <w:r w:rsidR="004443D3" w:rsidRPr="00EC5551">
        <w:rPr>
          <w:rFonts w:asciiTheme="majorHAnsi" w:hAnsiTheme="majorHAnsi" w:cs="Arial"/>
          <w:sz w:val="20"/>
          <w:szCs w:val="20"/>
          <w:lang w:val="es-ES"/>
        </w:rPr>
        <w:t xml:space="preserve">que el </w:t>
      </w:r>
      <w:r w:rsidR="0069452C" w:rsidRPr="00EC5551">
        <w:rPr>
          <w:rFonts w:asciiTheme="majorHAnsi" w:hAnsiTheme="majorHAnsi" w:cs="Arial"/>
          <w:sz w:val="20"/>
          <w:szCs w:val="20"/>
          <w:lang w:val="es-ES"/>
        </w:rPr>
        <w:t>Ministerio Público</w:t>
      </w:r>
      <w:r w:rsidR="004443D3" w:rsidRPr="00EC5551">
        <w:rPr>
          <w:rFonts w:asciiTheme="majorHAnsi" w:hAnsiTheme="majorHAnsi" w:cs="Arial"/>
          <w:sz w:val="20"/>
          <w:szCs w:val="20"/>
          <w:lang w:val="es-ES"/>
        </w:rPr>
        <w:t xml:space="preserve"> solicitar observaciones del Fondo de Tierras y del INAB</w:t>
      </w:r>
      <w:r w:rsidR="007D6A6D" w:rsidRPr="00EC5551">
        <w:rPr>
          <w:rFonts w:asciiTheme="majorHAnsi" w:hAnsiTheme="majorHAnsi" w:cs="Arial"/>
          <w:sz w:val="20"/>
          <w:szCs w:val="20"/>
          <w:lang w:val="es-ES"/>
        </w:rPr>
        <w:t xml:space="preserve"> para aclarar que él y los comuneros no habían talado madera ilegalmente.</w:t>
      </w:r>
    </w:p>
    <w:p w14:paraId="5EF4E21C" w14:textId="4F5502A3" w:rsidR="00E663CC" w:rsidRPr="005D69EB" w:rsidRDefault="00E663CC" w:rsidP="009F0583">
      <w:pPr>
        <w:numPr>
          <w:ilvl w:val="0"/>
          <w:numId w:val="56"/>
        </w:numPr>
        <w:spacing w:after="240"/>
        <w:jc w:val="both"/>
        <w:rPr>
          <w:rFonts w:asciiTheme="majorHAnsi" w:hAnsiTheme="majorHAnsi" w:cs="Arial"/>
          <w:sz w:val="20"/>
          <w:szCs w:val="20"/>
          <w:lang w:val="es-ES"/>
        </w:rPr>
      </w:pPr>
      <w:r w:rsidRPr="005D69EB">
        <w:rPr>
          <w:rFonts w:asciiTheme="majorHAnsi" w:hAnsiTheme="majorHAnsi" w:cs="Arial"/>
          <w:sz w:val="20"/>
          <w:szCs w:val="20"/>
          <w:lang w:val="es-ES"/>
        </w:rPr>
        <w:t>El peticionario indica que</w:t>
      </w:r>
      <w:r w:rsidR="00217641">
        <w:rPr>
          <w:rFonts w:asciiTheme="majorHAnsi" w:hAnsiTheme="majorHAnsi" w:cs="Arial"/>
          <w:sz w:val="20"/>
          <w:szCs w:val="20"/>
          <w:lang w:val="es-ES"/>
        </w:rPr>
        <w:t>,</w:t>
      </w:r>
      <w:r w:rsidRPr="005D69EB">
        <w:rPr>
          <w:rFonts w:asciiTheme="majorHAnsi" w:hAnsiTheme="majorHAnsi" w:cs="Arial"/>
          <w:sz w:val="20"/>
          <w:szCs w:val="20"/>
          <w:lang w:val="es-ES"/>
        </w:rPr>
        <w:t xml:space="preserve"> ante la clausura provisional del proceso, tenía la posibilidad de presentar una apelación o, en su calidad de querellante adhesivo, propor</w:t>
      </w:r>
      <w:r w:rsidR="000710A2" w:rsidRPr="005D69EB">
        <w:rPr>
          <w:rFonts w:asciiTheme="majorHAnsi" w:hAnsiTheme="majorHAnsi" w:cs="Arial"/>
          <w:sz w:val="20"/>
          <w:szCs w:val="20"/>
          <w:lang w:val="es-ES"/>
        </w:rPr>
        <w:t xml:space="preserve">cionar la prueba </w:t>
      </w:r>
      <w:r w:rsidR="00217641">
        <w:rPr>
          <w:rFonts w:asciiTheme="majorHAnsi" w:hAnsiTheme="majorHAnsi" w:cs="Arial"/>
          <w:sz w:val="20"/>
          <w:szCs w:val="20"/>
          <w:lang w:val="es-ES"/>
        </w:rPr>
        <w:t xml:space="preserve">faltante </w:t>
      </w:r>
      <w:r w:rsidR="000710A2" w:rsidRPr="005D69EB">
        <w:rPr>
          <w:rFonts w:asciiTheme="majorHAnsi" w:hAnsiTheme="majorHAnsi" w:cs="Arial"/>
          <w:sz w:val="20"/>
          <w:szCs w:val="20"/>
          <w:lang w:val="es-ES"/>
        </w:rPr>
        <w:t xml:space="preserve">y solicitar la reanudación del proceso en los términos del artículo 331 del Código </w:t>
      </w:r>
      <w:r w:rsidR="008838C6">
        <w:rPr>
          <w:rFonts w:asciiTheme="majorHAnsi" w:hAnsiTheme="majorHAnsi" w:cs="Arial"/>
          <w:sz w:val="20"/>
          <w:szCs w:val="20"/>
          <w:lang w:val="es-ES"/>
        </w:rPr>
        <w:t>Procesal</w:t>
      </w:r>
      <w:r w:rsidR="000710A2" w:rsidRPr="005D69EB">
        <w:rPr>
          <w:rFonts w:asciiTheme="majorHAnsi" w:hAnsiTheme="majorHAnsi" w:cs="Arial"/>
          <w:sz w:val="20"/>
          <w:szCs w:val="20"/>
          <w:lang w:val="es-ES"/>
        </w:rPr>
        <w:t xml:space="preserve"> Penal de Guatemala</w:t>
      </w:r>
      <w:r w:rsidR="008838C6">
        <w:rPr>
          <w:rFonts w:asciiTheme="majorHAnsi" w:hAnsiTheme="majorHAnsi" w:cs="Arial"/>
          <w:sz w:val="20"/>
          <w:szCs w:val="20"/>
          <w:lang w:val="es-ES"/>
        </w:rPr>
        <w:t xml:space="preserve"> (en adelante, “el CPP”)</w:t>
      </w:r>
      <w:r w:rsidR="000710A2" w:rsidRPr="005D69EB">
        <w:rPr>
          <w:rFonts w:asciiTheme="majorHAnsi" w:hAnsiTheme="majorHAnsi" w:cs="Arial"/>
          <w:sz w:val="20"/>
          <w:szCs w:val="20"/>
          <w:lang w:val="es-ES"/>
        </w:rPr>
        <w:t xml:space="preserve">. Indica que optó por la segunda vía y </w:t>
      </w:r>
      <w:r w:rsidR="00EC2530">
        <w:rPr>
          <w:rFonts w:asciiTheme="majorHAnsi" w:hAnsiTheme="majorHAnsi" w:cs="Arial"/>
          <w:sz w:val="20"/>
          <w:szCs w:val="20"/>
          <w:lang w:val="es-ES"/>
        </w:rPr>
        <w:t>que</w:t>
      </w:r>
      <w:r w:rsidR="00217641">
        <w:rPr>
          <w:rFonts w:asciiTheme="majorHAnsi" w:hAnsiTheme="majorHAnsi" w:cs="Arial"/>
          <w:sz w:val="20"/>
          <w:szCs w:val="20"/>
          <w:lang w:val="es-ES"/>
        </w:rPr>
        <w:t>,</w:t>
      </w:r>
      <w:r w:rsidR="00FB331D" w:rsidRPr="005D69EB">
        <w:rPr>
          <w:rFonts w:asciiTheme="majorHAnsi" w:hAnsiTheme="majorHAnsi" w:cs="Arial"/>
          <w:sz w:val="20"/>
          <w:szCs w:val="20"/>
          <w:lang w:val="es-ES"/>
        </w:rPr>
        <w:t xml:space="preserve"> </w:t>
      </w:r>
      <w:r w:rsidR="00217641">
        <w:rPr>
          <w:rFonts w:asciiTheme="majorHAnsi" w:hAnsiTheme="majorHAnsi" w:cs="Arial"/>
          <w:sz w:val="20"/>
          <w:szCs w:val="20"/>
          <w:lang w:val="es-ES"/>
        </w:rPr>
        <w:t>en</w:t>
      </w:r>
      <w:r w:rsidR="00FB331D" w:rsidRPr="005D69EB">
        <w:rPr>
          <w:rFonts w:asciiTheme="majorHAnsi" w:hAnsiTheme="majorHAnsi" w:cs="Arial"/>
          <w:sz w:val="20"/>
          <w:szCs w:val="20"/>
          <w:lang w:val="es-ES"/>
        </w:rPr>
        <w:t xml:space="preserve"> abril de 2006, </w:t>
      </w:r>
      <w:r w:rsidR="00EC2530">
        <w:rPr>
          <w:rFonts w:asciiTheme="majorHAnsi" w:hAnsiTheme="majorHAnsi" w:cs="Arial"/>
          <w:sz w:val="20"/>
          <w:szCs w:val="20"/>
          <w:lang w:val="es-ES"/>
        </w:rPr>
        <w:t>presentó al Juzgado de Alta Verapaz un memorial con</w:t>
      </w:r>
      <w:r w:rsidR="00FB331D" w:rsidRPr="005D69EB">
        <w:rPr>
          <w:rFonts w:asciiTheme="majorHAnsi" w:hAnsiTheme="majorHAnsi" w:cs="Arial"/>
          <w:sz w:val="20"/>
          <w:szCs w:val="20"/>
          <w:lang w:val="es-ES"/>
        </w:rPr>
        <w:t xml:space="preserve"> informes del Fondo de Tierras y del INAB </w:t>
      </w:r>
      <w:r w:rsidR="00EC2530">
        <w:rPr>
          <w:rFonts w:asciiTheme="majorHAnsi" w:hAnsiTheme="majorHAnsi" w:cs="Arial"/>
          <w:sz w:val="20"/>
          <w:szCs w:val="20"/>
          <w:lang w:val="es-ES"/>
        </w:rPr>
        <w:t xml:space="preserve">que </w:t>
      </w:r>
      <w:r w:rsidR="000C074F">
        <w:rPr>
          <w:rFonts w:asciiTheme="majorHAnsi" w:hAnsiTheme="majorHAnsi" w:cs="Arial"/>
          <w:sz w:val="20"/>
          <w:szCs w:val="20"/>
          <w:lang w:val="es-ES"/>
        </w:rPr>
        <w:t>contenían la prueba que faltaba. Indica que en esta fecha</w:t>
      </w:r>
      <w:r w:rsidR="00FB331D" w:rsidRPr="005D69EB">
        <w:rPr>
          <w:rFonts w:asciiTheme="majorHAnsi" w:hAnsiTheme="majorHAnsi" w:cs="Arial"/>
          <w:sz w:val="20"/>
          <w:szCs w:val="20"/>
          <w:lang w:val="es-ES"/>
        </w:rPr>
        <w:t xml:space="preserve"> solicitó </w:t>
      </w:r>
      <w:r w:rsidR="000C074F">
        <w:rPr>
          <w:rFonts w:asciiTheme="majorHAnsi" w:hAnsiTheme="majorHAnsi" w:cs="Arial"/>
          <w:sz w:val="20"/>
          <w:szCs w:val="20"/>
          <w:lang w:val="es-ES"/>
        </w:rPr>
        <w:t xml:space="preserve">que se enviaran los informes </w:t>
      </w:r>
      <w:r w:rsidR="00777AF0">
        <w:rPr>
          <w:rFonts w:asciiTheme="majorHAnsi" w:hAnsiTheme="majorHAnsi" w:cs="Arial"/>
          <w:sz w:val="20"/>
          <w:szCs w:val="20"/>
          <w:lang w:val="es-ES"/>
        </w:rPr>
        <w:t xml:space="preserve">al Ministerio Público para sus </w:t>
      </w:r>
      <w:r w:rsidR="001F2F02">
        <w:rPr>
          <w:rFonts w:asciiTheme="majorHAnsi" w:hAnsiTheme="majorHAnsi" w:cs="Arial"/>
          <w:sz w:val="20"/>
          <w:szCs w:val="20"/>
          <w:lang w:val="es-ES"/>
        </w:rPr>
        <w:t xml:space="preserve">observaciones y </w:t>
      </w:r>
      <w:r w:rsidR="000C074F">
        <w:rPr>
          <w:rFonts w:asciiTheme="majorHAnsi" w:hAnsiTheme="majorHAnsi" w:cs="Arial"/>
          <w:sz w:val="20"/>
          <w:szCs w:val="20"/>
          <w:lang w:val="es-ES"/>
        </w:rPr>
        <w:t xml:space="preserve">que se autorizara la </w:t>
      </w:r>
      <w:r w:rsidR="001F2F02">
        <w:rPr>
          <w:rFonts w:asciiTheme="majorHAnsi" w:hAnsiTheme="majorHAnsi" w:cs="Arial"/>
          <w:sz w:val="20"/>
          <w:szCs w:val="20"/>
          <w:lang w:val="es-ES"/>
        </w:rPr>
        <w:t>reanudación de la persecución penal.</w:t>
      </w:r>
    </w:p>
    <w:p w14:paraId="086F7A3C" w14:textId="7B47E4AE" w:rsidR="008E4B72" w:rsidRDefault="008E4B72" w:rsidP="009F0583">
      <w:pPr>
        <w:numPr>
          <w:ilvl w:val="0"/>
          <w:numId w:val="56"/>
        </w:numPr>
        <w:spacing w:after="240"/>
        <w:jc w:val="both"/>
        <w:rPr>
          <w:rFonts w:asciiTheme="majorHAnsi" w:hAnsiTheme="majorHAnsi" w:cs="Arial"/>
          <w:sz w:val="20"/>
          <w:szCs w:val="20"/>
          <w:lang w:val="es-ES"/>
        </w:rPr>
      </w:pPr>
      <w:r w:rsidRPr="008E4B72">
        <w:rPr>
          <w:rFonts w:asciiTheme="majorHAnsi" w:hAnsiTheme="majorHAnsi" w:cs="Arial"/>
          <w:sz w:val="20"/>
          <w:szCs w:val="20"/>
          <w:lang w:val="es-ES"/>
        </w:rPr>
        <w:t>A</w:t>
      </w:r>
      <w:r>
        <w:rPr>
          <w:rFonts w:asciiTheme="majorHAnsi" w:hAnsiTheme="majorHAnsi" w:cs="Arial"/>
          <w:sz w:val="20"/>
          <w:szCs w:val="20"/>
          <w:lang w:val="es-ES"/>
        </w:rPr>
        <w:t xml:space="preserve">grega </w:t>
      </w:r>
      <w:r w:rsidR="00922DDF">
        <w:rPr>
          <w:rFonts w:asciiTheme="majorHAnsi" w:hAnsiTheme="majorHAnsi" w:cs="Arial"/>
          <w:sz w:val="20"/>
          <w:szCs w:val="20"/>
          <w:lang w:val="es-ES"/>
        </w:rPr>
        <w:t>que</w:t>
      </w:r>
      <w:r w:rsidR="001F2F02">
        <w:rPr>
          <w:rFonts w:asciiTheme="majorHAnsi" w:hAnsiTheme="majorHAnsi" w:cs="Arial"/>
          <w:sz w:val="20"/>
          <w:szCs w:val="20"/>
          <w:lang w:val="es-ES"/>
        </w:rPr>
        <w:t>,</w:t>
      </w:r>
      <w:r w:rsidR="00922DDF">
        <w:rPr>
          <w:rFonts w:asciiTheme="majorHAnsi" w:hAnsiTheme="majorHAnsi" w:cs="Arial"/>
          <w:sz w:val="20"/>
          <w:szCs w:val="20"/>
          <w:lang w:val="es-ES"/>
        </w:rPr>
        <w:t xml:space="preserve"> </w:t>
      </w:r>
      <w:r w:rsidR="001F2F02">
        <w:rPr>
          <w:rFonts w:asciiTheme="majorHAnsi" w:hAnsiTheme="majorHAnsi" w:cs="Arial"/>
          <w:sz w:val="20"/>
          <w:szCs w:val="20"/>
          <w:lang w:val="es-ES"/>
        </w:rPr>
        <w:t xml:space="preserve">ante el silencio del Ministerio Público, </w:t>
      </w:r>
      <w:r w:rsidR="00624233">
        <w:rPr>
          <w:rFonts w:asciiTheme="majorHAnsi" w:hAnsiTheme="majorHAnsi" w:cs="Arial"/>
          <w:sz w:val="20"/>
          <w:szCs w:val="20"/>
          <w:lang w:val="es-ES"/>
        </w:rPr>
        <w:t>en</w:t>
      </w:r>
      <w:r w:rsidR="00922DDF">
        <w:rPr>
          <w:rFonts w:asciiTheme="majorHAnsi" w:hAnsiTheme="majorHAnsi" w:cs="Arial"/>
          <w:sz w:val="20"/>
          <w:szCs w:val="20"/>
          <w:lang w:val="es-ES"/>
        </w:rPr>
        <w:t xml:space="preserve"> mayo de 2006</w:t>
      </w:r>
      <w:r w:rsidR="001F2F02">
        <w:rPr>
          <w:rFonts w:asciiTheme="majorHAnsi" w:hAnsiTheme="majorHAnsi" w:cs="Arial"/>
          <w:sz w:val="20"/>
          <w:szCs w:val="20"/>
          <w:lang w:val="es-ES"/>
        </w:rPr>
        <w:t xml:space="preserve">, </w:t>
      </w:r>
      <w:r w:rsidR="00F812FA">
        <w:rPr>
          <w:rFonts w:asciiTheme="majorHAnsi" w:hAnsiTheme="majorHAnsi" w:cs="Arial"/>
          <w:sz w:val="20"/>
          <w:szCs w:val="20"/>
          <w:lang w:val="es-ES"/>
        </w:rPr>
        <w:t xml:space="preserve">solicitó al </w:t>
      </w:r>
      <w:r w:rsidR="001F2F02">
        <w:rPr>
          <w:rFonts w:asciiTheme="majorHAnsi" w:hAnsiTheme="majorHAnsi" w:cs="Arial"/>
          <w:sz w:val="20"/>
          <w:szCs w:val="20"/>
          <w:lang w:val="es-ES"/>
        </w:rPr>
        <w:t>Juzgado de Alta Verapaz</w:t>
      </w:r>
      <w:r w:rsidR="00F812FA">
        <w:rPr>
          <w:rFonts w:asciiTheme="majorHAnsi" w:hAnsiTheme="majorHAnsi" w:cs="Arial"/>
          <w:sz w:val="20"/>
          <w:szCs w:val="20"/>
          <w:lang w:val="es-ES"/>
        </w:rPr>
        <w:t xml:space="preserve"> que otorgara al Ministerio Público un plazo para </w:t>
      </w:r>
      <w:r w:rsidR="00452FC4">
        <w:rPr>
          <w:rFonts w:asciiTheme="majorHAnsi" w:hAnsiTheme="majorHAnsi" w:cs="Arial"/>
          <w:sz w:val="20"/>
          <w:szCs w:val="20"/>
          <w:lang w:val="es-ES"/>
        </w:rPr>
        <w:t xml:space="preserve">que </w:t>
      </w:r>
      <w:r w:rsidR="001F2F02">
        <w:rPr>
          <w:rFonts w:asciiTheme="majorHAnsi" w:hAnsiTheme="majorHAnsi" w:cs="Arial"/>
          <w:sz w:val="20"/>
          <w:szCs w:val="20"/>
          <w:lang w:val="es-ES"/>
        </w:rPr>
        <w:t xml:space="preserve">éste </w:t>
      </w:r>
      <w:r w:rsidR="00452FC4">
        <w:rPr>
          <w:rFonts w:asciiTheme="majorHAnsi" w:hAnsiTheme="majorHAnsi" w:cs="Arial"/>
          <w:sz w:val="20"/>
          <w:szCs w:val="20"/>
          <w:lang w:val="es-ES"/>
        </w:rPr>
        <w:t>se pronunciara</w:t>
      </w:r>
      <w:r w:rsidR="001F2F02">
        <w:rPr>
          <w:rFonts w:asciiTheme="majorHAnsi" w:hAnsiTheme="majorHAnsi" w:cs="Arial"/>
          <w:sz w:val="20"/>
          <w:szCs w:val="20"/>
          <w:lang w:val="es-ES"/>
        </w:rPr>
        <w:t xml:space="preserve"> sobre el requerimiento de reanudación; solicitud denegada por el Juzgado por entender que</w:t>
      </w:r>
      <w:r w:rsidR="00922DDF">
        <w:rPr>
          <w:rFonts w:asciiTheme="majorHAnsi" w:hAnsiTheme="majorHAnsi" w:cs="Arial"/>
          <w:sz w:val="20"/>
          <w:szCs w:val="20"/>
          <w:lang w:val="es-ES"/>
        </w:rPr>
        <w:t xml:space="preserve"> el Ministerio Público contaba con un plazo de </w:t>
      </w:r>
      <w:r w:rsidR="00D37366">
        <w:rPr>
          <w:rFonts w:asciiTheme="majorHAnsi" w:hAnsiTheme="majorHAnsi" w:cs="Arial"/>
          <w:sz w:val="20"/>
          <w:szCs w:val="20"/>
          <w:lang w:val="es-ES"/>
        </w:rPr>
        <w:t>cinco</w:t>
      </w:r>
      <w:r w:rsidR="00922DDF">
        <w:rPr>
          <w:rFonts w:asciiTheme="majorHAnsi" w:hAnsiTheme="majorHAnsi" w:cs="Arial"/>
          <w:sz w:val="20"/>
          <w:szCs w:val="20"/>
          <w:lang w:val="es-ES"/>
        </w:rPr>
        <w:t xml:space="preserve"> años para</w:t>
      </w:r>
      <w:r w:rsidR="00F812FA">
        <w:rPr>
          <w:rFonts w:asciiTheme="majorHAnsi" w:hAnsiTheme="majorHAnsi" w:cs="Arial"/>
          <w:sz w:val="20"/>
          <w:szCs w:val="20"/>
          <w:lang w:val="es-ES"/>
        </w:rPr>
        <w:t xml:space="preserve"> decidir sobre</w:t>
      </w:r>
      <w:r w:rsidR="00922DDF">
        <w:rPr>
          <w:rFonts w:asciiTheme="majorHAnsi" w:hAnsiTheme="majorHAnsi" w:cs="Arial"/>
          <w:sz w:val="20"/>
          <w:szCs w:val="20"/>
          <w:lang w:val="es-ES"/>
        </w:rPr>
        <w:t xml:space="preserve"> </w:t>
      </w:r>
      <w:r w:rsidR="00F812FA">
        <w:rPr>
          <w:rFonts w:asciiTheme="majorHAnsi" w:hAnsiTheme="majorHAnsi" w:cs="Arial"/>
          <w:sz w:val="20"/>
          <w:szCs w:val="20"/>
          <w:lang w:val="es-ES"/>
        </w:rPr>
        <w:t>la reanudación de</w:t>
      </w:r>
      <w:r w:rsidR="00922DDF">
        <w:rPr>
          <w:rFonts w:asciiTheme="majorHAnsi" w:hAnsiTheme="majorHAnsi" w:cs="Arial"/>
          <w:sz w:val="20"/>
          <w:szCs w:val="20"/>
          <w:lang w:val="es-ES"/>
        </w:rPr>
        <w:t xml:space="preserve"> la persecución</w:t>
      </w:r>
      <w:r w:rsidR="00F812FA">
        <w:rPr>
          <w:rFonts w:asciiTheme="majorHAnsi" w:hAnsiTheme="majorHAnsi" w:cs="Arial"/>
          <w:sz w:val="20"/>
          <w:szCs w:val="20"/>
          <w:lang w:val="es-ES"/>
        </w:rPr>
        <w:t xml:space="preserve"> penal. Afirma </w:t>
      </w:r>
      <w:r w:rsidR="001F2F02">
        <w:rPr>
          <w:rFonts w:asciiTheme="majorHAnsi" w:hAnsiTheme="majorHAnsi" w:cs="Arial"/>
          <w:sz w:val="20"/>
          <w:szCs w:val="20"/>
          <w:lang w:val="es-ES"/>
        </w:rPr>
        <w:t>que</w:t>
      </w:r>
      <w:r w:rsidR="00452FC4">
        <w:rPr>
          <w:rFonts w:asciiTheme="majorHAnsi" w:hAnsiTheme="majorHAnsi" w:cs="Arial"/>
          <w:sz w:val="20"/>
          <w:szCs w:val="20"/>
          <w:lang w:val="es-ES"/>
        </w:rPr>
        <w:t xml:space="preserve"> interpuso un recurso de reposición que </w:t>
      </w:r>
      <w:r w:rsidR="00D37366">
        <w:rPr>
          <w:rFonts w:asciiTheme="majorHAnsi" w:hAnsiTheme="majorHAnsi" w:cs="Arial"/>
          <w:sz w:val="20"/>
          <w:szCs w:val="20"/>
          <w:lang w:val="es-ES"/>
        </w:rPr>
        <w:t>fue resuelto</w:t>
      </w:r>
      <w:r w:rsidR="00452FC4">
        <w:rPr>
          <w:rFonts w:asciiTheme="majorHAnsi" w:hAnsiTheme="majorHAnsi" w:cs="Arial"/>
          <w:sz w:val="20"/>
          <w:szCs w:val="20"/>
          <w:lang w:val="es-ES"/>
        </w:rPr>
        <w:t xml:space="preserve"> de forma favorable y que </w:t>
      </w:r>
      <w:r w:rsidR="00723BCB">
        <w:rPr>
          <w:rFonts w:asciiTheme="majorHAnsi" w:hAnsiTheme="majorHAnsi" w:cs="Arial"/>
          <w:sz w:val="20"/>
          <w:szCs w:val="20"/>
          <w:lang w:val="es-ES"/>
        </w:rPr>
        <w:t>el 2</w:t>
      </w:r>
      <w:r w:rsidR="00397428">
        <w:rPr>
          <w:rFonts w:asciiTheme="majorHAnsi" w:hAnsiTheme="majorHAnsi" w:cs="Arial"/>
          <w:sz w:val="20"/>
          <w:szCs w:val="20"/>
          <w:lang w:val="es-ES"/>
        </w:rPr>
        <w:t>2</w:t>
      </w:r>
      <w:r w:rsidR="00723BCB">
        <w:rPr>
          <w:rFonts w:asciiTheme="majorHAnsi" w:hAnsiTheme="majorHAnsi" w:cs="Arial"/>
          <w:sz w:val="20"/>
          <w:szCs w:val="20"/>
          <w:lang w:val="es-ES"/>
        </w:rPr>
        <w:t xml:space="preserve"> de junio de 2006</w:t>
      </w:r>
      <w:r w:rsidR="00452FC4">
        <w:rPr>
          <w:rFonts w:asciiTheme="majorHAnsi" w:hAnsiTheme="majorHAnsi" w:cs="Arial"/>
          <w:sz w:val="20"/>
          <w:szCs w:val="20"/>
          <w:lang w:val="es-ES"/>
        </w:rPr>
        <w:t xml:space="preserve"> </w:t>
      </w:r>
      <w:r w:rsidR="00723BCB">
        <w:rPr>
          <w:rFonts w:asciiTheme="majorHAnsi" w:hAnsiTheme="majorHAnsi" w:cs="Arial"/>
          <w:sz w:val="20"/>
          <w:szCs w:val="20"/>
          <w:lang w:val="es-ES"/>
        </w:rPr>
        <w:t>el Ministerio Público solicitó al juez que permitiera la reanudación de la investigación</w:t>
      </w:r>
      <w:r w:rsidR="004B256B">
        <w:rPr>
          <w:rFonts w:asciiTheme="majorHAnsi" w:hAnsiTheme="majorHAnsi" w:cs="Arial"/>
          <w:sz w:val="20"/>
          <w:szCs w:val="20"/>
          <w:lang w:val="es-ES"/>
        </w:rPr>
        <w:t xml:space="preserve">; solicitud atendida </w:t>
      </w:r>
      <w:r w:rsidR="00397428">
        <w:rPr>
          <w:rFonts w:asciiTheme="majorHAnsi" w:hAnsiTheme="majorHAnsi" w:cs="Arial"/>
          <w:sz w:val="20"/>
          <w:szCs w:val="20"/>
          <w:lang w:val="es-ES"/>
        </w:rPr>
        <w:t>en esta misma fecha</w:t>
      </w:r>
      <w:r w:rsidR="00F812FA">
        <w:rPr>
          <w:rFonts w:asciiTheme="majorHAnsi" w:hAnsiTheme="majorHAnsi" w:cs="Arial"/>
          <w:sz w:val="20"/>
          <w:szCs w:val="20"/>
          <w:lang w:val="es-ES"/>
        </w:rPr>
        <w:t xml:space="preserve">. </w:t>
      </w:r>
    </w:p>
    <w:p w14:paraId="7A5E10AB" w14:textId="0BECF72C" w:rsidR="00EE501C" w:rsidRPr="00EE501C" w:rsidRDefault="004B256B" w:rsidP="009F0583">
      <w:pPr>
        <w:numPr>
          <w:ilvl w:val="0"/>
          <w:numId w:val="56"/>
        </w:numPr>
        <w:spacing w:after="240"/>
        <w:jc w:val="both"/>
        <w:rPr>
          <w:rFonts w:asciiTheme="majorHAnsi" w:hAnsiTheme="majorHAnsi" w:cs="Arial"/>
          <w:color w:val="FF0000"/>
          <w:sz w:val="20"/>
          <w:szCs w:val="20"/>
          <w:lang w:val="es-ES"/>
        </w:rPr>
      </w:pPr>
      <w:r w:rsidRPr="004B256B">
        <w:rPr>
          <w:rFonts w:asciiTheme="majorHAnsi" w:hAnsiTheme="majorHAnsi" w:cs="Arial"/>
          <w:sz w:val="20"/>
          <w:szCs w:val="20"/>
          <w:lang w:val="es-ES"/>
        </w:rPr>
        <w:t>Se</w:t>
      </w:r>
      <w:r>
        <w:rPr>
          <w:rFonts w:asciiTheme="majorHAnsi" w:hAnsiTheme="majorHAnsi" w:cs="Arial"/>
          <w:sz w:val="20"/>
          <w:szCs w:val="20"/>
          <w:lang w:val="es-ES"/>
        </w:rPr>
        <w:t xml:space="preserve">ñala que, a pesar de la reanudación de la persecución penal, el Ministerio Público continuó sin actuar y </w:t>
      </w:r>
      <w:r w:rsidR="00452FC4">
        <w:rPr>
          <w:rFonts w:asciiTheme="majorHAnsi" w:hAnsiTheme="majorHAnsi" w:cs="Arial"/>
          <w:sz w:val="20"/>
          <w:szCs w:val="20"/>
          <w:lang w:val="es-ES"/>
        </w:rPr>
        <w:t xml:space="preserve">que, entre junio de 2006 y la fecha de presentación de su petición ante la CIDH en febrero de 2008, intentó diversas medidas para promover la persecución penal. Agrega que a pesar de sus esfuerzos, la persecución penal no fue promovida por el Ministerio Público y que </w:t>
      </w:r>
      <w:r w:rsidR="00452FC4" w:rsidRPr="00AE7627">
        <w:rPr>
          <w:rFonts w:asciiTheme="majorHAnsi" w:hAnsiTheme="majorHAnsi" w:cs="Arial"/>
          <w:sz w:val="20"/>
          <w:szCs w:val="20"/>
          <w:lang w:val="es-ES"/>
        </w:rPr>
        <w:t xml:space="preserve">la clausura provisional se </w:t>
      </w:r>
      <w:r w:rsidR="00452FC4">
        <w:rPr>
          <w:rFonts w:asciiTheme="majorHAnsi" w:hAnsiTheme="majorHAnsi" w:cs="Arial"/>
          <w:sz w:val="20"/>
          <w:szCs w:val="20"/>
          <w:lang w:val="es-ES"/>
        </w:rPr>
        <w:t>convirtió</w:t>
      </w:r>
      <w:r w:rsidR="00452FC4" w:rsidRPr="00AE7627">
        <w:rPr>
          <w:rFonts w:asciiTheme="majorHAnsi" w:hAnsiTheme="majorHAnsi" w:cs="Arial"/>
          <w:sz w:val="20"/>
          <w:szCs w:val="20"/>
          <w:lang w:val="es-ES"/>
        </w:rPr>
        <w:t xml:space="preserve"> en un sobreseimiento definitivo</w:t>
      </w:r>
      <w:r w:rsidR="00452FC4">
        <w:rPr>
          <w:rFonts w:asciiTheme="majorHAnsi" w:hAnsiTheme="majorHAnsi" w:cs="Arial"/>
          <w:sz w:val="20"/>
          <w:szCs w:val="20"/>
          <w:lang w:val="es-ES"/>
        </w:rPr>
        <w:t xml:space="preserve"> </w:t>
      </w:r>
      <w:r w:rsidR="00452FC4" w:rsidRPr="00AE7627">
        <w:rPr>
          <w:rFonts w:asciiTheme="majorHAnsi" w:hAnsiTheme="majorHAnsi" w:cs="Arial"/>
          <w:sz w:val="20"/>
          <w:szCs w:val="20"/>
          <w:lang w:val="es-ES"/>
        </w:rPr>
        <w:t xml:space="preserve">de la persecución penal en contra de los </w:t>
      </w:r>
      <w:r w:rsidR="0024050D">
        <w:rPr>
          <w:rFonts w:asciiTheme="majorHAnsi" w:hAnsiTheme="majorHAnsi" w:cs="Arial"/>
          <w:sz w:val="20"/>
          <w:szCs w:val="20"/>
          <w:lang w:val="es-ES"/>
        </w:rPr>
        <w:t>señores Valle</w:t>
      </w:r>
      <w:r w:rsidR="00452FC4" w:rsidRPr="00AE7627">
        <w:rPr>
          <w:rFonts w:asciiTheme="majorHAnsi" w:hAnsiTheme="majorHAnsi" w:cs="Arial"/>
          <w:sz w:val="20"/>
          <w:szCs w:val="20"/>
          <w:lang w:val="es-ES"/>
        </w:rPr>
        <w:t xml:space="preserve"> y Roderico, respectivamente</w:t>
      </w:r>
      <w:r w:rsidR="00452FC4">
        <w:rPr>
          <w:rFonts w:asciiTheme="majorHAnsi" w:hAnsiTheme="majorHAnsi" w:cs="Arial"/>
          <w:sz w:val="20"/>
          <w:szCs w:val="20"/>
          <w:lang w:val="es-ES"/>
        </w:rPr>
        <w:t xml:space="preserve">, el </w:t>
      </w:r>
      <w:r w:rsidR="00452FC4" w:rsidRPr="00AE7627">
        <w:rPr>
          <w:rFonts w:asciiTheme="majorHAnsi" w:hAnsiTheme="majorHAnsi" w:cs="Arial"/>
          <w:sz w:val="20"/>
          <w:szCs w:val="20"/>
          <w:lang w:val="es-ES"/>
        </w:rPr>
        <w:t xml:space="preserve">27 de octubre de 2010 y 2 de marzo de 2011, debido al transcurso de </w:t>
      </w:r>
      <w:r w:rsidR="00D37366">
        <w:rPr>
          <w:rFonts w:asciiTheme="majorHAnsi" w:hAnsiTheme="majorHAnsi" w:cs="Arial"/>
          <w:sz w:val="20"/>
          <w:szCs w:val="20"/>
          <w:lang w:val="es-ES"/>
        </w:rPr>
        <w:t>cinco a</w:t>
      </w:r>
      <w:r w:rsidR="00452FC4" w:rsidRPr="00AE7627">
        <w:rPr>
          <w:rFonts w:asciiTheme="majorHAnsi" w:hAnsiTheme="majorHAnsi" w:cs="Arial"/>
          <w:sz w:val="20"/>
          <w:szCs w:val="20"/>
          <w:lang w:val="es-ES"/>
        </w:rPr>
        <w:t>ños desde que se había autorizado la clausura provisional</w:t>
      </w:r>
      <w:r w:rsidR="00452FC4">
        <w:rPr>
          <w:rFonts w:asciiTheme="majorHAnsi" w:hAnsiTheme="majorHAnsi" w:cs="Arial"/>
          <w:sz w:val="20"/>
          <w:szCs w:val="20"/>
          <w:lang w:val="es-ES"/>
        </w:rPr>
        <w:t xml:space="preserve"> conforme el artículo </w:t>
      </w:r>
      <w:r w:rsidR="008838C6" w:rsidRPr="008838C6">
        <w:rPr>
          <w:rFonts w:asciiTheme="majorHAnsi" w:hAnsiTheme="majorHAnsi" w:cs="Arial"/>
          <w:sz w:val="20"/>
          <w:szCs w:val="20"/>
          <w:lang w:val="es-ES"/>
        </w:rPr>
        <w:t>345 quá</w:t>
      </w:r>
      <w:r w:rsidR="00452FC4" w:rsidRPr="008838C6">
        <w:rPr>
          <w:rFonts w:asciiTheme="majorHAnsi" w:hAnsiTheme="majorHAnsi" w:cs="Arial"/>
          <w:sz w:val="20"/>
          <w:szCs w:val="20"/>
          <w:lang w:val="es-ES"/>
        </w:rPr>
        <w:t>ter</w:t>
      </w:r>
      <w:r w:rsidR="008838C6">
        <w:rPr>
          <w:rFonts w:asciiTheme="majorHAnsi" w:hAnsiTheme="majorHAnsi" w:cs="Arial"/>
          <w:sz w:val="20"/>
          <w:szCs w:val="20"/>
          <w:lang w:val="es-ES"/>
        </w:rPr>
        <w:t>.</w:t>
      </w:r>
      <w:r w:rsidR="00452FC4">
        <w:rPr>
          <w:rFonts w:asciiTheme="majorHAnsi" w:hAnsiTheme="majorHAnsi" w:cs="Arial"/>
          <w:sz w:val="20"/>
          <w:szCs w:val="20"/>
          <w:lang w:val="es-ES"/>
        </w:rPr>
        <w:t xml:space="preserve"> del </w:t>
      </w:r>
      <w:r w:rsidR="008838C6">
        <w:rPr>
          <w:rFonts w:asciiTheme="majorHAnsi" w:hAnsiTheme="majorHAnsi" w:cs="Arial"/>
          <w:sz w:val="20"/>
          <w:szCs w:val="20"/>
          <w:lang w:val="es-ES"/>
        </w:rPr>
        <w:t>CPP.</w:t>
      </w:r>
      <w:r w:rsidR="001937F1" w:rsidRPr="001937F1">
        <w:rPr>
          <w:rFonts w:ascii="Cambria" w:hAnsi="Cambria"/>
          <w:sz w:val="20"/>
          <w:szCs w:val="20"/>
          <w:lang w:val="es-ES"/>
        </w:rPr>
        <w:t xml:space="preserve"> </w:t>
      </w:r>
      <w:r w:rsidR="00EE501C">
        <w:rPr>
          <w:rFonts w:ascii="Cambria" w:hAnsi="Cambria"/>
          <w:sz w:val="20"/>
          <w:szCs w:val="20"/>
          <w:lang w:val="es-ES"/>
        </w:rPr>
        <w:t xml:space="preserve">Considera, por tanto, </w:t>
      </w:r>
      <w:r w:rsidR="00EE501C" w:rsidRPr="00AE7627">
        <w:rPr>
          <w:rFonts w:ascii="Cambria" w:hAnsi="Cambria"/>
          <w:sz w:val="20"/>
          <w:szCs w:val="20"/>
          <w:lang w:val="es-ES"/>
        </w:rPr>
        <w:t>que los recursos en el ámbito interno se encuentran agotados</w:t>
      </w:r>
      <w:r w:rsidR="00EE501C">
        <w:rPr>
          <w:rFonts w:ascii="Cambria" w:hAnsi="Cambria"/>
          <w:sz w:val="20"/>
          <w:szCs w:val="20"/>
          <w:lang w:val="es-ES"/>
        </w:rPr>
        <w:t>.</w:t>
      </w:r>
    </w:p>
    <w:p w14:paraId="00C5B230" w14:textId="46D748A9" w:rsidR="000D1F16" w:rsidRPr="001A11E3" w:rsidRDefault="001937F1" w:rsidP="001A11E3">
      <w:pPr>
        <w:numPr>
          <w:ilvl w:val="0"/>
          <w:numId w:val="56"/>
        </w:numPr>
        <w:spacing w:after="240"/>
        <w:jc w:val="both"/>
        <w:rPr>
          <w:rFonts w:asciiTheme="majorHAnsi" w:hAnsiTheme="majorHAnsi" w:cs="Arial"/>
          <w:color w:val="FF0000"/>
          <w:sz w:val="20"/>
          <w:szCs w:val="20"/>
          <w:lang w:val="es-ES"/>
        </w:rPr>
      </w:pPr>
      <w:r>
        <w:rPr>
          <w:rFonts w:asciiTheme="majorHAnsi" w:hAnsiTheme="majorHAnsi" w:cs="Arial"/>
          <w:color w:val="000000" w:themeColor="text1"/>
          <w:sz w:val="20"/>
          <w:szCs w:val="20"/>
          <w:lang w:val="es-ES"/>
        </w:rPr>
        <w:t xml:space="preserve">Indica que </w:t>
      </w:r>
      <w:r w:rsidR="000D1F16">
        <w:rPr>
          <w:rFonts w:asciiTheme="majorHAnsi" w:hAnsiTheme="majorHAnsi" w:cs="Arial"/>
          <w:color w:val="000000" w:themeColor="text1"/>
          <w:sz w:val="20"/>
          <w:szCs w:val="20"/>
          <w:lang w:val="es-ES"/>
        </w:rPr>
        <w:t>todo lo anterior le ocasionó un</w:t>
      </w:r>
      <w:r>
        <w:rPr>
          <w:rFonts w:asciiTheme="majorHAnsi" w:hAnsiTheme="majorHAnsi" w:cs="Arial"/>
          <w:color w:val="000000" w:themeColor="text1"/>
          <w:sz w:val="20"/>
          <w:szCs w:val="20"/>
          <w:lang w:val="es-ES"/>
        </w:rPr>
        <w:t xml:space="preserve"> gran perjuicio</w:t>
      </w:r>
      <w:r w:rsidR="00AE3264">
        <w:rPr>
          <w:rFonts w:asciiTheme="majorHAnsi" w:hAnsiTheme="majorHAnsi" w:cs="Arial"/>
          <w:color w:val="000000" w:themeColor="text1"/>
          <w:sz w:val="20"/>
          <w:szCs w:val="20"/>
          <w:lang w:val="es-ES"/>
        </w:rPr>
        <w:t xml:space="preserve">. </w:t>
      </w:r>
      <w:r w:rsidR="000D1F16">
        <w:rPr>
          <w:rFonts w:asciiTheme="majorHAnsi" w:hAnsiTheme="majorHAnsi" w:cs="Arial"/>
          <w:color w:val="000000" w:themeColor="text1"/>
          <w:sz w:val="20"/>
          <w:szCs w:val="20"/>
          <w:lang w:val="es-ES"/>
        </w:rPr>
        <w:t xml:space="preserve">Al respecto, indica que dependía de su negocio de tala de madera y su aserradero móvil para la subsistencia de su familia. Afirma que, además del perjuicio económico sufrido por la desaparición de sus bienes, él se vio impedido de seguir con su negocio y no pudo cumplir con </w:t>
      </w:r>
      <w:r w:rsidR="008C424A">
        <w:rPr>
          <w:rFonts w:asciiTheme="majorHAnsi" w:hAnsiTheme="majorHAnsi" w:cs="Arial"/>
          <w:color w:val="000000" w:themeColor="text1"/>
          <w:sz w:val="20"/>
          <w:szCs w:val="20"/>
          <w:lang w:val="es-ES"/>
        </w:rPr>
        <w:t>contratos firmado</w:t>
      </w:r>
      <w:r w:rsidR="00D37366">
        <w:rPr>
          <w:rFonts w:asciiTheme="majorHAnsi" w:hAnsiTheme="majorHAnsi" w:cs="Arial"/>
          <w:color w:val="000000" w:themeColor="text1"/>
          <w:sz w:val="20"/>
          <w:szCs w:val="20"/>
          <w:lang w:val="es-ES"/>
        </w:rPr>
        <w:t>s</w:t>
      </w:r>
      <w:r w:rsidR="008C424A">
        <w:rPr>
          <w:rFonts w:asciiTheme="majorHAnsi" w:hAnsiTheme="majorHAnsi" w:cs="Arial"/>
          <w:color w:val="000000" w:themeColor="text1"/>
          <w:sz w:val="20"/>
          <w:szCs w:val="20"/>
          <w:lang w:val="es-ES"/>
        </w:rPr>
        <w:t xml:space="preserve"> con empresas de Japón y Estados Unidos. </w:t>
      </w:r>
      <w:r w:rsidR="001A11E3">
        <w:rPr>
          <w:rFonts w:asciiTheme="majorHAnsi" w:hAnsiTheme="majorHAnsi" w:cs="Arial"/>
          <w:color w:val="000000" w:themeColor="text1"/>
          <w:sz w:val="20"/>
          <w:szCs w:val="20"/>
          <w:lang w:val="es-ES"/>
        </w:rPr>
        <w:t xml:space="preserve">Indica además que tuvo que endeudarse para poder intervenir en el proceso interno. </w:t>
      </w:r>
      <w:r w:rsidR="001A11E3" w:rsidRPr="001A11E3">
        <w:rPr>
          <w:rFonts w:asciiTheme="majorHAnsi" w:hAnsiTheme="majorHAnsi" w:cs="Arial"/>
          <w:color w:val="000000" w:themeColor="text1"/>
          <w:sz w:val="20"/>
          <w:szCs w:val="20"/>
          <w:lang w:val="es-ES"/>
        </w:rPr>
        <w:t xml:space="preserve">Señala que </w:t>
      </w:r>
      <w:r w:rsidR="001A11E3">
        <w:rPr>
          <w:rFonts w:asciiTheme="majorHAnsi" w:hAnsiTheme="majorHAnsi" w:cs="Arial"/>
          <w:color w:val="000000" w:themeColor="text1"/>
          <w:sz w:val="20"/>
          <w:szCs w:val="20"/>
          <w:lang w:val="es-ES"/>
        </w:rPr>
        <w:t xml:space="preserve">también </w:t>
      </w:r>
      <w:r w:rsidR="001A11E3" w:rsidRPr="001A11E3">
        <w:rPr>
          <w:rFonts w:asciiTheme="majorHAnsi" w:hAnsiTheme="majorHAnsi" w:cs="Arial"/>
          <w:color w:val="000000" w:themeColor="text1"/>
          <w:sz w:val="20"/>
          <w:szCs w:val="20"/>
          <w:lang w:val="es-ES"/>
        </w:rPr>
        <w:t>sufrió</w:t>
      </w:r>
      <w:r w:rsidR="001A11E3">
        <w:rPr>
          <w:rFonts w:asciiTheme="majorHAnsi" w:hAnsiTheme="majorHAnsi" w:cs="Arial"/>
          <w:color w:val="000000" w:themeColor="text1"/>
          <w:sz w:val="20"/>
          <w:szCs w:val="20"/>
          <w:lang w:val="es-ES"/>
        </w:rPr>
        <w:t xml:space="preserve"> dos atentados </w:t>
      </w:r>
      <w:r w:rsidR="001A11E3" w:rsidRPr="001A11E3">
        <w:rPr>
          <w:rFonts w:asciiTheme="majorHAnsi" w:hAnsiTheme="majorHAnsi" w:cs="Arial"/>
          <w:color w:val="000000" w:themeColor="text1"/>
          <w:sz w:val="20"/>
          <w:szCs w:val="20"/>
          <w:lang w:val="es-ES"/>
        </w:rPr>
        <w:t xml:space="preserve">contra su vida, que sus tierras fueron tomadas por narcotraficantes y que en 2012 el alcalde de la municipalidad de Chahal, Alta Verapaz, destruyó las bodegas en donde tenía guardado sus productos. </w:t>
      </w:r>
      <w:r w:rsidR="00981BA7">
        <w:rPr>
          <w:rFonts w:asciiTheme="majorHAnsi" w:hAnsiTheme="majorHAnsi" w:cs="Arial"/>
          <w:color w:val="000000" w:themeColor="text1"/>
          <w:sz w:val="20"/>
          <w:szCs w:val="20"/>
          <w:lang w:val="es-ES"/>
        </w:rPr>
        <w:t>Indica que tuvo que dejar su país en razón de todo lo ocurrido y emigrar a Estados Unidos.</w:t>
      </w:r>
    </w:p>
    <w:p w14:paraId="01D9BEB8" w14:textId="5A2D97D9" w:rsidR="001937F1" w:rsidRPr="001A11E3" w:rsidRDefault="001A11E3" w:rsidP="001A11E3">
      <w:pPr>
        <w:numPr>
          <w:ilvl w:val="0"/>
          <w:numId w:val="56"/>
        </w:numPr>
        <w:spacing w:after="240"/>
        <w:jc w:val="both"/>
        <w:rPr>
          <w:rFonts w:asciiTheme="majorHAnsi" w:hAnsiTheme="majorHAnsi" w:cs="Arial"/>
          <w:color w:val="FF0000"/>
          <w:sz w:val="20"/>
          <w:szCs w:val="20"/>
          <w:lang w:val="es-ES"/>
        </w:rPr>
      </w:pPr>
      <w:r>
        <w:rPr>
          <w:rFonts w:ascii="Cambria" w:hAnsi="Cambria"/>
          <w:sz w:val="20"/>
          <w:szCs w:val="20"/>
          <w:lang w:val="es-ES"/>
        </w:rPr>
        <w:t xml:space="preserve">Aduce que </w:t>
      </w:r>
      <w:r w:rsidR="00EE501C">
        <w:rPr>
          <w:rFonts w:ascii="Cambria" w:hAnsi="Cambria"/>
          <w:sz w:val="20"/>
          <w:szCs w:val="20"/>
          <w:lang w:val="es-ES"/>
        </w:rPr>
        <w:t xml:space="preserve">las autoridades nunca tuvieron interés en llevar a cabo la persecución penal contra los </w:t>
      </w:r>
      <w:r w:rsidR="0024050D">
        <w:rPr>
          <w:rFonts w:ascii="Cambria" w:hAnsi="Cambria"/>
          <w:sz w:val="20"/>
          <w:szCs w:val="20"/>
          <w:lang w:val="es-ES"/>
        </w:rPr>
        <w:t>señores Valle</w:t>
      </w:r>
      <w:r>
        <w:rPr>
          <w:rFonts w:ascii="Cambria" w:hAnsi="Cambria"/>
          <w:sz w:val="20"/>
          <w:szCs w:val="20"/>
          <w:lang w:val="es-ES"/>
        </w:rPr>
        <w:t xml:space="preserve"> y Roderico o de devolverle sus bienes y</w:t>
      </w:r>
      <w:r w:rsidR="00EE501C">
        <w:rPr>
          <w:rFonts w:ascii="Cambria" w:hAnsi="Cambria"/>
          <w:sz w:val="20"/>
          <w:szCs w:val="20"/>
          <w:lang w:val="es-ES"/>
        </w:rPr>
        <w:t xml:space="preserve"> que sólo esperaban el transcurso de tiempo para que se diera el sobreseimiento del proceso.</w:t>
      </w:r>
      <w:r>
        <w:rPr>
          <w:rFonts w:asciiTheme="majorHAnsi" w:hAnsiTheme="majorHAnsi" w:cs="Arial"/>
          <w:color w:val="FF0000"/>
          <w:sz w:val="20"/>
          <w:szCs w:val="20"/>
          <w:lang w:val="es-ES"/>
        </w:rPr>
        <w:t xml:space="preserve"> </w:t>
      </w:r>
      <w:r w:rsidR="004E5A3B" w:rsidRPr="001A11E3">
        <w:rPr>
          <w:rFonts w:asciiTheme="majorHAnsi" w:hAnsiTheme="majorHAnsi" w:cs="Arial"/>
          <w:color w:val="000000" w:themeColor="text1"/>
          <w:sz w:val="20"/>
          <w:szCs w:val="20"/>
          <w:lang w:val="es-ES"/>
        </w:rPr>
        <w:t>Afirma además que esta no fue la primera vez que tuvo problemas con la incautación de madera que le pertenecía. En ese sentido, indica que en noviembre de 2002 la policía confiscó un camión y madera de su propiedad y que tampoco logró recuperar estos bienes.</w:t>
      </w:r>
    </w:p>
    <w:p w14:paraId="51C9B401" w14:textId="6F048175" w:rsidR="0063685A" w:rsidRPr="00AE7627" w:rsidRDefault="001937F1" w:rsidP="005B4BAB">
      <w:pPr>
        <w:numPr>
          <w:ilvl w:val="0"/>
          <w:numId w:val="56"/>
        </w:numPr>
        <w:spacing w:after="240"/>
        <w:jc w:val="both"/>
        <w:rPr>
          <w:rFonts w:asciiTheme="majorHAnsi" w:hAnsiTheme="majorHAnsi" w:cs="Arial"/>
          <w:color w:val="FF0000"/>
          <w:sz w:val="20"/>
          <w:szCs w:val="20"/>
          <w:lang w:val="es-ES"/>
        </w:rPr>
      </w:pPr>
      <w:r>
        <w:rPr>
          <w:rFonts w:asciiTheme="majorHAnsi" w:hAnsiTheme="majorHAnsi" w:cs="Arial"/>
          <w:sz w:val="20"/>
          <w:szCs w:val="20"/>
          <w:lang w:val="es-ES"/>
        </w:rPr>
        <w:t>Ante todo lo anterior</w:t>
      </w:r>
      <w:r w:rsidR="005B4BAB" w:rsidRPr="00AE7627">
        <w:rPr>
          <w:rFonts w:ascii="Cambria" w:hAnsi="Cambria"/>
          <w:sz w:val="20"/>
          <w:szCs w:val="20"/>
          <w:lang w:val="es-ES"/>
        </w:rPr>
        <w:t xml:space="preserve">, el peticionario </w:t>
      </w:r>
      <w:r w:rsidR="00D85AFB">
        <w:rPr>
          <w:rFonts w:ascii="Cambria" w:hAnsi="Cambria"/>
          <w:sz w:val="20"/>
          <w:szCs w:val="20"/>
          <w:lang w:val="es-ES"/>
        </w:rPr>
        <w:t>alega</w:t>
      </w:r>
      <w:r w:rsidR="005B4BAB" w:rsidRPr="00AE7627">
        <w:rPr>
          <w:rFonts w:ascii="Cambria" w:hAnsi="Cambria"/>
          <w:sz w:val="20"/>
          <w:szCs w:val="20"/>
          <w:lang w:val="es-ES"/>
        </w:rPr>
        <w:t xml:space="preserve"> que Guatemala es internacionalmente </w:t>
      </w:r>
      <w:r w:rsidR="00D85AFB">
        <w:rPr>
          <w:rFonts w:ascii="Cambria" w:hAnsi="Cambria"/>
          <w:sz w:val="20"/>
          <w:szCs w:val="20"/>
          <w:lang w:val="es-ES"/>
        </w:rPr>
        <w:t xml:space="preserve">responsable </w:t>
      </w:r>
      <w:r w:rsidR="005B4BAB" w:rsidRPr="00AE7627">
        <w:rPr>
          <w:rFonts w:ascii="Cambria" w:hAnsi="Cambria"/>
          <w:sz w:val="20"/>
          <w:szCs w:val="20"/>
          <w:lang w:val="es-ES"/>
        </w:rPr>
        <w:t>de la violación en su perjuicio de los derechos establecidos en los artículos 8, 21 y 25 de la Convención Americana.</w:t>
      </w:r>
    </w:p>
    <w:p w14:paraId="420B6B05" w14:textId="77777777" w:rsidR="0063685A" w:rsidRPr="00175907" w:rsidRDefault="0063685A" w:rsidP="009F0583">
      <w:pPr>
        <w:spacing w:after="240"/>
        <w:ind w:firstLine="720"/>
        <w:jc w:val="both"/>
        <w:rPr>
          <w:rFonts w:asciiTheme="majorHAnsi" w:hAnsiTheme="majorHAnsi"/>
          <w:b/>
          <w:bCs/>
          <w:sz w:val="20"/>
          <w:szCs w:val="20"/>
          <w:lang w:val="es-ES"/>
        </w:rPr>
      </w:pPr>
      <w:r w:rsidRPr="00175907">
        <w:rPr>
          <w:rFonts w:asciiTheme="majorHAnsi" w:hAnsiTheme="majorHAnsi"/>
          <w:b/>
          <w:bCs/>
          <w:sz w:val="20"/>
          <w:szCs w:val="20"/>
          <w:lang w:val="es-ES"/>
        </w:rPr>
        <w:t>B.</w:t>
      </w:r>
      <w:r w:rsidRPr="00175907">
        <w:rPr>
          <w:rFonts w:asciiTheme="majorHAnsi" w:hAnsiTheme="majorHAnsi"/>
          <w:b/>
          <w:bCs/>
          <w:sz w:val="20"/>
          <w:szCs w:val="20"/>
          <w:lang w:val="es-ES"/>
        </w:rPr>
        <w:tab/>
        <w:t>Posición del Estado</w:t>
      </w:r>
    </w:p>
    <w:p w14:paraId="4A7D67BB" w14:textId="0DF54957" w:rsidR="00B6325B" w:rsidRPr="00981BA7" w:rsidRDefault="00981BA7" w:rsidP="00981BA7">
      <w:pPr>
        <w:numPr>
          <w:ilvl w:val="0"/>
          <w:numId w:val="56"/>
        </w:numPr>
        <w:spacing w:after="240"/>
        <w:jc w:val="both"/>
        <w:rPr>
          <w:rFonts w:asciiTheme="majorHAnsi" w:hAnsiTheme="majorHAnsi"/>
          <w:sz w:val="20"/>
          <w:szCs w:val="20"/>
          <w:lang w:val="es-ES"/>
        </w:rPr>
      </w:pPr>
      <w:r w:rsidRPr="00175907">
        <w:rPr>
          <w:rFonts w:ascii="Cambria" w:hAnsi="Cambria"/>
          <w:sz w:val="20"/>
          <w:szCs w:val="20"/>
          <w:lang w:val="es-ES"/>
        </w:rPr>
        <w:t xml:space="preserve">Con respecto a la alegada violación del derecho de propiedad, el Estado alega que es necesario acreditar la preexistencia del dominio sobre los bienes que habrían sido sustraídos indebidamente. Agrega que no son suficientes las declaraciones en sede fiscal y judicial para acreditar el dominio; y que el peticionario debió haber presentado documentos mercantiles y fiscales que justificaran la transacción de las </w:t>
      </w:r>
      <w:r w:rsidRPr="00175907">
        <w:rPr>
          <w:rFonts w:ascii="Cambria" w:hAnsi="Cambria"/>
          <w:sz w:val="20"/>
          <w:szCs w:val="20"/>
          <w:lang w:val="es-ES"/>
        </w:rPr>
        <w:lastRenderedPageBreak/>
        <w:t xml:space="preserve">maderas. Aduce además, que el Juez que ordenó la restitución de los bienes incautados habría reconocido al señor Gamarro el derecho sobre el aserradero móvil pero no sobre la madera, la cual debía ser entregada al señor </w:t>
      </w:r>
      <w:r w:rsidR="007532B1">
        <w:rPr>
          <w:rFonts w:ascii="Cambria" w:hAnsi="Cambria"/>
          <w:sz w:val="20"/>
          <w:szCs w:val="20"/>
          <w:lang w:val="es-ES"/>
        </w:rPr>
        <w:t>Tut Tzul porque era quie</w:t>
      </w:r>
      <w:r w:rsidRPr="00175907">
        <w:rPr>
          <w:rFonts w:ascii="Cambria" w:hAnsi="Cambria"/>
          <w:sz w:val="20"/>
          <w:szCs w:val="20"/>
          <w:lang w:val="es-ES"/>
        </w:rPr>
        <w:t>n poseía la licencia de tala.</w:t>
      </w:r>
      <w:r>
        <w:rPr>
          <w:rFonts w:asciiTheme="majorHAnsi" w:hAnsiTheme="majorHAnsi"/>
          <w:sz w:val="20"/>
          <w:szCs w:val="20"/>
          <w:lang w:val="es-ES"/>
        </w:rPr>
        <w:t xml:space="preserve"> </w:t>
      </w:r>
      <w:r w:rsidR="00B6325B" w:rsidRPr="00981BA7">
        <w:rPr>
          <w:rFonts w:asciiTheme="majorHAnsi" w:hAnsiTheme="majorHAnsi" w:cs="Arial"/>
          <w:color w:val="000000" w:themeColor="text1"/>
          <w:sz w:val="20"/>
          <w:szCs w:val="20"/>
          <w:lang w:val="es-ES"/>
        </w:rPr>
        <w:t>Añade</w:t>
      </w:r>
      <w:r w:rsidR="004E1600" w:rsidRPr="00981BA7">
        <w:rPr>
          <w:rFonts w:asciiTheme="majorHAnsi" w:hAnsiTheme="majorHAnsi" w:cs="Arial"/>
          <w:color w:val="000000" w:themeColor="text1"/>
          <w:sz w:val="20"/>
          <w:szCs w:val="20"/>
          <w:lang w:val="es-ES"/>
        </w:rPr>
        <w:t xml:space="preserve"> </w:t>
      </w:r>
      <w:r>
        <w:rPr>
          <w:rFonts w:asciiTheme="majorHAnsi" w:hAnsiTheme="majorHAnsi" w:cs="Arial"/>
          <w:color w:val="000000" w:themeColor="text1"/>
          <w:sz w:val="20"/>
          <w:szCs w:val="20"/>
          <w:lang w:val="es-ES"/>
        </w:rPr>
        <w:t xml:space="preserve">además </w:t>
      </w:r>
      <w:r w:rsidR="004E1600" w:rsidRPr="00981BA7">
        <w:rPr>
          <w:rFonts w:asciiTheme="majorHAnsi" w:hAnsiTheme="majorHAnsi" w:cs="Arial"/>
          <w:color w:val="000000" w:themeColor="text1"/>
          <w:sz w:val="20"/>
          <w:szCs w:val="20"/>
          <w:lang w:val="es-ES"/>
        </w:rPr>
        <w:t xml:space="preserve">que </w:t>
      </w:r>
      <w:r w:rsidR="00C14A72" w:rsidRPr="00981BA7">
        <w:rPr>
          <w:rFonts w:asciiTheme="majorHAnsi" w:hAnsiTheme="majorHAnsi" w:cs="Arial"/>
          <w:color w:val="000000" w:themeColor="text1"/>
          <w:sz w:val="20"/>
          <w:szCs w:val="20"/>
          <w:lang w:val="es-ES"/>
        </w:rPr>
        <w:t xml:space="preserve">nunca se </w:t>
      </w:r>
      <w:r w:rsidR="007532B1">
        <w:rPr>
          <w:rFonts w:asciiTheme="majorHAnsi" w:hAnsiTheme="majorHAnsi" w:cs="Arial"/>
          <w:color w:val="000000" w:themeColor="text1"/>
          <w:sz w:val="20"/>
          <w:szCs w:val="20"/>
          <w:lang w:val="es-ES"/>
        </w:rPr>
        <w:t>probó</w:t>
      </w:r>
      <w:r w:rsidR="00C14A72" w:rsidRPr="00981BA7">
        <w:rPr>
          <w:rFonts w:asciiTheme="majorHAnsi" w:hAnsiTheme="majorHAnsi" w:cs="Arial"/>
          <w:color w:val="000000" w:themeColor="text1"/>
          <w:sz w:val="20"/>
          <w:szCs w:val="20"/>
          <w:lang w:val="es-ES"/>
        </w:rPr>
        <w:t xml:space="preserve"> </w:t>
      </w:r>
      <w:r w:rsidR="004E1600" w:rsidRPr="00981BA7">
        <w:rPr>
          <w:rFonts w:asciiTheme="majorHAnsi" w:hAnsiTheme="majorHAnsi" w:cs="Arial"/>
          <w:color w:val="000000" w:themeColor="text1"/>
          <w:sz w:val="20"/>
          <w:szCs w:val="20"/>
          <w:lang w:val="es-ES"/>
        </w:rPr>
        <w:t xml:space="preserve">quien </w:t>
      </w:r>
      <w:r w:rsidR="007532B1">
        <w:rPr>
          <w:rFonts w:asciiTheme="majorHAnsi" w:hAnsiTheme="majorHAnsi" w:cs="Arial"/>
          <w:color w:val="000000" w:themeColor="text1"/>
          <w:sz w:val="20"/>
          <w:szCs w:val="20"/>
          <w:lang w:val="es-ES"/>
        </w:rPr>
        <w:t>era el</w:t>
      </w:r>
      <w:r w:rsidR="004E1600" w:rsidRPr="00981BA7">
        <w:rPr>
          <w:rFonts w:asciiTheme="majorHAnsi" w:hAnsiTheme="majorHAnsi" w:cs="Arial"/>
          <w:color w:val="000000" w:themeColor="text1"/>
          <w:sz w:val="20"/>
          <w:szCs w:val="20"/>
          <w:lang w:val="es-ES"/>
        </w:rPr>
        <w:t xml:space="preserve"> propietario</w:t>
      </w:r>
      <w:r w:rsidR="00C14A72" w:rsidRPr="00981BA7">
        <w:rPr>
          <w:rFonts w:asciiTheme="majorHAnsi" w:hAnsiTheme="majorHAnsi" w:cs="Arial"/>
          <w:color w:val="000000" w:themeColor="text1"/>
          <w:sz w:val="20"/>
          <w:szCs w:val="20"/>
          <w:lang w:val="es-ES"/>
        </w:rPr>
        <w:t xml:space="preserve"> del inmueble donde se taló </w:t>
      </w:r>
      <w:r w:rsidR="007532B1">
        <w:rPr>
          <w:rFonts w:asciiTheme="majorHAnsi" w:hAnsiTheme="majorHAnsi" w:cs="Arial"/>
          <w:color w:val="000000" w:themeColor="text1"/>
          <w:sz w:val="20"/>
          <w:szCs w:val="20"/>
          <w:lang w:val="es-ES"/>
        </w:rPr>
        <w:t>la</w:t>
      </w:r>
      <w:r w:rsidR="00C14A72" w:rsidRPr="00981BA7">
        <w:rPr>
          <w:rFonts w:asciiTheme="majorHAnsi" w:hAnsiTheme="majorHAnsi" w:cs="Arial"/>
          <w:color w:val="000000" w:themeColor="text1"/>
          <w:sz w:val="20"/>
          <w:szCs w:val="20"/>
          <w:lang w:val="es-ES"/>
        </w:rPr>
        <w:t xml:space="preserve"> madera. </w:t>
      </w:r>
    </w:p>
    <w:p w14:paraId="210DB4F0" w14:textId="536D0AD9" w:rsidR="00C14A72" w:rsidRPr="00C14A72" w:rsidRDefault="00B6325B" w:rsidP="00C14A72">
      <w:pPr>
        <w:numPr>
          <w:ilvl w:val="0"/>
          <w:numId w:val="56"/>
        </w:numPr>
        <w:spacing w:after="240"/>
        <w:jc w:val="both"/>
        <w:rPr>
          <w:rFonts w:asciiTheme="majorHAnsi" w:hAnsiTheme="majorHAnsi" w:cs="Arial"/>
          <w:color w:val="FF0000"/>
          <w:sz w:val="20"/>
          <w:szCs w:val="20"/>
          <w:lang w:val="es-ES"/>
        </w:rPr>
      </w:pPr>
      <w:r>
        <w:rPr>
          <w:rFonts w:asciiTheme="majorHAnsi" w:hAnsiTheme="majorHAnsi" w:cs="Arial"/>
          <w:color w:val="000000" w:themeColor="text1"/>
          <w:sz w:val="20"/>
          <w:szCs w:val="20"/>
          <w:lang w:val="es-ES"/>
        </w:rPr>
        <w:t xml:space="preserve">El Estado también afirma que no puede ser responsabilizado por la desaparición de los bienes reclamados por el señor Gamarro pues los mismos habían quedado bajo la responsabilidad de los </w:t>
      </w:r>
      <w:r w:rsidR="0024050D">
        <w:rPr>
          <w:rFonts w:asciiTheme="majorHAnsi" w:hAnsiTheme="majorHAnsi" w:cs="Arial"/>
          <w:color w:val="000000" w:themeColor="text1"/>
          <w:sz w:val="20"/>
          <w:szCs w:val="20"/>
          <w:lang w:val="es-ES"/>
        </w:rPr>
        <w:t>señores Valle</w:t>
      </w:r>
      <w:r>
        <w:rPr>
          <w:rFonts w:asciiTheme="majorHAnsi" w:hAnsiTheme="majorHAnsi" w:cs="Arial"/>
          <w:color w:val="000000" w:themeColor="text1"/>
          <w:sz w:val="20"/>
          <w:szCs w:val="20"/>
          <w:lang w:val="es-ES"/>
        </w:rPr>
        <w:t xml:space="preserve"> y Roderico y corresponde a ellos la devolución de estos bienes y el pago de cualquier indemnización por su pérdida. </w:t>
      </w:r>
      <w:r w:rsidR="00981BA7" w:rsidRPr="00175907">
        <w:rPr>
          <w:rFonts w:ascii="Cambria" w:hAnsi="Cambria"/>
          <w:sz w:val="20"/>
          <w:szCs w:val="20"/>
          <w:lang w:val="es-ES"/>
        </w:rPr>
        <w:t xml:space="preserve">Por lo tanto, </w:t>
      </w:r>
      <w:r w:rsidR="00981BA7">
        <w:rPr>
          <w:rFonts w:ascii="Cambria" w:hAnsi="Cambria"/>
          <w:sz w:val="20"/>
          <w:szCs w:val="20"/>
          <w:lang w:val="es-ES"/>
        </w:rPr>
        <w:t xml:space="preserve">aduce que </w:t>
      </w:r>
      <w:r w:rsidR="00981BA7" w:rsidRPr="00175907">
        <w:rPr>
          <w:rFonts w:ascii="Cambria" w:hAnsi="Cambria"/>
          <w:sz w:val="20"/>
          <w:szCs w:val="20"/>
          <w:lang w:val="es-ES"/>
        </w:rPr>
        <w:t xml:space="preserve">el reclamo por daños y perjuicios </w:t>
      </w:r>
      <w:r w:rsidR="00981BA7">
        <w:rPr>
          <w:rFonts w:ascii="Cambria" w:hAnsi="Cambria"/>
          <w:sz w:val="20"/>
          <w:szCs w:val="20"/>
          <w:lang w:val="es-ES"/>
        </w:rPr>
        <w:t>debe</w:t>
      </w:r>
      <w:r w:rsidR="00981BA7" w:rsidRPr="00175907">
        <w:rPr>
          <w:rFonts w:ascii="Cambria" w:hAnsi="Cambria"/>
          <w:sz w:val="20"/>
          <w:szCs w:val="20"/>
          <w:lang w:val="es-ES"/>
        </w:rPr>
        <w:t xml:space="preserve"> dirigirse contra los responsables de la comisión de los delitos y no contra el Estado.</w:t>
      </w:r>
    </w:p>
    <w:p w14:paraId="7B37CD07" w14:textId="0A403B6C" w:rsidR="00C0535B" w:rsidRPr="002C38A2" w:rsidRDefault="00B6325B" w:rsidP="00C0535B">
      <w:pPr>
        <w:pStyle w:val="ListParagraph"/>
        <w:numPr>
          <w:ilvl w:val="0"/>
          <w:numId w:val="56"/>
        </w:numPr>
        <w:jc w:val="both"/>
        <w:rPr>
          <w:rFonts w:asciiTheme="majorHAnsi" w:eastAsia="Arial Unicode MS" w:hAnsiTheme="majorHAnsi" w:cs="Times New Roman"/>
          <w:color w:val="auto"/>
          <w:sz w:val="20"/>
          <w:szCs w:val="20"/>
          <w:lang w:val="es-ES" w:eastAsia="en-US"/>
        </w:rPr>
      </w:pPr>
      <w:r>
        <w:rPr>
          <w:rFonts w:asciiTheme="majorHAnsi" w:eastAsia="Arial Unicode MS" w:hAnsiTheme="majorHAnsi" w:cs="Times New Roman"/>
          <w:color w:val="auto"/>
          <w:sz w:val="20"/>
          <w:szCs w:val="20"/>
          <w:lang w:val="es-ES" w:eastAsia="en-US"/>
        </w:rPr>
        <w:t>Afirma</w:t>
      </w:r>
      <w:r w:rsidR="004E1600">
        <w:rPr>
          <w:rFonts w:asciiTheme="majorHAnsi" w:eastAsia="Arial Unicode MS" w:hAnsiTheme="majorHAnsi" w:cs="Times New Roman"/>
          <w:color w:val="auto"/>
          <w:sz w:val="20"/>
          <w:szCs w:val="20"/>
          <w:lang w:val="es-ES" w:eastAsia="en-US"/>
        </w:rPr>
        <w:t xml:space="preserve"> además</w:t>
      </w:r>
      <w:r w:rsidR="00C0535B">
        <w:rPr>
          <w:rFonts w:asciiTheme="majorHAnsi" w:eastAsia="Arial Unicode MS" w:hAnsiTheme="majorHAnsi" w:cs="Times New Roman"/>
          <w:color w:val="auto"/>
          <w:sz w:val="20"/>
          <w:szCs w:val="20"/>
          <w:lang w:val="es-ES" w:eastAsia="en-US"/>
        </w:rPr>
        <w:t xml:space="preserve"> que no </w:t>
      </w:r>
      <w:r w:rsidR="007532B1">
        <w:rPr>
          <w:rFonts w:asciiTheme="majorHAnsi" w:eastAsia="Arial Unicode MS" w:hAnsiTheme="majorHAnsi" w:cs="Times New Roman"/>
          <w:color w:val="auto"/>
          <w:sz w:val="20"/>
          <w:szCs w:val="20"/>
          <w:lang w:val="es-ES" w:eastAsia="en-US"/>
        </w:rPr>
        <w:t>se violaron</w:t>
      </w:r>
      <w:r w:rsidR="00C0535B">
        <w:rPr>
          <w:rFonts w:asciiTheme="majorHAnsi" w:eastAsia="Arial Unicode MS" w:hAnsiTheme="majorHAnsi" w:cs="Times New Roman"/>
          <w:color w:val="auto"/>
          <w:sz w:val="20"/>
          <w:szCs w:val="20"/>
          <w:lang w:val="es-ES" w:eastAsia="en-US"/>
        </w:rPr>
        <w:t xml:space="preserve"> los artículos 8 y 25 de la Convención Americana pues el peticionario ha tenido acceso a medidas judiciales para reclamar sus derechos</w:t>
      </w:r>
      <w:r w:rsidR="002C38A2">
        <w:rPr>
          <w:rFonts w:asciiTheme="majorHAnsi" w:eastAsia="Arial Unicode MS" w:hAnsiTheme="majorHAnsi" w:cs="Times New Roman"/>
          <w:color w:val="auto"/>
          <w:sz w:val="20"/>
          <w:szCs w:val="20"/>
          <w:lang w:val="es-ES" w:eastAsia="en-US"/>
        </w:rPr>
        <w:t xml:space="preserve"> y las autoridades han </w:t>
      </w:r>
      <w:r w:rsidR="004F56CE">
        <w:rPr>
          <w:rFonts w:asciiTheme="majorHAnsi" w:eastAsia="Arial Unicode MS" w:hAnsiTheme="majorHAnsi" w:cs="Times New Roman"/>
          <w:color w:val="auto"/>
          <w:sz w:val="20"/>
          <w:szCs w:val="20"/>
          <w:lang w:val="es-ES" w:eastAsia="en-US"/>
        </w:rPr>
        <w:t xml:space="preserve">actuado para </w:t>
      </w:r>
      <w:r w:rsidR="002C38A2">
        <w:rPr>
          <w:rFonts w:asciiTheme="majorHAnsi" w:eastAsia="Arial Unicode MS" w:hAnsiTheme="majorHAnsi" w:cs="Times New Roman"/>
          <w:color w:val="auto"/>
          <w:sz w:val="20"/>
          <w:szCs w:val="20"/>
          <w:lang w:val="es-ES" w:eastAsia="en-US"/>
        </w:rPr>
        <w:t>devolverle sus bienes</w:t>
      </w:r>
      <w:r w:rsidR="004F56CE">
        <w:rPr>
          <w:rFonts w:asciiTheme="majorHAnsi" w:eastAsia="Arial Unicode MS" w:hAnsiTheme="majorHAnsi" w:cs="Times New Roman"/>
          <w:color w:val="auto"/>
          <w:sz w:val="20"/>
          <w:szCs w:val="20"/>
          <w:lang w:val="es-ES" w:eastAsia="en-US"/>
        </w:rPr>
        <w:t xml:space="preserve"> y </w:t>
      </w:r>
      <w:r w:rsidR="002C38A2" w:rsidRPr="00C959C6">
        <w:rPr>
          <w:rFonts w:asciiTheme="majorHAnsi" w:eastAsia="Arial Unicode MS" w:hAnsiTheme="majorHAnsi" w:cs="Times New Roman"/>
          <w:color w:val="auto"/>
          <w:sz w:val="20"/>
          <w:szCs w:val="20"/>
          <w:lang w:val="es-ES" w:eastAsia="en-US"/>
        </w:rPr>
        <w:t xml:space="preserve">responsabilizar a los presuntos responsables por </w:t>
      </w:r>
      <w:r w:rsidR="00E25714" w:rsidRPr="00C959C6">
        <w:rPr>
          <w:rFonts w:asciiTheme="majorHAnsi" w:eastAsia="Arial Unicode MS" w:hAnsiTheme="majorHAnsi" w:cs="Times New Roman"/>
          <w:color w:val="auto"/>
          <w:sz w:val="20"/>
          <w:szCs w:val="20"/>
          <w:lang w:val="es-ES" w:eastAsia="en-US"/>
        </w:rPr>
        <w:t>los hechos denunciados</w:t>
      </w:r>
      <w:r w:rsidR="00C0535B">
        <w:rPr>
          <w:rFonts w:asciiTheme="majorHAnsi" w:eastAsia="Arial Unicode MS" w:hAnsiTheme="majorHAnsi" w:cs="Times New Roman"/>
          <w:color w:val="auto"/>
          <w:sz w:val="20"/>
          <w:szCs w:val="20"/>
          <w:lang w:val="es-ES" w:eastAsia="en-US"/>
        </w:rPr>
        <w:t xml:space="preserve">. Indica </w:t>
      </w:r>
      <w:r w:rsidR="004F56CE">
        <w:rPr>
          <w:rFonts w:asciiTheme="majorHAnsi" w:eastAsia="Arial Unicode MS" w:hAnsiTheme="majorHAnsi" w:cs="Times New Roman"/>
          <w:color w:val="auto"/>
          <w:sz w:val="20"/>
          <w:szCs w:val="20"/>
          <w:lang w:val="es-ES" w:eastAsia="en-US"/>
        </w:rPr>
        <w:t>al respecto</w:t>
      </w:r>
      <w:r w:rsidR="00C0535B">
        <w:rPr>
          <w:rFonts w:asciiTheme="majorHAnsi" w:eastAsia="Arial Unicode MS" w:hAnsiTheme="majorHAnsi" w:cs="Times New Roman"/>
          <w:color w:val="auto"/>
          <w:sz w:val="20"/>
          <w:szCs w:val="20"/>
          <w:lang w:val="es-ES" w:eastAsia="en-US"/>
        </w:rPr>
        <w:t xml:space="preserve">: i) </w:t>
      </w:r>
      <w:r w:rsidR="00C0535B" w:rsidRPr="00175907">
        <w:rPr>
          <w:rFonts w:asciiTheme="majorHAnsi" w:eastAsia="Arial Unicode MS" w:hAnsiTheme="majorHAnsi" w:cs="Times New Roman"/>
          <w:color w:val="auto"/>
          <w:sz w:val="20"/>
          <w:szCs w:val="20"/>
          <w:lang w:val="es-ES" w:eastAsia="en-US"/>
        </w:rPr>
        <w:t>que</w:t>
      </w:r>
      <w:r w:rsidR="00C0535B">
        <w:rPr>
          <w:rFonts w:asciiTheme="majorHAnsi" w:eastAsia="Arial Unicode MS" w:hAnsiTheme="majorHAnsi" w:cs="Times New Roman"/>
          <w:color w:val="auto"/>
          <w:sz w:val="20"/>
          <w:szCs w:val="20"/>
          <w:lang w:val="es-ES" w:eastAsia="en-US"/>
        </w:rPr>
        <w:t xml:space="preserve"> en octubre de 2004 </w:t>
      </w:r>
      <w:r w:rsidR="00C0535B" w:rsidRPr="00175907">
        <w:rPr>
          <w:rFonts w:asciiTheme="majorHAnsi" w:eastAsia="Arial Unicode MS" w:hAnsiTheme="majorHAnsi" w:cs="Times New Roman"/>
          <w:color w:val="auto"/>
          <w:sz w:val="20"/>
          <w:szCs w:val="20"/>
          <w:lang w:val="es-ES" w:eastAsia="en-US"/>
        </w:rPr>
        <w:t xml:space="preserve">el </w:t>
      </w:r>
      <w:r w:rsidR="00C0535B">
        <w:rPr>
          <w:rFonts w:asciiTheme="majorHAnsi" w:eastAsia="Arial Unicode MS" w:hAnsiTheme="majorHAnsi" w:cs="Times New Roman"/>
          <w:color w:val="auto"/>
          <w:sz w:val="20"/>
          <w:szCs w:val="20"/>
          <w:lang w:val="es-ES" w:eastAsia="en-US"/>
        </w:rPr>
        <w:t>Juzgado de Peten</w:t>
      </w:r>
      <w:r w:rsidR="00C0535B" w:rsidRPr="00175907">
        <w:rPr>
          <w:rFonts w:asciiTheme="majorHAnsi" w:eastAsia="Arial Unicode MS" w:hAnsiTheme="majorHAnsi" w:cs="Times New Roman"/>
          <w:color w:val="auto"/>
          <w:sz w:val="20"/>
          <w:szCs w:val="20"/>
          <w:lang w:val="es-ES" w:eastAsia="en-US"/>
        </w:rPr>
        <w:t xml:space="preserve"> </w:t>
      </w:r>
      <w:r w:rsidR="00C0535B">
        <w:rPr>
          <w:rFonts w:asciiTheme="majorHAnsi" w:eastAsia="Arial Unicode MS" w:hAnsiTheme="majorHAnsi" w:cs="Times New Roman"/>
          <w:color w:val="auto"/>
          <w:sz w:val="20"/>
          <w:szCs w:val="20"/>
          <w:lang w:val="es-ES" w:eastAsia="en-US"/>
        </w:rPr>
        <w:t>ofició</w:t>
      </w:r>
      <w:r w:rsidR="00C0535B" w:rsidRPr="00175907">
        <w:rPr>
          <w:rFonts w:asciiTheme="majorHAnsi" w:eastAsia="Arial Unicode MS" w:hAnsiTheme="majorHAnsi" w:cs="Times New Roman"/>
          <w:color w:val="auto"/>
          <w:sz w:val="20"/>
          <w:szCs w:val="20"/>
          <w:lang w:val="es-ES" w:eastAsia="en-US"/>
        </w:rPr>
        <w:t xml:space="preserve"> al Jefe de </w:t>
      </w:r>
      <w:r w:rsidR="00C0535B">
        <w:rPr>
          <w:rFonts w:asciiTheme="majorHAnsi" w:eastAsia="Arial Unicode MS" w:hAnsiTheme="majorHAnsi" w:cs="Times New Roman"/>
          <w:color w:val="auto"/>
          <w:sz w:val="20"/>
          <w:szCs w:val="20"/>
          <w:lang w:val="es-ES" w:eastAsia="en-US"/>
        </w:rPr>
        <w:t>SEPRONA</w:t>
      </w:r>
      <w:r w:rsidR="00C0535B" w:rsidRPr="00175907">
        <w:rPr>
          <w:rFonts w:asciiTheme="majorHAnsi" w:eastAsia="Arial Unicode MS" w:hAnsiTheme="majorHAnsi" w:cs="Times New Roman"/>
          <w:color w:val="auto"/>
          <w:sz w:val="20"/>
          <w:szCs w:val="20"/>
          <w:lang w:val="es-ES" w:eastAsia="en-US"/>
        </w:rPr>
        <w:t xml:space="preserve"> para que procediera a la devolución de l</w:t>
      </w:r>
      <w:r w:rsidR="00C0535B">
        <w:rPr>
          <w:rFonts w:asciiTheme="majorHAnsi" w:eastAsia="Arial Unicode MS" w:hAnsiTheme="majorHAnsi" w:cs="Times New Roman"/>
          <w:color w:val="auto"/>
          <w:sz w:val="20"/>
          <w:szCs w:val="20"/>
          <w:lang w:val="es-ES" w:eastAsia="en-US"/>
        </w:rPr>
        <w:t xml:space="preserve">a madera y del aserradero móvil; ii) que en octubre el Juzgado de Peten solicitó al </w:t>
      </w:r>
      <w:r w:rsidR="0024050D">
        <w:rPr>
          <w:rFonts w:asciiTheme="majorHAnsi" w:eastAsia="Arial Unicode MS" w:hAnsiTheme="majorHAnsi" w:cs="Times New Roman"/>
          <w:color w:val="auto"/>
          <w:sz w:val="20"/>
          <w:szCs w:val="20"/>
          <w:lang w:val="es-ES" w:eastAsia="en-US"/>
        </w:rPr>
        <w:t>señor Valle</w:t>
      </w:r>
      <w:r w:rsidR="00C0535B">
        <w:rPr>
          <w:rFonts w:asciiTheme="majorHAnsi" w:eastAsia="Arial Unicode MS" w:hAnsiTheme="majorHAnsi" w:cs="Times New Roman"/>
          <w:color w:val="auto"/>
          <w:sz w:val="20"/>
          <w:szCs w:val="20"/>
          <w:lang w:val="es-ES" w:eastAsia="en-US"/>
        </w:rPr>
        <w:t xml:space="preserve"> que devolviera el aserradero móvil al peticionario y la madera al señor Estéban Tut Tzul; iii) que </w:t>
      </w:r>
      <w:r w:rsidR="00C0535B">
        <w:rPr>
          <w:sz w:val="20"/>
          <w:szCs w:val="20"/>
          <w:lang w:val="es-ES"/>
        </w:rPr>
        <w:t>en noviembre de 2004 e</w:t>
      </w:r>
      <w:r w:rsidR="00C0535B" w:rsidRPr="00C14A72">
        <w:rPr>
          <w:sz w:val="20"/>
          <w:szCs w:val="20"/>
          <w:lang w:val="es-ES"/>
        </w:rPr>
        <w:t>l Juzgado de Peten instó al Ministerio Público a que iniciara la investigación correspondiente y localizara el aserradero móvil y los 30 mil pies de madera</w:t>
      </w:r>
      <w:r w:rsidR="00C0535B">
        <w:rPr>
          <w:sz w:val="20"/>
          <w:szCs w:val="20"/>
          <w:lang w:val="es-ES"/>
        </w:rPr>
        <w:t xml:space="preserve"> desaparecidos; iv</w:t>
      </w:r>
      <w:r w:rsidR="00C0535B" w:rsidRPr="00C14A72">
        <w:rPr>
          <w:sz w:val="20"/>
          <w:szCs w:val="20"/>
          <w:lang w:val="es-ES"/>
        </w:rPr>
        <w:t xml:space="preserve">) </w:t>
      </w:r>
      <w:r w:rsidR="00C0535B">
        <w:rPr>
          <w:sz w:val="20"/>
          <w:szCs w:val="20"/>
          <w:lang w:val="es-ES"/>
        </w:rPr>
        <w:t xml:space="preserve">que en diciembre de 2004 el Ministerio Público inició una persecución penal en contra de los </w:t>
      </w:r>
      <w:r w:rsidR="0024050D">
        <w:rPr>
          <w:sz w:val="20"/>
          <w:szCs w:val="20"/>
          <w:lang w:val="es-ES"/>
        </w:rPr>
        <w:t>señores Valle</w:t>
      </w:r>
      <w:r w:rsidR="00C0535B">
        <w:rPr>
          <w:sz w:val="20"/>
          <w:szCs w:val="20"/>
          <w:lang w:val="es-ES"/>
        </w:rPr>
        <w:t xml:space="preserve"> y Roderico; v) que al principio de 2005 el Ministerio Público solicitó y el Juzgado de Alta Verapaz autorizó la aprehensión de los sindicados; vi) que las autoridades aprehendieron a los </w:t>
      </w:r>
      <w:r w:rsidR="0024050D">
        <w:rPr>
          <w:sz w:val="20"/>
          <w:szCs w:val="20"/>
          <w:lang w:val="es-ES"/>
        </w:rPr>
        <w:t>señores Valle</w:t>
      </w:r>
      <w:r w:rsidR="00C0535B">
        <w:rPr>
          <w:sz w:val="20"/>
          <w:szCs w:val="20"/>
          <w:lang w:val="es-ES"/>
        </w:rPr>
        <w:t xml:space="preserve"> y Ro</w:t>
      </w:r>
      <w:r>
        <w:rPr>
          <w:sz w:val="20"/>
          <w:szCs w:val="20"/>
          <w:lang w:val="es-ES"/>
        </w:rPr>
        <w:t>derico;</w:t>
      </w:r>
      <w:r w:rsidR="00C0535B">
        <w:rPr>
          <w:sz w:val="20"/>
          <w:szCs w:val="20"/>
          <w:lang w:val="es-ES"/>
        </w:rPr>
        <w:t xml:space="preserve"> vii) que en junio de 2006, después de la clausura provisional de la persecución penal, la reanudación de la misma fue autorizada por el Juzgado de Alta Verapaz atendiendo a una solicitud del Ministerio Público</w:t>
      </w:r>
      <w:r>
        <w:rPr>
          <w:sz w:val="20"/>
          <w:szCs w:val="20"/>
          <w:lang w:val="es-ES"/>
        </w:rPr>
        <w:t xml:space="preserve">; y viii) que en septiembre de 2009 el Ministerio Público solicitó diligencias al Fondo de Tierras para poder identificar </w:t>
      </w:r>
      <w:r w:rsidR="002C38A2">
        <w:rPr>
          <w:sz w:val="20"/>
          <w:szCs w:val="20"/>
          <w:lang w:val="es-ES"/>
        </w:rPr>
        <w:t xml:space="preserve">el propietario de las tierras donde se encontraba la Comunidad. </w:t>
      </w:r>
    </w:p>
    <w:p w14:paraId="5DAA41BB" w14:textId="77777777" w:rsidR="002C38A2" w:rsidRPr="002C38A2" w:rsidRDefault="002C38A2" w:rsidP="002C38A2">
      <w:pPr>
        <w:jc w:val="both"/>
        <w:rPr>
          <w:rFonts w:asciiTheme="majorHAnsi" w:hAnsiTheme="majorHAnsi"/>
          <w:sz w:val="20"/>
          <w:szCs w:val="20"/>
          <w:lang w:val="es-ES"/>
        </w:rPr>
      </w:pPr>
    </w:p>
    <w:p w14:paraId="1A1742FF" w14:textId="7B6F5B44" w:rsidR="00344894" w:rsidRDefault="00344894" w:rsidP="00344894">
      <w:pPr>
        <w:pStyle w:val="ListParagraph"/>
        <w:numPr>
          <w:ilvl w:val="0"/>
          <w:numId w:val="56"/>
        </w:numPr>
        <w:jc w:val="both"/>
        <w:rPr>
          <w:rFonts w:asciiTheme="majorHAnsi" w:eastAsia="Arial Unicode MS" w:hAnsiTheme="majorHAnsi" w:cs="Times New Roman"/>
          <w:color w:val="auto"/>
          <w:sz w:val="20"/>
          <w:szCs w:val="20"/>
          <w:lang w:val="es-ES" w:eastAsia="en-US"/>
        </w:rPr>
      </w:pPr>
      <w:r>
        <w:rPr>
          <w:rFonts w:asciiTheme="majorHAnsi" w:eastAsia="Arial Unicode MS" w:hAnsiTheme="majorHAnsi" w:cs="Times New Roman"/>
          <w:color w:val="auto"/>
          <w:sz w:val="20"/>
          <w:szCs w:val="20"/>
          <w:lang w:val="es-ES" w:eastAsia="en-US"/>
        </w:rPr>
        <w:t>Según el Estado, en marzo de 2011, fecha de la última comunicación del Estado, el Ministerio Público continuaba promoviendo la persecución</w:t>
      </w:r>
      <w:r>
        <w:rPr>
          <w:sz w:val="20"/>
          <w:szCs w:val="20"/>
          <w:lang w:val="es-ES"/>
        </w:rPr>
        <w:t xml:space="preserve"> penal contra los </w:t>
      </w:r>
      <w:r w:rsidR="0024050D">
        <w:rPr>
          <w:sz w:val="20"/>
          <w:szCs w:val="20"/>
          <w:lang w:val="es-ES"/>
        </w:rPr>
        <w:t>señores Valle</w:t>
      </w:r>
      <w:r>
        <w:rPr>
          <w:sz w:val="20"/>
          <w:szCs w:val="20"/>
          <w:lang w:val="es-ES"/>
        </w:rPr>
        <w:t xml:space="preserve"> y Roderico para localizar los bienes desaparecidos y </w:t>
      </w:r>
      <w:r w:rsidR="007857D7">
        <w:rPr>
          <w:sz w:val="20"/>
          <w:szCs w:val="20"/>
          <w:lang w:val="es-ES"/>
        </w:rPr>
        <w:t>establecer las debidas responsabilidades</w:t>
      </w:r>
      <w:r>
        <w:rPr>
          <w:sz w:val="20"/>
          <w:szCs w:val="20"/>
          <w:lang w:val="es-ES"/>
        </w:rPr>
        <w:t xml:space="preserve">. Indica, por tanto, que los </w:t>
      </w:r>
      <w:r w:rsidR="00635C93" w:rsidRPr="00344894">
        <w:rPr>
          <w:rFonts w:asciiTheme="majorHAnsi" w:eastAsia="Arial Unicode MS" w:hAnsiTheme="majorHAnsi" w:cs="Times New Roman"/>
          <w:color w:val="auto"/>
          <w:sz w:val="20"/>
          <w:szCs w:val="20"/>
          <w:lang w:val="es-ES" w:eastAsia="en-US"/>
        </w:rPr>
        <w:t xml:space="preserve">recursos internos no fueron agotados. </w:t>
      </w:r>
      <w:r w:rsidR="00AC1717" w:rsidRPr="00175907">
        <w:rPr>
          <w:sz w:val="20"/>
          <w:szCs w:val="20"/>
          <w:lang w:val="es-ES"/>
        </w:rPr>
        <w:t>Asimismo, argumenta que no s</w:t>
      </w:r>
      <w:r w:rsidR="00AC1717">
        <w:rPr>
          <w:sz w:val="20"/>
          <w:szCs w:val="20"/>
          <w:lang w:val="es-ES"/>
        </w:rPr>
        <w:t>e ha violado el artículo 8</w:t>
      </w:r>
      <w:r w:rsidR="00AC1717" w:rsidRPr="00175907">
        <w:rPr>
          <w:sz w:val="20"/>
          <w:szCs w:val="20"/>
          <w:lang w:val="es-ES"/>
        </w:rPr>
        <w:t xml:space="preserve"> de la Convención porque </w:t>
      </w:r>
      <w:r w:rsidR="00AC1717">
        <w:rPr>
          <w:sz w:val="20"/>
          <w:szCs w:val="20"/>
          <w:lang w:val="es-ES"/>
        </w:rPr>
        <w:t>ha existido</w:t>
      </w:r>
      <w:r w:rsidR="00AC1717" w:rsidRPr="00175907">
        <w:rPr>
          <w:sz w:val="20"/>
          <w:szCs w:val="20"/>
          <w:lang w:val="es-ES"/>
        </w:rPr>
        <w:t xml:space="preserve"> razonabilidad en la duración del proce</w:t>
      </w:r>
      <w:r w:rsidR="00AC1717">
        <w:rPr>
          <w:sz w:val="20"/>
          <w:szCs w:val="20"/>
          <w:lang w:val="es-ES"/>
        </w:rPr>
        <w:t>so, teniendo en cuenta la complejidad del asunto,</w:t>
      </w:r>
      <w:r w:rsidR="00AC1717" w:rsidRPr="00175907">
        <w:rPr>
          <w:sz w:val="20"/>
          <w:szCs w:val="20"/>
          <w:lang w:val="es-ES"/>
        </w:rPr>
        <w:t xml:space="preserve"> la act</w:t>
      </w:r>
      <w:r w:rsidR="00AC1717">
        <w:rPr>
          <w:sz w:val="20"/>
          <w:szCs w:val="20"/>
          <w:lang w:val="es-ES"/>
        </w:rPr>
        <w:t xml:space="preserve">ividad procesal del interesado y </w:t>
      </w:r>
      <w:r w:rsidR="00AC1717" w:rsidRPr="00175907">
        <w:rPr>
          <w:sz w:val="20"/>
          <w:szCs w:val="20"/>
          <w:lang w:val="es-ES"/>
        </w:rPr>
        <w:t>la conducta de las autoridades judiciales</w:t>
      </w:r>
      <w:r w:rsidR="00AC1717">
        <w:rPr>
          <w:sz w:val="20"/>
          <w:szCs w:val="20"/>
          <w:lang w:val="es-ES"/>
        </w:rPr>
        <w:t>.</w:t>
      </w:r>
    </w:p>
    <w:p w14:paraId="7314E983" w14:textId="77777777" w:rsidR="00344894" w:rsidRPr="00344894" w:rsidRDefault="00344894" w:rsidP="00344894">
      <w:pPr>
        <w:jc w:val="both"/>
        <w:rPr>
          <w:rFonts w:asciiTheme="majorHAnsi" w:hAnsiTheme="majorHAnsi"/>
          <w:sz w:val="20"/>
          <w:szCs w:val="20"/>
          <w:lang w:val="es-ES"/>
        </w:rPr>
      </w:pPr>
    </w:p>
    <w:p w14:paraId="4AED0559" w14:textId="71380F59" w:rsidR="00D9353E" w:rsidRPr="00AC1717" w:rsidRDefault="00344894" w:rsidP="00AC1717">
      <w:pPr>
        <w:pStyle w:val="ListParagraph"/>
        <w:numPr>
          <w:ilvl w:val="0"/>
          <w:numId w:val="56"/>
        </w:numPr>
        <w:jc w:val="both"/>
        <w:rPr>
          <w:rFonts w:asciiTheme="majorHAnsi" w:eastAsia="Arial Unicode MS" w:hAnsiTheme="majorHAnsi" w:cs="Times New Roman"/>
          <w:color w:val="auto"/>
          <w:sz w:val="20"/>
          <w:szCs w:val="20"/>
          <w:lang w:val="es-ES" w:eastAsia="en-US"/>
        </w:rPr>
      </w:pPr>
      <w:r>
        <w:rPr>
          <w:rFonts w:asciiTheme="majorHAnsi" w:eastAsia="Arial Unicode MS" w:hAnsiTheme="majorHAnsi" w:cs="Times New Roman"/>
          <w:color w:val="auto"/>
          <w:sz w:val="20"/>
          <w:szCs w:val="20"/>
          <w:lang w:val="es-ES" w:eastAsia="en-US"/>
        </w:rPr>
        <w:t xml:space="preserve">Asimismo, indica que </w:t>
      </w:r>
      <w:r w:rsidR="007857D7">
        <w:rPr>
          <w:rFonts w:asciiTheme="majorHAnsi" w:eastAsia="Arial Unicode MS" w:hAnsiTheme="majorHAnsi" w:cs="Times New Roman"/>
          <w:color w:val="auto"/>
          <w:sz w:val="20"/>
          <w:szCs w:val="20"/>
          <w:lang w:val="es-ES" w:eastAsia="en-US"/>
        </w:rPr>
        <w:t>el peticionario no puede quejarse de la clausura provisional de la persecución penal, pues</w:t>
      </w:r>
      <w:r w:rsidR="007857D7" w:rsidRPr="007857D7">
        <w:rPr>
          <w:sz w:val="20"/>
          <w:szCs w:val="20"/>
          <w:lang w:val="es-ES"/>
        </w:rPr>
        <w:t xml:space="preserve"> </w:t>
      </w:r>
      <w:r w:rsidR="007857D7">
        <w:rPr>
          <w:sz w:val="20"/>
          <w:szCs w:val="20"/>
          <w:lang w:val="es-ES"/>
        </w:rPr>
        <w:t>en audiencia realizada el 2 de marzo de 2006,</w:t>
      </w:r>
      <w:r w:rsidR="007857D7">
        <w:rPr>
          <w:rFonts w:asciiTheme="majorHAnsi" w:eastAsia="Arial Unicode MS" w:hAnsiTheme="majorHAnsi" w:cs="Times New Roman"/>
          <w:color w:val="auto"/>
          <w:sz w:val="20"/>
          <w:szCs w:val="20"/>
          <w:lang w:val="es-ES" w:eastAsia="en-US"/>
        </w:rPr>
        <w:t xml:space="preserve"> </w:t>
      </w:r>
      <w:r w:rsidR="007857D7">
        <w:rPr>
          <w:sz w:val="20"/>
          <w:szCs w:val="20"/>
          <w:lang w:val="es-ES"/>
        </w:rPr>
        <w:t xml:space="preserve">el señor Gamarro </w:t>
      </w:r>
      <w:r w:rsidR="007857D7">
        <w:rPr>
          <w:rFonts w:asciiTheme="majorHAnsi" w:eastAsia="Arial Unicode MS" w:hAnsiTheme="majorHAnsi" w:cs="Times New Roman"/>
          <w:color w:val="auto"/>
          <w:sz w:val="20"/>
          <w:szCs w:val="20"/>
          <w:lang w:val="es-ES" w:eastAsia="en-US"/>
        </w:rPr>
        <w:t>manifestó su concordancia con esta medida. Además, agrega que</w:t>
      </w:r>
      <w:r w:rsidR="007857D7" w:rsidRPr="007857D7">
        <w:rPr>
          <w:rFonts w:asciiTheme="majorHAnsi" w:eastAsia="Arial Unicode MS" w:hAnsiTheme="majorHAnsi" w:cs="Times New Roman"/>
          <w:color w:val="auto"/>
          <w:sz w:val="20"/>
          <w:szCs w:val="20"/>
          <w:lang w:val="es-ES" w:eastAsia="en-US"/>
        </w:rPr>
        <w:t xml:space="preserve"> </w:t>
      </w:r>
      <w:r w:rsidR="007857D7">
        <w:rPr>
          <w:rFonts w:asciiTheme="majorHAnsi" w:eastAsia="Arial Unicode MS" w:hAnsiTheme="majorHAnsi" w:cs="Times New Roman"/>
          <w:color w:val="auto"/>
          <w:sz w:val="20"/>
          <w:szCs w:val="20"/>
          <w:lang w:val="es-ES" w:eastAsia="en-US"/>
        </w:rPr>
        <w:t>a pesar de haber tenido la oportunidad de hacerlo</w:t>
      </w:r>
      <w:r w:rsidR="00981BA7">
        <w:rPr>
          <w:sz w:val="20"/>
          <w:szCs w:val="20"/>
          <w:lang w:val="es-ES"/>
        </w:rPr>
        <w:t xml:space="preserve">, </w:t>
      </w:r>
      <w:r w:rsidR="00FB792B">
        <w:rPr>
          <w:sz w:val="20"/>
          <w:szCs w:val="20"/>
          <w:lang w:val="es-ES"/>
        </w:rPr>
        <w:t>el señor Gamarro no apeló la decisión de</w:t>
      </w:r>
      <w:r>
        <w:rPr>
          <w:rFonts w:asciiTheme="majorHAnsi" w:eastAsia="Arial Unicode MS" w:hAnsiTheme="majorHAnsi" w:cs="Times New Roman"/>
          <w:color w:val="auto"/>
          <w:sz w:val="20"/>
          <w:szCs w:val="20"/>
          <w:lang w:val="es-ES" w:eastAsia="en-US"/>
        </w:rPr>
        <w:t xml:space="preserve"> </w:t>
      </w:r>
      <w:r w:rsidR="00981BA7">
        <w:rPr>
          <w:rFonts w:asciiTheme="majorHAnsi" w:eastAsia="Arial Unicode MS" w:hAnsiTheme="majorHAnsi" w:cs="Times New Roman"/>
          <w:color w:val="auto"/>
          <w:sz w:val="20"/>
          <w:szCs w:val="20"/>
          <w:lang w:val="es-ES" w:eastAsia="en-US"/>
        </w:rPr>
        <w:t>clausura</w:t>
      </w:r>
      <w:r>
        <w:rPr>
          <w:rFonts w:asciiTheme="majorHAnsi" w:eastAsia="Arial Unicode MS" w:hAnsiTheme="majorHAnsi" w:cs="Times New Roman"/>
          <w:color w:val="auto"/>
          <w:sz w:val="20"/>
          <w:szCs w:val="20"/>
          <w:lang w:val="es-ES" w:eastAsia="en-US"/>
        </w:rPr>
        <w:t>. Agrega además, que una vez reanudada la persecució</w:t>
      </w:r>
      <w:r w:rsidR="0012714E">
        <w:rPr>
          <w:rFonts w:asciiTheme="majorHAnsi" w:eastAsia="Arial Unicode MS" w:hAnsiTheme="majorHAnsi" w:cs="Times New Roman"/>
          <w:color w:val="auto"/>
          <w:sz w:val="20"/>
          <w:szCs w:val="20"/>
          <w:lang w:val="es-ES" w:eastAsia="en-US"/>
        </w:rPr>
        <w:t>n penal</w:t>
      </w:r>
      <w:r w:rsidR="00981BA7">
        <w:rPr>
          <w:rFonts w:asciiTheme="majorHAnsi" w:eastAsia="Arial Unicode MS" w:hAnsiTheme="majorHAnsi" w:cs="Times New Roman"/>
          <w:color w:val="auto"/>
          <w:sz w:val="20"/>
          <w:szCs w:val="20"/>
          <w:lang w:val="es-ES" w:eastAsia="en-US"/>
        </w:rPr>
        <w:t xml:space="preserve"> en junio de 2006</w:t>
      </w:r>
      <w:r w:rsidR="0012714E">
        <w:rPr>
          <w:rFonts w:asciiTheme="majorHAnsi" w:eastAsia="Arial Unicode MS" w:hAnsiTheme="majorHAnsi" w:cs="Times New Roman"/>
          <w:color w:val="auto"/>
          <w:sz w:val="20"/>
          <w:szCs w:val="20"/>
          <w:lang w:val="es-ES" w:eastAsia="en-US"/>
        </w:rPr>
        <w:t xml:space="preserve">, el peticionario, como querellante adhesivo, </w:t>
      </w:r>
      <w:r w:rsidR="00FB792B">
        <w:rPr>
          <w:rFonts w:asciiTheme="majorHAnsi" w:eastAsia="Arial Unicode MS" w:hAnsiTheme="majorHAnsi" w:cs="Times New Roman"/>
          <w:color w:val="auto"/>
          <w:sz w:val="20"/>
          <w:szCs w:val="20"/>
          <w:lang w:val="es-ES" w:eastAsia="en-US"/>
        </w:rPr>
        <w:t>tuvo</w:t>
      </w:r>
      <w:r w:rsidR="0012714E">
        <w:rPr>
          <w:rFonts w:asciiTheme="majorHAnsi" w:eastAsia="Arial Unicode MS" w:hAnsiTheme="majorHAnsi" w:cs="Times New Roman"/>
          <w:color w:val="auto"/>
          <w:sz w:val="20"/>
          <w:szCs w:val="20"/>
          <w:lang w:val="es-ES" w:eastAsia="en-US"/>
        </w:rPr>
        <w:t xml:space="preserve"> la posibilidad de </w:t>
      </w:r>
      <w:r w:rsidR="00981BA7">
        <w:rPr>
          <w:rFonts w:asciiTheme="majorHAnsi" w:eastAsia="Arial Unicode MS" w:hAnsiTheme="majorHAnsi" w:cs="Times New Roman"/>
          <w:color w:val="auto"/>
          <w:sz w:val="20"/>
          <w:szCs w:val="20"/>
          <w:lang w:val="es-ES" w:eastAsia="en-US"/>
        </w:rPr>
        <w:t>coadyuvar en la investigación para dar celeridad a la misma</w:t>
      </w:r>
      <w:r w:rsidR="0012714E">
        <w:rPr>
          <w:rFonts w:asciiTheme="majorHAnsi" w:eastAsia="Arial Unicode MS" w:hAnsiTheme="majorHAnsi" w:cs="Times New Roman"/>
          <w:color w:val="auto"/>
          <w:sz w:val="20"/>
          <w:szCs w:val="20"/>
          <w:lang w:val="es-ES" w:eastAsia="en-US"/>
        </w:rPr>
        <w:t xml:space="preserve">. </w:t>
      </w:r>
      <w:r>
        <w:rPr>
          <w:rFonts w:asciiTheme="majorHAnsi" w:eastAsia="Arial Unicode MS" w:hAnsiTheme="majorHAnsi" w:cs="Times New Roman"/>
          <w:color w:val="auto"/>
          <w:sz w:val="20"/>
          <w:szCs w:val="20"/>
          <w:lang w:val="es-ES" w:eastAsia="en-US"/>
        </w:rPr>
        <w:t xml:space="preserve"> </w:t>
      </w:r>
    </w:p>
    <w:p w14:paraId="60925CE6" w14:textId="77777777" w:rsidR="00D9353E" w:rsidRDefault="00D9353E" w:rsidP="00D9353E">
      <w:pPr>
        <w:jc w:val="both"/>
        <w:rPr>
          <w:rFonts w:asciiTheme="majorHAnsi" w:hAnsiTheme="majorHAnsi"/>
          <w:sz w:val="20"/>
          <w:szCs w:val="20"/>
          <w:lang w:val="es-ES"/>
        </w:rPr>
      </w:pPr>
    </w:p>
    <w:p w14:paraId="677A8B4B" w14:textId="6847F36B" w:rsidR="0063685A" w:rsidRPr="008838C6" w:rsidRDefault="0063685A" w:rsidP="00D9353E">
      <w:pPr>
        <w:numPr>
          <w:ilvl w:val="0"/>
          <w:numId w:val="56"/>
        </w:numPr>
        <w:jc w:val="both"/>
        <w:rPr>
          <w:rFonts w:ascii="Cambria" w:hAnsi="Cambria"/>
          <w:sz w:val="20"/>
          <w:szCs w:val="20"/>
          <w:lang w:val="es-ES"/>
        </w:rPr>
      </w:pPr>
      <w:r w:rsidRPr="00D9353E">
        <w:rPr>
          <w:rFonts w:asciiTheme="majorHAnsi" w:hAnsiTheme="majorHAnsi"/>
          <w:sz w:val="20"/>
          <w:szCs w:val="20"/>
          <w:lang w:val="es-ES"/>
        </w:rPr>
        <w:t xml:space="preserve">En conclusión, el Estado </w:t>
      </w:r>
      <w:r w:rsidR="001937E9" w:rsidRPr="00D9353E">
        <w:rPr>
          <w:rFonts w:asciiTheme="majorHAnsi" w:hAnsiTheme="majorHAnsi"/>
          <w:sz w:val="20"/>
          <w:szCs w:val="20"/>
          <w:lang w:val="es-ES"/>
        </w:rPr>
        <w:t>aduce que</w:t>
      </w:r>
      <w:r w:rsidRPr="00D9353E">
        <w:rPr>
          <w:rFonts w:asciiTheme="majorHAnsi" w:hAnsiTheme="majorHAnsi"/>
          <w:sz w:val="20"/>
          <w:szCs w:val="20"/>
          <w:lang w:val="es-ES"/>
        </w:rPr>
        <w:t xml:space="preserve"> </w:t>
      </w:r>
      <w:r w:rsidR="001937E9" w:rsidRPr="00D9353E">
        <w:rPr>
          <w:rFonts w:asciiTheme="majorHAnsi" w:hAnsiTheme="majorHAnsi"/>
          <w:sz w:val="20"/>
          <w:szCs w:val="20"/>
          <w:lang w:val="es-ES"/>
        </w:rPr>
        <w:t>dada</w:t>
      </w:r>
      <w:r w:rsidR="00B851B0" w:rsidRPr="00D9353E">
        <w:rPr>
          <w:rFonts w:asciiTheme="majorHAnsi" w:hAnsiTheme="majorHAnsi"/>
          <w:sz w:val="20"/>
          <w:szCs w:val="20"/>
          <w:lang w:val="es-ES"/>
        </w:rPr>
        <w:t xml:space="preserve"> </w:t>
      </w:r>
      <w:r w:rsidRPr="00D9353E">
        <w:rPr>
          <w:rFonts w:asciiTheme="majorHAnsi" w:hAnsiTheme="majorHAnsi"/>
          <w:sz w:val="20"/>
          <w:szCs w:val="20"/>
          <w:lang w:val="es-ES"/>
        </w:rPr>
        <w:t xml:space="preserve">la falta de agotamiento de los recursos internos, la petición </w:t>
      </w:r>
      <w:r w:rsidR="001937E9" w:rsidRPr="00D9353E">
        <w:rPr>
          <w:rFonts w:asciiTheme="majorHAnsi" w:hAnsiTheme="majorHAnsi"/>
          <w:sz w:val="20"/>
          <w:szCs w:val="20"/>
          <w:lang w:val="es-ES"/>
        </w:rPr>
        <w:t>debería ser considerada</w:t>
      </w:r>
      <w:r w:rsidRPr="00D9353E">
        <w:rPr>
          <w:rFonts w:asciiTheme="majorHAnsi" w:hAnsiTheme="majorHAnsi"/>
          <w:sz w:val="20"/>
          <w:szCs w:val="20"/>
          <w:lang w:val="es-ES"/>
        </w:rPr>
        <w:t xml:space="preserve"> inadmisible</w:t>
      </w:r>
      <w:r w:rsidR="001937E9" w:rsidRPr="00D9353E">
        <w:rPr>
          <w:rFonts w:asciiTheme="majorHAnsi" w:hAnsiTheme="majorHAnsi"/>
          <w:sz w:val="20"/>
          <w:szCs w:val="20"/>
          <w:lang w:val="es-ES"/>
        </w:rPr>
        <w:t xml:space="preserve"> y que los hechos alegados no evidencian realmente una violación </w:t>
      </w:r>
      <w:r w:rsidR="00AC1717">
        <w:rPr>
          <w:rFonts w:asciiTheme="majorHAnsi" w:hAnsiTheme="majorHAnsi"/>
          <w:sz w:val="20"/>
          <w:szCs w:val="20"/>
          <w:lang w:val="es-ES"/>
        </w:rPr>
        <w:t>a los derechos de</w:t>
      </w:r>
      <w:r w:rsidR="001937E9" w:rsidRPr="00D9353E">
        <w:rPr>
          <w:rFonts w:asciiTheme="majorHAnsi" w:hAnsiTheme="majorHAnsi"/>
          <w:sz w:val="20"/>
          <w:szCs w:val="20"/>
          <w:lang w:val="es-ES"/>
        </w:rPr>
        <w:t xml:space="preserve">l peticionario </w:t>
      </w:r>
      <w:r w:rsidRPr="00D9353E">
        <w:rPr>
          <w:rFonts w:asciiTheme="majorHAnsi" w:hAnsiTheme="majorHAnsi"/>
          <w:sz w:val="20"/>
          <w:szCs w:val="20"/>
          <w:lang w:val="es-ES"/>
        </w:rPr>
        <w:t>y solicita a la CIDH que así lo declare.</w:t>
      </w:r>
    </w:p>
    <w:p w14:paraId="398F8BA9" w14:textId="77777777" w:rsidR="008838C6" w:rsidRPr="00D9353E" w:rsidRDefault="008838C6" w:rsidP="008838C6">
      <w:pPr>
        <w:jc w:val="both"/>
        <w:rPr>
          <w:rFonts w:ascii="Cambria" w:hAnsi="Cambria"/>
          <w:sz w:val="20"/>
          <w:szCs w:val="20"/>
          <w:lang w:val="es-ES"/>
        </w:rPr>
      </w:pPr>
    </w:p>
    <w:p w14:paraId="633EAD29" w14:textId="77777777" w:rsidR="0063685A" w:rsidRPr="00175907" w:rsidRDefault="0063685A" w:rsidP="009F0583">
      <w:pPr>
        <w:spacing w:after="240"/>
        <w:ind w:firstLine="720"/>
        <w:jc w:val="both"/>
        <w:rPr>
          <w:rFonts w:asciiTheme="majorHAnsi" w:hAnsiTheme="majorHAnsi"/>
          <w:b/>
          <w:bCs/>
          <w:sz w:val="20"/>
          <w:szCs w:val="20"/>
          <w:lang w:val="es-ES"/>
        </w:rPr>
      </w:pPr>
      <w:r w:rsidRPr="00175907">
        <w:rPr>
          <w:rFonts w:asciiTheme="majorHAnsi" w:hAnsiTheme="majorHAnsi"/>
          <w:b/>
          <w:bCs/>
          <w:sz w:val="20"/>
          <w:szCs w:val="20"/>
          <w:lang w:val="es-ES"/>
        </w:rPr>
        <w:t>IV.</w:t>
      </w:r>
      <w:r w:rsidRPr="00175907">
        <w:rPr>
          <w:rFonts w:asciiTheme="majorHAnsi" w:hAnsiTheme="majorHAnsi"/>
          <w:b/>
          <w:bCs/>
          <w:sz w:val="20"/>
          <w:szCs w:val="20"/>
          <w:lang w:val="es-ES"/>
        </w:rPr>
        <w:tab/>
        <w:t>ANÁLISIS SOBRE COMPETENCIA Y ADMISIBILIDAD</w:t>
      </w:r>
    </w:p>
    <w:p w14:paraId="7685F3D4" w14:textId="77777777" w:rsidR="0063685A" w:rsidRPr="00175907" w:rsidRDefault="0063685A" w:rsidP="009F0583">
      <w:pPr>
        <w:spacing w:after="240"/>
        <w:ind w:left="1440" w:hanging="720"/>
        <w:jc w:val="both"/>
        <w:rPr>
          <w:rFonts w:asciiTheme="majorHAnsi" w:hAnsiTheme="majorHAnsi"/>
          <w:sz w:val="20"/>
          <w:szCs w:val="20"/>
          <w:lang w:val="es-ES"/>
        </w:rPr>
      </w:pPr>
      <w:r w:rsidRPr="00175907">
        <w:rPr>
          <w:rFonts w:asciiTheme="majorHAnsi" w:hAnsiTheme="majorHAnsi"/>
          <w:b/>
          <w:bCs/>
          <w:sz w:val="20"/>
          <w:szCs w:val="20"/>
          <w:lang w:val="es-ES"/>
        </w:rPr>
        <w:t>A.</w:t>
      </w:r>
      <w:r w:rsidRPr="00175907">
        <w:rPr>
          <w:rFonts w:asciiTheme="majorHAnsi" w:hAnsiTheme="majorHAnsi"/>
          <w:b/>
          <w:bCs/>
          <w:sz w:val="20"/>
          <w:szCs w:val="20"/>
          <w:lang w:val="es-ES"/>
        </w:rPr>
        <w:tab/>
        <w:t xml:space="preserve">Competencia </w:t>
      </w:r>
    </w:p>
    <w:p w14:paraId="0BE8087A" w14:textId="77777777" w:rsidR="0063685A" w:rsidRPr="004242E2" w:rsidRDefault="00F804CA" w:rsidP="009F0583">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eastAsia="SimSun" w:hAnsi="Cambria"/>
          <w:sz w:val="20"/>
          <w:szCs w:val="20"/>
          <w:lang w:val="es-ES"/>
        </w:rPr>
      </w:pPr>
      <w:r w:rsidRPr="004242E2">
        <w:rPr>
          <w:rFonts w:ascii="Cambria" w:hAnsi="Cambria" w:cs="Arial"/>
          <w:sz w:val="20"/>
          <w:szCs w:val="20"/>
          <w:lang w:val="es-ES"/>
        </w:rPr>
        <w:t xml:space="preserve">El peticionario se encuentra facultado, en principio, por el artículo 44 de la Convención Americana para presentar peticiones ante la Comisión.  La petición señala como presunta víctima a una persona individual, respecto de quien el Estado de Guatemala se comprometió a respetar y garantizar los derechos consagrados en la Convención Americana. En lo concerniente al Estado, la Comisión señala que Guatemala es un Estado parte en la Convención Americana desde el 25 de mayo de 1978, fecha en la que depositó su instrumento de ratificación.  Por lo tanto, la Comisión tiene competencia </w:t>
      </w:r>
      <w:r w:rsidRPr="00E24F45">
        <w:rPr>
          <w:rFonts w:ascii="Cambria" w:hAnsi="Cambria" w:cs="Arial"/>
          <w:i/>
          <w:sz w:val="20"/>
          <w:szCs w:val="20"/>
          <w:lang w:val="es-ES"/>
        </w:rPr>
        <w:t>ratione personae</w:t>
      </w:r>
      <w:r w:rsidRPr="004242E2">
        <w:rPr>
          <w:rFonts w:ascii="Cambria" w:hAnsi="Cambria" w:cs="Arial"/>
          <w:sz w:val="20"/>
          <w:szCs w:val="20"/>
          <w:lang w:val="es-ES"/>
        </w:rPr>
        <w:t xml:space="preserve"> para </w:t>
      </w:r>
      <w:r w:rsidRPr="004242E2">
        <w:rPr>
          <w:rFonts w:ascii="Cambria" w:hAnsi="Cambria" w:cs="Arial"/>
          <w:sz w:val="20"/>
          <w:szCs w:val="20"/>
          <w:lang w:val="es-ES"/>
        </w:rPr>
        <w:lastRenderedPageBreak/>
        <w:t xml:space="preserve">examinar la petición. Asimismo, la Comisión tiene competencia </w:t>
      </w:r>
      <w:r w:rsidRPr="00E24F45">
        <w:rPr>
          <w:rFonts w:ascii="Cambria" w:hAnsi="Cambria" w:cs="Arial"/>
          <w:i/>
          <w:sz w:val="20"/>
          <w:szCs w:val="20"/>
          <w:lang w:val="es-ES"/>
        </w:rPr>
        <w:t>ratione loci</w:t>
      </w:r>
      <w:r w:rsidRPr="004242E2">
        <w:rPr>
          <w:rFonts w:ascii="Cambria" w:hAnsi="Cambria" w:cs="Arial"/>
          <w:sz w:val="20"/>
          <w:szCs w:val="20"/>
          <w:lang w:val="es-ES"/>
        </w:rPr>
        <w:t xml:space="preserve"> para conocer la petición, por cuanto en ella se alegan violaciones de derechos protegidos en la Convención Americana que habrían tenido lugar dentro del territorio de Guatemala, Estado Parte en dicho tratado</w:t>
      </w:r>
      <w:r w:rsidR="0063685A" w:rsidRPr="004242E2">
        <w:rPr>
          <w:rFonts w:ascii="Cambria" w:eastAsia="SimSun" w:hAnsi="Cambria"/>
          <w:sz w:val="20"/>
          <w:szCs w:val="20"/>
          <w:lang w:val="es-ES"/>
        </w:rPr>
        <w:t>. </w:t>
      </w:r>
    </w:p>
    <w:p w14:paraId="5F99D88E" w14:textId="77777777" w:rsidR="0063685A" w:rsidRPr="004242E2" w:rsidRDefault="00F804CA" w:rsidP="009F0583">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eastAsia="SimSun" w:hAnsi="Cambria"/>
          <w:color w:val="000000" w:themeColor="text1"/>
          <w:sz w:val="20"/>
          <w:szCs w:val="20"/>
          <w:lang w:val="es-ES"/>
        </w:rPr>
      </w:pPr>
      <w:r w:rsidRPr="004242E2">
        <w:rPr>
          <w:rFonts w:ascii="Cambria" w:hAnsi="Cambria" w:cs="Arial"/>
          <w:color w:val="000000" w:themeColor="text1"/>
          <w:sz w:val="20"/>
          <w:szCs w:val="20"/>
          <w:lang w:val="es-ES"/>
        </w:rPr>
        <w:t xml:space="preserve">La Comisión tiene competencia </w:t>
      </w:r>
      <w:r w:rsidRPr="00E24F45">
        <w:rPr>
          <w:rFonts w:ascii="Cambria" w:hAnsi="Cambria" w:cs="Arial"/>
          <w:i/>
          <w:color w:val="000000" w:themeColor="text1"/>
          <w:sz w:val="20"/>
          <w:szCs w:val="20"/>
          <w:lang w:val="es-ES"/>
        </w:rPr>
        <w:t>ratione temporis</w:t>
      </w:r>
      <w:r w:rsidRPr="004242E2">
        <w:rPr>
          <w:rFonts w:ascii="Cambria" w:hAnsi="Cambria" w:cs="Arial"/>
          <w:color w:val="000000" w:themeColor="text1"/>
          <w:sz w:val="20"/>
          <w:szCs w:val="20"/>
          <w:lang w:val="es-ES"/>
        </w:rPr>
        <w:t xml:space="preserve"> por cuanto la obligación de respetar y garantizar los derechos protegidos en la Convención Americana ya se encontraba en vigor para el Estado en la fecha en que habrían ocurrido los hechos alegados en la petición.  Finalmente, la Comisión tiene competencia </w:t>
      </w:r>
      <w:r w:rsidRPr="00E24F45">
        <w:rPr>
          <w:rFonts w:ascii="Cambria" w:hAnsi="Cambria" w:cs="Arial"/>
          <w:i/>
          <w:color w:val="000000" w:themeColor="text1"/>
          <w:sz w:val="20"/>
          <w:szCs w:val="20"/>
          <w:lang w:val="es-ES"/>
        </w:rPr>
        <w:t>ratione materiae</w:t>
      </w:r>
      <w:r w:rsidRPr="004242E2">
        <w:rPr>
          <w:rFonts w:ascii="Cambria" w:hAnsi="Cambria" w:cs="Arial"/>
          <w:color w:val="000000" w:themeColor="text1"/>
          <w:sz w:val="20"/>
          <w:szCs w:val="20"/>
          <w:lang w:val="es-ES"/>
        </w:rPr>
        <w:t>, porque en la petición se denuncian posibles violaciones a derechos humanos protegidos por la Convención Americana</w:t>
      </w:r>
      <w:r w:rsidR="0063685A" w:rsidRPr="004242E2">
        <w:rPr>
          <w:rFonts w:ascii="Cambria" w:eastAsia="SimSun" w:hAnsi="Cambria"/>
          <w:color w:val="000000" w:themeColor="text1"/>
          <w:sz w:val="20"/>
          <w:szCs w:val="20"/>
          <w:lang w:val="es-ES"/>
        </w:rPr>
        <w:t>.</w:t>
      </w:r>
    </w:p>
    <w:p w14:paraId="2C15AE2E" w14:textId="77777777" w:rsidR="0063685A" w:rsidRPr="00175907" w:rsidRDefault="0063685A" w:rsidP="009F0583">
      <w:pPr>
        <w:numPr>
          <w:ilvl w:val="0"/>
          <w:numId w:val="57"/>
        </w:numPr>
        <w:spacing w:after="240"/>
        <w:jc w:val="both"/>
        <w:rPr>
          <w:rFonts w:asciiTheme="majorHAnsi" w:hAnsiTheme="majorHAnsi"/>
          <w:b/>
          <w:sz w:val="20"/>
          <w:szCs w:val="20"/>
          <w:lang w:val="es-ES"/>
        </w:rPr>
      </w:pPr>
      <w:r w:rsidRPr="00175907">
        <w:rPr>
          <w:rFonts w:asciiTheme="majorHAnsi" w:hAnsiTheme="majorHAnsi"/>
          <w:b/>
          <w:bCs/>
          <w:sz w:val="20"/>
          <w:szCs w:val="20"/>
          <w:lang w:val="es-ES"/>
        </w:rPr>
        <w:t xml:space="preserve">Requisitos de </w:t>
      </w:r>
      <w:r w:rsidRPr="00175907">
        <w:rPr>
          <w:rFonts w:asciiTheme="majorHAnsi" w:hAnsiTheme="majorHAnsi"/>
          <w:b/>
          <w:sz w:val="20"/>
          <w:szCs w:val="20"/>
          <w:lang w:val="es-ES"/>
        </w:rPr>
        <w:t>Admisibilidad</w:t>
      </w:r>
    </w:p>
    <w:p w14:paraId="56C7F872" w14:textId="77777777" w:rsidR="0063685A" w:rsidRPr="00175907" w:rsidRDefault="0063685A" w:rsidP="009F0583">
      <w:pPr>
        <w:spacing w:after="240"/>
        <w:ind w:firstLine="720"/>
        <w:jc w:val="both"/>
        <w:rPr>
          <w:rFonts w:asciiTheme="majorHAnsi" w:hAnsiTheme="majorHAnsi"/>
          <w:b/>
          <w:sz w:val="20"/>
          <w:szCs w:val="20"/>
          <w:lang w:val="es-ES"/>
        </w:rPr>
      </w:pPr>
      <w:r w:rsidRPr="00175907">
        <w:rPr>
          <w:rFonts w:asciiTheme="majorHAnsi" w:hAnsiTheme="majorHAnsi"/>
          <w:b/>
          <w:sz w:val="20"/>
          <w:szCs w:val="20"/>
          <w:lang w:val="es-ES"/>
        </w:rPr>
        <w:t>1.</w:t>
      </w:r>
      <w:r w:rsidRPr="00175907">
        <w:rPr>
          <w:rFonts w:asciiTheme="majorHAnsi" w:hAnsiTheme="majorHAnsi"/>
          <w:b/>
          <w:sz w:val="20"/>
          <w:szCs w:val="20"/>
          <w:lang w:val="es-ES"/>
        </w:rPr>
        <w:tab/>
        <w:t>Agotamiento de los recursos internos</w:t>
      </w:r>
    </w:p>
    <w:p w14:paraId="6EA64DB4" w14:textId="2B77B4EF" w:rsidR="00676137" w:rsidRPr="004242E2" w:rsidRDefault="00F24665" w:rsidP="00676137">
      <w:pPr>
        <w:numPr>
          <w:ilvl w:val="0"/>
          <w:numId w:val="56"/>
        </w:numPr>
        <w:spacing w:after="240"/>
        <w:jc w:val="both"/>
        <w:rPr>
          <w:rFonts w:ascii="Cambria" w:hAnsi="Cambria"/>
          <w:i/>
          <w:sz w:val="20"/>
          <w:szCs w:val="20"/>
          <w:lang w:val="es-ES"/>
        </w:rPr>
      </w:pPr>
      <w:r w:rsidRPr="004242E2">
        <w:rPr>
          <w:rFonts w:ascii="Cambria" w:hAnsi="Cambria" w:cs="Arial"/>
          <w:sz w:val="20"/>
          <w:szCs w:val="20"/>
          <w:lang w:val="es-ES"/>
        </w:rPr>
        <w:t>El artículo 46.1.a</w:t>
      </w:r>
      <w:r w:rsidR="0063685A" w:rsidRPr="004242E2">
        <w:rPr>
          <w:rFonts w:ascii="Cambria" w:hAnsi="Cambria" w:cs="Arial"/>
          <w:sz w:val="20"/>
          <w:szCs w:val="20"/>
          <w:lang w:val="es-ES"/>
        </w:rPr>
        <w:t xml:space="preserve"> de la Convención Americana exige el previo agotamiento de los recursos disponibles en la jurisdicción interna conforme a los principios de derecho internacional generalmente reconocidos, como requisito para la admisión de reclamos sobre la presunta violación de la Convención Americana.  </w:t>
      </w:r>
      <w:r w:rsidR="0063685A" w:rsidRPr="004242E2">
        <w:rPr>
          <w:rFonts w:ascii="Cambria" w:hAnsi="Cambria"/>
          <w:sz w:val="20"/>
          <w:szCs w:val="20"/>
          <w:lang w:val="es-ES"/>
        </w:rPr>
        <w:t xml:space="preserve">Este requisito tiene como objeto permitir que las autoridades nacionales conozcan sobre la supuesta violación de un derecho protegido y, de ser apropiado, </w:t>
      </w:r>
      <w:r w:rsidR="00485810" w:rsidRPr="004242E2">
        <w:rPr>
          <w:rFonts w:ascii="Cambria" w:hAnsi="Cambria"/>
          <w:sz w:val="20"/>
          <w:szCs w:val="20"/>
          <w:lang w:val="es-ES"/>
        </w:rPr>
        <w:t>solucionen la situación</w:t>
      </w:r>
      <w:r w:rsidR="0063685A" w:rsidRPr="004242E2">
        <w:rPr>
          <w:rFonts w:ascii="Cambria" w:hAnsi="Cambria"/>
          <w:sz w:val="20"/>
          <w:szCs w:val="20"/>
          <w:lang w:val="es-ES"/>
        </w:rPr>
        <w:t xml:space="preserve"> antes de que sea conocida por una instancia internacional. </w:t>
      </w:r>
      <w:r w:rsidR="00676137" w:rsidRPr="004242E2">
        <w:rPr>
          <w:rFonts w:ascii="Cambria" w:hAnsi="Cambria" w:cs="Arial"/>
          <w:sz w:val="20"/>
          <w:szCs w:val="20"/>
          <w:lang w:val="es-ES"/>
        </w:rPr>
        <w:t>Por su parte, el artículo 46.2</w:t>
      </w:r>
      <w:r w:rsidR="0063685A" w:rsidRPr="004242E2">
        <w:rPr>
          <w:rFonts w:ascii="Cambria" w:hAnsi="Cambria" w:cs="Arial"/>
          <w:sz w:val="20"/>
          <w:szCs w:val="20"/>
          <w:lang w:val="es-ES"/>
        </w:rPr>
        <w:t xml:space="preserve"> de la Convención prevé que el requisito de previo agotamiento de los recursos internos no resulta aplicable cuando</w:t>
      </w:r>
      <w:r w:rsidR="00676137" w:rsidRPr="004242E2">
        <w:rPr>
          <w:rFonts w:ascii="Cambria" w:hAnsi="Cambria" w:cs="Arial"/>
          <w:sz w:val="20"/>
          <w:szCs w:val="20"/>
          <w:lang w:val="es-ES"/>
        </w:rPr>
        <w:t xml:space="preserve">: </w:t>
      </w:r>
      <w:r w:rsidR="0063685A" w:rsidRPr="004242E2">
        <w:rPr>
          <w:rFonts w:ascii="Cambria" w:hAnsi="Cambria" w:cs="Arial"/>
          <w:sz w:val="20"/>
          <w:szCs w:val="20"/>
          <w:lang w:val="es-ES"/>
        </w:rPr>
        <w:t>i) no exista en la legislación interna del Estado de que se trata el debido proceso legal para la protección del derecho o derechos q</w:t>
      </w:r>
      <w:r w:rsidR="00676137" w:rsidRPr="004242E2">
        <w:rPr>
          <w:rFonts w:ascii="Cambria" w:hAnsi="Cambria" w:cs="Arial"/>
          <w:sz w:val="20"/>
          <w:szCs w:val="20"/>
          <w:lang w:val="es-ES"/>
        </w:rPr>
        <w:t xml:space="preserve">ue se alega han sido violados; </w:t>
      </w:r>
      <w:r w:rsidR="0063685A" w:rsidRPr="004242E2">
        <w:rPr>
          <w:rFonts w:ascii="Cambria" w:hAnsi="Cambria" w:cs="Arial"/>
          <w:sz w:val="20"/>
          <w:szCs w:val="20"/>
          <w:lang w:val="es-ES"/>
        </w:rPr>
        <w:t xml:space="preserve">ii) no se haya permitido al presunto lesionado en sus derechos el acceso a los recursos a la jurisdicción interna, o haya sido impedido de </w:t>
      </w:r>
      <w:r w:rsidR="00676137" w:rsidRPr="004242E2">
        <w:rPr>
          <w:rFonts w:ascii="Cambria" w:hAnsi="Cambria" w:cs="Arial"/>
          <w:sz w:val="20"/>
          <w:szCs w:val="20"/>
          <w:lang w:val="es-ES"/>
        </w:rPr>
        <w:t xml:space="preserve">agotarlos; o </w:t>
      </w:r>
      <w:r w:rsidR="0063685A" w:rsidRPr="004242E2">
        <w:rPr>
          <w:rFonts w:ascii="Cambria" w:hAnsi="Cambria" w:cs="Arial"/>
          <w:sz w:val="20"/>
          <w:szCs w:val="20"/>
          <w:lang w:val="es-ES"/>
        </w:rPr>
        <w:t>iii) haya retardo injustificado en la decisión sobre los mencionados recursos.</w:t>
      </w:r>
    </w:p>
    <w:p w14:paraId="2A64FF74" w14:textId="7335F65A" w:rsidR="00676137" w:rsidRPr="004242E2" w:rsidRDefault="00676137" w:rsidP="00F804CA">
      <w:pPr>
        <w:numPr>
          <w:ilvl w:val="0"/>
          <w:numId w:val="56"/>
        </w:numPr>
        <w:spacing w:after="240"/>
        <w:jc w:val="both"/>
        <w:rPr>
          <w:rFonts w:ascii="Cambria" w:hAnsi="Cambria"/>
          <w:sz w:val="20"/>
          <w:szCs w:val="20"/>
          <w:lang w:val="es-ES"/>
        </w:rPr>
      </w:pPr>
      <w:r w:rsidRPr="004242E2">
        <w:rPr>
          <w:rFonts w:ascii="Cambria" w:hAnsi="Cambria"/>
          <w:sz w:val="20"/>
          <w:szCs w:val="20"/>
          <w:lang w:val="es-ES"/>
        </w:rPr>
        <w:t xml:space="preserve">La Comisión observa que las partes </w:t>
      </w:r>
      <w:r w:rsidR="008A32F5" w:rsidRPr="00EC5551">
        <w:rPr>
          <w:rFonts w:ascii="Cambria" w:hAnsi="Cambria"/>
          <w:sz w:val="20"/>
          <w:szCs w:val="20"/>
          <w:lang w:val="es-ES"/>
        </w:rPr>
        <w:t>ofrecen información contradictoria</w:t>
      </w:r>
      <w:r w:rsidR="008A32F5" w:rsidRPr="004242E2">
        <w:rPr>
          <w:rFonts w:ascii="Cambria" w:hAnsi="Cambria"/>
          <w:sz w:val="20"/>
          <w:szCs w:val="20"/>
          <w:lang w:val="es-ES"/>
        </w:rPr>
        <w:t xml:space="preserve"> </w:t>
      </w:r>
      <w:r w:rsidRPr="004242E2">
        <w:rPr>
          <w:rFonts w:ascii="Cambria" w:hAnsi="Cambria"/>
          <w:sz w:val="20"/>
          <w:szCs w:val="20"/>
          <w:lang w:val="es-ES"/>
        </w:rPr>
        <w:t xml:space="preserve">sobre el estado actual de las investigaciones iniciadas para localizar los bienes incautados </w:t>
      </w:r>
      <w:r w:rsidR="00C959C6">
        <w:rPr>
          <w:rFonts w:ascii="Cambria" w:hAnsi="Cambria"/>
          <w:sz w:val="20"/>
          <w:szCs w:val="20"/>
          <w:lang w:val="es-ES"/>
        </w:rPr>
        <w:t xml:space="preserve">y </w:t>
      </w:r>
      <w:r w:rsidR="00C959C6" w:rsidRPr="00FB792B">
        <w:rPr>
          <w:rFonts w:asciiTheme="majorHAnsi" w:hAnsiTheme="majorHAnsi"/>
          <w:sz w:val="20"/>
          <w:szCs w:val="20"/>
          <w:lang w:val="es-ES"/>
        </w:rPr>
        <w:t>responsabilizar a los presuntos responsables por los hechos denunciados</w:t>
      </w:r>
      <w:r w:rsidRPr="004242E2">
        <w:rPr>
          <w:rFonts w:ascii="Cambria" w:hAnsi="Cambria"/>
          <w:sz w:val="20"/>
          <w:szCs w:val="20"/>
          <w:lang w:val="es-ES"/>
        </w:rPr>
        <w:t xml:space="preserve">. Por una parte, el peticionario afirma que activó las vías adecuadas </w:t>
      </w:r>
      <w:r w:rsidRPr="004242E2">
        <w:rPr>
          <w:rFonts w:ascii="Cambria" w:hAnsi="Cambria" w:cs="Arial"/>
          <w:sz w:val="20"/>
          <w:szCs w:val="20"/>
          <w:lang w:val="es-ES"/>
        </w:rPr>
        <w:t xml:space="preserve">y que la clausura provisional se convirtió en un sobreseimiento definitivo de la persecución penal en contra de los </w:t>
      </w:r>
      <w:r w:rsidR="0024050D">
        <w:rPr>
          <w:rFonts w:ascii="Cambria" w:hAnsi="Cambria" w:cs="Arial"/>
          <w:sz w:val="20"/>
          <w:szCs w:val="20"/>
          <w:lang w:val="es-ES"/>
        </w:rPr>
        <w:t>señores Valle</w:t>
      </w:r>
      <w:r w:rsidRPr="004242E2">
        <w:rPr>
          <w:rFonts w:ascii="Cambria" w:hAnsi="Cambria" w:cs="Arial"/>
          <w:sz w:val="20"/>
          <w:szCs w:val="20"/>
          <w:lang w:val="es-ES"/>
        </w:rPr>
        <w:t xml:space="preserve"> y Roderico, respectivamente, el 27 de octubre de 2010 y 2 de marzo de 2011. El peticionario no proporciona documentos que </w:t>
      </w:r>
      <w:r w:rsidR="0055585B" w:rsidRPr="004242E2">
        <w:rPr>
          <w:rFonts w:ascii="Cambria" w:hAnsi="Cambria" w:cs="Arial"/>
          <w:sz w:val="20"/>
          <w:szCs w:val="20"/>
          <w:lang w:val="es-ES"/>
        </w:rPr>
        <w:t xml:space="preserve">confirman </w:t>
      </w:r>
      <w:r w:rsidRPr="004242E2">
        <w:rPr>
          <w:rFonts w:ascii="Cambria" w:hAnsi="Cambria" w:cs="Arial"/>
          <w:sz w:val="20"/>
          <w:szCs w:val="20"/>
          <w:lang w:val="es-ES"/>
        </w:rPr>
        <w:t xml:space="preserve">el sobreseimiento de la persecución penal y </w:t>
      </w:r>
      <w:r w:rsidR="0055585B" w:rsidRPr="004242E2">
        <w:rPr>
          <w:rFonts w:ascii="Cambria" w:hAnsi="Cambria" w:cs="Arial"/>
          <w:sz w:val="20"/>
          <w:szCs w:val="20"/>
          <w:lang w:val="es-ES"/>
        </w:rPr>
        <w:t>basa</w:t>
      </w:r>
      <w:r w:rsidRPr="004242E2">
        <w:rPr>
          <w:rFonts w:ascii="Cambria" w:hAnsi="Cambria" w:cs="Arial"/>
          <w:sz w:val="20"/>
          <w:szCs w:val="20"/>
          <w:lang w:val="es-ES"/>
        </w:rPr>
        <w:t xml:space="preserve"> su alegato en el texto del artículo 345 quáter. del CPP</w:t>
      </w:r>
      <w:r w:rsidR="009E67AE">
        <w:rPr>
          <w:rFonts w:ascii="Cambria" w:hAnsi="Cambria" w:cs="Arial"/>
          <w:sz w:val="20"/>
          <w:szCs w:val="20"/>
          <w:lang w:val="es-ES"/>
        </w:rPr>
        <w:t xml:space="preserve"> en vigor a la época de los hechos</w:t>
      </w:r>
      <w:r w:rsidRPr="004242E2">
        <w:rPr>
          <w:rFonts w:ascii="Cambria" w:hAnsi="Cambria" w:cs="Arial"/>
          <w:sz w:val="20"/>
          <w:szCs w:val="20"/>
          <w:lang w:val="es-ES"/>
        </w:rPr>
        <w:t>.</w:t>
      </w:r>
      <w:r w:rsidRPr="004242E2">
        <w:rPr>
          <w:rFonts w:ascii="Cambria" w:hAnsi="Cambria"/>
          <w:sz w:val="20"/>
          <w:szCs w:val="20"/>
          <w:lang w:val="es-ES"/>
        </w:rPr>
        <w:t xml:space="preserve"> Por </w:t>
      </w:r>
      <w:r w:rsidR="008A32F5">
        <w:rPr>
          <w:rFonts w:ascii="Cambria" w:hAnsi="Cambria"/>
          <w:sz w:val="20"/>
          <w:szCs w:val="20"/>
          <w:lang w:val="es-ES"/>
        </w:rPr>
        <w:t>su</w:t>
      </w:r>
      <w:r w:rsidR="008A32F5" w:rsidRPr="004242E2">
        <w:rPr>
          <w:rFonts w:ascii="Cambria" w:hAnsi="Cambria"/>
          <w:sz w:val="20"/>
          <w:szCs w:val="20"/>
          <w:lang w:val="es-ES"/>
        </w:rPr>
        <w:t xml:space="preserve"> </w:t>
      </w:r>
      <w:r w:rsidRPr="004242E2">
        <w:rPr>
          <w:rFonts w:ascii="Cambria" w:hAnsi="Cambria"/>
          <w:sz w:val="20"/>
          <w:szCs w:val="20"/>
          <w:lang w:val="es-ES"/>
        </w:rPr>
        <w:t>parte, el Estado, en su ú</w:t>
      </w:r>
      <w:r w:rsidR="0055585B" w:rsidRPr="004242E2">
        <w:rPr>
          <w:rFonts w:ascii="Cambria" w:hAnsi="Cambria"/>
          <w:sz w:val="20"/>
          <w:szCs w:val="20"/>
          <w:lang w:val="es-ES"/>
        </w:rPr>
        <w:t>ltima</w:t>
      </w:r>
      <w:r w:rsidRPr="004242E2">
        <w:rPr>
          <w:rFonts w:ascii="Cambria" w:hAnsi="Cambria"/>
          <w:sz w:val="20"/>
          <w:szCs w:val="20"/>
          <w:lang w:val="es-ES"/>
        </w:rPr>
        <w:t xml:space="preserve"> comunicación de marzo de 2011</w:t>
      </w:r>
      <w:r w:rsidR="0055585B" w:rsidRPr="004242E2">
        <w:rPr>
          <w:rFonts w:ascii="Cambria" w:hAnsi="Cambria"/>
          <w:sz w:val="20"/>
          <w:szCs w:val="20"/>
          <w:lang w:val="es-ES"/>
        </w:rPr>
        <w:t>,</w:t>
      </w:r>
      <w:r w:rsidRPr="004242E2">
        <w:rPr>
          <w:rFonts w:ascii="Cambria" w:hAnsi="Cambria"/>
          <w:sz w:val="20"/>
          <w:szCs w:val="20"/>
          <w:lang w:val="es-ES"/>
        </w:rPr>
        <w:t xml:space="preserve"> </w:t>
      </w:r>
      <w:r w:rsidR="009E67AE" w:rsidRPr="00EC5551">
        <w:rPr>
          <w:rFonts w:ascii="Cambria" w:hAnsi="Cambria"/>
          <w:sz w:val="20"/>
          <w:szCs w:val="20"/>
          <w:lang w:val="es-ES"/>
        </w:rPr>
        <w:t>alegó la falta de agotamiento de los recursos internos e indicó</w:t>
      </w:r>
      <w:r w:rsidR="009E67AE" w:rsidRPr="004242E2">
        <w:rPr>
          <w:rFonts w:ascii="Cambria" w:hAnsi="Cambria"/>
          <w:sz w:val="20"/>
          <w:szCs w:val="20"/>
          <w:lang w:val="es-ES"/>
        </w:rPr>
        <w:t xml:space="preserve"> </w:t>
      </w:r>
      <w:r w:rsidRPr="004242E2">
        <w:rPr>
          <w:rFonts w:ascii="Cambria" w:hAnsi="Cambria"/>
          <w:sz w:val="20"/>
          <w:szCs w:val="20"/>
          <w:lang w:val="es-ES"/>
        </w:rPr>
        <w:t>que el Ministerio Público continuaba promoviendo la persecución penal.</w:t>
      </w:r>
    </w:p>
    <w:p w14:paraId="46147504" w14:textId="39D0B5E8" w:rsidR="00FB171A" w:rsidRDefault="00676137" w:rsidP="00FB171A">
      <w:pPr>
        <w:numPr>
          <w:ilvl w:val="0"/>
          <w:numId w:val="56"/>
        </w:numPr>
        <w:spacing w:after="240"/>
        <w:jc w:val="both"/>
        <w:rPr>
          <w:rFonts w:ascii="Cambria" w:hAnsi="Cambria"/>
          <w:sz w:val="20"/>
          <w:szCs w:val="20"/>
          <w:lang w:val="es-ES"/>
        </w:rPr>
      </w:pPr>
      <w:r w:rsidRPr="004242E2">
        <w:rPr>
          <w:rFonts w:ascii="Cambria" w:hAnsi="Cambria"/>
          <w:sz w:val="20"/>
          <w:szCs w:val="20"/>
          <w:lang w:val="es-ES"/>
        </w:rPr>
        <w:t>La Comisión observa que el artículo 345 quáter. del CPP</w:t>
      </w:r>
      <w:r w:rsidR="00C45464" w:rsidRPr="004242E2">
        <w:rPr>
          <w:rFonts w:ascii="Cambria" w:hAnsi="Cambria"/>
          <w:sz w:val="20"/>
          <w:szCs w:val="20"/>
          <w:lang w:val="es-ES"/>
        </w:rPr>
        <w:t xml:space="preserve"> </w:t>
      </w:r>
      <w:r w:rsidR="00FB792B">
        <w:rPr>
          <w:rFonts w:ascii="Cambria" w:hAnsi="Cambria"/>
          <w:sz w:val="20"/>
          <w:szCs w:val="20"/>
          <w:lang w:val="es-ES"/>
        </w:rPr>
        <w:t xml:space="preserve">entonces en vigor </w:t>
      </w:r>
      <w:r w:rsidR="00C45464" w:rsidRPr="004242E2">
        <w:rPr>
          <w:rFonts w:ascii="Cambria" w:hAnsi="Cambria"/>
          <w:sz w:val="20"/>
          <w:szCs w:val="20"/>
          <w:lang w:val="es-ES"/>
        </w:rPr>
        <w:t>indicaba que se podría decretar el sobreseimiento de una persecución penal cuando luego de la clausura no se hubiere reabierto el proceso durante el tiempo de cinco años. Sin embargo, según información proporcionada por ambas partes, la persecución penal fue reanudada en junio de 2006 y, según información públicamente disponible, el referido artículo del CPP fue derogado por el Congreso Nacional de Guatemala el 21 de mayo de 2010 a través del Decreto No. 18-2010.</w:t>
      </w:r>
      <w:r w:rsidR="0055585B" w:rsidRPr="004242E2">
        <w:rPr>
          <w:rFonts w:ascii="Cambria" w:hAnsi="Cambria"/>
          <w:sz w:val="20"/>
          <w:szCs w:val="20"/>
          <w:lang w:val="es-ES"/>
        </w:rPr>
        <w:t xml:space="preserve"> </w:t>
      </w:r>
      <w:r w:rsidR="00A552EC">
        <w:rPr>
          <w:rFonts w:ascii="Cambria" w:hAnsi="Cambria"/>
          <w:sz w:val="20"/>
          <w:szCs w:val="20"/>
          <w:lang w:val="es-ES"/>
        </w:rPr>
        <w:t xml:space="preserve">Ante lo anterior, </w:t>
      </w:r>
      <w:r w:rsidR="0055585B" w:rsidRPr="004242E2">
        <w:rPr>
          <w:rFonts w:ascii="Cambria" w:hAnsi="Cambria"/>
          <w:sz w:val="20"/>
          <w:szCs w:val="20"/>
          <w:lang w:val="es-ES"/>
        </w:rPr>
        <w:t>la CIDH acepta la posición del Estado de que el Ministerio Público</w:t>
      </w:r>
      <w:r w:rsidR="00A552EC">
        <w:rPr>
          <w:rFonts w:ascii="Cambria" w:hAnsi="Cambria"/>
          <w:sz w:val="20"/>
          <w:szCs w:val="20"/>
          <w:lang w:val="es-ES"/>
        </w:rPr>
        <w:t xml:space="preserve"> </w:t>
      </w:r>
      <w:r w:rsidR="00414714">
        <w:rPr>
          <w:rFonts w:ascii="Cambria" w:hAnsi="Cambria"/>
          <w:sz w:val="20"/>
          <w:szCs w:val="20"/>
          <w:lang w:val="es-ES"/>
        </w:rPr>
        <w:t>continuaría</w:t>
      </w:r>
      <w:r w:rsidR="0055585B" w:rsidRPr="004242E2">
        <w:rPr>
          <w:rFonts w:ascii="Cambria" w:hAnsi="Cambria"/>
          <w:sz w:val="20"/>
          <w:szCs w:val="20"/>
          <w:lang w:val="es-ES"/>
        </w:rPr>
        <w:t xml:space="preserve"> promoviendo la persecución penal en contra de los </w:t>
      </w:r>
      <w:r w:rsidR="0024050D">
        <w:rPr>
          <w:rFonts w:ascii="Cambria" w:hAnsi="Cambria"/>
          <w:sz w:val="20"/>
          <w:szCs w:val="20"/>
          <w:lang w:val="es-ES"/>
        </w:rPr>
        <w:t>señores Valle</w:t>
      </w:r>
      <w:r w:rsidR="0055585B" w:rsidRPr="004242E2">
        <w:rPr>
          <w:rFonts w:ascii="Cambria" w:hAnsi="Cambria"/>
          <w:sz w:val="20"/>
          <w:szCs w:val="20"/>
          <w:lang w:val="es-ES"/>
        </w:rPr>
        <w:t xml:space="preserve"> y Roderico. </w:t>
      </w:r>
    </w:p>
    <w:p w14:paraId="126BEC26" w14:textId="1E7D23BE" w:rsidR="00FB171A" w:rsidRDefault="00351438" w:rsidP="00FB171A">
      <w:pPr>
        <w:numPr>
          <w:ilvl w:val="0"/>
          <w:numId w:val="56"/>
        </w:numPr>
        <w:spacing w:after="240"/>
        <w:jc w:val="both"/>
        <w:rPr>
          <w:rFonts w:ascii="Cambria" w:hAnsi="Cambria"/>
          <w:sz w:val="20"/>
          <w:szCs w:val="20"/>
          <w:lang w:val="es-ES"/>
        </w:rPr>
      </w:pPr>
      <w:r w:rsidRPr="00FB171A">
        <w:rPr>
          <w:rFonts w:ascii="Cambria" w:hAnsi="Cambria"/>
          <w:sz w:val="20"/>
          <w:szCs w:val="20"/>
          <w:lang w:val="es-ES"/>
        </w:rPr>
        <w:t>L</w:t>
      </w:r>
      <w:r w:rsidR="0055585B" w:rsidRPr="00FB171A">
        <w:rPr>
          <w:rFonts w:ascii="Cambria" w:hAnsi="Cambria"/>
          <w:sz w:val="20"/>
          <w:szCs w:val="20"/>
          <w:lang w:val="es-ES"/>
        </w:rPr>
        <w:t>a CIDH observa que la persecución penal</w:t>
      </w:r>
      <w:r w:rsidR="00C4511C">
        <w:rPr>
          <w:rFonts w:ascii="Cambria" w:hAnsi="Cambria"/>
          <w:sz w:val="20"/>
          <w:szCs w:val="20"/>
          <w:lang w:val="es-ES"/>
        </w:rPr>
        <w:t xml:space="preserve"> </w:t>
      </w:r>
      <w:r w:rsidR="00C4511C" w:rsidRPr="00EC5551">
        <w:rPr>
          <w:rFonts w:ascii="Cambria" w:hAnsi="Cambria"/>
          <w:sz w:val="20"/>
          <w:szCs w:val="20"/>
          <w:lang w:val="es-ES"/>
        </w:rPr>
        <w:t>por apropiación indebida</w:t>
      </w:r>
      <w:r w:rsidR="0055585B" w:rsidRPr="00FB171A">
        <w:rPr>
          <w:rFonts w:ascii="Cambria" w:hAnsi="Cambria"/>
          <w:sz w:val="20"/>
          <w:szCs w:val="20"/>
          <w:lang w:val="es-ES"/>
        </w:rPr>
        <w:t xml:space="preserve"> f</w:t>
      </w:r>
      <w:r w:rsidR="00A552EC" w:rsidRPr="00FB171A">
        <w:rPr>
          <w:rFonts w:ascii="Cambria" w:hAnsi="Cambria"/>
          <w:sz w:val="20"/>
          <w:szCs w:val="20"/>
          <w:lang w:val="es-ES"/>
        </w:rPr>
        <w:t>ue iniciada en diciembre de 2004</w:t>
      </w:r>
      <w:r w:rsidR="0055585B" w:rsidRPr="00FB171A">
        <w:rPr>
          <w:rFonts w:ascii="Cambria" w:hAnsi="Cambria"/>
          <w:sz w:val="20"/>
          <w:szCs w:val="20"/>
          <w:lang w:val="es-ES"/>
        </w:rPr>
        <w:t xml:space="preserve"> </w:t>
      </w:r>
      <w:r w:rsidRPr="00FB171A">
        <w:rPr>
          <w:rFonts w:ascii="Cambria" w:hAnsi="Cambria"/>
          <w:sz w:val="20"/>
          <w:szCs w:val="20"/>
          <w:lang w:val="es-ES"/>
        </w:rPr>
        <w:t>y no hay indicio</w:t>
      </w:r>
      <w:r w:rsidR="0055585B" w:rsidRPr="00FB171A">
        <w:rPr>
          <w:rFonts w:ascii="Cambria" w:hAnsi="Cambria"/>
          <w:sz w:val="20"/>
          <w:szCs w:val="20"/>
          <w:lang w:val="es-ES"/>
        </w:rPr>
        <w:t xml:space="preserve"> </w:t>
      </w:r>
      <w:r w:rsidR="004242E2" w:rsidRPr="00FB171A">
        <w:rPr>
          <w:rFonts w:ascii="Cambria" w:hAnsi="Cambria"/>
          <w:sz w:val="20"/>
          <w:szCs w:val="20"/>
          <w:lang w:val="es-ES"/>
        </w:rPr>
        <w:t xml:space="preserve">de que </w:t>
      </w:r>
      <w:r w:rsidR="0055585B" w:rsidRPr="00FB171A">
        <w:rPr>
          <w:rFonts w:ascii="Cambria" w:hAnsi="Cambria"/>
          <w:sz w:val="20"/>
          <w:szCs w:val="20"/>
          <w:lang w:val="es-ES"/>
        </w:rPr>
        <w:t xml:space="preserve">la misma </w:t>
      </w:r>
      <w:r w:rsidR="00A552EC" w:rsidRPr="00FB171A">
        <w:rPr>
          <w:rFonts w:ascii="Cambria" w:hAnsi="Cambria"/>
          <w:sz w:val="20"/>
          <w:szCs w:val="20"/>
          <w:lang w:val="es-ES"/>
        </w:rPr>
        <w:t>ha</w:t>
      </w:r>
      <w:r w:rsidRPr="00FB171A">
        <w:rPr>
          <w:rFonts w:ascii="Cambria" w:hAnsi="Cambria"/>
          <w:sz w:val="20"/>
          <w:szCs w:val="20"/>
          <w:lang w:val="es-ES"/>
        </w:rPr>
        <w:t>ya</w:t>
      </w:r>
      <w:r w:rsidR="0055585B" w:rsidRPr="00FB171A">
        <w:rPr>
          <w:rFonts w:ascii="Cambria" w:hAnsi="Cambria"/>
          <w:sz w:val="20"/>
          <w:szCs w:val="20"/>
          <w:lang w:val="es-ES"/>
        </w:rPr>
        <w:t xml:space="preserve"> concluid</w:t>
      </w:r>
      <w:r w:rsidR="00FB792B">
        <w:rPr>
          <w:rFonts w:ascii="Cambria" w:hAnsi="Cambria"/>
          <w:sz w:val="20"/>
          <w:szCs w:val="20"/>
          <w:lang w:val="es-ES"/>
        </w:rPr>
        <w:t>o</w:t>
      </w:r>
      <w:r w:rsidR="0055585B" w:rsidRPr="00FB171A">
        <w:rPr>
          <w:rFonts w:ascii="Cambria" w:hAnsi="Cambria"/>
          <w:sz w:val="20"/>
          <w:szCs w:val="20"/>
          <w:lang w:val="es-ES"/>
        </w:rPr>
        <w:t xml:space="preserve">. </w:t>
      </w:r>
      <w:r w:rsidR="00FB171A" w:rsidRPr="00FB171A">
        <w:rPr>
          <w:rFonts w:ascii="Cambria" w:eastAsia="Times New Roman" w:hAnsi="Cambria"/>
          <w:sz w:val="20"/>
          <w:szCs w:val="20"/>
          <w:lang w:val="es-ES"/>
        </w:rPr>
        <w:t>Al respecto, la Comisión observa que como regla general, una investigación penal debe realizarse prontamente para proteger los intereses de las víctimas, preservar la prueba e incluso salvaguardar los derechos de toda persona que en el contexto de la investigación sea considerada sospechosa.</w:t>
      </w:r>
      <w:r w:rsidR="00FB171A">
        <w:rPr>
          <w:rFonts w:ascii="Cambria" w:hAnsi="Cambria"/>
          <w:sz w:val="20"/>
          <w:szCs w:val="20"/>
          <w:lang w:val="es-ES"/>
        </w:rPr>
        <w:t xml:space="preserve"> </w:t>
      </w:r>
      <w:r w:rsidR="004242E2" w:rsidRPr="00FB171A">
        <w:rPr>
          <w:rFonts w:ascii="Cambria" w:hAnsi="Cambria"/>
          <w:sz w:val="20"/>
          <w:szCs w:val="20"/>
          <w:lang w:val="es-ES"/>
        </w:rPr>
        <w:t xml:space="preserve">El Estado afirma que </w:t>
      </w:r>
      <w:r w:rsidR="00FB171A" w:rsidRPr="00FB171A">
        <w:rPr>
          <w:rFonts w:ascii="Cambria" w:hAnsi="Cambria"/>
          <w:sz w:val="20"/>
          <w:szCs w:val="20"/>
          <w:lang w:val="es-ES"/>
        </w:rPr>
        <w:t>el</w:t>
      </w:r>
      <w:r w:rsidR="004242E2" w:rsidRPr="00FB171A">
        <w:rPr>
          <w:rFonts w:ascii="Cambria" w:hAnsi="Cambria"/>
          <w:sz w:val="20"/>
          <w:szCs w:val="20"/>
          <w:lang w:val="es-ES"/>
        </w:rPr>
        <w:t xml:space="preserve"> plazo </w:t>
      </w:r>
      <w:r w:rsidR="00FB171A" w:rsidRPr="00FB171A">
        <w:rPr>
          <w:rFonts w:ascii="Cambria" w:hAnsi="Cambria"/>
          <w:sz w:val="20"/>
          <w:szCs w:val="20"/>
          <w:lang w:val="es-ES"/>
        </w:rPr>
        <w:t xml:space="preserve">transcurrido </w:t>
      </w:r>
      <w:r w:rsidR="004242E2" w:rsidRPr="00FB171A">
        <w:rPr>
          <w:rFonts w:ascii="Cambria" w:hAnsi="Cambria"/>
          <w:sz w:val="20"/>
          <w:szCs w:val="20"/>
          <w:lang w:val="es-ES"/>
        </w:rPr>
        <w:t>es razonable debido a la complejidad del asunto, la actividad procesal del interesado y la conducta de las autoridades judiciales.</w:t>
      </w:r>
      <w:r w:rsidR="00A552EC" w:rsidRPr="00FB171A">
        <w:rPr>
          <w:rFonts w:ascii="Cambria" w:hAnsi="Cambria"/>
          <w:sz w:val="20"/>
          <w:szCs w:val="20"/>
          <w:lang w:val="es-ES"/>
        </w:rPr>
        <w:t xml:space="preserve"> Además, señala que el peticionario puede coadyuvar en la investigación a fin de dar más celeridad a la misma. </w:t>
      </w:r>
    </w:p>
    <w:p w14:paraId="45AC7EAD" w14:textId="3A213A89" w:rsidR="00B056A5" w:rsidRPr="00A7706E" w:rsidRDefault="00E87A6C" w:rsidP="00E87A6C">
      <w:pPr>
        <w:numPr>
          <w:ilvl w:val="0"/>
          <w:numId w:val="56"/>
        </w:numPr>
        <w:spacing w:after="240"/>
        <w:jc w:val="both"/>
        <w:rPr>
          <w:rFonts w:ascii="Cambria" w:hAnsi="Cambria"/>
          <w:sz w:val="20"/>
          <w:szCs w:val="20"/>
          <w:lang w:val="es-ES"/>
        </w:rPr>
      </w:pPr>
      <w:r>
        <w:rPr>
          <w:rFonts w:ascii="Cambria" w:hAnsi="Cambria"/>
          <w:sz w:val="20"/>
          <w:szCs w:val="20"/>
          <w:lang w:val="es-ES"/>
        </w:rPr>
        <w:t>L</w:t>
      </w:r>
      <w:r w:rsidR="00351438" w:rsidRPr="00FB171A">
        <w:rPr>
          <w:rFonts w:ascii="Cambria" w:hAnsi="Cambria"/>
          <w:sz w:val="20"/>
          <w:szCs w:val="20"/>
          <w:lang w:val="es-ES"/>
        </w:rPr>
        <w:t xml:space="preserve">os precedentes establecidos por la Comisión señalan que, toda vez que se cometa un presunto delito perseguible de oficio, el Estado tiene la obligación de promover e impulsar el proceso penal y que, en esos casos, éste constituye la vía idónea para esclarecer los hechos, juzgar a los responsables y </w:t>
      </w:r>
      <w:r w:rsidR="00351438" w:rsidRPr="00FB171A">
        <w:rPr>
          <w:rFonts w:ascii="Cambria" w:hAnsi="Cambria"/>
          <w:sz w:val="20"/>
          <w:szCs w:val="20"/>
          <w:lang w:val="es-ES"/>
        </w:rPr>
        <w:lastRenderedPageBreak/>
        <w:t>establecer las sanciones penales correspondientes, además de posibilitar otros modos de reparación de tipo pecuniario</w:t>
      </w:r>
      <w:r w:rsidR="00351438" w:rsidRPr="00D234DD">
        <w:rPr>
          <w:rStyle w:val="FootnoteReference"/>
          <w:rFonts w:ascii="Cambria" w:hAnsi="Cambria"/>
          <w:sz w:val="20"/>
          <w:szCs w:val="20"/>
          <w:lang w:val="es-ES"/>
        </w:rPr>
        <w:footnoteReference w:id="3"/>
      </w:r>
      <w:r w:rsidR="00351438" w:rsidRPr="00FB171A">
        <w:rPr>
          <w:rFonts w:asciiTheme="majorHAnsi" w:hAnsiTheme="majorHAnsi"/>
          <w:color w:val="000000"/>
          <w:sz w:val="20"/>
          <w:szCs w:val="20"/>
          <w:lang w:val="es-ES"/>
        </w:rPr>
        <w:t>.</w:t>
      </w:r>
      <w:r w:rsidR="00FB171A">
        <w:rPr>
          <w:rFonts w:asciiTheme="majorHAnsi" w:hAnsiTheme="majorHAnsi"/>
          <w:color w:val="000000"/>
          <w:sz w:val="20"/>
          <w:szCs w:val="20"/>
          <w:lang w:val="es-ES"/>
        </w:rPr>
        <w:t xml:space="preserve"> </w:t>
      </w:r>
      <w:r>
        <w:rPr>
          <w:rFonts w:asciiTheme="majorHAnsi" w:hAnsiTheme="majorHAnsi"/>
          <w:color w:val="000000"/>
          <w:sz w:val="20"/>
          <w:szCs w:val="20"/>
          <w:lang w:val="es-ES"/>
        </w:rPr>
        <w:t>La CIDH observa que el Código Procesal Penal de Guatemala define que la persecución penal por el delito de apropiación indebida y retención debe ser llevada a cabo en una acción pública dependiente de instancia particular</w:t>
      </w:r>
      <w:r w:rsidRPr="00D234DD">
        <w:rPr>
          <w:rStyle w:val="FootnoteReference"/>
          <w:rFonts w:ascii="Cambria" w:hAnsi="Cambria"/>
          <w:sz w:val="20"/>
          <w:szCs w:val="20"/>
          <w:lang w:val="es-ES"/>
        </w:rPr>
        <w:footnoteReference w:id="4"/>
      </w:r>
      <w:r w:rsidRPr="00FB171A">
        <w:rPr>
          <w:rFonts w:asciiTheme="majorHAnsi" w:hAnsiTheme="majorHAnsi"/>
          <w:color w:val="000000"/>
          <w:sz w:val="20"/>
          <w:szCs w:val="20"/>
          <w:lang w:val="es-ES"/>
        </w:rPr>
        <w:t>.</w:t>
      </w:r>
      <w:r>
        <w:rPr>
          <w:rFonts w:asciiTheme="majorHAnsi" w:hAnsiTheme="majorHAnsi"/>
          <w:color w:val="000000"/>
          <w:sz w:val="20"/>
          <w:szCs w:val="20"/>
          <w:lang w:val="es-ES"/>
        </w:rPr>
        <w:t xml:space="preserve"> </w:t>
      </w:r>
      <w:r w:rsidRPr="00EC5551">
        <w:rPr>
          <w:rFonts w:asciiTheme="majorHAnsi" w:hAnsiTheme="majorHAnsi"/>
          <w:color w:val="000000"/>
          <w:sz w:val="20"/>
          <w:szCs w:val="20"/>
          <w:lang w:val="es-ES"/>
        </w:rPr>
        <w:t>Por lo tanto, habiendo el peticionario presentado la denuncia correspondiente ante el Ministerio Público, y teniendo en cuenta los precedentes de la CIDH, la Comisión considera que el delito debería ser perseguible de oficio y que</w:t>
      </w:r>
      <w:r>
        <w:rPr>
          <w:rFonts w:asciiTheme="majorHAnsi" w:hAnsiTheme="majorHAnsi"/>
          <w:color w:val="000000"/>
          <w:sz w:val="20"/>
          <w:szCs w:val="20"/>
          <w:lang w:val="es-ES"/>
        </w:rPr>
        <w:t xml:space="preserve"> </w:t>
      </w:r>
      <w:r w:rsidR="00644BD6" w:rsidRPr="00A7706E">
        <w:rPr>
          <w:rFonts w:ascii="Cambria" w:hAnsi="Cambria"/>
          <w:sz w:val="20"/>
          <w:szCs w:val="20"/>
          <w:lang w:val="es-ES"/>
        </w:rPr>
        <w:t>resulta aplicable</w:t>
      </w:r>
      <w:r w:rsidR="0063685A" w:rsidRPr="00A7706E">
        <w:rPr>
          <w:rFonts w:ascii="Cambria" w:hAnsi="Cambria"/>
          <w:sz w:val="20"/>
          <w:szCs w:val="20"/>
          <w:lang w:val="es-ES"/>
        </w:rPr>
        <w:t xml:space="preserve"> la excepción al agotamiento de los recursos internos prevista en el artículo </w:t>
      </w:r>
      <w:r w:rsidR="004242E2" w:rsidRPr="00A7706E">
        <w:rPr>
          <w:rFonts w:ascii="Cambria" w:hAnsi="Cambria" w:cs="Arial"/>
          <w:sz w:val="20"/>
          <w:szCs w:val="20"/>
          <w:lang w:val="es-ES"/>
        </w:rPr>
        <w:t>46.2.</w:t>
      </w:r>
      <w:r w:rsidR="004242E2" w:rsidRPr="00A7706E">
        <w:rPr>
          <w:rFonts w:ascii="Cambria" w:hAnsi="Cambria"/>
          <w:sz w:val="20"/>
          <w:szCs w:val="20"/>
          <w:lang w:val="es-ES"/>
        </w:rPr>
        <w:t>c</w:t>
      </w:r>
      <w:r w:rsidR="0063685A" w:rsidRPr="00A7706E">
        <w:rPr>
          <w:rFonts w:ascii="Cambria" w:hAnsi="Cambria" w:cs="Arial"/>
          <w:sz w:val="20"/>
          <w:szCs w:val="20"/>
          <w:lang w:val="es-ES"/>
        </w:rPr>
        <w:t xml:space="preserve"> de la Convención Americana</w:t>
      </w:r>
      <w:r w:rsidR="00C368BC">
        <w:rPr>
          <w:rFonts w:ascii="Cambria" w:hAnsi="Cambria" w:cs="Arial"/>
          <w:sz w:val="20"/>
          <w:szCs w:val="20"/>
          <w:lang w:val="es-ES"/>
        </w:rPr>
        <w:t xml:space="preserve"> </w:t>
      </w:r>
      <w:r w:rsidR="00C368BC" w:rsidRPr="00EC5551">
        <w:rPr>
          <w:rFonts w:ascii="Cambria" w:hAnsi="Cambria" w:cs="Arial"/>
          <w:sz w:val="20"/>
          <w:szCs w:val="20"/>
          <w:lang w:val="es-ES"/>
        </w:rPr>
        <w:t>de retardo injustificado</w:t>
      </w:r>
      <w:r w:rsidR="00A85877" w:rsidRPr="00A7706E">
        <w:rPr>
          <w:rFonts w:ascii="Cambria" w:hAnsi="Cambria"/>
          <w:sz w:val="20"/>
          <w:szCs w:val="20"/>
          <w:lang w:val="es-ES"/>
        </w:rPr>
        <w:t>.</w:t>
      </w:r>
    </w:p>
    <w:p w14:paraId="54119A43" w14:textId="7FA71A8F" w:rsidR="00A85877" w:rsidRDefault="00A85877" w:rsidP="009F0583">
      <w:pPr>
        <w:numPr>
          <w:ilvl w:val="0"/>
          <w:numId w:val="56"/>
        </w:numPr>
        <w:spacing w:after="240"/>
        <w:jc w:val="both"/>
        <w:rPr>
          <w:rFonts w:ascii="Cambria" w:hAnsi="Cambria"/>
          <w:sz w:val="20"/>
          <w:szCs w:val="20"/>
          <w:lang w:val="es-ES"/>
        </w:rPr>
      </w:pPr>
      <w:r w:rsidRPr="00D234DD">
        <w:rPr>
          <w:rFonts w:asciiTheme="majorHAnsi" w:hAnsiTheme="majorHAnsi"/>
          <w:sz w:val="20"/>
          <w:szCs w:val="20"/>
          <w:lang w:val="es-ES"/>
        </w:rPr>
        <w:t xml:space="preserve">El </w:t>
      </w:r>
      <w:r w:rsidRPr="00A85877">
        <w:rPr>
          <w:rFonts w:asciiTheme="majorHAnsi" w:hAnsiTheme="majorHAnsi"/>
          <w:color w:val="000000" w:themeColor="text1"/>
          <w:sz w:val="20"/>
          <w:szCs w:val="20"/>
          <w:lang w:val="es-ES"/>
        </w:rPr>
        <w:t xml:space="preserve">artículo 46.2 de la Convención Americana, por su naturaleza y objeto, es una norma con contenido autónomo </w:t>
      </w:r>
      <w:r w:rsidRPr="00A85877">
        <w:rPr>
          <w:rFonts w:asciiTheme="majorHAnsi" w:hAnsiTheme="majorHAnsi"/>
          <w:i/>
          <w:iCs/>
          <w:color w:val="000000" w:themeColor="text1"/>
          <w:sz w:val="20"/>
          <w:szCs w:val="20"/>
          <w:lang w:val="es-ES"/>
        </w:rPr>
        <w:t>vis a vis</w:t>
      </w:r>
      <w:r w:rsidRPr="00A85877">
        <w:rPr>
          <w:rFonts w:asciiTheme="majorHAnsi" w:hAnsiTheme="majorHAnsi"/>
          <w:color w:val="000000" w:themeColor="text1"/>
          <w:sz w:val="20"/>
          <w:szCs w:val="20"/>
          <w:lang w:val="es-ES"/>
        </w:rPr>
        <w:t xml:space="preserve"> las normas sustantivas de la Convención. Por </w:t>
      </w:r>
      <w:r w:rsidRPr="00D234DD">
        <w:rPr>
          <w:rFonts w:asciiTheme="majorHAnsi" w:hAnsiTheme="majorHAnsi"/>
          <w:sz w:val="20"/>
          <w:szCs w:val="20"/>
          <w:lang w:val="es-ES"/>
        </w:rPr>
        <w:t xml:space="preserve">lo tanto, la determinación de si las excepciones a la regla del agotamiento de los recursos internos previstas en dicha norma resultan aplicables al caso en cuestión, debe llevarse a cabo de manera previa y separada del análisis del fondo del asunto, ya que </w:t>
      </w:r>
      <w:r w:rsidRPr="00A85877">
        <w:rPr>
          <w:rFonts w:asciiTheme="majorHAnsi" w:hAnsiTheme="majorHAnsi"/>
          <w:color w:val="000000" w:themeColor="text1"/>
          <w:sz w:val="20"/>
          <w:szCs w:val="20"/>
          <w:lang w:val="es-ES"/>
        </w:rPr>
        <w:t>depende de un estándar de apreciación distinto de aquél utilizado para determinar la violación de los artículos 8 y 25 de la Convención. Cabe aclarar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w:t>
      </w:r>
      <w:r w:rsidRPr="00A85877">
        <w:rPr>
          <w:rStyle w:val="FootnoteReference"/>
          <w:rFonts w:asciiTheme="majorHAnsi" w:hAnsiTheme="majorHAnsi"/>
          <w:color w:val="000000" w:themeColor="text1"/>
          <w:sz w:val="20"/>
          <w:szCs w:val="20"/>
          <w:lang w:val="es-ES"/>
        </w:rPr>
        <w:footnoteReference w:id="5"/>
      </w:r>
      <w:r w:rsidRPr="00A85877">
        <w:rPr>
          <w:rFonts w:asciiTheme="majorHAnsi" w:hAnsiTheme="majorHAnsi"/>
          <w:color w:val="000000" w:themeColor="text1"/>
          <w:sz w:val="20"/>
          <w:szCs w:val="20"/>
          <w:lang w:val="es-ES"/>
        </w:rPr>
        <w:t>.</w:t>
      </w:r>
    </w:p>
    <w:p w14:paraId="0584820D" w14:textId="77777777" w:rsidR="00B056A5" w:rsidRPr="00175907" w:rsidRDefault="00B056A5" w:rsidP="009F0583">
      <w:pPr>
        <w:spacing w:after="240"/>
        <w:ind w:firstLine="720"/>
        <w:jc w:val="both"/>
        <w:rPr>
          <w:rFonts w:asciiTheme="majorHAnsi" w:hAnsiTheme="majorHAnsi"/>
          <w:b/>
          <w:sz w:val="20"/>
          <w:szCs w:val="20"/>
          <w:lang w:val="es-ES"/>
        </w:rPr>
      </w:pPr>
      <w:r w:rsidRPr="00175907">
        <w:rPr>
          <w:rFonts w:asciiTheme="majorHAnsi" w:hAnsiTheme="majorHAnsi"/>
          <w:b/>
          <w:sz w:val="20"/>
          <w:szCs w:val="20"/>
          <w:lang w:val="es-ES"/>
        </w:rPr>
        <w:t>2.</w:t>
      </w:r>
      <w:r w:rsidRPr="00175907">
        <w:rPr>
          <w:rFonts w:asciiTheme="majorHAnsi" w:hAnsiTheme="majorHAnsi"/>
          <w:b/>
          <w:sz w:val="20"/>
          <w:szCs w:val="20"/>
          <w:lang w:val="es-ES"/>
        </w:rPr>
        <w:tab/>
      </w:r>
      <w:r w:rsidR="0063685A" w:rsidRPr="00175907">
        <w:rPr>
          <w:rFonts w:asciiTheme="majorHAnsi" w:hAnsiTheme="majorHAnsi"/>
          <w:b/>
          <w:sz w:val="20"/>
          <w:szCs w:val="20"/>
          <w:lang w:val="es-ES"/>
        </w:rPr>
        <w:t>Plazo de presentación de la petición</w:t>
      </w:r>
    </w:p>
    <w:p w14:paraId="477DDFF9" w14:textId="0340CCB4" w:rsidR="0063685A" w:rsidRPr="00443A3F" w:rsidRDefault="00443A3F" w:rsidP="009F0583">
      <w:pPr>
        <w:numPr>
          <w:ilvl w:val="0"/>
          <w:numId w:val="56"/>
        </w:numPr>
        <w:spacing w:after="240"/>
        <w:jc w:val="both"/>
        <w:rPr>
          <w:rFonts w:asciiTheme="majorHAnsi" w:hAnsiTheme="majorHAnsi"/>
          <w:color w:val="000000" w:themeColor="text1"/>
          <w:sz w:val="20"/>
          <w:szCs w:val="20"/>
          <w:lang w:val="es-ES"/>
        </w:rPr>
      </w:pPr>
      <w:r w:rsidRPr="00443A3F">
        <w:rPr>
          <w:rFonts w:asciiTheme="majorHAnsi" w:hAnsiTheme="majorHAnsi" w:cs="Arial"/>
          <w:color w:val="000000" w:themeColor="text1"/>
          <w:sz w:val="20"/>
          <w:szCs w:val="20"/>
          <w:lang w:val="es-ES"/>
        </w:rPr>
        <w:t>El artículo 46.1.b de l</w:t>
      </w:r>
      <w:r w:rsidRPr="00443A3F">
        <w:rPr>
          <w:rFonts w:asciiTheme="majorHAnsi" w:hAnsiTheme="majorHAnsi"/>
          <w:color w:val="000000" w:themeColor="text1"/>
          <w:sz w:val="20"/>
          <w:szCs w:val="20"/>
          <w:lang w:val="es-ES"/>
        </w:rPr>
        <w:t xml:space="preserve">a Convención Americana establece que para que una petición resulte admisible por la Comisión se requerirá que sea presentada dentro del plazo de seis meses a partir de la fecha en que el presunto lesionado haya sido notificado de la decisión definitiva. En el reclamo bajo análisis, la CIDH ha establecido la aplicación de la excepción al agotamiento de los recursos internos conforme al artículo </w:t>
      </w:r>
      <w:r w:rsidRPr="00443A3F">
        <w:rPr>
          <w:rFonts w:asciiTheme="majorHAnsi" w:hAnsiTheme="majorHAnsi" w:cs="Arial"/>
          <w:color w:val="000000" w:themeColor="text1"/>
          <w:sz w:val="20"/>
          <w:szCs w:val="20"/>
          <w:lang w:val="es-ES"/>
        </w:rPr>
        <w:t>46.2.</w:t>
      </w:r>
      <w:r w:rsidRPr="00443A3F">
        <w:rPr>
          <w:rFonts w:asciiTheme="majorHAnsi" w:hAnsiTheme="majorHAnsi"/>
          <w:color w:val="000000" w:themeColor="text1"/>
          <w:sz w:val="20"/>
          <w:szCs w:val="20"/>
          <w:lang w:val="es-ES"/>
        </w:rPr>
        <w:t>c</w:t>
      </w:r>
      <w:r w:rsidRPr="00443A3F">
        <w:rPr>
          <w:rFonts w:asciiTheme="majorHAnsi" w:hAnsiTheme="majorHAnsi" w:cs="Arial"/>
          <w:color w:val="000000" w:themeColor="text1"/>
          <w:sz w:val="20"/>
          <w:szCs w:val="20"/>
          <w:lang w:val="es-ES"/>
        </w:rPr>
        <w:t xml:space="preserve"> de la Convención Americana</w:t>
      </w:r>
      <w:r w:rsidRPr="00443A3F">
        <w:rPr>
          <w:rFonts w:asciiTheme="majorHAnsi" w:hAnsiTheme="majorHAnsi"/>
          <w:color w:val="000000" w:themeColor="text1"/>
          <w:sz w:val="20"/>
          <w:szCs w:val="20"/>
          <w:lang w:val="es-ES"/>
        </w:rPr>
        <w:t>. Al respecto, el artículo 32.2 del Reglamento de la Comisión establece que en los casos en los cuales resulten aplicables las excepciones al previo agotamiento de los recursos internos, la petición deberá presentarse dentro de un plazo razonable, a criterio de la Comisión. A tal efecto, la Comisión debe considerar la fecha en que haya ocurrido la presunta violación de los derechos y las circunstancias de cada caso</w:t>
      </w:r>
      <w:r w:rsidR="00644BD6" w:rsidRPr="00443A3F">
        <w:rPr>
          <w:rFonts w:ascii="Cambria" w:hAnsi="Cambria"/>
          <w:color w:val="000000" w:themeColor="text1"/>
          <w:sz w:val="20"/>
          <w:szCs w:val="20"/>
          <w:lang w:val="es-ES"/>
        </w:rPr>
        <w:t>.</w:t>
      </w:r>
    </w:p>
    <w:p w14:paraId="43063696" w14:textId="402A17CA" w:rsidR="007D286D" w:rsidRPr="00175907" w:rsidRDefault="00F15DD3" w:rsidP="009F0583">
      <w:pPr>
        <w:numPr>
          <w:ilvl w:val="0"/>
          <w:numId w:val="56"/>
        </w:numPr>
        <w:tabs>
          <w:tab w:val="clear" w:pos="720"/>
          <w:tab w:val="num" w:pos="1440"/>
        </w:tabs>
        <w:spacing w:after="240"/>
        <w:jc w:val="both"/>
        <w:rPr>
          <w:rFonts w:asciiTheme="majorHAnsi" w:hAnsiTheme="majorHAnsi"/>
          <w:sz w:val="20"/>
          <w:szCs w:val="20"/>
          <w:lang w:val="es-ES"/>
        </w:rPr>
      </w:pPr>
      <w:r w:rsidRPr="00175907">
        <w:rPr>
          <w:rFonts w:asciiTheme="majorHAnsi" w:hAnsiTheme="majorHAnsi"/>
          <w:sz w:val="20"/>
          <w:szCs w:val="20"/>
          <w:lang w:val="es-ES"/>
        </w:rPr>
        <w:t xml:space="preserve">En el caso bajo análisis, la CIDH ha establecido la aplicación de la excepción al agotamiento de los recursos internos prevista en el artículo </w:t>
      </w:r>
      <w:r w:rsidR="00761556">
        <w:rPr>
          <w:rFonts w:asciiTheme="majorHAnsi" w:hAnsiTheme="majorHAnsi"/>
          <w:sz w:val="20"/>
          <w:szCs w:val="20"/>
          <w:lang w:val="es-ES"/>
        </w:rPr>
        <w:t>46.2.c</w:t>
      </w:r>
      <w:r w:rsidR="00F2241E" w:rsidRPr="00175907">
        <w:rPr>
          <w:rFonts w:asciiTheme="majorHAnsi" w:hAnsiTheme="majorHAnsi"/>
          <w:sz w:val="20"/>
          <w:szCs w:val="20"/>
          <w:lang w:val="es-ES"/>
        </w:rPr>
        <w:t xml:space="preserve"> </w:t>
      </w:r>
      <w:r w:rsidRPr="00175907">
        <w:rPr>
          <w:rFonts w:asciiTheme="majorHAnsi" w:hAnsiTheme="majorHAnsi"/>
          <w:sz w:val="20"/>
          <w:szCs w:val="20"/>
          <w:lang w:val="es-ES"/>
        </w:rPr>
        <w:t xml:space="preserve">de la Convención Americana. </w:t>
      </w:r>
      <w:r w:rsidR="00644BD6" w:rsidRPr="00175907">
        <w:rPr>
          <w:rFonts w:ascii="Cambria" w:hAnsi="Cambria"/>
          <w:sz w:val="20"/>
          <w:szCs w:val="20"/>
          <w:lang w:val="es-ES"/>
        </w:rPr>
        <w:t xml:space="preserve">Observa al respecto que los hechos </w:t>
      </w:r>
      <w:r w:rsidR="00C368BC">
        <w:rPr>
          <w:rFonts w:ascii="Cambria" w:hAnsi="Cambria"/>
          <w:sz w:val="20"/>
          <w:szCs w:val="20"/>
          <w:lang w:val="es-ES"/>
        </w:rPr>
        <w:t>alegados se habrían iniciado</w:t>
      </w:r>
      <w:r w:rsidR="00644BD6" w:rsidRPr="00175907">
        <w:rPr>
          <w:rFonts w:ascii="Cambria" w:hAnsi="Cambria"/>
          <w:sz w:val="20"/>
          <w:szCs w:val="20"/>
          <w:lang w:val="es-ES"/>
        </w:rPr>
        <w:t xml:space="preserve"> en el año 2004; que</w:t>
      </w:r>
      <w:r w:rsidR="00C852D3">
        <w:rPr>
          <w:rFonts w:ascii="Cambria" w:hAnsi="Cambria"/>
          <w:sz w:val="20"/>
          <w:szCs w:val="20"/>
          <w:lang w:val="es-ES"/>
        </w:rPr>
        <w:t xml:space="preserve"> el peticionario</w:t>
      </w:r>
      <w:r w:rsidR="00644BD6" w:rsidRPr="00175907">
        <w:rPr>
          <w:rFonts w:ascii="Cambria" w:hAnsi="Cambria"/>
          <w:sz w:val="20"/>
          <w:szCs w:val="20"/>
          <w:lang w:val="es-ES"/>
        </w:rPr>
        <w:t xml:space="preserve"> ha </w:t>
      </w:r>
      <w:r w:rsidR="00C368BC">
        <w:rPr>
          <w:rFonts w:ascii="Cambria" w:hAnsi="Cambria" w:cs="Tunga"/>
          <w:sz w:val="20"/>
          <w:szCs w:val="20"/>
          <w:lang w:val="es-ES"/>
        </w:rPr>
        <w:t>presentado denuncias</w:t>
      </w:r>
      <w:r w:rsidR="00C368BC" w:rsidRPr="00175907">
        <w:rPr>
          <w:rFonts w:ascii="Cambria" w:hAnsi="Cambria" w:cs="Tunga"/>
          <w:sz w:val="20"/>
          <w:szCs w:val="20"/>
          <w:lang w:val="es-ES"/>
        </w:rPr>
        <w:t xml:space="preserve"> </w:t>
      </w:r>
      <w:r w:rsidR="00644BD6" w:rsidRPr="00175907">
        <w:rPr>
          <w:rFonts w:ascii="Cambria" w:hAnsi="Cambria" w:cs="Tunga"/>
          <w:sz w:val="20"/>
          <w:szCs w:val="20"/>
          <w:lang w:val="es-ES"/>
        </w:rPr>
        <w:t xml:space="preserve">ante los tribunales internos </w:t>
      </w:r>
      <w:r w:rsidR="00443A3F">
        <w:rPr>
          <w:rFonts w:ascii="Cambria" w:hAnsi="Cambria" w:cs="Tunga"/>
          <w:sz w:val="20"/>
          <w:szCs w:val="20"/>
          <w:lang w:val="es-ES"/>
        </w:rPr>
        <w:t xml:space="preserve">y el Ministerio Público </w:t>
      </w:r>
      <w:r w:rsidR="00644BD6" w:rsidRPr="00175907">
        <w:rPr>
          <w:rFonts w:ascii="Cambria" w:hAnsi="Cambria" w:cs="Tunga"/>
          <w:sz w:val="20"/>
          <w:szCs w:val="20"/>
          <w:lang w:val="es-ES"/>
        </w:rPr>
        <w:t>con el objeto que se resolviera la acción penal planteada</w:t>
      </w:r>
      <w:r w:rsidR="00644BD6" w:rsidRPr="00EC5551">
        <w:rPr>
          <w:rFonts w:ascii="Cambria" w:hAnsi="Cambria" w:cs="Tunga"/>
          <w:sz w:val="20"/>
          <w:szCs w:val="20"/>
          <w:lang w:val="es-ES"/>
        </w:rPr>
        <w:t>,</w:t>
      </w:r>
      <w:r w:rsidR="00C368BC" w:rsidRPr="00EC5551">
        <w:rPr>
          <w:rFonts w:ascii="Cambria" w:hAnsi="Cambria" w:cs="Tunga"/>
          <w:sz w:val="20"/>
          <w:szCs w:val="20"/>
          <w:lang w:val="es-ES"/>
        </w:rPr>
        <w:t xml:space="preserve"> que según la información disponible el proceso sigue abierto</w:t>
      </w:r>
      <w:r w:rsidR="00C368BC">
        <w:rPr>
          <w:rFonts w:ascii="Cambria" w:hAnsi="Cambria" w:cs="Tunga"/>
          <w:sz w:val="20"/>
          <w:szCs w:val="20"/>
          <w:lang w:val="es-ES"/>
        </w:rPr>
        <w:t>,</w:t>
      </w:r>
      <w:r w:rsidR="00644BD6" w:rsidRPr="00175907">
        <w:rPr>
          <w:rFonts w:ascii="Cambria" w:hAnsi="Cambria" w:cs="Tunga"/>
          <w:sz w:val="20"/>
          <w:szCs w:val="20"/>
          <w:lang w:val="es-ES"/>
        </w:rPr>
        <w:t xml:space="preserve"> </w:t>
      </w:r>
      <w:r w:rsidR="00644BD6" w:rsidRPr="00175907">
        <w:rPr>
          <w:rFonts w:ascii="Cambria" w:hAnsi="Cambria"/>
          <w:sz w:val="20"/>
          <w:szCs w:val="20"/>
          <w:lang w:val="es-ES"/>
        </w:rPr>
        <w:t xml:space="preserve">y que la CIDH recibió la denuncia el </w:t>
      </w:r>
      <w:r w:rsidR="00644BD6" w:rsidRPr="00175907">
        <w:rPr>
          <w:rFonts w:ascii="Cambria" w:hAnsi="Cambria" w:cs="Tunga"/>
          <w:sz w:val="20"/>
          <w:szCs w:val="20"/>
          <w:lang w:val="es-ES"/>
        </w:rPr>
        <w:t>19 de febrero de 2008.</w:t>
      </w:r>
      <w:r w:rsidR="00644BD6" w:rsidRPr="00175907">
        <w:rPr>
          <w:rFonts w:ascii="Cambria" w:hAnsi="Cambria"/>
          <w:sz w:val="20"/>
          <w:szCs w:val="20"/>
          <w:lang w:val="es-ES"/>
        </w:rPr>
        <w:t xml:space="preserve"> </w:t>
      </w:r>
      <w:r w:rsidR="007D286D" w:rsidRPr="00175907">
        <w:rPr>
          <w:rFonts w:asciiTheme="majorHAnsi" w:hAnsiTheme="majorHAnsi"/>
          <w:sz w:val="20"/>
          <w:szCs w:val="20"/>
          <w:lang w:val="es-ES"/>
        </w:rPr>
        <w:t>Por lo tanto, en vista del contexto y las características del presente caso, la Comisión considera que la petición fue presentada dentro de un plazo razonable y que debe darse por satisfecho el requisito de admisibilidad referente al plazo de presentación</w:t>
      </w:r>
      <w:r w:rsidR="007D286D" w:rsidRPr="00175907">
        <w:rPr>
          <w:rFonts w:asciiTheme="majorHAnsi" w:hAnsiTheme="majorHAnsi"/>
          <w:bCs/>
          <w:sz w:val="20"/>
          <w:szCs w:val="20"/>
          <w:lang w:val="es-ES"/>
        </w:rPr>
        <w:t>.</w:t>
      </w:r>
    </w:p>
    <w:p w14:paraId="6068FE3E" w14:textId="77777777" w:rsidR="0063685A" w:rsidRPr="00175907" w:rsidRDefault="0063685A" w:rsidP="009F0583">
      <w:pPr>
        <w:spacing w:after="240"/>
        <w:ind w:left="720"/>
        <w:jc w:val="both"/>
        <w:rPr>
          <w:rFonts w:asciiTheme="majorHAnsi" w:hAnsiTheme="majorHAnsi"/>
          <w:b/>
          <w:bCs/>
          <w:sz w:val="20"/>
          <w:szCs w:val="20"/>
          <w:lang w:val="es-ES"/>
        </w:rPr>
      </w:pPr>
      <w:r w:rsidRPr="00175907">
        <w:rPr>
          <w:rFonts w:asciiTheme="majorHAnsi" w:hAnsiTheme="majorHAnsi"/>
          <w:b/>
          <w:bCs/>
          <w:sz w:val="20"/>
          <w:szCs w:val="20"/>
          <w:lang w:val="es-ES"/>
        </w:rPr>
        <w:t>3.</w:t>
      </w:r>
      <w:r w:rsidRPr="00175907">
        <w:rPr>
          <w:rFonts w:asciiTheme="majorHAnsi" w:hAnsiTheme="majorHAnsi"/>
          <w:b/>
          <w:bCs/>
          <w:sz w:val="20"/>
          <w:szCs w:val="20"/>
          <w:lang w:val="es-ES"/>
        </w:rPr>
        <w:tab/>
        <w:t>Duplicación de procedimientos y cosa juzgada</w:t>
      </w:r>
      <w:r w:rsidRPr="00175907">
        <w:rPr>
          <w:rFonts w:asciiTheme="majorHAnsi" w:hAnsiTheme="majorHAnsi"/>
          <w:b/>
          <w:bCs/>
          <w:i/>
          <w:sz w:val="20"/>
          <w:szCs w:val="20"/>
          <w:lang w:val="es-ES"/>
        </w:rPr>
        <w:t xml:space="preserve"> </w:t>
      </w:r>
      <w:r w:rsidRPr="00175907">
        <w:rPr>
          <w:rFonts w:asciiTheme="majorHAnsi" w:hAnsiTheme="majorHAnsi"/>
          <w:b/>
          <w:bCs/>
          <w:sz w:val="20"/>
          <w:szCs w:val="20"/>
          <w:lang w:val="es-ES"/>
        </w:rPr>
        <w:t>internacional</w:t>
      </w:r>
    </w:p>
    <w:p w14:paraId="36EE83FD" w14:textId="427109E4" w:rsidR="0063685A" w:rsidRPr="00175907" w:rsidRDefault="0063685A" w:rsidP="009F0583">
      <w:pPr>
        <w:numPr>
          <w:ilvl w:val="0"/>
          <w:numId w:val="56"/>
        </w:numPr>
        <w:spacing w:after="240"/>
        <w:jc w:val="both"/>
        <w:rPr>
          <w:rFonts w:asciiTheme="majorHAnsi" w:hAnsiTheme="majorHAnsi"/>
          <w:sz w:val="20"/>
          <w:szCs w:val="20"/>
          <w:lang w:val="es-ES"/>
        </w:rPr>
      </w:pPr>
      <w:r w:rsidRPr="00175907">
        <w:rPr>
          <w:rFonts w:asciiTheme="majorHAnsi" w:hAnsiTheme="majorHAnsi"/>
          <w:sz w:val="20"/>
          <w:szCs w:val="20"/>
          <w:lang w:val="es-ES"/>
        </w:rPr>
        <w:t>No surge del expediente que la materia de la petición se encuentre pendiente de otro procedimiento de arreglo internacional, ni que reproduzca una petición ya examinada por éste u otro órgano internacional. Por lo tanto, corresponde dar por cumplidos los requisitos e</w:t>
      </w:r>
      <w:r w:rsidR="00EE7D44">
        <w:rPr>
          <w:rFonts w:asciiTheme="majorHAnsi" w:hAnsiTheme="majorHAnsi"/>
          <w:sz w:val="20"/>
          <w:szCs w:val="20"/>
          <w:lang w:val="es-ES"/>
        </w:rPr>
        <w:t>stablecidos en los artículos 46.1.c y 47.d</w:t>
      </w:r>
      <w:r w:rsidRPr="00175907">
        <w:rPr>
          <w:rFonts w:asciiTheme="majorHAnsi" w:hAnsiTheme="majorHAnsi"/>
          <w:sz w:val="20"/>
          <w:szCs w:val="20"/>
          <w:lang w:val="es-ES"/>
        </w:rPr>
        <w:t xml:space="preserve"> de la Convención.</w:t>
      </w:r>
    </w:p>
    <w:p w14:paraId="43BFC683" w14:textId="77777777" w:rsidR="001E2C26" w:rsidRDefault="001E2C26">
      <w:pPr>
        <w:pBdr>
          <w:top w:val="nil"/>
          <w:left w:val="nil"/>
          <w:bottom w:val="nil"/>
          <w:right w:val="nil"/>
          <w:between w:val="nil"/>
          <w:bar w:val="nil"/>
        </w:pBdr>
        <w:rPr>
          <w:rFonts w:asciiTheme="majorHAnsi" w:hAnsiTheme="majorHAnsi"/>
          <w:b/>
          <w:bCs/>
          <w:sz w:val="20"/>
          <w:szCs w:val="20"/>
          <w:lang w:val="es-ES"/>
        </w:rPr>
      </w:pPr>
      <w:r>
        <w:rPr>
          <w:rFonts w:asciiTheme="majorHAnsi" w:hAnsiTheme="majorHAnsi"/>
          <w:b/>
          <w:bCs/>
          <w:sz w:val="20"/>
          <w:szCs w:val="20"/>
          <w:lang w:val="es-ES"/>
        </w:rPr>
        <w:br w:type="page"/>
      </w:r>
    </w:p>
    <w:p w14:paraId="774A5739" w14:textId="4CD5DE58" w:rsidR="0063685A" w:rsidRPr="00175907" w:rsidRDefault="0063685A" w:rsidP="009F0583">
      <w:pPr>
        <w:spacing w:after="240"/>
        <w:ind w:left="720"/>
        <w:jc w:val="both"/>
        <w:rPr>
          <w:rFonts w:asciiTheme="majorHAnsi" w:hAnsiTheme="majorHAnsi"/>
          <w:b/>
          <w:bCs/>
          <w:sz w:val="20"/>
          <w:szCs w:val="20"/>
          <w:lang w:val="es-ES"/>
        </w:rPr>
      </w:pPr>
      <w:r w:rsidRPr="00175907">
        <w:rPr>
          <w:rFonts w:asciiTheme="majorHAnsi" w:hAnsiTheme="majorHAnsi"/>
          <w:b/>
          <w:bCs/>
          <w:sz w:val="20"/>
          <w:szCs w:val="20"/>
          <w:lang w:val="es-ES"/>
        </w:rPr>
        <w:lastRenderedPageBreak/>
        <w:t>4.</w:t>
      </w:r>
      <w:r w:rsidRPr="00175907">
        <w:rPr>
          <w:rFonts w:asciiTheme="majorHAnsi" w:hAnsiTheme="majorHAnsi"/>
          <w:b/>
          <w:bCs/>
          <w:sz w:val="20"/>
          <w:szCs w:val="20"/>
          <w:lang w:val="es-ES"/>
        </w:rPr>
        <w:tab/>
        <w:t>Caracterización de los hechos alegados</w:t>
      </w:r>
    </w:p>
    <w:p w14:paraId="7A012F7F" w14:textId="22414DA3" w:rsidR="009F0B9A" w:rsidRPr="00175907" w:rsidRDefault="0063685A" w:rsidP="009F0583">
      <w:pPr>
        <w:numPr>
          <w:ilvl w:val="0"/>
          <w:numId w:val="56"/>
        </w:numPr>
        <w:spacing w:after="240"/>
        <w:jc w:val="both"/>
        <w:rPr>
          <w:rFonts w:asciiTheme="majorHAnsi" w:hAnsiTheme="majorHAnsi"/>
          <w:sz w:val="20"/>
          <w:szCs w:val="20"/>
          <w:lang w:val="es-ES"/>
        </w:rPr>
      </w:pPr>
      <w:r w:rsidRPr="00175907">
        <w:rPr>
          <w:rFonts w:asciiTheme="majorHAnsi" w:hAnsiTheme="majorHAnsi"/>
          <w:sz w:val="20"/>
          <w:szCs w:val="20"/>
          <w:lang w:val="es-ES"/>
        </w:rPr>
        <w:t>A los efectos de la admisibilidad, la Comisión debe decidir si los hechos alegados pueden caracterizar una violación de derechos, según lo estipu</w:t>
      </w:r>
      <w:r w:rsidR="00E10EC7">
        <w:rPr>
          <w:rFonts w:asciiTheme="majorHAnsi" w:hAnsiTheme="majorHAnsi"/>
          <w:sz w:val="20"/>
          <w:szCs w:val="20"/>
          <w:lang w:val="es-ES"/>
        </w:rPr>
        <w:t>lado en el artículo 47.b</w:t>
      </w:r>
      <w:r w:rsidRPr="00175907">
        <w:rPr>
          <w:rFonts w:asciiTheme="majorHAnsi" w:hAnsiTheme="majorHAnsi"/>
          <w:sz w:val="20"/>
          <w:szCs w:val="20"/>
          <w:lang w:val="es-ES"/>
        </w:rPr>
        <w:t xml:space="preserve"> de la Convención Americana, o si la petición es "manifiestamente infundada" o es "evidente su total impr</w:t>
      </w:r>
      <w:r w:rsidR="00E10EC7">
        <w:rPr>
          <w:rFonts w:asciiTheme="majorHAnsi" w:hAnsiTheme="majorHAnsi"/>
          <w:sz w:val="20"/>
          <w:szCs w:val="20"/>
          <w:lang w:val="es-ES"/>
        </w:rPr>
        <w:t>ocedencia", conforme al inciso “c”</w:t>
      </w:r>
      <w:r w:rsidRPr="00175907">
        <w:rPr>
          <w:rFonts w:asciiTheme="majorHAnsi" w:hAnsiTheme="majorHAnsi"/>
          <w:sz w:val="20"/>
          <w:szCs w:val="20"/>
          <w:lang w:val="es-ES"/>
        </w:rPr>
        <w:t xml:space="preserve"> de dicho artículo.  El criterio para analizar la admisibilidad difiere del utilizado para el análisis del fondo de la petición dado que la Comisión sólo realiza un análisis </w:t>
      </w:r>
      <w:r w:rsidRPr="00175907">
        <w:rPr>
          <w:rFonts w:asciiTheme="majorHAnsi" w:hAnsiTheme="majorHAnsi"/>
          <w:i/>
          <w:sz w:val="20"/>
          <w:szCs w:val="20"/>
          <w:lang w:val="es-ES"/>
        </w:rPr>
        <w:t>prima facie</w:t>
      </w:r>
      <w:r w:rsidRPr="00175907">
        <w:rPr>
          <w:rFonts w:asciiTheme="majorHAnsi" w:hAnsiTheme="majorHAnsi"/>
          <w:sz w:val="20"/>
          <w:szCs w:val="20"/>
          <w:lang w:val="es-ES"/>
        </w:rPr>
        <w:t xml:space="preserve"> para determinar si los peticionarios establecen la aparente o posible violación de un derecho garantizado por la </w:t>
      </w:r>
      <w:r w:rsidR="00847102" w:rsidRPr="00175907">
        <w:rPr>
          <w:rFonts w:asciiTheme="majorHAnsi" w:hAnsiTheme="majorHAnsi"/>
          <w:sz w:val="20"/>
          <w:szCs w:val="20"/>
          <w:lang w:val="es-ES"/>
        </w:rPr>
        <w:t>Convención Americana</w:t>
      </w:r>
      <w:r w:rsidRPr="00175907">
        <w:rPr>
          <w:rFonts w:asciiTheme="majorHAnsi" w:hAnsiTheme="majorHAnsi"/>
          <w:sz w:val="20"/>
          <w:szCs w:val="20"/>
          <w:lang w:val="es-ES"/>
        </w:rPr>
        <w:t>. Se trata de un análisis somero que no implica prejuzgar o emitir una opinión preliminar sobre el fondo del asunto.</w:t>
      </w:r>
    </w:p>
    <w:p w14:paraId="1A881CD7" w14:textId="77777777" w:rsidR="009F0B9A" w:rsidRPr="00175907" w:rsidRDefault="009F0B9A" w:rsidP="009F0583">
      <w:pPr>
        <w:numPr>
          <w:ilvl w:val="0"/>
          <w:numId w:val="56"/>
        </w:numPr>
        <w:spacing w:after="240"/>
        <w:jc w:val="both"/>
        <w:rPr>
          <w:rFonts w:asciiTheme="majorHAnsi" w:hAnsiTheme="majorHAnsi"/>
          <w:sz w:val="20"/>
          <w:szCs w:val="20"/>
          <w:lang w:val="es-ES"/>
        </w:rPr>
      </w:pPr>
      <w:r w:rsidRPr="00175907">
        <w:rPr>
          <w:rFonts w:asciiTheme="majorHAnsi" w:hAnsiTheme="majorHAnsi"/>
          <w:sz w:val="20"/>
          <w:szCs w:val="20"/>
          <w:lang w:val="es-ES"/>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14:paraId="405C4E22" w14:textId="4D1992F9" w:rsidR="00DC535F" w:rsidRPr="001A00F3" w:rsidRDefault="00DC535F" w:rsidP="009F0583">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A00F3">
        <w:rPr>
          <w:rFonts w:ascii="Cambria" w:hAnsi="Cambria"/>
          <w:sz w:val="20"/>
          <w:szCs w:val="20"/>
          <w:lang w:val="es-ES"/>
        </w:rPr>
        <w:t xml:space="preserve">El señor Gamarro alega ser el propietario de bienes que fueron incautados por el Estado y posteriormente depositados con terceros sin que </w:t>
      </w:r>
      <w:r w:rsidR="00C852D3" w:rsidRPr="001A00F3">
        <w:rPr>
          <w:rFonts w:ascii="Cambria" w:hAnsi="Cambria"/>
          <w:sz w:val="20"/>
          <w:szCs w:val="20"/>
          <w:lang w:val="es-ES"/>
        </w:rPr>
        <w:t>se constituyera</w:t>
      </w:r>
      <w:r w:rsidRPr="001A00F3">
        <w:rPr>
          <w:rFonts w:ascii="Cambria" w:hAnsi="Cambria"/>
          <w:sz w:val="20"/>
          <w:szCs w:val="20"/>
          <w:lang w:val="es-ES"/>
        </w:rPr>
        <w:t xml:space="preserve"> un </w:t>
      </w:r>
      <w:r w:rsidR="00510B64" w:rsidRPr="001A00F3">
        <w:rPr>
          <w:rFonts w:ascii="Cambria" w:hAnsi="Cambria"/>
          <w:sz w:val="20"/>
          <w:szCs w:val="20"/>
          <w:lang w:val="es-ES"/>
        </w:rPr>
        <w:t>depósito</w:t>
      </w:r>
      <w:r w:rsidRPr="001A00F3">
        <w:rPr>
          <w:rFonts w:ascii="Cambria" w:hAnsi="Cambria"/>
          <w:sz w:val="20"/>
          <w:szCs w:val="20"/>
          <w:lang w:val="es-ES"/>
        </w:rPr>
        <w:t xml:space="preserve"> como garantía. Agrega que el Poder Judicial reconoció que era el propietario de estos bienes y ordenó su devolución. Asimismo, indica que los mismos nunca fueron devueltos y que, a pesar de la presentación de una denuncia contra los responsables </w:t>
      </w:r>
      <w:r w:rsidR="00C852D3" w:rsidRPr="001A00F3">
        <w:rPr>
          <w:rFonts w:ascii="Cambria" w:hAnsi="Cambria"/>
          <w:sz w:val="20"/>
          <w:szCs w:val="20"/>
          <w:lang w:val="es-ES"/>
        </w:rPr>
        <w:t>de</w:t>
      </w:r>
      <w:r w:rsidRPr="001A00F3">
        <w:rPr>
          <w:rFonts w:ascii="Cambria" w:hAnsi="Cambria"/>
          <w:sz w:val="20"/>
          <w:szCs w:val="20"/>
          <w:lang w:val="es-ES"/>
        </w:rPr>
        <w:t xml:space="preserve"> la desaparición de los bienes</w:t>
      </w:r>
      <w:r w:rsidR="00C852D3" w:rsidRPr="001A00F3">
        <w:rPr>
          <w:rFonts w:ascii="Cambria" w:hAnsi="Cambria"/>
          <w:sz w:val="20"/>
          <w:szCs w:val="20"/>
          <w:lang w:val="es-ES"/>
        </w:rPr>
        <w:t>, éstos</w:t>
      </w:r>
      <w:r w:rsidRPr="001A00F3">
        <w:rPr>
          <w:rFonts w:ascii="Cambria" w:hAnsi="Cambria"/>
          <w:sz w:val="20"/>
          <w:szCs w:val="20"/>
          <w:lang w:val="es-ES"/>
        </w:rPr>
        <w:t xml:space="preserve"> nunca fueron responsabilizados debido a la inactividad del Ministerio Público. El Estado, por su parte, afirma que no puede ser responsabilizado por la pérdida de los bienes pues los mismos habían sido puestos bajo la responsabilidad de </w:t>
      </w:r>
      <w:r w:rsidR="00574865" w:rsidRPr="001A00F3">
        <w:rPr>
          <w:rFonts w:ascii="Cambria" w:hAnsi="Cambria"/>
          <w:sz w:val="20"/>
          <w:szCs w:val="20"/>
          <w:lang w:val="es-ES"/>
        </w:rPr>
        <w:t>civiles</w:t>
      </w:r>
      <w:r w:rsidRPr="001A00F3">
        <w:rPr>
          <w:rFonts w:ascii="Cambria" w:hAnsi="Cambria"/>
          <w:sz w:val="20"/>
          <w:szCs w:val="20"/>
          <w:lang w:val="es-ES"/>
        </w:rPr>
        <w:t xml:space="preserve"> y no de agentes del Estado.</w:t>
      </w:r>
      <w:r w:rsidR="001A00F3">
        <w:rPr>
          <w:rFonts w:ascii="Cambria" w:hAnsi="Cambria"/>
          <w:sz w:val="20"/>
          <w:szCs w:val="20"/>
          <w:lang w:val="es-ES"/>
        </w:rPr>
        <w:t xml:space="preserve"> </w:t>
      </w:r>
      <w:r w:rsidR="001A00F3" w:rsidRPr="00EC5551">
        <w:rPr>
          <w:rFonts w:ascii="Cambria" w:hAnsi="Cambria"/>
          <w:sz w:val="20"/>
          <w:szCs w:val="20"/>
          <w:lang w:val="es-ES"/>
        </w:rPr>
        <w:t>Asimismo, alega que los tribunales han respondido debidamente a las denuncias del señor Gamarro.</w:t>
      </w:r>
    </w:p>
    <w:p w14:paraId="72C727C3" w14:textId="0A28D381" w:rsidR="0063685A" w:rsidRPr="00175907" w:rsidRDefault="00132970" w:rsidP="009F0583">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75907">
        <w:rPr>
          <w:rFonts w:ascii="Cambria" w:hAnsi="Cambria"/>
          <w:sz w:val="20"/>
          <w:szCs w:val="20"/>
          <w:lang w:val="es-ES"/>
        </w:rPr>
        <w:t xml:space="preserve">En vista de los elementos de hecho y de derecho presentados por las partes y la naturaleza del asunto puesto bajo su conocimiento, la CIDH considera que las alegaciones del peticionario podrían caracterizar posibles violaciones a los derechos protegidos en </w:t>
      </w:r>
      <w:r w:rsidR="00DC535F">
        <w:rPr>
          <w:rFonts w:ascii="Cambria" w:hAnsi="Cambria"/>
          <w:sz w:val="20"/>
          <w:szCs w:val="20"/>
          <w:lang w:val="es-ES"/>
        </w:rPr>
        <w:t>los</w:t>
      </w:r>
      <w:r w:rsidRPr="00175907">
        <w:rPr>
          <w:rFonts w:ascii="Cambria" w:hAnsi="Cambria"/>
          <w:sz w:val="20"/>
          <w:szCs w:val="20"/>
          <w:lang w:val="es-ES"/>
        </w:rPr>
        <w:t xml:space="preserve"> artículos 8, 21 y, 25 de la Convención Americana, en concordancia con el artículo 1.1 del mismo tratado</w:t>
      </w:r>
      <w:r w:rsidR="001E4595">
        <w:rPr>
          <w:rFonts w:ascii="Cambria" w:hAnsi="Cambria"/>
          <w:sz w:val="20"/>
          <w:szCs w:val="20"/>
          <w:lang w:val="es-ES"/>
        </w:rPr>
        <w:t>, en perjuicio del señor</w:t>
      </w:r>
      <w:r w:rsidR="00A22C41" w:rsidRPr="00175907">
        <w:rPr>
          <w:rFonts w:ascii="Cambria" w:hAnsi="Cambria"/>
          <w:sz w:val="20"/>
          <w:szCs w:val="20"/>
          <w:lang w:val="es-ES"/>
        </w:rPr>
        <w:t xml:space="preserve"> Gamarro.</w:t>
      </w:r>
      <w:r w:rsidR="00DC535F">
        <w:rPr>
          <w:rFonts w:ascii="Cambria" w:hAnsi="Cambria"/>
          <w:sz w:val="20"/>
          <w:szCs w:val="20"/>
          <w:lang w:val="es-ES"/>
        </w:rPr>
        <w:t xml:space="preserve"> </w:t>
      </w:r>
    </w:p>
    <w:p w14:paraId="5D4D64DD" w14:textId="77777777" w:rsidR="0063685A" w:rsidRPr="00175907" w:rsidRDefault="0063685A" w:rsidP="009F0583">
      <w:pPr>
        <w:spacing w:after="240"/>
        <w:ind w:firstLine="720"/>
        <w:jc w:val="both"/>
        <w:rPr>
          <w:rFonts w:asciiTheme="majorHAnsi" w:hAnsiTheme="majorHAnsi"/>
          <w:b/>
          <w:bCs/>
          <w:sz w:val="20"/>
          <w:szCs w:val="20"/>
          <w:lang w:val="es-ES"/>
        </w:rPr>
      </w:pPr>
      <w:r w:rsidRPr="00175907">
        <w:rPr>
          <w:rFonts w:asciiTheme="majorHAnsi" w:hAnsiTheme="majorHAnsi"/>
          <w:b/>
          <w:bCs/>
          <w:sz w:val="20"/>
          <w:szCs w:val="20"/>
          <w:lang w:val="es-ES"/>
        </w:rPr>
        <w:t>V.</w:t>
      </w:r>
      <w:r w:rsidRPr="00175907">
        <w:rPr>
          <w:rFonts w:asciiTheme="majorHAnsi" w:hAnsiTheme="majorHAnsi"/>
          <w:b/>
          <w:bCs/>
          <w:sz w:val="20"/>
          <w:szCs w:val="20"/>
          <w:lang w:val="es-ES"/>
        </w:rPr>
        <w:tab/>
        <w:t>CONCLUSIONES</w:t>
      </w:r>
    </w:p>
    <w:p w14:paraId="7D236A64" w14:textId="77777777" w:rsidR="003664B3" w:rsidRPr="00175907" w:rsidRDefault="003664B3" w:rsidP="009F0583">
      <w:pPr>
        <w:numPr>
          <w:ilvl w:val="0"/>
          <w:numId w:val="56"/>
        </w:numPr>
        <w:spacing w:after="240"/>
        <w:jc w:val="both"/>
        <w:rPr>
          <w:rFonts w:asciiTheme="majorHAnsi" w:hAnsiTheme="majorHAnsi"/>
          <w:sz w:val="20"/>
          <w:szCs w:val="20"/>
          <w:lang w:val="es-ES"/>
        </w:rPr>
      </w:pPr>
      <w:r w:rsidRPr="00175907">
        <w:rPr>
          <w:rFonts w:asciiTheme="majorHAnsi" w:hAnsiTheme="majorHAnsi"/>
          <w:sz w:val="20"/>
          <w:szCs w:val="20"/>
          <w:lang w:val="es-ES"/>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p>
    <w:p w14:paraId="52B5850C" w14:textId="77777777" w:rsidR="0063685A" w:rsidRPr="00175907" w:rsidRDefault="0063685A" w:rsidP="009F0583">
      <w:pPr>
        <w:spacing w:after="240"/>
        <w:jc w:val="center"/>
        <w:rPr>
          <w:rFonts w:asciiTheme="majorHAnsi" w:hAnsiTheme="majorHAnsi"/>
          <w:b/>
          <w:bCs/>
          <w:sz w:val="20"/>
          <w:szCs w:val="20"/>
          <w:lang w:val="es-ES"/>
        </w:rPr>
      </w:pPr>
      <w:r w:rsidRPr="00175907">
        <w:rPr>
          <w:rFonts w:asciiTheme="majorHAnsi" w:hAnsiTheme="majorHAnsi"/>
          <w:b/>
          <w:bCs/>
          <w:sz w:val="20"/>
          <w:szCs w:val="20"/>
          <w:lang w:val="es-ES"/>
        </w:rPr>
        <w:t>LA COMISIÓN INTERAMERICANA DE DERECHOS HUMANOS</w:t>
      </w:r>
    </w:p>
    <w:p w14:paraId="18BE0DFB" w14:textId="77777777" w:rsidR="0063685A" w:rsidRPr="00175907" w:rsidRDefault="0063685A" w:rsidP="009F0583">
      <w:pPr>
        <w:spacing w:after="240"/>
        <w:jc w:val="both"/>
        <w:rPr>
          <w:rFonts w:asciiTheme="majorHAnsi" w:hAnsiTheme="majorHAnsi"/>
          <w:b/>
          <w:bCs/>
          <w:sz w:val="20"/>
          <w:szCs w:val="20"/>
          <w:lang w:val="es-ES"/>
        </w:rPr>
      </w:pPr>
      <w:r w:rsidRPr="00175907">
        <w:rPr>
          <w:rFonts w:asciiTheme="majorHAnsi" w:hAnsiTheme="majorHAnsi"/>
          <w:b/>
          <w:bCs/>
          <w:sz w:val="20"/>
          <w:szCs w:val="20"/>
          <w:lang w:val="es-ES"/>
        </w:rPr>
        <w:t>DECIDE:</w:t>
      </w:r>
    </w:p>
    <w:p w14:paraId="4E2B09E2" w14:textId="77777777" w:rsidR="0063685A" w:rsidRPr="00175907" w:rsidRDefault="0063685A" w:rsidP="00DB4CEA">
      <w:pPr>
        <w:spacing w:after="240"/>
        <w:ind w:firstLine="720"/>
        <w:jc w:val="both"/>
        <w:rPr>
          <w:rFonts w:asciiTheme="majorHAnsi" w:hAnsiTheme="majorHAnsi"/>
          <w:sz w:val="20"/>
          <w:szCs w:val="20"/>
          <w:lang w:val="es-ES"/>
        </w:rPr>
      </w:pPr>
      <w:r w:rsidRPr="00175907">
        <w:rPr>
          <w:rFonts w:asciiTheme="majorHAnsi" w:hAnsiTheme="majorHAnsi"/>
          <w:sz w:val="20"/>
          <w:szCs w:val="20"/>
          <w:lang w:val="es-ES"/>
        </w:rPr>
        <w:t>1.</w:t>
      </w:r>
      <w:r w:rsidRPr="00175907">
        <w:rPr>
          <w:rFonts w:asciiTheme="majorHAnsi" w:hAnsiTheme="majorHAnsi"/>
          <w:sz w:val="20"/>
          <w:szCs w:val="20"/>
          <w:lang w:val="es-ES"/>
        </w:rPr>
        <w:tab/>
        <w:t xml:space="preserve">Declarar admisible la presente petición en relación con los artículos </w:t>
      </w:r>
      <w:r w:rsidR="00A22C41" w:rsidRPr="00175907">
        <w:rPr>
          <w:rFonts w:asciiTheme="majorHAnsi" w:hAnsiTheme="majorHAnsi"/>
          <w:sz w:val="20"/>
          <w:szCs w:val="20"/>
          <w:lang w:val="es-ES"/>
        </w:rPr>
        <w:t>8, 21 y 25</w:t>
      </w:r>
      <w:r w:rsidRPr="00175907">
        <w:rPr>
          <w:rFonts w:asciiTheme="majorHAnsi" w:hAnsiTheme="majorHAnsi"/>
          <w:sz w:val="20"/>
          <w:szCs w:val="20"/>
          <w:lang w:val="es-ES"/>
        </w:rPr>
        <w:t xml:space="preserve"> de la Convención Americana</w:t>
      </w:r>
      <w:r w:rsidR="003664B3" w:rsidRPr="00175907">
        <w:rPr>
          <w:rFonts w:asciiTheme="majorHAnsi" w:hAnsiTheme="majorHAnsi"/>
          <w:sz w:val="20"/>
          <w:szCs w:val="20"/>
          <w:lang w:val="es-ES"/>
        </w:rPr>
        <w:t xml:space="preserve"> en conexión con las obligaciones establecidas en </w:t>
      </w:r>
      <w:r w:rsidR="00A22C41" w:rsidRPr="00175907">
        <w:rPr>
          <w:rFonts w:asciiTheme="majorHAnsi" w:hAnsiTheme="majorHAnsi"/>
          <w:sz w:val="20"/>
          <w:szCs w:val="20"/>
          <w:lang w:val="es-ES"/>
        </w:rPr>
        <w:t>el</w:t>
      </w:r>
      <w:r w:rsidR="003664B3" w:rsidRPr="00175907">
        <w:rPr>
          <w:rFonts w:asciiTheme="majorHAnsi" w:hAnsiTheme="majorHAnsi"/>
          <w:sz w:val="20"/>
          <w:szCs w:val="20"/>
          <w:lang w:val="es-ES"/>
        </w:rPr>
        <w:t xml:space="preserve"> artículo 1.1 del mismo instrumento</w:t>
      </w:r>
      <w:r w:rsidR="00A22C41" w:rsidRPr="00175907">
        <w:rPr>
          <w:rFonts w:asciiTheme="majorHAnsi" w:hAnsiTheme="majorHAnsi"/>
          <w:sz w:val="20"/>
          <w:szCs w:val="20"/>
          <w:lang w:val="es-ES"/>
        </w:rPr>
        <w:t>.</w:t>
      </w:r>
    </w:p>
    <w:p w14:paraId="642709AD" w14:textId="007C838F" w:rsidR="0063685A" w:rsidRPr="00175907" w:rsidRDefault="00AE03A0" w:rsidP="009F0583">
      <w:pPr>
        <w:spacing w:after="240"/>
        <w:ind w:firstLine="720"/>
        <w:jc w:val="both"/>
        <w:rPr>
          <w:rFonts w:asciiTheme="majorHAnsi" w:hAnsiTheme="majorHAnsi"/>
          <w:sz w:val="20"/>
          <w:szCs w:val="20"/>
          <w:lang w:val="es-ES"/>
        </w:rPr>
      </w:pPr>
      <w:r>
        <w:rPr>
          <w:rFonts w:asciiTheme="majorHAnsi" w:hAnsiTheme="majorHAnsi"/>
          <w:sz w:val="20"/>
          <w:szCs w:val="20"/>
          <w:lang w:val="es-ES"/>
        </w:rPr>
        <w:t>2</w:t>
      </w:r>
      <w:r w:rsidR="0063685A" w:rsidRPr="00175907">
        <w:rPr>
          <w:rFonts w:asciiTheme="majorHAnsi" w:hAnsiTheme="majorHAnsi"/>
          <w:sz w:val="20"/>
          <w:szCs w:val="20"/>
          <w:lang w:val="es-ES"/>
        </w:rPr>
        <w:t>.</w:t>
      </w:r>
      <w:r w:rsidR="0063685A" w:rsidRPr="00175907">
        <w:rPr>
          <w:rFonts w:asciiTheme="majorHAnsi" w:hAnsiTheme="majorHAnsi"/>
          <w:sz w:val="20"/>
          <w:szCs w:val="20"/>
          <w:lang w:val="es-ES"/>
        </w:rPr>
        <w:tab/>
        <w:t>Notificar a las partes la presente decisión;</w:t>
      </w:r>
    </w:p>
    <w:p w14:paraId="48AB253D" w14:textId="11E8EA86" w:rsidR="0063685A" w:rsidRPr="00175907" w:rsidRDefault="00AE03A0" w:rsidP="009F0583">
      <w:pPr>
        <w:spacing w:after="240"/>
        <w:ind w:firstLine="720"/>
        <w:jc w:val="both"/>
        <w:rPr>
          <w:rFonts w:asciiTheme="majorHAnsi" w:hAnsiTheme="majorHAnsi"/>
          <w:sz w:val="20"/>
          <w:szCs w:val="20"/>
          <w:lang w:val="es-ES"/>
        </w:rPr>
      </w:pPr>
      <w:r>
        <w:rPr>
          <w:rFonts w:asciiTheme="majorHAnsi" w:hAnsiTheme="majorHAnsi"/>
          <w:sz w:val="20"/>
          <w:szCs w:val="20"/>
          <w:lang w:val="es-ES"/>
        </w:rPr>
        <w:t>3</w:t>
      </w:r>
      <w:r w:rsidR="0063685A" w:rsidRPr="00175907">
        <w:rPr>
          <w:rFonts w:asciiTheme="majorHAnsi" w:hAnsiTheme="majorHAnsi"/>
          <w:sz w:val="20"/>
          <w:szCs w:val="20"/>
          <w:lang w:val="es-ES"/>
        </w:rPr>
        <w:t>.</w:t>
      </w:r>
      <w:r w:rsidR="0063685A" w:rsidRPr="00175907">
        <w:rPr>
          <w:rFonts w:asciiTheme="majorHAnsi" w:hAnsiTheme="majorHAnsi"/>
          <w:sz w:val="20"/>
          <w:szCs w:val="20"/>
          <w:lang w:val="es-ES"/>
        </w:rPr>
        <w:tab/>
        <w:t>Continuar con el análisis del fondo de la cuestión;</w:t>
      </w:r>
      <w:r w:rsidR="00711192" w:rsidRPr="00175907">
        <w:rPr>
          <w:rFonts w:asciiTheme="majorHAnsi" w:hAnsiTheme="majorHAnsi"/>
          <w:sz w:val="20"/>
          <w:szCs w:val="20"/>
          <w:lang w:val="es-ES"/>
        </w:rPr>
        <w:t xml:space="preserve"> y</w:t>
      </w:r>
    </w:p>
    <w:p w14:paraId="031A211B" w14:textId="71F0884C" w:rsidR="0063685A" w:rsidRDefault="00AE03A0" w:rsidP="00964D36">
      <w:pPr>
        <w:spacing w:after="240"/>
        <w:ind w:firstLine="720"/>
        <w:jc w:val="both"/>
        <w:rPr>
          <w:rFonts w:asciiTheme="majorHAnsi" w:hAnsiTheme="majorHAnsi"/>
          <w:sz w:val="20"/>
          <w:szCs w:val="20"/>
          <w:lang w:val="es-ES"/>
        </w:rPr>
      </w:pPr>
      <w:r>
        <w:rPr>
          <w:rFonts w:asciiTheme="majorHAnsi" w:hAnsiTheme="majorHAnsi"/>
          <w:sz w:val="20"/>
          <w:szCs w:val="20"/>
          <w:lang w:val="es-ES"/>
        </w:rPr>
        <w:t>4</w:t>
      </w:r>
      <w:r w:rsidR="0063685A" w:rsidRPr="00175907">
        <w:rPr>
          <w:rFonts w:asciiTheme="majorHAnsi" w:hAnsiTheme="majorHAnsi"/>
          <w:sz w:val="20"/>
          <w:szCs w:val="20"/>
          <w:lang w:val="es-ES"/>
        </w:rPr>
        <w:t>.</w:t>
      </w:r>
      <w:r w:rsidR="0063685A" w:rsidRPr="00175907">
        <w:rPr>
          <w:rFonts w:asciiTheme="majorHAnsi" w:hAnsiTheme="majorHAnsi"/>
          <w:sz w:val="20"/>
          <w:szCs w:val="20"/>
          <w:lang w:val="es-ES"/>
        </w:rPr>
        <w:tab/>
        <w:t>Publicar esta decisión e incluirla en su Informe Anual a la Asamblea General de la Organización de los Estados Americanos.</w:t>
      </w:r>
    </w:p>
    <w:p w14:paraId="1D1D133A" w14:textId="1AE143A0" w:rsidR="004D4155" w:rsidRPr="00175907" w:rsidRDefault="004D4155" w:rsidP="00964D36">
      <w:pPr>
        <w:spacing w:after="240"/>
        <w:ind w:firstLine="720"/>
        <w:jc w:val="both"/>
        <w:rPr>
          <w:rFonts w:asciiTheme="majorHAnsi" w:hAnsiTheme="majorHAnsi"/>
          <w:sz w:val="18"/>
          <w:szCs w:val="20"/>
          <w:lang w:val="es-ES"/>
        </w:rPr>
      </w:pPr>
      <w:r w:rsidRPr="004D4155">
        <w:rPr>
          <w:rFonts w:asciiTheme="majorHAnsi" w:hAnsiTheme="majorHAnsi"/>
          <w:sz w:val="18"/>
          <w:szCs w:val="20"/>
          <w:lang w:val="es-ES"/>
        </w:rPr>
        <w:t xml:space="preserve">Dado y firmado en la ciudad de Washington, D.C., a los 15 días del mes de abril de 2016.  (Firmado): James L. Cavallaro, Presidente; Francisco José Eguiguren, Primer Vicepresidente; Margarette May Macaulay, Segunda </w:t>
      </w:r>
      <w:r w:rsidRPr="004D4155">
        <w:rPr>
          <w:rFonts w:asciiTheme="majorHAnsi" w:hAnsiTheme="majorHAnsi"/>
          <w:sz w:val="18"/>
          <w:szCs w:val="20"/>
          <w:lang w:val="es-ES"/>
        </w:rPr>
        <w:lastRenderedPageBreak/>
        <w:t>Vicepresidenta; José de Jesús Orozco Henríquez, Esmeralda E. Arosemena Bernal de Troitiño, y Enrique Gil Botero, Miembros de la Comisión.</w:t>
      </w:r>
    </w:p>
    <w:sectPr w:rsidR="004D4155" w:rsidRPr="0017590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BD096" w14:textId="77777777" w:rsidR="00DB679B" w:rsidRDefault="00DB679B">
      <w:r>
        <w:separator/>
      </w:r>
    </w:p>
  </w:endnote>
  <w:endnote w:type="continuationSeparator" w:id="0">
    <w:p w14:paraId="1343CE96" w14:textId="77777777" w:rsidR="00DB679B" w:rsidRDefault="00DB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Tunga">
    <w:panose1 w:val="020B0502040204020203"/>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B2A5A" w14:textId="77777777" w:rsidR="004C1436" w:rsidRDefault="004C14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B3B2D0E"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C1436">
          <w:rPr>
            <w:noProof/>
            <w:sz w:val="16"/>
            <w:szCs w:val="22"/>
          </w:rPr>
          <w:t>1</w:t>
        </w:r>
        <w:r w:rsidRPr="00934A2C">
          <w:rPr>
            <w:noProof/>
            <w:sz w:val="16"/>
            <w:szCs w:val="22"/>
          </w:rPr>
          <w:fldChar w:fldCharType="end"/>
        </w:r>
      </w:p>
    </w:sdtContent>
  </w:sdt>
  <w:p w14:paraId="183C43B0"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BA2FC" w14:textId="77777777" w:rsidR="0070697F" w:rsidRPr="00934A2C" w:rsidRDefault="0070697F">
    <w:pPr>
      <w:pStyle w:val="Footer"/>
      <w:jc w:val="center"/>
      <w:rPr>
        <w:sz w:val="16"/>
        <w:szCs w:val="22"/>
      </w:rPr>
    </w:pPr>
  </w:p>
  <w:p w14:paraId="303868ED"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5F571" w14:textId="77777777" w:rsidR="00DB679B" w:rsidRPr="000F35ED" w:rsidRDefault="00DB679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3AA2BDD" w14:textId="77777777" w:rsidR="00DB679B" w:rsidRPr="000F35ED" w:rsidRDefault="00DB679B" w:rsidP="000F35ED">
      <w:pPr>
        <w:rPr>
          <w:rFonts w:asciiTheme="majorHAnsi" w:hAnsiTheme="majorHAnsi"/>
          <w:sz w:val="16"/>
          <w:szCs w:val="16"/>
        </w:rPr>
      </w:pPr>
      <w:r w:rsidRPr="000F35ED">
        <w:rPr>
          <w:rFonts w:asciiTheme="majorHAnsi" w:hAnsiTheme="majorHAnsi"/>
          <w:sz w:val="16"/>
          <w:szCs w:val="16"/>
        </w:rPr>
        <w:separator/>
      </w:r>
    </w:p>
    <w:p w14:paraId="72618DC1" w14:textId="77777777" w:rsidR="00DB679B" w:rsidRPr="000F35ED" w:rsidRDefault="00DB679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98520BE" w14:textId="77777777" w:rsidR="00DB679B" w:rsidRPr="000F35ED" w:rsidRDefault="00DB679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464E1DC" w14:textId="68FBEC2A" w:rsidR="00A54282" w:rsidRPr="00537490" w:rsidRDefault="00A54282" w:rsidP="00A54282">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sidRPr="00EC5551">
        <w:rPr>
          <w:rFonts w:ascii="Cambria" w:hAnsi="Cambria"/>
          <w:sz w:val="16"/>
          <w:szCs w:val="16"/>
          <w:lang w:val="es-ES"/>
        </w:rPr>
        <w:t xml:space="preserve">A pesar de haber </w:t>
      </w:r>
      <w:r w:rsidR="00F5323A" w:rsidRPr="00EC5551">
        <w:rPr>
          <w:rFonts w:ascii="Cambria" w:hAnsi="Cambria"/>
          <w:sz w:val="16"/>
          <w:szCs w:val="16"/>
          <w:lang w:val="es-ES"/>
        </w:rPr>
        <w:t xml:space="preserve">inicialmente presentado la denuncia al </w:t>
      </w:r>
      <w:r w:rsidRPr="00EC5551">
        <w:rPr>
          <w:rFonts w:ascii="Cambria" w:hAnsi="Cambria"/>
          <w:sz w:val="16"/>
          <w:szCs w:val="16"/>
          <w:lang w:val="es-ES"/>
        </w:rPr>
        <w:t xml:space="preserve">Juzgado de Peten, éste, el 8 de noviembre de 2004, atendiendo a una solicitud del Ministerio Público, decidió declararse incompetente para seguir conociendo del asunto por entender que la competencia </w:t>
      </w:r>
      <w:r w:rsidR="00F5323A" w:rsidRPr="00EC5551">
        <w:rPr>
          <w:rFonts w:ascii="Cambria" w:hAnsi="Cambria"/>
          <w:sz w:val="16"/>
          <w:szCs w:val="16"/>
          <w:lang w:val="es-ES"/>
        </w:rPr>
        <w:t xml:space="preserve">para decidir sobre el asunto </w:t>
      </w:r>
      <w:r w:rsidRPr="00EC5551">
        <w:rPr>
          <w:rFonts w:ascii="Cambria" w:hAnsi="Cambria"/>
          <w:sz w:val="16"/>
          <w:szCs w:val="16"/>
          <w:lang w:val="es-ES"/>
        </w:rPr>
        <w:t xml:space="preserve">debería ser determinada </w:t>
      </w:r>
      <w:r w:rsidR="00F5323A" w:rsidRPr="00EC5551">
        <w:rPr>
          <w:rFonts w:ascii="Cambria" w:hAnsi="Cambria"/>
          <w:sz w:val="16"/>
          <w:szCs w:val="16"/>
          <w:lang w:val="es-ES"/>
        </w:rPr>
        <w:t xml:space="preserve">por </w:t>
      </w:r>
      <w:r w:rsidRPr="00EC5551">
        <w:rPr>
          <w:rFonts w:ascii="Cambria" w:hAnsi="Cambria"/>
          <w:sz w:val="16"/>
          <w:szCs w:val="16"/>
          <w:lang w:val="es-ES"/>
        </w:rPr>
        <w:t>la ubicación geográfica de la supuesta finca del señor Valle; motivo por el cual transfirió los autos al Juzgado de Alta Verapaz.</w:t>
      </w:r>
    </w:p>
  </w:footnote>
  <w:footnote w:id="3">
    <w:p w14:paraId="78AD087F" w14:textId="77777777" w:rsidR="00351438" w:rsidRPr="00537490" w:rsidRDefault="00351438" w:rsidP="00351438">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CIDH, Informe No. 34/15, Petición 191-07 y otras. Admisibilidad. Álvaro Enrique Rodríguez y otros. Colombia. 22 de julio de 2015, párr. 246.</w:t>
      </w:r>
    </w:p>
  </w:footnote>
  <w:footnote w:id="4">
    <w:p w14:paraId="2A27CE0A" w14:textId="4CA60366" w:rsidR="00E87A6C" w:rsidRPr="00537490" w:rsidRDefault="00E87A6C" w:rsidP="00E87A6C">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Artículo 24, Ter. del Código Procesal Penal de Guatemala.</w:t>
      </w:r>
    </w:p>
  </w:footnote>
  <w:footnote w:id="5">
    <w:p w14:paraId="7906A2FA" w14:textId="248CDAF3" w:rsidR="00A85877" w:rsidRPr="00537490" w:rsidRDefault="00A85877" w:rsidP="00A85877">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CIDH, Informe No. 48/15, Petición 79-06. Admisibilidad. Pueblo Yaqui. México. 28 de julio de 2015, párr.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6F079"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AE44546"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92EE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729D7166" wp14:editId="1D143D4F">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957FB86" w14:textId="77777777" w:rsidR="00040C3A" w:rsidRPr="00EC7D62" w:rsidRDefault="00DB679B" w:rsidP="00A50FCF">
    <w:pPr>
      <w:pStyle w:val="Header"/>
      <w:tabs>
        <w:tab w:val="clear" w:pos="4320"/>
        <w:tab w:val="clear" w:pos="8640"/>
      </w:tabs>
      <w:jc w:val="center"/>
      <w:rPr>
        <w:sz w:val="22"/>
        <w:szCs w:val="22"/>
      </w:rPr>
    </w:pPr>
    <w:r>
      <w:rPr>
        <w:sz w:val="22"/>
        <w:szCs w:val="22"/>
      </w:rPr>
      <w:pict w14:anchorId="2C80BEDE">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B289C" w14:textId="77777777" w:rsidR="004C1436" w:rsidRDefault="004C14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C562F6E0"/>
    <w:lvl w:ilvl="0" w:tplc="96361A2C">
      <w:start w:val="4"/>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EA7414"/>
    <w:multiLevelType w:val="hybridMultilevel"/>
    <w:tmpl w:val="29B43534"/>
    <w:lvl w:ilvl="0" w:tplc="0409000F">
      <w:start w:val="1"/>
      <w:numFmt w:val="decimal"/>
      <w:lvlText w:val="%1."/>
      <w:lvlJc w:val="left"/>
      <w:pPr>
        <w:tabs>
          <w:tab w:val="num" w:pos="720"/>
        </w:tabs>
        <w:ind w:left="720" w:hanging="360"/>
      </w:pPr>
    </w:lvl>
    <w:lvl w:ilvl="1" w:tplc="8DCC642E">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2"/>
  </w:num>
  <w:num w:numId="5">
    <w:abstractNumId w:val="47"/>
  </w:num>
  <w:num w:numId="6">
    <w:abstractNumId w:val="28"/>
  </w:num>
  <w:num w:numId="7">
    <w:abstractNumId w:val="7"/>
  </w:num>
  <w:num w:numId="8">
    <w:abstractNumId w:val="18"/>
  </w:num>
  <w:num w:numId="9">
    <w:abstractNumId w:val="42"/>
  </w:num>
  <w:num w:numId="10">
    <w:abstractNumId w:val="1"/>
  </w:num>
  <w:num w:numId="11">
    <w:abstractNumId w:val="37"/>
  </w:num>
  <w:num w:numId="12">
    <w:abstractNumId w:val="38"/>
  </w:num>
  <w:num w:numId="13">
    <w:abstractNumId w:val="43"/>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5"/>
  </w:num>
  <w:num w:numId="42">
    <w:abstractNumId w:val="48"/>
  </w:num>
  <w:num w:numId="43">
    <w:abstractNumId w:val="49"/>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1"/>
  </w:num>
  <w:num w:numId="52">
    <w:abstractNumId w:val="41"/>
  </w:num>
  <w:num w:numId="53">
    <w:abstractNumId w:val="51"/>
  </w:num>
  <w:num w:numId="54">
    <w:abstractNumId w:val="44"/>
  </w:num>
  <w:num w:numId="55">
    <w:abstractNumId w:val="46"/>
  </w:num>
  <w:num w:numId="56">
    <w:abstractNumId w:val="5"/>
  </w:num>
  <w:num w:numId="57">
    <w:abstractNumId w:val="11"/>
  </w:num>
  <w:num w:numId="58">
    <w:abstractNumId w:val="50"/>
  </w:num>
  <w:num w:numId="59">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3B91"/>
    <w:rsid w:val="00014080"/>
    <w:rsid w:val="0001788C"/>
    <w:rsid w:val="00020022"/>
    <w:rsid w:val="0002426D"/>
    <w:rsid w:val="00024654"/>
    <w:rsid w:val="00025311"/>
    <w:rsid w:val="00032EDC"/>
    <w:rsid w:val="00040C3A"/>
    <w:rsid w:val="00041487"/>
    <w:rsid w:val="00043946"/>
    <w:rsid w:val="00043E8C"/>
    <w:rsid w:val="00052CD4"/>
    <w:rsid w:val="00057DD7"/>
    <w:rsid w:val="00065D1F"/>
    <w:rsid w:val="000710A2"/>
    <w:rsid w:val="000716C5"/>
    <w:rsid w:val="0007252F"/>
    <w:rsid w:val="00075E23"/>
    <w:rsid w:val="00077FBC"/>
    <w:rsid w:val="0009344A"/>
    <w:rsid w:val="00093DCF"/>
    <w:rsid w:val="0009593A"/>
    <w:rsid w:val="000A392E"/>
    <w:rsid w:val="000A575F"/>
    <w:rsid w:val="000C074F"/>
    <w:rsid w:val="000C668E"/>
    <w:rsid w:val="000D0A7E"/>
    <w:rsid w:val="000D10DB"/>
    <w:rsid w:val="000D1F16"/>
    <w:rsid w:val="000D438A"/>
    <w:rsid w:val="000E15A9"/>
    <w:rsid w:val="000E2F8B"/>
    <w:rsid w:val="000E5EB5"/>
    <w:rsid w:val="000F35ED"/>
    <w:rsid w:val="001006EE"/>
    <w:rsid w:val="00105278"/>
    <w:rsid w:val="00105E26"/>
    <w:rsid w:val="00106CD4"/>
    <w:rsid w:val="00107131"/>
    <w:rsid w:val="0010736F"/>
    <w:rsid w:val="001102F7"/>
    <w:rsid w:val="00112D7A"/>
    <w:rsid w:val="00113A6A"/>
    <w:rsid w:val="00113F73"/>
    <w:rsid w:val="00114C02"/>
    <w:rsid w:val="00114FFB"/>
    <w:rsid w:val="0011524E"/>
    <w:rsid w:val="00115B0F"/>
    <w:rsid w:val="00121CC2"/>
    <w:rsid w:val="0012714E"/>
    <w:rsid w:val="00132970"/>
    <w:rsid w:val="001331F0"/>
    <w:rsid w:val="00133EE5"/>
    <w:rsid w:val="00167A34"/>
    <w:rsid w:val="00175907"/>
    <w:rsid w:val="00176594"/>
    <w:rsid w:val="001778CD"/>
    <w:rsid w:val="00182D70"/>
    <w:rsid w:val="00192B1A"/>
    <w:rsid w:val="001937E9"/>
    <w:rsid w:val="001937F1"/>
    <w:rsid w:val="001A00F3"/>
    <w:rsid w:val="001A11E3"/>
    <w:rsid w:val="001A701C"/>
    <w:rsid w:val="001A7870"/>
    <w:rsid w:val="001B3EAC"/>
    <w:rsid w:val="001C00F3"/>
    <w:rsid w:val="001C1B41"/>
    <w:rsid w:val="001D1AA6"/>
    <w:rsid w:val="001D65EF"/>
    <w:rsid w:val="001D6CCC"/>
    <w:rsid w:val="001E2C26"/>
    <w:rsid w:val="001E4595"/>
    <w:rsid w:val="001E6E01"/>
    <w:rsid w:val="001F122A"/>
    <w:rsid w:val="001F2F02"/>
    <w:rsid w:val="001F49DC"/>
    <w:rsid w:val="00216B7A"/>
    <w:rsid w:val="0021752F"/>
    <w:rsid w:val="00217641"/>
    <w:rsid w:val="00222B09"/>
    <w:rsid w:val="002250A3"/>
    <w:rsid w:val="00233C21"/>
    <w:rsid w:val="00234A47"/>
    <w:rsid w:val="00235217"/>
    <w:rsid w:val="00236ADB"/>
    <w:rsid w:val="0024050D"/>
    <w:rsid w:val="00246D1F"/>
    <w:rsid w:val="00247403"/>
    <w:rsid w:val="00247542"/>
    <w:rsid w:val="0026525D"/>
    <w:rsid w:val="00266B61"/>
    <w:rsid w:val="0026712A"/>
    <w:rsid w:val="002704DB"/>
    <w:rsid w:val="0027361B"/>
    <w:rsid w:val="00280B8F"/>
    <w:rsid w:val="00291F34"/>
    <w:rsid w:val="002A0AAE"/>
    <w:rsid w:val="002A46FC"/>
    <w:rsid w:val="002A4ECC"/>
    <w:rsid w:val="002A5820"/>
    <w:rsid w:val="002B7E4C"/>
    <w:rsid w:val="002C38A2"/>
    <w:rsid w:val="002C588A"/>
    <w:rsid w:val="002C70F8"/>
    <w:rsid w:val="002C7F36"/>
    <w:rsid w:val="002D2A47"/>
    <w:rsid w:val="002D2B26"/>
    <w:rsid w:val="002D7EA2"/>
    <w:rsid w:val="002E0A91"/>
    <w:rsid w:val="002E162A"/>
    <w:rsid w:val="002E187C"/>
    <w:rsid w:val="002E7CF6"/>
    <w:rsid w:val="00302733"/>
    <w:rsid w:val="00303272"/>
    <w:rsid w:val="00314078"/>
    <w:rsid w:val="0031535D"/>
    <w:rsid w:val="00317992"/>
    <w:rsid w:val="003306E7"/>
    <w:rsid w:val="0033169F"/>
    <w:rsid w:val="00332918"/>
    <w:rsid w:val="0033467B"/>
    <w:rsid w:val="00343AF7"/>
    <w:rsid w:val="00344894"/>
    <w:rsid w:val="00346C95"/>
    <w:rsid w:val="00351438"/>
    <w:rsid w:val="00353A69"/>
    <w:rsid w:val="00356185"/>
    <w:rsid w:val="0035703F"/>
    <w:rsid w:val="00360380"/>
    <w:rsid w:val="00365D51"/>
    <w:rsid w:val="003664B3"/>
    <w:rsid w:val="00373C6A"/>
    <w:rsid w:val="0037519E"/>
    <w:rsid w:val="00386CF0"/>
    <w:rsid w:val="00397428"/>
    <w:rsid w:val="003975F5"/>
    <w:rsid w:val="003B07D2"/>
    <w:rsid w:val="003B0DC6"/>
    <w:rsid w:val="003B29B5"/>
    <w:rsid w:val="003B6603"/>
    <w:rsid w:val="003B75C0"/>
    <w:rsid w:val="003C24A3"/>
    <w:rsid w:val="003C676B"/>
    <w:rsid w:val="003D2966"/>
    <w:rsid w:val="003D3BC2"/>
    <w:rsid w:val="003E6CA1"/>
    <w:rsid w:val="003F760C"/>
    <w:rsid w:val="0041422E"/>
    <w:rsid w:val="00414714"/>
    <w:rsid w:val="004165C2"/>
    <w:rsid w:val="004242E2"/>
    <w:rsid w:val="00426E54"/>
    <w:rsid w:val="00426EEE"/>
    <w:rsid w:val="004270B2"/>
    <w:rsid w:val="004328A1"/>
    <w:rsid w:val="0043447A"/>
    <w:rsid w:val="004366A7"/>
    <w:rsid w:val="00440D2C"/>
    <w:rsid w:val="00441989"/>
    <w:rsid w:val="00441DBA"/>
    <w:rsid w:val="00441ECB"/>
    <w:rsid w:val="00443A3F"/>
    <w:rsid w:val="004443D3"/>
    <w:rsid w:val="00446781"/>
    <w:rsid w:val="00451083"/>
    <w:rsid w:val="00452FC4"/>
    <w:rsid w:val="0045320D"/>
    <w:rsid w:val="00467B7E"/>
    <w:rsid w:val="004700C1"/>
    <w:rsid w:val="00477592"/>
    <w:rsid w:val="00485810"/>
    <w:rsid w:val="00486F1C"/>
    <w:rsid w:val="00490689"/>
    <w:rsid w:val="00491186"/>
    <w:rsid w:val="0049401E"/>
    <w:rsid w:val="0049419D"/>
    <w:rsid w:val="0049547E"/>
    <w:rsid w:val="00497870"/>
    <w:rsid w:val="004B256B"/>
    <w:rsid w:val="004B7A65"/>
    <w:rsid w:val="004C1436"/>
    <w:rsid w:val="004C20D2"/>
    <w:rsid w:val="004C4B62"/>
    <w:rsid w:val="004C54C9"/>
    <w:rsid w:val="004D077C"/>
    <w:rsid w:val="004D4155"/>
    <w:rsid w:val="004D6025"/>
    <w:rsid w:val="004E1600"/>
    <w:rsid w:val="004E2649"/>
    <w:rsid w:val="004E5A3B"/>
    <w:rsid w:val="004F235D"/>
    <w:rsid w:val="004F56CE"/>
    <w:rsid w:val="00501399"/>
    <w:rsid w:val="0050229B"/>
    <w:rsid w:val="0050633D"/>
    <w:rsid w:val="00507BC4"/>
    <w:rsid w:val="00507C16"/>
    <w:rsid w:val="00510B64"/>
    <w:rsid w:val="005128E4"/>
    <w:rsid w:val="005133DB"/>
    <w:rsid w:val="005166CB"/>
    <w:rsid w:val="00525560"/>
    <w:rsid w:val="005316A2"/>
    <w:rsid w:val="00531A90"/>
    <w:rsid w:val="005413CD"/>
    <w:rsid w:val="00541CA3"/>
    <w:rsid w:val="00544C49"/>
    <w:rsid w:val="005516A1"/>
    <w:rsid w:val="00553F1E"/>
    <w:rsid w:val="0055585B"/>
    <w:rsid w:val="00555BEF"/>
    <w:rsid w:val="00557379"/>
    <w:rsid w:val="0056150B"/>
    <w:rsid w:val="00565C01"/>
    <w:rsid w:val="00565EAA"/>
    <w:rsid w:val="00570C5F"/>
    <w:rsid w:val="00571837"/>
    <w:rsid w:val="0057402A"/>
    <w:rsid w:val="00574865"/>
    <w:rsid w:val="005771D0"/>
    <w:rsid w:val="0059191A"/>
    <w:rsid w:val="005921FF"/>
    <w:rsid w:val="00594CA1"/>
    <w:rsid w:val="00596831"/>
    <w:rsid w:val="005A0C60"/>
    <w:rsid w:val="005A1483"/>
    <w:rsid w:val="005A16B3"/>
    <w:rsid w:val="005A5CFB"/>
    <w:rsid w:val="005A6D0E"/>
    <w:rsid w:val="005B1EA2"/>
    <w:rsid w:val="005B278E"/>
    <w:rsid w:val="005B4BAB"/>
    <w:rsid w:val="005B52B0"/>
    <w:rsid w:val="005B6806"/>
    <w:rsid w:val="005C4225"/>
    <w:rsid w:val="005D69EB"/>
    <w:rsid w:val="005E3F27"/>
    <w:rsid w:val="005F0DAD"/>
    <w:rsid w:val="005F0F33"/>
    <w:rsid w:val="006003F1"/>
    <w:rsid w:val="00600DEB"/>
    <w:rsid w:val="00624233"/>
    <w:rsid w:val="00627C9F"/>
    <w:rsid w:val="006311E9"/>
    <w:rsid w:val="00632354"/>
    <w:rsid w:val="00635C93"/>
    <w:rsid w:val="0063685A"/>
    <w:rsid w:val="00642810"/>
    <w:rsid w:val="00644BD6"/>
    <w:rsid w:val="00652333"/>
    <w:rsid w:val="0065524A"/>
    <w:rsid w:val="0067259B"/>
    <w:rsid w:val="00676137"/>
    <w:rsid w:val="00677B40"/>
    <w:rsid w:val="0068009E"/>
    <w:rsid w:val="00682296"/>
    <w:rsid w:val="00682CFD"/>
    <w:rsid w:val="00684978"/>
    <w:rsid w:val="00692219"/>
    <w:rsid w:val="0069452C"/>
    <w:rsid w:val="00697945"/>
    <w:rsid w:val="006A17D2"/>
    <w:rsid w:val="006A5197"/>
    <w:rsid w:val="006A73E6"/>
    <w:rsid w:val="006B2D5C"/>
    <w:rsid w:val="006B390D"/>
    <w:rsid w:val="006C0DED"/>
    <w:rsid w:val="006C4EB1"/>
    <w:rsid w:val="006C6F27"/>
    <w:rsid w:val="006D1524"/>
    <w:rsid w:val="006D34A6"/>
    <w:rsid w:val="006E0166"/>
    <w:rsid w:val="006E0457"/>
    <w:rsid w:val="006E7B34"/>
    <w:rsid w:val="006F4703"/>
    <w:rsid w:val="00703DCB"/>
    <w:rsid w:val="0070697F"/>
    <w:rsid w:val="00711192"/>
    <w:rsid w:val="00715F0E"/>
    <w:rsid w:val="0072199C"/>
    <w:rsid w:val="00722337"/>
    <w:rsid w:val="00722C9F"/>
    <w:rsid w:val="00723BCB"/>
    <w:rsid w:val="0072404C"/>
    <w:rsid w:val="007253B8"/>
    <w:rsid w:val="0073259B"/>
    <w:rsid w:val="0073741F"/>
    <w:rsid w:val="007475E5"/>
    <w:rsid w:val="007532B1"/>
    <w:rsid w:val="007539FB"/>
    <w:rsid w:val="007546B1"/>
    <w:rsid w:val="00757E37"/>
    <w:rsid w:val="00761556"/>
    <w:rsid w:val="00763649"/>
    <w:rsid w:val="0076643F"/>
    <w:rsid w:val="00772718"/>
    <w:rsid w:val="0077640E"/>
    <w:rsid w:val="00777AF0"/>
    <w:rsid w:val="00777F63"/>
    <w:rsid w:val="007857D7"/>
    <w:rsid w:val="007872E5"/>
    <w:rsid w:val="00790CBC"/>
    <w:rsid w:val="00792510"/>
    <w:rsid w:val="00792C4B"/>
    <w:rsid w:val="007A5817"/>
    <w:rsid w:val="007B60E9"/>
    <w:rsid w:val="007B6CC3"/>
    <w:rsid w:val="007C030D"/>
    <w:rsid w:val="007C26E3"/>
    <w:rsid w:val="007C3334"/>
    <w:rsid w:val="007C655E"/>
    <w:rsid w:val="007D036B"/>
    <w:rsid w:val="007D286D"/>
    <w:rsid w:val="007D2B98"/>
    <w:rsid w:val="007D3D64"/>
    <w:rsid w:val="007D52EE"/>
    <w:rsid w:val="007D6A6D"/>
    <w:rsid w:val="007E1669"/>
    <w:rsid w:val="007E21BC"/>
    <w:rsid w:val="007E66E8"/>
    <w:rsid w:val="007E7365"/>
    <w:rsid w:val="007E7935"/>
    <w:rsid w:val="007F59D8"/>
    <w:rsid w:val="00803F1C"/>
    <w:rsid w:val="0080600E"/>
    <w:rsid w:val="00817612"/>
    <w:rsid w:val="00831155"/>
    <w:rsid w:val="008324D2"/>
    <w:rsid w:val="008338A4"/>
    <w:rsid w:val="008354CD"/>
    <w:rsid w:val="00837C45"/>
    <w:rsid w:val="00844730"/>
    <w:rsid w:val="008457C2"/>
    <w:rsid w:val="00847102"/>
    <w:rsid w:val="00847865"/>
    <w:rsid w:val="008519B5"/>
    <w:rsid w:val="00857A82"/>
    <w:rsid w:val="008651FF"/>
    <w:rsid w:val="0086642B"/>
    <w:rsid w:val="008666F4"/>
    <w:rsid w:val="00867616"/>
    <w:rsid w:val="00872E3A"/>
    <w:rsid w:val="0087327D"/>
    <w:rsid w:val="00873836"/>
    <w:rsid w:val="008817AB"/>
    <w:rsid w:val="008838C6"/>
    <w:rsid w:val="00885737"/>
    <w:rsid w:val="0088763B"/>
    <w:rsid w:val="00890650"/>
    <w:rsid w:val="00896E3F"/>
    <w:rsid w:val="00897E12"/>
    <w:rsid w:val="008A32F5"/>
    <w:rsid w:val="008A7E0F"/>
    <w:rsid w:val="008B0311"/>
    <w:rsid w:val="008B12F5"/>
    <w:rsid w:val="008B402D"/>
    <w:rsid w:val="008C1C9C"/>
    <w:rsid w:val="008C424A"/>
    <w:rsid w:val="008D534E"/>
    <w:rsid w:val="008D768D"/>
    <w:rsid w:val="008E3759"/>
    <w:rsid w:val="008E40A5"/>
    <w:rsid w:val="008E4B72"/>
    <w:rsid w:val="008F1912"/>
    <w:rsid w:val="008F3665"/>
    <w:rsid w:val="0090270B"/>
    <w:rsid w:val="009041DC"/>
    <w:rsid w:val="00917B5A"/>
    <w:rsid w:val="00920A58"/>
    <w:rsid w:val="00920A8C"/>
    <w:rsid w:val="00922DDF"/>
    <w:rsid w:val="00934A2C"/>
    <w:rsid w:val="0094033E"/>
    <w:rsid w:val="00944995"/>
    <w:rsid w:val="00946A6F"/>
    <w:rsid w:val="00951F80"/>
    <w:rsid w:val="00955C52"/>
    <w:rsid w:val="009568DB"/>
    <w:rsid w:val="0096444B"/>
    <w:rsid w:val="00964D36"/>
    <w:rsid w:val="00965282"/>
    <w:rsid w:val="0096706E"/>
    <w:rsid w:val="00971353"/>
    <w:rsid w:val="00975C4E"/>
    <w:rsid w:val="00976B5F"/>
    <w:rsid w:val="00976CDD"/>
    <w:rsid w:val="00981BA7"/>
    <w:rsid w:val="00981FBA"/>
    <w:rsid w:val="00987D8E"/>
    <w:rsid w:val="00995105"/>
    <w:rsid w:val="00996E8A"/>
    <w:rsid w:val="00997BC5"/>
    <w:rsid w:val="009A3456"/>
    <w:rsid w:val="009A43D6"/>
    <w:rsid w:val="009A4F41"/>
    <w:rsid w:val="009A79FA"/>
    <w:rsid w:val="009B2E24"/>
    <w:rsid w:val="009B381B"/>
    <w:rsid w:val="009B646B"/>
    <w:rsid w:val="009C0EAF"/>
    <w:rsid w:val="009D1753"/>
    <w:rsid w:val="009D7611"/>
    <w:rsid w:val="009E0B61"/>
    <w:rsid w:val="009E53DE"/>
    <w:rsid w:val="009E67AE"/>
    <w:rsid w:val="009F0583"/>
    <w:rsid w:val="009F0B9A"/>
    <w:rsid w:val="00A12271"/>
    <w:rsid w:val="00A22C41"/>
    <w:rsid w:val="00A25E44"/>
    <w:rsid w:val="00A328B3"/>
    <w:rsid w:val="00A47D34"/>
    <w:rsid w:val="00A47EB0"/>
    <w:rsid w:val="00A47F90"/>
    <w:rsid w:val="00A50FCF"/>
    <w:rsid w:val="00A512CD"/>
    <w:rsid w:val="00A51954"/>
    <w:rsid w:val="00A528D1"/>
    <w:rsid w:val="00A53312"/>
    <w:rsid w:val="00A54282"/>
    <w:rsid w:val="00A552EC"/>
    <w:rsid w:val="00A610CD"/>
    <w:rsid w:val="00A72B47"/>
    <w:rsid w:val="00A76E57"/>
    <w:rsid w:val="00A7706E"/>
    <w:rsid w:val="00A81F6B"/>
    <w:rsid w:val="00A85877"/>
    <w:rsid w:val="00AA09A2"/>
    <w:rsid w:val="00AA19F6"/>
    <w:rsid w:val="00AA7996"/>
    <w:rsid w:val="00AC1717"/>
    <w:rsid w:val="00AC19CB"/>
    <w:rsid w:val="00AC395F"/>
    <w:rsid w:val="00AC610E"/>
    <w:rsid w:val="00AE03A0"/>
    <w:rsid w:val="00AE3264"/>
    <w:rsid w:val="00AE4DA0"/>
    <w:rsid w:val="00AE5488"/>
    <w:rsid w:val="00AE6F91"/>
    <w:rsid w:val="00AE7627"/>
    <w:rsid w:val="00AF5571"/>
    <w:rsid w:val="00B045AD"/>
    <w:rsid w:val="00B05658"/>
    <w:rsid w:val="00B056A5"/>
    <w:rsid w:val="00B071E3"/>
    <w:rsid w:val="00B07341"/>
    <w:rsid w:val="00B13741"/>
    <w:rsid w:val="00B21AB7"/>
    <w:rsid w:val="00B30539"/>
    <w:rsid w:val="00B314DB"/>
    <w:rsid w:val="00B35FCA"/>
    <w:rsid w:val="00B361F2"/>
    <w:rsid w:val="00B3718B"/>
    <w:rsid w:val="00B4632A"/>
    <w:rsid w:val="00B464D9"/>
    <w:rsid w:val="00B530F1"/>
    <w:rsid w:val="00B54544"/>
    <w:rsid w:val="00B6325B"/>
    <w:rsid w:val="00B64FB9"/>
    <w:rsid w:val="00B74472"/>
    <w:rsid w:val="00B851B0"/>
    <w:rsid w:val="00BA23E1"/>
    <w:rsid w:val="00BA276C"/>
    <w:rsid w:val="00BA4920"/>
    <w:rsid w:val="00BA753B"/>
    <w:rsid w:val="00BB306F"/>
    <w:rsid w:val="00BC11B9"/>
    <w:rsid w:val="00BD4B89"/>
    <w:rsid w:val="00BF64F4"/>
    <w:rsid w:val="00BF6FD8"/>
    <w:rsid w:val="00C00B36"/>
    <w:rsid w:val="00C03680"/>
    <w:rsid w:val="00C05088"/>
    <w:rsid w:val="00C0535B"/>
    <w:rsid w:val="00C054DF"/>
    <w:rsid w:val="00C14A72"/>
    <w:rsid w:val="00C15946"/>
    <w:rsid w:val="00C17086"/>
    <w:rsid w:val="00C21762"/>
    <w:rsid w:val="00C24543"/>
    <w:rsid w:val="00C256A2"/>
    <w:rsid w:val="00C368BC"/>
    <w:rsid w:val="00C40A50"/>
    <w:rsid w:val="00C40E37"/>
    <w:rsid w:val="00C42DF4"/>
    <w:rsid w:val="00C4511C"/>
    <w:rsid w:val="00C45464"/>
    <w:rsid w:val="00C467AA"/>
    <w:rsid w:val="00C51515"/>
    <w:rsid w:val="00C5660B"/>
    <w:rsid w:val="00C62C1B"/>
    <w:rsid w:val="00C66B72"/>
    <w:rsid w:val="00C72CCD"/>
    <w:rsid w:val="00C77033"/>
    <w:rsid w:val="00C77B4F"/>
    <w:rsid w:val="00C852D3"/>
    <w:rsid w:val="00C857C3"/>
    <w:rsid w:val="00C94532"/>
    <w:rsid w:val="00C9567A"/>
    <w:rsid w:val="00C959C6"/>
    <w:rsid w:val="00C95CE7"/>
    <w:rsid w:val="00C97C5D"/>
    <w:rsid w:val="00CA4B0F"/>
    <w:rsid w:val="00CB212D"/>
    <w:rsid w:val="00CB2660"/>
    <w:rsid w:val="00CB3FB2"/>
    <w:rsid w:val="00CC5E90"/>
    <w:rsid w:val="00CC6E48"/>
    <w:rsid w:val="00CD0325"/>
    <w:rsid w:val="00CD046C"/>
    <w:rsid w:val="00CD6160"/>
    <w:rsid w:val="00CE076C"/>
    <w:rsid w:val="00CE2A9A"/>
    <w:rsid w:val="00CE5199"/>
    <w:rsid w:val="00CE6553"/>
    <w:rsid w:val="00CE66D5"/>
    <w:rsid w:val="00CF637A"/>
    <w:rsid w:val="00D04E49"/>
    <w:rsid w:val="00D059DE"/>
    <w:rsid w:val="00D110D7"/>
    <w:rsid w:val="00D13FCE"/>
    <w:rsid w:val="00D1656C"/>
    <w:rsid w:val="00D221BC"/>
    <w:rsid w:val="00D24962"/>
    <w:rsid w:val="00D30187"/>
    <w:rsid w:val="00D306D1"/>
    <w:rsid w:val="00D34786"/>
    <w:rsid w:val="00D37366"/>
    <w:rsid w:val="00D377B9"/>
    <w:rsid w:val="00D37BFC"/>
    <w:rsid w:val="00D41E96"/>
    <w:rsid w:val="00D454E9"/>
    <w:rsid w:val="00D47A8E"/>
    <w:rsid w:val="00D51331"/>
    <w:rsid w:val="00D52D14"/>
    <w:rsid w:val="00D67F45"/>
    <w:rsid w:val="00D712D3"/>
    <w:rsid w:val="00D71422"/>
    <w:rsid w:val="00D71843"/>
    <w:rsid w:val="00D72DC6"/>
    <w:rsid w:val="00D7558D"/>
    <w:rsid w:val="00D77BE6"/>
    <w:rsid w:val="00D81D92"/>
    <w:rsid w:val="00D84F4D"/>
    <w:rsid w:val="00D85AFB"/>
    <w:rsid w:val="00D86593"/>
    <w:rsid w:val="00D91341"/>
    <w:rsid w:val="00D9353E"/>
    <w:rsid w:val="00D97632"/>
    <w:rsid w:val="00DA132F"/>
    <w:rsid w:val="00DA5107"/>
    <w:rsid w:val="00DA7B5F"/>
    <w:rsid w:val="00DB4CEA"/>
    <w:rsid w:val="00DB4CF9"/>
    <w:rsid w:val="00DB679B"/>
    <w:rsid w:val="00DC11E7"/>
    <w:rsid w:val="00DC535F"/>
    <w:rsid w:val="00DC7023"/>
    <w:rsid w:val="00DC769A"/>
    <w:rsid w:val="00DD0853"/>
    <w:rsid w:val="00DD3D86"/>
    <w:rsid w:val="00DE6E7C"/>
    <w:rsid w:val="00DF1EC4"/>
    <w:rsid w:val="00DF6284"/>
    <w:rsid w:val="00E01EEA"/>
    <w:rsid w:val="00E0340B"/>
    <w:rsid w:val="00E0445A"/>
    <w:rsid w:val="00E04A90"/>
    <w:rsid w:val="00E10EC7"/>
    <w:rsid w:val="00E21668"/>
    <w:rsid w:val="00E219C7"/>
    <w:rsid w:val="00E24F45"/>
    <w:rsid w:val="00E25060"/>
    <w:rsid w:val="00E25714"/>
    <w:rsid w:val="00E4213B"/>
    <w:rsid w:val="00E43157"/>
    <w:rsid w:val="00E44EB2"/>
    <w:rsid w:val="00E461CE"/>
    <w:rsid w:val="00E52A33"/>
    <w:rsid w:val="00E53B21"/>
    <w:rsid w:val="00E559FE"/>
    <w:rsid w:val="00E61003"/>
    <w:rsid w:val="00E663CC"/>
    <w:rsid w:val="00E7118E"/>
    <w:rsid w:val="00E720CA"/>
    <w:rsid w:val="00E80288"/>
    <w:rsid w:val="00E84EB5"/>
    <w:rsid w:val="00E85662"/>
    <w:rsid w:val="00E86330"/>
    <w:rsid w:val="00E8789F"/>
    <w:rsid w:val="00E87A6C"/>
    <w:rsid w:val="00E97B71"/>
    <w:rsid w:val="00EA0B3B"/>
    <w:rsid w:val="00EA3D34"/>
    <w:rsid w:val="00EB454D"/>
    <w:rsid w:val="00EC2530"/>
    <w:rsid w:val="00EC2BD6"/>
    <w:rsid w:val="00EC3ADE"/>
    <w:rsid w:val="00EC5551"/>
    <w:rsid w:val="00ED3A83"/>
    <w:rsid w:val="00ED76BE"/>
    <w:rsid w:val="00EE142F"/>
    <w:rsid w:val="00EE501C"/>
    <w:rsid w:val="00EE7D44"/>
    <w:rsid w:val="00EF1E7A"/>
    <w:rsid w:val="00EF339C"/>
    <w:rsid w:val="00EF3DE2"/>
    <w:rsid w:val="00EF4436"/>
    <w:rsid w:val="00EF5E35"/>
    <w:rsid w:val="00EF619B"/>
    <w:rsid w:val="00F00B55"/>
    <w:rsid w:val="00F01097"/>
    <w:rsid w:val="00F02AD1"/>
    <w:rsid w:val="00F15DD3"/>
    <w:rsid w:val="00F17D97"/>
    <w:rsid w:val="00F2241E"/>
    <w:rsid w:val="00F24665"/>
    <w:rsid w:val="00F253CC"/>
    <w:rsid w:val="00F258BD"/>
    <w:rsid w:val="00F26932"/>
    <w:rsid w:val="00F27B14"/>
    <w:rsid w:val="00F31178"/>
    <w:rsid w:val="00F37106"/>
    <w:rsid w:val="00F519CF"/>
    <w:rsid w:val="00F5323A"/>
    <w:rsid w:val="00F54158"/>
    <w:rsid w:val="00F56BA5"/>
    <w:rsid w:val="00F60E22"/>
    <w:rsid w:val="00F804CA"/>
    <w:rsid w:val="00F812FA"/>
    <w:rsid w:val="00F81395"/>
    <w:rsid w:val="00F8370A"/>
    <w:rsid w:val="00F84284"/>
    <w:rsid w:val="00F87917"/>
    <w:rsid w:val="00F9009C"/>
    <w:rsid w:val="00F917D1"/>
    <w:rsid w:val="00F9422D"/>
    <w:rsid w:val="00F9653B"/>
    <w:rsid w:val="00FA1A4F"/>
    <w:rsid w:val="00FB171A"/>
    <w:rsid w:val="00FB331D"/>
    <w:rsid w:val="00FB62CF"/>
    <w:rsid w:val="00FB792B"/>
    <w:rsid w:val="00FD3C3B"/>
    <w:rsid w:val="00FE247B"/>
    <w:rsid w:val="00FE6B45"/>
    <w:rsid w:val="00FF4B84"/>
    <w:rsid w:val="00FF55F3"/>
    <w:rsid w:val="00FF5851"/>
    <w:rsid w:val="00FF61FA"/>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2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46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rPr>
  </w:style>
  <w:style w:type="paragraph" w:styleId="Heading2">
    <w:name w:val="heading 2"/>
    <w:basedOn w:val="Normal"/>
    <w:next w:val="Normal"/>
    <w:link w:val="Heading2Char"/>
    <w:qFormat/>
    <w:rsid w:val="00DF1EC4"/>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hAnsi="Tahoma" w:cs="Tahoma"/>
      <w:sz w:val="16"/>
      <w:szCs w:val="16"/>
      <w:bdr w:val="nil"/>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bdr w:val="nil"/>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hAnsiTheme="minorHAnsi"/>
      <w:sz w:val="22"/>
      <w:bdr w:val="nil"/>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bdr w:val="nil"/>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bdr w:val="nil"/>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bdr w:val="nil"/>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pBdr>
        <w:top w:val="nil"/>
        <w:left w:val="nil"/>
        <w:bottom w:val="nil"/>
        <w:right w:val="nil"/>
        <w:between w:val="nil"/>
        <w:bar w:val="nil"/>
      </w:pBdr>
      <w:spacing w:after="120"/>
    </w:pPr>
    <w:rPr>
      <w:bdr w:val="nil"/>
    </w:r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rFonts w:eastAsia="Times New Roman"/>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paragraph" w:styleId="List">
    <w:name w:val="List"/>
    <w:basedOn w:val="Normal"/>
    <w:rsid w:val="00332918"/>
    <w:pPr>
      <w:widowControl w:val="0"/>
      <w:autoSpaceDE w:val="0"/>
      <w:autoSpaceDN w:val="0"/>
      <w:adjustRightInd w:val="0"/>
      <w:ind w:left="283" w:hanging="283"/>
    </w:pPr>
    <w:rPr>
      <w:rFonts w:eastAsia="Times New Roman"/>
      <w:lang w:val="es-ES" w:eastAsia="es-CO"/>
    </w:rPr>
  </w:style>
  <w:style w:type="paragraph" w:styleId="BodyTextIndent3">
    <w:name w:val="Body Text Indent 3"/>
    <w:basedOn w:val="Normal"/>
    <w:link w:val="BodyTextIndent3Char"/>
    <w:rsid w:val="00F804CA"/>
    <w:pPr>
      <w:spacing w:after="120"/>
      <w:ind w:left="360"/>
    </w:pPr>
    <w:rPr>
      <w:rFonts w:eastAsia="Times New Roman"/>
      <w:sz w:val="16"/>
      <w:szCs w:val="16"/>
      <w:lang w:val="es-ES_tradnl"/>
    </w:rPr>
  </w:style>
  <w:style w:type="character" w:customStyle="1" w:styleId="BodyTextIndent3Char">
    <w:name w:val="Body Text Indent 3 Char"/>
    <w:basedOn w:val="DefaultParagraphFont"/>
    <w:link w:val="BodyTextIndent3"/>
    <w:rsid w:val="00F804CA"/>
    <w:rPr>
      <w:rFonts w:eastAsia="Times New Roman"/>
      <w:sz w:val="16"/>
      <w:szCs w:val="16"/>
      <w:bdr w:val="none" w:sz="0" w:space="0" w:color="auto"/>
      <w:lang w:val="es-ES_tradnl" w:eastAsia="en-US"/>
    </w:rPr>
  </w:style>
  <w:style w:type="character" w:styleId="CommentReference">
    <w:name w:val="annotation reference"/>
    <w:basedOn w:val="DefaultParagraphFont"/>
    <w:uiPriority w:val="99"/>
    <w:semiHidden/>
    <w:unhideWhenUsed/>
    <w:rsid w:val="00D86593"/>
    <w:rPr>
      <w:sz w:val="16"/>
      <w:szCs w:val="16"/>
    </w:rPr>
  </w:style>
  <w:style w:type="paragraph" w:styleId="CommentText">
    <w:name w:val="annotation text"/>
    <w:basedOn w:val="Normal"/>
    <w:link w:val="CommentTextChar"/>
    <w:uiPriority w:val="99"/>
    <w:semiHidden/>
    <w:unhideWhenUsed/>
    <w:rsid w:val="00D86593"/>
    <w:rPr>
      <w:sz w:val="20"/>
      <w:szCs w:val="20"/>
    </w:rPr>
  </w:style>
  <w:style w:type="character" w:customStyle="1" w:styleId="CommentTextChar">
    <w:name w:val="Comment Text Char"/>
    <w:basedOn w:val="DefaultParagraphFont"/>
    <w:link w:val="CommentText"/>
    <w:uiPriority w:val="99"/>
    <w:semiHidden/>
    <w:rsid w:val="00D86593"/>
    <w:rPr>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D86593"/>
    <w:rPr>
      <w:b/>
      <w:bCs/>
    </w:rPr>
  </w:style>
  <w:style w:type="character" w:customStyle="1" w:styleId="CommentSubjectChar">
    <w:name w:val="Comment Subject Char"/>
    <w:basedOn w:val="CommentTextChar"/>
    <w:link w:val="CommentSubject"/>
    <w:uiPriority w:val="99"/>
    <w:semiHidden/>
    <w:rsid w:val="00D86593"/>
    <w:rPr>
      <w:b/>
      <w:bCs/>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46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rPr>
  </w:style>
  <w:style w:type="paragraph" w:styleId="Heading2">
    <w:name w:val="heading 2"/>
    <w:basedOn w:val="Normal"/>
    <w:next w:val="Normal"/>
    <w:link w:val="Heading2Char"/>
    <w:qFormat/>
    <w:rsid w:val="00DF1EC4"/>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hAnsi="Tahoma" w:cs="Tahoma"/>
      <w:sz w:val="16"/>
      <w:szCs w:val="16"/>
      <w:bdr w:val="nil"/>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bdr w:val="nil"/>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hAnsiTheme="minorHAnsi"/>
      <w:sz w:val="22"/>
      <w:bdr w:val="nil"/>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bdr w:val="nil"/>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bdr w:val="nil"/>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bdr w:val="nil"/>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pBdr>
        <w:top w:val="nil"/>
        <w:left w:val="nil"/>
        <w:bottom w:val="nil"/>
        <w:right w:val="nil"/>
        <w:between w:val="nil"/>
        <w:bar w:val="nil"/>
      </w:pBdr>
      <w:spacing w:after="120"/>
    </w:pPr>
    <w:rPr>
      <w:bdr w:val="nil"/>
    </w:r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rFonts w:eastAsia="Times New Roman"/>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paragraph" w:styleId="List">
    <w:name w:val="List"/>
    <w:basedOn w:val="Normal"/>
    <w:rsid w:val="00332918"/>
    <w:pPr>
      <w:widowControl w:val="0"/>
      <w:autoSpaceDE w:val="0"/>
      <w:autoSpaceDN w:val="0"/>
      <w:adjustRightInd w:val="0"/>
      <w:ind w:left="283" w:hanging="283"/>
    </w:pPr>
    <w:rPr>
      <w:rFonts w:eastAsia="Times New Roman"/>
      <w:lang w:val="es-ES" w:eastAsia="es-CO"/>
    </w:rPr>
  </w:style>
  <w:style w:type="paragraph" w:styleId="BodyTextIndent3">
    <w:name w:val="Body Text Indent 3"/>
    <w:basedOn w:val="Normal"/>
    <w:link w:val="BodyTextIndent3Char"/>
    <w:rsid w:val="00F804CA"/>
    <w:pPr>
      <w:spacing w:after="120"/>
      <w:ind w:left="360"/>
    </w:pPr>
    <w:rPr>
      <w:rFonts w:eastAsia="Times New Roman"/>
      <w:sz w:val="16"/>
      <w:szCs w:val="16"/>
      <w:lang w:val="es-ES_tradnl"/>
    </w:rPr>
  </w:style>
  <w:style w:type="character" w:customStyle="1" w:styleId="BodyTextIndent3Char">
    <w:name w:val="Body Text Indent 3 Char"/>
    <w:basedOn w:val="DefaultParagraphFont"/>
    <w:link w:val="BodyTextIndent3"/>
    <w:rsid w:val="00F804CA"/>
    <w:rPr>
      <w:rFonts w:eastAsia="Times New Roman"/>
      <w:sz w:val="16"/>
      <w:szCs w:val="16"/>
      <w:bdr w:val="none" w:sz="0" w:space="0" w:color="auto"/>
      <w:lang w:val="es-ES_tradnl" w:eastAsia="en-US"/>
    </w:rPr>
  </w:style>
  <w:style w:type="character" w:styleId="CommentReference">
    <w:name w:val="annotation reference"/>
    <w:basedOn w:val="DefaultParagraphFont"/>
    <w:uiPriority w:val="99"/>
    <w:semiHidden/>
    <w:unhideWhenUsed/>
    <w:rsid w:val="00D86593"/>
    <w:rPr>
      <w:sz w:val="16"/>
      <w:szCs w:val="16"/>
    </w:rPr>
  </w:style>
  <w:style w:type="paragraph" w:styleId="CommentText">
    <w:name w:val="annotation text"/>
    <w:basedOn w:val="Normal"/>
    <w:link w:val="CommentTextChar"/>
    <w:uiPriority w:val="99"/>
    <w:semiHidden/>
    <w:unhideWhenUsed/>
    <w:rsid w:val="00D86593"/>
    <w:rPr>
      <w:sz w:val="20"/>
      <w:szCs w:val="20"/>
    </w:rPr>
  </w:style>
  <w:style w:type="character" w:customStyle="1" w:styleId="CommentTextChar">
    <w:name w:val="Comment Text Char"/>
    <w:basedOn w:val="DefaultParagraphFont"/>
    <w:link w:val="CommentText"/>
    <w:uiPriority w:val="99"/>
    <w:semiHidden/>
    <w:rsid w:val="00D86593"/>
    <w:rPr>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D86593"/>
    <w:rPr>
      <w:b/>
      <w:bCs/>
    </w:rPr>
  </w:style>
  <w:style w:type="character" w:customStyle="1" w:styleId="CommentSubjectChar">
    <w:name w:val="Comment Subject Char"/>
    <w:basedOn w:val="CommentTextChar"/>
    <w:link w:val="CommentSubject"/>
    <w:uiPriority w:val="99"/>
    <w:semiHidden/>
    <w:rsid w:val="00D86593"/>
    <w:rPr>
      <w:b/>
      <w:bCs/>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9808">
      <w:bodyDiv w:val="1"/>
      <w:marLeft w:val="0"/>
      <w:marRight w:val="0"/>
      <w:marTop w:val="0"/>
      <w:marBottom w:val="0"/>
      <w:divBdr>
        <w:top w:val="none" w:sz="0" w:space="0" w:color="auto"/>
        <w:left w:val="none" w:sz="0" w:space="0" w:color="auto"/>
        <w:bottom w:val="none" w:sz="0" w:space="0" w:color="auto"/>
        <w:right w:val="none" w:sz="0" w:space="0" w:color="auto"/>
      </w:divBdr>
    </w:div>
    <w:div w:id="590429017">
      <w:bodyDiv w:val="1"/>
      <w:marLeft w:val="0"/>
      <w:marRight w:val="0"/>
      <w:marTop w:val="0"/>
      <w:marBottom w:val="0"/>
      <w:divBdr>
        <w:top w:val="none" w:sz="0" w:space="0" w:color="auto"/>
        <w:left w:val="none" w:sz="0" w:space="0" w:color="auto"/>
        <w:bottom w:val="none" w:sz="0" w:space="0" w:color="auto"/>
        <w:right w:val="none" w:sz="0" w:space="0" w:color="auto"/>
      </w:divBdr>
    </w:div>
    <w:div w:id="712508896">
      <w:bodyDiv w:val="1"/>
      <w:marLeft w:val="0"/>
      <w:marRight w:val="0"/>
      <w:marTop w:val="0"/>
      <w:marBottom w:val="0"/>
      <w:divBdr>
        <w:top w:val="none" w:sz="0" w:space="0" w:color="auto"/>
        <w:left w:val="none" w:sz="0" w:space="0" w:color="auto"/>
        <w:bottom w:val="none" w:sz="0" w:space="0" w:color="auto"/>
        <w:right w:val="none" w:sz="0" w:space="0" w:color="auto"/>
      </w:divBdr>
    </w:div>
    <w:div w:id="1163550186">
      <w:bodyDiv w:val="1"/>
      <w:marLeft w:val="0"/>
      <w:marRight w:val="0"/>
      <w:marTop w:val="0"/>
      <w:marBottom w:val="0"/>
      <w:divBdr>
        <w:top w:val="none" w:sz="0" w:space="0" w:color="auto"/>
        <w:left w:val="none" w:sz="0" w:space="0" w:color="auto"/>
        <w:bottom w:val="none" w:sz="0" w:space="0" w:color="auto"/>
        <w:right w:val="none" w:sz="0" w:space="0" w:color="auto"/>
      </w:divBdr>
    </w:div>
    <w:div w:id="1504512223">
      <w:bodyDiv w:val="1"/>
      <w:marLeft w:val="0"/>
      <w:marRight w:val="0"/>
      <w:marTop w:val="0"/>
      <w:marBottom w:val="0"/>
      <w:divBdr>
        <w:top w:val="none" w:sz="0" w:space="0" w:color="auto"/>
        <w:left w:val="none" w:sz="0" w:space="0" w:color="auto"/>
        <w:bottom w:val="none" w:sz="0" w:space="0" w:color="auto"/>
        <w:right w:val="none" w:sz="0" w:space="0" w:color="auto"/>
      </w:divBdr>
    </w:div>
    <w:div w:id="1579317987">
      <w:bodyDiv w:val="1"/>
      <w:marLeft w:val="0"/>
      <w:marRight w:val="0"/>
      <w:marTop w:val="0"/>
      <w:marBottom w:val="0"/>
      <w:divBdr>
        <w:top w:val="none" w:sz="0" w:space="0" w:color="auto"/>
        <w:left w:val="none" w:sz="0" w:space="0" w:color="auto"/>
        <w:bottom w:val="none" w:sz="0" w:space="0" w:color="auto"/>
        <w:right w:val="none" w:sz="0" w:space="0" w:color="auto"/>
      </w:divBdr>
    </w:div>
    <w:div w:id="1673292897">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18459865">
      <w:bodyDiv w:val="1"/>
      <w:marLeft w:val="0"/>
      <w:marRight w:val="0"/>
      <w:marTop w:val="0"/>
      <w:marBottom w:val="0"/>
      <w:divBdr>
        <w:top w:val="none" w:sz="0" w:space="0" w:color="auto"/>
        <w:left w:val="none" w:sz="0" w:space="0" w:color="auto"/>
        <w:bottom w:val="none" w:sz="0" w:space="0" w:color="auto"/>
        <w:right w:val="none" w:sz="0" w:space="0" w:color="auto"/>
      </w:divBdr>
    </w:div>
    <w:div w:id="2084179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44E21-5FAF-4C9C-9D67-7BBDA73D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5518</Words>
  <Characters>27979</Characters>
  <Application>Microsoft Office Word</Application>
  <DocSecurity>0</DocSecurity>
  <Lines>417</Lines>
  <Paragraphs>92</Paragraphs>
  <ScaleCrop>false</ScaleCrop>
  <Company/>
  <LinksUpToDate>false</LinksUpToDate>
  <CharactersWithSpaces>33405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22/16</dc:title>
  <dc:creator/>
  <cp:lastModifiedBy/>
  <cp:revision>1</cp:revision>
  <dcterms:created xsi:type="dcterms:W3CDTF">2016-10-12T13:52:00Z</dcterms:created>
  <dcterms:modified xsi:type="dcterms:W3CDTF">2016-10-12T13:53:00Z</dcterms:modified>
</cp:coreProperties>
</file>