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4BC2" w:rsidRPr="00C9699E" w:rsidRDefault="002E08F7"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sidRPr="00C9699E">
        <w:rPr>
          <w:noProof/>
        </w:rPr>
        <mc:AlternateContent>
          <mc:Choice Requires="wps">
            <w:drawing>
              <wp:anchor distT="0" distB="0" distL="114300" distR="114300" simplePos="0" relativeHeight="251654144" behindDoc="0" locked="0" layoutInCell="1" allowOverlap="1" wp14:anchorId="76D186A6" wp14:editId="5F27983F">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C9699E">
        <w:rPr>
          <w:noProof/>
        </w:rPr>
        <mc:AlternateContent>
          <mc:Choice Requires="wps">
            <w:drawing>
              <wp:anchor distT="0" distB="0" distL="114300" distR="114300" simplePos="0" relativeHeight="251658240" behindDoc="0" locked="0" layoutInCell="1" allowOverlap="1" wp14:anchorId="0D08922A" wp14:editId="1CDC109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BC2" w:rsidRDefault="002E08F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46C5F1F" wp14:editId="4C89CCFA">
                                  <wp:extent cx="2632075" cy="492125"/>
                                  <wp:effectExtent l="0" t="0" r="0" b="317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492125"/>
                                          </a:xfrm>
                                          <a:prstGeom prst="rect">
                                            <a:avLst/>
                                          </a:prstGeom>
                                          <a:noFill/>
                                          <a:ln>
                                            <a:noFill/>
                                          </a:ln>
                                        </pic:spPr>
                                      </pic:pic>
                                    </a:graphicData>
                                  </a:graphic>
                                </wp:inline>
                              </w:drawing>
                            </w:r>
                            <w:r w:rsidR="00CF4BC2">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CF4BC2" w:rsidRDefault="002E08F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46C5F1F" wp14:editId="4C89CCFA">
                            <wp:extent cx="2632075" cy="492125"/>
                            <wp:effectExtent l="0" t="0" r="0" b="317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492125"/>
                                    </a:xfrm>
                                    <a:prstGeom prst="rect">
                                      <a:avLst/>
                                    </a:prstGeom>
                                    <a:noFill/>
                                    <a:ln>
                                      <a:noFill/>
                                    </a:ln>
                                  </pic:spPr>
                                </pic:pic>
                              </a:graphicData>
                            </a:graphic>
                          </wp:inline>
                        </w:drawing>
                      </w:r>
                      <w:r w:rsidR="00CF4BC2">
                        <w:tab/>
                        <w:t xml:space="preserve">                              </w:t>
                      </w:r>
                    </w:p>
                  </w:txbxContent>
                </v:textbox>
              </v:shape>
            </w:pict>
          </mc:Fallback>
        </mc:AlternateContent>
      </w: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8964C6" w:rsidRPr="00C4161A" w:rsidRDefault="008964C6" w:rsidP="008964C6">
      <w:pPr>
        <w:tabs>
          <w:tab w:val="center" w:pos="5400"/>
        </w:tabs>
        <w:suppressAutoHyphens/>
        <w:jc w:val="right"/>
        <w:rPr>
          <w:rFonts w:asciiTheme="majorHAnsi" w:hAnsiTheme="majorHAnsi"/>
          <w:b/>
          <w:sz w:val="52"/>
          <w:szCs w:val="20"/>
          <w:lang w:val="es-ES_tradnl"/>
        </w:rPr>
      </w:pPr>
    </w:p>
    <w:p w:rsidR="00CF4BC2" w:rsidRPr="00C9699E" w:rsidRDefault="002E08F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sidRPr="00C9699E">
        <w:rPr>
          <w:noProof/>
        </w:rPr>
        <mc:AlternateContent>
          <mc:Choice Requires="wps">
            <w:drawing>
              <wp:anchor distT="0" distB="0" distL="114300" distR="114300" simplePos="0" relativeHeight="251655168" behindDoc="0" locked="0" layoutInCell="1" allowOverlap="1" wp14:anchorId="4175B864" wp14:editId="5C2FA300">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4768F0">
                              <w:rPr>
                                <w:rFonts w:ascii="Cambria" w:hAnsi="Cambria" w:cs="Arial"/>
                                <w:b/>
                                <w:bCs/>
                                <w:color w:val="0D0D0D"/>
                                <w:sz w:val="36"/>
                                <w:szCs w:val="22"/>
                                <w:lang w:val="es-ES_tradnl"/>
                              </w:rPr>
                              <w:t xml:space="preserve">INFORME </w:t>
                            </w:r>
                            <w:r w:rsidRPr="004768F0">
                              <w:rPr>
                                <w:rFonts w:ascii="Cambria" w:hAnsi="Cambria" w:cs="Arial"/>
                                <w:b/>
                                <w:bCs/>
                                <w:color w:val="0D0D0D"/>
                                <w:sz w:val="36"/>
                                <w:szCs w:val="40"/>
                                <w:lang w:val="es-ES_tradnl"/>
                              </w:rPr>
                              <w:t>No.</w:t>
                            </w:r>
                            <w:r w:rsidR="00343899">
                              <w:rPr>
                                <w:rFonts w:ascii="Cambria" w:hAnsi="Cambria" w:cs="Arial"/>
                                <w:b/>
                                <w:bCs/>
                                <w:color w:val="0D0D0D"/>
                                <w:sz w:val="36"/>
                                <w:szCs w:val="22"/>
                                <w:lang w:val="es-ES_tradnl"/>
                              </w:rPr>
                              <w:t xml:space="preserve"> 63</w:t>
                            </w:r>
                            <w:r w:rsidR="007C6754">
                              <w:rPr>
                                <w:rFonts w:ascii="Cambria" w:hAnsi="Cambria" w:cs="Arial"/>
                                <w:b/>
                                <w:bCs/>
                                <w:color w:val="0D0D0D"/>
                                <w:sz w:val="36"/>
                                <w:szCs w:val="22"/>
                                <w:lang w:val="es-ES_tradnl"/>
                              </w:rPr>
                              <w:t>/16</w:t>
                            </w:r>
                          </w:p>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4768F0">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860</w:t>
                            </w:r>
                            <w:r w:rsidRPr="004768F0">
                              <w:rPr>
                                <w:rFonts w:ascii="Cambria" w:hAnsi="Cambria" w:cs="Arial"/>
                                <w:b/>
                                <w:color w:val="0D0D0D"/>
                                <w:sz w:val="36"/>
                                <w:szCs w:val="22"/>
                                <w:lang w:val="es-ES_tradnl"/>
                              </w:rPr>
                              <w:t>-</w:t>
                            </w:r>
                            <w:r>
                              <w:rPr>
                                <w:rFonts w:ascii="Cambria" w:hAnsi="Cambria" w:cs="Arial"/>
                                <w:b/>
                                <w:color w:val="0D0D0D"/>
                                <w:sz w:val="36"/>
                                <w:szCs w:val="22"/>
                                <w:lang w:val="es-ES_tradnl"/>
                              </w:rPr>
                              <w:t>05</w:t>
                            </w:r>
                            <w:r w:rsidRPr="004768F0">
                              <w:rPr>
                                <w:rFonts w:ascii="Cambria" w:hAnsi="Cambria" w:cs="Arial"/>
                                <w:b/>
                                <w:color w:val="0D0D0D"/>
                                <w:sz w:val="36"/>
                                <w:szCs w:val="22"/>
                                <w:lang w:val="es-ES_tradnl"/>
                              </w:rPr>
                              <w:t xml:space="preserve"> </w:t>
                            </w:r>
                          </w:p>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4768F0">
                              <w:rPr>
                                <w:rFonts w:ascii="Cambria" w:hAnsi="Cambria" w:cs="Arial"/>
                                <w:color w:val="0D0D0D"/>
                                <w:szCs w:val="22"/>
                                <w:lang w:val="es-ES_tradnl"/>
                              </w:rPr>
                              <w:t xml:space="preserve">INFORME DE ADMISIBILIDAD </w:t>
                            </w:r>
                          </w:p>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CF4BC2"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MIGUEL ÁNGEL AGUIRRE MAGAÑA</w:t>
                            </w:r>
                          </w:p>
                          <w:p w:rsidR="00CF4BC2" w:rsidRPr="004768F0" w:rsidRDefault="00CF4BC2" w:rsidP="007A5817">
                            <w:pPr>
                              <w:pBdr>
                                <w:top w:val="none" w:sz="0" w:space="0" w:color="auto"/>
                                <w:left w:val="none" w:sz="0" w:space="0" w:color="auto"/>
                                <w:bottom w:val="none" w:sz="0" w:space="0" w:color="auto"/>
                                <w:right w:val="none" w:sz="0" w:space="0" w:color="auto"/>
                                <w:bar w:val="none" w:sz="0" w:color="auto"/>
                              </w:pBdr>
                              <w:rPr>
                                <w:color w:val="0D0D0D"/>
                                <w:lang w:val="es-ES_tradnl"/>
                              </w:rPr>
                            </w:pPr>
                            <w:r>
                              <w:rPr>
                                <w:rFonts w:ascii="Cambria" w:hAnsi="Cambria" w:cs="Arial"/>
                                <w:color w:val="0D0D0D"/>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4768F0">
                        <w:rPr>
                          <w:rFonts w:ascii="Cambria" w:hAnsi="Cambria" w:cs="Arial"/>
                          <w:b/>
                          <w:bCs/>
                          <w:color w:val="0D0D0D"/>
                          <w:sz w:val="36"/>
                          <w:szCs w:val="22"/>
                          <w:lang w:val="es-ES_tradnl"/>
                        </w:rPr>
                        <w:t xml:space="preserve">INFORME </w:t>
                      </w:r>
                      <w:r w:rsidRPr="004768F0">
                        <w:rPr>
                          <w:rFonts w:ascii="Cambria" w:hAnsi="Cambria" w:cs="Arial"/>
                          <w:b/>
                          <w:bCs/>
                          <w:color w:val="0D0D0D"/>
                          <w:sz w:val="36"/>
                          <w:szCs w:val="40"/>
                          <w:lang w:val="es-ES_tradnl"/>
                        </w:rPr>
                        <w:t>No.</w:t>
                      </w:r>
                      <w:r w:rsidR="00343899">
                        <w:rPr>
                          <w:rFonts w:ascii="Cambria" w:hAnsi="Cambria" w:cs="Arial"/>
                          <w:b/>
                          <w:bCs/>
                          <w:color w:val="0D0D0D"/>
                          <w:sz w:val="36"/>
                          <w:szCs w:val="22"/>
                          <w:lang w:val="es-ES_tradnl"/>
                        </w:rPr>
                        <w:t xml:space="preserve"> 63</w:t>
                      </w:r>
                      <w:r w:rsidR="007C6754">
                        <w:rPr>
                          <w:rFonts w:ascii="Cambria" w:hAnsi="Cambria" w:cs="Arial"/>
                          <w:b/>
                          <w:bCs/>
                          <w:color w:val="0D0D0D"/>
                          <w:sz w:val="36"/>
                          <w:szCs w:val="22"/>
                          <w:lang w:val="es-ES_tradnl"/>
                        </w:rPr>
                        <w:t>/16</w:t>
                      </w:r>
                    </w:p>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4768F0">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860</w:t>
                      </w:r>
                      <w:r w:rsidRPr="004768F0">
                        <w:rPr>
                          <w:rFonts w:ascii="Cambria" w:hAnsi="Cambria" w:cs="Arial"/>
                          <w:b/>
                          <w:color w:val="0D0D0D"/>
                          <w:sz w:val="36"/>
                          <w:szCs w:val="22"/>
                          <w:lang w:val="es-ES_tradnl"/>
                        </w:rPr>
                        <w:t>-</w:t>
                      </w:r>
                      <w:r>
                        <w:rPr>
                          <w:rFonts w:ascii="Cambria" w:hAnsi="Cambria" w:cs="Arial"/>
                          <w:b/>
                          <w:color w:val="0D0D0D"/>
                          <w:sz w:val="36"/>
                          <w:szCs w:val="22"/>
                          <w:lang w:val="es-ES_tradnl"/>
                        </w:rPr>
                        <w:t>05</w:t>
                      </w:r>
                      <w:r w:rsidRPr="004768F0">
                        <w:rPr>
                          <w:rFonts w:ascii="Cambria" w:hAnsi="Cambria" w:cs="Arial"/>
                          <w:b/>
                          <w:color w:val="0D0D0D"/>
                          <w:sz w:val="36"/>
                          <w:szCs w:val="22"/>
                          <w:lang w:val="es-ES_tradnl"/>
                        </w:rPr>
                        <w:t xml:space="preserve"> </w:t>
                      </w:r>
                    </w:p>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4768F0">
                        <w:rPr>
                          <w:rFonts w:ascii="Cambria" w:hAnsi="Cambria" w:cs="Arial"/>
                          <w:color w:val="0D0D0D"/>
                          <w:szCs w:val="22"/>
                          <w:lang w:val="es-ES_tradnl"/>
                        </w:rPr>
                        <w:t xml:space="preserve">INFORME DE ADMISIBILIDAD </w:t>
                      </w:r>
                    </w:p>
                    <w:p w:rsidR="00CF4BC2" w:rsidRPr="004768F0"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bookmarkEnd w:id="2"/>
                    <w:p w:rsidR="00CF4BC2" w:rsidRDefault="00CF4BC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MIGUEL ÁNGEL AGUIRRE MAGAÑA</w:t>
                      </w:r>
                    </w:p>
                    <w:p w:rsidR="00CF4BC2" w:rsidRPr="004768F0" w:rsidRDefault="00CF4BC2" w:rsidP="007A5817">
                      <w:pPr>
                        <w:pBdr>
                          <w:top w:val="none" w:sz="0" w:space="0" w:color="auto"/>
                          <w:left w:val="none" w:sz="0" w:space="0" w:color="auto"/>
                          <w:bottom w:val="none" w:sz="0" w:space="0" w:color="auto"/>
                          <w:right w:val="none" w:sz="0" w:space="0" w:color="auto"/>
                          <w:bar w:val="none" w:sz="0" w:color="auto"/>
                        </w:pBdr>
                        <w:rPr>
                          <w:color w:val="0D0D0D"/>
                          <w:lang w:val="es-ES_tradnl"/>
                        </w:rPr>
                      </w:pPr>
                      <w:r>
                        <w:rPr>
                          <w:rFonts w:ascii="Cambria" w:hAnsi="Cambria" w:cs="Arial"/>
                          <w:color w:val="0D0D0D"/>
                          <w:szCs w:val="22"/>
                          <w:lang w:val="es-ES_tradnl"/>
                        </w:rPr>
                        <w:t>EL SALVADOR</w:t>
                      </w:r>
                    </w:p>
                  </w:txbxContent>
                </v:textbox>
              </v:shape>
            </w:pict>
          </mc:Fallback>
        </mc:AlternateContent>
      </w:r>
      <w:r w:rsidRPr="00C9699E">
        <w:rPr>
          <w:noProof/>
        </w:rPr>
        <mc:AlternateContent>
          <mc:Choice Requires="wps">
            <w:drawing>
              <wp:anchor distT="0" distB="0" distL="114300" distR="114300" simplePos="0" relativeHeight="251657216" behindDoc="0" locked="0" layoutInCell="1" allowOverlap="1" wp14:anchorId="2A8D2C90" wp14:editId="04F369E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BC2" w:rsidRPr="00955833" w:rsidRDefault="00CF4BC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955833">
                              <w:rPr>
                                <w:rFonts w:ascii="Calibri" w:hAnsi="Calibri"/>
                                <w:color w:val="FFFFFF" w:themeColor="background1"/>
                                <w:sz w:val="22"/>
                                <w:lang w:val="pt-BR"/>
                              </w:rPr>
                              <w:t>OEA/Ser.L/V/II.1</w:t>
                            </w:r>
                            <w:r w:rsidR="00CA45C2" w:rsidRPr="00955833">
                              <w:rPr>
                                <w:rFonts w:ascii="Calibri" w:hAnsi="Calibri"/>
                                <w:color w:val="FFFFFF" w:themeColor="background1"/>
                                <w:sz w:val="22"/>
                                <w:lang w:val="pt-BR"/>
                              </w:rPr>
                              <w:t>59</w:t>
                            </w:r>
                          </w:p>
                          <w:p w:rsidR="00CF4BC2" w:rsidRPr="00955833" w:rsidRDefault="0034389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955833">
                              <w:rPr>
                                <w:rFonts w:ascii="Calibri" w:hAnsi="Calibri"/>
                                <w:color w:val="FFFFFF" w:themeColor="background1"/>
                                <w:sz w:val="22"/>
                                <w:lang w:val="pt-BR"/>
                              </w:rPr>
                              <w:t>Doc. 72</w:t>
                            </w:r>
                          </w:p>
                          <w:p w:rsidR="00CF4BC2" w:rsidRPr="00F26678" w:rsidRDefault="0020099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Pr>
                                <w:rFonts w:ascii="Calibri" w:hAnsi="Calibri"/>
                                <w:color w:val="FFFFFF" w:themeColor="background1"/>
                                <w:sz w:val="22"/>
                                <w:lang w:val="es-CL"/>
                              </w:rPr>
                              <w:t>6 diciembre 2016</w:t>
                            </w:r>
                          </w:p>
                          <w:p w:rsidR="00CF4BC2" w:rsidRPr="00F26678" w:rsidRDefault="00CF4BC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F26678">
                              <w:rPr>
                                <w:rFonts w:ascii="Calibri" w:hAnsi="Calibri"/>
                                <w:color w:val="FFFFFF" w:themeColor="background1"/>
                                <w:sz w:val="22"/>
                                <w:lang w:val="es-CL"/>
                              </w:rPr>
                              <w:t xml:space="preserve">Original: </w:t>
                            </w:r>
                            <w:r w:rsidR="00CA45C2">
                              <w:rPr>
                                <w:rFonts w:ascii="Calibri" w:hAnsi="Calibri"/>
                                <w:color w:val="FFFFFF" w:themeColor="background1"/>
                                <w:sz w:val="22"/>
                                <w:lang w:val="es-CL"/>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CF4BC2" w:rsidRPr="00955833" w:rsidRDefault="00CF4BC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955833">
                        <w:rPr>
                          <w:rFonts w:ascii="Calibri" w:hAnsi="Calibri"/>
                          <w:color w:val="FFFFFF" w:themeColor="background1"/>
                          <w:sz w:val="22"/>
                          <w:lang w:val="pt-BR"/>
                        </w:rPr>
                        <w:t>OEA/Ser.L/V/II.1</w:t>
                      </w:r>
                      <w:r w:rsidR="00CA45C2" w:rsidRPr="00955833">
                        <w:rPr>
                          <w:rFonts w:ascii="Calibri" w:hAnsi="Calibri"/>
                          <w:color w:val="FFFFFF" w:themeColor="background1"/>
                          <w:sz w:val="22"/>
                          <w:lang w:val="pt-BR"/>
                        </w:rPr>
                        <w:t>59</w:t>
                      </w:r>
                    </w:p>
                    <w:p w:rsidR="00CF4BC2" w:rsidRPr="00955833" w:rsidRDefault="0034389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955833">
                        <w:rPr>
                          <w:rFonts w:ascii="Calibri" w:hAnsi="Calibri"/>
                          <w:color w:val="FFFFFF" w:themeColor="background1"/>
                          <w:sz w:val="22"/>
                          <w:lang w:val="pt-BR"/>
                        </w:rPr>
                        <w:t>Doc. 72</w:t>
                      </w:r>
                    </w:p>
                    <w:p w:rsidR="00CF4BC2" w:rsidRPr="00F26678" w:rsidRDefault="0020099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Pr>
                          <w:rFonts w:ascii="Calibri" w:hAnsi="Calibri"/>
                          <w:color w:val="FFFFFF" w:themeColor="background1"/>
                          <w:sz w:val="22"/>
                          <w:lang w:val="es-CL"/>
                        </w:rPr>
                        <w:t>6 diciembre 2016</w:t>
                      </w:r>
                    </w:p>
                    <w:p w:rsidR="00CF4BC2" w:rsidRPr="00F26678" w:rsidRDefault="00CF4BC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F26678">
                        <w:rPr>
                          <w:rFonts w:ascii="Calibri" w:hAnsi="Calibri"/>
                          <w:color w:val="FFFFFF" w:themeColor="background1"/>
                          <w:sz w:val="22"/>
                          <w:lang w:val="es-CL"/>
                        </w:rPr>
                        <w:t xml:space="preserve">Original: </w:t>
                      </w:r>
                      <w:r w:rsidR="00CA45C2">
                        <w:rPr>
                          <w:rFonts w:ascii="Calibri" w:hAnsi="Calibri"/>
                          <w:color w:val="FFFFFF" w:themeColor="background1"/>
                          <w:sz w:val="22"/>
                          <w:lang w:val="es-CL"/>
                        </w:rPr>
                        <w:t>español</w:t>
                      </w:r>
                    </w:p>
                  </w:txbxContent>
                </v:textbox>
              </v:shape>
            </w:pict>
          </mc:Fallback>
        </mc:AlternateContent>
      </w: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2E08F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C9699E">
        <w:rPr>
          <w:noProof/>
        </w:rPr>
        <mc:AlternateContent>
          <mc:Choice Requires="wps">
            <w:drawing>
              <wp:anchor distT="0" distB="0" distL="114300" distR="114300" simplePos="0" relativeHeight="251656192" behindDoc="0" locked="0" layoutInCell="1" allowOverlap="1" wp14:anchorId="09338C3B" wp14:editId="199772D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color w:val="0D0D0D"/>
                                <w:sz w:val="18"/>
                                <w:szCs w:val="20"/>
                                <w:bdr w:val="nil"/>
                                <w:lang w:val="es-ES"/>
                              </w:rPr>
                              <w:alias w:val="Tipo de Aprobación"/>
                              <w:tag w:val="Tipo de Aprobación"/>
                              <w:id w:val="1680085251"/>
                              <w:docPartList>
                                <w:docPartGallery w:val="AutoText"/>
                                <w:docPartCategory w:val="Tipo de Aprobación"/>
                              </w:docPartList>
                            </w:sdtPr>
                            <w:sdtEndPr/>
                            <w:sdtContent>
                              <w:p w:rsidR="00200999" w:rsidRPr="00200999" w:rsidRDefault="00200999" w:rsidP="00200999">
                                <w:pPr>
                                  <w:pBdr>
                                    <w:top w:val="nil"/>
                                    <w:left w:val="nil"/>
                                    <w:bottom w:val="nil"/>
                                    <w:right w:val="nil"/>
                                    <w:between w:val="nil"/>
                                    <w:bar w:val="nil"/>
                                  </w:pBdr>
                                  <w:tabs>
                                    <w:tab w:val="center" w:pos="5400"/>
                                  </w:tabs>
                                  <w:suppressAutoHyphens/>
                                  <w:spacing w:before="60"/>
                                  <w:rPr>
                                    <w:rFonts w:ascii="Cambria" w:hAnsi="Cambria" w:cs="Univers"/>
                                    <w:color w:val="0D0D0D"/>
                                    <w:sz w:val="18"/>
                                    <w:szCs w:val="20"/>
                                    <w:bdr w:val="nil"/>
                                    <w:lang w:val="es-ES_tradnl"/>
                                  </w:rPr>
                                </w:pPr>
                                <w:r w:rsidRPr="00200999">
                                  <w:rPr>
                                    <w:rFonts w:ascii="Cambria" w:hAnsi="Cambria"/>
                                    <w:color w:val="0D0D0D"/>
                                    <w:sz w:val="18"/>
                                    <w:szCs w:val="20"/>
                                    <w:bdr w:val="nil"/>
                                    <w:lang w:val="es-ES"/>
                                  </w:rPr>
                                  <w:t>Aprobado por la Comisión en su sesión No. 2070 celebrada el 6 de diciembre de 2016</w:t>
                                </w:r>
                                <w:r w:rsidR="00514612">
                                  <w:rPr>
                                    <w:rFonts w:ascii="Cambria" w:hAnsi="Cambria"/>
                                    <w:color w:val="0D0D0D"/>
                                    <w:sz w:val="18"/>
                                    <w:szCs w:val="20"/>
                                    <w:bdr w:val="nil"/>
                                    <w:lang w:val="es-ES"/>
                                  </w:rPr>
                                  <w:t>.</w:t>
                                </w:r>
                                <w:r w:rsidRPr="00200999">
                                  <w:rPr>
                                    <w:rFonts w:ascii="Cambria" w:hAnsi="Cambria"/>
                                    <w:color w:val="0D0D0D"/>
                                    <w:sz w:val="18"/>
                                    <w:szCs w:val="20"/>
                                    <w:bdr w:val="nil"/>
                                    <w:lang w:val="es-ES"/>
                                  </w:rPr>
                                  <w:br/>
                                </w:r>
                                <w:r w:rsidRPr="00200999">
                                  <w:rPr>
                                    <w:rFonts w:ascii="Cambria" w:hAnsi="Cambria" w:cs="Univers"/>
                                    <w:color w:val="0D0D0D"/>
                                    <w:sz w:val="18"/>
                                    <w:szCs w:val="20"/>
                                    <w:bdr w:val="nil"/>
                                    <w:lang w:val="es-ES_tradnl"/>
                                  </w:rPr>
                                  <w:t>159º período ordinario de sesiones</w:t>
                                </w:r>
                                <w:r w:rsidR="00514612">
                                  <w:rPr>
                                    <w:rFonts w:ascii="Cambria" w:hAnsi="Cambria" w:cs="Univers"/>
                                    <w:color w:val="0D0D0D"/>
                                    <w:sz w:val="18"/>
                                    <w:szCs w:val="20"/>
                                    <w:bdr w:val="nil"/>
                                    <w:lang w:val="es-ES_tradnl"/>
                                  </w:rPr>
                                  <w:t>.</w:t>
                                </w:r>
                              </w:p>
                              <w:p w:rsidR="00200999" w:rsidRPr="00200999" w:rsidRDefault="001A43E7" w:rsidP="00200999">
                                <w:pPr>
                                  <w:pBdr>
                                    <w:top w:val="nil"/>
                                    <w:left w:val="nil"/>
                                    <w:bottom w:val="nil"/>
                                    <w:right w:val="nil"/>
                                    <w:between w:val="nil"/>
                                    <w:bar w:val="nil"/>
                                  </w:pBdr>
                                  <w:tabs>
                                    <w:tab w:val="center" w:pos="5400"/>
                                  </w:tabs>
                                  <w:suppressAutoHyphens/>
                                  <w:spacing w:before="60"/>
                                  <w:rPr>
                                    <w:rFonts w:ascii="Cambria" w:hAnsi="Cambria"/>
                                    <w:color w:val="0D0D0D"/>
                                    <w:sz w:val="18"/>
                                    <w:szCs w:val="20"/>
                                    <w:bdr w:val="nil"/>
                                    <w:lang w:val="es-ES"/>
                                  </w:rPr>
                                </w:pPr>
                              </w:p>
                            </w:sdtContent>
                          </w:sdt>
                          <w:p w:rsidR="00200999" w:rsidRPr="004768F0" w:rsidRDefault="00200999"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CF4BC2" w:rsidRPr="004768F0" w:rsidRDefault="00CF4BC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sdt>
                      <w:sdtPr>
                        <w:rPr>
                          <w:rFonts w:ascii="Cambria" w:hAnsi="Cambria"/>
                          <w:color w:val="0D0D0D"/>
                          <w:sz w:val="18"/>
                          <w:szCs w:val="20"/>
                          <w:bdr w:val="nil"/>
                          <w:lang w:val="es-ES"/>
                        </w:rPr>
                        <w:alias w:val="Tipo de Aprobación"/>
                        <w:tag w:val="Tipo de Aprobación"/>
                        <w:id w:val="1680085251"/>
                        <w:docPartList>
                          <w:docPartGallery w:val="AutoText"/>
                          <w:docPartCategory w:val="Tipo de Aprobación"/>
                        </w:docPartList>
                      </w:sdtPr>
                      <w:sdtEndPr/>
                      <w:sdtContent>
                        <w:p w:rsidR="00200999" w:rsidRPr="00200999" w:rsidRDefault="00200999" w:rsidP="00200999">
                          <w:pPr>
                            <w:pBdr>
                              <w:top w:val="nil"/>
                              <w:left w:val="nil"/>
                              <w:bottom w:val="nil"/>
                              <w:right w:val="nil"/>
                              <w:between w:val="nil"/>
                              <w:bar w:val="nil"/>
                            </w:pBdr>
                            <w:tabs>
                              <w:tab w:val="center" w:pos="5400"/>
                            </w:tabs>
                            <w:suppressAutoHyphens/>
                            <w:spacing w:before="60"/>
                            <w:rPr>
                              <w:rFonts w:ascii="Cambria" w:hAnsi="Cambria" w:cs="Univers"/>
                              <w:color w:val="0D0D0D"/>
                              <w:sz w:val="18"/>
                              <w:szCs w:val="20"/>
                              <w:bdr w:val="nil"/>
                              <w:lang w:val="es-ES_tradnl"/>
                            </w:rPr>
                          </w:pPr>
                          <w:r w:rsidRPr="00200999">
                            <w:rPr>
                              <w:rFonts w:ascii="Cambria" w:hAnsi="Cambria"/>
                              <w:color w:val="0D0D0D"/>
                              <w:sz w:val="18"/>
                              <w:szCs w:val="20"/>
                              <w:bdr w:val="nil"/>
                              <w:lang w:val="es-ES"/>
                            </w:rPr>
                            <w:t>Aprobado por la Comisión en su sesión No. 2070 celebrada el 6 de diciembre de 2016</w:t>
                          </w:r>
                          <w:r w:rsidR="00514612">
                            <w:rPr>
                              <w:rFonts w:ascii="Cambria" w:hAnsi="Cambria"/>
                              <w:color w:val="0D0D0D"/>
                              <w:sz w:val="18"/>
                              <w:szCs w:val="20"/>
                              <w:bdr w:val="nil"/>
                              <w:lang w:val="es-ES"/>
                            </w:rPr>
                            <w:t>.</w:t>
                          </w:r>
                          <w:r w:rsidRPr="00200999">
                            <w:rPr>
                              <w:rFonts w:ascii="Cambria" w:hAnsi="Cambria"/>
                              <w:color w:val="0D0D0D"/>
                              <w:sz w:val="18"/>
                              <w:szCs w:val="20"/>
                              <w:bdr w:val="nil"/>
                              <w:lang w:val="es-ES"/>
                            </w:rPr>
                            <w:br/>
                          </w:r>
                          <w:r w:rsidRPr="00200999">
                            <w:rPr>
                              <w:rFonts w:ascii="Cambria" w:hAnsi="Cambria" w:cs="Univers"/>
                              <w:color w:val="0D0D0D"/>
                              <w:sz w:val="18"/>
                              <w:szCs w:val="20"/>
                              <w:bdr w:val="nil"/>
                              <w:lang w:val="es-ES_tradnl"/>
                            </w:rPr>
                            <w:t>159º período ordinario de sesiones</w:t>
                          </w:r>
                          <w:r w:rsidR="00514612">
                            <w:rPr>
                              <w:rFonts w:ascii="Cambria" w:hAnsi="Cambria" w:cs="Univers"/>
                              <w:color w:val="0D0D0D"/>
                              <w:sz w:val="18"/>
                              <w:szCs w:val="20"/>
                              <w:bdr w:val="nil"/>
                              <w:lang w:val="es-ES_tradnl"/>
                            </w:rPr>
                            <w:t>.</w:t>
                          </w:r>
                        </w:p>
                        <w:p w:rsidR="00200999" w:rsidRPr="00200999" w:rsidRDefault="001A43E7" w:rsidP="00200999">
                          <w:pPr>
                            <w:pBdr>
                              <w:top w:val="nil"/>
                              <w:left w:val="nil"/>
                              <w:bottom w:val="nil"/>
                              <w:right w:val="nil"/>
                              <w:between w:val="nil"/>
                              <w:bar w:val="nil"/>
                            </w:pBdr>
                            <w:tabs>
                              <w:tab w:val="center" w:pos="5400"/>
                            </w:tabs>
                            <w:suppressAutoHyphens/>
                            <w:spacing w:before="60"/>
                            <w:rPr>
                              <w:rFonts w:ascii="Cambria" w:hAnsi="Cambria"/>
                              <w:color w:val="0D0D0D"/>
                              <w:sz w:val="18"/>
                              <w:szCs w:val="20"/>
                              <w:bdr w:val="nil"/>
                              <w:lang w:val="es-ES"/>
                            </w:rPr>
                          </w:pPr>
                        </w:p>
                      </w:sdtContent>
                    </w:sdt>
                    <w:p w:rsidR="00200999" w:rsidRPr="004768F0" w:rsidRDefault="00200999"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CF4BC2" w:rsidRPr="004768F0" w:rsidRDefault="00CF4BC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2E08F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C9699E">
        <w:rPr>
          <w:noProof/>
        </w:rPr>
        <mc:AlternateContent>
          <mc:Choice Requires="wps">
            <w:drawing>
              <wp:anchor distT="0" distB="0" distL="114300" distR="114300" simplePos="0" relativeHeight="251659264" behindDoc="0" locked="0" layoutInCell="1" allowOverlap="1" wp14:anchorId="621CD5C0" wp14:editId="0741236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BC2" w:rsidRPr="004768F0" w:rsidRDefault="00CF4BC2"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768F0">
                              <w:rPr>
                                <w:rFonts w:ascii="Cambria" w:hAnsi="Cambria"/>
                                <w:b/>
                                <w:color w:val="595959"/>
                                <w:sz w:val="18"/>
                                <w:szCs w:val="18"/>
                                <w:lang w:val="pt-BR"/>
                              </w:rPr>
                              <w:t>Citar como:</w:t>
                            </w:r>
                            <w:r w:rsidRPr="004768F0">
                              <w:rPr>
                                <w:rFonts w:ascii="Cambria" w:hAnsi="Cambria"/>
                                <w:color w:val="595959"/>
                                <w:sz w:val="18"/>
                                <w:szCs w:val="18"/>
                                <w:lang w:val="pt-BR"/>
                              </w:rPr>
                              <w:t xml:space="preserve"> CIDH, Informe No. </w:t>
                            </w:r>
                            <w:r w:rsidR="00A62E39">
                              <w:rPr>
                                <w:rFonts w:ascii="Cambria" w:hAnsi="Cambria"/>
                                <w:color w:val="595959"/>
                                <w:sz w:val="18"/>
                                <w:szCs w:val="18"/>
                                <w:lang w:val="pt-BR"/>
                              </w:rPr>
                              <w:t>63</w:t>
                            </w:r>
                            <w:r w:rsidR="00A45DDE" w:rsidRPr="00A45DDE">
                              <w:rPr>
                                <w:rFonts w:ascii="Cambria" w:hAnsi="Cambria"/>
                                <w:color w:val="595959"/>
                                <w:sz w:val="18"/>
                                <w:szCs w:val="18"/>
                                <w:lang w:val="pt-BR"/>
                              </w:rPr>
                              <w:t>/16.</w:t>
                            </w:r>
                            <w:r w:rsidRPr="00A45DDE">
                              <w:rPr>
                                <w:rFonts w:ascii="Cambria" w:hAnsi="Cambria"/>
                                <w:color w:val="595959"/>
                                <w:sz w:val="18"/>
                                <w:szCs w:val="18"/>
                                <w:lang w:val="pt-BR"/>
                              </w:rPr>
                              <w:t xml:space="preserve"> </w:t>
                            </w:r>
                            <w:r w:rsidRPr="004768F0">
                              <w:rPr>
                                <w:rFonts w:ascii="Cambria" w:hAnsi="Cambria"/>
                                <w:color w:val="595959"/>
                                <w:sz w:val="18"/>
                                <w:szCs w:val="18"/>
                                <w:lang w:val="es-ES_tradnl"/>
                              </w:rPr>
                              <w:t>Petición</w:t>
                            </w:r>
                            <w:r w:rsidR="00A45DDE">
                              <w:rPr>
                                <w:rFonts w:ascii="Cambria" w:hAnsi="Cambria"/>
                                <w:color w:val="595959"/>
                                <w:sz w:val="18"/>
                                <w:szCs w:val="18"/>
                                <w:lang w:val="es-ES_tradnl"/>
                              </w:rPr>
                              <w:t xml:space="preserve"> 860-05. Admisibilidad.</w:t>
                            </w:r>
                            <w:r w:rsidR="00A45DDE" w:rsidRPr="00A45DDE">
                              <w:rPr>
                                <w:lang w:val="es-ES"/>
                              </w:rPr>
                              <w:t xml:space="preserve"> </w:t>
                            </w:r>
                            <w:r w:rsidR="00A45DDE" w:rsidRPr="00A45DDE">
                              <w:rPr>
                                <w:rFonts w:ascii="Cambria" w:hAnsi="Cambria"/>
                                <w:color w:val="595959"/>
                                <w:sz w:val="18"/>
                                <w:szCs w:val="18"/>
                                <w:lang w:val="es-ES_tradnl"/>
                              </w:rPr>
                              <w:t>Miguel Ángel Aguirre Magaña</w:t>
                            </w:r>
                            <w:r w:rsidR="00A45DDE">
                              <w:rPr>
                                <w:rFonts w:ascii="Cambria" w:hAnsi="Cambria"/>
                                <w:color w:val="595959"/>
                                <w:sz w:val="18"/>
                                <w:szCs w:val="18"/>
                                <w:lang w:val="es-ES_tradnl"/>
                              </w:rPr>
                              <w:t>. El Salvador. 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CF4BC2" w:rsidRPr="004768F0" w:rsidRDefault="00CF4BC2"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768F0">
                        <w:rPr>
                          <w:rFonts w:ascii="Cambria" w:hAnsi="Cambria"/>
                          <w:b/>
                          <w:color w:val="595959"/>
                          <w:sz w:val="18"/>
                          <w:szCs w:val="18"/>
                          <w:lang w:val="pt-BR"/>
                        </w:rPr>
                        <w:t>Citar como:</w:t>
                      </w:r>
                      <w:r w:rsidRPr="004768F0">
                        <w:rPr>
                          <w:rFonts w:ascii="Cambria" w:hAnsi="Cambria"/>
                          <w:color w:val="595959"/>
                          <w:sz w:val="18"/>
                          <w:szCs w:val="18"/>
                          <w:lang w:val="pt-BR"/>
                        </w:rPr>
                        <w:t xml:space="preserve"> CIDH, Informe No. </w:t>
                      </w:r>
                      <w:r w:rsidR="00A62E39">
                        <w:rPr>
                          <w:rFonts w:ascii="Cambria" w:hAnsi="Cambria"/>
                          <w:color w:val="595959"/>
                          <w:sz w:val="18"/>
                          <w:szCs w:val="18"/>
                          <w:lang w:val="pt-BR"/>
                        </w:rPr>
                        <w:t>63</w:t>
                      </w:r>
                      <w:r w:rsidR="00A45DDE" w:rsidRPr="00A45DDE">
                        <w:rPr>
                          <w:rFonts w:ascii="Cambria" w:hAnsi="Cambria"/>
                          <w:color w:val="595959"/>
                          <w:sz w:val="18"/>
                          <w:szCs w:val="18"/>
                          <w:lang w:val="pt-BR"/>
                        </w:rPr>
                        <w:t>/16.</w:t>
                      </w:r>
                      <w:r w:rsidRPr="00A45DDE">
                        <w:rPr>
                          <w:rFonts w:ascii="Cambria" w:hAnsi="Cambria"/>
                          <w:color w:val="595959"/>
                          <w:sz w:val="18"/>
                          <w:szCs w:val="18"/>
                          <w:lang w:val="pt-BR"/>
                        </w:rPr>
                        <w:t xml:space="preserve"> </w:t>
                      </w:r>
                      <w:r w:rsidRPr="004768F0">
                        <w:rPr>
                          <w:rFonts w:ascii="Cambria" w:hAnsi="Cambria"/>
                          <w:color w:val="595959"/>
                          <w:sz w:val="18"/>
                          <w:szCs w:val="18"/>
                          <w:lang w:val="es-ES_tradnl"/>
                        </w:rPr>
                        <w:t>Petición</w:t>
                      </w:r>
                      <w:r w:rsidR="00A45DDE">
                        <w:rPr>
                          <w:rFonts w:ascii="Cambria" w:hAnsi="Cambria"/>
                          <w:color w:val="595959"/>
                          <w:sz w:val="18"/>
                          <w:szCs w:val="18"/>
                          <w:lang w:val="es-ES_tradnl"/>
                        </w:rPr>
                        <w:t xml:space="preserve"> 860-05. Admisibilidad.</w:t>
                      </w:r>
                      <w:r w:rsidR="00A45DDE" w:rsidRPr="00A45DDE">
                        <w:rPr>
                          <w:lang w:val="es-ES"/>
                        </w:rPr>
                        <w:t xml:space="preserve"> </w:t>
                      </w:r>
                      <w:r w:rsidR="00A45DDE" w:rsidRPr="00A45DDE">
                        <w:rPr>
                          <w:rFonts w:ascii="Cambria" w:hAnsi="Cambria"/>
                          <w:color w:val="595959"/>
                          <w:sz w:val="18"/>
                          <w:szCs w:val="18"/>
                          <w:lang w:val="es-ES_tradnl"/>
                        </w:rPr>
                        <w:t>Miguel Ángel Aguirre Magaña</w:t>
                      </w:r>
                      <w:r w:rsidR="00A45DDE">
                        <w:rPr>
                          <w:rFonts w:ascii="Cambria" w:hAnsi="Cambria"/>
                          <w:color w:val="595959"/>
                          <w:sz w:val="18"/>
                          <w:szCs w:val="18"/>
                          <w:lang w:val="es-ES_tradnl"/>
                        </w:rPr>
                        <w:t>. El Salvador. 6 de diciembre de 2016.</w:t>
                      </w:r>
                    </w:p>
                  </w:txbxContent>
                </v:textbox>
              </v:shape>
            </w:pict>
          </mc:Fallback>
        </mc:AlternateContent>
      </w:r>
    </w:p>
    <w:p w:rsidR="00CF4BC2" w:rsidRPr="00C9699E" w:rsidRDefault="00CF4BC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CF4BC2" w:rsidRPr="00C9699E" w:rsidRDefault="002E08F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sidRPr="00C9699E">
        <w:rPr>
          <w:noProof/>
        </w:rPr>
        <mc:AlternateContent>
          <mc:Choice Requires="wps">
            <w:drawing>
              <wp:anchor distT="0" distB="0" distL="114300" distR="114300" simplePos="0" relativeHeight="251660288" behindDoc="0" locked="0" layoutInCell="1" allowOverlap="1" wp14:anchorId="68F91663" wp14:editId="36DCD597">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F4BC2" w:rsidRPr="004768F0" w:rsidRDefault="002E08F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F85B36D" wp14:editId="37413131">
                                  <wp:extent cx="1323340" cy="353060"/>
                                  <wp:effectExtent l="0" t="0" r="0" b="889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353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CF4BC2" w:rsidRPr="004768F0" w:rsidRDefault="002E08F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F85B36D" wp14:editId="37413131">
                            <wp:extent cx="1323340" cy="353060"/>
                            <wp:effectExtent l="0" t="0" r="0" b="889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353060"/>
                                    </a:xfrm>
                                    <a:prstGeom prst="rect">
                                      <a:avLst/>
                                    </a:prstGeom>
                                    <a:noFill/>
                                    <a:ln>
                                      <a:noFill/>
                                    </a:ln>
                                  </pic:spPr>
                                </pic:pic>
                              </a:graphicData>
                            </a:graphic>
                          </wp:inline>
                        </w:drawing>
                      </w:r>
                    </w:p>
                  </w:txbxContent>
                </v:textbox>
              </v:shape>
            </w:pict>
          </mc:Fallback>
        </mc:AlternateContent>
      </w:r>
      <w:r w:rsidRPr="00C9699E">
        <w:rPr>
          <w:noProof/>
        </w:rPr>
        <mc:AlternateContent>
          <mc:Choice Requires="wps">
            <w:drawing>
              <wp:anchor distT="0" distB="0" distL="114300" distR="114300" simplePos="0" relativeHeight="251661312" behindDoc="0" locked="0" layoutInCell="1" allowOverlap="1" wp14:anchorId="50FAE4D6" wp14:editId="4429BD8F">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BC2" w:rsidRPr="004768F0" w:rsidRDefault="00CF4BC2"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4768F0">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CF4BC2" w:rsidRPr="004768F0" w:rsidRDefault="00CF4BC2"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4768F0">
                        <w:rPr>
                          <w:rFonts w:ascii="Calibri" w:hAnsi="Calibri"/>
                          <w:b/>
                          <w:color w:val="FFFFFF"/>
                          <w:lang w:val="pt-BR"/>
                        </w:rPr>
                        <w:t>www.cidh.org</w:t>
                      </w:r>
                    </w:p>
                  </w:txbxContent>
                </v:textbox>
              </v:shape>
            </w:pict>
          </mc:Fallback>
        </mc:AlternateContent>
      </w:r>
    </w:p>
    <w:p w:rsidR="00CF4BC2" w:rsidRPr="00C9699E" w:rsidRDefault="00CF4BC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CF4BC2" w:rsidRPr="00C9699E"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rsidR="00CF4BC2" w:rsidRPr="00CA45C2" w:rsidRDefault="00A45DD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 xml:space="preserve">INFORME No. </w:t>
      </w:r>
      <w:r w:rsidR="00A62E39">
        <w:rPr>
          <w:rFonts w:asciiTheme="majorHAnsi" w:hAnsiTheme="majorHAnsi"/>
          <w:b/>
          <w:sz w:val="18"/>
          <w:szCs w:val="20"/>
          <w:lang w:val="es-ES"/>
        </w:rPr>
        <w:t>63</w:t>
      </w:r>
      <w:r w:rsidR="007C6754" w:rsidRPr="00CA45C2">
        <w:rPr>
          <w:rFonts w:asciiTheme="majorHAnsi" w:hAnsiTheme="majorHAnsi"/>
          <w:b/>
          <w:sz w:val="18"/>
          <w:szCs w:val="20"/>
          <w:lang w:val="es-ES"/>
        </w:rPr>
        <w:t>/16</w:t>
      </w:r>
    </w:p>
    <w:p w:rsidR="00CF4BC2" w:rsidRPr="00CA45C2" w:rsidRDefault="00CF4BC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lang w:val="es-ES"/>
        </w:rPr>
      </w:pPr>
      <w:r w:rsidRPr="00CA45C2">
        <w:rPr>
          <w:rFonts w:asciiTheme="majorHAnsi" w:hAnsiTheme="majorHAnsi"/>
          <w:b/>
          <w:sz w:val="18"/>
          <w:szCs w:val="20"/>
          <w:lang w:val="es-ES"/>
        </w:rPr>
        <w:t>PETICIÓN 860-05</w:t>
      </w:r>
    </w:p>
    <w:p w:rsidR="00CF4BC2" w:rsidRPr="00CA45C2" w:rsidRDefault="00CF4BC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
        </w:rPr>
      </w:pPr>
      <w:r w:rsidRPr="00CA45C2">
        <w:rPr>
          <w:rFonts w:asciiTheme="majorHAnsi" w:hAnsiTheme="majorHAnsi"/>
          <w:sz w:val="18"/>
          <w:szCs w:val="20"/>
          <w:lang w:val="es-ES"/>
        </w:rPr>
        <w:t>INFORME DE ADMISIBILIDAD</w:t>
      </w:r>
    </w:p>
    <w:p w:rsidR="00CF4BC2" w:rsidRPr="00CA45C2" w:rsidRDefault="00CF4BC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
        </w:rPr>
      </w:pPr>
      <w:r w:rsidRPr="00CA45C2">
        <w:rPr>
          <w:rFonts w:asciiTheme="majorHAnsi" w:hAnsiTheme="majorHAnsi"/>
          <w:sz w:val="18"/>
          <w:szCs w:val="20"/>
          <w:lang w:val="es-ES"/>
        </w:rPr>
        <w:t>MIGUEL ÁNGEL AGUIRRE MAGAÑA</w:t>
      </w:r>
    </w:p>
    <w:p w:rsidR="00CF4BC2" w:rsidRPr="00CA45C2" w:rsidRDefault="00CF4BC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
        </w:rPr>
      </w:pPr>
      <w:r w:rsidRPr="00CA45C2">
        <w:rPr>
          <w:rFonts w:asciiTheme="majorHAnsi" w:hAnsiTheme="majorHAnsi"/>
          <w:sz w:val="18"/>
          <w:szCs w:val="20"/>
          <w:lang w:val="es-ES"/>
        </w:rPr>
        <w:t>EL SALVADOR</w:t>
      </w:r>
    </w:p>
    <w:p w:rsidR="00CF4BC2" w:rsidRPr="00CA45C2" w:rsidRDefault="00A62E3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6 DE DICIEMBRE DE 2016</w:t>
      </w:r>
    </w:p>
    <w:p w:rsidR="00CF4BC2" w:rsidRPr="00C9699E" w:rsidRDefault="00CF4BC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CF4BC2" w:rsidRPr="00C9699E" w:rsidRDefault="00CF4BC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t>I.</w:t>
      </w:r>
      <w:r w:rsidRPr="00C9699E">
        <w:rPr>
          <w:rFonts w:ascii="Cambria" w:hAnsi="Cambria"/>
          <w:b/>
          <w:bCs/>
          <w:sz w:val="20"/>
          <w:szCs w:val="20"/>
          <w:lang w:val="es-ES"/>
        </w:rPr>
        <w:tab/>
        <w:t>RESUMEN</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9699E">
        <w:rPr>
          <w:rFonts w:ascii="Cambria" w:hAnsi="Cambria"/>
          <w:sz w:val="20"/>
          <w:szCs w:val="20"/>
          <w:lang w:val="es-ES"/>
        </w:rPr>
        <w:t xml:space="preserve">El 28 de julio de 2005 la Comisión Interamericana de Derechos Humanos (en adelante, “la Comisión Interamericana”, “la Comisión” o “la CIDH”) recibió una petición presentada </w:t>
      </w:r>
      <w:r w:rsidR="006F08C9" w:rsidRPr="00C9699E">
        <w:rPr>
          <w:rFonts w:ascii="Cambria" w:hAnsi="Cambria"/>
          <w:sz w:val="20"/>
          <w:szCs w:val="20"/>
          <w:lang w:val="es-ES"/>
        </w:rPr>
        <w:t xml:space="preserve">inicialmente por el Instituto de Derechos Humanos de la Universidad Centroamericana José Simeón Cañas (en adelante también “los peticionarios”) </w:t>
      </w:r>
      <w:r w:rsidRPr="00C9699E">
        <w:rPr>
          <w:rFonts w:ascii="Cambria" w:hAnsi="Cambria"/>
          <w:sz w:val="20"/>
          <w:szCs w:val="20"/>
          <w:lang w:val="es-ES"/>
        </w:rPr>
        <w:t xml:space="preserve">en representación </w:t>
      </w:r>
      <w:r w:rsidR="006F08C9" w:rsidRPr="00C9699E">
        <w:rPr>
          <w:rFonts w:ascii="Cambria" w:hAnsi="Cambria"/>
          <w:sz w:val="20"/>
          <w:szCs w:val="20"/>
          <w:lang w:val="es-ES"/>
        </w:rPr>
        <w:t>del</w:t>
      </w:r>
      <w:r w:rsidRPr="00C9699E">
        <w:rPr>
          <w:rFonts w:ascii="Cambria" w:hAnsi="Cambria"/>
          <w:sz w:val="20"/>
          <w:szCs w:val="20"/>
          <w:lang w:val="es-ES"/>
        </w:rPr>
        <w:t xml:space="preserve"> </w:t>
      </w:r>
      <w:r w:rsidR="00641B2E">
        <w:rPr>
          <w:rFonts w:ascii="Cambria" w:hAnsi="Cambria"/>
          <w:sz w:val="20"/>
          <w:szCs w:val="20"/>
          <w:lang w:val="es-ES"/>
        </w:rPr>
        <w:t>señor</w:t>
      </w:r>
      <w:r w:rsidRPr="00C9699E">
        <w:rPr>
          <w:rFonts w:ascii="Cambria" w:hAnsi="Cambria"/>
          <w:sz w:val="20"/>
          <w:szCs w:val="20"/>
          <w:lang w:val="es-ES"/>
        </w:rPr>
        <w:t xml:space="preserve"> Miguel Ángel Aguirre Magaña</w:t>
      </w:r>
      <w:r w:rsidR="00320893" w:rsidRPr="00C9699E">
        <w:rPr>
          <w:rStyle w:val="FootnoteReference"/>
          <w:rFonts w:ascii="Cambria" w:hAnsi="Cambria"/>
          <w:sz w:val="20"/>
          <w:szCs w:val="20"/>
          <w:lang w:val="es-ES"/>
        </w:rPr>
        <w:footnoteReference w:id="2"/>
      </w:r>
      <w:r w:rsidRPr="00C9699E">
        <w:rPr>
          <w:rFonts w:ascii="Cambria" w:hAnsi="Cambria"/>
          <w:sz w:val="20"/>
          <w:szCs w:val="20"/>
          <w:lang w:val="es-ES"/>
        </w:rPr>
        <w:t xml:space="preserve"> (en adelante</w:t>
      </w:r>
      <w:r w:rsidRPr="00C9699E">
        <w:rPr>
          <w:rFonts w:ascii="Cambria" w:hAnsi="Cambria"/>
          <w:color w:val="000000"/>
          <w:sz w:val="20"/>
          <w:szCs w:val="20"/>
          <w:lang w:val="es-ES"/>
        </w:rPr>
        <w:t xml:space="preserve">, “el peticionario” o “la presunta víctima”) contra el Estado salvadoreño (en adelante, “El Salvador” o “el Estado”). El </w:t>
      </w:r>
      <w:r w:rsidR="00641B2E">
        <w:rPr>
          <w:rFonts w:ascii="Cambria" w:hAnsi="Cambria"/>
          <w:color w:val="000000"/>
          <w:sz w:val="20"/>
          <w:szCs w:val="20"/>
          <w:lang w:val="es-ES"/>
        </w:rPr>
        <w:t>señor</w:t>
      </w:r>
      <w:r w:rsidRPr="00C9699E">
        <w:rPr>
          <w:rFonts w:ascii="Cambria" w:hAnsi="Cambria"/>
          <w:color w:val="000000"/>
          <w:sz w:val="20"/>
          <w:szCs w:val="20"/>
          <w:lang w:val="es-ES"/>
        </w:rPr>
        <w:t xml:space="preserve"> Aguirre Magaña alega la responsabilidad internacional del Estado por </w:t>
      </w:r>
      <w:r w:rsidR="00F921AB" w:rsidRPr="00C9699E">
        <w:rPr>
          <w:rFonts w:ascii="Cambria" w:hAnsi="Cambria"/>
          <w:color w:val="000000"/>
          <w:sz w:val="20"/>
          <w:szCs w:val="20"/>
          <w:lang w:val="es-ES"/>
        </w:rPr>
        <w:t xml:space="preserve">la </w:t>
      </w:r>
      <w:r w:rsidRPr="00C9699E">
        <w:rPr>
          <w:rFonts w:ascii="Cambria" w:hAnsi="Cambria"/>
          <w:color w:val="000000"/>
          <w:sz w:val="20"/>
          <w:szCs w:val="20"/>
          <w:lang w:val="es-ES"/>
        </w:rPr>
        <w:t xml:space="preserve">supuesta </w:t>
      </w:r>
      <w:r w:rsidR="00F921AB" w:rsidRPr="00C9699E">
        <w:rPr>
          <w:rFonts w:ascii="Cambria" w:hAnsi="Cambria"/>
          <w:color w:val="000000"/>
          <w:sz w:val="20"/>
          <w:szCs w:val="20"/>
          <w:lang w:val="es-ES"/>
        </w:rPr>
        <w:t>falta de investigación diligente y procesamiento penal de los responsables de un hecho en el que perdió una pierna, la audición en el oído derecho y recibió otras lesiones graves</w:t>
      </w:r>
      <w:r w:rsidRPr="00C9699E">
        <w:rPr>
          <w:rFonts w:ascii="Cambria" w:hAnsi="Cambria"/>
          <w:color w:val="000000"/>
          <w:sz w:val="20"/>
          <w:szCs w:val="20"/>
          <w:lang w:val="es-ES"/>
        </w:rPr>
        <w:t>. En consecuencia, alega la responsabilidad internacional del Estado por la violación de sus derechos establecidos en los artículos 8 y 25 de la Convención Americana sobre Derechos Humanos (en adelante, “Convención Americana” o “Convención”).</w:t>
      </w:r>
    </w:p>
    <w:p w:rsidR="00CF4BC2" w:rsidRPr="00C9699E" w:rsidRDefault="00CF4BC2" w:rsidP="00332C4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color w:val="000000"/>
          <w:sz w:val="20"/>
          <w:szCs w:val="20"/>
          <w:lang w:val="es-ES"/>
        </w:rPr>
      </w:pPr>
      <w:r w:rsidRPr="00C9699E">
        <w:rPr>
          <w:rFonts w:ascii="Cambria" w:eastAsia="SimSun" w:hAnsi="Cambria"/>
          <w:color w:val="000000"/>
          <w:sz w:val="20"/>
          <w:szCs w:val="20"/>
          <w:lang w:val="es-ES"/>
        </w:rPr>
        <w:t xml:space="preserve">El </w:t>
      </w:r>
      <w:r w:rsidR="00641B2E">
        <w:rPr>
          <w:rFonts w:ascii="Cambria" w:eastAsia="SimSun" w:hAnsi="Cambria"/>
          <w:color w:val="000000"/>
          <w:sz w:val="20"/>
          <w:szCs w:val="20"/>
          <w:lang w:val="es-ES"/>
        </w:rPr>
        <w:t>señor</w:t>
      </w:r>
      <w:r w:rsidR="000A39F4">
        <w:rPr>
          <w:rFonts w:ascii="Cambria" w:eastAsia="SimSun" w:hAnsi="Cambria"/>
          <w:color w:val="000000"/>
          <w:sz w:val="20"/>
          <w:szCs w:val="20"/>
          <w:lang w:val="es-ES"/>
        </w:rPr>
        <w:t xml:space="preserve"> </w:t>
      </w:r>
      <w:r w:rsidR="00063CB3" w:rsidRPr="00C9699E">
        <w:rPr>
          <w:rFonts w:ascii="Cambria" w:eastAsia="SimSun" w:hAnsi="Cambria"/>
          <w:color w:val="000000"/>
          <w:sz w:val="20"/>
          <w:szCs w:val="20"/>
          <w:lang w:val="es-ES"/>
        </w:rPr>
        <w:t>Aguirre Magaña</w:t>
      </w:r>
      <w:r w:rsidRPr="00C9699E">
        <w:rPr>
          <w:rFonts w:ascii="Cambria" w:eastAsia="SimSun" w:hAnsi="Cambria"/>
          <w:color w:val="000000"/>
          <w:sz w:val="20"/>
          <w:szCs w:val="20"/>
          <w:lang w:val="es-ES"/>
        </w:rPr>
        <w:t xml:space="preserve"> sostiene </w:t>
      </w:r>
      <w:r w:rsidR="00F921AB" w:rsidRPr="00C9699E">
        <w:rPr>
          <w:rFonts w:ascii="Cambria" w:eastAsia="SimSun" w:hAnsi="Cambria"/>
          <w:color w:val="000000"/>
          <w:sz w:val="20"/>
          <w:szCs w:val="20"/>
          <w:lang w:val="es-ES"/>
        </w:rPr>
        <w:t>que el 13 de noviembre de 1993 se desplaza</w:t>
      </w:r>
      <w:r w:rsidR="00063CB3" w:rsidRPr="00C9699E">
        <w:rPr>
          <w:rFonts w:ascii="Cambria" w:eastAsia="SimSun" w:hAnsi="Cambria"/>
          <w:color w:val="000000"/>
          <w:sz w:val="20"/>
          <w:szCs w:val="20"/>
          <w:lang w:val="es-ES"/>
        </w:rPr>
        <w:t>ba</w:t>
      </w:r>
      <w:r w:rsidR="00F921AB" w:rsidRPr="00C9699E">
        <w:rPr>
          <w:rFonts w:ascii="Cambria" w:eastAsia="SimSun" w:hAnsi="Cambria"/>
          <w:color w:val="000000"/>
          <w:sz w:val="20"/>
          <w:szCs w:val="20"/>
          <w:lang w:val="es-ES"/>
        </w:rPr>
        <w:t xml:space="preserve"> en un vehículo cuyo conductor </w:t>
      </w:r>
      <w:r w:rsidR="00063CB3" w:rsidRPr="00C9699E">
        <w:rPr>
          <w:rFonts w:ascii="Cambria" w:eastAsia="SimSun" w:hAnsi="Cambria"/>
          <w:color w:val="000000"/>
          <w:sz w:val="20"/>
          <w:szCs w:val="20"/>
          <w:lang w:val="es-ES"/>
        </w:rPr>
        <w:t>portaba ilegalmente una granada de fragmentación</w:t>
      </w:r>
      <w:r w:rsidR="007C6754" w:rsidRPr="00C9699E">
        <w:rPr>
          <w:rFonts w:ascii="Cambria" w:eastAsia="SimSun" w:hAnsi="Cambria"/>
          <w:color w:val="000000"/>
          <w:sz w:val="20"/>
          <w:szCs w:val="20"/>
          <w:lang w:val="es-ES"/>
        </w:rPr>
        <w:t>, la cual</w:t>
      </w:r>
      <w:r w:rsidR="00063CB3" w:rsidRPr="00C9699E">
        <w:rPr>
          <w:rFonts w:ascii="Cambria" w:eastAsia="SimSun" w:hAnsi="Cambria"/>
          <w:color w:val="000000"/>
          <w:sz w:val="20"/>
          <w:szCs w:val="20"/>
          <w:lang w:val="es-ES"/>
        </w:rPr>
        <w:t xml:space="preserve"> explotó debajo</w:t>
      </w:r>
      <w:r w:rsidR="007C6754" w:rsidRPr="00C9699E">
        <w:rPr>
          <w:rFonts w:ascii="Cambria" w:eastAsia="SimSun" w:hAnsi="Cambria"/>
          <w:color w:val="000000"/>
          <w:sz w:val="20"/>
          <w:szCs w:val="20"/>
          <w:lang w:val="es-ES"/>
        </w:rPr>
        <w:t xml:space="preserve"> del asiento del peticionario </w:t>
      </w:r>
      <w:r w:rsidR="00063CB3" w:rsidRPr="00C9699E">
        <w:rPr>
          <w:rFonts w:ascii="Cambria" w:eastAsia="SimSun" w:hAnsi="Cambria"/>
          <w:color w:val="000000"/>
          <w:sz w:val="20"/>
          <w:szCs w:val="20"/>
          <w:lang w:val="es-ES"/>
        </w:rPr>
        <w:t xml:space="preserve">causándole un daño físico grave e irreversible. El </w:t>
      </w:r>
      <w:r w:rsidR="00641B2E">
        <w:rPr>
          <w:rFonts w:ascii="Cambria" w:eastAsia="SimSun" w:hAnsi="Cambria"/>
          <w:color w:val="000000"/>
          <w:sz w:val="20"/>
          <w:szCs w:val="20"/>
          <w:lang w:val="es-ES"/>
        </w:rPr>
        <w:t>señor</w:t>
      </w:r>
      <w:r w:rsidR="00063CB3" w:rsidRPr="00C9699E">
        <w:rPr>
          <w:rFonts w:ascii="Cambria" w:eastAsia="SimSun" w:hAnsi="Cambria"/>
          <w:color w:val="000000"/>
          <w:sz w:val="20"/>
          <w:szCs w:val="20"/>
          <w:lang w:val="es-ES"/>
        </w:rPr>
        <w:t xml:space="preserve"> Aguirre Magaña </w:t>
      </w:r>
      <w:r w:rsidR="00332C4C" w:rsidRPr="00C9699E">
        <w:rPr>
          <w:rFonts w:ascii="Cambria" w:eastAsia="SimSun" w:hAnsi="Cambria"/>
          <w:color w:val="000000"/>
          <w:sz w:val="20"/>
          <w:szCs w:val="20"/>
          <w:lang w:val="es-ES"/>
        </w:rPr>
        <w:t>alega que la investigación se condujo de manera negligente por parte de la Policía Nacional Civil y</w:t>
      </w:r>
      <w:r w:rsidR="007C6754" w:rsidRPr="00C9699E">
        <w:rPr>
          <w:rFonts w:ascii="Cambria" w:eastAsia="SimSun" w:hAnsi="Cambria"/>
          <w:color w:val="000000"/>
          <w:sz w:val="20"/>
          <w:szCs w:val="20"/>
          <w:lang w:val="es-ES"/>
        </w:rPr>
        <w:t xml:space="preserve"> de</w:t>
      </w:r>
      <w:r w:rsidR="00332C4C" w:rsidRPr="00C9699E">
        <w:rPr>
          <w:rFonts w:ascii="Cambria" w:eastAsia="SimSun" w:hAnsi="Cambria"/>
          <w:color w:val="000000"/>
          <w:sz w:val="20"/>
          <w:szCs w:val="20"/>
          <w:lang w:val="es-ES"/>
        </w:rPr>
        <w:t xml:space="preserve"> los sucesivos jueces a cargo del proceso</w:t>
      </w:r>
      <w:r w:rsidR="007C6754" w:rsidRPr="00C9699E">
        <w:rPr>
          <w:rFonts w:ascii="Cambria" w:eastAsia="SimSun" w:hAnsi="Cambria"/>
          <w:color w:val="000000"/>
          <w:sz w:val="20"/>
          <w:szCs w:val="20"/>
          <w:lang w:val="es-ES"/>
        </w:rPr>
        <w:t>. Además,</w:t>
      </w:r>
      <w:r w:rsidR="00063CB3" w:rsidRPr="00C9699E">
        <w:rPr>
          <w:rFonts w:ascii="Cambria" w:eastAsia="SimSun" w:hAnsi="Cambria"/>
          <w:color w:val="000000"/>
          <w:sz w:val="20"/>
          <w:szCs w:val="20"/>
          <w:lang w:val="es-ES"/>
        </w:rPr>
        <w:t xml:space="preserve"> </w:t>
      </w:r>
      <w:r w:rsidRPr="00C9699E">
        <w:rPr>
          <w:rFonts w:ascii="Cambria" w:eastAsia="SimSun" w:hAnsi="Cambria"/>
          <w:color w:val="000000"/>
          <w:sz w:val="20"/>
          <w:szCs w:val="20"/>
          <w:lang w:val="es-ES"/>
        </w:rPr>
        <w:t xml:space="preserve">durante el proceso penal, </w:t>
      </w:r>
      <w:r w:rsidR="007C6754" w:rsidRPr="00C9699E">
        <w:rPr>
          <w:rFonts w:ascii="Cambria" w:eastAsia="SimSun" w:hAnsi="Cambria"/>
          <w:color w:val="000000"/>
          <w:sz w:val="20"/>
          <w:szCs w:val="20"/>
          <w:lang w:val="es-ES"/>
        </w:rPr>
        <w:t>el cual</w:t>
      </w:r>
      <w:r w:rsidRPr="00C9699E">
        <w:rPr>
          <w:rFonts w:ascii="Cambria" w:eastAsia="SimSun" w:hAnsi="Cambria"/>
          <w:color w:val="000000"/>
          <w:sz w:val="20"/>
          <w:szCs w:val="20"/>
          <w:lang w:val="es-ES"/>
        </w:rPr>
        <w:t xml:space="preserve"> se prolongó </w:t>
      </w:r>
      <w:r w:rsidR="00A20792" w:rsidRPr="00C9699E">
        <w:rPr>
          <w:rFonts w:ascii="Cambria" w:eastAsia="SimSun" w:hAnsi="Cambria"/>
          <w:color w:val="000000"/>
          <w:sz w:val="20"/>
          <w:szCs w:val="20"/>
          <w:lang w:val="es-ES"/>
        </w:rPr>
        <w:t xml:space="preserve">por </w:t>
      </w:r>
      <w:r w:rsidRPr="00C9699E">
        <w:rPr>
          <w:rFonts w:ascii="Cambria" w:eastAsia="SimSun" w:hAnsi="Cambria"/>
          <w:color w:val="000000"/>
          <w:sz w:val="20"/>
          <w:szCs w:val="20"/>
          <w:lang w:val="es-ES"/>
        </w:rPr>
        <w:t xml:space="preserve">más de once años, se habrían cometido actos de corrupción e irregularidades con fines dilatorios por parte de </w:t>
      </w:r>
      <w:r w:rsidR="00332C4C" w:rsidRPr="00C9699E">
        <w:rPr>
          <w:rFonts w:ascii="Cambria" w:eastAsia="SimSun" w:hAnsi="Cambria"/>
          <w:color w:val="000000"/>
          <w:sz w:val="20"/>
          <w:szCs w:val="20"/>
          <w:lang w:val="es-ES"/>
        </w:rPr>
        <w:t xml:space="preserve">varios </w:t>
      </w:r>
      <w:r w:rsidRPr="00C9699E">
        <w:rPr>
          <w:rFonts w:ascii="Cambria" w:eastAsia="SimSun" w:hAnsi="Cambria"/>
          <w:color w:val="000000"/>
          <w:sz w:val="20"/>
          <w:szCs w:val="20"/>
          <w:lang w:val="es-ES"/>
        </w:rPr>
        <w:t xml:space="preserve">miembros del Poder Judicial. Al momento de la redacción del presente informe el </w:t>
      </w:r>
      <w:r w:rsidRPr="00C9699E">
        <w:rPr>
          <w:rFonts w:ascii="Cambria" w:hAnsi="Cambria"/>
          <w:color w:val="000000"/>
          <w:sz w:val="20"/>
          <w:szCs w:val="20"/>
          <w:lang w:val="es-ES"/>
        </w:rPr>
        <w:t>Estado</w:t>
      </w:r>
      <w:r w:rsidRPr="00C9699E">
        <w:rPr>
          <w:rFonts w:ascii="Cambria" w:eastAsia="SimSun" w:hAnsi="Cambria"/>
          <w:color w:val="000000"/>
          <w:sz w:val="20"/>
          <w:szCs w:val="20"/>
          <w:lang w:val="es-ES"/>
        </w:rPr>
        <w:t xml:space="preserve"> aún no ha presentado sus observaciones.</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ES"/>
        </w:rPr>
      </w:pPr>
      <w:r w:rsidRPr="00C9699E">
        <w:rPr>
          <w:rFonts w:ascii="Cambria" w:hAnsi="Cambria"/>
          <w:color w:val="000000"/>
          <w:sz w:val="20"/>
          <w:szCs w:val="20"/>
          <w:lang w:val="es-ES"/>
        </w:rPr>
        <w:t xml:space="preserve">Sin prejuzgar sobre el fondo de la denuncia, tras analizar la posición del peticionario y en cumplimiento de los requisitos previstos en los artículos 46 y 47 de la Convención Americana sobre Derechos Humanos, la Comisión decide declarar la petición admisible a efectos del examen de los alegatos relativos a la presunta violación de los derechos consagrados en los artículos 8 </w:t>
      </w:r>
      <w:r w:rsidR="00332C4C" w:rsidRPr="00C9699E">
        <w:rPr>
          <w:rFonts w:ascii="Cambria" w:hAnsi="Cambria"/>
          <w:color w:val="000000"/>
          <w:sz w:val="20"/>
          <w:szCs w:val="20"/>
          <w:lang w:val="es-ES"/>
        </w:rPr>
        <w:t xml:space="preserve">(garantías judiciales) </w:t>
      </w:r>
      <w:r w:rsidRPr="00C9699E">
        <w:rPr>
          <w:rFonts w:ascii="Cambria" w:hAnsi="Cambria"/>
          <w:color w:val="000000"/>
          <w:sz w:val="20"/>
          <w:szCs w:val="20"/>
          <w:lang w:val="es-ES"/>
        </w:rPr>
        <w:t>y 25</w:t>
      </w:r>
      <w:r w:rsidR="005D60D6" w:rsidRPr="00C9699E">
        <w:rPr>
          <w:rFonts w:ascii="Cambria" w:hAnsi="Cambria"/>
          <w:color w:val="000000"/>
          <w:sz w:val="20"/>
          <w:szCs w:val="20"/>
          <w:lang w:val="es-ES"/>
        </w:rPr>
        <w:t xml:space="preserve"> (protección judicial)</w:t>
      </w:r>
      <w:r w:rsidRPr="00C9699E">
        <w:rPr>
          <w:rFonts w:ascii="Cambria" w:hAnsi="Cambria"/>
          <w:color w:val="000000"/>
          <w:sz w:val="20"/>
          <w:szCs w:val="20"/>
          <w:lang w:val="es-ES"/>
        </w:rPr>
        <w:t xml:space="preserve"> de la Convención Americana sobre Derechos Humanos, en relación </w:t>
      </w:r>
      <w:r w:rsidR="00A20792" w:rsidRPr="00C9699E">
        <w:rPr>
          <w:rFonts w:ascii="Cambria" w:hAnsi="Cambria"/>
          <w:color w:val="000000"/>
          <w:sz w:val="20"/>
          <w:szCs w:val="20"/>
          <w:lang w:val="es-ES"/>
        </w:rPr>
        <w:t>con el</w:t>
      </w:r>
      <w:r w:rsidRPr="00C9699E">
        <w:rPr>
          <w:rFonts w:ascii="Cambria" w:hAnsi="Cambria"/>
          <w:color w:val="000000"/>
          <w:sz w:val="20"/>
          <w:szCs w:val="20"/>
          <w:lang w:val="es-ES"/>
        </w:rPr>
        <w:t xml:space="preserve"> artículo 1.1 de dicho tratado. La Comisión decide además notificar esta decisión a las partes, publicarla e incluirla en su Informe Anual para la Asamblea General de la O</w:t>
      </w:r>
      <w:r w:rsidR="007C6754" w:rsidRPr="00C9699E">
        <w:rPr>
          <w:rFonts w:ascii="Cambria" w:hAnsi="Cambria"/>
          <w:color w:val="000000"/>
          <w:sz w:val="20"/>
          <w:szCs w:val="20"/>
          <w:lang w:val="es-ES"/>
        </w:rPr>
        <w:t xml:space="preserve">rganización de </w:t>
      </w:r>
      <w:r w:rsidRPr="00C9699E">
        <w:rPr>
          <w:rFonts w:ascii="Cambria" w:hAnsi="Cambria"/>
          <w:color w:val="000000"/>
          <w:sz w:val="20"/>
          <w:szCs w:val="20"/>
          <w:lang w:val="es-ES"/>
        </w:rPr>
        <w:t>E</w:t>
      </w:r>
      <w:r w:rsidR="007C6754" w:rsidRPr="00C9699E">
        <w:rPr>
          <w:rFonts w:ascii="Cambria" w:hAnsi="Cambria"/>
          <w:color w:val="000000"/>
          <w:sz w:val="20"/>
          <w:szCs w:val="20"/>
          <w:lang w:val="es-ES"/>
        </w:rPr>
        <w:t xml:space="preserve">stados </w:t>
      </w:r>
      <w:r w:rsidRPr="00C9699E">
        <w:rPr>
          <w:rFonts w:ascii="Cambria" w:hAnsi="Cambria"/>
          <w:color w:val="000000"/>
          <w:sz w:val="20"/>
          <w:szCs w:val="20"/>
          <w:lang w:val="es-ES"/>
        </w:rPr>
        <w:t>A</w:t>
      </w:r>
      <w:r w:rsidR="007C6754" w:rsidRPr="00C9699E">
        <w:rPr>
          <w:rFonts w:ascii="Cambria" w:hAnsi="Cambria"/>
          <w:color w:val="000000"/>
          <w:sz w:val="20"/>
          <w:szCs w:val="20"/>
          <w:lang w:val="es-ES"/>
        </w:rPr>
        <w:t>mericanos</w:t>
      </w:r>
      <w:r w:rsidRPr="00C9699E">
        <w:rPr>
          <w:rFonts w:ascii="Cambria" w:hAnsi="Cambria"/>
          <w:color w:val="000000"/>
          <w:sz w:val="20"/>
          <w:szCs w:val="20"/>
          <w:lang w:val="es-ES"/>
        </w:rPr>
        <w:t xml:space="preserve">. </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t>II.</w:t>
      </w:r>
      <w:r w:rsidRPr="00C9699E">
        <w:rPr>
          <w:rFonts w:ascii="Cambria" w:hAnsi="Cambria"/>
          <w:b/>
          <w:bCs/>
          <w:sz w:val="20"/>
          <w:szCs w:val="20"/>
          <w:lang w:val="es-ES"/>
        </w:rPr>
        <w:tab/>
        <w:t>TRÁMITE ANTE LA CIDH</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9699E">
        <w:rPr>
          <w:rFonts w:ascii="Cambria" w:hAnsi="Cambria"/>
          <w:sz w:val="20"/>
          <w:szCs w:val="20"/>
          <w:lang w:val="es-ES"/>
        </w:rPr>
        <w:t>La CIDH recibió la petición el 28 de julio de 2005</w:t>
      </w:r>
      <w:r w:rsidR="007C6754" w:rsidRPr="00C9699E">
        <w:rPr>
          <w:rFonts w:ascii="Cambria" w:hAnsi="Cambria"/>
          <w:sz w:val="20"/>
          <w:szCs w:val="20"/>
          <w:lang w:val="es-ES"/>
        </w:rPr>
        <w:t xml:space="preserve"> y</w:t>
      </w:r>
      <w:r w:rsidR="00781FA0" w:rsidRPr="00C9699E">
        <w:rPr>
          <w:rFonts w:ascii="Cambria" w:hAnsi="Cambria"/>
          <w:sz w:val="20"/>
          <w:szCs w:val="20"/>
          <w:lang w:val="es-ES"/>
        </w:rPr>
        <w:t xml:space="preserve"> solicitó información adicional al peticionario el 14 de junio de 2010</w:t>
      </w:r>
      <w:r w:rsidR="007C6754" w:rsidRPr="00C9699E">
        <w:rPr>
          <w:rFonts w:ascii="Cambria" w:hAnsi="Cambria"/>
          <w:sz w:val="20"/>
          <w:szCs w:val="20"/>
          <w:lang w:val="es-ES"/>
        </w:rPr>
        <w:t>. El 4 de febrero de 2013 la CIDH</w:t>
      </w:r>
      <w:r w:rsidRPr="00C9699E">
        <w:rPr>
          <w:rFonts w:ascii="Cambria" w:hAnsi="Cambria"/>
          <w:sz w:val="20"/>
          <w:szCs w:val="20"/>
          <w:lang w:val="es-ES"/>
        </w:rPr>
        <w:t xml:space="preserve"> transmitió copia de las partes pertinentes al Estado otorgándole un plazo de dos meses para someter sus observaciones, con base en el artículo 30(3)</w:t>
      </w:r>
      <w:r w:rsidRPr="00C9699E">
        <w:rPr>
          <w:rFonts w:ascii="Cambria" w:hAnsi="Cambria"/>
          <w:color w:val="0070C0"/>
          <w:sz w:val="20"/>
          <w:szCs w:val="20"/>
          <w:lang w:val="es-ES"/>
        </w:rPr>
        <w:t xml:space="preserve"> </w:t>
      </w:r>
      <w:r w:rsidRPr="00C9699E">
        <w:rPr>
          <w:rFonts w:ascii="Cambria" w:hAnsi="Cambria"/>
          <w:sz w:val="20"/>
          <w:szCs w:val="20"/>
          <w:lang w:val="es-ES"/>
        </w:rPr>
        <w:t xml:space="preserve">de su Reglamento entonces en vigor. El 15 de mayo de 2013 el Estado solicitó una prórroga, la cual fue concedida el 17 de junio de 2013. Posteriormente, el 18 de agosto de 2014 se reiteró </w:t>
      </w:r>
      <w:r w:rsidR="007C6754" w:rsidRPr="00C9699E">
        <w:rPr>
          <w:rFonts w:ascii="Cambria" w:hAnsi="Cambria"/>
          <w:sz w:val="20"/>
          <w:szCs w:val="20"/>
          <w:lang w:val="es-ES"/>
        </w:rPr>
        <w:t xml:space="preserve">la solicitud de información </w:t>
      </w:r>
      <w:r w:rsidRPr="00C9699E">
        <w:rPr>
          <w:rFonts w:ascii="Cambria" w:hAnsi="Cambria"/>
          <w:sz w:val="20"/>
          <w:szCs w:val="20"/>
          <w:lang w:val="es-ES"/>
        </w:rPr>
        <w:t xml:space="preserve">al Estado </w:t>
      </w:r>
      <w:r w:rsidR="007C6754" w:rsidRPr="00C9699E">
        <w:rPr>
          <w:rFonts w:ascii="Cambria" w:hAnsi="Cambria"/>
          <w:sz w:val="20"/>
          <w:szCs w:val="20"/>
          <w:lang w:val="es-ES"/>
        </w:rPr>
        <w:t>sin que</w:t>
      </w:r>
      <w:r w:rsidRPr="00C9699E">
        <w:rPr>
          <w:rFonts w:ascii="Cambria" w:hAnsi="Cambria"/>
          <w:sz w:val="20"/>
          <w:szCs w:val="20"/>
          <w:lang w:val="es-ES"/>
        </w:rPr>
        <w:t xml:space="preserve"> a la fecha se ha</w:t>
      </w:r>
      <w:r w:rsidR="007C6754" w:rsidRPr="00C9699E">
        <w:rPr>
          <w:rFonts w:ascii="Cambria" w:hAnsi="Cambria"/>
          <w:sz w:val="20"/>
          <w:szCs w:val="20"/>
          <w:lang w:val="es-ES"/>
        </w:rPr>
        <w:t>ya</w:t>
      </w:r>
      <w:r w:rsidRPr="00C9699E">
        <w:rPr>
          <w:rFonts w:ascii="Cambria" w:hAnsi="Cambria"/>
          <w:sz w:val="20"/>
          <w:szCs w:val="20"/>
          <w:lang w:val="es-ES"/>
        </w:rPr>
        <w:t xml:space="preserve"> recibido respuesta.</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9699E">
        <w:rPr>
          <w:rFonts w:ascii="Cambria" w:hAnsi="Cambria"/>
          <w:sz w:val="20"/>
          <w:szCs w:val="20"/>
          <w:lang w:val="es-ES"/>
        </w:rPr>
        <w:lastRenderedPageBreak/>
        <w:t>El peticionario envió información adicional a la CIDH en las siguientes fechas: 17 de junio de 2013, 24 de noviembre de 2014</w:t>
      </w:r>
      <w:r w:rsidR="00781FA0" w:rsidRPr="00C9699E">
        <w:rPr>
          <w:rFonts w:ascii="Cambria" w:hAnsi="Cambria"/>
          <w:sz w:val="20"/>
          <w:szCs w:val="20"/>
          <w:lang w:val="es-ES"/>
        </w:rPr>
        <w:t>,</w:t>
      </w:r>
      <w:r w:rsidRPr="00C9699E">
        <w:rPr>
          <w:rFonts w:ascii="Cambria" w:hAnsi="Cambria"/>
          <w:sz w:val="20"/>
          <w:szCs w:val="20"/>
          <w:lang w:val="es-ES"/>
        </w:rPr>
        <w:t xml:space="preserve"> 3 de julio de 2015</w:t>
      </w:r>
      <w:r w:rsidR="00781FA0" w:rsidRPr="00C9699E">
        <w:rPr>
          <w:rFonts w:ascii="Cambria" w:hAnsi="Cambria"/>
          <w:sz w:val="20"/>
          <w:szCs w:val="20"/>
          <w:lang w:val="es-ES"/>
        </w:rPr>
        <w:t xml:space="preserve"> y 26 de enero de 2016</w:t>
      </w:r>
      <w:r w:rsidRPr="00C9699E">
        <w:rPr>
          <w:rFonts w:ascii="Cambria" w:hAnsi="Cambria"/>
          <w:sz w:val="20"/>
          <w:szCs w:val="20"/>
          <w:lang w:val="es-ES"/>
        </w:rPr>
        <w:t xml:space="preserve">. Estas comunicaciones fueron debidamente trasladadas al Estado. </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t>III.</w:t>
      </w:r>
      <w:r w:rsidRPr="00C9699E">
        <w:rPr>
          <w:rFonts w:ascii="Cambria" w:hAnsi="Cambria"/>
          <w:b/>
          <w:bCs/>
          <w:sz w:val="20"/>
          <w:szCs w:val="20"/>
          <w:lang w:val="es-ES"/>
        </w:rPr>
        <w:tab/>
        <w:t>POSICIÓN DE LAS PARTES</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sz w:val="20"/>
          <w:szCs w:val="20"/>
          <w:lang w:val="es-ES"/>
        </w:rPr>
      </w:pPr>
      <w:r w:rsidRPr="00C9699E">
        <w:rPr>
          <w:rFonts w:ascii="Cambria" w:hAnsi="Cambria"/>
          <w:b/>
          <w:bCs/>
          <w:sz w:val="20"/>
          <w:szCs w:val="20"/>
          <w:lang w:val="es-ES"/>
        </w:rPr>
        <w:t>A.</w:t>
      </w:r>
      <w:r w:rsidRPr="00C9699E">
        <w:rPr>
          <w:rFonts w:ascii="Cambria" w:hAnsi="Cambria"/>
          <w:b/>
          <w:bCs/>
          <w:sz w:val="20"/>
          <w:szCs w:val="20"/>
          <w:lang w:val="es-ES"/>
        </w:rPr>
        <w:tab/>
        <w:t xml:space="preserve">Posición del peticionario </w:t>
      </w:r>
    </w:p>
    <w:p w:rsidR="00CF4BC2" w:rsidRPr="00C9699E" w:rsidRDefault="00CF4BC2" w:rsidP="00A8750D">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El peticionario</w:t>
      </w:r>
      <w:r w:rsidR="00C953D3" w:rsidRPr="00C9699E">
        <w:rPr>
          <w:rFonts w:ascii="Cambria" w:hAnsi="Cambria" w:cs="Arial"/>
          <w:sz w:val="20"/>
          <w:szCs w:val="20"/>
          <w:lang w:val="es-ES"/>
        </w:rPr>
        <w:t xml:space="preserve">, quien al momento de los hechos era un funcionario </w:t>
      </w:r>
      <w:r w:rsidR="00194B9A" w:rsidRPr="00C9699E">
        <w:rPr>
          <w:rFonts w:ascii="Cambria" w:hAnsi="Cambria" w:cs="Arial"/>
          <w:sz w:val="20"/>
          <w:szCs w:val="20"/>
          <w:lang w:val="es-ES"/>
        </w:rPr>
        <w:t>judicial</w:t>
      </w:r>
      <w:r w:rsidR="00C953D3" w:rsidRPr="00C9699E">
        <w:rPr>
          <w:rFonts w:ascii="Cambria" w:hAnsi="Cambria" w:cs="Arial"/>
          <w:sz w:val="20"/>
          <w:szCs w:val="20"/>
          <w:lang w:val="es-ES"/>
        </w:rPr>
        <w:t xml:space="preserve">, indica que el 13 de noviembre de 1993 se dirigía </w:t>
      </w:r>
      <w:r w:rsidR="00194B9A" w:rsidRPr="00C9699E">
        <w:rPr>
          <w:rFonts w:ascii="Cambria" w:hAnsi="Cambria" w:cs="Arial"/>
          <w:sz w:val="20"/>
          <w:szCs w:val="20"/>
          <w:lang w:val="es-ES"/>
        </w:rPr>
        <w:t xml:space="preserve">a realizar una diligencia judicial </w:t>
      </w:r>
      <w:r w:rsidR="00C953D3" w:rsidRPr="00C9699E">
        <w:rPr>
          <w:rFonts w:ascii="Cambria" w:hAnsi="Cambria" w:cs="Arial"/>
          <w:sz w:val="20"/>
          <w:szCs w:val="20"/>
          <w:lang w:val="es-ES"/>
        </w:rPr>
        <w:t xml:space="preserve">junto </w:t>
      </w:r>
      <w:r w:rsidR="007C6754" w:rsidRPr="00C9699E">
        <w:rPr>
          <w:rFonts w:ascii="Cambria" w:hAnsi="Cambria" w:cs="Arial"/>
          <w:sz w:val="20"/>
          <w:szCs w:val="20"/>
          <w:lang w:val="es-ES"/>
        </w:rPr>
        <w:t>con otro  funcionario</w:t>
      </w:r>
      <w:r w:rsidR="00194B9A" w:rsidRPr="00C9699E">
        <w:rPr>
          <w:rFonts w:ascii="Cambria" w:hAnsi="Cambria" w:cs="Arial"/>
          <w:sz w:val="20"/>
          <w:szCs w:val="20"/>
          <w:lang w:val="es-ES"/>
        </w:rPr>
        <w:t xml:space="preserve"> y</w:t>
      </w:r>
      <w:r w:rsidR="007C6754" w:rsidRPr="00C9699E">
        <w:rPr>
          <w:rFonts w:ascii="Cambria" w:hAnsi="Cambria" w:cs="Arial"/>
          <w:sz w:val="20"/>
          <w:szCs w:val="20"/>
          <w:lang w:val="es-ES"/>
        </w:rPr>
        <w:t xml:space="preserve"> con</w:t>
      </w:r>
      <w:r w:rsidR="00194B9A" w:rsidRPr="00C9699E">
        <w:rPr>
          <w:rFonts w:ascii="Cambria" w:hAnsi="Cambria" w:cs="Arial"/>
          <w:sz w:val="20"/>
          <w:szCs w:val="20"/>
          <w:lang w:val="es-ES"/>
        </w:rPr>
        <w:t xml:space="preserve"> el Juez de Paz de</w:t>
      </w:r>
      <w:r w:rsidR="007C6754" w:rsidRPr="00C9699E">
        <w:rPr>
          <w:rFonts w:ascii="Cambria" w:hAnsi="Cambria" w:cs="Arial"/>
          <w:sz w:val="20"/>
          <w:szCs w:val="20"/>
          <w:lang w:val="es-ES"/>
        </w:rPr>
        <w:t xml:space="preserve"> Villa Apaneca, </w:t>
      </w:r>
      <w:r w:rsidR="00194B9A" w:rsidRPr="00C9699E">
        <w:rPr>
          <w:rFonts w:ascii="Cambria" w:hAnsi="Cambria" w:cs="Arial"/>
          <w:sz w:val="20"/>
          <w:szCs w:val="20"/>
          <w:lang w:val="es-ES"/>
        </w:rPr>
        <w:t xml:space="preserve">propietario del vehículo en el que se transportaban. En un punto determinado del trayecto, sobre la carretera que de Ahuachapán conduce hacia Sonsonate, </w:t>
      </w:r>
      <w:r w:rsidRPr="00C9699E">
        <w:rPr>
          <w:rFonts w:ascii="Cambria" w:hAnsi="Cambria" w:cs="Arial"/>
          <w:sz w:val="20"/>
          <w:szCs w:val="20"/>
          <w:lang w:val="es-ES"/>
        </w:rPr>
        <w:t xml:space="preserve">explotó </w:t>
      </w:r>
      <w:r w:rsidR="007C6754" w:rsidRPr="00C9699E">
        <w:rPr>
          <w:rFonts w:ascii="Cambria" w:hAnsi="Cambria" w:cs="Arial"/>
          <w:sz w:val="20"/>
          <w:szCs w:val="20"/>
          <w:lang w:val="es-ES"/>
        </w:rPr>
        <w:t xml:space="preserve">repentinamente </w:t>
      </w:r>
      <w:r w:rsidRPr="00C9699E">
        <w:rPr>
          <w:rFonts w:ascii="Cambria" w:hAnsi="Cambria" w:cs="Arial"/>
          <w:sz w:val="20"/>
          <w:szCs w:val="20"/>
          <w:lang w:val="es-ES"/>
        </w:rPr>
        <w:t xml:space="preserve">una granada en el interior del vehículo. Señala </w:t>
      </w:r>
      <w:r w:rsidR="00B628BC" w:rsidRPr="00C9699E">
        <w:rPr>
          <w:rFonts w:ascii="Cambria" w:hAnsi="Cambria" w:cs="Arial"/>
          <w:sz w:val="20"/>
          <w:szCs w:val="20"/>
          <w:lang w:val="es-ES"/>
        </w:rPr>
        <w:t xml:space="preserve">el peticionario </w:t>
      </w:r>
      <w:r w:rsidRPr="00C9699E">
        <w:rPr>
          <w:rFonts w:ascii="Cambria" w:hAnsi="Cambria" w:cs="Arial"/>
          <w:sz w:val="20"/>
          <w:szCs w:val="20"/>
          <w:lang w:val="es-ES"/>
        </w:rPr>
        <w:t xml:space="preserve">que en ese momento </w:t>
      </w:r>
      <w:r w:rsidR="00B628BC" w:rsidRPr="00C9699E">
        <w:rPr>
          <w:rFonts w:ascii="Cambria" w:hAnsi="Cambria" w:cs="Arial"/>
          <w:sz w:val="20"/>
          <w:szCs w:val="20"/>
          <w:lang w:val="es-ES"/>
        </w:rPr>
        <w:t>el</w:t>
      </w:r>
      <w:r w:rsidRPr="00C9699E">
        <w:rPr>
          <w:rFonts w:ascii="Cambria" w:hAnsi="Cambria" w:cs="Arial"/>
          <w:sz w:val="20"/>
          <w:szCs w:val="20"/>
          <w:lang w:val="es-ES"/>
        </w:rPr>
        <w:t xml:space="preserve"> conductor </w:t>
      </w:r>
      <w:r w:rsidR="00B628BC" w:rsidRPr="00C9699E">
        <w:rPr>
          <w:rFonts w:ascii="Cambria" w:hAnsi="Cambria" w:cs="Arial"/>
          <w:sz w:val="20"/>
          <w:szCs w:val="20"/>
          <w:lang w:val="es-ES"/>
        </w:rPr>
        <w:t>del vehículo salió del automóvil con una esc</w:t>
      </w:r>
      <w:r w:rsidR="007C6754" w:rsidRPr="00C9699E">
        <w:rPr>
          <w:rFonts w:ascii="Cambria" w:hAnsi="Cambria" w:cs="Arial"/>
          <w:sz w:val="20"/>
          <w:szCs w:val="20"/>
          <w:lang w:val="es-ES"/>
        </w:rPr>
        <w:t xml:space="preserve">opeta calibre 12 en sus manos </w:t>
      </w:r>
      <w:r w:rsidR="00B628BC" w:rsidRPr="00C9699E">
        <w:rPr>
          <w:rFonts w:ascii="Cambria" w:hAnsi="Cambria" w:cs="Arial"/>
          <w:sz w:val="20"/>
          <w:szCs w:val="20"/>
          <w:lang w:val="es-ES"/>
        </w:rPr>
        <w:t xml:space="preserve">gritando que eran víctimas de un atentado, </w:t>
      </w:r>
      <w:r w:rsidRPr="00C9699E">
        <w:rPr>
          <w:rFonts w:ascii="Cambria" w:hAnsi="Cambria" w:cs="Arial"/>
          <w:sz w:val="20"/>
          <w:szCs w:val="20"/>
          <w:lang w:val="es-ES"/>
        </w:rPr>
        <w:t xml:space="preserve">mientras que el otro pasajero que los acompañaba salió corriendo a dar aviso a la policía. </w:t>
      </w:r>
    </w:p>
    <w:p w:rsidR="00CF4BC2" w:rsidRPr="00C9699E" w:rsidRDefault="007C6754"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Según e</w:t>
      </w:r>
      <w:r w:rsidR="00CF4BC2" w:rsidRPr="00C9699E">
        <w:rPr>
          <w:rFonts w:ascii="Cambria" w:hAnsi="Cambria" w:cs="Arial"/>
          <w:sz w:val="20"/>
          <w:szCs w:val="20"/>
          <w:lang w:val="es-ES"/>
        </w:rPr>
        <w:t>l peticionario</w:t>
      </w:r>
      <w:r w:rsidRPr="00C9699E">
        <w:rPr>
          <w:rFonts w:ascii="Cambria" w:hAnsi="Cambria" w:cs="Arial"/>
          <w:sz w:val="20"/>
          <w:szCs w:val="20"/>
          <w:lang w:val="es-ES"/>
        </w:rPr>
        <w:t>,</w:t>
      </w:r>
      <w:r w:rsidR="00CF4BC2" w:rsidRPr="00C9699E">
        <w:rPr>
          <w:rFonts w:ascii="Cambria" w:hAnsi="Cambria" w:cs="Arial"/>
          <w:sz w:val="20"/>
          <w:szCs w:val="20"/>
          <w:lang w:val="es-ES"/>
        </w:rPr>
        <w:t xml:space="preserve"> ninguno de sus acompañantes le </w:t>
      </w:r>
      <w:r w:rsidR="004158F5" w:rsidRPr="00C9699E">
        <w:rPr>
          <w:rFonts w:ascii="Cambria" w:hAnsi="Cambria" w:cs="Arial"/>
          <w:sz w:val="20"/>
          <w:szCs w:val="20"/>
          <w:lang w:val="es-ES"/>
        </w:rPr>
        <w:t>prestó</w:t>
      </w:r>
      <w:r w:rsidR="00CF4BC2" w:rsidRPr="00C9699E">
        <w:rPr>
          <w:rFonts w:ascii="Cambria" w:hAnsi="Cambria" w:cs="Arial"/>
          <w:sz w:val="20"/>
          <w:szCs w:val="20"/>
          <w:lang w:val="es-ES"/>
        </w:rPr>
        <w:t xml:space="preserve"> auxilio</w:t>
      </w:r>
      <w:r w:rsidR="004158F5" w:rsidRPr="00C9699E">
        <w:rPr>
          <w:rFonts w:ascii="Cambria" w:hAnsi="Cambria" w:cs="Arial"/>
          <w:sz w:val="20"/>
          <w:szCs w:val="20"/>
          <w:lang w:val="es-ES"/>
        </w:rPr>
        <w:t xml:space="preserve"> en ese momento, a pesar de </w:t>
      </w:r>
      <w:r w:rsidRPr="00C9699E">
        <w:rPr>
          <w:rFonts w:ascii="Cambria" w:hAnsi="Cambria" w:cs="Arial"/>
          <w:sz w:val="20"/>
          <w:szCs w:val="20"/>
          <w:lang w:val="es-ES"/>
        </w:rPr>
        <w:t>haber recibido</w:t>
      </w:r>
      <w:r w:rsidR="004158F5" w:rsidRPr="00C9699E">
        <w:rPr>
          <w:rFonts w:ascii="Cambria" w:hAnsi="Cambria" w:cs="Arial"/>
          <w:sz w:val="20"/>
          <w:szCs w:val="20"/>
          <w:lang w:val="es-ES"/>
        </w:rPr>
        <w:t xml:space="preserve"> el impacto de la detonación</w:t>
      </w:r>
      <w:r w:rsidR="00CF4BC2" w:rsidRPr="00C9699E">
        <w:rPr>
          <w:rFonts w:ascii="Cambria" w:hAnsi="Cambria" w:cs="Arial"/>
          <w:sz w:val="20"/>
          <w:szCs w:val="20"/>
          <w:lang w:val="es-ES"/>
        </w:rPr>
        <w:t>, y solo fue ayudado por terceros que se encontraban en el lugar de los hechos</w:t>
      </w:r>
      <w:r w:rsidRPr="00C9699E">
        <w:rPr>
          <w:rFonts w:ascii="Cambria" w:hAnsi="Cambria" w:cs="Arial"/>
          <w:sz w:val="20"/>
          <w:szCs w:val="20"/>
          <w:lang w:val="es-ES"/>
        </w:rPr>
        <w:t xml:space="preserve">, quienes </w:t>
      </w:r>
      <w:r w:rsidR="004158F5" w:rsidRPr="00C9699E">
        <w:rPr>
          <w:rFonts w:ascii="Cambria" w:hAnsi="Cambria" w:cs="Arial"/>
          <w:sz w:val="20"/>
          <w:szCs w:val="20"/>
          <w:lang w:val="es-ES"/>
        </w:rPr>
        <w:t>lo condujeron</w:t>
      </w:r>
      <w:r w:rsidR="00CF4BC2" w:rsidRPr="00C9699E">
        <w:rPr>
          <w:rFonts w:ascii="Cambria" w:hAnsi="Cambria" w:cs="Arial"/>
          <w:sz w:val="20"/>
          <w:szCs w:val="20"/>
          <w:lang w:val="es-ES"/>
        </w:rPr>
        <w:t xml:space="preserve"> al Hospital “Francisco Menéndez”</w:t>
      </w:r>
      <w:r w:rsidR="004158F5" w:rsidRPr="00C9699E">
        <w:rPr>
          <w:rFonts w:ascii="Cambria" w:hAnsi="Cambria" w:cs="Arial"/>
          <w:sz w:val="20"/>
          <w:szCs w:val="20"/>
          <w:lang w:val="es-ES"/>
        </w:rPr>
        <w:t>,</w:t>
      </w:r>
      <w:r w:rsidR="00CF4BC2" w:rsidRPr="00C9699E">
        <w:rPr>
          <w:rFonts w:ascii="Cambria" w:hAnsi="Cambria" w:cs="Arial"/>
          <w:sz w:val="20"/>
          <w:szCs w:val="20"/>
          <w:lang w:val="es-ES"/>
        </w:rPr>
        <w:t xml:space="preserve"> </w:t>
      </w:r>
      <w:r w:rsidR="004158F5" w:rsidRPr="00C9699E">
        <w:rPr>
          <w:rFonts w:ascii="Cambria" w:hAnsi="Cambria" w:cs="Arial"/>
          <w:sz w:val="20"/>
          <w:szCs w:val="20"/>
          <w:lang w:val="es-ES"/>
        </w:rPr>
        <w:t>en</w:t>
      </w:r>
      <w:r w:rsidR="00CF4BC2" w:rsidRPr="00C9699E">
        <w:rPr>
          <w:rFonts w:ascii="Cambria" w:hAnsi="Cambria" w:cs="Arial"/>
          <w:sz w:val="20"/>
          <w:szCs w:val="20"/>
          <w:lang w:val="es-ES"/>
        </w:rPr>
        <w:t xml:space="preserve"> la ciudad de Ahuachapán. </w:t>
      </w:r>
      <w:r w:rsidR="004158F5" w:rsidRPr="00C9699E">
        <w:rPr>
          <w:rFonts w:ascii="Cambria" w:hAnsi="Cambria" w:cs="Arial"/>
          <w:sz w:val="20"/>
          <w:szCs w:val="20"/>
          <w:lang w:val="es-ES"/>
        </w:rPr>
        <w:t xml:space="preserve">Desde </w:t>
      </w:r>
      <w:r w:rsidRPr="00C9699E">
        <w:rPr>
          <w:rFonts w:ascii="Cambria" w:hAnsi="Cambria" w:cs="Arial"/>
          <w:sz w:val="20"/>
          <w:szCs w:val="20"/>
          <w:lang w:val="es-ES"/>
        </w:rPr>
        <w:t>allí</w:t>
      </w:r>
      <w:r w:rsidR="004158F5" w:rsidRPr="00C9699E">
        <w:rPr>
          <w:rFonts w:ascii="Cambria" w:hAnsi="Cambria" w:cs="Arial"/>
          <w:sz w:val="20"/>
          <w:szCs w:val="20"/>
          <w:lang w:val="es-ES"/>
        </w:rPr>
        <w:t xml:space="preserve"> fue trasladado al Hospital del Seguro Social </w:t>
      </w:r>
      <w:r w:rsidR="00C11C43" w:rsidRPr="00C9699E">
        <w:rPr>
          <w:rFonts w:ascii="Cambria" w:hAnsi="Cambria" w:cs="Arial"/>
          <w:sz w:val="20"/>
          <w:szCs w:val="20"/>
          <w:lang w:val="es-ES"/>
        </w:rPr>
        <w:t>de</w:t>
      </w:r>
      <w:r w:rsidR="004158F5" w:rsidRPr="00C9699E">
        <w:rPr>
          <w:rFonts w:ascii="Cambria" w:hAnsi="Cambria" w:cs="Arial"/>
          <w:sz w:val="20"/>
          <w:szCs w:val="20"/>
          <w:lang w:val="es-ES"/>
        </w:rPr>
        <w:t xml:space="preserve"> la ciudad </w:t>
      </w:r>
      <w:r w:rsidR="00C11C43" w:rsidRPr="00C9699E">
        <w:rPr>
          <w:rFonts w:ascii="Cambria" w:hAnsi="Cambria" w:cs="Arial"/>
          <w:sz w:val="20"/>
          <w:szCs w:val="20"/>
          <w:lang w:val="es-ES"/>
        </w:rPr>
        <w:t>de Santa Ana. El peticionario denuncia que</w:t>
      </w:r>
      <w:r w:rsidRPr="00C9699E">
        <w:rPr>
          <w:rFonts w:ascii="Cambria" w:hAnsi="Cambria" w:cs="Arial"/>
          <w:sz w:val="20"/>
          <w:szCs w:val="20"/>
          <w:lang w:val="es-ES"/>
        </w:rPr>
        <w:t>,</w:t>
      </w:r>
      <w:r w:rsidR="00C11C43" w:rsidRPr="00C9699E">
        <w:rPr>
          <w:rFonts w:ascii="Cambria" w:hAnsi="Cambria" w:cs="Arial"/>
          <w:sz w:val="20"/>
          <w:szCs w:val="20"/>
          <w:lang w:val="es-ES"/>
        </w:rPr>
        <w:t xml:space="preserve"> </w:t>
      </w:r>
      <w:r w:rsidR="00CF4BC2" w:rsidRPr="00C9699E">
        <w:rPr>
          <w:rFonts w:ascii="Cambria" w:hAnsi="Cambria" w:cs="Arial"/>
          <w:sz w:val="20"/>
          <w:szCs w:val="20"/>
          <w:lang w:val="es-ES"/>
        </w:rPr>
        <w:t xml:space="preserve">producto de la explosión, </w:t>
      </w:r>
      <w:r w:rsidR="00C11C43" w:rsidRPr="00C9699E">
        <w:rPr>
          <w:rFonts w:ascii="Cambria" w:hAnsi="Cambria" w:cs="Arial"/>
          <w:sz w:val="20"/>
          <w:szCs w:val="20"/>
          <w:lang w:val="es-ES"/>
        </w:rPr>
        <w:t xml:space="preserve">le amputaron </w:t>
      </w:r>
      <w:r w:rsidR="00CF4BC2" w:rsidRPr="00C9699E">
        <w:rPr>
          <w:rFonts w:ascii="Cambria" w:hAnsi="Cambria" w:cs="Arial"/>
          <w:sz w:val="20"/>
          <w:szCs w:val="20"/>
          <w:lang w:val="es-ES"/>
        </w:rPr>
        <w:t xml:space="preserve">la pierna derecha arriba de la rodilla, </w:t>
      </w:r>
      <w:r w:rsidR="00C11C43" w:rsidRPr="00C9699E">
        <w:rPr>
          <w:rFonts w:ascii="Cambria" w:hAnsi="Cambria" w:cs="Arial"/>
          <w:sz w:val="20"/>
          <w:szCs w:val="20"/>
          <w:lang w:val="es-ES"/>
        </w:rPr>
        <w:t xml:space="preserve">perdió definitivamente </w:t>
      </w:r>
      <w:r w:rsidR="00CF4BC2" w:rsidRPr="00C9699E">
        <w:rPr>
          <w:rFonts w:ascii="Cambria" w:hAnsi="Cambria" w:cs="Arial"/>
          <w:sz w:val="20"/>
          <w:szCs w:val="20"/>
          <w:lang w:val="es-ES"/>
        </w:rPr>
        <w:t xml:space="preserve">la audición del oído derecho, y </w:t>
      </w:r>
      <w:r w:rsidR="00C11C43" w:rsidRPr="00C9699E">
        <w:rPr>
          <w:rFonts w:ascii="Cambria" w:hAnsi="Cambria" w:cs="Arial"/>
          <w:sz w:val="20"/>
          <w:szCs w:val="20"/>
          <w:lang w:val="es-ES"/>
        </w:rPr>
        <w:t>sufrió</w:t>
      </w:r>
      <w:r w:rsidR="00CF4BC2" w:rsidRPr="00C9699E">
        <w:rPr>
          <w:rFonts w:ascii="Cambria" w:hAnsi="Cambria" w:cs="Arial"/>
          <w:sz w:val="20"/>
          <w:szCs w:val="20"/>
          <w:lang w:val="es-ES"/>
        </w:rPr>
        <w:t xml:space="preserve"> múltiples lesiones </w:t>
      </w:r>
      <w:r w:rsidR="00C11C43" w:rsidRPr="00C9699E">
        <w:rPr>
          <w:rFonts w:ascii="Cambria" w:hAnsi="Cambria" w:cs="Arial"/>
          <w:sz w:val="20"/>
          <w:szCs w:val="20"/>
          <w:lang w:val="es-ES"/>
        </w:rPr>
        <w:t>en otras partes de</w:t>
      </w:r>
      <w:r w:rsidRPr="00C9699E">
        <w:rPr>
          <w:rFonts w:ascii="Cambria" w:hAnsi="Cambria" w:cs="Arial"/>
          <w:sz w:val="20"/>
          <w:szCs w:val="20"/>
          <w:lang w:val="es-ES"/>
        </w:rPr>
        <w:t>l</w:t>
      </w:r>
      <w:r w:rsidR="00C11C43" w:rsidRPr="00C9699E">
        <w:rPr>
          <w:rFonts w:ascii="Cambria" w:hAnsi="Cambria" w:cs="Arial"/>
          <w:sz w:val="20"/>
          <w:szCs w:val="20"/>
          <w:lang w:val="es-ES"/>
        </w:rPr>
        <w:t xml:space="preserve"> cuerpo</w:t>
      </w:r>
      <w:r w:rsidR="00CF4BC2" w:rsidRPr="00C9699E">
        <w:rPr>
          <w:rFonts w:ascii="Cambria" w:hAnsi="Cambria" w:cs="Arial"/>
          <w:sz w:val="20"/>
          <w:szCs w:val="20"/>
          <w:lang w:val="es-ES"/>
        </w:rPr>
        <w:t>.</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 xml:space="preserve">El peticionario </w:t>
      </w:r>
      <w:r w:rsidR="0079368B" w:rsidRPr="00C9699E">
        <w:rPr>
          <w:rFonts w:ascii="Cambria" w:hAnsi="Cambria" w:cs="Arial"/>
          <w:sz w:val="20"/>
          <w:szCs w:val="20"/>
          <w:lang w:val="es-ES"/>
        </w:rPr>
        <w:t>aduce</w:t>
      </w:r>
      <w:r w:rsidRPr="00C9699E">
        <w:rPr>
          <w:rFonts w:ascii="Cambria" w:hAnsi="Cambria" w:cs="Arial"/>
          <w:sz w:val="20"/>
          <w:szCs w:val="20"/>
          <w:lang w:val="es-ES"/>
        </w:rPr>
        <w:t xml:space="preserve"> que</w:t>
      </w:r>
      <w:r w:rsidR="0079368B" w:rsidRPr="00C9699E">
        <w:rPr>
          <w:rFonts w:ascii="Cambria" w:hAnsi="Cambria" w:cs="Arial"/>
          <w:sz w:val="20"/>
          <w:szCs w:val="20"/>
          <w:lang w:val="es-ES"/>
        </w:rPr>
        <w:t>, de acuerdo con los informes periciales realizados por la Policía Nacional Civil (en adelante “PNC”) la explosión se produjo dentro del vehículo</w:t>
      </w:r>
      <w:r w:rsidR="0010216B" w:rsidRPr="00C9699E">
        <w:rPr>
          <w:rFonts w:ascii="Cambria" w:hAnsi="Cambria" w:cs="Arial"/>
          <w:sz w:val="20"/>
          <w:szCs w:val="20"/>
          <w:lang w:val="es-ES"/>
        </w:rPr>
        <w:t>. Sin embargo</w:t>
      </w:r>
      <w:r w:rsidR="0079368B" w:rsidRPr="00C9699E">
        <w:rPr>
          <w:rFonts w:ascii="Cambria" w:hAnsi="Cambria" w:cs="Arial"/>
          <w:sz w:val="20"/>
          <w:szCs w:val="20"/>
          <w:lang w:val="es-ES"/>
        </w:rPr>
        <w:t xml:space="preserve">, </w:t>
      </w:r>
      <w:r w:rsidRPr="00C9699E">
        <w:rPr>
          <w:rFonts w:ascii="Cambria" w:hAnsi="Cambria" w:cs="Arial"/>
          <w:sz w:val="20"/>
          <w:szCs w:val="20"/>
          <w:lang w:val="es-ES"/>
        </w:rPr>
        <w:t xml:space="preserve">el conductor habría inventado </w:t>
      </w:r>
      <w:r w:rsidR="0079368B" w:rsidRPr="00C9699E">
        <w:rPr>
          <w:rFonts w:ascii="Cambria" w:hAnsi="Cambria" w:cs="Arial"/>
          <w:sz w:val="20"/>
          <w:szCs w:val="20"/>
          <w:lang w:val="es-ES"/>
        </w:rPr>
        <w:t xml:space="preserve">que la granada les fue lanzada desde afuera del vehículo, y que </w:t>
      </w:r>
      <w:r w:rsidR="00E2258B" w:rsidRPr="00C9699E">
        <w:rPr>
          <w:rFonts w:ascii="Cambria" w:hAnsi="Cambria" w:cs="Arial"/>
          <w:sz w:val="20"/>
          <w:szCs w:val="20"/>
          <w:lang w:val="es-ES"/>
        </w:rPr>
        <w:t xml:space="preserve">una vez dentro del mismo </w:t>
      </w:r>
      <w:r w:rsidR="0010216B" w:rsidRPr="00C9699E">
        <w:rPr>
          <w:rFonts w:ascii="Cambria" w:hAnsi="Cambria" w:cs="Arial"/>
          <w:sz w:val="20"/>
          <w:szCs w:val="20"/>
          <w:lang w:val="es-ES"/>
        </w:rPr>
        <w:t>explotó</w:t>
      </w:r>
      <w:r w:rsidR="00E2258B" w:rsidRPr="00C9699E">
        <w:rPr>
          <w:rFonts w:ascii="Cambria" w:hAnsi="Cambria" w:cs="Arial"/>
          <w:sz w:val="20"/>
          <w:szCs w:val="20"/>
          <w:lang w:val="es-ES"/>
        </w:rPr>
        <w:t>.</w:t>
      </w:r>
      <w:r w:rsidR="000A39F4">
        <w:rPr>
          <w:rFonts w:ascii="Cambria" w:hAnsi="Cambria" w:cs="Arial"/>
          <w:sz w:val="20"/>
          <w:szCs w:val="20"/>
          <w:lang w:val="es-ES"/>
        </w:rPr>
        <w:t xml:space="preserve"> </w:t>
      </w:r>
      <w:r w:rsidR="000A39F4" w:rsidRPr="00C9699E">
        <w:rPr>
          <w:rFonts w:ascii="Cambria" w:hAnsi="Cambria" w:cs="Arial"/>
          <w:sz w:val="20"/>
          <w:szCs w:val="20"/>
          <w:lang w:val="es-ES"/>
        </w:rPr>
        <w:t>En este sentido, aduce que los órganos auxiliares de la justicia, como la Policía Nacional Civil, realizaron una investigación deficiente, ya que no habrían protegido la escena del delito, no habrían levantado correctamente la evidencia, ni habrían realizado con la debida diligencia las pruebas científicas para determinar si el artefacto se encontraba al interior del vehículo o si habría sido lanzado desde el exterior; además de la supuesta corrupción de dos médicos forens</w:t>
      </w:r>
      <w:r w:rsidR="000A39F4">
        <w:rPr>
          <w:rFonts w:ascii="Cambria" w:hAnsi="Cambria" w:cs="Arial"/>
          <w:sz w:val="20"/>
          <w:szCs w:val="20"/>
          <w:lang w:val="es-ES"/>
        </w:rPr>
        <w:t>es que participaron del proceso y la demora injustificada en todo el proceso posterior.</w:t>
      </w:r>
      <w:r w:rsidR="00E2258B" w:rsidRPr="00C9699E">
        <w:rPr>
          <w:rFonts w:ascii="Cambria" w:hAnsi="Cambria" w:cs="Arial"/>
          <w:sz w:val="20"/>
          <w:szCs w:val="20"/>
          <w:lang w:val="es-ES"/>
        </w:rPr>
        <w:t xml:space="preserve"> </w:t>
      </w:r>
    </w:p>
    <w:p w:rsidR="00D01971" w:rsidRPr="00C9699E" w:rsidRDefault="00CF4BC2" w:rsidP="00C83231">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Señala que el proceso penal inició el 14 de noviembre de 1993</w:t>
      </w:r>
      <w:r w:rsidR="00A41682" w:rsidRPr="00C9699E">
        <w:rPr>
          <w:rFonts w:ascii="Cambria" w:hAnsi="Cambria" w:cs="Arial"/>
          <w:sz w:val="20"/>
          <w:szCs w:val="20"/>
          <w:lang w:val="es-ES"/>
        </w:rPr>
        <w:t>, cuando la</w:t>
      </w:r>
      <w:r w:rsidRPr="00C9699E">
        <w:rPr>
          <w:rFonts w:ascii="Cambria" w:hAnsi="Cambria" w:cs="Arial"/>
          <w:sz w:val="20"/>
          <w:szCs w:val="20"/>
          <w:lang w:val="es-ES"/>
        </w:rPr>
        <w:t xml:space="preserve"> </w:t>
      </w:r>
      <w:r w:rsidR="00A41682" w:rsidRPr="00C9699E">
        <w:rPr>
          <w:rFonts w:ascii="Cambria" w:hAnsi="Cambria" w:cs="Arial"/>
          <w:sz w:val="20"/>
          <w:szCs w:val="20"/>
          <w:lang w:val="es-ES"/>
        </w:rPr>
        <w:t>Jueza</w:t>
      </w:r>
      <w:r w:rsidRPr="00C9699E">
        <w:rPr>
          <w:rFonts w:ascii="Cambria" w:hAnsi="Cambria" w:cs="Arial"/>
          <w:sz w:val="20"/>
          <w:szCs w:val="20"/>
          <w:lang w:val="es-ES"/>
        </w:rPr>
        <w:t xml:space="preserve"> de Paz de Villa Concepción de Ataco</w:t>
      </w:r>
      <w:r w:rsidR="00A41682" w:rsidRPr="00C9699E">
        <w:rPr>
          <w:rFonts w:ascii="Cambria" w:hAnsi="Cambria" w:cs="Arial"/>
          <w:sz w:val="20"/>
          <w:szCs w:val="20"/>
          <w:lang w:val="es-ES"/>
        </w:rPr>
        <w:t xml:space="preserve"> realizó las primeras diligencias</w:t>
      </w:r>
      <w:r w:rsidRPr="00C9699E">
        <w:rPr>
          <w:rFonts w:ascii="Cambria" w:hAnsi="Cambria" w:cs="Arial"/>
          <w:sz w:val="20"/>
          <w:szCs w:val="20"/>
          <w:lang w:val="es-ES"/>
        </w:rPr>
        <w:t xml:space="preserve">, y </w:t>
      </w:r>
      <w:r w:rsidR="00034298" w:rsidRPr="00C9699E">
        <w:rPr>
          <w:rFonts w:ascii="Cambria" w:hAnsi="Cambria" w:cs="Arial"/>
          <w:sz w:val="20"/>
          <w:szCs w:val="20"/>
          <w:lang w:val="es-ES"/>
        </w:rPr>
        <w:t xml:space="preserve">que </w:t>
      </w:r>
      <w:r w:rsidRPr="00C9699E">
        <w:rPr>
          <w:rFonts w:ascii="Cambria" w:hAnsi="Cambria" w:cs="Arial"/>
          <w:sz w:val="20"/>
          <w:szCs w:val="20"/>
          <w:lang w:val="es-ES"/>
        </w:rPr>
        <w:t xml:space="preserve">luego fue remitido al Juzgado de lo Penal de Ahuachapán el 15 de noviembre de 1993. El 13 de noviembre de 1996 el Juez de lo Penal de Ahuachapán se excusó, porque la presunta víctima se desempeñaba como funcionario de dicho tribunal. </w:t>
      </w:r>
      <w:r w:rsidR="00D01971" w:rsidRPr="00C9699E">
        <w:rPr>
          <w:rFonts w:ascii="Cambria" w:hAnsi="Cambria" w:cs="Arial"/>
          <w:sz w:val="20"/>
          <w:szCs w:val="20"/>
          <w:lang w:val="es-ES"/>
        </w:rPr>
        <w:t>Indica que e</w:t>
      </w:r>
      <w:r w:rsidRPr="00C9699E">
        <w:rPr>
          <w:rFonts w:ascii="Cambria" w:hAnsi="Cambria" w:cs="Arial"/>
          <w:sz w:val="20"/>
          <w:szCs w:val="20"/>
          <w:lang w:val="es-ES"/>
        </w:rPr>
        <w:t xml:space="preserve">l 20 de abril de 1998 </w:t>
      </w:r>
      <w:r w:rsidR="00D01971" w:rsidRPr="00C9699E">
        <w:rPr>
          <w:rFonts w:ascii="Cambria" w:hAnsi="Cambria" w:cs="Arial"/>
          <w:sz w:val="20"/>
          <w:szCs w:val="20"/>
          <w:lang w:val="es-ES"/>
        </w:rPr>
        <w:t>la investigación pasó</w:t>
      </w:r>
      <w:r w:rsidRPr="00C9699E">
        <w:rPr>
          <w:rFonts w:ascii="Cambria" w:hAnsi="Cambria" w:cs="Arial"/>
          <w:sz w:val="20"/>
          <w:szCs w:val="20"/>
          <w:lang w:val="es-ES"/>
        </w:rPr>
        <w:t xml:space="preserve"> al Juzgado de Instrucción de Ahuachapán</w:t>
      </w:r>
      <w:r w:rsidR="00D01971" w:rsidRPr="00C9699E">
        <w:rPr>
          <w:rFonts w:ascii="Cambria" w:hAnsi="Cambria" w:cs="Arial"/>
          <w:sz w:val="20"/>
          <w:szCs w:val="20"/>
          <w:lang w:val="es-ES"/>
        </w:rPr>
        <w:t>, donde se condujo el proceso durante los años sucesivos</w:t>
      </w:r>
      <w:r w:rsidR="008A3DD2" w:rsidRPr="00C9699E">
        <w:rPr>
          <w:rFonts w:ascii="Cambria" w:hAnsi="Cambria" w:cs="Arial"/>
          <w:sz w:val="20"/>
          <w:szCs w:val="20"/>
          <w:lang w:val="es-ES"/>
        </w:rPr>
        <w:t>.</w:t>
      </w:r>
      <w:r w:rsidRPr="00C9699E">
        <w:rPr>
          <w:rFonts w:ascii="Cambria" w:hAnsi="Cambria" w:cs="Arial"/>
          <w:sz w:val="20"/>
          <w:szCs w:val="20"/>
          <w:lang w:val="es-ES"/>
        </w:rPr>
        <w:t xml:space="preserve"> </w:t>
      </w:r>
      <w:r w:rsidR="00D01971" w:rsidRPr="00C9699E">
        <w:rPr>
          <w:rFonts w:ascii="Cambria" w:hAnsi="Cambria" w:cs="Arial"/>
          <w:sz w:val="20"/>
          <w:szCs w:val="20"/>
          <w:lang w:val="es-ES"/>
        </w:rPr>
        <w:t>El</w:t>
      </w:r>
      <w:r w:rsidRPr="00C9699E">
        <w:rPr>
          <w:rFonts w:ascii="Cambria" w:hAnsi="Cambria" w:cs="Arial"/>
          <w:sz w:val="20"/>
          <w:szCs w:val="20"/>
          <w:lang w:val="es-ES"/>
        </w:rPr>
        <w:t xml:space="preserve"> peticionario </w:t>
      </w:r>
      <w:r w:rsidR="00D01971" w:rsidRPr="00C9699E">
        <w:rPr>
          <w:rFonts w:ascii="Cambria" w:hAnsi="Cambria" w:cs="Arial"/>
          <w:sz w:val="20"/>
          <w:szCs w:val="20"/>
          <w:lang w:val="es-ES"/>
        </w:rPr>
        <w:t>denuncia que durante los años siguientes los jueces a cargo de las investigaciones cambiaron en varias ocasiones, en algunos casos por inhibir</w:t>
      </w:r>
      <w:r w:rsidR="0010216B" w:rsidRPr="00C9699E">
        <w:rPr>
          <w:rFonts w:ascii="Cambria" w:hAnsi="Cambria" w:cs="Arial"/>
          <w:sz w:val="20"/>
          <w:szCs w:val="20"/>
          <w:lang w:val="es-ES"/>
        </w:rPr>
        <w:t>se del conocimiento del proceso</w:t>
      </w:r>
      <w:r w:rsidR="00D01971" w:rsidRPr="00C9699E">
        <w:rPr>
          <w:rFonts w:ascii="Cambria" w:hAnsi="Cambria" w:cs="Arial"/>
          <w:sz w:val="20"/>
          <w:szCs w:val="20"/>
          <w:lang w:val="es-ES"/>
        </w:rPr>
        <w:t>; y que a lo largo de</w:t>
      </w:r>
      <w:r w:rsidR="0010216B" w:rsidRPr="00C9699E">
        <w:rPr>
          <w:rFonts w:ascii="Cambria" w:hAnsi="Cambria" w:cs="Arial"/>
          <w:sz w:val="20"/>
          <w:szCs w:val="20"/>
          <w:lang w:val="es-ES"/>
        </w:rPr>
        <w:t>l mismo</w:t>
      </w:r>
      <w:r w:rsidR="00D01971" w:rsidRPr="00C9699E">
        <w:rPr>
          <w:rFonts w:ascii="Cambria" w:hAnsi="Cambria" w:cs="Arial"/>
          <w:sz w:val="20"/>
          <w:szCs w:val="20"/>
          <w:lang w:val="es-ES"/>
        </w:rPr>
        <w:t xml:space="preserve"> se produjeron varias irregularidades, </w:t>
      </w:r>
      <w:r w:rsidR="0010216B" w:rsidRPr="00C9699E">
        <w:rPr>
          <w:rFonts w:ascii="Cambria" w:hAnsi="Cambria" w:cs="Arial"/>
          <w:sz w:val="20"/>
          <w:szCs w:val="20"/>
          <w:lang w:val="es-ES"/>
        </w:rPr>
        <w:t>entre ellas</w:t>
      </w:r>
      <w:r w:rsidR="00D01971" w:rsidRPr="00C9699E">
        <w:rPr>
          <w:rFonts w:ascii="Cambria" w:hAnsi="Cambria" w:cs="Arial"/>
          <w:sz w:val="20"/>
          <w:szCs w:val="20"/>
          <w:lang w:val="es-ES"/>
        </w:rPr>
        <w:t xml:space="preserve"> la falta de impulso del </w:t>
      </w:r>
      <w:r w:rsidR="0010216B" w:rsidRPr="00C9699E">
        <w:rPr>
          <w:rFonts w:ascii="Cambria" w:hAnsi="Cambria" w:cs="Arial"/>
          <w:sz w:val="20"/>
          <w:szCs w:val="20"/>
          <w:lang w:val="es-ES"/>
        </w:rPr>
        <w:t>proceso</w:t>
      </w:r>
      <w:r w:rsidR="00D01971" w:rsidRPr="00C9699E">
        <w:rPr>
          <w:rFonts w:ascii="Cambria" w:hAnsi="Cambria" w:cs="Arial"/>
          <w:sz w:val="20"/>
          <w:szCs w:val="20"/>
          <w:lang w:val="es-ES"/>
        </w:rPr>
        <w:t xml:space="preserve">. Indica además que algunos magistrados y jueces de instancias judiciales superiores </w:t>
      </w:r>
      <w:r w:rsidR="00590E06" w:rsidRPr="00C9699E">
        <w:rPr>
          <w:rFonts w:ascii="Cambria" w:hAnsi="Cambria" w:cs="Arial"/>
          <w:sz w:val="20"/>
          <w:szCs w:val="20"/>
          <w:lang w:val="es-ES"/>
        </w:rPr>
        <w:t xml:space="preserve">presionaron a los sucesivos jueces a cargo de las investigaciones con el fin de proteger al imputado, </w:t>
      </w:r>
      <w:r w:rsidR="0010216B" w:rsidRPr="00C9699E">
        <w:rPr>
          <w:rFonts w:ascii="Cambria" w:hAnsi="Cambria" w:cs="Arial"/>
          <w:sz w:val="20"/>
          <w:szCs w:val="20"/>
          <w:lang w:val="es-ES"/>
        </w:rPr>
        <w:t xml:space="preserve">dado que era </w:t>
      </w:r>
      <w:r w:rsidR="00590E06" w:rsidRPr="00C9699E">
        <w:rPr>
          <w:rFonts w:ascii="Cambria" w:hAnsi="Cambria" w:cs="Arial"/>
          <w:sz w:val="20"/>
          <w:szCs w:val="20"/>
          <w:lang w:val="es-ES"/>
        </w:rPr>
        <w:t>Juez de Paz de Villa Apaneca</w:t>
      </w:r>
      <w:r w:rsidR="000A39F4">
        <w:rPr>
          <w:rFonts w:ascii="Cambria" w:hAnsi="Cambria" w:cs="Arial"/>
          <w:sz w:val="20"/>
          <w:szCs w:val="20"/>
          <w:lang w:val="es-ES"/>
        </w:rPr>
        <w:t>.</w:t>
      </w:r>
    </w:p>
    <w:p w:rsidR="00CF4BC2" w:rsidRPr="00C9699E" w:rsidRDefault="00527493" w:rsidP="00F2581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 xml:space="preserve">Posteriormente se </w:t>
      </w:r>
      <w:r w:rsidR="00590E06" w:rsidRPr="00C9699E">
        <w:rPr>
          <w:rFonts w:ascii="Cambria" w:hAnsi="Cambria" w:cs="Arial"/>
          <w:sz w:val="20"/>
          <w:szCs w:val="20"/>
          <w:lang w:val="es-ES"/>
        </w:rPr>
        <w:t>remitió</w:t>
      </w:r>
      <w:r w:rsidR="00CF4BC2" w:rsidRPr="00C9699E">
        <w:rPr>
          <w:rFonts w:ascii="Cambria" w:hAnsi="Cambria" w:cs="Arial"/>
          <w:sz w:val="20"/>
          <w:szCs w:val="20"/>
          <w:lang w:val="es-ES"/>
        </w:rPr>
        <w:t xml:space="preserve"> el proceso a la Cámara de la Tercera Sección de Occidente, que </w:t>
      </w:r>
      <w:r w:rsidR="00590E06" w:rsidRPr="00C9699E">
        <w:rPr>
          <w:rFonts w:ascii="Cambria" w:hAnsi="Cambria" w:cs="Arial"/>
          <w:sz w:val="20"/>
          <w:szCs w:val="20"/>
          <w:lang w:val="es-ES"/>
        </w:rPr>
        <w:t>nombró</w:t>
      </w:r>
      <w:r w:rsidR="00CF4BC2" w:rsidRPr="00C9699E">
        <w:rPr>
          <w:rFonts w:ascii="Cambria" w:hAnsi="Cambria" w:cs="Arial"/>
          <w:sz w:val="20"/>
          <w:szCs w:val="20"/>
          <w:lang w:val="es-ES"/>
        </w:rPr>
        <w:t xml:space="preserve"> como juez sustituto al Juez Segundo de Paz de Ahuachapán</w:t>
      </w:r>
      <w:r w:rsidR="00590E06" w:rsidRPr="00C9699E">
        <w:rPr>
          <w:rFonts w:ascii="Cambria" w:hAnsi="Cambria" w:cs="Arial"/>
          <w:sz w:val="20"/>
          <w:szCs w:val="20"/>
          <w:lang w:val="es-ES"/>
        </w:rPr>
        <w:t>;</w:t>
      </w:r>
      <w:r w:rsidR="00CF4BC2" w:rsidRPr="00C9699E">
        <w:rPr>
          <w:rFonts w:ascii="Cambria" w:hAnsi="Cambria" w:cs="Arial"/>
          <w:sz w:val="20"/>
          <w:szCs w:val="20"/>
          <w:lang w:val="es-ES"/>
        </w:rPr>
        <w:t xml:space="preserve"> quien también se </w:t>
      </w:r>
      <w:r w:rsidR="00590E06" w:rsidRPr="00C9699E">
        <w:rPr>
          <w:rFonts w:ascii="Cambria" w:hAnsi="Cambria" w:cs="Arial"/>
          <w:sz w:val="20"/>
          <w:szCs w:val="20"/>
          <w:lang w:val="es-ES"/>
        </w:rPr>
        <w:t>declaró</w:t>
      </w:r>
      <w:r w:rsidR="00CF4BC2" w:rsidRPr="00C9699E">
        <w:rPr>
          <w:rFonts w:ascii="Cambria" w:hAnsi="Cambria" w:cs="Arial"/>
          <w:sz w:val="20"/>
          <w:szCs w:val="20"/>
          <w:lang w:val="es-ES"/>
        </w:rPr>
        <w:t xml:space="preserve"> incompetente. </w:t>
      </w:r>
      <w:r w:rsidRPr="00C9699E">
        <w:rPr>
          <w:rFonts w:ascii="Cambria" w:hAnsi="Cambria" w:cs="Arial"/>
          <w:sz w:val="20"/>
          <w:szCs w:val="20"/>
          <w:lang w:val="es-ES"/>
        </w:rPr>
        <w:t xml:space="preserve">Esta </w:t>
      </w:r>
      <w:r w:rsidR="00CF4BC2" w:rsidRPr="00C9699E">
        <w:rPr>
          <w:rFonts w:ascii="Cambria" w:hAnsi="Cambria" w:cs="Arial"/>
          <w:sz w:val="20"/>
          <w:szCs w:val="20"/>
          <w:lang w:val="es-ES"/>
        </w:rPr>
        <w:t xml:space="preserve">controversia </w:t>
      </w:r>
      <w:r w:rsidRPr="00C9699E">
        <w:rPr>
          <w:rFonts w:ascii="Cambria" w:hAnsi="Cambria" w:cs="Arial"/>
          <w:sz w:val="20"/>
          <w:szCs w:val="20"/>
          <w:lang w:val="es-ES"/>
        </w:rPr>
        <w:t>pasó</w:t>
      </w:r>
      <w:r w:rsidR="00CF4BC2" w:rsidRPr="00C9699E">
        <w:rPr>
          <w:rFonts w:ascii="Cambria" w:hAnsi="Cambria" w:cs="Arial"/>
          <w:sz w:val="20"/>
          <w:szCs w:val="20"/>
          <w:lang w:val="es-ES"/>
        </w:rPr>
        <w:t xml:space="preserve"> </w:t>
      </w:r>
      <w:r w:rsidRPr="00C9699E">
        <w:rPr>
          <w:rFonts w:ascii="Cambria" w:hAnsi="Cambria" w:cs="Arial"/>
          <w:sz w:val="20"/>
          <w:szCs w:val="20"/>
          <w:lang w:val="es-ES"/>
        </w:rPr>
        <w:t>a</w:t>
      </w:r>
      <w:r w:rsidR="00CF4BC2" w:rsidRPr="00C9699E">
        <w:rPr>
          <w:rFonts w:ascii="Cambria" w:hAnsi="Cambria" w:cs="Arial"/>
          <w:sz w:val="20"/>
          <w:szCs w:val="20"/>
          <w:lang w:val="es-ES"/>
        </w:rPr>
        <w:t xml:space="preserve"> la Corte Suprema de Justicia </w:t>
      </w:r>
      <w:r w:rsidRPr="00C9699E">
        <w:rPr>
          <w:rFonts w:ascii="Cambria" w:hAnsi="Cambria" w:cs="Arial"/>
          <w:sz w:val="20"/>
          <w:szCs w:val="20"/>
          <w:lang w:val="es-ES"/>
        </w:rPr>
        <w:t xml:space="preserve">el 18 de junio de 2002; </w:t>
      </w:r>
      <w:r w:rsidR="004413E9" w:rsidRPr="00C9699E">
        <w:rPr>
          <w:rFonts w:ascii="Cambria" w:hAnsi="Cambria" w:cs="Arial"/>
          <w:sz w:val="20"/>
          <w:szCs w:val="20"/>
          <w:lang w:val="es-ES"/>
        </w:rPr>
        <w:t>la cual</w:t>
      </w:r>
      <w:r w:rsidR="00541A9E" w:rsidRPr="00C9699E">
        <w:rPr>
          <w:rFonts w:ascii="Cambria" w:hAnsi="Cambria" w:cs="Arial"/>
          <w:sz w:val="20"/>
          <w:szCs w:val="20"/>
          <w:lang w:val="es-ES"/>
        </w:rPr>
        <w:t>,</w:t>
      </w:r>
      <w:r w:rsidR="00CF4BC2" w:rsidRPr="00C9699E">
        <w:rPr>
          <w:rFonts w:ascii="Cambria" w:hAnsi="Cambria" w:cs="Arial"/>
          <w:sz w:val="20"/>
          <w:szCs w:val="20"/>
          <w:lang w:val="es-ES"/>
        </w:rPr>
        <w:t xml:space="preserve"> </w:t>
      </w:r>
      <w:r w:rsidRPr="00C9699E">
        <w:rPr>
          <w:rFonts w:ascii="Cambria" w:hAnsi="Cambria" w:cs="Arial"/>
          <w:sz w:val="20"/>
          <w:szCs w:val="20"/>
          <w:lang w:val="es-ES"/>
        </w:rPr>
        <w:t xml:space="preserve">luego de </w:t>
      </w:r>
      <w:r w:rsidR="00CF4BC2" w:rsidRPr="00C9699E">
        <w:rPr>
          <w:rFonts w:ascii="Cambria" w:hAnsi="Cambria" w:cs="Arial"/>
          <w:sz w:val="20"/>
          <w:szCs w:val="20"/>
          <w:lang w:val="es-ES"/>
        </w:rPr>
        <w:t>diez meses</w:t>
      </w:r>
      <w:r w:rsidR="00541A9E" w:rsidRPr="00C9699E">
        <w:rPr>
          <w:rFonts w:ascii="Cambria" w:hAnsi="Cambria" w:cs="Arial"/>
          <w:sz w:val="20"/>
          <w:szCs w:val="20"/>
          <w:lang w:val="es-ES"/>
        </w:rPr>
        <w:t>,</w:t>
      </w:r>
      <w:r w:rsidR="00CF4BC2" w:rsidRPr="00C9699E">
        <w:rPr>
          <w:rFonts w:ascii="Cambria" w:hAnsi="Cambria" w:cs="Arial"/>
          <w:sz w:val="20"/>
          <w:szCs w:val="20"/>
          <w:lang w:val="es-ES"/>
        </w:rPr>
        <w:t xml:space="preserve"> </w:t>
      </w:r>
      <w:r w:rsidRPr="00C9699E">
        <w:rPr>
          <w:rFonts w:ascii="Cambria" w:hAnsi="Cambria" w:cs="Arial"/>
          <w:sz w:val="20"/>
          <w:szCs w:val="20"/>
          <w:lang w:val="es-ES"/>
        </w:rPr>
        <w:t>nombró</w:t>
      </w:r>
      <w:r w:rsidR="00CF4BC2" w:rsidRPr="00C9699E">
        <w:rPr>
          <w:rFonts w:ascii="Cambria" w:hAnsi="Cambria" w:cs="Arial"/>
          <w:sz w:val="20"/>
          <w:szCs w:val="20"/>
          <w:lang w:val="es-ES"/>
        </w:rPr>
        <w:t xml:space="preserve"> al Juez de Primera Instancia de Atiquizaya</w:t>
      </w:r>
      <w:r w:rsidRPr="00C9699E">
        <w:rPr>
          <w:rFonts w:ascii="Cambria" w:hAnsi="Cambria" w:cs="Arial"/>
          <w:sz w:val="20"/>
          <w:szCs w:val="20"/>
          <w:lang w:val="es-ES"/>
        </w:rPr>
        <w:t xml:space="preserve"> para que continuara conociendo del proceso</w:t>
      </w:r>
      <w:r w:rsidR="00CF4BC2" w:rsidRPr="00C9699E">
        <w:rPr>
          <w:rFonts w:ascii="Cambria" w:hAnsi="Cambria" w:cs="Arial"/>
          <w:sz w:val="20"/>
          <w:szCs w:val="20"/>
          <w:lang w:val="es-ES"/>
        </w:rPr>
        <w:t xml:space="preserve">. </w:t>
      </w:r>
    </w:p>
    <w:p w:rsidR="00CF4BC2" w:rsidRPr="00C9699E" w:rsidRDefault="00CF4BC2" w:rsidP="00F2581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 xml:space="preserve">El </w:t>
      </w:r>
      <w:r w:rsidR="00641B2E">
        <w:rPr>
          <w:rFonts w:ascii="Cambria" w:hAnsi="Cambria" w:cs="Arial"/>
          <w:sz w:val="20"/>
          <w:szCs w:val="20"/>
          <w:lang w:val="es-ES"/>
        </w:rPr>
        <w:t>señor</w:t>
      </w:r>
      <w:r w:rsidRPr="00C9699E">
        <w:rPr>
          <w:rFonts w:ascii="Cambria" w:hAnsi="Cambria" w:cs="Arial"/>
          <w:sz w:val="20"/>
          <w:szCs w:val="20"/>
          <w:lang w:val="es-ES"/>
        </w:rPr>
        <w:t xml:space="preserve"> Aguirre Magaña señala que el 19 de mayo de 2004, el Juez de </w:t>
      </w:r>
      <w:r w:rsidR="00BF6A40" w:rsidRPr="00C9699E">
        <w:rPr>
          <w:rFonts w:ascii="Cambria" w:hAnsi="Cambria" w:cs="Arial"/>
          <w:sz w:val="20"/>
          <w:szCs w:val="20"/>
          <w:lang w:val="es-ES"/>
        </w:rPr>
        <w:t>Primera I</w:t>
      </w:r>
      <w:r w:rsidRPr="00C9699E">
        <w:rPr>
          <w:rFonts w:ascii="Cambria" w:hAnsi="Cambria" w:cs="Arial"/>
          <w:sz w:val="20"/>
          <w:szCs w:val="20"/>
          <w:lang w:val="es-ES"/>
        </w:rPr>
        <w:t>nstancia de Atiquizaya</w:t>
      </w:r>
      <w:r w:rsidR="004413E9" w:rsidRPr="00C9699E">
        <w:rPr>
          <w:rFonts w:ascii="Cambria" w:hAnsi="Cambria" w:cs="Arial"/>
          <w:sz w:val="20"/>
          <w:szCs w:val="20"/>
          <w:lang w:val="es-ES"/>
        </w:rPr>
        <w:t xml:space="preserve"> ressolvió</w:t>
      </w:r>
      <w:r w:rsidRPr="00C9699E">
        <w:rPr>
          <w:rFonts w:ascii="Cambria" w:hAnsi="Cambria" w:cs="Arial"/>
          <w:sz w:val="20"/>
          <w:szCs w:val="20"/>
          <w:lang w:val="es-ES"/>
        </w:rPr>
        <w:t xml:space="preserve"> sobreseer provisionalmente de todos los cargos al único imputado en el proceso, decisión que el peticionario atribuye al alegado mal funcionamiento de la justicia. </w:t>
      </w:r>
    </w:p>
    <w:p w:rsidR="00CF4BC2" w:rsidRPr="00C9699E" w:rsidRDefault="00CF4BC2" w:rsidP="00A80AF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lastRenderedPageBreak/>
        <w:t xml:space="preserve">El peticionario indica que el fiscal a cargo de la investigación apeló la decisión de sobreseimiento provisional ante la Cámara de la Tercera Sección de Occidente, </w:t>
      </w:r>
      <w:r w:rsidR="00B20596" w:rsidRPr="00C9699E">
        <w:rPr>
          <w:rFonts w:ascii="Cambria" w:hAnsi="Cambria" w:cs="Arial"/>
          <w:sz w:val="20"/>
          <w:szCs w:val="20"/>
          <w:lang w:val="es-ES"/>
        </w:rPr>
        <w:t>la cual</w:t>
      </w:r>
      <w:r w:rsidRPr="00C9699E">
        <w:rPr>
          <w:rFonts w:ascii="Cambria" w:hAnsi="Cambria" w:cs="Arial"/>
          <w:sz w:val="20"/>
          <w:szCs w:val="20"/>
          <w:lang w:val="es-ES"/>
        </w:rPr>
        <w:t xml:space="preserve"> </w:t>
      </w:r>
      <w:r w:rsidR="00462641" w:rsidRPr="00C9699E">
        <w:rPr>
          <w:rFonts w:ascii="Cambria" w:hAnsi="Cambria" w:cs="Arial"/>
          <w:sz w:val="20"/>
          <w:szCs w:val="20"/>
          <w:lang w:val="es-ES"/>
        </w:rPr>
        <w:t>confirmó</w:t>
      </w:r>
      <w:r w:rsidRPr="00C9699E">
        <w:rPr>
          <w:rFonts w:ascii="Cambria" w:hAnsi="Cambria" w:cs="Arial"/>
          <w:sz w:val="20"/>
          <w:szCs w:val="20"/>
          <w:lang w:val="es-ES"/>
        </w:rPr>
        <w:t xml:space="preserve"> </w:t>
      </w:r>
      <w:r w:rsidR="00B30E23" w:rsidRPr="00C9699E">
        <w:rPr>
          <w:rFonts w:ascii="Cambria" w:hAnsi="Cambria" w:cs="Arial"/>
          <w:sz w:val="20"/>
          <w:szCs w:val="20"/>
          <w:lang w:val="es-ES"/>
        </w:rPr>
        <w:t>la decisión recurrida</w:t>
      </w:r>
      <w:r w:rsidR="00462641" w:rsidRPr="00C9699E">
        <w:rPr>
          <w:rFonts w:ascii="Cambria" w:hAnsi="Cambria" w:cs="Arial"/>
          <w:sz w:val="20"/>
          <w:szCs w:val="20"/>
          <w:lang w:val="es-ES"/>
        </w:rPr>
        <w:t xml:space="preserve"> mediante sentencia</w:t>
      </w:r>
      <w:r w:rsidRPr="00C9699E">
        <w:rPr>
          <w:rFonts w:ascii="Cambria" w:hAnsi="Cambria" w:cs="Arial"/>
          <w:sz w:val="20"/>
          <w:szCs w:val="20"/>
          <w:lang w:val="es-ES"/>
        </w:rPr>
        <w:t xml:space="preserve"> </w:t>
      </w:r>
      <w:r w:rsidR="00462641" w:rsidRPr="00C9699E">
        <w:rPr>
          <w:rFonts w:ascii="Cambria" w:hAnsi="Cambria" w:cs="Arial"/>
          <w:sz w:val="20"/>
          <w:szCs w:val="20"/>
          <w:lang w:val="es-ES"/>
        </w:rPr>
        <w:t>d</w:t>
      </w:r>
      <w:r w:rsidRPr="00C9699E">
        <w:rPr>
          <w:rFonts w:ascii="Cambria" w:hAnsi="Cambria" w:cs="Arial"/>
          <w:sz w:val="20"/>
          <w:szCs w:val="20"/>
          <w:lang w:val="es-ES"/>
        </w:rPr>
        <w:t>el 20 de julio de 2004</w:t>
      </w:r>
      <w:r w:rsidR="00B20596" w:rsidRPr="00C9699E">
        <w:rPr>
          <w:rFonts w:ascii="Cambria" w:hAnsi="Cambria" w:cs="Arial"/>
          <w:sz w:val="20"/>
          <w:szCs w:val="20"/>
          <w:lang w:val="es-ES"/>
        </w:rPr>
        <w:t>.</w:t>
      </w:r>
      <w:r w:rsidRPr="00C9699E">
        <w:rPr>
          <w:rFonts w:ascii="Cambria" w:hAnsi="Cambria" w:cs="Arial"/>
          <w:sz w:val="20"/>
          <w:szCs w:val="20"/>
          <w:lang w:val="es-ES"/>
        </w:rPr>
        <w:t xml:space="preserve"> </w:t>
      </w:r>
      <w:r w:rsidR="00640DF5" w:rsidRPr="00C9699E">
        <w:rPr>
          <w:rFonts w:ascii="Cambria" w:hAnsi="Cambria" w:cs="Arial"/>
          <w:sz w:val="20"/>
          <w:szCs w:val="20"/>
          <w:lang w:val="es-ES"/>
        </w:rPr>
        <w:t xml:space="preserve">El </w:t>
      </w:r>
      <w:r w:rsidR="00641B2E">
        <w:rPr>
          <w:rFonts w:ascii="Cambria" w:hAnsi="Cambria" w:cs="Arial"/>
          <w:sz w:val="20"/>
          <w:szCs w:val="20"/>
          <w:lang w:val="es-ES"/>
        </w:rPr>
        <w:t>señor</w:t>
      </w:r>
      <w:r w:rsidR="00640DF5" w:rsidRPr="00C9699E">
        <w:rPr>
          <w:rFonts w:ascii="Cambria" w:hAnsi="Cambria" w:cs="Arial"/>
          <w:sz w:val="20"/>
          <w:szCs w:val="20"/>
          <w:lang w:val="es-ES"/>
        </w:rPr>
        <w:t xml:space="preserve"> Aguirre Magaña indica que e</w:t>
      </w:r>
      <w:r w:rsidR="00B20596" w:rsidRPr="00C9699E">
        <w:rPr>
          <w:rFonts w:ascii="Cambria" w:hAnsi="Cambria" w:cs="Arial"/>
          <w:sz w:val="20"/>
          <w:szCs w:val="20"/>
          <w:lang w:val="es-ES"/>
        </w:rPr>
        <w:t xml:space="preserve">ste tribunal </w:t>
      </w:r>
      <w:r w:rsidR="00640DF5" w:rsidRPr="00C9699E">
        <w:rPr>
          <w:rFonts w:ascii="Cambria" w:hAnsi="Cambria" w:cs="Arial"/>
          <w:sz w:val="20"/>
          <w:szCs w:val="20"/>
          <w:lang w:val="es-ES"/>
        </w:rPr>
        <w:t>confirmó el sobreseimiento provisional por considerar</w:t>
      </w:r>
      <w:r w:rsidRPr="00C9699E">
        <w:rPr>
          <w:rFonts w:ascii="Cambria" w:hAnsi="Cambria" w:cs="Arial"/>
          <w:sz w:val="20"/>
          <w:szCs w:val="20"/>
          <w:lang w:val="es-ES"/>
        </w:rPr>
        <w:t xml:space="preserve"> que no </w:t>
      </w:r>
      <w:r w:rsidR="00B20596" w:rsidRPr="00C9699E">
        <w:rPr>
          <w:rFonts w:ascii="Cambria" w:hAnsi="Cambria" w:cs="Arial"/>
          <w:sz w:val="20"/>
          <w:szCs w:val="20"/>
          <w:lang w:val="es-ES"/>
        </w:rPr>
        <w:t>existían</w:t>
      </w:r>
      <w:r w:rsidRPr="00C9699E">
        <w:rPr>
          <w:rFonts w:ascii="Cambria" w:hAnsi="Cambria" w:cs="Arial"/>
          <w:sz w:val="20"/>
          <w:szCs w:val="20"/>
          <w:lang w:val="es-ES"/>
        </w:rPr>
        <w:t xml:space="preserve"> elementos suficientes para establecer la responsabilidad del presunto propietario de la granada</w:t>
      </w:r>
      <w:r w:rsidR="00B20596" w:rsidRPr="00C9699E">
        <w:rPr>
          <w:rFonts w:ascii="Cambria" w:hAnsi="Cambria" w:cs="Arial"/>
          <w:sz w:val="20"/>
          <w:szCs w:val="20"/>
          <w:lang w:val="es-ES"/>
        </w:rPr>
        <w:t xml:space="preserve">, </w:t>
      </w:r>
      <w:r w:rsidRPr="00C9699E">
        <w:rPr>
          <w:rFonts w:ascii="Cambria" w:hAnsi="Cambria" w:cs="Arial"/>
          <w:sz w:val="20"/>
          <w:szCs w:val="20"/>
          <w:lang w:val="es-ES"/>
        </w:rPr>
        <w:t xml:space="preserve">debido a que no se </w:t>
      </w:r>
      <w:r w:rsidR="00640DF5" w:rsidRPr="00C9699E">
        <w:rPr>
          <w:rFonts w:ascii="Cambria" w:hAnsi="Cambria" w:cs="Arial"/>
          <w:sz w:val="20"/>
          <w:szCs w:val="20"/>
          <w:lang w:val="es-ES"/>
        </w:rPr>
        <w:t>realizó una investigación adecuada. En este sentido, el peticionario sustenta su reclamo ante la CIDH en el hecho de que la propia Cámara de la Tercera Sección de Occidente estableciera en su resoluci</w:t>
      </w:r>
      <w:r w:rsidR="00195414" w:rsidRPr="00C9699E">
        <w:rPr>
          <w:rFonts w:ascii="Cambria" w:hAnsi="Cambria" w:cs="Arial"/>
          <w:sz w:val="20"/>
          <w:szCs w:val="20"/>
          <w:lang w:val="es-ES"/>
        </w:rPr>
        <w:t>ón que:</w:t>
      </w:r>
    </w:p>
    <w:p w:rsidR="0019003E" w:rsidRPr="00C9699E" w:rsidRDefault="00195414" w:rsidP="002620B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Arial"/>
          <w:sz w:val="20"/>
          <w:szCs w:val="20"/>
          <w:lang w:val="es-ES"/>
        </w:rPr>
      </w:pPr>
      <w:r w:rsidRPr="00C9699E">
        <w:rPr>
          <w:rFonts w:ascii="Cambria" w:hAnsi="Cambria" w:cs="Arial"/>
          <w:sz w:val="20"/>
          <w:szCs w:val="20"/>
          <w:lang w:val="es-ES"/>
        </w:rPr>
        <w:t xml:space="preserve">De la exposición inspeccional (sic) y pericial ha quedado en evidencia que no se cumplió con la metodología en lo más mínimo, y por otra parte, los peritajes no son concluyentes en sus aserciones, dejando un margen significativo de duda, por lo que no son determinantes, que ayuden a disipar las versiones antagónicas de los hechos [por un lado el peticionario aducía que la granada estaba ya dentro del vehículo antes de que explotara y por </w:t>
      </w:r>
      <w:r w:rsidR="004413E9" w:rsidRPr="00C9699E">
        <w:rPr>
          <w:rFonts w:ascii="Cambria" w:hAnsi="Cambria" w:cs="Arial"/>
          <w:sz w:val="20"/>
          <w:szCs w:val="20"/>
          <w:lang w:val="es-ES"/>
        </w:rPr>
        <w:t xml:space="preserve">el </w:t>
      </w:r>
      <w:r w:rsidRPr="00C9699E">
        <w:rPr>
          <w:rFonts w:ascii="Cambria" w:hAnsi="Cambria" w:cs="Arial"/>
          <w:sz w:val="20"/>
          <w:szCs w:val="20"/>
          <w:lang w:val="es-ES"/>
        </w:rPr>
        <w:t xml:space="preserve">otro la defensa del acusado sostenía que la misma les fue lanzada desde </w:t>
      </w:r>
      <w:r w:rsidR="004413E9" w:rsidRPr="00C9699E">
        <w:rPr>
          <w:rFonts w:ascii="Cambria" w:hAnsi="Cambria" w:cs="Arial"/>
          <w:sz w:val="20"/>
          <w:szCs w:val="20"/>
          <w:lang w:val="es-ES"/>
        </w:rPr>
        <w:t>a</w:t>
      </w:r>
      <w:r w:rsidRPr="00C9699E">
        <w:rPr>
          <w:rFonts w:ascii="Cambria" w:hAnsi="Cambria" w:cs="Arial"/>
          <w:sz w:val="20"/>
          <w:szCs w:val="20"/>
          <w:lang w:val="es-ES"/>
        </w:rPr>
        <w:t>fuera].</w:t>
      </w:r>
    </w:p>
    <w:p w:rsidR="008F1D2C" w:rsidRPr="00C9699E" w:rsidRDefault="008F1D2C" w:rsidP="0019003E">
      <w:pPr>
        <w:pBdr>
          <w:top w:val="none" w:sz="0" w:space="0" w:color="auto"/>
          <w:left w:val="none" w:sz="0" w:space="0" w:color="auto"/>
          <w:bottom w:val="none" w:sz="0" w:space="0" w:color="auto"/>
          <w:right w:val="none" w:sz="0" w:space="0" w:color="auto"/>
          <w:bar w:val="none" w:sz="0" w:color="auto"/>
        </w:pBdr>
        <w:suppressAutoHyphens/>
        <w:ind w:left="720" w:right="720"/>
        <w:jc w:val="center"/>
        <w:rPr>
          <w:rFonts w:ascii="Cambria" w:hAnsi="Cambria" w:cs="Arial"/>
          <w:sz w:val="20"/>
          <w:szCs w:val="20"/>
          <w:lang w:val="es-ES"/>
        </w:rPr>
      </w:pPr>
      <w:r w:rsidRPr="00C9699E">
        <w:rPr>
          <w:rFonts w:ascii="Cambria" w:hAnsi="Cambria" w:cs="Arial"/>
          <w:sz w:val="20"/>
          <w:szCs w:val="20"/>
          <w:lang w:val="es-ES"/>
        </w:rPr>
        <w:t>[…]</w:t>
      </w:r>
    </w:p>
    <w:p w:rsidR="0019003E" w:rsidRPr="00C9699E" w:rsidRDefault="0019003E" w:rsidP="0019003E">
      <w:pPr>
        <w:pBdr>
          <w:top w:val="none" w:sz="0" w:space="0" w:color="auto"/>
          <w:left w:val="none" w:sz="0" w:space="0" w:color="auto"/>
          <w:bottom w:val="none" w:sz="0" w:space="0" w:color="auto"/>
          <w:right w:val="none" w:sz="0" w:space="0" w:color="auto"/>
          <w:bar w:val="none" w:sz="0" w:color="auto"/>
        </w:pBdr>
        <w:suppressAutoHyphens/>
        <w:ind w:left="720" w:right="720"/>
        <w:jc w:val="center"/>
        <w:rPr>
          <w:rFonts w:ascii="Cambria" w:hAnsi="Cambria" w:cs="Arial"/>
          <w:sz w:val="20"/>
          <w:szCs w:val="20"/>
          <w:lang w:val="es-ES"/>
        </w:rPr>
      </w:pPr>
    </w:p>
    <w:p w:rsidR="008F1D2C" w:rsidRPr="00C9699E" w:rsidRDefault="008F1D2C" w:rsidP="0019003E">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Arial"/>
          <w:sz w:val="20"/>
          <w:szCs w:val="20"/>
          <w:lang w:val="es-ES"/>
        </w:rPr>
      </w:pPr>
      <w:r w:rsidRPr="00C9699E">
        <w:rPr>
          <w:rFonts w:ascii="Cambria" w:hAnsi="Cambria" w:cs="Arial"/>
          <w:sz w:val="20"/>
          <w:szCs w:val="20"/>
          <w:lang w:val="es-ES"/>
        </w:rPr>
        <w:t>Por el tiempo transcurrido, y por la desaparición del automóvil, torna difícil, casi imposible, realizar otros peritajes, que aclarasen la duda existente, dudas que también se plantearon los peritos, al reconocer que hacen falta realizar otras investigaciones. Como consecuencia de la insuficiente investigación no se logró establecer en forma suficiente el cuerpo del delito, ni la participación del procesado […]</w:t>
      </w:r>
      <w:r w:rsidR="00E75551" w:rsidRPr="00C9699E">
        <w:rPr>
          <w:rStyle w:val="FootnoteReference"/>
          <w:rFonts w:ascii="Cambria" w:hAnsi="Cambria"/>
          <w:sz w:val="20"/>
          <w:szCs w:val="20"/>
          <w:lang w:val="es-ES"/>
        </w:rPr>
        <w:footnoteReference w:id="3"/>
      </w:r>
      <w:r w:rsidRPr="00C9699E">
        <w:rPr>
          <w:rFonts w:ascii="Cambria" w:hAnsi="Cambria" w:cs="Arial"/>
          <w:sz w:val="20"/>
          <w:szCs w:val="20"/>
          <w:lang w:val="es-ES"/>
        </w:rPr>
        <w:t xml:space="preserve"> </w:t>
      </w:r>
    </w:p>
    <w:p w:rsidR="0019003E" w:rsidRPr="00C9699E" w:rsidRDefault="0019003E" w:rsidP="0019003E">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cs="Arial"/>
          <w:sz w:val="20"/>
          <w:szCs w:val="20"/>
          <w:lang w:val="es-ES"/>
        </w:rPr>
      </w:pPr>
    </w:p>
    <w:p w:rsidR="006E258E" w:rsidRPr="006E258E" w:rsidRDefault="006E258E" w:rsidP="006E258E">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color w:val="000000"/>
          <w:sz w:val="20"/>
          <w:szCs w:val="20"/>
          <w:lang w:val="es-ES"/>
        </w:rPr>
      </w:pPr>
      <w:r w:rsidRPr="00C9699E">
        <w:rPr>
          <w:rFonts w:ascii="Cambria" w:eastAsia="SimSun" w:hAnsi="Cambria"/>
          <w:color w:val="000000"/>
          <w:sz w:val="20"/>
          <w:szCs w:val="20"/>
          <w:lang w:val="es-ES"/>
        </w:rPr>
        <w:t>E</w:t>
      </w:r>
      <w:r>
        <w:rPr>
          <w:rFonts w:ascii="Cambria" w:eastAsia="SimSun" w:hAnsi="Cambria"/>
          <w:color w:val="000000"/>
          <w:sz w:val="20"/>
          <w:szCs w:val="20"/>
          <w:lang w:val="es-ES"/>
        </w:rPr>
        <w:t>n suma,</w:t>
      </w:r>
      <w:r w:rsidRPr="00C9699E">
        <w:rPr>
          <w:rFonts w:ascii="Cambria" w:eastAsia="SimSun" w:hAnsi="Cambria"/>
          <w:color w:val="000000"/>
          <w:sz w:val="20"/>
          <w:szCs w:val="20"/>
          <w:lang w:val="es-ES"/>
        </w:rPr>
        <w:t xml:space="preserve"> </w:t>
      </w:r>
      <w:r>
        <w:rPr>
          <w:rFonts w:ascii="Cambria" w:eastAsia="SimSun" w:hAnsi="Cambria"/>
          <w:color w:val="000000"/>
          <w:sz w:val="20"/>
          <w:szCs w:val="20"/>
          <w:lang w:val="es-ES"/>
        </w:rPr>
        <w:t xml:space="preserve">el </w:t>
      </w:r>
      <w:r w:rsidR="00641B2E">
        <w:rPr>
          <w:rFonts w:ascii="Cambria" w:eastAsia="SimSun" w:hAnsi="Cambria"/>
          <w:color w:val="000000"/>
          <w:sz w:val="20"/>
          <w:szCs w:val="20"/>
          <w:lang w:val="es-ES"/>
        </w:rPr>
        <w:t>señor</w:t>
      </w:r>
      <w:r>
        <w:rPr>
          <w:rFonts w:ascii="Cambria" w:eastAsia="SimSun" w:hAnsi="Cambria"/>
          <w:color w:val="000000"/>
          <w:sz w:val="20"/>
          <w:szCs w:val="20"/>
          <w:lang w:val="es-ES"/>
        </w:rPr>
        <w:t xml:space="preserve"> Aguirre Magaña</w:t>
      </w:r>
      <w:r w:rsidRPr="00C9699E">
        <w:rPr>
          <w:rFonts w:ascii="Cambria" w:eastAsia="SimSun" w:hAnsi="Cambria"/>
          <w:color w:val="000000"/>
          <w:sz w:val="20"/>
          <w:szCs w:val="20"/>
          <w:lang w:val="es-ES"/>
        </w:rPr>
        <w:t xml:space="preserve"> sostiene que, debido a deficiencias en la investigación realizada por los órganos auxiliares de la policía; </w:t>
      </w:r>
      <w:r>
        <w:rPr>
          <w:rFonts w:ascii="Cambria" w:eastAsia="SimSun" w:hAnsi="Cambria"/>
          <w:color w:val="000000"/>
          <w:sz w:val="20"/>
          <w:szCs w:val="20"/>
          <w:lang w:val="es-ES"/>
        </w:rPr>
        <w:t xml:space="preserve">alegadas irregularidades por parte </w:t>
      </w:r>
      <w:r w:rsidRPr="00C9699E">
        <w:rPr>
          <w:rFonts w:ascii="Cambria" w:eastAsia="SimSun" w:hAnsi="Cambria"/>
          <w:color w:val="000000"/>
          <w:sz w:val="20"/>
          <w:szCs w:val="20"/>
          <w:lang w:val="es-ES"/>
        </w:rPr>
        <w:t>de los médicos forenses que participaron en las indagaciones; diversos vicios en el debido proceso durante el juicio penal en el que pa</w:t>
      </w:r>
      <w:r w:rsidR="00060213">
        <w:rPr>
          <w:rFonts w:ascii="Cambria" w:eastAsia="SimSun" w:hAnsi="Cambria"/>
          <w:color w:val="000000"/>
          <w:sz w:val="20"/>
          <w:szCs w:val="20"/>
          <w:lang w:val="es-ES"/>
        </w:rPr>
        <w:t>rticipó como víctima; y supuesta</w:t>
      </w:r>
      <w:r w:rsidRPr="00C9699E">
        <w:rPr>
          <w:rFonts w:ascii="Cambria" w:eastAsia="SimSun" w:hAnsi="Cambria"/>
          <w:color w:val="000000"/>
          <w:sz w:val="20"/>
          <w:szCs w:val="20"/>
          <w:lang w:val="es-ES"/>
        </w:rPr>
        <w:t xml:space="preserve">s </w:t>
      </w:r>
      <w:r w:rsidR="00060213">
        <w:rPr>
          <w:rFonts w:ascii="Cambria" w:eastAsia="SimSun" w:hAnsi="Cambria"/>
          <w:color w:val="000000"/>
          <w:sz w:val="20"/>
          <w:szCs w:val="20"/>
          <w:lang w:val="es-ES"/>
        </w:rPr>
        <w:t>actuaciones irregulares</w:t>
      </w:r>
      <w:r w:rsidRPr="00C9699E">
        <w:rPr>
          <w:rFonts w:ascii="Cambria" w:eastAsia="SimSun" w:hAnsi="Cambria"/>
          <w:color w:val="000000"/>
          <w:sz w:val="20"/>
          <w:szCs w:val="20"/>
          <w:lang w:val="es-ES"/>
        </w:rPr>
        <w:t xml:space="preserve"> de miembros del Poder Judicial, su presunto agresor habría quedado impune, por lo que se le habría negado el acceso a la justicia. Además, menciona que el proceso se prolongó por más de once años, principalmente debido a supuestos actos dilatorios de parte de las autoridades judiciales involucradas.</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Con base en lo anterior, el peticionario alega que el Estado violó, en su perjuicio, los derechos consagrados en los artículos 8 y 25 de la Convención Americana sobre Derechos Humanos en relación con el artículo 1.1 de dicho tratado.</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t>B.</w:t>
      </w:r>
      <w:r w:rsidRPr="00C9699E">
        <w:rPr>
          <w:rFonts w:ascii="Cambria" w:hAnsi="Cambria"/>
          <w:b/>
          <w:bCs/>
          <w:sz w:val="20"/>
          <w:szCs w:val="20"/>
          <w:lang w:val="es-ES"/>
        </w:rPr>
        <w:tab/>
        <w:t xml:space="preserve">Posición del Estado </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
        </w:rPr>
      </w:pPr>
      <w:r w:rsidRPr="00C9699E">
        <w:rPr>
          <w:rFonts w:ascii="Cambria" w:hAnsi="Cambria"/>
          <w:sz w:val="20"/>
          <w:szCs w:val="20"/>
          <w:lang w:val="es-ES"/>
        </w:rPr>
        <w:t>Al momento de la adopción del presente informe, e</w:t>
      </w:r>
      <w:r w:rsidRPr="00C9699E">
        <w:rPr>
          <w:rFonts w:ascii="Cambria" w:hAnsi="Cambria" w:cs="Arial"/>
          <w:sz w:val="20"/>
          <w:szCs w:val="20"/>
          <w:lang w:val="es-ES"/>
        </w:rPr>
        <w:t>l Estado no ha proporcionado sus observaciones respecto de la presente petición.</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t>IV.</w:t>
      </w:r>
      <w:r w:rsidRPr="00C9699E">
        <w:rPr>
          <w:rFonts w:ascii="Cambria" w:hAnsi="Cambria"/>
          <w:b/>
          <w:bCs/>
          <w:sz w:val="20"/>
          <w:szCs w:val="20"/>
          <w:lang w:val="es-ES"/>
        </w:rPr>
        <w:tab/>
        <w:t>ANÁLISIS SOBRE COMPETENCIA Y ADMISIBILIDAD</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lang w:val="es-ES"/>
        </w:rPr>
      </w:pPr>
      <w:r w:rsidRPr="00C9699E">
        <w:rPr>
          <w:rFonts w:ascii="Cambria" w:hAnsi="Cambria"/>
          <w:b/>
          <w:bCs/>
          <w:sz w:val="20"/>
          <w:szCs w:val="20"/>
          <w:lang w:val="es-ES"/>
        </w:rPr>
        <w:t>A.</w:t>
      </w:r>
      <w:r w:rsidRPr="00C9699E">
        <w:rPr>
          <w:rFonts w:ascii="Cambria" w:hAnsi="Cambria"/>
          <w:b/>
          <w:bCs/>
          <w:sz w:val="20"/>
          <w:szCs w:val="20"/>
          <w:lang w:val="es-ES"/>
        </w:rPr>
        <w:tab/>
        <w:t xml:space="preserve">Competencia </w:t>
      </w:r>
    </w:p>
    <w:p w:rsidR="00CF4BC2" w:rsidRPr="00C9699E" w:rsidRDefault="00CF4BC2"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ES"/>
        </w:rPr>
      </w:pPr>
      <w:r w:rsidRPr="00C9699E">
        <w:rPr>
          <w:rFonts w:asciiTheme="majorHAnsi" w:eastAsia="SimSun" w:hAnsiTheme="majorHAnsi"/>
          <w:sz w:val="20"/>
          <w:szCs w:val="20"/>
          <w:lang w:val="es-ES"/>
        </w:rPr>
        <w:t xml:space="preserve">El peticionario se encuentra facultado, en principio, por el artículo 44 de la Convención Americana para presentar peticiones ante la Comisión. La petición señala una supuesta violación a derechos consagrados en la Convención American sobre Derechos Humanos en perjuicio de una persona individual, </w:t>
      </w:r>
      <w:r w:rsidRPr="00C9699E">
        <w:rPr>
          <w:rFonts w:asciiTheme="majorHAnsi" w:eastAsia="SimSun" w:hAnsiTheme="majorHAnsi"/>
          <w:sz w:val="20"/>
          <w:szCs w:val="20"/>
          <w:lang w:val="es-ES"/>
        </w:rPr>
        <w:lastRenderedPageBreak/>
        <w:t>respecto de quien el Estado salvadoreño se comprometió a respetar y garantizar estos derechos desde la fecha en que depositó su instrumento de ratificación del tratado supra mencionado,</w:t>
      </w:r>
      <w:r w:rsidRPr="00C9699E">
        <w:rPr>
          <w:rFonts w:asciiTheme="majorHAnsi" w:hAnsiTheme="majorHAnsi"/>
          <w:sz w:val="20"/>
          <w:szCs w:val="20"/>
          <w:lang w:val="es-CL"/>
        </w:rPr>
        <w:t xml:space="preserve"> el 23 de junio de 1978</w:t>
      </w:r>
      <w:r w:rsidRPr="00C9699E">
        <w:rPr>
          <w:rFonts w:asciiTheme="majorHAnsi" w:eastAsia="SimSun" w:hAnsiTheme="majorHAnsi"/>
          <w:sz w:val="20"/>
          <w:szCs w:val="20"/>
          <w:lang w:val="es-ES"/>
        </w:rPr>
        <w:t xml:space="preserve">. Con base en lo anterior, y teniendo en cuenta que las supuestas violaciones habrían ocurrido en el territorio de un Estado parte en estos tratados y en fecha posterior al depósito del instrumento de ratificación, la CIDH concluye que tiene competencia </w:t>
      </w:r>
      <w:r w:rsidRPr="00C9699E">
        <w:rPr>
          <w:rFonts w:asciiTheme="majorHAnsi" w:eastAsia="SimSun" w:hAnsiTheme="majorHAnsi"/>
          <w:i/>
          <w:iCs/>
          <w:sz w:val="20"/>
          <w:szCs w:val="20"/>
          <w:lang w:val="es-UY"/>
        </w:rPr>
        <w:t>ratione personae</w:t>
      </w:r>
      <w:r w:rsidRPr="00C9699E">
        <w:rPr>
          <w:rFonts w:asciiTheme="majorHAnsi" w:eastAsia="SimSun" w:hAnsiTheme="majorHAnsi"/>
          <w:sz w:val="20"/>
          <w:szCs w:val="20"/>
          <w:lang w:val="es-UY"/>
        </w:rPr>
        <w:t xml:space="preserve">, </w:t>
      </w:r>
      <w:r w:rsidRPr="00C9699E">
        <w:rPr>
          <w:rFonts w:asciiTheme="majorHAnsi" w:eastAsia="SimSun" w:hAnsiTheme="majorHAnsi"/>
          <w:i/>
          <w:iCs/>
          <w:sz w:val="20"/>
          <w:szCs w:val="20"/>
          <w:lang w:val="es-UY"/>
        </w:rPr>
        <w:t>ratione loci</w:t>
      </w:r>
      <w:r w:rsidRPr="00C9699E">
        <w:rPr>
          <w:rFonts w:asciiTheme="majorHAnsi" w:eastAsia="SimSun" w:hAnsiTheme="majorHAnsi"/>
          <w:sz w:val="20"/>
          <w:szCs w:val="20"/>
          <w:lang w:val="es-UY"/>
        </w:rPr>
        <w:t xml:space="preserve">, </w:t>
      </w:r>
      <w:r w:rsidRPr="00C9699E">
        <w:rPr>
          <w:rFonts w:asciiTheme="majorHAnsi" w:eastAsia="SimSun" w:hAnsiTheme="majorHAnsi"/>
          <w:i/>
          <w:iCs/>
          <w:sz w:val="20"/>
          <w:szCs w:val="20"/>
          <w:lang w:val="es-UY"/>
        </w:rPr>
        <w:t xml:space="preserve">ratione temporis </w:t>
      </w:r>
      <w:r w:rsidRPr="00C9699E">
        <w:rPr>
          <w:rFonts w:asciiTheme="majorHAnsi" w:eastAsia="SimSun" w:hAnsiTheme="majorHAnsi"/>
          <w:sz w:val="20"/>
          <w:szCs w:val="20"/>
          <w:lang w:val="es-UY"/>
        </w:rPr>
        <w:t xml:space="preserve">y </w:t>
      </w:r>
      <w:r w:rsidRPr="00C9699E">
        <w:rPr>
          <w:rFonts w:asciiTheme="majorHAnsi" w:eastAsia="SimSun" w:hAnsiTheme="majorHAnsi"/>
          <w:i/>
          <w:iCs/>
          <w:sz w:val="20"/>
          <w:szCs w:val="20"/>
          <w:lang w:val="es-UY"/>
        </w:rPr>
        <w:t xml:space="preserve">ratione materia </w:t>
      </w:r>
      <w:r w:rsidRPr="00C9699E">
        <w:rPr>
          <w:rFonts w:asciiTheme="majorHAnsi" w:eastAsia="SimSun" w:hAnsiTheme="majorHAnsi"/>
          <w:sz w:val="20"/>
          <w:szCs w:val="20"/>
          <w:lang w:val="es-UY"/>
        </w:rPr>
        <w:t>para examinar la petición.</w:t>
      </w:r>
    </w:p>
    <w:p w:rsidR="00CF4BC2" w:rsidRPr="00C9699E" w:rsidRDefault="00CF4BC2" w:rsidP="0089149D">
      <w:pPr>
        <w:numPr>
          <w:ilvl w:val="0"/>
          <w:numId w:val="56"/>
        </w:num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r w:rsidRPr="00C9699E">
        <w:rPr>
          <w:rFonts w:asciiTheme="majorHAnsi" w:hAnsiTheme="majorHAnsi"/>
          <w:sz w:val="20"/>
          <w:szCs w:val="20"/>
          <w:lang w:val="es-ES"/>
        </w:rPr>
        <w:t>Lo anterior sin perjuicio de que en la etapa de fondo del trámite de la presente petición</w:t>
      </w:r>
      <w:r w:rsidRPr="00C9699E">
        <w:rPr>
          <w:rFonts w:asciiTheme="majorHAnsi" w:hAnsiTheme="majorHAnsi"/>
          <w:sz w:val="20"/>
          <w:szCs w:val="20"/>
          <w:lang w:val="es-UY"/>
        </w:rPr>
        <w:t xml:space="preserve">, al momento de analizar las posibles violaciones a la Convención Americana, la CIDH tome en consideración otros instrumentos que hacen parte del </w:t>
      </w:r>
      <w:r w:rsidRPr="00C9699E">
        <w:rPr>
          <w:rFonts w:asciiTheme="majorHAnsi" w:hAnsiTheme="majorHAnsi"/>
          <w:i/>
          <w:sz w:val="20"/>
          <w:szCs w:val="20"/>
          <w:lang w:val="es-UY"/>
        </w:rPr>
        <w:t>corpus juris</w:t>
      </w:r>
      <w:r w:rsidRPr="00C9699E">
        <w:rPr>
          <w:rFonts w:asciiTheme="majorHAnsi" w:hAnsiTheme="majorHAnsi"/>
          <w:sz w:val="20"/>
          <w:szCs w:val="20"/>
          <w:lang w:val="es-UY"/>
        </w:rPr>
        <w:t xml:space="preserve"> en materia</w:t>
      </w:r>
      <w:r w:rsidRPr="00C9699E">
        <w:rPr>
          <w:rFonts w:asciiTheme="majorHAnsi" w:hAnsiTheme="majorHAnsi"/>
          <w:sz w:val="20"/>
          <w:szCs w:val="20"/>
          <w:lang w:val="es-ES"/>
        </w:rPr>
        <w:t xml:space="preserve"> de derechos de las personas con discapacidad en la medida de lo pertinente. </w:t>
      </w:r>
    </w:p>
    <w:p w:rsidR="00CF4BC2" w:rsidRPr="00C9699E" w:rsidRDefault="00CF4BC2" w:rsidP="0089149D">
      <w:pPr>
        <w:pBdr>
          <w:top w:val="none" w:sz="0" w:space="0" w:color="auto"/>
          <w:left w:val="none" w:sz="0" w:space="0" w:color="auto"/>
          <w:bottom w:val="none" w:sz="0" w:space="0" w:color="auto"/>
          <w:right w:val="none" w:sz="0" w:space="0" w:color="auto"/>
          <w:bar w:val="none" w:sz="0" w:color="auto"/>
        </w:pBdr>
        <w:ind w:left="720"/>
        <w:jc w:val="both"/>
        <w:rPr>
          <w:sz w:val="20"/>
          <w:szCs w:val="20"/>
          <w:lang w:val="es-ES"/>
        </w:rPr>
      </w:pPr>
    </w:p>
    <w:p w:rsidR="00CF4BC2" w:rsidRPr="00C9699E" w:rsidRDefault="00CF4BC2" w:rsidP="008645D0">
      <w:pPr>
        <w:numPr>
          <w:ilvl w:val="0"/>
          <w:numId w:val="57"/>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b/>
          <w:sz w:val="20"/>
          <w:szCs w:val="20"/>
          <w:lang w:val="es-ES"/>
        </w:rPr>
      </w:pPr>
      <w:r w:rsidRPr="00C9699E">
        <w:rPr>
          <w:rFonts w:ascii="Cambria" w:hAnsi="Cambria"/>
          <w:b/>
          <w:bCs/>
          <w:sz w:val="20"/>
          <w:szCs w:val="20"/>
          <w:lang w:val="es-ES"/>
        </w:rPr>
        <w:t xml:space="preserve">Requisitos de </w:t>
      </w:r>
      <w:r w:rsidRPr="00C9699E">
        <w:rPr>
          <w:rFonts w:ascii="Cambria" w:hAnsi="Cambria"/>
          <w:b/>
          <w:sz w:val="20"/>
          <w:szCs w:val="20"/>
          <w:lang w:val="es-ES"/>
        </w:rPr>
        <w:t>Admisibilidad</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
        </w:rPr>
      </w:pPr>
      <w:r w:rsidRPr="00C9699E">
        <w:rPr>
          <w:rFonts w:ascii="Cambria" w:hAnsi="Cambria"/>
          <w:b/>
          <w:sz w:val="20"/>
          <w:szCs w:val="20"/>
          <w:lang w:val="es-ES"/>
        </w:rPr>
        <w:t>1.</w:t>
      </w:r>
      <w:r w:rsidRPr="00C9699E">
        <w:rPr>
          <w:rFonts w:ascii="Cambria" w:hAnsi="Cambria"/>
          <w:b/>
          <w:sz w:val="20"/>
          <w:szCs w:val="20"/>
          <w:lang w:val="es-ES"/>
        </w:rPr>
        <w:tab/>
        <w:t>Agotamiento de los recursos internos</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9699E">
        <w:rPr>
          <w:rFonts w:ascii="Cambria" w:hAnsi="Cambria" w:cs="Arial"/>
          <w:sz w:val="20"/>
          <w:szCs w:val="20"/>
          <w:lang w:val="es-ES"/>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Convención Americana sobre Derechos Humanos. </w:t>
      </w:r>
      <w:r w:rsidRPr="00C9699E">
        <w:rPr>
          <w:rFonts w:ascii="Cambria" w:hAnsi="Cambria"/>
          <w:sz w:val="20"/>
          <w:szCs w:val="20"/>
          <w:lang w:val="es-ES"/>
        </w:rPr>
        <w:t xml:space="preserve">Este requisito tiene como objeto permitir que las autoridades nacionales conozcan sobre la supuesta violación de un derecho protegido y, de ser apropiado, solucionen la situación antes de que sea conocida por una instancia internacional. </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lang w:val="es-ES"/>
        </w:rPr>
      </w:pPr>
      <w:r w:rsidRPr="00C9699E">
        <w:rPr>
          <w:rFonts w:ascii="Cambria" w:hAnsi="Cambria"/>
          <w:sz w:val="20"/>
          <w:szCs w:val="20"/>
          <w:lang w:val="es-ES"/>
        </w:rPr>
        <w:t xml:space="preserve">Con respecto al agotamiento de los recursos internos, el peticionario alega que en el presente caso se configura la excepción contemplada en el artículo 46.2.c de la Convención Americana, </w:t>
      </w:r>
      <w:r w:rsidR="00BE27EB" w:rsidRPr="00C9699E">
        <w:rPr>
          <w:rFonts w:ascii="Cambria" w:hAnsi="Cambria"/>
          <w:sz w:val="20"/>
          <w:szCs w:val="20"/>
          <w:lang w:val="es-ES"/>
        </w:rPr>
        <w:t>s</w:t>
      </w:r>
      <w:r w:rsidRPr="00C9699E">
        <w:rPr>
          <w:rFonts w:ascii="Cambria" w:hAnsi="Cambria"/>
          <w:sz w:val="20"/>
          <w:szCs w:val="20"/>
          <w:lang w:val="es-ES"/>
        </w:rPr>
        <w:t>obre la base de que el proceso como un todo se prolongó por más de once años. De acuerdo con la última información aportada por el peticionario respecto del proceso penal, aun se encontraría pendiente la confirmació</w:t>
      </w:r>
      <w:r w:rsidR="004413E9" w:rsidRPr="00C9699E">
        <w:rPr>
          <w:rFonts w:ascii="Cambria" w:hAnsi="Cambria"/>
          <w:sz w:val="20"/>
          <w:szCs w:val="20"/>
          <w:lang w:val="es-ES"/>
        </w:rPr>
        <w:t>n del sobreseimiento definitivo</w:t>
      </w:r>
      <w:r w:rsidRPr="00C9699E">
        <w:rPr>
          <w:rFonts w:ascii="Cambria" w:hAnsi="Cambria"/>
          <w:sz w:val="20"/>
          <w:szCs w:val="20"/>
          <w:lang w:val="es-ES"/>
        </w:rPr>
        <w:t>.</w:t>
      </w:r>
    </w:p>
    <w:p w:rsidR="00205F2C" w:rsidRPr="00E07DCE" w:rsidRDefault="00CF4BC2" w:rsidP="00FA49A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lang w:val="es-ES"/>
        </w:rPr>
      </w:pPr>
      <w:r w:rsidRPr="00C9699E">
        <w:rPr>
          <w:rFonts w:ascii="Cambria" w:hAnsi="Cambria"/>
          <w:sz w:val="20"/>
          <w:szCs w:val="20"/>
          <w:lang w:val="es-ES"/>
        </w:rPr>
        <w:t xml:space="preserve">En la presente petición la Comisión Interamericana observa que los hechos ocurrieron el 13 de noviembre de 1993, y </w:t>
      </w:r>
      <w:r w:rsidR="004413E9" w:rsidRPr="00C9699E">
        <w:rPr>
          <w:rFonts w:ascii="Cambria" w:hAnsi="Cambria"/>
          <w:sz w:val="20"/>
          <w:szCs w:val="20"/>
          <w:lang w:val="es-ES"/>
        </w:rPr>
        <w:t xml:space="preserve">que el </w:t>
      </w:r>
      <w:r w:rsidRPr="00C9699E">
        <w:rPr>
          <w:rFonts w:ascii="Cambria" w:hAnsi="Cambria"/>
          <w:sz w:val="20"/>
          <w:szCs w:val="20"/>
          <w:lang w:val="es-ES"/>
        </w:rPr>
        <w:t xml:space="preserve">proceso </w:t>
      </w:r>
      <w:r w:rsidR="004413E9" w:rsidRPr="00C9699E">
        <w:rPr>
          <w:rFonts w:ascii="Cambria" w:hAnsi="Cambria"/>
          <w:sz w:val="20"/>
          <w:szCs w:val="20"/>
          <w:lang w:val="es-ES"/>
        </w:rPr>
        <w:t>penal</w:t>
      </w:r>
      <w:r w:rsidR="00205F2C">
        <w:rPr>
          <w:rFonts w:ascii="Cambria" w:hAnsi="Cambria"/>
          <w:sz w:val="20"/>
          <w:szCs w:val="20"/>
          <w:lang w:val="es-ES"/>
        </w:rPr>
        <w:t>, específicamente en su fase de investigación,</w:t>
      </w:r>
      <w:r w:rsidR="004413E9" w:rsidRPr="00C9699E">
        <w:rPr>
          <w:rFonts w:ascii="Cambria" w:hAnsi="Cambria"/>
          <w:sz w:val="20"/>
          <w:szCs w:val="20"/>
          <w:lang w:val="es-ES"/>
        </w:rPr>
        <w:t xml:space="preserve"> </w:t>
      </w:r>
      <w:r w:rsidRPr="00C9699E">
        <w:rPr>
          <w:rFonts w:ascii="Cambria" w:hAnsi="Cambria"/>
          <w:sz w:val="20"/>
          <w:szCs w:val="20"/>
          <w:lang w:val="es-ES"/>
        </w:rPr>
        <w:t xml:space="preserve">se prolongó por más de once años. El 20 de julio de 2004 la Cámara de la Tercera Sección de Occidente confirmó el sobreseimiento provisional dictado el 19 de mayo de 2004 en primera instancia. </w:t>
      </w:r>
      <w:r w:rsidR="0010543B">
        <w:rPr>
          <w:rFonts w:ascii="Cambria" w:hAnsi="Cambria"/>
          <w:sz w:val="20"/>
          <w:szCs w:val="20"/>
          <w:lang w:val="es-ES"/>
        </w:rPr>
        <w:t>Al respecto</w:t>
      </w:r>
      <w:r w:rsidR="00205F2C">
        <w:rPr>
          <w:rFonts w:ascii="Cambria" w:hAnsi="Cambria"/>
          <w:sz w:val="20"/>
          <w:szCs w:val="20"/>
          <w:lang w:val="es-ES"/>
        </w:rPr>
        <w:t xml:space="preserve">, la Comisión observa que de acuerdo con la legislación salvadoreña (artículos 31 y 350-352 del Código Procesal Penal) </w:t>
      </w:r>
      <w:r w:rsidR="0010543B">
        <w:rPr>
          <w:rFonts w:ascii="Cambria" w:hAnsi="Cambria"/>
          <w:sz w:val="20"/>
          <w:szCs w:val="20"/>
          <w:lang w:val="es-ES"/>
        </w:rPr>
        <w:t>la acción penal se extingue luego de transcurrido un año de emitido el sobreseimiento provisional sin que el fiscal interviniente solicite la reapertura de las investigaciones.</w:t>
      </w:r>
      <w:r w:rsidR="00E07DCE">
        <w:rPr>
          <w:rFonts w:ascii="Cambria" w:hAnsi="Cambria"/>
          <w:sz w:val="20"/>
          <w:szCs w:val="20"/>
          <w:lang w:val="es-ES"/>
        </w:rPr>
        <w:t xml:space="preserve"> El</w:t>
      </w:r>
      <w:r w:rsidR="0010543B">
        <w:rPr>
          <w:rFonts w:ascii="Cambria" w:hAnsi="Cambria"/>
          <w:sz w:val="20"/>
          <w:szCs w:val="20"/>
          <w:lang w:val="es-ES"/>
        </w:rPr>
        <w:t xml:space="preserve"> peticionario ha </w:t>
      </w:r>
      <w:r w:rsidR="003724E1">
        <w:rPr>
          <w:rFonts w:ascii="Cambria" w:hAnsi="Cambria"/>
          <w:sz w:val="20"/>
          <w:szCs w:val="20"/>
          <w:lang w:val="es-ES"/>
        </w:rPr>
        <w:t>reiterado</w:t>
      </w:r>
      <w:r w:rsidR="0010543B">
        <w:rPr>
          <w:rFonts w:ascii="Cambria" w:hAnsi="Cambria"/>
          <w:sz w:val="20"/>
          <w:szCs w:val="20"/>
          <w:lang w:val="es-ES"/>
        </w:rPr>
        <w:t xml:space="preserve"> hast</w:t>
      </w:r>
      <w:r w:rsidR="003724E1">
        <w:rPr>
          <w:rFonts w:ascii="Cambria" w:hAnsi="Cambria"/>
          <w:sz w:val="20"/>
          <w:szCs w:val="20"/>
          <w:lang w:val="es-ES"/>
        </w:rPr>
        <w:t>a la fecha del presente informe</w:t>
      </w:r>
      <w:r w:rsidR="0010543B">
        <w:rPr>
          <w:rFonts w:ascii="Cambria" w:hAnsi="Cambria"/>
          <w:sz w:val="20"/>
          <w:szCs w:val="20"/>
          <w:lang w:val="es-ES"/>
        </w:rPr>
        <w:t xml:space="preserve"> que</w:t>
      </w:r>
      <w:r w:rsidR="003724E1">
        <w:rPr>
          <w:rFonts w:ascii="Cambria" w:hAnsi="Cambria"/>
          <w:sz w:val="20"/>
          <w:szCs w:val="20"/>
          <w:lang w:val="es-ES"/>
        </w:rPr>
        <w:t>,</w:t>
      </w:r>
      <w:r w:rsidR="0010543B">
        <w:rPr>
          <w:rFonts w:ascii="Cambria" w:hAnsi="Cambria"/>
          <w:sz w:val="20"/>
          <w:szCs w:val="20"/>
          <w:lang w:val="es-ES"/>
        </w:rPr>
        <w:t xml:space="preserve"> luego de la confirmación judicial del sobreseimiento provisional</w:t>
      </w:r>
      <w:r w:rsidR="003724E1">
        <w:rPr>
          <w:rFonts w:ascii="Cambria" w:hAnsi="Cambria"/>
          <w:sz w:val="20"/>
          <w:szCs w:val="20"/>
          <w:lang w:val="es-ES"/>
        </w:rPr>
        <w:t>,</w:t>
      </w:r>
      <w:r w:rsidR="0010543B">
        <w:rPr>
          <w:rFonts w:ascii="Cambria" w:hAnsi="Cambria"/>
          <w:sz w:val="20"/>
          <w:szCs w:val="20"/>
          <w:lang w:val="es-ES"/>
        </w:rPr>
        <w:t xml:space="preserve"> </w:t>
      </w:r>
      <w:r w:rsidR="00E07DCE">
        <w:rPr>
          <w:rFonts w:ascii="Cambria" w:hAnsi="Cambria"/>
          <w:sz w:val="20"/>
          <w:szCs w:val="20"/>
          <w:lang w:val="es-ES"/>
        </w:rPr>
        <w:t xml:space="preserve">no hubo ningún avance en la investigación de su caso. </w:t>
      </w:r>
    </w:p>
    <w:p w:rsidR="00CF4BC2" w:rsidRPr="00B46171" w:rsidRDefault="00E07DCE" w:rsidP="00B46171">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lang w:val="es-ES"/>
        </w:rPr>
      </w:pPr>
      <w:r>
        <w:rPr>
          <w:rFonts w:ascii="Cambria" w:hAnsi="Cambria"/>
          <w:sz w:val="20"/>
          <w:szCs w:val="20"/>
          <w:lang w:val="es-ES"/>
        </w:rPr>
        <w:t xml:space="preserve">En este sentido, la Comisión observa que de acuerdo con la información presente en el expediente el </w:t>
      </w:r>
      <w:r w:rsidR="00641B2E">
        <w:rPr>
          <w:rFonts w:ascii="Cambria" w:hAnsi="Cambria"/>
          <w:sz w:val="20"/>
          <w:szCs w:val="20"/>
          <w:lang w:val="es-ES"/>
        </w:rPr>
        <w:t>señor</w:t>
      </w:r>
      <w:r>
        <w:rPr>
          <w:rFonts w:ascii="Cambria" w:hAnsi="Cambria"/>
          <w:sz w:val="20"/>
          <w:szCs w:val="20"/>
          <w:lang w:val="es-ES"/>
        </w:rPr>
        <w:t xml:space="preserve"> Aguirre Magaña habría impulsado todas las acciones judiciales conducentes a impulsar judicialmente la investigación penal seguida por los hechos de los que habría sido víctima, no siendo razonable por parte de esta Comisión exigirle el agotamiento de otros adicionales. </w:t>
      </w:r>
      <w:r w:rsidR="00B46171">
        <w:rPr>
          <w:rFonts w:ascii="Cambria" w:hAnsi="Cambria"/>
          <w:sz w:val="20"/>
          <w:szCs w:val="20"/>
          <w:lang w:val="es-ES"/>
        </w:rPr>
        <w:t xml:space="preserve">Además, surge de la posición de las partes que el proceso penal seguido por los hechos alegados por el peticionario habría concluido de acuerdo con la legislación nacional aplicable. Lo anterior, aunado al hecho de que el </w:t>
      </w:r>
      <w:r w:rsidR="00B46171" w:rsidRPr="00B46171">
        <w:rPr>
          <w:rFonts w:ascii="Cambria" w:hAnsi="Cambria"/>
          <w:sz w:val="20"/>
          <w:szCs w:val="20"/>
          <w:lang w:val="es-ES"/>
        </w:rPr>
        <w:t>E</w:t>
      </w:r>
      <w:r w:rsidR="00CF4BC2" w:rsidRPr="00B46171">
        <w:rPr>
          <w:rFonts w:ascii="Cambria" w:hAnsi="Cambria" w:cs="Arial"/>
          <w:sz w:val="20"/>
          <w:szCs w:val="20"/>
          <w:lang w:val="es-ES"/>
        </w:rPr>
        <w:t>stado salvadoreño no aportó durante el trámite de la petición elementos que permitieran a la CIDH formarse una convicci</w:t>
      </w:r>
      <w:r w:rsidR="00023BB4" w:rsidRPr="00B46171">
        <w:rPr>
          <w:rFonts w:ascii="Cambria" w:hAnsi="Cambria" w:cs="Arial"/>
          <w:sz w:val="20"/>
          <w:szCs w:val="20"/>
          <w:lang w:val="es-ES"/>
        </w:rPr>
        <w:t xml:space="preserve">ón distinta, </w:t>
      </w:r>
      <w:r w:rsidR="00B46171">
        <w:rPr>
          <w:rFonts w:ascii="Cambria" w:hAnsi="Cambria" w:cs="Arial"/>
          <w:sz w:val="20"/>
          <w:szCs w:val="20"/>
          <w:lang w:val="es-ES"/>
        </w:rPr>
        <w:t xml:space="preserve">lleva a esta </w:t>
      </w:r>
      <w:r w:rsidR="00023BB4" w:rsidRPr="00B46171">
        <w:rPr>
          <w:rFonts w:ascii="Cambria" w:hAnsi="Cambria" w:cs="Arial"/>
          <w:sz w:val="20"/>
          <w:szCs w:val="20"/>
          <w:lang w:val="es-ES"/>
        </w:rPr>
        <w:t xml:space="preserve">Comisión </w:t>
      </w:r>
      <w:r w:rsidR="00B46171">
        <w:rPr>
          <w:rFonts w:ascii="Cambria" w:hAnsi="Cambria" w:cs="Arial"/>
          <w:sz w:val="20"/>
          <w:szCs w:val="20"/>
          <w:lang w:val="es-ES"/>
        </w:rPr>
        <w:t>a concluir que en la presente petición cumple con el requisito del agotamiento de los recursos internos e</w:t>
      </w:r>
      <w:r w:rsidR="003724E1">
        <w:rPr>
          <w:rFonts w:ascii="Cambria" w:hAnsi="Cambria" w:cs="Arial"/>
          <w:sz w:val="20"/>
          <w:szCs w:val="20"/>
          <w:lang w:val="es-ES"/>
        </w:rPr>
        <w:t>n los términos del artículo 46.1</w:t>
      </w:r>
      <w:r w:rsidR="00B46171">
        <w:rPr>
          <w:rFonts w:ascii="Cambria" w:hAnsi="Cambria" w:cs="Arial"/>
          <w:sz w:val="20"/>
          <w:szCs w:val="20"/>
          <w:lang w:val="es-ES"/>
        </w:rPr>
        <w:t>.a de la Convención Americana sobre Derechos Humanos</w:t>
      </w:r>
      <w:r w:rsidR="00CF4BC2" w:rsidRPr="00B46171">
        <w:rPr>
          <w:rFonts w:ascii="Cambria" w:hAnsi="Cambria" w:cs="Arial"/>
          <w:sz w:val="20"/>
          <w:szCs w:val="20"/>
          <w:lang w:val="es-ES"/>
        </w:rPr>
        <w:t xml:space="preserve">. </w:t>
      </w:r>
    </w:p>
    <w:p w:rsidR="00CA45C2" w:rsidRDefault="00CA45C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r>
        <w:rPr>
          <w:rFonts w:ascii="Cambria" w:hAnsi="Cambria"/>
          <w:b/>
          <w:sz w:val="20"/>
          <w:szCs w:val="20"/>
          <w:lang w:val="es-ES"/>
        </w:rPr>
        <w:br w:type="page"/>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
        </w:rPr>
      </w:pPr>
      <w:r w:rsidRPr="00C9699E">
        <w:rPr>
          <w:rFonts w:ascii="Cambria" w:hAnsi="Cambria"/>
          <w:b/>
          <w:sz w:val="20"/>
          <w:szCs w:val="20"/>
          <w:lang w:val="es-ES"/>
        </w:rPr>
        <w:lastRenderedPageBreak/>
        <w:t>2.</w:t>
      </w:r>
      <w:r w:rsidRPr="00C9699E">
        <w:rPr>
          <w:rFonts w:ascii="Cambria" w:hAnsi="Cambria"/>
          <w:b/>
          <w:sz w:val="20"/>
          <w:szCs w:val="20"/>
          <w:lang w:val="es-ES"/>
        </w:rPr>
        <w:tab/>
        <w:t>Plazo de presentación de la petición</w:t>
      </w:r>
    </w:p>
    <w:p w:rsidR="00CF4BC2" w:rsidRPr="00BD6389" w:rsidRDefault="00CF4BC2" w:rsidP="00BD638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9699E">
        <w:rPr>
          <w:rFonts w:ascii="Cambria" w:hAnsi="Cambria" w:cs="Arial"/>
          <w:sz w:val="20"/>
          <w:szCs w:val="20"/>
          <w:lang w:val="es-ES"/>
        </w:rPr>
        <w:t>El artículo 46.1.b de l</w:t>
      </w:r>
      <w:r w:rsidRPr="00C9699E">
        <w:rPr>
          <w:rFonts w:ascii="Cambria" w:hAnsi="Cambria"/>
          <w:sz w:val="20"/>
          <w:szCs w:val="20"/>
          <w:lang w:val="es-ES"/>
        </w:rPr>
        <w:t>a Convención Americana establece que para que una petición resulte admisible por la Comisión se requerirá que sea presentada dentro del plazo de seis meses a partir de la fecha en que el presunto lesionado haya sido notificado de la decisión definitiv</w:t>
      </w:r>
      <w:r w:rsidR="00BD6389">
        <w:rPr>
          <w:rFonts w:ascii="Cambria" w:hAnsi="Cambria"/>
          <w:sz w:val="20"/>
          <w:szCs w:val="20"/>
          <w:lang w:val="es-ES"/>
        </w:rPr>
        <w:t xml:space="preserve">a. En el reclamo bajo análisis </w:t>
      </w:r>
      <w:r w:rsidRPr="00BD6389">
        <w:rPr>
          <w:rFonts w:ascii="Cambria" w:hAnsi="Cambria"/>
          <w:sz w:val="20"/>
          <w:szCs w:val="20"/>
          <w:lang w:val="es-ES"/>
        </w:rPr>
        <w:t xml:space="preserve">la </w:t>
      </w:r>
      <w:r w:rsidR="00BD6389">
        <w:rPr>
          <w:rFonts w:ascii="Cambria" w:hAnsi="Cambria"/>
          <w:sz w:val="20"/>
          <w:szCs w:val="20"/>
          <w:lang w:val="es-ES"/>
        </w:rPr>
        <w:t>Comisión Interamericana ha considerado que el proceso judicial interno llegó a su conclusión definitiva luego del término legal de un año transcurrido con posterioridad a la decisión emitida el 20 de julio de 2004 por la Cámara de la Tercera Sección de Occidente por medio de la cual quedaba ejecutoriada la resolución de sobreseimiento provisional dictada en primera instancia. En atención a esta consideración, y al hecho de que la</w:t>
      </w:r>
      <w:r w:rsidRPr="00BD6389">
        <w:rPr>
          <w:rFonts w:ascii="Cambria" w:hAnsi="Cambria"/>
          <w:sz w:val="20"/>
          <w:szCs w:val="20"/>
          <w:lang w:val="es-ES"/>
        </w:rPr>
        <w:t xml:space="preserve"> petición ante la CIDH fue recibida el 28</w:t>
      </w:r>
      <w:r w:rsidR="00023BB4" w:rsidRPr="00BD6389">
        <w:rPr>
          <w:rFonts w:ascii="Cambria" w:hAnsi="Cambria"/>
          <w:sz w:val="20"/>
          <w:szCs w:val="20"/>
          <w:lang w:val="es-ES"/>
        </w:rPr>
        <w:t xml:space="preserve"> de julio de 2005, </w:t>
      </w:r>
      <w:r w:rsidRPr="00BD6389">
        <w:rPr>
          <w:rFonts w:ascii="Cambria" w:hAnsi="Cambria"/>
          <w:sz w:val="20"/>
          <w:szCs w:val="20"/>
          <w:lang w:val="es-ES"/>
        </w:rPr>
        <w:t>la Comisión considera que la petición fue presentada dentro de un plazo razonable y que debe darse por satisfecho el requisito de admisibilidad referente al plazo de presentación</w:t>
      </w:r>
      <w:r w:rsidRPr="00BD6389">
        <w:rPr>
          <w:rFonts w:ascii="Cambria" w:hAnsi="Cambria"/>
          <w:bCs/>
          <w:sz w:val="20"/>
          <w:szCs w:val="20"/>
          <w:lang w:val="es-ES"/>
        </w:rPr>
        <w:t>.</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t>3.</w:t>
      </w:r>
      <w:r w:rsidRPr="00C9699E">
        <w:rPr>
          <w:rFonts w:ascii="Cambria" w:hAnsi="Cambria"/>
          <w:b/>
          <w:bCs/>
          <w:sz w:val="20"/>
          <w:szCs w:val="20"/>
          <w:lang w:val="es-ES"/>
        </w:rPr>
        <w:tab/>
        <w:t>Duplicación de procedimientos y cosa juzgada</w:t>
      </w:r>
      <w:r w:rsidRPr="00C9699E">
        <w:rPr>
          <w:rFonts w:ascii="Cambria" w:hAnsi="Cambria"/>
          <w:b/>
          <w:bCs/>
          <w:i/>
          <w:sz w:val="20"/>
          <w:szCs w:val="20"/>
          <w:lang w:val="es-ES"/>
        </w:rPr>
        <w:t xml:space="preserve"> </w:t>
      </w:r>
      <w:r w:rsidRPr="00C9699E">
        <w:rPr>
          <w:rFonts w:ascii="Cambria" w:hAnsi="Cambria"/>
          <w:b/>
          <w:bCs/>
          <w:sz w:val="20"/>
          <w:szCs w:val="20"/>
          <w:lang w:val="es-ES"/>
        </w:rPr>
        <w:t>internacional</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9699E">
        <w:rPr>
          <w:rFonts w:ascii="Cambria" w:hAnsi="Cambria"/>
          <w:sz w:val="20"/>
          <w:szCs w:val="20"/>
          <w:lang w:val="es-ES"/>
        </w:rPr>
        <w:t xml:space="preserve">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 </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t>4.</w:t>
      </w:r>
      <w:r w:rsidRPr="00C9699E">
        <w:rPr>
          <w:rFonts w:ascii="Cambria" w:hAnsi="Cambria"/>
          <w:b/>
          <w:bCs/>
          <w:sz w:val="20"/>
          <w:szCs w:val="20"/>
          <w:lang w:val="es-ES"/>
        </w:rPr>
        <w:tab/>
        <w:t>Caracterización de los hechos alegados</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ES"/>
        </w:rPr>
      </w:pPr>
      <w:r w:rsidRPr="00C9699E">
        <w:rPr>
          <w:rFonts w:ascii="Cambria" w:hAnsi="Cambria"/>
          <w:color w:val="000000"/>
          <w:sz w:val="20"/>
          <w:szCs w:val="20"/>
          <w:lang w:val="es-ES"/>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  El criterio para analizar la admisibilidad difiere del utilizado para el análisis del fondo de la petición dado que la Comisión sólo realiza un análisis </w:t>
      </w:r>
      <w:r w:rsidRPr="00C9699E">
        <w:rPr>
          <w:rFonts w:ascii="Cambria" w:hAnsi="Cambria"/>
          <w:i/>
          <w:color w:val="000000"/>
          <w:sz w:val="20"/>
          <w:szCs w:val="20"/>
          <w:lang w:val="es-ES"/>
        </w:rPr>
        <w:t>prima facie</w:t>
      </w:r>
      <w:r w:rsidRPr="00C9699E">
        <w:rPr>
          <w:rFonts w:ascii="Cambria" w:hAnsi="Cambria"/>
          <w:color w:val="000000"/>
          <w:sz w:val="20"/>
          <w:szCs w:val="20"/>
          <w:lang w:val="es-ES"/>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ES"/>
        </w:rPr>
      </w:pPr>
      <w:r w:rsidRPr="00C9699E">
        <w:rPr>
          <w:rFonts w:ascii="Cambria" w:hAnsi="Cambria"/>
          <w:sz w:val="20"/>
          <w:szCs w:val="20"/>
          <w:lang w:val="es-ES"/>
        </w:rPr>
        <w:t xml:space="preserve">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w:t>
      </w:r>
      <w:r w:rsidRPr="00C9699E">
        <w:rPr>
          <w:rFonts w:ascii="Cambria" w:hAnsi="Cambria"/>
          <w:color w:val="000000"/>
          <w:sz w:val="20"/>
          <w:szCs w:val="20"/>
          <w:lang w:val="es-ES"/>
        </w:rPr>
        <w:t>mediante elementos suficientes.</w:t>
      </w:r>
    </w:p>
    <w:p w:rsidR="006E258E" w:rsidRPr="006E258E" w:rsidRDefault="006E258E" w:rsidP="006E258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C9699E">
        <w:rPr>
          <w:rFonts w:ascii="Cambria" w:hAnsi="Cambria" w:cs="Arial"/>
          <w:sz w:val="20"/>
          <w:szCs w:val="20"/>
          <w:lang w:val="es-ES"/>
        </w:rPr>
        <w:t xml:space="preserve">El </w:t>
      </w:r>
      <w:r>
        <w:rPr>
          <w:rFonts w:ascii="Cambria" w:hAnsi="Cambria" w:cs="Arial"/>
          <w:sz w:val="20"/>
          <w:szCs w:val="20"/>
          <w:lang w:val="es-ES"/>
        </w:rPr>
        <w:t>peticionario</w:t>
      </w:r>
      <w:r w:rsidRPr="00C9699E">
        <w:rPr>
          <w:rFonts w:ascii="Cambria" w:hAnsi="Cambria" w:cs="Arial"/>
          <w:sz w:val="20"/>
          <w:szCs w:val="20"/>
          <w:lang w:val="es-ES"/>
        </w:rPr>
        <w:t xml:space="preserve"> denuncia que ha sido víctima de un cuadro general de denegación de justicia dado que se han mantenido en la impunidad los hechos que le provocaron una discapacidad física permanente. El peticionario hace énfasis en que el proceso penal como un todo excedió el plazo razonable; que la etapa de investigación del mismo se extendió por once años; y que considera injustificable que después de todo ese tiempo los tribunales internos justifiquen el no procesamiento penal del responsable de los hechos sobre la base de que las investigaciones iniciales se condujeron de manera inapropiada o negligente. El peticionario denuncia que hubo una actitud dilatoria por parte de las autoridades judiciales y que hubo continuas inhibiciones de varios jueces. Indica al respecto que solamente en la primera instancia del proceso se sucedieron nueve jueces. Además, alega supuestos actos de corrupción y colusión por parte de distintos jueces y magistrados del Poder Judicial con el objeto de proteger al presunto responsable de los hechos. </w:t>
      </w:r>
    </w:p>
    <w:p w:rsidR="00CF4BC2" w:rsidRPr="00C9699E" w:rsidRDefault="00CF4BC2"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ES"/>
        </w:rPr>
      </w:pPr>
      <w:r w:rsidRPr="00C9699E">
        <w:rPr>
          <w:rFonts w:ascii="Cambria" w:hAnsi="Cambria"/>
          <w:color w:val="000000"/>
          <w:sz w:val="20"/>
          <w:szCs w:val="20"/>
          <w:lang w:val="es-ES"/>
        </w:rPr>
        <w:t xml:space="preserve">En vista de los elementos de hecho y de derecho presentados por el peticionario y la naturaleza del asunto puesto bajo su conocimiento, la CIDH considera que, de ser probados, los hechos alegados podrían caracterizar posibles violaciones a los derechos protegidos en los artículos 8 y 25 de la Convención Americana, en concordancia con el artículo 1.1 de dicho tratado en perjuicio del </w:t>
      </w:r>
      <w:r w:rsidR="00641B2E">
        <w:rPr>
          <w:rFonts w:ascii="Cambria" w:hAnsi="Cambria"/>
          <w:color w:val="000000"/>
          <w:sz w:val="20"/>
          <w:szCs w:val="20"/>
          <w:lang w:val="es-ES"/>
        </w:rPr>
        <w:t>señor</w:t>
      </w:r>
      <w:r w:rsidRPr="00C9699E">
        <w:rPr>
          <w:rFonts w:ascii="Cambria" w:hAnsi="Cambria"/>
          <w:color w:val="000000"/>
          <w:sz w:val="20"/>
          <w:szCs w:val="20"/>
          <w:lang w:val="es-ES"/>
        </w:rPr>
        <w:t xml:space="preserve"> Miguel Ángel Aguirre Magaña. </w:t>
      </w:r>
      <w:r w:rsidRPr="00C9699E">
        <w:rPr>
          <w:rFonts w:ascii="Cambria" w:eastAsia="SimSun" w:hAnsi="Cambria"/>
          <w:i/>
          <w:color w:val="000000"/>
          <w:sz w:val="20"/>
          <w:szCs w:val="20"/>
          <w:lang w:val="es-ES"/>
        </w:rPr>
        <w:t xml:space="preserve"> </w:t>
      </w:r>
    </w:p>
    <w:p w:rsidR="00CF4BC2" w:rsidRPr="00C9699E" w:rsidRDefault="00CF4BC2"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C9699E">
        <w:rPr>
          <w:rFonts w:ascii="Cambria" w:hAnsi="Cambria"/>
          <w:b/>
          <w:bCs/>
          <w:sz w:val="20"/>
          <w:szCs w:val="20"/>
          <w:lang w:val="es-ES"/>
        </w:rPr>
        <w:lastRenderedPageBreak/>
        <w:t>V.</w:t>
      </w:r>
      <w:r w:rsidRPr="00C9699E">
        <w:rPr>
          <w:rFonts w:ascii="Cambria" w:hAnsi="Cambria"/>
          <w:b/>
          <w:bCs/>
          <w:sz w:val="20"/>
          <w:szCs w:val="20"/>
          <w:lang w:val="es-ES"/>
        </w:rPr>
        <w:tab/>
        <w:t>CONCLUSIONES</w:t>
      </w:r>
    </w:p>
    <w:p w:rsidR="00CF4BC2" w:rsidRPr="00C9699E" w:rsidRDefault="00CF4BC2"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9699E">
        <w:rPr>
          <w:rFonts w:ascii="Cambria" w:hAnsi="Cambria"/>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CF4BC2" w:rsidRPr="00C9699E" w:rsidRDefault="00CF4BC2" w:rsidP="00634A37">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sz w:val="20"/>
          <w:szCs w:val="20"/>
          <w:lang w:val="es-ES"/>
        </w:rPr>
      </w:pPr>
      <w:r w:rsidRPr="00C9699E">
        <w:rPr>
          <w:rFonts w:ascii="Cambria" w:hAnsi="Cambria"/>
          <w:b/>
          <w:bCs/>
          <w:sz w:val="20"/>
          <w:szCs w:val="20"/>
          <w:lang w:val="es-ES"/>
        </w:rPr>
        <w:t>LA COMISIÓN INTERAMERICANA DE DERECHOS HUMANOS</w:t>
      </w:r>
    </w:p>
    <w:p w:rsidR="00CF4BC2" w:rsidRPr="00C9699E" w:rsidRDefault="00CF4BC2" w:rsidP="00634A37">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lang w:val="es-ES"/>
        </w:rPr>
      </w:pPr>
      <w:r w:rsidRPr="00C9699E">
        <w:rPr>
          <w:rFonts w:ascii="Cambria" w:hAnsi="Cambria"/>
          <w:b/>
          <w:bCs/>
          <w:sz w:val="20"/>
          <w:szCs w:val="20"/>
          <w:lang w:val="es-ES"/>
        </w:rPr>
        <w:t>DECIDE:</w:t>
      </w:r>
    </w:p>
    <w:p w:rsidR="00CF4BC2" w:rsidRPr="00C9699E" w:rsidRDefault="00CF4BC2"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lang w:val="es-ES"/>
        </w:rPr>
      </w:pPr>
      <w:r w:rsidRPr="00C9699E">
        <w:rPr>
          <w:sz w:val="20"/>
          <w:szCs w:val="20"/>
          <w:lang w:val="es-ES"/>
        </w:rPr>
        <w:t xml:space="preserve">Declarar admisible la presente petición en relación con los artículos 8 y 25 de la Convención Americana en conexión con la obligación establecida </w:t>
      </w:r>
      <w:r w:rsidRPr="00C9699E">
        <w:rPr>
          <w:color w:val="auto"/>
          <w:sz w:val="20"/>
          <w:szCs w:val="20"/>
          <w:lang w:val="es-ES"/>
        </w:rPr>
        <w:t>en el artículo 1.1 del</w:t>
      </w:r>
      <w:r w:rsidRPr="00C9699E">
        <w:rPr>
          <w:sz w:val="20"/>
          <w:szCs w:val="20"/>
          <w:lang w:val="es-ES"/>
        </w:rPr>
        <w:t xml:space="preserve"> mismo instrumento.</w:t>
      </w:r>
    </w:p>
    <w:p w:rsidR="00CF4BC2" w:rsidRPr="00C9699E" w:rsidRDefault="00CF4BC2"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lang w:val="es-ES"/>
        </w:rPr>
      </w:pPr>
      <w:r w:rsidRPr="00C9699E">
        <w:rPr>
          <w:sz w:val="20"/>
          <w:szCs w:val="20"/>
          <w:lang w:val="es-ES"/>
        </w:rPr>
        <w:t>Notificar a las partes la presente decisión;</w:t>
      </w:r>
    </w:p>
    <w:p w:rsidR="00CF4BC2" w:rsidRPr="00C9699E" w:rsidRDefault="00CF4BC2"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lang w:val="es-ES"/>
        </w:rPr>
      </w:pPr>
      <w:r w:rsidRPr="00C9699E">
        <w:rPr>
          <w:sz w:val="20"/>
          <w:szCs w:val="20"/>
          <w:lang w:val="es-ES"/>
        </w:rPr>
        <w:t>Continuar con el análisis del fondo de la cuestión; y</w:t>
      </w:r>
    </w:p>
    <w:p w:rsidR="00CF4BC2" w:rsidRDefault="00CF4BC2" w:rsidP="00EC6676">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sz w:val="20"/>
          <w:szCs w:val="20"/>
          <w:lang w:val="es-ES"/>
        </w:rPr>
      </w:pPr>
      <w:r w:rsidRPr="00C9699E">
        <w:rPr>
          <w:sz w:val="20"/>
          <w:szCs w:val="20"/>
          <w:lang w:val="es-ES"/>
        </w:rPr>
        <w:t>Publicar esta decisión e incluirla en su Informe Anual a la Asamblea General de la Organización de los Estados Americanos.</w:t>
      </w:r>
    </w:p>
    <w:p w:rsidR="002620BC" w:rsidRPr="00A37B82" w:rsidRDefault="002620BC" w:rsidP="00EC6676">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955833">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620BC" w:rsidRPr="00A37B82"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E7" w:rsidRDefault="001A43E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A43E7" w:rsidRDefault="001A43E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E1" w:rsidRDefault="00AA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C2" w:rsidRPr="00934A2C" w:rsidRDefault="00CF4BC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70E1">
      <w:rPr>
        <w:noProof/>
        <w:sz w:val="16"/>
        <w:szCs w:val="22"/>
      </w:rPr>
      <w:t>6</w:t>
    </w:r>
    <w:r w:rsidRPr="00934A2C">
      <w:rPr>
        <w:sz w:val="16"/>
        <w:szCs w:val="22"/>
      </w:rPr>
      <w:fldChar w:fldCharType="end"/>
    </w:r>
  </w:p>
  <w:p w:rsidR="00CF4BC2" w:rsidRDefault="00CF4BC2">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C2" w:rsidRPr="00934A2C" w:rsidRDefault="00CF4BC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CF4BC2" w:rsidRDefault="00CF4BC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E7" w:rsidRPr="000F35ED" w:rsidRDefault="001A43E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1A43E7" w:rsidRPr="000F35ED" w:rsidRDefault="001A43E7"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1A43E7" w:rsidRPr="000F35ED" w:rsidRDefault="001A43E7"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1A43E7" w:rsidRPr="000F35ED" w:rsidRDefault="001A43E7"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320893" w:rsidRPr="007C6754" w:rsidRDefault="00320893" w:rsidP="00634A37">
      <w:pPr>
        <w:pStyle w:val="FootnoteText"/>
        <w:ind w:firstLine="720"/>
        <w:jc w:val="both"/>
        <w:rPr>
          <w:rFonts w:asciiTheme="majorHAnsi" w:hAnsiTheme="majorHAnsi"/>
          <w:sz w:val="16"/>
          <w:szCs w:val="16"/>
          <w:lang w:val="es-ES"/>
        </w:rPr>
      </w:pPr>
      <w:r w:rsidRPr="007C6754">
        <w:rPr>
          <w:rStyle w:val="FootnoteReference"/>
          <w:rFonts w:asciiTheme="majorHAnsi" w:hAnsiTheme="majorHAnsi"/>
          <w:sz w:val="16"/>
          <w:szCs w:val="16"/>
        </w:rPr>
        <w:footnoteRef/>
      </w:r>
      <w:r w:rsidRPr="007C6754">
        <w:rPr>
          <w:rFonts w:asciiTheme="majorHAnsi" w:hAnsiTheme="majorHAnsi"/>
          <w:sz w:val="16"/>
          <w:szCs w:val="16"/>
          <w:lang w:val="es-ES"/>
        </w:rPr>
        <w:t xml:space="preserve"> Si bien el Instituto de Derechos Humanos de la Universidad José Simeón Cañas actuó en un principio como peticionario, en los últimos años el </w:t>
      </w:r>
      <w:r w:rsidR="00641B2E">
        <w:rPr>
          <w:rFonts w:asciiTheme="majorHAnsi" w:hAnsiTheme="majorHAnsi"/>
          <w:sz w:val="16"/>
          <w:szCs w:val="16"/>
          <w:lang w:val="es-ES"/>
        </w:rPr>
        <w:t>señor</w:t>
      </w:r>
      <w:r w:rsidRPr="007C6754">
        <w:rPr>
          <w:rFonts w:asciiTheme="majorHAnsi" w:hAnsiTheme="majorHAnsi"/>
          <w:sz w:val="16"/>
          <w:szCs w:val="16"/>
          <w:lang w:val="es-ES"/>
        </w:rPr>
        <w:t xml:space="preserve"> Miguel Ángel Aguirre Magaña ha ejercido su propia representación como peticionario y presunta víctima. </w:t>
      </w:r>
    </w:p>
  </w:footnote>
  <w:footnote w:id="3">
    <w:p w:rsidR="00E75551" w:rsidRPr="007C6754" w:rsidRDefault="00E75551" w:rsidP="00634A37">
      <w:pPr>
        <w:pStyle w:val="FootnoteText"/>
        <w:ind w:firstLine="720"/>
        <w:jc w:val="both"/>
        <w:rPr>
          <w:rFonts w:asciiTheme="majorHAnsi" w:hAnsiTheme="majorHAnsi"/>
          <w:sz w:val="16"/>
          <w:szCs w:val="16"/>
          <w:lang w:val="es-ES"/>
        </w:rPr>
      </w:pPr>
      <w:r w:rsidRPr="007C6754">
        <w:rPr>
          <w:rStyle w:val="FootnoteReference"/>
          <w:rFonts w:asciiTheme="majorHAnsi" w:hAnsiTheme="majorHAnsi"/>
          <w:sz w:val="16"/>
          <w:szCs w:val="16"/>
        </w:rPr>
        <w:footnoteRef/>
      </w:r>
      <w:r w:rsidRPr="007C6754">
        <w:rPr>
          <w:rFonts w:asciiTheme="majorHAnsi" w:hAnsiTheme="majorHAnsi"/>
          <w:sz w:val="16"/>
          <w:szCs w:val="16"/>
          <w:lang w:val="es-ES"/>
        </w:rPr>
        <w:t xml:space="preserve"> Petición inicial recibida el 28 de julio de 2005, anexo: Sentencia de la Cámara de la Tercera Sección de Occidente de Ahuachapán de 20 de julio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C2" w:rsidRDefault="00CF4BC2" w:rsidP="00D57C19">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CF4BC2" w:rsidRDefault="00CF4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C2" w:rsidRDefault="002E08F7" w:rsidP="00A50FCF">
    <w:pPr>
      <w:pStyle w:val="Header"/>
      <w:tabs>
        <w:tab w:val="clear" w:pos="4320"/>
        <w:tab w:val="clear" w:pos="8640"/>
      </w:tabs>
      <w:jc w:val="center"/>
      <w:rPr>
        <w:sz w:val="22"/>
        <w:szCs w:val="22"/>
      </w:rPr>
    </w:pPr>
    <w:r>
      <w:rPr>
        <w:noProof/>
        <w:sz w:val="22"/>
        <w:szCs w:val="22"/>
      </w:rPr>
      <w:drawing>
        <wp:inline distT="0" distB="0" distL="0" distR="0" wp14:anchorId="28468FD1" wp14:editId="36080930">
          <wp:extent cx="1953260" cy="104140"/>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4140"/>
                  </a:xfrm>
                  <a:prstGeom prst="rect">
                    <a:avLst/>
                  </a:prstGeom>
                  <a:noFill/>
                  <a:ln>
                    <a:noFill/>
                  </a:ln>
                </pic:spPr>
              </pic:pic>
            </a:graphicData>
          </a:graphic>
        </wp:inline>
      </w:drawing>
    </w:r>
  </w:p>
  <w:p w:rsidR="00CF4BC2" w:rsidRPr="00EC7D62" w:rsidRDefault="001A43E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E1" w:rsidRDefault="00AA7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A5E491BA"/>
    <w:lvl w:ilvl="0" w:tplc="11044AE4">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78B"/>
    <w:rsid w:val="0001788C"/>
    <w:rsid w:val="00023BB4"/>
    <w:rsid w:val="00024654"/>
    <w:rsid w:val="00034298"/>
    <w:rsid w:val="00040C3A"/>
    <w:rsid w:val="0004452A"/>
    <w:rsid w:val="00056B8A"/>
    <w:rsid w:val="00057D22"/>
    <w:rsid w:val="00057DD7"/>
    <w:rsid w:val="00060213"/>
    <w:rsid w:val="00063CB3"/>
    <w:rsid w:val="000716C5"/>
    <w:rsid w:val="00075E23"/>
    <w:rsid w:val="00092DD6"/>
    <w:rsid w:val="0009344A"/>
    <w:rsid w:val="00093D37"/>
    <w:rsid w:val="000A392E"/>
    <w:rsid w:val="000A39F4"/>
    <w:rsid w:val="000A575F"/>
    <w:rsid w:val="000B03D5"/>
    <w:rsid w:val="000B2A28"/>
    <w:rsid w:val="000C40A7"/>
    <w:rsid w:val="000D10DB"/>
    <w:rsid w:val="000D7E9C"/>
    <w:rsid w:val="000E5EB5"/>
    <w:rsid w:val="000F35ED"/>
    <w:rsid w:val="000F6AC6"/>
    <w:rsid w:val="0010216B"/>
    <w:rsid w:val="0010543B"/>
    <w:rsid w:val="00107131"/>
    <w:rsid w:val="0010736F"/>
    <w:rsid w:val="00111E8C"/>
    <w:rsid w:val="00112D7A"/>
    <w:rsid w:val="00113F73"/>
    <w:rsid w:val="00115F98"/>
    <w:rsid w:val="00121775"/>
    <w:rsid w:val="00121CC2"/>
    <w:rsid w:val="00127707"/>
    <w:rsid w:val="001334A9"/>
    <w:rsid w:val="00133EE5"/>
    <w:rsid w:val="001351F8"/>
    <w:rsid w:val="00140B1F"/>
    <w:rsid w:val="001433D6"/>
    <w:rsid w:val="00146B0D"/>
    <w:rsid w:val="001479DB"/>
    <w:rsid w:val="00167A34"/>
    <w:rsid w:val="00181715"/>
    <w:rsid w:val="00182D70"/>
    <w:rsid w:val="00185529"/>
    <w:rsid w:val="0019003E"/>
    <w:rsid w:val="00194B9A"/>
    <w:rsid w:val="00195414"/>
    <w:rsid w:val="001A43E7"/>
    <w:rsid w:val="001A701C"/>
    <w:rsid w:val="001A7870"/>
    <w:rsid w:val="001B416D"/>
    <w:rsid w:val="001B7D12"/>
    <w:rsid w:val="001C1B41"/>
    <w:rsid w:val="001D65EF"/>
    <w:rsid w:val="00200999"/>
    <w:rsid w:val="00203D5A"/>
    <w:rsid w:val="00205F2C"/>
    <w:rsid w:val="002212C9"/>
    <w:rsid w:val="002224DE"/>
    <w:rsid w:val="002250A3"/>
    <w:rsid w:val="00235217"/>
    <w:rsid w:val="00246D1F"/>
    <w:rsid w:val="00247403"/>
    <w:rsid w:val="00247542"/>
    <w:rsid w:val="002620BC"/>
    <w:rsid w:val="0026525D"/>
    <w:rsid w:val="00266B61"/>
    <w:rsid w:val="0026712A"/>
    <w:rsid w:val="002704DB"/>
    <w:rsid w:val="002826FC"/>
    <w:rsid w:val="00294030"/>
    <w:rsid w:val="002A0AAE"/>
    <w:rsid w:val="002A5820"/>
    <w:rsid w:val="002D2B26"/>
    <w:rsid w:val="002D6E22"/>
    <w:rsid w:val="002D7EA2"/>
    <w:rsid w:val="002E08F7"/>
    <w:rsid w:val="002E0A91"/>
    <w:rsid w:val="002E187C"/>
    <w:rsid w:val="002F1DA9"/>
    <w:rsid w:val="002F7F7E"/>
    <w:rsid w:val="00302733"/>
    <w:rsid w:val="00303272"/>
    <w:rsid w:val="003064D8"/>
    <w:rsid w:val="003119D3"/>
    <w:rsid w:val="00312C5E"/>
    <w:rsid w:val="00314078"/>
    <w:rsid w:val="0031535D"/>
    <w:rsid w:val="00320893"/>
    <w:rsid w:val="00325B8F"/>
    <w:rsid w:val="003267FA"/>
    <w:rsid w:val="0033169F"/>
    <w:rsid w:val="0033260A"/>
    <w:rsid w:val="00332C4C"/>
    <w:rsid w:val="0033467B"/>
    <w:rsid w:val="00335AAC"/>
    <w:rsid w:val="003375DE"/>
    <w:rsid w:val="00343899"/>
    <w:rsid w:val="00346C95"/>
    <w:rsid w:val="00347604"/>
    <w:rsid w:val="003522FE"/>
    <w:rsid w:val="003534C3"/>
    <w:rsid w:val="00356185"/>
    <w:rsid w:val="00360380"/>
    <w:rsid w:val="00362E29"/>
    <w:rsid w:val="00363A43"/>
    <w:rsid w:val="00365D51"/>
    <w:rsid w:val="003664B3"/>
    <w:rsid w:val="003716D2"/>
    <w:rsid w:val="003724E1"/>
    <w:rsid w:val="0037519E"/>
    <w:rsid w:val="00386CF0"/>
    <w:rsid w:val="00387CAB"/>
    <w:rsid w:val="0039570A"/>
    <w:rsid w:val="003A122B"/>
    <w:rsid w:val="003B5448"/>
    <w:rsid w:val="003B75C0"/>
    <w:rsid w:val="003C676B"/>
    <w:rsid w:val="003D2966"/>
    <w:rsid w:val="003D3BC2"/>
    <w:rsid w:val="003D7075"/>
    <w:rsid w:val="003E2B9D"/>
    <w:rsid w:val="003E6CA1"/>
    <w:rsid w:val="00406DA6"/>
    <w:rsid w:val="0040771B"/>
    <w:rsid w:val="004158F5"/>
    <w:rsid w:val="004165C2"/>
    <w:rsid w:val="00417590"/>
    <w:rsid w:val="00427CBB"/>
    <w:rsid w:val="00433C4C"/>
    <w:rsid w:val="00437719"/>
    <w:rsid w:val="00440D2C"/>
    <w:rsid w:val="004413E9"/>
    <w:rsid w:val="00441DBA"/>
    <w:rsid w:val="00441ECB"/>
    <w:rsid w:val="00452B38"/>
    <w:rsid w:val="00452D3F"/>
    <w:rsid w:val="00457A8D"/>
    <w:rsid w:val="00462641"/>
    <w:rsid w:val="00463A44"/>
    <w:rsid w:val="00467B7E"/>
    <w:rsid w:val="004700C1"/>
    <w:rsid w:val="004768F0"/>
    <w:rsid w:val="00477592"/>
    <w:rsid w:val="00477A49"/>
    <w:rsid w:val="00485810"/>
    <w:rsid w:val="00486F1C"/>
    <w:rsid w:val="0049419D"/>
    <w:rsid w:val="004B5B83"/>
    <w:rsid w:val="004B7A65"/>
    <w:rsid w:val="004C20D2"/>
    <w:rsid w:val="004C44D7"/>
    <w:rsid w:val="004C4B62"/>
    <w:rsid w:val="004C54C9"/>
    <w:rsid w:val="004D077C"/>
    <w:rsid w:val="004D2132"/>
    <w:rsid w:val="004D6025"/>
    <w:rsid w:val="004E2649"/>
    <w:rsid w:val="00501399"/>
    <w:rsid w:val="00503D76"/>
    <w:rsid w:val="00505CA5"/>
    <w:rsid w:val="0050633D"/>
    <w:rsid w:val="00507BC4"/>
    <w:rsid w:val="005121C2"/>
    <w:rsid w:val="005128E4"/>
    <w:rsid w:val="005133DB"/>
    <w:rsid w:val="00514612"/>
    <w:rsid w:val="00525560"/>
    <w:rsid w:val="00527493"/>
    <w:rsid w:val="005316A2"/>
    <w:rsid w:val="005316E3"/>
    <w:rsid w:val="00531A90"/>
    <w:rsid w:val="00537490"/>
    <w:rsid w:val="00541A9E"/>
    <w:rsid w:val="00541CA3"/>
    <w:rsid w:val="00544C49"/>
    <w:rsid w:val="005479EF"/>
    <w:rsid w:val="00547D7F"/>
    <w:rsid w:val="005516A1"/>
    <w:rsid w:val="00565EAA"/>
    <w:rsid w:val="0057402A"/>
    <w:rsid w:val="005771D0"/>
    <w:rsid w:val="00585605"/>
    <w:rsid w:val="0058671F"/>
    <w:rsid w:val="00587D49"/>
    <w:rsid w:val="00590E06"/>
    <w:rsid w:val="0059191A"/>
    <w:rsid w:val="005921FF"/>
    <w:rsid w:val="00596831"/>
    <w:rsid w:val="005A5CFB"/>
    <w:rsid w:val="005A61F8"/>
    <w:rsid w:val="005A6D0E"/>
    <w:rsid w:val="005B47D1"/>
    <w:rsid w:val="005B52B0"/>
    <w:rsid w:val="005B6806"/>
    <w:rsid w:val="005C4225"/>
    <w:rsid w:val="005D60D6"/>
    <w:rsid w:val="005D6865"/>
    <w:rsid w:val="005E0178"/>
    <w:rsid w:val="005E50DB"/>
    <w:rsid w:val="005F0DAD"/>
    <w:rsid w:val="005F0F33"/>
    <w:rsid w:val="005F1293"/>
    <w:rsid w:val="005F7C3D"/>
    <w:rsid w:val="006003F1"/>
    <w:rsid w:val="00600DEB"/>
    <w:rsid w:val="006110EB"/>
    <w:rsid w:val="006124E5"/>
    <w:rsid w:val="00625DD3"/>
    <w:rsid w:val="00627C9F"/>
    <w:rsid w:val="006311E9"/>
    <w:rsid w:val="00632354"/>
    <w:rsid w:val="00634A37"/>
    <w:rsid w:val="00634BB9"/>
    <w:rsid w:val="0063685A"/>
    <w:rsid w:val="0063724D"/>
    <w:rsid w:val="00640DF5"/>
    <w:rsid w:val="00641B2E"/>
    <w:rsid w:val="00642810"/>
    <w:rsid w:val="0065081B"/>
    <w:rsid w:val="00652333"/>
    <w:rsid w:val="00653648"/>
    <w:rsid w:val="0068009E"/>
    <w:rsid w:val="00692219"/>
    <w:rsid w:val="006A17D2"/>
    <w:rsid w:val="006A5197"/>
    <w:rsid w:val="006A73E6"/>
    <w:rsid w:val="006B2D5C"/>
    <w:rsid w:val="006B6B08"/>
    <w:rsid w:val="006C29D2"/>
    <w:rsid w:val="006C4EB1"/>
    <w:rsid w:val="006D4D69"/>
    <w:rsid w:val="006E0166"/>
    <w:rsid w:val="006E0457"/>
    <w:rsid w:val="006E258E"/>
    <w:rsid w:val="006E7B34"/>
    <w:rsid w:val="006F08C9"/>
    <w:rsid w:val="006F295D"/>
    <w:rsid w:val="006F2C2F"/>
    <w:rsid w:val="006F6F54"/>
    <w:rsid w:val="0070697F"/>
    <w:rsid w:val="00711192"/>
    <w:rsid w:val="00715F0E"/>
    <w:rsid w:val="007178B7"/>
    <w:rsid w:val="0072199C"/>
    <w:rsid w:val="00722C9F"/>
    <w:rsid w:val="007253B8"/>
    <w:rsid w:val="0073741F"/>
    <w:rsid w:val="00741193"/>
    <w:rsid w:val="00743D7B"/>
    <w:rsid w:val="0075147A"/>
    <w:rsid w:val="007539FB"/>
    <w:rsid w:val="007555E8"/>
    <w:rsid w:val="0076643F"/>
    <w:rsid w:val="007728C1"/>
    <w:rsid w:val="007731B9"/>
    <w:rsid w:val="00777F63"/>
    <w:rsid w:val="00781FA0"/>
    <w:rsid w:val="00787F1E"/>
    <w:rsid w:val="0079368B"/>
    <w:rsid w:val="007A5550"/>
    <w:rsid w:val="007A5817"/>
    <w:rsid w:val="007B60E9"/>
    <w:rsid w:val="007B6CC3"/>
    <w:rsid w:val="007C3334"/>
    <w:rsid w:val="007C655E"/>
    <w:rsid w:val="007C6754"/>
    <w:rsid w:val="007D00CC"/>
    <w:rsid w:val="007D1BC0"/>
    <w:rsid w:val="007D286D"/>
    <w:rsid w:val="007D2B98"/>
    <w:rsid w:val="007D52EE"/>
    <w:rsid w:val="007E1669"/>
    <w:rsid w:val="007E21BC"/>
    <w:rsid w:val="007E782D"/>
    <w:rsid w:val="007F2B89"/>
    <w:rsid w:val="00803F1C"/>
    <w:rsid w:val="00805E8D"/>
    <w:rsid w:val="0080600E"/>
    <w:rsid w:val="008063B8"/>
    <w:rsid w:val="008144B3"/>
    <w:rsid w:val="00817612"/>
    <w:rsid w:val="00821904"/>
    <w:rsid w:val="008251D2"/>
    <w:rsid w:val="00830CC5"/>
    <w:rsid w:val="00831155"/>
    <w:rsid w:val="008338A4"/>
    <w:rsid w:val="00837C45"/>
    <w:rsid w:val="00840EA6"/>
    <w:rsid w:val="00844730"/>
    <w:rsid w:val="008457C2"/>
    <w:rsid w:val="00847102"/>
    <w:rsid w:val="0085275D"/>
    <w:rsid w:val="00857A82"/>
    <w:rsid w:val="008645D0"/>
    <w:rsid w:val="008651FF"/>
    <w:rsid w:val="00865A76"/>
    <w:rsid w:val="00870E84"/>
    <w:rsid w:val="008724B3"/>
    <w:rsid w:val="00872E3A"/>
    <w:rsid w:val="00873836"/>
    <w:rsid w:val="00881063"/>
    <w:rsid w:val="008817AB"/>
    <w:rsid w:val="008836DC"/>
    <w:rsid w:val="00885737"/>
    <w:rsid w:val="00890650"/>
    <w:rsid w:val="0089149D"/>
    <w:rsid w:val="008964C6"/>
    <w:rsid w:val="00897E12"/>
    <w:rsid w:val="008A3DD2"/>
    <w:rsid w:val="008A5476"/>
    <w:rsid w:val="008A582C"/>
    <w:rsid w:val="008A7E0F"/>
    <w:rsid w:val="008B12F5"/>
    <w:rsid w:val="008B3FB1"/>
    <w:rsid w:val="008C53E4"/>
    <w:rsid w:val="008D255B"/>
    <w:rsid w:val="008D534E"/>
    <w:rsid w:val="008D768D"/>
    <w:rsid w:val="008E3759"/>
    <w:rsid w:val="008E5087"/>
    <w:rsid w:val="008F1912"/>
    <w:rsid w:val="008F1D2C"/>
    <w:rsid w:val="008F4CDC"/>
    <w:rsid w:val="0090270B"/>
    <w:rsid w:val="009041DC"/>
    <w:rsid w:val="00907FBC"/>
    <w:rsid w:val="00913125"/>
    <w:rsid w:val="00913522"/>
    <w:rsid w:val="00914543"/>
    <w:rsid w:val="00916AF0"/>
    <w:rsid w:val="00917B5A"/>
    <w:rsid w:val="00920A58"/>
    <w:rsid w:val="00920A8C"/>
    <w:rsid w:val="00923DA8"/>
    <w:rsid w:val="0092714A"/>
    <w:rsid w:val="00931BE2"/>
    <w:rsid w:val="00934A2C"/>
    <w:rsid w:val="0094270F"/>
    <w:rsid w:val="00946A6F"/>
    <w:rsid w:val="00955833"/>
    <w:rsid w:val="009568DB"/>
    <w:rsid w:val="00965657"/>
    <w:rsid w:val="0096706E"/>
    <w:rsid w:val="0097536E"/>
    <w:rsid w:val="00975C4E"/>
    <w:rsid w:val="00976E8F"/>
    <w:rsid w:val="009802DE"/>
    <w:rsid w:val="00981FBA"/>
    <w:rsid w:val="00996E8A"/>
    <w:rsid w:val="00997BC5"/>
    <w:rsid w:val="009A4DA6"/>
    <w:rsid w:val="009A4F41"/>
    <w:rsid w:val="009B2E24"/>
    <w:rsid w:val="009B381B"/>
    <w:rsid w:val="009B38AF"/>
    <w:rsid w:val="009B646B"/>
    <w:rsid w:val="009C5E5A"/>
    <w:rsid w:val="009C61A8"/>
    <w:rsid w:val="009D13FF"/>
    <w:rsid w:val="009D1753"/>
    <w:rsid w:val="009D7611"/>
    <w:rsid w:val="009E0B61"/>
    <w:rsid w:val="009E2944"/>
    <w:rsid w:val="009E39D8"/>
    <w:rsid w:val="009E4D84"/>
    <w:rsid w:val="009E53DE"/>
    <w:rsid w:val="009F0583"/>
    <w:rsid w:val="009F0B9A"/>
    <w:rsid w:val="00A12B9B"/>
    <w:rsid w:val="00A13929"/>
    <w:rsid w:val="00A20792"/>
    <w:rsid w:val="00A328B3"/>
    <w:rsid w:val="00A357C2"/>
    <w:rsid w:val="00A372AB"/>
    <w:rsid w:val="00A41682"/>
    <w:rsid w:val="00A440FF"/>
    <w:rsid w:val="00A448E4"/>
    <w:rsid w:val="00A45DDE"/>
    <w:rsid w:val="00A47F90"/>
    <w:rsid w:val="00A50FCF"/>
    <w:rsid w:val="00A528D1"/>
    <w:rsid w:val="00A60F16"/>
    <w:rsid w:val="00A610CD"/>
    <w:rsid w:val="00A62140"/>
    <w:rsid w:val="00A62E39"/>
    <w:rsid w:val="00A701EA"/>
    <w:rsid w:val="00A72B47"/>
    <w:rsid w:val="00A80AFE"/>
    <w:rsid w:val="00A8750D"/>
    <w:rsid w:val="00AA09A2"/>
    <w:rsid w:val="00AA2777"/>
    <w:rsid w:val="00AA6B69"/>
    <w:rsid w:val="00AA70E1"/>
    <w:rsid w:val="00AA7996"/>
    <w:rsid w:val="00AB0415"/>
    <w:rsid w:val="00AB1339"/>
    <w:rsid w:val="00AC19CB"/>
    <w:rsid w:val="00AE4D96"/>
    <w:rsid w:val="00AE4DA0"/>
    <w:rsid w:val="00AE4DED"/>
    <w:rsid w:val="00AE5336"/>
    <w:rsid w:val="00AE5488"/>
    <w:rsid w:val="00AE61D2"/>
    <w:rsid w:val="00AE6D89"/>
    <w:rsid w:val="00AE6F91"/>
    <w:rsid w:val="00AF5571"/>
    <w:rsid w:val="00B0498F"/>
    <w:rsid w:val="00B05658"/>
    <w:rsid w:val="00B056A5"/>
    <w:rsid w:val="00B071E3"/>
    <w:rsid w:val="00B07341"/>
    <w:rsid w:val="00B20596"/>
    <w:rsid w:val="00B206D2"/>
    <w:rsid w:val="00B26361"/>
    <w:rsid w:val="00B26794"/>
    <w:rsid w:val="00B26CA3"/>
    <w:rsid w:val="00B30539"/>
    <w:rsid w:val="00B30E23"/>
    <w:rsid w:val="00B314DB"/>
    <w:rsid w:val="00B361F2"/>
    <w:rsid w:val="00B3718B"/>
    <w:rsid w:val="00B376EC"/>
    <w:rsid w:val="00B46171"/>
    <w:rsid w:val="00B4632A"/>
    <w:rsid w:val="00B530F1"/>
    <w:rsid w:val="00B628BC"/>
    <w:rsid w:val="00B740BF"/>
    <w:rsid w:val="00B74914"/>
    <w:rsid w:val="00B777C0"/>
    <w:rsid w:val="00B80AAF"/>
    <w:rsid w:val="00B84E97"/>
    <w:rsid w:val="00B851B0"/>
    <w:rsid w:val="00B92165"/>
    <w:rsid w:val="00B95C27"/>
    <w:rsid w:val="00BA276C"/>
    <w:rsid w:val="00BB306F"/>
    <w:rsid w:val="00BB4FF0"/>
    <w:rsid w:val="00BD3846"/>
    <w:rsid w:val="00BD4B89"/>
    <w:rsid w:val="00BD56A5"/>
    <w:rsid w:val="00BD6389"/>
    <w:rsid w:val="00BE27EB"/>
    <w:rsid w:val="00BF64F4"/>
    <w:rsid w:val="00BF6A40"/>
    <w:rsid w:val="00BF6FD8"/>
    <w:rsid w:val="00BF763A"/>
    <w:rsid w:val="00C00B36"/>
    <w:rsid w:val="00C03680"/>
    <w:rsid w:val="00C054DF"/>
    <w:rsid w:val="00C11C43"/>
    <w:rsid w:val="00C21762"/>
    <w:rsid w:val="00C24543"/>
    <w:rsid w:val="00C256A2"/>
    <w:rsid w:val="00C30BFC"/>
    <w:rsid w:val="00C46248"/>
    <w:rsid w:val="00C51515"/>
    <w:rsid w:val="00C5660B"/>
    <w:rsid w:val="00C64234"/>
    <w:rsid w:val="00C66B72"/>
    <w:rsid w:val="00C76603"/>
    <w:rsid w:val="00C77B4F"/>
    <w:rsid w:val="00C83231"/>
    <w:rsid w:val="00C91463"/>
    <w:rsid w:val="00C953D3"/>
    <w:rsid w:val="00C9567A"/>
    <w:rsid w:val="00C9699E"/>
    <w:rsid w:val="00CA1278"/>
    <w:rsid w:val="00CA45C2"/>
    <w:rsid w:val="00CA4B0F"/>
    <w:rsid w:val="00CB08C1"/>
    <w:rsid w:val="00CB0F37"/>
    <w:rsid w:val="00CB212D"/>
    <w:rsid w:val="00CB2660"/>
    <w:rsid w:val="00CB44B4"/>
    <w:rsid w:val="00CC2F3D"/>
    <w:rsid w:val="00CC5E90"/>
    <w:rsid w:val="00CC6E48"/>
    <w:rsid w:val="00CD046C"/>
    <w:rsid w:val="00CD17AB"/>
    <w:rsid w:val="00CD6824"/>
    <w:rsid w:val="00CE076C"/>
    <w:rsid w:val="00CE5199"/>
    <w:rsid w:val="00CE6553"/>
    <w:rsid w:val="00CE66D5"/>
    <w:rsid w:val="00CF2419"/>
    <w:rsid w:val="00CF2CF5"/>
    <w:rsid w:val="00CF4BC2"/>
    <w:rsid w:val="00CF637A"/>
    <w:rsid w:val="00D01971"/>
    <w:rsid w:val="00D059DE"/>
    <w:rsid w:val="00D110D7"/>
    <w:rsid w:val="00D13FCE"/>
    <w:rsid w:val="00D16053"/>
    <w:rsid w:val="00D1656C"/>
    <w:rsid w:val="00D221BC"/>
    <w:rsid w:val="00D234DD"/>
    <w:rsid w:val="00D306D1"/>
    <w:rsid w:val="00D34786"/>
    <w:rsid w:val="00D377B9"/>
    <w:rsid w:val="00D37BFC"/>
    <w:rsid w:val="00D41E96"/>
    <w:rsid w:val="00D454E9"/>
    <w:rsid w:val="00D47A8E"/>
    <w:rsid w:val="00D50ADB"/>
    <w:rsid w:val="00D52D14"/>
    <w:rsid w:val="00D57C19"/>
    <w:rsid w:val="00D62EDE"/>
    <w:rsid w:val="00D62F47"/>
    <w:rsid w:val="00D712D3"/>
    <w:rsid w:val="00D71422"/>
    <w:rsid w:val="00D72DC6"/>
    <w:rsid w:val="00D73E2D"/>
    <w:rsid w:val="00D7558D"/>
    <w:rsid w:val="00D77BE6"/>
    <w:rsid w:val="00D81D92"/>
    <w:rsid w:val="00D84885"/>
    <w:rsid w:val="00D91341"/>
    <w:rsid w:val="00D9634A"/>
    <w:rsid w:val="00DA16BD"/>
    <w:rsid w:val="00DA7B5F"/>
    <w:rsid w:val="00DB19CC"/>
    <w:rsid w:val="00DB4833"/>
    <w:rsid w:val="00DC11E7"/>
    <w:rsid w:val="00DC7023"/>
    <w:rsid w:val="00DC769A"/>
    <w:rsid w:val="00DD0428"/>
    <w:rsid w:val="00DD3D86"/>
    <w:rsid w:val="00DE1E3F"/>
    <w:rsid w:val="00DF09C5"/>
    <w:rsid w:val="00DF1EC4"/>
    <w:rsid w:val="00E02FFA"/>
    <w:rsid w:val="00E0340B"/>
    <w:rsid w:val="00E04A90"/>
    <w:rsid w:val="00E07DCE"/>
    <w:rsid w:val="00E1674C"/>
    <w:rsid w:val="00E219C7"/>
    <w:rsid w:val="00E2258B"/>
    <w:rsid w:val="00E23CF7"/>
    <w:rsid w:val="00E42A4F"/>
    <w:rsid w:val="00E43157"/>
    <w:rsid w:val="00E461CE"/>
    <w:rsid w:val="00E62A24"/>
    <w:rsid w:val="00E71531"/>
    <w:rsid w:val="00E720CA"/>
    <w:rsid w:val="00E75551"/>
    <w:rsid w:val="00E80288"/>
    <w:rsid w:val="00E84EB5"/>
    <w:rsid w:val="00E85662"/>
    <w:rsid w:val="00E8789F"/>
    <w:rsid w:val="00E97B71"/>
    <w:rsid w:val="00EA3D34"/>
    <w:rsid w:val="00EA6861"/>
    <w:rsid w:val="00EA7774"/>
    <w:rsid w:val="00EB0B24"/>
    <w:rsid w:val="00EB1B40"/>
    <w:rsid w:val="00EB454D"/>
    <w:rsid w:val="00EC16CC"/>
    <w:rsid w:val="00EC6676"/>
    <w:rsid w:val="00EC7D62"/>
    <w:rsid w:val="00ED3A83"/>
    <w:rsid w:val="00ED76BE"/>
    <w:rsid w:val="00EF1E7A"/>
    <w:rsid w:val="00EF619B"/>
    <w:rsid w:val="00EF629E"/>
    <w:rsid w:val="00F00B55"/>
    <w:rsid w:val="00F01097"/>
    <w:rsid w:val="00F02AD1"/>
    <w:rsid w:val="00F15DD3"/>
    <w:rsid w:val="00F17D97"/>
    <w:rsid w:val="00F2241E"/>
    <w:rsid w:val="00F253CC"/>
    <w:rsid w:val="00F2581E"/>
    <w:rsid w:val="00F258BD"/>
    <w:rsid w:val="00F26678"/>
    <w:rsid w:val="00F36663"/>
    <w:rsid w:val="00F37106"/>
    <w:rsid w:val="00F519CF"/>
    <w:rsid w:val="00F531A4"/>
    <w:rsid w:val="00F56BA5"/>
    <w:rsid w:val="00F60E22"/>
    <w:rsid w:val="00F67B0A"/>
    <w:rsid w:val="00F7532F"/>
    <w:rsid w:val="00F77FB5"/>
    <w:rsid w:val="00F81395"/>
    <w:rsid w:val="00F8242E"/>
    <w:rsid w:val="00F911F2"/>
    <w:rsid w:val="00F917D1"/>
    <w:rsid w:val="00F921AB"/>
    <w:rsid w:val="00F9653B"/>
    <w:rsid w:val="00F97625"/>
    <w:rsid w:val="00FA49AC"/>
    <w:rsid w:val="00FB62CF"/>
    <w:rsid w:val="00FC2BEC"/>
    <w:rsid w:val="00FC3562"/>
    <w:rsid w:val="00FD3C3B"/>
    <w:rsid w:val="00FE6B45"/>
    <w:rsid w:val="00FE70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attachedSchema w:val="SmartTagTypeLegixLink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2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0B2A28"/>
    <w:rPr>
      <w:rFonts w:cs="Times New Roman"/>
      <w:u w:val="single"/>
    </w:rPr>
  </w:style>
  <w:style w:type="paragraph" w:customStyle="1" w:styleId="Cabeceraypie">
    <w:name w:val="Cabecera y pie"/>
    <w:uiPriority w:val="99"/>
    <w:rsid w:val="000B2A2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0B2A28"/>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0B2A2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0B2A28"/>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A372AB"/>
    <w:rPr>
      <w:rFonts w:cs="Times New Roman"/>
      <w:sz w:val="24"/>
      <w:szCs w:val="24"/>
    </w:rPr>
  </w:style>
  <w:style w:type="paragraph" w:styleId="ListParagraph">
    <w:name w:val="List Paragraph"/>
    <w:basedOn w:val="Normal"/>
    <w:uiPriority w:val="99"/>
    <w:qFormat/>
    <w:rsid w:val="000B2A28"/>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0B2A28"/>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A372AB"/>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numbering" w:customStyle="1" w:styleId="List16">
    <w:name w:val="List 16"/>
    <w:rsid w:val="00BD384E"/>
    <w:pPr>
      <w:numPr>
        <w:numId w:val="10"/>
      </w:numPr>
    </w:pPr>
  </w:style>
  <w:style w:type="numbering" w:customStyle="1" w:styleId="List36">
    <w:name w:val="List 36"/>
    <w:rsid w:val="00BD384E"/>
    <w:pPr>
      <w:numPr>
        <w:numId w:val="14"/>
      </w:numPr>
    </w:pPr>
  </w:style>
  <w:style w:type="numbering" w:customStyle="1" w:styleId="List25">
    <w:name w:val="List 25"/>
    <w:rsid w:val="00BD384E"/>
    <w:pPr>
      <w:numPr>
        <w:numId w:val="15"/>
      </w:numPr>
    </w:pPr>
  </w:style>
  <w:style w:type="numbering" w:customStyle="1" w:styleId="List1">
    <w:name w:val="List 1"/>
    <w:rsid w:val="00BD384E"/>
    <w:pPr>
      <w:numPr>
        <w:numId w:val="1"/>
      </w:numPr>
    </w:pPr>
  </w:style>
  <w:style w:type="numbering" w:customStyle="1" w:styleId="List11">
    <w:name w:val="List 11"/>
    <w:rsid w:val="00BD384E"/>
    <w:pPr>
      <w:numPr>
        <w:numId w:val="7"/>
      </w:numPr>
    </w:pPr>
  </w:style>
  <w:style w:type="numbering" w:customStyle="1" w:styleId="List15">
    <w:name w:val="List 15"/>
    <w:rsid w:val="00BD384E"/>
    <w:pPr>
      <w:numPr>
        <w:numId w:val="16"/>
      </w:numPr>
    </w:pPr>
  </w:style>
  <w:style w:type="numbering" w:customStyle="1" w:styleId="List14">
    <w:name w:val="List 14"/>
    <w:rsid w:val="00BD384E"/>
    <w:pPr>
      <w:numPr>
        <w:numId w:val="17"/>
      </w:numPr>
    </w:pPr>
  </w:style>
  <w:style w:type="numbering" w:customStyle="1" w:styleId="List23">
    <w:name w:val="List 23"/>
    <w:rsid w:val="00BD384E"/>
    <w:pPr>
      <w:numPr>
        <w:numId w:val="18"/>
      </w:numPr>
    </w:pPr>
  </w:style>
  <w:style w:type="numbering" w:customStyle="1" w:styleId="List19">
    <w:name w:val="List 19"/>
    <w:rsid w:val="00BD384E"/>
    <w:pPr>
      <w:numPr>
        <w:numId w:val="19"/>
      </w:numPr>
    </w:pPr>
  </w:style>
  <w:style w:type="numbering" w:customStyle="1" w:styleId="List45">
    <w:name w:val="List 45"/>
    <w:rsid w:val="00BD384E"/>
    <w:pPr>
      <w:numPr>
        <w:numId w:val="20"/>
      </w:numPr>
    </w:pPr>
  </w:style>
  <w:style w:type="numbering" w:customStyle="1" w:styleId="List40">
    <w:name w:val="List 40"/>
    <w:rsid w:val="00BD384E"/>
    <w:pPr>
      <w:numPr>
        <w:numId w:val="21"/>
      </w:numPr>
    </w:pPr>
  </w:style>
  <w:style w:type="numbering" w:customStyle="1" w:styleId="List9">
    <w:name w:val="List 9"/>
    <w:rsid w:val="00BD384E"/>
    <w:pPr>
      <w:numPr>
        <w:numId w:val="22"/>
      </w:numPr>
    </w:pPr>
  </w:style>
  <w:style w:type="numbering" w:customStyle="1" w:styleId="List43">
    <w:name w:val="List 43"/>
    <w:rsid w:val="00BD384E"/>
    <w:pPr>
      <w:numPr>
        <w:numId w:val="23"/>
      </w:numPr>
    </w:pPr>
  </w:style>
  <w:style w:type="numbering" w:customStyle="1" w:styleId="List46">
    <w:name w:val="List 46"/>
    <w:rsid w:val="00BD384E"/>
    <w:pPr>
      <w:numPr>
        <w:numId w:val="24"/>
      </w:numPr>
    </w:pPr>
  </w:style>
  <w:style w:type="numbering" w:customStyle="1" w:styleId="List35">
    <w:name w:val="List 35"/>
    <w:rsid w:val="00BD384E"/>
    <w:pPr>
      <w:numPr>
        <w:numId w:val="8"/>
      </w:numPr>
    </w:pPr>
  </w:style>
  <w:style w:type="numbering" w:customStyle="1" w:styleId="List17">
    <w:name w:val="List 17"/>
    <w:rsid w:val="00BD384E"/>
    <w:pPr>
      <w:numPr>
        <w:numId w:val="25"/>
      </w:numPr>
    </w:pPr>
  </w:style>
  <w:style w:type="numbering" w:customStyle="1" w:styleId="List33">
    <w:name w:val="List 33"/>
    <w:rsid w:val="00BD384E"/>
    <w:pPr>
      <w:numPr>
        <w:numId w:val="26"/>
      </w:numPr>
    </w:pPr>
  </w:style>
  <w:style w:type="numbering" w:customStyle="1" w:styleId="List7">
    <w:name w:val="List 7"/>
    <w:rsid w:val="00BD384E"/>
    <w:pPr>
      <w:numPr>
        <w:numId w:val="4"/>
      </w:numPr>
    </w:pPr>
  </w:style>
  <w:style w:type="numbering" w:customStyle="1" w:styleId="List18">
    <w:name w:val="List 18"/>
    <w:rsid w:val="00BD384E"/>
    <w:pPr>
      <w:numPr>
        <w:numId w:val="27"/>
      </w:numPr>
    </w:pPr>
  </w:style>
  <w:style w:type="numbering" w:customStyle="1" w:styleId="List22">
    <w:name w:val="List 22"/>
    <w:rsid w:val="00BD384E"/>
    <w:pPr>
      <w:numPr>
        <w:numId w:val="28"/>
      </w:numPr>
    </w:pPr>
  </w:style>
  <w:style w:type="numbering" w:customStyle="1" w:styleId="List47">
    <w:name w:val="List 47"/>
    <w:rsid w:val="00BD384E"/>
    <w:pPr>
      <w:numPr>
        <w:numId w:val="29"/>
      </w:numPr>
    </w:pPr>
  </w:style>
  <w:style w:type="numbering" w:customStyle="1" w:styleId="List28">
    <w:name w:val="List 28"/>
    <w:rsid w:val="00BD384E"/>
    <w:pPr>
      <w:numPr>
        <w:numId w:val="30"/>
      </w:numPr>
    </w:pPr>
  </w:style>
  <w:style w:type="numbering" w:customStyle="1" w:styleId="List10">
    <w:name w:val="List 10"/>
    <w:rsid w:val="00BD384E"/>
    <w:pPr>
      <w:numPr>
        <w:numId w:val="6"/>
      </w:numPr>
    </w:pPr>
  </w:style>
  <w:style w:type="numbering" w:customStyle="1" w:styleId="List0">
    <w:name w:val="List 0"/>
    <w:rsid w:val="00BD384E"/>
    <w:pPr>
      <w:numPr>
        <w:numId w:val="31"/>
      </w:numPr>
    </w:pPr>
  </w:style>
  <w:style w:type="numbering" w:customStyle="1" w:styleId="List30">
    <w:name w:val="List 30"/>
    <w:rsid w:val="00BD384E"/>
    <w:pPr>
      <w:numPr>
        <w:numId w:val="32"/>
      </w:numPr>
    </w:pPr>
  </w:style>
  <w:style w:type="numbering" w:customStyle="1" w:styleId="List29">
    <w:name w:val="List 29"/>
    <w:rsid w:val="00BD384E"/>
    <w:pPr>
      <w:numPr>
        <w:numId w:val="34"/>
      </w:numPr>
    </w:pPr>
  </w:style>
  <w:style w:type="numbering" w:customStyle="1" w:styleId="List38">
    <w:name w:val="List 38"/>
    <w:rsid w:val="00BD384E"/>
    <w:pPr>
      <w:numPr>
        <w:numId w:val="35"/>
      </w:numPr>
    </w:pPr>
  </w:style>
  <w:style w:type="numbering" w:customStyle="1" w:styleId="List12">
    <w:name w:val="List 12"/>
    <w:rsid w:val="00BD384E"/>
    <w:pPr>
      <w:numPr>
        <w:numId w:val="36"/>
      </w:numPr>
    </w:pPr>
  </w:style>
  <w:style w:type="numbering" w:customStyle="1" w:styleId="List50">
    <w:name w:val="List 50"/>
    <w:rsid w:val="00BD384E"/>
    <w:pPr>
      <w:numPr>
        <w:numId w:val="37"/>
      </w:numPr>
    </w:pPr>
  </w:style>
  <w:style w:type="numbering" w:customStyle="1" w:styleId="List34">
    <w:name w:val="List 34"/>
    <w:rsid w:val="00BD384E"/>
    <w:pPr>
      <w:numPr>
        <w:numId w:val="11"/>
      </w:numPr>
    </w:pPr>
  </w:style>
  <w:style w:type="numbering" w:customStyle="1" w:styleId="List42">
    <w:name w:val="List 42"/>
    <w:rsid w:val="00BD384E"/>
    <w:pPr>
      <w:numPr>
        <w:numId w:val="12"/>
      </w:numPr>
    </w:pPr>
  </w:style>
  <w:style w:type="numbering" w:customStyle="1" w:styleId="List49">
    <w:name w:val="List 49"/>
    <w:rsid w:val="00BD384E"/>
    <w:pPr>
      <w:numPr>
        <w:numId w:val="39"/>
      </w:numPr>
    </w:pPr>
  </w:style>
  <w:style w:type="numbering" w:customStyle="1" w:styleId="List44">
    <w:name w:val="List 44"/>
    <w:rsid w:val="00BD384E"/>
    <w:pPr>
      <w:numPr>
        <w:numId w:val="40"/>
      </w:numPr>
    </w:pPr>
  </w:style>
  <w:style w:type="numbering" w:customStyle="1" w:styleId="List21">
    <w:name w:val="List 21"/>
    <w:rsid w:val="00BD384E"/>
    <w:pPr>
      <w:numPr>
        <w:numId w:val="52"/>
      </w:numPr>
    </w:pPr>
  </w:style>
  <w:style w:type="numbering" w:customStyle="1" w:styleId="List52">
    <w:name w:val="List 52"/>
    <w:rsid w:val="00BD384E"/>
    <w:pPr>
      <w:numPr>
        <w:numId w:val="9"/>
      </w:numPr>
    </w:pPr>
  </w:style>
  <w:style w:type="numbering" w:customStyle="1" w:styleId="List24">
    <w:name w:val="List 24"/>
    <w:rsid w:val="00BD384E"/>
    <w:pPr>
      <w:numPr>
        <w:numId w:val="13"/>
      </w:numPr>
    </w:pPr>
  </w:style>
  <w:style w:type="numbering" w:customStyle="1" w:styleId="List51">
    <w:name w:val="List 51"/>
    <w:rsid w:val="00BD384E"/>
    <w:pPr>
      <w:numPr>
        <w:numId w:val="54"/>
      </w:numPr>
    </w:pPr>
  </w:style>
  <w:style w:type="numbering" w:customStyle="1" w:styleId="List27">
    <w:name w:val="List 27"/>
    <w:rsid w:val="00BD384E"/>
    <w:pPr>
      <w:numPr>
        <w:numId w:val="41"/>
      </w:numPr>
    </w:pPr>
  </w:style>
  <w:style w:type="numbering" w:customStyle="1" w:styleId="List8">
    <w:name w:val="List 8"/>
    <w:rsid w:val="00BD384E"/>
    <w:pPr>
      <w:numPr>
        <w:numId w:val="5"/>
      </w:numPr>
    </w:pPr>
  </w:style>
  <w:style w:type="numbering" w:customStyle="1" w:styleId="List13">
    <w:name w:val="List 13"/>
    <w:rsid w:val="00BD384E"/>
    <w:pPr>
      <w:numPr>
        <w:numId w:val="42"/>
      </w:numPr>
    </w:pPr>
  </w:style>
  <w:style w:type="numbering" w:customStyle="1" w:styleId="List20">
    <w:name w:val="List 20"/>
    <w:rsid w:val="00BD384E"/>
    <w:pPr>
      <w:numPr>
        <w:numId w:val="43"/>
      </w:numPr>
    </w:pPr>
  </w:style>
  <w:style w:type="numbering" w:customStyle="1" w:styleId="List41">
    <w:name w:val="List 41"/>
    <w:rsid w:val="00BD384E"/>
    <w:pPr>
      <w:numPr>
        <w:numId w:val="44"/>
      </w:numPr>
    </w:pPr>
  </w:style>
  <w:style w:type="numbering" w:customStyle="1" w:styleId="List31">
    <w:name w:val="List 31"/>
    <w:rsid w:val="00BD384E"/>
    <w:pPr>
      <w:numPr>
        <w:numId w:val="45"/>
      </w:numPr>
    </w:pPr>
  </w:style>
  <w:style w:type="numbering" w:customStyle="1" w:styleId="List6">
    <w:name w:val="List 6"/>
    <w:rsid w:val="00BD384E"/>
    <w:pPr>
      <w:numPr>
        <w:numId w:val="3"/>
      </w:numPr>
    </w:pPr>
  </w:style>
  <w:style w:type="numbering" w:customStyle="1" w:styleId="List39">
    <w:name w:val="List 39"/>
    <w:rsid w:val="00BD384E"/>
    <w:pPr>
      <w:numPr>
        <w:numId w:val="46"/>
      </w:numPr>
    </w:pPr>
  </w:style>
  <w:style w:type="numbering" w:customStyle="1" w:styleId="List37">
    <w:name w:val="List 37"/>
    <w:rsid w:val="00BD384E"/>
    <w:pPr>
      <w:numPr>
        <w:numId w:val="47"/>
      </w:numPr>
    </w:pPr>
  </w:style>
  <w:style w:type="numbering" w:customStyle="1" w:styleId="List32">
    <w:name w:val="List 32"/>
    <w:rsid w:val="00BD384E"/>
    <w:pPr>
      <w:numPr>
        <w:numId w:val="48"/>
      </w:numPr>
    </w:pPr>
  </w:style>
  <w:style w:type="numbering" w:customStyle="1" w:styleId="List26">
    <w:name w:val="List 26"/>
    <w:rsid w:val="00BD384E"/>
    <w:pPr>
      <w:numPr>
        <w:numId w:val="49"/>
      </w:numPr>
    </w:pPr>
  </w:style>
  <w:style w:type="numbering" w:customStyle="1" w:styleId="List48">
    <w:name w:val="List 48"/>
    <w:rsid w:val="00BD384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2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0B2A28"/>
    <w:rPr>
      <w:rFonts w:cs="Times New Roman"/>
      <w:u w:val="single"/>
    </w:rPr>
  </w:style>
  <w:style w:type="paragraph" w:customStyle="1" w:styleId="Cabeceraypie">
    <w:name w:val="Cabecera y pie"/>
    <w:uiPriority w:val="99"/>
    <w:rsid w:val="000B2A2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0B2A28"/>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0B2A2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0B2A28"/>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A372AB"/>
    <w:rPr>
      <w:rFonts w:cs="Times New Roman"/>
      <w:sz w:val="24"/>
      <w:szCs w:val="24"/>
    </w:rPr>
  </w:style>
  <w:style w:type="paragraph" w:styleId="ListParagraph">
    <w:name w:val="List Paragraph"/>
    <w:basedOn w:val="Normal"/>
    <w:uiPriority w:val="99"/>
    <w:qFormat/>
    <w:rsid w:val="000B2A28"/>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0B2A28"/>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A372AB"/>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numbering" w:customStyle="1" w:styleId="List16">
    <w:name w:val="List 16"/>
    <w:rsid w:val="00BD384E"/>
    <w:pPr>
      <w:numPr>
        <w:numId w:val="10"/>
      </w:numPr>
    </w:pPr>
  </w:style>
  <w:style w:type="numbering" w:customStyle="1" w:styleId="List36">
    <w:name w:val="List 36"/>
    <w:rsid w:val="00BD384E"/>
    <w:pPr>
      <w:numPr>
        <w:numId w:val="14"/>
      </w:numPr>
    </w:pPr>
  </w:style>
  <w:style w:type="numbering" w:customStyle="1" w:styleId="List25">
    <w:name w:val="List 25"/>
    <w:rsid w:val="00BD384E"/>
    <w:pPr>
      <w:numPr>
        <w:numId w:val="15"/>
      </w:numPr>
    </w:pPr>
  </w:style>
  <w:style w:type="numbering" w:customStyle="1" w:styleId="List1">
    <w:name w:val="List 1"/>
    <w:rsid w:val="00BD384E"/>
    <w:pPr>
      <w:numPr>
        <w:numId w:val="1"/>
      </w:numPr>
    </w:pPr>
  </w:style>
  <w:style w:type="numbering" w:customStyle="1" w:styleId="List11">
    <w:name w:val="List 11"/>
    <w:rsid w:val="00BD384E"/>
    <w:pPr>
      <w:numPr>
        <w:numId w:val="7"/>
      </w:numPr>
    </w:pPr>
  </w:style>
  <w:style w:type="numbering" w:customStyle="1" w:styleId="List15">
    <w:name w:val="List 15"/>
    <w:rsid w:val="00BD384E"/>
    <w:pPr>
      <w:numPr>
        <w:numId w:val="16"/>
      </w:numPr>
    </w:pPr>
  </w:style>
  <w:style w:type="numbering" w:customStyle="1" w:styleId="List14">
    <w:name w:val="List 14"/>
    <w:rsid w:val="00BD384E"/>
    <w:pPr>
      <w:numPr>
        <w:numId w:val="17"/>
      </w:numPr>
    </w:pPr>
  </w:style>
  <w:style w:type="numbering" w:customStyle="1" w:styleId="List23">
    <w:name w:val="List 23"/>
    <w:rsid w:val="00BD384E"/>
    <w:pPr>
      <w:numPr>
        <w:numId w:val="18"/>
      </w:numPr>
    </w:pPr>
  </w:style>
  <w:style w:type="numbering" w:customStyle="1" w:styleId="List19">
    <w:name w:val="List 19"/>
    <w:rsid w:val="00BD384E"/>
    <w:pPr>
      <w:numPr>
        <w:numId w:val="19"/>
      </w:numPr>
    </w:pPr>
  </w:style>
  <w:style w:type="numbering" w:customStyle="1" w:styleId="List45">
    <w:name w:val="List 45"/>
    <w:rsid w:val="00BD384E"/>
    <w:pPr>
      <w:numPr>
        <w:numId w:val="20"/>
      </w:numPr>
    </w:pPr>
  </w:style>
  <w:style w:type="numbering" w:customStyle="1" w:styleId="List40">
    <w:name w:val="List 40"/>
    <w:rsid w:val="00BD384E"/>
    <w:pPr>
      <w:numPr>
        <w:numId w:val="21"/>
      </w:numPr>
    </w:pPr>
  </w:style>
  <w:style w:type="numbering" w:customStyle="1" w:styleId="List9">
    <w:name w:val="List 9"/>
    <w:rsid w:val="00BD384E"/>
    <w:pPr>
      <w:numPr>
        <w:numId w:val="22"/>
      </w:numPr>
    </w:pPr>
  </w:style>
  <w:style w:type="numbering" w:customStyle="1" w:styleId="List43">
    <w:name w:val="List 43"/>
    <w:rsid w:val="00BD384E"/>
    <w:pPr>
      <w:numPr>
        <w:numId w:val="23"/>
      </w:numPr>
    </w:pPr>
  </w:style>
  <w:style w:type="numbering" w:customStyle="1" w:styleId="List46">
    <w:name w:val="List 46"/>
    <w:rsid w:val="00BD384E"/>
    <w:pPr>
      <w:numPr>
        <w:numId w:val="24"/>
      </w:numPr>
    </w:pPr>
  </w:style>
  <w:style w:type="numbering" w:customStyle="1" w:styleId="List35">
    <w:name w:val="List 35"/>
    <w:rsid w:val="00BD384E"/>
    <w:pPr>
      <w:numPr>
        <w:numId w:val="8"/>
      </w:numPr>
    </w:pPr>
  </w:style>
  <w:style w:type="numbering" w:customStyle="1" w:styleId="List17">
    <w:name w:val="List 17"/>
    <w:rsid w:val="00BD384E"/>
    <w:pPr>
      <w:numPr>
        <w:numId w:val="25"/>
      </w:numPr>
    </w:pPr>
  </w:style>
  <w:style w:type="numbering" w:customStyle="1" w:styleId="List33">
    <w:name w:val="List 33"/>
    <w:rsid w:val="00BD384E"/>
    <w:pPr>
      <w:numPr>
        <w:numId w:val="26"/>
      </w:numPr>
    </w:pPr>
  </w:style>
  <w:style w:type="numbering" w:customStyle="1" w:styleId="List7">
    <w:name w:val="List 7"/>
    <w:rsid w:val="00BD384E"/>
    <w:pPr>
      <w:numPr>
        <w:numId w:val="4"/>
      </w:numPr>
    </w:pPr>
  </w:style>
  <w:style w:type="numbering" w:customStyle="1" w:styleId="List18">
    <w:name w:val="List 18"/>
    <w:rsid w:val="00BD384E"/>
    <w:pPr>
      <w:numPr>
        <w:numId w:val="27"/>
      </w:numPr>
    </w:pPr>
  </w:style>
  <w:style w:type="numbering" w:customStyle="1" w:styleId="List22">
    <w:name w:val="List 22"/>
    <w:rsid w:val="00BD384E"/>
    <w:pPr>
      <w:numPr>
        <w:numId w:val="28"/>
      </w:numPr>
    </w:pPr>
  </w:style>
  <w:style w:type="numbering" w:customStyle="1" w:styleId="List47">
    <w:name w:val="List 47"/>
    <w:rsid w:val="00BD384E"/>
    <w:pPr>
      <w:numPr>
        <w:numId w:val="29"/>
      </w:numPr>
    </w:pPr>
  </w:style>
  <w:style w:type="numbering" w:customStyle="1" w:styleId="List28">
    <w:name w:val="List 28"/>
    <w:rsid w:val="00BD384E"/>
    <w:pPr>
      <w:numPr>
        <w:numId w:val="30"/>
      </w:numPr>
    </w:pPr>
  </w:style>
  <w:style w:type="numbering" w:customStyle="1" w:styleId="List10">
    <w:name w:val="List 10"/>
    <w:rsid w:val="00BD384E"/>
    <w:pPr>
      <w:numPr>
        <w:numId w:val="6"/>
      </w:numPr>
    </w:pPr>
  </w:style>
  <w:style w:type="numbering" w:customStyle="1" w:styleId="List0">
    <w:name w:val="List 0"/>
    <w:rsid w:val="00BD384E"/>
    <w:pPr>
      <w:numPr>
        <w:numId w:val="31"/>
      </w:numPr>
    </w:pPr>
  </w:style>
  <w:style w:type="numbering" w:customStyle="1" w:styleId="List30">
    <w:name w:val="List 30"/>
    <w:rsid w:val="00BD384E"/>
    <w:pPr>
      <w:numPr>
        <w:numId w:val="32"/>
      </w:numPr>
    </w:pPr>
  </w:style>
  <w:style w:type="numbering" w:customStyle="1" w:styleId="List29">
    <w:name w:val="List 29"/>
    <w:rsid w:val="00BD384E"/>
    <w:pPr>
      <w:numPr>
        <w:numId w:val="34"/>
      </w:numPr>
    </w:pPr>
  </w:style>
  <w:style w:type="numbering" w:customStyle="1" w:styleId="List38">
    <w:name w:val="List 38"/>
    <w:rsid w:val="00BD384E"/>
    <w:pPr>
      <w:numPr>
        <w:numId w:val="35"/>
      </w:numPr>
    </w:pPr>
  </w:style>
  <w:style w:type="numbering" w:customStyle="1" w:styleId="List12">
    <w:name w:val="List 12"/>
    <w:rsid w:val="00BD384E"/>
    <w:pPr>
      <w:numPr>
        <w:numId w:val="36"/>
      </w:numPr>
    </w:pPr>
  </w:style>
  <w:style w:type="numbering" w:customStyle="1" w:styleId="List50">
    <w:name w:val="List 50"/>
    <w:rsid w:val="00BD384E"/>
    <w:pPr>
      <w:numPr>
        <w:numId w:val="37"/>
      </w:numPr>
    </w:pPr>
  </w:style>
  <w:style w:type="numbering" w:customStyle="1" w:styleId="List34">
    <w:name w:val="List 34"/>
    <w:rsid w:val="00BD384E"/>
    <w:pPr>
      <w:numPr>
        <w:numId w:val="11"/>
      </w:numPr>
    </w:pPr>
  </w:style>
  <w:style w:type="numbering" w:customStyle="1" w:styleId="List42">
    <w:name w:val="List 42"/>
    <w:rsid w:val="00BD384E"/>
    <w:pPr>
      <w:numPr>
        <w:numId w:val="12"/>
      </w:numPr>
    </w:pPr>
  </w:style>
  <w:style w:type="numbering" w:customStyle="1" w:styleId="List49">
    <w:name w:val="List 49"/>
    <w:rsid w:val="00BD384E"/>
    <w:pPr>
      <w:numPr>
        <w:numId w:val="39"/>
      </w:numPr>
    </w:pPr>
  </w:style>
  <w:style w:type="numbering" w:customStyle="1" w:styleId="List44">
    <w:name w:val="List 44"/>
    <w:rsid w:val="00BD384E"/>
    <w:pPr>
      <w:numPr>
        <w:numId w:val="40"/>
      </w:numPr>
    </w:pPr>
  </w:style>
  <w:style w:type="numbering" w:customStyle="1" w:styleId="List21">
    <w:name w:val="List 21"/>
    <w:rsid w:val="00BD384E"/>
    <w:pPr>
      <w:numPr>
        <w:numId w:val="52"/>
      </w:numPr>
    </w:pPr>
  </w:style>
  <w:style w:type="numbering" w:customStyle="1" w:styleId="List52">
    <w:name w:val="List 52"/>
    <w:rsid w:val="00BD384E"/>
    <w:pPr>
      <w:numPr>
        <w:numId w:val="9"/>
      </w:numPr>
    </w:pPr>
  </w:style>
  <w:style w:type="numbering" w:customStyle="1" w:styleId="List24">
    <w:name w:val="List 24"/>
    <w:rsid w:val="00BD384E"/>
    <w:pPr>
      <w:numPr>
        <w:numId w:val="13"/>
      </w:numPr>
    </w:pPr>
  </w:style>
  <w:style w:type="numbering" w:customStyle="1" w:styleId="List51">
    <w:name w:val="List 51"/>
    <w:rsid w:val="00BD384E"/>
    <w:pPr>
      <w:numPr>
        <w:numId w:val="54"/>
      </w:numPr>
    </w:pPr>
  </w:style>
  <w:style w:type="numbering" w:customStyle="1" w:styleId="List27">
    <w:name w:val="List 27"/>
    <w:rsid w:val="00BD384E"/>
    <w:pPr>
      <w:numPr>
        <w:numId w:val="41"/>
      </w:numPr>
    </w:pPr>
  </w:style>
  <w:style w:type="numbering" w:customStyle="1" w:styleId="List8">
    <w:name w:val="List 8"/>
    <w:rsid w:val="00BD384E"/>
    <w:pPr>
      <w:numPr>
        <w:numId w:val="5"/>
      </w:numPr>
    </w:pPr>
  </w:style>
  <w:style w:type="numbering" w:customStyle="1" w:styleId="List13">
    <w:name w:val="List 13"/>
    <w:rsid w:val="00BD384E"/>
    <w:pPr>
      <w:numPr>
        <w:numId w:val="42"/>
      </w:numPr>
    </w:pPr>
  </w:style>
  <w:style w:type="numbering" w:customStyle="1" w:styleId="List20">
    <w:name w:val="List 20"/>
    <w:rsid w:val="00BD384E"/>
    <w:pPr>
      <w:numPr>
        <w:numId w:val="43"/>
      </w:numPr>
    </w:pPr>
  </w:style>
  <w:style w:type="numbering" w:customStyle="1" w:styleId="List41">
    <w:name w:val="List 41"/>
    <w:rsid w:val="00BD384E"/>
    <w:pPr>
      <w:numPr>
        <w:numId w:val="44"/>
      </w:numPr>
    </w:pPr>
  </w:style>
  <w:style w:type="numbering" w:customStyle="1" w:styleId="List31">
    <w:name w:val="List 31"/>
    <w:rsid w:val="00BD384E"/>
    <w:pPr>
      <w:numPr>
        <w:numId w:val="45"/>
      </w:numPr>
    </w:pPr>
  </w:style>
  <w:style w:type="numbering" w:customStyle="1" w:styleId="List6">
    <w:name w:val="List 6"/>
    <w:rsid w:val="00BD384E"/>
    <w:pPr>
      <w:numPr>
        <w:numId w:val="3"/>
      </w:numPr>
    </w:pPr>
  </w:style>
  <w:style w:type="numbering" w:customStyle="1" w:styleId="List39">
    <w:name w:val="List 39"/>
    <w:rsid w:val="00BD384E"/>
    <w:pPr>
      <w:numPr>
        <w:numId w:val="46"/>
      </w:numPr>
    </w:pPr>
  </w:style>
  <w:style w:type="numbering" w:customStyle="1" w:styleId="List37">
    <w:name w:val="List 37"/>
    <w:rsid w:val="00BD384E"/>
    <w:pPr>
      <w:numPr>
        <w:numId w:val="47"/>
      </w:numPr>
    </w:pPr>
  </w:style>
  <w:style w:type="numbering" w:customStyle="1" w:styleId="List32">
    <w:name w:val="List 32"/>
    <w:rsid w:val="00BD384E"/>
    <w:pPr>
      <w:numPr>
        <w:numId w:val="48"/>
      </w:numPr>
    </w:pPr>
  </w:style>
  <w:style w:type="numbering" w:customStyle="1" w:styleId="List26">
    <w:name w:val="List 26"/>
    <w:rsid w:val="00BD384E"/>
    <w:pPr>
      <w:numPr>
        <w:numId w:val="49"/>
      </w:numPr>
    </w:pPr>
  </w:style>
  <w:style w:type="numbering" w:customStyle="1" w:styleId="List48">
    <w:name w:val="List 48"/>
    <w:rsid w:val="00BD384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6259">
      <w:marLeft w:val="0"/>
      <w:marRight w:val="0"/>
      <w:marTop w:val="0"/>
      <w:marBottom w:val="0"/>
      <w:divBdr>
        <w:top w:val="none" w:sz="0" w:space="0" w:color="auto"/>
        <w:left w:val="none" w:sz="0" w:space="0" w:color="auto"/>
        <w:bottom w:val="none" w:sz="0" w:space="0" w:color="auto"/>
        <w:right w:val="none" w:sz="0" w:space="0" w:color="auto"/>
      </w:divBdr>
    </w:div>
    <w:div w:id="1027026260">
      <w:marLeft w:val="0"/>
      <w:marRight w:val="0"/>
      <w:marTop w:val="0"/>
      <w:marBottom w:val="0"/>
      <w:divBdr>
        <w:top w:val="none" w:sz="0" w:space="0" w:color="auto"/>
        <w:left w:val="none" w:sz="0" w:space="0" w:color="auto"/>
        <w:bottom w:val="none" w:sz="0" w:space="0" w:color="auto"/>
        <w:right w:val="none" w:sz="0" w:space="0" w:color="auto"/>
      </w:divBdr>
    </w:div>
    <w:div w:id="1027026261">
      <w:marLeft w:val="0"/>
      <w:marRight w:val="0"/>
      <w:marTop w:val="0"/>
      <w:marBottom w:val="0"/>
      <w:divBdr>
        <w:top w:val="none" w:sz="0" w:space="0" w:color="auto"/>
        <w:left w:val="none" w:sz="0" w:space="0" w:color="auto"/>
        <w:bottom w:val="none" w:sz="0" w:space="0" w:color="auto"/>
        <w:right w:val="none" w:sz="0" w:space="0" w:color="auto"/>
      </w:divBdr>
    </w:div>
    <w:div w:id="1027026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0C5F-3039-44ED-AC4C-B295A922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63/16</dc:title>
  <dc:creator/>
  <cp:lastModifiedBy/>
  <cp:revision>1</cp:revision>
  <dcterms:created xsi:type="dcterms:W3CDTF">2017-01-12T19:54:00Z</dcterms:created>
  <dcterms:modified xsi:type="dcterms:W3CDTF">2017-01-12T19:54:00Z</dcterms:modified>
</cp:coreProperties>
</file>