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F84AB1" w:rsidRDefault="0054078E" w:rsidP="00C64463">
      <w:pPr>
        <w:jc w:val="both"/>
        <w:rPr>
          <w:rFonts w:asciiTheme="majorHAnsi" w:hAnsiTheme="majorHAnsi" w:cs="Univers"/>
          <w:b/>
          <w:bCs/>
          <w:sz w:val="20"/>
          <w:szCs w:val="20"/>
          <w:lang w:val="es-ES_tradnl"/>
        </w:rPr>
      </w:pPr>
      <w:r w:rsidRPr="00F84AB1">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5CE783E" wp14:editId="2CE7AF07">
                <wp:simplePos x="0" y="0"/>
                <wp:positionH relativeFrom="column">
                  <wp:posOffset>-415925</wp:posOffset>
                </wp:positionH>
                <wp:positionV relativeFrom="paragraph">
                  <wp:posOffset>-439420</wp:posOffset>
                </wp:positionV>
                <wp:extent cx="1543050" cy="90963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F84AB1">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F32647A" wp14:editId="5B457A5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2363" w:rsidRDefault="00E62363" w:rsidP="00AE5488">
                            <w:r>
                              <w:rPr>
                                <w:noProof/>
                              </w:rPr>
                              <w:drawing>
                                <wp:inline distT="0" distB="0" distL="0" distR="0" wp14:anchorId="0F008556" wp14:editId="2207F83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01263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E62363" w:rsidRDefault="00E62363" w:rsidP="00AE5488">
                      <w:r>
                        <w:rPr>
                          <w:noProof/>
                        </w:rPr>
                        <w:drawing>
                          <wp:inline distT="0" distB="0" distL="0" distR="0" wp14:anchorId="0F008556" wp14:editId="2207F83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012631">
                        <w:t xml:space="preserve">               </w:t>
                      </w:r>
                    </w:p>
                  </w:txbxContent>
                </v:textbox>
              </v:shape>
            </w:pict>
          </mc:Fallback>
        </mc:AlternateContent>
      </w:r>
    </w:p>
    <w:p w:rsidR="00040C3A" w:rsidRPr="00F84AB1" w:rsidRDefault="00040C3A" w:rsidP="00C64463">
      <w:pPr>
        <w:tabs>
          <w:tab w:val="center" w:pos="5400"/>
        </w:tabs>
        <w:suppressAutoHyphens/>
        <w:jc w:val="both"/>
        <w:rPr>
          <w:rFonts w:asciiTheme="majorHAnsi" w:hAnsiTheme="majorHAnsi"/>
          <w:sz w:val="20"/>
          <w:szCs w:val="20"/>
          <w:lang w:val="es-ES"/>
        </w:rPr>
      </w:pPr>
    </w:p>
    <w:p w:rsidR="00040C3A" w:rsidRPr="00F84AB1" w:rsidRDefault="00040C3A" w:rsidP="00C64463">
      <w:pPr>
        <w:tabs>
          <w:tab w:val="center" w:pos="5400"/>
        </w:tabs>
        <w:suppressAutoHyphens/>
        <w:jc w:val="both"/>
        <w:rPr>
          <w:rFonts w:asciiTheme="majorHAnsi" w:hAnsiTheme="majorHAnsi"/>
          <w:sz w:val="20"/>
          <w:szCs w:val="20"/>
          <w:lang w:val="es-ES"/>
        </w:rPr>
      </w:pPr>
    </w:p>
    <w:p w:rsidR="005128E4" w:rsidRPr="00F84AB1" w:rsidRDefault="005128E4" w:rsidP="00C64463">
      <w:pPr>
        <w:tabs>
          <w:tab w:val="center" w:pos="5400"/>
        </w:tabs>
        <w:suppressAutoHyphens/>
        <w:jc w:val="both"/>
        <w:rPr>
          <w:rFonts w:asciiTheme="majorHAnsi" w:hAnsiTheme="majorHAnsi"/>
          <w:sz w:val="20"/>
          <w:szCs w:val="20"/>
          <w:lang w:val="es-ES_tradnl"/>
        </w:rPr>
      </w:pPr>
    </w:p>
    <w:p w:rsidR="005128E4" w:rsidRPr="00F84AB1" w:rsidRDefault="005128E4" w:rsidP="00C64463">
      <w:pPr>
        <w:tabs>
          <w:tab w:val="center" w:pos="5400"/>
        </w:tabs>
        <w:suppressAutoHyphens/>
        <w:jc w:val="both"/>
        <w:rPr>
          <w:rFonts w:asciiTheme="majorHAnsi" w:hAnsiTheme="majorHAnsi"/>
          <w:sz w:val="20"/>
          <w:szCs w:val="20"/>
          <w:lang w:val="es-ES_tradnl"/>
        </w:rPr>
      </w:pPr>
    </w:p>
    <w:p w:rsidR="004209BA" w:rsidRPr="00B81C23" w:rsidRDefault="004209BA" w:rsidP="004209BA">
      <w:pPr>
        <w:tabs>
          <w:tab w:val="center" w:pos="5400"/>
        </w:tabs>
        <w:suppressAutoHyphens/>
        <w:jc w:val="center"/>
        <w:rPr>
          <w:rFonts w:asciiTheme="majorHAnsi" w:hAnsiTheme="majorHAnsi"/>
          <w:sz w:val="22"/>
          <w:szCs w:val="22"/>
        </w:rPr>
      </w:pPr>
    </w:p>
    <w:p w:rsidR="004209BA" w:rsidRPr="00C4161A" w:rsidRDefault="004209BA" w:rsidP="004209BA">
      <w:pPr>
        <w:tabs>
          <w:tab w:val="center" w:pos="5400"/>
        </w:tabs>
        <w:suppressAutoHyphens/>
        <w:jc w:val="right"/>
        <w:rPr>
          <w:rFonts w:asciiTheme="majorHAnsi" w:hAnsiTheme="majorHAnsi"/>
          <w:b/>
          <w:sz w:val="52"/>
          <w:szCs w:val="20"/>
          <w:lang w:val="es-ES_tradnl"/>
        </w:rPr>
      </w:pPr>
    </w:p>
    <w:p w:rsidR="004209BA" w:rsidRPr="00AE1F34" w:rsidRDefault="004209BA" w:rsidP="004209BA">
      <w:pPr>
        <w:tabs>
          <w:tab w:val="center" w:pos="5400"/>
        </w:tabs>
        <w:suppressAutoHyphens/>
        <w:jc w:val="center"/>
        <w:rPr>
          <w:rFonts w:asciiTheme="majorHAnsi" w:hAnsiTheme="majorHAnsi"/>
          <w:sz w:val="22"/>
          <w:szCs w:val="22"/>
          <w:lang w:val="es-ES_tradnl"/>
        </w:rPr>
      </w:pPr>
    </w:p>
    <w:p w:rsidR="005128E4" w:rsidRPr="00F84AB1" w:rsidRDefault="005128E4" w:rsidP="00C64463">
      <w:pPr>
        <w:tabs>
          <w:tab w:val="center" w:pos="5400"/>
        </w:tabs>
        <w:suppressAutoHyphens/>
        <w:jc w:val="both"/>
        <w:rPr>
          <w:rFonts w:asciiTheme="majorHAnsi" w:hAnsiTheme="majorHAnsi"/>
          <w:sz w:val="20"/>
          <w:szCs w:val="20"/>
          <w:lang w:val="es-ES_tradnl"/>
        </w:rPr>
      </w:pPr>
    </w:p>
    <w:p w:rsidR="00040C3A" w:rsidRPr="00F84AB1" w:rsidRDefault="00040C3A" w:rsidP="00C64463">
      <w:pPr>
        <w:tabs>
          <w:tab w:val="center" w:pos="5400"/>
        </w:tabs>
        <w:suppressAutoHyphens/>
        <w:jc w:val="both"/>
        <w:rPr>
          <w:rFonts w:asciiTheme="majorHAnsi" w:hAnsiTheme="majorHAnsi"/>
          <w:sz w:val="20"/>
          <w:szCs w:val="20"/>
          <w:lang w:val="es-ES_tradnl"/>
        </w:rPr>
      </w:pPr>
    </w:p>
    <w:p w:rsidR="005B52B0" w:rsidRPr="00F84AB1" w:rsidRDefault="005B52B0" w:rsidP="00C64463">
      <w:pPr>
        <w:tabs>
          <w:tab w:val="center" w:pos="5400"/>
        </w:tabs>
        <w:suppressAutoHyphens/>
        <w:jc w:val="both"/>
        <w:rPr>
          <w:rFonts w:asciiTheme="majorHAnsi" w:hAnsiTheme="majorHAnsi"/>
          <w:sz w:val="20"/>
          <w:szCs w:val="20"/>
          <w:lang w:val="es-ES_tradnl"/>
        </w:rPr>
      </w:pPr>
    </w:p>
    <w:p w:rsidR="005B52B0" w:rsidRPr="00F84AB1" w:rsidRDefault="005B52B0" w:rsidP="00C64463">
      <w:pPr>
        <w:tabs>
          <w:tab w:val="center" w:pos="5400"/>
        </w:tabs>
        <w:suppressAutoHyphens/>
        <w:jc w:val="both"/>
        <w:rPr>
          <w:rFonts w:asciiTheme="majorHAnsi" w:hAnsiTheme="majorHAnsi"/>
          <w:sz w:val="20"/>
          <w:szCs w:val="20"/>
          <w:lang w:val="es-ES_tradnl"/>
        </w:rPr>
      </w:pPr>
    </w:p>
    <w:p w:rsidR="00040C3A" w:rsidRPr="00F84AB1" w:rsidRDefault="00040C3A" w:rsidP="00C64463">
      <w:pPr>
        <w:tabs>
          <w:tab w:val="center" w:pos="5400"/>
        </w:tabs>
        <w:suppressAutoHyphens/>
        <w:jc w:val="both"/>
        <w:rPr>
          <w:rFonts w:asciiTheme="majorHAnsi" w:hAnsiTheme="majorHAnsi"/>
          <w:sz w:val="20"/>
          <w:szCs w:val="20"/>
          <w:lang w:val="es-ES_tradnl"/>
        </w:rPr>
      </w:pPr>
    </w:p>
    <w:p w:rsidR="00040C3A" w:rsidRPr="00F84AB1" w:rsidRDefault="00040C3A" w:rsidP="00C64463">
      <w:pPr>
        <w:tabs>
          <w:tab w:val="center" w:pos="5400"/>
        </w:tabs>
        <w:suppressAutoHyphens/>
        <w:jc w:val="both"/>
        <w:rPr>
          <w:rFonts w:asciiTheme="majorHAnsi" w:hAnsiTheme="majorHAnsi"/>
          <w:sz w:val="20"/>
          <w:szCs w:val="20"/>
          <w:lang w:val="es-ES_tradnl"/>
        </w:rPr>
      </w:pPr>
    </w:p>
    <w:p w:rsidR="00040C3A" w:rsidRPr="00F84AB1" w:rsidRDefault="0054078E" w:rsidP="00C64463">
      <w:pPr>
        <w:tabs>
          <w:tab w:val="center" w:pos="5400"/>
        </w:tabs>
        <w:suppressAutoHyphens/>
        <w:jc w:val="both"/>
        <w:rPr>
          <w:rFonts w:asciiTheme="majorHAnsi" w:hAnsiTheme="majorHAnsi"/>
          <w:sz w:val="20"/>
          <w:szCs w:val="20"/>
          <w:lang w:val="es-ES_tradnl"/>
        </w:rPr>
      </w:pPr>
      <w:r w:rsidRPr="00F84AB1">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1373CD54" wp14:editId="5C98C1F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2363" w:rsidRPr="004E2649" w:rsidRDefault="00E6236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E3588F">
                              <w:rPr>
                                <w:rFonts w:asciiTheme="majorHAnsi" w:hAnsiTheme="majorHAnsi" w:cs="Arial"/>
                                <w:b/>
                                <w:bCs/>
                                <w:color w:val="0D0D0D" w:themeColor="text1" w:themeTint="F2"/>
                                <w:sz w:val="36"/>
                                <w:szCs w:val="22"/>
                                <w:lang w:val="es-ES_tradnl"/>
                              </w:rPr>
                              <w:t xml:space="preserve"> 58</w:t>
                            </w:r>
                            <w:r>
                              <w:rPr>
                                <w:rFonts w:asciiTheme="majorHAnsi" w:hAnsiTheme="majorHAnsi" w:cs="Arial"/>
                                <w:b/>
                                <w:bCs/>
                                <w:color w:val="0D0D0D" w:themeColor="text1" w:themeTint="F2"/>
                                <w:sz w:val="36"/>
                                <w:szCs w:val="22"/>
                                <w:lang w:val="es-ES_tradnl"/>
                              </w:rPr>
                              <w:t>/</w:t>
                            </w:r>
                            <w:r w:rsidR="00FC18B6">
                              <w:rPr>
                                <w:rFonts w:asciiTheme="majorHAnsi" w:hAnsiTheme="majorHAnsi" w:cs="Arial"/>
                                <w:b/>
                                <w:bCs/>
                                <w:color w:val="0D0D0D" w:themeColor="text1" w:themeTint="F2"/>
                                <w:sz w:val="36"/>
                                <w:szCs w:val="22"/>
                                <w:lang w:val="es-ES_tradnl"/>
                              </w:rPr>
                              <w:t>16</w:t>
                            </w:r>
                          </w:p>
                          <w:p w:rsidR="00E62363" w:rsidRPr="004E2649" w:rsidRDefault="00E62363" w:rsidP="00997BC5">
                            <w:pPr>
                              <w:spacing w:line="276" w:lineRule="auto"/>
                              <w:rPr>
                                <w:rFonts w:asciiTheme="majorHAnsi" w:hAnsiTheme="majorHAnsi" w:cs="Arial"/>
                                <w:b/>
                                <w:color w:val="0D0D0D" w:themeColor="text1" w:themeTint="F2"/>
                                <w:sz w:val="36"/>
                                <w:szCs w:val="22"/>
                                <w:lang w:val="es-ES_tradnl"/>
                              </w:rPr>
                            </w:pPr>
                            <w:r w:rsidRPr="00331369">
                              <w:rPr>
                                <w:rFonts w:asciiTheme="majorHAnsi" w:hAnsiTheme="majorHAnsi" w:cs="Arial"/>
                                <w:b/>
                                <w:color w:val="0D0D0D" w:themeColor="text1" w:themeTint="F2"/>
                                <w:sz w:val="36"/>
                                <w:szCs w:val="22"/>
                                <w:lang w:val="es-ES_tradnl"/>
                              </w:rPr>
                              <w:t>PETICI</w:t>
                            </w:r>
                            <w:r w:rsidR="006D4605" w:rsidRPr="00331369">
                              <w:rPr>
                                <w:rFonts w:asciiTheme="majorHAnsi" w:hAnsiTheme="majorHAnsi" w:cs="Arial"/>
                                <w:b/>
                                <w:color w:val="0D0D0D" w:themeColor="text1" w:themeTint="F2"/>
                                <w:sz w:val="36"/>
                                <w:szCs w:val="22"/>
                                <w:lang w:val="es-ES_tradnl"/>
                              </w:rPr>
                              <w:t xml:space="preserve">ONES </w:t>
                            </w:r>
                            <w:r w:rsidR="00E330EE" w:rsidRPr="00331369">
                              <w:rPr>
                                <w:rFonts w:asciiTheme="majorHAnsi" w:hAnsiTheme="majorHAnsi" w:cs="Arial"/>
                                <w:b/>
                                <w:color w:val="0D0D0D" w:themeColor="text1" w:themeTint="F2"/>
                                <w:sz w:val="36"/>
                                <w:szCs w:val="22"/>
                                <w:lang w:val="es-ES_tradnl"/>
                              </w:rPr>
                              <w:t>1275-04</w:t>
                            </w:r>
                            <w:r w:rsidR="00210D19" w:rsidRPr="00331369">
                              <w:rPr>
                                <w:rFonts w:asciiTheme="majorHAnsi" w:hAnsiTheme="majorHAnsi" w:cs="Arial"/>
                                <w:b/>
                                <w:color w:val="0D0D0D" w:themeColor="text1" w:themeTint="F2"/>
                                <w:sz w:val="36"/>
                                <w:szCs w:val="22"/>
                                <w:lang w:val="es-ES_tradnl"/>
                              </w:rPr>
                              <w:t xml:space="preserve"> B</w:t>
                            </w:r>
                            <w:r w:rsidR="006D4605" w:rsidRPr="00331369">
                              <w:rPr>
                                <w:rFonts w:asciiTheme="majorHAnsi" w:hAnsiTheme="majorHAnsi" w:cs="Arial"/>
                                <w:b/>
                                <w:color w:val="0D0D0D" w:themeColor="text1" w:themeTint="F2"/>
                                <w:sz w:val="36"/>
                                <w:szCs w:val="22"/>
                                <w:lang w:val="es-ES_tradnl"/>
                              </w:rPr>
                              <w:t xml:space="preserve"> </w:t>
                            </w:r>
                            <w:r w:rsidR="00F6325B">
                              <w:rPr>
                                <w:rFonts w:asciiTheme="majorHAnsi" w:hAnsiTheme="majorHAnsi" w:cs="Arial"/>
                                <w:b/>
                                <w:color w:val="0D0D0D" w:themeColor="text1" w:themeTint="F2"/>
                                <w:sz w:val="36"/>
                                <w:szCs w:val="22"/>
                                <w:lang w:val="es-ES_tradnl"/>
                              </w:rPr>
                              <w:t>y 15</w:t>
                            </w:r>
                            <w:r w:rsidR="00F3132A" w:rsidRPr="00331369">
                              <w:rPr>
                                <w:rFonts w:asciiTheme="majorHAnsi" w:hAnsiTheme="majorHAnsi" w:cs="Arial"/>
                                <w:b/>
                                <w:color w:val="0D0D0D" w:themeColor="text1" w:themeTint="F2"/>
                                <w:sz w:val="36"/>
                                <w:szCs w:val="22"/>
                                <w:lang w:val="es-ES_tradnl"/>
                              </w:rPr>
                              <w:t>66-08</w:t>
                            </w:r>
                          </w:p>
                          <w:p w:rsidR="00E62363" w:rsidRPr="0010736F" w:rsidRDefault="00E6236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E62363" w:rsidRPr="0010736F" w:rsidRDefault="00E62363" w:rsidP="00997BC5">
                            <w:pPr>
                              <w:spacing w:line="276" w:lineRule="auto"/>
                              <w:rPr>
                                <w:rFonts w:asciiTheme="majorHAnsi" w:hAnsiTheme="majorHAnsi" w:cs="Arial"/>
                                <w:color w:val="0D0D0D" w:themeColor="text1" w:themeTint="F2"/>
                                <w:szCs w:val="22"/>
                                <w:lang w:val="es-ES_tradnl"/>
                              </w:rPr>
                            </w:pPr>
                            <w:bookmarkStart w:id="1" w:name="_ftnref1"/>
                          </w:p>
                          <w:p w:rsidR="00E62363" w:rsidRPr="0010736F" w:rsidRDefault="0043547F" w:rsidP="00997BC5">
                            <w:pPr>
                              <w:spacing w:line="276" w:lineRule="auto"/>
                              <w:rPr>
                                <w:rFonts w:asciiTheme="majorHAnsi" w:hAnsiTheme="majorHAnsi" w:cs="Arial"/>
                                <w:color w:val="0D0D0D" w:themeColor="text1" w:themeTint="F2"/>
                                <w:szCs w:val="22"/>
                                <w:lang w:val="es-ES_tradnl"/>
                              </w:rPr>
                            </w:pPr>
                            <w:r w:rsidRPr="00FB6CBD">
                              <w:rPr>
                                <w:rFonts w:asciiTheme="majorHAnsi" w:hAnsiTheme="majorHAnsi" w:cs="Arial"/>
                                <w:color w:val="0D0D0D" w:themeColor="text1" w:themeTint="F2"/>
                                <w:szCs w:val="22"/>
                                <w:lang w:val="es-ES_tradnl"/>
                              </w:rPr>
                              <w:t xml:space="preserve">JUAN LUIS RIVERA MATUS </w:t>
                            </w:r>
                            <w:r w:rsidR="00E62363">
                              <w:rPr>
                                <w:rFonts w:asciiTheme="majorHAnsi" w:hAnsiTheme="majorHAnsi" w:cs="Arial"/>
                                <w:color w:val="0D0D0D" w:themeColor="text1" w:themeTint="F2"/>
                                <w:szCs w:val="22"/>
                                <w:lang w:val="es-ES_tradnl"/>
                              </w:rPr>
                              <w:t>Y OTROS</w:t>
                            </w:r>
                          </w:p>
                          <w:bookmarkEnd w:id="1"/>
                          <w:p w:rsidR="00E62363" w:rsidRPr="0010736F" w:rsidRDefault="00E623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E62363" w:rsidRPr="00AE5488" w:rsidRDefault="00E6236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rsidR="00E62363" w:rsidRPr="004E2649" w:rsidRDefault="00E6236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E3588F">
                        <w:rPr>
                          <w:rFonts w:asciiTheme="majorHAnsi" w:hAnsiTheme="majorHAnsi" w:cs="Arial"/>
                          <w:b/>
                          <w:bCs/>
                          <w:color w:val="0D0D0D" w:themeColor="text1" w:themeTint="F2"/>
                          <w:sz w:val="36"/>
                          <w:szCs w:val="22"/>
                          <w:lang w:val="es-ES_tradnl"/>
                        </w:rPr>
                        <w:t xml:space="preserve"> 58</w:t>
                      </w:r>
                      <w:r>
                        <w:rPr>
                          <w:rFonts w:asciiTheme="majorHAnsi" w:hAnsiTheme="majorHAnsi" w:cs="Arial"/>
                          <w:b/>
                          <w:bCs/>
                          <w:color w:val="0D0D0D" w:themeColor="text1" w:themeTint="F2"/>
                          <w:sz w:val="36"/>
                          <w:szCs w:val="22"/>
                          <w:lang w:val="es-ES_tradnl"/>
                        </w:rPr>
                        <w:t>/</w:t>
                      </w:r>
                      <w:r w:rsidR="00FC18B6">
                        <w:rPr>
                          <w:rFonts w:asciiTheme="majorHAnsi" w:hAnsiTheme="majorHAnsi" w:cs="Arial"/>
                          <w:b/>
                          <w:bCs/>
                          <w:color w:val="0D0D0D" w:themeColor="text1" w:themeTint="F2"/>
                          <w:sz w:val="36"/>
                          <w:szCs w:val="22"/>
                          <w:lang w:val="es-ES_tradnl"/>
                        </w:rPr>
                        <w:t>16</w:t>
                      </w:r>
                    </w:p>
                    <w:p w:rsidR="00E62363" w:rsidRPr="004E2649" w:rsidRDefault="00E62363" w:rsidP="00997BC5">
                      <w:pPr>
                        <w:spacing w:line="276" w:lineRule="auto"/>
                        <w:rPr>
                          <w:rFonts w:asciiTheme="majorHAnsi" w:hAnsiTheme="majorHAnsi" w:cs="Arial"/>
                          <w:b/>
                          <w:color w:val="0D0D0D" w:themeColor="text1" w:themeTint="F2"/>
                          <w:sz w:val="36"/>
                          <w:szCs w:val="22"/>
                          <w:lang w:val="es-ES_tradnl"/>
                        </w:rPr>
                      </w:pPr>
                      <w:r w:rsidRPr="00331369">
                        <w:rPr>
                          <w:rFonts w:asciiTheme="majorHAnsi" w:hAnsiTheme="majorHAnsi" w:cs="Arial"/>
                          <w:b/>
                          <w:color w:val="0D0D0D" w:themeColor="text1" w:themeTint="F2"/>
                          <w:sz w:val="36"/>
                          <w:szCs w:val="22"/>
                          <w:lang w:val="es-ES_tradnl"/>
                        </w:rPr>
                        <w:t>PETICI</w:t>
                      </w:r>
                      <w:r w:rsidR="006D4605" w:rsidRPr="00331369">
                        <w:rPr>
                          <w:rFonts w:asciiTheme="majorHAnsi" w:hAnsiTheme="majorHAnsi" w:cs="Arial"/>
                          <w:b/>
                          <w:color w:val="0D0D0D" w:themeColor="text1" w:themeTint="F2"/>
                          <w:sz w:val="36"/>
                          <w:szCs w:val="22"/>
                          <w:lang w:val="es-ES_tradnl"/>
                        </w:rPr>
                        <w:t xml:space="preserve">ONES </w:t>
                      </w:r>
                      <w:r w:rsidR="00E330EE" w:rsidRPr="00331369">
                        <w:rPr>
                          <w:rFonts w:asciiTheme="majorHAnsi" w:hAnsiTheme="majorHAnsi" w:cs="Arial"/>
                          <w:b/>
                          <w:color w:val="0D0D0D" w:themeColor="text1" w:themeTint="F2"/>
                          <w:sz w:val="36"/>
                          <w:szCs w:val="22"/>
                          <w:lang w:val="es-ES_tradnl"/>
                        </w:rPr>
                        <w:t>1275-04</w:t>
                      </w:r>
                      <w:r w:rsidR="00210D19" w:rsidRPr="00331369">
                        <w:rPr>
                          <w:rFonts w:asciiTheme="majorHAnsi" w:hAnsiTheme="majorHAnsi" w:cs="Arial"/>
                          <w:b/>
                          <w:color w:val="0D0D0D" w:themeColor="text1" w:themeTint="F2"/>
                          <w:sz w:val="36"/>
                          <w:szCs w:val="22"/>
                          <w:lang w:val="es-ES_tradnl"/>
                        </w:rPr>
                        <w:t xml:space="preserve"> B</w:t>
                      </w:r>
                      <w:r w:rsidR="006D4605" w:rsidRPr="00331369">
                        <w:rPr>
                          <w:rFonts w:asciiTheme="majorHAnsi" w:hAnsiTheme="majorHAnsi" w:cs="Arial"/>
                          <w:b/>
                          <w:color w:val="0D0D0D" w:themeColor="text1" w:themeTint="F2"/>
                          <w:sz w:val="36"/>
                          <w:szCs w:val="22"/>
                          <w:lang w:val="es-ES_tradnl"/>
                        </w:rPr>
                        <w:t xml:space="preserve"> </w:t>
                      </w:r>
                      <w:r w:rsidR="00F6325B">
                        <w:rPr>
                          <w:rFonts w:asciiTheme="majorHAnsi" w:hAnsiTheme="majorHAnsi" w:cs="Arial"/>
                          <w:b/>
                          <w:color w:val="0D0D0D" w:themeColor="text1" w:themeTint="F2"/>
                          <w:sz w:val="36"/>
                          <w:szCs w:val="22"/>
                          <w:lang w:val="es-ES_tradnl"/>
                        </w:rPr>
                        <w:t>y 15</w:t>
                      </w:r>
                      <w:r w:rsidR="00F3132A" w:rsidRPr="00331369">
                        <w:rPr>
                          <w:rFonts w:asciiTheme="majorHAnsi" w:hAnsiTheme="majorHAnsi" w:cs="Arial"/>
                          <w:b/>
                          <w:color w:val="0D0D0D" w:themeColor="text1" w:themeTint="F2"/>
                          <w:sz w:val="36"/>
                          <w:szCs w:val="22"/>
                          <w:lang w:val="es-ES_tradnl"/>
                        </w:rPr>
                        <w:t>66-08</w:t>
                      </w:r>
                    </w:p>
                    <w:p w:rsidR="00E62363" w:rsidRPr="0010736F" w:rsidRDefault="00E6236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E62363" w:rsidRPr="0010736F" w:rsidRDefault="00E62363" w:rsidP="00997BC5">
                      <w:pPr>
                        <w:spacing w:line="276" w:lineRule="auto"/>
                        <w:rPr>
                          <w:rFonts w:asciiTheme="majorHAnsi" w:hAnsiTheme="majorHAnsi" w:cs="Arial"/>
                          <w:color w:val="0D0D0D" w:themeColor="text1" w:themeTint="F2"/>
                          <w:szCs w:val="22"/>
                          <w:lang w:val="es-ES_tradnl"/>
                        </w:rPr>
                      </w:pPr>
                      <w:bookmarkStart w:id="1" w:name="_ftnref1"/>
                    </w:p>
                    <w:p w:rsidR="00E62363" w:rsidRPr="0010736F" w:rsidRDefault="0043547F" w:rsidP="00997BC5">
                      <w:pPr>
                        <w:spacing w:line="276" w:lineRule="auto"/>
                        <w:rPr>
                          <w:rFonts w:asciiTheme="majorHAnsi" w:hAnsiTheme="majorHAnsi" w:cs="Arial"/>
                          <w:color w:val="0D0D0D" w:themeColor="text1" w:themeTint="F2"/>
                          <w:szCs w:val="22"/>
                          <w:lang w:val="es-ES_tradnl"/>
                        </w:rPr>
                      </w:pPr>
                      <w:r w:rsidRPr="00FB6CBD">
                        <w:rPr>
                          <w:rFonts w:asciiTheme="majorHAnsi" w:hAnsiTheme="majorHAnsi" w:cs="Arial"/>
                          <w:color w:val="0D0D0D" w:themeColor="text1" w:themeTint="F2"/>
                          <w:szCs w:val="22"/>
                          <w:lang w:val="es-ES_tradnl"/>
                        </w:rPr>
                        <w:t xml:space="preserve">JUAN LUIS RIVERA MATUS </w:t>
                      </w:r>
                      <w:r w:rsidR="00E62363">
                        <w:rPr>
                          <w:rFonts w:asciiTheme="majorHAnsi" w:hAnsiTheme="majorHAnsi" w:cs="Arial"/>
                          <w:color w:val="0D0D0D" w:themeColor="text1" w:themeTint="F2"/>
                          <w:szCs w:val="22"/>
                          <w:lang w:val="es-ES_tradnl"/>
                        </w:rPr>
                        <w:t>Y OTROS</w:t>
                      </w:r>
                    </w:p>
                    <w:bookmarkEnd w:id="1"/>
                    <w:p w:rsidR="00E62363" w:rsidRPr="0010736F" w:rsidRDefault="00E623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E62363" w:rsidRPr="00AE5488" w:rsidRDefault="00E62363" w:rsidP="007A5817">
                      <w:pPr>
                        <w:rPr>
                          <w:color w:val="0D0D0D" w:themeColor="text1" w:themeTint="F2"/>
                          <w:lang w:val="es-ES_tradnl"/>
                        </w:rPr>
                      </w:pPr>
                    </w:p>
                  </w:txbxContent>
                </v:textbox>
              </v:shape>
            </w:pict>
          </mc:Fallback>
        </mc:AlternateContent>
      </w:r>
      <w:r w:rsidRPr="00F84AB1">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B551DC1" wp14:editId="3B6361D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2363" w:rsidRPr="00331369" w:rsidRDefault="00E62363" w:rsidP="007A5817">
                            <w:pPr>
                              <w:spacing w:line="276" w:lineRule="auto"/>
                              <w:jc w:val="right"/>
                              <w:rPr>
                                <w:rFonts w:asciiTheme="minorHAnsi" w:hAnsiTheme="minorHAnsi"/>
                                <w:color w:val="FFFFFF" w:themeColor="background1"/>
                                <w:sz w:val="22"/>
                                <w:lang w:val="pt-BR"/>
                              </w:rPr>
                            </w:pPr>
                            <w:r w:rsidRPr="00331369">
                              <w:rPr>
                                <w:rFonts w:asciiTheme="minorHAnsi" w:hAnsiTheme="minorHAnsi"/>
                                <w:color w:val="FFFFFF" w:themeColor="background1"/>
                                <w:sz w:val="22"/>
                                <w:lang w:val="pt-BR"/>
                              </w:rPr>
                              <w:t>OEA/Ser.L/V/II.15</w:t>
                            </w:r>
                            <w:r w:rsidR="00331369">
                              <w:rPr>
                                <w:rFonts w:asciiTheme="minorHAnsi" w:hAnsiTheme="minorHAnsi"/>
                                <w:color w:val="FFFFFF" w:themeColor="background1"/>
                                <w:sz w:val="22"/>
                                <w:lang w:val="pt-BR"/>
                              </w:rPr>
                              <w:t>9</w:t>
                            </w:r>
                          </w:p>
                          <w:p w:rsidR="00E62363" w:rsidRPr="00331369" w:rsidRDefault="00E3588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67</w:t>
                            </w:r>
                          </w:p>
                          <w:p w:rsidR="00E62363" w:rsidRPr="00331369" w:rsidRDefault="00E3588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 2016</w:t>
                            </w:r>
                          </w:p>
                          <w:p w:rsidR="00E62363" w:rsidRPr="00331369" w:rsidRDefault="0021571D" w:rsidP="007A5817">
                            <w:pPr>
                              <w:spacing w:line="276" w:lineRule="auto"/>
                              <w:jc w:val="right"/>
                              <w:rPr>
                                <w:rFonts w:asciiTheme="minorHAnsi" w:hAnsiTheme="minorHAnsi"/>
                                <w:color w:val="FFFFFF" w:themeColor="background1"/>
                                <w:sz w:val="22"/>
                                <w:lang w:val="es-ES"/>
                              </w:rPr>
                            </w:pPr>
                            <w:r w:rsidRPr="00331369">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E62363" w:rsidRPr="00331369" w:rsidRDefault="00E62363" w:rsidP="007A5817">
                      <w:pPr>
                        <w:spacing w:line="276" w:lineRule="auto"/>
                        <w:jc w:val="right"/>
                        <w:rPr>
                          <w:rFonts w:asciiTheme="minorHAnsi" w:hAnsiTheme="minorHAnsi"/>
                          <w:color w:val="FFFFFF" w:themeColor="background1"/>
                          <w:sz w:val="22"/>
                          <w:lang w:val="pt-BR"/>
                        </w:rPr>
                      </w:pPr>
                      <w:r w:rsidRPr="00331369">
                        <w:rPr>
                          <w:rFonts w:asciiTheme="minorHAnsi" w:hAnsiTheme="minorHAnsi"/>
                          <w:color w:val="FFFFFF" w:themeColor="background1"/>
                          <w:sz w:val="22"/>
                          <w:lang w:val="pt-BR"/>
                        </w:rPr>
                        <w:t>OEA/Ser.L/V/II.15</w:t>
                      </w:r>
                      <w:r w:rsidR="00331369">
                        <w:rPr>
                          <w:rFonts w:asciiTheme="minorHAnsi" w:hAnsiTheme="minorHAnsi"/>
                          <w:color w:val="FFFFFF" w:themeColor="background1"/>
                          <w:sz w:val="22"/>
                          <w:lang w:val="pt-BR"/>
                        </w:rPr>
                        <w:t>9</w:t>
                      </w:r>
                    </w:p>
                    <w:p w:rsidR="00E62363" w:rsidRPr="00331369" w:rsidRDefault="00E3588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67</w:t>
                      </w:r>
                    </w:p>
                    <w:p w:rsidR="00E62363" w:rsidRPr="00331369" w:rsidRDefault="00E3588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 2016</w:t>
                      </w:r>
                    </w:p>
                    <w:p w:rsidR="00E62363" w:rsidRPr="00331369" w:rsidRDefault="0021571D" w:rsidP="007A5817">
                      <w:pPr>
                        <w:spacing w:line="276" w:lineRule="auto"/>
                        <w:jc w:val="right"/>
                        <w:rPr>
                          <w:rFonts w:asciiTheme="minorHAnsi" w:hAnsiTheme="minorHAnsi"/>
                          <w:color w:val="FFFFFF" w:themeColor="background1"/>
                          <w:sz w:val="22"/>
                          <w:lang w:val="es-ES"/>
                        </w:rPr>
                      </w:pPr>
                      <w:r w:rsidRPr="00331369">
                        <w:rPr>
                          <w:rFonts w:asciiTheme="minorHAnsi" w:hAnsiTheme="minorHAnsi"/>
                          <w:color w:val="FFFFFF" w:themeColor="background1"/>
                          <w:sz w:val="22"/>
                          <w:lang w:val="es-ES"/>
                        </w:rPr>
                        <w:t>Original: español</w:t>
                      </w:r>
                    </w:p>
                  </w:txbxContent>
                </v:textbox>
              </v:shape>
            </w:pict>
          </mc:Fallback>
        </mc:AlternateContent>
      </w:r>
    </w:p>
    <w:p w:rsidR="00040C3A" w:rsidRPr="00F84AB1" w:rsidRDefault="00040C3A" w:rsidP="00C64463">
      <w:pPr>
        <w:tabs>
          <w:tab w:val="center" w:pos="5400"/>
        </w:tabs>
        <w:suppressAutoHyphens/>
        <w:jc w:val="both"/>
        <w:rPr>
          <w:rFonts w:asciiTheme="majorHAnsi" w:hAnsiTheme="majorHAnsi"/>
          <w:sz w:val="20"/>
          <w:szCs w:val="20"/>
          <w:lang w:val="es-ES_tradnl"/>
        </w:rPr>
      </w:pPr>
    </w:p>
    <w:p w:rsidR="00040C3A" w:rsidRPr="00F84AB1" w:rsidRDefault="00040C3A" w:rsidP="00C64463">
      <w:pPr>
        <w:tabs>
          <w:tab w:val="center" w:pos="5400"/>
        </w:tabs>
        <w:suppressAutoHyphens/>
        <w:jc w:val="both"/>
        <w:rPr>
          <w:rFonts w:asciiTheme="majorHAnsi" w:hAnsiTheme="majorHAnsi"/>
          <w:sz w:val="20"/>
          <w:szCs w:val="20"/>
          <w:lang w:val="es-ES_tradnl"/>
        </w:rPr>
      </w:pPr>
    </w:p>
    <w:p w:rsidR="00040C3A" w:rsidRPr="00F84AB1" w:rsidRDefault="00040C3A" w:rsidP="00C64463">
      <w:pPr>
        <w:tabs>
          <w:tab w:val="center" w:pos="5400"/>
        </w:tabs>
        <w:suppressAutoHyphens/>
        <w:jc w:val="both"/>
        <w:rPr>
          <w:rFonts w:asciiTheme="majorHAnsi" w:hAnsiTheme="majorHAnsi" w:cs="Arial"/>
          <w:sz w:val="20"/>
          <w:szCs w:val="20"/>
          <w:lang w:val="es-ES_tradnl"/>
        </w:rPr>
      </w:pPr>
    </w:p>
    <w:p w:rsidR="00040C3A" w:rsidRPr="00F84AB1" w:rsidRDefault="00040C3A" w:rsidP="00C64463">
      <w:pPr>
        <w:tabs>
          <w:tab w:val="center" w:pos="5400"/>
        </w:tabs>
        <w:suppressAutoHyphens/>
        <w:jc w:val="both"/>
        <w:rPr>
          <w:rFonts w:asciiTheme="majorHAnsi" w:hAnsiTheme="majorHAnsi"/>
          <w:sz w:val="20"/>
          <w:szCs w:val="20"/>
          <w:lang w:val="es-ES_tradnl"/>
        </w:rPr>
      </w:pPr>
    </w:p>
    <w:p w:rsidR="00040C3A" w:rsidRPr="00F84AB1" w:rsidRDefault="00040C3A" w:rsidP="00C64463">
      <w:pPr>
        <w:tabs>
          <w:tab w:val="center" w:pos="5400"/>
        </w:tabs>
        <w:suppressAutoHyphens/>
        <w:jc w:val="both"/>
        <w:rPr>
          <w:rFonts w:asciiTheme="majorHAnsi" w:hAnsiTheme="majorHAnsi"/>
          <w:sz w:val="20"/>
          <w:szCs w:val="20"/>
          <w:lang w:val="es-ES_tradnl"/>
        </w:rPr>
      </w:pPr>
    </w:p>
    <w:p w:rsidR="00040C3A" w:rsidRPr="00F84AB1" w:rsidRDefault="00040C3A" w:rsidP="00C64463">
      <w:pPr>
        <w:tabs>
          <w:tab w:val="center" w:pos="5400"/>
        </w:tabs>
        <w:suppressAutoHyphens/>
        <w:jc w:val="both"/>
        <w:rPr>
          <w:rFonts w:asciiTheme="majorHAnsi" w:hAnsiTheme="majorHAnsi"/>
          <w:sz w:val="20"/>
          <w:szCs w:val="20"/>
          <w:lang w:val="es-ES_tradnl"/>
        </w:rPr>
      </w:pPr>
    </w:p>
    <w:p w:rsidR="00040C3A" w:rsidRPr="00F84AB1" w:rsidRDefault="00040C3A" w:rsidP="00C64463">
      <w:pPr>
        <w:tabs>
          <w:tab w:val="center" w:pos="5400"/>
        </w:tabs>
        <w:suppressAutoHyphens/>
        <w:jc w:val="both"/>
        <w:rPr>
          <w:rFonts w:asciiTheme="majorHAnsi" w:hAnsiTheme="majorHAnsi"/>
          <w:sz w:val="20"/>
          <w:szCs w:val="20"/>
          <w:lang w:val="es-ES_tradnl"/>
        </w:rPr>
      </w:pPr>
    </w:p>
    <w:p w:rsidR="005128E4" w:rsidRPr="00F84AB1" w:rsidRDefault="005128E4" w:rsidP="00C64463">
      <w:pPr>
        <w:tabs>
          <w:tab w:val="center" w:pos="5400"/>
        </w:tabs>
        <w:suppressAutoHyphens/>
        <w:jc w:val="both"/>
        <w:rPr>
          <w:rFonts w:asciiTheme="majorHAnsi" w:hAnsiTheme="majorHAnsi"/>
          <w:sz w:val="20"/>
          <w:szCs w:val="20"/>
          <w:lang w:val="es-ES_tradnl"/>
        </w:rPr>
      </w:pPr>
    </w:p>
    <w:p w:rsidR="00040C3A" w:rsidRPr="00F84AB1" w:rsidRDefault="00040C3A" w:rsidP="00C64463">
      <w:pPr>
        <w:tabs>
          <w:tab w:val="center" w:pos="5400"/>
        </w:tabs>
        <w:suppressAutoHyphens/>
        <w:jc w:val="both"/>
        <w:rPr>
          <w:rFonts w:asciiTheme="majorHAnsi" w:hAnsiTheme="majorHAnsi"/>
          <w:sz w:val="20"/>
          <w:szCs w:val="20"/>
          <w:lang w:val="es-ES_tradnl"/>
        </w:rPr>
      </w:pPr>
    </w:p>
    <w:p w:rsidR="005128E4" w:rsidRPr="00F84AB1" w:rsidRDefault="005128E4" w:rsidP="00C64463">
      <w:pPr>
        <w:tabs>
          <w:tab w:val="center" w:pos="5400"/>
        </w:tabs>
        <w:suppressAutoHyphens/>
        <w:jc w:val="both"/>
        <w:rPr>
          <w:rFonts w:asciiTheme="majorHAnsi" w:hAnsiTheme="majorHAnsi"/>
          <w:sz w:val="20"/>
          <w:szCs w:val="20"/>
          <w:lang w:val="es-ES_tradnl"/>
        </w:rPr>
      </w:pPr>
    </w:p>
    <w:p w:rsidR="005128E4" w:rsidRPr="00F84AB1" w:rsidRDefault="005128E4" w:rsidP="00C64463">
      <w:pPr>
        <w:tabs>
          <w:tab w:val="center" w:pos="5400"/>
        </w:tabs>
        <w:suppressAutoHyphens/>
        <w:jc w:val="both"/>
        <w:rPr>
          <w:rFonts w:asciiTheme="majorHAnsi" w:hAnsiTheme="majorHAnsi"/>
          <w:sz w:val="20"/>
          <w:szCs w:val="20"/>
          <w:lang w:val="es-ES_tradnl"/>
        </w:rPr>
      </w:pPr>
    </w:p>
    <w:p w:rsidR="005128E4" w:rsidRPr="00F84AB1" w:rsidRDefault="005128E4" w:rsidP="00C64463">
      <w:pPr>
        <w:tabs>
          <w:tab w:val="center" w:pos="5400"/>
        </w:tabs>
        <w:suppressAutoHyphens/>
        <w:jc w:val="both"/>
        <w:rPr>
          <w:rFonts w:asciiTheme="majorHAnsi" w:hAnsiTheme="majorHAnsi"/>
          <w:sz w:val="20"/>
          <w:szCs w:val="20"/>
          <w:lang w:val="es-ES_tradnl"/>
        </w:rPr>
      </w:pPr>
    </w:p>
    <w:p w:rsidR="00040C3A" w:rsidRPr="00F84AB1" w:rsidRDefault="00040C3A" w:rsidP="00C64463">
      <w:pPr>
        <w:tabs>
          <w:tab w:val="center" w:pos="5400"/>
        </w:tabs>
        <w:suppressAutoHyphens/>
        <w:jc w:val="both"/>
        <w:rPr>
          <w:rFonts w:asciiTheme="majorHAnsi" w:hAnsiTheme="majorHAnsi"/>
          <w:sz w:val="20"/>
          <w:szCs w:val="20"/>
          <w:lang w:val="es-ES_tradnl"/>
        </w:rPr>
      </w:pPr>
    </w:p>
    <w:p w:rsidR="00040C3A" w:rsidRPr="00F84AB1" w:rsidRDefault="00040C3A"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54078E" w:rsidP="00C64463">
      <w:pPr>
        <w:tabs>
          <w:tab w:val="center" w:pos="5400"/>
        </w:tabs>
        <w:suppressAutoHyphens/>
        <w:jc w:val="both"/>
        <w:rPr>
          <w:rFonts w:asciiTheme="majorHAnsi" w:hAnsiTheme="majorHAnsi"/>
          <w:sz w:val="20"/>
          <w:szCs w:val="20"/>
          <w:lang w:val="es-ES_tradnl"/>
        </w:rPr>
      </w:pPr>
      <w:r w:rsidRPr="00F84AB1">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EAD17CB" wp14:editId="0176CAC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rsidR="00E3588F" w:rsidRPr="00890650" w:rsidRDefault="00E3588F" w:rsidP="00E3588F">
                                <w:pPr>
                                  <w:tabs>
                                    <w:tab w:val="center" w:pos="5400"/>
                                  </w:tabs>
                                  <w:suppressAutoHyphens/>
                                  <w:spacing w:before="60"/>
                                  <w:rPr>
                                    <w:rFonts w:asciiTheme="majorHAnsi" w:hAnsiTheme="majorHAnsi" w:cs="Univers"/>
                                    <w:color w:val="0D0D0D" w:themeColor="text1" w:themeTint="F2"/>
                                    <w:sz w:val="18"/>
                                    <w:szCs w:val="20"/>
                                    <w:lang w:val="es-ES_tradnl"/>
                                  </w:rPr>
                                </w:pPr>
                                <w:r w:rsidRPr="00E3588F">
                                  <w:rPr>
                                    <w:rFonts w:asciiTheme="majorHAnsi" w:hAnsiTheme="majorHAnsi"/>
                                    <w:color w:val="0D0D0D" w:themeColor="text1" w:themeTint="F2"/>
                                    <w:sz w:val="18"/>
                                    <w:szCs w:val="20"/>
                                    <w:lang w:val="es-ES"/>
                                  </w:rPr>
                                  <w:t>Aprobado por la Comisión en su sesión No. 2070 celebrada el 6 de diciembre de 2016</w:t>
                                </w:r>
                                <w:r w:rsidRPr="00E3588F">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159º</w:t>
                                </w:r>
                                <w:r w:rsidRPr="00890650">
                                  <w:rPr>
                                    <w:rFonts w:asciiTheme="majorHAnsi" w:hAnsiTheme="majorHAnsi" w:cs="Univers"/>
                                    <w:color w:val="0D0D0D" w:themeColor="text1" w:themeTint="F2"/>
                                    <w:sz w:val="18"/>
                                    <w:szCs w:val="20"/>
                                    <w:lang w:val="es-ES_tradnl"/>
                                  </w:rPr>
                                  <w:t xml:space="preserve"> período ordinario de sesiones</w:t>
                                </w:r>
                              </w:p>
                              <w:p w:rsidR="00E3588F" w:rsidRDefault="0029253D" w:rsidP="00E3588F">
                                <w:pPr>
                                  <w:tabs>
                                    <w:tab w:val="center" w:pos="5400"/>
                                  </w:tabs>
                                  <w:suppressAutoHyphens/>
                                  <w:spacing w:before="60"/>
                                  <w:rPr>
                                    <w:rFonts w:asciiTheme="majorHAnsi" w:hAnsiTheme="majorHAnsi"/>
                                    <w:color w:val="0D0D0D" w:themeColor="text1" w:themeTint="F2"/>
                                    <w:sz w:val="18"/>
                                    <w:szCs w:val="20"/>
                                  </w:rPr>
                                </w:pPr>
                              </w:p>
                            </w:sdtContent>
                          </w:sdt>
                          <w:p w:rsidR="00E62363" w:rsidRPr="007A5817" w:rsidRDefault="00E62363" w:rsidP="00247403">
                            <w:pPr>
                              <w:tabs>
                                <w:tab w:val="center" w:pos="5400"/>
                              </w:tabs>
                              <w:suppressAutoHyphens/>
                              <w:spacing w:before="60"/>
                              <w:rPr>
                                <w:rFonts w:asciiTheme="minorHAnsi" w:hAnsiTheme="minorHAnsi" w:cs="Univers"/>
                                <w:color w:val="0D0D0D" w:themeColor="text1" w:themeTint="F2"/>
                                <w:sz w:val="20"/>
                                <w:szCs w:val="20"/>
                                <w:lang w:val="es-ES"/>
                              </w:rPr>
                            </w:pPr>
                          </w:p>
                          <w:p w:rsidR="00E62363" w:rsidRPr="00167A34" w:rsidRDefault="00E6236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Content>
                        <w:p w:rsidR="00E3588F" w:rsidRPr="00890650" w:rsidRDefault="00E3588F" w:rsidP="00E3588F">
                          <w:pPr>
                            <w:tabs>
                              <w:tab w:val="center" w:pos="5400"/>
                            </w:tabs>
                            <w:suppressAutoHyphens/>
                            <w:spacing w:before="60"/>
                            <w:rPr>
                              <w:rFonts w:asciiTheme="majorHAnsi" w:hAnsiTheme="majorHAnsi" w:cs="Univers"/>
                              <w:color w:val="0D0D0D" w:themeColor="text1" w:themeTint="F2"/>
                              <w:sz w:val="18"/>
                              <w:szCs w:val="20"/>
                              <w:lang w:val="es-ES_tradnl"/>
                            </w:rPr>
                          </w:pPr>
                          <w:r w:rsidRPr="00E3588F">
                            <w:rPr>
                              <w:rFonts w:asciiTheme="majorHAnsi" w:hAnsiTheme="majorHAnsi"/>
                              <w:color w:val="0D0D0D" w:themeColor="text1" w:themeTint="F2"/>
                              <w:sz w:val="18"/>
                              <w:szCs w:val="20"/>
                              <w:lang w:val="es-ES"/>
                            </w:rPr>
                            <w:t>Aprobado por la Comisión en su sesión No. 2070 celebrada el 6 de diciembre de 2016</w:t>
                          </w:r>
                          <w:r w:rsidRPr="00E3588F">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159º</w:t>
                          </w:r>
                          <w:r w:rsidRPr="00890650">
                            <w:rPr>
                              <w:rFonts w:asciiTheme="majorHAnsi" w:hAnsiTheme="majorHAnsi" w:cs="Univers"/>
                              <w:color w:val="0D0D0D" w:themeColor="text1" w:themeTint="F2"/>
                              <w:sz w:val="18"/>
                              <w:szCs w:val="20"/>
                              <w:lang w:val="es-ES_tradnl"/>
                            </w:rPr>
                            <w:t xml:space="preserve"> período ordinario de sesiones</w:t>
                          </w:r>
                        </w:p>
                        <w:p w:rsidR="00E3588F" w:rsidRDefault="00E3588F" w:rsidP="00E3588F">
                          <w:pPr>
                            <w:tabs>
                              <w:tab w:val="center" w:pos="5400"/>
                            </w:tabs>
                            <w:suppressAutoHyphens/>
                            <w:spacing w:before="60"/>
                            <w:rPr>
                              <w:rFonts w:asciiTheme="majorHAnsi" w:hAnsiTheme="majorHAnsi"/>
                              <w:color w:val="0D0D0D" w:themeColor="text1" w:themeTint="F2"/>
                              <w:sz w:val="18"/>
                              <w:szCs w:val="20"/>
                            </w:rPr>
                          </w:pPr>
                        </w:p>
                      </w:sdtContent>
                    </w:sdt>
                    <w:p w:rsidR="00E62363" w:rsidRPr="007A5817" w:rsidRDefault="00E62363" w:rsidP="00247403">
                      <w:pPr>
                        <w:tabs>
                          <w:tab w:val="center" w:pos="5400"/>
                        </w:tabs>
                        <w:suppressAutoHyphens/>
                        <w:spacing w:before="60"/>
                        <w:rPr>
                          <w:rFonts w:asciiTheme="minorHAnsi" w:hAnsiTheme="minorHAnsi" w:cs="Univers"/>
                          <w:color w:val="0D0D0D" w:themeColor="text1" w:themeTint="F2"/>
                          <w:sz w:val="20"/>
                          <w:szCs w:val="20"/>
                          <w:lang w:val="es-ES"/>
                        </w:rPr>
                      </w:pPr>
                    </w:p>
                    <w:p w:rsidR="00E62363" w:rsidRPr="00167A34" w:rsidRDefault="00E6236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A50FCF" w:rsidRPr="00F84AB1" w:rsidRDefault="0054078E" w:rsidP="00C64463">
      <w:pPr>
        <w:tabs>
          <w:tab w:val="center" w:pos="5400"/>
        </w:tabs>
        <w:suppressAutoHyphens/>
        <w:jc w:val="both"/>
        <w:rPr>
          <w:rFonts w:asciiTheme="majorHAnsi" w:hAnsiTheme="majorHAnsi"/>
          <w:sz w:val="20"/>
          <w:szCs w:val="20"/>
          <w:lang w:val="es-ES_tradnl"/>
        </w:rPr>
      </w:pPr>
      <w:r w:rsidRPr="00F84AB1">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54DC381" wp14:editId="535200D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2363" w:rsidRPr="0063685A" w:rsidRDefault="00E6236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3588F" w:rsidRPr="00E3588F">
                              <w:rPr>
                                <w:rFonts w:asciiTheme="majorHAnsi" w:hAnsiTheme="majorHAnsi"/>
                                <w:color w:val="595959" w:themeColor="text1" w:themeTint="A6"/>
                                <w:sz w:val="18"/>
                                <w:szCs w:val="18"/>
                                <w:lang w:val="pt-BR"/>
                              </w:rPr>
                              <w:t xml:space="preserve">58/16. </w:t>
                            </w:r>
                            <w:r w:rsidR="00EF487E">
                              <w:rPr>
                                <w:rFonts w:asciiTheme="majorHAnsi" w:hAnsiTheme="majorHAnsi"/>
                                <w:color w:val="595959" w:themeColor="text1" w:themeTint="A6"/>
                                <w:sz w:val="18"/>
                                <w:szCs w:val="18"/>
                                <w:lang w:val="es-ES_tradnl"/>
                              </w:rPr>
                              <w:t>Peticiones</w:t>
                            </w:r>
                            <w:r w:rsidR="00F6325B">
                              <w:rPr>
                                <w:rFonts w:asciiTheme="majorHAnsi" w:hAnsiTheme="majorHAnsi"/>
                                <w:color w:val="595959" w:themeColor="text1" w:themeTint="A6"/>
                                <w:sz w:val="18"/>
                                <w:szCs w:val="18"/>
                                <w:lang w:val="es-ES_tradnl"/>
                              </w:rPr>
                              <w:t xml:space="preserve"> 1275-04B y 15</w:t>
                            </w:r>
                            <w:r w:rsidR="00E3588F">
                              <w:rPr>
                                <w:rFonts w:asciiTheme="majorHAnsi" w:hAnsiTheme="majorHAnsi"/>
                                <w:color w:val="595959" w:themeColor="text1" w:themeTint="A6"/>
                                <w:sz w:val="18"/>
                                <w:szCs w:val="18"/>
                                <w:lang w:val="es-ES_tradnl"/>
                              </w:rPr>
                              <w:t>66-08.</w:t>
                            </w:r>
                            <w:r w:rsidR="00EF487E">
                              <w:rPr>
                                <w:rFonts w:asciiTheme="majorHAnsi" w:hAnsiTheme="majorHAnsi"/>
                                <w:color w:val="595959" w:themeColor="text1" w:themeTint="A6"/>
                                <w:sz w:val="18"/>
                                <w:szCs w:val="18"/>
                                <w:lang w:val="es-ES_tradnl"/>
                              </w:rPr>
                              <w:t xml:space="preserve"> Admisibilidad</w:t>
                            </w:r>
                            <w:r w:rsidRPr="00890650">
                              <w:rPr>
                                <w:rFonts w:asciiTheme="majorHAnsi" w:hAnsiTheme="majorHAnsi"/>
                                <w:color w:val="595959" w:themeColor="text1" w:themeTint="A6"/>
                                <w:sz w:val="18"/>
                                <w:szCs w:val="18"/>
                                <w:lang w:val="es-ES_tradnl"/>
                              </w:rPr>
                              <w:t xml:space="preserve">. </w:t>
                            </w:r>
                            <w:r w:rsidR="00EF487E">
                              <w:rPr>
                                <w:rFonts w:asciiTheme="majorHAnsi" w:hAnsiTheme="majorHAnsi"/>
                                <w:color w:val="595959" w:themeColor="text1" w:themeTint="A6"/>
                                <w:sz w:val="18"/>
                                <w:szCs w:val="18"/>
                                <w:lang w:val="es-ES_tradnl"/>
                              </w:rPr>
                              <w:t>Juan Luis Rivera Matus y</w:t>
                            </w:r>
                            <w:r w:rsidR="00EF487E" w:rsidRPr="00EF487E">
                              <w:rPr>
                                <w:rFonts w:asciiTheme="majorHAnsi" w:hAnsiTheme="majorHAnsi"/>
                                <w:color w:val="595959" w:themeColor="text1" w:themeTint="A6"/>
                                <w:sz w:val="18"/>
                                <w:szCs w:val="18"/>
                                <w:lang w:val="es-ES_tradnl"/>
                              </w:rPr>
                              <w:t xml:space="preserve"> Otros</w:t>
                            </w:r>
                            <w:r w:rsidR="00EF487E">
                              <w:rPr>
                                <w:rFonts w:asciiTheme="majorHAnsi" w:hAnsiTheme="majorHAnsi"/>
                                <w:color w:val="595959" w:themeColor="text1" w:themeTint="A6"/>
                                <w:sz w:val="18"/>
                                <w:szCs w:val="18"/>
                                <w:lang w:val="es-ES_tradnl"/>
                              </w:rPr>
                              <w:t>.</w:t>
                            </w:r>
                            <w:r w:rsidR="00EF487E" w:rsidRPr="00EF487E">
                              <w:rPr>
                                <w:rFonts w:asciiTheme="majorHAnsi" w:hAnsiTheme="majorHAnsi"/>
                                <w:color w:val="595959" w:themeColor="text1" w:themeTint="A6"/>
                                <w:sz w:val="18"/>
                                <w:szCs w:val="18"/>
                                <w:lang w:val="es-ES_tradnl"/>
                              </w:rPr>
                              <w:t xml:space="preserve"> </w:t>
                            </w:r>
                            <w:r w:rsidR="00EF487E">
                              <w:rPr>
                                <w:rFonts w:asciiTheme="majorHAnsi" w:hAnsiTheme="majorHAnsi"/>
                                <w:color w:val="595959" w:themeColor="text1" w:themeTint="A6"/>
                                <w:sz w:val="18"/>
                                <w:szCs w:val="18"/>
                                <w:lang w:val="es-ES_tradnl"/>
                              </w:rPr>
                              <w:t>Chile. 6 de diciembre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E62363" w:rsidRPr="0063685A" w:rsidRDefault="00E6236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3588F" w:rsidRPr="00E3588F">
                        <w:rPr>
                          <w:rFonts w:asciiTheme="majorHAnsi" w:hAnsiTheme="majorHAnsi"/>
                          <w:color w:val="595959" w:themeColor="text1" w:themeTint="A6"/>
                          <w:sz w:val="18"/>
                          <w:szCs w:val="18"/>
                          <w:lang w:val="pt-BR"/>
                        </w:rPr>
                        <w:t xml:space="preserve">58/16. </w:t>
                      </w:r>
                      <w:r w:rsidR="00EF487E">
                        <w:rPr>
                          <w:rFonts w:asciiTheme="majorHAnsi" w:hAnsiTheme="majorHAnsi"/>
                          <w:color w:val="595959" w:themeColor="text1" w:themeTint="A6"/>
                          <w:sz w:val="18"/>
                          <w:szCs w:val="18"/>
                          <w:lang w:val="es-ES_tradnl"/>
                        </w:rPr>
                        <w:t>Peticiones</w:t>
                      </w:r>
                      <w:r w:rsidR="00F6325B">
                        <w:rPr>
                          <w:rFonts w:asciiTheme="majorHAnsi" w:hAnsiTheme="majorHAnsi"/>
                          <w:color w:val="595959" w:themeColor="text1" w:themeTint="A6"/>
                          <w:sz w:val="18"/>
                          <w:szCs w:val="18"/>
                          <w:lang w:val="es-ES_tradnl"/>
                        </w:rPr>
                        <w:t xml:space="preserve"> 1275-04B y 15</w:t>
                      </w:r>
                      <w:r w:rsidR="00E3588F">
                        <w:rPr>
                          <w:rFonts w:asciiTheme="majorHAnsi" w:hAnsiTheme="majorHAnsi"/>
                          <w:color w:val="595959" w:themeColor="text1" w:themeTint="A6"/>
                          <w:sz w:val="18"/>
                          <w:szCs w:val="18"/>
                          <w:lang w:val="es-ES_tradnl"/>
                        </w:rPr>
                        <w:t>66-08.</w:t>
                      </w:r>
                      <w:r w:rsidR="00EF487E">
                        <w:rPr>
                          <w:rFonts w:asciiTheme="majorHAnsi" w:hAnsiTheme="majorHAnsi"/>
                          <w:color w:val="595959" w:themeColor="text1" w:themeTint="A6"/>
                          <w:sz w:val="18"/>
                          <w:szCs w:val="18"/>
                          <w:lang w:val="es-ES_tradnl"/>
                        </w:rPr>
                        <w:t xml:space="preserve"> Admisibilidad</w:t>
                      </w:r>
                      <w:r w:rsidRPr="00890650">
                        <w:rPr>
                          <w:rFonts w:asciiTheme="majorHAnsi" w:hAnsiTheme="majorHAnsi"/>
                          <w:color w:val="595959" w:themeColor="text1" w:themeTint="A6"/>
                          <w:sz w:val="18"/>
                          <w:szCs w:val="18"/>
                          <w:lang w:val="es-ES_tradnl"/>
                        </w:rPr>
                        <w:t xml:space="preserve">. </w:t>
                      </w:r>
                      <w:r w:rsidR="00EF487E">
                        <w:rPr>
                          <w:rFonts w:asciiTheme="majorHAnsi" w:hAnsiTheme="majorHAnsi"/>
                          <w:color w:val="595959" w:themeColor="text1" w:themeTint="A6"/>
                          <w:sz w:val="18"/>
                          <w:szCs w:val="18"/>
                          <w:lang w:val="es-ES_tradnl"/>
                        </w:rPr>
                        <w:t>Juan Luis Rivera Matus y</w:t>
                      </w:r>
                      <w:r w:rsidR="00EF487E" w:rsidRPr="00EF487E">
                        <w:rPr>
                          <w:rFonts w:asciiTheme="majorHAnsi" w:hAnsiTheme="majorHAnsi"/>
                          <w:color w:val="595959" w:themeColor="text1" w:themeTint="A6"/>
                          <w:sz w:val="18"/>
                          <w:szCs w:val="18"/>
                          <w:lang w:val="es-ES_tradnl"/>
                        </w:rPr>
                        <w:t xml:space="preserve"> Otros</w:t>
                      </w:r>
                      <w:r w:rsidR="00EF487E">
                        <w:rPr>
                          <w:rFonts w:asciiTheme="majorHAnsi" w:hAnsiTheme="majorHAnsi"/>
                          <w:color w:val="595959" w:themeColor="text1" w:themeTint="A6"/>
                          <w:sz w:val="18"/>
                          <w:szCs w:val="18"/>
                          <w:lang w:val="es-ES_tradnl"/>
                        </w:rPr>
                        <w:t>.</w:t>
                      </w:r>
                      <w:r w:rsidR="00EF487E" w:rsidRPr="00EF487E">
                        <w:rPr>
                          <w:rFonts w:asciiTheme="majorHAnsi" w:hAnsiTheme="majorHAnsi"/>
                          <w:color w:val="595959" w:themeColor="text1" w:themeTint="A6"/>
                          <w:sz w:val="18"/>
                          <w:szCs w:val="18"/>
                          <w:lang w:val="es-ES_tradnl"/>
                        </w:rPr>
                        <w:t xml:space="preserve"> </w:t>
                      </w:r>
                      <w:r w:rsidR="00EF487E">
                        <w:rPr>
                          <w:rFonts w:asciiTheme="majorHAnsi" w:hAnsiTheme="majorHAnsi"/>
                          <w:color w:val="595959" w:themeColor="text1" w:themeTint="A6"/>
                          <w:sz w:val="18"/>
                          <w:szCs w:val="18"/>
                          <w:lang w:val="es-ES_tradnl"/>
                        </w:rPr>
                        <w:t>Chile. 6 de diciembre de 2016.</w:t>
                      </w:r>
                    </w:p>
                  </w:txbxContent>
                </v:textbox>
              </v:shape>
            </w:pict>
          </mc:Fallback>
        </mc:AlternateContent>
      </w:r>
    </w:p>
    <w:p w:rsidR="00A50FCF" w:rsidRPr="00F84AB1" w:rsidRDefault="00A50FCF" w:rsidP="00C64463">
      <w:pPr>
        <w:tabs>
          <w:tab w:val="center" w:pos="5400"/>
        </w:tabs>
        <w:suppressAutoHyphens/>
        <w:jc w:val="both"/>
        <w:rPr>
          <w:rFonts w:asciiTheme="majorHAnsi" w:hAnsiTheme="majorHAnsi"/>
          <w:sz w:val="20"/>
          <w:szCs w:val="20"/>
          <w:lang w:val="es-ES_tradnl"/>
        </w:rPr>
      </w:pPr>
    </w:p>
    <w:p w:rsidR="0090270B" w:rsidRPr="00F84AB1" w:rsidRDefault="0054078E" w:rsidP="00C64463">
      <w:pPr>
        <w:tabs>
          <w:tab w:val="center" w:pos="5400"/>
        </w:tabs>
        <w:suppressAutoHyphens/>
        <w:jc w:val="both"/>
        <w:rPr>
          <w:rFonts w:asciiTheme="majorHAnsi" w:hAnsiTheme="majorHAnsi"/>
          <w:b/>
          <w:sz w:val="20"/>
          <w:szCs w:val="20"/>
          <w:lang w:val="es-ES_tradnl"/>
        </w:rPr>
      </w:pPr>
      <w:r w:rsidRPr="00F84AB1">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BF6CFF0" wp14:editId="1693D486">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2363" w:rsidRPr="00D72DC6" w:rsidRDefault="00E62363" w:rsidP="00F02AD1">
                            <w:pPr>
                              <w:rPr>
                                <w:color w:val="FFFFFF" w:themeColor="background1"/>
                              </w:rPr>
                            </w:pPr>
                            <w:r w:rsidRPr="00D72DC6">
                              <w:rPr>
                                <w:noProof/>
                                <w:color w:val="FFFFFF" w:themeColor="background1"/>
                              </w:rPr>
                              <w:drawing>
                                <wp:inline distT="0" distB="0" distL="0" distR="0" wp14:anchorId="34356165" wp14:editId="7EE6225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E62363" w:rsidRPr="00D72DC6" w:rsidRDefault="00E62363" w:rsidP="00F02AD1">
                      <w:pPr>
                        <w:rPr>
                          <w:color w:val="FFFFFF" w:themeColor="background1"/>
                        </w:rPr>
                      </w:pPr>
                      <w:r w:rsidRPr="00D72DC6">
                        <w:rPr>
                          <w:noProof/>
                          <w:color w:val="FFFFFF" w:themeColor="background1"/>
                        </w:rPr>
                        <w:drawing>
                          <wp:inline distT="0" distB="0" distL="0" distR="0" wp14:anchorId="34356165" wp14:editId="7EE6225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84AB1">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04CE435" wp14:editId="60DBA2B0">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2363" w:rsidRPr="004B7EB6" w:rsidRDefault="00E6236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E62363" w:rsidRPr="004B7EB6" w:rsidRDefault="00E6236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F84AB1" w:rsidRDefault="0070697F" w:rsidP="00C64463">
      <w:pPr>
        <w:tabs>
          <w:tab w:val="center" w:pos="5400"/>
        </w:tabs>
        <w:suppressAutoHyphens/>
        <w:jc w:val="both"/>
        <w:rPr>
          <w:rFonts w:asciiTheme="majorHAnsi" w:hAnsiTheme="majorHAnsi"/>
          <w:b/>
          <w:sz w:val="20"/>
          <w:szCs w:val="20"/>
          <w:lang w:val="es-ES_tradnl"/>
        </w:rPr>
        <w:sectPr w:rsidR="0070697F" w:rsidRPr="00F84AB1"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331369" w:rsidRDefault="00EF487E" w:rsidP="00C64463">
      <w:pPr>
        <w:tabs>
          <w:tab w:val="center" w:pos="5400"/>
        </w:tabs>
        <w:suppressAutoHyphens/>
        <w:jc w:val="center"/>
        <w:rPr>
          <w:rFonts w:asciiTheme="majorHAnsi" w:hAnsiTheme="majorHAnsi"/>
          <w:b/>
          <w:sz w:val="18"/>
          <w:szCs w:val="18"/>
          <w:lang w:val="es-ES_tradnl"/>
        </w:rPr>
      </w:pPr>
      <w:r>
        <w:rPr>
          <w:rFonts w:asciiTheme="majorHAnsi" w:hAnsiTheme="majorHAnsi"/>
          <w:b/>
          <w:sz w:val="18"/>
          <w:szCs w:val="18"/>
          <w:lang w:val="es-ES_tradnl"/>
        </w:rPr>
        <w:lastRenderedPageBreak/>
        <w:t>INFORME No. 58</w:t>
      </w:r>
      <w:r w:rsidR="006A0425" w:rsidRPr="00331369">
        <w:rPr>
          <w:rFonts w:asciiTheme="majorHAnsi" w:hAnsiTheme="majorHAnsi"/>
          <w:b/>
          <w:sz w:val="18"/>
          <w:szCs w:val="18"/>
          <w:lang w:val="es-ES_tradnl"/>
        </w:rPr>
        <w:t>/16</w:t>
      </w:r>
    </w:p>
    <w:p w:rsidR="00722C9F" w:rsidRPr="00331369" w:rsidRDefault="00171E67" w:rsidP="00C64463">
      <w:pPr>
        <w:tabs>
          <w:tab w:val="center" w:pos="5400"/>
        </w:tabs>
        <w:suppressAutoHyphens/>
        <w:jc w:val="center"/>
        <w:rPr>
          <w:rFonts w:asciiTheme="majorHAnsi" w:hAnsiTheme="majorHAnsi"/>
          <w:b/>
          <w:sz w:val="18"/>
          <w:szCs w:val="18"/>
          <w:lang w:val="es-ES_tradnl"/>
        </w:rPr>
      </w:pPr>
      <w:r w:rsidRPr="00331369">
        <w:rPr>
          <w:rFonts w:asciiTheme="majorHAnsi" w:hAnsiTheme="majorHAnsi"/>
          <w:b/>
          <w:sz w:val="18"/>
          <w:szCs w:val="18"/>
          <w:lang w:val="es-ES_tradnl"/>
        </w:rPr>
        <w:t>PETICIONES</w:t>
      </w:r>
      <w:r w:rsidR="00722C9F" w:rsidRPr="00331369">
        <w:rPr>
          <w:rFonts w:asciiTheme="majorHAnsi" w:hAnsiTheme="majorHAnsi"/>
          <w:b/>
          <w:sz w:val="18"/>
          <w:szCs w:val="18"/>
          <w:lang w:val="es-ES_tradnl"/>
        </w:rPr>
        <w:t xml:space="preserve"> </w:t>
      </w:r>
      <w:r w:rsidR="006123A2" w:rsidRPr="00331369">
        <w:rPr>
          <w:rFonts w:asciiTheme="majorHAnsi" w:hAnsiTheme="majorHAnsi"/>
          <w:b/>
          <w:sz w:val="18"/>
          <w:szCs w:val="18"/>
          <w:lang w:val="es-ES_tradnl"/>
        </w:rPr>
        <w:t>1275-04</w:t>
      </w:r>
      <w:r w:rsidR="00210D19" w:rsidRPr="00331369">
        <w:rPr>
          <w:rFonts w:asciiTheme="majorHAnsi" w:hAnsiTheme="majorHAnsi"/>
          <w:b/>
          <w:sz w:val="18"/>
          <w:szCs w:val="18"/>
          <w:lang w:val="es-ES_tradnl"/>
        </w:rPr>
        <w:t xml:space="preserve"> B</w:t>
      </w:r>
      <w:r w:rsidR="004405E4" w:rsidRPr="00331369">
        <w:rPr>
          <w:rFonts w:asciiTheme="majorHAnsi" w:hAnsiTheme="majorHAnsi"/>
          <w:b/>
          <w:sz w:val="18"/>
          <w:szCs w:val="18"/>
          <w:lang w:val="es-ES_tradnl"/>
        </w:rPr>
        <w:t xml:space="preserve"> y 1566-08</w:t>
      </w:r>
    </w:p>
    <w:p w:rsidR="00722C9F" w:rsidRPr="00331369" w:rsidRDefault="006E0457" w:rsidP="00C64463">
      <w:pPr>
        <w:tabs>
          <w:tab w:val="center" w:pos="5400"/>
        </w:tabs>
        <w:suppressAutoHyphens/>
        <w:jc w:val="center"/>
        <w:rPr>
          <w:rFonts w:asciiTheme="majorHAnsi" w:hAnsiTheme="majorHAnsi"/>
          <w:sz w:val="18"/>
          <w:szCs w:val="18"/>
          <w:lang w:val="es-ES_tradnl"/>
        </w:rPr>
      </w:pPr>
      <w:r w:rsidRPr="00331369">
        <w:rPr>
          <w:rFonts w:asciiTheme="majorHAnsi" w:hAnsiTheme="majorHAnsi"/>
          <w:sz w:val="18"/>
          <w:szCs w:val="18"/>
          <w:lang w:val="es-ES_tradnl"/>
        </w:rPr>
        <w:t>INFORME DE ADMISIBILIDAD</w:t>
      </w:r>
    </w:p>
    <w:p w:rsidR="006123A2" w:rsidRPr="00331369" w:rsidRDefault="006123A2" w:rsidP="00C64463">
      <w:pPr>
        <w:tabs>
          <w:tab w:val="center" w:pos="5400"/>
        </w:tabs>
        <w:suppressAutoHyphens/>
        <w:jc w:val="center"/>
        <w:rPr>
          <w:rFonts w:asciiTheme="majorHAnsi" w:hAnsiTheme="majorHAnsi"/>
          <w:sz w:val="18"/>
          <w:szCs w:val="18"/>
          <w:lang w:val="es-ES_tradnl"/>
        </w:rPr>
      </w:pPr>
      <w:r w:rsidRPr="00331369">
        <w:rPr>
          <w:rFonts w:asciiTheme="majorHAnsi" w:hAnsiTheme="majorHAnsi"/>
          <w:sz w:val="18"/>
          <w:szCs w:val="18"/>
          <w:lang w:val="es-ES_tradnl"/>
        </w:rPr>
        <w:t>JUAN LUIS RIVERA MATUS Y OTROS</w:t>
      </w:r>
    </w:p>
    <w:p w:rsidR="0070697F" w:rsidRPr="00331369" w:rsidRDefault="00615204" w:rsidP="00C64463">
      <w:pPr>
        <w:tabs>
          <w:tab w:val="center" w:pos="5400"/>
        </w:tabs>
        <w:suppressAutoHyphens/>
        <w:jc w:val="center"/>
        <w:rPr>
          <w:rFonts w:asciiTheme="majorHAnsi" w:hAnsiTheme="majorHAnsi"/>
          <w:sz w:val="18"/>
          <w:szCs w:val="18"/>
          <w:lang w:val="es-ES_tradnl"/>
        </w:rPr>
      </w:pPr>
      <w:r w:rsidRPr="00331369">
        <w:rPr>
          <w:rFonts w:asciiTheme="majorHAnsi" w:hAnsiTheme="majorHAnsi"/>
          <w:sz w:val="18"/>
          <w:szCs w:val="18"/>
          <w:lang w:val="es-ES_tradnl"/>
        </w:rPr>
        <w:t>CHILE</w:t>
      </w:r>
    </w:p>
    <w:p w:rsidR="00722C9F" w:rsidRPr="00331369" w:rsidRDefault="00EF487E" w:rsidP="00C64463">
      <w:pPr>
        <w:tabs>
          <w:tab w:val="center" w:pos="5400"/>
        </w:tabs>
        <w:suppressAutoHyphens/>
        <w:jc w:val="center"/>
        <w:rPr>
          <w:rFonts w:asciiTheme="majorHAnsi" w:hAnsiTheme="majorHAnsi"/>
          <w:sz w:val="18"/>
          <w:szCs w:val="18"/>
          <w:lang w:val="es-ES_tradnl"/>
        </w:rPr>
      </w:pPr>
      <w:r>
        <w:rPr>
          <w:rFonts w:asciiTheme="majorHAnsi" w:hAnsiTheme="majorHAnsi"/>
          <w:sz w:val="18"/>
          <w:szCs w:val="18"/>
          <w:lang w:val="es-ES_tradnl"/>
        </w:rPr>
        <w:t>6 DE DICIEMBRE DE 2016</w:t>
      </w:r>
    </w:p>
    <w:p w:rsidR="00722C9F" w:rsidRPr="00F84AB1" w:rsidRDefault="00722C9F" w:rsidP="00C64463">
      <w:pPr>
        <w:tabs>
          <w:tab w:val="center" w:pos="5400"/>
        </w:tabs>
        <w:suppressAutoHyphens/>
        <w:jc w:val="both"/>
        <w:rPr>
          <w:rFonts w:asciiTheme="majorHAnsi" w:hAnsiTheme="majorHAnsi"/>
          <w:sz w:val="20"/>
          <w:szCs w:val="20"/>
          <w:lang w:val="es-ES_tradnl"/>
        </w:rPr>
      </w:pPr>
    </w:p>
    <w:p w:rsidR="00547D7F" w:rsidRPr="00F84AB1" w:rsidRDefault="00547D7F" w:rsidP="00C64463">
      <w:pPr>
        <w:tabs>
          <w:tab w:val="center" w:pos="5400"/>
        </w:tabs>
        <w:suppressAutoHyphens/>
        <w:jc w:val="both"/>
        <w:rPr>
          <w:rFonts w:asciiTheme="majorHAnsi" w:hAnsiTheme="majorHAnsi"/>
          <w:sz w:val="20"/>
          <w:szCs w:val="20"/>
          <w:lang w:val="es-ES_tradnl"/>
        </w:rPr>
      </w:pPr>
    </w:p>
    <w:p w:rsidR="0063685A" w:rsidRPr="00F84AB1" w:rsidRDefault="0063685A" w:rsidP="00C64463">
      <w:pPr>
        <w:spacing w:after="240"/>
        <w:ind w:firstLine="720"/>
        <w:jc w:val="both"/>
        <w:rPr>
          <w:rFonts w:asciiTheme="majorHAnsi" w:hAnsiTheme="majorHAnsi"/>
          <w:b/>
          <w:bCs/>
          <w:sz w:val="20"/>
          <w:szCs w:val="20"/>
          <w:lang w:val="es-UY"/>
        </w:rPr>
      </w:pPr>
      <w:r w:rsidRPr="00F84AB1">
        <w:rPr>
          <w:rFonts w:asciiTheme="majorHAnsi" w:hAnsiTheme="majorHAnsi"/>
          <w:b/>
          <w:bCs/>
          <w:sz w:val="20"/>
          <w:szCs w:val="20"/>
          <w:lang w:val="es-UY"/>
        </w:rPr>
        <w:t>I.</w:t>
      </w:r>
      <w:r w:rsidRPr="00F84AB1">
        <w:rPr>
          <w:rFonts w:asciiTheme="majorHAnsi" w:hAnsiTheme="majorHAnsi"/>
          <w:b/>
          <w:bCs/>
          <w:sz w:val="20"/>
          <w:szCs w:val="20"/>
          <w:lang w:val="es-UY"/>
        </w:rPr>
        <w:tab/>
        <w:t>RESUMEN</w:t>
      </w:r>
    </w:p>
    <w:p w:rsidR="00B80FC7" w:rsidRPr="00F84AB1" w:rsidRDefault="00923BF7" w:rsidP="004065A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hAnsiTheme="majorHAnsi"/>
          <w:sz w:val="20"/>
          <w:szCs w:val="20"/>
          <w:lang w:val="es-ES"/>
        </w:rPr>
        <w:t xml:space="preserve">El </w:t>
      </w:r>
      <w:r w:rsidR="008D22A4" w:rsidRPr="00F84AB1">
        <w:rPr>
          <w:rFonts w:asciiTheme="majorHAnsi" w:hAnsiTheme="majorHAnsi"/>
          <w:sz w:val="20"/>
          <w:szCs w:val="20"/>
          <w:lang w:val="es-ES"/>
        </w:rPr>
        <w:t>28 de enero de 2008</w:t>
      </w:r>
      <w:r w:rsidR="00C93ABC" w:rsidRPr="00F84AB1">
        <w:rPr>
          <w:rFonts w:asciiTheme="majorHAnsi" w:hAnsiTheme="majorHAnsi"/>
          <w:sz w:val="20"/>
          <w:szCs w:val="20"/>
          <w:lang w:val="es-ES"/>
        </w:rPr>
        <w:t>,</w:t>
      </w:r>
      <w:r w:rsidRPr="00F84AB1">
        <w:rPr>
          <w:rFonts w:asciiTheme="majorHAnsi" w:hAnsiTheme="majorHAnsi"/>
          <w:sz w:val="20"/>
          <w:szCs w:val="20"/>
          <w:lang w:val="es-ES"/>
        </w:rPr>
        <w:t xml:space="preserve"> la Comisión Interamericana de Derechos Humanos (en adelante, “la Comisión Interamericana”, “la Comisión” o “la CIDH”) recibió </w:t>
      </w:r>
      <w:r w:rsidR="00B02757" w:rsidRPr="00F84AB1">
        <w:rPr>
          <w:rFonts w:asciiTheme="majorHAnsi" w:hAnsiTheme="majorHAnsi"/>
          <w:sz w:val="20"/>
          <w:szCs w:val="20"/>
          <w:lang w:val="es-UY"/>
        </w:rPr>
        <w:t xml:space="preserve">una denuncia presentada por </w:t>
      </w:r>
      <w:r w:rsidR="00B02757" w:rsidRPr="00F84AB1">
        <w:rPr>
          <w:rFonts w:asciiTheme="majorHAnsi" w:hAnsiTheme="majorHAnsi"/>
          <w:sz w:val="20"/>
          <w:szCs w:val="20"/>
          <w:lang w:val="es-ES"/>
        </w:rPr>
        <w:t>la Corporación Agrupación de Familiares de Detenidos Desaparecidos (</w:t>
      </w:r>
      <w:r w:rsidR="00B02757" w:rsidRPr="00F84AB1">
        <w:rPr>
          <w:rFonts w:asciiTheme="majorHAnsi" w:hAnsiTheme="majorHAnsi"/>
          <w:sz w:val="20"/>
          <w:szCs w:val="20"/>
          <w:lang w:val="es-UY"/>
        </w:rPr>
        <w:t>en adelante, “AFDD”), y un grupo de abogadas y abogados</w:t>
      </w:r>
      <w:r w:rsidR="00B02757" w:rsidRPr="00F84AB1">
        <w:rPr>
          <w:rStyle w:val="FootnoteReference"/>
          <w:rFonts w:asciiTheme="majorHAnsi" w:hAnsiTheme="majorHAnsi" w:cs="Cambria"/>
          <w:color w:val="000000"/>
          <w:sz w:val="20"/>
          <w:szCs w:val="20"/>
          <w:lang w:val="es-ES" w:eastAsia="es-ES"/>
        </w:rPr>
        <w:footnoteReference w:id="2"/>
      </w:r>
      <w:r w:rsidR="00B02757" w:rsidRPr="00F84AB1">
        <w:rPr>
          <w:rFonts w:asciiTheme="majorHAnsi" w:hAnsiTheme="majorHAnsi"/>
          <w:sz w:val="20"/>
          <w:szCs w:val="20"/>
          <w:lang w:val="es-UY"/>
        </w:rPr>
        <w:t xml:space="preserve"> (en adelante, “los peticionarios”)</w:t>
      </w:r>
      <w:r w:rsidRPr="00F84AB1">
        <w:rPr>
          <w:rFonts w:asciiTheme="majorHAnsi" w:hAnsiTheme="majorHAnsi"/>
          <w:sz w:val="20"/>
          <w:szCs w:val="20"/>
          <w:lang w:val="es-ES"/>
        </w:rPr>
        <w:t xml:space="preserve"> contra Chile (en adelante, “Chile” o “el Estado”)</w:t>
      </w:r>
      <w:r w:rsidR="006137E5" w:rsidRPr="00F84AB1">
        <w:rPr>
          <w:rFonts w:asciiTheme="majorHAnsi" w:hAnsiTheme="majorHAnsi"/>
          <w:sz w:val="20"/>
          <w:szCs w:val="20"/>
          <w:lang w:val="es-ES"/>
        </w:rPr>
        <w:t xml:space="preserve">, en favor </w:t>
      </w:r>
      <w:r w:rsidRPr="00F84AB1">
        <w:rPr>
          <w:rFonts w:asciiTheme="majorHAnsi" w:hAnsiTheme="majorHAnsi"/>
          <w:sz w:val="20"/>
          <w:szCs w:val="20"/>
          <w:lang w:val="es-ES"/>
        </w:rPr>
        <w:t>del señor Juan Luis Rivera Matus (en adelante, “la presunta víctima” o “el señor Rivera”)</w:t>
      </w:r>
      <w:r w:rsidR="00B02757" w:rsidRPr="00F84AB1">
        <w:rPr>
          <w:rFonts w:asciiTheme="majorHAnsi" w:hAnsiTheme="majorHAnsi"/>
          <w:sz w:val="20"/>
          <w:szCs w:val="20"/>
          <w:lang w:val="es-ES"/>
        </w:rPr>
        <w:t xml:space="preserve"> y sus familiares</w:t>
      </w:r>
      <w:r w:rsidR="0063685A" w:rsidRPr="00F84AB1">
        <w:rPr>
          <w:rFonts w:asciiTheme="majorHAnsi" w:hAnsiTheme="majorHAnsi"/>
          <w:sz w:val="20"/>
          <w:szCs w:val="20"/>
          <w:lang w:val="es-UY"/>
        </w:rPr>
        <w:t xml:space="preserve">. </w:t>
      </w:r>
      <w:r w:rsidR="00827459" w:rsidRPr="00F84AB1">
        <w:rPr>
          <w:rFonts w:asciiTheme="majorHAnsi" w:hAnsiTheme="majorHAnsi"/>
          <w:sz w:val="20"/>
          <w:szCs w:val="20"/>
          <w:lang w:val="es-UY"/>
        </w:rPr>
        <w:t>Posteriormente la Comisión recibió 1</w:t>
      </w:r>
      <w:r w:rsidR="00F1354D" w:rsidRPr="00F84AB1">
        <w:rPr>
          <w:rFonts w:asciiTheme="majorHAnsi" w:hAnsiTheme="majorHAnsi"/>
          <w:sz w:val="20"/>
          <w:szCs w:val="20"/>
          <w:lang w:val="es-UY"/>
        </w:rPr>
        <w:t>3</w:t>
      </w:r>
      <w:r w:rsidR="00827459" w:rsidRPr="00F84AB1">
        <w:rPr>
          <w:rFonts w:asciiTheme="majorHAnsi" w:hAnsiTheme="majorHAnsi"/>
          <w:sz w:val="20"/>
          <w:szCs w:val="20"/>
          <w:lang w:val="es-UY"/>
        </w:rPr>
        <w:t xml:space="preserve"> nuevas denuncias, presentadas por los mismos peticionarios</w:t>
      </w:r>
      <w:r w:rsidR="004D66D6" w:rsidRPr="00F84AB1">
        <w:rPr>
          <w:rFonts w:asciiTheme="majorHAnsi" w:hAnsiTheme="majorHAnsi"/>
          <w:sz w:val="20"/>
          <w:szCs w:val="20"/>
          <w:lang w:val="es-UY"/>
        </w:rPr>
        <w:t xml:space="preserve"> y la Federación Internacional de Derechos Humanos</w:t>
      </w:r>
      <w:r w:rsidR="009C3537" w:rsidRPr="00F84AB1">
        <w:rPr>
          <w:rFonts w:asciiTheme="majorHAnsi" w:hAnsiTheme="majorHAnsi"/>
          <w:sz w:val="20"/>
          <w:szCs w:val="20"/>
          <w:lang w:val="es-UY"/>
        </w:rPr>
        <w:t>, respecto de las cuales solicitaban ampliación de denuncia</w:t>
      </w:r>
      <w:r w:rsidR="00F1354D" w:rsidRPr="00F84AB1">
        <w:rPr>
          <w:rFonts w:asciiTheme="majorHAnsi" w:hAnsiTheme="majorHAnsi"/>
          <w:sz w:val="20"/>
          <w:szCs w:val="20"/>
          <w:lang w:val="es-UY"/>
        </w:rPr>
        <w:t>. En total, las 14</w:t>
      </w:r>
      <w:r w:rsidR="00827459" w:rsidRPr="00F84AB1">
        <w:rPr>
          <w:rFonts w:asciiTheme="majorHAnsi" w:hAnsiTheme="majorHAnsi"/>
          <w:sz w:val="20"/>
          <w:szCs w:val="20"/>
          <w:lang w:val="es-UY"/>
        </w:rPr>
        <w:t xml:space="preserve"> denuncias fueron p</w:t>
      </w:r>
      <w:r w:rsidR="0063685A" w:rsidRPr="00F84AB1">
        <w:rPr>
          <w:rFonts w:asciiTheme="majorHAnsi" w:hAnsiTheme="majorHAnsi"/>
          <w:sz w:val="20"/>
          <w:szCs w:val="20"/>
          <w:lang w:val="es-UY"/>
        </w:rPr>
        <w:t>resentada</w:t>
      </w:r>
      <w:r w:rsidR="00827459" w:rsidRPr="00F84AB1">
        <w:rPr>
          <w:rFonts w:asciiTheme="majorHAnsi" w:hAnsiTheme="majorHAnsi"/>
          <w:sz w:val="20"/>
          <w:szCs w:val="20"/>
          <w:lang w:val="es-UY"/>
        </w:rPr>
        <w:t>s</w:t>
      </w:r>
      <w:r w:rsidR="0063685A" w:rsidRPr="00F84AB1">
        <w:rPr>
          <w:rFonts w:asciiTheme="majorHAnsi" w:hAnsiTheme="majorHAnsi"/>
          <w:sz w:val="20"/>
          <w:szCs w:val="20"/>
          <w:lang w:val="es-UY"/>
        </w:rPr>
        <w:t xml:space="preserve"> en representación de </w:t>
      </w:r>
      <w:r w:rsidR="00251C98" w:rsidRPr="00F84AB1">
        <w:rPr>
          <w:rFonts w:asciiTheme="majorHAnsi" w:hAnsiTheme="majorHAnsi"/>
          <w:sz w:val="20"/>
          <w:szCs w:val="20"/>
          <w:lang w:val="es-UY"/>
        </w:rPr>
        <w:t xml:space="preserve">las familias de </w:t>
      </w:r>
      <w:r w:rsidR="00F1354D" w:rsidRPr="00F84AB1">
        <w:rPr>
          <w:rFonts w:asciiTheme="majorHAnsi" w:hAnsiTheme="majorHAnsi"/>
          <w:sz w:val="20"/>
          <w:szCs w:val="20"/>
          <w:lang w:val="es-UY"/>
        </w:rPr>
        <w:t>4</w:t>
      </w:r>
      <w:r w:rsidR="002162DD" w:rsidRPr="00F84AB1">
        <w:rPr>
          <w:rFonts w:asciiTheme="majorHAnsi" w:hAnsiTheme="majorHAnsi"/>
          <w:sz w:val="20"/>
          <w:szCs w:val="20"/>
          <w:lang w:val="es-UY"/>
        </w:rPr>
        <w:t>8</w:t>
      </w:r>
      <w:r w:rsidR="00ED3CE0" w:rsidRPr="00F84AB1">
        <w:rPr>
          <w:rFonts w:asciiTheme="majorHAnsi" w:hAnsiTheme="majorHAnsi"/>
          <w:sz w:val="20"/>
          <w:szCs w:val="20"/>
          <w:lang w:val="es-UY"/>
        </w:rPr>
        <w:t xml:space="preserve"> personas, </w:t>
      </w:r>
      <w:r w:rsidR="00EE614E" w:rsidRPr="00F84AB1">
        <w:rPr>
          <w:rFonts w:asciiTheme="majorHAnsi" w:hAnsiTheme="majorHAnsi"/>
          <w:sz w:val="20"/>
          <w:szCs w:val="20"/>
          <w:lang w:val="es-UY"/>
        </w:rPr>
        <w:t xml:space="preserve">para incorporar a otras presuntas víctimas, </w:t>
      </w:r>
      <w:r w:rsidR="00ED3CE0" w:rsidRPr="00F84AB1">
        <w:rPr>
          <w:rFonts w:asciiTheme="majorHAnsi" w:hAnsiTheme="majorHAnsi"/>
          <w:sz w:val="20"/>
          <w:szCs w:val="20"/>
          <w:lang w:val="es-UY"/>
        </w:rPr>
        <w:t xml:space="preserve">quienes </w:t>
      </w:r>
      <w:r w:rsidR="00827459" w:rsidRPr="00F84AB1">
        <w:rPr>
          <w:rFonts w:asciiTheme="majorHAnsi" w:hAnsiTheme="majorHAnsi"/>
          <w:sz w:val="20"/>
          <w:szCs w:val="20"/>
          <w:lang w:val="es-UY"/>
        </w:rPr>
        <w:t>refieren son víctim</w:t>
      </w:r>
      <w:r w:rsidR="009C3537" w:rsidRPr="00F84AB1">
        <w:rPr>
          <w:rFonts w:asciiTheme="majorHAnsi" w:hAnsiTheme="majorHAnsi"/>
          <w:sz w:val="20"/>
          <w:szCs w:val="20"/>
          <w:lang w:val="es-UY"/>
        </w:rPr>
        <w:t>a</w:t>
      </w:r>
      <w:r w:rsidR="00827459" w:rsidRPr="00F84AB1">
        <w:rPr>
          <w:rFonts w:asciiTheme="majorHAnsi" w:hAnsiTheme="majorHAnsi"/>
          <w:sz w:val="20"/>
          <w:szCs w:val="20"/>
          <w:lang w:val="es-UY"/>
        </w:rPr>
        <w:t>s de crímenes de lesa humanidad, siendo</w:t>
      </w:r>
      <w:r w:rsidR="00ED3CE0" w:rsidRPr="00F84AB1">
        <w:rPr>
          <w:rFonts w:asciiTheme="majorHAnsi" w:hAnsiTheme="majorHAnsi"/>
          <w:sz w:val="20"/>
          <w:szCs w:val="20"/>
          <w:lang w:val="es-UY"/>
        </w:rPr>
        <w:t xml:space="preserve"> detenidos desaparecidos o ejecutados políticos en el periodo de la dictadura militar chilena</w:t>
      </w:r>
      <w:r w:rsidR="0063685A" w:rsidRPr="00F84AB1">
        <w:rPr>
          <w:rFonts w:asciiTheme="majorHAnsi" w:hAnsiTheme="majorHAnsi"/>
          <w:sz w:val="20"/>
          <w:szCs w:val="20"/>
          <w:lang w:val="es-UY"/>
        </w:rPr>
        <w:t xml:space="preserve"> (en adelante, “la</w:t>
      </w:r>
      <w:r w:rsidR="00251C98" w:rsidRPr="00F84AB1">
        <w:rPr>
          <w:rFonts w:asciiTheme="majorHAnsi" w:hAnsiTheme="majorHAnsi"/>
          <w:sz w:val="20"/>
          <w:szCs w:val="20"/>
          <w:lang w:val="es-UY"/>
        </w:rPr>
        <w:t>s</w:t>
      </w:r>
      <w:r w:rsidR="0063685A" w:rsidRPr="00F84AB1">
        <w:rPr>
          <w:rFonts w:asciiTheme="majorHAnsi" w:hAnsiTheme="majorHAnsi"/>
          <w:sz w:val="20"/>
          <w:szCs w:val="20"/>
          <w:lang w:val="es-UY"/>
        </w:rPr>
        <w:t xml:space="preserve"> presunta</w:t>
      </w:r>
      <w:r w:rsidR="00251C98" w:rsidRPr="00F84AB1">
        <w:rPr>
          <w:rFonts w:asciiTheme="majorHAnsi" w:hAnsiTheme="majorHAnsi"/>
          <w:sz w:val="20"/>
          <w:szCs w:val="20"/>
          <w:lang w:val="es-UY"/>
        </w:rPr>
        <w:t>s</w:t>
      </w:r>
      <w:r w:rsidR="0063685A" w:rsidRPr="00F84AB1">
        <w:rPr>
          <w:rFonts w:asciiTheme="majorHAnsi" w:hAnsiTheme="majorHAnsi"/>
          <w:sz w:val="20"/>
          <w:szCs w:val="20"/>
          <w:lang w:val="es-UY"/>
        </w:rPr>
        <w:t xml:space="preserve"> víctima</w:t>
      </w:r>
      <w:r w:rsidR="00251C98" w:rsidRPr="00F84AB1">
        <w:rPr>
          <w:rFonts w:asciiTheme="majorHAnsi" w:hAnsiTheme="majorHAnsi"/>
          <w:sz w:val="20"/>
          <w:szCs w:val="20"/>
          <w:lang w:val="es-UY"/>
        </w:rPr>
        <w:t>s</w:t>
      </w:r>
      <w:r w:rsidR="0063685A" w:rsidRPr="00F84AB1">
        <w:rPr>
          <w:rFonts w:asciiTheme="majorHAnsi" w:hAnsiTheme="majorHAnsi"/>
          <w:sz w:val="20"/>
          <w:szCs w:val="20"/>
          <w:lang w:val="es-UY"/>
        </w:rPr>
        <w:t>”)</w:t>
      </w:r>
      <w:r w:rsidR="00251C98" w:rsidRPr="00F84AB1">
        <w:rPr>
          <w:rFonts w:asciiTheme="majorHAnsi" w:hAnsiTheme="majorHAnsi"/>
          <w:sz w:val="20"/>
          <w:szCs w:val="20"/>
          <w:lang w:val="es-UY"/>
        </w:rPr>
        <w:t xml:space="preserve">. </w:t>
      </w:r>
      <w:r w:rsidR="00251C98" w:rsidRPr="00F84AB1">
        <w:rPr>
          <w:rFonts w:asciiTheme="majorHAnsi" w:hAnsiTheme="majorHAnsi"/>
          <w:sz w:val="20"/>
          <w:szCs w:val="20"/>
          <w:lang w:val="es-ES"/>
        </w:rPr>
        <w:t>En esta</w:t>
      </w:r>
      <w:r w:rsidR="00827459" w:rsidRPr="00F84AB1">
        <w:rPr>
          <w:rFonts w:asciiTheme="majorHAnsi" w:hAnsiTheme="majorHAnsi"/>
          <w:sz w:val="20"/>
          <w:szCs w:val="20"/>
          <w:lang w:val="es-ES"/>
        </w:rPr>
        <w:t>s</w:t>
      </w:r>
      <w:r w:rsidR="00251C98" w:rsidRPr="00F84AB1">
        <w:rPr>
          <w:rFonts w:asciiTheme="majorHAnsi" w:hAnsiTheme="majorHAnsi"/>
          <w:sz w:val="20"/>
          <w:szCs w:val="20"/>
          <w:lang w:val="es-ES"/>
        </w:rPr>
        <w:t xml:space="preserve"> denuncia</w:t>
      </w:r>
      <w:r w:rsidR="00827459" w:rsidRPr="00F84AB1">
        <w:rPr>
          <w:rFonts w:asciiTheme="majorHAnsi" w:hAnsiTheme="majorHAnsi"/>
          <w:sz w:val="20"/>
          <w:szCs w:val="20"/>
          <w:lang w:val="es-ES"/>
        </w:rPr>
        <w:t>s</w:t>
      </w:r>
      <w:r w:rsidR="004065A9" w:rsidRPr="00F84AB1">
        <w:rPr>
          <w:rFonts w:asciiTheme="majorHAnsi" w:hAnsiTheme="majorHAnsi"/>
          <w:sz w:val="20"/>
          <w:szCs w:val="20"/>
          <w:lang w:val="es-ES"/>
        </w:rPr>
        <w:t>,</w:t>
      </w:r>
      <w:r w:rsidR="00827459" w:rsidRPr="00F84AB1">
        <w:rPr>
          <w:rFonts w:asciiTheme="majorHAnsi" w:hAnsiTheme="majorHAnsi"/>
          <w:sz w:val="20"/>
          <w:szCs w:val="20"/>
          <w:lang w:val="es-ES"/>
        </w:rPr>
        <w:t xml:space="preserve"> se alega</w:t>
      </w:r>
      <w:r w:rsidR="00251C98" w:rsidRPr="00F84AB1">
        <w:rPr>
          <w:rFonts w:asciiTheme="majorHAnsi" w:hAnsiTheme="majorHAnsi"/>
          <w:sz w:val="20"/>
          <w:szCs w:val="20"/>
          <w:lang w:val="es-ES"/>
        </w:rPr>
        <w:t xml:space="preserve"> la responsabilidad internacional del Estado de Chile por la presunta violación de derechos consagrados en los artículos </w:t>
      </w:r>
      <w:r w:rsidR="00251C98" w:rsidRPr="00F84AB1">
        <w:rPr>
          <w:rFonts w:asciiTheme="majorHAnsi" w:eastAsia="SimSun" w:hAnsiTheme="majorHAnsi"/>
          <w:sz w:val="20"/>
          <w:szCs w:val="20"/>
          <w:lang w:val="es-ES"/>
        </w:rPr>
        <w:t>1 (obligación de respetar los derechos), 8 (garantías judiciales), y 25 (protección judicial) de la Convención Americana</w:t>
      </w:r>
      <w:r w:rsidR="00565DFF" w:rsidRPr="00F84AB1">
        <w:rPr>
          <w:rFonts w:asciiTheme="majorHAnsi" w:eastAsia="SimSun" w:hAnsiTheme="majorHAnsi"/>
          <w:sz w:val="20"/>
          <w:szCs w:val="20"/>
          <w:lang w:val="es-ES"/>
        </w:rPr>
        <w:t xml:space="preserve"> sobre Derechos Humanos </w:t>
      </w:r>
      <w:r w:rsidR="00565DFF" w:rsidRPr="00F84AB1">
        <w:rPr>
          <w:rFonts w:asciiTheme="majorHAnsi" w:hAnsiTheme="majorHAnsi"/>
          <w:sz w:val="20"/>
          <w:szCs w:val="20"/>
          <w:lang w:val="es-ES"/>
        </w:rPr>
        <w:t>(en adelante, "la Convención Americana" o "la Convención"),</w:t>
      </w:r>
      <w:r w:rsidR="00251C98" w:rsidRPr="00F84AB1">
        <w:rPr>
          <w:rFonts w:asciiTheme="majorHAnsi" w:eastAsia="SimSun" w:hAnsiTheme="majorHAnsi"/>
          <w:sz w:val="20"/>
          <w:szCs w:val="20"/>
          <w:lang w:val="es-ES"/>
        </w:rPr>
        <w:t xml:space="preserve"> en perjuicio de la</w:t>
      </w:r>
      <w:r w:rsidR="00241D01" w:rsidRPr="00F84AB1">
        <w:rPr>
          <w:rFonts w:asciiTheme="majorHAnsi" w:eastAsia="SimSun" w:hAnsiTheme="majorHAnsi"/>
          <w:sz w:val="20"/>
          <w:szCs w:val="20"/>
          <w:lang w:val="es-ES"/>
        </w:rPr>
        <w:t>s</w:t>
      </w:r>
      <w:r w:rsidR="00251C98" w:rsidRPr="00F84AB1">
        <w:rPr>
          <w:rFonts w:asciiTheme="majorHAnsi" w:eastAsia="SimSun" w:hAnsiTheme="majorHAnsi"/>
          <w:sz w:val="20"/>
          <w:szCs w:val="20"/>
          <w:lang w:val="es-ES"/>
        </w:rPr>
        <w:t xml:space="preserve"> presunta</w:t>
      </w:r>
      <w:r w:rsidR="00241D01" w:rsidRPr="00F84AB1">
        <w:rPr>
          <w:rFonts w:asciiTheme="majorHAnsi" w:eastAsia="SimSun" w:hAnsiTheme="majorHAnsi"/>
          <w:sz w:val="20"/>
          <w:szCs w:val="20"/>
          <w:lang w:val="es-ES"/>
        </w:rPr>
        <w:t>s</w:t>
      </w:r>
      <w:r w:rsidR="00251C98" w:rsidRPr="00F84AB1">
        <w:rPr>
          <w:rFonts w:asciiTheme="majorHAnsi" w:eastAsia="SimSun" w:hAnsiTheme="majorHAnsi"/>
          <w:sz w:val="20"/>
          <w:szCs w:val="20"/>
          <w:lang w:val="es-ES"/>
        </w:rPr>
        <w:t xml:space="preserve"> víctima</w:t>
      </w:r>
      <w:r w:rsidR="00241D01" w:rsidRPr="00F84AB1">
        <w:rPr>
          <w:rFonts w:asciiTheme="majorHAnsi" w:eastAsia="SimSun" w:hAnsiTheme="majorHAnsi"/>
          <w:sz w:val="20"/>
          <w:szCs w:val="20"/>
          <w:lang w:val="es-ES"/>
        </w:rPr>
        <w:t>s</w:t>
      </w:r>
      <w:r w:rsidR="00251C98" w:rsidRPr="00F84AB1">
        <w:rPr>
          <w:rFonts w:asciiTheme="majorHAnsi" w:eastAsia="SimSun" w:hAnsiTheme="majorHAnsi"/>
          <w:sz w:val="20"/>
          <w:szCs w:val="20"/>
          <w:lang w:val="es-ES"/>
        </w:rPr>
        <w:t xml:space="preserve"> y sus familiares. </w:t>
      </w:r>
    </w:p>
    <w:p w:rsidR="0063685A" w:rsidRPr="00F84AB1" w:rsidRDefault="00EA5DF7"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es-UY"/>
        </w:rPr>
      </w:pPr>
      <w:r w:rsidRPr="00F84AB1">
        <w:rPr>
          <w:rFonts w:asciiTheme="majorHAnsi" w:eastAsia="SimSun" w:hAnsiTheme="majorHAnsi"/>
          <w:sz w:val="20"/>
          <w:szCs w:val="20"/>
          <w:lang w:val="es-ES"/>
        </w:rPr>
        <w:t>En las referidas denuncias, l</w:t>
      </w:r>
      <w:r w:rsidR="009F0445" w:rsidRPr="00F84AB1">
        <w:rPr>
          <w:rFonts w:asciiTheme="majorHAnsi" w:eastAsia="SimSun" w:hAnsiTheme="majorHAnsi"/>
          <w:sz w:val="20"/>
          <w:szCs w:val="20"/>
          <w:lang w:val="es-ES"/>
        </w:rPr>
        <w:t>os</w:t>
      </w:r>
      <w:r w:rsidR="0063685A" w:rsidRPr="00F84AB1">
        <w:rPr>
          <w:rFonts w:asciiTheme="majorHAnsi" w:eastAsia="SimSun" w:hAnsiTheme="majorHAnsi"/>
          <w:sz w:val="20"/>
          <w:szCs w:val="20"/>
          <w:lang w:val="es-ES"/>
        </w:rPr>
        <w:t xml:space="preserve"> peticionari</w:t>
      </w:r>
      <w:r w:rsidR="009F0445" w:rsidRPr="00F84AB1">
        <w:rPr>
          <w:rFonts w:asciiTheme="majorHAnsi" w:eastAsia="SimSun" w:hAnsiTheme="majorHAnsi"/>
          <w:sz w:val="20"/>
          <w:szCs w:val="20"/>
          <w:lang w:val="es-ES"/>
        </w:rPr>
        <w:t>os</w:t>
      </w:r>
      <w:r w:rsidR="0063685A" w:rsidRPr="00F84AB1">
        <w:rPr>
          <w:rFonts w:asciiTheme="majorHAnsi" w:eastAsia="SimSun" w:hAnsiTheme="majorHAnsi"/>
          <w:sz w:val="20"/>
          <w:szCs w:val="20"/>
          <w:lang w:val="es-ES"/>
        </w:rPr>
        <w:t xml:space="preserve"> </w:t>
      </w:r>
      <w:r w:rsidR="008341B0" w:rsidRPr="00F84AB1">
        <w:rPr>
          <w:rFonts w:asciiTheme="majorHAnsi" w:eastAsia="SimSun" w:hAnsiTheme="majorHAnsi"/>
          <w:sz w:val="20"/>
          <w:szCs w:val="20"/>
          <w:lang w:val="es-ES"/>
        </w:rPr>
        <w:t>alegan</w:t>
      </w:r>
      <w:r w:rsidR="0063685A" w:rsidRPr="00F84AB1">
        <w:rPr>
          <w:rFonts w:asciiTheme="majorHAnsi" w:eastAsia="SimSun" w:hAnsiTheme="majorHAnsi"/>
          <w:sz w:val="20"/>
          <w:szCs w:val="20"/>
          <w:lang w:val="es-ES"/>
        </w:rPr>
        <w:t xml:space="preserve"> </w:t>
      </w:r>
      <w:r w:rsidRPr="00F84AB1">
        <w:rPr>
          <w:rFonts w:asciiTheme="majorHAnsi" w:eastAsia="SimSun" w:hAnsiTheme="majorHAnsi"/>
          <w:sz w:val="20"/>
          <w:szCs w:val="20"/>
          <w:lang w:val="es-ES"/>
        </w:rPr>
        <w:t xml:space="preserve">que </w:t>
      </w:r>
      <w:r w:rsidR="008A1F80" w:rsidRPr="00F84AB1">
        <w:rPr>
          <w:rFonts w:asciiTheme="majorHAnsi" w:eastAsia="SimSun" w:hAnsiTheme="majorHAnsi"/>
          <w:sz w:val="20"/>
          <w:szCs w:val="20"/>
          <w:lang w:val="es-ES"/>
        </w:rPr>
        <w:t>la respon</w:t>
      </w:r>
      <w:r w:rsidR="00061918" w:rsidRPr="00F84AB1">
        <w:rPr>
          <w:rFonts w:asciiTheme="majorHAnsi" w:eastAsia="SimSun" w:hAnsiTheme="majorHAnsi"/>
          <w:sz w:val="20"/>
          <w:szCs w:val="20"/>
          <w:lang w:val="es-ES"/>
        </w:rPr>
        <w:t>sabilidad del Estado se genera</w:t>
      </w:r>
      <w:r w:rsidR="008A1F80" w:rsidRPr="00F84AB1">
        <w:rPr>
          <w:rFonts w:asciiTheme="majorHAnsi" w:eastAsia="SimSun" w:hAnsiTheme="majorHAnsi"/>
          <w:sz w:val="20"/>
          <w:szCs w:val="20"/>
          <w:lang w:val="es-ES"/>
        </w:rPr>
        <w:t xml:space="preserve"> </w:t>
      </w:r>
      <w:r w:rsidR="00B73DD4" w:rsidRPr="00F84AB1">
        <w:rPr>
          <w:rFonts w:asciiTheme="majorHAnsi" w:eastAsia="SimSun" w:hAnsiTheme="majorHAnsi"/>
          <w:sz w:val="20"/>
          <w:szCs w:val="20"/>
          <w:lang w:val="es-ES"/>
        </w:rPr>
        <w:t xml:space="preserve">como </w:t>
      </w:r>
      <w:r w:rsidR="008A1F80" w:rsidRPr="00F84AB1">
        <w:rPr>
          <w:rFonts w:asciiTheme="majorHAnsi" w:eastAsia="SimSun" w:hAnsiTheme="majorHAnsi"/>
          <w:sz w:val="20"/>
          <w:szCs w:val="20"/>
          <w:lang w:val="es-ES"/>
        </w:rPr>
        <w:t xml:space="preserve">consecuencia de </w:t>
      </w:r>
      <w:r w:rsidR="00993166" w:rsidRPr="00F84AB1">
        <w:rPr>
          <w:rFonts w:asciiTheme="majorHAnsi" w:eastAsia="SimSun" w:hAnsiTheme="majorHAnsi"/>
          <w:sz w:val="20"/>
          <w:szCs w:val="20"/>
          <w:lang w:val="es-ES"/>
        </w:rPr>
        <w:t xml:space="preserve">las </w:t>
      </w:r>
      <w:r w:rsidR="008A1F80" w:rsidRPr="00F84AB1">
        <w:rPr>
          <w:rFonts w:asciiTheme="majorHAnsi" w:eastAsia="SimSun" w:hAnsiTheme="majorHAnsi"/>
          <w:sz w:val="20"/>
          <w:szCs w:val="20"/>
          <w:lang w:val="es-ES"/>
        </w:rPr>
        <w:t>sentencia</w:t>
      </w:r>
      <w:r w:rsidR="00007555" w:rsidRPr="00F84AB1">
        <w:rPr>
          <w:rFonts w:asciiTheme="majorHAnsi" w:eastAsia="SimSun" w:hAnsiTheme="majorHAnsi"/>
          <w:sz w:val="20"/>
          <w:szCs w:val="20"/>
          <w:lang w:val="es-ES"/>
        </w:rPr>
        <w:t>s</w:t>
      </w:r>
      <w:r w:rsidR="008A1F80" w:rsidRPr="00F84AB1">
        <w:rPr>
          <w:rFonts w:asciiTheme="majorHAnsi" w:eastAsia="SimSun" w:hAnsiTheme="majorHAnsi"/>
          <w:sz w:val="20"/>
          <w:szCs w:val="20"/>
          <w:lang w:val="es-ES"/>
        </w:rPr>
        <w:t xml:space="preserve"> emitida</w:t>
      </w:r>
      <w:r w:rsidR="00007555" w:rsidRPr="00F84AB1">
        <w:rPr>
          <w:rFonts w:asciiTheme="majorHAnsi" w:eastAsia="SimSun" w:hAnsiTheme="majorHAnsi"/>
          <w:sz w:val="20"/>
          <w:szCs w:val="20"/>
          <w:lang w:val="es-ES"/>
        </w:rPr>
        <w:t>s</w:t>
      </w:r>
      <w:r w:rsidR="008A1F80" w:rsidRPr="00F84AB1">
        <w:rPr>
          <w:rFonts w:asciiTheme="majorHAnsi" w:eastAsia="SimSun" w:hAnsiTheme="majorHAnsi"/>
          <w:sz w:val="20"/>
          <w:szCs w:val="20"/>
          <w:lang w:val="es-ES"/>
        </w:rPr>
        <w:t xml:space="preserve"> por la Corte Suprema, en el </w:t>
      </w:r>
      <w:r w:rsidR="009C3537" w:rsidRPr="00F84AB1">
        <w:rPr>
          <w:rFonts w:asciiTheme="majorHAnsi" w:eastAsia="SimSun" w:hAnsiTheme="majorHAnsi"/>
          <w:sz w:val="20"/>
          <w:szCs w:val="20"/>
          <w:lang w:val="es-ES"/>
        </w:rPr>
        <w:t>contexto</w:t>
      </w:r>
      <w:r w:rsidR="008A1F80" w:rsidRPr="00F84AB1">
        <w:rPr>
          <w:rFonts w:asciiTheme="majorHAnsi" w:eastAsia="SimSun" w:hAnsiTheme="majorHAnsi"/>
          <w:sz w:val="20"/>
          <w:szCs w:val="20"/>
          <w:lang w:val="es-ES"/>
        </w:rPr>
        <w:t xml:space="preserve"> de la</w:t>
      </w:r>
      <w:r w:rsidR="00993166" w:rsidRPr="00F84AB1">
        <w:rPr>
          <w:rFonts w:asciiTheme="majorHAnsi" w:eastAsia="SimSun" w:hAnsiTheme="majorHAnsi"/>
          <w:sz w:val="20"/>
          <w:szCs w:val="20"/>
          <w:lang w:val="es-ES"/>
        </w:rPr>
        <w:t>s investigaciones</w:t>
      </w:r>
      <w:r w:rsidR="008A1F80" w:rsidRPr="00F84AB1">
        <w:rPr>
          <w:rFonts w:asciiTheme="majorHAnsi" w:eastAsia="SimSun" w:hAnsiTheme="majorHAnsi"/>
          <w:sz w:val="20"/>
          <w:szCs w:val="20"/>
          <w:lang w:val="es-ES"/>
        </w:rPr>
        <w:t xml:space="preserve"> penal</w:t>
      </w:r>
      <w:r w:rsidR="00993166" w:rsidRPr="00F84AB1">
        <w:rPr>
          <w:rFonts w:asciiTheme="majorHAnsi" w:eastAsia="SimSun" w:hAnsiTheme="majorHAnsi"/>
          <w:sz w:val="20"/>
          <w:szCs w:val="20"/>
          <w:lang w:val="es-ES"/>
        </w:rPr>
        <w:t>es</w:t>
      </w:r>
      <w:r w:rsidR="00061918" w:rsidRPr="00F84AB1">
        <w:rPr>
          <w:rFonts w:asciiTheme="majorHAnsi" w:eastAsia="SimSun" w:hAnsiTheme="majorHAnsi"/>
          <w:sz w:val="20"/>
          <w:szCs w:val="20"/>
          <w:lang w:val="es-ES"/>
        </w:rPr>
        <w:t xml:space="preserve"> sobre los hechos que </w:t>
      </w:r>
      <w:r w:rsidR="008A1F80" w:rsidRPr="00F84AB1">
        <w:rPr>
          <w:rFonts w:asciiTheme="majorHAnsi" w:eastAsia="SimSun" w:hAnsiTheme="majorHAnsi"/>
          <w:sz w:val="20"/>
          <w:szCs w:val="20"/>
          <w:lang w:val="es-ES"/>
        </w:rPr>
        <w:t>afecta</w:t>
      </w:r>
      <w:r w:rsidR="00061918" w:rsidRPr="00F84AB1">
        <w:rPr>
          <w:rFonts w:asciiTheme="majorHAnsi" w:eastAsia="SimSun" w:hAnsiTheme="majorHAnsi"/>
          <w:sz w:val="20"/>
          <w:szCs w:val="20"/>
          <w:lang w:val="es-ES"/>
        </w:rPr>
        <w:t>ron</w:t>
      </w:r>
      <w:r w:rsidR="008A1F80" w:rsidRPr="00F84AB1">
        <w:rPr>
          <w:rFonts w:asciiTheme="majorHAnsi" w:eastAsia="SimSun" w:hAnsiTheme="majorHAnsi"/>
          <w:sz w:val="20"/>
          <w:szCs w:val="20"/>
          <w:lang w:val="es-ES"/>
        </w:rPr>
        <w:t xml:space="preserve"> a la</w:t>
      </w:r>
      <w:r w:rsidR="00EA6389" w:rsidRPr="00F84AB1">
        <w:rPr>
          <w:rFonts w:asciiTheme="majorHAnsi" w:eastAsia="SimSun" w:hAnsiTheme="majorHAnsi"/>
          <w:sz w:val="20"/>
          <w:szCs w:val="20"/>
          <w:lang w:val="es-ES"/>
        </w:rPr>
        <w:t>s</w:t>
      </w:r>
      <w:r w:rsidR="008A1F80" w:rsidRPr="00F84AB1">
        <w:rPr>
          <w:rFonts w:asciiTheme="majorHAnsi" w:eastAsia="SimSun" w:hAnsiTheme="majorHAnsi"/>
          <w:sz w:val="20"/>
          <w:szCs w:val="20"/>
          <w:lang w:val="es-ES"/>
        </w:rPr>
        <w:t xml:space="preserve"> presunta</w:t>
      </w:r>
      <w:r w:rsidR="00EA6389" w:rsidRPr="00F84AB1">
        <w:rPr>
          <w:rFonts w:asciiTheme="majorHAnsi" w:eastAsia="SimSun" w:hAnsiTheme="majorHAnsi"/>
          <w:sz w:val="20"/>
          <w:szCs w:val="20"/>
          <w:lang w:val="es-ES"/>
        </w:rPr>
        <w:t>s</w:t>
      </w:r>
      <w:r w:rsidR="008A1F80" w:rsidRPr="00F84AB1">
        <w:rPr>
          <w:rFonts w:asciiTheme="majorHAnsi" w:eastAsia="SimSun" w:hAnsiTheme="majorHAnsi"/>
          <w:sz w:val="20"/>
          <w:szCs w:val="20"/>
          <w:lang w:val="es-ES"/>
        </w:rPr>
        <w:t xml:space="preserve"> víctima</w:t>
      </w:r>
      <w:r w:rsidR="00EA6389" w:rsidRPr="00F84AB1">
        <w:rPr>
          <w:rFonts w:asciiTheme="majorHAnsi" w:eastAsia="SimSun" w:hAnsiTheme="majorHAnsi"/>
          <w:sz w:val="20"/>
          <w:szCs w:val="20"/>
          <w:lang w:val="es-ES"/>
        </w:rPr>
        <w:t>s</w:t>
      </w:r>
      <w:r w:rsidR="00BF2BDF" w:rsidRPr="00F84AB1">
        <w:rPr>
          <w:rFonts w:asciiTheme="majorHAnsi" w:eastAsia="SimSun" w:hAnsiTheme="majorHAnsi"/>
          <w:sz w:val="20"/>
          <w:szCs w:val="20"/>
          <w:lang w:val="es-ES"/>
        </w:rPr>
        <w:t xml:space="preserve"> en el periodo de la dictadura militar chilena</w:t>
      </w:r>
      <w:r w:rsidR="008A1F80" w:rsidRPr="00F84AB1">
        <w:rPr>
          <w:rFonts w:asciiTheme="majorHAnsi" w:eastAsia="SimSun" w:hAnsiTheme="majorHAnsi"/>
          <w:sz w:val="20"/>
          <w:szCs w:val="20"/>
          <w:lang w:val="es-ES"/>
        </w:rPr>
        <w:t xml:space="preserve">. </w:t>
      </w:r>
      <w:r w:rsidR="004065A9" w:rsidRPr="00F84AB1">
        <w:rPr>
          <w:rFonts w:asciiTheme="majorHAnsi" w:eastAsia="SimSun" w:hAnsiTheme="majorHAnsi"/>
          <w:sz w:val="20"/>
          <w:szCs w:val="20"/>
          <w:lang w:val="es-ES"/>
        </w:rPr>
        <w:t>Alegan que d</w:t>
      </w:r>
      <w:r w:rsidR="008A1F80" w:rsidRPr="00F84AB1">
        <w:rPr>
          <w:rFonts w:asciiTheme="majorHAnsi" w:eastAsia="SimSun" w:hAnsiTheme="majorHAnsi"/>
          <w:sz w:val="20"/>
          <w:szCs w:val="20"/>
          <w:lang w:val="es-ES"/>
        </w:rPr>
        <w:t>icho tribunal habría aplicado la figura contemplada en el artículo 103 del Código Penal, denominada media prescripción o prescripción gradual.</w:t>
      </w:r>
      <w:r w:rsidR="00AC61D7" w:rsidRPr="00F84AB1">
        <w:rPr>
          <w:rFonts w:asciiTheme="majorHAnsi" w:eastAsia="SimSun" w:hAnsiTheme="majorHAnsi"/>
          <w:sz w:val="20"/>
          <w:szCs w:val="20"/>
          <w:lang w:val="es-ES"/>
        </w:rPr>
        <w:t xml:space="preserve"> La aplicación de la figura en los casos resultó </w:t>
      </w:r>
      <w:r w:rsidR="008A1F80" w:rsidRPr="00F84AB1">
        <w:rPr>
          <w:rFonts w:asciiTheme="majorHAnsi" w:eastAsia="SimSun" w:hAnsiTheme="majorHAnsi"/>
          <w:sz w:val="20"/>
          <w:szCs w:val="20"/>
          <w:lang w:val="es-ES"/>
        </w:rPr>
        <w:t xml:space="preserve">en que la pena establecida no cumpla con los principios de proporcionalidad y pertinencia, ni con la finalidad de reparación integral que tendría la pena en estos casos. Indican que en Chile la investigación y sanción de crímenes de lesa humanidad se </w:t>
      </w:r>
      <w:r w:rsidR="00061918" w:rsidRPr="00F84AB1">
        <w:rPr>
          <w:rFonts w:asciiTheme="majorHAnsi" w:eastAsia="SimSun" w:hAnsiTheme="majorHAnsi"/>
          <w:sz w:val="20"/>
          <w:szCs w:val="20"/>
          <w:lang w:val="es-ES"/>
        </w:rPr>
        <w:t>rige</w:t>
      </w:r>
      <w:r w:rsidR="008A1F80" w:rsidRPr="00F84AB1">
        <w:rPr>
          <w:rFonts w:asciiTheme="majorHAnsi" w:eastAsia="SimSun" w:hAnsiTheme="majorHAnsi"/>
          <w:sz w:val="20"/>
          <w:szCs w:val="20"/>
          <w:lang w:val="es-ES"/>
        </w:rPr>
        <w:t xml:space="preserve"> por el estatuto legislativo de delitos comunes, y que la</w:t>
      </w:r>
      <w:r w:rsidR="00993166" w:rsidRPr="00F84AB1">
        <w:rPr>
          <w:rFonts w:asciiTheme="majorHAnsi" w:eastAsia="SimSun" w:hAnsiTheme="majorHAnsi"/>
          <w:sz w:val="20"/>
          <w:szCs w:val="20"/>
          <w:lang w:val="es-ES"/>
        </w:rPr>
        <w:t>s resolucio</w:t>
      </w:r>
      <w:r w:rsidR="008A1F80" w:rsidRPr="00F84AB1">
        <w:rPr>
          <w:rFonts w:asciiTheme="majorHAnsi" w:eastAsia="SimSun" w:hAnsiTheme="majorHAnsi"/>
          <w:sz w:val="20"/>
          <w:szCs w:val="20"/>
          <w:lang w:val="es-ES"/>
        </w:rPr>
        <w:t>n</w:t>
      </w:r>
      <w:r w:rsidR="00993166" w:rsidRPr="00F84AB1">
        <w:rPr>
          <w:rFonts w:asciiTheme="majorHAnsi" w:eastAsia="SimSun" w:hAnsiTheme="majorHAnsi"/>
          <w:sz w:val="20"/>
          <w:szCs w:val="20"/>
          <w:lang w:val="es-ES"/>
        </w:rPr>
        <w:t>es</w:t>
      </w:r>
      <w:r w:rsidR="008A1F80" w:rsidRPr="00F84AB1">
        <w:rPr>
          <w:rFonts w:asciiTheme="majorHAnsi" w:eastAsia="SimSun" w:hAnsiTheme="majorHAnsi"/>
          <w:sz w:val="20"/>
          <w:szCs w:val="20"/>
          <w:lang w:val="es-ES"/>
        </w:rPr>
        <w:t xml:space="preserve"> de la Corte no </w:t>
      </w:r>
      <w:r w:rsidR="00061918" w:rsidRPr="00F84AB1">
        <w:rPr>
          <w:rFonts w:asciiTheme="majorHAnsi" w:eastAsia="SimSun" w:hAnsiTheme="majorHAnsi"/>
          <w:sz w:val="20"/>
          <w:szCs w:val="20"/>
          <w:lang w:val="es-ES"/>
        </w:rPr>
        <w:t>son</w:t>
      </w:r>
      <w:r w:rsidR="008A1F80" w:rsidRPr="00F84AB1">
        <w:rPr>
          <w:rFonts w:asciiTheme="majorHAnsi" w:eastAsia="SimSun" w:hAnsiTheme="majorHAnsi"/>
          <w:sz w:val="20"/>
          <w:szCs w:val="20"/>
          <w:lang w:val="es-ES"/>
        </w:rPr>
        <w:t xml:space="preserve"> razonada</w:t>
      </w:r>
      <w:r w:rsidR="00993166" w:rsidRPr="00F84AB1">
        <w:rPr>
          <w:rFonts w:asciiTheme="majorHAnsi" w:eastAsia="SimSun" w:hAnsiTheme="majorHAnsi"/>
          <w:sz w:val="20"/>
          <w:szCs w:val="20"/>
          <w:lang w:val="es-ES"/>
        </w:rPr>
        <w:t>s</w:t>
      </w:r>
      <w:r w:rsidR="008A1F80" w:rsidRPr="00F84AB1">
        <w:rPr>
          <w:rFonts w:asciiTheme="majorHAnsi" w:eastAsia="SimSun" w:hAnsiTheme="majorHAnsi"/>
          <w:sz w:val="20"/>
          <w:szCs w:val="20"/>
          <w:lang w:val="es-ES"/>
        </w:rPr>
        <w:t xml:space="preserve"> al otorgar beneficios propios de una atenuante de la envergadura de la prescripción gradual a los responsables de delitos que</w:t>
      </w:r>
      <w:r w:rsidR="00061918" w:rsidRPr="00F84AB1">
        <w:rPr>
          <w:rFonts w:asciiTheme="majorHAnsi" w:eastAsia="SimSun" w:hAnsiTheme="majorHAnsi"/>
          <w:sz w:val="20"/>
          <w:szCs w:val="20"/>
          <w:lang w:val="es-ES"/>
        </w:rPr>
        <w:t xml:space="preserve"> por su carácter</w:t>
      </w:r>
      <w:r w:rsidR="008A1F80" w:rsidRPr="00F84AB1">
        <w:rPr>
          <w:rFonts w:asciiTheme="majorHAnsi" w:eastAsia="SimSun" w:hAnsiTheme="majorHAnsi"/>
          <w:sz w:val="20"/>
          <w:szCs w:val="20"/>
          <w:lang w:val="es-ES"/>
        </w:rPr>
        <w:t xml:space="preserve"> nunca prescribirán. Además</w:t>
      </w:r>
      <w:r w:rsidR="00481161" w:rsidRPr="00F84AB1">
        <w:rPr>
          <w:rFonts w:asciiTheme="majorHAnsi" w:eastAsia="SimSun" w:hAnsiTheme="majorHAnsi"/>
          <w:sz w:val="20"/>
          <w:szCs w:val="20"/>
          <w:lang w:val="es-ES"/>
        </w:rPr>
        <w:t>,</w:t>
      </w:r>
      <w:r w:rsidR="008A1F80" w:rsidRPr="00F84AB1">
        <w:rPr>
          <w:rFonts w:asciiTheme="majorHAnsi" w:eastAsia="SimSun" w:hAnsiTheme="majorHAnsi"/>
          <w:sz w:val="20"/>
          <w:szCs w:val="20"/>
          <w:lang w:val="es-ES"/>
        </w:rPr>
        <w:t xml:space="preserve"> refieren que la Corte Suprema </w:t>
      </w:r>
      <w:r w:rsidR="00061918" w:rsidRPr="00F84AB1">
        <w:rPr>
          <w:rFonts w:asciiTheme="majorHAnsi" w:eastAsia="SimSun" w:hAnsiTheme="majorHAnsi"/>
          <w:sz w:val="20"/>
          <w:szCs w:val="20"/>
          <w:lang w:val="es-ES"/>
        </w:rPr>
        <w:t>es</w:t>
      </w:r>
      <w:r w:rsidR="008A1F80" w:rsidRPr="00F84AB1">
        <w:rPr>
          <w:rFonts w:asciiTheme="majorHAnsi" w:eastAsia="SimSun" w:hAnsiTheme="majorHAnsi"/>
          <w:sz w:val="20"/>
          <w:szCs w:val="20"/>
          <w:lang w:val="es-ES"/>
        </w:rPr>
        <w:t xml:space="preserve"> incompetente para conocer como tribunal de instancia, como </w:t>
      </w:r>
      <w:r w:rsidR="00061918" w:rsidRPr="00F84AB1">
        <w:rPr>
          <w:rFonts w:asciiTheme="majorHAnsi" w:eastAsia="SimSun" w:hAnsiTheme="majorHAnsi"/>
          <w:sz w:val="20"/>
          <w:szCs w:val="20"/>
          <w:lang w:val="es-ES"/>
        </w:rPr>
        <w:t>sucedió</w:t>
      </w:r>
      <w:r w:rsidR="00993166" w:rsidRPr="00F84AB1">
        <w:rPr>
          <w:rFonts w:asciiTheme="majorHAnsi" w:eastAsia="SimSun" w:hAnsiTheme="majorHAnsi"/>
          <w:sz w:val="20"/>
          <w:szCs w:val="20"/>
          <w:lang w:val="es-ES"/>
        </w:rPr>
        <w:t xml:space="preserve"> en estos casos</w:t>
      </w:r>
      <w:r w:rsidR="008A1F80" w:rsidRPr="00F84AB1">
        <w:rPr>
          <w:rFonts w:asciiTheme="majorHAnsi" w:eastAsia="SimSun" w:hAnsiTheme="majorHAnsi"/>
          <w:sz w:val="20"/>
          <w:szCs w:val="20"/>
          <w:lang w:val="es-ES"/>
        </w:rPr>
        <w:t xml:space="preserve">, y que dicho acto </w:t>
      </w:r>
      <w:r w:rsidR="00061918" w:rsidRPr="00F84AB1">
        <w:rPr>
          <w:rFonts w:asciiTheme="majorHAnsi" w:eastAsia="SimSun" w:hAnsiTheme="majorHAnsi"/>
          <w:sz w:val="20"/>
          <w:szCs w:val="20"/>
          <w:lang w:val="es-ES"/>
        </w:rPr>
        <w:t>impidió</w:t>
      </w:r>
      <w:r w:rsidR="008A1F80" w:rsidRPr="00F84AB1">
        <w:rPr>
          <w:rFonts w:asciiTheme="majorHAnsi" w:eastAsia="SimSun" w:hAnsiTheme="majorHAnsi"/>
          <w:sz w:val="20"/>
          <w:szCs w:val="20"/>
          <w:lang w:val="es-ES"/>
        </w:rPr>
        <w:t xml:space="preserve"> el acceso de las víctimas a exponer su posición ante dicho tribunal, privándolas de la posibilidad de ser oídas, y de ejercer recursos contra la resolución.</w:t>
      </w:r>
    </w:p>
    <w:p w:rsidR="00777AE5" w:rsidRPr="00F84AB1" w:rsidRDefault="00777AE5" w:rsidP="00AE59F3">
      <w:pPr>
        <w:jc w:val="both"/>
        <w:rPr>
          <w:rFonts w:asciiTheme="majorHAnsi" w:eastAsia="SimSun" w:hAnsiTheme="majorHAnsi"/>
          <w:sz w:val="20"/>
          <w:szCs w:val="20"/>
          <w:lang w:val="es-UY"/>
        </w:rPr>
      </w:pPr>
    </w:p>
    <w:p w:rsidR="008A6793" w:rsidRPr="00F84AB1" w:rsidRDefault="00777AE5" w:rsidP="008A679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eastAsia="SimSun" w:hAnsiTheme="majorHAnsi"/>
          <w:sz w:val="20"/>
          <w:szCs w:val="20"/>
          <w:lang w:val="es-ES"/>
        </w:rPr>
        <w:t>Por su parte, el Estado señala que no tiene reparos respecto al cumplimiento de los requisitos de forma de la petición</w:t>
      </w:r>
      <w:r w:rsidR="00455147" w:rsidRPr="00F84AB1">
        <w:rPr>
          <w:rFonts w:asciiTheme="majorHAnsi" w:eastAsia="SimSun" w:hAnsiTheme="majorHAnsi"/>
          <w:sz w:val="20"/>
          <w:szCs w:val="20"/>
          <w:lang w:val="es-ES"/>
        </w:rPr>
        <w:t xml:space="preserve"> en cuanto a su admisibilidad</w:t>
      </w:r>
      <w:r w:rsidRPr="00F84AB1">
        <w:rPr>
          <w:rFonts w:asciiTheme="majorHAnsi" w:eastAsia="SimSun" w:hAnsiTheme="majorHAnsi"/>
          <w:sz w:val="20"/>
          <w:szCs w:val="20"/>
          <w:lang w:val="es-ES"/>
        </w:rPr>
        <w:t>.</w:t>
      </w:r>
      <w:r w:rsidR="00012631" w:rsidRPr="00F84AB1">
        <w:rPr>
          <w:rFonts w:asciiTheme="majorHAnsi" w:eastAsia="SimSun" w:hAnsiTheme="majorHAnsi"/>
          <w:color w:val="FF6600"/>
          <w:sz w:val="20"/>
          <w:szCs w:val="20"/>
          <w:lang w:val="es-ES"/>
        </w:rPr>
        <w:t xml:space="preserve"> </w:t>
      </w:r>
    </w:p>
    <w:p w:rsidR="00547D7F" w:rsidRPr="00F84AB1" w:rsidRDefault="0063685A"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F84AB1">
        <w:rPr>
          <w:rFonts w:asciiTheme="majorHAnsi" w:hAnsiTheme="majorHAnsi"/>
          <w:sz w:val="20"/>
          <w:szCs w:val="20"/>
          <w:lang w:val="es-UY"/>
        </w:rPr>
        <w:t xml:space="preserve">Sin prejuzgar sobre el fondo de la denuncia, </w:t>
      </w:r>
      <w:r w:rsidRPr="00F84AB1">
        <w:rPr>
          <w:rFonts w:asciiTheme="majorHAnsi" w:hAnsiTheme="majorHAnsi"/>
          <w:sz w:val="20"/>
          <w:szCs w:val="20"/>
          <w:lang w:val="es-ES"/>
        </w:rPr>
        <w:t>tras analizar las posiciones de las partes y</w:t>
      </w:r>
      <w:r w:rsidRPr="00F84AB1">
        <w:rPr>
          <w:rFonts w:asciiTheme="majorHAnsi" w:hAnsiTheme="majorHAnsi"/>
          <w:sz w:val="20"/>
          <w:szCs w:val="20"/>
          <w:lang w:val="es-UY"/>
        </w:rPr>
        <w:t xml:space="preserve"> en cumplimiento de los requisitos previstos en los artículos 46 y 47 de la Convención Americana, la Comisión decide declarar el caso admisible a efectos del examen </w:t>
      </w:r>
      <w:r w:rsidR="00B80AAF" w:rsidRPr="00F84AB1">
        <w:rPr>
          <w:rFonts w:asciiTheme="majorHAnsi" w:hAnsiTheme="majorHAnsi"/>
          <w:sz w:val="20"/>
          <w:szCs w:val="20"/>
          <w:lang w:val="es-ES"/>
        </w:rPr>
        <w:t xml:space="preserve">de los alegatos relativos a </w:t>
      </w:r>
      <w:r w:rsidR="00074055" w:rsidRPr="00F84AB1">
        <w:rPr>
          <w:rFonts w:asciiTheme="majorHAnsi" w:hAnsiTheme="majorHAnsi"/>
          <w:sz w:val="20"/>
          <w:szCs w:val="20"/>
          <w:lang w:val="es-ES"/>
        </w:rPr>
        <w:t>la presunta violación de l</w:t>
      </w:r>
      <w:r w:rsidRPr="00F84AB1">
        <w:rPr>
          <w:rFonts w:asciiTheme="majorHAnsi" w:hAnsiTheme="majorHAnsi"/>
          <w:sz w:val="20"/>
          <w:szCs w:val="20"/>
          <w:lang w:val="es-ES"/>
        </w:rPr>
        <w:t>os</w:t>
      </w:r>
      <w:r w:rsidRPr="00F84AB1">
        <w:rPr>
          <w:rFonts w:asciiTheme="majorHAnsi" w:hAnsiTheme="majorHAnsi"/>
          <w:sz w:val="20"/>
          <w:szCs w:val="20"/>
          <w:lang w:val="es-UY"/>
        </w:rPr>
        <w:t xml:space="preserve"> </w:t>
      </w:r>
      <w:r w:rsidRPr="00F84AB1">
        <w:rPr>
          <w:rFonts w:asciiTheme="majorHAnsi" w:hAnsiTheme="majorHAnsi"/>
          <w:sz w:val="20"/>
          <w:szCs w:val="20"/>
          <w:lang w:val="es-ES"/>
        </w:rPr>
        <w:t>derechos consagrados</w:t>
      </w:r>
      <w:r w:rsidR="00074055" w:rsidRPr="00F84AB1">
        <w:rPr>
          <w:rFonts w:asciiTheme="majorHAnsi" w:hAnsiTheme="majorHAnsi"/>
          <w:sz w:val="20"/>
          <w:szCs w:val="20"/>
          <w:lang w:val="es-ES"/>
        </w:rPr>
        <w:t xml:space="preserve"> en l</w:t>
      </w:r>
      <w:r w:rsidRPr="00F84AB1">
        <w:rPr>
          <w:rFonts w:asciiTheme="majorHAnsi" w:hAnsiTheme="majorHAnsi"/>
          <w:sz w:val="20"/>
          <w:szCs w:val="20"/>
          <w:lang w:val="es-ES"/>
        </w:rPr>
        <w:t xml:space="preserve">os artículos </w:t>
      </w:r>
      <w:r w:rsidR="00074055" w:rsidRPr="00F84AB1">
        <w:rPr>
          <w:rFonts w:asciiTheme="majorHAnsi" w:hAnsiTheme="majorHAnsi"/>
          <w:sz w:val="20"/>
          <w:szCs w:val="20"/>
          <w:lang w:val="es-ES"/>
        </w:rPr>
        <w:t>5</w:t>
      </w:r>
      <w:r w:rsidR="00CD4296" w:rsidRPr="00F84AB1">
        <w:rPr>
          <w:rFonts w:asciiTheme="majorHAnsi" w:hAnsiTheme="majorHAnsi"/>
          <w:sz w:val="20"/>
          <w:szCs w:val="20"/>
          <w:lang w:val="es-ES"/>
        </w:rPr>
        <w:t xml:space="preserve"> (integridad personal)</w:t>
      </w:r>
      <w:r w:rsidR="00074055" w:rsidRPr="00F84AB1">
        <w:rPr>
          <w:rFonts w:asciiTheme="majorHAnsi" w:hAnsiTheme="majorHAnsi"/>
          <w:sz w:val="20"/>
          <w:szCs w:val="20"/>
          <w:lang w:val="es-ES"/>
        </w:rPr>
        <w:t>, 8</w:t>
      </w:r>
      <w:r w:rsidR="00CD4296" w:rsidRPr="00F84AB1">
        <w:rPr>
          <w:rFonts w:asciiTheme="majorHAnsi" w:hAnsiTheme="majorHAnsi"/>
          <w:sz w:val="20"/>
          <w:szCs w:val="20"/>
          <w:lang w:val="es-ES"/>
        </w:rPr>
        <w:t xml:space="preserve"> (garantías judiciales)</w:t>
      </w:r>
      <w:r w:rsidR="00386947" w:rsidRPr="00F84AB1">
        <w:rPr>
          <w:rFonts w:asciiTheme="majorHAnsi" w:hAnsiTheme="majorHAnsi"/>
          <w:sz w:val="20"/>
          <w:szCs w:val="20"/>
          <w:lang w:val="es-ES"/>
        </w:rPr>
        <w:t xml:space="preserve"> </w:t>
      </w:r>
      <w:r w:rsidR="00074055" w:rsidRPr="00F84AB1">
        <w:rPr>
          <w:rFonts w:asciiTheme="majorHAnsi" w:hAnsiTheme="majorHAnsi"/>
          <w:sz w:val="20"/>
          <w:szCs w:val="20"/>
          <w:lang w:val="es-ES"/>
        </w:rPr>
        <w:t xml:space="preserve">y 25 </w:t>
      </w:r>
      <w:r w:rsidR="00CD4296" w:rsidRPr="00F84AB1">
        <w:rPr>
          <w:rFonts w:asciiTheme="majorHAnsi" w:hAnsiTheme="majorHAnsi"/>
          <w:sz w:val="20"/>
          <w:szCs w:val="20"/>
          <w:lang w:val="es-ES"/>
        </w:rPr>
        <w:t xml:space="preserve">(protección judicial) </w:t>
      </w:r>
      <w:r w:rsidR="00074055" w:rsidRPr="00F84AB1">
        <w:rPr>
          <w:rFonts w:asciiTheme="majorHAnsi" w:hAnsiTheme="majorHAnsi"/>
          <w:sz w:val="20"/>
          <w:szCs w:val="20"/>
          <w:lang w:val="es-ES"/>
        </w:rPr>
        <w:t xml:space="preserve">de la Convención Americana en relación con los artículos 1.1 </w:t>
      </w:r>
      <w:r w:rsidR="00CD4296" w:rsidRPr="00F84AB1">
        <w:rPr>
          <w:rFonts w:asciiTheme="majorHAnsi" w:hAnsiTheme="majorHAnsi"/>
          <w:sz w:val="20"/>
          <w:szCs w:val="20"/>
          <w:lang w:val="es-ES"/>
        </w:rPr>
        <w:t xml:space="preserve">(obligación de respetar los derechos) </w:t>
      </w:r>
      <w:r w:rsidR="00074055" w:rsidRPr="00F84AB1">
        <w:rPr>
          <w:rFonts w:asciiTheme="majorHAnsi" w:hAnsiTheme="majorHAnsi"/>
          <w:sz w:val="20"/>
          <w:szCs w:val="20"/>
          <w:lang w:val="es-ES"/>
        </w:rPr>
        <w:t xml:space="preserve">y 2 </w:t>
      </w:r>
      <w:r w:rsidR="00CD4296" w:rsidRPr="00F84AB1">
        <w:rPr>
          <w:rFonts w:asciiTheme="majorHAnsi" w:hAnsiTheme="majorHAnsi"/>
          <w:sz w:val="20"/>
          <w:szCs w:val="20"/>
          <w:lang w:val="es-ES"/>
        </w:rPr>
        <w:t xml:space="preserve">(deber de adoptar disposiciones de derecho interno) </w:t>
      </w:r>
      <w:r w:rsidR="00074055" w:rsidRPr="00F84AB1">
        <w:rPr>
          <w:rFonts w:asciiTheme="majorHAnsi" w:hAnsiTheme="majorHAnsi"/>
          <w:sz w:val="20"/>
          <w:szCs w:val="20"/>
          <w:lang w:val="es-ES"/>
        </w:rPr>
        <w:t>de la misma</w:t>
      </w:r>
      <w:r w:rsidRPr="00F84AB1">
        <w:rPr>
          <w:rFonts w:asciiTheme="majorHAnsi" w:hAnsiTheme="majorHAnsi"/>
          <w:sz w:val="20"/>
          <w:szCs w:val="20"/>
          <w:lang w:val="es-UY"/>
        </w:rPr>
        <w:t>. L</w:t>
      </w:r>
      <w:r w:rsidRPr="00F84AB1">
        <w:rPr>
          <w:rFonts w:asciiTheme="majorHAnsi" w:hAnsiTheme="majorHAnsi"/>
          <w:sz w:val="20"/>
          <w:szCs w:val="20"/>
          <w:lang w:val="es-ES"/>
        </w:rPr>
        <w:t>a Comisión decide además notificar esta decisión a las partes, publicarla e incluirla en su Informe Anual para la Asamblea General de la OEA.</w:t>
      </w:r>
    </w:p>
    <w:p w:rsidR="0061612F" w:rsidRPr="00F84AB1" w:rsidRDefault="0061612F" w:rsidP="009C35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rsidR="007B6049" w:rsidRPr="00F84AB1" w:rsidRDefault="007B6049" w:rsidP="009C35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rsidR="0063685A" w:rsidRPr="00F84AB1" w:rsidRDefault="0063685A" w:rsidP="00C64463">
      <w:pPr>
        <w:spacing w:after="240"/>
        <w:ind w:firstLine="720"/>
        <w:jc w:val="both"/>
        <w:rPr>
          <w:rFonts w:asciiTheme="majorHAnsi" w:hAnsiTheme="majorHAnsi"/>
          <w:b/>
          <w:bCs/>
          <w:sz w:val="20"/>
          <w:szCs w:val="20"/>
          <w:lang w:val="es-UY"/>
        </w:rPr>
      </w:pPr>
      <w:r w:rsidRPr="00F84AB1">
        <w:rPr>
          <w:rFonts w:asciiTheme="majorHAnsi" w:hAnsiTheme="majorHAnsi"/>
          <w:b/>
          <w:bCs/>
          <w:sz w:val="20"/>
          <w:szCs w:val="20"/>
          <w:lang w:val="es-UY"/>
        </w:rPr>
        <w:lastRenderedPageBreak/>
        <w:t>II.</w:t>
      </w:r>
      <w:r w:rsidRPr="00F84AB1">
        <w:rPr>
          <w:rFonts w:asciiTheme="majorHAnsi" w:hAnsiTheme="majorHAnsi"/>
          <w:b/>
          <w:bCs/>
          <w:sz w:val="20"/>
          <w:szCs w:val="20"/>
          <w:lang w:val="es-UY"/>
        </w:rPr>
        <w:tab/>
        <w:t>TRÁMITE ANTE LA CIDH</w:t>
      </w:r>
    </w:p>
    <w:p w:rsidR="00923BF7" w:rsidRPr="00F84AB1" w:rsidRDefault="00923BF7" w:rsidP="00923BF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F84AB1">
        <w:rPr>
          <w:rFonts w:asciiTheme="majorHAnsi" w:hAnsiTheme="majorHAnsi"/>
          <w:sz w:val="20"/>
          <w:szCs w:val="20"/>
          <w:lang w:val="es-ES"/>
        </w:rPr>
        <w:t>El 28 de enero de 2008 la Comisión Interamericana recibió la petición presentada por la AFDD y otros, en representación de Juan Luis Rivera Matus y sus familiares, a cuyo asunto se le asignó el número de petición P-102-08. Además, la AFDD presentó</w:t>
      </w:r>
      <w:r w:rsidR="00F35BB5" w:rsidRPr="00F84AB1">
        <w:rPr>
          <w:rFonts w:asciiTheme="majorHAnsi" w:hAnsiTheme="majorHAnsi"/>
          <w:sz w:val="20"/>
          <w:szCs w:val="20"/>
          <w:lang w:val="es-ES"/>
        </w:rPr>
        <w:t xml:space="preserve"> 13</w:t>
      </w:r>
      <w:r w:rsidRPr="00F84AB1">
        <w:rPr>
          <w:rFonts w:asciiTheme="majorHAnsi" w:hAnsiTheme="majorHAnsi"/>
          <w:sz w:val="20"/>
          <w:szCs w:val="20"/>
          <w:lang w:val="es-ES"/>
        </w:rPr>
        <w:t xml:space="preserve"> nuevas peticiones respecto de distintas presuntas víctimas, en las cuales la Corte Suprema, al igual que en el caso de Juan Luis Rivera Matus, habría aplicado la media prescripción. En este sentido, </w:t>
      </w:r>
      <w:r w:rsidR="00E44F1D" w:rsidRPr="00F84AB1">
        <w:rPr>
          <w:rFonts w:asciiTheme="majorHAnsi" w:hAnsiTheme="majorHAnsi"/>
          <w:sz w:val="20"/>
          <w:szCs w:val="20"/>
          <w:lang w:val="es-UY"/>
        </w:rPr>
        <w:t>en comunicaciones posteriores de fechas</w:t>
      </w:r>
      <w:r w:rsidRPr="00F84AB1">
        <w:rPr>
          <w:rFonts w:asciiTheme="majorHAnsi" w:hAnsiTheme="majorHAnsi"/>
          <w:sz w:val="20"/>
          <w:szCs w:val="20"/>
          <w:lang w:val="es-UY"/>
        </w:rPr>
        <w:t xml:space="preserve"> 3 de marzo de 2008</w:t>
      </w:r>
      <w:r w:rsidRPr="00F84AB1">
        <w:rPr>
          <w:rStyle w:val="FootnoteReference"/>
          <w:rFonts w:asciiTheme="majorHAnsi" w:hAnsiTheme="majorHAnsi"/>
          <w:sz w:val="20"/>
          <w:szCs w:val="20"/>
          <w:lang w:val="es-UY"/>
        </w:rPr>
        <w:footnoteReference w:id="3"/>
      </w:r>
      <w:r w:rsidR="00E44F1D" w:rsidRPr="00F84AB1">
        <w:rPr>
          <w:rFonts w:asciiTheme="majorHAnsi" w:hAnsiTheme="majorHAnsi"/>
          <w:sz w:val="20"/>
          <w:szCs w:val="20"/>
          <w:lang w:val="es-UY"/>
        </w:rPr>
        <w:t xml:space="preserve">, </w:t>
      </w:r>
      <w:r w:rsidRPr="00F84AB1">
        <w:rPr>
          <w:rFonts w:asciiTheme="majorHAnsi" w:hAnsiTheme="majorHAnsi"/>
          <w:sz w:val="20"/>
          <w:szCs w:val="20"/>
          <w:lang w:val="es-UY"/>
        </w:rPr>
        <w:t>26 de junio de 2008</w:t>
      </w:r>
      <w:r w:rsidRPr="00F84AB1">
        <w:rPr>
          <w:rStyle w:val="FootnoteReference"/>
          <w:rFonts w:asciiTheme="majorHAnsi" w:hAnsiTheme="majorHAnsi"/>
          <w:sz w:val="20"/>
          <w:szCs w:val="20"/>
          <w:lang w:val="es-UY"/>
        </w:rPr>
        <w:footnoteReference w:id="4"/>
      </w:r>
      <w:r w:rsidRPr="00F84AB1">
        <w:rPr>
          <w:rFonts w:asciiTheme="majorHAnsi" w:hAnsiTheme="majorHAnsi"/>
          <w:sz w:val="20"/>
          <w:szCs w:val="20"/>
          <w:lang w:val="es-UY"/>
        </w:rPr>
        <w:t>, 10 de junio de 2009</w:t>
      </w:r>
      <w:r w:rsidRPr="00F84AB1">
        <w:rPr>
          <w:rStyle w:val="FootnoteReference"/>
          <w:rFonts w:asciiTheme="majorHAnsi" w:hAnsiTheme="majorHAnsi"/>
          <w:sz w:val="20"/>
          <w:szCs w:val="20"/>
          <w:lang w:val="es-UY"/>
        </w:rPr>
        <w:footnoteReference w:id="5"/>
      </w:r>
      <w:r w:rsidRPr="00F84AB1">
        <w:rPr>
          <w:rFonts w:asciiTheme="majorHAnsi" w:hAnsiTheme="majorHAnsi"/>
          <w:sz w:val="20"/>
          <w:szCs w:val="20"/>
          <w:lang w:val="es-UY"/>
        </w:rPr>
        <w:t>, 24 de junio de 2009</w:t>
      </w:r>
      <w:r w:rsidRPr="00F84AB1">
        <w:rPr>
          <w:rStyle w:val="FootnoteReference"/>
          <w:rFonts w:asciiTheme="majorHAnsi" w:hAnsiTheme="majorHAnsi"/>
          <w:sz w:val="20"/>
          <w:szCs w:val="20"/>
          <w:lang w:val="es-UY"/>
        </w:rPr>
        <w:footnoteReference w:id="6"/>
      </w:r>
      <w:r w:rsidRPr="00F84AB1">
        <w:rPr>
          <w:rFonts w:asciiTheme="majorHAnsi" w:hAnsiTheme="majorHAnsi"/>
          <w:sz w:val="20"/>
          <w:szCs w:val="20"/>
          <w:lang w:val="es-UY"/>
        </w:rPr>
        <w:t>, 4 de marzo de 2010</w:t>
      </w:r>
      <w:r w:rsidRPr="00F84AB1">
        <w:rPr>
          <w:rStyle w:val="FootnoteReference"/>
          <w:rFonts w:asciiTheme="majorHAnsi" w:hAnsiTheme="majorHAnsi"/>
          <w:sz w:val="20"/>
          <w:szCs w:val="20"/>
          <w:lang w:val="es-UY"/>
        </w:rPr>
        <w:footnoteReference w:id="7"/>
      </w:r>
      <w:r w:rsidRPr="00F84AB1">
        <w:rPr>
          <w:rFonts w:asciiTheme="majorHAnsi" w:hAnsiTheme="majorHAnsi"/>
          <w:sz w:val="20"/>
          <w:szCs w:val="20"/>
          <w:lang w:val="es-UY"/>
        </w:rPr>
        <w:t>, 20 de enero de 2010</w:t>
      </w:r>
      <w:r w:rsidRPr="00F84AB1">
        <w:rPr>
          <w:rStyle w:val="FootnoteReference"/>
          <w:rFonts w:asciiTheme="majorHAnsi" w:hAnsiTheme="majorHAnsi"/>
          <w:sz w:val="20"/>
          <w:szCs w:val="20"/>
          <w:lang w:val="es-UY"/>
        </w:rPr>
        <w:footnoteReference w:id="8"/>
      </w:r>
      <w:r w:rsidRPr="00F84AB1">
        <w:rPr>
          <w:rFonts w:asciiTheme="majorHAnsi" w:hAnsiTheme="majorHAnsi"/>
          <w:sz w:val="20"/>
          <w:szCs w:val="20"/>
          <w:lang w:val="es-UY"/>
        </w:rPr>
        <w:t>, 12 de febrero de 2010</w:t>
      </w:r>
      <w:r w:rsidRPr="00F84AB1">
        <w:rPr>
          <w:rStyle w:val="FootnoteReference"/>
          <w:rFonts w:asciiTheme="majorHAnsi" w:hAnsiTheme="majorHAnsi"/>
          <w:sz w:val="20"/>
          <w:szCs w:val="20"/>
          <w:lang w:val="es-UY"/>
        </w:rPr>
        <w:footnoteReference w:id="9"/>
      </w:r>
      <w:r w:rsidRPr="00F84AB1">
        <w:rPr>
          <w:rFonts w:asciiTheme="majorHAnsi" w:hAnsiTheme="majorHAnsi"/>
          <w:sz w:val="20"/>
          <w:szCs w:val="20"/>
          <w:lang w:val="es-UY"/>
        </w:rPr>
        <w:t>, 25 de marzo de 2010</w:t>
      </w:r>
      <w:r w:rsidRPr="00F84AB1">
        <w:rPr>
          <w:rStyle w:val="FootnoteReference"/>
          <w:rFonts w:asciiTheme="majorHAnsi" w:hAnsiTheme="majorHAnsi"/>
          <w:sz w:val="20"/>
          <w:szCs w:val="20"/>
          <w:lang w:val="es-UY"/>
        </w:rPr>
        <w:footnoteReference w:id="10"/>
      </w:r>
      <w:r w:rsidRPr="00F84AB1">
        <w:rPr>
          <w:rFonts w:asciiTheme="majorHAnsi" w:hAnsiTheme="majorHAnsi"/>
          <w:sz w:val="20"/>
          <w:szCs w:val="20"/>
          <w:lang w:val="es-UY"/>
        </w:rPr>
        <w:t>, 1 de junio de 2010</w:t>
      </w:r>
      <w:r w:rsidRPr="00F84AB1">
        <w:rPr>
          <w:rStyle w:val="FootnoteReference"/>
          <w:rFonts w:asciiTheme="majorHAnsi" w:hAnsiTheme="majorHAnsi"/>
          <w:sz w:val="20"/>
          <w:szCs w:val="20"/>
          <w:lang w:val="es-UY"/>
        </w:rPr>
        <w:footnoteReference w:id="11"/>
      </w:r>
      <w:r w:rsidRPr="00F84AB1">
        <w:rPr>
          <w:rFonts w:asciiTheme="majorHAnsi" w:hAnsiTheme="majorHAnsi"/>
          <w:sz w:val="20"/>
          <w:szCs w:val="20"/>
          <w:lang w:val="es-UY"/>
        </w:rPr>
        <w:t>, 23 de junio de 2010</w:t>
      </w:r>
      <w:r w:rsidRPr="00F84AB1">
        <w:rPr>
          <w:rStyle w:val="FootnoteReference"/>
          <w:rFonts w:asciiTheme="majorHAnsi" w:hAnsiTheme="majorHAnsi"/>
          <w:sz w:val="20"/>
          <w:szCs w:val="20"/>
          <w:lang w:val="es-UY"/>
        </w:rPr>
        <w:footnoteReference w:id="12"/>
      </w:r>
      <w:r w:rsidRPr="00F84AB1">
        <w:rPr>
          <w:rFonts w:asciiTheme="majorHAnsi" w:hAnsiTheme="majorHAnsi"/>
          <w:sz w:val="20"/>
          <w:szCs w:val="20"/>
          <w:lang w:val="es-UY"/>
        </w:rPr>
        <w:t>, 20 de julio de 2010</w:t>
      </w:r>
      <w:r w:rsidRPr="00F84AB1">
        <w:rPr>
          <w:rStyle w:val="FootnoteReference"/>
          <w:rFonts w:asciiTheme="majorHAnsi" w:hAnsiTheme="majorHAnsi"/>
          <w:sz w:val="20"/>
          <w:szCs w:val="20"/>
          <w:lang w:val="es-UY"/>
        </w:rPr>
        <w:footnoteReference w:id="13"/>
      </w:r>
      <w:r w:rsidRPr="00F84AB1">
        <w:rPr>
          <w:rFonts w:asciiTheme="majorHAnsi" w:hAnsiTheme="majorHAnsi"/>
          <w:sz w:val="20"/>
          <w:szCs w:val="20"/>
          <w:lang w:val="es-UY"/>
        </w:rPr>
        <w:t xml:space="preserve"> y 16 de agosto de 2010</w:t>
      </w:r>
      <w:r w:rsidRPr="00F84AB1">
        <w:rPr>
          <w:rStyle w:val="FootnoteReference"/>
          <w:rFonts w:asciiTheme="majorHAnsi" w:hAnsiTheme="majorHAnsi"/>
          <w:sz w:val="20"/>
          <w:szCs w:val="20"/>
          <w:lang w:val="es-UY"/>
        </w:rPr>
        <w:footnoteReference w:id="14"/>
      </w:r>
      <w:r w:rsidRPr="00F84AB1">
        <w:rPr>
          <w:rFonts w:asciiTheme="majorHAnsi" w:hAnsiTheme="majorHAnsi"/>
          <w:sz w:val="20"/>
          <w:szCs w:val="20"/>
          <w:lang w:val="es-UY"/>
        </w:rPr>
        <w:t>, los peticionarios presentaron nuevas denuncias a modo de ampliación, agregando nuevas presuntas víctimas.</w:t>
      </w:r>
    </w:p>
    <w:p w:rsidR="00923BF7" w:rsidRPr="00F84AB1" w:rsidRDefault="00923BF7" w:rsidP="00923BF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933C3A" w:rsidRPr="00F84AB1" w:rsidRDefault="00933C3A"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hAnsiTheme="majorHAnsi"/>
          <w:sz w:val="20"/>
          <w:szCs w:val="20"/>
          <w:lang w:val="es-ES"/>
        </w:rPr>
        <w:t xml:space="preserve">El 10 de noviembre de 2009 </w:t>
      </w:r>
      <w:r w:rsidR="00430EC5" w:rsidRPr="00F84AB1">
        <w:rPr>
          <w:rFonts w:asciiTheme="majorHAnsi" w:hAnsiTheme="majorHAnsi"/>
          <w:sz w:val="20"/>
          <w:szCs w:val="20"/>
          <w:lang w:val="es-ES"/>
        </w:rPr>
        <w:t>los peticionarios</w:t>
      </w:r>
      <w:r w:rsidRPr="00F84AB1">
        <w:rPr>
          <w:rFonts w:asciiTheme="majorHAnsi" w:hAnsiTheme="majorHAnsi"/>
          <w:sz w:val="20"/>
          <w:szCs w:val="20"/>
          <w:lang w:val="es-ES"/>
        </w:rPr>
        <w:t xml:space="preserve"> solicit</w:t>
      </w:r>
      <w:r w:rsidR="00430EC5" w:rsidRPr="00F84AB1">
        <w:rPr>
          <w:rFonts w:asciiTheme="majorHAnsi" w:hAnsiTheme="majorHAnsi"/>
          <w:sz w:val="20"/>
          <w:szCs w:val="20"/>
          <w:lang w:val="es-ES"/>
        </w:rPr>
        <w:t>aron</w:t>
      </w:r>
      <w:r w:rsidR="00B21814" w:rsidRPr="00F84AB1">
        <w:rPr>
          <w:rFonts w:asciiTheme="majorHAnsi" w:hAnsiTheme="majorHAnsi"/>
          <w:sz w:val="20"/>
          <w:szCs w:val="20"/>
          <w:lang w:val="es-ES"/>
        </w:rPr>
        <w:t xml:space="preserve"> la acumulación </w:t>
      </w:r>
      <w:r w:rsidRPr="00F84AB1">
        <w:rPr>
          <w:rFonts w:asciiTheme="majorHAnsi" w:hAnsiTheme="majorHAnsi"/>
          <w:sz w:val="20"/>
          <w:szCs w:val="20"/>
          <w:lang w:val="es-ES"/>
        </w:rPr>
        <w:t xml:space="preserve">de todas las peticiones </w:t>
      </w:r>
      <w:r w:rsidR="009E64B7" w:rsidRPr="00F84AB1">
        <w:rPr>
          <w:rFonts w:asciiTheme="majorHAnsi" w:hAnsiTheme="majorHAnsi"/>
          <w:sz w:val="20"/>
          <w:szCs w:val="20"/>
          <w:lang w:val="es-ES"/>
        </w:rPr>
        <w:t>antes mencionadas</w:t>
      </w:r>
      <w:r w:rsidR="00DA1E4D" w:rsidRPr="00F84AB1">
        <w:rPr>
          <w:rFonts w:asciiTheme="majorHAnsi" w:hAnsiTheme="majorHAnsi"/>
          <w:sz w:val="20"/>
          <w:szCs w:val="20"/>
          <w:lang w:val="es-ES"/>
        </w:rPr>
        <w:t xml:space="preserve"> presentadas hasta esa fecha</w:t>
      </w:r>
      <w:r w:rsidR="005F7586" w:rsidRPr="00F84AB1">
        <w:rPr>
          <w:rFonts w:asciiTheme="majorHAnsi" w:hAnsiTheme="majorHAnsi"/>
          <w:sz w:val="20"/>
          <w:szCs w:val="20"/>
          <w:lang w:val="es-ES"/>
        </w:rPr>
        <w:t>, a l</w:t>
      </w:r>
      <w:r w:rsidR="009E64B7" w:rsidRPr="00F84AB1">
        <w:rPr>
          <w:rFonts w:asciiTheme="majorHAnsi" w:hAnsiTheme="majorHAnsi"/>
          <w:sz w:val="20"/>
          <w:szCs w:val="20"/>
          <w:lang w:val="es-ES"/>
        </w:rPr>
        <w:t xml:space="preserve">a petición </w:t>
      </w:r>
      <w:r w:rsidR="00B21814" w:rsidRPr="00F84AB1">
        <w:rPr>
          <w:rFonts w:asciiTheme="majorHAnsi" w:hAnsiTheme="majorHAnsi"/>
          <w:sz w:val="20"/>
          <w:szCs w:val="20"/>
          <w:lang w:val="es-ES"/>
        </w:rPr>
        <w:t xml:space="preserve">que habían </w:t>
      </w:r>
      <w:r w:rsidR="009E64B7" w:rsidRPr="00F84AB1">
        <w:rPr>
          <w:rFonts w:asciiTheme="majorHAnsi" w:hAnsiTheme="majorHAnsi"/>
          <w:sz w:val="20"/>
          <w:szCs w:val="20"/>
          <w:lang w:val="es-ES"/>
        </w:rPr>
        <w:t>presentad</w:t>
      </w:r>
      <w:r w:rsidR="00B21814" w:rsidRPr="00F84AB1">
        <w:rPr>
          <w:rFonts w:asciiTheme="majorHAnsi" w:hAnsiTheme="majorHAnsi"/>
          <w:sz w:val="20"/>
          <w:szCs w:val="20"/>
          <w:lang w:val="es-ES"/>
        </w:rPr>
        <w:t>o</w:t>
      </w:r>
      <w:r w:rsidR="008C279F" w:rsidRPr="00F84AB1">
        <w:rPr>
          <w:rFonts w:asciiTheme="majorHAnsi" w:hAnsiTheme="majorHAnsi"/>
          <w:sz w:val="20"/>
          <w:szCs w:val="20"/>
          <w:lang w:val="es-ES"/>
        </w:rPr>
        <w:t xml:space="preserve"> </w:t>
      </w:r>
      <w:r w:rsidR="00DA1E4D" w:rsidRPr="00F84AB1">
        <w:rPr>
          <w:rFonts w:asciiTheme="majorHAnsi" w:hAnsiTheme="majorHAnsi"/>
          <w:sz w:val="20"/>
          <w:szCs w:val="20"/>
          <w:lang w:val="es-ES"/>
        </w:rPr>
        <w:t>el</w:t>
      </w:r>
      <w:r w:rsidR="008C279F" w:rsidRPr="00F84AB1">
        <w:rPr>
          <w:rFonts w:asciiTheme="majorHAnsi" w:hAnsiTheme="majorHAnsi"/>
          <w:sz w:val="20"/>
          <w:szCs w:val="20"/>
          <w:lang w:val="es-ES"/>
        </w:rPr>
        <w:t xml:space="preserve"> 28 de enero de 2008,</w:t>
      </w:r>
      <w:r w:rsidR="00184258" w:rsidRPr="00F84AB1">
        <w:rPr>
          <w:rFonts w:asciiTheme="majorHAnsi" w:hAnsiTheme="majorHAnsi"/>
          <w:sz w:val="20"/>
          <w:szCs w:val="20"/>
          <w:lang w:val="es-ES"/>
        </w:rPr>
        <w:t xml:space="preserve"> respecto de la presunta víctima Juan Luis Rivera Matus,</w:t>
      </w:r>
      <w:r w:rsidR="008C279F" w:rsidRPr="00F84AB1">
        <w:rPr>
          <w:rFonts w:asciiTheme="majorHAnsi" w:hAnsiTheme="majorHAnsi"/>
          <w:sz w:val="20"/>
          <w:szCs w:val="20"/>
          <w:lang w:val="es-ES"/>
        </w:rPr>
        <w:t xml:space="preserve"> a la cual se le asignó el número</w:t>
      </w:r>
      <w:r w:rsidR="009E64B7" w:rsidRPr="00F84AB1">
        <w:rPr>
          <w:rFonts w:asciiTheme="majorHAnsi" w:hAnsiTheme="majorHAnsi"/>
          <w:sz w:val="20"/>
          <w:szCs w:val="20"/>
          <w:lang w:val="es-ES"/>
        </w:rPr>
        <w:t xml:space="preserve"> </w:t>
      </w:r>
      <w:r w:rsidRPr="00F84AB1">
        <w:rPr>
          <w:rFonts w:asciiTheme="majorHAnsi" w:hAnsiTheme="majorHAnsi"/>
          <w:sz w:val="20"/>
          <w:szCs w:val="20"/>
          <w:lang w:val="es-ES"/>
        </w:rPr>
        <w:t xml:space="preserve">P 102-08. La Secretaría Ejecutiva de la </w:t>
      </w:r>
      <w:r w:rsidR="00B21814" w:rsidRPr="00F84AB1">
        <w:rPr>
          <w:rFonts w:asciiTheme="majorHAnsi" w:hAnsiTheme="majorHAnsi"/>
          <w:sz w:val="20"/>
          <w:szCs w:val="20"/>
          <w:lang w:val="es-ES"/>
        </w:rPr>
        <w:t>Comisión n</w:t>
      </w:r>
      <w:r w:rsidRPr="00F84AB1">
        <w:rPr>
          <w:rFonts w:asciiTheme="majorHAnsi" w:hAnsiTheme="majorHAnsi"/>
          <w:sz w:val="20"/>
          <w:szCs w:val="20"/>
          <w:lang w:val="es-ES"/>
        </w:rPr>
        <w:t xml:space="preserve">otificó </w:t>
      </w:r>
      <w:r w:rsidR="00DA1E4D" w:rsidRPr="00F84AB1">
        <w:rPr>
          <w:rFonts w:asciiTheme="majorHAnsi" w:hAnsiTheme="majorHAnsi"/>
          <w:sz w:val="20"/>
          <w:szCs w:val="20"/>
          <w:lang w:val="es-ES"/>
        </w:rPr>
        <w:t>el</w:t>
      </w:r>
      <w:r w:rsidRPr="00F84AB1">
        <w:rPr>
          <w:rFonts w:asciiTheme="majorHAnsi" w:hAnsiTheme="majorHAnsi"/>
          <w:sz w:val="20"/>
          <w:szCs w:val="20"/>
          <w:lang w:val="es-ES"/>
        </w:rPr>
        <w:t xml:space="preserve"> 17 de noviembre de 2009 que procedía la solicitud de acumulación </w:t>
      </w:r>
      <w:r w:rsidR="00DA1E4D" w:rsidRPr="00F84AB1">
        <w:rPr>
          <w:rFonts w:asciiTheme="majorHAnsi" w:hAnsiTheme="majorHAnsi"/>
          <w:sz w:val="20"/>
          <w:szCs w:val="20"/>
          <w:lang w:val="es-ES"/>
        </w:rPr>
        <w:t>presentada, y que las peticiones serían acumuladas</w:t>
      </w:r>
      <w:r w:rsidRPr="00F84AB1">
        <w:rPr>
          <w:rFonts w:asciiTheme="majorHAnsi" w:hAnsiTheme="majorHAnsi"/>
          <w:sz w:val="20"/>
          <w:szCs w:val="20"/>
          <w:lang w:val="es-ES"/>
        </w:rPr>
        <w:t xml:space="preserve"> a la P 102-08.</w:t>
      </w:r>
    </w:p>
    <w:p w:rsidR="00256688" w:rsidRPr="00F84AB1" w:rsidRDefault="003D6917"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hAnsiTheme="majorHAnsi"/>
          <w:sz w:val="20"/>
          <w:szCs w:val="20"/>
          <w:lang w:val="es-ES"/>
        </w:rPr>
        <w:lastRenderedPageBreak/>
        <w:t>E</w:t>
      </w:r>
      <w:r w:rsidR="004B5AF6" w:rsidRPr="00F84AB1">
        <w:rPr>
          <w:rFonts w:asciiTheme="majorHAnsi" w:hAnsiTheme="majorHAnsi"/>
          <w:sz w:val="20"/>
          <w:szCs w:val="20"/>
          <w:lang w:val="es-ES"/>
        </w:rPr>
        <w:t xml:space="preserve">l 15 de abril de 2010, </w:t>
      </w:r>
      <w:r w:rsidR="00933C3A" w:rsidRPr="00F84AB1">
        <w:rPr>
          <w:rFonts w:asciiTheme="majorHAnsi" w:hAnsiTheme="majorHAnsi"/>
          <w:sz w:val="20"/>
          <w:szCs w:val="20"/>
          <w:lang w:val="es-ES"/>
        </w:rPr>
        <w:t xml:space="preserve">la Comisión notificó a los peticionarios que la petición presentada por la AFDD y sus acumuladas </w:t>
      </w:r>
      <w:r w:rsidR="0078787E" w:rsidRPr="00F84AB1">
        <w:rPr>
          <w:rFonts w:asciiTheme="majorHAnsi" w:hAnsiTheme="majorHAnsi"/>
          <w:sz w:val="20"/>
          <w:szCs w:val="20"/>
          <w:lang w:val="es-ES"/>
        </w:rPr>
        <w:t>(</w:t>
      </w:r>
      <w:r w:rsidR="007B6049" w:rsidRPr="00F84AB1">
        <w:rPr>
          <w:rFonts w:asciiTheme="majorHAnsi" w:hAnsiTheme="majorHAnsi"/>
          <w:sz w:val="20"/>
          <w:szCs w:val="20"/>
          <w:lang w:val="es-ES"/>
        </w:rPr>
        <w:t>P-</w:t>
      </w:r>
      <w:r w:rsidR="00933C3A" w:rsidRPr="00F84AB1">
        <w:rPr>
          <w:rFonts w:asciiTheme="majorHAnsi" w:hAnsiTheme="majorHAnsi"/>
          <w:sz w:val="20"/>
          <w:szCs w:val="20"/>
          <w:lang w:val="es-ES"/>
        </w:rPr>
        <w:t xml:space="preserve">102-08) serían </w:t>
      </w:r>
      <w:r w:rsidR="00270709" w:rsidRPr="00F84AB1">
        <w:rPr>
          <w:rFonts w:asciiTheme="majorHAnsi" w:hAnsiTheme="majorHAnsi"/>
          <w:sz w:val="20"/>
          <w:szCs w:val="20"/>
          <w:lang w:val="es-ES"/>
        </w:rPr>
        <w:t xml:space="preserve">acumuladas </w:t>
      </w:r>
      <w:r w:rsidR="00DA1E4D" w:rsidRPr="00F84AB1">
        <w:rPr>
          <w:rFonts w:asciiTheme="majorHAnsi" w:hAnsiTheme="majorHAnsi"/>
          <w:sz w:val="20"/>
          <w:szCs w:val="20"/>
          <w:lang w:val="es-ES"/>
        </w:rPr>
        <w:t xml:space="preserve">a su vez </w:t>
      </w:r>
      <w:r w:rsidR="00270709" w:rsidRPr="00F84AB1">
        <w:rPr>
          <w:rFonts w:asciiTheme="majorHAnsi" w:hAnsiTheme="majorHAnsi"/>
          <w:sz w:val="20"/>
          <w:szCs w:val="20"/>
          <w:lang w:val="es-ES"/>
        </w:rPr>
        <w:t xml:space="preserve">a una petición </w:t>
      </w:r>
      <w:r w:rsidR="00126C2F" w:rsidRPr="00F84AB1">
        <w:rPr>
          <w:rFonts w:asciiTheme="majorHAnsi" w:hAnsiTheme="majorHAnsi"/>
          <w:sz w:val="20"/>
          <w:szCs w:val="20"/>
          <w:lang w:val="es-ES"/>
        </w:rPr>
        <w:t xml:space="preserve">presentada </w:t>
      </w:r>
      <w:r w:rsidR="008923BC" w:rsidRPr="00F84AB1">
        <w:rPr>
          <w:rFonts w:asciiTheme="majorHAnsi" w:hAnsiTheme="majorHAnsi"/>
          <w:sz w:val="20"/>
          <w:szCs w:val="20"/>
          <w:lang w:val="es-ES"/>
        </w:rPr>
        <w:t xml:space="preserve">el 26 de noviembre de 2004 </w:t>
      </w:r>
      <w:r w:rsidR="00256688" w:rsidRPr="00F84AB1">
        <w:rPr>
          <w:rFonts w:asciiTheme="majorHAnsi" w:hAnsiTheme="majorHAnsi"/>
          <w:sz w:val="20"/>
          <w:szCs w:val="20"/>
          <w:lang w:val="es-ES"/>
        </w:rPr>
        <w:t xml:space="preserve">por el señor Adil Brkovic en favor de la presunta </w:t>
      </w:r>
      <w:r w:rsidR="00126C2F" w:rsidRPr="00F84AB1">
        <w:rPr>
          <w:rFonts w:asciiTheme="majorHAnsi" w:hAnsiTheme="majorHAnsi"/>
          <w:sz w:val="20"/>
          <w:szCs w:val="20"/>
          <w:lang w:val="es-ES"/>
        </w:rPr>
        <w:t>víctima Juan Luis Rivera Matus</w:t>
      </w:r>
      <w:r w:rsidR="00256688" w:rsidRPr="00F84AB1">
        <w:rPr>
          <w:rFonts w:asciiTheme="majorHAnsi" w:hAnsiTheme="majorHAnsi"/>
          <w:sz w:val="20"/>
          <w:szCs w:val="20"/>
          <w:lang w:val="es-ES"/>
        </w:rPr>
        <w:t xml:space="preserve"> y sus familiares</w:t>
      </w:r>
      <w:r w:rsidR="00126C2F" w:rsidRPr="00F84AB1">
        <w:rPr>
          <w:rFonts w:asciiTheme="majorHAnsi" w:hAnsiTheme="majorHAnsi"/>
          <w:sz w:val="20"/>
          <w:szCs w:val="20"/>
          <w:lang w:val="es-ES"/>
        </w:rPr>
        <w:t xml:space="preserve">, </w:t>
      </w:r>
      <w:r w:rsidR="00270709" w:rsidRPr="00F84AB1">
        <w:rPr>
          <w:rFonts w:asciiTheme="majorHAnsi" w:hAnsiTheme="majorHAnsi"/>
          <w:sz w:val="20"/>
          <w:szCs w:val="20"/>
          <w:lang w:val="es-ES"/>
        </w:rPr>
        <w:t>identificada</w:t>
      </w:r>
      <w:r w:rsidR="007B6049" w:rsidRPr="00F84AB1">
        <w:rPr>
          <w:rFonts w:asciiTheme="majorHAnsi" w:hAnsiTheme="majorHAnsi"/>
          <w:sz w:val="20"/>
          <w:szCs w:val="20"/>
          <w:lang w:val="es-ES"/>
        </w:rPr>
        <w:t xml:space="preserve"> con el número P-</w:t>
      </w:r>
      <w:r w:rsidR="00933C3A" w:rsidRPr="00F84AB1">
        <w:rPr>
          <w:rFonts w:asciiTheme="majorHAnsi" w:hAnsiTheme="majorHAnsi"/>
          <w:sz w:val="20"/>
          <w:szCs w:val="20"/>
          <w:lang w:val="es-ES"/>
        </w:rPr>
        <w:t xml:space="preserve">1275-04. </w:t>
      </w:r>
    </w:p>
    <w:p w:rsidR="00540BFB" w:rsidRPr="00F84AB1" w:rsidRDefault="00540BFB"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hAnsiTheme="majorHAnsi"/>
          <w:sz w:val="20"/>
          <w:szCs w:val="20"/>
          <w:lang w:val="es-ES"/>
        </w:rPr>
        <w:t>El 27 de abril de 2011 la CIDH transmitió copia de las partes pertinentes al Estado otorgándole un plazo de dos meses para someter sus observaciones, con base en el artículo 30</w:t>
      </w:r>
      <w:r w:rsidR="009A77BA" w:rsidRPr="00F84AB1">
        <w:rPr>
          <w:rFonts w:asciiTheme="majorHAnsi" w:hAnsiTheme="majorHAnsi"/>
          <w:sz w:val="20"/>
          <w:szCs w:val="20"/>
          <w:lang w:val="es-ES"/>
        </w:rPr>
        <w:t>.3</w:t>
      </w:r>
      <w:r w:rsidRPr="00F84AB1">
        <w:rPr>
          <w:rFonts w:asciiTheme="majorHAnsi" w:hAnsiTheme="majorHAnsi"/>
          <w:sz w:val="20"/>
          <w:szCs w:val="20"/>
          <w:lang w:val="es-ES"/>
        </w:rPr>
        <w:t xml:space="preserve"> de su Reglamento entonces en vigor. El 7 de julio de 2011 la Comisión otorgó una prórroga a solicitud del Estado. El 6 de diciembre de 2012, la CIDH remitió al Estado informaciones adicionales y solicitó sus observaciones en el plazo de un mes. El 6 de agosto de 2013 la Comisión reiteró al Estado la solicitud de observaciones. El 5 de mayo de 2014 se recibió la respuesta del Estado, la cual fue trasladada a los peticionarios el 18 de junio de 2014.</w:t>
      </w:r>
      <w:r w:rsidR="00F642A4" w:rsidRPr="00F84AB1">
        <w:rPr>
          <w:rFonts w:asciiTheme="majorHAnsi" w:hAnsiTheme="majorHAnsi"/>
          <w:sz w:val="20"/>
          <w:szCs w:val="20"/>
          <w:lang w:val="es-ES"/>
        </w:rPr>
        <w:t xml:space="preserve"> </w:t>
      </w:r>
    </w:p>
    <w:p w:rsidR="001E758E" w:rsidRPr="00F84AB1" w:rsidRDefault="00540BFB" w:rsidP="008F78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hAnsiTheme="majorHAnsi"/>
          <w:sz w:val="20"/>
          <w:szCs w:val="20"/>
          <w:lang w:val="es-ES"/>
        </w:rPr>
        <w:t xml:space="preserve">El </w:t>
      </w:r>
      <w:r w:rsidR="00DC4377" w:rsidRPr="00F84AB1">
        <w:rPr>
          <w:rFonts w:asciiTheme="majorHAnsi" w:hAnsiTheme="majorHAnsi"/>
          <w:sz w:val="20"/>
          <w:szCs w:val="20"/>
          <w:lang w:val="es-ES"/>
        </w:rPr>
        <w:t>9 de octubre de 2015</w:t>
      </w:r>
      <w:r w:rsidRPr="00F84AB1">
        <w:rPr>
          <w:rFonts w:asciiTheme="majorHAnsi" w:hAnsiTheme="majorHAnsi"/>
          <w:sz w:val="20"/>
          <w:szCs w:val="20"/>
          <w:lang w:val="es-ES"/>
        </w:rPr>
        <w:t xml:space="preserve"> la Secretaría Ejecutiva d</w:t>
      </w:r>
      <w:r w:rsidR="008F78D4" w:rsidRPr="00F84AB1">
        <w:rPr>
          <w:rFonts w:asciiTheme="majorHAnsi" w:hAnsiTheme="majorHAnsi"/>
          <w:sz w:val="20"/>
          <w:szCs w:val="20"/>
          <w:lang w:val="es-ES"/>
        </w:rPr>
        <w:t>e la CIDH notificó a las partes</w:t>
      </w:r>
      <w:r w:rsidRPr="00F84AB1">
        <w:rPr>
          <w:rFonts w:asciiTheme="majorHAnsi" w:hAnsiTheme="majorHAnsi"/>
          <w:sz w:val="20"/>
          <w:szCs w:val="20"/>
          <w:lang w:val="es-ES"/>
        </w:rPr>
        <w:t xml:space="preserve"> su decisión de desacumular las peticiones que no decían relación con la presunta víctima Juan Luis Rivera Matus, de conformidad con lo establecido por el artículo 29.4 del Reglamento de la Comisión</w:t>
      </w:r>
      <w:r w:rsidR="00126C2F" w:rsidRPr="00F84AB1">
        <w:rPr>
          <w:rFonts w:asciiTheme="majorHAnsi" w:hAnsiTheme="majorHAnsi"/>
          <w:sz w:val="20"/>
          <w:szCs w:val="20"/>
          <w:lang w:val="es-ES"/>
        </w:rPr>
        <w:t xml:space="preserve">, asignándole </w:t>
      </w:r>
      <w:r w:rsidR="005F3EF0" w:rsidRPr="00F84AB1">
        <w:rPr>
          <w:rFonts w:asciiTheme="majorHAnsi" w:hAnsiTheme="majorHAnsi"/>
          <w:sz w:val="20"/>
          <w:szCs w:val="20"/>
          <w:lang w:val="es-ES"/>
        </w:rPr>
        <w:t>el nú</w:t>
      </w:r>
      <w:r w:rsidR="00126C2F" w:rsidRPr="00F84AB1">
        <w:rPr>
          <w:rFonts w:asciiTheme="majorHAnsi" w:hAnsiTheme="majorHAnsi"/>
          <w:sz w:val="20"/>
          <w:szCs w:val="20"/>
          <w:lang w:val="es-ES"/>
        </w:rPr>
        <w:t>mero P 1566-08</w:t>
      </w:r>
      <w:r w:rsidR="002B0D08" w:rsidRPr="00F84AB1">
        <w:rPr>
          <w:rFonts w:asciiTheme="majorHAnsi" w:hAnsiTheme="majorHAnsi"/>
          <w:sz w:val="20"/>
          <w:szCs w:val="20"/>
          <w:lang w:val="es-ES"/>
        </w:rPr>
        <w:t xml:space="preserve"> a la denuncia recibida el 3 de marzo de 2008, así como a sus posteriores</w:t>
      </w:r>
      <w:r w:rsidR="00C3628C" w:rsidRPr="00F84AB1">
        <w:rPr>
          <w:rFonts w:asciiTheme="majorHAnsi" w:hAnsiTheme="majorHAnsi"/>
          <w:sz w:val="20"/>
          <w:szCs w:val="20"/>
          <w:lang w:val="es-ES"/>
        </w:rPr>
        <w:t>, y manteniendo los asuntos vinculados al señor Rivera bajo el número P 1275-04</w:t>
      </w:r>
      <w:r w:rsidRPr="00F84AB1">
        <w:rPr>
          <w:rFonts w:asciiTheme="majorHAnsi" w:hAnsiTheme="majorHAnsi"/>
          <w:sz w:val="20"/>
          <w:szCs w:val="20"/>
          <w:lang w:val="es-ES"/>
        </w:rPr>
        <w:t>.</w:t>
      </w:r>
      <w:r w:rsidR="00DA1E4D" w:rsidRPr="00F84AB1">
        <w:rPr>
          <w:rFonts w:asciiTheme="majorHAnsi" w:hAnsiTheme="majorHAnsi"/>
          <w:sz w:val="20"/>
          <w:szCs w:val="20"/>
          <w:lang w:val="es-ES"/>
        </w:rPr>
        <w:t xml:space="preserve"> </w:t>
      </w:r>
      <w:r w:rsidR="001E758E" w:rsidRPr="00F84AB1">
        <w:rPr>
          <w:rFonts w:asciiTheme="majorHAnsi" w:hAnsiTheme="majorHAnsi"/>
          <w:sz w:val="20"/>
          <w:szCs w:val="20"/>
          <w:lang w:val="es-ES"/>
        </w:rPr>
        <w:t xml:space="preserve">Lo anterior, en virtud que la petición </w:t>
      </w:r>
      <w:r w:rsidR="00B00C44" w:rsidRPr="00F84AB1">
        <w:rPr>
          <w:rFonts w:asciiTheme="majorHAnsi" w:hAnsiTheme="majorHAnsi"/>
          <w:sz w:val="20"/>
          <w:szCs w:val="20"/>
          <w:lang w:val="es-ES"/>
        </w:rPr>
        <w:t xml:space="preserve">original </w:t>
      </w:r>
      <w:r w:rsidR="001E758E" w:rsidRPr="00F84AB1">
        <w:rPr>
          <w:rFonts w:asciiTheme="majorHAnsi" w:hAnsiTheme="majorHAnsi"/>
          <w:sz w:val="20"/>
          <w:szCs w:val="20"/>
          <w:lang w:val="es-ES"/>
        </w:rPr>
        <w:t>presentada en representación del señor Juan Luis Rivera</w:t>
      </w:r>
      <w:r w:rsidR="00B00C44" w:rsidRPr="00F84AB1">
        <w:rPr>
          <w:rFonts w:asciiTheme="majorHAnsi" w:hAnsiTheme="majorHAnsi"/>
          <w:sz w:val="20"/>
          <w:szCs w:val="20"/>
          <w:lang w:val="es-ES"/>
        </w:rPr>
        <w:t>,</w:t>
      </w:r>
      <w:r w:rsidR="001E758E" w:rsidRPr="00F84AB1">
        <w:rPr>
          <w:rFonts w:asciiTheme="majorHAnsi" w:hAnsiTheme="majorHAnsi"/>
          <w:sz w:val="20"/>
          <w:szCs w:val="20"/>
          <w:lang w:val="es-ES"/>
        </w:rPr>
        <w:t xml:space="preserve"> se refiere a hechos relacionados con aspectos de reparación civil</w:t>
      </w:r>
      <w:r w:rsidR="00B00C44" w:rsidRPr="00F84AB1">
        <w:rPr>
          <w:rFonts w:asciiTheme="majorHAnsi" w:hAnsiTheme="majorHAnsi"/>
          <w:sz w:val="20"/>
          <w:szCs w:val="20"/>
          <w:lang w:val="es-ES"/>
        </w:rPr>
        <w:t xml:space="preserve">, acumulándose </w:t>
      </w:r>
      <w:r w:rsidR="006D4605" w:rsidRPr="00F84AB1">
        <w:rPr>
          <w:rFonts w:asciiTheme="majorHAnsi" w:hAnsiTheme="majorHAnsi"/>
          <w:sz w:val="20"/>
          <w:szCs w:val="20"/>
          <w:lang w:val="es-ES"/>
        </w:rPr>
        <w:t>en un só</w:t>
      </w:r>
      <w:r w:rsidR="00B00C44" w:rsidRPr="00F84AB1">
        <w:rPr>
          <w:rFonts w:asciiTheme="majorHAnsi" w:hAnsiTheme="majorHAnsi"/>
          <w:sz w:val="20"/>
          <w:szCs w:val="20"/>
          <w:lang w:val="es-ES"/>
        </w:rPr>
        <w:t>lo asunto entonces, las denuncias recibidas el 26 de noviembre de 2004 (vinculada a aspectos de reparación en materia civil) y el 28 de enero de 2008 (vinculada a la aplicación de la media prescripción en materia penal), ambas en favor del señor Rivera</w:t>
      </w:r>
      <w:r w:rsidR="006D4605" w:rsidRPr="00F84AB1">
        <w:rPr>
          <w:rFonts w:asciiTheme="majorHAnsi" w:hAnsiTheme="majorHAnsi"/>
          <w:sz w:val="20"/>
          <w:szCs w:val="20"/>
          <w:lang w:val="es-ES"/>
        </w:rPr>
        <w:t>. En consecuencia,</w:t>
      </w:r>
      <w:r w:rsidR="001E758E" w:rsidRPr="00F84AB1">
        <w:rPr>
          <w:rFonts w:asciiTheme="majorHAnsi" w:hAnsiTheme="majorHAnsi"/>
          <w:sz w:val="20"/>
          <w:szCs w:val="20"/>
          <w:lang w:val="es-ES"/>
        </w:rPr>
        <w:t xml:space="preserve"> las peticiones presentadas con posterioridad</w:t>
      </w:r>
      <w:r w:rsidR="00B00C44" w:rsidRPr="00F84AB1">
        <w:rPr>
          <w:rFonts w:asciiTheme="majorHAnsi" w:hAnsiTheme="majorHAnsi"/>
          <w:sz w:val="20"/>
          <w:szCs w:val="20"/>
          <w:lang w:val="es-ES"/>
        </w:rPr>
        <w:t xml:space="preserve"> por la AFDD,</w:t>
      </w:r>
      <w:r w:rsidR="001E758E" w:rsidRPr="00F84AB1">
        <w:rPr>
          <w:rFonts w:asciiTheme="majorHAnsi" w:hAnsiTheme="majorHAnsi"/>
          <w:sz w:val="20"/>
          <w:szCs w:val="20"/>
          <w:lang w:val="es-ES"/>
        </w:rPr>
        <w:t xml:space="preserve"> </w:t>
      </w:r>
      <w:r w:rsidR="006D4605" w:rsidRPr="00F84AB1">
        <w:rPr>
          <w:rFonts w:asciiTheme="majorHAnsi" w:hAnsiTheme="majorHAnsi"/>
          <w:sz w:val="20"/>
          <w:szCs w:val="20"/>
          <w:lang w:val="es-ES"/>
        </w:rPr>
        <w:t>que</w:t>
      </w:r>
      <w:r w:rsidR="001E758E" w:rsidRPr="00F84AB1">
        <w:rPr>
          <w:rFonts w:asciiTheme="majorHAnsi" w:hAnsiTheme="majorHAnsi"/>
          <w:sz w:val="20"/>
          <w:szCs w:val="20"/>
          <w:lang w:val="es-ES"/>
        </w:rPr>
        <w:t xml:space="preserve"> refieren exclusivamente a </w:t>
      </w:r>
      <w:r w:rsidR="006D4605" w:rsidRPr="00F84AB1">
        <w:rPr>
          <w:rFonts w:asciiTheme="majorHAnsi" w:hAnsiTheme="majorHAnsi"/>
          <w:sz w:val="20"/>
          <w:szCs w:val="20"/>
          <w:lang w:val="es-ES"/>
        </w:rPr>
        <w:t xml:space="preserve">la aplicación de la media prescripción en materia penal </w:t>
      </w:r>
      <w:r w:rsidR="00A73220" w:rsidRPr="00F84AB1">
        <w:rPr>
          <w:rFonts w:asciiTheme="majorHAnsi" w:hAnsiTheme="majorHAnsi"/>
          <w:sz w:val="20"/>
          <w:szCs w:val="20"/>
          <w:lang w:val="es-ES"/>
        </w:rPr>
        <w:t xml:space="preserve">y que no dicen relación con </w:t>
      </w:r>
      <w:r w:rsidR="0077652E" w:rsidRPr="00F84AB1">
        <w:rPr>
          <w:rFonts w:asciiTheme="majorHAnsi" w:hAnsiTheme="majorHAnsi"/>
          <w:sz w:val="20"/>
          <w:szCs w:val="20"/>
          <w:lang w:val="es-ES"/>
        </w:rPr>
        <w:t>el señor</w:t>
      </w:r>
      <w:r w:rsidR="00A73220" w:rsidRPr="00F84AB1">
        <w:rPr>
          <w:rFonts w:asciiTheme="majorHAnsi" w:hAnsiTheme="majorHAnsi"/>
          <w:sz w:val="20"/>
          <w:szCs w:val="20"/>
          <w:lang w:val="es-ES"/>
        </w:rPr>
        <w:t xml:space="preserve"> Rivera y sus familiares, </w:t>
      </w:r>
      <w:r w:rsidR="006D4605" w:rsidRPr="00F84AB1">
        <w:rPr>
          <w:rFonts w:asciiTheme="majorHAnsi" w:hAnsiTheme="majorHAnsi"/>
          <w:sz w:val="20"/>
          <w:szCs w:val="20"/>
          <w:lang w:val="es-ES"/>
        </w:rPr>
        <w:t>quedaron acumuladas bajo la P 1566-08</w:t>
      </w:r>
      <w:r w:rsidR="001E758E" w:rsidRPr="00F84AB1">
        <w:rPr>
          <w:rFonts w:asciiTheme="majorHAnsi" w:hAnsiTheme="majorHAnsi"/>
          <w:sz w:val="20"/>
          <w:szCs w:val="20"/>
          <w:lang w:val="es-ES"/>
        </w:rPr>
        <w:t>.</w:t>
      </w:r>
    </w:p>
    <w:p w:rsidR="00540BFB" w:rsidRPr="00F84AB1" w:rsidRDefault="003F6F88" w:rsidP="008F78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hAnsiTheme="majorHAnsi"/>
          <w:sz w:val="20"/>
          <w:szCs w:val="20"/>
          <w:lang w:val="es-ES"/>
        </w:rPr>
        <w:t>Adicionalmente</w:t>
      </w:r>
      <w:r w:rsidR="00DA1E4D" w:rsidRPr="00F84AB1">
        <w:rPr>
          <w:rFonts w:asciiTheme="majorHAnsi" w:hAnsiTheme="majorHAnsi"/>
          <w:sz w:val="20"/>
          <w:szCs w:val="20"/>
          <w:lang w:val="es-ES"/>
        </w:rPr>
        <w:t xml:space="preserve">, </w:t>
      </w:r>
      <w:r w:rsidR="001A60AF" w:rsidRPr="00F84AB1">
        <w:rPr>
          <w:rFonts w:asciiTheme="majorHAnsi" w:hAnsiTheme="majorHAnsi"/>
          <w:sz w:val="20"/>
          <w:szCs w:val="20"/>
          <w:lang w:val="es-ES"/>
        </w:rPr>
        <w:t>el 9 de octubre de 2015</w:t>
      </w:r>
      <w:r w:rsidR="00DA1E4D" w:rsidRPr="00F84AB1">
        <w:rPr>
          <w:rFonts w:asciiTheme="majorHAnsi" w:hAnsiTheme="majorHAnsi"/>
          <w:sz w:val="20"/>
          <w:szCs w:val="20"/>
          <w:lang w:val="es-ES"/>
        </w:rPr>
        <w:t xml:space="preserve"> se traslad</w:t>
      </w:r>
      <w:r w:rsidR="00C3628C" w:rsidRPr="00F84AB1">
        <w:rPr>
          <w:rFonts w:asciiTheme="majorHAnsi" w:hAnsiTheme="majorHAnsi"/>
          <w:sz w:val="20"/>
          <w:szCs w:val="20"/>
          <w:lang w:val="es-ES"/>
        </w:rPr>
        <w:t>aron</w:t>
      </w:r>
      <w:r w:rsidR="00DA1E4D" w:rsidRPr="00F84AB1">
        <w:rPr>
          <w:rFonts w:asciiTheme="majorHAnsi" w:hAnsiTheme="majorHAnsi"/>
          <w:sz w:val="20"/>
          <w:szCs w:val="20"/>
          <w:lang w:val="es-ES"/>
        </w:rPr>
        <w:t xml:space="preserve"> al Estado las denuncias </w:t>
      </w:r>
      <w:r w:rsidR="009A075C" w:rsidRPr="00F84AB1">
        <w:rPr>
          <w:rFonts w:asciiTheme="majorHAnsi" w:hAnsiTheme="majorHAnsi"/>
          <w:sz w:val="20"/>
          <w:szCs w:val="20"/>
          <w:lang w:val="es-ES"/>
        </w:rPr>
        <w:t>presentadas el 16 de agosto de 2010, las cuales también fueron acumuladas a la petición P 1566-08. El Estado remitió escrito de respuesta a dich</w:t>
      </w:r>
      <w:r w:rsidR="00721611" w:rsidRPr="00F84AB1">
        <w:rPr>
          <w:rFonts w:asciiTheme="majorHAnsi" w:hAnsiTheme="majorHAnsi"/>
          <w:sz w:val="20"/>
          <w:szCs w:val="20"/>
          <w:lang w:val="es-ES"/>
        </w:rPr>
        <w:t>o traslado el 7 de enero de 2016</w:t>
      </w:r>
      <w:r w:rsidR="001A60AF" w:rsidRPr="00F84AB1">
        <w:rPr>
          <w:rFonts w:asciiTheme="majorHAnsi" w:hAnsiTheme="majorHAnsi"/>
          <w:sz w:val="20"/>
          <w:szCs w:val="20"/>
          <w:lang w:val="es-ES"/>
        </w:rPr>
        <w:t xml:space="preserve">, el cual </w:t>
      </w:r>
      <w:r w:rsidR="009A075C" w:rsidRPr="00F84AB1">
        <w:rPr>
          <w:rFonts w:asciiTheme="majorHAnsi" w:hAnsiTheme="majorHAnsi"/>
          <w:sz w:val="20"/>
          <w:szCs w:val="20"/>
          <w:lang w:val="es-ES"/>
        </w:rPr>
        <w:t xml:space="preserve">fue remitido a los peticionarios </w:t>
      </w:r>
      <w:r w:rsidR="001A60AF" w:rsidRPr="00F84AB1">
        <w:rPr>
          <w:rFonts w:asciiTheme="majorHAnsi" w:hAnsiTheme="majorHAnsi"/>
          <w:sz w:val="20"/>
          <w:szCs w:val="20"/>
          <w:lang w:val="es-ES"/>
        </w:rPr>
        <w:t>el</w:t>
      </w:r>
      <w:r w:rsidR="009A075C" w:rsidRPr="00F84AB1">
        <w:rPr>
          <w:rFonts w:asciiTheme="majorHAnsi" w:hAnsiTheme="majorHAnsi"/>
          <w:sz w:val="20"/>
          <w:szCs w:val="20"/>
          <w:lang w:val="es-ES"/>
        </w:rPr>
        <w:t xml:space="preserve"> </w:t>
      </w:r>
      <w:r w:rsidR="00CB59C3" w:rsidRPr="00F84AB1">
        <w:rPr>
          <w:rFonts w:asciiTheme="majorHAnsi" w:hAnsiTheme="majorHAnsi"/>
          <w:sz w:val="20"/>
          <w:szCs w:val="20"/>
          <w:lang w:val="es-ES"/>
        </w:rPr>
        <w:t>17 de febrero de 2016.</w:t>
      </w:r>
    </w:p>
    <w:p w:rsidR="004A03E9" w:rsidRPr="00F84AB1" w:rsidRDefault="005F7586" w:rsidP="009D117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hAnsiTheme="majorHAnsi"/>
          <w:sz w:val="20"/>
          <w:szCs w:val="20"/>
          <w:lang w:val="es-ES"/>
        </w:rPr>
        <w:t>El 27 de julio de 20</w:t>
      </w:r>
      <w:r w:rsidR="00FB3CF0" w:rsidRPr="00F84AB1">
        <w:rPr>
          <w:rFonts w:asciiTheme="majorHAnsi" w:hAnsiTheme="majorHAnsi"/>
          <w:sz w:val="20"/>
          <w:szCs w:val="20"/>
          <w:lang w:val="es-ES"/>
        </w:rPr>
        <w:t>1</w:t>
      </w:r>
      <w:r w:rsidRPr="00F84AB1">
        <w:rPr>
          <w:rFonts w:asciiTheme="majorHAnsi" w:hAnsiTheme="majorHAnsi"/>
          <w:sz w:val="20"/>
          <w:szCs w:val="20"/>
          <w:lang w:val="es-ES"/>
        </w:rPr>
        <w:t xml:space="preserve">6, y en base a la solicitud expresada por el peticionario y </w:t>
      </w:r>
      <w:r w:rsidR="0038083A" w:rsidRPr="00F84AB1">
        <w:rPr>
          <w:rFonts w:asciiTheme="majorHAnsi" w:hAnsiTheme="majorHAnsi"/>
          <w:sz w:val="20"/>
          <w:szCs w:val="20"/>
          <w:lang w:val="es-ES"/>
        </w:rPr>
        <w:t>contestada</w:t>
      </w:r>
      <w:r w:rsidR="002D5913" w:rsidRPr="00F84AB1">
        <w:rPr>
          <w:rFonts w:asciiTheme="majorHAnsi" w:hAnsiTheme="majorHAnsi"/>
          <w:sz w:val="20"/>
          <w:szCs w:val="20"/>
          <w:lang w:val="es-ES"/>
        </w:rPr>
        <w:t xml:space="preserve"> por </w:t>
      </w:r>
      <w:r w:rsidRPr="00F84AB1">
        <w:rPr>
          <w:rFonts w:asciiTheme="majorHAnsi" w:hAnsiTheme="majorHAnsi"/>
          <w:sz w:val="20"/>
          <w:szCs w:val="20"/>
          <w:lang w:val="es-ES"/>
        </w:rPr>
        <w:t>el Estado</w:t>
      </w:r>
      <w:r w:rsidR="002D5913" w:rsidRPr="00F84AB1">
        <w:rPr>
          <w:rFonts w:asciiTheme="majorHAnsi" w:hAnsiTheme="majorHAnsi"/>
          <w:sz w:val="20"/>
          <w:szCs w:val="20"/>
          <w:lang w:val="es-ES"/>
        </w:rPr>
        <w:t>, en el sentido</w:t>
      </w:r>
      <w:r w:rsidR="0038083A" w:rsidRPr="00F84AB1">
        <w:rPr>
          <w:rFonts w:asciiTheme="majorHAnsi" w:hAnsiTheme="majorHAnsi"/>
          <w:sz w:val="20"/>
          <w:szCs w:val="20"/>
          <w:lang w:val="es-ES"/>
        </w:rPr>
        <w:t xml:space="preserve"> de alcanzar un</w:t>
      </w:r>
      <w:r w:rsidRPr="00F84AB1">
        <w:rPr>
          <w:rFonts w:asciiTheme="majorHAnsi" w:hAnsiTheme="majorHAnsi"/>
          <w:sz w:val="20"/>
          <w:szCs w:val="20"/>
          <w:lang w:val="es-ES"/>
        </w:rPr>
        <w:t xml:space="preserve"> acuerdo de solución amistosa, el cual la parte p</w:t>
      </w:r>
      <w:r w:rsidR="0038083A" w:rsidRPr="00F84AB1">
        <w:rPr>
          <w:rFonts w:asciiTheme="majorHAnsi" w:hAnsiTheme="majorHAnsi"/>
          <w:sz w:val="20"/>
          <w:szCs w:val="20"/>
          <w:lang w:val="es-ES"/>
        </w:rPr>
        <w:t>eticionaria solicitó</w:t>
      </w:r>
      <w:r w:rsidR="002D5913" w:rsidRPr="00F84AB1">
        <w:rPr>
          <w:rFonts w:asciiTheme="majorHAnsi" w:hAnsiTheme="majorHAnsi"/>
          <w:sz w:val="20"/>
          <w:szCs w:val="20"/>
          <w:lang w:val="es-ES"/>
        </w:rPr>
        <w:t xml:space="preserve"> se adscriba </w:t>
      </w:r>
      <w:r w:rsidR="00E72BE1" w:rsidRPr="00F84AB1">
        <w:rPr>
          <w:rFonts w:asciiTheme="majorHAnsi" w:hAnsiTheme="majorHAnsi"/>
          <w:sz w:val="20"/>
          <w:szCs w:val="20"/>
          <w:lang w:val="es-ES"/>
        </w:rPr>
        <w:t>exclusivamente a</w:t>
      </w:r>
      <w:r w:rsidRPr="00F84AB1">
        <w:rPr>
          <w:rFonts w:asciiTheme="majorHAnsi" w:hAnsiTheme="majorHAnsi"/>
          <w:sz w:val="20"/>
          <w:szCs w:val="20"/>
          <w:lang w:val="es-ES"/>
        </w:rPr>
        <w:t>l aspecto</w:t>
      </w:r>
      <w:r w:rsidR="00E72BE1" w:rsidRPr="00F84AB1">
        <w:rPr>
          <w:rFonts w:asciiTheme="majorHAnsi" w:hAnsiTheme="majorHAnsi"/>
          <w:sz w:val="20"/>
          <w:szCs w:val="20"/>
          <w:lang w:val="es-ES"/>
        </w:rPr>
        <w:t xml:space="preserve"> vinculado a la declaración judicial de prescripción de la acción en materia</w:t>
      </w:r>
      <w:r w:rsidRPr="00F84AB1">
        <w:rPr>
          <w:rFonts w:asciiTheme="majorHAnsi" w:hAnsiTheme="majorHAnsi"/>
          <w:sz w:val="20"/>
          <w:szCs w:val="20"/>
          <w:lang w:val="es-ES"/>
        </w:rPr>
        <w:t xml:space="preserve"> civil</w:t>
      </w:r>
      <w:r w:rsidR="00C3628C" w:rsidRPr="00F84AB1">
        <w:rPr>
          <w:rFonts w:asciiTheme="majorHAnsi" w:hAnsiTheme="majorHAnsi"/>
          <w:sz w:val="20"/>
          <w:szCs w:val="20"/>
          <w:lang w:val="es-ES"/>
        </w:rPr>
        <w:t xml:space="preserve"> relativa al asunto del señor Rivera</w:t>
      </w:r>
      <w:r w:rsidRPr="00F84AB1">
        <w:rPr>
          <w:rFonts w:asciiTheme="majorHAnsi" w:hAnsiTheme="majorHAnsi"/>
          <w:sz w:val="20"/>
          <w:szCs w:val="20"/>
          <w:lang w:val="es-ES"/>
        </w:rPr>
        <w:t>, la Comisión decidió que dicho proceso de solución amistosa se tramitara por vía separada bajo el número de petición P 1275-04 A. Por otra parte, la Comisión informó a las partes, que los aspectos de la denuncia presentada en cuanto a los alegatos relativos a materia penal</w:t>
      </w:r>
      <w:r w:rsidR="00E72BE1" w:rsidRPr="00F84AB1">
        <w:rPr>
          <w:rFonts w:asciiTheme="majorHAnsi" w:hAnsiTheme="majorHAnsi"/>
          <w:sz w:val="20"/>
          <w:szCs w:val="20"/>
          <w:lang w:val="es-ES"/>
        </w:rPr>
        <w:t xml:space="preserve"> y la procedencia de la denominada media prescripción</w:t>
      </w:r>
      <w:r w:rsidRPr="00F84AB1">
        <w:rPr>
          <w:rFonts w:asciiTheme="majorHAnsi" w:hAnsiTheme="majorHAnsi"/>
          <w:sz w:val="20"/>
          <w:szCs w:val="20"/>
          <w:lang w:val="es-ES"/>
        </w:rPr>
        <w:t>, se tramitar</w:t>
      </w:r>
      <w:r w:rsidR="002D5913" w:rsidRPr="00F84AB1">
        <w:rPr>
          <w:rFonts w:asciiTheme="majorHAnsi" w:hAnsiTheme="majorHAnsi"/>
          <w:sz w:val="20"/>
          <w:szCs w:val="20"/>
          <w:lang w:val="es-ES"/>
        </w:rPr>
        <w:t>í</w:t>
      </w:r>
      <w:r w:rsidRPr="00F84AB1">
        <w:rPr>
          <w:rFonts w:asciiTheme="majorHAnsi" w:hAnsiTheme="majorHAnsi"/>
          <w:sz w:val="20"/>
          <w:szCs w:val="20"/>
          <w:lang w:val="es-ES"/>
        </w:rPr>
        <w:t>an bajo el número de petición P 1275-04 B.</w:t>
      </w:r>
      <w:r w:rsidR="00012631" w:rsidRPr="00F84AB1">
        <w:rPr>
          <w:rFonts w:asciiTheme="majorHAnsi" w:hAnsiTheme="majorHAnsi"/>
          <w:sz w:val="20"/>
          <w:szCs w:val="20"/>
          <w:lang w:val="es-ES"/>
        </w:rPr>
        <w:t xml:space="preserve"> </w:t>
      </w:r>
      <w:r w:rsidRPr="00F84AB1">
        <w:rPr>
          <w:rFonts w:asciiTheme="majorHAnsi" w:hAnsiTheme="majorHAnsi"/>
          <w:sz w:val="20"/>
          <w:szCs w:val="20"/>
          <w:lang w:val="es-ES"/>
        </w:rPr>
        <w:t xml:space="preserve"> </w:t>
      </w:r>
    </w:p>
    <w:p w:rsidR="002A14D6" w:rsidRPr="00F84AB1" w:rsidRDefault="002A14D6" w:rsidP="002A14D6">
      <w:pPr>
        <w:spacing w:after="240"/>
        <w:ind w:firstLine="720"/>
        <w:jc w:val="both"/>
        <w:rPr>
          <w:rFonts w:asciiTheme="majorHAnsi" w:hAnsiTheme="majorHAnsi"/>
          <w:b/>
          <w:bCs/>
          <w:sz w:val="20"/>
          <w:szCs w:val="20"/>
          <w:lang w:val="es-UY"/>
        </w:rPr>
      </w:pPr>
      <w:r w:rsidRPr="00F84AB1">
        <w:rPr>
          <w:rFonts w:asciiTheme="majorHAnsi" w:hAnsiTheme="majorHAnsi"/>
          <w:b/>
          <w:bCs/>
          <w:sz w:val="20"/>
          <w:szCs w:val="20"/>
          <w:lang w:val="es-UY"/>
        </w:rPr>
        <w:t>III.</w:t>
      </w:r>
      <w:r w:rsidRPr="00F84AB1">
        <w:rPr>
          <w:rFonts w:asciiTheme="majorHAnsi" w:hAnsiTheme="majorHAnsi"/>
          <w:b/>
          <w:bCs/>
          <w:sz w:val="20"/>
          <w:szCs w:val="20"/>
          <w:lang w:val="es-UY"/>
        </w:rPr>
        <w:tab/>
        <w:t>CONSIDERACIONES PREVIAS</w:t>
      </w:r>
    </w:p>
    <w:p w:rsidR="00C5419E" w:rsidRPr="00F84AB1" w:rsidRDefault="007B6049" w:rsidP="00C541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hAnsiTheme="majorHAnsi"/>
          <w:sz w:val="20"/>
          <w:szCs w:val="20"/>
          <w:lang w:val="es-ES"/>
        </w:rPr>
        <w:t>Atendido que la petición P-</w:t>
      </w:r>
      <w:r w:rsidR="00C5419E" w:rsidRPr="00F84AB1">
        <w:rPr>
          <w:rFonts w:asciiTheme="majorHAnsi" w:hAnsiTheme="majorHAnsi"/>
          <w:sz w:val="20"/>
          <w:szCs w:val="20"/>
          <w:lang w:val="es-ES"/>
        </w:rPr>
        <w:t>1275-04 B (presentada con fecha 28 de enero de 2008</w:t>
      </w:r>
      <w:r w:rsidR="00C66FFD" w:rsidRPr="00F84AB1">
        <w:rPr>
          <w:rFonts w:asciiTheme="majorHAnsi" w:hAnsiTheme="majorHAnsi"/>
          <w:sz w:val="20"/>
          <w:szCs w:val="20"/>
          <w:lang w:val="es-ES"/>
        </w:rPr>
        <w:t xml:space="preserve"> por la AFDD</w:t>
      </w:r>
      <w:r w:rsidR="00C5419E" w:rsidRPr="00F84AB1">
        <w:rPr>
          <w:rFonts w:asciiTheme="majorHAnsi" w:hAnsiTheme="majorHAnsi"/>
          <w:sz w:val="20"/>
          <w:szCs w:val="20"/>
          <w:lang w:val="es-ES"/>
        </w:rPr>
        <w:t xml:space="preserve">), </w:t>
      </w:r>
      <w:r w:rsidR="00C66FFD" w:rsidRPr="00F84AB1">
        <w:rPr>
          <w:rFonts w:asciiTheme="majorHAnsi" w:hAnsiTheme="majorHAnsi"/>
          <w:sz w:val="20"/>
          <w:szCs w:val="20"/>
          <w:lang w:val="es-ES"/>
        </w:rPr>
        <w:t xml:space="preserve">relativa al señor Rivera, </w:t>
      </w:r>
      <w:r w:rsidR="00C5419E" w:rsidRPr="00F84AB1">
        <w:rPr>
          <w:rFonts w:asciiTheme="majorHAnsi" w:hAnsiTheme="majorHAnsi"/>
          <w:sz w:val="20"/>
          <w:szCs w:val="20"/>
          <w:lang w:val="es-ES"/>
        </w:rPr>
        <w:t xml:space="preserve">así como los asuntos registrados bajo </w:t>
      </w:r>
      <w:r w:rsidRPr="00F84AB1">
        <w:rPr>
          <w:rFonts w:asciiTheme="majorHAnsi" w:hAnsiTheme="majorHAnsi"/>
          <w:sz w:val="20"/>
          <w:szCs w:val="20"/>
          <w:lang w:val="es-ES"/>
        </w:rPr>
        <w:t>el número de petición P-</w:t>
      </w:r>
      <w:r w:rsidR="00C5419E" w:rsidRPr="00F84AB1">
        <w:rPr>
          <w:rFonts w:asciiTheme="majorHAnsi" w:hAnsiTheme="majorHAnsi"/>
          <w:sz w:val="20"/>
          <w:szCs w:val="20"/>
          <w:lang w:val="es-ES"/>
        </w:rPr>
        <w:t>1566-08</w:t>
      </w:r>
      <w:r w:rsidR="00DA04EB" w:rsidRPr="00F84AB1">
        <w:rPr>
          <w:rFonts w:asciiTheme="majorHAnsi" w:hAnsiTheme="majorHAnsi"/>
          <w:sz w:val="20"/>
          <w:szCs w:val="20"/>
          <w:lang w:val="es-ES"/>
        </w:rPr>
        <w:t xml:space="preserve"> (recibida mediante escrito </w:t>
      </w:r>
      <w:r w:rsidR="00C5419E" w:rsidRPr="00F84AB1">
        <w:rPr>
          <w:rFonts w:asciiTheme="majorHAnsi" w:hAnsiTheme="majorHAnsi"/>
          <w:sz w:val="20"/>
          <w:szCs w:val="20"/>
          <w:lang w:val="es-ES"/>
        </w:rPr>
        <w:t>de fecha 3 de marzo de 2008</w:t>
      </w:r>
      <w:r w:rsidR="00C66FFD" w:rsidRPr="00F84AB1">
        <w:rPr>
          <w:rFonts w:asciiTheme="majorHAnsi" w:hAnsiTheme="majorHAnsi"/>
          <w:sz w:val="20"/>
          <w:szCs w:val="20"/>
          <w:lang w:val="es-ES"/>
        </w:rPr>
        <w:t xml:space="preserve"> y escritos posteriores</w:t>
      </w:r>
      <w:r w:rsidR="00E251D6" w:rsidRPr="00F84AB1">
        <w:rPr>
          <w:rFonts w:asciiTheme="majorHAnsi" w:hAnsiTheme="majorHAnsi"/>
          <w:sz w:val="20"/>
          <w:szCs w:val="20"/>
          <w:lang w:val="es-ES"/>
        </w:rPr>
        <w:t>, todas presentadas por la AFDD</w:t>
      </w:r>
      <w:r w:rsidR="00C66FFD" w:rsidRPr="00F84AB1">
        <w:rPr>
          <w:rFonts w:asciiTheme="majorHAnsi" w:hAnsiTheme="majorHAnsi"/>
          <w:sz w:val="20"/>
          <w:szCs w:val="20"/>
          <w:lang w:val="es-ES"/>
        </w:rPr>
        <w:t>)</w:t>
      </w:r>
      <w:r w:rsidR="00E251D6" w:rsidRPr="00F84AB1">
        <w:rPr>
          <w:rFonts w:asciiTheme="majorHAnsi" w:hAnsiTheme="majorHAnsi"/>
          <w:sz w:val="20"/>
          <w:szCs w:val="20"/>
          <w:lang w:val="es-ES"/>
        </w:rPr>
        <w:t>,</w:t>
      </w:r>
      <w:r w:rsidR="00C5419E" w:rsidRPr="00F84AB1">
        <w:rPr>
          <w:rFonts w:asciiTheme="majorHAnsi" w:hAnsiTheme="majorHAnsi"/>
          <w:sz w:val="20"/>
          <w:szCs w:val="20"/>
          <w:lang w:val="es-ES"/>
        </w:rPr>
        <w:t xml:space="preserve"> dicen relación con la alegada aplicación de la media prescripción en</w:t>
      </w:r>
      <w:r w:rsidR="00DA04EB" w:rsidRPr="00F84AB1">
        <w:rPr>
          <w:rFonts w:asciiTheme="majorHAnsi" w:hAnsiTheme="majorHAnsi"/>
          <w:sz w:val="20"/>
          <w:szCs w:val="20"/>
          <w:lang w:val="es-ES"/>
        </w:rPr>
        <w:t xml:space="preserve"> materia penal</w:t>
      </w:r>
      <w:r w:rsidR="00C66FFD" w:rsidRPr="00F84AB1">
        <w:rPr>
          <w:rFonts w:asciiTheme="majorHAnsi" w:hAnsiTheme="majorHAnsi"/>
          <w:sz w:val="20"/>
          <w:szCs w:val="20"/>
          <w:lang w:val="es-ES"/>
        </w:rPr>
        <w:t>, el presente informe refiere</w:t>
      </w:r>
      <w:r w:rsidR="00DA04EB" w:rsidRPr="00F84AB1">
        <w:rPr>
          <w:rFonts w:asciiTheme="majorHAnsi" w:hAnsiTheme="majorHAnsi"/>
          <w:sz w:val="20"/>
          <w:szCs w:val="20"/>
          <w:lang w:val="es-ES"/>
        </w:rPr>
        <w:t xml:space="preserve"> exclusivamente sobre é</w:t>
      </w:r>
      <w:r w:rsidR="00AA6379" w:rsidRPr="00F84AB1">
        <w:rPr>
          <w:rFonts w:asciiTheme="majorHAnsi" w:hAnsiTheme="majorHAnsi"/>
          <w:sz w:val="20"/>
          <w:szCs w:val="20"/>
          <w:lang w:val="es-ES"/>
        </w:rPr>
        <w:t xml:space="preserve">stos </w:t>
      </w:r>
      <w:r w:rsidRPr="00F84AB1">
        <w:rPr>
          <w:rFonts w:asciiTheme="majorHAnsi" w:hAnsiTheme="majorHAnsi"/>
          <w:sz w:val="20"/>
          <w:szCs w:val="20"/>
          <w:lang w:val="es-ES"/>
        </w:rPr>
        <w:t>asuntos, excluyendo el asunto de la P-</w:t>
      </w:r>
      <w:r w:rsidR="00E251D6" w:rsidRPr="00F84AB1">
        <w:rPr>
          <w:rFonts w:asciiTheme="majorHAnsi" w:hAnsiTheme="majorHAnsi"/>
          <w:sz w:val="20"/>
          <w:szCs w:val="20"/>
          <w:lang w:val="es-ES"/>
        </w:rPr>
        <w:t>1275-04</w:t>
      </w:r>
      <w:r w:rsidR="00DA04EB" w:rsidRPr="00F84AB1">
        <w:rPr>
          <w:rFonts w:asciiTheme="majorHAnsi" w:hAnsiTheme="majorHAnsi"/>
          <w:sz w:val="20"/>
          <w:szCs w:val="20"/>
          <w:lang w:val="es-ES"/>
        </w:rPr>
        <w:t xml:space="preserve"> A</w:t>
      </w:r>
      <w:r w:rsidR="00843A57" w:rsidRPr="00F84AB1">
        <w:rPr>
          <w:rFonts w:asciiTheme="majorHAnsi" w:hAnsiTheme="majorHAnsi"/>
          <w:sz w:val="20"/>
          <w:szCs w:val="20"/>
          <w:lang w:val="es-ES"/>
        </w:rPr>
        <w:t xml:space="preserve"> (denuncia presentada el 26 de noviembre de 2004 por el </w:t>
      </w:r>
      <w:r w:rsidR="00C66FFD" w:rsidRPr="00F84AB1">
        <w:rPr>
          <w:rFonts w:asciiTheme="majorHAnsi" w:hAnsiTheme="majorHAnsi"/>
          <w:sz w:val="20"/>
          <w:szCs w:val="20"/>
          <w:lang w:val="es-ES"/>
        </w:rPr>
        <w:t xml:space="preserve">señor </w:t>
      </w:r>
      <w:r w:rsidR="00843A57" w:rsidRPr="00F84AB1">
        <w:rPr>
          <w:rFonts w:asciiTheme="majorHAnsi" w:hAnsiTheme="majorHAnsi"/>
          <w:sz w:val="20"/>
          <w:szCs w:val="20"/>
          <w:lang w:val="es-ES"/>
        </w:rPr>
        <w:t>Brkovic)</w:t>
      </w:r>
      <w:r w:rsidR="00DA04EB" w:rsidRPr="00F84AB1">
        <w:rPr>
          <w:rFonts w:asciiTheme="majorHAnsi" w:hAnsiTheme="majorHAnsi"/>
          <w:sz w:val="20"/>
          <w:szCs w:val="20"/>
          <w:lang w:val="es-ES"/>
        </w:rPr>
        <w:t>,</w:t>
      </w:r>
      <w:r w:rsidR="00E251D6" w:rsidRPr="00F84AB1">
        <w:rPr>
          <w:rFonts w:asciiTheme="majorHAnsi" w:hAnsiTheme="majorHAnsi"/>
          <w:sz w:val="20"/>
          <w:szCs w:val="20"/>
          <w:lang w:val="es-ES"/>
        </w:rPr>
        <w:t xml:space="preserve"> </w:t>
      </w:r>
      <w:r w:rsidR="00AA6379" w:rsidRPr="00F84AB1">
        <w:rPr>
          <w:rFonts w:asciiTheme="majorHAnsi" w:hAnsiTheme="majorHAnsi"/>
          <w:sz w:val="20"/>
          <w:szCs w:val="20"/>
          <w:lang w:val="es-ES"/>
        </w:rPr>
        <w:t>vinculado a aspectos de reparación en materia civil</w:t>
      </w:r>
      <w:r w:rsidR="00E251D6" w:rsidRPr="00F84AB1">
        <w:rPr>
          <w:rFonts w:asciiTheme="majorHAnsi" w:hAnsiTheme="majorHAnsi"/>
          <w:sz w:val="20"/>
          <w:szCs w:val="20"/>
          <w:lang w:val="es-ES"/>
        </w:rPr>
        <w:t xml:space="preserve">, y que actualmente se encuentra en </w:t>
      </w:r>
      <w:r w:rsidR="00AF3FE9" w:rsidRPr="00F84AB1">
        <w:rPr>
          <w:rFonts w:asciiTheme="majorHAnsi" w:hAnsiTheme="majorHAnsi"/>
          <w:sz w:val="20"/>
          <w:szCs w:val="20"/>
          <w:lang w:val="es-ES"/>
        </w:rPr>
        <w:t>proceso</w:t>
      </w:r>
      <w:r w:rsidR="00E251D6" w:rsidRPr="00F84AB1">
        <w:rPr>
          <w:rFonts w:asciiTheme="majorHAnsi" w:hAnsiTheme="majorHAnsi"/>
          <w:sz w:val="20"/>
          <w:szCs w:val="20"/>
          <w:lang w:val="es-ES"/>
        </w:rPr>
        <w:t xml:space="preserve"> de solución amistosa</w:t>
      </w:r>
      <w:r w:rsidR="00AA6379" w:rsidRPr="00F84AB1">
        <w:rPr>
          <w:rFonts w:asciiTheme="majorHAnsi" w:hAnsiTheme="majorHAnsi"/>
          <w:sz w:val="20"/>
          <w:szCs w:val="20"/>
          <w:lang w:val="es-ES"/>
        </w:rPr>
        <w:t>.</w:t>
      </w:r>
    </w:p>
    <w:p w:rsidR="007B6049" w:rsidRPr="00F84AB1" w:rsidRDefault="007B6049" w:rsidP="007B6049">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ajorHAnsi" w:hAnsiTheme="majorHAnsi"/>
          <w:sz w:val="20"/>
          <w:szCs w:val="20"/>
          <w:lang w:val="es-ES"/>
        </w:rPr>
      </w:pPr>
    </w:p>
    <w:p w:rsidR="007B6049" w:rsidRPr="00F84AB1" w:rsidRDefault="007B6049" w:rsidP="007B6049">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ajorHAnsi" w:hAnsiTheme="majorHAnsi"/>
          <w:sz w:val="20"/>
          <w:szCs w:val="20"/>
          <w:lang w:val="es-ES"/>
        </w:rPr>
      </w:pPr>
    </w:p>
    <w:p w:rsidR="007B6049" w:rsidRPr="00F84AB1" w:rsidRDefault="007B6049" w:rsidP="007B6049">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ajorHAnsi" w:hAnsiTheme="majorHAnsi"/>
          <w:sz w:val="20"/>
          <w:szCs w:val="20"/>
          <w:lang w:val="es-ES"/>
        </w:rPr>
      </w:pPr>
    </w:p>
    <w:p w:rsidR="0063685A" w:rsidRPr="00F84AB1" w:rsidRDefault="0063685A" w:rsidP="00C64463">
      <w:pPr>
        <w:spacing w:after="240"/>
        <w:ind w:firstLine="720"/>
        <w:jc w:val="both"/>
        <w:rPr>
          <w:rFonts w:asciiTheme="majorHAnsi" w:hAnsiTheme="majorHAnsi"/>
          <w:b/>
          <w:bCs/>
          <w:sz w:val="20"/>
          <w:szCs w:val="20"/>
          <w:lang w:val="es-UY"/>
        </w:rPr>
      </w:pPr>
      <w:r w:rsidRPr="00F84AB1">
        <w:rPr>
          <w:rFonts w:asciiTheme="majorHAnsi" w:hAnsiTheme="majorHAnsi"/>
          <w:b/>
          <w:bCs/>
          <w:sz w:val="20"/>
          <w:szCs w:val="20"/>
          <w:lang w:val="es-UY"/>
        </w:rPr>
        <w:lastRenderedPageBreak/>
        <w:t>I</w:t>
      </w:r>
      <w:r w:rsidR="002A14D6" w:rsidRPr="00F84AB1">
        <w:rPr>
          <w:rFonts w:asciiTheme="majorHAnsi" w:hAnsiTheme="majorHAnsi"/>
          <w:b/>
          <w:bCs/>
          <w:sz w:val="20"/>
          <w:szCs w:val="20"/>
          <w:lang w:val="es-UY"/>
        </w:rPr>
        <w:t>V</w:t>
      </w:r>
      <w:r w:rsidRPr="00F84AB1">
        <w:rPr>
          <w:rFonts w:asciiTheme="majorHAnsi" w:hAnsiTheme="majorHAnsi"/>
          <w:b/>
          <w:bCs/>
          <w:sz w:val="20"/>
          <w:szCs w:val="20"/>
          <w:lang w:val="es-UY"/>
        </w:rPr>
        <w:t>.</w:t>
      </w:r>
      <w:r w:rsidRPr="00F84AB1">
        <w:rPr>
          <w:rFonts w:asciiTheme="majorHAnsi" w:hAnsiTheme="majorHAnsi"/>
          <w:b/>
          <w:bCs/>
          <w:sz w:val="20"/>
          <w:szCs w:val="20"/>
          <w:lang w:val="es-UY"/>
        </w:rPr>
        <w:tab/>
        <w:t>POSICIÓN DE LAS PARTES</w:t>
      </w:r>
    </w:p>
    <w:p w:rsidR="00EA5365" w:rsidRPr="00F84AB1" w:rsidRDefault="00CA04E5" w:rsidP="00C64463">
      <w:pPr>
        <w:pStyle w:val="ListParagraph"/>
        <w:numPr>
          <w:ilvl w:val="0"/>
          <w:numId w:val="59"/>
        </w:numPr>
        <w:suppressAutoHyphens/>
        <w:jc w:val="both"/>
        <w:rPr>
          <w:rFonts w:asciiTheme="majorHAnsi" w:hAnsiTheme="majorHAnsi"/>
          <w:b/>
          <w:bCs/>
          <w:color w:val="FF0000"/>
          <w:sz w:val="20"/>
          <w:szCs w:val="20"/>
          <w:lang w:val="es-UY"/>
        </w:rPr>
      </w:pPr>
      <w:r w:rsidRPr="00F84AB1">
        <w:rPr>
          <w:rFonts w:asciiTheme="majorHAnsi" w:hAnsiTheme="majorHAnsi"/>
          <w:b/>
          <w:bCs/>
          <w:sz w:val="20"/>
          <w:szCs w:val="20"/>
          <w:lang w:val="es-UY"/>
        </w:rPr>
        <w:t>Posición de</w:t>
      </w:r>
      <w:r w:rsidR="00112D7A" w:rsidRPr="00F84AB1">
        <w:rPr>
          <w:rFonts w:asciiTheme="majorHAnsi" w:hAnsiTheme="majorHAnsi"/>
          <w:b/>
          <w:bCs/>
          <w:color w:val="auto"/>
          <w:sz w:val="20"/>
          <w:szCs w:val="20"/>
          <w:lang w:val="es-UY"/>
        </w:rPr>
        <w:t xml:space="preserve"> los</w:t>
      </w:r>
      <w:r w:rsidR="0063685A" w:rsidRPr="00F84AB1">
        <w:rPr>
          <w:rFonts w:asciiTheme="majorHAnsi" w:hAnsiTheme="majorHAnsi"/>
          <w:b/>
          <w:bCs/>
          <w:color w:val="auto"/>
          <w:sz w:val="20"/>
          <w:szCs w:val="20"/>
          <w:lang w:val="es-UY"/>
        </w:rPr>
        <w:t xml:space="preserve"> </w:t>
      </w:r>
      <w:r w:rsidR="0063685A" w:rsidRPr="00F84AB1">
        <w:rPr>
          <w:rFonts w:asciiTheme="majorHAnsi" w:hAnsiTheme="majorHAnsi"/>
          <w:b/>
          <w:bCs/>
          <w:sz w:val="20"/>
          <w:szCs w:val="20"/>
          <w:lang w:val="es-UY"/>
        </w:rPr>
        <w:t>peticionario</w:t>
      </w:r>
      <w:r w:rsidR="00112D7A" w:rsidRPr="00F84AB1">
        <w:rPr>
          <w:rFonts w:asciiTheme="majorHAnsi" w:hAnsiTheme="majorHAnsi"/>
          <w:b/>
          <w:bCs/>
          <w:color w:val="auto"/>
          <w:sz w:val="20"/>
          <w:szCs w:val="20"/>
          <w:lang w:val="es-UY"/>
        </w:rPr>
        <w:t>s</w:t>
      </w:r>
      <w:r w:rsidR="00596831" w:rsidRPr="00F84AB1">
        <w:rPr>
          <w:rFonts w:asciiTheme="majorHAnsi" w:hAnsiTheme="majorHAnsi"/>
          <w:b/>
          <w:bCs/>
          <w:color w:val="FF0000"/>
          <w:sz w:val="20"/>
          <w:szCs w:val="20"/>
          <w:lang w:val="es-UY"/>
        </w:rPr>
        <w:t xml:space="preserve"> </w:t>
      </w:r>
    </w:p>
    <w:p w:rsidR="00960468" w:rsidRPr="00F84AB1" w:rsidRDefault="00960468" w:rsidP="00C64463">
      <w:pPr>
        <w:pStyle w:val="ListParagraph"/>
        <w:suppressAutoHyphens/>
        <w:ind w:left="1440"/>
        <w:jc w:val="both"/>
        <w:rPr>
          <w:rFonts w:asciiTheme="majorHAnsi" w:hAnsiTheme="majorHAnsi"/>
          <w:b/>
          <w:bCs/>
          <w:color w:val="FF0000"/>
          <w:sz w:val="20"/>
          <w:szCs w:val="20"/>
          <w:lang w:val="es-UY"/>
        </w:rPr>
      </w:pPr>
    </w:p>
    <w:p w:rsidR="00960468" w:rsidRPr="00F84AB1" w:rsidRDefault="00960468" w:rsidP="0079466C">
      <w:pPr>
        <w:pStyle w:val="ListParagraph"/>
        <w:suppressAutoHyphens/>
        <w:ind w:left="1440" w:hanging="720"/>
        <w:jc w:val="both"/>
        <w:rPr>
          <w:rFonts w:asciiTheme="majorHAnsi" w:hAnsiTheme="majorHAnsi"/>
          <w:b/>
          <w:bCs/>
          <w:color w:val="auto"/>
          <w:sz w:val="20"/>
          <w:szCs w:val="20"/>
          <w:lang w:val="es-UY"/>
        </w:rPr>
      </w:pPr>
      <w:r w:rsidRPr="00F84AB1">
        <w:rPr>
          <w:rFonts w:asciiTheme="majorHAnsi" w:hAnsiTheme="majorHAnsi"/>
          <w:b/>
          <w:bCs/>
          <w:color w:val="auto"/>
          <w:sz w:val="20"/>
          <w:szCs w:val="20"/>
          <w:lang w:val="es-UY"/>
        </w:rPr>
        <w:t>Alegatos comunes</w:t>
      </w:r>
    </w:p>
    <w:p w:rsidR="00EE01F4" w:rsidRPr="00F84AB1" w:rsidRDefault="00EE01F4" w:rsidP="00EE01F4">
      <w:pPr>
        <w:pStyle w:val="ListParagraph"/>
        <w:suppressAutoHyphens/>
        <w:ind w:left="1440"/>
        <w:jc w:val="both"/>
        <w:rPr>
          <w:rFonts w:asciiTheme="majorHAnsi" w:hAnsiTheme="majorHAnsi"/>
          <w:b/>
          <w:bCs/>
          <w:color w:val="auto"/>
          <w:sz w:val="20"/>
          <w:szCs w:val="20"/>
          <w:lang w:val="es-UY"/>
        </w:rPr>
      </w:pPr>
    </w:p>
    <w:p w:rsidR="00EE01F4" w:rsidRPr="00F84AB1" w:rsidRDefault="00EE01F4" w:rsidP="00EE01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Las denuncias se interponen como consecuencia de las sentencias dictadas por la Corte Suprema, respecto de las que alegan se dejó en gran medida impune de manera encubierta los graves crímenes cometidos en contra de las presuntas víctimas. A este respecto los peticionarios alegan, que </w:t>
      </w:r>
      <w:r w:rsidR="00CB0CAD" w:rsidRPr="00F84AB1">
        <w:rPr>
          <w:rFonts w:asciiTheme="majorHAnsi" w:hAnsiTheme="majorHAnsi" w:cs="GillSansMT"/>
          <w:sz w:val="20"/>
          <w:szCs w:val="20"/>
          <w:lang w:val="es-ES"/>
        </w:rPr>
        <w:t>dichos</w:t>
      </w:r>
      <w:r w:rsidRPr="00F84AB1">
        <w:rPr>
          <w:rFonts w:asciiTheme="majorHAnsi" w:hAnsiTheme="majorHAnsi" w:cs="GillSansMT"/>
          <w:sz w:val="20"/>
          <w:szCs w:val="20"/>
          <w:lang w:val="es-ES"/>
        </w:rPr>
        <w:t xml:space="preserve"> fallos dictados por la Corte Suprema generalmente de oficio, sin previo debate o exposición de las partes debido a una serie de irregularidades, constituyen sólo apariencia de justicia, pero en la práctica se vulnera una serie de derechos protegidos en la Convención Americana como la prohibición de prescripción, la proporcionalidad de la pena, el derecho de las víctimas de acceder al proceso y a la verdad de lo sucedido con sus familiares. Además</w:t>
      </w:r>
      <w:r w:rsidR="0087502F" w:rsidRPr="00F84AB1">
        <w:rPr>
          <w:rFonts w:asciiTheme="majorHAnsi" w:hAnsiTheme="majorHAnsi" w:cs="GillSansMT"/>
          <w:sz w:val="20"/>
          <w:szCs w:val="20"/>
          <w:lang w:val="es-ES"/>
        </w:rPr>
        <w:t>,</w:t>
      </w:r>
      <w:r w:rsidRPr="00F84AB1">
        <w:rPr>
          <w:rFonts w:asciiTheme="majorHAnsi" w:hAnsiTheme="majorHAnsi" w:cs="GillSansMT"/>
          <w:sz w:val="20"/>
          <w:szCs w:val="20"/>
          <w:lang w:val="es-ES"/>
        </w:rPr>
        <w:t xml:space="preserve"> señalan que la Corte Suprema al exceder su competencia y recalificar el tipo penal</w:t>
      </w:r>
      <w:r w:rsidR="003E45E9" w:rsidRPr="00F84AB1">
        <w:rPr>
          <w:rFonts w:asciiTheme="majorHAnsi" w:hAnsiTheme="majorHAnsi" w:cs="GillSansMT"/>
          <w:sz w:val="20"/>
          <w:szCs w:val="20"/>
          <w:lang w:val="es-ES"/>
        </w:rPr>
        <w:t xml:space="preserve"> en varios de los casos</w:t>
      </w:r>
      <w:r w:rsidR="00CB0CAD" w:rsidRPr="00F84AB1">
        <w:rPr>
          <w:rFonts w:asciiTheme="majorHAnsi" w:hAnsiTheme="majorHAnsi" w:cs="GillSansMT"/>
          <w:sz w:val="20"/>
          <w:szCs w:val="20"/>
          <w:lang w:val="es-ES"/>
        </w:rPr>
        <w:t>, se transformó</w:t>
      </w:r>
      <w:r w:rsidRPr="00F84AB1">
        <w:rPr>
          <w:rFonts w:asciiTheme="majorHAnsi" w:hAnsiTheme="majorHAnsi" w:cs="GillSansMT"/>
          <w:sz w:val="20"/>
          <w:szCs w:val="20"/>
          <w:lang w:val="es-ES"/>
        </w:rPr>
        <w:t xml:space="preserve"> en un tribunal que no cumpl</w:t>
      </w:r>
      <w:r w:rsidR="00CB0CAD" w:rsidRPr="00F84AB1">
        <w:rPr>
          <w:rFonts w:asciiTheme="majorHAnsi" w:hAnsiTheme="majorHAnsi" w:cs="GillSansMT"/>
          <w:sz w:val="20"/>
          <w:szCs w:val="20"/>
          <w:lang w:val="es-ES"/>
        </w:rPr>
        <w:t>ió</w:t>
      </w:r>
      <w:r w:rsidRPr="00F84AB1">
        <w:rPr>
          <w:rFonts w:asciiTheme="majorHAnsi" w:hAnsiTheme="majorHAnsi" w:cs="GillSansMT"/>
          <w:sz w:val="20"/>
          <w:szCs w:val="20"/>
          <w:lang w:val="es-ES"/>
        </w:rPr>
        <w:t xml:space="preserve"> con los requisitos mínimos del juez natural, competente e imparcial, vulnerando además, la obligación de sanción que pesa sobre los Estados parte de la</w:t>
      </w:r>
      <w:r w:rsidR="003E45E9" w:rsidRPr="00F84AB1">
        <w:rPr>
          <w:rFonts w:asciiTheme="majorHAnsi" w:hAnsiTheme="majorHAnsi" w:cs="GillSansMT"/>
          <w:sz w:val="20"/>
          <w:szCs w:val="20"/>
          <w:lang w:val="es-ES"/>
        </w:rPr>
        <w:t xml:space="preserve"> Convención</w:t>
      </w:r>
      <w:r w:rsidRPr="00F84AB1">
        <w:rPr>
          <w:rFonts w:asciiTheme="majorHAnsi" w:hAnsiTheme="majorHAnsi" w:cs="GillSansMT"/>
          <w:sz w:val="20"/>
          <w:szCs w:val="20"/>
          <w:lang w:val="es-ES"/>
        </w:rPr>
        <w:t>, toda vez que los responsables fueron exentos de la correspondiente pena. Indican que a consecuencia de ello, el Estado ha infringido su obligación de garantizar el libre y pleno ejercicio de los derechos reconocidos por la C</w:t>
      </w:r>
      <w:r w:rsidR="003E45E9" w:rsidRPr="00F84AB1">
        <w:rPr>
          <w:rFonts w:asciiTheme="majorHAnsi" w:hAnsiTheme="majorHAnsi" w:cs="GillSansMT"/>
          <w:sz w:val="20"/>
          <w:szCs w:val="20"/>
          <w:lang w:val="es-ES"/>
        </w:rPr>
        <w:t>onvención Americana</w:t>
      </w:r>
      <w:r w:rsidRPr="00F84AB1">
        <w:rPr>
          <w:rFonts w:asciiTheme="majorHAnsi" w:hAnsiTheme="majorHAnsi" w:cs="GillSansMT"/>
          <w:sz w:val="20"/>
          <w:szCs w:val="20"/>
          <w:lang w:val="es-ES"/>
        </w:rPr>
        <w:t>.</w:t>
      </w:r>
      <w:r w:rsidR="00012631"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 xml:space="preserve"> </w:t>
      </w:r>
    </w:p>
    <w:p w:rsidR="00EE01F4" w:rsidRPr="00F84AB1" w:rsidRDefault="0096515A" w:rsidP="00EE01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GillSansMT"/>
          <w:sz w:val="20"/>
          <w:szCs w:val="20"/>
          <w:lang w:val="es-ES"/>
        </w:rPr>
      </w:pPr>
      <w:r w:rsidRPr="0096515A">
        <w:rPr>
          <w:rFonts w:asciiTheme="majorHAnsi" w:hAnsiTheme="majorHAnsi" w:cs="GillSansMT"/>
          <w:sz w:val="20"/>
          <w:szCs w:val="20"/>
          <w:lang w:val="es-ES"/>
        </w:rPr>
        <w:t>El artículo 103 del Código Penal establece: “Si el responsable se presentare o fuere habido antes de completar el tiempo de la prescripción de la acción penal o de la pena, pero habiendo ya transcurrido la mitad del que se exige, en sus respectivos casos, para tales prescripciones, deberá el tribunal considerar el hecho como revestido de dos o más circunstancias atenuantes muy calificadas y de ninguna agravante y aplicar las reglas de los artículos 65, 66, 67 y 68 sea en la imposición de la pena, sea para disminuir la ya impuesta. Esta regla no se aplica a las prescripciones de las faltas y especiales de corto tiempo”.</w:t>
      </w:r>
      <w:r>
        <w:rPr>
          <w:rFonts w:asciiTheme="majorHAnsi" w:hAnsiTheme="majorHAnsi" w:cs="GillSansMT"/>
          <w:sz w:val="20"/>
          <w:szCs w:val="20"/>
          <w:lang w:val="es-ES"/>
        </w:rPr>
        <w:t xml:space="preserve"> </w:t>
      </w:r>
      <w:r w:rsidR="00EE01F4" w:rsidRPr="00F84AB1">
        <w:rPr>
          <w:rFonts w:asciiTheme="majorHAnsi" w:hAnsiTheme="majorHAnsi" w:cs="GillSansMT"/>
          <w:sz w:val="20"/>
          <w:szCs w:val="20"/>
          <w:lang w:val="es-ES"/>
        </w:rPr>
        <w:t xml:space="preserve">Refieren </w:t>
      </w:r>
      <w:r>
        <w:rPr>
          <w:rFonts w:asciiTheme="majorHAnsi" w:hAnsiTheme="majorHAnsi" w:cs="GillSansMT"/>
          <w:sz w:val="20"/>
          <w:szCs w:val="20"/>
          <w:lang w:val="es-ES"/>
        </w:rPr>
        <w:t xml:space="preserve">los peticionarios </w:t>
      </w:r>
      <w:r w:rsidR="00EE01F4" w:rsidRPr="00F84AB1">
        <w:rPr>
          <w:rFonts w:asciiTheme="majorHAnsi" w:hAnsiTheme="majorHAnsi" w:cs="GillSansMT"/>
          <w:sz w:val="20"/>
          <w:szCs w:val="20"/>
          <w:lang w:val="es-ES"/>
        </w:rPr>
        <w:t xml:space="preserve">que las sentencias declaran que el instituto penal reconocido en el artículo 103 </w:t>
      </w:r>
      <w:r w:rsidR="00B302AA" w:rsidRPr="00F84AB1">
        <w:rPr>
          <w:rFonts w:asciiTheme="majorHAnsi" w:hAnsiTheme="majorHAnsi" w:cs="GillSansMT"/>
          <w:sz w:val="20"/>
          <w:szCs w:val="20"/>
          <w:lang w:val="es-ES"/>
        </w:rPr>
        <w:t xml:space="preserve">del Código Penal, </w:t>
      </w:r>
      <w:r w:rsidR="00EE01F4" w:rsidRPr="00F84AB1">
        <w:rPr>
          <w:rFonts w:asciiTheme="majorHAnsi" w:hAnsiTheme="majorHAnsi" w:cs="GillSansMT"/>
          <w:sz w:val="20"/>
          <w:szCs w:val="20"/>
          <w:lang w:val="es-ES"/>
        </w:rPr>
        <w:t>constituye una minorante calificada de responsabilidad penal, cuyos efectos incidirán en la determinación del quantum de la sanción, de manera que la prohibición de la aplicación de la prescripción como causal de extinción de la responsabilidad penal, derivada de la normativa internacional, no la alcanza, toda vez que se trata de una institución independiente de la prescripción, con fundamentos y consecuencias diversas. Indican que</w:t>
      </w:r>
      <w:r w:rsidR="00F20DE8" w:rsidRPr="00F84AB1">
        <w:rPr>
          <w:rFonts w:asciiTheme="majorHAnsi" w:hAnsiTheme="majorHAnsi" w:cs="GillSansMT"/>
          <w:sz w:val="20"/>
          <w:szCs w:val="20"/>
          <w:lang w:val="es-ES"/>
        </w:rPr>
        <w:t>,</w:t>
      </w:r>
      <w:r w:rsidR="00EE01F4" w:rsidRPr="00F84AB1">
        <w:rPr>
          <w:rFonts w:asciiTheme="majorHAnsi" w:hAnsiTheme="majorHAnsi" w:cs="GillSansMT"/>
          <w:sz w:val="20"/>
          <w:szCs w:val="20"/>
          <w:lang w:val="es-ES"/>
        </w:rPr>
        <w:t xml:space="preserve"> esta afirmación por parte de la Corte, es evidentemente contradictoria pues no puede reconocer en el fallo la prohibición de la aplicación de la prescripción respecto de este tipo de delitos, y al mismo tiempo aplicar un beneficio que precisamente mira el tiempo transcurrido desde la comisión del ilícito en especial observancia de que la prescripción se encuentra cercana a cumplirse.</w:t>
      </w:r>
      <w:r w:rsidR="00012631" w:rsidRPr="00F84AB1">
        <w:rPr>
          <w:rFonts w:asciiTheme="majorHAnsi" w:hAnsiTheme="majorHAnsi" w:cs="GillSansMT"/>
          <w:sz w:val="20"/>
          <w:szCs w:val="20"/>
          <w:lang w:val="es-ES"/>
        </w:rPr>
        <w:t xml:space="preserve"> </w:t>
      </w:r>
    </w:p>
    <w:p w:rsidR="00960468" w:rsidRPr="00F84AB1" w:rsidRDefault="00960468"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GillSansMT"/>
          <w:sz w:val="20"/>
          <w:szCs w:val="20"/>
          <w:lang w:val="es-ES"/>
        </w:rPr>
      </w:pPr>
      <w:r w:rsidRPr="00F84AB1">
        <w:rPr>
          <w:rFonts w:asciiTheme="majorHAnsi" w:hAnsiTheme="majorHAnsi" w:cs="GillSansMT"/>
          <w:sz w:val="20"/>
          <w:szCs w:val="20"/>
          <w:lang w:val="es-ES"/>
        </w:rPr>
        <w:t>Los peticionarios alegan que</w:t>
      </w:r>
      <w:r w:rsidR="00C74035" w:rsidRPr="00F84AB1">
        <w:rPr>
          <w:rFonts w:asciiTheme="majorHAnsi" w:hAnsiTheme="majorHAnsi" w:cs="GillSansMT"/>
          <w:sz w:val="20"/>
          <w:szCs w:val="20"/>
          <w:lang w:val="es-ES"/>
        </w:rPr>
        <w:t xml:space="preserve"> </w:t>
      </w:r>
      <w:r w:rsidR="00806916" w:rsidRPr="00F84AB1">
        <w:rPr>
          <w:rFonts w:asciiTheme="majorHAnsi" w:hAnsiTheme="majorHAnsi" w:cs="GillSansMT"/>
          <w:sz w:val="20"/>
          <w:szCs w:val="20"/>
          <w:lang w:val="es-ES"/>
        </w:rPr>
        <w:t xml:space="preserve">la Corte Suprema ha sostenido que la aplicación de esta norma, </w:t>
      </w:r>
      <w:r w:rsidRPr="00F84AB1">
        <w:rPr>
          <w:rFonts w:asciiTheme="majorHAnsi" w:hAnsiTheme="majorHAnsi" w:cs="GillSansMT"/>
          <w:sz w:val="20"/>
          <w:szCs w:val="20"/>
          <w:lang w:val="es-ES"/>
        </w:rPr>
        <w:t>“se funda en el supuesto olvido del delito, en razones procesales y en la necesidad de no sancionar la conducta, lo que conduce a dejar sin castigo el hecho” y “encuentra su fundamento en lo insensato que resulta una pena tan alta para hechos ocurridos largo tiempo atrás, pero que deben ser reprimidos, resultando de s</w:t>
      </w:r>
      <w:r w:rsidR="00CB0CAD" w:rsidRPr="00F84AB1">
        <w:rPr>
          <w:rFonts w:asciiTheme="majorHAnsi" w:hAnsiTheme="majorHAnsi" w:cs="GillSansMT"/>
          <w:sz w:val="20"/>
          <w:szCs w:val="20"/>
          <w:lang w:val="es-ES"/>
        </w:rPr>
        <w:t>u reconocimiento una pena menor</w:t>
      </w:r>
      <w:r w:rsidRPr="00F84AB1">
        <w:rPr>
          <w:rFonts w:asciiTheme="majorHAnsi" w:hAnsiTheme="majorHAnsi" w:cs="GillSansMT"/>
          <w:sz w:val="20"/>
          <w:szCs w:val="20"/>
          <w:lang w:val="es-ES"/>
        </w:rPr>
        <w:t>”</w:t>
      </w:r>
      <w:r w:rsidR="00CB0CAD" w:rsidRPr="00F84AB1">
        <w:rPr>
          <w:rFonts w:asciiTheme="majorHAnsi" w:hAnsiTheme="majorHAnsi" w:cs="GillSansMT"/>
          <w:sz w:val="20"/>
          <w:szCs w:val="20"/>
          <w:lang w:val="es-ES"/>
        </w:rPr>
        <w:t>.</w:t>
      </w:r>
    </w:p>
    <w:p w:rsidR="00960468" w:rsidRPr="00F84AB1" w:rsidRDefault="00046B01"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GillSansMT"/>
          <w:sz w:val="20"/>
          <w:szCs w:val="20"/>
          <w:lang w:val="es-ES"/>
        </w:rPr>
      </w:pPr>
      <w:r w:rsidRPr="00F84AB1">
        <w:rPr>
          <w:rFonts w:asciiTheme="majorHAnsi" w:hAnsiTheme="majorHAnsi" w:cs="GillSansMT"/>
          <w:sz w:val="20"/>
          <w:szCs w:val="20"/>
          <w:lang w:val="es-ES"/>
        </w:rPr>
        <w:t>Asimismo, se</w:t>
      </w:r>
      <w:r w:rsidR="005414D2" w:rsidRPr="00F84AB1">
        <w:rPr>
          <w:rFonts w:asciiTheme="majorHAnsi" w:hAnsiTheme="majorHAnsi" w:cs="GillSansMT"/>
          <w:sz w:val="20"/>
          <w:szCs w:val="20"/>
          <w:lang w:val="es-ES"/>
        </w:rPr>
        <w:t xml:space="preserve"> </w:t>
      </w:r>
      <w:r w:rsidR="00960468" w:rsidRPr="00F84AB1">
        <w:rPr>
          <w:rFonts w:asciiTheme="majorHAnsi" w:hAnsiTheme="majorHAnsi" w:cs="GillSansMT"/>
          <w:sz w:val="20"/>
          <w:szCs w:val="20"/>
          <w:lang w:val="es-ES"/>
        </w:rPr>
        <w:t>alega que la Corte Suprema es incompetente para resolver</w:t>
      </w:r>
      <w:r w:rsidR="005414D2" w:rsidRPr="00F84AB1">
        <w:rPr>
          <w:rFonts w:asciiTheme="majorHAnsi" w:hAnsiTheme="majorHAnsi" w:cs="GillSansMT"/>
          <w:sz w:val="20"/>
          <w:szCs w:val="20"/>
          <w:lang w:val="es-ES"/>
        </w:rPr>
        <w:t xml:space="preserve"> como tribunal de instancia. </w:t>
      </w:r>
      <w:r w:rsidR="002F6EED" w:rsidRPr="00F84AB1">
        <w:rPr>
          <w:rFonts w:asciiTheme="majorHAnsi" w:hAnsiTheme="majorHAnsi" w:cs="GillSansMT"/>
          <w:sz w:val="20"/>
          <w:szCs w:val="20"/>
          <w:lang w:val="es-ES"/>
        </w:rPr>
        <w:t>R</w:t>
      </w:r>
      <w:r w:rsidR="005414D2" w:rsidRPr="00F84AB1">
        <w:rPr>
          <w:rFonts w:asciiTheme="majorHAnsi" w:hAnsiTheme="majorHAnsi" w:cs="GillSansMT"/>
          <w:sz w:val="20"/>
          <w:szCs w:val="20"/>
          <w:lang w:val="es-ES"/>
        </w:rPr>
        <w:t>e</w:t>
      </w:r>
      <w:r w:rsidR="001779B0" w:rsidRPr="00F84AB1">
        <w:rPr>
          <w:rFonts w:asciiTheme="majorHAnsi" w:hAnsiTheme="majorHAnsi" w:cs="GillSansMT"/>
          <w:sz w:val="20"/>
          <w:szCs w:val="20"/>
          <w:lang w:val="es-ES"/>
        </w:rPr>
        <w:t xml:space="preserve">fieren que la Corte Suprema </w:t>
      </w:r>
      <w:r w:rsidR="00960468" w:rsidRPr="00F84AB1">
        <w:rPr>
          <w:rFonts w:asciiTheme="majorHAnsi" w:hAnsiTheme="majorHAnsi" w:cs="GillSansMT"/>
          <w:sz w:val="20"/>
          <w:szCs w:val="20"/>
          <w:lang w:val="es-ES"/>
        </w:rPr>
        <w:t>es un tri</w:t>
      </w:r>
      <w:r w:rsidR="001779B0" w:rsidRPr="00F84AB1">
        <w:rPr>
          <w:rFonts w:asciiTheme="majorHAnsi" w:hAnsiTheme="majorHAnsi" w:cs="GillSansMT"/>
          <w:sz w:val="20"/>
          <w:szCs w:val="20"/>
          <w:lang w:val="es-ES"/>
        </w:rPr>
        <w:t>bunal de casación y</w:t>
      </w:r>
      <w:r w:rsidR="00012631" w:rsidRPr="00F84AB1">
        <w:rPr>
          <w:rFonts w:asciiTheme="majorHAnsi" w:hAnsiTheme="majorHAnsi" w:cs="GillSansMT"/>
          <w:sz w:val="20"/>
          <w:szCs w:val="20"/>
          <w:lang w:val="es-ES"/>
        </w:rPr>
        <w:t xml:space="preserve"> </w:t>
      </w:r>
      <w:r w:rsidR="001779B0" w:rsidRPr="00F84AB1">
        <w:rPr>
          <w:rFonts w:asciiTheme="majorHAnsi" w:hAnsiTheme="majorHAnsi" w:cs="GillSansMT"/>
          <w:sz w:val="20"/>
          <w:szCs w:val="20"/>
          <w:lang w:val="es-ES"/>
        </w:rPr>
        <w:t>de derecho</w:t>
      </w:r>
      <w:r w:rsidR="00960468" w:rsidRPr="00F84AB1">
        <w:rPr>
          <w:rFonts w:asciiTheme="majorHAnsi" w:hAnsiTheme="majorHAnsi" w:cs="GillSansMT"/>
          <w:sz w:val="20"/>
          <w:szCs w:val="20"/>
          <w:lang w:val="es-ES"/>
        </w:rPr>
        <w:t xml:space="preserve">, que solo tendría facultades para conocer errores de derecho, y que haciendo uso </w:t>
      </w:r>
      <w:r w:rsidR="003A1F87" w:rsidRPr="00F84AB1">
        <w:rPr>
          <w:rFonts w:asciiTheme="majorHAnsi" w:hAnsiTheme="majorHAnsi" w:cs="GillSansMT"/>
          <w:sz w:val="20"/>
          <w:szCs w:val="20"/>
          <w:lang w:val="es-ES"/>
        </w:rPr>
        <w:t>excesivo e infundado</w:t>
      </w:r>
      <w:r w:rsidR="00960468" w:rsidRPr="00F84AB1">
        <w:rPr>
          <w:rFonts w:asciiTheme="majorHAnsi" w:hAnsiTheme="majorHAnsi" w:cs="GillSansMT"/>
          <w:sz w:val="20"/>
          <w:szCs w:val="20"/>
          <w:lang w:val="es-ES"/>
        </w:rPr>
        <w:t xml:space="preserve"> de </w:t>
      </w:r>
      <w:r w:rsidR="003A1F87" w:rsidRPr="00F84AB1">
        <w:rPr>
          <w:rFonts w:asciiTheme="majorHAnsi" w:hAnsiTheme="majorHAnsi" w:cs="GillSansMT"/>
          <w:sz w:val="20"/>
          <w:szCs w:val="20"/>
          <w:lang w:val="es-ES"/>
        </w:rPr>
        <w:t>dicha facultad</w:t>
      </w:r>
      <w:r w:rsidR="00960468" w:rsidRPr="00F84AB1">
        <w:rPr>
          <w:rFonts w:asciiTheme="majorHAnsi" w:hAnsiTheme="majorHAnsi" w:cs="GillSansMT"/>
          <w:sz w:val="20"/>
          <w:szCs w:val="20"/>
          <w:lang w:val="es-ES"/>
        </w:rPr>
        <w:t xml:space="preserve">, se ha convertido en la práctica de un tribunal de </w:t>
      </w:r>
      <w:r w:rsidR="003A1F87" w:rsidRPr="00F84AB1">
        <w:rPr>
          <w:rFonts w:asciiTheme="majorHAnsi" w:hAnsiTheme="majorHAnsi" w:cs="GillSansMT"/>
          <w:sz w:val="20"/>
          <w:szCs w:val="20"/>
          <w:lang w:val="es-ES"/>
        </w:rPr>
        <w:t>tercera</w:t>
      </w:r>
      <w:r w:rsidR="00960468" w:rsidRPr="00F84AB1">
        <w:rPr>
          <w:rFonts w:asciiTheme="majorHAnsi" w:hAnsiTheme="majorHAnsi" w:cs="GillSansMT"/>
          <w:sz w:val="20"/>
          <w:szCs w:val="20"/>
          <w:lang w:val="es-ES"/>
        </w:rPr>
        <w:t xml:space="preserve"> instancia conociendo</w:t>
      </w:r>
      <w:r w:rsidR="001779B0" w:rsidRPr="00F84AB1">
        <w:rPr>
          <w:rFonts w:asciiTheme="majorHAnsi" w:hAnsiTheme="majorHAnsi" w:cs="GillSansMT"/>
          <w:sz w:val="20"/>
          <w:szCs w:val="20"/>
          <w:lang w:val="es-ES"/>
        </w:rPr>
        <w:t xml:space="preserve"> de los</w:t>
      </w:r>
      <w:r w:rsidR="00960468" w:rsidRPr="00F84AB1">
        <w:rPr>
          <w:rFonts w:asciiTheme="majorHAnsi" w:hAnsiTheme="majorHAnsi" w:cs="GillSansMT"/>
          <w:sz w:val="20"/>
          <w:szCs w:val="20"/>
          <w:lang w:val="es-ES"/>
        </w:rPr>
        <w:t xml:space="preserve"> hechos y</w:t>
      </w:r>
      <w:r w:rsidR="001779B0" w:rsidRPr="00F84AB1">
        <w:rPr>
          <w:rFonts w:asciiTheme="majorHAnsi" w:hAnsiTheme="majorHAnsi" w:cs="GillSansMT"/>
          <w:sz w:val="20"/>
          <w:szCs w:val="20"/>
          <w:lang w:val="es-ES"/>
        </w:rPr>
        <w:t xml:space="preserve"> el</w:t>
      </w:r>
      <w:r w:rsidR="00960468" w:rsidRPr="00F84AB1">
        <w:rPr>
          <w:rFonts w:asciiTheme="majorHAnsi" w:hAnsiTheme="majorHAnsi" w:cs="GillSansMT"/>
          <w:sz w:val="20"/>
          <w:szCs w:val="20"/>
          <w:lang w:val="es-ES"/>
        </w:rPr>
        <w:t xml:space="preserve"> derecho</w:t>
      </w:r>
      <w:r w:rsidR="001779B0" w:rsidRPr="00F84AB1">
        <w:rPr>
          <w:rFonts w:asciiTheme="majorHAnsi" w:hAnsiTheme="majorHAnsi" w:cs="GillSansMT"/>
          <w:sz w:val="20"/>
          <w:szCs w:val="20"/>
          <w:lang w:val="es-ES"/>
        </w:rPr>
        <w:t xml:space="preserve">, de manera que </w:t>
      </w:r>
      <w:r w:rsidR="00AE68E7" w:rsidRPr="00F84AB1">
        <w:rPr>
          <w:rFonts w:asciiTheme="majorHAnsi" w:hAnsiTheme="majorHAnsi" w:cs="GillSansMT"/>
          <w:sz w:val="20"/>
          <w:szCs w:val="20"/>
          <w:lang w:val="es-ES"/>
        </w:rPr>
        <w:t xml:space="preserve">al recalificar los hechos ya probados y calificados en las instancias correspondientes, </w:t>
      </w:r>
      <w:r w:rsidR="001779B0" w:rsidRPr="00F84AB1">
        <w:rPr>
          <w:rFonts w:asciiTheme="majorHAnsi" w:hAnsiTheme="majorHAnsi" w:cs="GillSansMT"/>
          <w:sz w:val="20"/>
          <w:szCs w:val="20"/>
          <w:lang w:val="es-ES"/>
        </w:rPr>
        <w:t>se exce</w:t>
      </w:r>
      <w:r w:rsidR="00FB0BC3" w:rsidRPr="00F84AB1">
        <w:rPr>
          <w:rFonts w:asciiTheme="majorHAnsi" w:hAnsiTheme="majorHAnsi" w:cs="GillSansMT"/>
          <w:sz w:val="20"/>
          <w:szCs w:val="20"/>
          <w:lang w:val="es-ES"/>
        </w:rPr>
        <w:t>de</w:t>
      </w:r>
      <w:r w:rsidR="001779B0" w:rsidRPr="00F84AB1">
        <w:rPr>
          <w:rFonts w:asciiTheme="majorHAnsi" w:hAnsiTheme="majorHAnsi" w:cs="GillSansMT"/>
          <w:sz w:val="20"/>
          <w:szCs w:val="20"/>
          <w:lang w:val="es-ES"/>
        </w:rPr>
        <w:t xml:space="preserve"> en sus facultades como tribunal imparcial al vulnerar el principio de legalidad</w:t>
      </w:r>
      <w:r w:rsidR="00960468" w:rsidRPr="00F84AB1">
        <w:rPr>
          <w:rFonts w:asciiTheme="majorHAnsi" w:hAnsiTheme="majorHAnsi" w:cs="GillSansMT"/>
          <w:sz w:val="20"/>
          <w:szCs w:val="20"/>
          <w:lang w:val="es-ES"/>
        </w:rPr>
        <w:t xml:space="preserve">. Además alegan que cuando la Corte </w:t>
      </w:r>
      <w:r w:rsidR="00AB2E68" w:rsidRPr="00F84AB1">
        <w:rPr>
          <w:rFonts w:asciiTheme="majorHAnsi" w:hAnsiTheme="majorHAnsi" w:cs="GillSansMT"/>
          <w:sz w:val="20"/>
          <w:szCs w:val="20"/>
          <w:lang w:val="es-ES"/>
        </w:rPr>
        <w:t>“</w:t>
      </w:r>
      <w:r w:rsidR="00960468" w:rsidRPr="00F84AB1">
        <w:rPr>
          <w:rFonts w:asciiTheme="majorHAnsi" w:hAnsiTheme="majorHAnsi" w:cs="GillSansMT"/>
          <w:sz w:val="20"/>
          <w:szCs w:val="20"/>
          <w:lang w:val="es-ES"/>
        </w:rPr>
        <w:t>casa de oficio</w:t>
      </w:r>
      <w:r w:rsidR="00AB2E68" w:rsidRPr="00F84AB1">
        <w:rPr>
          <w:rFonts w:asciiTheme="majorHAnsi" w:hAnsiTheme="majorHAnsi" w:cs="GillSansMT"/>
          <w:sz w:val="20"/>
          <w:szCs w:val="20"/>
          <w:lang w:val="es-ES"/>
        </w:rPr>
        <w:t>”</w:t>
      </w:r>
      <w:r w:rsidR="00960468" w:rsidRPr="00F84AB1">
        <w:rPr>
          <w:rFonts w:asciiTheme="majorHAnsi" w:hAnsiTheme="majorHAnsi" w:cs="GillSansMT"/>
          <w:sz w:val="20"/>
          <w:szCs w:val="20"/>
          <w:lang w:val="es-ES"/>
        </w:rPr>
        <w:t xml:space="preserve"> y aplica una atenuante de la envergadura de la prescripción gradual, se impide el libre acceso de las víctimas a exponer su posición ante dicho tribunal, quedando privadas de la posibilidad de ser oídas y de interponer un recurso contra la resolución. </w:t>
      </w:r>
    </w:p>
    <w:p w:rsidR="00E94AEA" w:rsidRPr="00F84AB1" w:rsidRDefault="00E94AEA"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GillSansMT"/>
          <w:sz w:val="20"/>
          <w:szCs w:val="20"/>
          <w:lang w:val="es-ES"/>
        </w:rPr>
      </w:pPr>
      <w:r w:rsidRPr="00F84AB1">
        <w:rPr>
          <w:rFonts w:asciiTheme="majorHAnsi" w:hAnsiTheme="majorHAnsi" w:cs="GillSansMT"/>
          <w:sz w:val="20"/>
          <w:szCs w:val="20"/>
          <w:lang w:val="es-ES"/>
        </w:rPr>
        <w:t>Afirman que el Estado</w:t>
      </w:r>
      <w:r w:rsidR="002940B2" w:rsidRPr="00F84AB1">
        <w:rPr>
          <w:rFonts w:asciiTheme="majorHAnsi" w:hAnsiTheme="majorHAnsi" w:cs="GillSansMT"/>
          <w:sz w:val="20"/>
          <w:szCs w:val="20"/>
          <w:lang w:val="es-ES"/>
        </w:rPr>
        <w:t>, al llevar a cabo o tolerar las acciones desarrolladas por la Corte Suprema,</w:t>
      </w:r>
      <w:r w:rsidRPr="00F84AB1">
        <w:rPr>
          <w:rFonts w:asciiTheme="majorHAnsi" w:hAnsiTheme="majorHAnsi" w:cs="GillSansMT"/>
          <w:sz w:val="20"/>
          <w:szCs w:val="20"/>
          <w:lang w:val="es-ES"/>
        </w:rPr>
        <w:t xml:space="preserve"> ha vulnerado su obligación general de garantizar el libre y pleno ejercicio de los derechos, </w:t>
      </w:r>
      <w:r w:rsidRPr="00F84AB1">
        <w:rPr>
          <w:rFonts w:asciiTheme="majorHAnsi" w:hAnsiTheme="majorHAnsi" w:cs="GillSansMT"/>
          <w:sz w:val="20"/>
          <w:szCs w:val="20"/>
          <w:lang w:val="es-ES"/>
        </w:rPr>
        <w:lastRenderedPageBreak/>
        <w:t xml:space="preserve">propiciando la repetición crónica de las violaciones a los derechos humanos, y dejando en total indefensión a los familiares de los ofendidos. </w:t>
      </w:r>
    </w:p>
    <w:p w:rsidR="0036424D" w:rsidRPr="00F84AB1" w:rsidRDefault="00960468" w:rsidP="00E513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GillSansMT"/>
          <w:sz w:val="20"/>
          <w:szCs w:val="20"/>
          <w:lang w:val="es-ES"/>
        </w:rPr>
      </w:pPr>
      <w:r w:rsidRPr="00F84AB1">
        <w:rPr>
          <w:rFonts w:asciiTheme="majorHAnsi" w:hAnsiTheme="majorHAnsi" w:cs="GillSansMT"/>
          <w:sz w:val="20"/>
          <w:szCs w:val="20"/>
          <w:lang w:val="es-ES"/>
        </w:rPr>
        <w:t>Argumentan que</w:t>
      </w:r>
      <w:r w:rsidR="00C30276" w:rsidRPr="00F84AB1">
        <w:rPr>
          <w:rFonts w:asciiTheme="majorHAnsi" w:hAnsiTheme="majorHAnsi" w:cs="GillSansMT"/>
          <w:sz w:val="20"/>
          <w:szCs w:val="20"/>
          <w:lang w:val="es-ES"/>
        </w:rPr>
        <w:t xml:space="preserve"> se vulnera la obligación de sancionar, pues</w:t>
      </w:r>
      <w:r w:rsidRPr="00F84AB1">
        <w:rPr>
          <w:rFonts w:asciiTheme="majorHAnsi" w:hAnsiTheme="majorHAnsi" w:cs="GillSansMT"/>
          <w:sz w:val="20"/>
          <w:szCs w:val="20"/>
          <w:lang w:val="es-ES"/>
        </w:rPr>
        <w:t xml:space="preserve"> </w:t>
      </w:r>
      <w:r w:rsidR="0036424D" w:rsidRPr="00F84AB1">
        <w:rPr>
          <w:rFonts w:asciiTheme="majorHAnsi" w:hAnsiTheme="majorHAnsi" w:cs="GillSansMT"/>
          <w:sz w:val="20"/>
          <w:szCs w:val="20"/>
          <w:lang w:val="es-ES"/>
        </w:rPr>
        <w:t>el beneficio impuesto se traduce</w:t>
      </w:r>
      <w:r w:rsidRPr="00F84AB1">
        <w:rPr>
          <w:rFonts w:asciiTheme="majorHAnsi" w:hAnsiTheme="majorHAnsi" w:cs="GillSansMT"/>
          <w:sz w:val="20"/>
          <w:szCs w:val="20"/>
          <w:lang w:val="es-ES"/>
        </w:rPr>
        <w:t xml:space="preserve"> en que los culpables permanezcan sustancialmente en la impunidad, y que al aplicar la eximente incompleta de responsabilidad, dándole efectos al transcurso del tiempo, se viola las obligaciones de respetar y garantizar el libre y pleno ejercicio de los derechos reconocidos en la Convención. </w:t>
      </w:r>
      <w:r w:rsidR="0036424D" w:rsidRPr="00F84AB1">
        <w:rPr>
          <w:rFonts w:asciiTheme="majorHAnsi" w:hAnsiTheme="majorHAnsi" w:cs="GillSansMT"/>
          <w:sz w:val="20"/>
          <w:szCs w:val="20"/>
          <w:lang w:val="es-ES"/>
        </w:rPr>
        <w:t xml:space="preserve">Señalan que una de las finalidades de la pena cuando se trata de sancionar conductas que configuraron delitos de lesa humanidad, consiste en que la reparación implica para las víctimas y sus familiares una sanción adecuada a la gravedad del delito, en el entendido de que dicha reparación </w:t>
      </w:r>
      <w:r w:rsidR="00C215F1" w:rsidRPr="00F84AB1">
        <w:rPr>
          <w:rFonts w:asciiTheme="majorHAnsi" w:hAnsiTheme="majorHAnsi" w:cs="GillSansMT"/>
          <w:sz w:val="20"/>
          <w:szCs w:val="20"/>
          <w:lang w:val="es-ES"/>
        </w:rPr>
        <w:t>además es una obligación del Estado. Indican que si el Estado beneficia a los responsables con una eximente incompleta vinculada al paso del tiempo que permite atenuar la responsabilidad, como en el caso de la prescripción gradual, la sanción en el orden práctico dista de ser disciplinaria y, por lo tanto, la reparación carece del carácter integral.</w:t>
      </w:r>
      <w:r w:rsidR="00E51305" w:rsidRPr="00F84AB1">
        <w:rPr>
          <w:rFonts w:asciiTheme="majorHAnsi" w:hAnsiTheme="majorHAnsi" w:cs="GillSansMT"/>
          <w:sz w:val="20"/>
          <w:szCs w:val="20"/>
          <w:lang w:val="es-ES"/>
        </w:rPr>
        <w:t xml:space="preserve"> </w:t>
      </w:r>
      <w:r w:rsidR="007B7693" w:rsidRPr="00F84AB1">
        <w:rPr>
          <w:rFonts w:asciiTheme="majorHAnsi" w:hAnsiTheme="majorHAnsi" w:cs="GillSansMT"/>
          <w:sz w:val="20"/>
          <w:szCs w:val="20"/>
          <w:lang w:val="es-ES"/>
        </w:rPr>
        <w:t xml:space="preserve">Agregan que, </w:t>
      </w:r>
      <w:r w:rsidR="00E51305" w:rsidRPr="00F84AB1">
        <w:rPr>
          <w:rFonts w:asciiTheme="majorHAnsi" w:hAnsiTheme="majorHAnsi" w:cs="GillSansMT"/>
          <w:sz w:val="20"/>
          <w:szCs w:val="20"/>
          <w:lang w:val="es-ES"/>
        </w:rPr>
        <w:t xml:space="preserve">la sanción aplicable a un crimen de lesa humanidad debe ser proporcional al crimen cometido, principio general consagrado en diversos instrumentos. </w:t>
      </w:r>
    </w:p>
    <w:p w:rsidR="00D5781F" w:rsidRPr="00F84AB1" w:rsidRDefault="00DF35E3"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Refieren que el que la sanción aplicable a un crimen de lesa humanidad sea proporcional al crimen cometido es un principio general, consagrado en diversos cuerpos normativos internacionales como el artículo 4 No. 2 de la Convención contra la Tortura y Otros Tratos o Penas Crueles, Inhumanos o </w:t>
      </w:r>
      <w:r w:rsidR="002343F9" w:rsidRPr="00F84AB1">
        <w:rPr>
          <w:rFonts w:asciiTheme="majorHAnsi" w:hAnsiTheme="majorHAnsi" w:cs="GillSansMT"/>
          <w:sz w:val="20"/>
          <w:szCs w:val="20"/>
          <w:lang w:val="es-ES"/>
        </w:rPr>
        <w:t>Degradantes, el artículo 3 No. 3 del Protocolo Facultativo de la Convención de los Derechos del Niño, el artículo 2 No. 2 de la Convención sobre la Prevención</w:t>
      </w:r>
      <w:r w:rsidR="00012631" w:rsidRPr="00F84AB1">
        <w:rPr>
          <w:rFonts w:asciiTheme="majorHAnsi" w:hAnsiTheme="majorHAnsi" w:cs="GillSansMT"/>
          <w:sz w:val="20"/>
          <w:szCs w:val="20"/>
          <w:lang w:val="es-ES"/>
        </w:rPr>
        <w:t xml:space="preserve"> </w:t>
      </w:r>
      <w:r w:rsidR="002343F9" w:rsidRPr="00F84AB1">
        <w:rPr>
          <w:rFonts w:asciiTheme="majorHAnsi" w:hAnsiTheme="majorHAnsi" w:cs="GillSansMT"/>
          <w:sz w:val="20"/>
          <w:szCs w:val="20"/>
          <w:lang w:val="es-ES"/>
        </w:rPr>
        <w:t xml:space="preserve">y Castigo de Delitos Contra Personas Internacionalmente Protegidas, así como </w:t>
      </w:r>
      <w:r w:rsidR="002940B2" w:rsidRPr="00F84AB1">
        <w:rPr>
          <w:rFonts w:asciiTheme="majorHAnsi" w:hAnsiTheme="majorHAnsi" w:cs="GillSansMT"/>
          <w:sz w:val="20"/>
          <w:szCs w:val="20"/>
          <w:lang w:val="es-ES"/>
        </w:rPr>
        <w:t xml:space="preserve">en el artículo 3 de </w:t>
      </w:r>
      <w:r w:rsidR="002343F9" w:rsidRPr="00F84AB1">
        <w:rPr>
          <w:rFonts w:asciiTheme="majorHAnsi" w:hAnsiTheme="majorHAnsi" w:cs="GillSansMT"/>
          <w:sz w:val="20"/>
          <w:szCs w:val="20"/>
          <w:lang w:val="es-ES"/>
        </w:rPr>
        <w:t>la Convención Interamericana sobre Desaparición Forzada de Personas.</w:t>
      </w:r>
      <w:r w:rsidR="00012631" w:rsidRPr="00F84AB1">
        <w:rPr>
          <w:rFonts w:asciiTheme="majorHAnsi" w:hAnsiTheme="majorHAnsi" w:cs="GillSansMT"/>
          <w:sz w:val="20"/>
          <w:szCs w:val="20"/>
          <w:lang w:val="es-ES"/>
        </w:rPr>
        <w:t xml:space="preserve"> </w:t>
      </w:r>
    </w:p>
    <w:p w:rsidR="00BB3ADD" w:rsidRPr="00F84AB1" w:rsidRDefault="00564377"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color w:val="FF0000"/>
          <w:sz w:val="20"/>
          <w:szCs w:val="20"/>
          <w:lang w:val="es-UY"/>
        </w:rPr>
      </w:pPr>
      <w:r w:rsidRPr="00F84AB1">
        <w:rPr>
          <w:rFonts w:asciiTheme="majorHAnsi" w:hAnsiTheme="majorHAnsi" w:cs="GillSansMT"/>
          <w:sz w:val="20"/>
          <w:szCs w:val="20"/>
          <w:lang w:val="es-ES"/>
        </w:rPr>
        <w:t>A</w:t>
      </w:r>
      <w:r w:rsidR="00750D29" w:rsidRPr="00F84AB1">
        <w:rPr>
          <w:rFonts w:asciiTheme="majorHAnsi" w:hAnsiTheme="majorHAnsi" w:cs="GillSansMT"/>
          <w:sz w:val="20"/>
          <w:szCs w:val="20"/>
          <w:lang w:val="es-ES"/>
        </w:rPr>
        <w:t>legan</w:t>
      </w:r>
      <w:r w:rsidR="00960468" w:rsidRPr="00F84AB1">
        <w:rPr>
          <w:rFonts w:asciiTheme="majorHAnsi" w:hAnsiTheme="majorHAnsi" w:cs="GillSansMT"/>
          <w:sz w:val="20"/>
          <w:szCs w:val="20"/>
          <w:lang w:val="es-ES"/>
        </w:rPr>
        <w:t xml:space="preserve"> </w:t>
      </w:r>
      <w:r w:rsidR="00750D29" w:rsidRPr="00F84AB1">
        <w:rPr>
          <w:rFonts w:asciiTheme="majorHAnsi" w:hAnsiTheme="majorHAnsi" w:cs="GillSansMT"/>
          <w:sz w:val="20"/>
          <w:szCs w:val="20"/>
          <w:lang w:val="es-ES"/>
        </w:rPr>
        <w:t>que el Estado vulner</w:t>
      </w:r>
      <w:r w:rsidR="006520BF" w:rsidRPr="00F84AB1">
        <w:rPr>
          <w:rFonts w:asciiTheme="majorHAnsi" w:hAnsiTheme="majorHAnsi" w:cs="GillSansMT"/>
          <w:sz w:val="20"/>
          <w:szCs w:val="20"/>
          <w:lang w:val="es-ES"/>
        </w:rPr>
        <w:t>ó</w:t>
      </w:r>
      <w:r w:rsidR="00750D29" w:rsidRPr="00F84AB1">
        <w:rPr>
          <w:rFonts w:asciiTheme="majorHAnsi" w:hAnsiTheme="majorHAnsi" w:cs="GillSansMT"/>
          <w:sz w:val="20"/>
          <w:szCs w:val="20"/>
          <w:lang w:val="es-ES"/>
        </w:rPr>
        <w:t xml:space="preserve"> la obligación de respeto, en relación con el derecho a la protección judicial. </w:t>
      </w:r>
      <w:r w:rsidR="00906431" w:rsidRPr="00F84AB1">
        <w:rPr>
          <w:rFonts w:asciiTheme="majorHAnsi" w:hAnsiTheme="majorHAnsi" w:cs="GillSansMT"/>
          <w:sz w:val="20"/>
          <w:szCs w:val="20"/>
          <w:lang w:val="es-ES"/>
        </w:rPr>
        <w:t>Refieren que la Corte Suprema está concediendo efectos al trascurso del tiempo en delitos que por su gravedad no prescribe</w:t>
      </w:r>
      <w:r w:rsidR="006520BF" w:rsidRPr="00F84AB1">
        <w:rPr>
          <w:rFonts w:asciiTheme="majorHAnsi" w:hAnsiTheme="majorHAnsi" w:cs="GillSansMT"/>
          <w:sz w:val="20"/>
          <w:szCs w:val="20"/>
          <w:lang w:val="es-ES"/>
        </w:rPr>
        <w:t>n</w:t>
      </w:r>
      <w:r w:rsidR="00906431" w:rsidRPr="00F84AB1">
        <w:rPr>
          <w:rFonts w:asciiTheme="majorHAnsi" w:hAnsiTheme="majorHAnsi" w:cs="GillSansMT"/>
          <w:sz w:val="20"/>
          <w:szCs w:val="20"/>
          <w:lang w:val="es-ES"/>
        </w:rPr>
        <w:t xml:space="preserve">. </w:t>
      </w:r>
      <w:r w:rsidR="00960468" w:rsidRPr="00F84AB1">
        <w:rPr>
          <w:rFonts w:asciiTheme="majorHAnsi" w:hAnsiTheme="majorHAnsi" w:cs="GillSansMT"/>
          <w:sz w:val="20"/>
          <w:szCs w:val="20"/>
          <w:lang w:val="es-ES"/>
        </w:rPr>
        <w:t>Sobre este punto indican que la regulación de la media prescripción se contempla en el Código Penal, bajo el título que regula la “extinción de la responsabilidad penal”, y que dicha figura solo puede concederse a delitos en vías de prescribir, por lo que para aplicar la media prescripción, debe tratarse de delitos de carácter prescriptible, lo que excluiría la posibilidad de aplicación en crímenes de lesa humanidad por su carácter imprescriptible</w:t>
      </w:r>
      <w:r w:rsidR="007A4989" w:rsidRPr="00F84AB1">
        <w:rPr>
          <w:rFonts w:asciiTheme="majorHAnsi" w:hAnsiTheme="majorHAnsi" w:cs="GillSansMT"/>
          <w:sz w:val="20"/>
          <w:szCs w:val="20"/>
          <w:lang w:val="es-ES"/>
        </w:rPr>
        <w:t>. Así, los</w:t>
      </w:r>
      <w:r w:rsidR="00960468" w:rsidRPr="00F84AB1">
        <w:rPr>
          <w:rFonts w:asciiTheme="majorHAnsi" w:hAnsiTheme="majorHAnsi" w:cs="GillSansMT"/>
          <w:sz w:val="20"/>
          <w:szCs w:val="20"/>
          <w:lang w:val="es-ES"/>
        </w:rPr>
        <w:t xml:space="preserve"> fallo</w:t>
      </w:r>
      <w:r w:rsidR="007A4989" w:rsidRPr="00F84AB1">
        <w:rPr>
          <w:rFonts w:asciiTheme="majorHAnsi" w:hAnsiTheme="majorHAnsi" w:cs="GillSansMT"/>
          <w:sz w:val="20"/>
          <w:szCs w:val="20"/>
          <w:lang w:val="es-ES"/>
        </w:rPr>
        <w:t>s son</w:t>
      </w:r>
      <w:r w:rsidR="00960468" w:rsidRPr="00F84AB1">
        <w:rPr>
          <w:rFonts w:asciiTheme="majorHAnsi" w:hAnsiTheme="majorHAnsi" w:cs="GillSansMT"/>
          <w:sz w:val="20"/>
          <w:szCs w:val="20"/>
          <w:lang w:val="es-ES"/>
        </w:rPr>
        <w:t xml:space="preserve"> contradictorio</w:t>
      </w:r>
      <w:r w:rsidR="00A618BC" w:rsidRPr="00F84AB1">
        <w:rPr>
          <w:rFonts w:asciiTheme="majorHAnsi" w:hAnsiTheme="majorHAnsi" w:cs="GillSansMT"/>
          <w:sz w:val="20"/>
          <w:szCs w:val="20"/>
          <w:lang w:val="es-ES"/>
        </w:rPr>
        <w:t>s</w:t>
      </w:r>
      <w:r w:rsidR="00960468" w:rsidRPr="00F84AB1">
        <w:rPr>
          <w:rFonts w:asciiTheme="majorHAnsi" w:hAnsiTheme="majorHAnsi" w:cs="GillSansMT"/>
          <w:sz w:val="20"/>
          <w:szCs w:val="20"/>
          <w:lang w:val="es-ES"/>
        </w:rPr>
        <w:t xml:space="preserve"> en cuanto reconociendo que se trata de </w:t>
      </w:r>
      <w:r w:rsidR="007A4989" w:rsidRPr="00F84AB1">
        <w:rPr>
          <w:rFonts w:asciiTheme="majorHAnsi" w:hAnsiTheme="majorHAnsi" w:cs="GillSansMT"/>
          <w:sz w:val="20"/>
          <w:szCs w:val="20"/>
          <w:lang w:val="es-ES"/>
        </w:rPr>
        <w:t>crímenes</w:t>
      </w:r>
      <w:r w:rsidR="00960468" w:rsidRPr="00F84AB1">
        <w:rPr>
          <w:rFonts w:asciiTheme="majorHAnsi" w:hAnsiTheme="majorHAnsi" w:cs="GillSansMT"/>
          <w:sz w:val="20"/>
          <w:szCs w:val="20"/>
          <w:lang w:val="es-ES"/>
        </w:rPr>
        <w:t xml:space="preserve"> de lesa humanidad, concede</w:t>
      </w:r>
      <w:r w:rsidR="00A618BC" w:rsidRPr="00F84AB1">
        <w:rPr>
          <w:rFonts w:asciiTheme="majorHAnsi" w:hAnsiTheme="majorHAnsi" w:cs="GillSansMT"/>
          <w:sz w:val="20"/>
          <w:szCs w:val="20"/>
          <w:lang w:val="es-ES"/>
        </w:rPr>
        <w:t>n</w:t>
      </w:r>
      <w:r w:rsidR="00960468" w:rsidRPr="00F84AB1">
        <w:rPr>
          <w:rFonts w:asciiTheme="majorHAnsi" w:hAnsiTheme="majorHAnsi" w:cs="GillSansMT"/>
          <w:sz w:val="20"/>
          <w:szCs w:val="20"/>
          <w:lang w:val="es-ES"/>
        </w:rPr>
        <w:t xml:space="preserve"> efectos al transcurso del tiempo al a</w:t>
      </w:r>
      <w:r w:rsidR="00DA205F" w:rsidRPr="00F84AB1">
        <w:rPr>
          <w:rFonts w:asciiTheme="majorHAnsi" w:hAnsiTheme="majorHAnsi" w:cs="GillSansMT"/>
          <w:sz w:val="20"/>
          <w:szCs w:val="20"/>
          <w:lang w:val="es-ES"/>
        </w:rPr>
        <w:t>plicar la media prescripción.</w:t>
      </w:r>
      <w:r w:rsidR="00DA205F" w:rsidRPr="00F84AB1">
        <w:rPr>
          <w:rFonts w:asciiTheme="majorHAnsi" w:hAnsiTheme="majorHAnsi" w:cs="GillSansMT"/>
          <w:color w:val="FF0000"/>
          <w:sz w:val="20"/>
          <w:szCs w:val="20"/>
          <w:lang w:val="es-ES"/>
        </w:rPr>
        <w:t xml:space="preserve"> </w:t>
      </w:r>
    </w:p>
    <w:p w:rsidR="00394F08" w:rsidRPr="00F84AB1" w:rsidRDefault="00C765C7"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Los peticionarios </w:t>
      </w:r>
      <w:r w:rsidR="00C8065F" w:rsidRPr="00F84AB1">
        <w:rPr>
          <w:rFonts w:asciiTheme="majorHAnsi" w:hAnsiTheme="majorHAnsi" w:cs="GillSansMT"/>
          <w:sz w:val="20"/>
          <w:szCs w:val="20"/>
          <w:lang w:val="es-ES"/>
        </w:rPr>
        <w:t>señalan</w:t>
      </w:r>
      <w:r w:rsidRPr="00F84AB1">
        <w:rPr>
          <w:rFonts w:asciiTheme="majorHAnsi" w:hAnsiTheme="majorHAnsi" w:cs="GillSansMT"/>
          <w:sz w:val="20"/>
          <w:szCs w:val="20"/>
          <w:lang w:val="es-ES"/>
        </w:rPr>
        <w:t xml:space="preserve"> que los hechos denunciados refieren a crímenes de lesa humanidad, que tuvieron por objeto la desaparición </w:t>
      </w:r>
      <w:r w:rsidR="00BC397E" w:rsidRPr="00F84AB1">
        <w:rPr>
          <w:rFonts w:asciiTheme="majorHAnsi" w:hAnsiTheme="majorHAnsi" w:cs="GillSansMT"/>
          <w:sz w:val="20"/>
          <w:szCs w:val="20"/>
          <w:lang w:val="es-ES"/>
        </w:rPr>
        <w:t xml:space="preserve">o ejecución </w:t>
      </w:r>
      <w:r w:rsidRPr="00F84AB1">
        <w:rPr>
          <w:rFonts w:asciiTheme="majorHAnsi" w:hAnsiTheme="majorHAnsi" w:cs="GillSansMT"/>
          <w:sz w:val="20"/>
          <w:szCs w:val="20"/>
          <w:lang w:val="es-ES"/>
        </w:rPr>
        <w:t>de personas por parte de un apar</w:t>
      </w:r>
      <w:r w:rsidR="00A16E24" w:rsidRPr="00F84AB1">
        <w:rPr>
          <w:rFonts w:asciiTheme="majorHAnsi" w:hAnsiTheme="majorHAnsi" w:cs="GillSansMT"/>
          <w:sz w:val="20"/>
          <w:szCs w:val="20"/>
          <w:lang w:val="es-ES"/>
        </w:rPr>
        <w:t>a</w:t>
      </w:r>
      <w:r w:rsidRPr="00F84AB1">
        <w:rPr>
          <w:rFonts w:asciiTheme="majorHAnsi" w:hAnsiTheme="majorHAnsi" w:cs="GillSansMT"/>
          <w:sz w:val="20"/>
          <w:szCs w:val="20"/>
          <w:lang w:val="es-ES"/>
        </w:rPr>
        <w:t>to estatal. Alegan que el conceder beneficios de cualquier índole a los responsables de estos crímenes a partir de consideraciones en torno al tiempo transcurrido, significaría que estos sujetos obtienen provecho de sus propias conductas ilegales, las que dolosamente han desarro</w:t>
      </w:r>
      <w:r w:rsidR="00970252" w:rsidRPr="00F84AB1">
        <w:rPr>
          <w:rFonts w:asciiTheme="majorHAnsi" w:hAnsiTheme="majorHAnsi" w:cs="GillSansMT"/>
          <w:sz w:val="20"/>
          <w:szCs w:val="20"/>
          <w:lang w:val="es-ES"/>
        </w:rPr>
        <w:t xml:space="preserve">llado con el objeto de asegurar su </w:t>
      </w:r>
      <w:r w:rsidRPr="00F84AB1">
        <w:rPr>
          <w:rFonts w:asciiTheme="majorHAnsi" w:hAnsiTheme="majorHAnsi" w:cs="GillSansMT"/>
          <w:sz w:val="20"/>
          <w:szCs w:val="20"/>
          <w:lang w:val="es-ES"/>
        </w:rPr>
        <w:t xml:space="preserve">impunidad. </w:t>
      </w:r>
      <w:r w:rsidR="00A248CC" w:rsidRPr="00F84AB1">
        <w:rPr>
          <w:rFonts w:asciiTheme="majorHAnsi" w:hAnsiTheme="majorHAnsi" w:cs="GillSansMT"/>
          <w:sz w:val="20"/>
          <w:szCs w:val="20"/>
          <w:lang w:val="es-ES"/>
        </w:rPr>
        <w:t>En cuanto a aquellos casos en que los hechos refieren a presuntas víctimas desaparecidas hasta la fecha, los peticionarios alega</w:t>
      </w:r>
      <w:r w:rsidR="002D6ABE" w:rsidRPr="00F84AB1">
        <w:rPr>
          <w:rFonts w:asciiTheme="majorHAnsi" w:hAnsiTheme="majorHAnsi" w:cs="GillSansMT"/>
          <w:sz w:val="20"/>
          <w:szCs w:val="20"/>
          <w:lang w:val="es-ES"/>
        </w:rPr>
        <w:t>n</w:t>
      </w:r>
      <w:r w:rsidR="00A248CC" w:rsidRPr="00F84AB1">
        <w:rPr>
          <w:rFonts w:asciiTheme="majorHAnsi" w:hAnsiTheme="majorHAnsi" w:cs="GillSansMT"/>
          <w:sz w:val="20"/>
          <w:szCs w:val="20"/>
          <w:lang w:val="es-ES"/>
        </w:rPr>
        <w:t xml:space="preserve"> que al ser el secuestro un delito de carácter permanente, se carecería de una fecha desde la cual se pudiese contar el plazo de prescripción, y a su vez de la media </w:t>
      </w:r>
      <w:r w:rsidR="00C64463" w:rsidRPr="00F84AB1">
        <w:rPr>
          <w:rFonts w:asciiTheme="majorHAnsi" w:hAnsiTheme="majorHAnsi" w:cs="GillSansMT"/>
          <w:sz w:val="20"/>
          <w:szCs w:val="20"/>
          <w:lang w:val="es-ES"/>
        </w:rPr>
        <w:t>prescripción.</w:t>
      </w:r>
    </w:p>
    <w:p w:rsidR="00DD5EC4" w:rsidRPr="00F84AB1" w:rsidRDefault="001F6B8F" w:rsidP="003968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GillSansMT"/>
          <w:sz w:val="20"/>
          <w:szCs w:val="20"/>
          <w:lang w:val="es-ES"/>
        </w:rPr>
      </w:pPr>
      <w:r w:rsidRPr="00F84AB1">
        <w:rPr>
          <w:rFonts w:asciiTheme="majorHAnsi" w:hAnsiTheme="majorHAnsi" w:cs="GillSansMT"/>
          <w:sz w:val="20"/>
          <w:szCs w:val="20"/>
          <w:lang w:val="es-ES"/>
        </w:rPr>
        <w:t>En cuanto a agotamiento de recursos internos, a</w:t>
      </w:r>
      <w:r w:rsidR="00DD5EC4" w:rsidRPr="00F84AB1">
        <w:rPr>
          <w:rFonts w:asciiTheme="majorHAnsi" w:hAnsiTheme="majorHAnsi" w:cs="GillSansMT"/>
          <w:sz w:val="20"/>
          <w:szCs w:val="20"/>
          <w:lang w:val="es-ES"/>
        </w:rPr>
        <w:t>legan que no existen recursos posibles, puesto que la resolución emana de la Corte Suprema, y tiene carácter de ejecutoriada.</w:t>
      </w:r>
    </w:p>
    <w:p w:rsidR="006C6DD6" w:rsidRPr="00F84AB1" w:rsidRDefault="00CD2A74" w:rsidP="007B60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UY"/>
        </w:rPr>
      </w:pPr>
      <w:r w:rsidRPr="00F84AB1">
        <w:rPr>
          <w:rFonts w:asciiTheme="majorHAnsi" w:hAnsiTheme="majorHAnsi"/>
          <w:b/>
          <w:bCs/>
          <w:sz w:val="20"/>
          <w:szCs w:val="20"/>
          <w:lang w:val="es-UY"/>
        </w:rPr>
        <w:t>Casos específicos</w:t>
      </w:r>
    </w:p>
    <w:p w:rsidR="006C6DD6" w:rsidRPr="00F84AB1" w:rsidRDefault="006C6DD6" w:rsidP="00331369">
      <w:pPr>
        <w:pStyle w:val="ListParagraph"/>
        <w:numPr>
          <w:ilvl w:val="0"/>
          <w:numId w:val="65"/>
        </w:numPr>
        <w:suppressAutoHyphens/>
        <w:ind w:left="1440" w:hanging="720"/>
        <w:jc w:val="both"/>
        <w:rPr>
          <w:rFonts w:asciiTheme="majorHAnsi" w:hAnsiTheme="majorHAnsi"/>
          <w:b/>
          <w:bCs/>
          <w:sz w:val="20"/>
          <w:szCs w:val="20"/>
          <w:lang w:val="es-UY"/>
        </w:rPr>
      </w:pPr>
      <w:r w:rsidRPr="00F84AB1">
        <w:rPr>
          <w:rFonts w:asciiTheme="majorHAnsi" w:hAnsiTheme="majorHAnsi"/>
          <w:b/>
          <w:bCs/>
          <w:sz w:val="20"/>
          <w:szCs w:val="20"/>
          <w:lang w:val="es-UY"/>
        </w:rPr>
        <w:t>Caso Juan Luis Rivera Matus</w:t>
      </w:r>
      <w:r w:rsidR="00A15162" w:rsidRPr="00F84AB1">
        <w:rPr>
          <w:rFonts w:asciiTheme="majorHAnsi" w:hAnsiTheme="majorHAnsi"/>
          <w:b/>
          <w:bCs/>
          <w:sz w:val="20"/>
          <w:szCs w:val="20"/>
          <w:lang w:val="es-UY"/>
        </w:rPr>
        <w:t xml:space="preserve"> y familia</w:t>
      </w:r>
    </w:p>
    <w:p w:rsidR="006C6DD6" w:rsidRPr="00F84AB1" w:rsidRDefault="006C6DD6" w:rsidP="006C6DD6">
      <w:pPr>
        <w:pStyle w:val="ListParagraph"/>
        <w:suppressAutoHyphens/>
        <w:jc w:val="both"/>
        <w:rPr>
          <w:rFonts w:asciiTheme="majorHAnsi" w:hAnsiTheme="majorHAnsi"/>
          <w:b/>
          <w:bCs/>
          <w:sz w:val="20"/>
          <w:szCs w:val="20"/>
          <w:lang w:val="es-UY"/>
        </w:rPr>
      </w:pPr>
    </w:p>
    <w:p w:rsidR="006C6DD6" w:rsidRPr="00F84AB1" w:rsidRDefault="000001AA" w:rsidP="006C6D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En la denuncia presentada </w:t>
      </w:r>
      <w:r w:rsidRPr="00F84AB1">
        <w:rPr>
          <w:rFonts w:asciiTheme="majorHAnsi" w:hAnsiTheme="majorHAnsi" w:cs="Arial"/>
          <w:sz w:val="20"/>
          <w:szCs w:val="20"/>
          <w:lang w:val="es-ES"/>
        </w:rPr>
        <w:t xml:space="preserve">el día </w:t>
      </w:r>
      <w:r w:rsidRPr="00F84AB1">
        <w:rPr>
          <w:rFonts w:asciiTheme="majorHAnsi" w:hAnsiTheme="majorHAnsi"/>
          <w:sz w:val="20"/>
          <w:szCs w:val="20"/>
          <w:lang w:val="es-ES"/>
        </w:rPr>
        <w:t>28 de enero de 2008 por la AFDD y otros</w:t>
      </w:r>
      <w:r w:rsidRPr="00F84AB1">
        <w:rPr>
          <w:rFonts w:asciiTheme="majorHAnsi" w:hAnsiTheme="majorHAnsi" w:cs="GillSansMT"/>
          <w:sz w:val="20"/>
          <w:szCs w:val="20"/>
          <w:lang w:val="es-ES"/>
        </w:rPr>
        <w:t>, l</w:t>
      </w:r>
      <w:r w:rsidR="00A971E6" w:rsidRPr="00F84AB1">
        <w:rPr>
          <w:rFonts w:asciiTheme="majorHAnsi" w:hAnsiTheme="majorHAnsi" w:cs="GillSansMT"/>
          <w:sz w:val="20"/>
          <w:szCs w:val="20"/>
          <w:lang w:val="es-ES"/>
        </w:rPr>
        <w:t>os peticionarios señalan que e</w:t>
      </w:r>
      <w:r w:rsidR="006C6DD6" w:rsidRPr="00F84AB1">
        <w:rPr>
          <w:rFonts w:asciiTheme="majorHAnsi" w:hAnsiTheme="majorHAnsi" w:cs="GillSansMT"/>
          <w:sz w:val="20"/>
          <w:szCs w:val="20"/>
          <w:lang w:val="es-ES"/>
        </w:rPr>
        <w:t xml:space="preserve">l 6 de noviembre de 1975, Juan Luis Rivera Matus, de filiación comunista, y dirigente sindical, fue detenido en la vía pública en la ciudad de Santiago, mientras salía de las oficinas de la empresa Chilectra en la que trabajaba, por agentes del Comando Conjunto, y trasladado al Regimiento de Artillería Antiaérea de Colina, dependiente de la Fuerza Aérea, donde funcionaba el centro de detención clandestino “Remo Cero”. En </w:t>
      </w:r>
      <w:r w:rsidR="006C6DD6" w:rsidRPr="00F84AB1">
        <w:rPr>
          <w:rFonts w:asciiTheme="majorHAnsi" w:hAnsiTheme="majorHAnsi" w:cs="GillSansMT"/>
          <w:sz w:val="20"/>
          <w:szCs w:val="20"/>
          <w:lang w:val="es-ES"/>
        </w:rPr>
        <w:lastRenderedPageBreak/>
        <w:t>dicho lugar, funcionarios del Ejército lo interrogaron mediante torturas, aplicándole</w:t>
      </w:r>
      <w:r w:rsidR="00012631" w:rsidRPr="00F84AB1">
        <w:rPr>
          <w:rFonts w:asciiTheme="majorHAnsi" w:hAnsiTheme="majorHAnsi" w:cs="GillSansMT"/>
          <w:sz w:val="20"/>
          <w:szCs w:val="20"/>
          <w:lang w:val="es-ES"/>
        </w:rPr>
        <w:t xml:space="preserve"> </w:t>
      </w:r>
      <w:r w:rsidR="006C6DD6" w:rsidRPr="00F84AB1">
        <w:rPr>
          <w:rFonts w:asciiTheme="majorHAnsi" w:hAnsiTheme="majorHAnsi" w:cs="GillSansMT"/>
          <w:sz w:val="20"/>
          <w:szCs w:val="20"/>
          <w:lang w:val="es-ES"/>
        </w:rPr>
        <w:t xml:space="preserve">corriente eléctrica y otros tormentos, desencadenando su muerte. Al día siguiente, los mismos individuos habrían concurrido al lugar a retirar el cadáver. Los restos de la presunta víctima fueron encontrados el 13 de marzo del año 2001, luego de excavaciones realizadas al interior del Fuerte Arteaga del Ejército en el marco de una investigación judicial. El 5 de junio del año 2002 se extendió un certificado de defunción estableciendo como fecha de fallecimiento el día 13 de marzo de 2001. La Comisión Nacional de Verdad y Reconciliación habría llegado a la convicción de que Juan Luis Rivera Matus era una víctima calificada. </w:t>
      </w:r>
    </w:p>
    <w:p w:rsidR="00913552" w:rsidRPr="00F84AB1" w:rsidRDefault="000001AA" w:rsidP="009135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hAnsiTheme="majorHAnsi" w:cs="GillSansMT"/>
          <w:sz w:val="20"/>
          <w:szCs w:val="20"/>
          <w:lang w:val="es-ES"/>
        </w:rPr>
        <w:t>L</w:t>
      </w:r>
      <w:r w:rsidR="00913552" w:rsidRPr="00F84AB1">
        <w:rPr>
          <w:rFonts w:asciiTheme="majorHAnsi" w:hAnsiTheme="majorHAnsi"/>
          <w:sz w:val="20"/>
          <w:szCs w:val="20"/>
          <w:lang w:val="es-ES"/>
        </w:rPr>
        <w:t xml:space="preserve">os peticionarios afirman que el mismo día de los hechos, familiares de la presunta víctima presentaron un recurso de amparo ante la Corte de Apelaciones de Santiago, el cual fue rechazado luego de que el Ministerio del Interior emitiera un informe negando la detención de la presunta víctima. </w:t>
      </w:r>
    </w:p>
    <w:p w:rsidR="00913552" w:rsidRPr="00F84AB1" w:rsidRDefault="00913552" w:rsidP="009135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hAnsiTheme="majorHAnsi"/>
          <w:sz w:val="20"/>
          <w:szCs w:val="20"/>
          <w:lang w:val="es-ES"/>
        </w:rPr>
        <w:t>De acuerdo con la petición, el 1˚ de diciembre de 1975, la cónyuge de la presunta víctima, Olga Sánchez Rivas, interpuso una denuncia ante el 1˚ Juzgado del Crimen de Santiago, proceso que fue sobreseído temporalmente el 14 de julio de 1976. Señalan que el 28 de junio de 1996 la Corporación Nacional de Reparación y Reconciliación solicitó la reapertura del sumario, siendo cumplida dicha solicitud el 12 de agosto de 1996.</w:t>
      </w:r>
      <w:r w:rsidR="00012631" w:rsidRPr="00F84AB1">
        <w:rPr>
          <w:rFonts w:asciiTheme="majorHAnsi" w:hAnsiTheme="majorHAnsi"/>
          <w:sz w:val="20"/>
          <w:szCs w:val="20"/>
          <w:lang w:val="es-ES"/>
        </w:rPr>
        <w:t xml:space="preserve"> </w:t>
      </w:r>
      <w:r w:rsidRPr="00F84AB1">
        <w:rPr>
          <w:rFonts w:asciiTheme="majorHAnsi" w:hAnsiTheme="majorHAnsi"/>
          <w:sz w:val="20"/>
          <w:szCs w:val="20"/>
          <w:lang w:val="es-ES"/>
        </w:rPr>
        <w:t>Indican que el 28 de febrero de 1997 se dictó nuevamente el sobreseimiento temporal de la causa, ejecutoriado el 24 de noviembre de 1998.</w:t>
      </w:r>
      <w:r w:rsidR="00012631" w:rsidRPr="00F84AB1">
        <w:rPr>
          <w:rFonts w:asciiTheme="majorHAnsi" w:hAnsiTheme="majorHAnsi"/>
          <w:sz w:val="20"/>
          <w:szCs w:val="20"/>
          <w:lang w:val="es-ES"/>
        </w:rPr>
        <w:t xml:space="preserve"> </w:t>
      </w:r>
    </w:p>
    <w:p w:rsidR="00913552" w:rsidRPr="00F84AB1" w:rsidRDefault="00913552" w:rsidP="009135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hAnsiTheme="majorHAnsi"/>
          <w:sz w:val="20"/>
          <w:szCs w:val="20"/>
          <w:lang w:val="es-ES"/>
        </w:rPr>
        <w:t>Refieren que el 25 de mayo de 2001 los hijos del señor Rivera presentaron una querella criminal, reactivándose nuevamente la investigación judicial. En el marco de este proceso, el 4 de mayo de 2004 fueron condenados el Mayor en retiro Álvaro Corbalán y el Coronel en retiro Sergio Díaz a 15 y 10 años de prisión respectivamente, por su participación en calidad de autores del delito de secuestro calificado, perpetrado en la persona de Juan Luis Rivera Matus a contar del 16 de noviembre de 1975 hasta el 13 de marzo de 2001, y al General en retiro Freddy Ruiz y el Coronel en retiro Carlos Madrid en calidad de encubridores de dicho delito, a la pena de 600 días de prisión, ambos con el beneficio de remisión condicional de la pena.</w:t>
      </w:r>
      <w:r w:rsidRPr="00F84AB1">
        <w:rPr>
          <w:rStyle w:val="FootnoteReference"/>
          <w:rFonts w:asciiTheme="majorHAnsi" w:hAnsiTheme="majorHAnsi"/>
          <w:sz w:val="20"/>
          <w:szCs w:val="20"/>
          <w:lang w:val="es-ES"/>
        </w:rPr>
        <w:t xml:space="preserve"> </w:t>
      </w:r>
      <w:r w:rsidRPr="00F84AB1">
        <w:rPr>
          <w:rStyle w:val="FootnoteReference"/>
          <w:rFonts w:asciiTheme="majorHAnsi" w:hAnsiTheme="majorHAnsi"/>
          <w:sz w:val="20"/>
          <w:szCs w:val="20"/>
        </w:rPr>
        <w:footnoteReference w:id="15"/>
      </w:r>
      <w:r w:rsidR="00012631" w:rsidRPr="00F84AB1">
        <w:rPr>
          <w:rFonts w:asciiTheme="majorHAnsi" w:hAnsiTheme="majorHAnsi"/>
          <w:sz w:val="20"/>
          <w:szCs w:val="20"/>
          <w:lang w:val="es-ES"/>
        </w:rPr>
        <w:t xml:space="preserve"> </w:t>
      </w:r>
      <w:r w:rsidRPr="00F84AB1">
        <w:rPr>
          <w:rFonts w:asciiTheme="majorHAnsi" w:hAnsiTheme="majorHAnsi"/>
          <w:sz w:val="20"/>
          <w:szCs w:val="20"/>
          <w:lang w:val="es-ES"/>
        </w:rPr>
        <w:t xml:space="preserve"> </w:t>
      </w:r>
    </w:p>
    <w:p w:rsidR="00913552" w:rsidRPr="00F84AB1" w:rsidRDefault="00913552" w:rsidP="0091355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hAnsiTheme="majorHAnsi"/>
          <w:sz w:val="20"/>
          <w:szCs w:val="20"/>
          <w:lang w:val="es-ES"/>
        </w:rPr>
        <w:t>Indican que el 27 de junio de 2006 la Corte de Apelaciones de Santiago confirmó la sentencia, modificando la pena, condenando a los cuatro agentes a la pena de diez años de prisión como autores del delito de secuestro con resultado de grave daño (muerte), cometido el 6 de noviembre de 1975 en la persona de Juan Luis Rivera Matus.</w:t>
      </w:r>
      <w:r w:rsidR="00012631" w:rsidRPr="00F84AB1">
        <w:rPr>
          <w:rFonts w:asciiTheme="majorHAnsi" w:hAnsiTheme="majorHAnsi"/>
          <w:sz w:val="20"/>
          <w:szCs w:val="20"/>
          <w:lang w:val="es-ES"/>
        </w:rPr>
        <w:t xml:space="preserve"> </w:t>
      </w:r>
    </w:p>
    <w:p w:rsidR="00F6325B" w:rsidRDefault="00913552" w:rsidP="00F6325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F84AB1">
        <w:rPr>
          <w:rFonts w:asciiTheme="majorHAnsi" w:hAnsiTheme="majorHAnsi"/>
          <w:sz w:val="20"/>
          <w:szCs w:val="20"/>
          <w:lang w:val="es-ES"/>
        </w:rPr>
        <w:t>Señalan que las defensas de Madrid, Ruiz, Corbalán y Díaz interpusieron recursos de casación en la forma y en el fondo, los dos primeros mencionados, y en el fondo los siguientes, y que el 30 de julio de 2007 la Segunda Sala de la Corte Suprema de Justicia anuló la sentencia invocando la existencia de un error formal (falta de expresión de los hechos que dieron lugar a modificar las consideraciones del tribunal de primera instancia y afirmar la calidad de autor del señor Ruiz), y dictó sentencia de reemplazo</w:t>
      </w:r>
      <w:r w:rsidR="005B0DA0" w:rsidRPr="00F84AB1">
        <w:rPr>
          <w:rFonts w:asciiTheme="majorHAnsi" w:hAnsiTheme="majorHAnsi"/>
          <w:sz w:val="20"/>
          <w:szCs w:val="20"/>
          <w:lang w:val="es-ES"/>
        </w:rPr>
        <w:t xml:space="preserve"> aplicando la figura de la prescripción gradual, lo que incidió en el quantum de la pena, y condenó</w:t>
      </w:r>
      <w:r w:rsidRPr="00F84AB1">
        <w:rPr>
          <w:rFonts w:asciiTheme="majorHAnsi" w:hAnsiTheme="majorHAnsi"/>
          <w:sz w:val="20"/>
          <w:szCs w:val="20"/>
          <w:lang w:val="es-ES"/>
        </w:rPr>
        <w:t xml:space="preserve"> a Ruiz y Madrid a tres años de prisión en calidad de autores del delito de homicidio calificado, y a</w:t>
      </w:r>
      <w:r w:rsidRPr="00F84AB1">
        <w:rPr>
          <w:rFonts w:asciiTheme="majorHAnsi" w:hAnsiTheme="majorHAnsi" w:cs="GillSansMT"/>
          <w:color w:val="00B050"/>
          <w:sz w:val="20"/>
          <w:szCs w:val="20"/>
          <w:lang w:val="es-ES"/>
        </w:rPr>
        <w:t xml:space="preserve"> </w:t>
      </w:r>
      <w:r w:rsidRPr="00F84AB1">
        <w:rPr>
          <w:rFonts w:asciiTheme="majorHAnsi" w:hAnsiTheme="majorHAnsi"/>
          <w:sz w:val="20"/>
          <w:szCs w:val="20"/>
          <w:lang w:val="es-ES"/>
        </w:rPr>
        <w:t xml:space="preserve">Corbalán y Díaz a cuatro años de prisión respecto del mismo ilícito y en el mismo grado de participación. A Ruiz, Madrid y Díaz se les concedió la libertad (como remisión condicional de la pena o como libertad vigilada), implicando que deben firmar mensualmente un libro de Gendarmería de Chile destinado al efecto, e indican que a Álvaro Corbalán no se le concedió dicho beneficio debido a que se encontraba ya cumpliendo una condena de prisión perpetua en otra causa. </w:t>
      </w:r>
      <w:r w:rsidRPr="00F84AB1">
        <w:rPr>
          <w:rFonts w:asciiTheme="majorHAnsi" w:hAnsiTheme="majorHAnsi"/>
          <w:sz w:val="20"/>
          <w:szCs w:val="20"/>
        </w:rPr>
        <w:t>Indican que contra esta sentencia no procede recurso alguno.</w:t>
      </w:r>
    </w:p>
    <w:p w:rsidR="00F6325B" w:rsidRDefault="00F6325B" w:rsidP="00F6325B">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ajorHAnsi" w:hAnsiTheme="majorHAnsi"/>
          <w:sz w:val="20"/>
          <w:szCs w:val="20"/>
        </w:rPr>
      </w:pPr>
    </w:p>
    <w:p w:rsidR="00F6325B" w:rsidRDefault="00F6325B" w:rsidP="00F6325B">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ajorHAnsi" w:hAnsiTheme="majorHAnsi"/>
          <w:sz w:val="20"/>
          <w:szCs w:val="20"/>
        </w:rPr>
      </w:pPr>
    </w:p>
    <w:p w:rsidR="00F6325B" w:rsidRPr="00F6325B" w:rsidRDefault="00F6325B" w:rsidP="00F6325B">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ajorHAnsi" w:hAnsiTheme="majorHAnsi"/>
          <w:sz w:val="20"/>
          <w:szCs w:val="20"/>
        </w:rPr>
      </w:pPr>
    </w:p>
    <w:p w:rsidR="00F6325B" w:rsidRDefault="00BB3ADD" w:rsidP="00F6325B">
      <w:pPr>
        <w:pStyle w:val="ListParagraph"/>
        <w:numPr>
          <w:ilvl w:val="0"/>
          <w:numId w:val="65"/>
        </w:numPr>
        <w:suppressAutoHyphens/>
        <w:ind w:left="0" w:firstLine="720"/>
        <w:jc w:val="both"/>
        <w:rPr>
          <w:rFonts w:asciiTheme="majorHAnsi" w:hAnsiTheme="majorHAnsi"/>
          <w:b/>
          <w:bCs/>
          <w:sz w:val="20"/>
          <w:szCs w:val="20"/>
          <w:lang w:val="es-UY"/>
        </w:rPr>
      </w:pPr>
      <w:r w:rsidRPr="00F84AB1">
        <w:rPr>
          <w:rFonts w:asciiTheme="majorHAnsi" w:hAnsiTheme="majorHAnsi"/>
          <w:b/>
          <w:bCs/>
          <w:sz w:val="20"/>
          <w:szCs w:val="20"/>
          <w:lang w:val="es-UY"/>
        </w:rPr>
        <w:lastRenderedPageBreak/>
        <w:t xml:space="preserve">Caso de Cardenio Ancacura Manquián, Teófilo Zaragozo González Calfulef, Manuel </w:t>
      </w:r>
    </w:p>
    <w:p w:rsidR="00CD2A74" w:rsidRDefault="00BB3ADD" w:rsidP="00F6325B">
      <w:pPr>
        <w:pStyle w:val="ListParagraph"/>
        <w:suppressAutoHyphens/>
        <w:jc w:val="both"/>
        <w:rPr>
          <w:rFonts w:asciiTheme="majorHAnsi" w:hAnsiTheme="majorHAnsi"/>
          <w:b/>
          <w:bCs/>
          <w:sz w:val="20"/>
          <w:szCs w:val="20"/>
          <w:lang w:val="es-UY"/>
        </w:rPr>
      </w:pPr>
      <w:r w:rsidRPr="00F84AB1">
        <w:rPr>
          <w:rFonts w:asciiTheme="majorHAnsi" w:hAnsiTheme="majorHAnsi"/>
          <w:b/>
          <w:bCs/>
          <w:sz w:val="20"/>
          <w:szCs w:val="20"/>
          <w:lang w:val="es-UY"/>
        </w:rPr>
        <w:t>Hernández Inostroza, Arturo Benito Vega González</w:t>
      </w:r>
      <w:r w:rsidR="00984618" w:rsidRPr="00F84AB1">
        <w:rPr>
          <w:rFonts w:asciiTheme="majorHAnsi" w:hAnsiTheme="majorHAnsi"/>
          <w:b/>
          <w:bCs/>
          <w:sz w:val="20"/>
          <w:szCs w:val="20"/>
          <w:lang w:val="es-UY"/>
        </w:rPr>
        <w:t xml:space="preserve"> y familiares</w:t>
      </w:r>
    </w:p>
    <w:p w:rsidR="00F6325B" w:rsidRPr="00F6325B" w:rsidRDefault="00F6325B" w:rsidP="00F6325B">
      <w:pPr>
        <w:pStyle w:val="ListParagraph"/>
        <w:suppressAutoHyphens/>
        <w:jc w:val="both"/>
        <w:rPr>
          <w:rFonts w:asciiTheme="majorHAnsi" w:hAnsiTheme="majorHAnsi"/>
          <w:b/>
          <w:bCs/>
          <w:sz w:val="20"/>
          <w:szCs w:val="20"/>
          <w:lang w:val="es-UY"/>
        </w:rPr>
      </w:pPr>
    </w:p>
    <w:p w:rsidR="00CD2A74" w:rsidRPr="00F84AB1" w:rsidRDefault="00CD2A74"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El 3 de marzo de 2008 la CIDH recibió una denuncia presentada en favor de Cardenio Ancacura Manquián, Teófilo Zaragozo González Calfulef, Manuel Hernández Inostroza, Arturo Benito Vega González y sus familiares. </w:t>
      </w:r>
    </w:p>
    <w:p w:rsidR="00CD2A74" w:rsidRPr="00F84AB1" w:rsidRDefault="00CD2A74" w:rsidP="00C644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hAnsiTheme="majorHAnsi" w:cs="GillSansMT"/>
          <w:sz w:val="20"/>
          <w:szCs w:val="20"/>
          <w:lang w:val="es-ES"/>
        </w:rPr>
      </w:pPr>
    </w:p>
    <w:p w:rsidR="000C1332" w:rsidRPr="00F84AB1" w:rsidRDefault="000C1332"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Bold"/>
          <w:bCs/>
          <w:sz w:val="20"/>
          <w:szCs w:val="20"/>
          <w:lang w:val="es-ES"/>
        </w:rPr>
        <w:t>Los peticionarios sostienen que</w:t>
      </w:r>
      <w:r w:rsidR="002E25B3" w:rsidRPr="00F84AB1">
        <w:rPr>
          <w:rFonts w:asciiTheme="majorHAnsi" w:hAnsiTheme="majorHAnsi" w:cs="GillSansMT,Bold"/>
          <w:bCs/>
          <w:sz w:val="20"/>
          <w:szCs w:val="20"/>
          <w:lang w:val="es-ES"/>
        </w:rPr>
        <w:t xml:space="preserve"> </w:t>
      </w:r>
      <w:r w:rsidRPr="00F84AB1">
        <w:rPr>
          <w:rFonts w:asciiTheme="majorHAnsi" w:hAnsiTheme="majorHAnsi" w:cs="GillSansMT"/>
          <w:sz w:val="20"/>
          <w:szCs w:val="20"/>
          <w:lang w:val="es-ES"/>
        </w:rPr>
        <w:t xml:space="preserve">en la </w:t>
      </w:r>
      <w:r w:rsidRPr="00F84AB1">
        <w:rPr>
          <w:rFonts w:asciiTheme="majorHAnsi" w:hAnsiTheme="majorHAnsi" w:cs="GillSansMT,Bold"/>
          <w:bCs/>
          <w:sz w:val="20"/>
          <w:szCs w:val="20"/>
          <w:lang w:val="es-ES"/>
        </w:rPr>
        <w:t xml:space="preserve">madrugada del 16 de octubre de 1973, </w:t>
      </w:r>
      <w:r w:rsidR="001A2A8E" w:rsidRPr="00F84AB1">
        <w:rPr>
          <w:rFonts w:asciiTheme="majorHAnsi" w:hAnsiTheme="majorHAnsi" w:cs="GillSansMT,Bold"/>
          <w:bCs/>
          <w:sz w:val="20"/>
          <w:szCs w:val="20"/>
          <w:lang w:val="es-ES"/>
        </w:rPr>
        <w:t>un grupo de agentes de la marina y civiles ligados a “Patria y Libertad”,</w:t>
      </w:r>
      <w:r w:rsidR="0095591A" w:rsidRPr="00F84AB1">
        <w:rPr>
          <w:rFonts w:asciiTheme="majorHAnsi" w:hAnsiTheme="majorHAnsi" w:cs="GillSansMT,Bold"/>
          <w:bCs/>
          <w:sz w:val="20"/>
          <w:szCs w:val="20"/>
          <w:lang w:val="es-ES"/>
        </w:rPr>
        <w:t xml:space="preserve"> que indican sería</w:t>
      </w:r>
      <w:r w:rsidR="001A2A8E" w:rsidRPr="00F84AB1">
        <w:rPr>
          <w:rFonts w:asciiTheme="majorHAnsi" w:hAnsiTheme="majorHAnsi" w:cs="GillSansMT,Bold"/>
          <w:bCs/>
          <w:sz w:val="20"/>
          <w:szCs w:val="20"/>
          <w:lang w:val="es-ES"/>
        </w:rPr>
        <w:t xml:space="preserve"> </w:t>
      </w:r>
      <w:r w:rsidR="0073653E" w:rsidRPr="00F84AB1">
        <w:rPr>
          <w:rFonts w:asciiTheme="majorHAnsi" w:hAnsiTheme="majorHAnsi" w:cs="GillSansMT,Bold"/>
          <w:bCs/>
          <w:sz w:val="20"/>
          <w:szCs w:val="20"/>
          <w:lang w:val="es-ES"/>
        </w:rPr>
        <w:t xml:space="preserve">un </w:t>
      </w:r>
      <w:r w:rsidR="001A2A8E" w:rsidRPr="00F84AB1">
        <w:rPr>
          <w:rFonts w:asciiTheme="majorHAnsi" w:hAnsiTheme="majorHAnsi" w:cs="GillSansMT,Bold"/>
          <w:bCs/>
          <w:sz w:val="20"/>
          <w:szCs w:val="20"/>
          <w:lang w:val="es-ES"/>
        </w:rPr>
        <w:t>grupo paramilitar de extrema derecha</w:t>
      </w:r>
      <w:r w:rsidR="0095591A" w:rsidRPr="00F84AB1">
        <w:rPr>
          <w:rFonts w:asciiTheme="majorHAnsi" w:hAnsiTheme="majorHAnsi" w:cs="GillSansMT"/>
          <w:sz w:val="20"/>
          <w:szCs w:val="20"/>
          <w:lang w:val="es-ES"/>
        </w:rPr>
        <w:t xml:space="preserve">, arribaron al </w:t>
      </w:r>
      <w:r w:rsidR="001A2A8E" w:rsidRPr="00F84AB1">
        <w:rPr>
          <w:rFonts w:asciiTheme="majorHAnsi" w:hAnsiTheme="majorHAnsi" w:cs="GillSansMT"/>
          <w:sz w:val="20"/>
          <w:szCs w:val="20"/>
          <w:lang w:val="es-ES"/>
        </w:rPr>
        <w:t>poblado de Lago Ranco,</w:t>
      </w:r>
      <w:r w:rsidR="005F33F0" w:rsidRPr="00F84AB1">
        <w:rPr>
          <w:rFonts w:asciiTheme="majorHAnsi" w:hAnsiTheme="majorHAnsi" w:cs="GillSansMT,Bold"/>
          <w:bCs/>
          <w:sz w:val="20"/>
          <w:szCs w:val="20"/>
          <w:lang w:val="es-ES"/>
        </w:rPr>
        <w:t xml:space="preserve"> </w:t>
      </w:r>
      <w:r w:rsidR="005F33F0" w:rsidRPr="00F84AB1">
        <w:rPr>
          <w:rFonts w:asciiTheme="majorHAnsi" w:hAnsiTheme="majorHAnsi" w:cs="GillSansMT"/>
          <w:sz w:val="20"/>
          <w:szCs w:val="20"/>
          <w:lang w:val="es-ES"/>
        </w:rPr>
        <w:t>zona campesina</w:t>
      </w:r>
      <w:r w:rsidR="005F33F0" w:rsidRPr="00F84AB1">
        <w:rPr>
          <w:rFonts w:asciiTheme="majorHAnsi" w:hAnsiTheme="majorHAnsi" w:cs="GillSansMT,Bold"/>
          <w:bCs/>
          <w:sz w:val="20"/>
          <w:szCs w:val="20"/>
          <w:lang w:val="es-ES"/>
        </w:rPr>
        <w:t xml:space="preserve"> ubicada en la Provincia de Valdivia</w:t>
      </w:r>
      <w:r w:rsidR="001A2A8E" w:rsidRPr="00F84AB1">
        <w:rPr>
          <w:rFonts w:asciiTheme="majorHAnsi" w:hAnsiTheme="majorHAnsi" w:cs="GillSansMT"/>
          <w:sz w:val="20"/>
          <w:szCs w:val="20"/>
          <w:lang w:val="es-ES"/>
        </w:rPr>
        <w:t xml:space="preserve">, y en colaboración con la policía comenzaron a buscar y detener a ciudadanos, </w:t>
      </w:r>
      <w:r w:rsidR="0095591A" w:rsidRPr="00F84AB1">
        <w:rPr>
          <w:rFonts w:asciiTheme="majorHAnsi" w:hAnsiTheme="majorHAnsi" w:cs="GillSansMT"/>
          <w:sz w:val="20"/>
          <w:szCs w:val="20"/>
          <w:lang w:val="es-ES"/>
        </w:rPr>
        <w:t>principalmente</w:t>
      </w:r>
      <w:r w:rsidR="001A2A8E" w:rsidRPr="00F84AB1">
        <w:rPr>
          <w:rFonts w:asciiTheme="majorHAnsi" w:hAnsiTheme="majorHAnsi" w:cs="GillSansMT"/>
          <w:sz w:val="20"/>
          <w:szCs w:val="20"/>
          <w:lang w:val="es-ES"/>
        </w:rPr>
        <w:t xml:space="preserve"> campesinos o personas de origen mapuche, sin orden judicial. En ese contexto </w:t>
      </w:r>
      <w:r w:rsidR="007D4682" w:rsidRPr="00F84AB1">
        <w:rPr>
          <w:rFonts w:asciiTheme="majorHAnsi" w:hAnsiTheme="majorHAnsi" w:cs="GillSansMT"/>
          <w:sz w:val="20"/>
          <w:szCs w:val="20"/>
          <w:lang w:val="es-ES"/>
        </w:rPr>
        <w:t>indican que fueron</w:t>
      </w:r>
      <w:r w:rsidR="001A2A8E" w:rsidRPr="00F84AB1">
        <w:rPr>
          <w:rFonts w:asciiTheme="majorHAnsi" w:hAnsiTheme="majorHAnsi" w:cs="GillSansMT"/>
          <w:sz w:val="20"/>
          <w:szCs w:val="20"/>
          <w:lang w:val="es-ES"/>
        </w:rPr>
        <w:t xml:space="preserve"> detenidos </w:t>
      </w:r>
      <w:r w:rsidR="00610106" w:rsidRPr="00F84AB1">
        <w:rPr>
          <w:rFonts w:asciiTheme="majorHAnsi" w:hAnsiTheme="majorHAnsi" w:cs="GillSansMT,Bold"/>
          <w:bCs/>
          <w:sz w:val="20"/>
          <w:szCs w:val="20"/>
          <w:lang w:val="es-ES"/>
        </w:rPr>
        <w:t>Cardenio Ancacura Manquián, Teófilo Zaragozo González Calfulef, Manuel Hernández Inostroza, Arturo Benito Vega González</w:t>
      </w:r>
      <w:r w:rsidR="007D4682" w:rsidRPr="00F84AB1">
        <w:rPr>
          <w:rFonts w:asciiTheme="majorHAnsi" w:hAnsiTheme="majorHAnsi" w:cs="GillSansMT,Bold"/>
          <w:bCs/>
          <w:sz w:val="20"/>
          <w:szCs w:val="20"/>
          <w:lang w:val="es-ES"/>
        </w:rPr>
        <w:t>, quienes</w:t>
      </w:r>
      <w:r w:rsidR="0073653E" w:rsidRPr="00F84AB1">
        <w:rPr>
          <w:rFonts w:asciiTheme="majorHAnsi" w:hAnsiTheme="majorHAnsi" w:cs="GillSansMT,Bold"/>
          <w:bCs/>
          <w:sz w:val="20"/>
          <w:szCs w:val="20"/>
          <w:lang w:val="es-ES"/>
        </w:rPr>
        <w:t xml:space="preserve"> fueron</w:t>
      </w:r>
      <w:r w:rsidRPr="00F84AB1">
        <w:rPr>
          <w:rFonts w:asciiTheme="majorHAnsi" w:hAnsiTheme="majorHAnsi" w:cs="GillSansMT,Bold"/>
          <w:bCs/>
          <w:sz w:val="20"/>
          <w:szCs w:val="20"/>
          <w:lang w:val="es-ES"/>
        </w:rPr>
        <w:t xml:space="preserve"> secuestrados</w:t>
      </w:r>
      <w:r w:rsidR="001A2A8E" w:rsidRPr="00F84AB1">
        <w:rPr>
          <w:rFonts w:asciiTheme="majorHAnsi" w:hAnsiTheme="majorHAnsi" w:cs="GillSansMT,Bold"/>
          <w:bCs/>
          <w:sz w:val="20"/>
          <w:szCs w:val="20"/>
          <w:lang w:val="es-ES"/>
        </w:rPr>
        <w:t xml:space="preserve">, </w:t>
      </w:r>
      <w:r w:rsidRPr="00F84AB1">
        <w:rPr>
          <w:rFonts w:asciiTheme="majorHAnsi" w:hAnsiTheme="majorHAnsi" w:cs="GillSansMT"/>
          <w:sz w:val="20"/>
          <w:szCs w:val="20"/>
          <w:lang w:val="es-ES"/>
        </w:rPr>
        <w:t>y conducidos junto a otras personas al Retén de Lago Ran</w:t>
      </w:r>
      <w:r w:rsidR="00AA79C6" w:rsidRPr="00F84AB1">
        <w:rPr>
          <w:rFonts w:asciiTheme="majorHAnsi" w:hAnsiTheme="majorHAnsi" w:cs="GillSansMT"/>
          <w:sz w:val="20"/>
          <w:szCs w:val="20"/>
          <w:lang w:val="es-ES"/>
        </w:rPr>
        <w:t xml:space="preserve">co, donde </w:t>
      </w:r>
      <w:r w:rsidR="0073653E" w:rsidRPr="00F84AB1">
        <w:rPr>
          <w:rFonts w:asciiTheme="majorHAnsi" w:hAnsiTheme="majorHAnsi" w:cs="GillSansMT"/>
          <w:sz w:val="20"/>
          <w:szCs w:val="20"/>
          <w:lang w:val="es-ES"/>
        </w:rPr>
        <w:t xml:space="preserve">fueron </w:t>
      </w:r>
      <w:r w:rsidR="00AA79C6" w:rsidRPr="00F84AB1">
        <w:rPr>
          <w:rFonts w:asciiTheme="majorHAnsi" w:hAnsiTheme="majorHAnsi" w:cs="GillSansMT"/>
          <w:sz w:val="20"/>
          <w:szCs w:val="20"/>
          <w:lang w:val="es-ES"/>
        </w:rPr>
        <w:t>torturados</w:t>
      </w:r>
      <w:r w:rsidR="00E2395A" w:rsidRPr="00F84AB1">
        <w:rPr>
          <w:rFonts w:asciiTheme="majorHAnsi" w:hAnsiTheme="majorHAnsi" w:cs="GillSansMT"/>
          <w:sz w:val="20"/>
          <w:szCs w:val="20"/>
          <w:lang w:val="es-ES"/>
        </w:rPr>
        <w:t xml:space="preserve"> y </w:t>
      </w:r>
      <w:r w:rsidR="0073653E" w:rsidRPr="00F84AB1">
        <w:rPr>
          <w:rFonts w:asciiTheme="majorHAnsi" w:hAnsiTheme="majorHAnsi" w:cs="GillSansMT"/>
          <w:sz w:val="20"/>
          <w:szCs w:val="20"/>
          <w:lang w:val="es-ES"/>
        </w:rPr>
        <w:t>sometidos a</w:t>
      </w:r>
      <w:r w:rsidR="00E2395A" w:rsidRPr="00F84AB1">
        <w:rPr>
          <w:rFonts w:asciiTheme="majorHAnsi" w:hAnsiTheme="majorHAnsi" w:cs="GillSansMT"/>
          <w:sz w:val="20"/>
          <w:szCs w:val="20"/>
          <w:lang w:val="es-ES"/>
        </w:rPr>
        <w:t xml:space="preserve"> un falso proceso</w:t>
      </w:r>
      <w:r w:rsidR="00AA79C6"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 xml:space="preserve">Alegan que esa madrugada </w:t>
      </w:r>
      <w:r w:rsidR="00E2395A" w:rsidRPr="00F84AB1">
        <w:rPr>
          <w:rFonts w:asciiTheme="majorHAnsi" w:hAnsiTheme="majorHAnsi" w:cs="GillSansMT"/>
          <w:sz w:val="20"/>
          <w:szCs w:val="20"/>
          <w:lang w:val="es-ES"/>
        </w:rPr>
        <w:t>las presuntas víctimas</w:t>
      </w:r>
      <w:r w:rsidRPr="00F84AB1">
        <w:rPr>
          <w:rFonts w:asciiTheme="majorHAnsi" w:hAnsiTheme="majorHAnsi" w:cs="GillSansMT"/>
          <w:sz w:val="20"/>
          <w:szCs w:val="20"/>
          <w:lang w:val="es-ES"/>
        </w:rPr>
        <w:t xml:space="preserve"> </w:t>
      </w:r>
      <w:r w:rsidR="00E2395A" w:rsidRPr="00F84AB1">
        <w:rPr>
          <w:rFonts w:asciiTheme="majorHAnsi" w:hAnsiTheme="majorHAnsi" w:cs="GillSansMT"/>
          <w:sz w:val="20"/>
          <w:szCs w:val="20"/>
          <w:lang w:val="es-ES"/>
        </w:rPr>
        <w:t>fueron trasladada</w:t>
      </w:r>
      <w:r w:rsidRPr="00F84AB1">
        <w:rPr>
          <w:rFonts w:asciiTheme="majorHAnsi" w:hAnsiTheme="majorHAnsi" w:cs="GillSansMT"/>
          <w:sz w:val="20"/>
          <w:szCs w:val="20"/>
          <w:lang w:val="es-ES"/>
        </w:rPr>
        <w:t>s a uno de los embarcaderos del Lago Ranco</w:t>
      </w:r>
      <w:r w:rsidR="00226DC3" w:rsidRPr="00F84AB1">
        <w:rPr>
          <w:rFonts w:asciiTheme="majorHAnsi" w:hAnsiTheme="majorHAnsi" w:cs="GillSansMT"/>
          <w:sz w:val="20"/>
          <w:szCs w:val="20"/>
          <w:lang w:val="es-ES"/>
        </w:rPr>
        <w:t xml:space="preserve"> y subidos al vapor “Valdivia”.</w:t>
      </w:r>
      <w:r w:rsidRPr="00F84AB1">
        <w:rPr>
          <w:rFonts w:asciiTheme="majorHAnsi" w:hAnsiTheme="majorHAnsi" w:cs="GillSansMT"/>
          <w:sz w:val="20"/>
          <w:szCs w:val="20"/>
          <w:lang w:val="es-ES"/>
        </w:rPr>
        <w:t xml:space="preserve"> </w:t>
      </w:r>
      <w:r w:rsidR="007D4682" w:rsidRPr="00F84AB1">
        <w:rPr>
          <w:rFonts w:asciiTheme="majorHAnsi" w:hAnsiTheme="majorHAnsi" w:cs="GillSansMT"/>
          <w:sz w:val="20"/>
          <w:szCs w:val="20"/>
          <w:lang w:val="es-ES"/>
        </w:rPr>
        <w:t>Refieren</w:t>
      </w:r>
      <w:r w:rsidR="00012631"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que desde es</w:t>
      </w:r>
      <w:r w:rsidR="00226DC3" w:rsidRPr="00F84AB1">
        <w:rPr>
          <w:rFonts w:asciiTheme="majorHAnsi" w:hAnsiTheme="majorHAnsi" w:cs="GillSansMT"/>
          <w:sz w:val="20"/>
          <w:szCs w:val="20"/>
          <w:lang w:val="es-ES"/>
        </w:rPr>
        <w:t>a fecha se desconoce su destino</w:t>
      </w:r>
      <w:r w:rsidR="007D4682" w:rsidRPr="00F84AB1">
        <w:rPr>
          <w:rFonts w:asciiTheme="majorHAnsi" w:hAnsiTheme="majorHAnsi" w:cs="GillSansMT"/>
          <w:sz w:val="20"/>
          <w:szCs w:val="20"/>
          <w:lang w:val="es-ES"/>
        </w:rPr>
        <w:t>, y que l</w:t>
      </w:r>
      <w:r w:rsidR="004170BA" w:rsidRPr="00F84AB1">
        <w:rPr>
          <w:rFonts w:asciiTheme="majorHAnsi" w:hAnsiTheme="majorHAnsi" w:cs="GillSansMT"/>
          <w:sz w:val="20"/>
          <w:szCs w:val="20"/>
          <w:lang w:val="es-ES"/>
        </w:rPr>
        <w:t xml:space="preserve">as autoridades militares de la época, sin cumplir </w:t>
      </w:r>
      <w:r w:rsidR="005F5D21" w:rsidRPr="00F84AB1">
        <w:rPr>
          <w:rFonts w:asciiTheme="majorHAnsi" w:hAnsiTheme="majorHAnsi" w:cs="GillSansMT"/>
          <w:sz w:val="20"/>
          <w:szCs w:val="20"/>
          <w:lang w:val="es-ES"/>
        </w:rPr>
        <w:t>los requisitos legales, ordenar</w:t>
      </w:r>
      <w:r w:rsidR="004170BA" w:rsidRPr="00F84AB1">
        <w:rPr>
          <w:rFonts w:asciiTheme="majorHAnsi" w:hAnsiTheme="majorHAnsi" w:cs="GillSansMT"/>
          <w:sz w:val="20"/>
          <w:szCs w:val="20"/>
          <w:lang w:val="es-ES"/>
        </w:rPr>
        <w:t>o</w:t>
      </w:r>
      <w:r w:rsidR="005F5D21" w:rsidRPr="00F84AB1">
        <w:rPr>
          <w:rFonts w:asciiTheme="majorHAnsi" w:hAnsiTheme="majorHAnsi" w:cs="GillSansMT"/>
          <w:sz w:val="20"/>
          <w:szCs w:val="20"/>
          <w:lang w:val="es-ES"/>
        </w:rPr>
        <w:t>n</w:t>
      </w:r>
      <w:r w:rsidR="004170BA" w:rsidRPr="00F84AB1">
        <w:rPr>
          <w:rFonts w:asciiTheme="majorHAnsi" w:hAnsiTheme="majorHAnsi" w:cs="GillSansMT"/>
          <w:sz w:val="20"/>
          <w:szCs w:val="20"/>
          <w:lang w:val="es-ES"/>
        </w:rPr>
        <w:t xml:space="preserve"> inscribir la defunción de las cuatro presuntas v</w:t>
      </w:r>
      <w:r w:rsidR="004170BA" w:rsidRPr="00F84AB1">
        <w:rPr>
          <w:rFonts w:asciiTheme="majorHAnsi" w:hAnsiTheme="majorHAnsi"/>
          <w:sz w:val="20"/>
          <w:szCs w:val="20"/>
          <w:lang w:val="es-ES"/>
        </w:rPr>
        <w:t>í</w:t>
      </w:r>
      <w:r w:rsidR="009D02E7" w:rsidRPr="00F84AB1">
        <w:rPr>
          <w:rFonts w:asciiTheme="majorHAnsi" w:hAnsiTheme="majorHAnsi" w:cs="GillSansMT"/>
          <w:sz w:val="20"/>
          <w:szCs w:val="20"/>
          <w:lang w:val="es-ES"/>
        </w:rPr>
        <w:t>ctimas</w:t>
      </w:r>
      <w:r w:rsidR="006B024B" w:rsidRPr="00F84AB1">
        <w:rPr>
          <w:rFonts w:asciiTheme="majorHAnsi" w:hAnsiTheme="majorHAnsi" w:cs="GillSansMT"/>
          <w:sz w:val="20"/>
          <w:szCs w:val="20"/>
          <w:lang w:val="es-ES"/>
        </w:rPr>
        <w:t>.</w:t>
      </w:r>
      <w:r w:rsidR="004170BA" w:rsidRPr="00F84AB1">
        <w:rPr>
          <w:rFonts w:asciiTheme="majorHAnsi" w:hAnsiTheme="majorHAnsi" w:cs="GillSansMT"/>
          <w:sz w:val="20"/>
          <w:szCs w:val="20"/>
          <w:lang w:val="es-ES"/>
        </w:rPr>
        <w:t xml:space="preserve"> </w:t>
      </w:r>
    </w:p>
    <w:p w:rsidR="000C1332" w:rsidRPr="00F84AB1" w:rsidRDefault="000C1332" w:rsidP="00C64463">
      <w:pPr>
        <w:pBdr>
          <w:top w:val="none" w:sz="0" w:space="0" w:color="auto"/>
          <w:left w:val="none" w:sz="0" w:space="0" w:color="auto"/>
          <w:bottom w:val="none" w:sz="0" w:space="0" w:color="auto"/>
          <w:right w:val="none" w:sz="0" w:space="0" w:color="auto"/>
          <w:bar w:val="none" w:sz="0" w:color="auto"/>
        </w:pBdr>
        <w:autoSpaceDE w:val="0"/>
        <w:autoSpaceDN w:val="0"/>
        <w:adjustRightInd w:val="0"/>
        <w:ind w:left="540"/>
        <w:jc w:val="both"/>
        <w:rPr>
          <w:rFonts w:asciiTheme="majorHAnsi" w:hAnsiTheme="majorHAnsi" w:cs="GillSansMT"/>
          <w:color w:val="76923C" w:themeColor="accent3" w:themeShade="BF"/>
          <w:sz w:val="20"/>
          <w:szCs w:val="20"/>
          <w:lang w:val="es-ES"/>
        </w:rPr>
      </w:pPr>
    </w:p>
    <w:p w:rsidR="00D3716C" w:rsidRPr="00F84AB1" w:rsidRDefault="007D4682"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color w:val="943634" w:themeColor="accent2" w:themeShade="BF"/>
          <w:sz w:val="20"/>
          <w:szCs w:val="20"/>
          <w:lang w:val="es-ES"/>
        </w:rPr>
      </w:pPr>
      <w:r w:rsidRPr="00F84AB1">
        <w:rPr>
          <w:rFonts w:asciiTheme="majorHAnsi" w:hAnsiTheme="majorHAnsi" w:cs="GillSansMT"/>
          <w:sz w:val="20"/>
          <w:szCs w:val="20"/>
          <w:lang w:val="es-ES"/>
        </w:rPr>
        <w:t xml:space="preserve">En la petición se señala </w:t>
      </w:r>
      <w:r w:rsidR="000C1332" w:rsidRPr="00F84AB1">
        <w:rPr>
          <w:rFonts w:asciiTheme="majorHAnsi" w:hAnsiTheme="majorHAnsi" w:cs="GillSansMT"/>
          <w:sz w:val="20"/>
          <w:szCs w:val="20"/>
          <w:lang w:val="es-ES"/>
        </w:rPr>
        <w:t>que familiares de algunas de las presuntas víctimas interpusieron una querella criminal en abril de 2001 por secuestros calificados y otros crímenes</w:t>
      </w:r>
      <w:r w:rsidR="009A4566" w:rsidRPr="00F84AB1">
        <w:rPr>
          <w:rFonts w:asciiTheme="majorHAnsi" w:hAnsiTheme="majorHAnsi" w:cs="GillSansMT"/>
          <w:sz w:val="20"/>
          <w:szCs w:val="20"/>
          <w:lang w:val="es-ES"/>
        </w:rPr>
        <w:t xml:space="preserve">, </w:t>
      </w:r>
      <w:r w:rsidR="000C1332" w:rsidRPr="00F84AB1">
        <w:rPr>
          <w:rFonts w:asciiTheme="majorHAnsi" w:hAnsiTheme="majorHAnsi" w:cs="GillSansMT"/>
          <w:sz w:val="20"/>
          <w:szCs w:val="20"/>
          <w:lang w:val="es-ES"/>
        </w:rPr>
        <w:t xml:space="preserve">causa </w:t>
      </w:r>
      <w:r w:rsidR="009A4566" w:rsidRPr="00F84AB1">
        <w:rPr>
          <w:rFonts w:asciiTheme="majorHAnsi" w:hAnsiTheme="majorHAnsi" w:cs="GillSansMT"/>
          <w:sz w:val="20"/>
          <w:szCs w:val="20"/>
          <w:lang w:val="es-ES"/>
        </w:rPr>
        <w:t>denominada</w:t>
      </w:r>
      <w:r w:rsidR="000C1332" w:rsidRPr="00F84AB1">
        <w:rPr>
          <w:rFonts w:asciiTheme="majorHAnsi" w:hAnsiTheme="majorHAnsi" w:cs="GillSansMT"/>
          <w:sz w:val="20"/>
          <w:szCs w:val="20"/>
          <w:lang w:val="es-ES"/>
        </w:rPr>
        <w:t xml:space="preserve"> </w:t>
      </w:r>
      <w:r w:rsidR="009A4566" w:rsidRPr="00F84AB1">
        <w:rPr>
          <w:rFonts w:asciiTheme="majorHAnsi" w:hAnsiTheme="majorHAnsi" w:cs="GillSansMT"/>
          <w:sz w:val="20"/>
          <w:szCs w:val="20"/>
          <w:lang w:val="es-ES"/>
        </w:rPr>
        <w:t>“</w:t>
      </w:r>
      <w:r w:rsidR="00C62E1E" w:rsidRPr="00F84AB1">
        <w:rPr>
          <w:rFonts w:asciiTheme="majorHAnsi" w:hAnsiTheme="majorHAnsi" w:cs="GillSansMT"/>
          <w:sz w:val="20"/>
          <w:szCs w:val="20"/>
          <w:lang w:val="es-ES"/>
        </w:rPr>
        <w:t xml:space="preserve">Lago Ranco”. </w:t>
      </w:r>
      <w:r w:rsidR="00D3716C" w:rsidRPr="00F84AB1">
        <w:rPr>
          <w:rFonts w:asciiTheme="majorHAnsi" w:hAnsiTheme="majorHAnsi" w:cs="GillSansMT"/>
          <w:sz w:val="20"/>
          <w:szCs w:val="20"/>
          <w:lang w:val="es-ES"/>
        </w:rPr>
        <w:t>De la documentación remitida se desprende que el 25 de junio de 2002 el Ministro de Fu</w:t>
      </w:r>
      <w:r w:rsidR="00751BFE" w:rsidRPr="00F84AB1">
        <w:rPr>
          <w:rFonts w:asciiTheme="majorHAnsi" w:hAnsiTheme="majorHAnsi" w:cs="GillSansMT"/>
          <w:sz w:val="20"/>
          <w:szCs w:val="20"/>
          <w:lang w:val="es-ES"/>
        </w:rPr>
        <w:t>ero que conocía el asunto, dict</w:t>
      </w:r>
      <w:r w:rsidR="000D02FA" w:rsidRPr="00F84AB1">
        <w:rPr>
          <w:rFonts w:asciiTheme="majorHAnsi" w:hAnsiTheme="majorHAnsi" w:cs="GillSansMT"/>
          <w:sz w:val="20"/>
          <w:szCs w:val="20"/>
          <w:lang w:val="es-ES"/>
        </w:rPr>
        <w:t>ó</w:t>
      </w:r>
      <w:r w:rsidR="00D3716C" w:rsidRPr="00F84AB1">
        <w:rPr>
          <w:rFonts w:asciiTheme="majorHAnsi" w:hAnsiTheme="majorHAnsi" w:cs="GillSansMT"/>
          <w:sz w:val="20"/>
          <w:szCs w:val="20"/>
          <w:lang w:val="es-ES"/>
        </w:rPr>
        <w:t xml:space="preserve"> sobreseimiento definitivo en favor de los inculpados</w:t>
      </w:r>
      <w:r w:rsidR="00996806" w:rsidRPr="00F84AB1">
        <w:rPr>
          <w:rFonts w:asciiTheme="majorHAnsi" w:hAnsiTheme="majorHAnsi" w:cs="GillSansMT"/>
          <w:sz w:val="20"/>
          <w:szCs w:val="20"/>
          <w:lang w:val="es-ES"/>
        </w:rPr>
        <w:t xml:space="preserve"> (en esa época civiles)</w:t>
      </w:r>
      <w:r w:rsidR="00D3716C" w:rsidRPr="00F84AB1">
        <w:rPr>
          <w:rFonts w:asciiTheme="majorHAnsi" w:hAnsiTheme="majorHAnsi" w:cs="GillSansMT"/>
          <w:sz w:val="20"/>
          <w:szCs w:val="20"/>
          <w:lang w:val="es-ES"/>
        </w:rPr>
        <w:t xml:space="preserve"> Javier Vera Junemann, Rodolfo Mondión Romo, Christián Bórquez Bernucci y Julio Vera Arriagada, en aplicación de la eximente de obediencia debida contemplada en el artículo 10 No. 10 del Código Penal.</w:t>
      </w:r>
      <w:r w:rsidR="00920D8B" w:rsidRPr="00F84AB1">
        <w:rPr>
          <w:rFonts w:asciiTheme="majorHAnsi" w:hAnsiTheme="majorHAnsi" w:cs="GillSansMT"/>
          <w:sz w:val="20"/>
          <w:szCs w:val="20"/>
          <w:lang w:val="es-ES"/>
        </w:rPr>
        <w:t xml:space="preserve"> </w:t>
      </w:r>
      <w:r w:rsidR="00751BFE" w:rsidRPr="00F84AB1">
        <w:rPr>
          <w:rFonts w:asciiTheme="majorHAnsi" w:hAnsiTheme="majorHAnsi" w:cs="GillSansMT"/>
          <w:sz w:val="20"/>
          <w:szCs w:val="20"/>
          <w:lang w:val="es-ES"/>
        </w:rPr>
        <w:t>Dicho s</w:t>
      </w:r>
      <w:r w:rsidR="00920D8B" w:rsidRPr="00F84AB1">
        <w:rPr>
          <w:rFonts w:asciiTheme="majorHAnsi" w:hAnsiTheme="majorHAnsi" w:cs="GillSansMT"/>
          <w:sz w:val="20"/>
          <w:szCs w:val="20"/>
          <w:lang w:val="es-ES"/>
        </w:rPr>
        <w:t>obreseimiento</w:t>
      </w:r>
      <w:r w:rsidR="00751BFE" w:rsidRPr="00F84AB1">
        <w:rPr>
          <w:rFonts w:asciiTheme="majorHAnsi" w:hAnsiTheme="majorHAnsi" w:cs="GillSansMT"/>
          <w:sz w:val="20"/>
          <w:szCs w:val="20"/>
          <w:lang w:val="es-ES"/>
        </w:rPr>
        <w:t xml:space="preserve"> </w:t>
      </w:r>
      <w:r w:rsidR="000D02FA" w:rsidRPr="00F84AB1">
        <w:rPr>
          <w:rFonts w:asciiTheme="majorHAnsi" w:hAnsiTheme="majorHAnsi" w:cs="GillSansMT"/>
          <w:sz w:val="20"/>
          <w:szCs w:val="20"/>
          <w:lang w:val="es-ES"/>
        </w:rPr>
        <w:t>fue</w:t>
      </w:r>
      <w:r w:rsidR="00920D8B" w:rsidRPr="00F84AB1">
        <w:rPr>
          <w:rFonts w:asciiTheme="majorHAnsi" w:hAnsiTheme="majorHAnsi" w:cs="GillSansMT"/>
          <w:sz w:val="20"/>
          <w:szCs w:val="20"/>
          <w:lang w:val="es-ES"/>
        </w:rPr>
        <w:t xml:space="preserve"> ratificado</w:t>
      </w:r>
      <w:r w:rsidR="00C13BD1" w:rsidRPr="00F84AB1">
        <w:rPr>
          <w:rFonts w:asciiTheme="majorHAnsi" w:hAnsiTheme="majorHAnsi" w:cs="GillSansMT"/>
          <w:sz w:val="20"/>
          <w:szCs w:val="20"/>
          <w:lang w:val="es-ES"/>
        </w:rPr>
        <w:t xml:space="preserve"> en consulta,</w:t>
      </w:r>
      <w:r w:rsidR="00920D8B" w:rsidRPr="00F84AB1">
        <w:rPr>
          <w:rFonts w:asciiTheme="majorHAnsi" w:hAnsiTheme="majorHAnsi" w:cs="GillSansMT"/>
          <w:sz w:val="20"/>
          <w:szCs w:val="20"/>
          <w:lang w:val="es-ES"/>
        </w:rPr>
        <w:t xml:space="preserve"> el 31 de julio de 2006 por la Corte de Apelaciones de Santiago.</w:t>
      </w:r>
    </w:p>
    <w:p w:rsidR="00D3716C" w:rsidRPr="00F84AB1" w:rsidRDefault="00D3716C" w:rsidP="00C64463">
      <w:pPr>
        <w:jc w:val="both"/>
        <w:rPr>
          <w:rFonts w:asciiTheme="majorHAnsi" w:hAnsiTheme="majorHAnsi" w:cs="GillSansMT"/>
          <w:color w:val="943634" w:themeColor="accent2" w:themeShade="BF"/>
          <w:sz w:val="20"/>
          <w:szCs w:val="20"/>
          <w:lang w:val="es-ES"/>
        </w:rPr>
      </w:pPr>
    </w:p>
    <w:p w:rsidR="000C1332" w:rsidRPr="00F84AB1" w:rsidRDefault="00FA62BD"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Por otra parte, los peticionarios i</w:t>
      </w:r>
      <w:r w:rsidR="000C1332" w:rsidRPr="00F84AB1">
        <w:rPr>
          <w:rFonts w:asciiTheme="majorHAnsi" w:hAnsiTheme="majorHAnsi" w:cs="GillSansMT"/>
          <w:sz w:val="20"/>
          <w:szCs w:val="20"/>
          <w:lang w:val="es-ES"/>
        </w:rPr>
        <w:t xml:space="preserve">ndican que el 25 de junio de 2002 el tribunal sometió a proceso a Sergio Rivera Bozzo, Teniente de la Armada al momento de los hechos, </w:t>
      </w:r>
      <w:r w:rsidR="001E4A62" w:rsidRPr="00F84AB1">
        <w:rPr>
          <w:rFonts w:asciiTheme="majorHAnsi" w:hAnsiTheme="majorHAnsi" w:cs="GillSansMT"/>
          <w:sz w:val="20"/>
          <w:szCs w:val="20"/>
          <w:lang w:val="es-ES"/>
        </w:rPr>
        <w:t>en calidad de</w:t>
      </w:r>
      <w:r w:rsidR="000C1332" w:rsidRPr="00F84AB1">
        <w:rPr>
          <w:rFonts w:asciiTheme="majorHAnsi" w:hAnsiTheme="majorHAnsi" w:cs="GillSansMT"/>
          <w:sz w:val="20"/>
          <w:szCs w:val="20"/>
          <w:lang w:val="es-ES"/>
        </w:rPr>
        <w:t xml:space="preserve"> autor de los delitos de secuestros calificados reiterados</w:t>
      </w:r>
      <w:r w:rsidRPr="00F84AB1">
        <w:rPr>
          <w:rFonts w:asciiTheme="majorHAnsi" w:hAnsiTheme="majorHAnsi" w:cs="GillSansMT"/>
          <w:sz w:val="20"/>
          <w:szCs w:val="20"/>
          <w:lang w:val="es-ES"/>
        </w:rPr>
        <w:t xml:space="preserve">. El </w:t>
      </w:r>
      <w:r w:rsidR="000C1332" w:rsidRPr="00F84AB1">
        <w:rPr>
          <w:rFonts w:asciiTheme="majorHAnsi" w:hAnsiTheme="majorHAnsi" w:cs="GillSansMT"/>
          <w:sz w:val="20"/>
          <w:szCs w:val="20"/>
          <w:lang w:val="es-ES"/>
        </w:rPr>
        <w:t>7 de febrero de 2006,</w:t>
      </w:r>
      <w:r w:rsidRPr="00F84AB1">
        <w:rPr>
          <w:rFonts w:asciiTheme="majorHAnsi" w:hAnsiTheme="majorHAnsi" w:cs="GillSansMT"/>
          <w:sz w:val="20"/>
          <w:szCs w:val="20"/>
          <w:lang w:val="es-ES"/>
        </w:rPr>
        <w:t xml:space="preserve"> el mencionado </w:t>
      </w:r>
      <w:r w:rsidR="00511D13" w:rsidRPr="00F84AB1">
        <w:rPr>
          <w:rFonts w:asciiTheme="majorHAnsi" w:hAnsiTheme="majorHAnsi" w:cs="GillSansMT"/>
          <w:sz w:val="20"/>
          <w:szCs w:val="20"/>
          <w:lang w:val="es-ES"/>
        </w:rPr>
        <w:t>Teniente fue</w:t>
      </w:r>
      <w:r w:rsidRPr="00F84AB1">
        <w:rPr>
          <w:rFonts w:asciiTheme="majorHAnsi" w:hAnsiTheme="majorHAnsi" w:cs="GillSansMT"/>
          <w:sz w:val="20"/>
          <w:szCs w:val="20"/>
          <w:lang w:val="es-ES"/>
        </w:rPr>
        <w:t xml:space="preserve"> condenado</w:t>
      </w:r>
      <w:r w:rsidR="000C1332" w:rsidRPr="00F84AB1">
        <w:rPr>
          <w:rFonts w:asciiTheme="majorHAnsi" w:hAnsiTheme="majorHAnsi" w:cs="GillSansMT"/>
          <w:sz w:val="20"/>
          <w:szCs w:val="20"/>
          <w:lang w:val="es-ES"/>
        </w:rPr>
        <w:t xml:space="preserve"> </w:t>
      </w:r>
      <w:r w:rsidR="00763E22" w:rsidRPr="00F84AB1">
        <w:rPr>
          <w:rFonts w:asciiTheme="majorHAnsi" w:hAnsiTheme="majorHAnsi" w:cs="GillSansMT"/>
          <w:sz w:val="20"/>
          <w:szCs w:val="20"/>
          <w:lang w:val="es-ES"/>
        </w:rPr>
        <w:t>por su participación</w:t>
      </w:r>
      <w:r w:rsidRPr="00F84AB1">
        <w:rPr>
          <w:rFonts w:asciiTheme="majorHAnsi" w:hAnsiTheme="majorHAnsi" w:cs="GillSansMT"/>
          <w:sz w:val="20"/>
          <w:szCs w:val="20"/>
          <w:lang w:val="es-ES"/>
        </w:rPr>
        <w:t xml:space="preserve"> en los hechos</w:t>
      </w:r>
      <w:r w:rsidR="00763E22" w:rsidRPr="00F84AB1">
        <w:rPr>
          <w:rFonts w:asciiTheme="majorHAnsi" w:hAnsiTheme="majorHAnsi" w:cs="GillSansMT"/>
          <w:sz w:val="20"/>
          <w:szCs w:val="20"/>
          <w:lang w:val="es-ES"/>
        </w:rPr>
        <w:t xml:space="preserve"> en calidad de autor del delito de homicidio calificado, </w:t>
      </w:r>
      <w:r w:rsidR="000C1332" w:rsidRPr="00F84AB1">
        <w:rPr>
          <w:rFonts w:asciiTheme="majorHAnsi" w:hAnsiTheme="majorHAnsi" w:cs="GillSansMT"/>
          <w:sz w:val="20"/>
          <w:szCs w:val="20"/>
          <w:lang w:val="es-ES"/>
        </w:rPr>
        <w:t>a</w:t>
      </w:r>
      <w:r w:rsidR="00763E22" w:rsidRPr="00F84AB1">
        <w:rPr>
          <w:rFonts w:asciiTheme="majorHAnsi" w:hAnsiTheme="majorHAnsi" w:cs="GillSansMT"/>
          <w:sz w:val="20"/>
          <w:szCs w:val="20"/>
          <w:lang w:val="es-ES"/>
        </w:rPr>
        <w:t xml:space="preserve"> la pena de</w:t>
      </w:r>
      <w:r w:rsidR="000C1332" w:rsidRPr="00F84AB1">
        <w:rPr>
          <w:rFonts w:asciiTheme="majorHAnsi" w:hAnsiTheme="majorHAnsi" w:cs="GillSansMT"/>
          <w:sz w:val="20"/>
          <w:szCs w:val="20"/>
          <w:lang w:val="es-ES"/>
        </w:rPr>
        <w:t xml:space="preserve"> cinco años de prisión y los demás inculpados</w:t>
      </w:r>
      <w:r w:rsidR="00511D13" w:rsidRPr="00F84AB1">
        <w:rPr>
          <w:rFonts w:asciiTheme="majorHAnsi" w:hAnsiTheme="majorHAnsi" w:cs="GillSansMT"/>
          <w:sz w:val="20"/>
          <w:szCs w:val="20"/>
          <w:lang w:val="es-ES"/>
        </w:rPr>
        <w:t xml:space="preserve"> fueron sobreseídos de manera </w:t>
      </w:r>
      <w:r w:rsidR="00F50F6C" w:rsidRPr="00F84AB1">
        <w:rPr>
          <w:rFonts w:asciiTheme="majorHAnsi" w:hAnsiTheme="majorHAnsi" w:cs="GillSansMT"/>
          <w:sz w:val="20"/>
          <w:szCs w:val="20"/>
          <w:lang w:val="es-ES"/>
        </w:rPr>
        <w:t>definitiva</w:t>
      </w:r>
      <w:r w:rsidR="000C1332" w:rsidRPr="00F84AB1">
        <w:rPr>
          <w:rFonts w:asciiTheme="majorHAnsi" w:hAnsiTheme="majorHAnsi" w:cs="GillSansMT"/>
          <w:sz w:val="20"/>
          <w:szCs w:val="20"/>
          <w:lang w:val="es-ES"/>
        </w:rPr>
        <w:t xml:space="preserve">. </w:t>
      </w:r>
      <w:r w:rsidR="0048165E" w:rsidRPr="00F84AB1">
        <w:rPr>
          <w:rFonts w:asciiTheme="majorHAnsi" w:hAnsiTheme="majorHAnsi" w:cs="GillSansMT"/>
          <w:sz w:val="20"/>
          <w:szCs w:val="20"/>
          <w:lang w:val="es-ES"/>
        </w:rPr>
        <w:t>Refieren que c</w:t>
      </w:r>
      <w:r w:rsidR="004F7755" w:rsidRPr="00F84AB1">
        <w:rPr>
          <w:rFonts w:asciiTheme="majorHAnsi" w:hAnsiTheme="majorHAnsi" w:cs="GillSansMT"/>
          <w:sz w:val="20"/>
          <w:szCs w:val="20"/>
          <w:lang w:val="es-ES"/>
        </w:rPr>
        <w:t>ontra esta resolución, la</w:t>
      </w:r>
      <w:r w:rsidR="00012631" w:rsidRPr="00F84AB1">
        <w:rPr>
          <w:rFonts w:asciiTheme="majorHAnsi" w:hAnsiTheme="majorHAnsi" w:cs="GillSansMT"/>
          <w:sz w:val="20"/>
          <w:szCs w:val="20"/>
          <w:lang w:val="es-ES"/>
        </w:rPr>
        <w:t xml:space="preserve"> </w:t>
      </w:r>
      <w:r w:rsidR="00276509" w:rsidRPr="00F84AB1">
        <w:rPr>
          <w:rFonts w:asciiTheme="majorHAnsi" w:hAnsiTheme="majorHAnsi" w:cs="GillSansMT"/>
          <w:sz w:val="20"/>
          <w:szCs w:val="20"/>
          <w:lang w:val="es-ES"/>
        </w:rPr>
        <w:t>parte querellante y el Programa de Derechos Humanos del Minis</w:t>
      </w:r>
      <w:r w:rsidR="00CF3F4C" w:rsidRPr="00F84AB1">
        <w:rPr>
          <w:rFonts w:asciiTheme="majorHAnsi" w:hAnsiTheme="majorHAnsi" w:cs="GillSansMT"/>
          <w:sz w:val="20"/>
          <w:szCs w:val="20"/>
          <w:lang w:val="es-ES"/>
        </w:rPr>
        <w:t>terio del Interior (en adelante</w:t>
      </w:r>
      <w:r w:rsidR="00276509" w:rsidRPr="00F84AB1">
        <w:rPr>
          <w:rFonts w:asciiTheme="majorHAnsi" w:hAnsiTheme="majorHAnsi" w:cs="GillSansMT"/>
          <w:sz w:val="20"/>
          <w:szCs w:val="20"/>
          <w:lang w:val="es-ES"/>
        </w:rPr>
        <w:t xml:space="preserve"> </w:t>
      </w:r>
      <w:r w:rsidR="00CF3F4C" w:rsidRPr="00F84AB1">
        <w:rPr>
          <w:rFonts w:asciiTheme="majorHAnsi" w:hAnsiTheme="majorHAnsi" w:cs="GillSansMT"/>
          <w:sz w:val="20"/>
          <w:szCs w:val="20"/>
          <w:lang w:val="es-ES"/>
        </w:rPr>
        <w:t>“</w:t>
      </w:r>
      <w:r w:rsidR="00276509" w:rsidRPr="00F84AB1">
        <w:rPr>
          <w:rFonts w:asciiTheme="majorHAnsi" w:hAnsiTheme="majorHAnsi" w:cs="GillSansMT"/>
          <w:sz w:val="20"/>
          <w:szCs w:val="20"/>
          <w:lang w:val="es-ES"/>
        </w:rPr>
        <w:t>PDH</w:t>
      </w:r>
      <w:r w:rsidR="00CF3F4C" w:rsidRPr="00F84AB1">
        <w:rPr>
          <w:rFonts w:asciiTheme="majorHAnsi" w:hAnsiTheme="majorHAnsi" w:cs="GillSansMT"/>
          <w:sz w:val="20"/>
          <w:szCs w:val="20"/>
          <w:lang w:val="es-ES"/>
        </w:rPr>
        <w:t>”</w:t>
      </w:r>
      <w:r w:rsidR="00276509" w:rsidRPr="00F84AB1">
        <w:rPr>
          <w:rFonts w:asciiTheme="majorHAnsi" w:hAnsiTheme="majorHAnsi" w:cs="GillSansMT"/>
          <w:sz w:val="20"/>
          <w:szCs w:val="20"/>
          <w:lang w:val="es-ES"/>
        </w:rPr>
        <w:t xml:space="preserve">) apelaron dicha resolución, en particular en lo relativo al sobreseimiento </w:t>
      </w:r>
      <w:r w:rsidR="004F2CDF" w:rsidRPr="00F84AB1">
        <w:rPr>
          <w:rFonts w:asciiTheme="majorHAnsi" w:hAnsiTheme="majorHAnsi" w:cs="GillSansMT"/>
          <w:sz w:val="20"/>
          <w:szCs w:val="20"/>
          <w:lang w:val="es-ES"/>
        </w:rPr>
        <w:t>definitivo</w:t>
      </w:r>
      <w:r w:rsidR="00276509" w:rsidRPr="00F84AB1">
        <w:rPr>
          <w:rFonts w:asciiTheme="majorHAnsi" w:hAnsiTheme="majorHAnsi" w:cs="GillSansMT"/>
          <w:sz w:val="20"/>
          <w:szCs w:val="20"/>
          <w:lang w:val="es-ES"/>
        </w:rPr>
        <w:t xml:space="preserve"> decretado. </w:t>
      </w:r>
    </w:p>
    <w:p w:rsidR="000C1332" w:rsidRPr="00F84AB1" w:rsidRDefault="000C1332" w:rsidP="00C64463">
      <w:pPr>
        <w:pBdr>
          <w:top w:val="none" w:sz="0" w:space="0" w:color="auto"/>
          <w:left w:val="none" w:sz="0" w:space="0" w:color="auto"/>
          <w:bottom w:val="none" w:sz="0" w:space="0" w:color="auto"/>
          <w:right w:val="none" w:sz="0" w:space="0" w:color="auto"/>
          <w:bar w:val="none" w:sz="0" w:color="auto"/>
        </w:pBdr>
        <w:autoSpaceDE w:val="0"/>
        <w:autoSpaceDN w:val="0"/>
        <w:adjustRightInd w:val="0"/>
        <w:ind w:left="540"/>
        <w:jc w:val="both"/>
        <w:rPr>
          <w:rFonts w:asciiTheme="majorHAnsi" w:hAnsiTheme="majorHAnsi" w:cs="GillSansMT"/>
          <w:sz w:val="20"/>
          <w:szCs w:val="20"/>
          <w:lang w:val="es-ES"/>
        </w:rPr>
      </w:pPr>
    </w:p>
    <w:p w:rsidR="000C1332" w:rsidRPr="00F84AB1" w:rsidRDefault="00CF2349"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Señalan que</w:t>
      </w:r>
      <w:r w:rsidR="000C1332" w:rsidRPr="00F84AB1">
        <w:rPr>
          <w:rFonts w:asciiTheme="majorHAnsi" w:hAnsiTheme="majorHAnsi" w:cs="GillSansMT"/>
          <w:sz w:val="20"/>
          <w:szCs w:val="20"/>
          <w:lang w:val="es-ES"/>
        </w:rPr>
        <w:t xml:space="preserve"> el 8 de noviembre de 2006, la C</w:t>
      </w:r>
      <w:r w:rsidR="00F626CC" w:rsidRPr="00F84AB1">
        <w:rPr>
          <w:rFonts w:asciiTheme="majorHAnsi" w:hAnsiTheme="majorHAnsi" w:cs="GillSansMT"/>
          <w:sz w:val="20"/>
          <w:szCs w:val="20"/>
          <w:lang w:val="es-ES"/>
        </w:rPr>
        <w:t xml:space="preserve">orte de </w:t>
      </w:r>
      <w:r w:rsidR="000C1332" w:rsidRPr="00F84AB1">
        <w:rPr>
          <w:rFonts w:asciiTheme="majorHAnsi" w:hAnsiTheme="majorHAnsi" w:cs="GillSansMT"/>
          <w:sz w:val="20"/>
          <w:szCs w:val="20"/>
          <w:lang w:val="es-ES"/>
        </w:rPr>
        <w:t>A</w:t>
      </w:r>
      <w:r w:rsidR="00F626CC" w:rsidRPr="00F84AB1">
        <w:rPr>
          <w:rFonts w:asciiTheme="majorHAnsi" w:hAnsiTheme="majorHAnsi" w:cs="GillSansMT"/>
          <w:sz w:val="20"/>
          <w:szCs w:val="20"/>
          <w:lang w:val="es-ES"/>
        </w:rPr>
        <w:t xml:space="preserve">pelaciones de </w:t>
      </w:r>
      <w:r w:rsidR="000C1332" w:rsidRPr="00F84AB1">
        <w:rPr>
          <w:rFonts w:asciiTheme="majorHAnsi" w:hAnsiTheme="majorHAnsi" w:cs="GillSansMT"/>
          <w:sz w:val="20"/>
          <w:szCs w:val="20"/>
          <w:lang w:val="es-ES"/>
        </w:rPr>
        <w:t>S</w:t>
      </w:r>
      <w:r w:rsidR="00F626CC" w:rsidRPr="00F84AB1">
        <w:rPr>
          <w:rFonts w:asciiTheme="majorHAnsi" w:hAnsiTheme="majorHAnsi" w:cs="GillSansMT"/>
          <w:sz w:val="20"/>
          <w:szCs w:val="20"/>
          <w:lang w:val="es-ES"/>
        </w:rPr>
        <w:t>antiago</w:t>
      </w:r>
      <w:r w:rsidR="000C1332" w:rsidRPr="00F84AB1">
        <w:rPr>
          <w:rFonts w:asciiTheme="majorHAnsi" w:hAnsiTheme="majorHAnsi" w:cs="GillSansMT"/>
          <w:sz w:val="20"/>
          <w:szCs w:val="20"/>
          <w:lang w:val="es-ES"/>
        </w:rPr>
        <w:t xml:space="preserve"> confirmó la sentencia pero modificó la</w:t>
      </w:r>
      <w:r w:rsidR="00A90891" w:rsidRPr="00F84AB1">
        <w:rPr>
          <w:rFonts w:asciiTheme="majorHAnsi" w:hAnsiTheme="majorHAnsi" w:cs="GillSansMT"/>
          <w:sz w:val="20"/>
          <w:szCs w:val="20"/>
          <w:lang w:val="es-ES"/>
        </w:rPr>
        <w:t xml:space="preserve"> condena de</w:t>
      </w:r>
      <w:r w:rsidR="000C1332" w:rsidRPr="00F84AB1">
        <w:rPr>
          <w:rFonts w:asciiTheme="majorHAnsi" w:hAnsiTheme="majorHAnsi" w:cs="GillSansMT"/>
          <w:sz w:val="20"/>
          <w:szCs w:val="20"/>
          <w:lang w:val="es-ES"/>
        </w:rPr>
        <w:t xml:space="preserve"> Rivera Bozzo </w:t>
      </w:r>
      <w:r w:rsidR="00BD45B5" w:rsidRPr="00F84AB1">
        <w:rPr>
          <w:rFonts w:asciiTheme="majorHAnsi" w:hAnsiTheme="majorHAnsi" w:cs="GillSansMT"/>
          <w:sz w:val="20"/>
          <w:szCs w:val="20"/>
          <w:lang w:val="es-ES"/>
        </w:rPr>
        <w:t xml:space="preserve">elevándola </w:t>
      </w:r>
      <w:r w:rsidR="000C1332" w:rsidRPr="00F84AB1">
        <w:rPr>
          <w:rFonts w:asciiTheme="majorHAnsi" w:hAnsiTheme="majorHAnsi" w:cs="GillSansMT"/>
          <w:sz w:val="20"/>
          <w:szCs w:val="20"/>
          <w:lang w:val="es-ES"/>
        </w:rPr>
        <w:t>a 15 años de prisión</w:t>
      </w:r>
      <w:r w:rsidR="00763E22" w:rsidRPr="00F84AB1">
        <w:rPr>
          <w:rFonts w:asciiTheme="majorHAnsi" w:hAnsiTheme="majorHAnsi" w:cs="GillSansMT"/>
          <w:sz w:val="20"/>
          <w:szCs w:val="20"/>
          <w:lang w:val="es-ES"/>
        </w:rPr>
        <w:t>, considerándolo autor de secuestros calificados</w:t>
      </w:r>
      <w:r w:rsidR="000C1332" w:rsidRPr="00F84AB1">
        <w:rPr>
          <w:rFonts w:asciiTheme="majorHAnsi" w:hAnsiTheme="majorHAnsi" w:cs="GillSansMT"/>
          <w:sz w:val="20"/>
          <w:szCs w:val="20"/>
          <w:lang w:val="es-ES"/>
        </w:rPr>
        <w:t xml:space="preserve"> y dejó sin efecto el sobreseimiento definitivo de los demás</w:t>
      </w:r>
      <w:r w:rsidR="00F626CC" w:rsidRPr="00F84AB1">
        <w:rPr>
          <w:rFonts w:asciiTheme="majorHAnsi" w:hAnsiTheme="majorHAnsi" w:cs="GillSansMT"/>
          <w:sz w:val="20"/>
          <w:szCs w:val="20"/>
          <w:lang w:val="es-ES"/>
        </w:rPr>
        <w:t xml:space="preserve"> sujetos</w:t>
      </w:r>
      <w:r w:rsidR="000C1332" w:rsidRPr="00F84AB1">
        <w:rPr>
          <w:rFonts w:asciiTheme="majorHAnsi" w:hAnsiTheme="majorHAnsi" w:cs="GillSansMT"/>
          <w:sz w:val="20"/>
          <w:szCs w:val="20"/>
          <w:lang w:val="es-ES"/>
        </w:rPr>
        <w:t>, ordenando re</w:t>
      </w:r>
      <w:r w:rsidR="008A6762" w:rsidRPr="00F84AB1">
        <w:rPr>
          <w:rFonts w:asciiTheme="majorHAnsi" w:hAnsiTheme="majorHAnsi" w:cs="GillSansMT"/>
          <w:sz w:val="20"/>
          <w:szCs w:val="20"/>
          <w:lang w:val="es-ES"/>
        </w:rPr>
        <w:t xml:space="preserve">poner la causa al estado </w:t>
      </w:r>
      <w:r w:rsidR="00151838" w:rsidRPr="00F84AB1">
        <w:rPr>
          <w:rFonts w:asciiTheme="majorHAnsi" w:hAnsiTheme="majorHAnsi" w:cs="GillSansMT"/>
          <w:sz w:val="20"/>
          <w:szCs w:val="20"/>
          <w:lang w:val="es-ES"/>
        </w:rPr>
        <w:t>de</w:t>
      </w:r>
      <w:r w:rsidR="000C1332" w:rsidRPr="00F84AB1">
        <w:rPr>
          <w:rFonts w:asciiTheme="majorHAnsi" w:hAnsiTheme="majorHAnsi" w:cs="GillSansMT"/>
          <w:sz w:val="20"/>
          <w:szCs w:val="20"/>
          <w:lang w:val="es-ES"/>
        </w:rPr>
        <w:t xml:space="preserve"> sumario </w:t>
      </w:r>
      <w:r w:rsidR="008A6762" w:rsidRPr="00F84AB1">
        <w:rPr>
          <w:rFonts w:asciiTheme="majorHAnsi" w:hAnsiTheme="majorHAnsi" w:cs="GillSansMT"/>
          <w:sz w:val="20"/>
          <w:szCs w:val="20"/>
          <w:lang w:val="es-ES"/>
        </w:rPr>
        <w:t xml:space="preserve">en relación con los sobreseídos, </w:t>
      </w:r>
      <w:r w:rsidR="000C1332" w:rsidRPr="00F84AB1">
        <w:rPr>
          <w:rFonts w:asciiTheme="majorHAnsi" w:hAnsiTheme="majorHAnsi" w:cs="GillSansMT"/>
          <w:sz w:val="20"/>
          <w:szCs w:val="20"/>
          <w:lang w:val="es-ES"/>
        </w:rPr>
        <w:t xml:space="preserve">para que el </w:t>
      </w:r>
      <w:r w:rsidR="008A6762" w:rsidRPr="00F84AB1">
        <w:rPr>
          <w:rFonts w:asciiTheme="majorHAnsi" w:hAnsiTheme="majorHAnsi" w:cs="GillSansMT"/>
          <w:sz w:val="20"/>
          <w:szCs w:val="20"/>
          <w:lang w:val="es-ES"/>
        </w:rPr>
        <w:t>Ministro de Fuero</w:t>
      </w:r>
      <w:r w:rsidR="000C1332" w:rsidRPr="00F84AB1">
        <w:rPr>
          <w:rFonts w:asciiTheme="majorHAnsi" w:hAnsiTheme="majorHAnsi" w:cs="GillSansMT"/>
          <w:sz w:val="20"/>
          <w:szCs w:val="20"/>
          <w:lang w:val="es-ES"/>
        </w:rPr>
        <w:t xml:space="preserve"> “dicte las resoluciones correspondientes, conducentes a hacer efectiva la responsabilidad criminal que a dichos inculpados cabe en los hechos</w:t>
      </w:r>
      <w:r w:rsidR="008A6762" w:rsidRPr="00F84AB1">
        <w:rPr>
          <w:rFonts w:asciiTheme="majorHAnsi" w:hAnsiTheme="majorHAnsi" w:cs="GillSansMT"/>
          <w:sz w:val="20"/>
          <w:szCs w:val="20"/>
          <w:lang w:val="es-ES"/>
        </w:rPr>
        <w:t xml:space="preserve"> investigados en el proceso</w:t>
      </w:r>
      <w:r w:rsidR="000C1332" w:rsidRPr="00F84AB1">
        <w:rPr>
          <w:rFonts w:asciiTheme="majorHAnsi" w:hAnsiTheme="majorHAnsi" w:cs="GillSansMT"/>
          <w:sz w:val="20"/>
          <w:szCs w:val="20"/>
          <w:lang w:val="es-ES"/>
        </w:rPr>
        <w:t>”.</w:t>
      </w:r>
      <w:r w:rsidR="00012631" w:rsidRPr="00F84AB1">
        <w:rPr>
          <w:rFonts w:asciiTheme="majorHAnsi" w:hAnsiTheme="majorHAnsi" w:cs="GillSansMT"/>
          <w:sz w:val="20"/>
          <w:szCs w:val="20"/>
          <w:lang w:val="es-ES"/>
        </w:rPr>
        <w:t xml:space="preserve"> </w:t>
      </w:r>
      <w:r w:rsidR="00BD45B5" w:rsidRPr="00F84AB1">
        <w:rPr>
          <w:rFonts w:asciiTheme="majorHAnsi" w:hAnsiTheme="majorHAnsi" w:cs="GillSansMT"/>
          <w:sz w:val="20"/>
          <w:szCs w:val="20"/>
          <w:lang w:val="es-ES"/>
        </w:rPr>
        <w:t>Los peticionarios indican que c</w:t>
      </w:r>
      <w:r w:rsidR="000C1332" w:rsidRPr="00F84AB1">
        <w:rPr>
          <w:rFonts w:asciiTheme="majorHAnsi" w:hAnsiTheme="majorHAnsi" w:cs="GillSansMT"/>
          <w:sz w:val="20"/>
          <w:szCs w:val="20"/>
          <w:lang w:val="es-ES"/>
        </w:rPr>
        <w:t>ontra dicha sentencia</w:t>
      </w:r>
      <w:r w:rsidR="00BD45B5" w:rsidRPr="00F84AB1">
        <w:rPr>
          <w:rFonts w:asciiTheme="majorHAnsi" w:hAnsiTheme="majorHAnsi" w:cs="GillSansMT"/>
          <w:sz w:val="20"/>
          <w:szCs w:val="20"/>
          <w:lang w:val="es-ES"/>
        </w:rPr>
        <w:t>,</w:t>
      </w:r>
      <w:r w:rsidR="000C1332" w:rsidRPr="00F84AB1">
        <w:rPr>
          <w:rFonts w:asciiTheme="majorHAnsi" w:hAnsiTheme="majorHAnsi" w:cs="GillSansMT"/>
          <w:sz w:val="20"/>
          <w:szCs w:val="20"/>
          <w:lang w:val="es-ES"/>
        </w:rPr>
        <w:t xml:space="preserve"> la defensa de Rivera Bozzo habría interpuesto recurso de casación </w:t>
      </w:r>
      <w:r w:rsidR="00455EA9" w:rsidRPr="00F84AB1">
        <w:rPr>
          <w:rFonts w:asciiTheme="majorHAnsi" w:hAnsiTheme="majorHAnsi" w:cs="GillSansMT"/>
          <w:sz w:val="20"/>
          <w:szCs w:val="20"/>
          <w:lang w:val="es-ES"/>
        </w:rPr>
        <w:t>en el fondo,</w:t>
      </w:r>
      <w:r w:rsidR="000C1332" w:rsidRPr="00F84AB1">
        <w:rPr>
          <w:rFonts w:asciiTheme="majorHAnsi" w:hAnsiTheme="majorHAnsi" w:cs="GillSansMT"/>
          <w:sz w:val="20"/>
          <w:szCs w:val="20"/>
          <w:lang w:val="es-ES"/>
        </w:rPr>
        <w:t xml:space="preserve"> el cual</w:t>
      </w:r>
      <w:r w:rsidR="009C298E" w:rsidRPr="00F84AB1">
        <w:rPr>
          <w:rFonts w:asciiTheme="majorHAnsi" w:hAnsiTheme="majorHAnsi" w:cs="GillSansMT"/>
          <w:sz w:val="20"/>
          <w:szCs w:val="20"/>
          <w:lang w:val="es-ES"/>
        </w:rPr>
        <w:t xml:space="preserve"> alegan</w:t>
      </w:r>
      <w:r w:rsidR="000C1332" w:rsidRPr="00F84AB1">
        <w:rPr>
          <w:rFonts w:asciiTheme="majorHAnsi" w:hAnsiTheme="majorHAnsi" w:cs="GillSansMT"/>
          <w:sz w:val="20"/>
          <w:szCs w:val="20"/>
          <w:lang w:val="es-ES"/>
        </w:rPr>
        <w:t xml:space="preserve"> </w:t>
      </w:r>
      <w:r w:rsidR="00DB7AB2" w:rsidRPr="00F84AB1">
        <w:rPr>
          <w:rFonts w:asciiTheme="majorHAnsi" w:hAnsiTheme="majorHAnsi" w:cs="GillSansMT"/>
          <w:sz w:val="20"/>
          <w:szCs w:val="20"/>
          <w:lang w:val="es-ES"/>
        </w:rPr>
        <w:t>fue</w:t>
      </w:r>
      <w:r w:rsidR="000C1332" w:rsidRPr="00F84AB1">
        <w:rPr>
          <w:rFonts w:asciiTheme="majorHAnsi" w:hAnsiTheme="majorHAnsi" w:cs="GillSansMT"/>
          <w:sz w:val="20"/>
          <w:szCs w:val="20"/>
          <w:lang w:val="es-ES"/>
        </w:rPr>
        <w:t xml:space="preserve"> conocido a pesar de c</w:t>
      </w:r>
      <w:r w:rsidR="00BD45B5" w:rsidRPr="00F84AB1">
        <w:rPr>
          <w:rFonts w:asciiTheme="majorHAnsi" w:hAnsiTheme="majorHAnsi" w:cs="GillSansMT"/>
          <w:sz w:val="20"/>
          <w:szCs w:val="20"/>
          <w:lang w:val="es-ES"/>
        </w:rPr>
        <w:t>ontar con evidentes falencias</w:t>
      </w:r>
      <w:r w:rsidR="000C1332" w:rsidRPr="00F84AB1">
        <w:rPr>
          <w:rFonts w:asciiTheme="majorHAnsi" w:hAnsiTheme="majorHAnsi" w:cs="GillSansMT"/>
          <w:sz w:val="20"/>
          <w:szCs w:val="20"/>
          <w:lang w:val="es-ES"/>
        </w:rPr>
        <w:t>.</w:t>
      </w:r>
      <w:r w:rsidR="00012631" w:rsidRPr="00F84AB1">
        <w:rPr>
          <w:rFonts w:asciiTheme="majorHAnsi" w:hAnsiTheme="majorHAnsi" w:cs="GillSansMT"/>
          <w:sz w:val="20"/>
          <w:szCs w:val="20"/>
          <w:lang w:val="es-ES"/>
        </w:rPr>
        <w:t xml:space="preserve"> </w:t>
      </w:r>
    </w:p>
    <w:p w:rsidR="000C1332" w:rsidRPr="00F84AB1" w:rsidRDefault="000C1332" w:rsidP="00C64463">
      <w:pPr>
        <w:pBdr>
          <w:top w:val="none" w:sz="0" w:space="0" w:color="auto"/>
          <w:left w:val="none" w:sz="0" w:space="0" w:color="auto"/>
          <w:bottom w:val="none" w:sz="0" w:space="0" w:color="auto"/>
          <w:right w:val="none" w:sz="0" w:space="0" w:color="auto"/>
          <w:bar w:val="none" w:sz="0" w:color="auto"/>
        </w:pBdr>
        <w:autoSpaceDE w:val="0"/>
        <w:autoSpaceDN w:val="0"/>
        <w:adjustRightInd w:val="0"/>
        <w:ind w:left="540"/>
        <w:jc w:val="both"/>
        <w:rPr>
          <w:rFonts w:asciiTheme="majorHAnsi" w:hAnsiTheme="majorHAnsi" w:cs="GillSansMT"/>
          <w:color w:val="76923C" w:themeColor="accent3" w:themeShade="BF"/>
          <w:sz w:val="20"/>
          <w:szCs w:val="20"/>
          <w:lang w:val="es-ES"/>
        </w:rPr>
      </w:pPr>
    </w:p>
    <w:p w:rsidR="005B69B4" w:rsidRPr="00F84AB1" w:rsidRDefault="00CF2349"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Sostienen que</w:t>
      </w:r>
      <w:r w:rsidR="000C1332" w:rsidRPr="00F84AB1">
        <w:rPr>
          <w:rFonts w:asciiTheme="majorHAnsi" w:hAnsiTheme="majorHAnsi" w:cs="GillSansMT"/>
          <w:sz w:val="20"/>
          <w:szCs w:val="20"/>
          <w:lang w:val="es-ES"/>
        </w:rPr>
        <w:t xml:space="preserve"> el 5 de septiembre de 2007, la C</w:t>
      </w:r>
      <w:r w:rsidR="005B69B4" w:rsidRPr="00F84AB1">
        <w:rPr>
          <w:rFonts w:asciiTheme="majorHAnsi" w:hAnsiTheme="majorHAnsi" w:cs="GillSansMT"/>
          <w:sz w:val="20"/>
          <w:szCs w:val="20"/>
          <w:lang w:val="es-ES"/>
        </w:rPr>
        <w:t>orte Suprema</w:t>
      </w:r>
      <w:r w:rsidR="000C1332" w:rsidRPr="00F84AB1">
        <w:rPr>
          <w:rFonts w:asciiTheme="majorHAnsi" w:hAnsiTheme="majorHAnsi" w:cs="GillSansMT"/>
          <w:sz w:val="20"/>
          <w:szCs w:val="20"/>
          <w:lang w:val="es-ES"/>
        </w:rPr>
        <w:t xml:space="preserve"> </w:t>
      </w:r>
      <w:r w:rsidR="00B10DCC" w:rsidRPr="00F84AB1">
        <w:rPr>
          <w:rFonts w:asciiTheme="majorHAnsi" w:hAnsiTheme="majorHAnsi" w:cs="GillSansMT"/>
          <w:sz w:val="20"/>
          <w:szCs w:val="20"/>
          <w:lang w:val="es-ES"/>
        </w:rPr>
        <w:t>invalidó</w:t>
      </w:r>
      <w:r w:rsidR="000C1332" w:rsidRPr="00F84AB1">
        <w:rPr>
          <w:rFonts w:asciiTheme="majorHAnsi" w:hAnsiTheme="majorHAnsi" w:cs="GillSansMT"/>
          <w:sz w:val="20"/>
          <w:szCs w:val="20"/>
          <w:lang w:val="es-ES"/>
        </w:rPr>
        <w:t xml:space="preserve"> </w:t>
      </w:r>
      <w:r w:rsidR="009C298E" w:rsidRPr="00F84AB1">
        <w:rPr>
          <w:rFonts w:asciiTheme="majorHAnsi" w:hAnsiTheme="majorHAnsi" w:cs="GillSansMT"/>
          <w:sz w:val="20"/>
          <w:szCs w:val="20"/>
          <w:lang w:val="es-ES"/>
        </w:rPr>
        <w:t xml:space="preserve">de oficio </w:t>
      </w:r>
      <w:r w:rsidR="000C1332" w:rsidRPr="00F84AB1">
        <w:rPr>
          <w:rFonts w:asciiTheme="majorHAnsi" w:hAnsiTheme="majorHAnsi" w:cs="GillSansMT"/>
          <w:sz w:val="20"/>
          <w:szCs w:val="20"/>
          <w:lang w:val="es-ES"/>
        </w:rPr>
        <w:t>la sentencia de apelación aduciendo un error de carácter formal</w:t>
      </w:r>
      <w:r w:rsidR="00EE25D5" w:rsidRPr="00F84AB1">
        <w:rPr>
          <w:rFonts w:asciiTheme="majorHAnsi" w:hAnsiTheme="majorHAnsi" w:cs="GillSansMT"/>
          <w:sz w:val="20"/>
          <w:szCs w:val="20"/>
          <w:lang w:val="es-ES"/>
        </w:rPr>
        <w:t xml:space="preserve">, </w:t>
      </w:r>
      <w:r w:rsidR="005B69B4" w:rsidRPr="00F84AB1">
        <w:rPr>
          <w:rFonts w:asciiTheme="majorHAnsi" w:hAnsiTheme="majorHAnsi" w:cs="GillSansMT"/>
          <w:sz w:val="20"/>
          <w:szCs w:val="20"/>
          <w:lang w:val="es-ES"/>
        </w:rPr>
        <w:t>el cual indican n</w:t>
      </w:r>
      <w:r w:rsidR="000C1332" w:rsidRPr="00F84AB1">
        <w:rPr>
          <w:rFonts w:asciiTheme="majorHAnsi" w:hAnsiTheme="majorHAnsi" w:cs="GillSansMT"/>
          <w:sz w:val="20"/>
          <w:szCs w:val="20"/>
          <w:lang w:val="es-ES"/>
        </w:rPr>
        <w:t>i siquiera fue alegado por la defensa</w:t>
      </w:r>
      <w:r w:rsidR="005B69B4" w:rsidRPr="00F84AB1">
        <w:rPr>
          <w:rFonts w:asciiTheme="majorHAnsi" w:hAnsiTheme="majorHAnsi" w:cs="GillSansMT"/>
          <w:sz w:val="20"/>
          <w:szCs w:val="20"/>
          <w:lang w:val="es-ES"/>
        </w:rPr>
        <w:t xml:space="preserve"> del condenado</w:t>
      </w:r>
      <w:r w:rsidR="00EE25D5" w:rsidRPr="00F84AB1">
        <w:rPr>
          <w:rFonts w:asciiTheme="majorHAnsi" w:hAnsiTheme="majorHAnsi" w:cs="GillSansMT"/>
          <w:sz w:val="20"/>
          <w:szCs w:val="20"/>
          <w:lang w:val="es-ES"/>
        </w:rPr>
        <w:t xml:space="preserve">, </w:t>
      </w:r>
      <w:r w:rsidR="004C0B20" w:rsidRPr="00F84AB1">
        <w:rPr>
          <w:rFonts w:asciiTheme="majorHAnsi" w:hAnsiTheme="majorHAnsi" w:cs="GillSansMT"/>
          <w:sz w:val="20"/>
          <w:szCs w:val="20"/>
          <w:lang w:val="es-ES"/>
        </w:rPr>
        <w:t>dictando</w:t>
      </w:r>
      <w:r w:rsidR="000C1332" w:rsidRPr="00F84AB1">
        <w:rPr>
          <w:rFonts w:asciiTheme="majorHAnsi" w:hAnsiTheme="majorHAnsi" w:cs="GillSansMT"/>
          <w:sz w:val="20"/>
          <w:szCs w:val="20"/>
          <w:lang w:val="es-ES"/>
        </w:rPr>
        <w:t xml:space="preserve"> una sentencia de reemplazo en la que </w:t>
      </w:r>
      <w:r w:rsidR="005B69B4" w:rsidRPr="00F84AB1">
        <w:rPr>
          <w:rFonts w:asciiTheme="majorHAnsi" w:hAnsiTheme="majorHAnsi" w:cs="GillSansMT"/>
          <w:sz w:val="20"/>
          <w:szCs w:val="20"/>
          <w:lang w:val="es-ES"/>
        </w:rPr>
        <w:t>recalific</w:t>
      </w:r>
      <w:r w:rsidR="00802002" w:rsidRPr="00F84AB1">
        <w:rPr>
          <w:rFonts w:asciiTheme="majorHAnsi" w:hAnsiTheme="majorHAnsi" w:cs="GillSansMT"/>
          <w:sz w:val="20"/>
          <w:szCs w:val="20"/>
          <w:lang w:val="es-ES"/>
        </w:rPr>
        <w:t>ó</w:t>
      </w:r>
      <w:r w:rsidR="005B69B4" w:rsidRPr="00F84AB1">
        <w:rPr>
          <w:rFonts w:asciiTheme="majorHAnsi" w:hAnsiTheme="majorHAnsi" w:cs="GillSansMT"/>
          <w:sz w:val="20"/>
          <w:szCs w:val="20"/>
          <w:lang w:val="es-ES"/>
        </w:rPr>
        <w:t xml:space="preserve"> el ilícito, y </w:t>
      </w:r>
      <w:r w:rsidR="00802002" w:rsidRPr="00F84AB1">
        <w:rPr>
          <w:rFonts w:asciiTheme="majorHAnsi" w:hAnsiTheme="majorHAnsi" w:cs="GillSansMT"/>
          <w:sz w:val="20"/>
          <w:szCs w:val="20"/>
          <w:lang w:val="es-ES"/>
        </w:rPr>
        <w:t>condenó</w:t>
      </w:r>
      <w:r w:rsidR="000C1332" w:rsidRPr="00F84AB1">
        <w:rPr>
          <w:rFonts w:asciiTheme="majorHAnsi" w:hAnsiTheme="majorHAnsi" w:cs="GillSansMT"/>
          <w:sz w:val="20"/>
          <w:szCs w:val="20"/>
          <w:lang w:val="es-ES"/>
        </w:rPr>
        <w:t xml:space="preserve"> a Rivera Bozzo a la pena de cinco años y un día de prisión</w:t>
      </w:r>
      <w:r w:rsidR="005B69B4" w:rsidRPr="00F84AB1">
        <w:rPr>
          <w:rFonts w:asciiTheme="majorHAnsi" w:hAnsiTheme="majorHAnsi" w:cs="GillSansMT"/>
          <w:sz w:val="20"/>
          <w:szCs w:val="20"/>
          <w:lang w:val="es-ES"/>
        </w:rPr>
        <w:t xml:space="preserve"> como autor del </w:t>
      </w:r>
      <w:r w:rsidR="000C1332" w:rsidRPr="00F84AB1">
        <w:rPr>
          <w:rFonts w:asciiTheme="majorHAnsi" w:hAnsiTheme="majorHAnsi" w:cs="GillSansMT"/>
          <w:sz w:val="20"/>
          <w:szCs w:val="20"/>
          <w:lang w:val="es-ES"/>
        </w:rPr>
        <w:t xml:space="preserve">delito de homicidio calificado </w:t>
      </w:r>
      <w:r w:rsidR="005B69B4" w:rsidRPr="00F84AB1">
        <w:rPr>
          <w:rFonts w:asciiTheme="majorHAnsi" w:hAnsiTheme="majorHAnsi" w:cs="GillSansMT"/>
          <w:sz w:val="20"/>
          <w:szCs w:val="20"/>
          <w:lang w:val="es-ES"/>
        </w:rPr>
        <w:t xml:space="preserve">de las presuntas víctimas, </w:t>
      </w:r>
      <w:r w:rsidR="000C1332" w:rsidRPr="00F84AB1">
        <w:rPr>
          <w:rFonts w:asciiTheme="majorHAnsi" w:hAnsiTheme="majorHAnsi" w:cs="GillSansMT"/>
          <w:sz w:val="20"/>
          <w:szCs w:val="20"/>
          <w:lang w:val="es-ES"/>
        </w:rPr>
        <w:t>y sobreseyó a los demás inculpados</w:t>
      </w:r>
      <w:r w:rsidR="003120B1" w:rsidRPr="00F84AB1">
        <w:rPr>
          <w:rFonts w:asciiTheme="majorHAnsi" w:hAnsiTheme="majorHAnsi" w:cs="GillSansMT"/>
          <w:sz w:val="20"/>
          <w:szCs w:val="20"/>
          <w:lang w:val="es-ES"/>
        </w:rPr>
        <w:t>, al confirmar la resolución consultada de 25 de junio de 2002</w:t>
      </w:r>
      <w:r w:rsidR="005B69B4" w:rsidRPr="00F84AB1">
        <w:rPr>
          <w:rFonts w:asciiTheme="majorHAnsi" w:hAnsiTheme="majorHAnsi" w:cs="GillSansMT"/>
          <w:sz w:val="20"/>
          <w:szCs w:val="20"/>
          <w:lang w:val="es-ES"/>
        </w:rPr>
        <w:t xml:space="preserve">. Sobre este sobreseimiento </w:t>
      </w:r>
      <w:r w:rsidR="000C1332" w:rsidRPr="00F84AB1">
        <w:rPr>
          <w:rFonts w:asciiTheme="majorHAnsi" w:hAnsiTheme="majorHAnsi" w:cs="GillSansMT"/>
          <w:sz w:val="20"/>
          <w:szCs w:val="20"/>
          <w:lang w:val="es-ES"/>
        </w:rPr>
        <w:t>los peticionarios</w:t>
      </w:r>
      <w:r w:rsidR="005B69B4" w:rsidRPr="00F84AB1">
        <w:rPr>
          <w:rFonts w:asciiTheme="majorHAnsi" w:hAnsiTheme="majorHAnsi" w:cs="GillSansMT"/>
          <w:sz w:val="20"/>
          <w:szCs w:val="20"/>
          <w:lang w:val="es-ES"/>
        </w:rPr>
        <w:t xml:space="preserve"> refieren</w:t>
      </w:r>
      <w:r w:rsidR="000C1332" w:rsidRPr="00F84AB1">
        <w:rPr>
          <w:rFonts w:asciiTheme="majorHAnsi" w:hAnsiTheme="majorHAnsi" w:cs="GillSansMT"/>
          <w:sz w:val="20"/>
          <w:szCs w:val="20"/>
          <w:lang w:val="es-ES"/>
        </w:rPr>
        <w:t xml:space="preserve"> que fue dictado de oficio</w:t>
      </w:r>
      <w:r w:rsidR="005B69B4" w:rsidRPr="00F84AB1">
        <w:rPr>
          <w:rFonts w:asciiTheme="majorHAnsi" w:hAnsiTheme="majorHAnsi" w:cs="GillSansMT"/>
          <w:sz w:val="20"/>
          <w:szCs w:val="20"/>
          <w:lang w:val="es-ES"/>
        </w:rPr>
        <w:t xml:space="preserve"> sin </w:t>
      </w:r>
      <w:r w:rsidR="001F56A4" w:rsidRPr="00F84AB1">
        <w:rPr>
          <w:rFonts w:asciiTheme="majorHAnsi" w:hAnsiTheme="majorHAnsi" w:cs="GillSansMT"/>
          <w:sz w:val="20"/>
          <w:szCs w:val="20"/>
          <w:lang w:val="es-ES"/>
        </w:rPr>
        <w:t>que hubiese sido solicitado</w:t>
      </w:r>
      <w:r w:rsidR="00C64D15" w:rsidRPr="00F84AB1">
        <w:rPr>
          <w:rFonts w:asciiTheme="majorHAnsi" w:hAnsiTheme="majorHAnsi" w:cs="GillSansMT"/>
          <w:sz w:val="20"/>
          <w:szCs w:val="20"/>
          <w:lang w:val="es-ES"/>
        </w:rPr>
        <w:t>,</w:t>
      </w:r>
      <w:r w:rsidR="001F56A4" w:rsidRPr="00F84AB1">
        <w:rPr>
          <w:rFonts w:asciiTheme="majorHAnsi" w:hAnsiTheme="majorHAnsi" w:cs="GillSansMT"/>
          <w:sz w:val="20"/>
          <w:szCs w:val="20"/>
          <w:lang w:val="es-ES"/>
        </w:rPr>
        <w:t xml:space="preserve"> por </w:t>
      </w:r>
      <w:r w:rsidR="005B69B4" w:rsidRPr="00F84AB1">
        <w:rPr>
          <w:rFonts w:asciiTheme="majorHAnsi" w:hAnsiTheme="majorHAnsi" w:cs="GillSansMT"/>
          <w:sz w:val="20"/>
          <w:szCs w:val="20"/>
          <w:lang w:val="es-ES"/>
        </w:rPr>
        <w:t>estar habilitado por ley para conocer de la consulta al sobreseimiento.</w:t>
      </w:r>
    </w:p>
    <w:p w:rsidR="000C1332" w:rsidRPr="00F84AB1" w:rsidRDefault="000C1332"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p>
    <w:p w:rsidR="00BB3ADD" w:rsidRPr="00F84AB1" w:rsidRDefault="009612DA"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UY"/>
        </w:rPr>
      </w:pPr>
      <w:r w:rsidRPr="00F84AB1">
        <w:rPr>
          <w:rFonts w:asciiTheme="majorHAnsi" w:hAnsiTheme="majorHAnsi" w:cs="Arial"/>
          <w:sz w:val="20"/>
          <w:szCs w:val="20"/>
          <w:lang w:val="es-UY"/>
        </w:rPr>
        <w:t xml:space="preserve">De la denuncia se desprende, que la misma se interpone </w:t>
      </w:r>
      <w:r w:rsidR="00BB3ADD" w:rsidRPr="00F84AB1">
        <w:rPr>
          <w:rFonts w:asciiTheme="majorHAnsi" w:hAnsiTheme="majorHAnsi" w:cs="Arial"/>
          <w:sz w:val="20"/>
          <w:szCs w:val="20"/>
          <w:lang w:val="es-UY"/>
        </w:rPr>
        <w:t xml:space="preserve">como consecuencia de </w:t>
      </w:r>
      <w:r w:rsidR="00337081" w:rsidRPr="00F84AB1">
        <w:rPr>
          <w:rFonts w:asciiTheme="majorHAnsi" w:hAnsiTheme="majorHAnsi" w:cs="Arial"/>
          <w:sz w:val="20"/>
          <w:szCs w:val="20"/>
          <w:lang w:val="es-UY"/>
        </w:rPr>
        <w:t xml:space="preserve">la sentencia dictada por </w:t>
      </w:r>
      <w:r w:rsidR="00BB3ADD" w:rsidRPr="00F84AB1">
        <w:rPr>
          <w:rFonts w:asciiTheme="majorHAnsi" w:hAnsiTheme="majorHAnsi" w:cs="Arial"/>
          <w:sz w:val="20"/>
          <w:szCs w:val="20"/>
          <w:lang w:val="es-UY"/>
        </w:rPr>
        <w:t>la Corte Suprema,</w:t>
      </w:r>
      <w:r w:rsidR="00C64D15" w:rsidRPr="00F84AB1">
        <w:rPr>
          <w:rFonts w:asciiTheme="majorHAnsi" w:hAnsiTheme="majorHAnsi" w:cs="Arial"/>
          <w:sz w:val="20"/>
          <w:szCs w:val="20"/>
          <w:lang w:val="es-UY"/>
        </w:rPr>
        <w:t xml:space="preserve"> respecto de la cual alegan</w:t>
      </w:r>
      <w:r w:rsidR="00BB3ADD" w:rsidRPr="00F84AB1">
        <w:rPr>
          <w:rFonts w:asciiTheme="majorHAnsi" w:hAnsiTheme="majorHAnsi" w:cs="Arial"/>
          <w:sz w:val="20"/>
          <w:szCs w:val="20"/>
          <w:lang w:val="es-UY"/>
        </w:rPr>
        <w:t xml:space="preserve"> </w:t>
      </w:r>
      <w:r w:rsidR="00DB7AB2" w:rsidRPr="00F84AB1">
        <w:rPr>
          <w:rFonts w:asciiTheme="majorHAnsi" w:hAnsiTheme="majorHAnsi" w:cs="Arial"/>
          <w:sz w:val="20"/>
          <w:szCs w:val="20"/>
          <w:lang w:val="es-UY"/>
        </w:rPr>
        <w:t>dejó</w:t>
      </w:r>
      <w:r w:rsidR="00BB3ADD" w:rsidRPr="00F84AB1">
        <w:rPr>
          <w:rFonts w:asciiTheme="majorHAnsi" w:hAnsiTheme="majorHAnsi" w:cs="Arial"/>
          <w:sz w:val="20"/>
          <w:szCs w:val="20"/>
          <w:lang w:val="es-UY"/>
        </w:rPr>
        <w:t xml:space="preserve"> en gran medida im</w:t>
      </w:r>
      <w:r w:rsidR="00344C4F" w:rsidRPr="00F84AB1">
        <w:rPr>
          <w:rFonts w:asciiTheme="majorHAnsi" w:hAnsiTheme="majorHAnsi" w:cs="Arial"/>
          <w:sz w:val="20"/>
          <w:szCs w:val="20"/>
          <w:lang w:val="es-UY"/>
        </w:rPr>
        <w:t xml:space="preserve">pune, de manera encubierta, los </w:t>
      </w:r>
      <w:r w:rsidR="00BB3ADD" w:rsidRPr="00F84AB1">
        <w:rPr>
          <w:rFonts w:asciiTheme="majorHAnsi" w:hAnsiTheme="majorHAnsi" w:cs="Arial"/>
          <w:sz w:val="20"/>
          <w:szCs w:val="20"/>
          <w:lang w:val="es-UY"/>
        </w:rPr>
        <w:t>crímenes cometidos en contra de las presuntas v</w:t>
      </w:r>
      <w:r w:rsidR="00337081" w:rsidRPr="00F84AB1">
        <w:rPr>
          <w:rFonts w:asciiTheme="majorHAnsi" w:hAnsiTheme="majorHAnsi" w:cs="Arial"/>
          <w:sz w:val="20"/>
          <w:szCs w:val="20"/>
          <w:lang w:val="es-UY"/>
        </w:rPr>
        <w:t>íctimas, al dictar l</w:t>
      </w:r>
      <w:r w:rsidR="00BB3ADD" w:rsidRPr="00F84AB1">
        <w:rPr>
          <w:rFonts w:asciiTheme="majorHAnsi" w:hAnsiTheme="majorHAnsi" w:cs="Arial"/>
          <w:sz w:val="20"/>
          <w:szCs w:val="20"/>
          <w:lang w:val="es-UY"/>
        </w:rPr>
        <w:t xml:space="preserve">a sentencia </w:t>
      </w:r>
      <w:r w:rsidR="00014A4B" w:rsidRPr="00F84AB1">
        <w:rPr>
          <w:rFonts w:asciiTheme="majorHAnsi" w:hAnsiTheme="majorHAnsi" w:cs="Arial"/>
          <w:sz w:val="20"/>
          <w:szCs w:val="20"/>
          <w:lang w:val="es-UY"/>
        </w:rPr>
        <w:t xml:space="preserve">de fecha 5 de septiembre de </w:t>
      </w:r>
      <w:r w:rsidR="00014A4B" w:rsidRPr="00F84AB1">
        <w:rPr>
          <w:rFonts w:asciiTheme="majorHAnsi" w:hAnsiTheme="majorHAnsi" w:cs="Arial"/>
          <w:sz w:val="20"/>
          <w:szCs w:val="20"/>
          <w:lang w:val="es-UY"/>
        </w:rPr>
        <w:lastRenderedPageBreak/>
        <w:t>2007 en la que</w:t>
      </w:r>
      <w:r w:rsidR="00344C4F" w:rsidRPr="00F84AB1">
        <w:rPr>
          <w:rFonts w:asciiTheme="majorHAnsi" w:hAnsiTheme="majorHAnsi" w:cs="Arial"/>
          <w:sz w:val="20"/>
          <w:szCs w:val="20"/>
          <w:lang w:val="es-UY"/>
        </w:rPr>
        <w:t xml:space="preserve"> refieren;</w:t>
      </w:r>
      <w:r w:rsidR="00014A4B" w:rsidRPr="00F84AB1">
        <w:rPr>
          <w:rFonts w:asciiTheme="majorHAnsi" w:hAnsiTheme="majorHAnsi" w:cs="Arial"/>
          <w:sz w:val="20"/>
          <w:szCs w:val="20"/>
          <w:lang w:val="es-UY"/>
        </w:rPr>
        <w:t xml:space="preserve"> 1) se modificó de oficio el tipo penal, sin previo debate entre las partes, recalificando la conducta punible como constitutiva de homicidio calificado en vez de secu</w:t>
      </w:r>
      <w:r w:rsidR="00AA2F20" w:rsidRPr="00F84AB1">
        <w:rPr>
          <w:rFonts w:asciiTheme="majorHAnsi" w:hAnsiTheme="majorHAnsi" w:cs="Arial"/>
          <w:sz w:val="20"/>
          <w:szCs w:val="20"/>
          <w:lang w:val="es-UY"/>
        </w:rPr>
        <w:t xml:space="preserve">estro, </w:t>
      </w:r>
      <w:r w:rsidR="00620E6B" w:rsidRPr="00F84AB1">
        <w:rPr>
          <w:rFonts w:asciiTheme="majorHAnsi" w:hAnsiTheme="majorHAnsi" w:cs="Arial"/>
          <w:sz w:val="20"/>
          <w:szCs w:val="20"/>
          <w:lang w:val="es-UY"/>
        </w:rPr>
        <w:t>beneficiando</w:t>
      </w:r>
      <w:r w:rsidR="00AA2F20" w:rsidRPr="00F84AB1">
        <w:rPr>
          <w:rFonts w:asciiTheme="majorHAnsi" w:hAnsiTheme="majorHAnsi" w:cs="Arial"/>
          <w:sz w:val="20"/>
          <w:szCs w:val="20"/>
          <w:lang w:val="es-UY"/>
        </w:rPr>
        <w:t xml:space="preserve"> a</w:t>
      </w:r>
      <w:r w:rsidR="00620E6B" w:rsidRPr="00F84AB1">
        <w:rPr>
          <w:rFonts w:asciiTheme="majorHAnsi" w:hAnsiTheme="majorHAnsi" w:cs="Arial"/>
          <w:sz w:val="20"/>
          <w:szCs w:val="20"/>
          <w:lang w:val="es-UY"/>
        </w:rPr>
        <w:t>l encausado</w:t>
      </w:r>
      <w:r w:rsidR="008A2A24" w:rsidRPr="00F84AB1">
        <w:rPr>
          <w:rFonts w:asciiTheme="majorHAnsi" w:hAnsiTheme="majorHAnsi" w:cs="Arial"/>
          <w:sz w:val="20"/>
          <w:szCs w:val="20"/>
          <w:lang w:val="es-UY"/>
        </w:rPr>
        <w:t xml:space="preserve"> con la media prescripción,</w:t>
      </w:r>
      <w:r w:rsidR="00620E6B" w:rsidRPr="00F84AB1">
        <w:rPr>
          <w:rFonts w:asciiTheme="majorHAnsi" w:hAnsiTheme="majorHAnsi" w:cs="Arial"/>
          <w:sz w:val="20"/>
          <w:szCs w:val="20"/>
          <w:lang w:val="es-UY"/>
        </w:rPr>
        <w:t xml:space="preserve"> condenándolo</w:t>
      </w:r>
      <w:r w:rsidR="00AA2F20" w:rsidRPr="00F84AB1">
        <w:rPr>
          <w:rFonts w:asciiTheme="majorHAnsi" w:hAnsiTheme="majorHAnsi" w:cs="Arial"/>
          <w:sz w:val="20"/>
          <w:szCs w:val="20"/>
          <w:lang w:val="es-UY"/>
        </w:rPr>
        <w:t xml:space="preserve"> a una pena baja, basado en una forma de prescripción de la acción penal, pese a tratarse de crímenes </w:t>
      </w:r>
      <w:r w:rsidR="0085269B" w:rsidRPr="00F84AB1">
        <w:rPr>
          <w:rFonts w:asciiTheme="majorHAnsi" w:hAnsiTheme="majorHAnsi" w:cs="Arial"/>
          <w:sz w:val="20"/>
          <w:szCs w:val="20"/>
          <w:lang w:val="es-UY"/>
        </w:rPr>
        <w:t>de lesa humanidad</w:t>
      </w:r>
      <w:r w:rsidR="0019590A" w:rsidRPr="00F84AB1">
        <w:rPr>
          <w:rFonts w:asciiTheme="majorHAnsi" w:hAnsiTheme="majorHAnsi" w:cs="Arial"/>
          <w:sz w:val="20"/>
          <w:szCs w:val="20"/>
          <w:lang w:val="es-UY"/>
        </w:rPr>
        <w:t xml:space="preserve">; 2) la Corte </w:t>
      </w:r>
      <w:r w:rsidR="009873C2" w:rsidRPr="00F84AB1">
        <w:rPr>
          <w:rFonts w:asciiTheme="majorHAnsi" w:hAnsiTheme="majorHAnsi" w:cs="Arial"/>
          <w:sz w:val="20"/>
          <w:szCs w:val="20"/>
          <w:lang w:val="es-UY"/>
        </w:rPr>
        <w:t xml:space="preserve">Suprema </w:t>
      </w:r>
      <w:r w:rsidR="0019590A" w:rsidRPr="00F84AB1">
        <w:rPr>
          <w:rFonts w:asciiTheme="majorHAnsi" w:hAnsiTheme="majorHAnsi" w:cs="Arial"/>
          <w:sz w:val="20"/>
          <w:szCs w:val="20"/>
          <w:lang w:val="es-UY"/>
        </w:rPr>
        <w:t>eximi</w:t>
      </w:r>
      <w:r w:rsidR="00DB7AB2" w:rsidRPr="00F84AB1">
        <w:rPr>
          <w:rFonts w:asciiTheme="majorHAnsi" w:hAnsiTheme="majorHAnsi" w:cs="Arial"/>
          <w:sz w:val="20"/>
          <w:szCs w:val="20"/>
          <w:lang w:val="es-UY"/>
        </w:rPr>
        <w:t>ó</w:t>
      </w:r>
      <w:r w:rsidR="001D6410" w:rsidRPr="00F84AB1">
        <w:rPr>
          <w:rFonts w:asciiTheme="majorHAnsi" w:hAnsiTheme="majorHAnsi" w:cs="Arial"/>
          <w:sz w:val="20"/>
          <w:szCs w:val="20"/>
          <w:lang w:val="es-UY"/>
        </w:rPr>
        <w:t xml:space="preserve"> </w:t>
      </w:r>
      <w:r w:rsidR="0085269B" w:rsidRPr="00F84AB1">
        <w:rPr>
          <w:rFonts w:asciiTheme="majorHAnsi" w:hAnsiTheme="majorHAnsi" w:cs="Arial"/>
          <w:sz w:val="20"/>
          <w:szCs w:val="20"/>
          <w:lang w:val="es-UY"/>
        </w:rPr>
        <w:t>de responsabilidad a cuatro inculpados tras con</w:t>
      </w:r>
      <w:r w:rsidR="00337081" w:rsidRPr="00F84AB1">
        <w:rPr>
          <w:rFonts w:asciiTheme="majorHAnsi" w:hAnsiTheme="majorHAnsi" w:cs="Arial"/>
          <w:sz w:val="20"/>
          <w:szCs w:val="20"/>
          <w:lang w:val="es-UY"/>
        </w:rPr>
        <w:t>siderar</w:t>
      </w:r>
      <w:r w:rsidR="00AA2F20" w:rsidRPr="00F84AB1">
        <w:rPr>
          <w:rFonts w:asciiTheme="majorHAnsi" w:hAnsiTheme="majorHAnsi" w:cs="Arial"/>
          <w:sz w:val="20"/>
          <w:szCs w:val="20"/>
          <w:lang w:val="es-UY"/>
        </w:rPr>
        <w:t xml:space="preserve"> </w:t>
      </w:r>
      <w:r w:rsidR="00563075" w:rsidRPr="00F84AB1">
        <w:rPr>
          <w:rFonts w:asciiTheme="majorHAnsi" w:hAnsiTheme="majorHAnsi" w:cs="Arial"/>
          <w:sz w:val="20"/>
          <w:szCs w:val="20"/>
          <w:lang w:val="es-UY"/>
        </w:rPr>
        <w:t xml:space="preserve">que les era aplicable la eximente de responsabilidad de obediencia debida, sin tener en consideración que todos eran autores y que a la fecha de los hechos no formaban parte de las </w:t>
      </w:r>
      <w:r w:rsidR="00DB7AB2" w:rsidRPr="00F84AB1">
        <w:rPr>
          <w:rFonts w:asciiTheme="majorHAnsi" w:hAnsiTheme="majorHAnsi" w:cs="Arial"/>
          <w:sz w:val="20"/>
          <w:szCs w:val="20"/>
          <w:lang w:val="es-UY"/>
        </w:rPr>
        <w:t>fuerzas armadas, si</w:t>
      </w:r>
      <w:r w:rsidR="000C1332" w:rsidRPr="00F84AB1">
        <w:rPr>
          <w:rFonts w:asciiTheme="majorHAnsi" w:hAnsiTheme="majorHAnsi" w:cs="Arial"/>
          <w:sz w:val="20"/>
          <w:szCs w:val="20"/>
          <w:lang w:val="es-UY"/>
        </w:rPr>
        <w:t xml:space="preserve">no que eran paramilitares. </w:t>
      </w:r>
    </w:p>
    <w:p w:rsidR="00C32967" w:rsidRPr="00F84AB1" w:rsidRDefault="00C32967" w:rsidP="00C64463">
      <w:pPr>
        <w:pStyle w:val="ListParagraph"/>
        <w:jc w:val="both"/>
        <w:rPr>
          <w:rFonts w:asciiTheme="majorHAnsi" w:hAnsiTheme="majorHAnsi" w:cs="Arial"/>
          <w:color w:val="943634" w:themeColor="accent2" w:themeShade="BF"/>
          <w:sz w:val="20"/>
          <w:szCs w:val="20"/>
          <w:lang w:val="es-UY"/>
        </w:rPr>
      </w:pPr>
    </w:p>
    <w:p w:rsidR="00BB3ADD" w:rsidRPr="00F84AB1" w:rsidRDefault="00C32967"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r w:rsidRPr="00F84AB1">
        <w:rPr>
          <w:rFonts w:asciiTheme="majorHAnsi" w:hAnsiTheme="majorHAnsi" w:cs="Arial"/>
          <w:sz w:val="20"/>
          <w:szCs w:val="20"/>
          <w:lang w:val="es-UY"/>
        </w:rPr>
        <w:t>Un alegato particular de este caso es que como consecuencia de la sentencia emitida por la Corte Suprema</w:t>
      </w:r>
      <w:r w:rsidR="004C56F7"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no solo </w:t>
      </w:r>
      <w:r w:rsidR="004C56F7" w:rsidRPr="00F84AB1">
        <w:rPr>
          <w:rFonts w:asciiTheme="majorHAnsi" w:hAnsiTheme="majorHAnsi" w:cs="Arial"/>
          <w:sz w:val="20"/>
          <w:szCs w:val="20"/>
          <w:lang w:val="es-UY"/>
        </w:rPr>
        <w:t>no se sancionó</w:t>
      </w:r>
      <w:r w:rsidRPr="00F84AB1">
        <w:rPr>
          <w:rFonts w:asciiTheme="majorHAnsi" w:hAnsiTheme="majorHAnsi" w:cs="Arial"/>
          <w:sz w:val="20"/>
          <w:szCs w:val="20"/>
          <w:lang w:val="es-UY"/>
        </w:rPr>
        <w:t xml:space="preserve"> a cuatro responsables, sino que también el único </w:t>
      </w:r>
      <w:r w:rsidR="004C56F7" w:rsidRPr="00F84AB1">
        <w:rPr>
          <w:rFonts w:asciiTheme="majorHAnsi" w:hAnsiTheme="majorHAnsi" w:cs="Arial"/>
          <w:sz w:val="20"/>
          <w:szCs w:val="20"/>
          <w:lang w:val="es-UY"/>
        </w:rPr>
        <w:t xml:space="preserve">condenado no fue </w:t>
      </w:r>
      <w:r w:rsidRPr="00F84AB1">
        <w:rPr>
          <w:rFonts w:asciiTheme="majorHAnsi" w:hAnsiTheme="majorHAnsi" w:cs="Arial"/>
          <w:sz w:val="20"/>
          <w:szCs w:val="20"/>
          <w:lang w:val="es-UY"/>
        </w:rPr>
        <w:t>sancionado de manera adecuada</w:t>
      </w:r>
      <w:r w:rsidR="0080788F" w:rsidRPr="00F84AB1">
        <w:rPr>
          <w:rFonts w:asciiTheme="majorHAnsi" w:hAnsiTheme="majorHAnsi" w:cs="Arial"/>
          <w:sz w:val="20"/>
          <w:szCs w:val="20"/>
          <w:lang w:val="es-UY"/>
        </w:rPr>
        <w:t>, lo que se tradujo en que los culpables permanezcan sustancialmente en la impunidad</w:t>
      </w:r>
      <w:r w:rsidR="004C56F7" w:rsidRPr="00F84AB1">
        <w:rPr>
          <w:rFonts w:asciiTheme="majorHAnsi" w:hAnsiTheme="majorHAnsi" w:cs="Arial"/>
          <w:sz w:val="20"/>
          <w:szCs w:val="20"/>
          <w:lang w:val="es-UY"/>
        </w:rPr>
        <w:t xml:space="preserve">. </w:t>
      </w:r>
      <w:r w:rsidR="00CD5BA1" w:rsidRPr="00F84AB1">
        <w:rPr>
          <w:rFonts w:asciiTheme="majorHAnsi" w:hAnsiTheme="majorHAnsi" w:cs="Arial"/>
          <w:sz w:val="20"/>
          <w:szCs w:val="20"/>
          <w:lang w:val="es-UY"/>
        </w:rPr>
        <w:t>Alegan que la obligación de sancionar</w:t>
      </w:r>
      <w:r w:rsidR="0015252C" w:rsidRPr="00F84AB1">
        <w:rPr>
          <w:rFonts w:asciiTheme="majorHAnsi" w:hAnsiTheme="majorHAnsi" w:cs="Arial"/>
          <w:sz w:val="20"/>
          <w:szCs w:val="20"/>
          <w:lang w:val="es-UY"/>
        </w:rPr>
        <w:t xml:space="preserve"> y</w:t>
      </w:r>
      <w:r w:rsidR="006F2B55" w:rsidRPr="00F84AB1">
        <w:rPr>
          <w:rFonts w:asciiTheme="majorHAnsi" w:hAnsiTheme="majorHAnsi" w:cs="Arial"/>
          <w:sz w:val="20"/>
          <w:szCs w:val="20"/>
          <w:lang w:val="es-UY"/>
        </w:rPr>
        <w:t xml:space="preserve"> el derecho de los familiares a acceder a la verdad fueron vulnerados </w:t>
      </w:r>
      <w:r w:rsidR="00CD5BA1" w:rsidRPr="00F84AB1">
        <w:rPr>
          <w:rFonts w:asciiTheme="majorHAnsi" w:hAnsiTheme="majorHAnsi" w:cs="Arial"/>
          <w:sz w:val="20"/>
          <w:szCs w:val="20"/>
          <w:lang w:val="es-UY"/>
        </w:rPr>
        <w:t>puesto que se sobreseyó definitivamente a c</w:t>
      </w:r>
      <w:r w:rsidR="0015252C" w:rsidRPr="00F84AB1">
        <w:rPr>
          <w:rFonts w:asciiTheme="majorHAnsi" w:hAnsiTheme="majorHAnsi" w:cs="Arial"/>
          <w:sz w:val="20"/>
          <w:szCs w:val="20"/>
          <w:lang w:val="es-UY"/>
        </w:rPr>
        <w:t>uatro de los responsables, aplicando una excluyente de responsabilidad contemplada en el artículo 10 No.10 del Código Penal</w:t>
      </w:r>
      <w:r w:rsidR="00852636" w:rsidRPr="00F84AB1">
        <w:rPr>
          <w:rStyle w:val="FootnoteReference"/>
          <w:rFonts w:asciiTheme="majorHAnsi" w:hAnsiTheme="majorHAnsi" w:cs="Arial"/>
          <w:sz w:val="20"/>
          <w:szCs w:val="20"/>
          <w:lang w:val="es-UY"/>
        </w:rPr>
        <w:footnoteReference w:id="16"/>
      </w:r>
      <w:r w:rsidR="0015252C" w:rsidRPr="00F84AB1">
        <w:rPr>
          <w:rFonts w:asciiTheme="majorHAnsi" w:hAnsiTheme="majorHAnsi" w:cs="Arial"/>
          <w:sz w:val="20"/>
          <w:szCs w:val="20"/>
          <w:lang w:val="es-UY"/>
        </w:rPr>
        <w:t xml:space="preserve">. Sobre este punto </w:t>
      </w:r>
      <w:r w:rsidR="00755A9D" w:rsidRPr="00F84AB1">
        <w:rPr>
          <w:rFonts w:asciiTheme="majorHAnsi" w:hAnsiTheme="majorHAnsi" w:cs="Arial"/>
          <w:sz w:val="20"/>
          <w:szCs w:val="20"/>
          <w:lang w:val="es-UY"/>
        </w:rPr>
        <w:t xml:space="preserve">consideran que </w:t>
      </w:r>
      <w:r w:rsidR="0015252C" w:rsidRPr="00F84AB1">
        <w:rPr>
          <w:rFonts w:asciiTheme="majorHAnsi" w:hAnsiTheme="majorHAnsi" w:cs="Arial"/>
          <w:sz w:val="20"/>
          <w:szCs w:val="20"/>
          <w:lang w:val="es-UY"/>
        </w:rPr>
        <w:t>la Corte</w:t>
      </w:r>
      <w:r w:rsidR="00755A9D" w:rsidRPr="00F84AB1">
        <w:rPr>
          <w:rFonts w:asciiTheme="majorHAnsi" w:hAnsiTheme="majorHAnsi" w:cs="Arial"/>
          <w:sz w:val="20"/>
          <w:szCs w:val="20"/>
          <w:lang w:val="es-UY"/>
        </w:rPr>
        <w:t xml:space="preserve"> Suprema al estimar que se configura</w:t>
      </w:r>
      <w:r w:rsidR="0015252C" w:rsidRPr="00F84AB1">
        <w:rPr>
          <w:rFonts w:asciiTheme="majorHAnsi" w:hAnsiTheme="majorHAnsi" w:cs="Arial"/>
          <w:sz w:val="20"/>
          <w:szCs w:val="20"/>
          <w:lang w:val="es-UY"/>
        </w:rPr>
        <w:t xml:space="preserve"> dicha eximente, </w:t>
      </w:r>
      <w:r w:rsidR="00E9677E" w:rsidRPr="00F84AB1">
        <w:rPr>
          <w:rFonts w:asciiTheme="majorHAnsi" w:hAnsiTheme="majorHAnsi" w:cs="Arial"/>
          <w:sz w:val="20"/>
          <w:szCs w:val="20"/>
          <w:lang w:val="es-UY"/>
        </w:rPr>
        <w:t>está</w:t>
      </w:r>
      <w:r w:rsidR="0015252C" w:rsidRPr="00F84AB1">
        <w:rPr>
          <w:rFonts w:asciiTheme="majorHAnsi" w:hAnsiTheme="majorHAnsi" w:cs="Arial"/>
          <w:sz w:val="20"/>
          <w:szCs w:val="20"/>
          <w:lang w:val="es-UY"/>
        </w:rPr>
        <w:t xml:space="preserve"> afirmando que los delitos cometidos por estos civiles constituyen actos </w:t>
      </w:r>
      <w:r w:rsidR="00ED23AA" w:rsidRPr="00F84AB1">
        <w:rPr>
          <w:rFonts w:asciiTheme="majorHAnsi" w:hAnsiTheme="majorHAnsi" w:cs="Arial"/>
          <w:sz w:val="20"/>
          <w:szCs w:val="20"/>
          <w:lang w:val="es-UY"/>
        </w:rPr>
        <w:t>que son aparentemente delictuosos pero que se imponen por ley al sujeto</w:t>
      </w:r>
      <w:r w:rsidR="00755A9D" w:rsidRPr="00F84AB1">
        <w:rPr>
          <w:rFonts w:asciiTheme="majorHAnsi" w:hAnsiTheme="majorHAnsi" w:cs="Arial"/>
          <w:sz w:val="20"/>
          <w:szCs w:val="20"/>
          <w:lang w:val="es-UY"/>
        </w:rPr>
        <w:t>,</w:t>
      </w:r>
      <w:r w:rsidR="00ED23AA" w:rsidRPr="00F84AB1">
        <w:rPr>
          <w:rFonts w:asciiTheme="majorHAnsi" w:hAnsiTheme="majorHAnsi" w:cs="Arial"/>
          <w:sz w:val="20"/>
          <w:szCs w:val="20"/>
          <w:lang w:val="es-UY"/>
        </w:rPr>
        <w:t xml:space="preserve"> o que son </w:t>
      </w:r>
      <w:r w:rsidR="00755A9D" w:rsidRPr="00F84AB1">
        <w:rPr>
          <w:rFonts w:asciiTheme="majorHAnsi" w:hAnsiTheme="majorHAnsi" w:cs="Arial"/>
          <w:sz w:val="20"/>
          <w:szCs w:val="20"/>
          <w:lang w:val="es-UY"/>
        </w:rPr>
        <w:t>el resultado de un</w:t>
      </w:r>
      <w:r w:rsidR="00E9677E" w:rsidRPr="00F84AB1">
        <w:rPr>
          <w:rFonts w:asciiTheme="majorHAnsi" w:hAnsiTheme="majorHAnsi" w:cs="Arial"/>
          <w:sz w:val="20"/>
          <w:szCs w:val="20"/>
          <w:lang w:val="es-UY"/>
        </w:rPr>
        <w:t>a orden ilícita emanada de un superior jerárquico, situaciones que no se encuadran con los hechos constitutivos de</w:t>
      </w:r>
      <w:r w:rsidR="0031137D" w:rsidRPr="00F84AB1">
        <w:rPr>
          <w:rFonts w:asciiTheme="majorHAnsi" w:hAnsiTheme="majorHAnsi" w:cs="Arial"/>
          <w:sz w:val="20"/>
          <w:szCs w:val="20"/>
          <w:lang w:val="es-UY"/>
        </w:rPr>
        <w:t>l delito</w:t>
      </w:r>
      <w:r w:rsidR="00E9677E" w:rsidRPr="00F84AB1">
        <w:rPr>
          <w:rFonts w:asciiTheme="majorHAnsi" w:hAnsiTheme="majorHAnsi" w:cs="Arial"/>
          <w:sz w:val="20"/>
          <w:szCs w:val="20"/>
          <w:lang w:val="es-UY"/>
        </w:rPr>
        <w:t xml:space="preserve"> cometido por estos sujetos</w:t>
      </w:r>
      <w:r w:rsidR="00D33240" w:rsidRPr="00F84AB1">
        <w:rPr>
          <w:rFonts w:asciiTheme="majorHAnsi" w:hAnsiTheme="majorHAnsi" w:cs="Arial"/>
          <w:sz w:val="20"/>
          <w:szCs w:val="20"/>
          <w:lang w:val="es-UY"/>
        </w:rPr>
        <w:t>, pero además</w:t>
      </w:r>
      <w:r w:rsidR="00755A9D" w:rsidRPr="00F84AB1">
        <w:rPr>
          <w:rFonts w:asciiTheme="majorHAnsi" w:hAnsiTheme="majorHAnsi" w:cs="Arial"/>
          <w:sz w:val="20"/>
          <w:szCs w:val="20"/>
          <w:lang w:val="es-UY"/>
        </w:rPr>
        <w:t>,</w:t>
      </w:r>
      <w:r w:rsidR="00D33240" w:rsidRPr="00F84AB1">
        <w:rPr>
          <w:rFonts w:asciiTheme="majorHAnsi" w:hAnsiTheme="majorHAnsi" w:cs="Arial"/>
          <w:sz w:val="20"/>
          <w:szCs w:val="20"/>
          <w:lang w:val="es-UY"/>
        </w:rPr>
        <w:t xml:space="preserve"> esta</w:t>
      </w:r>
      <w:r w:rsidR="00BB0FB9" w:rsidRPr="00F84AB1">
        <w:rPr>
          <w:rFonts w:asciiTheme="majorHAnsi" w:hAnsiTheme="majorHAnsi" w:cs="Arial"/>
          <w:sz w:val="20"/>
          <w:szCs w:val="20"/>
          <w:lang w:val="es-UY"/>
        </w:rPr>
        <w:t xml:space="preserve"> </w:t>
      </w:r>
      <w:r w:rsidR="0031137D" w:rsidRPr="00F84AB1">
        <w:rPr>
          <w:rFonts w:asciiTheme="majorHAnsi" w:hAnsiTheme="majorHAnsi" w:cs="Arial"/>
          <w:sz w:val="20"/>
          <w:szCs w:val="20"/>
          <w:lang w:val="es-UY"/>
        </w:rPr>
        <w:t>justificante exige criterios de adecuació</w:t>
      </w:r>
      <w:r w:rsidR="00AA3FF4" w:rsidRPr="00F84AB1">
        <w:rPr>
          <w:rFonts w:asciiTheme="majorHAnsi" w:hAnsiTheme="majorHAnsi" w:cs="Arial"/>
          <w:sz w:val="20"/>
          <w:szCs w:val="20"/>
          <w:lang w:val="es-UY"/>
        </w:rPr>
        <w:t>n y proporcionalidad, de modo</w:t>
      </w:r>
      <w:r w:rsidR="0031137D" w:rsidRPr="00F84AB1">
        <w:rPr>
          <w:rFonts w:asciiTheme="majorHAnsi" w:hAnsiTheme="majorHAnsi" w:cs="Arial"/>
          <w:sz w:val="20"/>
          <w:szCs w:val="20"/>
          <w:lang w:val="es-UY"/>
        </w:rPr>
        <w:t xml:space="preserve"> que </w:t>
      </w:r>
      <w:r w:rsidR="00AA3FF4" w:rsidRPr="00F84AB1">
        <w:rPr>
          <w:rFonts w:asciiTheme="majorHAnsi" w:hAnsiTheme="majorHAnsi" w:cs="Arial"/>
          <w:sz w:val="20"/>
          <w:szCs w:val="20"/>
          <w:lang w:val="es-UY"/>
        </w:rPr>
        <w:t xml:space="preserve">el </w:t>
      </w:r>
      <w:r w:rsidR="0031137D" w:rsidRPr="00F84AB1">
        <w:rPr>
          <w:rFonts w:asciiTheme="majorHAnsi" w:hAnsiTheme="majorHAnsi" w:cs="Arial"/>
          <w:sz w:val="20"/>
          <w:szCs w:val="20"/>
          <w:lang w:val="es-UY"/>
        </w:rPr>
        <w:t xml:space="preserve">empleo innecesario de la violencia no estaría amparado por la </w:t>
      </w:r>
      <w:r w:rsidR="00755A9D" w:rsidRPr="00F84AB1">
        <w:rPr>
          <w:rFonts w:asciiTheme="majorHAnsi" w:hAnsiTheme="majorHAnsi" w:cs="Arial"/>
          <w:sz w:val="20"/>
          <w:szCs w:val="20"/>
          <w:lang w:val="es-UY"/>
        </w:rPr>
        <w:t>misma</w:t>
      </w:r>
      <w:r w:rsidR="000B1C4A" w:rsidRPr="00F84AB1">
        <w:rPr>
          <w:rFonts w:asciiTheme="majorHAnsi" w:hAnsiTheme="majorHAnsi" w:cs="Arial"/>
          <w:sz w:val="20"/>
          <w:szCs w:val="20"/>
          <w:lang w:val="es-UY"/>
        </w:rPr>
        <w:t xml:space="preserve">. </w:t>
      </w:r>
      <w:r w:rsidR="00EF6D0F" w:rsidRPr="00F84AB1">
        <w:rPr>
          <w:rFonts w:asciiTheme="majorHAnsi" w:hAnsiTheme="majorHAnsi" w:cs="Arial"/>
          <w:sz w:val="20"/>
          <w:szCs w:val="20"/>
          <w:lang w:val="es-UY"/>
        </w:rPr>
        <w:t>Aducen que l</w:t>
      </w:r>
      <w:r w:rsidR="00032B2B" w:rsidRPr="00F84AB1">
        <w:rPr>
          <w:rFonts w:asciiTheme="majorHAnsi" w:hAnsiTheme="majorHAnsi" w:cs="Arial"/>
          <w:sz w:val="20"/>
          <w:szCs w:val="20"/>
          <w:lang w:val="es-UY"/>
        </w:rPr>
        <w:t xml:space="preserve">o anterior vulnera la obligación de sanción así como el deber de investigar de manera adecuada la comisión de los ilícitos. </w:t>
      </w:r>
    </w:p>
    <w:p w:rsidR="000B0733" w:rsidRPr="00F84AB1" w:rsidRDefault="000B0733"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p>
    <w:p w:rsidR="00F6325B" w:rsidRPr="00F6325B" w:rsidRDefault="00C938B3" w:rsidP="0079466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Arial"/>
          <w:color w:val="943634" w:themeColor="accent2" w:themeShade="BF"/>
          <w:sz w:val="20"/>
          <w:szCs w:val="20"/>
          <w:lang w:val="es-UY"/>
        </w:rPr>
      </w:pPr>
      <w:r w:rsidRPr="00F84AB1">
        <w:rPr>
          <w:rFonts w:asciiTheme="majorHAnsi" w:eastAsia="Calibri" w:hAnsiTheme="majorHAnsi" w:cs="GillSansMT,Bold"/>
          <w:b/>
          <w:bCs/>
          <w:sz w:val="20"/>
          <w:szCs w:val="20"/>
          <w:lang w:val="es-ES"/>
        </w:rPr>
        <w:t xml:space="preserve">Caso de </w:t>
      </w:r>
      <w:r w:rsidR="00AD5490" w:rsidRPr="00F84AB1">
        <w:rPr>
          <w:rFonts w:asciiTheme="majorHAnsi" w:eastAsia="Calibri" w:hAnsiTheme="majorHAnsi" w:cs="GillSansMT,Bold"/>
          <w:b/>
          <w:bCs/>
          <w:sz w:val="20"/>
          <w:szCs w:val="20"/>
          <w:lang w:val="es-ES"/>
        </w:rPr>
        <w:t xml:space="preserve">Luis Evangelista Aguayo Fernández, </w:t>
      </w:r>
      <w:r w:rsidR="00AD5490" w:rsidRPr="00F84AB1">
        <w:rPr>
          <w:rFonts w:asciiTheme="majorHAnsi" w:eastAsia="Calibri" w:hAnsiTheme="majorHAnsi"/>
          <w:b/>
          <w:sz w:val="20"/>
          <w:szCs w:val="20"/>
          <w:lang w:val="es-ES"/>
        </w:rPr>
        <w:t>Manuel Eduardo Bascuñán Aravena, José</w:t>
      </w:r>
    </w:p>
    <w:p w:rsidR="00C938B3" w:rsidRPr="00F84AB1" w:rsidRDefault="00AD5490" w:rsidP="00F6325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UY"/>
        </w:rPr>
      </w:pPr>
      <w:r w:rsidRPr="00F84AB1">
        <w:rPr>
          <w:rFonts w:asciiTheme="majorHAnsi" w:eastAsia="Calibri" w:hAnsiTheme="majorHAnsi"/>
          <w:b/>
          <w:sz w:val="20"/>
          <w:szCs w:val="20"/>
          <w:lang w:val="es-ES"/>
        </w:rPr>
        <w:t xml:space="preserve">Ignacio Bustos Fuentes, Enrique Ángel Carreño González, Rafael Alonso Díaz Meza, Rolando Antonio Ibarra Ortega (López), Aroldo Vivian Laurie Luengo, Ireneo Alberto Méndez Hernández, Armando Edelmiro Morales Morales, </w:t>
      </w:r>
      <w:r w:rsidRPr="00F84AB1">
        <w:rPr>
          <w:rFonts w:asciiTheme="majorHAnsi" w:eastAsia="Calibri" w:hAnsiTheme="majorHAnsi"/>
          <w:b/>
          <w:color w:val="auto"/>
          <w:sz w:val="20"/>
          <w:szCs w:val="20"/>
          <w:lang w:val="es-ES"/>
        </w:rPr>
        <w:t>José Luis Morales Ruiz</w:t>
      </w:r>
      <w:r w:rsidRPr="00F84AB1">
        <w:rPr>
          <w:rFonts w:asciiTheme="majorHAnsi" w:eastAsia="Calibri" w:hAnsiTheme="majorHAnsi"/>
          <w:b/>
          <w:sz w:val="20"/>
          <w:szCs w:val="20"/>
          <w:lang w:val="es-ES"/>
        </w:rPr>
        <w:t>, Aurelio Clodomiro Peñailillo Sepúlveda, Luis Alcides Pereira Hernández, Armando Aroldo Pereira Meriño, Oscar Abdón Retamal Pérez, Luis Enrique Rivera Cofré, José Hernán Riveros Chávez, Roberto del Carmen Romero Muñoz, Oscar Eladio Saldías Daza, Hernán Sarmiento Sabater, Hugo Enrique Soto Campos, Ruperto Oriol Torres Aravena, Edelmiro Antonio Valdez Sepúlveda, Víctor Julio Vivanco Vásquez, Claudio Jesús Escanilla Escobar</w:t>
      </w:r>
      <w:r w:rsidR="00C938B3" w:rsidRPr="00F84AB1">
        <w:rPr>
          <w:rFonts w:asciiTheme="majorHAnsi" w:eastAsia="Calibri" w:hAnsiTheme="majorHAnsi"/>
          <w:b/>
          <w:sz w:val="20"/>
          <w:szCs w:val="20"/>
          <w:lang w:val="es-ES"/>
        </w:rPr>
        <w:t xml:space="preserve"> </w:t>
      </w:r>
      <w:r w:rsidR="00835E89" w:rsidRPr="00F84AB1">
        <w:rPr>
          <w:rFonts w:asciiTheme="majorHAnsi" w:hAnsiTheme="majorHAnsi"/>
          <w:b/>
          <w:color w:val="auto"/>
          <w:sz w:val="20"/>
          <w:szCs w:val="20"/>
          <w:lang w:val="es-ES"/>
        </w:rPr>
        <w:t xml:space="preserve">y familiares </w:t>
      </w:r>
    </w:p>
    <w:p w:rsidR="005E392F" w:rsidRPr="00F84AB1" w:rsidRDefault="005E392F" w:rsidP="005E392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UY"/>
        </w:rPr>
      </w:pPr>
    </w:p>
    <w:p w:rsidR="00FE6E13" w:rsidRPr="00F84AB1" w:rsidRDefault="00C938B3"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r w:rsidRPr="00F84AB1">
        <w:rPr>
          <w:rFonts w:asciiTheme="majorHAnsi" w:hAnsiTheme="majorHAnsi" w:cs="Arial"/>
          <w:sz w:val="20"/>
          <w:szCs w:val="20"/>
          <w:lang w:val="es-UY"/>
        </w:rPr>
        <w:t xml:space="preserve">El 26 de junio de 2008 la CIDH recibió una denuncia presentada en favor de </w:t>
      </w:r>
      <w:r w:rsidR="006D686F" w:rsidRPr="00F84AB1">
        <w:rPr>
          <w:rFonts w:asciiTheme="majorHAnsi" w:hAnsiTheme="majorHAnsi" w:cs="Arial"/>
          <w:sz w:val="20"/>
          <w:szCs w:val="20"/>
          <w:lang w:val="es-UY"/>
        </w:rPr>
        <w:t xml:space="preserve">24 </w:t>
      </w:r>
      <w:r w:rsidR="0074466A" w:rsidRPr="00F84AB1">
        <w:rPr>
          <w:rFonts w:asciiTheme="majorHAnsi" w:hAnsiTheme="majorHAnsi" w:cs="Arial"/>
          <w:sz w:val="20"/>
          <w:szCs w:val="20"/>
          <w:lang w:val="es-UY"/>
        </w:rPr>
        <w:t>personas, individualizadas como</w:t>
      </w:r>
      <w:r w:rsidR="006D686F" w:rsidRPr="00F84AB1">
        <w:rPr>
          <w:rFonts w:asciiTheme="majorHAnsi" w:hAnsiTheme="majorHAnsi" w:cs="Arial"/>
          <w:sz w:val="20"/>
          <w:szCs w:val="20"/>
          <w:lang w:val="es-UY"/>
        </w:rPr>
        <w:t xml:space="preserve"> </w:t>
      </w:r>
      <w:r w:rsidRPr="00F84AB1">
        <w:rPr>
          <w:rFonts w:asciiTheme="majorHAnsi" w:hAnsiTheme="majorHAnsi" w:cs="Arial"/>
          <w:sz w:val="20"/>
          <w:szCs w:val="20"/>
          <w:lang w:val="es-UY"/>
        </w:rPr>
        <w:t>Luis Evangelista Aguayo Fernández</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w:t>
      </w:r>
      <w:r w:rsidR="00120B75" w:rsidRPr="00F84AB1">
        <w:rPr>
          <w:rFonts w:asciiTheme="majorHAnsi" w:hAnsiTheme="majorHAnsi" w:cs="Arial"/>
          <w:sz w:val="20"/>
          <w:szCs w:val="20"/>
          <w:lang w:val="es-UY"/>
        </w:rPr>
        <w:t>Manuel Eduardo</w:t>
      </w:r>
      <w:r w:rsidRPr="00F84AB1">
        <w:rPr>
          <w:rFonts w:asciiTheme="majorHAnsi" w:hAnsiTheme="majorHAnsi" w:cs="Arial"/>
          <w:sz w:val="20"/>
          <w:szCs w:val="20"/>
          <w:lang w:val="es-UY"/>
        </w:rPr>
        <w:t xml:space="preserve"> Bascuñan Aravena</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José Ignacio Bustos Fuentes</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Enrique Angel Carreño González</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Rafael Alonso Díaz Meza</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Rolando Antonio Ibarra Ortega (López)</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Aroldo Vivian Laurie Luengo</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Ireneo Alberto Méndez Hernández</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Armando Edelmiro Morales Morales</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José Luis Morales Ruiz</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Aurelio Clodomiro Peñailillo Sepúlveda</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Luis Alcides Pereira Hernández</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Armando Aroldo Pereira Meriño</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Oscar Abdón Retamal Pérez</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Luis Enrique Rivera Cofré</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José Hernán Riveros Chávez</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Roberto del Carmen Rivero Muñoz</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Oscar Eladio Saldías Daza</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Hernán Sarmiento Sabater</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Hugo Enrique Soto Campos</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Ruperto Oriol Torres Aravena</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Edelmerio Andonio Valdez Sepúlveda</w:t>
      </w:r>
      <w:r w:rsidR="006D686F" w:rsidRPr="00F84AB1">
        <w:rPr>
          <w:rFonts w:asciiTheme="majorHAnsi" w:hAnsiTheme="majorHAnsi" w:cs="Arial"/>
          <w:sz w:val="20"/>
          <w:szCs w:val="20"/>
          <w:lang w:val="es-UY"/>
        </w:rPr>
        <w:t>;</w:t>
      </w:r>
      <w:r w:rsidRPr="00F84AB1">
        <w:rPr>
          <w:rFonts w:asciiTheme="majorHAnsi" w:hAnsiTheme="majorHAnsi" w:cs="Arial"/>
          <w:sz w:val="20"/>
          <w:szCs w:val="20"/>
          <w:lang w:val="es-UY"/>
        </w:rPr>
        <w:t xml:space="preserve"> Víctor Julio Vivanco Vásquez</w:t>
      </w:r>
      <w:r w:rsidR="006D686F" w:rsidRPr="00F84AB1">
        <w:rPr>
          <w:rFonts w:asciiTheme="majorHAnsi" w:hAnsiTheme="majorHAnsi" w:cs="Arial"/>
          <w:sz w:val="20"/>
          <w:szCs w:val="20"/>
          <w:lang w:val="es-UY"/>
        </w:rPr>
        <w:t>, y;</w:t>
      </w:r>
      <w:r w:rsidRPr="00F84AB1">
        <w:rPr>
          <w:rFonts w:asciiTheme="majorHAnsi" w:hAnsiTheme="majorHAnsi" w:cs="Arial"/>
          <w:sz w:val="20"/>
          <w:szCs w:val="20"/>
          <w:lang w:val="es-UY"/>
        </w:rPr>
        <w:t xml:space="preserve"> Claudio Jesús Escanilla Escobar</w:t>
      </w:r>
      <w:r w:rsidR="00B20E1A" w:rsidRPr="00F84AB1">
        <w:rPr>
          <w:rFonts w:asciiTheme="majorHAnsi" w:hAnsiTheme="majorHAnsi" w:cs="Arial"/>
          <w:sz w:val="20"/>
          <w:szCs w:val="20"/>
          <w:lang w:val="es-UY"/>
        </w:rPr>
        <w:t xml:space="preserve"> y sus respectivos familiares. </w:t>
      </w:r>
    </w:p>
    <w:p w:rsidR="00E73780" w:rsidRPr="00F84AB1" w:rsidRDefault="00E73780" w:rsidP="007A3F0C">
      <w:pPr>
        <w:jc w:val="both"/>
        <w:rPr>
          <w:rFonts w:asciiTheme="majorHAnsi" w:hAnsiTheme="majorHAnsi" w:cs="Arial"/>
          <w:sz w:val="20"/>
          <w:szCs w:val="20"/>
          <w:lang w:val="es-UY"/>
        </w:rPr>
      </w:pPr>
    </w:p>
    <w:p w:rsidR="000B0733" w:rsidRPr="00F84AB1" w:rsidRDefault="00296FCC"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UY"/>
        </w:rPr>
      </w:pPr>
      <w:r w:rsidRPr="00F84AB1">
        <w:rPr>
          <w:rFonts w:asciiTheme="majorHAnsi" w:hAnsiTheme="majorHAnsi" w:cs="Arial"/>
          <w:sz w:val="20"/>
          <w:szCs w:val="20"/>
          <w:lang w:val="es-UY"/>
        </w:rPr>
        <w:t xml:space="preserve">En la denuncia se refiere </w:t>
      </w:r>
      <w:r w:rsidR="00E73780" w:rsidRPr="00F84AB1">
        <w:rPr>
          <w:rFonts w:asciiTheme="majorHAnsi" w:hAnsiTheme="majorHAnsi" w:cs="Arial"/>
          <w:sz w:val="20"/>
          <w:szCs w:val="20"/>
          <w:lang w:val="es-UY"/>
        </w:rPr>
        <w:t>que en el contexto del golpe de Estado, en la Séptima Región del Maule,</w:t>
      </w:r>
      <w:r w:rsidR="00D94C6C" w:rsidRPr="00F84AB1">
        <w:rPr>
          <w:rFonts w:asciiTheme="majorHAnsi" w:hAnsiTheme="majorHAnsi" w:cs="Arial"/>
          <w:sz w:val="20"/>
          <w:szCs w:val="20"/>
          <w:lang w:val="es-UY"/>
        </w:rPr>
        <w:t xml:space="preserve"> existieron cerca de 40 casos de personas detenidas desaparecidas, quienes</w:t>
      </w:r>
      <w:r w:rsidRPr="00F84AB1">
        <w:rPr>
          <w:rFonts w:asciiTheme="majorHAnsi" w:hAnsiTheme="majorHAnsi" w:cs="Arial"/>
          <w:sz w:val="20"/>
          <w:szCs w:val="20"/>
          <w:lang w:val="es-UY"/>
        </w:rPr>
        <w:t xml:space="preserve"> en su mayoría eran militantes de partidos políticos de izquierda o personas sin militancia política, pero que habrían tenido algún grado de participación en actividades sindicales o estudiantiles. Indican que </w:t>
      </w:r>
      <w:r w:rsidR="00D94C6C" w:rsidRPr="00F84AB1">
        <w:rPr>
          <w:rFonts w:asciiTheme="majorHAnsi" w:hAnsiTheme="majorHAnsi" w:cs="Arial"/>
          <w:sz w:val="20"/>
          <w:szCs w:val="20"/>
          <w:lang w:val="es-UY"/>
        </w:rPr>
        <w:t xml:space="preserve">en la mayoría de los casos </w:t>
      </w:r>
      <w:r w:rsidR="00BE3224" w:rsidRPr="00F84AB1">
        <w:rPr>
          <w:rFonts w:asciiTheme="majorHAnsi" w:hAnsiTheme="majorHAnsi" w:cs="Arial"/>
          <w:sz w:val="20"/>
          <w:szCs w:val="20"/>
          <w:lang w:val="es-UY"/>
        </w:rPr>
        <w:t>fueron</w:t>
      </w:r>
      <w:r w:rsidR="00012631" w:rsidRPr="00F84AB1">
        <w:rPr>
          <w:rFonts w:asciiTheme="majorHAnsi" w:hAnsiTheme="majorHAnsi" w:cs="Arial"/>
          <w:sz w:val="20"/>
          <w:szCs w:val="20"/>
          <w:lang w:val="es-UY"/>
        </w:rPr>
        <w:t xml:space="preserve"> </w:t>
      </w:r>
      <w:r w:rsidR="00596813" w:rsidRPr="00F84AB1">
        <w:rPr>
          <w:rFonts w:asciiTheme="majorHAnsi" w:hAnsiTheme="majorHAnsi" w:cs="Arial"/>
          <w:sz w:val="20"/>
          <w:szCs w:val="20"/>
          <w:lang w:val="es-UY"/>
        </w:rPr>
        <w:t>detenidos</w:t>
      </w:r>
      <w:r w:rsidR="00D94C6C" w:rsidRPr="00F84AB1">
        <w:rPr>
          <w:rFonts w:asciiTheme="majorHAnsi" w:hAnsiTheme="majorHAnsi" w:cs="Arial"/>
          <w:sz w:val="20"/>
          <w:szCs w:val="20"/>
          <w:lang w:val="es-UY"/>
        </w:rPr>
        <w:t xml:space="preserve"> en la localidad de Parral, </w:t>
      </w:r>
      <w:r w:rsidR="00FA7E13" w:rsidRPr="00F84AB1">
        <w:rPr>
          <w:rFonts w:asciiTheme="majorHAnsi" w:hAnsiTheme="majorHAnsi" w:cs="Arial"/>
          <w:sz w:val="20"/>
          <w:szCs w:val="20"/>
          <w:lang w:val="es-UY"/>
        </w:rPr>
        <w:t>y desaparecidos</w:t>
      </w:r>
      <w:r w:rsidR="00D94C6C" w:rsidRPr="00F84AB1">
        <w:rPr>
          <w:rFonts w:asciiTheme="majorHAnsi" w:hAnsiTheme="majorHAnsi" w:cs="Arial"/>
          <w:sz w:val="20"/>
          <w:szCs w:val="20"/>
          <w:lang w:val="es-UY"/>
        </w:rPr>
        <w:t xml:space="preserve"> en la cárcel pública o en la Comisaria de Carabineros de esa ciudad. </w:t>
      </w:r>
      <w:r w:rsidR="00316067" w:rsidRPr="00F84AB1">
        <w:rPr>
          <w:rFonts w:asciiTheme="majorHAnsi" w:hAnsiTheme="majorHAnsi" w:cs="Arial"/>
          <w:sz w:val="20"/>
          <w:szCs w:val="20"/>
          <w:lang w:val="es-UY"/>
        </w:rPr>
        <w:t xml:space="preserve">Refieren que varios de los detenidos </w:t>
      </w:r>
      <w:r w:rsidR="00316067" w:rsidRPr="00F84AB1">
        <w:rPr>
          <w:rFonts w:asciiTheme="majorHAnsi" w:hAnsiTheme="majorHAnsi" w:cs="GillSansMT"/>
          <w:sz w:val="20"/>
          <w:szCs w:val="20"/>
          <w:lang w:val="es-ES"/>
        </w:rPr>
        <w:t xml:space="preserve">registran salida en libertad en los libros de novedad de los recintos de detención. Algunos </w:t>
      </w:r>
      <w:r w:rsidR="00BE3224" w:rsidRPr="00F84AB1">
        <w:rPr>
          <w:rFonts w:asciiTheme="majorHAnsi" w:hAnsiTheme="majorHAnsi" w:cs="GillSansMT"/>
          <w:sz w:val="20"/>
          <w:szCs w:val="20"/>
          <w:lang w:val="es-ES"/>
        </w:rPr>
        <w:t>de ellos quedaron</w:t>
      </w:r>
      <w:r w:rsidR="00316067" w:rsidRPr="00F84AB1">
        <w:rPr>
          <w:rFonts w:asciiTheme="majorHAnsi" w:hAnsiTheme="majorHAnsi" w:cs="GillSansMT"/>
          <w:sz w:val="20"/>
          <w:szCs w:val="20"/>
          <w:lang w:val="es-ES"/>
        </w:rPr>
        <w:t xml:space="preserve"> a disposición de autoridades militares y otros fueron vistos en recintos carcelarios o militares en mal estado físico con fecha posterior a la supuesta liberación. </w:t>
      </w:r>
    </w:p>
    <w:p w:rsidR="000F1C58" w:rsidRPr="00F84AB1" w:rsidRDefault="000F1C58" w:rsidP="00C64463">
      <w:pPr>
        <w:pStyle w:val="ListParagraph"/>
        <w:jc w:val="both"/>
        <w:rPr>
          <w:rFonts w:asciiTheme="majorHAnsi" w:hAnsiTheme="majorHAnsi" w:cs="Arial"/>
          <w:color w:val="943634" w:themeColor="accent2" w:themeShade="BF"/>
          <w:sz w:val="20"/>
          <w:szCs w:val="20"/>
          <w:lang w:val="es-UY"/>
        </w:rPr>
      </w:pPr>
    </w:p>
    <w:p w:rsidR="003D51F2" w:rsidRPr="00F84AB1" w:rsidRDefault="00472ACD"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UY"/>
        </w:rPr>
      </w:pPr>
      <w:r w:rsidRPr="00F84AB1">
        <w:rPr>
          <w:rFonts w:asciiTheme="majorHAnsi" w:hAnsiTheme="majorHAnsi" w:cs="GillSansMT"/>
          <w:sz w:val="20"/>
          <w:szCs w:val="20"/>
          <w:lang w:val="es-ES"/>
        </w:rPr>
        <w:lastRenderedPageBreak/>
        <w:t xml:space="preserve">Respecto de </w:t>
      </w:r>
      <w:r w:rsidR="003D51F2" w:rsidRPr="00F84AB1">
        <w:rPr>
          <w:rFonts w:asciiTheme="majorHAnsi" w:hAnsiTheme="majorHAnsi" w:cs="GillSansMT"/>
          <w:sz w:val="20"/>
          <w:szCs w:val="20"/>
          <w:lang w:val="es-ES"/>
        </w:rPr>
        <w:t>Luis Evangelista Aguayo Fernández, Aurelio Clodomiro Peñailillo Sepúlveda, Oscar Eladio Saldías Daza y Hugo Enrique Soto Campos</w:t>
      </w:r>
      <w:r w:rsidRPr="00F84AB1">
        <w:rPr>
          <w:rFonts w:asciiTheme="majorHAnsi" w:hAnsiTheme="majorHAnsi" w:cs="GillSansMT"/>
          <w:sz w:val="20"/>
          <w:szCs w:val="20"/>
          <w:lang w:val="es-ES"/>
        </w:rPr>
        <w:t>,</w:t>
      </w:r>
      <w:r w:rsidR="00054DD6" w:rsidRPr="00F84AB1">
        <w:rPr>
          <w:rFonts w:asciiTheme="majorHAnsi" w:hAnsiTheme="majorHAnsi" w:cs="GillSansMT"/>
          <w:sz w:val="20"/>
          <w:szCs w:val="20"/>
          <w:lang w:val="es-ES"/>
        </w:rPr>
        <w:t xml:space="preserve"> </w:t>
      </w:r>
      <w:r w:rsidR="00CA4B8C" w:rsidRPr="00F84AB1">
        <w:rPr>
          <w:rFonts w:asciiTheme="majorHAnsi" w:hAnsiTheme="majorHAnsi" w:cs="GillSansMT"/>
          <w:sz w:val="20"/>
          <w:szCs w:val="20"/>
          <w:lang w:val="es-ES"/>
        </w:rPr>
        <w:t>se indica que fueron</w:t>
      </w:r>
      <w:r w:rsidR="000F1C58" w:rsidRPr="00F84AB1">
        <w:rPr>
          <w:rFonts w:asciiTheme="majorHAnsi" w:hAnsiTheme="majorHAnsi" w:cs="GillSansMT"/>
          <w:sz w:val="20"/>
          <w:szCs w:val="20"/>
          <w:lang w:val="es-ES"/>
        </w:rPr>
        <w:t xml:space="preserve"> detenidos entre </w:t>
      </w:r>
      <w:r w:rsidRPr="00F84AB1">
        <w:rPr>
          <w:rFonts w:asciiTheme="majorHAnsi" w:hAnsiTheme="majorHAnsi" w:cs="GillSansMT"/>
          <w:sz w:val="20"/>
          <w:szCs w:val="20"/>
          <w:lang w:val="es-ES"/>
        </w:rPr>
        <w:t xml:space="preserve">el </w:t>
      </w:r>
      <w:r w:rsidR="000F1C58" w:rsidRPr="00F84AB1">
        <w:rPr>
          <w:rFonts w:asciiTheme="majorHAnsi" w:hAnsiTheme="majorHAnsi" w:cs="GillSansMT"/>
          <w:sz w:val="20"/>
          <w:szCs w:val="20"/>
          <w:lang w:val="es-ES"/>
        </w:rPr>
        <w:t xml:space="preserve">13 y </w:t>
      </w:r>
      <w:r w:rsidRPr="00F84AB1">
        <w:rPr>
          <w:rFonts w:asciiTheme="majorHAnsi" w:hAnsiTheme="majorHAnsi" w:cs="GillSansMT"/>
          <w:sz w:val="20"/>
          <w:szCs w:val="20"/>
          <w:lang w:val="es-ES"/>
        </w:rPr>
        <w:t xml:space="preserve">el </w:t>
      </w:r>
      <w:r w:rsidR="000F1C58" w:rsidRPr="00F84AB1">
        <w:rPr>
          <w:rFonts w:asciiTheme="majorHAnsi" w:hAnsiTheme="majorHAnsi" w:cs="GillSansMT"/>
          <w:sz w:val="20"/>
          <w:szCs w:val="20"/>
          <w:lang w:val="es-ES"/>
        </w:rPr>
        <w:t xml:space="preserve">20 de septiembre de 1973, </w:t>
      </w:r>
      <w:r w:rsidR="00296FCC" w:rsidRPr="00F84AB1">
        <w:rPr>
          <w:rFonts w:asciiTheme="majorHAnsi" w:hAnsiTheme="majorHAnsi" w:cs="GillSansMT"/>
          <w:sz w:val="20"/>
          <w:szCs w:val="20"/>
          <w:lang w:val="es-ES"/>
        </w:rPr>
        <w:t>y trasladados a la cárcel de Parral.</w:t>
      </w:r>
      <w:r w:rsidR="00012631" w:rsidRPr="00F84AB1">
        <w:rPr>
          <w:rFonts w:asciiTheme="majorHAnsi" w:hAnsiTheme="majorHAnsi" w:cs="GillSansMT"/>
          <w:sz w:val="20"/>
          <w:szCs w:val="20"/>
          <w:lang w:val="es-ES"/>
        </w:rPr>
        <w:t xml:space="preserve"> </w:t>
      </w:r>
      <w:r w:rsidR="00F43880" w:rsidRPr="00F84AB1">
        <w:rPr>
          <w:rFonts w:asciiTheme="majorHAnsi" w:hAnsiTheme="majorHAnsi" w:cs="GillSansMT"/>
          <w:sz w:val="20"/>
          <w:szCs w:val="20"/>
          <w:lang w:val="es-ES"/>
        </w:rPr>
        <w:t xml:space="preserve">El </w:t>
      </w:r>
      <w:r w:rsidR="00296FCC" w:rsidRPr="00F84AB1">
        <w:rPr>
          <w:rFonts w:asciiTheme="majorHAnsi" w:hAnsiTheme="majorHAnsi" w:cs="GillSansMT"/>
          <w:sz w:val="20"/>
          <w:szCs w:val="20"/>
          <w:lang w:val="es-ES"/>
        </w:rPr>
        <w:t xml:space="preserve">26 de septiembre de 1973 </w:t>
      </w:r>
      <w:r w:rsidR="00190F18" w:rsidRPr="00F84AB1">
        <w:rPr>
          <w:rFonts w:asciiTheme="majorHAnsi" w:hAnsiTheme="majorHAnsi" w:cs="GillSansMT"/>
          <w:sz w:val="20"/>
          <w:szCs w:val="20"/>
          <w:lang w:val="es-ES"/>
        </w:rPr>
        <w:t>fueron</w:t>
      </w:r>
      <w:r w:rsidR="00F43880" w:rsidRPr="00F84AB1">
        <w:rPr>
          <w:rFonts w:asciiTheme="majorHAnsi" w:hAnsiTheme="majorHAnsi" w:cs="GillSansMT"/>
          <w:sz w:val="20"/>
          <w:szCs w:val="20"/>
          <w:lang w:val="es-ES"/>
        </w:rPr>
        <w:t xml:space="preserve"> retirados</w:t>
      </w:r>
      <w:r w:rsidR="00812625" w:rsidRPr="00F84AB1">
        <w:rPr>
          <w:rFonts w:asciiTheme="majorHAnsi" w:hAnsiTheme="majorHAnsi" w:cs="GillSansMT"/>
          <w:sz w:val="20"/>
          <w:szCs w:val="20"/>
          <w:lang w:val="es-ES"/>
        </w:rPr>
        <w:t xml:space="preserve"> del</w:t>
      </w:r>
      <w:r w:rsidR="00296FCC" w:rsidRPr="00F84AB1">
        <w:rPr>
          <w:rFonts w:asciiTheme="majorHAnsi" w:hAnsiTheme="majorHAnsi" w:cs="GillSansMT"/>
          <w:sz w:val="20"/>
          <w:szCs w:val="20"/>
          <w:lang w:val="es-ES"/>
        </w:rPr>
        <w:t xml:space="preserve"> recinto por orden del Gobernador </w:t>
      </w:r>
      <w:r w:rsidR="0055235E" w:rsidRPr="00F84AB1">
        <w:rPr>
          <w:rFonts w:asciiTheme="majorHAnsi" w:hAnsiTheme="majorHAnsi" w:cs="GillSansMT"/>
          <w:sz w:val="20"/>
          <w:szCs w:val="20"/>
          <w:lang w:val="es-ES"/>
        </w:rPr>
        <w:t>Departamental</w:t>
      </w:r>
      <w:r w:rsidR="00296FCC" w:rsidRPr="00F84AB1">
        <w:rPr>
          <w:rFonts w:asciiTheme="majorHAnsi" w:hAnsiTheme="majorHAnsi" w:cs="GillSansMT"/>
          <w:sz w:val="20"/>
          <w:szCs w:val="20"/>
          <w:lang w:val="es-ES"/>
        </w:rPr>
        <w:t>, sin que mediara proceso judicial alguno, y entregad</w:t>
      </w:r>
      <w:r w:rsidRPr="00F84AB1">
        <w:rPr>
          <w:rFonts w:asciiTheme="majorHAnsi" w:hAnsiTheme="majorHAnsi" w:cs="GillSansMT"/>
          <w:sz w:val="20"/>
          <w:szCs w:val="20"/>
          <w:lang w:val="es-ES"/>
        </w:rPr>
        <w:t>o</w:t>
      </w:r>
      <w:r w:rsidR="00296FCC" w:rsidRPr="00F84AB1">
        <w:rPr>
          <w:rFonts w:asciiTheme="majorHAnsi" w:hAnsiTheme="majorHAnsi" w:cs="GillSansMT"/>
          <w:sz w:val="20"/>
          <w:szCs w:val="20"/>
          <w:lang w:val="es-ES"/>
        </w:rPr>
        <w:t>s a personal del Ejército, perdiéndose su rastro hasta la fecha.</w:t>
      </w:r>
    </w:p>
    <w:p w:rsidR="00486E54" w:rsidRPr="00F84AB1" w:rsidRDefault="00486E54" w:rsidP="00C64463">
      <w:pPr>
        <w:pStyle w:val="ListParagraph"/>
        <w:jc w:val="both"/>
        <w:rPr>
          <w:rFonts w:asciiTheme="majorHAnsi" w:hAnsiTheme="majorHAnsi" w:cs="Arial"/>
          <w:color w:val="943634" w:themeColor="accent2" w:themeShade="BF"/>
          <w:sz w:val="20"/>
          <w:szCs w:val="20"/>
          <w:lang w:val="es-UY"/>
        </w:rPr>
      </w:pPr>
    </w:p>
    <w:p w:rsidR="00812625" w:rsidRPr="00F84AB1" w:rsidRDefault="00190F18" w:rsidP="00C64463">
      <w:pPr>
        <w:pStyle w:val="ListParagraph"/>
        <w:numPr>
          <w:ilvl w:val="0"/>
          <w:numId w:val="56"/>
        </w:numPr>
        <w:jc w:val="both"/>
        <w:rPr>
          <w:rFonts w:asciiTheme="majorHAnsi" w:eastAsia="Arial Unicode MS" w:hAnsiTheme="majorHAnsi" w:cs="Arial"/>
          <w:color w:val="943634" w:themeColor="accent2" w:themeShade="BF"/>
          <w:sz w:val="20"/>
          <w:szCs w:val="20"/>
          <w:lang w:val="es-UY" w:eastAsia="en-US"/>
        </w:rPr>
      </w:pPr>
      <w:r w:rsidRPr="00F84AB1">
        <w:rPr>
          <w:rFonts w:asciiTheme="majorHAnsi" w:hAnsiTheme="majorHAnsi" w:cs="GillSansMT"/>
          <w:sz w:val="20"/>
          <w:szCs w:val="20"/>
          <w:lang w:val="es-ES"/>
        </w:rPr>
        <w:t xml:space="preserve">En cuanto a </w:t>
      </w:r>
      <w:r w:rsidR="00812625" w:rsidRPr="00F84AB1">
        <w:rPr>
          <w:rFonts w:asciiTheme="majorHAnsi" w:hAnsiTheme="majorHAnsi" w:cs="GillSansMT"/>
          <w:sz w:val="20"/>
          <w:szCs w:val="20"/>
          <w:lang w:val="es-ES"/>
        </w:rPr>
        <w:t xml:space="preserve">Manuel Eduardo Bascuñan Aravena, José Ignacio Bustos Fuentes, Rafael Alonso Díaz Meza, Claudio Jesús Escanilla Escobar, Ireneo Alberto Méndez Hernández, Oscar Abdón Retamal Pérez, y Roberto del Carmen Rivero Muñoz </w:t>
      </w:r>
      <w:r w:rsidRPr="00F84AB1">
        <w:rPr>
          <w:rFonts w:asciiTheme="majorHAnsi" w:hAnsiTheme="majorHAnsi" w:cs="GillSansMT"/>
          <w:sz w:val="20"/>
          <w:szCs w:val="20"/>
          <w:lang w:val="es-ES"/>
        </w:rPr>
        <w:t>indican que fueron</w:t>
      </w:r>
      <w:r w:rsidR="00812625" w:rsidRPr="00F84AB1">
        <w:rPr>
          <w:rFonts w:asciiTheme="majorHAnsi" w:hAnsiTheme="majorHAnsi" w:cs="GillSansMT"/>
          <w:sz w:val="20"/>
          <w:szCs w:val="20"/>
          <w:lang w:val="es-ES"/>
        </w:rPr>
        <w:t xml:space="preserve"> detenidos entre los días 13 de septiembre y 9 de octubre de 1973, y trasladados a la cárcel de Parral</w:t>
      </w:r>
      <w:r w:rsidR="00EC63A8" w:rsidRPr="00F84AB1">
        <w:rPr>
          <w:rFonts w:asciiTheme="majorHAnsi" w:hAnsiTheme="majorHAnsi" w:cs="GillSansMT"/>
          <w:sz w:val="20"/>
          <w:szCs w:val="20"/>
          <w:lang w:val="es-ES"/>
        </w:rPr>
        <w:t>. Constar</w:t>
      </w:r>
      <w:r w:rsidR="00F43880" w:rsidRPr="00F84AB1">
        <w:rPr>
          <w:rFonts w:asciiTheme="majorHAnsi" w:hAnsiTheme="majorHAnsi" w:cs="GillSansMT"/>
          <w:sz w:val="20"/>
          <w:szCs w:val="20"/>
          <w:lang w:val="es-ES"/>
        </w:rPr>
        <w:t xml:space="preserve">ía </w:t>
      </w:r>
      <w:r w:rsidR="00812625" w:rsidRPr="00F84AB1">
        <w:rPr>
          <w:rFonts w:asciiTheme="majorHAnsi" w:hAnsiTheme="majorHAnsi" w:cs="GillSansMT"/>
          <w:sz w:val="20"/>
          <w:szCs w:val="20"/>
          <w:lang w:val="es-ES"/>
        </w:rPr>
        <w:t>registro de salida de</w:t>
      </w:r>
      <w:r w:rsidR="00F43880" w:rsidRPr="00F84AB1">
        <w:rPr>
          <w:rFonts w:asciiTheme="majorHAnsi" w:hAnsiTheme="majorHAnsi" w:cs="GillSansMT"/>
          <w:sz w:val="20"/>
          <w:szCs w:val="20"/>
          <w:lang w:val="es-ES"/>
        </w:rPr>
        <w:t>l</w:t>
      </w:r>
      <w:r w:rsidR="00812625" w:rsidRPr="00F84AB1">
        <w:rPr>
          <w:rFonts w:asciiTheme="majorHAnsi" w:hAnsiTheme="majorHAnsi" w:cs="GillSansMT"/>
          <w:sz w:val="20"/>
          <w:szCs w:val="20"/>
          <w:lang w:val="es-ES"/>
        </w:rPr>
        <w:t xml:space="preserve"> recinto carcelario el 23 de octubre de 1973, por orden del Gobernador Departamental, </w:t>
      </w:r>
      <w:r w:rsidR="00F43880" w:rsidRPr="00F84AB1">
        <w:rPr>
          <w:rFonts w:asciiTheme="majorHAnsi" w:hAnsiTheme="majorHAnsi" w:cs="GillSansMT"/>
          <w:sz w:val="20"/>
          <w:szCs w:val="20"/>
          <w:lang w:val="es-ES"/>
        </w:rPr>
        <w:t xml:space="preserve">siendo </w:t>
      </w:r>
      <w:r w:rsidR="00812625" w:rsidRPr="00F84AB1">
        <w:rPr>
          <w:rFonts w:asciiTheme="majorHAnsi" w:hAnsiTheme="majorHAnsi" w:cs="GillSansMT"/>
          <w:sz w:val="20"/>
          <w:szCs w:val="20"/>
          <w:lang w:val="es-ES"/>
        </w:rPr>
        <w:t xml:space="preserve">conducidos por una patrulla de carabineros a </w:t>
      </w:r>
      <w:r w:rsidR="00F43880" w:rsidRPr="00F84AB1">
        <w:rPr>
          <w:rFonts w:asciiTheme="majorHAnsi" w:hAnsiTheme="majorHAnsi" w:cs="GillSansMT"/>
          <w:sz w:val="20"/>
          <w:szCs w:val="20"/>
          <w:lang w:val="es-ES"/>
        </w:rPr>
        <w:t>declarar a</w:t>
      </w:r>
      <w:r w:rsidR="00812625" w:rsidRPr="00F84AB1">
        <w:rPr>
          <w:rFonts w:asciiTheme="majorHAnsi" w:hAnsiTheme="majorHAnsi" w:cs="GillSansMT"/>
          <w:sz w:val="20"/>
          <w:szCs w:val="20"/>
          <w:lang w:val="es-ES"/>
        </w:rPr>
        <w:t xml:space="preserve"> una </w:t>
      </w:r>
      <w:r w:rsidR="00353D20" w:rsidRPr="00F84AB1">
        <w:rPr>
          <w:rFonts w:asciiTheme="majorHAnsi" w:hAnsiTheme="majorHAnsi" w:cs="GillSansMT"/>
          <w:sz w:val="20"/>
          <w:szCs w:val="20"/>
          <w:lang w:val="es-ES"/>
        </w:rPr>
        <w:t>Fiscalía</w:t>
      </w:r>
      <w:r w:rsidR="00812625" w:rsidRPr="00F84AB1">
        <w:rPr>
          <w:rFonts w:asciiTheme="majorHAnsi" w:hAnsiTheme="majorHAnsi" w:cs="GillSansMT"/>
          <w:sz w:val="20"/>
          <w:szCs w:val="20"/>
          <w:lang w:val="es-ES"/>
        </w:rPr>
        <w:t xml:space="preserve"> Militar, perdiéndose su rastro hasta la fecha.</w:t>
      </w:r>
      <w:r w:rsidR="00DA14B6" w:rsidRPr="00F84AB1">
        <w:rPr>
          <w:rFonts w:asciiTheme="majorHAnsi" w:hAnsiTheme="majorHAnsi" w:cs="GillSansMT"/>
          <w:sz w:val="20"/>
          <w:szCs w:val="20"/>
          <w:lang w:val="es-ES"/>
        </w:rPr>
        <w:t xml:space="preserve"> Cabe señalar que los peticionarios refieren que Claudio Jesús Escanilla Escobar</w:t>
      </w:r>
      <w:r w:rsidR="00EC63A8" w:rsidRPr="00F84AB1">
        <w:rPr>
          <w:rFonts w:asciiTheme="majorHAnsi" w:hAnsiTheme="majorHAnsi" w:cs="GillSansMT"/>
          <w:sz w:val="20"/>
          <w:szCs w:val="20"/>
          <w:lang w:val="es-ES"/>
        </w:rPr>
        <w:t xml:space="preserve"> tenía </w:t>
      </w:r>
      <w:r w:rsidR="000A67FF" w:rsidRPr="00F84AB1">
        <w:rPr>
          <w:rFonts w:asciiTheme="majorHAnsi" w:hAnsiTheme="majorHAnsi" w:cs="GillSansMT"/>
          <w:sz w:val="20"/>
          <w:szCs w:val="20"/>
          <w:lang w:val="es-ES"/>
        </w:rPr>
        <w:t>16 años en la época de los hechos y era estudiante.</w:t>
      </w:r>
    </w:p>
    <w:p w:rsidR="00812625" w:rsidRPr="00F84AB1" w:rsidRDefault="00812625" w:rsidP="00C64463">
      <w:pPr>
        <w:jc w:val="both"/>
        <w:rPr>
          <w:rFonts w:asciiTheme="majorHAnsi" w:hAnsiTheme="majorHAnsi" w:cs="Arial"/>
          <w:color w:val="943634" w:themeColor="accent2" w:themeShade="BF"/>
          <w:sz w:val="20"/>
          <w:szCs w:val="20"/>
          <w:lang w:val="es-UY"/>
        </w:rPr>
      </w:pPr>
    </w:p>
    <w:p w:rsidR="000B0733" w:rsidRPr="00F84AB1" w:rsidRDefault="00EF2F96"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Respecto de Enrique Angel Carreño González, se refiere que </w:t>
      </w:r>
      <w:r w:rsidR="00190F18" w:rsidRPr="00F84AB1">
        <w:rPr>
          <w:rFonts w:asciiTheme="majorHAnsi" w:hAnsiTheme="majorHAnsi" w:cs="GillSansMT"/>
          <w:sz w:val="20"/>
          <w:szCs w:val="20"/>
          <w:lang w:val="es-ES"/>
        </w:rPr>
        <w:t>fue</w:t>
      </w:r>
      <w:r w:rsidRPr="00F84AB1">
        <w:rPr>
          <w:rFonts w:asciiTheme="majorHAnsi" w:hAnsiTheme="majorHAnsi" w:cs="GillSansMT"/>
          <w:sz w:val="20"/>
          <w:szCs w:val="20"/>
          <w:lang w:val="es-ES"/>
        </w:rPr>
        <w:t xml:space="preserve"> detenido el 20 de septiembre de 1973 por carabineros,</w:t>
      </w:r>
      <w:r w:rsidR="00012631"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y trasladado a la cárcel pública, lugar del que egres</w:t>
      </w:r>
      <w:r w:rsidR="00EC63A8" w:rsidRPr="00F84AB1">
        <w:rPr>
          <w:rFonts w:asciiTheme="majorHAnsi" w:hAnsiTheme="majorHAnsi" w:cs="GillSansMT"/>
          <w:sz w:val="20"/>
          <w:szCs w:val="20"/>
          <w:lang w:val="es-ES"/>
        </w:rPr>
        <w:t>ó</w:t>
      </w:r>
      <w:r w:rsidRPr="00F84AB1">
        <w:rPr>
          <w:rFonts w:asciiTheme="majorHAnsi" w:hAnsiTheme="majorHAnsi" w:cs="GillSansMT"/>
          <w:sz w:val="20"/>
          <w:szCs w:val="20"/>
          <w:lang w:val="es-ES"/>
        </w:rPr>
        <w:t xml:space="preserve"> el 5 de octubre de ese año, siendo detenido nuevamente el 4 de enero de 1974, quedando en </w:t>
      </w:r>
      <w:r w:rsidR="008E6EF2" w:rsidRPr="00F84AB1">
        <w:rPr>
          <w:rFonts w:asciiTheme="majorHAnsi" w:hAnsiTheme="majorHAnsi" w:cs="GillSansMT"/>
          <w:sz w:val="20"/>
          <w:szCs w:val="20"/>
          <w:lang w:val="es-ES"/>
        </w:rPr>
        <w:t>“</w:t>
      </w:r>
      <w:r w:rsidRPr="00F84AB1">
        <w:rPr>
          <w:rFonts w:asciiTheme="majorHAnsi" w:hAnsiTheme="majorHAnsi" w:cs="GillSansMT"/>
          <w:sz w:val="20"/>
          <w:szCs w:val="20"/>
          <w:lang w:val="es-ES"/>
        </w:rPr>
        <w:t>libertad condicional</w:t>
      </w:r>
      <w:r w:rsidR="008E6EF2" w:rsidRPr="00F84AB1">
        <w:rPr>
          <w:rFonts w:asciiTheme="majorHAnsi" w:hAnsiTheme="majorHAnsi" w:cs="GillSansMT"/>
          <w:sz w:val="20"/>
          <w:szCs w:val="20"/>
          <w:lang w:val="es-ES"/>
        </w:rPr>
        <w:t>”</w:t>
      </w:r>
      <w:r w:rsidRPr="00F84AB1">
        <w:rPr>
          <w:rFonts w:asciiTheme="majorHAnsi" w:hAnsiTheme="majorHAnsi" w:cs="GillSansMT"/>
          <w:sz w:val="20"/>
          <w:szCs w:val="20"/>
          <w:lang w:val="es-ES"/>
        </w:rPr>
        <w:t xml:space="preserve"> el 9 de enero de ese año, en virtud de una orden emanada de la Fiscalía Militar, </w:t>
      </w:r>
      <w:r w:rsidRPr="00F84AB1">
        <w:rPr>
          <w:rFonts w:asciiTheme="majorHAnsi" w:eastAsia="Cambria" w:hAnsiTheme="majorHAnsi" w:cs="GillSansMT"/>
          <w:color w:val="000000"/>
          <w:sz w:val="20"/>
          <w:szCs w:val="20"/>
          <w:u w:color="000000"/>
          <w:lang w:val="es-ES" w:eastAsia="es-ES"/>
        </w:rPr>
        <w:t>perdiéndose su rastro hasta la fecha.</w:t>
      </w:r>
    </w:p>
    <w:p w:rsidR="00425BD8" w:rsidRPr="00F84AB1" w:rsidRDefault="00425BD8" w:rsidP="00C64463">
      <w:pPr>
        <w:pStyle w:val="ListParagraph"/>
        <w:jc w:val="both"/>
        <w:rPr>
          <w:rFonts w:asciiTheme="majorHAnsi" w:hAnsiTheme="majorHAnsi" w:cs="GillSansMT"/>
          <w:sz w:val="20"/>
          <w:szCs w:val="20"/>
          <w:lang w:val="es-ES"/>
        </w:rPr>
      </w:pPr>
    </w:p>
    <w:p w:rsidR="00425BD8" w:rsidRPr="00F84AB1" w:rsidRDefault="003E6DD0"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Sostienen que </w:t>
      </w:r>
      <w:r w:rsidR="00425BD8" w:rsidRPr="00F84AB1">
        <w:rPr>
          <w:rFonts w:asciiTheme="majorHAnsi" w:hAnsiTheme="majorHAnsi" w:cs="GillSansMT"/>
          <w:sz w:val="20"/>
          <w:szCs w:val="20"/>
          <w:lang w:val="es-ES"/>
        </w:rPr>
        <w:t xml:space="preserve">Armando Edelmiro Morales Morales </w:t>
      </w:r>
      <w:r w:rsidRPr="00F84AB1">
        <w:rPr>
          <w:rFonts w:asciiTheme="majorHAnsi" w:hAnsiTheme="majorHAnsi" w:cs="GillSansMT"/>
          <w:sz w:val="20"/>
          <w:szCs w:val="20"/>
          <w:lang w:val="es-ES"/>
        </w:rPr>
        <w:t>fue</w:t>
      </w:r>
      <w:r w:rsidR="00425BD8" w:rsidRPr="00F84AB1">
        <w:rPr>
          <w:rFonts w:asciiTheme="majorHAnsi" w:hAnsiTheme="majorHAnsi" w:cs="GillSansMT"/>
          <w:sz w:val="20"/>
          <w:szCs w:val="20"/>
          <w:lang w:val="es-ES"/>
        </w:rPr>
        <w:t xml:space="preserve"> detenido el 4 de octubre de 1973, luego de que concurriera voluntariamente a la comisaria de carabineros de Parral, donde qued</w:t>
      </w:r>
      <w:r w:rsidR="00EC63A8" w:rsidRPr="00F84AB1">
        <w:rPr>
          <w:rFonts w:asciiTheme="majorHAnsi" w:hAnsiTheme="majorHAnsi"/>
          <w:sz w:val="20"/>
          <w:szCs w:val="20"/>
          <w:rtl/>
          <w:lang w:val="es-ES" w:bidi="he-IL"/>
        </w:rPr>
        <w:t>ó</w:t>
      </w:r>
      <w:r w:rsidR="00425BD8" w:rsidRPr="00F84AB1">
        <w:rPr>
          <w:rFonts w:asciiTheme="majorHAnsi" w:hAnsiTheme="majorHAnsi" w:cs="GillSansMT"/>
          <w:sz w:val="20"/>
          <w:szCs w:val="20"/>
          <w:lang w:val="es-ES"/>
        </w:rPr>
        <w:t xml:space="preserve"> detenido por orden del Gobernador Departamental, siendo posteriormente trasladado a la cárcel </w:t>
      </w:r>
      <w:r w:rsidR="00747F08" w:rsidRPr="00F84AB1">
        <w:rPr>
          <w:rFonts w:asciiTheme="majorHAnsi" w:hAnsiTheme="majorHAnsi" w:cs="GillSansMT"/>
          <w:sz w:val="20"/>
          <w:szCs w:val="20"/>
          <w:lang w:val="es-ES"/>
        </w:rPr>
        <w:t>pública</w:t>
      </w:r>
      <w:r w:rsidR="00425BD8" w:rsidRPr="00F84AB1">
        <w:rPr>
          <w:rFonts w:asciiTheme="majorHAnsi" w:hAnsiTheme="majorHAnsi" w:cs="GillSansMT"/>
          <w:sz w:val="20"/>
          <w:szCs w:val="20"/>
          <w:lang w:val="es-ES"/>
        </w:rPr>
        <w:t xml:space="preserve">, constando su egreso el 11 de octubre de 1973, para ser trasladado a la </w:t>
      </w:r>
      <w:r w:rsidR="00747F08" w:rsidRPr="00F84AB1">
        <w:rPr>
          <w:rFonts w:asciiTheme="majorHAnsi" w:hAnsiTheme="majorHAnsi" w:cs="GillSansMT"/>
          <w:sz w:val="20"/>
          <w:szCs w:val="20"/>
          <w:lang w:val="es-ES"/>
        </w:rPr>
        <w:t xml:space="preserve">Fiscalía Militar, </w:t>
      </w:r>
      <w:r w:rsidR="00747F08" w:rsidRPr="00F84AB1">
        <w:rPr>
          <w:rFonts w:asciiTheme="majorHAnsi" w:eastAsia="Cambria" w:hAnsiTheme="majorHAnsi" w:cs="GillSansMT"/>
          <w:color w:val="000000"/>
          <w:sz w:val="20"/>
          <w:szCs w:val="20"/>
          <w:u w:color="000000"/>
          <w:lang w:val="es-ES" w:eastAsia="es-ES"/>
        </w:rPr>
        <w:t>perdiéndose su rastro hasta la fecha.</w:t>
      </w:r>
    </w:p>
    <w:p w:rsidR="00472ACD" w:rsidRPr="00F84AB1" w:rsidRDefault="00472ACD" w:rsidP="00C64463">
      <w:pPr>
        <w:pStyle w:val="ListParagraph"/>
        <w:jc w:val="both"/>
        <w:rPr>
          <w:rFonts w:asciiTheme="majorHAnsi" w:hAnsiTheme="majorHAnsi" w:cs="GillSansMT"/>
          <w:sz w:val="20"/>
          <w:szCs w:val="20"/>
          <w:lang w:val="es-ES"/>
        </w:rPr>
      </w:pPr>
    </w:p>
    <w:p w:rsidR="00472ACD" w:rsidRPr="00F84AB1" w:rsidRDefault="003E6DD0"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Sobre </w:t>
      </w:r>
      <w:r w:rsidR="00472ACD" w:rsidRPr="00F84AB1">
        <w:rPr>
          <w:rFonts w:asciiTheme="majorHAnsi" w:hAnsiTheme="majorHAnsi" w:cs="GillSansMT"/>
          <w:sz w:val="20"/>
          <w:szCs w:val="20"/>
          <w:lang w:val="es-ES"/>
        </w:rPr>
        <w:t xml:space="preserve">Luis Enrique Rivera Cofré </w:t>
      </w:r>
      <w:r w:rsidRPr="00F84AB1">
        <w:rPr>
          <w:rFonts w:asciiTheme="majorHAnsi" w:hAnsiTheme="majorHAnsi" w:cs="GillSansMT"/>
          <w:sz w:val="20"/>
          <w:szCs w:val="20"/>
          <w:lang w:val="es-ES"/>
        </w:rPr>
        <w:t>refieren que fue</w:t>
      </w:r>
      <w:r w:rsidR="00472ACD" w:rsidRPr="00F84AB1">
        <w:rPr>
          <w:rFonts w:asciiTheme="majorHAnsi" w:hAnsiTheme="majorHAnsi" w:cs="GillSansMT"/>
          <w:sz w:val="20"/>
          <w:szCs w:val="20"/>
          <w:lang w:val="es-ES"/>
        </w:rPr>
        <w:t xml:space="preserve"> </w:t>
      </w:r>
      <w:r w:rsidR="00A73CC3" w:rsidRPr="00F84AB1">
        <w:rPr>
          <w:rFonts w:asciiTheme="majorHAnsi" w:hAnsiTheme="majorHAnsi" w:cs="GillSansMT"/>
          <w:sz w:val="20"/>
          <w:szCs w:val="20"/>
          <w:lang w:val="es-ES"/>
        </w:rPr>
        <w:t>detenido el 5 de octubre de 1973. Por su parte Víctor Julio Vivanco Vásquez</w:t>
      </w:r>
      <w:r w:rsidR="00A73CC3" w:rsidRPr="00F84AB1">
        <w:rPr>
          <w:rFonts w:asciiTheme="majorHAnsi" w:hAnsiTheme="majorHAnsi"/>
          <w:sz w:val="20"/>
          <w:szCs w:val="20"/>
          <w:lang w:val="es-ES"/>
        </w:rPr>
        <w:t xml:space="preserve"> </w:t>
      </w:r>
      <w:r w:rsidRPr="00F84AB1">
        <w:rPr>
          <w:rFonts w:asciiTheme="majorHAnsi" w:hAnsiTheme="majorHAnsi" w:cs="GillSansMT"/>
          <w:sz w:val="20"/>
          <w:szCs w:val="20"/>
          <w:lang w:val="es-ES"/>
        </w:rPr>
        <w:t>fue</w:t>
      </w:r>
      <w:r w:rsidR="00A73CC3" w:rsidRPr="00F84AB1">
        <w:rPr>
          <w:rFonts w:asciiTheme="majorHAnsi" w:hAnsiTheme="majorHAnsi" w:cs="GillSansMT"/>
          <w:sz w:val="20"/>
          <w:szCs w:val="20"/>
          <w:lang w:val="es-ES"/>
        </w:rPr>
        <w:t xml:space="preserve"> detenido el 8 de octubre de 1973. </w:t>
      </w:r>
      <w:r w:rsidR="004111E4" w:rsidRPr="00F84AB1">
        <w:rPr>
          <w:rFonts w:asciiTheme="majorHAnsi" w:hAnsiTheme="majorHAnsi" w:cs="GillSansMT"/>
          <w:sz w:val="20"/>
          <w:szCs w:val="20"/>
          <w:lang w:val="es-ES"/>
        </w:rPr>
        <w:t>A su v</w:t>
      </w:r>
      <w:r w:rsidRPr="00F84AB1">
        <w:rPr>
          <w:rFonts w:asciiTheme="majorHAnsi" w:hAnsiTheme="majorHAnsi" w:cs="GillSansMT"/>
          <w:sz w:val="20"/>
          <w:szCs w:val="20"/>
          <w:lang w:val="es-ES"/>
        </w:rPr>
        <w:t xml:space="preserve">ez José Hernán Riveros Chávez fue </w:t>
      </w:r>
      <w:r w:rsidR="004111E4" w:rsidRPr="00F84AB1">
        <w:rPr>
          <w:rFonts w:asciiTheme="majorHAnsi" w:hAnsiTheme="majorHAnsi" w:cs="GillSansMT"/>
          <w:sz w:val="20"/>
          <w:szCs w:val="20"/>
          <w:lang w:val="es-ES"/>
        </w:rPr>
        <w:t xml:space="preserve">detenido el 12 de octubre de 1973. </w:t>
      </w:r>
      <w:r w:rsidR="003C2691" w:rsidRPr="00F84AB1">
        <w:rPr>
          <w:rFonts w:asciiTheme="majorHAnsi" w:hAnsiTheme="majorHAnsi" w:cs="GillSansMT"/>
          <w:sz w:val="20"/>
          <w:szCs w:val="20"/>
          <w:lang w:val="es-ES"/>
        </w:rPr>
        <w:t>Se indica que t</w:t>
      </w:r>
      <w:r w:rsidR="004111E4" w:rsidRPr="00F84AB1">
        <w:rPr>
          <w:rFonts w:asciiTheme="majorHAnsi" w:hAnsiTheme="majorHAnsi" w:cs="GillSansMT"/>
          <w:sz w:val="20"/>
          <w:szCs w:val="20"/>
          <w:lang w:val="es-ES"/>
        </w:rPr>
        <w:t xml:space="preserve">odos </w:t>
      </w:r>
      <w:r w:rsidRPr="00F84AB1">
        <w:rPr>
          <w:rFonts w:asciiTheme="majorHAnsi" w:hAnsiTheme="majorHAnsi" w:cs="GillSansMT"/>
          <w:sz w:val="20"/>
          <w:szCs w:val="20"/>
          <w:lang w:val="es-ES"/>
        </w:rPr>
        <w:t>fueron</w:t>
      </w:r>
      <w:r w:rsidR="00A73CC3" w:rsidRPr="00F84AB1">
        <w:rPr>
          <w:rFonts w:asciiTheme="majorHAnsi" w:hAnsiTheme="majorHAnsi" w:cs="GillSansMT"/>
          <w:sz w:val="20"/>
          <w:szCs w:val="20"/>
          <w:lang w:val="es-ES"/>
        </w:rPr>
        <w:t xml:space="preserve"> trasladados a la comisaria de carabineros de Parral, perdiéndose su rastro hasta la fecha.</w:t>
      </w:r>
    </w:p>
    <w:p w:rsidR="008B7D6F" w:rsidRPr="00F84AB1" w:rsidRDefault="008B7D6F" w:rsidP="007A3F0C">
      <w:pPr>
        <w:jc w:val="both"/>
        <w:rPr>
          <w:rFonts w:asciiTheme="majorHAnsi" w:hAnsiTheme="majorHAnsi" w:cs="GillSansMT"/>
          <w:sz w:val="20"/>
          <w:szCs w:val="20"/>
          <w:lang w:val="es-ES"/>
        </w:rPr>
      </w:pPr>
    </w:p>
    <w:p w:rsidR="008B7D6F" w:rsidRPr="00F84AB1" w:rsidRDefault="00A422B7"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Se alega que </w:t>
      </w:r>
      <w:r w:rsidR="008B7D6F" w:rsidRPr="00F84AB1">
        <w:rPr>
          <w:rFonts w:asciiTheme="majorHAnsi" w:hAnsiTheme="majorHAnsi" w:cs="GillSansMT"/>
          <w:sz w:val="20"/>
          <w:szCs w:val="20"/>
          <w:lang w:val="es-ES"/>
        </w:rPr>
        <w:t xml:space="preserve">Ruperto Oriol Torres Aravena </w:t>
      </w:r>
      <w:r w:rsidRPr="00F84AB1">
        <w:rPr>
          <w:rFonts w:asciiTheme="majorHAnsi" w:hAnsiTheme="majorHAnsi" w:cs="GillSansMT"/>
          <w:sz w:val="20"/>
          <w:szCs w:val="20"/>
          <w:lang w:val="es-ES"/>
        </w:rPr>
        <w:t>fue</w:t>
      </w:r>
      <w:r w:rsidR="008B7D6F" w:rsidRPr="00F84AB1">
        <w:rPr>
          <w:rFonts w:asciiTheme="majorHAnsi" w:hAnsiTheme="majorHAnsi" w:cs="GillSansMT"/>
          <w:sz w:val="20"/>
          <w:szCs w:val="20"/>
          <w:lang w:val="es-ES"/>
        </w:rPr>
        <w:t xml:space="preserve"> detenido el 16 de septiembre de 1973 y trasladado a la cárcel pública, permaneciendo incomunicado por orden del Gobernador Departamental, lugar del que egreso el 29 del mismo mes, y </w:t>
      </w:r>
      <w:r w:rsidRPr="00F84AB1">
        <w:rPr>
          <w:rFonts w:asciiTheme="majorHAnsi" w:hAnsiTheme="majorHAnsi" w:cs="GillSansMT"/>
          <w:sz w:val="20"/>
          <w:szCs w:val="20"/>
          <w:lang w:val="es-ES"/>
        </w:rPr>
        <w:t xml:space="preserve">fue </w:t>
      </w:r>
      <w:r w:rsidR="008B7D6F" w:rsidRPr="00F84AB1">
        <w:rPr>
          <w:rFonts w:asciiTheme="majorHAnsi" w:hAnsiTheme="majorHAnsi" w:cs="GillSansMT"/>
          <w:sz w:val="20"/>
          <w:szCs w:val="20"/>
          <w:lang w:val="es-ES"/>
        </w:rPr>
        <w:t xml:space="preserve">nuevamente detenido el 13 de octubre </w:t>
      </w:r>
      <w:r w:rsidR="004F4F8C" w:rsidRPr="00F84AB1">
        <w:rPr>
          <w:rFonts w:asciiTheme="majorHAnsi" w:hAnsiTheme="majorHAnsi" w:cs="GillSansMT"/>
          <w:sz w:val="20"/>
          <w:szCs w:val="20"/>
          <w:lang w:val="es-ES"/>
        </w:rPr>
        <w:t>de ese año, en circunstancias en</w:t>
      </w:r>
      <w:r w:rsidR="008B7D6F" w:rsidRPr="00F84AB1">
        <w:rPr>
          <w:rFonts w:asciiTheme="majorHAnsi" w:hAnsiTheme="majorHAnsi" w:cs="GillSansMT"/>
          <w:sz w:val="20"/>
          <w:szCs w:val="20"/>
          <w:lang w:val="es-ES"/>
        </w:rPr>
        <w:t xml:space="preserve"> que cumplía con su obligación de firma, </w:t>
      </w:r>
      <w:r w:rsidR="008B7D6F" w:rsidRPr="00F84AB1">
        <w:rPr>
          <w:rFonts w:asciiTheme="majorHAnsi" w:eastAsia="Cambria" w:hAnsiTheme="majorHAnsi" w:cs="GillSansMT"/>
          <w:color w:val="000000"/>
          <w:sz w:val="20"/>
          <w:szCs w:val="20"/>
          <w:u w:color="000000"/>
          <w:lang w:val="es-ES" w:eastAsia="es-ES"/>
        </w:rPr>
        <w:t>perdiéndose su rastro hasta la fecha.</w:t>
      </w:r>
    </w:p>
    <w:p w:rsidR="008B7D6F" w:rsidRPr="00F84AB1" w:rsidRDefault="008B7D6F"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sz w:val="20"/>
          <w:szCs w:val="20"/>
          <w:lang w:val="es-ES"/>
        </w:rPr>
      </w:pPr>
    </w:p>
    <w:p w:rsidR="00F17E02" w:rsidRPr="00F84AB1" w:rsidRDefault="00A422B7" w:rsidP="00C64463">
      <w:pPr>
        <w:pStyle w:val="ListParagraph"/>
        <w:numPr>
          <w:ilvl w:val="0"/>
          <w:numId w:val="56"/>
        </w:numPr>
        <w:jc w:val="both"/>
        <w:rPr>
          <w:rFonts w:asciiTheme="majorHAnsi" w:eastAsia="Arial Unicode MS" w:hAnsiTheme="majorHAnsi" w:cs="GillSansMT"/>
          <w:color w:val="auto"/>
          <w:sz w:val="20"/>
          <w:szCs w:val="20"/>
          <w:lang w:val="es-ES" w:eastAsia="en-US"/>
        </w:rPr>
      </w:pPr>
      <w:r w:rsidRPr="00F84AB1">
        <w:rPr>
          <w:rFonts w:asciiTheme="majorHAnsi" w:hAnsiTheme="majorHAnsi" w:cs="GillSansMT"/>
          <w:sz w:val="20"/>
          <w:szCs w:val="20"/>
          <w:lang w:val="es-ES"/>
        </w:rPr>
        <w:t xml:space="preserve">Se refiere que </w:t>
      </w:r>
      <w:r w:rsidR="00646C24" w:rsidRPr="00F84AB1">
        <w:rPr>
          <w:rFonts w:asciiTheme="majorHAnsi" w:hAnsiTheme="majorHAnsi" w:cs="GillSansMT"/>
          <w:sz w:val="20"/>
          <w:szCs w:val="20"/>
          <w:lang w:val="es-ES"/>
        </w:rPr>
        <w:t xml:space="preserve">Hernán Sarmiento Sabater y Aroldo Vivian Laurie Luengo </w:t>
      </w:r>
      <w:r w:rsidRPr="00F84AB1">
        <w:rPr>
          <w:rFonts w:asciiTheme="majorHAnsi" w:hAnsiTheme="majorHAnsi" w:cs="GillSansMT"/>
          <w:sz w:val="20"/>
          <w:szCs w:val="20"/>
          <w:lang w:val="es-ES"/>
        </w:rPr>
        <w:t>fueron</w:t>
      </w:r>
      <w:r w:rsidR="00646C24" w:rsidRPr="00F84AB1">
        <w:rPr>
          <w:rFonts w:asciiTheme="majorHAnsi" w:hAnsiTheme="majorHAnsi" w:cs="GillSansMT"/>
          <w:sz w:val="20"/>
          <w:szCs w:val="20"/>
          <w:lang w:val="es-ES"/>
        </w:rPr>
        <w:t xml:space="preserve"> detenidos por carabineros el 28 de julio de 1974, sin orden </w:t>
      </w:r>
      <w:r w:rsidR="00F17E02" w:rsidRPr="00F84AB1">
        <w:rPr>
          <w:rFonts w:asciiTheme="majorHAnsi" w:hAnsiTheme="majorHAnsi" w:cs="GillSansMT"/>
          <w:sz w:val="20"/>
          <w:szCs w:val="20"/>
          <w:lang w:val="es-ES"/>
        </w:rPr>
        <w:t>judicial</w:t>
      </w:r>
      <w:r w:rsidR="00646C24" w:rsidRPr="00F84AB1">
        <w:rPr>
          <w:rFonts w:asciiTheme="majorHAnsi" w:hAnsiTheme="majorHAnsi" w:cs="GillSansMT"/>
          <w:sz w:val="20"/>
          <w:szCs w:val="20"/>
          <w:lang w:val="es-ES"/>
        </w:rPr>
        <w:t xml:space="preserve"> e ingresados en la comisaria de </w:t>
      </w:r>
      <w:r w:rsidR="00F17E02" w:rsidRPr="00F84AB1">
        <w:rPr>
          <w:rFonts w:asciiTheme="majorHAnsi" w:hAnsiTheme="majorHAnsi" w:cs="GillSansMT"/>
          <w:sz w:val="20"/>
          <w:szCs w:val="20"/>
          <w:lang w:val="es-ES"/>
        </w:rPr>
        <w:t xml:space="preserve">Parral, sin ser consignado aquello, </w:t>
      </w:r>
      <w:r w:rsidR="00F17E02" w:rsidRPr="00F84AB1">
        <w:rPr>
          <w:rFonts w:asciiTheme="majorHAnsi" w:eastAsia="Arial Unicode MS" w:hAnsiTheme="majorHAnsi" w:cs="GillSansMT"/>
          <w:color w:val="auto"/>
          <w:sz w:val="20"/>
          <w:szCs w:val="20"/>
          <w:lang w:val="es-ES" w:eastAsia="en-US"/>
        </w:rPr>
        <w:t>perdiéndose su rastro hasta la fecha.</w:t>
      </w:r>
    </w:p>
    <w:p w:rsidR="00F17E02" w:rsidRPr="00F84AB1" w:rsidRDefault="00F17E02" w:rsidP="00C64463">
      <w:pPr>
        <w:jc w:val="both"/>
        <w:rPr>
          <w:rFonts w:asciiTheme="majorHAnsi" w:hAnsiTheme="majorHAnsi" w:cs="GillSansMT"/>
          <w:sz w:val="20"/>
          <w:szCs w:val="20"/>
          <w:lang w:val="es-ES"/>
        </w:rPr>
      </w:pPr>
    </w:p>
    <w:p w:rsidR="008B7D6F" w:rsidRPr="00F84AB1" w:rsidRDefault="00A422B7"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Respecto de </w:t>
      </w:r>
      <w:r w:rsidR="00F16A9B" w:rsidRPr="00F84AB1">
        <w:rPr>
          <w:rFonts w:asciiTheme="majorHAnsi" w:hAnsiTheme="majorHAnsi" w:cs="GillSansMT"/>
          <w:sz w:val="20"/>
          <w:szCs w:val="20"/>
          <w:lang w:val="es-ES"/>
        </w:rPr>
        <w:t>José Luis Morales Ruiz</w:t>
      </w:r>
      <w:r w:rsidRPr="00F84AB1">
        <w:rPr>
          <w:rFonts w:asciiTheme="majorHAnsi" w:hAnsiTheme="majorHAnsi" w:cs="GillSansMT"/>
          <w:sz w:val="20"/>
          <w:szCs w:val="20"/>
          <w:lang w:val="es-ES"/>
        </w:rPr>
        <w:t xml:space="preserve"> se indica que fue</w:t>
      </w:r>
      <w:r w:rsidR="00F16A9B" w:rsidRPr="00F84AB1">
        <w:rPr>
          <w:rFonts w:asciiTheme="majorHAnsi" w:hAnsiTheme="majorHAnsi" w:cs="GillSansMT"/>
          <w:sz w:val="20"/>
          <w:szCs w:val="20"/>
          <w:lang w:val="es-ES"/>
        </w:rPr>
        <w:t xml:space="preserve"> detenido por carabineros de Parral el 1 de agosto de 1974, perdiéndose su rastro hasta la fecha.</w:t>
      </w:r>
    </w:p>
    <w:p w:rsidR="00DA14B6" w:rsidRPr="00F84AB1" w:rsidRDefault="00DA14B6" w:rsidP="00C64463">
      <w:pPr>
        <w:pStyle w:val="ListParagraph"/>
        <w:jc w:val="both"/>
        <w:rPr>
          <w:rFonts w:asciiTheme="majorHAnsi" w:hAnsiTheme="majorHAnsi" w:cs="GillSansMT"/>
          <w:sz w:val="20"/>
          <w:szCs w:val="20"/>
          <w:lang w:val="es-ES"/>
        </w:rPr>
      </w:pPr>
    </w:p>
    <w:p w:rsidR="000B0733" w:rsidRPr="00F84AB1" w:rsidRDefault="00E30F8A"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Se indica que </w:t>
      </w:r>
      <w:r w:rsidR="00CB44EB" w:rsidRPr="00F84AB1">
        <w:rPr>
          <w:rFonts w:asciiTheme="majorHAnsi" w:hAnsiTheme="majorHAnsi" w:cs="GillSansMT"/>
          <w:sz w:val="20"/>
          <w:szCs w:val="20"/>
          <w:lang w:val="es-ES"/>
        </w:rPr>
        <w:t>Edelmerio Ant</w:t>
      </w:r>
      <w:r w:rsidR="00DA14B6" w:rsidRPr="00F84AB1">
        <w:rPr>
          <w:rFonts w:asciiTheme="majorHAnsi" w:hAnsiTheme="majorHAnsi" w:cs="GillSansMT"/>
          <w:sz w:val="20"/>
          <w:szCs w:val="20"/>
          <w:lang w:val="es-ES"/>
        </w:rPr>
        <w:t xml:space="preserve">onio Valdez Sepúlveda, Armando Aroldo Pereira Meriño, Luis Alcides Pereira Hernández y Rolando Antonio Ibarra Ortega (López), </w:t>
      </w:r>
      <w:r w:rsidRPr="00F84AB1">
        <w:rPr>
          <w:rFonts w:asciiTheme="majorHAnsi" w:hAnsiTheme="majorHAnsi" w:cs="GillSansMT"/>
          <w:sz w:val="20"/>
          <w:szCs w:val="20"/>
          <w:lang w:val="es-ES"/>
        </w:rPr>
        <w:t>fueron</w:t>
      </w:r>
      <w:r w:rsidR="00DA14B6" w:rsidRPr="00F84AB1">
        <w:rPr>
          <w:rFonts w:asciiTheme="majorHAnsi" w:hAnsiTheme="majorHAnsi" w:cs="GillSansMT"/>
          <w:sz w:val="20"/>
          <w:szCs w:val="20"/>
          <w:lang w:val="es-ES"/>
        </w:rPr>
        <w:t xml:space="preserve"> detenidos sin orden judicial por carabineros de Parral el 25 de octubre de 1974, cuando se presentaron voluntariamente a la Comisaria, perdiéndose su rastro hasta la fecha.</w:t>
      </w:r>
    </w:p>
    <w:p w:rsidR="000B0733" w:rsidRPr="00F84AB1" w:rsidRDefault="000B0733"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UY"/>
        </w:rPr>
      </w:pPr>
    </w:p>
    <w:p w:rsidR="00FE56F4" w:rsidRPr="00F84AB1" w:rsidRDefault="00E30F8A"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Calibri" w:hAnsiTheme="majorHAnsi"/>
          <w:sz w:val="20"/>
          <w:szCs w:val="20"/>
          <w:lang w:val="es-ES"/>
        </w:rPr>
      </w:pPr>
      <w:r w:rsidRPr="00F84AB1">
        <w:rPr>
          <w:rFonts w:asciiTheme="majorHAnsi" w:hAnsiTheme="majorHAnsi" w:cs="GillSansMT"/>
          <w:sz w:val="20"/>
          <w:szCs w:val="20"/>
          <w:lang w:val="es-UY"/>
        </w:rPr>
        <w:t xml:space="preserve">Los peticionarios </w:t>
      </w:r>
      <w:r w:rsidR="00FE56F4" w:rsidRPr="00F84AB1">
        <w:rPr>
          <w:rFonts w:asciiTheme="majorHAnsi" w:hAnsiTheme="majorHAnsi" w:cs="GillSansMT"/>
          <w:sz w:val="20"/>
          <w:szCs w:val="20"/>
          <w:lang w:val="es-ES"/>
        </w:rPr>
        <w:t>sostienen que los familiares de 21 de las presuntas víctimas</w:t>
      </w:r>
      <w:r w:rsidR="00FE56F4" w:rsidRPr="00F84AB1">
        <w:rPr>
          <w:rStyle w:val="FootnoteReference"/>
          <w:rFonts w:asciiTheme="majorHAnsi" w:hAnsiTheme="majorHAnsi" w:cs="GillSansMT"/>
          <w:sz w:val="20"/>
          <w:szCs w:val="20"/>
          <w:lang w:val="es-ES"/>
        </w:rPr>
        <w:footnoteReference w:id="17"/>
      </w:r>
      <w:r w:rsidR="00FE56F4" w:rsidRPr="00F84AB1">
        <w:rPr>
          <w:rFonts w:asciiTheme="majorHAnsi" w:eastAsia="Calibri" w:hAnsiTheme="majorHAnsi"/>
          <w:sz w:val="20"/>
          <w:szCs w:val="20"/>
          <w:lang w:val="es-ES"/>
        </w:rPr>
        <w:t xml:space="preserve"> </w:t>
      </w:r>
      <w:r w:rsidR="00FE56F4" w:rsidRPr="00F84AB1">
        <w:rPr>
          <w:rFonts w:asciiTheme="majorHAnsi" w:hAnsiTheme="majorHAnsi" w:cs="GillSansMT"/>
          <w:sz w:val="20"/>
          <w:szCs w:val="20"/>
          <w:lang w:val="es-ES"/>
        </w:rPr>
        <w:t xml:space="preserve">presentaron denuncias ante el Juzgado de Letras de Parral, las que fueron sobreseídas temporalmente. Indican que en </w:t>
      </w:r>
      <w:r w:rsidR="00FE56F4" w:rsidRPr="00F84AB1">
        <w:rPr>
          <w:rFonts w:asciiTheme="majorHAnsi" w:hAnsiTheme="majorHAnsi" w:cs="GillSansMT"/>
          <w:sz w:val="20"/>
          <w:szCs w:val="20"/>
          <w:lang w:val="es-ES"/>
        </w:rPr>
        <w:lastRenderedPageBreak/>
        <w:t xml:space="preserve">1991 la Comisión Nacional de Verdad y Reconciliación (en adelante “CNVR”), remitió antecedentes de dichos delitos al Juzgado de Letras de Parral y se dio inicio a la causa Rol No. 45.589 que se acumuló con </w:t>
      </w:r>
      <w:r w:rsidR="005572A2" w:rsidRPr="00F84AB1">
        <w:rPr>
          <w:rFonts w:asciiTheme="majorHAnsi" w:hAnsiTheme="majorHAnsi" w:cs="GillSansMT"/>
          <w:sz w:val="20"/>
          <w:szCs w:val="20"/>
          <w:lang w:val="es-ES"/>
        </w:rPr>
        <w:t xml:space="preserve">la causa Rol 128.534 </w:t>
      </w:r>
      <w:r w:rsidR="00FE56F4" w:rsidRPr="00F84AB1">
        <w:rPr>
          <w:rFonts w:asciiTheme="majorHAnsi" w:hAnsiTheme="majorHAnsi" w:cs="GillSansMT"/>
          <w:sz w:val="20"/>
          <w:szCs w:val="20"/>
          <w:lang w:val="es-ES"/>
        </w:rPr>
        <w:t>ante el 7˚ Juzgado del Crimen de Santiago</w:t>
      </w:r>
      <w:r w:rsidR="005572A2" w:rsidRPr="00F84AB1">
        <w:rPr>
          <w:rFonts w:asciiTheme="majorHAnsi" w:hAnsiTheme="majorHAnsi" w:cs="GillSansMT"/>
          <w:sz w:val="20"/>
          <w:szCs w:val="20"/>
          <w:lang w:val="es-ES"/>
        </w:rPr>
        <w:t>,</w:t>
      </w:r>
      <w:r w:rsidR="00FE56F4" w:rsidRPr="00F84AB1">
        <w:rPr>
          <w:rFonts w:asciiTheme="majorHAnsi" w:hAnsiTheme="majorHAnsi" w:cs="GillSansMT"/>
          <w:sz w:val="20"/>
          <w:szCs w:val="20"/>
          <w:lang w:val="es-ES"/>
        </w:rPr>
        <w:t xml:space="preserve"> que </w:t>
      </w:r>
      <w:r w:rsidR="005572A2" w:rsidRPr="00F84AB1">
        <w:rPr>
          <w:rFonts w:asciiTheme="majorHAnsi" w:hAnsiTheme="majorHAnsi" w:cs="GillSansMT"/>
          <w:sz w:val="20"/>
          <w:szCs w:val="20"/>
          <w:lang w:val="es-ES"/>
        </w:rPr>
        <w:t xml:space="preserve">se había iniciado por </w:t>
      </w:r>
      <w:r w:rsidR="00FE56F4" w:rsidRPr="00F84AB1">
        <w:rPr>
          <w:rFonts w:asciiTheme="majorHAnsi" w:hAnsiTheme="majorHAnsi" w:cs="GillSansMT"/>
          <w:sz w:val="20"/>
          <w:szCs w:val="20"/>
          <w:lang w:val="es-ES"/>
        </w:rPr>
        <w:t xml:space="preserve">25 víctimas de Parral, entre ellos </w:t>
      </w:r>
      <w:r w:rsidR="00FE56F4" w:rsidRPr="00F84AB1">
        <w:rPr>
          <w:rFonts w:asciiTheme="majorHAnsi" w:hAnsiTheme="majorHAnsi"/>
          <w:sz w:val="20"/>
          <w:szCs w:val="20"/>
          <w:lang w:val="es-ES"/>
        </w:rPr>
        <w:t>Roberto del Carmen Romero Muñoz</w:t>
      </w:r>
      <w:r w:rsidR="00FE56F4" w:rsidRPr="00F84AB1">
        <w:rPr>
          <w:rFonts w:asciiTheme="majorHAnsi" w:hAnsiTheme="majorHAnsi" w:cs="GillSansMT,Bold"/>
          <w:bCs/>
          <w:sz w:val="20"/>
          <w:szCs w:val="20"/>
          <w:lang w:val="es-ES"/>
        </w:rPr>
        <w:t>, Luis Evangelista Aguayo Fernández</w:t>
      </w:r>
      <w:r w:rsidR="00FE56F4" w:rsidRPr="00F84AB1">
        <w:rPr>
          <w:rFonts w:asciiTheme="majorHAnsi" w:hAnsiTheme="majorHAnsi"/>
          <w:sz w:val="20"/>
          <w:szCs w:val="20"/>
          <w:lang w:val="es-ES"/>
        </w:rPr>
        <w:t xml:space="preserve"> e Ireneo Alberto Méndez Hernández.</w:t>
      </w:r>
      <w:r w:rsidR="00012631" w:rsidRPr="00F84AB1">
        <w:rPr>
          <w:rFonts w:asciiTheme="majorHAnsi" w:hAnsiTheme="majorHAnsi"/>
          <w:sz w:val="20"/>
          <w:szCs w:val="20"/>
          <w:lang w:val="es-ES"/>
        </w:rPr>
        <w:t xml:space="preserve"> </w:t>
      </w:r>
      <w:r w:rsidR="00FE56F4" w:rsidRPr="00F84AB1">
        <w:rPr>
          <w:rFonts w:asciiTheme="majorHAnsi" w:hAnsiTheme="majorHAnsi"/>
          <w:sz w:val="20"/>
          <w:szCs w:val="20"/>
          <w:lang w:val="es-ES"/>
        </w:rPr>
        <w:t>Indican que este proceso fue enviado a la jurisdicción penal militar y luego acumulado al Rol. No. 64.461 del Juzgado de Letras de Parral.</w:t>
      </w:r>
      <w:r w:rsidR="00012631" w:rsidRPr="00F84AB1">
        <w:rPr>
          <w:rFonts w:asciiTheme="majorHAnsi" w:hAnsiTheme="majorHAnsi"/>
          <w:sz w:val="20"/>
          <w:szCs w:val="20"/>
          <w:lang w:val="es-ES"/>
        </w:rPr>
        <w:t xml:space="preserve"> </w:t>
      </w:r>
    </w:p>
    <w:p w:rsidR="00DA6180" w:rsidRPr="00F84AB1" w:rsidRDefault="00DA6180" w:rsidP="00C64463">
      <w:pPr>
        <w:pStyle w:val="ListParagraph"/>
        <w:jc w:val="both"/>
        <w:rPr>
          <w:rFonts w:asciiTheme="majorHAnsi" w:eastAsia="Calibri" w:hAnsiTheme="majorHAnsi"/>
          <w:sz w:val="20"/>
          <w:szCs w:val="20"/>
          <w:lang w:val="es-ES"/>
        </w:rPr>
      </w:pPr>
    </w:p>
    <w:p w:rsidR="00DA6180" w:rsidRPr="00F84AB1" w:rsidRDefault="00DA6180"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GillSansMT"/>
          <w:sz w:val="20"/>
          <w:szCs w:val="20"/>
          <w:lang w:val="es-ES"/>
        </w:rPr>
      </w:pPr>
      <w:r w:rsidRPr="00F84AB1">
        <w:rPr>
          <w:rFonts w:asciiTheme="majorHAnsi" w:eastAsia="Calibri" w:hAnsiTheme="majorHAnsi"/>
          <w:sz w:val="20"/>
          <w:szCs w:val="20"/>
          <w:lang w:val="es-ES"/>
        </w:rPr>
        <w:t>Indican que además se interpusieron querellas por secuestro ante dicho juzgado por Aurelio Peñailillo, Oscar Retamal y Cl</w:t>
      </w:r>
      <w:r w:rsidR="00280867" w:rsidRPr="00F84AB1">
        <w:rPr>
          <w:rFonts w:asciiTheme="majorHAnsi" w:eastAsia="Calibri" w:hAnsiTheme="majorHAnsi"/>
          <w:sz w:val="20"/>
          <w:szCs w:val="20"/>
          <w:lang w:val="es-ES"/>
        </w:rPr>
        <w:t>audio Escanilla. En el caso de é</w:t>
      </w:r>
      <w:r w:rsidRPr="00F84AB1">
        <w:rPr>
          <w:rFonts w:asciiTheme="majorHAnsi" w:eastAsia="Calibri" w:hAnsiTheme="majorHAnsi"/>
          <w:sz w:val="20"/>
          <w:szCs w:val="20"/>
          <w:lang w:val="es-ES"/>
        </w:rPr>
        <w:t>s</w:t>
      </w:r>
      <w:r w:rsidR="00280867" w:rsidRPr="00F84AB1">
        <w:rPr>
          <w:rFonts w:asciiTheme="majorHAnsi" w:eastAsia="Calibri" w:hAnsiTheme="majorHAnsi"/>
          <w:sz w:val="20"/>
          <w:szCs w:val="20"/>
          <w:lang w:val="es-ES"/>
        </w:rPr>
        <w:t>t</w:t>
      </w:r>
      <w:r w:rsidRPr="00F84AB1">
        <w:rPr>
          <w:rFonts w:asciiTheme="majorHAnsi" w:eastAsia="Calibri" w:hAnsiTheme="majorHAnsi"/>
          <w:sz w:val="20"/>
          <w:szCs w:val="20"/>
          <w:lang w:val="es-ES"/>
        </w:rPr>
        <w:t>e último, se presentó una querella por sustracción de menor.</w:t>
      </w:r>
      <w:r w:rsidR="00012631" w:rsidRPr="00F84AB1">
        <w:rPr>
          <w:rFonts w:asciiTheme="majorHAnsi" w:eastAsia="Calibri" w:hAnsiTheme="majorHAnsi"/>
          <w:sz w:val="20"/>
          <w:szCs w:val="20"/>
          <w:lang w:val="es-ES"/>
        </w:rPr>
        <w:t xml:space="preserve"> </w:t>
      </w:r>
    </w:p>
    <w:p w:rsidR="00DA6180" w:rsidRPr="00F84AB1" w:rsidRDefault="00DA6180" w:rsidP="00C64463">
      <w:pPr>
        <w:pStyle w:val="ListParagraph"/>
        <w:jc w:val="both"/>
        <w:rPr>
          <w:rFonts w:asciiTheme="majorHAnsi" w:eastAsia="Calibri" w:hAnsiTheme="majorHAnsi"/>
          <w:sz w:val="20"/>
          <w:szCs w:val="20"/>
          <w:lang w:val="es-ES"/>
        </w:rPr>
      </w:pPr>
    </w:p>
    <w:p w:rsidR="00DA6180" w:rsidRPr="00F84AB1" w:rsidRDefault="00DA6180"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GillSansMT"/>
          <w:sz w:val="20"/>
          <w:szCs w:val="20"/>
          <w:lang w:val="es-ES"/>
        </w:rPr>
      </w:pPr>
      <w:r w:rsidRPr="00F84AB1">
        <w:rPr>
          <w:rFonts w:asciiTheme="majorHAnsi" w:eastAsia="Calibri" w:hAnsiTheme="majorHAnsi"/>
          <w:sz w:val="20"/>
          <w:szCs w:val="20"/>
          <w:lang w:val="es-ES"/>
        </w:rPr>
        <w:t>Los peticionarios refieren que un Ministro de Fuero instruyó la causa Rol No. 2.182-98</w:t>
      </w:r>
      <w:r w:rsidR="00012631" w:rsidRPr="00F84AB1">
        <w:rPr>
          <w:rFonts w:asciiTheme="majorHAnsi" w:eastAsia="Calibri" w:hAnsiTheme="majorHAnsi"/>
          <w:sz w:val="20"/>
          <w:szCs w:val="20"/>
          <w:lang w:val="es-ES"/>
        </w:rPr>
        <w:t xml:space="preserve"> </w:t>
      </w:r>
      <w:r w:rsidRPr="00F84AB1">
        <w:rPr>
          <w:rFonts w:asciiTheme="majorHAnsi" w:eastAsia="Calibri" w:hAnsiTheme="majorHAnsi"/>
          <w:sz w:val="20"/>
          <w:szCs w:val="20"/>
          <w:lang w:val="es-ES"/>
        </w:rPr>
        <w:t>denominada “Episodio Parral”, para investigar los delitos de secuestro de las personas ya individualizadas, a la que se agregaron los procesos previamente detallados.</w:t>
      </w:r>
      <w:r w:rsidR="00012631" w:rsidRPr="00F84AB1">
        <w:rPr>
          <w:rFonts w:asciiTheme="majorHAnsi" w:hAnsiTheme="majorHAnsi" w:cs="GillSansMT"/>
          <w:sz w:val="20"/>
          <w:szCs w:val="20"/>
          <w:lang w:val="es-ES"/>
        </w:rPr>
        <w:t xml:space="preserve"> </w:t>
      </w:r>
    </w:p>
    <w:p w:rsidR="006D7447" w:rsidRPr="00F84AB1" w:rsidRDefault="006D7447" w:rsidP="00C64463">
      <w:pPr>
        <w:pStyle w:val="ListParagraph"/>
        <w:jc w:val="both"/>
        <w:rPr>
          <w:rFonts w:asciiTheme="majorHAnsi" w:hAnsiTheme="majorHAnsi" w:cs="GillSansMT"/>
          <w:sz w:val="20"/>
          <w:szCs w:val="20"/>
          <w:lang w:val="es-ES"/>
        </w:rPr>
      </w:pPr>
    </w:p>
    <w:p w:rsidR="00054A9F" w:rsidRPr="00F84AB1" w:rsidRDefault="006D7447" w:rsidP="00E027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GillSansMT"/>
          <w:sz w:val="20"/>
          <w:szCs w:val="20"/>
          <w:lang w:val="es-ES"/>
        </w:rPr>
      </w:pPr>
      <w:r w:rsidRPr="00F84AB1">
        <w:rPr>
          <w:rFonts w:asciiTheme="majorHAnsi" w:hAnsiTheme="majorHAnsi" w:cs="GillSansMT"/>
          <w:sz w:val="20"/>
          <w:szCs w:val="20"/>
          <w:lang w:val="es-ES"/>
        </w:rPr>
        <w:t>El 4 de agosto de 2003</w:t>
      </w:r>
      <w:r w:rsidRPr="00F84AB1">
        <w:rPr>
          <w:rFonts w:asciiTheme="majorHAnsi" w:hAnsiTheme="majorHAnsi" w:cs="GillSansMT"/>
          <w:b/>
          <w:sz w:val="20"/>
          <w:szCs w:val="20"/>
          <w:lang w:val="es-ES"/>
        </w:rPr>
        <w:t xml:space="preserve"> </w:t>
      </w:r>
      <w:r w:rsidRPr="00F84AB1">
        <w:rPr>
          <w:rFonts w:asciiTheme="majorHAnsi" w:hAnsiTheme="majorHAnsi" w:cs="GillSansMT"/>
          <w:sz w:val="20"/>
          <w:szCs w:val="20"/>
          <w:lang w:val="es-ES"/>
        </w:rPr>
        <w:t xml:space="preserve">se dictó sentencia definitiva que condenó al Coronel del Ejército </w:t>
      </w:r>
      <w:r w:rsidR="00EC63A8" w:rsidRPr="00F84AB1">
        <w:rPr>
          <w:rFonts w:asciiTheme="majorHAnsi" w:hAnsiTheme="majorHAnsi" w:cs="GillSansMT"/>
          <w:sz w:val="20"/>
          <w:szCs w:val="20"/>
          <w:lang w:val="es-ES"/>
        </w:rPr>
        <w:t xml:space="preserve">(R) </w:t>
      </w:r>
      <w:r w:rsidRPr="00F84AB1">
        <w:rPr>
          <w:rFonts w:asciiTheme="majorHAnsi" w:hAnsiTheme="majorHAnsi" w:cs="GillSansMT"/>
          <w:sz w:val="20"/>
          <w:szCs w:val="20"/>
          <w:lang w:val="es-ES"/>
        </w:rPr>
        <w:t>Hugo Alfredo Cardemil Valenzuela como autor del delito de sustracción de menor</w:t>
      </w:r>
      <w:r w:rsidR="00033D0B" w:rsidRPr="00F84AB1">
        <w:rPr>
          <w:rFonts w:asciiTheme="majorHAnsi" w:hAnsiTheme="majorHAnsi" w:cs="GillSansMT"/>
          <w:sz w:val="20"/>
          <w:szCs w:val="20"/>
          <w:lang w:val="es-ES"/>
        </w:rPr>
        <w:t xml:space="preserve"> en contra de Claudio Jesús Escanilla Escobar </w:t>
      </w:r>
      <w:r w:rsidRPr="00F84AB1">
        <w:rPr>
          <w:rFonts w:asciiTheme="majorHAnsi" w:hAnsiTheme="majorHAnsi" w:cs="GillSansMT"/>
          <w:sz w:val="20"/>
          <w:szCs w:val="20"/>
          <w:lang w:val="es-ES"/>
        </w:rPr>
        <w:t xml:space="preserve">y de los secuestros calificados de </w:t>
      </w:r>
      <w:r w:rsidR="00033D0B" w:rsidRPr="00F84AB1">
        <w:rPr>
          <w:rFonts w:asciiTheme="majorHAnsi" w:hAnsiTheme="majorHAnsi" w:cs="GillSansMT"/>
          <w:sz w:val="20"/>
          <w:szCs w:val="20"/>
          <w:lang w:val="es-ES"/>
        </w:rPr>
        <w:t>Luis Evangelista Aguayo Fernández, Manuel Eduardo Bascuñan Aravena, José Ignacio Bustos Fuentes, Enrique Angel Carreño González, Rafael Alonso Díaz Meza, Ireneo Alberto Méndez Hernández, Armando Edelmiro Mor</w:t>
      </w:r>
      <w:r w:rsidR="00FC305C" w:rsidRPr="00F84AB1">
        <w:rPr>
          <w:rFonts w:asciiTheme="majorHAnsi" w:hAnsiTheme="majorHAnsi" w:cs="GillSansMT"/>
          <w:sz w:val="20"/>
          <w:szCs w:val="20"/>
          <w:lang w:val="es-ES"/>
        </w:rPr>
        <w:t xml:space="preserve">ales Morales, Aurelio Clodomiro </w:t>
      </w:r>
      <w:r w:rsidR="00033D0B" w:rsidRPr="00F84AB1">
        <w:rPr>
          <w:rFonts w:asciiTheme="majorHAnsi" w:hAnsiTheme="majorHAnsi" w:cs="GillSansMT"/>
          <w:sz w:val="20"/>
          <w:szCs w:val="20"/>
          <w:lang w:val="es-ES"/>
        </w:rPr>
        <w:t>Peñailillo Sepúlveda, Oscar Abdón Retamal Pérez, Luis Enrique Rivera Cofré, José Hernán Riveros Chávez, Roberto del Carmen Rivero Muñoz, Oscar Eladio Saldías Daza, Hugo Enrique Soto Campos, Ruperto Oriol Torres Araven</w:t>
      </w:r>
      <w:r w:rsidR="0007016D" w:rsidRPr="00F84AB1">
        <w:rPr>
          <w:rFonts w:asciiTheme="majorHAnsi" w:hAnsiTheme="majorHAnsi" w:cs="GillSansMT"/>
          <w:sz w:val="20"/>
          <w:szCs w:val="20"/>
          <w:lang w:val="es-ES"/>
        </w:rPr>
        <w:t>a, Víctor Julio Vivanco Vásquez</w:t>
      </w:r>
      <w:r w:rsidR="00276C5E" w:rsidRPr="00F84AB1">
        <w:rPr>
          <w:rFonts w:asciiTheme="majorHAnsi" w:hAnsiTheme="majorHAnsi" w:cs="GillSansMT"/>
          <w:sz w:val="20"/>
          <w:szCs w:val="20"/>
          <w:lang w:val="es-ES"/>
        </w:rPr>
        <w:t xml:space="preserve"> sentenci</w:t>
      </w:r>
      <w:r w:rsidR="00276C5E" w:rsidRPr="00F84AB1">
        <w:rPr>
          <w:rFonts w:asciiTheme="majorHAnsi" w:hAnsiTheme="majorHAnsi"/>
          <w:sz w:val="20"/>
          <w:szCs w:val="20"/>
          <w:lang w:val="es-ES"/>
        </w:rPr>
        <w:t>ándoles</w:t>
      </w:r>
      <w:r w:rsidR="0007016D" w:rsidRPr="00F84AB1">
        <w:rPr>
          <w:rFonts w:asciiTheme="majorHAnsi" w:hAnsiTheme="majorHAnsi" w:cs="GillSansMT"/>
          <w:sz w:val="20"/>
          <w:szCs w:val="20"/>
          <w:lang w:val="es-ES"/>
        </w:rPr>
        <w:t xml:space="preserve"> </w:t>
      </w:r>
      <w:r w:rsidRPr="00F84AB1">
        <w:rPr>
          <w:rFonts w:asciiTheme="majorHAnsi" w:eastAsia="Calibri" w:hAnsiTheme="majorHAnsi"/>
          <w:sz w:val="20"/>
          <w:szCs w:val="20"/>
          <w:lang w:val="es-ES"/>
        </w:rPr>
        <w:t>a la pen</w:t>
      </w:r>
      <w:r w:rsidR="00033D0B" w:rsidRPr="00F84AB1">
        <w:rPr>
          <w:rFonts w:asciiTheme="majorHAnsi" w:eastAsia="Calibri" w:hAnsiTheme="majorHAnsi"/>
          <w:sz w:val="20"/>
          <w:szCs w:val="20"/>
          <w:lang w:val="es-ES"/>
        </w:rPr>
        <w:t>a de 17 años de presidio mayor</w:t>
      </w:r>
      <w:r w:rsidR="00036321" w:rsidRPr="00F84AB1">
        <w:rPr>
          <w:rFonts w:asciiTheme="majorHAnsi" w:hAnsiTheme="majorHAnsi" w:cs="GillSansMT"/>
          <w:sz w:val="20"/>
          <w:szCs w:val="20"/>
          <w:lang w:val="es-ES"/>
        </w:rPr>
        <w:t>.</w:t>
      </w:r>
      <w:r w:rsidRPr="00F84AB1">
        <w:rPr>
          <w:rFonts w:asciiTheme="majorHAnsi" w:eastAsia="Calibri" w:hAnsiTheme="majorHAnsi"/>
          <w:sz w:val="20"/>
          <w:szCs w:val="20"/>
          <w:lang w:val="es-ES"/>
        </w:rPr>
        <w:t xml:space="preserve"> </w:t>
      </w:r>
      <w:r w:rsidR="006D3A94" w:rsidRPr="00F84AB1">
        <w:rPr>
          <w:rFonts w:asciiTheme="majorHAnsi" w:eastAsia="Calibri" w:hAnsiTheme="majorHAnsi"/>
          <w:sz w:val="20"/>
          <w:szCs w:val="20"/>
          <w:lang w:val="es-ES"/>
        </w:rPr>
        <w:t>T</w:t>
      </w:r>
      <w:r w:rsidRPr="00F84AB1">
        <w:rPr>
          <w:rFonts w:asciiTheme="majorHAnsi" w:eastAsia="Calibri" w:hAnsiTheme="majorHAnsi"/>
          <w:sz w:val="20"/>
          <w:szCs w:val="20"/>
          <w:lang w:val="es-ES"/>
        </w:rPr>
        <w:t>ambién se con</w:t>
      </w:r>
      <w:r w:rsidR="00EC63A8" w:rsidRPr="00F84AB1">
        <w:rPr>
          <w:rFonts w:asciiTheme="majorHAnsi" w:eastAsia="Calibri" w:hAnsiTheme="majorHAnsi"/>
          <w:sz w:val="20"/>
          <w:szCs w:val="20"/>
          <w:lang w:val="es-ES"/>
        </w:rPr>
        <w:t>denó al Coronel de Carabineros (R)</w:t>
      </w:r>
      <w:r w:rsidRPr="00F84AB1">
        <w:rPr>
          <w:rFonts w:asciiTheme="majorHAnsi" w:eastAsia="Calibri" w:hAnsiTheme="majorHAnsi"/>
          <w:sz w:val="20"/>
          <w:szCs w:val="20"/>
          <w:lang w:val="es-ES"/>
        </w:rPr>
        <w:t xml:space="preserve"> Pablo Rodney Caulier Grant por el secuestro </w:t>
      </w:r>
      <w:r w:rsidR="00033D0B" w:rsidRPr="00F84AB1">
        <w:rPr>
          <w:rFonts w:asciiTheme="majorHAnsi" w:eastAsia="Calibri" w:hAnsiTheme="majorHAnsi"/>
          <w:sz w:val="20"/>
          <w:szCs w:val="20"/>
          <w:lang w:val="es-ES"/>
        </w:rPr>
        <w:t xml:space="preserve">calificado </w:t>
      </w:r>
      <w:r w:rsidRPr="00F84AB1">
        <w:rPr>
          <w:rFonts w:asciiTheme="majorHAnsi" w:eastAsia="Calibri" w:hAnsiTheme="majorHAnsi"/>
          <w:sz w:val="20"/>
          <w:szCs w:val="20"/>
          <w:lang w:val="es-ES"/>
        </w:rPr>
        <w:t xml:space="preserve">de </w:t>
      </w:r>
      <w:r w:rsidR="00FE4503" w:rsidRPr="00F84AB1">
        <w:rPr>
          <w:rFonts w:asciiTheme="majorHAnsi" w:hAnsiTheme="majorHAnsi" w:cs="GillSansMT"/>
          <w:sz w:val="20"/>
          <w:szCs w:val="20"/>
          <w:lang w:val="es-ES"/>
        </w:rPr>
        <w:t xml:space="preserve">Rolando </w:t>
      </w:r>
      <w:r w:rsidR="00FC305C" w:rsidRPr="00F84AB1">
        <w:rPr>
          <w:rFonts w:asciiTheme="majorHAnsi" w:hAnsiTheme="majorHAnsi" w:cs="GillSansMT"/>
          <w:sz w:val="20"/>
          <w:szCs w:val="20"/>
          <w:lang w:val="es-ES"/>
        </w:rPr>
        <w:t xml:space="preserve">Antonio Ibarra Ortega (López), </w:t>
      </w:r>
      <w:r w:rsidR="00FE4503" w:rsidRPr="00F84AB1">
        <w:rPr>
          <w:rFonts w:asciiTheme="majorHAnsi" w:hAnsiTheme="majorHAnsi" w:cs="GillSansMT"/>
          <w:sz w:val="20"/>
          <w:szCs w:val="20"/>
          <w:lang w:val="es-ES"/>
        </w:rPr>
        <w:t xml:space="preserve">Aroldo Vivian Laurie Luengo, Luis Alcides Pereira Hernández, Armando Aroldo Pereira Meriño, Hernán Sarmiento Sabater, Edelmerio Andonio Valdez Sepúlveda, y Oscar Abdón Retamal Pérez </w:t>
      </w:r>
      <w:r w:rsidRPr="00F84AB1">
        <w:rPr>
          <w:rFonts w:asciiTheme="majorHAnsi" w:eastAsia="Calibri" w:hAnsiTheme="majorHAnsi"/>
          <w:sz w:val="20"/>
          <w:szCs w:val="20"/>
          <w:lang w:val="es-ES"/>
        </w:rPr>
        <w:t>a</w:t>
      </w:r>
      <w:r w:rsidR="00FE4503" w:rsidRPr="00F84AB1">
        <w:rPr>
          <w:rFonts w:asciiTheme="majorHAnsi" w:eastAsia="Calibri" w:hAnsiTheme="majorHAnsi"/>
          <w:sz w:val="20"/>
          <w:szCs w:val="20"/>
          <w:lang w:val="es-ES"/>
        </w:rPr>
        <w:t xml:space="preserve"> la pena</w:t>
      </w:r>
      <w:r w:rsidRPr="00F84AB1">
        <w:rPr>
          <w:rFonts w:asciiTheme="majorHAnsi" w:eastAsia="Calibri" w:hAnsiTheme="majorHAnsi"/>
          <w:sz w:val="20"/>
          <w:szCs w:val="20"/>
          <w:lang w:val="es-ES"/>
        </w:rPr>
        <w:t xml:space="preserve"> </w:t>
      </w:r>
      <w:r w:rsidR="00FE4503" w:rsidRPr="00F84AB1">
        <w:rPr>
          <w:rFonts w:asciiTheme="majorHAnsi" w:eastAsia="Calibri" w:hAnsiTheme="majorHAnsi"/>
          <w:sz w:val="20"/>
          <w:szCs w:val="20"/>
          <w:lang w:val="es-ES"/>
        </w:rPr>
        <w:t>de 10 años y un día de presidio</w:t>
      </w:r>
      <w:r w:rsidR="006D3A94" w:rsidRPr="00F84AB1">
        <w:rPr>
          <w:rFonts w:asciiTheme="majorHAnsi" w:eastAsia="Calibri" w:hAnsiTheme="majorHAnsi"/>
          <w:sz w:val="20"/>
          <w:szCs w:val="20"/>
          <w:lang w:val="es-ES"/>
        </w:rPr>
        <w:t>, siendo absuelto de la acusación por los delitos de secuestro calificado de José Luis Morales Ruiz</w:t>
      </w:r>
      <w:r w:rsidR="00FE4503" w:rsidRPr="00F84AB1">
        <w:rPr>
          <w:rFonts w:asciiTheme="majorHAnsi" w:eastAsia="Calibri" w:hAnsiTheme="majorHAnsi"/>
          <w:sz w:val="20"/>
          <w:szCs w:val="20"/>
          <w:lang w:val="es-ES"/>
        </w:rPr>
        <w:t>.</w:t>
      </w:r>
      <w:r w:rsidRPr="00F84AB1">
        <w:rPr>
          <w:rFonts w:asciiTheme="majorHAnsi" w:eastAsia="Calibri" w:hAnsiTheme="majorHAnsi"/>
          <w:sz w:val="20"/>
          <w:szCs w:val="20"/>
          <w:lang w:val="es-ES"/>
        </w:rPr>
        <w:t xml:space="preserve"> </w:t>
      </w:r>
      <w:r w:rsidR="00337A8C" w:rsidRPr="00F84AB1">
        <w:rPr>
          <w:rFonts w:asciiTheme="majorHAnsi" w:eastAsia="Calibri" w:hAnsiTheme="majorHAnsi"/>
          <w:sz w:val="20"/>
          <w:szCs w:val="20"/>
          <w:lang w:val="es-ES"/>
        </w:rPr>
        <w:t xml:space="preserve">Además, se habría </w:t>
      </w:r>
      <w:r w:rsidRPr="00F84AB1">
        <w:rPr>
          <w:rFonts w:asciiTheme="majorHAnsi" w:eastAsia="Calibri" w:hAnsiTheme="majorHAnsi"/>
          <w:sz w:val="20"/>
          <w:szCs w:val="20"/>
          <w:lang w:val="es-ES"/>
        </w:rPr>
        <w:t xml:space="preserve">condenado al Sub Oficial de Carabineros </w:t>
      </w:r>
      <w:r w:rsidR="00EC63A8" w:rsidRPr="00F84AB1">
        <w:rPr>
          <w:rFonts w:asciiTheme="majorHAnsi" w:eastAsia="Calibri" w:hAnsiTheme="majorHAnsi"/>
          <w:sz w:val="20"/>
          <w:szCs w:val="20"/>
          <w:lang w:val="es-ES"/>
        </w:rPr>
        <w:t xml:space="preserve">(R) </w:t>
      </w:r>
      <w:r w:rsidRPr="00F84AB1">
        <w:rPr>
          <w:rFonts w:asciiTheme="majorHAnsi" w:eastAsia="Calibri" w:hAnsiTheme="majorHAnsi"/>
          <w:sz w:val="20"/>
          <w:szCs w:val="20"/>
          <w:lang w:val="es-ES"/>
        </w:rPr>
        <w:t xml:space="preserve">Luis Alberto </w:t>
      </w:r>
      <w:r w:rsidR="00337A8C" w:rsidRPr="00F84AB1">
        <w:rPr>
          <w:rFonts w:asciiTheme="majorHAnsi" w:eastAsia="Calibri" w:hAnsiTheme="majorHAnsi"/>
          <w:sz w:val="20"/>
          <w:szCs w:val="20"/>
          <w:lang w:val="es-ES"/>
        </w:rPr>
        <w:t>H</w:t>
      </w:r>
      <w:r w:rsidRPr="00F84AB1">
        <w:rPr>
          <w:rFonts w:asciiTheme="majorHAnsi" w:eastAsia="Calibri" w:hAnsiTheme="majorHAnsi"/>
          <w:sz w:val="20"/>
          <w:szCs w:val="20"/>
          <w:lang w:val="es-ES"/>
        </w:rPr>
        <w:t xml:space="preserve">idalgo </w:t>
      </w:r>
      <w:r w:rsidR="00337A8C" w:rsidRPr="00F84AB1">
        <w:rPr>
          <w:rFonts w:asciiTheme="majorHAnsi" w:eastAsia="Calibri" w:hAnsiTheme="majorHAnsi"/>
          <w:sz w:val="20"/>
          <w:szCs w:val="20"/>
          <w:lang w:val="es-ES"/>
        </w:rPr>
        <w:t>como autor del delito de</w:t>
      </w:r>
      <w:r w:rsidRPr="00F84AB1">
        <w:rPr>
          <w:rFonts w:asciiTheme="majorHAnsi" w:eastAsia="Calibri" w:hAnsiTheme="majorHAnsi"/>
          <w:sz w:val="20"/>
          <w:szCs w:val="20"/>
          <w:lang w:val="es-ES"/>
        </w:rPr>
        <w:t xml:space="preserve"> sustracción del </w:t>
      </w:r>
      <w:r w:rsidR="00C809E5" w:rsidRPr="00F84AB1">
        <w:rPr>
          <w:rFonts w:asciiTheme="majorHAnsi" w:eastAsia="Calibri" w:hAnsiTheme="majorHAnsi"/>
          <w:sz w:val="20"/>
          <w:szCs w:val="20"/>
          <w:lang w:val="es-ES"/>
        </w:rPr>
        <w:t xml:space="preserve">adolescente </w:t>
      </w:r>
      <w:r w:rsidR="00C809E5" w:rsidRPr="00F84AB1">
        <w:rPr>
          <w:rFonts w:asciiTheme="majorHAnsi" w:hAnsiTheme="majorHAnsi" w:cs="GillSansMT"/>
          <w:sz w:val="20"/>
          <w:szCs w:val="20"/>
          <w:lang w:val="es-ES"/>
        </w:rPr>
        <w:t>Claudio Jesús Escanilla Escobar</w:t>
      </w:r>
      <w:r w:rsidR="00C809E5" w:rsidRPr="00F84AB1">
        <w:rPr>
          <w:rFonts w:asciiTheme="majorHAnsi" w:eastAsia="Calibri" w:hAnsiTheme="majorHAnsi"/>
          <w:sz w:val="20"/>
          <w:szCs w:val="20"/>
          <w:lang w:val="es-ES"/>
        </w:rPr>
        <w:t xml:space="preserve"> </w:t>
      </w:r>
      <w:r w:rsidRPr="00F84AB1">
        <w:rPr>
          <w:rFonts w:asciiTheme="majorHAnsi" w:eastAsia="Calibri" w:hAnsiTheme="majorHAnsi"/>
          <w:sz w:val="20"/>
          <w:szCs w:val="20"/>
          <w:lang w:val="es-ES"/>
        </w:rPr>
        <w:t>y</w:t>
      </w:r>
      <w:r w:rsidR="00C809E5" w:rsidRPr="00F84AB1">
        <w:rPr>
          <w:rFonts w:asciiTheme="majorHAnsi" w:eastAsia="Calibri" w:hAnsiTheme="majorHAnsi"/>
          <w:sz w:val="20"/>
          <w:szCs w:val="20"/>
          <w:lang w:val="es-ES"/>
        </w:rPr>
        <w:t xml:space="preserve"> delitos de secuestro calificado</w:t>
      </w:r>
      <w:r w:rsidRPr="00F84AB1">
        <w:rPr>
          <w:rFonts w:asciiTheme="majorHAnsi" w:eastAsia="Calibri" w:hAnsiTheme="majorHAnsi"/>
          <w:sz w:val="20"/>
          <w:szCs w:val="20"/>
          <w:lang w:val="es-ES"/>
        </w:rPr>
        <w:t xml:space="preserve"> de </w:t>
      </w:r>
      <w:r w:rsidR="00C809E5" w:rsidRPr="00F84AB1">
        <w:rPr>
          <w:rFonts w:asciiTheme="majorHAnsi" w:eastAsia="Calibri" w:hAnsiTheme="majorHAnsi"/>
          <w:sz w:val="20"/>
          <w:szCs w:val="20"/>
          <w:lang w:val="es-ES"/>
        </w:rPr>
        <w:t xml:space="preserve">Manuel Eduardo Bascuñan Aravena, José Ignacio Bustos Fuentes, Rafael Alonso Díaz Meza, Ireneo Alberto Méndez Hernández, Armando Edelmiro Morales Morales, Aurelio Clodomiro Peñailillo Sepúlveda, Oscar Abdón Retamal Pérez, Luis Enrique Rivera Cofré, José Hernán Riveros Chávez, Roberto del Carmen Rivero Muñoz, Oscar Eladio Saldías Daza, Hugo Enrique Soto Campos, Víctor Julio Vivanco Vásquez, Rolando Antonio Ibarra Ortega (López), Aroldo Vivian Laurie Luengo, Luis Alcides Pereira Hernández, Armando Aroldo Pereira Meriño, Hernán </w:t>
      </w:r>
      <w:r w:rsidR="00CB44EB" w:rsidRPr="00F84AB1">
        <w:rPr>
          <w:rFonts w:asciiTheme="majorHAnsi" w:eastAsia="Calibri" w:hAnsiTheme="majorHAnsi"/>
          <w:sz w:val="20"/>
          <w:szCs w:val="20"/>
          <w:lang w:val="es-ES"/>
        </w:rPr>
        <w:t>Sarmiento Sabater, Edelmerio Ant</w:t>
      </w:r>
      <w:r w:rsidR="00C809E5" w:rsidRPr="00F84AB1">
        <w:rPr>
          <w:rFonts w:asciiTheme="majorHAnsi" w:eastAsia="Calibri" w:hAnsiTheme="majorHAnsi"/>
          <w:sz w:val="20"/>
          <w:szCs w:val="20"/>
          <w:lang w:val="es-ES"/>
        </w:rPr>
        <w:t>onio Valdez Sepúlveda</w:t>
      </w:r>
      <w:r w:rsidR="00F80A12" w:rsidRPr="00F84AB1">
        <w:rPr>
          <w:rFonts w:asciiTheme="majorHAnsi" w:eastAsia="Calibri" w:hAnsiTheme="majorHAnsi"/>
          <w:sz w:val="20"/>
          <w:szCs w:val="20"/>
          <w:lang w:val="es-ES"/>
        </w:rPr>
        <w:t xml:space="preserve"> </w:t>
      </w:r>
      <w:r w:rsidR="00E027CA" w:rsidRPr="00F84AB1">
        <w:rPr>
          <w:rFonts w:asciiTheme="majorHAnsi" w:eastAsia="Calibri" w:hAnsiTheme="majorHAnsi"/>
          <w:sz w:val="20"/>
          <w:szCs w:val="20"/>
          <w:lang w:val="es-ES"/>
        </w:rPr>
        <w:t xml:space="preserve">sentenciándoles </w:t>
      </w:r>
      <w:r w:rsidR="00F80A12" w:rsidRPr="00F84AB1">
        <w:rPr>
          <w:rFonts w:asciiTheme="majorHAnsi" w:eastAsia="Calibri" w:hAnsiTheme="majorHAnsi"/>
          <w:sz w:val="20"/>
          <w:szCs w:val="20"/>
          <w:lang w:val="es-ES"/>
        </w:rPr>
        <w:t>a la pena de siete años de presidio</w:t>
      </w:r>
      <w:r w:rsidR="006A4BBF" w:rsidRPr="00F84AB1">
        <w:rPr>
          <w:rFonts w:asciiTheme="majorHAnsi" w:eastAsia="Calibri" w:hAnsiTheme="majorHAnsi"/>
          <w:sz w:val="20"/>
          <w:szCs w:val="20"/>
          <w:lang w:val="es-ES"/>
        </w:rPr>
        <w:t xml:space="preserve">, siendo absuelto de la acusación por </w:t>
      </w:r>
      <w:r w:rsidR="00B04664" w:rsidRPr="00F84AB1">
        <w:rPr>
          <w:rFonts w:asciiTheme="majorHAnsi" w:eastAsia="Calibri" w:hAnsiTheme="majorHAnsi"/>
          <w:sz w:val="20"/>
          <w:szCs w:val="20"/>
          <w:lang w:val="es-ES"/>
        </w:rPr>
        <w:t>el delito</w:t>
      </w:r>
      <w:r w:rsidR="006A4BBF" w:rsidRPr="00F84AB1">
        <w:rPr>
          <w:rFonts w:asciiTheme="majorHAnsi" w:eastAsia="Calibri" w:hAnsiTheme="majorHAnsi"/>
          <w:sz w:val="20"/>
          <w:szCs w:val="20"/>
          <w:lang w:val="es-ES"/>
        </w:rPr>
        <w:t xml:space="preserve"> de secuestro calificado de José Luis Morales Ruiz</w:t>
      </w:r>
      <w:r w:rsidR="00054A9F" w:rsidRPr="00F84AB1">
        <w:rPr>
          <w:rFonts w:asciiTheme="majorHAnsi" w:eastAsia="Calibri" w:hAnsiTheme="majorHAnsi"/>
          <w:sz w:val="20"/>
          <w:szCs w:val="20"/>
          <w:lang w:val="es-ES"/>
        </w:rPr>
        <w:t>.</w:t>
      </w:r>
    </w:p>
    <w:p w:rsidR="00054A9F" w:rsidRPr="00F84AB1" w:rsidRDefault="00054A9F" w:rsidP="00C644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GillSansMT"/>
          <w:sz w:val="20"/>
          <w:szCs w:val="20"/>
          <w:lang w:val="es-ES"/>
        </w:rPr>
      </w:pPr>
    </w:p>
    <w:p w:rsidR="006D7447" w:rsidRPr="00F84AB1" w:rsidRDefault="00054A9F"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GillSansMT"/>
          <w:sz w:val="20"/>
          <w:szCs w:val="20"/>
          <w:lang w:val="es-ES"/>
        </w:rPr>
      </w:pPr>
      <w:r w:rsidRPr="00F84AB1">
        <w:rPr>
          <w:rFonts w:asciiTheme="majorHAnsi" w:eastAsia="Calibri" w:hAnsiTheme="majorHAnsi"/>
          <w:sz w:val="20"/>
          <w:szCs w:val="20"/>
          <w:lang w:val="es-ES"/>
        </w:rPr>
        <w:t>Dicha s</w:t>
      </w:r>
      <w:r w:rsidR="006D7447" w:rsidRPr="00F84AB1">
        <w:rPr>
          <w:rFonts w:asciiTheme="majorHAnsi" w:eastAsia="Calibri" w:hAnsiTheme="majorHAnsi"/>
          <w:sz w:val="20"/>
          <w:szCs w:val="20"/>
          <w:lang w:val="es-ES"/>
        </w:rPr>
        <w:t xml:space="preserve">entencia </w:t>
      </w:r>
      <w:r w:rsidRPr="00F84AB1">
        <w:rPr>
          <w:rFonts w:asciiTheme="majorHAnsi" w:eastAsia="Calibri" w:hAnsiTheme="majorHAnsi"/>
          <w:sz w:val="20"/>
          <w:szCs w:val="20"/>
          <w:lang w:val="es-ES"/>
        </w:rPr>
        <w:t>fue</w:t>
      </w:r>
      <w:r w:rsidR="006D7447" w:rsidRPr="00F84AB1">
        <w:rPr>
          <w:rFonts w:asciiTheme="majorHAnsi" w:eastAsia="Calibri" w:hAnsiTheme="majorHAnsi"/>
          <w:sz w:val="20"/>
          <w:szCs w:val="20"/>
          <w:lang w:val="es-ES"/>
        </w:rPr>
        <w:t xml:space="preserve"> confirmada en segunda instancia por la C</w:t>
      </w:r>
      <w:r w:rsidR="00F80A12" w:rsidRPr="00F84AB1">
        <w:rPr>
          <w:rFonts w:asciiTheme="majorHAnsi" w:eastAsia="Calibri" w:hAnsiTheme="majorHAnsi"/>
          <w:sz w:val="20"/>
          <w:szCs w:val="20"/>
          <w:lang w:val="es-ES"/>
        </w:rPr>
        <w:t xml:space="preserve">orte de </w:t>
      </w:r>
      <w:r w:rsidR="006D7447" w:rsidRPr="00F84AB1">
        <w:rPr>
          <w:rFonts w:asciiTheme="majorHAnsi" w:eastAsia="Calibri" w:hAnsiTheme="majorHAnsi"/>
          <w:sz w:val="20"/>
          <w:szCs w:val="20"/>
          <w:lang w:val="es-ES"/>
        </w:rPr>
        <w:t>A</w:t>
      </w:r>
      <w:r w:rsidR="00F80A12" w:rsidRPr="00F84AB1">
        <w:rPr>
          <w:rFonts w:asciiTheme="majorHAnsi" w:eastAsia="Calibri" w:hAnsiTheme="majorHAnsi"/>
          <w:sz w:val="20"/>
          <w:szCs w:val="20"/>
          <w:lang w:val="es-ES"/>
        </w:rPr>
        <w:t xml:space="preserve">pelaciones de </w:t>
      </w:r>
      <w:r w:rsidR="006D7447" w:rsidRPr="00F84AB1">
        <w:rPr>
          <w:rFonts w:asciiTheme="majorHAnsi" w:eastAsia="Calibri" w:hAnsiTheme="majorHAnsi"/>
          <w:sz w:val="20"/>
          <w:szCs w:val="20"/>
          <w:lang w:val="es-ES"/>
        </w:rPr>
        <w:t>S</w:t>
      </w:r>
      <w:r w:rsidR="00F80A12" w:rsidRPr="00F84AB1">
        <w:rPr>
          <w:rFonts w:asciiTheme="majorHAnsi" w:eastAsia="Calibri" w:hAnsiTheme="majorHAnsi"/>
          <w:sz w:val="20"/>
          <w:szCs w:val="20"/>
          <w:lang w:val="es-ES"/>
        </w:rPr>
        <w:t>antiago el 15 de jun</w:t>
      </w:r>
      <w:r w:rsidR="006D7447" w:rsidRPr="00F84AB1">
        <w:rPr>
          <w:rFonts w:asciiTheme="majorHAnsi" w:eastAsia="Calibri" w:hAnsiTheme="majorHAnsi"/>
          <w:sz w:val="20"/>
          <w:szCs w:val="20"/>
          <w:lang w:val="es-ES"/>
        </w:rPr>
        <w:t>io de 2005, elevándose la pena impuesta a Luis Albero Hidalgo</w:t>
      </w:r>
      <w:r w:rsidR="008A7A92" w:rsidRPr="00F84AB1">
        <w:rPr>
          <w:rFonts w:asciiTheme="majorHAnsi" w:eastAsia="Calibri" w:hAnsiTheme="majorHAnsi"/>
          <w:sz w:val="20"/>
          <w:szCs w:val="20"/>
          <w:lang w:val="es-ES"/>
        </w:rPr>
        <w:t xml:space="preserve"> a 10 años y un día de presidio, </w:t>
      </w:r>
      <w:r w:rsidR="006D7447" w:rsidRPr="00F84AB1">
        <w:rPr>
          <w:rFonts w:asciiTheme="majorHAnsi" w:eastAsia="Calibri" w:hAnsiTheme="majorHAnsi"/>
          <w:sz w:val="20"/>
          <w:szCs w:val="20"/>
          <w:lang w:val="es-ES"/>
        </w:rPr>
        <w:t xml:space="preserve">y responsabilizándolo por el secuestro de los señores </w:t>
      </w:r>
      <w:r w:rsidR="008A7A92" w:rsidRPr="00F84AB1">
        <w:rPr>
          <w:rFonts w:asciiTheme="majorHAnsi" w:eastAsia="Calibri" w:hAnsiTheme="majorHAnsi"/>
          <w:sz w:val="20"/>
          <w:szCs w:val="20"/>
          <w:lang w:val="es-ES"/>
        </w:rPr>
        <w:t xml:space="preserve">Luis Evangelista Aguayo Fernández </w:t>
      </w:r>
      <w:r w:rsidR="006D7447" w:rsidRPr="00F84AB1">
        <w:rPr>
          <w:rFonts w:asciiTheme="majorHAnsi" w:eastAsia="Calibri" w:hAnsiTheme="majorHAnsi"/>
          <w:sz w:val="20"/>
          <w:szCs w:val="20"/>
          <w:lang w:val="es-ES"/>
        </w:rPr>
        <w:t xml:space="preserve">y </w:t>
      </w:r>
      <w:r w:rsidR="008A7A92" w:rsidRPr="00F84AB1">
        <w:rPr>
          <w:rFonts w:asciiTheme="majorHAnsi" w:eastAsia="Calibri" w:hAnsiTheme="majorHAnsi"/>
          <w:sz w:val="20"/>
          <w:szCs w:val="20"/>
          <w:lang w:val="es-ES"/>
        </w:rPr>
        <w:t>Enrique Angel Carreño González</w:t>
      </w:r>
      <w:r w:rsidR="006D7447" w:rsidRPr="00F84AB1">
        <w:rPr>
          <w:rFonts w:asciiTheme="majorHAnsi" w:eastAsia="Calibri" w:hAnsiTheme="majorHAnsi"/>
          <w:sz w:val="20"/>
          <w:szCs w:val="20"/>
          <w:lang w:val="es-ES"/>
        </w:rPr>
        <w:t xml:space="preserve">; y </w:t>
      </w:r>
      <w:r w:rsidR="008A7A92" w:rsidRPr="00F84AB1">
        <w:rPr>
          <w:rFonts w:asciiTheme="majorHAnsi" w:eastAsia="Calibri" w:hAnsiTheme="majorHAnsi"/>
          <w:sz w:val="20"/>
          <w:szCs w:val="20"/>
          <w:lang w:val="es-ES"/>
        </w:rPr>
        <w:t>reduciendo</w:t>
      </w:r>
      <w:r w:rsidR="006D7447" w:rsidRPr="00F84AB1">
        <w:rPr>
          <w:rFonts w:asciiTheme="majorHAnsi" w:eastAsia="Calibri" w:hAnsiTheme="majorHAnsi"/>
          <w:sz w:val="20"/>
          <w:szCs w:val="20"/>
          <w:lang w:val="es-ES"/>
        </w:rPr>
        <w:t xml:space="preserve"> la pena a Hugo</w:t>
      </w:r>
      <w:r w:rsidR="008A7A92" w:rsidRPr="00F84AB1">
        <w:rPr>
          <w:rFonts w:asciiTheme="majorHAnsi" w:eastAsia="Calibri" w:hAnsiTheme="majorHAnsi"/>
          <w:sz w:val="20"/>
          <w:szCs w:val="20"/>
          <w:lang w:val="es-ES"/>
        </w:rPr>
        <w:t xml:space="preserve"> </w:t>
      </w:r>
      <w:r w:rsidR="00531D2B" w:rsidRPr="00F84AB1">
        <w:rPr>
          <w:rFonts w:asciiTheme="majorHAnsi" w:eastAsia="Calibri" w:hAnsiTheme="majorHAnsi"/>
          <w:sz w:val="20"/>
          <w:szCs w:val="20"/>
          <w:lang w:val="es-ES"/>
        </w:rPr>
        <w:t>Alfredo</w:t>
      </w:r>
      <w:r w:rsidR="006D7447" w:rsidRPr="00F84AB1">
        <w:rPr>
          <w:rFonts w:asciiTheme="majorHAnsi" w:eastAsia="Calibri" w:hAnsiTheme="majorHAnsi"/>
          <w:sz w:val="20"/>
          <w:szCs w:val="20"/>
          <w:lang w:val="es-ES"/>
        </w:rPr>
        <w:t xml:space="preserve"> Cardemil </w:t>
      </w:r>
      <w:r w:rsidR="008A7A92" w:rsidRPr="00F84AB1">
        <w:rPr>
          <w:rFonts w:asciiTheme="majorHAnsi" w:eastAsia="Calibri" w:hAnsiTheme="majorHAnsi"/>
          <w:sz w:val="20"/>
          <w:szCs w:val="20"/>
          <w:lang w:val="es-ES"/>
        </w:rPr>
        <w:t xml:space="preserve">Valenzuela </w:t>
      </w:r>
      <w:r w:rsidR="006D7447" w:rsidRPr="00F84AB1">
        <w:rPr>
          <w:rFonts w:asciiTheme="majorHAnsi" w:eastAsia="Calibri" w:hAnsiTheme="majorHAnsi"/>
          <w:sz w:val="20"/>
          <w:szCs w:val="20"/>
          <w:lang w:val="es-ES"/>
        </w:rPr>
        <w:t>a 15 años y un día de presidio.</w:t>
      </w:r>
    </w:p>
    <w:p w:rsidR="00573728" w:rsidRPr="00F84AB1" w:rsidRDefault="00573728" w:rsidP="00C64463">
      <w:pPr>
        <w:pStyle w:val="ListParagraph"/>
        <w:jc w:val="both"/>
        <w:rPr>
          <w:rFonts w:asciiTheme="majorHAnsi" w:hAnsiTheme="majorHAnsi" w:cs="GillSansMT"/>
          <w:sz w:val="20"/>
          <w:szCs w:val="20"/>
          <w:lang w:val="es-ES"/>
        </w:rPr>
      </w:pPr>
    </w:p>
    <w:p w:rsidR="006D7447" w:rsidRPr="00F84AB1" w:rsidRDefault="00531D2B"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GillSansMT"/>
          <w:sz w:val="20"/>
          <w:szCs w:val="20"/>
          <w:lang w:val="es-ES"/>
        </w:rPr>
      </w:pPr>
      <w:r w:rsidRPr="00F84AB1">
        <w:rPr>
          <w:rFonts w:asciiTheme="majorHAnsi" w:hAnsiTheme="majorHAnsi" w:cs="GillSansMT"/>
          <w:sz w:val="20"/>
          <w:szCs w:val="20"/>
          <w:lang w:val="es-ES"/>
        </w:rPr>
        <w:t>Indican que el 27 de diciembre de 2007, la Corte Suprema conociendo de un recurso de casación invalidó de oficio la sentencia de segunda instancia y dictó sentencia de reemplazo al considerar que adolecía de vicios formales</w:t>
      </w:r>
      <w:r w:rsidR="00A248CC" w:rsidRPr="00F84AB1">
        <w:rPr>
          <w:rFonts w:asciiTheme="majorHAnsi" w:hAnsiTheme="majorHAnsi" w:cs="GillSansMT"/>
          <w:sz w:val="20"/>
          <w:szCs w:val="20"/>
          <w:lang w:val="es-ES"/>
        </w:rPr>
        <w:t>, otorgando a los condenados el beneficio de la media prescripción</w:t>
      </w:r>
      <w:r w:rsidRPr="00F84AB1">
        <w:rPr>
          <w:rFonts w:asciiTheme="majorHAnsi" w:hAnsiTheme="majorHAnsi" w:cs="GillSansMT"/>
          <w:sz w:val="20"/>
          <w:szCs w:val="20"/>
          <w:lang w:val="es-ES"/>
        </w:rPr>
        <w:t xml:space="preserve">. Con esto se habría reducido la sentencia de Hugo Alfredo Cardemil Valenzuela a </w:t>
      </w:r>
      <w:r w:rsidR="00976D73" w:rsidRPr="00F84AB1">
        <w:rPr>
          <w:rFonts w:asciiTheme="majorHAnsi" w:hAnsiTheme="majorHAnsi" w:cs="GillSansMT"/>
          <w:sz w:val="20"/>
          <w:szCs w:val="20"/>
          <w:lang w:val="es-ES"/>
        </w:rPr>
        <w:t>cinco</w:t>
      </w:r>
      <w:r w:rsidRPr="00F84AB1">
        <w:rPr>
          <w:rFonts w:asciiTheme="majorHAnsi" w:hAnsiTheme="majorHAnsi" w:cs="GillSansMT"/>
          <w:sz w:val="20"/>
          <w:szCs w:val="20"/>
          <w:lang w:val="es-ES"/>
        </w:rPr>
        <w:t xml:space="preserve"> años de presidio, y </w:t>
      </w:r>
      <w:r w:rsidR="00F33DC3" w:rsidRPr="00F84AB1">
        <w:rPr>
          <w:rFonts w:asciiTheme="majorHAnsi" w:hAnsiTheme="majorHAnsi" w:cs="GillSansMT"/>
          <w:sz w:val="20"/>
          <w:szCs w:val="20"/>
          <w:lang w:val="es-ES"/>
        </w:rPr>
        <w:t>a Pablo Rodney Caulier Grant a cuatro</w:t>
      </w:r>
      <w:r w:rsidRPr="00F84AB1">
        <w:rPr>
          <w:rFonts w:asciiTheme="majorHAnsi" w:hAnsiTheme="majorHAnsi" w:cs="GillSansMT"/>
          <w:sz w:val="20"/>
          <w:szCs w:val="20"/>
          <w:lang w:val="es-ES"/>
        </w:rPr>
        <w:t xml:space="preserve"> años de presidio, </w:t>
      </w:r>
      <w:r w:rsidR="003633DF" w:rsidRPr="00F84AB1">
        <w:rPr>
          <w:rFonts w:asciiTheme="majorHAnsi" w:hAnsiTheme="majorHAnsi" w:cs="GillSansMT"/>
          <w:sz w:val="20"/>
          <w:szCs w:val="20"/>
          <w:lang w:val="es-ES"/>
        </w:rPr>
        <w:t xml:space="preserve">sin pronunciarse respecto de </w:t>
      </w:r>
      <w:r w:rsidRPr="00F84AB1">
        <w:rPr>
          <w:rFonts w:asciiTheme="majorHAnsi" w:hAnsiTheme="majorHAnsi" w:cs="GillSansMT"/>
          <w:sz w:val="20"/>
          <w:szCs w:val="20"/>
          <w:lang w:val="es-ES"/>
        </w:rPr>
        <w:t xml:space="preserve">Luis </w:t>
      </w:r>
      <w:r w:rsidR="003633DF" w:rsidRPr="00F84AB1">
        <w:rPr>
          <w:rFonts w:asciiTheme="majorHAnsi" w:hAnsiTheme="majorHAnsi" w:cs="GillSansMT"/>
          <w:sz w:val="20"/>
          <w:szCs w:val="20"/>
          <w:lang w:val="es-ES"/>
        </w:rPr>
        <w:t xml:space="preserve">Alberto </w:t>
      </w:r>
      <w:r w:rsidRPr="00F84AB1">
        <w:rPr>
          <w:rFonts w:asciiTheme="majorHAnsi" w:hAnsiTheme="majorHAnsi" w:cs="GillSansMT"/>
          <w:sz w:val="20"/>
          <w:szCs w:val="20"/>
          <w:lang w:val="es-ES"/>
        </w:rPr>
        <w:t xml:space="preserve">Hidalgo, </w:t>
      </w:r>
      <w:r w:rsidR="0061276A" w:rsidRPr="00F84AB1">
        <w:rPr>
          <w:rFonts w:asciiTheme="majorHAnsi" w:hAnsiTheme="majorHAnsi" w:cs="GillSansMT"/>
          <w:sz w:val="20"/>
          <w:szCs w:val="20"/>
          <w:lang w:val="es-ES"/>
        </w:rPr>
        <w:t>atendido</w:t>
      </w:r>
      <w:r w:rsidRPr="00F84AB1">
        <w:rPr>
          <w:rFonts w:asciiTheme="majorHAnsi" w:hAnsiTheme="majorHAnsi" w:cs="GillSansMT"/>
          <w:sz w:val="20"/>
          <w:szCs w:val="20"/>
          <w:lang w:val="es-ES"/>
        </w:rPr>
        <w:t xml:space="preserve"> su </w:t>
      </w:r>
      <w:r w:rsidR="0061276A" w:rsidRPr="00F84AB1">
        <w:rPr>
          <w:rFonts w:asciiTheme="majorHAnsi" w:hAnsiTheme="majorHAnsi" w:cs="GillSansMT"/>
          <w:sz w:val="20"/>
          <w:szCs w:val="20"/>
          <w:lang w:val="es-ES"/>
        </w:rPr>
        <w:t>fallecimiento</w:t>
      </w:r>
      <w:r w:rsidRPr="00F84AB1">
        <w:rPr>
          <w:rFonts w:asciiTheme="majorHAnsi" w:hAnsiTheme="majorHAnsi" w:cs="GillSansMT"/>
          <w:sz w:val="20"/>
          <w:szCs w:val="20"/>
          <w:lang w:val="es-ES"/>
        </w:rPr>
        <w:t>.</w:t>
      </w:r>
      <w:r w:rsidR="00E620BE" w:rsidRPr="00F84AB1">
        <w:rPr>
          <w:rFonts w:asciiTheme="majorHAnsi" w:hAnsiTheme="majorHAnsi" w:cs="GillSansMT"/>
          <w:sz w:val="20"/>
          <w:szCs w:val="20"/>
          <w:lang w:val="es-ES"/>
        </w:rPr>
        <w:t xml:space="preserve"> Además habría resuelto conceder la medida alternativa de libertad vigilada a los dos condenados.</w:t>
      </w:r>
    </w:p>
    <w:p w:rsidR="00D87798" w:rsidRPr="00F84AB1" w:rsidRDefault="00D87798" w:rsidP="00C64463">
      <w:pPr>
        <w:pStyle w:val="ListParagraph"/>
        <w:jc w:val="both"/>
        <w:rPr>
          <w:rFonts w:asciiTheme="majorHAnsi" w:hAnsiTheme="majorHAnsi" w:cs="GillSansMT"/>
          <w:sz w:val="20"/>
          <w:szCs w:val="20"/>
          <w:lang w:val="es-ES"/>
        </w:rPr>
      </w:pPr>
    </w:p>
    <w:p w:rsidR="009037A3" w:rsidRPr="00F84AB1" w:rsidRDefault="00D87798"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GillSansMT"/>
          <w:sz w:val="20"/>
          <w:szCs w:val="20"/>
          <w:lang w:val="es-ES"/>
        </w:rPr>
      </w:pPr>
      <w:r w:rsidRPr="00F84AB1">
        <w:rPr>
          <w:rFonts w:asciiTheme="majorHAnsi" w:hAnsiTheme="majorHAnsi" w:cs="GillSansMT"/>
          <w:sz w:val="20"/>
          <w:szCs w:val="20"/>
          <w:lang w:val="es-ES"/>
        </w:rPr>
        <w:t>Como aleg</w:t>
      </w:r>
      <w:r w:rsidR="00333E3E" w:rsidRPr="00F84AB1">
        <w:rPr>
          <w:rFonts w:asciiTheme="majorHAnsi" w:hAnsiTheme="majorHAnsi" w:cs="GillSansMT"/>
          <w:sz w:val="20"/>
          <w:szCs w:val="20"/>
          <w:lang w:val="es-ES"/>
        </w:rPr>
        <w:t xml:space="preserve">ato particular de este caso, </w:t>
      </w:r>
      <w:r w:rsidR="00B42A68" w:rsidRPr="00F84AB1">
        <w:rPr>
          <w:rFonts w:asciiTheme="majorHAnsi" w:hAnsiTheme="majorHAnsi" w:cs="GillSansMT"/>
          <w:sz w:val="20"/>
          <w:szCs w:val="20"/>
          <w:lang w:val="es-ES"/>
        </w:rPr>
        <w:t>plantean</w:t>
      </w:r>
      <w:r w:rsidR="00333E3E"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 xml:space="preserve">que </w:t>
      </w:r>
      <w:r w:rsidR="00DA19BA" w:rsidRPr="00F84AB1">
        <w:rPr>
          <w:rFonts w:asciiTheme="majorHAnsi" w:hAnsiTheme="majorHAnsi" w:cs="GillSansMT"/>
          <w:sz w:val="20"/>
          <w:szCs w:val="20"/>
          <w:lang w:val="es-ES"/>
        </w:rPr>
        <w:t>al haberse encontrado la Corte Suprema ante secuestros calificados de consumación permanente, carecía de fecha cierta que le permitiera contar el plazo de prescripción y a su vez de media prescripción, ante lo que habría optado por observar una calificante del tipo, que a l</w:t>
      </w:r>
      <w:r w:rsidR="008E333B" w:rsidRPr="00F84AB1">
        <w:rPr>
          <w:rFonts w:asciiTheme="majorHAnsi" w:hAnsiTheme="majorHAnsi" w:cs="GillSansMT"/>
          <w:sz w:val="20"/>
          <w:szCs w:val="20"/>
          <w:lang w:val="es-ES"/>
        </w:rPr>
        <w:t>a</w:t>
      </w:r>
      <w:r w:rsidR="00DA19BA" w:rsidRPr="00F84AB1">
        <w:rPr>
          <w:rFonts w:asciiTheme="majorHAnsi" w:hAnsiTheme="majorHAnsi" w:cs="GillSansMT"/>
          <w:sz w:val="20"/>
          <w:szCs w:val="20"/>
          <w:lang w:val="es-ES"/>
        </w:rPr>
        <w:t xml:space="preserve"> época de comisión de los ilícitos estaba</w:t>
      </w:r>
      <w:r w:rsidR="00333E3E" w:rsidRPr="00F84AB1">
        <w:rPr>
          <w:rFonts w:asciiTheme="majorHAnsi" w:hAnsiTheme="majorHAnsi" w:cs="GillSansMT"/>
          <w:sz w:val="20"/>
          <w:szCs w:val="20"/>
          <w:lang w:val="es-ES"/>
        </w:rPr>
        <w:t xml:space="preserve"> dada, según el artículo 141 del Código Penal, por el </w:t>
      </w:r>
      <w:r w:rsidR="00333E3E" w:rsidRPr="00F84AB1">
        <w:rPr>
          <w:rFonts w:asciiTheme="majorHAnsi" w:hAnsiTheme="majorHAnsi" w:cs="GillSansMT"/>
          <w:sz w:val="20"/>
          <w:szCs w:val="20"/>
          <w:lang w:val="es-ES"/>
        </w:rPr>
        <w:lastRenderedPageBreak/>
        <w:t xml:space="preserve">hecho de que el encierro o detención se prolongare por más de noventa días, para considerar desde el día noventa y dos la consumación de los delitos a efectos de aplicar la referida atenuante. Refieren que la sentencia </w:t>
      </w:r>
      <w:r w:rsidR="007C3387" w:rsidRPr="00F84AB1">
        <w:rPr>
          <w:rFonts w:asciiTheme="majorHAnsi" w:hAnsiTheme="majorHAnsi" w:cs="GillSansMT"/>
          <w:sz w:val="20"/>
          <w:szCs w:val="20"/>
          <w:lang w:val="es-ES"/>
        </w:rPr>
        <w:t>señala</w:t>
      </w:r>
      <w:r w:rsidR="00DC0C5E" w:rsidRPr="00F84AB1">
        <w:rPr>
          <w:rFonts w:asciiTheme="majorHAnsi" w:hAnsiTheme="majorHAnsi" w:cs="GillSansMT"/>
          <w:sz w:val="20"/>
          <w:szCs w:val="20"/>
          <w:lang w:val="es-ES"/>
        </w:rPr>
        <w:t xml:space="preserve"> </w:t>
      </w:r>
      <w:r w:rsidR="00333E3E" w:rsidRPr="00F84AB1">
        <w:rPr>
          <w:rFonts w:asciiTheme="majorHAnsi" w:hAnsiTheme="majorHAnsi" w:cs="GillSansMT"/>
          <w:sz w:val="20"/>
          <w:szCs w:val="20"/>
          <w:lang w:val="es-ES"/>
        </w:rPr>
        <w:t xml:space="preserve">que a efectos de la </w:t>
      </w:r>
      <w:r w:rsidR="007C3387" w:rsidRPr="00F84AB1">
        <w:rPr>
          <w:rFonts w:asciiTheme="majorHAnsi" w:hAnsiTheme="majorHAnsi" w:cs="GillSansMT"/>
          <w:sz w:val="20"/>
          <w:szCs w:val="20"/>
          <w:lang w:val="es-ES"/>
        </w:rPr>
        <w:t>atenuación</w:t>
      </w:r>
      <w:r w:rsidR="00333E3E" w:rsidRPr="00F84AB1">
        <w:rPr>
          <w:rFonts w:asciiTheme="majorHAnsi" w:hAnsiTheme="majorHAnsi" w:cs="GillSansMT"/>
          <w:sz w:val="20"/>
          <w:szCs w:val="20"/>
          <w:lang w:val="es-ES"/>
        </w:rPr>
        <w:t xml:space="preserve">, la consumación se ha producido </w:t>
      </w:r>
      <w:r w:rsidR="007C3387" w:rsidRPr="00F84AB1">
        <w:rPr>
          <w:rFonts w:asciiTheme="majorHAnsi" w:hAnsiTheme="majorHAnsi" w:cs="GillSansMT"/>
          <w:sz w:val="20"/>
          <w:szCs w:val="20"/>
          <w:lang w:val="es-ES"/>
        </w:rPr>
        <w:t>al prolongarse el encierro o detención por más de novent</w:t>
      </w:r>
      <w:r w:rsidR="00DC0C5E" w:rsidRPr="00F84AB1">
        <w:rPr>
          <w:rFonts w:asciiTheme="majorHAnsi" w:hAnsiTheme="majorHAnsi" w:cs="GillSansMT"/>
          <w:sz w:val="20"/>
          <w:szCs w:val="20"/>
          <w:lang w:val="es-ES"/>
        </w:rPr>
        <w:t>a días, pudiendo iniciarse el có</w:t>
      </w:r>
      <w:r w:rsidR="007C3387" w:rsidRPr="00F84AB1">
        <w:rPr>
          <w:rFonts w:asciiTheme="majorHAnsi" w:hAnsiTheme="majorHAnsi" w:cs="GillSansMT"/>
          <w:sz w:val="20"/>
          <w:szCs w:val="20"/>
          <w:lang w:val="es-ES"/>
        </w:rPr>
        <w:t>mputo de la media prescripción a partir de es</w:t>
      </w:r>
      <w:r w:rsidR="009037A3" w:rsidRPr="00F84AB1">
        <w:rPr>
          <w:rFonts w:asciiTheme="majorHAnsi" w:hAnsiTheme="majorHAnsi" w:cs="GillSansMT"/>
          <w:sz w:val="20"/>
          <w:szCs w:val="20"/>
          <w:lang w:val="es-ES"/>
        </w:rPr>
        <w:t>ta fecha, es decir, desde el día noventa y dos, teniendo en</w:t>
      </w:r>
      <w:r w:rsidR="00280867" w:rsidRPr="00F84AB1">
        <w:rPr>
          <w:rFonts w:asciiTheme="majorHAnsi" w:hAnsiTheme="majorHAnsi" w:cs="GillSansMT"/>
          <w:sz w:val="20"/>
          <w:szCs w:val="20"/>
          <w:lang w:val="es-ES"/>
        </w:rPr>
        <w:t xml:space="preserve"> cuenta para ello, aú</w:t>
      </w:r>
      <w:r w:rsidR="009037A3" w:rsidRPr="00F84AB1">
        <w:rPr>
          <w:rFonts w:asciiTheme="majorHAnsi" w:hAnsiTheme="majorHAnsi" w:cs="GillSansMT"/>
          <w:sz w:val="20"/>
          <w:szCs w:val="20"/>
          <w:lang w:val="es-ES"/>
        </w:rPr>
        <w:t>n en su prolongación en el t</w:t>
      </w:r>
      <w:r w:rsidR="00280867" w:rsidRPr="00F84AB1">
        <w:rPr>
          <w:rFonts w:asciiTheme="majorHAnsi" w:hAnsiTheme="majorHAnsi" w:cs="GillSansMT"/>
          <w:sz w:val="20"/>
          <w:szCs w:val="20"/>
          <w:lang w:val="es-ES"/>
        </w:rPr>
        <w:t>iempo o de resultar un daño grav</w:t>
      </w:r>
      <w:r w:rsidR="009037A3" w:rsidRPr="00F84AB1">
        <w:rPr>
          <w:rFonts w:asciiTheme="majorHAnsi" w:hAnsiTheme="majorHAnsi" w:cs="GillSansMT"/>
          <w:sz w:val="20"/>
          <w:szCs w:val="20"/>
          <w:lang w:val="es-ES"/>
        </w:rPr>
        <w:t>e en la persona o intereses del encerrado o detenido, la pena determinada por este tipo calificado es siempre la misma, la de presidio mayor en cualquier grado, sin alteración de su disvalor.</w:t>
      </w:r>
    </w:p>
    <w:p w:rsidR="00E620BE" w:rsidRPr="00F84AB1" w:rsidRDefault="00E620BE" w:rsidP="00C64463">
      <w:pPr>
        <w:pStyle w:val="ListParagraph"/>
        <w:jc w:val="both"/>
        <w:rPr>
          <w:rFonts w:asciiTheme="majorHAnsi" w:hAnsiTheme="majorHAnsi" w:cs="GillSansMT"/>
          <w:sz w:val="20"/>
          <w:szCs w:val="20"/>
          <w:lang w:val="es-ES"/>
        </w:rPr>
      </w:pPr>
    </w:p>
    <w:p w:rsidR="00F6325B" w:rsidRDefault="00F07272" w:rsidP="0079466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Calibri" w:hAnsiTheme="majorHAnsi" w:cs="GillSansMT,Bold"/>
          <w:b/>
          <w:bCs/>
          <w:sz w:val="20"/>
          <w:szCs w:val="20"/>
          <w:lang w:val="es-ES"/>
        </w:rPr>
      </w:pPr>
      <w:r w:rsidRPr="00F84AB1">
        <w:rPr>
          <w:rFonts w:asciiTheme="majorHAnsi" w:eastAsia="Calibri" w:hAnsiTheme="majorHAnsi" w:cs="GillSansMT,Bold"/>
          <w:b/>
          <w:bCs/>
          <w:sz w:val="20"/>
          <w:szCs w:val="20"/>
          <w:lang w:val="es-ES"/>
        </w:rPr>
        <w:t>Caso de Nelson</w:t>
      </w:r>
      <w:r w:rsidR="00967890" w:rsidRPr="00F84AB1">
        <w:rPr>
          <w:rFonts w:asciiTheme="majorHAnsi" w:eastAsia="Calibri" w:hAnsiTheme="majorHAnsi" w:cs="GillSansMT,Bold"/>
          <w:b/>
          <w:bCs/>
          <w:sz w:val="20"/>
          <w:szCs w:val="20"/>
          <w:lang w:val="es-ES"/>
        </w:rPr>
        <w:t xml:space="preserve"> Cristián</w:t>
      </w:r>
      <w:r w:rsidRPr="00F84AB1">
        <w:rPr>
          <w:rFonts w:asciiTheme="majorHAnsi" w:eastAsia="Calibri" w:hAnsiTheme="majorHAnsi" w:cs="GillSansMT,Bold"/>
          <w:b/>
          <w:bCs/>
          <w:sz w:val="20"/>
          <w:szCs w:val="20"/>
          <w:lang w:val="es-ES"/>
        </w:rPr>
        <w:t xml:space="preserve"> Almendras Almendras, José Ricardo López López, Juan de la</w:t>
      </w:r>
    </w:p>
    <w:p w:rsidR="00DA6180" w:rsidRPr="00F84AB1" w:rsidRDefault="00F07272" w:rsidP="00F6325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Calibri" w:hAnsiTheme="majorHAnsi" w:cs="GillSansMT,Bold"/>
          <w:b/>
          <w:bCs/>
          <w:sz w:val="20"/>
          <w:szCs w:val="20"/>
          <w:lang w:val="es-ES"/>
        </w:rPr>
      </w:pPr>
      <w:r w:rsidRPr="00F84AB1">
        <w:rPr>
          <w:rFonts w:asciiTheme="majorHAnsi" w:eastAsia="Calibri" w:hAnsiTheme="majorHAnsi" w:cs="GillSansMT,Bold"/>
          <w:b/>
          <w:bCs/>
          <w:sz w:val="20"/>
          <w:szCs w:val="20"/>
          <w:lang w:val="es-ES"/>
        </w:rPr>
        <w:t>Cruz Briones Pérez, Victoriano Lagos Lagos</w:t>
      </w:r>
      <w:r w:rsidR="00CB44EB" w:rsidRPr="00F84AB1">
        <w:rPr>
          <w:rFonts w:asciiTheme="majorHAnsi" w:eastAsia="Calibri" w:hAnsiTheme="majorHAnsi" w:cs="GillSansMT,Bold"/>
          <w:b/>
          <w:bCs/>
          <w:sz w:val="20"/>
          <w:szCs w:val="20"/>
          <w:lang w:val="es-ES"/>
        </w:rPr>
        <w:t xml:space="preserve"> y familiares</w:t>
      </w:r>
    </w:p>
    <w:p w:rsidR="00FE56F4" w:rsidRPr="00F84AB1" w:rsidRDefault="00FE56F4" w:rsidP="00C64463">
      <w:pPr>
        <w:pBdr>
          <w:top w:val="none" w:sz="0" w:space="0" w:color="auto"/>
          <w:left w:val="none" w:sz="0" w:space="0" w:color="auto"/>
          <w:bottom w:val="none" w:sz="0" w:space="0" w:color="auto"/>
          <w:right w:val="none" w:sz="0" w:space="0" w:color="auto"/>
          <w:bar w:val="none" w:sz="0" w:color="auto"/>
        </w:pBdr>
        <w:ind w:left="720"/>
        <w:jc w:val="both"/>
        <w:rPr>
          <w:rFonts w:asciiTheme="majorHAnsi" w:eastAsia="Calibri" w:hAnsiTheme="majorHAnsi"/>
          <w:sz w:val="20"/>
          <w:szCs w:val="20"/>
          <w:lang w:val="es-ES"/>
        </w:rPr>
      </w:pPr>
    </w:p>
    <w:p w:rsidR="007C17DD" w:rsidRPr="00F84AB1" w:rsidRDefault="003A1D57"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El </w:t>
      </w:r>
      <w:r w:rsidR="00B633E1" w:rsidRPr="00F84AB1">
        <w:rPr>
          <w:rFonts w:asciiTheme="majorHAnsi" w:hAnsiTheme="majorHAnsi" w:cs="GillSansMT"/>
          <w:sz w:val="20"/>
          <w:szCs w:val="20"/>
          <w:lang w:val="es-ES"/>
        </w:rPr>
        <w:t>10</w:t>
      </w:r>
      <w:r w:rsidRPr="00F84AB1">
        <w:rPr>
          <w:rFonts w:asciiTheme="majorHAnsi" w:hAnsiTheme="majorHAnsi" w:cs="GillSansMT"/>
          <w:sz w:val="20"/>
          <w:szCs w:val="20"/>
          <w:lang w:val="es-ES"/>
        </w:rPr>
        <w:t xml:space="preserve"> de </w:t>
      </w:r>
      <w:r w:rsidR="00B633E1" w:rsidRPr="00F84AB1">
        <w:rPr>
          <w:rFonts w:asciiTheme="majorHAnsi" w:hAnsiTheme="majorHAnsi" w:cs="GillSansMT"/>
          <w:sz w:val="20"/>
          <w:szCs w:val="20"/>
          <w:lang w:val="es-ES"/>
        </w:rPr>
        <w:t>junio</w:t>
      </w:r>
      <w:r w:rsidRPr="00F84AB1">
        <w:rPr>
          <w:rFonts w:asciiTheme="majorHAnsi" w:hAnsiTheme="majorHAnsi" w:cs="GillSansMT"/>
          <w:sz w:val="20"/>
          <w:szCs w:val="20"/>
          <w:lang w:val="es-ES"/>
        </w:rPr>
        <w:t xml:space="preserve"> de 2008</w:t>
      </w:r>
      <w:r w:rsidR="00C05EF6"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 xml:space="preserve">la CIDH recibió una denuncia presentada en favor </w:t>
      </w:r>
      <w:r w:rsidR="00BC0F54" w:rsidRPr="00F84AB1">
        <w:rPr>
          <w:rFonts w:asciiTheme="majorHAnsi" w:hAnsiTheme="majorHAnsi" w:cs="GillSansMT"/>
          <w:sz w:val="20"/>
          <w:szCs w:val="20"/>
          <w:lang w:val="es-ES"/>
        </w:rPr>
        <w:t xml:space="preserve">de </w:t>
      </w:r>
      <w:r w:rsidRPr="00F84AB1">
        <w:rPr>
          <w:rFonts w:asciiTheme="majorHAnsi" w:hAnsiTheme="majorHAnsi" w:cs="GillSansMT"/>
          <w:sz w:val="20"/>
          <w:szCs w:val="20"/>
          <w:lang w:val="es-ES"/>
        </w:rPr>
        <w:t>Nelson Cristián Almendras Almendras, José Ricardo López López, Juan de la Cruz Briones Pérez, Victoriano Lagos Lagos</w:t>
      </w:r>
      <w:r w:rsidR="00F420ED" w:rsidRPr="00F84AB1">
        <w:rPr>
          <w:rFonts w:asciiTheme="majorHAnsi" w:hAnsiTheme="majorHAnsi" w:cs="GillSansMT"/>
          <w:sz w:val="20"/>
          <w:szCs w:val="20"/>
          <w:lang w:val="es-ES"/>
        </w:rPr>
        <w:t xml:space="preserve"> y sus familiares</w:t>
      </w:r>
      <w:r w:rsidR="007C17DD" w:rsidRPr="00F84AB1">
        <w:rPr>
          <w:rFonts w:asciiTheme="majorHAnsi" w:hAnsiTheme="majorHAnsi" w:cs="GillSansMT"/>
          <w:sz w:val="20"/>
          <w:szCs w:val="20"/>
          <w:lang w:val="es-ES"/>
        </w:rPr>
        <w:t xml:space="preserve">. En la denuncia se alega que las presuntas víctimas </w:t>
      </w:r>
      <w:r w:rsidR="00280867" w:rsidRPr="00F84AB1">
        <w:rPr>
          <w:rFonts w:asciiTheme="majorHAnsi" w:hAnsiTheme="majorHAnsi" w:cs="GillSansMT"/>
          <w:sz w:val="20"/>
          <w:szCs w:val="20"/>
          <w:lang w:val="es-ES"/>
        </w:rPr>
        <w:t>fueron</w:t>
      </w:r>
      <w:r w:rsidR="007C17DD" w:rsidRPr="00F84AB1">
        <w:rPr>
          <w:rFonts w:asciiTheme="majorHAnsi" w:hAnsiTheme="majorHAnsi" w:cs="GillSansMT"/>
          <w:sz w:val="20"/>
          <w:szCs w:val="20"/>
          <w:lang w:val="es-ES"/>
        </w:rPr>
        <w:t xml:space="preserve"> detenidas el 17 de septiembre de 1979, sin orden judicial en Canteras, Comuna de Quilleco, Provincia de Bio Bio, por una patrulla de </w:t>
      </w:r>
      <w:r w:rsidR="002E501A" w:rsidRPr="00F84AB1">
        <w:rPr>
          <w:rFonts w:asciiTheme="majorHAnsi" w:hAnsiTheme="majorHAnsi" w:cs="GillSansMT"/>
          <w:sz w:val="20"/>
          <w:szCs w:val="20"/>
          <w:lang w:val="es-ES"/>
        </w:rPr>
        <w:t>carabineros del Retén El Álamo.</w:t>
      </w:r>
      <w:r w:rsidR="007C17DD" w:rsidRPr="00F84AB1">
        <w:rPr>
          <w:rFonts w:asciiTheme="majorHAnsi" w:hAnsiTheme="majorHAnsi" w:cs="GillSansMT"/>
          <w:sz w:val="20"/>
          <w:szCs w:val="20"/>
          <w:lang w:val="es-ES"/>
        </w:rPr>
        <w:t xml:space="preserve"> Alegan que desde la fecha de detención se desconoce el paradero de las presuntas víctimas.</w:t>
      </w:r>
    </w:p>
    <w:p w:rsidR="002E501A" w:rsidRPr="00F84AB1" w:rsidRDefault="002E501A" w:rsidP="00C64463">
      <w:pPr>
        <w:jc w:val="both"/>
        <w:rPr>
          <w:rFonts w:asciiTheme="majorHAnsi" w:hAnsiTheme="majorHAnsi" w:cs="GillSansMT"/>
          <w:sz w:val="20"/>
          <w:szCs w:val="20"/>
          <w:lang w:val="es-ES"/>
        </w:rPr>
      </w:pPr>
    </w:p>
    <w:p w:rsidR="002E501A" w:rsidRPr="00F84AB1" w:rsidRDefault="002E501A"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GillSansMT"/>
          <w:sz w:val="20"/>
          <w:szCs w:val="20"/>
          <w:lang w:val="es-ES"/>
        </w:rPr>
      </w:pPr>
      <w:r w:rsidRPr="00F84AB1">
        <w:rPr>
          <w:rFonts w:asciiTheme="majorHAnsi" w:hAnsiTheme="majorHAnsi" w:cs="GillSansMT"/>
          <w:sz w:val="20"/>
          <w:szCs w:val="20"/>
          <w:lang w:val="es-ES"/>
        </w:rPr>
        <w:t>Indican que los familiares de los señores Almendras, Lagos y de la Cruz interpusieron recursos de amparo el 3 de septiembre de 1974, 8 de julio de 1978 y 29 de diciembre de 1978 respectivamente, ante la Corte de Apelaciones de Concepción, siendo todos rechazados.</w:t>
      </w:r>
      <w:r w:rsidR="00012631" w:rsidRPr="00F84AB1">
        <w:rPr>
          <w:rFonts w:asciiTheme="majorHAnsi" w:hAnsiTheme="majorHAnsi" w:cs="GillSansMT"/>
          <w:sz w:val="20"/>
          <w:szCs w:val="20"/>
          <w:lang w:val="es-ES"/>
        </w:rPr>
        <w:t xml:space="preserve"> </w:t>
      </w:r>
      <w:r w:rsidR="005B3F03" w:rsidRPr="00F84AB1">
        <w:rPr>
          <w:rFonts w:asciiTheme="majorHAnsi" w:hAnsiTheme="majorHAnsi" w:cs="GillSansMT"/>
          <w:sz w:val="20"/>
          <w:szCs w:val="20"/>
          <w:lang w:val="es-ES"/>
        </w:rPr>
        <w:t>Señalan</w:t>
      </w:r>
      <w:r w:rsidRPr="00F84AB1">
        <w:rPr>
          <w:rFonts w:asciiTheme="majorHAnsi" w:hAnsiTheme="majorHAnsi" w:cs="GillSansMT"/>
          <w:sz w:val="20"/>
          <w:szCs w:val="20"/>
          <w:lang w:val="es-ES"/>
        </w:rPr>
        <w:t xml:space="preserve"> que el 22 de mayo de 1996 </w:t>
      </w:r>
      <w:r w:rsidR="00C64D20" w:rsidRPr="00F84AB1">
        <w:rPr>
          <w:rFonts w:asciiTheme="majorHAnsi" w:hAnsiTheme="majorHAnsi" w:cs="GillSansMT"/>
          <w:sz w:val="20"/>
          <w:szCs w:val="20"/>
          <w:lang w:val="es-ES"/>
        </w:rPr>
        <w:t xml:space="preserve">el Consejo Superior de la Corporación Nacional de Reparación y Reconciliación (en adelante “CNRR”), interpuso denuncia criminal ante el Tercer Juzgado de </w:t>
      </w:r>
      <w:r w:rsidRPr="00F84AB1">
        <w:rPr>
          <w:rFonts w:asciiTheme="majorHAnsi" w:hAnsiTheme="majorHAnsi" w:cs="GillSansMT"/>
          <w:sz w:val="20"/>
          <w:szCs w:val="20"/>
          <w:lang w:val="es-ES"/>
        </w:rPr>
        <w:t xml:space="preserve">Letras de </w:t>
      </w:r>
      <w:r w:rsidR="00C64D20" w:rsidRPr="00F84AB1">
        <w:rPr>
          <w:rFonts w:asciiTheme="majorHAnsi" w:hAnsiTheme="majorHAnsi" w:cs="GillSansMT"/>
          <w:sz w:val="20"/>
          <w:szCs w:val="20"/>
          <w:lang w:val="es-ES"/>
        </w:rPr>
        <w:t xml:space="preserve">Los Ángeles, </w:t>
      </w:r>
      <w:r w:rsidRPr="00F84AB1">
        <w:rPr>
          <w:rFonts w:asciiTheme="majorHAnsi" w:hAnsiTheme="majorHAnsi" w:cs="GillSansMT"/>
          <w:sz w:val="20"/>
          <w:szCs w:val="20"/>
          <w:lang w:val="es-ES"/>
        </w:rPr>
        <w:t>el cual se declaró incompetente</w:t>
      </w:r>
      <w:r w:rsidR="00C64D20" w:rsidRPr="00F84AB1">
        <w:rPr>
          <w:rFonts w:asciiTheme="majorHAnsi" w:hAnsiTheme="majorHAnsi" w:cs="GillSansMT"/>
          <w:sz w:val="20"/>
          <w:szCs w:val="20"/>
          <w:lang w:val="es-ES"/>
        </w:rPr>
        <w:t xml:space="preserve"> el 7 de enero de 1997,</w:t>
      </w:r>
      <w:r w:rsidRPr="00F84AB1">
        <w:rPr>
          <w:rFonts w:asciiTheme="majorHAnsi" w:hAnsiTheme="majorHAnsi" w:cs="GillSansMT"/>
          <w:sz w:val="20"/>
          <w:szCs w:val="20"/>
          <w:lang w:val="es-ES"/>
        </w:rPr>
        <w:t xml:space="preserve"> remitiendo el proceso al </w:t>
      </w:r>
      <w:r w:rsidR="00C64D20" w:rsidRPr="00F84AB1">
        <w:rPr>
          <w:rFonts w:asciiTheme="majorHAnsi" w:hAnsiTheme="majorHAnsi" w:cs="GillSansMT"/>
          <w:sz w:val="20"/>
          <w:szCs w:val="20"/>
          <w:lang w:val="es-ES"/>
        </w:rPr>
        <w:t>Tercer</w:t>
      </w:r>
      <w:r w:rsidRPr="00F84AB1">
        <w:rPr>
          <w:rFonts w:asciiTheme="majorHAnsi" w:hAnsiTheme="majorHAnsi" w:cs="GillSansMT"/>
          <w:sz w:val="20"/>
          <w:szCs w:val="20"/>
          <w:lang w:val="es-ES"/>
        </w:rPr>
        <w:t xml:space="preserve"> </w:t>
      </w:r>
      <w:r w:rsidR="008C547F" w:rsidRPr="00F84AB1">
        <w:rPr>
          <w:rFonts w:asciiTheme="majorHAnsi" w:hAnsiTheme="majorHAnsi" w:cs="GillSansMT"/>
          <w:sz w:val="20"/>
          <w:szCs w:val="20"/>
          <w:lang w:val="es-ES"/>
        </w:rPr>
        <w:t xml:space="preserve">Juzgado Militar de Concepción, el que </w:t>
      </w:r>
      <w:r w:rsidRPr="00F84AB1">
        <w:rPr>
          <w:rFonts w:asciiTheme="majorHAnsi" w:hAnsiTheme="majorHAnsi" w:cs="GillSansMT"/>
          <w:sz w:val="20"/>
          <w:szCs w:val="20"/>
          <w:lang w:val="es-ES"/>
        </w:rPr>
        <w:t>el 28 de mayo de 1998, decretó el sobreseimiento total y definitivo</w:t>
      </w:r>
      <w:r w:rsidR="00925156" w:rsidRPr="00F84AB1">
        <w:rPr>
          <w:rFonts w:asciiTheme="majorHAnsi" w:hAnsiTheme="majorHAnsi" w:cs="GillSansMT"/>
          <w:sz w:val="20"/>
          <w:szCs w:val="20"/>
          <w:lang w:val="es-ES"/>
        </w:rPr>
        <w:t xml:space="preserve"> de la causa,</w:t>
      </w:r>
      <w:r w:rsidRPr="00F84AB1">
        <w:rPr>
          <w:rFonts w:asciiTheme="majorHAnsi" w:hAnsiTheme="majorHAnsi" w:cs="GillSansMT"/>
          <w:sz w:val="20"/>
          <w:szCs w:val="20"/>
          <w:lang w:val="es-ES"/>
        </w:rPr>
        <w:t xml:space="preserve"> resolución </w:t>
      </w:r>
      <w:r w:rsidR="00925156" w:rsidRPr="00F84AB1">
        <w:rPr>
          <w:rFonts w:asciiTheme="majorHAnsi" w:hAnsiTheme="majorHAnsi" w:cs="GillSansMT"/>
          <w:sz w:val="20"/>
          <w:szCs w:val="20"/>
          <w:lang w:val="es-ES"/>
        </w:rPr>
        <w:t xml:space="preserve">que </w:t>
      </w:r>
      <w:r w:rsidRPr="00F84AB1">
        <w:rPr>
          <w:rFonts w:asciiTheme="majorHAnsi" w:hAnsiTheme="majorHAnsi" w:cs="GillSansMT"/>
          <w:sz w:val="20"/>
          <w:szCs w:val="20"/>
          <w:lang w:val="es-ES"/>
        </w:rPr>
        <w:t>fue confirmada por la Corte Marcial el 3 de octubre de 2001.</w:t>
      </w:r>
      <w:r w:rsidR="00012631" w:rsidRPr="00F84AB1">
        <w:rPr>
          <w:rFonts w:asciiTheme="majorHAnsi" w:hAnsiTheme="majorHAnsi" w:cs="GillSansMT"/>
          <w:sz w:val="20"/>
          <w:szCs w:val="20"/>
          <w:lang w:val="es-ES"/>
        </w:rPr>
        <w:t xml:space="preserve"> </w:t>
      </w:r>
    </w:p>
    <w:p w:rsidR="002E501A" w:rsidRPr="00F84AB1" w:rsidRDefault="002E501A" w:rsidP="00C64463">
      <w:pPr>
        <w:pStyle w:val="ListParagraph"/>
        <w:jc w:val="both"/>
        <w:rPr>
          <w:rFonts w:asciiTheme="majorHAnsi" w:eastAsia="Arial Unicode MS" w:hAnsiTheme="majorHAnsi" w:cs="GillSansMT"/>
          <w:color w:val="auto"/>
          <w:sz w:val="20"/>
          <w:szCs w:val="20"/>
          <w:lang w:val="es-ES" w:eastAsia="en-US"/>
        </w:rPr>
      </w:pPr>
    </w:p>
    <w:p w:rsidR="002E501A" w:rsidRPr="00F84AB1" w:rsidRDefault="00925156" w:rsidP="00C64463">
      <w:pPr>
        <w:pStyle w:val="ListParagraph"/>
        <w:numPr>
          <w:ilvl w:val="0"/>
          <w:numId w:val="56"/>
        </w:numPr>
        <w:jc w:val="both"/>
        <w:rPr>
          <w:rFonts w:asciiTheme="majorHAnsi" w:eastAsia="Arial Unicode MS" w:hAnsiTheme="majorHAnsi" w:cs="GillSansMT"/>
          <w:color w:val="auto"/>
          <w:sz w:val="20"/>
          <w:szCs w:val="20"/>
          <w:lang w:val="es-ES" w:eastAsia="en-US"/>
        </w:rPr>
      </w:pPr>
      <w:r w:rsidRPr="00F84AB1">
        <w:rPr>
          <w:rFonts w:asciiTheme="majorHAnsi" w:eastAsia="Arial Unicode MS" w:hAnsiTheme="majorHAnsi" w:cs="GillSansMT"/>
          <w:color w:val="auto"/>
          <w:sz w:val="20"/>
          <w:szCs w:val="20"/>
          <w:lang w:val="es-ES" w:eastAsia="en-US"/>
        </w:rPr>
        <w:t xml:space="preserve">Señalan que el 31 de octubre de 2001 la Corte Suprema acogió el recurso de casación en el fondo interpuesto por la cónyuge de Nelson Almendras, contra la sentencia de la Corte Marcial, </w:t>
      </w:r>
      <w:r w:rsidR="005B3F03" w:rsidRPr="00F84AB1">
        <w:rPr>
          <w:rFonts w:asciiTheme="majorHAnsi" w:eastAsia="Arial Unicode MS" w:hAnsiTheme="majorHAnsi" w:cs="GillSansMT"/>
          <w:color w:val="auto"/>
          <w:sz w:val="20"/>
          <w:szCs w:val="20"/>
          <w:lang w:val="es-ES" w:eastAsia="en-US"/>
        </w:rPr>
        <w:t xml:space="preserve">y </w:t>
      </w:r>
      <w:r w:rsidRPr="00F84AB1">
        <w:rPr>
          <w:rFonts w:asciiTheme="majorHAnsi" w:eastAsia="Arial Unicode MS" w:hAnsiTheme="majorHAnsi" w:cs="GillSansMT"/>
          <w:color w:val="auto"/>
          <w:sz w:val="20"/>
          <w:szCs w:val="20"/>
          <w:lang w:val="es-ES" w:eastAsia="en-US"/>
        </w:rPr>
        <w:t xml:space="preserve">ordenó la reapertura de la investigación y la remisión de los antecedentes al </w:t>
      </w:r>
      <w:r w:rsidR="00932687" w:rsidRPr="00F84AB1">
        <w:rPr>
          <w:rFonts w:asciiTheme="majorHAnsi" w:eastAsia="Arial Unicode MS" w:hAnsiTheme="majorHAnsi" w:cs="GillSansMT"/>
          <w:color w:val="auto"/>
          <w:sz w:val="20"/>
          <w:szCs w:val="20"/>
          <w:lang w:val="es-ES" w:eastAsia="en-US"/>
        </w:rPr>
        <w:t xml:space="preserve">Tercer </w:t>
      </w:r>
      <w:r w:rsidRPr="00F84AB1">
        <w:rPr>
          <w:rFonts w:asciiTheme="majorHAnsi" w:eastAsia="Arial Unicode MS" w:hAnsiTheme="majorHAnsi" w:cs="GillSansMT"/>
          <w:color w:val="auto"/>
          <w:sz w:val="20"/>
          <w:szCs w:val="20"/>
          <w:lang w:val="es-ES" w:eastAsia="en-US"/>
        </w:rPr>
        <w:t>Juzgado del Crimen de Los Ángeles.</w:t>
      </w:r>
      <w:r w:rsidR="00012631" w:rsidRPr="00F84AB1">
        <w:rPr>
          <w:rFonts w:asciiTheme="majorHAnsi" w:eastAsia="Arial Unicode MS" w:hAnsiTheme="majorHAnsi" w:cs="GillSansMT"/>
          <w:color w:val="auto"/>
          <w:sz w:val="20"/>
          <w:szCs w:val="20"/>
          <w:lang w:val="es-ES" w:eastAsia="en-US"/>
        </w:rPr>
        <w:t xml:space="preserve"> </w:t>
      </w:r>
      <w:r w:rsidRPr="00F84AB1">
        <w:rPr>
          <w:rFonts w:asciiTheme="majorHAnsi" w:eastAsia="Arial Unicode MS" w:hAnsiTheme="majorHAnsi" w:cs="GillSansMT"/>
          <w:color w:val="auto"/>
          <w:sz w:val="20"/>
          <w:szCs w:val="20"/>
          <w:lang w:val="es-ES" w:eastAsia="en-US"/>
        </w:rPr>
        <w:t>Indican que el 16 de junio de 2004 se sometió a proceso a Oscar Humberto Medina, Sargento Primero de Carab</w:t>
      </w:r>
      <w:r w:rsidR="005B3F03" w:rsidRPr="00F84AB1">
        <w:rPr>
          <w:rFonts w:asciiTheme="majorHAnsi" w:eastAsia="Arial Unicode MS" w:hAnsiTheme="majorHAnsi" w:cs="GillSansMT"/>
          <w:color w:val="auto"/>
          <w:sz w:val="20"/>
          <w:szCs w:val="20"/>
          <w:lang w:val="es-ES" w:eastAsia="en-US"/>
        </w:rPr>
        <w:t>ineros al momento de los hechos,</w:t>
      </w:r>
      <w:r w:rsidRPr="00F84AB1">
        <w:rPr>
          <w:rFonts w:asciiTheme="majorHAnsi" w:eastAsia="Arial Unicode MS" w:hAnsiTheme="majorHAnsi" w:cs="GillSansMT"/>
          <w:color w:val="auto"/>
          <w:sz w:val="20"/>
          <w:szCs w:val="20"/>
          <w:lang w:val="es-ES" w:eastAsia="en-US"/>
        </w:rPr>
        <w:t xml:space="preserve"> quien fue condenado el 30 de octubre de 2006 a </w:t>
      </w:r>
      <w:r w:rsidR="00E9393F" w:rsidRPr="00F84AB1">
        <w:rPr>
          <w:rFonts w:asciiTheme="majorHAnsi" w:eastAsia="Arial Unicode MS" w:hAnsiTheme="majorHAnsi" w:cs="GillSansMT"/>
          <w:color w:val="auto"/>
          <w:sz w:val="20"/>
          <w:szCs w:val="20"/>
          <w:lang w:val="es-ES" w:eastAsia="en-US"/>
        </w:rPr>
        <w:t>10</w:t>
      </w:r>
      <w:r w:rsidRPr="00F84AB1">
        <w:rPr>
          <w:rFonts w:asciiTheme="majorHAnsi" w:eastAsia="Arial Unicode MS" w:hAnsiTheme="majorHAnsi" w:cs="GillSansMT"/>
          <w:color w:val="auto"/>
          <w:sz w:val="20"/>
          <w:szCs w:val="20"/>
          <w:lang w:val="es-ES" w:eastAsia="en-US"/>
        </w:rPr>
        <w:t xml:space="preserve"> años y un día de prisión por el delito de secuestro calificado, sentencia que fue confirmada por la Corte de Apelaciones de Concepción</w:t>
      </w:r>
      <w:r w:rsidR="0089177F" w:rsidRPr="00F84AB1">
        <w:rPr>
          <w:rFonts w:asciiTheme="majorHAnsi" w:eastAsia="Arial Unicode MS" w:hAnsiTheme="majorHAnsi" w:cs="GillSansMT"/>
          <w:color w:val="auto"/>
          <w:sz w:val="20"/>
          <w:szCs w:val="20"/>
          <w:lang w:val="es-ES" w:eastAsia="en-US"/>
        </w:rPr>
        <w:t xml:space="preserve"> el </w:t>
      </w:r>
      <w:r w:rsidR="005B3F03" w:rsidRPr="00F84AB1">
        <w:rPr>
          <w:rFonts w:asciiTheme="majorHAnsi" w:eastAsia="Arial Unicode MS" w:hAnsiTheme="majorHAnsi" w:cs="GillSansMT"/>
          <w:color w:val="auto"/>
          <w:sz w:val="20"/>
          <w:szCs w:val="20"/>
          <w:lang w:val="es-ES" w:eastAsia="en-US"/>
        </w:rPr>
        <w:t>10 de abril de 20</w:t>
      </w:r>
      <w:r w:rsidR="0089177F" w:rsidRPr="00F84AB1">
        <w:rPr>
          <w:rFonts w:asciiTheme="majorHAnsi" w:eastAsia="Arial Unicode MS" w:hAnsiTheme="majorHAnsi" w:cs="GillSansMT"/>
          <w:color w:val="auto"/>
          <w:sz w:val="20"/>
          <w:szCs w:val="20"/>
          <w:lang w:val="es-ES" w:eastAsia="en-US"/>
        </w:rPr>
        <w:t>0</w:t>
      </w:r>
      <w:r w:rsidR="005B3F03" w:rsidRPr="00F84AB1">
        <w:rPr>
          <w:rFonts w:asciiTheme="majorHAnsi" w:eastAsia="Arial Unicode MS" w:hAnsiTheme="majorHAnsi" w:cs="GillSansMT"/>
          <w:color w:val="auto"/>
          <w:sz w:val="20"/>
          <w:szCs w:val="20"/>
          <w:lang w:val="es-ES" w:eastAsia="en-US"/>
        </w:rPr>
        <w:t>8</w:t>
      </w:r>
      <w:r w:rsidRPr="00F84AB1">
        <w:rPr>
          <w:rFonts w:asciiTheme="majorHAnsi" w:eastAsia="Arial Unicode MS" w:hAnsiTheme="majorHAnsi" w:cs="GillSansMT"/>
          <w:color w:val="auto"/>
          <w:sz w:val="20"/>
          <w:szCs w:val="20"/>
          <w:lang w:val="es-ES" w:eastAsia="en-US"/>
        </w:rPr>
        <w:t>.</w:t>
      </w:r>
    </w:p>
    <w:p w:rsidR="00932687" w:rsidRPr="00F84AB1" w:rsidRDefault="00932687" w:rsidP="00C64463">
      <w:pPr>
        <w:jc w:val="both"/>
        <w:rPr>
          <w:rFonts w:asciiTheme="majorHAnsi" w:hAnsiTheme="majorHAnsi" w:cs="GillSansMT"/>
          <w:sz w:val="20"/>
          <w:szCs w:val="20"/>
          <w:lang w:val="es-ES"/>
        </w:rPr>
      </w:pPr>
    </w:p>
    <w:p w:rsidR="008C10D7" w:rsidRPr="00F84AB1" w:rsidRDefault="004C1939" w:rsidP="00C64463">
      <w:pPr>
        <w:pStyle w:val="ListParagraph"/>
        <w:numPr>
          <w:ilvl w:val="0"/>
          <w:numId w:val="56"/>
        </w:numPr>
        <w:jc w:val="both"/>
        <w:rPr>
          <w:rFonts w:asciiTheme="majorHAnsi" w:eastAsia="Arial Unicode MS" w:hAnsiTheme="majorHAnsi" w:cs="GillSansMT"/>
          <w:color w:val="auto"/>
          <w:sz w:val="20"/>
          <w:szCs w:val="20"/>
          <w:lang w:val="es-ES" w:eastAsia="en-US"/>
        </w:rPr>
      </w:pPr>
      <w:r w:rsidRPr="00F84AB1">
        <w:rPr>
          <w:rFonts w:asciiTheme="majorHAnsi" w:eastAsia="Arial Unicode MS" w:hAnsiTheme="majorHAnsi" w:cs="GillSansMT"/>
          <w:color w:val="auto"/>
          <w:sz w:val="20"/>
          <w:szCs w:val="20"/>
          <w:lang w:val="es-ES" w:eastAsia="en-US"/>
        </w:rPr>
        <w:t>Los peticionarios refieren que la defensa del condenado presentó recurso de</w:t>
      </w:r>
      <w:r w:rsidR="005570F1" w:rsidRPr="00F84AB1">
        <w:rPr>
          <w:rFonts w:asciiTheme="majorHAnsi" w:eastAsia="Arial Unicode MS" w:hAnsiTheme="majorHAnsi" w:cs="GillSansMT"/>
          <w:color w:val="auto"/>
          <w:sz w:val="20"/>
          <w:szCs w:val="20"/>
          <w:lang w:val="es-ES" w:eastAsia="en-US"/>
        </w:rPr>
        <w:t xml:space="preserve"> casación</w:t>
      </w:r>
      <w:r w:rsidRPr="00F84AB1">
        <w:rPr>
          <w:rFonts w:asciiTheme="majorHAnsi" w:eastAsia="Arial Unicode MS" w:hAnsiTheme="majorHAnsi" w:cs="GillSansMT"/>
          <w:color w:val="auto"/>
          <w:sz w:val="20"/>
          <w:szCs w:val="20"/>
          <w:lang w:val="es-ES" w:eastAsia="en-US"/>
        </w:rPr>
        <w:t>.</w:t>
      </w:r>
      <w:r w:rsidR="00012631" w:rsidRPr="00F84AB1">
        <w:rPr>
          <w:rFonts w:asciiTheme="majorHAnsi" w:eastAsia="Arial Unicode MS" w:hAnsiTheme="majorHAnsi" w:cs="GillSansMT"/>
          <w:color w:val="auto"/>
          <w:sz w:val="20"/>
          <w:szCs w:val="20"/>
          <w:lang w:val="es-ES" w:eastAsia="en-US"/>
        </w:rPr>
        <w:t xml:space="preserve"> </w:t>
      </w:r>
      <w:r w:rsidRPr="00F84AB1">
        <w:rPr>
          <w:rFonts w:asciiTheme="majorHAnsi" w:eastAsia="Arial Unicode MS" w:hAnsiTheme="majorHAnsi" w:cs="GillSansMT"/>
          <w:color w:val="auto"/>
          <w:sz w:val="20"/>
          <w:szCs w:val="20"/>
          <w:lang w:val="es-ES" w:eastAsia="en-US"/>
        </w:rPr>
        <w:t xml:space="preserve">Sostienen que, el 11 de diciembre de 2008, la Corte Suprema anuló el fallo de segunda instancia por considerar que adolecía de vicios de fondo por no haberse pronunciado detalladamente respecto del beneficio de la prescripción gradual, </w:t>
      </w:r>
      <w:r w:rsidR="008F0415" w:rsidRPr="00F84AB1">
        <w:rPr>
          <w:rFonts w:asciiTheme="majorHAnsi" w:eastAsia="Arial Unicode MS" w:hAnsiTheme="majorHAnsi" w:cs="GillSansMT"/>
          <w:color w:val="auto"/>
          <w:sz w:val="20"/>
          <w:szCs w:val="20"/>
          <w:lang w:val="es-ES" w:eastAsia="en-US"/>
        </w:rPr>
        <w:t xml:space="preserve">y </w:t>
      </w:r>
      <w:r w:rsidRPr="00F84AB1">
        <w:rPr>
          <w:rFonts w:asciiTheme="majorHAnsi" w:eastAsia="Arial Unicode MS" w:hAnsiTheme="majorHAnsi" w:cs="GillSansMT"/>
          <w:color w:val="auto"/>
          <w:sz w:val="20"/>
          <w:szCs w:val="20"/>
          <w:lang w:val="es-ES" w:eastAsia="en-US"/>
        </w:rPr>
        <w:t>dictó sentencia de reemplazo condenando al imputado a cuatro años de prisión y otorgó el beneficio previsto en el artículo 103 del Código Penal, en virtud de lo cual se le concedió la libertad vigilada.</w:t>
      </w:r>
    </w:p>
    <w:p w:rsidR="008C10D7" w:rsidRPr="00F84AB1" w:rsidRDefault="008C10D7" w:rsidP="00C64463">
      <w:pPr>
        <w:pStyle w:val="ListParagraph"/>
        <w:jc w:val="both"/>
        <w:rPr>
          <w:rFonts w:asciiTheme="majorHAnsi" w:eastAsia="Arial Unicode MS" w:hAnsiTheme="majorHAnsi" w:cs="GillSansMT"/>
          <w:color w:val="auto"/>
          <w:sz w:val="20"/>
          <w:szCs w:val="20"/>
          <w:lang w:val="es-ES" w:eastAsia="en-US"/>
        </w:rPr>
      </w:pPr>
    </w:p>
    <w:p w:rsidR="00F6325B" w:rsidRDefault="00240F4C" w:rsidP="0079466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Calibri" w:hAnsiTheme="majorHAnsi" w:cs="GillSansMT,Bold"/>
          <w:b/>
          <w:bCs/>
          <w:sz w:val="20"/>
          <w:szCs w:val="20"/>
          <w:lang w:val="es-ES"/>
        </w:rPr>
      </w:pPr>
      <w:r w:rsidRPr="00F84AB1">
        <w:rPr>
          <w:rFonts w:asciiTheme="majorHAnsi" w:eastAsia="Calibri" w:hAnsiTheme="majorHAnsi" w:cs="GillSansMT,Bold"/>
          <w:b/>
          <w:bCs/>
          <w:sz w:val="20"/>
          <w:szCs w:val="20"/>
          <w:lang w:val="es-ES"/>
        </w:rPr>
        <w:t>Caso de Eugenio Iván Montti Cordero y Carmen Margarita Díaz Darricarrere</w:t>
      </w:r>
      <w:r w:rsidR="00CB44EB" w:rsidRPr="00F84AB1">
        <w:rPr>
          <w:rFonts w:asciiTheme="majorHAnsi" w:hAnsiTheme="majorHAnsi"/>
          <w:sz w:val="20"/>
          <w:szCs w:val="20"/>
          <w:lang w:val="es-ES"/>
        </w:rPr>
        <w:t xml:space="preserve"> </w:t>
      </w:r>
      <w:r w:rsidR="00CB44EB" w:rsidRPr="00F84AB1">
        <w:rPr>
          <w:rFonts w:asciiTheme="majorHAnsi" w:eastAsia="Calibri" w:hAnsiTheme="majorHAnsi" w:cs="GillSansMT,Bold"/>
          <w:b/>
          <w:bCs/>
          <w:sz w:val="20"/>
          <w:szCs w:val="20"/>
          <w:lang w:val="es-ES"/>
        </w:rPr>
        <w:t>y</w:t>
      </w:r>
    </w:p>
    <w:p w:rsidR="003A1D57" w:rsidRPr="00F84AB1" w:rsidRDefault="00CB44EB" w:rsidP="00F6325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Calibri" w:hAnsiTheme="majorHAnsi" w:cs="GillSansMT,Bold"/>
          <w:b/>
          <w:bCs/>
          <w:sz w:val="20"/>
          <w:szCs w:val="20"/>
          <w:lang w:val="es-ES"/>
        </w:rPr>
      </w:pPr>
      <w:r w:rsidRPr="00F84AB1">
        <w:rPr>
          <w:rFonts w:asciiTheme="majorHAnsi" w:eastAsia="Calibri" w:hAnsiTheme="majorHAnsi" w:cs="GillSansMT,Bold"/>
          <w:b/>
          <w:bCs/>
          <w:sz w:val="20"/>
          <w:szCs w:val="20"/>
          <w:lang w:val="es-ES"/>
        </w:rPr>
        <w:t>familiares</w:t>
      </w:r>
    </w:p>
    <w:p w:rsidR="003A1D57" w:rsidRPr="00F84AB1" w:rsidRDefault="003A1D57"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UY"/>
        </w:rPr>
      </w:pPr>
    </w:p>
    <w:p w:rsidR="00501BC9" w:rsidRPr="00F84AB1" w:rsidRDefault="00BC0F54" w:rsidP="00DC0C5E">
      <w:pPr>
        <w:pStyle w:val="ListParagraph"/>
        <w:numPr>
          <w:ilvl w:val="0"/>
          <w:numId w:val="56"/>
        </w:numPr>
        <w:jc w:val="both"/>
        <w:rPr>
          <w:rFonts w:asciiTheme="majorHAnsi" w:hAnsiTheme="majorHAnsi" w:cs="Arial"/>
          <w:color w:val="943634" w:themeColor="accent2" w:themeShade="BF"/>
          <w:sz w:val="20"/>
          <w:szCs w:val="20"/>
          <w:lang w:val="es-UY"/>
        </w:rPr>
      </w:pPr>
      <w:r w:rsidRPr="00F84AB1">
        <w:rPr>
          <w:rFonts w:asciiTheme="majorHAnsi" w:hAnsiTheme="majorHAnsi" w:cs="GillSansMT"/>
          <w:sz w:val="20"/>
          <w:szCs w:val="20"/>
          <w:lang w:val="es-ES"/>
        </w:rPr>
        <w:t xml:space="preserve">El 24 de junio de 2009 la Comisión recibió una denuncia presentada en favor de </w:t>
      </w:r>
      <w:r w:rsidR="006C762E" w:rsidRPr="00F84AB1">
        <w:rPr>
          <w:rFonts w:asciiTheme="majorHAnsi" w:eastAsia="Arial Unicode MS" w:hAnsiTheme="majorHAnsi" w:cs="GillSansMT"/>
          <w:color w:val="auto"/>
          <w:sz w:val="20"/>
          <w:szCs w:val="20"/>
          <w:lang w:val="es-ES" w:eastAsia="en-US"/>
        </w:rPr>
        <w:t>Eugenio Iván Montti Cordero y Carmen Margarita Díaz Darricarrere</w:t>
      </w:r>
      <w:r w:rsidR="001F143D" w:rsidRPr="00F84AB1">
        <w:rPr>
          <w:rFonts w:asciiTheme="majorHAnsi" w:eastAsia="Arial Unicode MS" w:hAnsiTheme="majorHAnsi" w:cs="GillSansMT"/>
          <w:color w:val="auto"/>
          <w:sz w:val="20"/>
          <w:szCs w:val="20"/>
          <w:lang w:val="es-ES" w:eastAsia="en-US"/>
        </w:rPr>
        <w:t xml:space="preserve"> y sus familiares. </w:t>
      </w:r>
      <w:r w:rsidR="00501BC9" w:rsidRPr="00F84AB1">
        <w:rPr>
          <w:rFonts w:asciiTheme="majorHAnsi" w:eastAsia="Arial Unicode MS" w:hAnsiTheme="majorHAnsi" w:cs="GillSansMT"/>
          <w:color w:val="auto"/>
          <w:sz w:val="20"/>
          <w:szCs w:val="20"/>
          <w:lang w:val="es-ES" w:eastAsia="en-US"/>
        </w:rPr>
        <w:t xml:space="preserve">En la denuncia se refiere que las presuntas </w:t>
      </w:r>
      <w:r w:rsidR="00A31047" w:rsidRPr="00F84AB1">
        <w:rPr>
          <w:rFonts w:asciiTheme="majorHAnsi" w:eastAsia="Arial Unicode MS" w:hAnsiTheme="majorHAnsi" w:cs="GillSansMT"/>
          <w:color w:val="auto"/>
          <w:sz w:val="20"/>
          <w:szCs w:val="20"/>
          <w:lang w:val="es-ES" w:eastAsia="en-US"/>
        </w:rPr>
        <w:t>víctimas</w:t>
      </w:r>
      <w:r w:rsidR="00501BC9" w:rsidRPr="00F84AB1">
        <w:rPr>
          <w:rFonts w:asciiTheme="majorHAnsi" w:eastAsia="Arial Unicode MS" w:hAnsiTheme="majorHAnsi" w:cs="GillSansMT"/>
          <w:color w:val="auto"/>
          <w:sz w:val="20"/>
          <w:szCs w:val="20"/>
          <w:lang w:val="es-ES" w:eastAsia="en-US"/>
        </w:rPr>
        <w:t xml:space="preserve">, ambos integrantes del </w:t>
      </w:r>
      <w:r w:rsidR="00501BC9" w:rsidRPr="00F84AB1">
        <w:rPr>
          <w:rFonts w:asciiTheme="majorHAnsi" w:hAnsiTheme="majorHAnsi" w:cs="GillSansMT"/>
          <w:sz w:val="20"/>
          <w:szCs w:val="20"/>
          <w:lang w:val="es-ES"/>
        </w:rPr>
        <w:t>Movimiento de Izquierda Revolucionaria (</w:t>
      </w:r>
      <w:r w:rsidR="00994F7B" w:rsidRPr="00F84AB1">
        <w:rPr>
          <w:rFonts w:asciiTheme="majorHAnsi" w:hAnsiTheme="majorHAnsi" w:cs="GillSansMT"/>
          <w:sz w:val="20"/>
          <w:szCs w:val="20"/>
          <w:lang w:val="es-ES"/>
        </w:rPr>
        <w:t xml:space="preserve">en adelante </w:t>
      </w:r>
      <w:r w:rsidR="00501BC9" w:rsidRPr="00F84AB1">
        <w:rPr>
          <w:rFonts w:asciiTheme="majorHAnsi" w:hAnsiTheme="majorHAnsi" w:cs="GillSansMT"/>
          <w:sz w:val="20"/>
          <w:szCs w:val="20"/>
          <w:lang w:val="es-ES"/>
        </w:rPr>
        <w:t xml:space="preserve">MIR), fueron detenidos el 13 de febrero de 1975, </w:t>
      </w:r>
      <w:r w:rsidR="00A31047" w:rsidRPr="00F84AB1">
        <w:rPr>
          <w:rFonts w:asciiTheme="majorHAnsi" w:hAnsiTheme="majorHAnsi" w:cs="GillSansMT"/>
          <w:sz w:val="20"/>
          <w:szCs w:val="20"/>
          <w:lang w:val="es-ES"/>
        </w:rPr>
        <w:t xml:space="preserve">junto a otros tres militantes del MIR, </w:t>
      </w:r>
      <w:r w:rsidR="00501BC9" w:rsidRPr="00F84AB1">
        <w:rPr>
          <w:rFonts w:asciiTheme="majorHAnsi" w:hAnsiTheme="majorHAnsi" w:cs="GillSansMT"/>
          <w:sz w:val="20"/>
          <w:szCs w:val="20"/>
          <w:lang w:val="es-ES"/>
        </w:rPr>
        <w:t>en la ciudad de Santiago, por personal de la Dirección de Inteligencia Nacional (DINA) y trasladados a Villa Grimaldi, centro cland</w:t>
      </w:r>
      <w:r w:rsidR="00B82F38" w:rsidRPr="00F84AB1">
        <w:rPr>
          <w:rFonts w:asciiTheme="majorHAnsi" w:hAnsiTheme="majorHAnsi" w:cs="GillSansMT"/>
          <w:sz w:val="20"/>
          <w:szCs w:val="20"/>
          <w:lang w:val="es-ES"/>
        </w:rPr>
        <w:t>estino de detención de la DINA.</w:t>
      </w:r>
      <w:r w:rsidR="00501BC9" w:rsidRPr="00F84AB1">
        <w:rPr>
          <w:rFonts w:asciiTheme="majorHAnsi" w:hAnsiTheme="majorHAnsi" w:cs="GillSansMT"/>
          <w:sz w:val="20"/>
          <w:szCs w:val="20"/>
          <w:lang w:val="es-ES"/>
        </w:rPr>
        <w:t xml:space="preserve"> </w:t>
      </w:r>
      <w:r w:rsidR="00B82F38" w:rsidRPr="00F84AB1">
        <w:rPr>
          <w:rFonts w:asciiTheme="majorHAnsi" w:hAnsiTheme="majorHAnsi" w:cs="GillSansMT"/>
          <w:sz w:val="20"/>
          <w:szCs w:val="20"/>
          <w:lang w:val="es-ES"/>
        </w:rPr>
        <w:t xml:space="preserve">Los peticionarios indican que </w:t>
      </w:r>
      <w:r w:rsidR="00501BC9" w:rsidRPr="00F84AB1">
        <w:rPr>
          <w:rFonts w:asciiTheme="majorHAnsi" w:eastAsia="Arial Unicode MS" w:hAnsiTheme="majorHAnsi" w:cs="GillSansMT"/>
          <w:color w:val="auto"/>
          <w:sz w:val="20"/>
          <w:szCs w:val="20"/>
          <w:lang w:val="es-ES" w:eastAsia="en-US"/>
        </w:rPr>
        <w:t xml:space="preserve">Eugenio Iván Montti Cordero, </w:t>
      </w:r>
      <w:r w:rsidR="00DC0C5E" w:rsidRPr="00F84AB1">
        <w:rPr>
          <w:rFonts w:asciiTheme="majorHAnsi" w:eastAsia="Arial Unicode MS" w:hAnsiTheme="majorHAnsi" w:cs="GillSansMT"/>
          <w:color w:val="auto"/>
          <w:sz w:val="20"/>
          <w:szCs w:val="20"/>
          <w:lang w:val="es-ES" w:eastAsia="en-US"/>
        </w:rPr>
        <w:t xml:space="preserve">fue </w:t>
      </w:r>
      <w:r w:rsidR="00501BC9" w:rsidRPr="00F84AB1">
        <w:rPr>
          <w:rFonts w:asciiTheme="majorHAnsi" w:eastAsia="Arial Unicode MS" w:hAnsiTheme="majorHAnsi" w:cs="GillSansMT"/>
          <w:color w:val="auto"/>
          <w:sz w:val="20"/>
          <w:szCs w:val="20"/>
          <w:lang w:val="es-ES" w:eastAsia="en-US"/>
        </w:rPr>
        <w:t>detenido junto a su hijo de cinco años de edad</w:t>
      </w:r>
      <w:r w:rsidR="00B82F38" w:rsidRPr="00F84AB1">
        <w:rPr>
          <w:rFonts w:asciiTheme="majorHAnsi" w:eastAsia="Arial Unicode MS" w:hAnsiTheme="majorHAnsi" w:cs="GillSansMT"/>
          <w:color w:val="auto"/>
          <w:sz w:val="20"/>
          <w:szCs w:val="20"/>
          <w:lang w:val="es-ES" w:eastAsia="en-US"/>
        </w:rPr>
        <w:t xml:space="preserve">, y </w:t>
      </w:r>
      <w:r w:rsidR="00501BC9" w:rsidRPr="00F84AB1">
        <w:rPr>
          <w:rFonts w:asciiTheme="majorHAnsi" w:hAnsiTheme="majorHAnsi" w:cs="GillSansMT"/>
          <w:sz w:val="20"/>
          <w:szCs w:val="20"/>
          <w:lang w:val="es-UY"/>
        </w:rPr>
        <w:t>q</w:t>
      </w:r>
      <w:r w:rsidR="00501BC9" w:rsidRPr="00F84AB1">
        <w:rPr>
          <w:rFonts w:asciiTheme="majorHAnsi" w:hAnsiTheme="majorHAnsi" w:cs="GillSansMT"/>
          <w:sz w:val="20"/>
          <w:szCs w:val="20"/>
          <w:lang w:val="es-ES"/>
        </w:rPr>
        <w:t xml:space="preserve">ue el niño </w:t>
      </w:r>
      <w:r w:rsidR="00DC0C5E" w:rsidRPr="00F84AB1">
        <w:rPr>
          <w:rFonts w:asciiTheme="majorHAnsi" w:hAnsiTheme="majorHAnsi" w:cs="GillSansMT"/>
          <w:sz w:val="20"/>
          <w:szCs w:val="20"/>
          <w:lang w:val="es-ES"/>
        </w:rPr>
        <w:t>fue</w:t>
      </w:r>
      <w:r w:rsidR="00501BC9" w:rsidRPr="00F84AB1">
        <w:rPr>
          <w:rFonts w:asciiTheme="majorHAnsi" w:hAnsiTheme="majorHAnsi" w:cs="GillSansMT"/>
          <w:sz w:val="20"/>
          <w:szCs w:val="20"/>
          <w:lang w:val="es-ES"/>
        </w:rPr>
        <w:t xml:space="preserve"> llevado posteriormente a un hogar de menores de carabineros, donde permaneció hasta marzo de 1975</w:t>
      </w:r>
      <w:r w:rsidR="00153196" w:rsidRPr="00F84AB1">
        <w:rPr>
          <w:rFonts w:asciiTheme="majorHAnsi" w:hAnsiTheme="majorHAnsi" w:cs="GillSansMT"/>
          <w:sz w:val="20"/>
          <w:szCs w:val="20"/>
          <w:lang w:val="es-ES"/>
        </w:rPr>
        <w:t>,</w:t>
      </w:r>
      <w:r w:rsidR="00501BC9" w:rsidRPr="00F84AB1">
        <w:rPr>
          <w:rFonts w:asciiTheme="majorHAnsi" w:hAnsiTheme="majorHAnsi" w:cs="GillSansMT"/>
          <w:sz w:val="20"/>
          <w:szCs w:val="20"/>
          <w:lang w:val="es-ES"/>
        </w:rPr>
        <w:t xml:space="preserve"> cuando fue ubicado accidentalmente por una tía, tras una intensa búsqueda. Alegan que se desconoce el paradero de las presuntas víctimas.</w:t>
      </w:r>
    </w:p>
    <w:p w:rsidR="00073098" w:rsidRPr="00F84AB1" w:rsidRDefault="00073098" w:rsidP="00C64463">
      <w:pPr>
        <w:pStyle w:val="ListParagraph"/>
        <w:jc w:val="both"/>
        <w:rPr>
          <w:rFonts w:asciiTheme="majorHAnsi" w:hAnsiTheme="majorHAnsi" w:cs="Arial"/>
          <w:color w:val="943634" w:themeColor="accent2" w:themeShade="BF"/>
          <w:sz w:val="20"/>
          <w:szCs w:val="20"/>
          <w:lang w:val="es-UY"/>
        </w:rPr>
      </w:pPr>
    </w:p>
    <w:p w:rsidR="00073098" w:rsidRPr="00F84AB1" w:rsidRDefault="00073098"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lastRenderedPageBreak/>
        <w:t xml:space="preserve">Señalan que los familiares de Eugenio Montti interpusieron recurso de amparo a favor de la presunta víctima y de su hijo el </w:t>
      </w:r>
      <w:r w:rsidR="00B334C6" w:rsidRPr="00F84AB1">
        <w:rPr>
          <w:rFonts w:asciiTheme="majorHAnsi" w:hAnsiTheme="majorHAnsi" w:cs="GillSansMT"/>
          <w:sz w:val="20"/>
          <w:szCs w:val="20"/>
          <w:lang w:val="es-ES"/>
        </w:rPr>
        <w:t>7 de marzo de 1975.</w:t>
      </w:r>
      <w:r w:rsidRPr="00F84AB1">
        <w:rPr>
          <w:rFonts w:asciiTheme="majorHAnsi" w:hAnsiTheme="majorHAnsi" w:cs="GillSansMT"/>
          <w:sz w:val="20"/>
          <w:szCs w:val="20"/>
          <w:lang w:val="es-ES"/>
        </w:rPr>
        <w:t xml:space="preserve"> Alegan que los organismos oficiales nega</w:t>
      </w:r>
      <w:r w:rsidR="00DC0C5E" w:rsidRPr="00F84AB1">
        <w:rPr>
          <w:rFonts w:asciiTheme="majorHAnsi" w:hAnsiTheme="majorHAnsi" w:cs="GillSansMT"/>
          <w:sz w:val="20"/>
          <w:szCs w:val="20"/>
          <w:lang w:val="es-ES"/>
        </w:rPr>
        <w:t>ron</w:t>
      </w:r>
      <w:r w:rsidRPr="00F84AB1">
        <w:rPr>
          <w:rFonts w:asciiTheme="majorHAnsi" w:hAnsiTheme="majorHAnsi" w:cs="GillSansMT"/>
          <w:sz w:val="20"/>
          <w:szCs w:val="20"/>
          <w:lang w:val="es-ES"/>
        </w:rPr>
        <w:t xml:space="preserve"> la detención, y que el recurso </w:t>
      </w:r>
      <w:r w:rsidR="00DC0C5E" w:rsidRPr="00F84AB1">
        <w:rPr>
          <w:rFonts w:asciiTheme="majorHAnsi" w:hAnsiTheme="majorHAnsi" w:cs="GillSansMT"/>
          <w:sz w:val="20"/>
          <w:szCs w:val="20"/>
          <w:lang w:val="es-ES"/>
        </w:rPr>
        <w:t>fue</w:t>
      </w:r>
      <w:r w:rsidRPr="00F84AB1">
        <w:rPr>
          <w:rFonts w:asciiTheme="majorHAnsi" w:hAnsiTheme="majorHAnsi" w:cs="GillSansMT"/>
          <w:sz w:val="20"/>
          <w:szCs w:val="20"/>
          <w:lang w:val="es-ES"/>
        </w:rPr>
        <w:t xml:space="preserve"> rechazado el 2 de abril de 1975 y los antecedentes remitidos al 11 J</w:t>
      </w:r>
      <w:r w:rsidR="00B334C6" w:rsidRPr="00F84AB1">
        <w:rPr>
          <w:rFonts w:asciiTheme="majorHAnsi" w:hAnsiTheme="majorHAnsi" w:cs="GillSansMT"/>
          <w:sz w:val="20"/>
          <w:szCs w:val="20"/>
          <w:lang w:val="es-ES"/>
        </w:rPr>
        <w:t xml:space="preserve">uzgado del Crimen de Santiago. </w:t>
      </w:r>
      <w:r w:rsidRPr="00F84AB1">
        <w:rPr>
          <w:rFonts w:asciiTheme="majorHAnsi" w:hAnsiTheme="majorHAnsi" w:cs="GillSansMT"/>
          <w:sz w:val="20"/>
          <w:szCs w:val="20"/>
          <w:lang w:val="es-ES"/>
        </w:rPr>
        <w:t>Señalan que el 8 de abril de 19</w:t>
      </w:r>
      <w:r w:rsidR="00E82724" w:rsidRPr="00F84AB1">
        <w:rPr>
          <w:rFonts w:asciiTheme="majorHAnsi" w:hAnsiTheme="majorHAnsi" w:cs="GillSansMT"/>
          <w:sz w:val="20"/>
          <w:szCs w:val="20"/>
          <w:lang w:val="es-ES"/>
        </w:rPr>
        <w:t>75 dicho J</w:t>
      </w:r>
      <w:r w:rsidRPr="00F84AB1">
        <w:rPr>
          <w:rFonts w:asciiTheme="majorHAnsi" w:hAnsiTheme="majorHAnsi" w:cs="GillSansMT"/>
          <w:sz w:val="20"/>
          <w:szCs w:val="20"/>
          <w:lang w:val="es-ES"/>
        </w:rPr>
        <w:t xml:space="preserve">uzgado </w:t>
      </w:r>
      <w:r w:rsidR="00E82724" w:rsidRPr="00F84AB1">
        <w:rPr>
          <w:rFonts w:asciiTheme="majorHAnsi" w:hAnsiTheme="majorHAnsi" w:cs="GillSansMT"/>
          <w:sz w:val="20"/>
          <w:szCs w:val="20"/>
          <w:lang w:val="es-ES"/>
        </w:rPr>
        <w:t>inició</w:t>
      </w:r>
      <w:r w:rsidR="00153196" w:rsidRPr="00F84AB1">
        <w:rPr>
          <w:rFonts w:asciiTheme="majorHAnsi" w:hAnsiTheme="majorHAnsi" w:cs="GillSansMT"/>
          <w:sz w:val="20"/>
          <w:szCs w:val="20"/>
          <w:lang w:val="es-ES"/>
        </w:rPr>
        <w:t xml:space="preserve"> la causa R</w:t>
      </w:r>
      <w:r w:rsidRPr="00F84AB1">
        <w:rPr>
          <w:rFonts w:asciiTheme="majorHAnsi" w:hAnsiTheme="majorHAnsi" w:cs="GillSansMT"/>
          <w:sz w:val="20"/>
          <w:szCs w:val="20"/>
          <w:lang w:val="es-ES"/>
        </w:rPr>
        <w:t xml:space="preserve">ol 1938, concluyendo que las diligencias tendientes a ubicar a Eugenio </w:t>
      </w:r>
      <w:r w:rsidR="000259FD" w:rsidRPr="00F84AB1">
        <w:rPr>
          <w:rFonts w:asciiTheme="majorHAnsi" w:hAnsiTheme="majorHAnsi" w:cs="GillSansMT"/>
          <w:sz w:val="20"/>
          <w:szCs w:val="20"/>
          <w:lang w:val="es-ES"/>
        </w:rPr>
        <w:t xml:space="preserve">Montti no </w:t>
      </w:r>
      <w:r w:rsidRPr="00F84AB1">
        <w:rPr>
          <w:rFonts w:asciiTheme="majorHAnsi" w:hAnsiTheme="majorHAnsi" w:cs="GillSansMT"/>
          <w:sz w:val="20"/>
          <w:szCs w:val="20"/>
          <w:lang w:val="es-ES"/>
        </w:rPr>
        <w:t xml:space="preserve">dieron resultado y que presumiblemente éste </w:t>
      </w:r>
      <w:r w:rsidR="00E82724" w:rsidRPr="00F84AB1">
        <w:rPr>
          <w:rFonts w:asciiTheme="majorHAnsi" w:hAnsiTheme="majorHAnsi" w:cs="GillSansMT"/>
          <w:sz w:val="20"/>
          <w:szCs w:val="20"/>
          <w:lang w:val="es-ES"/>
        </w:rPr>
        <w:t xml:space="preserve">habría huido del país. </w:t>
      </w:r>
      <w:r w:rsidRPr="00F84AB1">
        <w:rPr>
          <w:rFonts w:asciiTheme="majorHAnsi" w:hAnsiTheme="majorHAnsi" w:cs="GillSansMT"/>
          <w:sz w:val="20"/>
          <w:szCs w:val="20"/>
          <w:lang w:val="es-ES"/>
        </w:rPr>
        <w:t>Indican que, en relación con el niño, se diligenció una orden de investigar por la Policía de Investigaciones de Chile y que la asistente social jefa del hogar de menore</w:t>
      </w:r>
      <w:r w:rsidR="00153196" w:rsidRPr="00F84AB1">
        <w:rPr>
          <w:rFonts w:asciiTheme="majorHAnsi" w:hAnsiTheme="majorHAnsi" w:cs="GillSansMT"/>
          <w:sz w:val="20"/>
          <w:szCs w:val="20"/>
          <w:lang w:val="es-ES"/>
        </w:rPr>
        <w:t>s habría negado el ingreso del niño</w:t>
      </w:r>
      <w:r w:rsidRPr="00F84AB1">
        <w:rPr>
          <w:rFonts w:asciiTheme="majorHAnsi" w:hAnsiTheme="majorHAnsi" w:cs="GillSansMT"/>
          <w:sz w:val="20"/>
          <w:szCs w:val="20"/>
          <w:lang w:val="es-ES"/>
        </w:rPr>
        <w:t xml:space="preserve"> al hogar donde fue encontrado.</w:t>
      </w:r>
      <w:r w:rsidR="00012631" w:rsidRPr="00F84AB1">
        <w:rPr>
          <w:rFonts w:asciiTheme="majorHAnsi" w:hAnsiTheme="majorHAnsi" w:cs="GillSansMT"/>
          <w:sz w:val="20"/>
          <w:szCs w:val="20"/>
          <w:lang w:val="es-ES"/>
        </w:rPr>
        <w:t xml:space="preserve"> </w:t>
      </w:r>
    </w:p>
    <w:p w:rsidR="00073098" w:rsidRPr="00F84AB1" w:rsidRDefault="00073098" w:rsidP="00C644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p>
    <w:p w:rsidR="00E82724" w:rsidRPr="00F84AB1" w:rsidRDefault="00E82724"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Alegan que en marzo de 1976 una prisionera habría sido puesta a disposición del tribunal y declarado sobre lo </w:t>
      </w:r>
      <w:r w:rsidR="006D7A33" w:rsidRPr="00F84AB1">
        <w:rPr>
          <w:rFonts w:asciiTheme="majorHAnsi" w:hAnsiTheme="majorHAnsi" w:cs="GillSansMT"/>
          <w:sz w:val="20"/>
          <w:szCs w:val="20"/>
          <w:lang w:val="es-ES"/>
        </w:rPr>
        <w:t xml:space="preserve">ocurrido a Eugenio Iván Montti, sin embargo, el Juez sobreseyó temporalmente la causa. </w:t>
      </w:r>
      <w:r w:rsidRPr="00F84AB1">
        <w:rPr>
          <w:rFonts w:asciiTheme="majorHAnsi" w:hAnsiTheme="majorHAnsi" w:cs="GillSansMT"/>
          <w:sz w:val="20"/>
          <w:szCs w:val="20"/>
          <w:lang w:val="es-ES"/>
        </w:rPr>
        <w:t xml:space="preserve">Indican que </w:t>
      </w:r>
      <w:r w:rsidR="006D7A33" w:rsidRPr="00F84AB1">
        <w:rPr>
          <w:rFonts w:asciiTheme="majorHAnsi" w:hAnsiTheme="majorHAnsi" w:cs="GillSansMT"/>
          <w:sz w:val="20"/>
          <w:szCs w:val="20"/>
          <w:lang w:val="es-ES"/>
        </w:rPr>
        <w:t>la Corte revoco el sobreseimiento y repuso la causa a sumario. El</w:t>
      </w:r>
      <w:r w:rsidRPr="00F84AB1">
        <w:rPr>
          <w:rFonts w:asciiTheme="majorHAnsi" w:hAnsiTheme="majorHAnsi" w:cs="GillSansMT"/>
          <w:sz w:val="20"/>
          <w:szCs w:val="20"/>
          <w:lang w:val="es-ES"/>
        </w:rPr>
        <w:t xml:space="preserve"> juez se declaró incompetente el 30 de julio de 1978 y remitió los antecedentes a la justicia militar, </w:t>
      </w:r>
      <w:r w:rsidR="006D7A33" w:rsidRPr="00F84AB1">
        <w:rPr>
          <w:rFonts w:asciiTheme="majorHAnsi" w:hAnsiTheme="majorHAnsi" w:cs="GillSansMT"/>
          <w:sz w:val="20"/>
          <w:szCs w:val="20"/>
          <w:lang w:val="es-ES"/>
        </w:rPr>
        <w:t>y</w:t>
      </w:r>
      <w:r w:rsidRPr="00F84AB1">
        <w:rPr>
          <w:rFonts w:asciiTheme="majorHAnsi" w:hAnsiTheme="majorHAnsi" w:cs="GillSansMT"/>
          <w:sz w:val="20"/>
          <w:szCs w:val="20"/>
          <w:lang w:val="es-ES"/>
        </w:rPr>
        <w:t xml:space="preserve"> </w:t>
      </w:r>
      <w:r w:rsidR="006D7A33" w:rsidRPr="00F84AB1">
        <w:rPr>
          <w:rFonts w:asciiTheme="majorHAnsi" w:hAnsiTheme="majorHAnsi" w:cs="GillSansMT"/>
          <w:sz w:val="20"/>
          <w:szCs w:val="20"/>
          <w:lang w:val="es-ES"/>
        </w:rPr>
        <w:t xml:space="preserve">en </w:t>
      </w:r>
      <w:r w:rsidRPr="00F84AB1">
        <w:rPr>
          <w:rFonts w:asciiTheme="majorHAnsi" w:hAnsiTheme="majorHAnsi" w:cs="GillSansMT"/>
          <w:sz w:val="20"/>
          <w:szCs w:val="20"/>
          <w:lang w:val="es-ES"/>
        </w:rPr>
        <w:t xml:space="preserve">1982 </w:t>
      </w:r>
      <w:r w:rsidR="00153196" w:rsidRPr="00F84AB1">
        <w:rPr>
          <w:rFonts w:asciiTheme="majorHAnsi" w:hAnsiTheme="majorHAnsi" w:cs="GillSansMT"/>
          <w:sz w:val="20"/>
          <w:szCs w:val="20"/>
          <w:lang w:val="es-ES"/>
        </w:rPr>
        <w:t>la Corte Marcial decretó</w:t>
      </w:r>
      <w:r w:rsidR="006D7A33"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el sobreseimiento del caso por no haberse acreditado el delito.</w:t>
      </w:r>
      <w:r w:rsidR="00012631" w:rsidRPr="00F84AB1">
        <w:rPr>
          <w:rFonts w:asciiTheme="majorHAnsi" w:hAnsiTheme="majorHAnsi" w:cs="GillSansMT"/>
          <w:sz w:val="20"/>
          <w:szCs w:val="20"/>
          <w:lang w:val="es-ES"/>
        </w:rPr>
        <w:t xml:space="preserve"> </w:t>
      </w:r>
    </w:p>
    <w:p w:rsidR="00E82724" w:rsidRPr="00F84AB1" w:rsidRDefault="00E82724" w:rsidP="00C644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p>
    <w:p w:rsidR="008A6C9F" w:rsidRPr="00F84AB1" w:rsidRDefault="008A6C9F" w:rsidP="00DC0C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Señalan que en el caso de Carmen Díaz se interpuso una denuncia el 20 de julio de 1979, por el delito de secuestro ante un Ministro en </w:t>
      </w:r>
      <w:r w:rsidR="00DC0C5E" w:rsidRPr="00F84AB1">
        <w:rPr>
          <w:rFonts w:asciiTheme="majorHAnsi" w:hAnsiTheme="majorHAnsi" w:cs="GillSansMT"/>
          <w:sz w:val="20"/>
          <w:szCs w:val="20"/>
          <w:lang w:val="es-ES"/>
        </w:rPr>
        <w:t xml:space="preserve">Visita, quien tenía a su cargo </w:t>
      </w:r>
      <w:r w:rsidRPr="00F84AB1">
        <w:rPr>
          <w:rFonts w:asciiTheme="majorHAnsi" w:hAnsiTheme="majorHAnsi" w:cs="GillSansMT"/>
          <w:sz w:val="20"/>
          <w:szCs w:val="20"/>
          <w:lang w:val="es-ES"/>
        </w:rPr>
        <w:t>causas de detenidos desaparecidos en Santiago. Refieren que el Ministro se declaró incompetente y remitió los antecedentes al Sexto Juzgado del Crimen de Santiago, que inici</w:t>
      </w:r>
      <w:r w:rsidR="00DC0C5E" w:rsidRPr="00F84AB1">
        <w:rPr>
          <w:rFonts w:asciiTheme="majorHAnsi" w:hAnsiTheme="majorHAnsi" w:cs="GillSansMT"/>
          <w:sz w:val="20"/>
          <w:szCs w:val="20"/>
          <w:lang w:val="es-ES"/>
        </w:rPr>
        <w:t>ó</w:t>
      </w:r>
      <w:r w:rsidRPr="00F84AB1">
        <w:rPr>
          <w:rFonts w:asciiTheme="majorHAnsi" w:hAnsiTheme="majorHAnsi" w:cs="GillSansMT"/>
          <w:sz w:val="20"/>
          <w:szCs w:val="20"/>
          <w:lang w:val="es-ES"/>
        </w:rPr>
        <w:t xml:space="preserve"> la causa 193.360. Sostienen que el proceso fue cerrado en 1985 por </w:t>
      </w:r>
      <w:r w:rsidR="005C7689" w:rsidRPr="00F84AB1">
        <w:rPr>
          <w:rFonts w:asciiTheme="majorHAnsi" w:hAnsiTheme="majorHAnsi" w:cs="GillSansMT"/>
          <w:sz w:val="20"/>
          <w:szCs w:val="20"/>
          <w:lang w:val="es-ES"/>
        </w:rPr>
        <w:t>no existir antecedentes que permitieran la configuración de algún delito,</w:t>
      </w:r>
      <w:r w:rsidRPr="00F84AB1">
        <w:rPr>
          <w:rFonts w:asciiTheme="majorHAnsi" w:hAnsiTheme="majorHAnsi" w:cs="GillSansMT"/>
          <w:sz w:val="20"/>
          <w:szCs w:val="20"/>
          <w:lang w:val="es-ES"/>
        </w:rPr>
        <w:t xml:space="preserve"> resolución que fue confirmada por la Corte de Apelaciones.</w:t>
      </w:r>
    </w:p>
    <w:p w:rsidR="008A6C9F" w:rsidRPr="00F84AB1" w:rsidRDefault="00012631" w:rsidP="00C644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 </w:t>
      </w:r>
    </w:p>
    <w:p w:rsidR="00F333F6" w:rsidRPr="00F84AB1" w:rsidRDefault="00EF6EF6" w:rsidP="008F30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Sostienen que, el 2 de enero de 1998, se inició una querella</w:t>
      </w:r>
      <w:r w:rsidR="00534578" w:rsidRPr="00F84AB1">
        <w:rPr>
          <w:rFonts w:asciiTheme="majorHAnsi" w:hAnsiTheme="majorHAnsi" w:cs="GillSansMT"/>
          <w:sz w:val="20"/>
          <w:szCs w:val="20"/>
          <w:lang w:val="es-ES"/>
        </w:rPr>
        <w:t>, causa Rol. No. 2182-98,</w:t>
      </w:r>
      <w:r w:rsidR="00305AC4" w:rsidRPr="00F84AB1">
        <w:rPr>
          <w:rFonts w:asciiTheme="majorHAnsi" w:hAnsiTheme="majorHAnsi" w:cs="GillSansMT"/>
          <w:sz w:val="20"/>
          <w:szCs w:val="20"/>
          <w:lang w:val="es-ES"/>
        </w:rPr>
        <w:t xml:space="preserve"> </w:t>
      </w:r>
      <w:r w:rsidR="00CB0C54" w:rsidRPr="00F84AB1">
        <w:rPr>
          <w:rFonts w:asciiTheme="majorHAnsi" w:hAnsiTheme="majorHAnsi" w:cs="GillSansMT"/>
          <w:sz w:val="20"/>
          <w:szCs w:val="20"/>
          <w:lang w:val="es-ES"/>
        </w:rPr>
        <w:t>en virtud de</w:t>
      </w:r>
      <w:r w:rsidR="00305AC4" w:rsidRPr="00F84AB1">
        <w:rPr>
          <w:rFonts w:asciiTheme="majorHAnsi" w:hAnsiTheme="majorHAnsi" w:cs="GillSansMT"/>
          <w:sz w:val="20"/>
          <w:szCs w:val="20"/>
          <w:lang w:val="es-ES"/>
        </w:rPr>
        <w:t xml:space="preserve"> una </w:t>
      </w:r>
      <w:r w:rsidR="00B11D5D" w:rsidRPr="00F84AB1">
        <w:rPr>
          <w:rFonts w:asciiTheme="majorHAnsi" w:hAnsiTheme="majorHAnsi" w:cs="GillSansMT"/>
          <w:sz w:val="20"/>
          <w:szCs w:val="20"/>
          <w:lang w:val="es-ES"/>
        </w:rPr>
        <w:t>denuncia</w:t>
      </w:r>
      <w:r w:rsidR="00305AC4" w:rsidRPr="00F84AB1">
        <w:rPr>
          <w:rFonts w:asciiTheme="majorHAnsi" w:hAnsiTheme="majorHAnsi" w:cs="GillSansMT"/>
          <w:sz w:val="20"/>
          <w:szCs w:val="20"/>
          <w:lang w:val="es-ES"/>
        </w:rPr>
        <w:t xml:space="preserve"> interpuesta contra Augusto Pinochet Ugarte</w:t>
      </w:r>
      <w:r w:rsidR="00534578"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por el secuestro calificado de</w:t>
      </w:r>
      <w:r w:rsidR="00982B9C" w:rsidRPr="00F84AB1">
        <w:rPr>
          <w:rFonts w:asciiTheme="majorHAnsi" w:hAnsiTheme="majorHAnsi" w:cs="GillSansMT"/>
          <w:sz w:val="20"/>
          <w:szCs w:val="20"/>
          <w:lang w:val="es-ES"/>
        </w:rPr>
        <w:t xml:space="preserve"> carias personas, dentro de las cuales se denunciaban los secuestros de</w:t>
      </w:r>
      <w:r w:rsidRPr="00F84AB1">
        <w:rPr>
          <w:rFonts w:asciiTheme="majorHAnsi" w:hAnsiTheme="majorHAnsi" w:cs="GillSansMT"/>
          <w:sz w:val="20"/>
          <w:szCs w:val="20"/>
          <w:lang w:val="es-ES"/>
        </w:rPr>
        <w:t xml:space="preserve"> las dos presuntas víctimas</w:t>
      </w:r>
      <w:r w:rsidR="008F30E1" w:rsidRPr="00F84AB1">
        <w:rPr>
          <w:rFonts w:asciiTheme="majorHAnsi" w:hAnsiTheme="majorHAnsi" w:cs="GillSansMT"/>
          <w:sz w:val="20"/>
          <w:szCs w:val="20"/>
          <w:lang w:val="es-ES"/>
        </w:rPr>
        <w:t>, as</w:t>
      </w:r>
      <w:r w:rsidR="008F30E1" w:rsidRPr="00F84AB1">
        <w:rPr>
          <w:rFonts w:asciiTheme="majorHAnsi" w:hAnsiTheme="majorHAnsi"/>
          <w:sz w:val="20"/>
          <w:szCs w:val="20"/>
          <w:lang w:val="es-ES"/>
        </w:rPr>
        <w:t xml:space="preserve">í como </w:t>
      </w:r>
      <w:r w:rsidR="00982B9C" w:rsidRPr="00F84AB1">
        <w:rPr>
          <w:rFonts w:asciiTheme="majorHAnsi" w:hAnsiTheme="majorHAnsi"/>
          <w:sz w:val="20"/>
          <w:szCs w:val="20"/>
          <w:lang w:val="es-ES"/>
        </w:rPr>
        <w:t>el secuestro</w:t>
      </w:r>
      <w:r w:rsidR="008F30E1" w:rsidRPr="00F84AB1">
        <w:rPr>
          <w:rFonts w:asciiTheme="majorHAnsi" w:hAnsiTheme="majorHAnsi"/>
          <w:sz w:val="20"/>
          <w:szCs w:val="20"/>
          <w:lang w:val="es-ES"/>
        </w:rPr>
        <w:t xml:space="preserve"> del hijo de Eugenio Iván Montti</w:t>
      </w:r>
      <w:r w:rsidR="00305AC4" w:rsidRPr="00F84AB1">
        <w:rPr>
          <w:rFonts w:asciiTheme="majorHAnsi" w:hAnsiTheme="majorHAnsi" w:cs="GillSansMT"/>
          <w:sz w:val="20"/>
          <w:szCs w:val="20"/>
          <w:lang w:val="es-ES"/>
        </w:rPr>
        <w:t xml:space="preserve">. El 12 de julio de 1974 </w:t>
      </w:r>
      <w:r w:rsidR="00517210" w:rsidRPr="00F84AB1">
        <w:rPr>
          <w:rFonts w:asciiTheme="majorHAnsi" w:hAnsiTheme="majorHAnsi" w:cs="GillSansMT"/>
          <w:sz w:val="20"/>
          <w:szCs w:val="20"/>
          <w:lang w:val="es-ES"/>
        </w:rPr>
        <w:t>se formó</w:t>
      </w:r>
      <w:r w:rsidR="00305AC4" w:rsidRPr="00F84AB1">
        <w:rPr>
          <w:rFonts w:asciiTheme="majorHAnsi" w:hAnsiTheme="majorHAnsi" w:cs="GillSansMT"/>
          <w:sz w:val="20"/>
          <w:szCs w:val="20"/>
          <w:lang w:val="es-ES"/>
        </w:rPr>
        <w:t xml:space="preserve"> un cuaderno separado por la desaparición </w:t>
      </w:r>
      <w:r w:rsidR="005770DD" w:rsidRPr="00F84AB1">
        <w:rPr>
          <w:rFonts w:asciiTheme="majorHAnsi" w:hAnsiTheme="majorHAnsi" w:cs="GillSansMT"/>
          <w:sz w:val="20"/>
          <w:szCs w:val="20"/>
          <w:lang w:val="es-ES"/>
        </w:rPr>
        <w:t>de las dos presuntas víctimas. Indican que e</w:t>
      </w:r>
      <w:r w:rsidRPr="00F84AB1">
        <w:rPr>
          <w:rFonts w:asciiTheme="majorHAnsi" w:hAnsiTheme="majorHAnsi" w:cs="GillSansMT"/>
          <w:sz w:val="20"/>
          <w:szCs w:val="20"/>
          <w:lang w:val="es-ES"/>
        </w:rPr>
        <w:t xml:space="preserve">l 4 de diciembre de 2006 se condenó </w:t>
      </w:r>
      <w:r w:rsidR="00BF6F40" w:rsidRPr="00F84AB1">
        <w:rPr>
          <w:rFonts w:asciiTheme="majorHAnsi" w:hAnsiTheme="majorHAnsi" w:cs="GillSansMT"/>
          <w:sz w:val="20"/>
          <w:szCs w:val="20"/>
          <w:lang w:val="es-ES"/>
        </w:rPr>
        <w:t xml:space="preserve">por los delitos de secuestro calificado </w:t>
      </w:r>
      <w:r w:rsidRPr="00F84AB1">
        <w:rPr>
          <w:rFonts w:asciiTheme="majorHAnsi" w:hAnsiTheme="majorHAnsi" w:cs="GillSansMT"/>
          <w:sz w:val="20"/>
          <w:szCs w:val="20"/>
          <w:lang w:val="es-ES"/>
        </w:rPr>
        <w:t xml:space="preserve">a Juan Manuel Contreras Sepúlveda, General del Ejército </w:t>
      </w:r>
      <w:r w:rsidR="00B11D5D" w:rsidRPr="00F84AB1">
        <w:rPr>
          <w:rFonts w:asciiTheme="majorHAnsi" w:hAnsiTheme="majorHAnsi" w:cs="GillSansMT"/>
          <w:sz w:val="20"/>
          <w:szCs w:val="20"/>
          <w:lang w:val="es-ES"/>
        </w:rPr>
        <w:t>(R)</w:t>
      </w:r>
      <w:r w:rsidRPr="00F84AB1">
        <w:rPr>
          <w:rFonts w:asciiTheme="majorHAnsi" w:hAnsiTheme="majorHAnsi" w:cs="GillSansMT"/>
          <w:sz w:val="20"/>
          <w:szCs w:val="20"/>
          <w:lang w:val="es-ES"/>
        </w:rPr>
        <w:t xml:space="preserve"> y Director de la DINA al momento de los hechos,</w:t>
      </w:r>
      <w:r w:rsidR="00012631" w:rsidRPr="00F84AB1">
        <w:rPr>
          <w:rFonts w:asciiTheme="majorHAnsi" w:hAnsiTheme="majorHAnsi" w:cs="GillSansMT"/>
          <w:sz w:val="20"/>
          <w:szCs w:val="20"/>
          <w:lang w:val="es-ES"/>
        </w:rPr>
        <w:t xml:space="preserve"> </w:t>
      </w:r>
      <w:r w:rsidR="0066510A" w:rsidRPr="00F84AB1">
        <w:rPr>
          <w:rFonts w:asciiTheme="majorHAnsi" w:hAnsiTheme="majorHAnsi" w:cs="GillSansMT"/>
          <w:sz w:val="20"/>
          <w:szCs w:val="20"/>
          <w:lang w:val="es-ES"/>
        </w:rPr>
        <w:t>a</w:t>
      </w:r>
      <w:r w:rsidR="00AF34C5" w:rsidRPr="00F84AB1">
        <w:rPr>
          <w:rFonts w:asciiTheme="majorHAnsi" w:hAnsiTheme="majorHAnsi" w:cs="GillSansMT"/>
          <w:sz w:val="20"/>
          <w:szCs w:val="20"/>
          <w:lang w:val="es-ES"/>
        </w:rPr>
        <w:t xml:space="preserve"> 15 años de presidio, </w:t>
      </w:r>
      <w:r w:rsidR="00F333F6" w:rsidRPr="00F84AB1">
        <w:rPr>
          <w:rFonts w:asciiTheme="majorHAnsi" w:hAnsiTheme="majorHAnsi" w:cs="GillSansMT"/>
          <w:sz w:val="20"/>
          <w:szCs w:val="20"/>
          <w:lang w:val="es-ES"/>
        </w:rPr>
        <w:t>Marcelo Moren Brito</w:t>
      </w:r>
      <w:r w:rsidR="00D108DF" w:rsidRPr="00F84AB1">
        <w:rPr>
          <w:rFonts w:asciiTheme="majorHAnsi" w:hAnsiTheme="majorHAnsi" w:cs="GillSansMT"/>
          <w:sz w:val="20"/>
          <w:szCs w:val="20"/>
          <w:lang w:val="es-ES"/>
        </w:rPr>
        <w:t>,</w:t>
      </w:r>
      <w:r w:rsidR="00AF34C5" w:rsidRPr="00F84AB1">
        <w:rPr>
          <w:rFonts w:asciiTheme="majorHAnsi" w:hAnsiTheme="majorHAnsi" w:cs="GillSansMT"/>
          <w:sz w:val="20"/>
          <w:szCs w:val="20"/>
          <w:lang w:val="es-ES"/>
        </w:rPr>
        <w:t xml:space="preserve"> a 10 años de presidio,</w:t>
      </w:r>
      <w:r w:rsidR="00D108DF" w:rsidRPr="00F84AB1">
        <w:rPr>
          <w:rFonts w:asciiTheme="majorHAnsi" w:hAnsiTheme="majorHAnsi" w:cs="GillSansMT"/>
          <w:sz w:val="20"/>
          <w:szCs w:val="20"/>
          <w:lang w:val="es-ES"/>
        </w:rPr>
        <w:t xml:space="preserve"> Osvaldo Romo Mena, </w:t>
      </w:r>
      <w:r w:rsidR="00AF34C5" w:rsidRPr="00F84AB1">
        <w:rPr>
          <w:rFonts w:asciiTheme="majorHAnsi" w:hAnsiTheme="majorHAnsi" w:cs="GillSansMT"/>
          <w:sz w:val="20"/>
          <w:szCs w:val="20"/>
          <w:lang w:val="es-ES"/>
        </w:rPr>
        <w:t xml:space="preserve">a </w:t>
      </w:r>
      <w:r w:rsidR="00C76440" w:rsidRPr="00F84AB1">
        <w:rPr>
          <w:rFonts w:asciiTheme="majorHAnsi" w:hAnsiTheme="majorHAnsi" w:cs="GillSansMT"/>
          <w:sz w:val="20"/>
          <w:szCs w:val="20"/>
          <w:lang w:val="es-ES"/>
        </w:rPr>
        <w:t>cinco</w:t>
      </w:r>
      <w:r w:rsidR="00D108DF" w:rsidRPr="00F84AB1">
        <w:rPr>
          <w:rFonts w:asciiTheme="majorHAnsi" w:hAnsiTheme="majorHAnsi" w:cs="GillSansMT"/>
          <w:sz w:val="20"/>
          <w:szCs w:val="20"/>
          <w:lang w:val="es-ES"/>
        </w:rPr>
        <w:t xml:space="preserve"> años de presidio</w:t>
      </w:r>
      <w:r w:rsidR="00AF34C5" w:rsidRPr="00F84AB1">
        <w:rPr>
          <w:rFonts w:asciiTheme="majorHAnsi" w:hAnsiTheme="majorHAnsi" w:cs="GillSansMT"/>
          <w:sz w:val="20"/>
          <w:szCs w:val="20"/>
          <w:lang w:val="es-ES"/>
        </w:rPr>
        <w:t xml:space="preserve">, Rolf Wenderoth Pozo, a 10 años de presidio, a Miguel Krassnoff Martchenko a </w:t>
      </w:r>
      <w:r w:rsidR="003D1903" w:rsidRPr="00F84AB1">
        <w:rPr>
          <w:rFonts w:asciiTheme="majorHAnsi" w:hAnsiTheme="majorHAnsi" w:cs="GillSansMT"/>
          <w:sz w:val="20"/>
          <w:szCs w:val="20"/>
          <w:lang w:val="es-ES"/>
        </w:rPr>
        <w:t>cinco</w:t>
      </w:r>
      <w:r w:rsidR="00AF34C5" w:rsidRPr="00F84AB1">
        <w:rPr>
          <w:rFonts w:asciiTheme="majorHAnsi" w:hAnsiTheme="majorHAnsi" w:cs="GillSansMT"/>
          <w:sz w:val="20"/>
          <w:szCs w:val="20"/>
          <w:lang w:val="es-ES"/>
        </w:rPr>
        <w:t xml:space="preserve"> años de presidio, y a Basclay Zapata Reyes, a </w:t>
      </w:r>
      <w:r w:rsidR="00C76440" w:rsidRPr="00F84AB1">
        <w:rPr>
          <w:rFonts w:asciiTheme="majorHAnsi" w:hAnsiTheme="majorHAnsi" w:cs="GillSansMT"/>
          <w:sz w:val="20"/>
          <w:szCs w:val="20"/>
          <w:lang w:val="es-ES"/>
        </w:rPr>
        <w:t xml:space="preserve">cinco </w:t>
      </w:r>
      <w:r w:rsidR="00AF34C5" w:rsidRPr="00F84AB1">
        <w:rPr>
          <w:rFonts w:asciiTheme="majorHAnsi" w:hAnsiTheme="majorHAnsi" w:cs="GillSansMT"/>
          <w:sz w:val="20"/>
          <w:szCs w:val="20"/>
          <w:lang w:val="es-ES"/>
        </w:rPr>
        <w:t>años de presidio</w:t>
      </w:r>
      <w:r w:rsidR="002E2AB9" w:rsidRPr="00F84AB1">
        <w:rPr>
          <w:rFonts w:asciiTheme="majorHAnsi" w:hAnsiTheme="majorHAnsi" w:cs="GillSansMT"/>
          <w:sz w:val="20"/>
          <w:szCs w:val="20"/>
          <w:lang w:val="es-ES"/>
        </w:rPr>
        <w:t xml:space="preserve">. </w:t>
      </w:r>
    </w:p>
    <w:p w:rsidR="00F333F6" w:rsidRPr="00F84AB1" w:rsidRDefault="00F333F6" w:rsidP="00C64463">
      <w:pPr>
        <w:pStyle w:val="ListParagraph"/>
        <w:jc w:val="both"/>
        <w:rPr>
          <w:rFonts w:asciiTheme="majorHAnsi" w:hAnsiTheme="majorHAnsi" w:cs="GillSansMT"/>
          <w:sz w:val="20"/>
          <w:szCs w:val="20"/>
          <w:lang w:val="es-ES"/>
        </w:rPr>
      </w:pPr>
    </w:p>
    <w:p w:rsidR="00EF6EF6" w:rsidRPr="00F84AB1" w:rsidRDefault="00EF6EF6"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Señalan que el 21 de enero de 2008, la C</w:t>
      </w:r>
      <w:r w:rsidR="009215D3" w:rsidRPr="00F84AB1">
        <w:rPr>
          <w:rFonts w:asciiTheme="majorHAnsi" w:hAnsiTheme="majorHAnsi" w:cs="GillSansMT"/>
          <w:sz w:val="20"/>
          <w:szCs w:val="20"/>
          <w:lang w:val="es-ES"/>
        </w:rPr>
        <w:t xml:space="preserve">orte de </w:t>
      </w:r>
      <w:r w:rsidRPr="00F84AB1">
        <w:rPr>
          <w:rFonts w:asciiTheme="majorHAnsi" w:hAnsiTheme="majorHAnsi" w:cs="GillSansMT"/>
          <w:sz w:val="20"/>
          <w:szCs w:val="20"/>
          <w:lang w:val="es-ES"/>
        </w:rPr>
        <w:t>A</w:t>
      </w:r>
      <w:r w:rsidR="009215D3" w:rsidRPr="00F84AB1">
        <w:rPr>
          <w:rFonts w:asciiTheme="majorHAnsi" w:hAnsiTheme="majorHAnsi" w:cs="GillSansMT"/>
          <w:sz w:val="20"/>
          <w:szCs w:val="20"/>
          <w:lang w:val="es-ES"/>
        </w:rPr>
        <w:t xml:space="preserve">pelaciones </w:t>
      </w:r>
      <w:r w:rsidRPr="00F84AB1">
        <w:rPr>
          <w:rFonts w:asciiTheme="majorHAnsi" w:hAnsiTheme="majorHAnsi" w:cs="GillSansMT"/>
          <w:sz w:val="20"/>
          <w:szCs w:val="20"/>
          <w:lang w:val="es-ES"/>
        </w:rPr>
        <w:t xml:space="preserve">confirmó la sentencia apelada, con la salvedad que sobreseyó a </w:t>
      </w:r>
      <w:r w:rsidR="009215D3" w:rsidRPr="00F84AB1">
        <w:rPr>
          <w:rFonts w:asciiTheme="majorHAnsi" w:hAnsiTheme="majorHAnsi" w:cs="GillSansMT"/>
          <w:sz w:val="20"/>
          <w:szCs w:val="20"/>
          <w:lang w:val="es-ES"/>
        </w:rPr>
        <w:t>Osvaldo Romo Mena</w:t>
      </w:r>
      <w:r w:rsidRPr="00F84AB1">
        <w:rPr>
          <w:rFonts w:asciiTheme="majorHAnsi" w:hAnsiTheme="majorHAnsi" w:cs="GillSansMT"/>
          <w:sz w:val="20"/>
          <w:szCs w:val="20"/>
          <w:lang w:val="es-ES"/>
        </w:rPr>
        <w:t xml:space="preserve">, </w:t>
      </w:r>
      <w:r w:rsidR="009215D3" w:rsidRPr="00F84AB1">
        <w:rPr>
          <w:rFonts w:asciiTheme="majorHAnsi" w:hAnsiTheme="majorHAnsi" w:cs="GillSansMT"/>
          <w:sz w:val="20"/>
          <w:szCs w:val="20"/>
          <w:lang w:val="es-ES"/>
        </w:rPr>
        <w:t>atendido su fallecimiento</w:t>
      </w:r>
      <w:r w:rsidRPr="00F84AB1">
        <w:rPr>
          <w:rFonts w:asciiTheme="majorHAnsi" w:hAnsiTheme="majorHAnsi" w:cs="GillSansMT"/>
          <w:sz w:val="20"/>
          <w:szCs w:val="20"/>
          <w:lang w:val="es-ES"/>
        </w:rPr>
        <w:t>.</w:t>
      </w:r>
      <w:r w:rsidR="00012631" w:rsidRPr="00F84AB1">
        <w:rPr>
          <w:rFonts w:asciiTheme="majorHAnsi" w:hAnsiTheme="majorHAnsi" w:cs="GillSansMT"/>
          <w:sz w:val="20"/>
          <w:szCs w:val="20"/>
          <w:lang w:val="es-ES"/>
        </w:rPr>
        <w:t xml:space="preserve"> </w:t>
      </w:r>
    </w:p>
    <w:p w:rsidR="00EF6EF6" w:rsidRPr="00F84AB1" w:rsidRDefault="00EF6EF6" w:rsidP="00C644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hAnsiTheme="majorHAnsi" w:cs="GillSansMT"/>
          <w:sz w:val="20"/>
          <w:szCs w:val="20"/>
          <w:lang w:val="es-ES"/>
        </w:rPr>
      </w:pPr>
    </w:p>
    <w:p w:rsidR="004B6719" w:rsidRPr="00F84AB1" w:rsidRDefault="004B6719" w:rsidP="003D19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Refieren que, el 24 de diciembre de 2008, la Corte Suprema, conociendo los recursos de casación interpuestos por la defensa de los condenados, anuló de oficio la sentencia. Indican que en la sentencia de reemplazo, la Corte Suprema </w:t>
      </w:r>
      <w:r w:rsidR="005B0EE4" w:rsidRPr="00F84AB1">
        <w:rPr>
          <w:rFonts w:asciiTheme="majorHAnsi" w:hAnsiTheme="majorHAnsi" w:cs="GillSansMT"/>
          <w:sz w:val="20"/>
          <w:szCs w:val="20"/>
          <w:lang w:val="es-ES"/>
        </w:rPr>
        <w:t>aplic</w:t>
      </w:r>
      <w:r w:rsidR="003D1903" w:rsidRPr="00F84AB1">
        <w:rPr>
          <w:rFonts w:asciiTheme="majorHAnsi" w:hAnsiTheme="majorHAnsi" w:cs="GillSansMT"/>
          <w:sz w:val="20"/>
          <w:szCs w:val="20"/>
          <w:lang w:val="es-ES"/>
        </w:rPr>
        <w:t>ó</w:t>
      </w:r>
      <w:r w:rsidR="005B0EE4" w:rsidRPr="00F84AB1">
        <w:rPr>
          <w:rFonts w:asciiTheme="majorHAnsi" w:hAnsiTheme="majorHAnsi" w:cs="GillSansMT"/>
          <w:sz w:val="20"/>
          <w:szCs w:val="20"/>
          <w:lang w:val="es-ES"/>
        </w:rPr>
        <w:t xml:space="preserve"> la figura de la media prescripc</w:t>
      </w:r>
      <w:r w:rsidR="003D1903" w:rsidRPr="00F84AB1">
        <w:rPr>
          <w:rFonts w:asciiTheme="majorHAnsi" w:hAnsiTheme="majorHAnsi" w:cs="GillSansMT"/>
          <w:sz w:val="20"/>
          <w:szCs w:val="20"/>
          <w:lang w:val="es-ES"/>
        </w:rPr>
        <w:t>ión,</w:t>
      </w:r>
      <w:r w:rsidR="005B0EE4"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conden</w:t>
      </w:r>
      <w:r w:rsidR="005B0EE4" w:rsidRPr="00F84AB1">
        <w:rPr>
          <w:rFonts w:asciiTheme="majorHAnsi" w:hAnsiTheme="majorHAnsi" w:cs="GillSansMT"/>
          <w:sz w:val="20"/>
          <w:szCs w:val="20"/>
          <w:lang w:val="es-ES"/>
        </w:rPr>
        <w:t>a</w:t>
      </w:r>
      <w:r w:rsidR="003D1903" w:rsidRPr="00F84AB1">
        <w:rPr>
          <w:rFonts w:asciiTheme="majorHAnsi" w:hAnsiTheme="majorHAnsi" w:cs="GillSansMT"/>
          <w:sz w:val="20"/>
          <w:szCs w:val="20"/>
          <w:lang w:val="es-ES"/>
        </w:rPr>
        <w:t>n</w:t>
      </w:r>
      <w:r w:rsidR="005B0EE4" w:rsidRPr="00F84AB1">
        <w:rPr>
          <w:rFonts w:asciiTheme="majorHAnsi" w:hAnsiTheme="majorHAnsi" w:cs="GillSansMT"/>
          <w:sz w:val="20"/>
          <w:szCs w:val="20"/>
          <w:lang w:val="es-ES"/>
        </w:rPr>
        <w:t>do</w:t>
      </w:r>
      <w:r w:rsidRPr="00F84AB1">
        <w:rPr>
          <w:rFonts w:asciiTheme="majorHAnsi" w:hAnsiTheme="majorHAnsi" w:cs="GillSansMT"/>
          <w:sz w:val="20"/>
          <w:szCs w:val="20"/>
          <w:lang w:val="es-ES"/>
        </w:rPr>
        <w:t xml:space="preserve"> a Juan Manuel Contreras a </w:t>
      </w:r>
      <w:r w:rsidR="003D1903" w:rsidRPr="00F84AB1">
        <w:rPr>
          <w:rFonts w:asciiTheme="majorHAnsi" w:hAnsiTheme="majorHAnsi" w:cs="GillSansMT"/>
          <w:sz w:val="20"/>
          <w:szCs w:val="20"/>
          <w:lang w:val="es-ES"/>
        </w:rPr>
        <w:t>siete</w:t>
      </w:r>
      <w:r w:rsidRPr="00F84AB1">
        <w:rPr>
          <w:rFonts w:asciiTheme="majorHAnsi" w:hAnsiTheme="majorHAnsi" w:cs="GillSansMT"/>
          <w:sz w:val="20"/>
          <w:szCs w:val="20"/>
          <w:lang w:val="es-ES"/>
        </w:rPr>
        <w:t xml:space="preserve"> años de prisión, Marcelo Moren Brito, a </w:t>
      </w:r>
      <w:r w:rsidR="003D1903" w:rsidRPr="00F84AB1">
        <w:rPr>
          <w:rFonts w:asciiTheme="majorHAnsi" w:hAnsiTheme="majorHAnsi" w:cs="GillSansMT"/>
          <w:sz w:val="20"/>
          <w:szCs w:val="20"/>
          <w:lang w:val="es-ES"/>
        </w:rPr>
        <w:t>cuatro</w:t>
      </w:r>
      <w:r w:rsidRPr="00F84AB1">
        <w:rPr>
          <w:rFonts w:asciiTheme="majorHAnsi" w:hAnsiTheme="majorHAnsi" w:cs="GillSansMT"/>
          <w:sz w:val="20"/>
          <w:szCs w:val="20"/>
          <w:lang w:val="es-ES"/>
        </w:rPr>
        <w:t xml:space="preserve"> años de presidio</w:t>
      </w:r>
      <w:r w:rsidR="005B0EE4" w:rsidRPr="00F84AB1">
        <w:rPr>
          <w:rFonts w:asciiTheme="majorHAnsi" w:hAnsiTheme="majorHAnsi" w:cs="GillSansMT"/>
          <w:sz w:val="20"/>
          <w:szCs w:val="20"/>
          <w:lang w:val="es-ES"/>
        </w:rPr>
        <w:t xml:space="preserve"> (otorgándole el beneficio de la libertad vigilada)</w:t>
      </w:r>
      <w:r w:rsidRPr="00F84AB1">
        <w:rPr>
          <w:rFonts w:asciiTheme="majorHAnsi" w:hAnsiTheme="majorHAnsi" w:cs="GillSansMT"/>
          <w:sz w:val="20"/>
          <w:szCs w:val="20"/>
          <w:lang w:val="es-ES"/>
        </w:rPr>
        <w:t>, Rolf Wenderoth Pozo</w:t>
      </w:r>
      <w:r w:rsidR="005B0EE4" w:rsidRPr="00F84AB1">
        <w:rPr>
          <w:rFonts w:asciiTheme="majorHAnsi" w:hAnsiTheme="majorHAnsi" w:cs="GillSansMT"/>
          <w:sz w:val="20"/>
          <w:szCs w:val="20"/>
          <w:lang w:val="es-ES"/>
        </w:rPr>
        <w:t xml:space="preserve"> (otorgándole el beneficio de la libertad vigilada)</w:t>
      </w:r>
      <w:r w:rsidRPr="00F84AB1">
        <w:rPr>
          <w:rFonts w:asciiTheme="majorHAnsi" w:hAnsiTheme="majorHAnsi" w:cs="GillSansMT"/>
          <w:sz w:val="20"/>
          <w:szCs w:val="20"/>
          <w:lang w:val="es-ES"/>
        </w:rPr>
        <w:t xml:space="preserve">, a </w:t>
      </w:r>
      <w:r w:rsidR="003D1903" w:rsidRPr="00F84AB1">
        <w:rPr>
          <w:rFonts w:asciiTheme="majorHAnsi" w:hAnsiTheme="majorHAnsi" w:cs="GillSansMT"/>
          <w:sz w:val="20"/>
          <w:szCs w:val="20"/>
          <w:lang w:val="es-ES"/>
        </w:rPr>
        <w:t xml:space="preserve">cuatro </w:t>
      </w:r>
      <w:r w:rsidRPr="00F84AB1">
        <w:rPr>
          <w:rFonts w:asciiTheme="majorHAnsi" w:hAnsiTheme="majorHAnsi" w:cs="GillSansMT"/>
          <w:sz w:val="20"/>
          <w:szCs w:val="20"/>
          <w:lang w:val="es-ES"/>
        </w:rPr>
        <w:t>años de presidio, a Miguel Krassnoff Martchenko a 540 días de presidio</w:t>
      </w:r>
      <w:r w:rsidR="005B0EE4" w:rsidRPr="00F84AB1">
        <w:rPr>
          <w:rFonts w:asciiTheme="majorHAnsi" w:hAnsiTheme="majorHAnsi" w:cs="GillSansMT"/>
          <w:sz w:val="20"/>
          <w:szCs w:val="20"/>
          <w:lang w:val="es-ES"/>
        </w:rPr>
        <w:t>(otorgándole el beneficio de la remisión condicional de la pena)</w:t>
      </w:r>
      <w:r w:rsidRPr="00F84AB1">
        <w:rPr>
          <w:rFonts w:asciiTheme="majorHAnsi" w:hAnsiTheme="majorHAnsi" w:cs="GillSansMT"/>
          <w:sz w:val="20"/>
          <w:szCs w:val="20"/>
          <w:lang w:val="es-ES"/>
        </w:rPr>
        <w:t>, y a Basclay Zapata Reyes, a 540 días de presidio</w:t>
      </w:r>
      <w:r w:rsidR="004A7C1E" w:rsidRPr="00F84AB1">
        <w:rPr>
          <w:rFonts w:asciiTheme="majorHAnsi" w:hAnsiTheme="majorHAnsi" w:cs="GillSansMT"/>
          <w:sz w:val="20"/>
          <w:szCs w:val="20"/>
          <w:lang w:val="es-ES"/>
        </w:rPr>
        <w:t xml:space="preserve"> </w:t>
      </w:r>
      <w:r w:rsidR="005B0EE4" w:rsidRPr="00F84AB1">
        <w:rPr>
          <w:rFonts w:asciiTheme="majorHAnsi" w:hAnsiTheme="majorHAnsi" w:cs="GillSansMT"/>
          <w:sz w:val="20"/>
          <w:szCs w:val="20"/>
          <w:lang w:val="es-ES"/>
        </w:rPr>
        <w:t>(otorgándole el beneficio de la remisión condicional de la pena)</w:t>
      </w:r>
      <w:r w:rsidRPr="00F84AB1">
        <w:rPr>
          <w:rFonts w:asciiTheme="majorHAnsi" w:hAnsiTheme="majorHAnsi" w:cs="GillSansMT"/>
          <w:sz w:val="20"/>
          <w:szCs w:val="20"/>
          <w:lang w:val="es-ES"/>
        </w:rPr>
        <w:t xml:space="preserve">. </w:t>
      </w:r>
    </w:p>
    <w:p w:rsidR="00D9706E" w:rsidRPr="00F84AB1" w:rsidRDefault="00D9706E"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UY"/>
        </w:rPr>
      </w:pPr>
    </w:p>
    <w:p w:rsidR="00D9706E" w:rsidRPr="00F84AB1" w:rsidRDefault="00D9706E" w:rsidP="00331369">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Theme="majorHAnsi" w:hAnsiTheme="majorHAnsi" w:cs="GillSansMT"/>
          <w:b/>
          <w:sz w:val="20"/>
          <w:szCs w:val="20"/>
          <w:lang w:val="es-ES"/>
        </w:rPr>
      </w:pPr>
      <w:r w:rsidRPr="00F84AB1">
        <w:rPr>
          <w:rFonts w:asciiTheme="majorHAnsi" w:hAnsiTheme="majorHAnsi" w:cs="GillSansMT"/>
          <w:b/>
          <w:sz w:val="20"/>
          <w:szCs w:val="20"/>
          <w:lang w:val="es-ES"/>
        </w:rPr>
        <w:t>Caso de Luciano Aedo Hidalgo</w:t>
      </w:r>
      <w:r w:rsidR="00CB44EB" w:rsidRPr="00F84AB1">
        <w:rPr>
          <w:rFonts w:asciiTheme="majorHAnsi" w:hAnsiTheme="majorHAnsi"/>
          <w:sz w:val="20"/>
          <w:szCs w:val="20"/>
          <w:lang w:val="es-ES"/>
        </w:rPr>
        <w:t xml:space="preserve"> </w:t>
      </w:r>
      <w:r w:rsidR="00CB44EB" w:rsidRPr="00F84AB1">
        <w:rPr>
          <w:rFonts w:asciiTheme="majorHAnsi" w:hAnsiTheme="majorHAnsi" w:cs="GillSansMT"/>
          <w:b/>
          <w:sz w:val="20"/>
          <w:szCs w:val="20"/>
          <w:lang w:val="es-ES"/>
        </w:rPr>
        <w:t>y familiares</w:t>
      </w:r>
    </w:p>
    <w:p w:rsidR="00D9706E" w:rsidRPr="00F84AB1" w:rsidRDefault="00D9706E"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sz w:val="20"/>
          <w:szCs w:val="20"/>
          <w:lang w:val="es-UY"/>
        </w:rPr>
      </w:pPr>
    </w:p>
    <w:p w:rsidR="00D9706E" w:rsidRPr="00F84AB1" w:rsidRDefault="00D9706E"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943634" w:themeColor="accent2" w:themeShade="BF"/>
          <w:sz w:val="20"/>
          <w:szCs w:val="20"/>
          <w:lang w:val="es-UY"/>
        </w:rPr>
      </w:pPr>
      <w:r w:rsidRPr="00F84AB1">
        <w:rPr>
          <w:rFonts w:asciiTheme="majorHAnsi" w:hAnsiTheme="majorHAnsi" w:cs="GillSansMT"/>
          <w:sz w:val="20"/>
          <w:szCs w:val="20"/>
          <w:lang w:val="es-ES"/>
        </w:rPr>
        <w:t>El 20 de enero de 2010, los peticionarios remitieron una ampliación de denuncia presentada en favor de Luciano Aedo Hidalgo</w:t>
      </w:r>
      <w:r w:rsidRPr="00F84AB1">
        <w:rPr>
          <w:rFonts w:asciiTheme="majorHAnsi" w:hAnsiTheme="majorHAnsi" w:cs="GillSansMT,Bold"/>
          <w:b/>
          <w:bCs/>
          <w:sz w:val="20"/>
          <w:szCs w:val="20"/>
          <w:lang w:val="es-ES"/>
        </w:rPr>
        <w:t xml:space="preserve">. </w:t>
      </w:r>
      <w:r w:rsidRPr="00F84AB1">
        <w:rPr>
          <w:rFonts w:asciiTheme="majorHAnsi" w:hAnsiTheme="majorHAnsi" w:cs="GillSansMT,Bold"/>
          <w:bCs/>
          <w:sz w:val="20"/>
          <w:szCs w:val="20"/>
          <w:lang w:val="es-ES"/>
        </w:rPr>
        <w:t xml:space="preserve">Alegan que </w:t>
      </w:r>
      <w:r w:rsidRPr="00F84AB1">
        <w:rPr>
          <w:rFonts w:asciiTheme="majorHAnsi" w:hAnsiTheme="majorHAnsi" w:cs="GillSansMT"/>
          <w:sz w:val="20"/>
          <w:szCs w:val="20"/>
          <w:lang w:val="es-ES"/>
        </w:rPr>
        <w:t>en la madrugada del 11 de octubre de 1973</w:t>
      </w:r>
      <w:r w:rsidR="00012631" w:rsidRPr="00F84AB1">
        <w:rPr>
          <w:rFonts w:asciiTheme="majorHAnsi" w:hAnsiTheme="majorHAnsi" w:cs="GillSansMT"/>
          <w:sz w:val="20"/>
          <w:szCs w:val="20"/>
          <w:lang w:val="es-ES"/>
        </w:rPr>
        <w:t xml:space="preserve"> </w:t>
      </w:r>
      <w:r w:rsidRPr="00F84AB1">
        <w:rPr>
          <w:rFonts w:asciiTheme="majorHAnsi" w:hAnsiTheme="majorHAnsi" w:cs="GillSansMT,Bold"/>
          <w:bCs/>
          <w:sz w:val="20"/>
          <w:szCs w:val="20"/>
          <w:lang w:val="es-ES"/>
        </w:rPr>
        <w:t>fue</w:t>
      </w:r>
      <w:r w:rsidRPr="00F84AB1">
        <w:rPr>
          <w:rFonts w:asciiTheme="majorHAnsi" w:hAnsiTheme="majorHAnsi" w:cs="GillSansMT"/>
          <w:sz w:val="20"/>
          <w:szCs w:val="20"/>
          <w:lang w:val="es-ES"/>
        </w:rPr>
        <w:t xml:space="preserve"> secuestrado de su casa en la comuna de Cunco, por una patrulla de la Tenencia de Cunco. Alegan que desde esa fecha se desconoce su paradero. </w:t>
      </w:r>
    </w:p>
    <w:p w:rsidR="00D9706E" w:rsidRPr="00F84AB1" w:rsidRDefault="00D9706E" w:rsidP="00C644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hAnsiTheme="majorHAnsi" w:cs="Arial"/>
          <w:color w:val="943634" w:themeColor="accent2" w:themeShade="BF"/>
          <w:sz w:val="20"/>
          <w:szCs w:val="20"/>
          <w:lang w:val="es-UY"/>
        </w:rPr>
      </w:pPr>
    </w:p>
    <w:p w:rsidR="00D9706E" w:rsidRPr="00F84AB1" w:rsidRDefault="00D9706E"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Indican que el 10 de abril de 1979 su cónyuge presentó una denuncia por </w:t>
      </w:r>
      <w:r w:rsidR="00105B99" w:rsidRPr="00F84AB1">
        <w:rPr>
          <w:rFonts w:asciiTheme="majorHAnsi" w:hAnsiTheme="majorHAnsi" w:cs="GillSansMT"/>
          <w:sz w:val="20"/>
          <w:szCs w:val="20"/>
          <w:lang w:val="es-ES"/>
        </w:rPr>
        <w:t>“</w:t>
      </w:r>
      <w:r w:rsidRPr="00F84AB1">
        <w:rPr>
          <w:rFonts w:asciiTheme="majorHAnsi" w:hAnsiTheme="majorHAnsi" w:cs="GillSansMT"/>
          <w:sz w:val="20"/>
          <w:szCs w:val="20"/>
          <w:lang w:val="es-ES"/>
        </w:rPr>
        <w:t>presunta desgracia</w:t>
      </w:r>
      <w:r w:rsidR="00105B99" w:rsidRPr="00F84AB1">
        <w:rPr>
          <w:rFonts w:asciiTheme="majorHAnsi" w:hAnsiTheme="majorHAnsi" w:cs="GillSansMT"/>
          <w:sz w:val="20"/>
          <w:szCs w:val="20"/>
          <w:lang w:val="es-ES"/>
        </w:rPr>
        <w:t>”</w:t>
      </w:r>
      <w:r w:rsidRPr="00F84AB1">
        <w:rPr>
          <w:rFonts w:asciiTheme="majorHAnsi" w:hAnsiTheme="majorHAnsi" w:cs="GillSansMT"/>
          <w:sz w:val="20"/>
          <w:szCs w:val="20"/>
          <w:lang w:val="es-ES"/>
        </w:rPr>
        <w:t xml:space="preserve"> ante el Tercer Juzgado del Crimen de Temuco, el cual se declaró incompetente</w:t>
      </w:r>
      <w:r w:rsidR="00622174" w:rsidRPr="00F84AB1">
        <w:rPr>
          <w:rFonts w:asciiTheme="majorHAnsi" w:hAnsiTheme="majorHAnsi" w:cs="GillSansMT"/>
          <w:sz w:val="20"/>
          <w:szCs w:val="20"/>
          <w:lang w:val="es-ES"/>
        </w:rPr>
        <w:t xml:space="preserve"> el 25 de octubre de 1979</w:t>
      </w:r>
      <w:r w:rsidRPr="00F84AB1">
        <w:rPr>
          <w:rFonts w:asciiTheme="majorHAnsi" w:hAnsiTheme="majorHAnsi" w:cs="GillSansMT"/>
          <w:sz w:val="20"/>
          <w:szCs w:val="20"/>
          <w:lang w:val="es-ES"/>
        </w:rPr>
        <w:t>, remitiendo los antecedentes al IV Juzgado Militar de Valdivia</w:t>
      </w:r>
      <w:r w:rsidR="00622174" w:rsidRPr="00F84AB1">
        <w:rPr>
          <w:rFonts w:asciiTheme="majorHAnsi" w:hAnsiTheme="majorHAnsi" w:cs="GillSansMT"/>
          <w:sz w:val="20"/>
          <w:szCs w:val="20"/>
          <w:lang w:val="es-ES"/>
        </w:rPr>
        <w:t xml:space="preserve">, basado según </w:t>
      </w:r>
      <w:r w:rsidR="003E67C0" w:rsidRPr="00F84AB1">
        <w:rPr>
          <w:rFonts w:asciiTheme="majorHAnsi" w:hAnsiTheme="majorHAnsi" w:cs="GillSansMT"/>
          <w:sz w:val="20"/>
          <w:szCs w:val="20"/>
          <w:lang w:val="es-ES"/>
        </w:rPr>
        <w:t>se</w:t>
      </w:r>
      <w:r w:rsidR="00622174" w:rsidRPr="00F84AB1">
        <w:rPr>
          <w:rFonts w:asciiTheme="majorHAnsi" w:hAnsiTheme="majorHAnsi" w:cs="GillSansMT"/>
          <w:sz w:val="20"/>
          <w:szCs w:val="20"/>
          <w:lang w:val="es-ES"/>
        </w:rPr>
        <w:t xml:space="preserve"> refiere, en que todas las personas cuya desaparición se investigaba fueron detenidas en distintos lugares y oportunidades, por </w:t>
      </w:r>
      <w:r w:rsidR="00622174" w:rsidRPr="00F84AB1">
        <w:rPr>
          <w:rFonts w:asciiTheme="majorHAnsi" w:hAnsiTheme="majorHAnsi" w:cs="GillSansMT"/>
          <w:sz w:val="20"/>
          <w:szCs w:val="20"/>
          <w:lang w:val="es-ES"/>
        </w:rPr>
        <w:lastRenderedPageBreak/>
        <w:t>carabineros, el ejército o la fuerza aérea</w:t>
      </w:r>
      <w:r w:rsidRPr="00F84AB1">
        <w:rPr>
          <w:rFonts w:asciiTheme="majorHAnsi" w:hAnsiTheme="majorHAnsi" w:cs="GillSansMT"/>
          <w:sz w:val="20"/>
          <w:szCs w:val="20"/>
          <w:lang w:val="es-ES"/>
        </w:rPr>
        <w:t>. Señalan que en octubre de 1980 el juez militar sobreseyó total y definitivamente la causa en virtud del Decreto Ley de Amnistía de 1978.</w:t>
      </w:r>
      <w:r w:rsidR="00012631" w:rsidRPr="00F84AB1">
        <w:rPr>
          <w:rFonts w:asciiTheme="majorHAnsi" w:hAnsiTheme="majorHAnsi" w:cs="GillSansMT"/>
          <w:sz w:val="20"/>
          <w:szCs w:val="20"/>
          <w:lang w:val="es-ES"/>
        </w:rPr>
        <w:t xml:space="preserve"> </w:t>
      </w:r>
    </w:p>
    <w:p w:rsidR="00D9706E" w:rsidRPr="00F84AB1" w:rsidRDefault="00D9706E" w:rsidP="00C64463">
      <w:pPr>
        <w:pStyle w:val="ListParagraph"/>
        <w:jc w:val="both"/>
        <w:rPr>
          <w:rFonts w:asciiTheme="majorHAnsi" w:hAnsiTheme="majorHAnsi" w:cs="GillSansMT"/>
          <w:sz w:val="20"/>
          <w:szCs w:val="20"/>
          <w:lang w:val="es-ES"/>
        </w:rPr>
      </w:pPr>
    </w:p>
    <w:p w:rsidR="00D9706E" w:rsidRPr="00F84AB1" w:rsidRDefault="00D9706E" w:rsidP="003D19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GillSansMT"/>
          <w:sz w:val="20"/>
          <w:szCs w:val="20"/>
          <w:lang w:val="es-ES"/>
        </w:rPr>
      </w:pPr>
      <w:r w:rsidRPr="00F84AB1">
        <w:rPr>
          <w:rFonts w:asciiTheme="majorHAnsi" w:hAnsiTheme="majorHAnsi" w:cs="GillSansMT"/>
          <w:sz w:val="20"/>
          <w:szCs w:val="20"/>
          <w:lang w:val="es-ES"/>
        </w:rPr>
        <w:t>Refieren que, posteriormente se inició la causa 113.115, a la cual se acumuló la de Luciano Aedo Hidalgo. El 30 de junio 2008</w:t>
      </w:r>
      <w:r w:rsidRPr="00F84AB1">
        <w:rPr>
          <w:rFonts w:asciiTheme="majorHAnsi" w:hAnsiTheme="majorHAnsi" w:cs="GillSansMT"/>
          <w:b/>
          <w:sz w:val="20"/>
          <w:szCs w:val="20"/>
          <w:lang w:val="es-ES"/>
        </w:rPr>
        <w:t xml:space="preserve"> </w:t>
      </w:r>
      <w:r w:rsidRPr="00F84AB1">
        <w:rPr>
          <w:rFonts w:asciiTheme="majorHAnsi" w:hAnsiTheme="majorHAnsi" w:cs="GillSansMT"/>
          <w:sz w:val="20"/>
          <w:szCs w:val="20"/>
          <w:lang w:val="es-ES"/>
        </w:rPr>
        <w:t xml:space="preserve">el Primer Juzgado del Crimen de Temuco habría condenado a Gamaliel Soto Segura, a </w:t>
      </w:r>
      <w:r w:rsidR="003D1903" w:rsidRPr="00F84AB1">
        <w:rPr>
          <w:rFonts w:asciiTheme="majorHAnsi" w:hAnsiTheme="majorHAnsi" w:cs="GillSansMT"/>
          <w:sz w:val="20"/>
          <w:szCs w:val="20"/>
          <w:lang w:val="es-ES"/>
        </w:rPr>
        <w:t>siete</w:t>
      </w:r>
      <w:r w:rsidRPr="00F84AB1">
        <w:rPr>
          <w:rFonts w:asciiTheme="majorHAnsi" w:hAnsiTheme="majorHAnsi" w:cs="GillSansMT"/>
          <w:sz w:val="20"/>
          <w:szCs w:val="20"/>
          <w:lang w:val="es-ES"/>
        </w:rPr>
        <w:t xml:space="preserve"> años de prisión por el delito de secuestro calificado. Indican que, el 22 de septiembre de 2008, la Corte de Apelaciones de Temuco confirmó dicha sentencia.</w:t>
      </w:r>
      <w:r w:rsidR="00012631" w:rsidRPr="00F84AB1">
        <w:rPr>
          <w:rFonts w:asciiTheme="majorHAnsi" w:hAnsiTheme="majorHAnsi" w:cs="GillSansMT"/>
          <w:sz w:val="20"/>
          <w:szCs w:val="20"/>
          <w:lang w:val="es-ES"/>
        </w:rPr>
        <w:t xml:space="preserve"> </w:t>
      </w:r>
    </w:p>
    <w:p w:rsidR="00D9706E" w:rsidRPr="00F84AB1" w:rsidRDefault="00D9706E" w:rsidP="00C64463">
      <w:pPr>
        <w:pBdr>
          <w:top w:val="none" w:sz="0" w:space="0" w:color="auto"/>
          <w:left w:val="none" w:sz="0" w:space="0" w:color="auto"/>
          <w:bottom w:val="none" w:sz="0" w:space="0" w:color="auto"/>
          <w:right w:val="none" w:sz="0" w:space="0" w:color="auto"/>
          <w:bar w:val="none" w:sz="0" w:color="auto"/>
        </w:pBdr>
        <w:autoSpaceDE w:val="0"/>
        <w:autoSpaceDN w:val="0"/>
        <w:adjustRightInd w:val="0"/>
        <w:ind w:left="540"/>
        <w:jc w:val="both"/>
        <w:rPr>
          <w:rFonts w:asciiTheme="majorHAnsi" w:hAnsiTheme="majorHAnsi" w:cs="GillSansMT"/>
          <w:sz w:val="20"/>
          <w:szCs w:val="20"/>
          <w:lang w:val="es-ES"/>
        </w:rPr>
      </w:pPr>
    </w:p>
    <w:p w:rsidR="00D9706E" w:rsidRPr="00F84AB1" w:rsidRDefault="00D9706E"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Señalan que la defensa presentó recurso de casación y que el 23 de julio de 2009, la Corte Suprema invalidó de oficio la sentencia y dictó fallo de reemplazo en el cual concedió el beneficio de la media prescripción, y redujo la pena a </w:t>
      </w:r>
      <w:r w:rsidR="003D1903" w:rsidRPr="00F84AB1">
        <w:rPr>
          <w:rFonts w:asciiTheme="majorHAnsi" w:hAnsiTheme="majorHAnsi" w:cs="GillSansMT"/>
          <w:sz w:val="20"/>
          <w:szCs w:val="20"/>
          <w:lang w:val="es-ES"/>
        </w:rPr>
        <w:t>tres</w:t>
      </w:r>
      <w:r w:rsidRPr="00F84AB1">
        <w:rPr>
          <w:rFonts w:asciiTheme="majorHAnsi" w:hAnsiTheme="majorHAnsi" w:cs="GillSansMT"/>
          <w:sz w:val="20"/>
          <w:szCs w:val="20"/>
          <w:lang w:val="es-ES"/>
        </w:rPr>
        <w:t xml:space="preserve"> años de presidio y concedió la medida alternativa de la remisión condicional de la pena.</w:t>
      </w:r>
    </w:p>
    <w:p w:rsidR="00D9706E" w:rsidRPr="00F84AB1" w:rsidRDefault="00D9706E" w:rsidP="00C644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p>
    <w:p w:rsidR="00F6325B" w:rsidRDefault="00343F16" w:rsidP="0079466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GillSansMT"/>
          <w:b/>
          <w:sz w:val="20"/>
          <w:szCs w:val="20"/>
          <w:lang w:val="es-ES"/>
        </w:rPr>
      </w:pPr>
      <w:r w:rsidRPr="00F84AB1">
        <w:rPr>
          <w:rFonts w:asciiTheme="majorHAnsi" w:hAnsiTheme="majorHAnsi" w:cs="GillSansMT"/>
          <w:b/>
          <w:sz w:val="20"/>
          <w:szCs w:val="20"/>
          <w:lang w:val="es-ES"/>
        </w:rPr>
        <w:t>Caso de Felipe Segundo Rivera Gajardo, Gastón Fernando Vidaurrázaga Manríquez,</w:t>
      </w:r>
    </w:p>
    <w:p w:rsidR="00343F16" w:rsidRPr="00F84AB1" w:rsidRDefault="00343F16" w:rsidP="00F6325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b/>
          <w:sz w:val="20"/>
          <w:szCs w:val="20"/>
          <w:lang w:val="es-ES"/>
        </w:rPr>
      </w:pPr>
      <w:r w:rsidRPr="00F84AB1">
        <w:rPr>
          <w:rFonts w:asciiTheme="majorHAnsi" w:hAnsiTheme="majorHAnsi" w:cs="GillSansMT"/>
          <w:b/>
          <w:sz w:val="20"/>
          <w:szCs w:val="20"/>
          <w:lang w:val="es-ES"/>
        </w:rPr>
        <w:t>José Humberto Carrasco Tapia, Abraham Muskatblit Eidelstein</w:t>
      </w:r>
      <w:r w:rsidR="00CB44EB" w:rsidRPr="00F84AB1">
        <w:rPr>
          <w:rFonts w:asciiTheme="majorHAnsi" w:hAnsiTheme="majorHAnsi"/>
          <w:sz w:val="20"/>
          <w:szCs w:val="20"/>
        </w:rPr>
        <w:t xml:space="preserve"> </w:t>
      </w:r>
      <w:r w:rsidR="00CB44EB" w:rsidRPr="00F84AB1">
        <w:rPr>
          <w:rFonts w:asciiTheme="majorHAnsi" w:hAnsiTheme="majorHAnsi" w:cs="GillSansMT"/>
          <w:b/>
          <w:sz w:val="20"/>
          <w:szCs w:val="20"/>
          <w:lang w:val="es-ES"/>
        </w:rPr>
        <w:t>y familiares</w:t>
      </w:r>
    </w:p>
    <w:p w:rsidR="00343F16" w:rsidRPr="00F84AB1" w:rsidRDefault="00343F16"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UY"/>
        </w:rPr>
      </w:pPr>
    </w:p>
    <w:p w:rsidR="00343F16" w:rsidRPr="00F84AB1" w:rsidRDefault="00343F16"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El 12 de febrero de 2010, los peticionarios remitieron una ampliación de denuncia presentada en favor de Felipe Segundo Rivera Gajardo, Gastón Fernando Vidaurrázaga Manríquez, José Humberto Carrasco Tapia</w:t>
      </w:r>
      <w:r w:rsidR="009711CB"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Abraham Muskatblit Eidelstein y sus familiares. Refieren que los señores Rivera y Muskatblit eran militantes del Partido Comunista y que los señores Vidaurrázaga y Carrasco eran militantes del MIR.</w:t>
      </w:r>
    </w:p>
    <w:p w:rsidR="00343F16" w:rsidRPr="00F84AB1" w:rsidRDefault="00343F16" w:rsidP="00C644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hAnsiTheme="majorHAnsi" w:cs="GillSansMT"/>
          <w:sz w:val="20"/>
          <w:szCs w:val="20"/>
          <w:lang w:val="es-ES"/>
        </w:rPr>
      </w:pPr>
    </w:p>
    <w:p w:rsidR="00343F16" w:rsidRPr="00F84AB1" w:rsidRDefault="00343F16"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Los peticionarios refieren, que las presuntas víctimas </w:t>
      </w:r>
      <w:r w:rsidR="0066510A" w:rsidRPr="00F84AB1">
        <w:rPr>
          <w:rFonts w:asciiTheme="majorHAnsi" w:hAnsiTheme="majorHAnsi" w:cs="GillSansMT"/>
          <w:sz w:val="20"/>
          <w:szCs w:val="20"/>
          <w:lang w:val="es-ES"/>
        </w:rPr>
        <w:t>fueron</w:t>
      </w:r>
      <w:r w:rsidRPr="00F84AB1">
        <w:rPr>
          <w:rFonts w:asciiTheme="majorHAnsi" w:hAnsiTheme="majorHAnsi" w:cs="GillSansMT"/>
          <w:sz w:val="20"/>
          <w:szCs w:val="20"/>
          <w:lang w:val="es-ES"/>
        </w:rPr>
        <w:t xml:space="preserve"> secuestradas desde sus respectivos</w:t>
      </w:r>
      <w:r w:rsidR="00012631"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domicilios entre los d</w:t>
      </w:r>
      <w:r w:rsidRPr="00F84AB1">
        <w:rPr>
          <w:rFonts w:asciiTheme="majorHAnsi" w:hAnsiTheme="majorHAnsi"/>
          <w:sz w:val="20"/>
          <w:szCs w:val="20"/>
          <w:rtl/>
          <w:lang w:val="es-ES"/>
        </w:rPr>
        <w:t>ías</w:t>
      </w:r>
      <w:r w:rsidRPr="00F84AB1">
        <w:rPr>
          <w:rFonts w:asciiTheme="majorHAnsi" w:hAnsiTheme="majorHAnsi" w:cs="GillSansMT"/>
          <w:sz w:val="20"/>
          <w:szCs w:val="20"/>
          <w:lang w:val="es-ES"/>
        </w:rPr>
        <w:t xml:space="preserve"> 8 y 9 de septiembre de 1986, y asesinados, siendo sus</w:t>
      </w:r>
      <w:r w:rsidR="00012631"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 xml:space="preserve">cadáveres encontrados a las pocas horas, en distintos puntos de las afueras de Santiago. Indican que, la detención y asesinato de las presuntas víctimas </w:t>
      </w:r>
      <w:r w:rsidR="003D1903" w:rsidRPr="00F84AB1">
        <w:rPr>
          <w:rFonts w:asciiTheme="majorHAnsi" w:hAnsiTheme="majorHAnsi" w:cs="GillSansMT"/>
          <w:sz w:val="20"/>
          <w:szCs w:val="20"/>
          <w:lang w:val="es-ES"/>
        </w:rPr>
        <w:t>ocurrió</w:t>
      </w:r>
      <w:r w:rsidRPr="00F84AB1">
        <w:rPr>
          <w:rFonts w:asciiTheme="majorHAnsi" w:hAnsiTheme="majorHAnsi" w:cs="GillSansMT"/>
          <w:sz w:val="20"/>
          <w:szCs w:val="20"/>
          <w:lang w:val="es-ES"/>
        </w:rPr>
        <w:t xml:space="preserve"> como represalia por el atentado sufrido por Augusto Pinochet el 7 de septiembre de 1986, ya que tras ocurrido ese hecho, se estructuró un plan para eliminar a personas elegidas al azar por parte de la Central Nacional de Informaciones (CNI)</w:t>
      </w:r>
      <w:r w:rsidRPr="00F84AB1">
        <w:rPr>
          <w:rStyle w:val="FootnoteReference"/>
          <w:rFonts w:asciiTheme="majorHAnsi" w:hAnsiTheme="majorHAnsi" w:cs="GillSansMT"/>
          <w:sz w:val="20"/>
          <w:szCs w:val="20"/>
          <w:lang w:val="es-ES"/>
        </w:rPr>
        <w:footnoteReference w:id="18"/>
      </w:r>
      <w:r w:rsidRPr="00F84AB1">
        <w:rPr>
          <w:rFonts w:asciiTheme="majorHAnsi" w:hAnsiTheme="majorHAnsi" w:cs="GillSansMT"/>
          <w:sz w:val="20"/>
          <w:szCs w:val="20"/>
          <w:lang w:val="es-ES"/>
        </w:rPr>
        <w:t>.</w:t>
      </w:r>
    </w:p>
    <w:p w:rsidR="00343F16" w:rsidRPr="00F84AB1" w:rsidRDefault="00343F16" w:rsidP="00C644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hAnsiTheme="majorHAnsi" w:cs="GillSansMT"/>
          <w:sz w:val="20"/>
          <w:szCs w:val="20"/>
          <w:lang w:val="es-ES"/>
        </w:rPr>
      </w:pPr>
    </w:p>
    <w:p w:rsidR="00343F16" w:rsidRPr="00F84AB1" w:rsidRDefault="0066510A" w:rsidP="003D19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Indican</w:t>
      </w:r>
      <w:r w:rsidR="00343F16" w:rsidRPr="00F84AB1">
        <w:rPr>
          <w:rFonts w:asciiTheme="majorHAnsi" w:hAnsiTheme="majorHAnsi" w:cs="GillSansMT"/>
          <w:sz w:val="20"/>
          <w:szCs w:val="20"/>
          <w:lang w:val="es-ES"/>
        </w:rPr>
        <w:t xml:space="preserve"> que el 9 de septiembre de 1986 las familias de Abraham Muskatblit Eidelstein y Felipe Segundo Rivera Gajardo interpusieron recursos de amparo, y que posteriormente las familias de las presuntas víctimas presentaron diversas denuncias y querellas, que conocidas bajo una sola investigación, se acumularon a la causa conocida como Operación Albania, tramitada ante el 6 Juzgado del Crimen de Santiago, y que posterior</w:t>
      </w:r>
      <w:r w:rsidRPr="00F84AB1">
        <w:rPr>
          <w:rFonts w:asciiTheme="majorHAnsi" w:hAnsiTheme="majorHAnsi" w:cs="GillSansMT"/>
          <w:sz w:val="20"/>
          <w:szCs w:val="20"/>
          <w:lang w:val="es-ES"/>
        </w:rPr>
        <w:t>mente pas</w:t>
      </w:r>
      <w:r w:rsidR="003D1903" w:rsidRPr="00F84AB1">
        <w:rPr>
          <w:rFonts w:asciiTheme="majorHAnsi" w:hAnsiTheme="majorHAnsi" w:cs="GillSansMT"/>
          <w:sz w:val="20"/>
          <w:szCs w:val="20"/>
          <w:lang w:val="es-ES"/>
        </w:rPr>
        <w:t>ó</w:t>
      </w:r>
      <w:r w:rsidRPr="00F84AB1">
        <w:rPr>
          <w:rFonts w:asciiTheme="majorHAnsi" w:hAnsiTheme="majorHAnsi" w:cs="GillSansMT"/>
          <w:sz w:val="20"/>
          <w:szCs w:val="20"/>
          <w:lang w:val="es-ES"/>
        </w:rPr>
        <w:t xml:space="preserve"> a ser conocida por un</w:t>
      </w:r>
      <w:r w:rsidR="00343F16" w:rsidRPr="00F84AB1">
        <w:rPr>
          <w:rFonts w:asciiTheme="majorHAnsi" w:hAnsiTheme="majorHAnsi" w:cs="GillSansMT"/>
          <w:sz w:val="20"/>
          <w:szCs w:val="20"/>
          <w:lang w:val="es-ES"/>
        </w:rPr>
        <w:t xml:space="preserve"> Ministro en Visita Extraordinaria, en virtud de una instrucción de </w:t>
      </w:r>
      <w:r w:rsidR="003D1903" w:rsidRPr="00F84AB1">
        <w:rPr>
          <w:rFonts w:asciiTheme="majorHAnsi" w:hAnsiTheme="majorHAnsi" w:cs="GillSansMT"/>
          <w:sz w:val="20"/>
          <w:szCs w:val="20"/>
          <w:lang w:val="es-ES"/>
        </w:rPr>
        <w:t>la Corte Suprema. Sostienen que</w:t>
      </w:r>
      <w:r w:rsidR="00343F16" w:rsidRPr="00F84AB1">
        <w:rPr>
          <w:rFonts w:asciiTheme="majorHAnsi" w:hAnsiTheme="majorHAnsi" w:cs="GillSansMT"/>
          <w:sz w:val="20"/>
          <w:szCs w:val="20"/>
          <w:lang w:val="es-ES"/>
        </w:rPr>
        <w:t xml:space="preserve"> el 29 de diciembre de 2006 se dictó sentencia de primera instancia y se condenó a 14 personas a penas de entre </w:t>
      </w:r>
      <w:r w:rsidR="003D1903" w:rsidRPr="00F84AB1">
        <w:rPr>
          <w:rFonts w:asciiTheme="majorHAnsi" w:hAnsiTheme="majorHAnsi" w:cs="GillSansMT"/>
          <w:sz w:val="20"/>
          <w:szCs w:val="20"/>
          <w:lang w:val="es-ES"/>
        </w:rPr>
        <w:t>cinco</w:t>
      </w:r>
      <w:r w:rsidR="00343F16" w:rsidRPr="00F84AB1">
        <w:rPr>
          <w:rFonts w:asciiTheme="majorHAnsi" w:hAnsiTheme="majorHAnsi" w:cs="GillSansMT"/>
          <w:sz w:val="20"/>
          <w:szCs w:val="20"/>
          <w:lang w:val="es-ES"/>
        </w:rPr>
        <w:t xml:space="preserve"> y 18 </w:t>
      </w:r>
      <w:r w:rsidR="00671210" w:rsidRPr="00F84AB1">
        <w:rPr>
          <w:rFonts w:asciiTheme="majorHAnsi" w:hAnsiTheme="majorHAnsi" w:cs="GillSansMT"/>
          <w:sz w:val="20"/>
          <w:szCs w:val="20"/>
          <w:lang w:val="es-ES"/>
        </w:rPr>
        <w:t xml:space="preserve">años </w:t>
      </w:r>
      <w:r w:rsidR="00343F16" w:rsidRPr="00F84AB1">
        <w:rPr>
          <w:rFonts w:asciiTheme="majorHAnsi" w:hAnsiTheme="majorHAnsi" w:cs="GillSansMT"/>
          <w:sz w:val="20"/>
          <w:szCs w:val="20"/>
          <w:lang w:val="es-ES"/>
        </w:rPr>
        <w:t>de prisión, por los delitos de homicidio calificado, resolución que fue confirmada por la Corte de Apelaciones de Santiago el 27 de diciembre de 2007.</w:t>
      </w:r>
      <w:r w:rsidR="00343F16" w:rsidRPr="00F84AB1">
        <w:rPr>
          <w:rFonts w:asciiTheme="majorHAnsi" w:hAnsiTheme="majorHAnsi"/>
          <w:sz w:val="20"/>
          <w:szCs w:val="20"/>
          <w:lang w:val="es-ES"/>
        </w:rPr>
        <w:t xml:space="preserve"> </w:t>
      </w:r>
      <w:r w:rsidR="00343F16" w:rsidRPr="00F84AB1">
        <w:rPr>
          <w:rFonts w:asciiTheme="majorHAnsi" w:hAnsiTheme="majorHAnsi" w:cs="GillSansMT"/>
          <w:sz w:val="20"/>
          <w:szCs w:val="20"/>
          <w:lang w:val="es-ES"/>
        </w:rPr>
        <w:t xml:space="preserve">Alegan que el 13 de agosto de 2009 la Corte Suprema, conociendo de recursos de casación en el fondo, invalidó de oficio la sentencia por considerar que el fallo de primera instancia había omitido todo pronunciamiento respecto de la prescripción gradual solicitada por los inculpados, lo cual refieren no es efectivo, e indican que dicha Corte procedió a dictar sentencia de reemplazo, aplicando la atenuante de irreprochable conducta anterior, la de obediencia debida, y declarando que el delito se encuentra gradualmente prescrito. Indican que la Corte Suprema redujo la condena de 18 a 12 años, las de 13 a </w:t>
      </w:r>
      <w:r w:rsidR="00EA44BC" w:rsidRPr="00F84AB1">
        <w:rPr>
          <w:rFonts w:asciiTheme="majorHAnsi" w:hAnsiTheme="majorHAnsi" w:cs="GillSansMT"/>
          <w:sz w:val="20"/>
          <w:szCs w:val="20"/>
          <w:lang w:val="es-ES"/>
        </w:rPr>
        <w:t>siete</w:t>
      </w:r>
      <w:r w:rsidR="00343F16" w:rsidRPr="00F84AB1">
        <w:rPr>
          <w:rFonts w:asciiTheme="majorHAnsi" w:hAnsiTheme="majorHAnsi" w:cs="GillSansMT"/>
          <w:sz w:val="20"/>
          <w:szCs w:val="20"/>
          <w:lang w:val="es-ES"/>
        </w:rPr>
        <w:t xml:space="preserve"> y todas las demás a </w:t>
      </w:r>
      <w:r w:rsidR="003D1903" w:rsidRPr="00F84AB1">
        <w:rPr>
          <w:rFonts w:asciiTheme="majorHAnsi" w:hAnsiTheme="majorHAnsi" w:cs="GillSansMT"/>
          <w:sz w:val="20"/>
          <w:szCs w:val="20"/>
          <w:lang w:val="es-ES"/>
        </w:rPr>
        <w:t>cinco</w:t>
      </w:r>
      <w:r w:rsidR="00343F16" w:rsidRPr="00F84AB1">
        <w:rPr>
          <w:rFonts w:asciiTheme="majorHAnsi" w:hAnsiTheme="majorHAnsi" w:cs="GillSansMT"/>
          <w:sz w:val="20"/>
          <w:szCs w:val="20"/>
          <w:lang w:val="es-ES"/>
        </w:rPr>
        <w:t xml:space="preserve"> años. Señalan que la Corte concedió el beneficio de la media prescripción a once personas condenadas, y se les otorgó el beneficio de la libertad vigilada.</w:t>
      </w:r>
    </w:p>
    <w:p w:rsidR="00343F16" w:rsidRPr="00F84AB1" w:rsidRDefault="00343F16" w:rsidP="00C644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p>
    <w:p w:rsidR="00331369" w:rsidRDefault="00331369">
      <w:pPr>
        <w:rPr>
          <w:rFonts w:asciiTheme="majorHAnsi" w:eastAsia="Cambria" w:hAnsiTheme="majorHAnsi" w:cs="GillSansMT"/>
          <w:b/>
          <w:color w:val="000000"/>
          <w:sz w:val="20"/>
          <w:szCs w:val="20"/>
          <w:u w:color="000000"/>
          <w:lang w:val="es-ES" w:eastAsia="es-ES"/>
        </w:rPr>
      </w:pPr>
      <w:r>
        <w:rPr>
          <w:rFonts w:asciiTheme="majorHAnsi" w:hAnsiTheme="majorHAnsi" w:cs="GillSansMT"/>
          <w:b/>
          <w:sz w:val="20"/>
          <w:szCs w:val="20"/>
          <w:lang w:val="es-ES"/>
        </w:rPr>
        <w:br w:type="page"/>
      </w:r>
    </w:p>
    <w:p w:rsidR="004B6719" w:rsidRPr="00F84AB1" w:rsidRDefault="00057A41" w:rsidP="00331369">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Theme="majorHAnsi" w:hAnsiTheme="majorHAnsi" w:cs="GillSansMT"/>
          <w:b/>
          <w:sz w:val="20"/>
          <w:szCs w:val="20"/>
          <w:lang w:val="es-ES"/>
        </w:rPr>
      </w:pPr>
      <w:r w:rsidRPr="00F84AB1">
        <w:rPr>
          <w:rFonts w:asciiTheme="majorHAnsi" w:hAnsiTheme="majorHAnsi" w:cs="GillSansMT"/>
          <w:b/>
          <w:sz w:val="20"/>
          <w:szCs w:val="20"/>
          <w:lang w:val="es-ES"/>
        </w:rPr>
        <w:lastRenderedPageBreak/>
        <w:t xml:space="preserve">Caso </w:t>
      </w:r>
      <w:r w:rsidR="00DC6A2A" w:rsidRPr="00F84AB1">
        <w:rPr>
          <w:rFonts w:asciiTheme="majorHAnsi" w:hAnsiTheme="majorHAnsi" w:cs="GillSansMT"/>
          <w:b/>
          <w:sz w:val="20"/>
          <w:szCs w:val="20"/>
          <w:lang w:val="es-ES"/>
        </w:rPr>
        <w:t xml:space="preserve">de </w:t>
      </w:r>
      <w:r w:rsidRPr="00F84AB1">
        <w:rPr>
          <w:rFonts w:asciiTheme="majorHAnsi" w:hAnsiTheme="majorHAnsi" w:cs="GillSansMT"/>
          <w:b/>
          <w:sz w:val="20"/>
          <w:szCs w:val="20"/>
          <w:lang w:val="es-ES"/>
        </w:rPr>
        <w:t>Félix Santiago de la Jara Goyeneche</w:t>
      </w:r>
      <w:r w:rsidR="00CB44EB" w:rsidRPr="00F84AB1">
        <w:rPr>
          <w:rFonts w:asciiTheme="majorHAnsi" w:hAnsiTheme="majorHAnsi"/>
          <w:sz w:val="20"/>
          <w:szCs w:val="20"/>
          <w:lang w:val="es-ES"/>
        </w:rPr>
        <w:t xml:space="preserve"> </w:t>
      </w:r>
      <w:r w:rsidR="00CB44EB" w:rsidRPr="00F84AB1">
        <w:rPr>
          <w:rFonts w:asciiTheme="majorHAnsi" w:hAnsiTheme="majorHAnsi" w:cs="GillSansMT"/>
          <w:b/>
          <w:sz w:val="20"/>
          <w:szCs w:val="20"/>
          <w:lang w:val="es-ES"/>
        </w:rPr>
        <w:t>y familiares</w:t>
      </w:r>
    </w:p>
    <w:p w:rsidR="00073098" w:rsidRPr="00F84AB1" w:rsidRDefault="00073098" w:rsidP="00C644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p>
    <w:p w:rsidR="006E3EA0" w:rsidRPr="00F84AB1" w:rsidRDefault="00956AEF"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El 4 de marzo de 2010, los peticionarios remitieron una ampliación de denuncia </w:t>
      </w:r>
      <w:r w:rsidR="00995EB5" w:rsidRPr="00F84AB1">
        <w:rPr>
          <w:rFonts w:asciiTheme="majorHAnsi" w:hAnsiTheme="majorHAnsi" w:cs="GillSansMT"/>
          <w:sz w:val="20"/>
          <w:szCs w:val="20"/>
          <w:lang w:val="es-ES"/>
        </w:rPr>
        <w:t>presentada en favor de Félix Santiago de la Jara Goyeneche</w:t>
      </w:r>
      <w:r w:rsidR="00AC77ED" w:rsidRPr="00F84AB1">
        <w:rPr>
          <w:rFonts w:asciiTheme="majorHAnsi" w:hAnsiTheme="majorHAnsi" w:cs="GillSansMT"/>
          <w:sz w:val="20"/>
          <w:szCs w:val="20"/>
          <w:lang w:val="es-ES"/>
        </w:rPr>
        <w:t xml:space="preserve"> y sus familiares</w:t>
      </w:r>
      <w:r w:rsidR="006E3EA0" w:rsidRPr="00F84AB1">
        <w:rPr>
          <w:rFonts w:asciiTheme="majorHAnsi" w:hAnsiTheme="majorHAnsi" w:cs="GillSansMT"/>
          <w:sz w:val="20"/>
          <w:szCs w:val="20"/>
          <w:lang w:val="es-ES"/>
        </w:rPr>
        <w:t xml:space="preserve">, quien refieren </w:t>
      </w:r>
      <w:r w:rsidR="0066510A" w:rsidRPr="00F84AB1">
        <w:rPr>
          <w:rFonts w:asciiTheme="majorHAnsi" w:hAnsiTheme="majorHAnsi" w:cs="GillSansMT"/>
          <w:sz w:val="20"/>
          <w:szCs w:val="20"/>
          <w:lang w:val="es-ES"/>
        </w:rPr>
        <w:t>era</w:t>
      </w:r>
      <w:r w:rsidR="006E3EA0" w:rsidRPr="00F84AB1">
        <w:rPr>
          <w:rFonts w:asciiTheme="majorHAnsi" w:hAnsiTheme="majorHAnsi" w:cs="GillSansMT"/>
          <w:sz w:val="20"/>
          <w:szCs w:val="20"/>
          <w:lang w:val="es-ES"/>
        </w:rPr>
        <w:t xml:space="preserve"> militante del MIR, y </w:t>
      </w:r>
      <w:r w:rsidR="0066510A" w:rsidRPr="00F84AB1">
        <w:rPr>
          <w:rFonts w:asciiTheme="majorHAnsi" w:hAnsiTheme="majorHAnsi" w:cs="GillSansMT"/>
          <w:sz w:val="20"/>
          <w:szCs w:val="20"/>
          <w:lang w:val="es-ES"/>
        </w:rPr>
        <w:t xml:space="preserve">fue </w:t>
      </w:r>
      <w:r w:rsidR="006E3EA0" w:rsidRPr="00F84AB1">
        <w:rPr>
          <w:rFonts w:asciiTheme="majorHAnsi" w:hAnsiTheme="majorHAnsi" w:cs="GillSansMT"/>
          <w:sz w:val="20"/>
          <w:szCs w:val="20"/>
          <w:lang w:val="es-ES"/>
        </w:rPr>
        <w:t xml:space="preserve">detenido en la ciudad de Santiago el 27 de noviembre de 1974, por un comando de la DINA y trasladado al centro clandestino de detención conocido como “Venda Sexy” o “La Discoteque”, donde </w:t>
      </w:r>
      <w:r w:rsidR="0066510A" w:rsidRPr="00F84AB1">
        <w:rPr>
          <w:rFonts w:asciiTheme="majorHAnsi" w:hAnsiTheme="majorHAnsi" w:cs="GillSansMT"/>
          <w:sz w:val="20"/>
          <w:szCs w:val="20"/>
          <w:lang w:val="es-ES"/>
        </w:rPr>
        <w:t>fue</w:t>
      </w:r>
      <w:r w:rsidR="006E3EA0" w:rsidRPr="00F84AB1">
        <w:rPr>
          <w:rFonts w:asciiTheme="majorHAnsi" w:hAnsiTheme="majorHAnsi" w:cs="GillSansMT"/>
          <w:sz w:val="20"/>
          <w:szCs w:val="20"/>
          <w:lang w:val="es-ES"/>
        </w:rPr>
        <w:t xml:space="preserve"> torturado y</w:t>
      </w:r>
      <w:r w:rsidR="0066510A" w:rsidRPr="00F84AB1">
        <w:rPr>
          <w:rFonts w:asciiTheme="majorHAnsi" w:hAnsiTheme="majorHAnsi" w:cs="GillSansMT"/>
          <w:sz w:val="20"/>
          <w:szCs w:val="20"/>
          <w:lang w:val="es-ES"/>
        </w:rPr>
        <w:t xml:space="preserve"> refieren</w:t>
      </w:r>
      <w:r w:rsidR="006E3EA0" w:rsidRPr="00F84AB1">
        <w:rPr>
          <w:rFonts w:asciiTheme="majorHAnsi" w:hAnsiTheme="majorHAnsi" w:cs="GillSansMT"/>
          <w:sz w:val="20"/>
          <w:szCs w:val="20"/>
          <w:lang w:val="es-ES"/>
        </w:rPr>
        <w:t xml:space="preserve"> que alrededor de los días 18 y 24 de diciembre de 1974 </w:t>
      </w:r>
      <w:r w:rsidR="0066510A" w:rsidRPr="00F84AB1">
        <w:rPr>
          <w:rFonts w:asciiTheme="majorHAnsi" w:hAnsiTheme="majorHAnsi" w:cs="GillSansMT"/>
          <w:sz w:val="20"/>
          <w:szCs w:val="20"/>
          <w:lang w:val="es-ES"/>
        </w:rPr>
        <w:t>fue</w:t>
      </w:r>
      <w:r w:rsidR="00F05C77" w:rsidRPr="00F84AB1">
        <w:rPr>
          <w:rFonts w:asciiTheme="majorHAnsi" w:hAnsiTheme="majorHAnsi" w:cs="GillSansMT"/>
          <w:sz w:val="20"/>
          <w:szCs w:val="20"/>
          <w:lang w:val="es-ES"/>
        </w:rPr>
        <w:t xml:space="preserve"> </w:t>
      </w:r>
      <w:r w:rsidR="006E3EA0" w:rsidRPr="00F84AB1">
        <w:rPr>
          <w:rFonts w:asciiTheme="majorHAnsi" w:hAnsiTheme="majorHAnsi" w:cs="GillSansMT"/>
          <w:sz w:val="20"/>
          <w:szCs w:val="20"/>
          <w:lang w:val="es-ES"/>
        </w:rPr>
        <w:t>retirado por sus captores del centro, sin que se conozca su paradero.</w:t>
      </w:r>
      <w:r w:rsidR="00012631" w:rsidRPr="00F84AB1">
        <w:rPr>
          <w:rFonts w:asciiTheme="majorHAnsi" w:hAnsiTheme="majorHAnsi" w:cs="GillSansMT"/>
          <w:sz w:val="20"/>
          <w:szCs w:val="20"/>
          <w:lang w:val="es-ES"/>
        </w:rPr>
        <w:t xml:space="preserve"> </w:t>
      </w:r>
    </w:p>
    <w:p w:rsidR="00C84AAE" w:rsidRPr="00F84AB1" w:rsidRDefault="00C84AAE" w:rsidP="00C644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hAnsiTheme="majorHAnsi" w:cs="GillSansMT"/>
          <w:sz w:val="20"/>
          <w:szCs w:val="20"/>
          <w:lang w:val="es-ES"/>
        </w:rPr>
      </w:pPr>
    </w:p>
    <w:p w:rsidR="00C84AAE" w:rsidRPr="00F84AB1" w:rsidRDefault="001E4142"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Los peticionarios s</w:t>
      </w:r>
      <w:r w:rsidR="00B42B24" w:rsidRPr="00F84AB1">
        <w:rPr>
          <w:rFonts w:asciiTheme="majorHAnsi" w:hAnsiTheme="majorHAnsi" w:cs="GillSansMT"/>
          <w:sz w:val="20"/>
          <w:szCs w:val="20"/>
          <w:lang w:val="es-ES"/>
        </w:rPr>
        <w:t>eñalan que, el 3 de enero de 1975, se interpuso recurso de amparo ante la C</w:t>
      </w:r>
      <w:r w:rsidRPr="00F84AB1">
        <w:rPr>
          <w:rFonts w:asciiTheme="majorHAnsi" w:hAnsiTheme="majorHAnsi" w:cs="GillSansMT"/>
          <w:sz w:val="20"/>
          <w:szCs w:val="20"/>
          <w:lang w:val="es-ES"/>
        </w:rPr>
        <w:t xml:space="preserve">orte de Apelaciones de </w:t>
      </w:r>
      <w:r w:rsidR="00B42B24" w:rsidRPr="00F84AB1">
        <w:rPr>
          <w:rFonts w:asciiTheme="majorHAnsi" w:hAnsiTheme="majorHAnsi" w:cs="GillSansMT"/>
          <w:sz w:val="20"/>
          <w:szCs w:val="20"/>
          <w:lang w:val="es-ES"/>
        </w:rPr>
        <w:t>S</w:t>
      </w:r>
      <w:r w:rsidRPr="00F84AB1">
        <w:rPr>
          <w:rFonts w:asciiTheme="majorHAnsi" w:hAnsiTheme="majorHAnsi" w:cs="GillSansMT"/>
          <w:sz w:val="20"/>
          <w:szCs w:val="20"/>
          <w:lang w:val="es-ES"/>
        </w:rPr>
        <w:t>antiago</w:t>
      </w:r>
      <w:r w:rsidR="00B42B24" w:rsidRPr="00F84AB1">
        <w:rPr>
          <w:rFonts w:asciiTheme="majorHAnsi" w:hAnsiTheme="majorHAnsi" w:cs="GillSansMT"/>
          <w:sz w:val="20"/>
          <w:szCs w:val="20"/>
          <w:lang w:val="es-ES"/>
        </w:rPr>
        <w:t xml:space="preserve">, el cual fue rechazado el 13 de febrero de 1975 y los antecedentes remitidos al </w:t>
      </w:r>
      <w:r w:rsidRPr="00F84AB1">
        <w:rPr>
          <w:rFonts w:asciiTheme="majorHAnsi" w:hAnsiTheme="majorHAnsi" w:cs="GillSansMT"/>
          <w:sz w:val="20"/>
          <w:szCs w:val="20"/>
          <w:lang w:val="es-ES"/>
        </w:rPr>
        <w:t>Quinto Juzgado del Crimen de Santiago.</w:t>
      </w:r>
      <w:r w:rsidR="00B42B24" w:rsidRPr="00F84AB1">
        <w:rPr>
          <w:rFonts w:asciiTheme="majorHAnsi" w:hAnsiTheme="majorHAnsi" w:cs="GillSansMT"/>
          <w:sz w:val="20"/>
          <w:szCs w:val="20"/>
          <w:lang w:val="es-ES"/>
        </w:rPr>
        <w:t xml:space="preserve"> Indican que, la causa habría sido temporalmente sobreseída en octubre de 1975, al considerarse que no estaba justificada la existencia de</w:t>
      </w:r>
      <w:r w:rsidRPr="00F84AB1">
        <w:rPr>
          <w:rFonts w:asciiTheme="majorHAnsi" w:hAnsiTheme="majorHAnsi" w:cs="GillSansMT"/>
          <w:sz w:val="20"/>
          <w:szCs w:val="20"/>
          <w:lang w:val="es-ES"/>
        </w:rPr>
        <w:t>l delito</w:t>
      </w:r>
      <w:r w:rsidR="00F05C77" w:rsidRPr="00F84AB1">
        <w:rPr>
          <w:rFonts w:asciiTheme="majorHAnsi" w:hAnsiTheme="majorHAnsi" w:cs="GillSansMT"/>
          <w:sz w:val="20"/>
          <w:szCs w:val="20"/>
          <w:lang w:val="es-ES"/>
        </w:rPr>
        <w:t>.</w:t>
      </w:r>
      <w:r w:rsidR="00B42B24" w:rsidRPr="00F84AB1">
        <w:rPr>
          <w:rFonts w:asciiTheme="majorHAnsi" w:hAnsiTheme="majorHAnsi" w:cs="GillSansMT"/>
          <w:sz w:val="20"/>
          <w:szCs w:val="20"/>
          <w:lang w:val="es-ES"/>
        </w:rPr>
        <w:t xml:space="preserve"> Indican que dicho sobreseimiento fue aprobado por la </w:t>
      </w:r>
      <w:r w:rsidR="00D619BF" w:rsidRPr="00F84AB1">
        <w:rPr>
          <w:rFonts w:asciiTheme="majorHAnsi" w:hAnsiTheme="majorHAnsi" w:cs="GillSansMT"/>
          <w:sz w:val="20"/>
          <w:szCs w:val="20"/>
          <w:lang w:val="es-ES"/>
        </w:rPr>
        <w:t>Corte de Apelaciones</w:t>
      </w:r>
      <w:r w:rsidR="00B42B24" w:rsidRPr="00F84AB1">
        <w:rPr>
          <w:rFonts w:asciiTheme="majorHAnsi" w:hAnsiTheme="majorHAnsi" w:cs="GillSansMT"/>
          <w:sz w:val="20"/>
          <w:szCs w:val="20"/>
          <w:lang w:val="es-ES"/>
        </w:rPr>
        <w:t>. Sostienen que</w:t>
      </w:r>
      <w:r w:rsidR="00D619BF" w:rsidRPr="00F84AB1">
        <w:rPr>
          <w:rFonts w:asciiTheme="majorHAnsi" w:hAnsiTheme="majorHAnsi" w:cs="GillSansMT"/>
          <w:sz w:val="20"/>
          <w:szCs w:val="20"/>
          <w:lang w:val="es-ES"/>
        </w:rPr>
        <w:t>,</w:t>
      </w:r>
      <w:r w:rsidR="00B42B24" w:rsidRPr="00F84AB1">
        <w:rPr>
          <w:rFonts w:asciiTheme="majorHAnsi" w:hAnsiTheme="majorHAnsi" w:cs="GillSansMT"/>
          <w:sz w:val="20"/>
          <w:szCs w:val="20"/>
          <w:lang w:val="es-ES"/>
        </w:rPr>
        <w:t xml:space="preserve"> el 3 de julio de 1975 se presentó un nuevo recurso de amparo el cual también fue rechazado el 15 de julio de 1975.</w:t>
      </w:r>
    </w:p>
    <w:p w:rsidR="00C84AAE" w:rsidRPr="00F84AB1" w:rsidRDefault="00C84AAE" w:rsidP="00C64463">
      <w:pPr>
        <w:pStyle w:val="ListParagraph"/>
        <w:jc w:val="both"/>
        <w:rPr>
          <w:rFonts w:asciiTheme="majorHAnsi" w:hAnsiTheme="majorHAnsi" w:cs="Arial"/>
          <w:color w:val="943634" w:themeColor="accent2" w:themeShade="BF"/>
          <w:sz w:val="20"/>
          <w:szCs w:val="20"/>
          <w:lang w:val="es-UY"/>
        </w:rPr>
      </w:pPr>
    </w:p>
    <w:p w:rsidR="00B42B24" w:rsidRPr="00F84AB1" w:rsidRDefault="00012631"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Arial"/>
          <w:color w:val="943634" w:themeColor="accent2" w:themeShade="BF"/>
          <w:sz w:val="20"/>
          <w:szCs w:val="20"/>
          <w:lang w:val="es-UY"/>
        </w:rPr>
        <w:t xml:space="preserve"> </w:t>
      </w:r>
      <w:r w:rsidR="00B42B24" w:rsidRPr="00F84AB1">
        <w:rPr>
          <w:rFonts w:asciiTheme="majorHAnsi" w:hAnsiTheme="majorHAnsi" w:cs="GillSansMT"/>
          <w:sz w:val="20"/>
          <w:szCs w:val="20"/>
          <w:lang w:val="es-ES"/>
        </w:rPr>
        <w:t>Indican que</w:t>
      </w:r>
      <w:r w:rsidR="00C84AAE" w:rsidRPr="00F84AB1">
        <w:rPr>
          <w:rFonts w:asciiTheme="majorHAnsi" w:hAnsiTheme="majorHAnsi" w:cs="GillSansMT"/>
          <w:sz w:val="20"/>
          <w:szCs w:val="20"/>
          <w:lang w:val="es-ES"/>
        </w:rPr>
        <w:t>,</w:t>
      </w:r>
      <w:r w:rsidR="00B42B24" w:rsidRPr="00F84AB1">
        <w:rPr>
          <w:rFonts w:asciiTheme="majorHAnsi" w:hAnsiTheme="majorHAnsi" w:cs="GillSansMT"/>
          <w:sz w:val="20"/>
          <w:szCs w:val="20"/>
          <w:lang w:val="es-ES"/>
        </w:rPr>
        <w:t xml:space="preserve"> el 24 de julio de 1996 la CNRR solicitó la reapertura del sumario, reiniciándose la investigación. </w:t>
      </w:r>
      <w:r w:rsidR="00476F2C" w:rsidRPr="00F84AB1">
        <w:rPr>
          <w:rFonts w:asciiTheme="majorHAnsi" w:hAnsiTheme="majorHAnsi" w:cs="GillSansMT"/>
          <w:sz w:val="20"/>
          <w:szCs w:val="20"/>
          <w:lang w:val="es-ES"/>
        </w:rPr>
        <w:t>Tras haber sido desi</w:t>
      </w:r>
      <w:r w:rsidR="005E09DE" w:rsidRPr="00F84AB1">
        <w:rPr>
          <w:rFonts w:asciiTheme="majorHAnsi" w:hAnsiTheme="majorHAnsi" w:cs="GillSansMT"/>
          <w:sz w:val="20"/>
          <w:szCs w:val="20"/>
          <w:lang w:val="es-ES"/>
        </w:rPr>
        <w:t>g</w:t>
      </w:r>
      <w:r w:rsidR="00476F2C" w:rsidRPr="00F84AB1">
        <w:rPr>
          <w:rFonts w:asciiTheme="majorHAnsi" w:hAnsiTheme="majorHAnsi" w:cs="GillSansMT"/>
          <w:sz w:val="20"/>
          <w:szCs w:val="20"/>
          <w:lang w:val="es-ES"/>
        </w:rPr>
        <w:t xml:space="preserve">nado un Ministro en Visita Extraordinaria para el conocimiento del asunto, refieren </w:t>
      </w:r>
      <w:r w:rsidR="00B42B24" w:rsidRPr="00F84AB1">
        <w:rPr>
          <w:rFonts w:asciiTheme="majorHAnsi" w:hAnsiTheme="majorHAnsi" w:cs="GillSansMT"/>
          <w:sz w:val="20"/>
          <w:szCs w:val="20"/>
          <w:lang w:val="es-ES"/>
        </w:rPr>
        <w:t>que</w:t>
      </w:r>
      <w:r w:rsidR="00476F2C" w:rsidRPr="00F84AB1">
        <w:rPr>
          <w:rFonts w:asciiTheme="majorHAnsi" w:hAnsiTheme="majorHAnsi" w:cs="GillSansMT"/>
          <w:sz w:val="20"/>
          <w:szCs w:val="20"/>
          <w:lang w:val="es-ES"/>
        </w:rPr>
        <w:t>,</w:t>
      </w:r>
      <w:r w:rsidR="00B42B24" w:rsidRPr="00F84AB1">
        <w:rPr>
          <w:rFonts w:asciiTheme="majorHAnsi" w:hAnsiTheme="majorHAnsi" w:cs="GillSansMT"/>
          <w:sz w:val="20"/>
          <w:szCs w:val="20"/>
          <w:lang w:val="es-ES"/>
        </w:rPr>
        <w:t xml:space="preserve"> el 2 de abril de 2007 se dictó sentencia de primera instancia condenando a</w:t>
      </w:r>
      <w:r w:rsidR="008955D0" w:rsidRPr="00F84AB1">
        <w:rPr>
          <w:rFonts w:asciiTheme="majorHAnsi" w:hAnsiTheme="majorHAnsi" w:cs="GillSansMT"/>
          <w:sz w:val="20"/>
          <w:szCs w:val="20"/>
          <w:lang w:val="es-ES"/>
        </w:rPr>
        <w:t xml:space="preserve"> </w:t>
      </w:r>
      <w:r w:rsidR="00B42B24" w:rsidRPr="00F84AB1">
        <w:rPr>
          <w:rFonts w:asciiTheme="majorHAnsi" w:hAnsiTheme="majorHAnsi" w:cs="GillSansMT"/>
          <w:sz w:val="20"/>
          <w:szCs w:val="20"/>
          <w:lang w:val="es-ES"/>
        </w:rPr>
        <w:t xml:space="preserve">Juan Manuel Contreras, a </w:t>
      </w:r>
      <w:r w:rsidR="00EA44BC" w:rsidRPr="00F84AB1">
        <w:rPr>
          <w:rFonts w:asciiTheme="majorHAnsi" w:hAnsiTheme="majorHAnsi" w:cs="GillSansMT"/>
          <w:sz w:val="20"/>
          <w:szCs w:val="20"/>
          <w:lang w:val="es-ES"/>
        </w:rPr>
        <w:t>cinco</w:t>
      </w:r>
      <w:r w:rsidR="00B42B24" w:rsidRPr="00F84AB1">
        <w:rPr>
          <w:rFonts w:asciiTheme="majorHAnsi" w:hAnsiTheme="majorHAnsi" w:cs="GillSansMT"/>
          <w:sz w:val="20"/>
          <w:szCs w:val="20"/>
          <w:lang w:val="es-ES"/>
        </w:rPr>
        <w:t xml:space="preserve"> años</w:t>
      </w:r>
      <w:r w:rsidR="00496B13" w:rsidRPr="00F84AB1">
        <w:rPr>
          <w:rFonts w:asciiTheme="majorHAnsi" w:hAnsiTheme="majorHAnsi" w:cs="GillSansMT"/>
          <w:sz w:val="20"/>
          <w:szCs w:val="20"/>
          <w:lang w:val="es-ES"/>
        </w:rPr>
        <w:t xml:space="preserve"> y un día</w:t>
      </w:r>
      <w:r w:rsidR="00B42B24" w:rsidRPr="00F84AB1">
        <w:rPr>
          <w:rFonts w:asciiTheme="majorHAnsi" w:hAnsiTheme="majorHAnsi" w:cs="GillSansMT"/>
          <w:sz w:val="20"/>
          <w:szCs w:val="20"/>
          <w:lang w:val="es-ES"/>
        </w:rPr>
        <w:t xml:space="preserve"> de prisión, como autor del del</w:t>
      </w:r>
      <w:r w:rsidR="00496B13" w:rsidRPr="00F84AB1">
        <w:rPr>
          <w:rFonts w:asciiTheme="majorHAnsi" w:hAnsiTheme="majorHAnsi" w:cs="GillSansMT"/>
          <w:sz w:val="20"/>
          <w:szCs w:val="20"/>
          <w:lang w:val="es-ES"/>
        </w:rPr>
        <w:t xml:space="preserve">ito de secuestro calificado, </w:t>
      </w:r>
      <w:r w:rsidR="003A6B58" w:rsidRPr="00F84AB1">
        <w:rPr>
          <w:rFonts w:asciiTheme="majorHAnsi" w:hAnsiTheme="majorHAnsi" w:cs="GillSansMT"/>
          <w:sz w:val="20"/>
          <w:szCs w:val="20"/>
          <w:lang w:val="es-ES"/>
        </w:rPr>
        <w:t>así</w:t>
      </w:r>
      <w:r w:rsidR="00015ED5" w:rsidRPr="00F84AB1">
        <w:rPr>
          <w:rFonts w:asciiTheme="majorHAnsi" w:hAnsiTheme="majorHAnsi" w:cs="GillSansMT"/>
          <w:sz w:val="20"/>
          <w:szCs w:val="20"/>
          <w:lang w:val="es-ES"/>
        </w:rPr>
        <w:t xml:space="preserve"> como a</w:t>
      </w:r>
      <w:r w:rsidR="00496B13" w:rsidRPr="00F84AB1">
        <w:rPr>
          <w:rFonts w:asciiTheme="majorHAnsi" w:hAnsiTheme="majorHAnsi" w:cs="GillSansMT"/>
          <w:sz w:val="20"/>
          <w:szCs w:val="20"/>
          <w:lang w:val="es-ES"/>
        </w:rPr>
        <w:t xml:space="preserve"> </w:t>
      </w:r>
      <w:r w:rsidR="003A6B58" w:rsidRPr="00F84AB1">
        <w:rPr>
          <w:rFonts w:asciiTheme="majorHAnsi" w:hAnsiTheme="majorHAnsi" w:cs="GillSansMT"/>
          <w:sz w:val="20"/>
          <w:szCs w:val="20"/>
          <w:lang w:val="es-ES"/>
        </w:rPr>
        <w:t>Raúl</w:t>
      </w:r>
      <w:r w:rsidR="00496B13" w:rsidRPr="00F84AB1">
        <w:rPr>
          <w:rFonts w:asciiTheme="majorHAnsi" w:hAnsiTheme="majorHAnsi" w:cs="GillSansMT"/>
          <w:sz w:val="20"/>
          <w:szCs w:val="20"/>
          <w:lang w:val="es-ES"/>
        </w:rPr>
        <w:t xml:space="preserve"> Iturriaga Neumann, Manuel Carevic Cubillos, y Risiere Altez </w:t>
      </w:r>
      <w:r w:rsidR="001E062B" w:rsidRPr="00F84AB1">
        <w:rPr>
          <w:rFonts w:asciiTheme="majorHAnsi" w:hAnsiTheme="majorHAnsi" w:cs="GillSansMT"/>
          <w:sz w:val="20"/>
          <w:szCs w:val="20"/>
          <w:lang w:val="es-ES"/>
        </w:rPr>
        <w:t>España</w:t>
      </w:r>
      <w:r w:rsidR="00496B13" w:rsidRPr="00F84AB1">
        <w:rPr>
          <w:rFonts w:asciiTheme="majorHAnsi" w:hAnsiTheme="majorHAnsi" w:cs="GillSansMT"/>
          <w:sz w:val="20"/>
          <w:szCs w:val="20"/>
          <w:lang w:val="es-ES"/>
        </w:rPr>
        <w:t xml:space="preserve">, a la pena de tres </w:t>
      </w:r>
      <w:r w:rsidR="001E062B" w:rsidRPr="00F84AB1">
        <w:rPr>
          <w:rFonts w:asciiTheme="majorHAnsi" w:hAnsiTheme="majorHAnsi" w:cs="GillSansMT"/>
          <w:sz w:val="20"/>
          <w:szCs w:val="20"/>
          <w:lang w:val="es-ES"/>
        </w:rPr>
        <w:t>años</w:t>
      </w:r>
      <w:r w:rsidR="00496B13" w:rsidRPr="00F84AB1">
        <w:rPr>
          <w:rFonts w:asciiTheme="majorHAnsi" w:hAnsiTheme="majorHAnsi" w:cs="GillSansMT"/>
          <w:sz w:val="20"/>
          <w:szCs w:val="20"/>
          <w:lang w:val="es-ES"/>
        </w:rPr>
        <w:t xml:space="preserve"> de presidio.</w:t>
      </w:r>
      <w:r w:rsidR="003A6B58" w:rsidRPr="00F84AB1">
        <w:rPr>
          <w:rFonts w:asciiTheme="majorHAnsi" w:hAnsiTheme="majorHAnsi" w:cs="GillSansMT"/>
          <w:sz w:val="20"/>
          <w:szCs w:val="20"/>
          <w:lang w:val="es-ES"/>
        </w:rPr>
        <w:t xml:space="preserve"> A los tres últimos se les habría otorgado el beneficio de remisión condicional de la pena. </w:t>
      </w:r>
      <w:r w:rsidR="00C84AAE" w:rsidRPr="00F84AB1">
        <w:rPr>
          <w:rFonts w:asciiTheme="majorHAnsi" w:hAnsiTheme="majorHAnsi" w:cs="GillSansMT"/>
          <w:sz w:val="20"/>
          <w:szCs w:val="20"/>
          <w:lang w:val="es-ES"/>
        </w:rPr>
        <w:t>Refieren que el</w:t>
      </w:r>
      <w:r w:rsidR="00B42B24" w:rsidRPr="00F84AB1">
        <w:rPr>
          <w:rFonts w:asciiTheme="majorHAnsi" w:hAnsiTheme="majorHAnsi" w:cs="GillSansMT"/>
          <w:sz w:val="20"/>
          <w:szCs w:val="20"/>
          <w:lang w:val="es-ES"/>
        </w:rPr>
        <w:t xml:space="preserve"> fallo fue confirmado por la </w:t>
      </w:r>
      <w:r w:rsidR="00C84AAE" w:rsidRPr="00F84AB1">
        <w:rPr>
          <w:rFonts w:asciiTheme="majorHAnsi" w:hAnsiTheme="majorHAnsi" w:cs="GillSansMT"/>
          <w:sz w:val="20"/>
          <w:szCs w:val="20"/>
          <w:lang w:val="es-ES"/>
        </w:rPr>
        <w:t xml:space="preserve">Corte de Apelaciones </w:t>
      </w:r>
      <w:r w:rsidR="00B42B24" w:rsidRPr="00F84AB1">
        <w:rPr>
          <w:rFonts w:asciiTheme="majorHAnsi" w:hAnsiTheme="majorHAnsi" w:cs="GillSansMT"/>
          <w:sz w:val="20"/>
          <w:szCs w:val="20"/>
          <w:lang w:val="es-ES"/>
        </w:rPr>
        <w:t>el 31 de julio de 2008.</w:t>
      </w:r>
      <w:r w:rsidRPr="00F84AB1">
        <w:rPr>
          <w:rFonts w:asciiTheme="majorHAnsi" w:hAnsiTheme="majorHAnsi" w:cs="GillSansMT"/>
          <w:sz w:val="20"/>
          <w:szCs w:val="20"/>
          <w:lang w:val="es-ES"/>
        </w:rPr>
        <w:t xml:space="preserve"> </w:t>
      </w:r>
    </w:p>
    <w:p w:rsidR="00C84AAE" w:rsidRPr="00F84AB1" w:rsidRDefault="00C84AAE" w:rsidP="00C64463">
      <w:pPr>
        <w:pStyle w:val="ListParagraph"/>
        <w:jc w:val="both"/>
        <w:rPr>
          <w:rFonts w:asciiTheme="majorHAnsi" w:hAnsiTheme="majorHAnsi" w:cs="GillSansMT"/>
          <w:sz w:val="20"/>
          <w:szCs w:val="20"/>
          <w:lang w:val="es-ES"/>
        </w:rPr>
      </w:pPr>
    </w:p>
    <w:p w:rsidR="003A1D57" w:rsidRPr="00F84AB1" w:rsidRDefault="005E09DE" w:rsidP="005E09D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Refieren que e</w:t>
      </w:r>
      <w:r w:rsidR="00C84AAE" w:rsidRPr="00F84AB1">
        <w:rPr>
          <w:rFonts w:asciiTheme="majorHAnsi" w:hAnsiTheme="majorHAnsi" w:cs="GillSansMT"/>
          <w:sz w:val="20"/>
          <w:szCs w:val="20"/>
          <w:lang w:val="es-ES"/>
        </w:rPr>
        <w:t>l 10</w:t>
      </w:r>
      <w:r w:rsidR="00B42B24" w:rsidRPr="00F84AB1">
        <w:rPr>
          <w:rFonts w:asciiTheme="majorHAnsi" w:hAnsiTheme="majorHAnsi" w:cs="GillSansMT"/>
          <w:sz w:val="20"/>
          <w:szCs w:val="20"/>
          <w:lang w:val="es-ES"/>
        </w:rPr>
        <w:t xml:space="preserve"> de septiembre de 2009, la C</w:t>
      </w:r>
      <w:r w:rsidR="00C84AAE" w:rsidRPr="00F84AB1">
        <w:rPr>
          <w:rFonts w:asciiTheme="majorHAnsi" w:hAnsiTheme="majorHAnsi" w:cs="GillSansMT"/>
          <w:sz w:val="20"/>
          <w:szCs w:val="20"/>
          <w:lang w:val="es-ES"/>
        </w:rPr>
        <w:t xml:space="preserve">orte </w:t>
      </w:r>
      <w:r w:rsidR="00B42B24" w:rsidRPr="00F84AB1">
        <w:rPr>
          <w:rFonts w:asciiTheme="majorHAnsi" w:hAnsiTheme="majorHAnsi" w:cs="GillSansMT"/>
          <w:sz w:val="20"/>
          <w:szCs w:val="20"/>
          <w:lang w:val="es-ES"/>
        </w:rPr>
        <w:t>S</w:t>
      </w:r>
      <w:r w:rsidR="00C84AAE" w:rsidRPr="00F84AB1">
        <w:rPr>
          <w:rFonts w:asciiTheme="majorHAnsi" w:hAnsiTheme="majorHAnsi" w:cs="GillSansMT"/>
          <w:sz w:val="20"/>
          <w:szCs w:val="20"/>
          <w:lang w:val="es-ES"/>
        </w:rPr>
        <w:t>uprema</w:t>
      </w:r>
      <w:r w:rsidR="00B42B24" w:rsidRPr="00F84AB1">
        <w:rPr>
          <w:rFonts w:asciiTheme="majorHAnsi" w:hAnsiTheme="majorHAnsi" w:cs="GillSansMT"/>
          <w:sz w:val="20"/>
          <w:szCs w:val="20"/>
          <w:lang w:val="es-ES"/>
        </w:rPr>
        <w:t>, conociend</w:t>
      </w:r>
      <w:r w:rsidR="00FB5AA0" w:rsidRPr="00F84AB1">
        <w:rPr>
          <w:rFonts w:asciiTheme="majorHAnsi" w:hAnsiTheme="majorHAnsi" w:cs="GillSansMT"/>
          <w:sz w:val="20"/>
          <w:szCs w:val="20"/>
          <w:lang w:val="es-ES"/>
        </w:rPr>
        <w:t>o los recursos de casación</w:t>
      </w:r>
      <w:r w:rsidR="00B42B24" w:rsidRPr="00F84AB1">
        <w:rPr>
          <w:rFonts w:asciiTheme="majorHAnsi" w:hAnsiTheme="majorHAnsi" w:cs="GillSansMT"/>
          <w:sz w:val="20"/>
          <w:szCs w:val="20"/>
          <w:lang w:val="es-ES"/>
        </w:rPr>
        <w:t>, invalid</w:t>
      </w:r>
      <w:r w:rsidRPr="00F84AB1">
        <w:rPr>
          <w:rFonts w:asciiTheme="majorHAnsi" w:hAnsiTheme="majorHAnsi" w:cs="GillSansMT"/>
          <w:sz w:val="20"/>
          <w:szCs w:val="20"/>
          <w:lang w:val="es-ES"/>
        </w:rPr>
        <w:t>ó</w:t>
      </w:r>
      <w:r w:rsidR="00B42B24" w:rsidRPr="00F84AB1">
        <w:rPr>
          <w:rFonts w:asciiTheme="majorHAnsi" w:hAnsiTheme="majorHAnsi" w:cs="GillSansMT"/>
          <w:sz w:val="20"/>
          <w:szCs w:val="20"/>
          <w:lang w:val="es-ES"/>
        </w:rPr>
        <w:t xml:space="preserve"> de oficio la sentencia,</w:t>
      </w:r>
      <w:r w:rsidR="00822267" w:rsidRPr="00F84AB1">
        <w:rPr>
          <w:rFonts w:asciiTheme="majorHAnsi" w:hAnsiTheme="majorHAnsi" w:cs="GillSansMT"/>
          <w:sz w:val="20"/>
          <w:szCs w:val="20"/>
          <w:lang w:val="es-ES"/>
        </w:rPr>
        <w:t xml:space="preserve"> y</w:t>
      </w:r>
      <w:r w:rsidR="00B42B24" w:rsidRPr="00F84AB1">
        <w:rPr>
          <w:rFonts w:asciiTheme="majorHAnsi" w:hAnsiTheme="majorHAnsi" w:cs="GillSansMT"/>
          <w:sz w:val="20"/>
          <w:szCs w:val="20"/>
          <w:lang w:val="es-ES"/>
        </w:rPr>
        <w:t xml:space="preserve"> dictó sentencia de reemplazo</w:t>
      </w:r>
      <w:r w:rsidRPr="00F84AB1">
        <w:rPr>
          <w:rFonts w:asciiTheme="majorHAnsi" w:hAnsiTheme="majorHAnsi" w:cs="GillSansMT"/>
          <w:sz w:val="20"/>
          <w:szCs w:val="20"/>
          <w:lang w:val="es-ES"/>
        </w:rPr>
        <w:t xml:space="preserve">, </w:t>
      </w:r>
      <w:r w:rsidR="00B42B24" w:rsidRPr="00F84AB1">
        <w:rPr>
          <w:rFonts w:asciiTheme="majorHAnsi" w:hAnsiTheme="majorHAnsi" w:cs="GillSansMT"/>
          <w:sz w:val="20"/>
          <w:szCs w:val="20"/>
          <w:lang w:val="es-ES"/>
        </w:rPr>
        <w:t>aplic</w:t>
      </w:r>
      <w:r w:rsidR="00EB1347" w:rsidRPr="00F84AB1">
        <w:rPr>
          <w:rFonts w:asciiTheme="majorHAnsi" w:hAnsiTheme="majorHAnsi" w:cs="GillSansMT"/>
          <w:sz w:val="20"/>
          <w:szCs w:val="20"/>
          <w:lang w:val="es-ES"/>
        </w:rPr>
        <w:t>ando</w:t>
      </w:r>
      <w:r w:rsidR="00B42B24" w:rsidRPr="00F84AB1">
        <w:rPr>
          <w:rFonts w:asciiTheme="majorHAnsi" w:hAnsiTheme="majorHAnsi" w:cs="GillSansMT"/>
          <w:sz w:val="20"/>
          <w:szCs w:val="20"/>
          <w:lang w:val="es-ES"/>
        </w:rPr>
        <w:t xml:space="preserve"> el beneficio de la prescripción gradual, como consecuencia de lo cual ninguno de los condenados fue privado de libertad por dicha causa</w:t>
      </w:r>
      <w:r w:rsidR="00EB1347" w:rsidRPr="00F84AB1">
        <w:rPr>
          <w:rFonts w:asciiTheme="majorHAnsi" w:hAnsiTheme="majorHAnsi" w:cs="GillSansMT"/>
          <w:sz w:val="20"/>
          <w:szCs w:val="20"/>
          <w:lang w:val="es-ES"/>
        </w:rPr>
        <w:t>, quedando Juan Manuel Contreras condenado a cinco años de presidio</w:t>
      </w:r>
      <w:r w:rsidR="00AB1215" w:rsidRPr="00F84AB1">
        <w:rPr>
          <w:rFonts w:asciiTheme="majorHAnsi" w:hAnsiTheme="majorHAnsi" w:cs="GillSansMT"/>
          <w:sz w:val="20"/>
          <w:szCs w:val="20"/>
          <w:lang w:val="es-ES"/>
        </w:rPr>
        <w:t xml:space="preserve"> con beneficio de libertad vigilada</w:t>
      </w:r>
      <w:r w:rsidR="00EB1347" w:rsidRPr="00F84AB1">
        <w:rPr>
          <w:rFonts w:asciiTheme="majorHAnsi" w:hAnsiTheme="majorHAnsi" w:cs="GillSansMT"/>
          <w:sz w:val="20"/>
          <w:szCs w:val="20"/>
          <w:lang w:val="es-ES"/>
        </w:rPr>
        <w:t>, y los demás condenados a tres años de presidio</w:t>
      </w:r>
      <w:r w:rsidR="00AB1215" w:rsidRPr="00F84AB1">
        <w:rPr>
          <w:rFonts w:asciiTheme="majorHAnsi" w:hAnsiTheme="majorHAnsi" w:cs="GillSansMT"/>
          <w:sz w:val="20"/>
          <w:szCs w:val="20"/>
          <w:lang w:val="es-ES"/>
        </w:rPr>
        <w:t>, con beneficio de remisión condicional de la pena</w:t>
      </w:r>
      <w:r w:rsidR="00B42B24" w:rsidRPr="00F84AB1">
        <w:rPr>
          <w:rFonts w:asciiTheme="majorHAnsi" w:hAnsiTheme="majorHAnsi" w:cs="GillSansMT"/>
          <w:sz w:val="20"/>
          <w:szCs w:val="20"/>
          <w:lang w:val="es-ES"/>
        </w:rPr>
        <w:t>.</w:t>
      </w:r>
    </w:p>
    <w:p w:rsidR="007F5385" w:rsidRPr="00F84AB1" w:rsidRDefault="007F5385" w:rsidP="00C6446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b/>
          <w:sz w:val="20"/>
          <w:szCs w:val="20"/>
          <w:lang w:val="es-ES"/>
        </w:rPr>
      </w:pPr>
    </w:p>
    <w:p w:rsidR="003A1D57" w:rsidRPr="00F84AB1" w:rsidRDefault="00F04122" w:rsidP="00331369">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Theme="majorHAnsi" w:hAnsiTheme="majorHAnsi" w:cs="GillSansMT"/>
          <w:b/>
          <w:sz w:val="20"/>
          <w:szCs w:val="20"/>
          <w:lang w:val="es-ES"/>
        </w:rPr>
      </w:pPr>
      <w:r w:rsidRPr="00F84AB1">
        <w:rPr>
          <w:rFonts w:asciiTheme="majorHAnsi" w:hAnsiTheme="majorHAnsi" w:cs="GillSansMT"/>
          <w:b/>
          <w:sz w:val="20"/>
          <w:szCs w:val="20"/>
          <w:lang w:val="es-ES"/>
        </w:rPr>
        <w:t>Caso de Cecilia Miguelina Bojanic Abad y Flavio Arquímides Oyarzún Soto</w:t>
      </w:r>
      <w:r w:rsidR="00CB44EB" w:rsidRPr="00F84AB1">
        <w:rPr>
          <w:rFonts w:asciiTheme="majorHAnsi" w:hAnsiTheme="majorHAnsi"/>
          <w:sz w:val="20"/>
          <w:szCs w:val="20"/>
          <w:lang w:val="es-ES"/>
        </w:rPr>
        <w:t xml:space="preserve"> </w:t>
      </w:r>
      <w:r w:rsidR="00CB44EB" w:rsidRPr="00F84AB1">
        <w:rPr>
          <w:rFonts w:asciiTheme="majorHAnsi" w:hAnsiTheme="majorHAnsi" w:cs="GillSansMT"/>
          <w:b/>
          <w:sz w:val="20"/>
          <w:szCs w:val="20"/>
          <w:lang w:val="es-ES"/>
        </w:rPr>
        <w:t>y familiares</w:t>
      </w:r>
    </w:p>
    <w:p w:rsidR="00F04122" w:rsidRPr="00F84AB1" w:rsidRDefault="00F04122"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b/>
          <w:sz w:val="20"/>
          <w:szCs w:val="20"/>
          <w:lang w:val="es-ES"/>
        </w:rPr>
      </w:pPr>
    </w:p>
    <w:p w:rsidR="003A1D57" w:rsidRPr="00F84AB1" w:rsidRDefault="00F45849"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EL 25 de marzo de 2010, los peticionarios remitieron una ampliación de denuncia presentada en favor de</w:t>
      </w:r>
      <w:r w:rsidR="00CC0193" w:rsidRPr="00F84AB1">
        <w:rPr>
          <w:rFonts w:asciiTheme="majorHAnsi" w:hAnsiTheme="majorHAnsi" w:cs="GillSansMT"/>
          <w:sz w:val="20"/>
          <w:szCs w:val="20"/>
          <w:lang w:val="es-ES"/>
        </w:rPr>
        <w:t xml:space="preserve"> Cecilia Miguelina Bojanic Abad y Flavio Arquímides Oyarzún Soto</w:t>
      </w:r>
      <w:r w:rsidR="009711CB" w:rsidRPr="00F84AB1">
        <w:rPr>
          <w:rFonts w:asciiTheme="majorHAnsi" w:hAnsiTheme="majorHAnsi" w:cs="GillSansMT"/>
          <w:sz w:val="20"/>
          <w:szCs w:val="20"/>
          <w:lang w:val="es-ES"/>
        </w:rPr>
        <w:t xml:space="preserve"> y sus familiares</w:t>
      </w:r>
      <w:r w:rsidR="00355DBB" w:rsidRPr="00F84AB1">
        <w:rPr>
          <w:rFonts w:asciiTheme="majorHAnsi" w:hAnsiTheme="majorHAnsi" w:cs="GillSansMT"/>
          <w:sz w:val="20"/>
          <w:szCs w:val="20"/>
          <w:lang w:val="es-ES"/>
        </w:rPr>
        <w:t>.</w:t>
      </w:r>
    </w:p>
    <w:p w:rsidR="00355DBB" w:rsidRPr="00F84AB1" w:rsidRDefault="00355DBB" w:rsidP="00C644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hAnsiTheme="majorHAnsi" w:cs="GillSansMT"/>
          <w:sz w:val="20"/>
          <w:szCs w:val="20"/>
          <w:lang w:val="es-ES"/>
        </w:rPr>
      </w:pPr>
    </w:p>
    <w:p w:rsidR="003D2C18" w:rsidRPr="00F84AB1" w:rsidRDefault="00355DBB"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Los peticionarios indican que </w:t>
      </w:r>
      <w:r w:rsidR="0061772E" w:rsidRPr="00F84AB1">
        <w:rPr>
          <w:rFonts w:asciiTheme="majorHAnsi" w:hAnsiTheme="majorHAnsi" w:cs="GillSansMT"/>
          <w:sz w:val="20"/>
          <w:szCs w:val="20"/>
          <w:lang w:val="es-ES"/>
        </w:rPr>
        <w:t>Cecilia Miguelina Bojanic Abad</w:t>
      </w:r>
      <w:r w:rsidR="00994F7B" w:rsidRPr="00F84AB1">
        <w:rPr>
          <w:rFonts w:asciiTheme="majorHAnsi" w:hAnsiTheme="majorHAnsi" w:cs="GillSansMT"/>
          <w:sz w:val="20"/>
          <w:szCs w:val="20"/>
          <w:lang w:val="es-ES"/>
        </w:rPr>
        <w:t xml:space="preserve">, </w:t>
      </w:r>
      <w:r w:rsidR="00F40524" w:rsidRPr="00F84AB1">
        <w:rPr>
          <w:rFonts w:asciiTheme="majorHAnsi" w:hAnsiTheme="majorHAnsi" w:cs="GillSansMT"/>
          <w:sz w:val="20"/>
          <w:szCs w:val="20"/>
          <w:lang w:val="es-ES"/>
        </w:rPr>
        <w:t xml:space="preserve">quien en esa época era </w:t>
      </w:r>
      <w:r w:rsidR="00994F7B" w:rsidRPr="00F84AB1">
        <w:rPr>
          <w:rFonts w:asciiTheme="majorHAnsi" w:hAnsiTheme="majorHAnsi" w:cs="GillSansMT"/>
          <w:sz w:val="20"/>
          <w:szCs w:val="20"/>
          <w:lang w:val="es-ES"/>
        </w:rPr>
        <w:t>militante del MIR,</w:t>
      </w:r>
      <w:r w:rsidR="0061772E" w:rsidRPr="00F84AB1">
        <w:rPr>
          <w:rFonts w:asciiTheme="majorHAnsi" w:hAnsiTheme="majorHAnsi" w:cs="GillSansMT"/>
          <w:sz w:val="20"/>
          <w:szCs w:val="20"/>
          <w:lang w:val="es-ES"/>
        </w:rPr>
        <w:t xml:space="preserve"> </w:t>
      </w:r>
      <w:r w:rsidR="00F40524" w:rsidRPr="00F84AB1">
        <w:rPr>
          <w:rFonts w:asciiTheme="majorHAnsi" w:hAnsiTheme="majorHAnsi" w:cs="GillSansMT"/>
          <w:sz w:val="20"/>
          <w:szCs w:val="20"/>
          <w:lang w:val="es-ES"/>
        </w:rPr>
        <w:t>y se encontraba embaraza</w:t>
      </w:r>
      <w:r w:rsidR="00CB44EB" w:rsidRPr="00F84AB1">
        <w:rPr>
          <w:rFonts w:asciiTheme="majorHAnsi" w:hAnsiTheme="majorHAnsi" w:cs="GillSansMT"/>
          <w:sz w:val="20"/>
          <w:szCs w:val="20"/>
          <w:lang w:val="es-ES"/>
        </w:rPr>
        <w:t>da</w:t>
      </w:r>
      <w:r w:rsidR="00F40524" w:rsidRPr="00F84AB1">
        <w:rPr>
          <w:rFonts w:asciiTheme="majorHAnsi" w:hAnsiTheme="majorHAnsi" w:cs="GillSansMT"/>
          <w:sz w:val="20"/>
          <w:szCs w:val="20"/>
          <w:lang w:val="es-ES"/>
        </w:rPr>
        <w:t xml:space="preserve"> de cuatro meses, </w:t>
      </w:r>
      <w:r w:rsidR="0061772E" w:rsidRPr="00F84AB1">
        <w:rPr>
          <w:rFonts w:asciiTheme="majorHAnsi" w:hAnsiTheme="majorHAnsi" w:cs="GillSansMT"/>
          <w:sz w:val="20"/>
          <w:szCs w:val="20"/>
          <w:lang w:val="es-ES"/>
        </w:rPr>
        <w:t xml:space="preserve">fue detenida el 2 </w:t>
      </w:r>
      <w:r w:rsidR="00D352EC" w:rsidRPr="00F84AB1">
        <w:rPr>
          <w:rFonts w:asciiTheme="majorHAnsi" w:hAnsiTheme="majorHAnsi" w:cs="GillSansMT"/>
          <w:sz w:val="20"/>
          <w:szCs w:val="20"/>
          <w:lang w:val="es-ES"/>
        </w:rPr>
        <w:t xml:space="preserve">de octubre de 1974 </w:t>
      </w:r>
      <w:r w:rsidR="00592149" w:rsidRPr="00F84AB1">
        <w:rPr>
          <w:rFonts w:asciiTheme="majorHAnsi" w:hAnsiTheme="majorHAnsi" w:cs="GillSansMT"/>
          <w:sz w:val="20"/>
          <w:szCs w:val="20"/>
          <w:lang w:val="es-ES"/>
        </w:rPr>
        <w:t>en su domicilio junto a su hijo de un año, por agentes</w:t>
      </w:r>
      <w:r w:rsidR="007A39FC" w:rsidRPr="00F84AB1">
        <w:rPr>
          <w:rFonts w:asciiTheme="majorHAnsi" w:hAnsiTheme="majorHAnsi" w:cs="GillSansMT"/>
          <w:sz w:val="20"/>
          <w:szCs w:val="20"/>
          <w:lang w:val="es-ES"/>
        </w:rPr>
        <w:t xml:space="preserve"> de la DINA y traslad</w:t>
      </w:r>
      <w:r w:rsidR="006D5E37" w:rsidRPr="00F84AB1">
        <w:rPr>
          <w:rFonts w:asciiTheme="majorHAnsi" w:hAnsiTheme="majorHAnsi" w:cs="GillSansMT"/>
          <w:sz w:val="20"/>
          <w:szCs w:val="20"/>
          <w:lang w:val="es-ES"/>
        </w:rPr>
        <w:t>a</w:t>
      </w:r>
      <w:r w:rsidR="007A39FC" w:rsidRPr="00F84AB1">
        <w:rPr>
          <w:rFonts w:asciiTheme="majorHAnsi" w:hAnsiTheme="majorHAnsi" w:cs="GillSansMT"/>
          <w:sz w:val="20"/>
          <w:szCs w:val="20"/>
          <w:lang w:val="es-ES"/>
        </w:rPr>
        <w:t xml:space="preserve"> a</w:t>
      </w:r>
      <w:r w:rsidR="00592149" w:rsidRPr="00F84AB1">
        <w:rPr>
          <w:rFonts w:asciiTheme="majorHAnsi" w:hAnsiTheme="majorHAnsi" w:cs="GillSansMT"/>
          <w:sz w:val="20"/>
          <w:szCs w:val="20"/>
          <w:lang w:val="es-ES"/>
        </w:rPr>
        <w:t>l domicilio de su hermana</w:t>
      </w:r>
      <w:r w:rsidR="007A39FC" w:rsidRPr="00F84AB1">
        <w:rPr>
          <w:rFonts w:asciiTheme="majorHAnsi" w:hAnsiTheme="majorHAnsi" w:cs="GillSansMT"/>
          <w:sz w:val="20"/>
          <w:szCs w:val="20"/>
          <w:lang w:val="es-ES"/>
        </w:rPr>
        <w:t>,</w:t>
      </w:r>
      <w:r w:rsidR="00592149" w:rsidRPr="00F84AB1">
        <w:rPr>
          <w:rFonts w:asciiTheme="majorHAnsi" w:hAnsiTheme="majorHAnsi" w:cs="GillSansMT"/>
          <w:sz w:val="20"/>
          <w:szCs w:val="20"/>
          <w:lang w:val="es-ES"/>
        </w:rPr>
        <w:t xml:space="preserve"> donde se encontraba su espo</w:t>
      </w:r>
      <w:r w:rsidR="007A39FC" w:rsidRPr="00F84AB1">
        <w:rPr>
          <w:rFonts w:asciiTheme="majorHAnsi" w:hAnsiTheme="majorHAnsi" w:cs="GillSansMT"/>
          <w:sz w:val="20"/>
          <w:szCs w:val="20"/>
          <w:lang w:val="es-ES"/>
        </w:rPr>
        <w:t>so</w:t>
      </w:r>
      <w:r w:rsidR="006D5E37" w:rsidRPr="00F84AB1">
        <w:rPr>
          <w:rFonts w:asciiTheme="majorHAnsi" w:hAnsiTheme="majorHAnsi" w:cs="GillSansMT"/>
          <w:sz w:val="20"/>
          <w:szCs w:val="20"/>
          <w:lang w:val="es-ES"/>
        </w:rPr>
        <w:t>,</w:t>
      </w:r>
      <w:r w:rsidR="007A39FC" w:rsidRPr="00F84AB1">
        <w:rPr>
          <w:rFonts w:asciiTheme="majorHAnsi" w:hAnsiTheme="majorHAnsi" w:cs="GillSansMT"/>
          <w:sz w:val="20"/>
          <w:szCs w:val="20"/>
          <w:lang w:val="es-ES"/>
        </w:rPr>
        <w:t xml:space="preserve"> </w:t>
      </w:r>
      <w:r w:rsidR="006D5E37" w:rsidRPr="00F84AB1">
        <w:rPr>
          <w:rFonts w:asciiTheme="majorHAnsi" w:hAnsiTheme="majorHAnsi" w:cs="GillSansMT"/>
          <w:sz w:val="20"/>
          <w:szCs w:val="20"/>
          <w:lang w:val="es-ES"/>
        </w:rPr>
        <w:t>Flavio Arquímides Oyarzún Soto.</w:t>
      </w:r>
      <w:r w:rsidR="00592149" w:rsidRPr="00F84AB1">
        <w:rPr>
          <w:rFonts w:asciiTheme="majorHAnsi" w:hAnsiTheme="majorHAnsi" w:cs="GillSansMT"/>
          <w:sz w:val="20"/>
          <w:szCs w:val="20"/>
          <w:lang w:val="es-ES"/>
        </w:rPr>
        <w:t xml:space="preserve"> </w:t>
      </w:r>
      <w:r w:rsidR="007A39FC" w:rsidRPr="00F84AB1">
        <w:rPr>
          <w:rFonts w:asciiTheme="majorHAnsi" w:hAnsiTheme="majorHAnsi" w:cs="GillSansMT"/>
          <w:sz w:val="20"/>
          <w:szCs w:val="20"/>
          <w:lang w:val="es-ES"/>
        </w:rPr>
        <w:t>Indican que</w:t>
      </w:r>
      <w:r w:rsidR="00592149" w:rsidRPr="00F84AB1">
        <w:rPr>
          <w:rFonts w:asciiTheme="majorHAnsi" w:hAnsiTheme="majorHAnsi" w:cs="GillSansMT"/>
          <w:sz w:val="20"/>
          <w:szCs w:val="20"/>
          <w:lang w:val="es-ES"/>
        </w:rPr>
        <w:t xml:space="preserve"> ambos fueron conducidos</w:t>
      </w:r>
      <w:r w:rsidR="009613D2" w:rsidRPr="00F84AB1">
        <w:rPr>
          <w:rFonts w:asciiTheme="majorHAnsi" w:hAnsiTheme="majorHAnsi" w:cs="GillSansMT"/>
          <w:sz w:val="20"/>
          <w:szCs w:val="20"/>
          <w:lang w:val="es-ES"/>
        </w:rPr>
        <w:t>, sin que existiera orden de detención,</w:t>
      </w:r>
      <w:r w:rsidR="00592149" w:rsidRPr="00F84AB1">
        <w:rPr>
          <w:rFonts w:asciiTheme="majorHAnsi" w:hAnsiTheme="majorHAnsi" w:cs="GillSansMT"/>
          <w:sz w:val="20"/>
          <w:szCs w:val="20"/>
          <w:lang w:val="es-ES"/>
        </w:rPr>
        <w:t xml:space="preserve"> al centro de detención clandestino conocido como “Ollahue” o “José Domingo Cañas”</w:t>
      </w:r>
      <w:r w:rsidR="009613D2" w:rsidRPr="00F84AB1">
        <w:rPr>
          <w:rFonts w:asciiTheme="majorHAnsi" w:hAnsiTheme="majorHAnsi" w:cs="GillSansMT"/>
          <w:sz w:val="20"/>
          <w:szCs w:val="20"/>
          <w:lang w:val="es-ES"/>
        </w:rPr>
        <w:t>,</w:t>
      </w:r>
      <w:r w:rsidR="00592149" w:rsidRPr="00F84AB1">
        <w:rPr>
          <w:rFonts w:asciiTheme="majorHAnsi" w:hAnsiTheme="majorHAnsi" w:cs="GillSansMT"/>
          <w:sz w:val="20"/>
          <w:szCs w:val="20"/>
          <w:lang w:val="es-ES"/>
        </w:rPr>
        <w:t xml:space="preserve"> y luego al centro “Cuatro Álamos”</w:t>
      </w:r>
      <w:r w:rsidR="009613D2" w:rsidRPr="00F84AB1">
        <w:rPr>
          <w:rFonts w:asciiTheme="majorHAnsi" w:hAnsiTheme="majorHAnsi" w:cs="GillSansMT"/>
          <w:sz w:val="20"/>
          <w:szCs w:val="20"/>
          <w:lang w:val="es-ES"/>
        </w:rPr>
        <w:t>,</w:t>
      </w:r>
      <w:r w:rsidR="00012631" w:rsidRPr="00F84AB1">
        <w:rPr>
          <w:rFonts w:asciiTheme="majorHAnsi" w:hAnsiTheme="majorHAnsi" w:cs="GillSansMT"/>
          <w:sz w:val="20"/>
          <w:szCs w:val="20"/>
          <w:lang w:val="es-ES"/>
        </w:rPr>
        <w:t xml:space="preserve"> </w:t>
      </w:r>
      <w:r w:rsidR="003D2C18" w:rsidRPr="00F84AB1">
        <w:rPr>
          <w:rFonts w:asciiTheme="majorHAnsi" w:hAnsiTheme="majorHAnsi" w:cs="GillSansMT"/>
          <w:sz w:val="20"/>
          <w:szCs w:val="20"/>
          <w:lang w:val="es-ES"/>
        </w:rPr>
        <w:t>y d</w:t>
      </w:r>
      <w:r w:rsidR="00592149" w:rsidRPr="00F84AB1">
        <w:rPr>
          <w:rFonts w:asciiTheme="majorHAnsi" w:hAnsiTheme="majorHAnsi" w:cs="GillSansMT"/>
          <w:sz w:val="20"/>
          <w:szCs w:val="20"/>
          <w:lang w:val="es-ES"/>
        </w:rPr>
        <w:t>esde en</w:t>
      </w:r>
      <w:r w:rsidR="004D5134" w:rsidRPr="00F84AB1">
        <w:rPr>
          <w:rFonts w:asciiTheme="majorHAnsi" w:hAnsiTheme="majorHAnsi" w:cs="GillSansMT"/>
          <w:sz w:val="20"/>
          <w:szCs w:val="20"/>
          <w:lang w:val="es-ES"/>
        </w:rPr>
        <w:t>tonces se desconoce su paradero.</w:t>
      </w:r>
    </w:p>
    <w:p w:rsidR="004D5134" w:rsidRPr="00F84AB1" w:rsidRDefault="004D5134" w:rsidP="00C64463">
      <w:pPr>
        <w:pStyle w:val="ListParagraph"/>
        <w:jc w:val="both"/>
        <w:rPr>
          <w:rFonts w:asciiTheme="majorHAnsi" w:hAnsiTheme="majorHAnsi" w:cs="GillSansMT"/>
          <w:sz w:val="20"/>
          <w:szCs w:val="20"/>
          <w:lang w:val="es-ES"/>
        </w:rPr>
      </w:pPr>
    </w:p>
    <w:p w:rsidR="00ED206C" w:rsidRPr="00F84AB1" w:rsidRDefault="00D352EC"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Señalan</w:t>
      </w:r>
      <w:r w:rsidR="004D5134" w:rsidRPr="00F84AB1">
        <w:rPr>
          <w:rFonts w:asciiTheme="majorHAnsi" w:hAnsiTheme="majorHAnsi" w:cs="GillSansMT"/>
          <w:sz w:val="20"/>
          <w:szCs w:val="20"/>
          <w:lang w:val="es-ES"/>
        </w:rPr>
        <w:t xml:space="preserve"> que el 14 de octubre de 1974 se interpuso un recurso de amparo por los </w:t>
      </w:r>
      <w:r w:rsidR="0036642E" w:rsidRPr="00F84AB1">
        <w:rPr>
          <w:rFonts w:asciiTheme="majorHAnsi" w:hAnsiTheme="majorHAnsi" w:cs="GillSansMT"/>
          <w:sz w:val="20"/>
          <w:szCs w:val="20"/>
          <w:lang w:val="es-ES"/>
        </w:rPr>
        <w:t>afectados</w:t>
      </w:r>
      <w:r w:rsidR="004D5134" w:rsidRPr="00F84AB1">
        <w:rPr>
          <w:rFonts w:asciiTheme="majorHAnsi" w:hAnsiTheme="majorHAnsi" w:cs="GillSansMT"/>
          <w:sz w:val="20"/>
          <w:szCs w:val="20"/>
          <w:lang w:val="es-ES"/>
        </w:rPr>
        <w:t xml:space="preserve">, ante la Corte de Apelaciones de Santiago, el cual fue rechazado </w:t>
      </w:r>
      <w:r w:rsidR="006D5E37" w:rsidRPr="00F84AB1">
        <w:rPr>
          <w:rFonts w:asciiTheme="majorHAnsi" w:hAnsiTheme="majorHAnsi" w:cs="GillSansMT"/>
          <w:sz w:val="20"/>
          <w:szCs w:val="20"/>
          <w:lang w:val="es-ES"/>
        </w:rPr>
        <w:t>el</w:t>
      </w:r>
      <w:r w:rsidR="004D5134" w:rsidRPr="00F84AB1">
        <w:rPr>
          <w:rFonts w:asciiTheme="majorHAnsi" w:hAnsiTheme="majorHAnsi" w:cs="GillSansMT"/>
          <w:sz w:val="20"/>
          <w:szCs w:val="20"/>
          <w:lang w:val="es-ES"/>
        </w:rPr>
        <w:t xml:space="preserve"> 21</w:t>
      </w:r>
      <w:r w:rsidR="006D5E37" w:rsidRPr="00F84AB1">
        <w:rPr>
          <w:rFonts w:asciiTheme="majorHAnsi" w:hAnsiTheme="majorHAnsi" w:cs="GillSansMT"/>
          <w:sz w:val="20"/>
          <w:szCs w:val="20"/>
          <w:lang w:val="es-ES"/>
        </w:rPr>
        <w:t>de noviembre de ese a</w:t>
      </w:r>
      <w:r w:rsidR="006D5E37" w:rsidRPr="00F84AB1">
        <w:rPr>
          <w:rFonts w:asciiTheme="majorHAnsi" w:hAnsiTheme="majorHAnsi"/>
          <w:sz w:val="20"/>
          <w:szCs w:val="20"/>
          <w:lang w:val="es-ES"/>
        </w:rPr>
        <w:t>ño. Luego refieren que se interpuso el 21 de agosto de 1975 un nuevo recurso de amparo en favo</w:t>
      </w:r>
      <w:r w:rsidR="004E2483" w:rsidRPr="00F84AB1">
        <w:rPr>
          <w:rFonts w:asciiTheme="majorHAnsi" w:hAnsiTheme="majorHAnsi"/>
          <w:sz w:val="20"/>
          <w:szCs w:val="20"/>
          <w:lang w:val="es-ES"/>
        </w:rPr>
        <w:t xml:space="preserve">r del matrimonio, el cual fue rechazado en 1 de septiembre de 1975. </w:t>
      </w:r>
      <w:r w:rsidR="00ED206C" w:rsidRPr="00F84AB1">
        <w:rPr>
          <w:rFonts w:asciiTheme="majorHAnsi" w:hAnsiTheme="majorHAnsi"/>
          <w:sz w:val="20"/>
          <w:szCs w:val="20"/>
          <w:lang w:val="es-ES"/>
        </w:rPr>
        <w:t xml:space="preserve">En 10 </w:t>
      </w:r>
      <w:r w:rsidR="004D5134" w:rsidRPr="00F84AB1">
        <w:rPr>
          <w:rFonts w:asciiTheme="majorHAnsi" w:hAnsiTheme="majorHAnsi" w:cs="GillSansMT"/>
          <w:sz w:val="20"/>
          <w:szCs w:val="20"/>
          <w:lang w:val="es-ES"/>
        </w:rPr>
        <w:t xml:space="preserve">de </w:t>
      </w:r>
      <w:r w:rsidR="00ED206C" w:rsidRPr="00F84AB1">
        <w:rPr>
          <w:rFonts w:asciiTheme="majorHAnsi" w:hAnsiTheme="majorHAnsi" w:cs="GillSansMT"/>
          <w:sz w:val="20"/>
          <w:szCs w:val="20"/>
          <w:lang w:val="es-ES"/>
        </w:rPr>
        <w:t>julio d</w:t>
      </w:r>
      <w:r w:rsidR="004D5134" w:rsidRPr="00F84AB1">
        <w:rPr>
          <w:rFonts w:asciiTheme="majorHAnsi" w:hAnsiTheme="majorHAnsi" w:cs="GillSansMT"/>
          <w:sz w:val="20"/>
          <w:szCs w:val="20"/>
          <w:lang w:val="es-ES"/>
        </w:rPr>
        <w:t xml:space="preserve">e 1975, sus familiares presentaron denuncia </w:t>
      </w:r>
      <w:r w:rsidR="00ED206C" w:rsidRPr="00F84AB1">
        <w:rPr>
          <w:rFonts w:asciiTheme="majorHAnsi" w:hAnsiTheme="majorHAnsi" w:cs="GillSansMT"/>
          <w:sz w:val="20"/>
          <w:szCs w:val="20"/>
          <w:lang w:val="es-ES"/>
        </w:rPr>
        <w:t xml:space="preserve">por </w:t>
      </w:r>
      <w:r w:rsidR="006F3E4A" w:rsidRPr="00F84AB1">
        <w:rPr>
          <w:rFonts w:asciiTheme="majorHAnsi" w:hAnsiTheme="majorHAnsi" w:cs="GillSansMT"/>
          <w:sz w:val="20"/>
          <w:szCs w:val="20"/>
          <w:lang w:val="es-ES"/>
        </w:rPr>
        <w:t>“</w:t>
      </w:r>
      <w:r w:rsidR="00ED206C" w:rsidRPr="00F84AB1">
        <w:rPr>
          <w:rFonts w:asciiTheme="majorHAnsi" w:hAnsiTheme="majorHAnsi" w:cs="GillSansMT"/>
          <w:sz w:val="20"/>
          <w:szCs w:val="20"/>
          <w:lang w:val="es-ES"/>
        </w:rPr>
        <w:t>presunta desgracia</w:t>
      </w:r>
      <w:r w:rsidR="006F3E4A" w:rsidRPr="00F84AB1">
        <w:rPr>
          <w:rFonts w:asciiTheme="majorHAnsi" w:hAnsiTheme="majorHAnsi" w:cs="GillSansMT"/>
          <w:sz w:val="20"/>
          <w:szCs w:val="20"/>
          <w:lang w:val="es-ES"/>
        </w:rPr>
        <w:t>”</w:t>
      </w:r>
      <w:r w:rsidR="00ED206C" w:rsidRPr="00F84AB1">
        <w:rPr>
          <w:rFonts w:asciiTheme="majorHAnsi" w:hAnsiTheme="majorHAnsi" w:cs="GillSansMT"/>
          <w:sz w:val="20"/>
          <w:szCs w:val="20"/>
          <w:lang w:val="es-ES"/>
        </w:rPr>
        <w:t xml:space="preserve"> </w:t>
      </w:r>
      <w:r w:rsidR="004D5134" w:rsidRPr="00F84AB1">
        <w:rPr>
          <w:rFonts w:asciiTheme="majorHAnsi" w:hAnsiTheme="majorHAnsi" w:cs="GillSansMT"/>
          <w:sz w:val="20"/>
          <w:szCs w:val="20"/>
          <w:lang w:val="es-ES"/>
        </w:rPr>
        <w:t>ante el 4 Ju</w:t>
      </w:r>
      <w:r w:rsidR="00ED206C" w:rsidRPr="00F84AB1">
        <w:rPr>
          <w:rFonts w:asciiTheme="majorHAnsi" w:hAnsiTheme="majorHAnsi" w:cs="GillSansMT"/>
          <w:sz w:val="20"/>
          <w:szCs w:val="20"/>
          <w:lang w:val="es-ES"/>
        </w:rPr>
        <w:t>zgado del Crimen de San Miguel, proceso que indican fue sobreseído temporalmente</w:t>
      </w:r>
      <w:r w:rsidR="004D5134" w:rsidRPr="00F84AB1">
        <w:rPr>
          <w:rFonts w:asciiTheme="majorHAnsi" w:hAnsiTheme="majorHAnsi" w:cs="GillSansMT"/>
          <w:sz w:val="20"/>
          <w:szCs w:val="20"/>
          <w:lang w:val="es-ES"/>
        </w:rPr>
        <w:t xml:space="preserve"> </w:t>
      </w:r>
      <w:r w:rsidR="00ED206C" w:rsidRPr="00F84AB1">
        <w:rPr>
          <w:rFonts w:asciiTheme="majorHAnsi" w:hAnsiTheme="majorHAnsi" w:cs="GillSansMT"/>
          <w:sz w:val="20"/>
          <w:szCs w:val="20"/>
          <w:lang w:val="es-ES"/>
        </w:rPr>
        <w:t xml:space="preserve">30 de abril de 1976. Los peticionarios afirman que </w:t>
      </w:r>
      <w:r w:rsidR="00EE3BE4" w:rsidRPr="00F84AB1">
        <w:rPr>
          <w:rFonts w:asciiTheme="majorHAnsi" w:hAnsiTheme="majorHAnsi" w:cs="GillSansMT"/>
          <w:sz w:val="20"/>
          <w:szCs w:val="20"/>
          <w:lang w:val="es-ES"/>
        </w:rPr>
        <w:t xml:space="preserve">la Corte de Apelaciones rechazó el sobreseimiento, reestableciendo la causa a estado sumario. Señalan que el 2 de septiembre de 1977 </w:t>
      </w:r>
      <w:r w:rsidR="00741182" w:rsidRPr="00F84AB1">
        <w:rPr>
          <w:rFonts w:asciiTheme="majorHAnsi" w:hAnsiTheme="majorHAnsi" w:cs="GillSansMT"/>
          <w:sz w:val="20"/>
          <w:szCs w:val="20"/>
          <w:lang w:val="es-ES"/>
        </w:rPr>
        <w:t xml:space="preserve">la causa </w:t>
      </w:r>
      <w:r w:rsidR="00EE3BE4" w:rsidRPr="00F84AB1">
        <w:rPr>
          <w:rFonts w:asciiTheme="majorHAnsi" w:hAnsiTheme="majorHAnsi" w:cs="GillSansMT"/>
          <w:sz w:val="20"/>
          <w:szCs w:val="20"/>
          <w:lang w:val="es-ES"/>
        </w:rPr>
        <w:t>fue nuevamente sobreseída</w:t>
      </w:r>
      <w:r w:rsidR="0015623E" w:rsidRPr="00F84AB1">
        <w:rPr>
          <w:rFonts w:asciiTheme="majorHAnsi" w:hAnsiTheme="majorHAnsi" w:cs="GillSansMT"/>
          <w:sz w:val="20"/>
          <w:szCs w:val="20"/>
          <w:lang w:val="es-ES"/>
        </w:rPr>
        <w:t xml:space="preserve">, aprobando la Corte dicho sobreseimiento. Así, refieren que el 11 de julio de 1996, la CNRR solicito la reapertura del sumario, reiniciándose la investigación. </w:t>
      </w:r>
      <w:r w:rsidR="002A4C7A" w:rsidRPr="00F84AB1">
        <w:rPr>
          <w:rFonts w:asciiTheme="majorHAnsi" w:hAnsiTheme="majorHAnsi" w:cs="GillSansMT"/>
          <w:sz w:val="20"/>
          <w:szCs w:val="20"/>
          <w:lang w:val="es-ES"/>
        </w:rPr>
        <w:t>Alegan que posteriormente, el hijo de las presuntas víctimas</w:t>
      </w:r>
      <w:r w:rsidR="00FF050B" w:rsidRPr="00F84AB1">
        <w:rPr>
          <w:rFonts w:asciiTheme="majorHAnsi" w:hAnsiTheme="majorHAnsi" w:cs="GillSansMT"/>
          <w:sz w:val="20"/>
          <w:szCs w:val="20"/>
          <w:lang w:val="es-ES"/>
        </w:rPr>
        <w:t>,</w:t>
      </w:r>
      <w:r w:rsidR="002A4C7A" w:rsidRPr="00F84AB1">
        <w:rPr>
          <w:rFonts w:asciiTheme="majorHAnsi" w:hAnsiTheme="majorHAnsi" w:cs="GillSansMT"/>
          <w:sz w:val="20"/>
          <w:szCs w:val="20"/>
          <w:lang w:val="es-ES"/>
        </w:rPr>
        <w:t xml:space="preserve"> representado </w:t>
      </w:r>
      <w:r w:rsidR="00971F3E" w:rsidRPr="00F84AB1">
        <w:rPr>
          <w:rFonts w:asciiTheme="majorHAnsi" w:hAnsiTheme="majorHAnsi" w:cs="GillSansMT"/>
          <w:sz w:val="20"/>
          <w:szCs w:val="20"/>
          <w:lang w:val="es-ES"/>
        </w:rPr>
        <w:t>por el Jefe del PDH, interpuso querella por secuestro y otros delitos cometidos contra sus padres, la que se acumuló al proceso en tramitación.</w:t>
      </w:r>
      <w:r w:rsidR="00F423FE" w:rsidRPr="00F84AB1">
        <w:rPr>
          <w:rFonts w:asciiTheme="majorHAnsi" w:hAnsiTheme="majorHAnsi" w:cs="GillSansMT"/>
          <w:sz w:val="20"/>
          <w:szCs w:val="20"/>
          <w:lang w:val="es-ES"/>
        </w:rPr>
        <w:t xml:space="preserve"> Indican que igualmente, el 29 de agosto de 2001, el Subsecretario del Interior, en calidad </w:t>
      </w:r>
      <w:r w:rsidR="00F63EC4" w:rsidRPr="00F84AB1">
        <w:rPr>
          <w:rFonts w:asciiTheme="majorHAnsi" w:hAnsiTheme="majorHAnsi" w:cs="GillSansMT"/>
          <w:sz w:val="20"/>
          <w:szCs w:val="20"/>
          <w:lang w:val="es-ES"/>
        </w:rPr>
        <w:t>de superior jerárquico del PDH, se hizo parte coadyuvante en la causa.</w:t>
      </w:r>
    </w:p>
    <w:p w:rsidR="0047191B" w:rsidRPr="00F84AB1" w:rsidRDefault="0047191B"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cs="GillSansMT"/>
          <w:sz w:val="20"/>
          <w:szCs w:val="20"/>
          <w:lang w:val="es-ES"/>
        </w:rPr>
      </w:pPr>
    </w:p>
    <w:p w:rsidR="003A1D57" w:rsidRPr="00F84AB1" w:rsidRDefault="0047191B"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Arial"/>
          <w:color w:val="943634" w:themeColor="accent2" w:themeShade="BF"/>
          <w:sz w:val="20"/>
          <w:szCs w:val="20"/>
          <w:lang w:val="es-ES"/>
        </w:rPr>
      </w:pPr>
      <w:r w:rsidRPr="00F84AB1">
        <w:rPr>
          <w:rFonts w:asciiTheme="majorHAnsi" w:hAnsiTheme="majorHAnsi" w:cs="GillSansMT"/>
          <w:sz w:val="20"/>
          <w:szCs w:val="20"/>
          <w:lang w:val="es-ES"/>
        </w:rPr>
        <w:t>Los peticionarios señalan que en el año 2001 se designó a la magistrad</w:t>
      </w:r>
      <w:r w:rsidR="001E0DC3" w:rsidRPr="00F84AB1">
        <w:rPr>
          <w:rFonts w:asciiTheme="majorHAnsi" w:hAnsiTheme="majorHAnsi" w:cs="GillSansMT"/>
          <w:sz w:val="20"/>
          <w:szCs w:val="20"/>
          <w:lang w:val="es-ES"/>
        </w:rPr>
        <w:t>a</w:t>
      </w:r>
      <w:r w:rsidRPr="00F84AB1">
        <w:rPr>
          <w:rFonts w:asciiTheme="majorHAnsi" w:hAnsiTheme="majorHAnsi" w:cs="GillSansMT"/>
          <w:sz w:val="20"/>
          <w:szCs w:val="20"/>
          <w:lang w:val="es-ES"/>
        </w:rPr>
        <w:t xml:space="preserve"> </w:t>
      </w:r>
      <w:r w:rsidR="001E0DC3" w:rsidRPr="00F84AB1">
        <w:rPr>
          <w:rFonts w:asciiTheme="majorHAnsi" w:hAnsiTheme="majorHAnsi" w:cs="GillSansMT"/>
          <w:sz w:val="20"/>
          <w:szCs w:val="20"/>
          <w:lang w:val="es-ES"/>
        </w:rPr>
        <w:t>d</w:t>
      </w:r>
      <w:r w:rsidRPr="00F84AB1">
        <w:rPr>
          <w:rFonts w:asciiTheme="majorHAnsi" w:hAnsiTheme="majorHAnsi" w:cs="GillSansMT"/>
          <w:sz w:val="20"/>
          <w:szCs w:val="20"/>
          <w:lang w:val="es-ES"/>
        </w:rPr>
        <w:t>el 4 Juzgado del Crimen de San Miguel, como jueza con dedicación exclusiva a las causas por violación de derechos humanos en su jurisdicción, situación que incluy</w:t>
      </w:r>
      <w:r w:rsidR="00537C57" w:rsidRPr="00F84AB1">
        <w:rPr>
          <w:rFonts w:asciiTheme="majorHAnsi" w:hAnsiTheme="majorHAnsi" w:cs="GillSansMT"/>
          <w:sz w:val="20"/>
          <w:szCs w:val="20"/>
          <w:lang w:val="es-ES"/>
        </w:rPr>
        <w:t>ó</w:t>
      </w:r>
      <w:r w:rsidRPr="00F84AB1">
        <w:rPr>
          <w:rFonts w:asciiTheme="majorHAnsi" w:hAnsiTheme="majorHAnsi" w:cs="GillSansMT"/>
          <w:sz w:val="20"/>
          <w:szCs w:val="20"/>
          <w:lang w:val="es-ES"/>
        </w:rPr>
        <w:t xml:space="preserve"> este proceso.</w:t>
      </w:r>
      <w:r w:rsidR="009F57ED" w:rsidRPr="00F84AB1">
        <w:rPr>
          <w:rFonts w:asciiTheme="majorHAnsi" w:hAnsiTheme="majorHAnsi" w:cs="GillSansMT"/>
          <w:sz w:val="20"/>
          <w:szCs w:val="20"/>
          <w:lang w:val="es-ES"/>
        </w:rPr>
        <w:t xml:space="preserve"> Refieren que, t</w:t>
      </w:r>
      <w:r w:rsidR="00B073B9" w:rsidRPr="00F84AB1">
        <w:rPr>
          <w:rFonts w:asciiTheme="majorHAnsi" w:hAnsiTheme="majorHAnsi" w:cs="GillSansMT"/>
          <w:sz w:val="20"/>
          <w:szCs w:val="20"/>
          <w:lang w:val="es-ES"/>
        </w:rPr>
        <w:t>ras ello, por incompetencia</w:t>
      </w:r>
      <w:r w:rsidR="009F57ED" w:rsidRPr="00F84AB1">
        <w:rPr>
          <w:rFonts w:asciiTheme="majorHAnsi" w:hAnsiTheme="majorHAnsi" w:cs="GillSansMT"/>
          <w:sz w:val="20"/>
          <w:szCs w:val="20"/>
          <w:lang w:val="es-ES"/>
        </w:rPr>
        <w:t>,</w:t>
      </w:r>
      <w:r w:rsidR="00B073B9" w:rsidRPr="00F84AB1">
        <w:rPr>
          <w:rFonts w:asciiTheme="majorHAnsi" w:hAnsiTheme="majorHAnsi" w:cs="GillSansMT"/>
          <w:sz w:val="20"/>
          <w:szCs w:val="20"/>
          <w:lang w:val="es-ES"/>
        </w:rPr>
        <w:t xml:space="preserve"> el asunto </w:t>
      </w:r>
      <w:r w:rsidR="00756753" w:rsidRPr="00F84AB1">
        <w:rPr>
          <w:rFonts w:asciiTheme="majorHAnsi" w:hAnsiTheme="majorHAnsi" w:cs="GillSansMT"/>
          <w:sz w:val="20"/>
          <w:szCs w:val="20"/>
          <w:lang w:val="es-ES"/>
        </w:rPr>
        <w:t>pasó</w:t>
      </w:r>
      <w:r w:rsidR="00B073B9" w:rsidRPr="00F84AB1">
        <w:rPr>
          <w:rFonts w:asciiTheme="majorHAnsi" w:hAnsiTheme="majorHAnsi" w:cs="GillSansMT"/>
          <w:sz w:val="20"/>
          <w:szCs w:val="20"/>
          <w:lang w:val="es-ES"/>
        </w:rPr>
        <w:t xml:space="preserve"> </w:t>
      </w:r>
      <w:r w:rsidR="007414AE" w:rsidRPr="00F84AB1">
        <w:rPr>
          <w:rFonts w:asciiTheme="majorHAnsi" w:hAnsiTheme="majorHAnsi" w:cs="GillSansMT"/>
          <w:sz w:val="20"/>
          <w:szCs w:val="20"/>
          <w:lang w:val="es-ES"/>
        </w:rPr>
        <w:t>al</w:t>
      </w:r>
      <w:r w:rsidR="00B073B9" w:rsidRPr="00F84AB1">
        <w:rPr>
          <w:rFonts w:asciiTheme="majorHAnsi" w:hAnsiTheme="majorHAnsi" w:cs="GillSansMT"/>
          <w:sz w:val="20"/>
          <w:szCs w:val="20"/>
          <w:lang w:val="es-ES"/>
        </w:rPr>
        <w:t xml:space="preserve"> 8 Juzgado del Crimen de Santiago, juez con dedicación </w:t>
      </w:r>
      <w:r w:rsidR="009F57ED" w:rsidRPr="00F84AB1">
        <w:rPr>
          <w:rFonts w:asciiTheme="majorHAnsi" w:hAnsiTheme="majorHAnsi" w:cs="GillSansMT"/>
          <w:sz w:val="20"/>
          <w:szCs w:val="20"/>
          <w:lang w:val="es-ES"/>
        </w:rPr>
        <w:t xml:space="preserve">exclusiva, y que el 6 de mayo de 2005, la Corte Suprema resolvió que esta investigación y otras pasaran al conocimiento de un Ministro de Corte en calidad de Ministro en Visita Extraordinaria. Con fecha </w:t>
      </w:r>
      <w:r w:rsidR="00F11D45" w:rsidRPr="00F84AB1">
        <w:rPr>
          <w:rFonts w:asciiTheme="majorHAnsi" w:hAnsiTheme="majorHAnsi" w:cs="GillSansMT"/>
          <w:sz w:val="20"/>
          <w:szCs w:val="20"/>
          <w:lang w:val="es-ES"/>
        </w:rPr>
        <w:t>18 de diciembre de 200</w:t>
      </w:r>
      <w:r w:rsidR="009F57ED" w:rsidRPr="00F84AB1">
        <w:rPr>
          <w:rFonts w:asciiTheme="majorHAnsi" w:hAnsiTheme="majorHAnsi" w:cs="GillSansMT"/>
          <w:sz w:val="20"/>
          <w:szCs w:val="20"/>
          <w:lang w:val="es-ES"/>
        </w:rPr>
        <w:t xml:space="preserve">6, indican que se dictó sentencia de primera instancia, </w:t>
      </w:r>
      <w:r w:rsidR="0057417F" w:rsidRPr="00F84AB1">
        <w:rPr>
          <w:rFonts w:asciiTheme="majorHAnsi" w:hAnsiTheme="majorHAnsi" w:cs="GillSansMT"/>
          <w:sz w:val="20"/>
          <w:szCs w:val="20"/>
          <w:lang w:val="es-ES"/>
        </w:rPr>
        <w:t>condenándose a</w:t>
      </w:r>
      <w:r w:rsidR="005B1299" w:rsidRPr="00F84AB1">
        <w:rPr>
          <w:rFonts w:asciiTheme="majorHAnsi" w:hAnsiTheme="majorHAnsi" w:cs="GillSansMT"/>
          <w:sz w:val="20"/>
          <w:szCs w:val="20"/>
          <w:lang w:val="es-ES"/>
        </w:rPr>
        <w:t xml:space="preserve"> cinco militares a las penas de entre 1</w:t>
      </w:r>
      <w:r w:rsidR="0057417F" w:rsidRPr="00F84AB1">
        <w:rPr>
          <w:rFonts w:asciiTheme="majorHAnsi" w:hAnsiTheme="majorHAnsi" w:cs="GillSansMT"/>
          <w:sz w:val="20"/>
          <w:szCs w:val="20"/>
          <w:lang w:val="es-ES"/>
        </w:rPr>
        <w:t>0</w:t>
      </w:r>
      <w:r w:rsidR="005B1299" w:rsidRPr="00F84AB1">
        <w:rPr>
          <w:rFonts w:asciiTheme="majorHAnsi" w:hAnsiTheme="majorHAnsi" w:cs="GillSansMT"/>
          <w:sz w:val="20"/>
          <w:szCs w:val="20"/>
          <w:lang w:val="es-ES"/>
        </w:rPr>
        <w:t xml:space="preserve"> y </w:t>
      </w:r>
      <w:r w:rsidR="00AC6BDB" w:rsidRPr="00F84AB1">
        <w:rPr>
          <w:rFonts w:asciiTheme="majorHAnsi" w:hAnsiTheme="majorHAnsi" w:cs="GillSansMT"/>
          <w:sz w:val="20"/>
          <w:szCs w:val="20"/>
          <w:lang w:val="es-ES"/>
        </w:rPr>
        <w:t>cuatro</w:t>
      </w:r>
      <w:r w:rsidR="005B1299" w:rsidRPr="00F84AB1">
        <w:rPr>
          <w:rFonts w:asciiTheme="majorHAnsi" w:hAnsiTheme="majorHAnsi" w:cs="GillSansMT"/>
          <w:sz w:val="20"/>
          <w:szCs w:val="20"/>
          <w:lang w:val="es-ES"/>
        </w:rPr>
        <w:t xml:space="preserve"> años de prisión</w:t>
      </w:r>
      <w:r w:rsidR="007956B7" w:rsidRPr="00F84AB1">
        <w:rPr>
          <w:rFonts w:asciiTheme="majorHAnsi" w:hAnsiTheme="majorHAnsi" w:cs="GillSansMT"/>
          <w:sz w:val="20"/>
          <w:szCs w:val="20"/>
          <w:lang w:val="es-ES"/>
        </w:rPr>
        <w:t xml:space="preserve"> por su participación en calidad de autores del delito de secuestro calificado</w:t>
      </w:r>
      <w:r w:rsidR="005B1299" w:rsidRPr="00F84AB1">
        <w:rPr>
          <w:rFonts w:asciiTheme="majorHAnsi" w:hAnsiTheme="majorHAnsi" w:cs="GillSansMT"/>
          <w:sz w:val="20"/>
          <w:szCs w:val="20"/>
          <w:lang w:val="es-ES"/>
        </w:rPr>
        <w:t xml:space="preserve">, a un oficial de gendarmería </w:t>
      </w:r>
      <w:r w:rsidR="0057417F" w:rsidRPr="00F84AB1">
        <w:rPr>
          <w:rFonts w:asciiTheme="majorHAnsi" w:hAnsiTheme="majorHAnsi" w:cs="GillSansMT"/>
          <w:sz w:val="20"/>
          <w:szCs w:val="20"/>
          <w:lang w:val="es-ES"/>
        </w:rPr>
        <w:t xml:space="preserve">a </w:t>
      </w:r>
      <w:r w:rsidR="00AC6BDB" w:rsidRPr="00F84AB1">
        <w:rPr>
          <w:rFonts w:asciiTheme="majorHAnsi" w:hAnsiTheme="majorHAnsi" w:cs="GillSansMT"/>
          <w:sz w:val="20"/>
          <w:szCs w:val="20"/>
          <w:lang w:val="es-ES"/>
        </w:rPr>
        <w:t>tres</w:t>
      </w:r>
      <w:r w:rsidR="0057417F" w:rsidRPr="00F84AB1">
        <w:rPr>
          <w:rFonts w:asciiTheme="majorHAnsi" w:hAnsiTheme="majorHAnsi" w:cs="GillSansMT"/>
          <w:sz w:val="20"/>
          <w:szCs w:val="20"/>
          <w:lang w:val="es-ES"/>
        </w:rPr>
        <w:t xml:space="preserve"> años </w:t>
      </w:r>
      <w:r w:rsidR="005B1299" w:rsidRPr="00F84AB1">
        <w:rPr>
          <w:rFonts w:asciiTheme="majorHAnsi" w:hAnsiTheme="majorHAnsi" w:cs="GillSansMT"/>
          <w:sz w:val="20"/>
          <w:szCs w:val="20"/>
          <w:lang w:val="es-ES"/>
        </w:rPr>
        <w:t xml:space="preserve">de prisión en </w:t>
      </w:r>
      <w:r w:rsidR="0057417F" w:rsidRPr="00F84AB1">
        <w:rPr>
          <w:rFonts w:asciiTheme="majorHAnsi" w:hAnsiTheme="majorHAnsi" w:cs="GillSansMT"/>
          <w:sz w:val="20"/>
          <w:szCs w:val="20"/>
          <w:lang w:val="es-ES"/>
        </w:rPr>
        <w:t>calidad de cómplice</w:t>
      </w:r>
      <w:r w:rsidR="005B1299" w:rsidRPr="00F84AB1">
        <w:rPr>
          <w:rFonts w:asciiTheme="majorHAnsi" w:hAnsiTheme="majorHAnsi" w:cs="GillSansMT"/>
          <w:sz w:val="20"/>
          <w:szCs w:val="20"/>
          <w:lang w:val="es-ES"/>
        </w:rPr>
        <w:t>, y a un civil</w:t>
      </w:r>
      <w:r w:rsidR="007956B7" w:rsidRPr="00F84AB1">
        <w:rPr>
          <w:rFonts w:asciiTheme="majorHAnsi" w:hAnsiTheme="majorHAnsi" w:cs="GillSansMT"/>
          <w:sz w:val="20"/>
          <w:szCs w:val="20"/>
          <w:lang w:val="es-ES"/>
        </w:rPr>
        <w:t xml:space="preserve"> en calidad de autor</w:t>
      </w:r>
      <w:r w:rsidR="005B1299" w:rsidRPr="00F84AB1">
        <w:rPr>
          <w:rFonts w:asciiTheme="majorHAnsi" w:hAnsiTheme="majorHAnsi" w:cs="GillSansMT"/>
          <w:sz w:val="20"/>
          <w:szCs w:val="20"/>
          <w:lang w:val="es-ES"/>
        </w:rPr>
        <w:t xml:space="preserve"> a la pena de 10 años de prisión</w:t>
      </w:r>
      <w:r w:rsidR="0057417F" w:rsidRPr="00F84AB1">
        <w:rPr>
          <w:rFonts w:asciiTheme="majorHAnsi" w:hAnsiTheme="majorHAnsi" w:cs="GillSansMT"/>
          <w:sz w:val="20"/>
          <w:szCs w:val="20"/>
          <w:lang w:val="es-ES"/>
        </w:rPr>
        <w:t>.</w:t>
      </w:r>
      <w:r w:rsidR="0039051C" w:rsidRPr="00F84AB1">
        <w:rPr>
          <w:rFonts w:asciiTheme="majorHAnsi" w:hAnsiTheme="majorHAnsi" w:cs="GillSansMT"/>
          <w:sz w:val="20"/>
          <w:szCs w:val="20"/>
          <w:lang w:val="es-ES"/>
        </w:rPr>
        <w:t xml:space="preserve"> Refieren que este fallo no favoreció a los sentenciados con beneficios alternativos.</w:t>
      </w:r>
      <w:r w:rsidR="0057417F" w:rsidRPr="00F84AB1">
        <w:rPr>
          <w:rFonts w:asciiTheme="majorHAnsi" w:hAnsiTheme="majorHAnsi" w:cs="GillSansMT"/>
          <w:sz w:val="20"/>
          <w:szCs w:val="20"/>
          <w:lang w:val="es-ES"/>
        </w:rPr>
        <w:t xml:space="preserve"> </w:t>
      </w:r>
    </w:p>
    <w:p w:rsidR="00480D89" w:rsidRPr="00F84AB1" w:rsidRDefault="00480D89" w:rsidP="00C64463">
      <w:pPr>
        <w:pStyle w:val="ListParagraph"/>
        <w:jc w:val="both"/>
        <w:rPr>
          <w:rFonts w:asciiTheme="majorHAnsi" w:hAnsiTheme="majorHAnsi" w:cs="Arial"/>
          <w:color w:val="943634" w:themeColor="accent2" w:themeShade="BF"/>
          <w:sz w:val="20"/>
          <w:szCs w:val="20"/>
          <w:lang w:val="es-ES"/>
        </w:rPr>
      </w:pPr>
    </w:p>
    <w:p w:rsidR="00480D89" w:rsidRPr="00F84AB1" w:rsidRDefault="00D352EC"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Indican</w:t>
      </w:r>
      <w:r w:rsidR="00480D89" w:rsidRPr="00F84AB1">
        <w:rPr>
          <w:rFonts w:asciiTheme="majorHAnsi" w:hAnsiTheme="majorHAnsi" w:cs="GillSansMT"/>
          <w:sz w:val="20"/>
          <w:szCs w:val="20"/>
          <w:lang w:val="es-ES"/>
        </w:rPr>
        <w:t xml:space="preserve"> que en segunda instancia, la Corte de Apelaciones de Santiago confirmo la sentencia, con fecha 12 de marzo de 2009, salvo lo dispuesto </w:t>
      </w:r>
      <w:r w:rsidR="00FA0EE3" w:rsidRPr="00F84AB1">
        <w:rPr>
          <w:rFonts w:asciiTheme="majorHAnsi" w:hAnsiTheme="majorHAnsi" w:cs="GillSansMT"/>
          <w:sz w:val="20"/>
          <w:szCs w:val="20"/>
          <w:lang w:val="es-ES"/>
        </w:rPr>
        <w:t>respecto de</w:t>
      </w:r>
      <w:r w:rsidR="00F95FCC" w:rsidRPr="00F84AB1">
        <w:rPr>
          <w:rFonts w:asciiTheme="majorHAnsi" w:hAnsiTheme="majorHAnsi" w:cs="GillSansMT"/>
          <w:sz w:val="20"/>
          <w:szCs w:val="20"/>
          <w:lang w:val="es-ES"/>
        </w:rPr>
        <w:t>l civil condenado</w:t>
      </w:r>
      <w:r w:rsidR="00480D89" w:rsidRPr="00F84AB1">
        <w:rPr>
          <w:rFonts w:asciiTheme="majorHAnsi" w:hAnsiTheme="majorHAnsi" w:cs="GillSansMT"/>
          <w:sz w:val="20"/>
          <w:szCs w:val="20"/>
          <w:lang w:val="es-ES"/>
        </w:rPr>
        <w:t xml:space="preserve">, </w:t>
      </w:r>
      <w:r w:rsidR="00FA0EE3" w:rsidRPr="00F84AB1">
        <w:rPr>
          <w:rFonts w:asciiTheme="majorHAnsi" w:hAnsiTheme="majorHAnsi" w:cs="GillSansMT"/>
          <w:sz w:val="20"/>
          <w:szCs w:val="20"/>
          <w:lang w:val="es-ES"/>
        </w:rPr>
        <w:t>atendido su fallecimiento</w:t>
      </w:r>
      <w:r w:rsidR="00451400" w:rsidRPr="00F84AB1">
        <w:rPr>
          <w:rFonts w:asciiTheme="majorHAnsi" w:hAnsiTheme="majorHAnsi" w:cs="GillSansMT"/>
          <w:sz w:val="20"/>
          <w:szCs w:val="20"/>
          <w:lang w:val="es-ES"/>
        </w:rPr>
        <w:t xml:space="preserve">, por lo que no se </w:t>
      </w:r>
      <w:r w:rsidR="00933697" w:rsidRPr="00F84AB1">
        <w:rPr>
          <w:rFonts w:asciiTheme="majorHAnsi" w:hAnsiTheme="majorHAnsi" w:cs="GillSansMT"/>
          <w:sz w:val="20"/>
          <w:szCs w:val="20"/>
          <w:lang w:val="es-ES"/>
        </w:rPr>
        <w:t xml:space="preserve">pronunció </w:t>
      </w:r>
      <w:r w:rsidR="00451400" w:rsidRPr="00F84AB1">
        <w:rPr>
          <w:rFonts w:asciiTheme="majorHAnsi" w:hAnsiTheme="majorHAnsi" w:cs="GillSansMT"/>
          <w:sz w:val="20"/>
          <w:szCs w:val="20"/>
          <w:lang w:val="es-ES"/>
        </w:rPr>
        <w:t>sobre su apelación</w:t>
      </w:r>
      <w:r w:rsidR="007F322C" w:rsidRPr="00F84AB1">
        <w:rPr>
          <w:rFonts w:asciiTheme="majorHAnsi" w:hAnsiTheme="majorHAnsi" w:cs="GillSansMT"/>
          <w:sz w:val="20"/>
          <w:szCs w:val="20"/>
          <w:lang w:val="es-ES"/>
        </w:rPr>
        <w:t>, confirmando el sobreseimiento de este sujeto por la misma razón</w:t>
      </w:r>
      <w:r w:rsidR="00FA0EE3" w:rsidRPr="00F84AB1">
        <w:rPr>
          <w:rFonts w:asciiTheme="majorHAnsi" w:hAnsiTheme="majorHAnsi" w:cs="GillSansMT"/>
          <w:sz w:val="20"/>
          <w:szCs w:val="20"/>
          <w:lang w:val="es-ES"/>
        </w:rPr>
        <w:t>.</w:t>
      </w:r>
    </w:p>
    <w:p w:rsidR="006672A6" w:rsidRPr="00F84AB1" w:rsidRDefault="006672A6" w:rsidP="00C64463">
      <w:pPr>
        <w:pStyle w:val="ListParagraph"/>
        <w:jc w:val="both"/>
        <w:rPr>
          <w:rFonts w:asciiTheme="majorHAnsi" w:hAnsiTheme="majorHAnsi" w:cs="GillSansMT"/>
          <w:sz w:val="20"/>
          <w:szCs w:val="20"/>
          <w:lang w:val="es-ES"/>
        </w:rPr>
      </w:pPr>
    </w:p>
    <w:p w:rsidR="006672A6" w:rsidRPr="00F84AB1" w:rsidRDefault="00D352EC"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Refieren</w:t>
      </w:r>
      <w:r w:rsidR="006672A6" w:rsidRPr="00F84AB1">
        <w:rPr>
          <w:rFonts w:asciiTheme="majorHAnsi" w:hAnsiTheme="majorHAnsi" w:cs="GillSansMT"/>
          <w:sz w:val="20"/>
          <w:szCs w:val="20"/>
          <w:lang w:val="es-ES"/>
        </w:rPr>
        <w:t xml:space="preserve"> que, finalmente el 29 de septiembre de 2009 la Corte Suprema, conociend</w:t>
      </w:r>
      <w:r w:rsidR="00AC6BDB" w:rsidRPr="00F84AB1">
        <w:rPr>
          <w:rFonts w:asciiTheme="majorHAnsi" w:hAnsiTheme="majorHAnsi" w:cs="GillSansMT"/>
          <w:sz w:val="20"/>
          <w:szCs w:val="20"/>
          <w:lang w:val="es-ES"/>
        </w:rPr>
        <w:t>o recursos de casación, invalidó</w:t>
      </w:r>
      <w:r w:rsidR="006672A6" w:rsidRPr="00F84AB1">
        <w:rPr>
          <w:rFonts w:asciiTheme="majorHAnsi" w:hAnsiTheme="majorHAnsi" w:cs="GillSansMT"/>
          <w:sz w:val="20"/>
          <w:szCs w:val="20"/>
          <w:lang w:val="es-ES"/>
        </w:rPr>
        <w:t xml:space="preserve"> de oficio la sentencia por estimar que adolecía de vicios formales, </w:t>
      </w:r>
      <w:r w:rsidR="009972FE" w:rsidRPr="00F84AB1">
        <w:rPr>
          <w:rFonts w:asciiTheme="majorHAnsi" w:hAnsiTheme="majorHAnsi" w:cs="GillSansMT"/>
          <w:sz w:val="20"/>
          <w:szCs w:val="20"/>
          <w:lang w:val="es-ES"/>
        </w:rPr>
        <w:t>y dictó</w:t>
      </w:r>
      <w:r w:rsidR="00D16B25" w:rsidRPr="00F84AB1">
        <w:rPr>
          <w:rFonts w:asciiTheme="majorHAnsi" w:hAnsiTheme="majorHAnsi" w:cs="GillSansMT"/>
          <w:sz w:val="20"/>
          <w:szCs w:val="20"/>
          <w:lang w:val="es-ES"/>
        </w:rPr>
        <w:t xml:space="preserve"> sin nueva vista una sentencia de reemplazo, </w:t>
      </w:r>
      <w:r w:rsidR="00EC6B48" w:rsidRPr="00F84AB1">
        <w:rPr>
          <w:rFonts w:asciiTheme="majorHAnsi" w:hAnsiTheme="majorHAnsi" w:cs="GillSansMT"/>
          <w:sz w:val="20"/>
          <w:szCs w:val="20"/>
          <w:lang w:val="es-ES"/>
        </w:rPr>
        <w:t xml:space="preserve">confirmando en lo relativo a las </w:t>
      </w:r>
      <w:r w:rsidR="0039051C" w:rsidRPr="00F84AB1">
        <w:rPr>
          <w:rFonts w:asciiTheme="majorHAnsi" w:hAnsiTheme="majorHAnsi" w:cs="GillSansMT"/>
          <w:sz w:val="20"/>
          <w:szCs w:val="20"/>
          <w:lang w:val="es-ES"/>
        </w:rPr>
        <w:t>condena</w:t>
      </w:r>
      <w:r w:rsidR="00EC6B48" w:rsidRPr="00F84AB1">
        <w:rPr>
          <w:rFonts w:asciiTheme="majorHAnsi" w:hAnsiTheme="majorHAnsi" w:cs="GillSansMT"/>
          <w:sz w:val="20"/>
          <w:szCs w:val="20"/>
          <w:lang w:val="es-ES"/>
        </w:rPr>
        <w:t>s a</w:t>
      </w:r>
      <w:r w:rsidR="005B78BD" w:rsidRPr="00F84AB1">
        <w:rPr>
          <w:rFonts w:asciiTheme="majorHAnsi" w:hAnsiTheme="majorHAnsi" w:cs="GillSansMT"/>
          <w:sz w:val="20"/>
          <w:szCs w:val="20"/>
          <w:lang w:val="es-ES"/>
        </w:rPr>
        <w:t xml:space="preserve"> los hechores a penas de</w:t>
      </w:r>
      <w:r w:rsidR="0039051C" w:rsidRPr="00F84AB1">
        <w:rPr>
          <w:rFonts w:asciiTheme="majorHAnsi" w:hAnsiTheme="majorHAnsi" w:cs="GillSansMT"/>
          <w:sz w:val="20"/>
          <w:szCs w:val="20"/>
          <w:lang w:val="es-ES"/>
        </w:rPr>
        <w:t xml:space="preserve"> </w:t>
      </w:r>
      <w:r w:rsidR="00AC6BDB" w:rsidRPr="00F84AB1">
        <w:rPr>
          <w:rFonts w:asciiTheme="majorHAnsi" w:hAnsiTheme="majorHAnsi" w:cs="GillSansMT"/>
          <w:sz w:val="20"/>
          <w:szCs w:val="20"/>
          <w:lang w:val="es-ES"/>
        </w:rPr>
        <w:t>entre 10 y cuatro</w:t>
      </w:r>
      <w:r w:rsidR="0039051C" w:rsidRPr="00F84AB1">
        <w:rPr>
          <w:rFonts w:asciiTheme="majorHAnsi" w:hAnsiTheme="majorHAnsi" w:cs="GillSansMT"/>
          <w:sz w:val="20"/>
          <w:szCs w:val="20"/>
          <w:lang w:val="es-ES"/>
        </w:rPr>
        <w:t xml:space="preserve"> años de prisión, </w:t>
      </w:r>
      <w:r w:rsidR="00D16B25" w:rsidRPr="00F84AB1">
        <w:rPr>
          <w:rFonts w:asciiTheme="majorHAnsi" w:hAnsiTheme="majorHAnsi" w:cs="GillSansMT"/>
          <w:sz w:val="20"/>
          <w:szCs w:val="20"/>
          <w:lang w:val="es-ES"/>
        </w:rPr>
        <w:t>aplicando a los condenados la atenuante de irreprochable conducta an</w:t>
      </w:r>
      <w:r w:rsidR="00EC6B48" w:rsidRPr="00F84AB1">
        <w:rPr>
          <w:rFonts w:asciiTheme="majorHAnsi" w:hAnsiTheme="majorHAnsi" w:cs="GillSansMT"/>
          <w:sz w:val="20"/>
          <w:szCs w:val="20"/>
          <w:lang w:val="es-ES"/>
        </w:rPr>
        <w:t xml:space="preserve">terior y la </w:t>
      </w:r>
      <w:r w:rsidR="00B872EC" w:rsidRPr="00F84AB1">
        <w:rPr>
          <w:rFonts w:asciiTheme="majorHAnsi" w:hAnsiTheme="majorHAnsi" w:cs="GillSansMT"/>
          <w:sz w:val="20"/>
          <w:szCs w:val="20"/>
          <w:lang w:val="es-ES"/>
        </w:rPr>
        <w:t>media prescripción. Sobre esta sentencia indican que solo a uno de los seis condenados no se les concedió el bene</w:t>
      </w:r>
      <w:r w:rsidR="009972FE" w:rsidRPr="00F84AB1">
        <w:rPr>
          <w:rFonts w:asciiTheme="majorHAnsi" w:hAnsiTheme="majorHAnsi" w:cs="GillSansMT"/>
          <w:sz w:val="20"/>
          <w:szCs w:val="20"/>
          <w:lang w:val="es-ES"/>
        </w:rPr>
        <w:t>ficio de la media prescripción.</w:t>
      </w:r>
      <w:r w:rsidR="00B055B8" w:rsidRPr="00F84AB1">
        <w:rPr>
          <w:rFonts w:asciiTheme="majorHAnsi" w:hAnsiTheme="majorHAnsi" w:cs="GillSansMT"/>
          <w:sz w:val="20"/>
          <w:szCs w:val="20"/>
          <w:lang w:val="es-ES"/>
        </w:rPr>
        <w:t xml:space="preserve"> A</w:t>
      </w:r>
      <w:r w:rsidR="00D65985" w:rsidRPr="00F84AB1">
        <w:rPr>
          <w:rFonts w:asciiTheme="majorHAnsi" w:hAnsiTheme="majorHAnsi" w:cs="GillSansMT"/>
          <w:sz w:val="20"/>
          <w:szCs w:val="20"/>
          <w:lang w:val="es-ES"/>
        </w:rPr>
        <w:t xml:space="preserve"> los militares se les concedió</w:t>
      </w:r>
      <w:r w:rsidR="00B055B8" w:rsidRPr="00F84AB1">
        <w:rPr>
          <w:rFonts w:asciiTheme="majorHAnsi" w:hAnsiTheme="majorHAnsi" w:cs="GillSansMT"/>
          <w:sz w:val="20"/>
          <w:szCs w:val="20"/>
          <w:lang w:val="es-ES"/>
        </w:rPr>
        <w:t xml:space="preserve"> el beneficio de la libertad vigilada y al gendarme el beneficio de la remisión condicional de la pena. </w:t>
      </w:r>
    </w:p>
    <w:p w:rsidR="003A1D57" w:rsidRPr="00F84AB1" w:rsidRDefault="003A1D57"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ES"/>
        </w:rPr>
      </w:pPr>
    </w:p>
    <w:p w:rsidR="003A1D57" w:rsidRPr="00F84AB1" w:rsidRDefault="005343ED" w:rsidP="00331369">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Theme="majorHAnsi" w:hAnsiTheme="majorHAnsi" w:cs="GillSansMT"/>
          <w:b/>
          <w:sz w:val="20"/>
          <w:szCs w:val="20"/>
          <w:lang w:val="es-ES"/>
        </w:rPr>
      </w:pPr>
      <w:r w:rsidRPr="00F84AB1">
        <w:rPr>
          <w:rFonts w:asciiTheme="majorHAnsi" w:hAnsiTheme="majorHAnsi" w:cs="GillSansMT"/>
          <w:b/>
          <w:sz w:val="20"/>
          <w:szCs w:val="20"/>
          <w:lang w:val="es-ES"/>
        </w:rPr>
        <w:t xml:space="preserve">Caso de </w:t>
      </w:r>
      <w:r w:rsidR="00575629" w:rsidRPr="00F84AB1">
        <w:rPr>
          <w:rFonts w:asciiTheme="majorHAnsi" w:hAnsiTheme="majorHAnsi" w:cs="GillSansMT"/>
          <w:b/>
          <w:sz w:val="20"/>
          <w:szCs w:val="20"/>
          <w:lang w:val="es-ES"/>
        </w:rPr>
        <w:t xml:space="preserve">José </w:t>
      </w:r>
      <w:r w:rsidRPr="00F84AB1">
        <w:rPr>
          <w:rFonts w:asciiTheme="majorHAnsi" w:hAnsiTheme="majorHAnsi" w:cs="GillSansMT"/>
          <w:b/>
          <w:sz w:val="20"/>
          <w:szCs w:val="20"/>
          <w:lang w:val="es-ES"/>
        </w:rPr>
        <w:t>Felix García Franco</w:t>
      </w:r>
      <w:r w:rsidR="007E7513" w:rsidRPr="00F84AB1">
        <w:rPr>
          <w:rFonts w:asciiTheme="majorHAnsi" w:hAnsiTheme="majorHAnsi" w:cs="GillSansMT"/>
          <w:b/>
          <w:sz w:val="20"/>
          <w:szCs w:val="20"/>
          <w:lang w:val="es-ES"/>
        </w:rPr>
        <w:t xml:space="preserve"> </w:t>
      </w:r>
      <w:r w:rsidR="00BC28D3" w:rsidRPr="00F84AB1">
        <w:rPr>
          <w:rFonts w:asciiTheme="majorHAnsi" w:hAnsiTheme="majorHAnsi" w:cs="GillSansMT"/>
          <w:b/>
          <w:sz w:val="20"/>
          <w:szCs w:val="20"/>
          <w:lang w:val="es-ES"/>
        </w:rPr>
        <w:t>y familiares</w:t>
      </w:r>
    </w:p>
    <w:p w:rsidR="003A1D57" w:rsidRPr="00F84AB1" w:rsidRDefault="003A1D57"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ES"/>
        </w:rPr>
      </w:pPr>
    </w:p>
    <w:p w:rsidR="003A1D57" w:rsidRPr="00F84AB1" w:rsidRDefault="00CB37D2"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Arial"/>
          <w:color w:val="943634" w:themeColor="accent2" w:themeShade="BF"/>
          <w:sz w:val="20"/>
          <w:szCs w:val="20"/>
          <w:lang w:val="es-ES"/>
        </w:rPr>
      </w:pPr>
      <w:r w:rsidRPr="00F84AB1">
        <w:rPr>
          <w:rFonts w:asciiTheme="majorHAnsi" w:hAnsiTheme="majorHAnsi" w:cs="GillSansMT"/>
          <w:sz w:val="20"/>
          <w:szCs w:val="20"/>
          <w:lang w:val="es-ES"/>
        </w:rPr>
        <w:t>E</w:t>
      </w:r>
      <w:r w:rsidR="000701B0" w:rsidRPr="00F84AB1">
        <w:rPr>
          <w:rFonts w:asciiTheme="majorHAnsi" w:hAnsiTheme="majorHAnsi" w:cs="GillSansMT"/>
          <w:sz w:val="20"/>
          <w:szCs w:val="20"/>
          <w:lang w:val="es-ES"/>
        </w:rPr>
        <w:t>l</w:t>
      </w:r>
      <w:r w:rsidRPr="00F84AB1">
        <w:rPr>
          <w:rFonts w:asciiTheme="majorHAnsi" w:hAnsiTheme="majorHAnsi" w:cs="GillSansMT"/>
          <w:sz w:val="20"/>
          <w:szCs w:val="20"/>
          <w:lang w:val="es-ES"/>
        </w:rPr>
        <w:t xml:space="preserve"> 1 de junio de 2010, los peticionarios remitieron una ampliación de denuncia presentada en favor de José Felix García Franco</w:t>
      </w:r>
      <w:r w:rsidR="009711CB" w:rsidRPr="00F84AB1">
        <w:rPr>
          <w:rFonts w:asciiTheme="majorHAnsi" w:hAnsiTheme="majorHAnsi" w:cs="GillSansMT"/>
          <w:sz w:val="20"/>
          <w:szCs w:val="20"/>
          <w:lang w:val="es-ES"/>
        </w:rPr>
        <w:t xml:space="preserve"> y sus familiares</w:t>
      </w:r>
      <w:r w:rsidRPr="00F84AB1">
        <w:rPr>
          <w:rFonts w:asciiTheme="majorHAnsi" w:hAnsiTheme="majorHAnsi" w:cs="GillSansMT"/>
          <w:sz w:val="20"/>
          <w:szCs w:val="20"/>
          <w:lang w:val="es-ES"/>
        </w:rPr>
        <w:t xml:space="preserve">, quien </w:t>
      </w:r>
      <w:r w:rsidR="00D65985" w:rsidRPr="00F84AB1">
        <w:rPr>
          <w:rFonts w:asciiTheme="majorHAnsi" w:hAnsiTheme="majorHAnsi" w:cs="GillSansMT"/>
          <w:sz w:val="20"/>
          <w:szCs w:val="20"/>
          <w:lang w:val="es-ES"/>
        </w:rPr>
        <w:t>era</w:t>
      </w:r>
      <w:r w:rsidRPr="00F84AB1">
        <w:rPr>
          <w:rFonts w:asciiTheme="majorHAnsi" w:hAnsiTheme="majorHAnsi" w:cs="GillSansMT"/>
          <w:sz w:val="20"/>
          <w:szCs w:val="20"/>
          <w:lang w:val="es-ES"/>
        </w:rPr>
        <w:t xml:space="preserve"> ciudadano ecuatoriano.</w:t>
      </w:r>
    </w:p>
    <w:p w:rsidR="002965A0" w:rsidRPr="00F84AB1" w:rsidRDefault="002965A0"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cs="Arial"/>
          <w:color w:val="943634" w:themeColor="accent2" w:themeShade="BF"/>
          <w:sz w:val="20"/>
          <w:szCs w:val="20"/>
          <w:lang w:val="es-ES"/>
        </w:rPr>
      </w:pPr>
    </w:p>
    <w:p w:rsidR="002965A0" w:rsidRPr="00F84AB1" w:rsidRDefault="002965A0"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Los peticionarios indican que la presunta víctima, estudiante de medicina a la fecha de los hechos</w:t>
      </w:r>
      <w:r w:rsidR="006F6AAB"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se presentó voluntariamente a la unidad de carabineros en Temuco</w:t>
      </w:r>
      <w:r w:rsidR="006F6AAB" w:rsidRPr="00F84AB1">
        <w:rPr>
          <w:rFonts w:asciiTheme="majorHAnsi" w:hAnsiTheme="majorHAnsi" w:cs="GillSansMT"/>
          <w:sz w:val="20"/>
          <w:szCs w:val="20"/>
          <w:lang w:val="es-ES"/>
        </w:rPr>
        <w:t xml:space="preserve"> el día 13 de septiembre de 1973,</w:t>
      </w:r>
      <w:r w:rsidR="00012631"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 xml:space="preserve">obedeciendo </w:t>
      </w:r>
      <w:r w:rsidR="006F6AAB" w:rsidRPr="00F84AB1">
        <w:rPr>
          <w:rFonts w:asciiTheme="majorHAnsi" w:hAnsiTheme="majorHAnsi" w:cs="GillSansMT"/>
          <w:sz w:val="20"/>
          <w:szCs w:val="20"/>
          <w:lang w:val="es-ES"/>
        </w:rPr>
        <w:t xml:space="preserve">a </w:t>
      </w:r>
      <w:r w:rsidRPr="00F84AB1">
        <w:rPr>
          <w:rFonts w:asciiTheme="majorHAnsi" w:hAnsiTheme="majorHAnsi" w:cs="GillSansMT"/>
          <w:sz w:val="20"/>
          <w:szCs w:val="20"/>
          <w:lang w:val="es-ES"/>
        </w:rPr>
        <w:t xml:space="preserve">un llamado </w:t>
      </w:r>
      <w:r w:rsidR="006F6AAB" w:rsidRPr="00F84AB1">
        <w:rPr>
          <w:rFonts w:asciiTheme="majorHAnsi" w:hAnsiTheme="majorHAnsi" w:cs="GillSansMT"/>
          <w:sz w:val="20"/>
          <w:szCs w:val="20"/>
          <w:lang w:val="es-ES"/>
        </w:rPr>
        <w:t xml:space="preserve">realizado por </w:t>
      </w:r>
      <w:r w:rsidRPr="00F84AB1">
        <w:rPr>
          <w:rFonts w:asciiTheme="majorHAnsi" w:hAnsiTheme="majorHAnsi" w:cs="GillSansMT"/>
          <w:sz w:val="20"/>
          <w:szCs w:val="20"/>
          <w:lang w:val="es-ES"/>
        </w:rPr>
        <w:t>la autoridad a todos los extranjeros,</w:t>
      </w:r>
      <w:r w:rsidR="00C97C00" w:rsidRPr="00F84AB1">
        <w:rPr>
          <w:rFonts w:asciiTheme="majorHAnsi" w:hAnsiTheme="majorHAnsi" w:cs="GillSansMT"/>
          <w:sz w:val="20"/>
          <w:szCs w:val="20"/>
          <w:lang w:val="es-ES"/>
        </w:rPr>
        <w:t xml:space="preserve"> además de una citación verbal y de que s</w:t>
      </w:r>
      <w:r w:rsidR="006F4D7C" w:rsidRPr="00F84AB1">
        <w:rPr>
          <w:rFonts w:asciiTheme="majorHAnsi" w:hAnsiTheme="majorHAnsi" w:cs="GillSansMT"/>
          <w:sz w:val="20"/>
          <w:szCs w:val="20"/>
          <w:lang w:val="es-ES"/>
        </w:rPr>
        <w:t>u casa</w:t>
      </w:r>
      <w:r w:rsidR="00C97C00" w:rsidRPr="00F84AB1">
        <w:rPr>
          <w:rFonts w:asciiTheme="majorHAnsi" w:hAnsiTheme="majorHAnsi" w:cs="GillSansMT"/>
          <w:sz w:val="20"/>
          <w:szCs w:val="20"/>
          <w:lang w:val="es-ES"/>
        </w:rPr>
        <w:t xml:space="preserve"> había sido allanada</w:t>
      </w:r>
      <w:r w:rsidR="006F4D7C" w:rsidRPr="00F84AB1">
        <w:rPr>
          <w:rFonts w:asciiTheme="majorHAnsi" w:hAnsiTheme="majorHAnsi" w:cs="GillSansMT"/>
          <w:sz w:val="20"/>
          <w:szCs w:val="20"/>
          <w:lang w:val="es-ES"/>
        </w:rPr>
        <w:t xml:space="preserve"> por carabineros.</w:t>
      </w:r>
      <w:r w:rsidRPr="00F84AB1">
        <w:rPr>
          <w:rFonts w:asciiTheme="majorHAnsi" w:hAnsiTheme="majorHAnsi" w:cs="GillSansMT"/>
          <w:sz w:val="20"/>
          <w:szCs w:val="20"/>
          <w:lang w:val="es-ES"/>
        </w:rPr>
        <w:t xml:space="preserve"> </w:t>
      </w:r>
      <w:r w:rsidR="00C97C00" w:rsidRPr="00F84AB1">
        <w:rPr>
          <w:rFonts w:asciiTheme="majorHAnsi" w:hAnsiTheme="majorHAnsi" w:cs="GillSansMT"/>
          <w:sz w:val="20"/>
          <w:szCs w:val="20"/>
          <w:lang w:val="es-ES"/>
        </w:rPr>
        <w:t xml:space="preserve">Refieren que retenido en la unidad de Coilaco fue trasladado a la Segunda Comisaría de Carabineros de Temuco. </w:t>
      </w:r>
      <w:r w:rsidRPr="00F84AB1">
        <w:rPr>
          <w:rFonts w:asciiTheme="majorHAnsi" w:hAnsiTheme="majorHAnsi" w:cs="GillSansMT"/>
          <w:sz w:val="20"/>
          <w:szCs w:val="20"/>
          <w:lang w:val="es-ES"/>
        </w:rPr>
        <w:t>Indican que su esposa le llevó ropa y alimentos a es</w:t>
      </w:r>
      <w:r w:rsidR="00F653AF" w:rsidRPr="00F84AB1">
        <w:rPr>
          <w:rFonts w:asciiTheme="majorHAnsi" w:hAnsiTheme="majorHAnsi" w:cs="GillSansMT"/>
          <w:sz w:val="20"/>
          <w:szCs w:val="20"/>
          <w:lang w:val="es-ES"/>
        </w:rPr>
        <w:t>te recinto diariamente hasta</w:t>
      </w:r>
      <w:r w:rsidR="00C97C00" w:rsidRPr="00F84AB1">
        <w:rPr>
          <w:rFonts w:asciiTheme="majorHAnsi" w:hAnsiTheme="majorHAnsi" w:cs="GillSansMT"/>
          <w:sz w:val="20"/>
          <w:szCs w:val="20"/>
          <w:lang w:val="es-ES"/>
        </w:rPr>
        <w:t xml:space="preserve"> que el 19</w:t>
      </w:r>
      <w:r w:rsidRPr="00F84AB1">
        <w:rPr>
          <w:rFonts w:asciiTheme="majorHAnsi" w:hAnsiTheme="majorHAnsi" w:cs="GillSansMT"/>
          <w:sz w:val="20"/>
          <w:szCs w:val="20"/>
          <w:lang w:val="es-ES"/>
        </w:rPr>
        <w:t xml:space="preserve"> de septiembre de ese año</w:t>
      </w:r>
      <w:r w:rsidR="00F653AF" w:rsidRPr="00F84AB1">
        <w:rPr>
          <w:rFonts w:asciiTheme="majorHAnsi" w:hAnsiTheme="majorHAnsi" w:cs="GillSansMT"/>
          <w:sz w:val="20"/>
          <w:szCs w:val="20"/>
          <w:lang w:val="es-ES"/>
        </w:rPr>
        <w:t>,</w:t>
      </w:r>
      <w:r w:rsidRPr="00F84AB1">
        <w:rPr>
          <w:rFonts w:asciiTheme="majorHAnsi" w:hAnsiTheme="majorHAnsi" w:cs="GillSansMT"/>
          <w:sz w:val="20"/>
          <w:szCs w:val="20"/>
          <w:lang w:val="es-ES"/>
        </w:rPr>
        <w:t xml:space="preserve"> </w:t>
      </w:r>
      <w:r w:rsidR="005B78BD" w:rsidRPr="00F84AB1">
        <w:rPr>
          <w:rFonts w:asciiTheme="majorHAnsi" w:hAnsiTheme="majorHAnsi" w:cs="GillSansMT"/>
          <w:sz w:val="20"/>
          <w:szCs w:val="20"/>
          <w:lang w:val="es-ES"/>
        </w:rPr>
        <w:t xml:space="preserve">cuando las autoridades le </w:t>
      </w:r>
      <w:r w:rsidRPr="00F84AB1">
        <w:rPr>
          <w:rFonts w:asciiTheme="majorHAnsi" w:hAnsiTheme="majorHAnsi" w:cs="GillSansMT"/>
          <w:sz w:val="20"/>
          <w:szCs w:val="20"/>
          <w:lang w:val="es-ES"/>
        </w:rPr>
        <w:t>informaron que lo habían dejado en libertad a las 6 de la mañana en un paso fronterizo</w:t>
      </w:r>
      <w:r w:rsidR="00C97C00" w:rsidRPr="00F84AB1">
        <w:rPr>
          <w:rFonts w:asciiTheme="majorHAnsi" w:hAnsiTheme="majorHAnsi" w:cs="GillSansMT"/>
          <w:sz w:val="20"/>
          <w:szCs w:val="20"/>
          <w:lang w:val="es-ES"/>
        </w:rPr>
        <w:t xml:space="preserve">. Indican que </w:t>
      </w:r>
      <w:r w:rsidRPr="00F84AB1">
        <w:rPr>
          <w:rFonts w:asciiTheme="majorHAnsi" w:hAnsiTheme="majorHAnsi" w:cs="GillSansMT"/>
          <w:sz w:val="20"/>
          <w:szCs w:val="20"/>
          <w:lang w:val="es-ES"/>
        </w:rPr>
        <w:t>hasta la fecha se desconoce su paradero.</w:t>
      </w:r>
      <w:r w:rsidR="00012631" w:rsidRPr="00F84AB1">
        <w:rPr>
          <w:rFonts w:asciiTheme="majorHAnsi" w:hAnsiTheme="majorHAnsi" w:cs="GillSansMT"/>
          <w:sz w:val="20"/>
          <w:szCs w:val="20"/>
          <w:lang w:val="es-ES"/>
        </w:rPr>
        <w:t xml:space="preserve"> </w:t>
      </w:r>
    </w:p>
    <w:p w:rsidR="003A1D57" w:rsidRPr="00F84AB1" w:rsidRDefault="003A1D57"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cs="GillSansMT"/>
          <w:sz w:val="20"/>
          <w:szCs w:val="20"/>
          <w:lang w:val="es-ES"/>
        </w:rPr>
      </w:pPr>
    </w:p>
    <w:p w:rsidR="0083473B" w:rsidRPr="00F84AB1" w:rsidRDefault="00574DA7"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Indican que en 1978, su esposa interpuso denuncia en el 1˚ Juzgado del Crimen de Temuco, la cual fue acum</w:t>
      </w:r>
      <w:r w:rsidR="004B592B" w:rsidRPr="00F84AB1">
        <w:rPr>
          <w:rFonts w:asciiTheme="majorHAnsi" w:hAnsiTheme="majorHAnsi" w:cs="GillSansMT"/>
          <w:sz w:val="20"/>
          <w:szCs w:val="20"/>
          <w:lang w:val="es-ES"/>
        </w:rPr>
        <w:t>ulada con otras desapariciones a</w:t>
      </w:r>
      <w:r w:rsidRPr="00F84AB1">
        <w:rPr>
          <w:rFonts w:asciiTheme="majorHAnsi" w:hAnsiTheme="majorHAnsi" w:cs="GillSansMT"/>
          <w:sz w:val="20"/>
          <w:szCs w:val="20"/>
          <w:lang w:val="es-ES"/>
        </w:rPr>
        <w:t xml:space="preserve"> la causa rol 2-79.</w:t>
      </w:r>
      <w:r w:rsidR="004B592B"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 xml:space="preserve">Indican que el Ministro </w:t>
      </w:r>
      <w:r w:rsidR="00892B4F" w:rsidRPr="00F84AB1">
        <w:rPr>
          <w:rFonts w:asciiTheme="majorHAnsi" w:hAnsiTheme="majorHAnsi" w:cs="GillSansMT"/>
          <w:sz w:val="20"/>
          <w:szCs w:val="20"/>
          <w:lang w:val="es-ES"/>
        </w:rPr>
        <w:t xml:space="preserve">en Visita </w:t>
      </w:r>
      <w:r w:rsidRPr="00F84AB1">
        <w:rPr>
          <w:rFonts w:asciiTheme="majorHAnsi" w:hAnsiTheme="majorHAnsi" w:cs="GillSansMT"/>
          <w:sz w:val="20"/>
          <w:szCs w:val="20"/>
          <w:lang w:val="es-ES"/>
        </w:rPr>
        <w:t>se declaró incompetente</w:t>
      </w:r>
      <w:r w:rsidR="00892B4F" w:rsidRPr="00F84AB1">
        <w:rPr>
          <w:rFonts w:asciiTheme="majorHAnsi" w:hAnsiTheme="majorHAnsi" w:cs="GillSansMT"/>
          <w:sz w:val="20"/>
          <w:szCs w:val="20"/>
          <w:lang w:val="es-ES"/>
        </w:rPr>
        <w:t>, por cuanto en las desapariciones aparecía la respo</w:t>
      </w:r>
      <w:r w:rsidR="00D65985" w:rsidRPr="00F84AB1">
        <w:rPr>
          <w:rFonts w:asciiTheme="majorHAnsi" w:hAnsiTheme="majorHAnsi" w:cs="GillSansMT"/>
          <w:sz w:val="20"/>
          <w:szCs w:val="20"/>
          <w:lang w:val="es-ES"/>
        </w:rPr>
        <w:t>nsabilidad de funcionarios del E</w:t>
      </w:r>
      <w:r w:rsidR="00892B4F" w:rsidRPr="00F84AB1">
        <w:rPr>
          <w:rFonts w:asciiTheme="majorHAnsi" w:hAnsiTheme="majorHAnsi" w:cs="GillSansMT"/>
          <w:sz w:val="20"/>
          <w:szCs w:val="20"/>
          <w:lang w:val="es-ES"/>
        </w:rPr>
        <w:t xml:space="preserve">jército, </w:t>
      </w:r>
      <w:r w:rsidRPr="00F84AB1">
        <w:rPr>
          <w:rFonts w:asciiTheme="majorHAnsi" w:hAnsiTheme="majorHAnsi" w:cs="GillSansMT"/>
          <w:sz w:val="20"/>
          <w:szCs w:val="20"/>
          <w:lang w:val="es-ES"/>
        </w:rPr>
        <w:t xml:space="preserve">y trasladó </w:t>
      </w:r>
      <w:r w:rsidR="00892B4F" w:rsidRPr="00F84AB1">
        <w:rPr>
          <w:rFonts w:asciiTheme="majorHAnsi" w:hAnsiTheme="majorHAnsi" w:cs="GillSansMT"/>
          <w:sz w:val="20"/>
          <w:szCs w:val="20"/>
          <w:lang w:val="es-ES"/>
        </w:rPr>
        <w:t xml:space="preserve">el caso </w:t>
      </w:r>
      <w:r w:rsidRPr="00F84AB1">
        <w:rPr>
          <w:rFonts w:asciiTheme="majorHAnsi" w:hAnsiTheme="majorHAnsi" w:cs="GillSansMT"/>
          <w:sz w:val="20"/>
          <w:szCs w:val="20"/>
          <w:lang w:val="es-ES"/>
        </w:rPr>
        <w:t xml:space="preserve">a la justicia militar, la cual sobreseyó </w:t>
      </w:r>
      <w:r w:rsidR="0083473B" w:rsidRPr="00F84AB1">
        <w:rPr>
          <w:rFonts w:asciiTheme="majorHAnsi" w:hAnsiTheme="majorHAnsi" w:cs="GillSansMT"/>
          <w:sz w:val="20"/>
          <w:szCs w:val="20"/>
          <w:lang w:val="es-ES"/>
        </w:rPr>
        <w:t xml:space="preserve">total y definitivamente </w:t>
      </w:r>
      <w:r w:rsidRPr="00F84AB1">
        <w:rPr>
          <w:rFonts w:asciiTheme="majorHAnsi" w:hAnsiTheme="majorHAnsi" w:cs="GillSansMT"/>
          <w:sz w:val="20"/>
          <w:szCs w:val="20"/>
          <w:lang w:val="es-ES"/>
        </w:rPr>
        <w:t>la causa por la apl</w:t>
      </w:r>
      <w:r w:rsidR="0083473B" w:rsidRPr="00F84AB1">
        <w:rPr>
          <w:rFonts w:asciiTheme="majorHAnsi" w:hAnsiTheme="majorHAnsi" w:cs="GillSansMT"/>
          <w:sz w:val="20"/>
          <w:szCs w:val="20"/>
          <w:lang w:val="es-ES"/>
        </w:rPr>
        <w:t xml:space="preserve">icación de la Ley de Amnistía el 24 de octubre de 1980. </w:t>
      </w:r>
    </w:p>
    <w:p w:rsidR="0083473B" w:rsidRPr="00F84AB1" w:rsidRDefault="0083473B" w:rsidP="00C64463">
      <w:pPr>
        <w:pStyle w:val="ListParagraph"/>
        <w:jc w:val="both"/>
        <w:rPr>
          <w:rFonts w:asciiTheme="majorHAnsi" w:hAnsiTheme="majorHAnsi" w:cs="GillSansMT"/>
          <w:sz w:val="20"/>
          <w:szCs w:val="20"/>
          <w:lang w:val="es-ES"/>
        </w:rPr>
      </w:pPr>
    </w:p>
    <w:p w:rsidR="00750147" w:rsidRPr="00F84AB1" w:rsidRDefault="00574DA7"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Sostienen que en abril de</w:t>
      </w:r>
      <w:r w:rsidR="0083473B" w:rsidRPr="00F84AB1">
        <w:rPr>
          <w:rFonts w:asciiTheme="majorHAnsi" w:hAnsiTheme="majorHAnsi" w:cs="GillSansMT"/>
          <w:sz w:val="20"/>
          <w:szCs w:val="20"/>
          <w:lang w:val="es-ES"/>
        </w:rPr>
        <w:t>l año</w:t>
      </w:r>
      <w:r w:rsidRPr="00F84AB1">
        <w:rPr>
          <w:rFonts w:asciiTheme="majorHAnsi" w:hAnsiTheme="majorHAnsi" w:cs="GillSansMT"/>
          <w:sz w:val="20"/>
          <w:szCs w:val="20"/>
          <w:lang w:val="es-ES"/>
        </w:rPr>
        <w:t xml:space="preserve"> 2000 el Colegio Médico de Chile A.G., interpuso querella por los casos de los 19 médicos detenidos desparecidos y ejecutados políticos, que incluyó a José García</w:t>
      </w:r>
      <w:r w:rsidR="0083473B" w:rsidRPr="00F84AB1">
        <w:rPr>
          <w:rFonts w:asciiTheme="majorHAnsi" w:hAnsiTheme="majorHAnsi" w:cs="GillSansMT"/>
          <w:sz w:val="20"/>
          <w:szCs w:val="20"/>
          <w:lang w:val="es-ES"/>
        </w:rPr>
        <w:t>.</w:t>
      </w:r>
      <w:r w:rsidRPr="00F84AB1">
        <w:rPr>
          <w:rFonts w:asciiTheme="majorHAnsi" w:hAnsiTheme="majorHAnsi" w:cs="GillSansMT"/>
          <w:sz w:val="20"/>
          <w:szCs w:val="20"/>
          <w:lang w:val="es-ES"/>
        </w:rPr>
        <w:t xml:space="preserve"> Señalan que</w:t>
      </w:r>
      <w:r w:rsidR="0083473B" w:rsidRPr="00F84AB1">
        <w:rPr>
          <w:rFonts w:asciiTheme="majorHAnsi" w:hAnsiTheme="majorHAnsi" w:cs="GillSansMT"/>
          <w:sz w:val="20"/>
          <w:szCs w:val="20"/>
          <w:lang w:val="es-ES"/>
        </w:rPr>
        <w:t xml:space="preserve"> además</w:t>
      </w:r>
      <w:r w:rsidR="00BB12BC" w:rsidRPr="00F84AB1">
        <w:rPr>
          <w:rFonts w:asciiTheme="majorHAnsi" w:hAnsiTheme="majorHAnsi" w:cs="GillSansMT"/>
          <w:sz w:val="20"/>
          <w:szCs w:val="20"/>
          <w:lang w:val="es-ES"/>
        </w:rPr>
        <w:t>,</w:t>
      </w:r>
      <w:r w:rsidR="0083473B" w:rsidRPr="00F84AB1">
        <w:rPr>
          <w:rFonts w:asciiTheme="majorHAnsi" w:hAnsiTheme="majorHAnsi" w:cs="GillSansMT"/>
          <w:sz w:val="20"/>
          <w:szCs w:val="20"/>
          <w:lang w:val="es-ES"/>
        </w:rPr>
        <w:t xml:space="preserve"> el 14 de abril del 2000,</w:t>
      </w:r>
      <w:r w:rsidRPr="00F84AB1">
        <w:rPr>
          <w:rFonts w:asciiTheme="majorHAnsi" w:hAnsiTheme="majorHAnsi" w:cs="GillSansMT"/>
          <w:sz w:val="20"/>
          <w:szCs w:val="20"/>
          <w:lang w:val="es-ES"/>
        </w:rPr>
        <w:t xml:space="preserve"> su hermano interpuso querella criminal contra Augusto Pinochet y aquellos que resultaran responsables, </w:t>
      </w:r>
      <w:r w:rsidR="0083473B" w:rsidRPr="00F84AB1">
        <w:rPr>
          <w:rFonts w:asciiTheme="majorHAnsi" w:hAnsiTheme="majorHAnsi" w:cs="GillSansMT"/>
          <w:sz w:val="20"/>
          <w:szCs w:val="20"/>
          <w:lang w:val="es-ES"/>
        </w:rPr>
        <w:t>en virtud de l</w:t>
      </w:r>
      <w:r w:rsidRPr="00F84AB1">
        <w:rPr>
          <w:rFonts w:asciiTheme="majorHAnsi" w:hAnsiTheme="majorHAnsi" w:cs="GillSansMT"/>
          <w:sz w:val="20"/>
          <w:szCs w:val="20"/>
          <w:lang w:val="es-ES"/>
        </w:rPr>
        <w:t>a cual se</w:t>
      </w:r>
      <w:r w:rsidR="0083473B" w:rsidRPr="00F84AB1">
        <w:rPr>
          <w:rFonts w:asciiTheme="majorHAnsi" w:hAnsiTheme="majorHAnsi" w:cs="GillSansMT"/>
          <w:sz w:val="20"/>
          <w:szCs w:val="20"/>
          <w:lang w:val="es-ES"/>
        </w:rPr>
        <w:t xml:space="preserve"> dictó sentencia el 31 de enero de 2008, y se</w:t>
      </w:r>
      <w:r w:rsidRPr="00F84AB1">
        <w:rPr>
          <w:rFonts w:asciiTheme="majorHAnsi" w:hAnsiTheme="majorHAnsi" w:cs="GillSansMT"/>
          <w:sz w:val="20"/>
          <w:szCs w:val="20"/>
          <w:lang w:val="es-ES"/>
        </w:rPr>
        <w:t xml:space="preserve"> condenó a ocho años de presidio mayor a Juan de Dios Fritz Vega, Omar Burgos Dejean y Juan Miguel Bustamante León</w:t>
      </w:r>
      <w:r w:rsidR="004535EF" w:rsidRPr="00F84AB1">
        <w:rPr>
          <w:rFonts w:asciiTheme="majorHAnsi" w:hAnsiTheme="majorHAnsi" w:cs="GillSansMT"/>
          <w:sz w:val="20"/>
          <w:szCs w:val="20"/>
          <w:lang w:val="es-ES"/>
        </w:rPr>
        <w:t>,</w:t>
      </w:r>
      <w:r w:rsidRPr="00F84AB1">
        <w:rPr>
          <w:rFonts w:asciiTheme="majorHAnsi" w:hAnsiTheme="majorHAnsi" w:cs="GillSansMT"/>
          <w:sz w:val="20"/>
          <w:szCs w:val="20"/>
          <w:lang w:val="es-ES"/>
        </w:rPr>
        <w:t xml:space="preserve"> y a 10 años y un día de presid</w:t>
      </w:r>
      <w:r w:rsidR="004535EF" w:rsidRPr="00F84AB1">
        <w:rPr>
          <w:rFonts w:asciiTheme="majorHAnsi" w:hAnsiTheme="majorHAnsi" w:cs="GillSansMT"/>
          <w:sz w:val="20"/>
          <w:szCs w:val="20"/>
          <w:lang w:val="es-ES"/>
        </w:rPr>
        <w:t xml:space="preserve">io mayor a Hugo Opazo Insunza </w:t>
      </w:r>
      <w:r w:rsidR="00F86628" w:rsidRPr="00F84AB1">
        <w:rPr>
          <w:rFonts w:asciiTheme="majorHAnsi" w:hAnsiTheme="majorHAnsi" w:cs="GillSansMT"/>
          <w:sz w:val="20"/>
          <w:szCs w:val="20"/>
          <w:lang w:val="es-ES"/>
        </w:rPr>
        <w:t>como autores</w:t>
      </w:r>
      <w:r w:rsidR="004535EF" w:rsidRPr="00F84AB1">
        <w:rPr>
          <w:rFonts w:asciiTheme="majorHAnsi" w:hAnsiTheme="majorHAnsi" w:cs="GillSansMT"/>
          <w:sz w:val="20"/>
          <w:szCs w:val="20"/>
          <w:lang w:val="es-ES"/>
        </w:rPr>
        <w:t xml:space="preserve"> </w:t>
      </w:r>
      <w:r w:rsidR="00F86628" w:rsidRPr="00F84AB1">
        <w:rPr>
          <w:rFonts w:asciiTheme="majorHAnsi" w:hAnsiTheme="majorHAnsi" w:cs="GillSansMT"/>
          <w:sz w:val="20"/>
          <w:szCs w:val="20"/>
          <w:lang w:val="es-ES"/>
        </w:rPr>
        <w:t>d</w:t>
      </w:r>
      <w:r w:rsidR="004535EF" w:rsidRPr="00F84AB1">
        <w:rPr>
          <w:rFonts w:asciiTheme="majorHAnsi" w:hAnsiTheme="majorHAnsi" w:cs="GillSansMT"/>
          <w:sz w:val="20"/>
          <w:szCs w:val="20"/>
          <w:lang w:val="es-ES"/>
        </w:rPr>
        <w:t>el delito de secuestro calificado</w:t>
      </w:r>
      <w:r w:rsidR="00F86628" w:rsidRPr="00F84AB1">
        <w:rPr>
          <w:rFonts w:asciiTheme="majorHAnsi" w:hAnsiTheme="majorHAnsi" w:cs="GillSansMT"/>
          <w:sz w:val="20"/>
          <w:szCs w:val="20"/>
          <w:lang w:val="es-ES"/>
        </w:rPr>
        <w:t>.</w:t>
      </w:r>
      <w:r w:rsidR="004535EF"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 xml:space="preserve">Asimismo, </w:t>
      </w:r>
      <w:r w:rsidR="00F86628" w:rsidRPr="00F84AB1">
        <w:rPr>
          <w:rFonts w:asciiTheme="majorHAnsi" w:hAnsiTheme="majorHAnsi" w:cs="GillSansMT"/>
          <w:sz w:val="20"/>
          <w:szCs w:val="20"/>
          <w:lang w:val="es-ES"/>
        </w:rPr>
        <w:t xml:space="preserve">refieren que </w:t>
      </w:r>
      <w:r w:rsidRPr="00F84AB1">
        <w:rPr>
          <w:rFonts w:asciiTheme="majorHAnsi" w:hAnsiTheme="majorHAnsi" w:cs="GillSansMT"/>
          <w:sz w:val="20"/>
          <w:szCs w:val="20"/>
          <w:lang w:val="es-ES"/>
        </w:rPr>
        <w:t>no se les favoreció con b</w:t>
      </w:r>
      <w:r w:rsidR="00F86628" w:rsidRPr="00F84AB1">
        <w:rPr>
          <w:rFonts w:asciiTheme="majorHAnsi" w:hAnsiTheme="majorHAnsi" w:cs="GillSansMT"/>
          <w:sz w:val="20"/>
          <w:szCs w:val="20"/>
          <w:lang w:val="es-ES"/>
        </w:rPr>
        <w:t>eneficios alternativos.</w:t>
      </w:r>
      <w:r w:rsidRPr="00F84AB1">
        <w:rPr>
          <w:rFonts w:asciiTheme="majorHAnsi" w:hAnsiTheme="majorHAnsi" w:cs="GillSansMT"/>
          <w:sz w:val="20"/>
          <w:szCs w:val="20"/>
          <w:lang w:val="es-ES"/>
        </w:rPr>
        <w:t xml:space="preserve"> </w:t>
      </w:r>
    </w:p>
    <w:p w:rsidR="00750147" w:rsidRPr="00F84AB1" w:rsidRDefault="00750147" w:rsidP="00C64463">
      <w:pPr>
        <w:pStyle w:val="ListParagraph"/>
        <w:jc w:val="both"/>
        <w:rPr>
          <w:rFonts w:asciiTheme="majorHAnsi" w:hAnsiTheme="majorHAnsi" w:cs="GillSansMT"/>
          <w:sz w:val="20"/>
          <w:szCs w:val="20"/>
          <w:lang w:val="es-ES"/>
        </w:rPr>
      </w:pPr>
    </w:p>
    <w:p w:rsidR="00574DA7" w:rsidRPr="00F84AB1" w:rsidRDefault="00574DA7"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Indican que dicho fallo fue confirmado </w:t>
      </w:r>
      <w:r w:rsidR="005F1654" w:rsidRPr="00F84AB1">
        <w:rPr>
          <w:rFonts w:asciiTheme="majorHAnsi" w:hAnsiTheme="majorHAnsi" w:cs="GillSansMT"/>
          <w:sz w:val="20"/>
          <w:szCs w:val="20"/>
          <w:lang w:val="es-ES"/>
        </w:rPr>
        <w:t xml:space="preserve">con algunas modificaciones mediante sentencia de la Corte de Apelaciones de Santiago, </w:t>
      </w:r>
      <w:r w:rsidRPr="00F84AB1">
        <w:rPr>
          <w:rFonts w:asciiTheme="majorHAnsi" w:hAnsiTheme="majorHAnsi" w:cs="GillSansMT"/>
          <w:sz w:val="20"/>
          <w:szCs w:val="20"/>
          <w:lang w:val="es-ES"/>
        </w:rPr>
        <w:t>el 26 de diciembre de 2008</w:t>
      </w:r>
      <w:r w:rsidR="00451FCE"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 xml:space="preserve">la </w:t>
      </w:r>
      <w:r w:rsidR="005F1654" w:rsidRPr="00F84AB1">
        <w:rPr>
          <w:rFonts w:asciiTheme="majorHAnsi" w:hAnsiTheme="majorHAnsi" w:cs="GillSansMT"/>
          <w:sz w:val="20"/>
          <w:szCs w:val="20"/>
          <w:lang w:val="es-ES"/>
        </w:rPr>
        <w:t xml:space="preserve">que </w:t>
      </w:r>
      <w:r w:rsidR="00451FCE" w:rsidRPr="00F84AB1">
        <w:rPr>
          <w:rFonts w:asciiTheme="majorHAnsi" w:hAnsiTheme="majorHAnsi" w:cs="GillSansMT"/>
          <w:sz w:val="20"/>
          <w:szCs w:val="20"/>
          <w:lang w:val="es-ES"/>
        </w:rPr>
        <w:t xml:space="preserve">mantuvo las sanciones accesorias </w:t>
      </w:r>
      <w:r w:rsidR="00451FCE" w:rsidRPr="00F84AB1">
        <w:rPr>
          <w:rFonts w:asciiTheme="majorHAnsi" w:hAnsiTheme="majorHAnsi" w:cs="GillSansMT"/>
          <w:sz w:val="20"/>
          <w:szCs w:val="20"/>
          <w:lang w:val="es-ES"/>
        </w:rPr>
        <w:lastRenderedPageBreak/>
        <w:t xml:space="preserve">impuestas en primera instancia, y </w:t>
      </w:r>
      <w:r w:rsidRPr="00F84AB1">
        <w:rPr>
          <w:rFonts w:asciiTheme="majorHAnsi" w:hAnsiTheme="majorHAnsi" w:cs="GillSansMT"/>
          <w:sz w:val="20"/>
          <w:szCs w:val="20"/>
          <w:lang w:val="es-ES"/>
        </w:rPr>
        <w:t>redujo las penas a 5 años y un día,</w:t>
      </w:r>
      <w:r w:rsidR="005F1654" w:rsidRPr="00F84AB1">
        <w:rPr>
          <w:rFonts w:asciiTheme="majorHAnsi" w:hAnsiTheme="majorHAnsi" w:cs="GillSansMT"/>
          <w:sz w:val="20"/>
          <w:szCs w:val="20"/>
          <w:lang w:val="es-ES"/>
        </w:rPr>
        <w:t xml:space="preserve"> </w:t>
      </w:r>
      <w:r w:rsidR="00451FCE" w:rsidRPr="00F84AB1">
        <w:rPr>
          <w:rFonts w:asciiTheme="majorHAnsi" w:hAnsiTheme="majorHAnsi" w:cs="GillSansMT"/>
          <w:sz w:val="20"/>
          <w:szCs w:val="20"/>
          <w:lang w:val="es-ES"/>
        </w:rPr>
        <w:t xml:space="preserve">en aplicación de </w:t>
      </w:r>
      <w:r w:rsidRPr="00F84AB1">
        <w:rPr>
          <w:rFonts w:asciiTheme="majorHAnsi" w:hAnsiTheme="majorHAnsi" w:cs="GillSansMT"/>
          <w:sz w:val="20"/>
          <w:szCs w:val="20"/>
          <w:lang w:val="es-ES"/>
        </w:rPr>
        <w:t>la atenuante de irreprochable conducta anterior.</w:t>
      </w:r>
      <w:r w:rsidR="005F1654" w:rsidRPr="00F84AB1">
        <w:rPr>
          <w:rFonts w:asciiTheme="majorHAnsi" w:hAnsiTheme="majorHAnsi" w:cs="GillSansMT"/>
          <w:sz w:val="20"/>
          <w:szCs w:val="20"/>
          <w:lang w:val="es-ES"/>
        </w:rPr>
        <w:t xml:space="preserve"> </w:t>
      </w:r>
    </w:p>
    <w:p w:rsidR="00750147" w:rsidRPr="00F84AB1" w:rsidRDefault="00750147"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cs="GillSansMT"/>
          <w:sz w:val="20"/>
          <w:szCs w:val="20"/>
          <w:lang w:val="es-ES"/>
        </w:rPr>
      </w:pPr>
    </w:p>
    <w:p w:rsidR="00750147" w:rsidRPr="00F84AB1" w:rsidRDefault="00750147"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Refieren que la Corte Suprema, conociendo recursos de casación, </w:t>
      </w:r>
      <w:r w:rsidR="00026FDC" w:rsidRPr="00F84AB1">
        <w:rPr>
          <w:rFonts w:asciiTheme="majorHAnsi" w:hAnsiTheme="majorHAnsi" w:cs="GillSansMT"/>
          <w:sz w:val="20"/>
          <w:szCs w:val="20"/>
          <w:lang w:val="es-ES"/>
        </w:rPr>
        <w:t xml:space="preserve">el 2 de diciembre de 2009 </w:t>
      </w:r>
      <w:r w:rsidRPr="00F84AB1">
        <w:rPr>
          <w:rFonts w:asciiTheme="majorHAnsi" w:hAnsiTheme="majorHAnsi" w:cs="GillSansMT"/>
          <w:sz w:val="20"/>
          <w:szCs w:val="20"/>
          <w:lang w:val="es-ES"/>
        </w:rPr>
        <w:t>invalidó de oficio la sentencia de segunda instancia por vicios formales, y dictó sentencia de reemplazo, reproduciendo la sentencia de primera instancia, aplicando la prescripción gradual</w:t>
      </w:r>
      <w:r w:rsidR="00BB12BC" w:rsidRPr="00F84AB1">
        <w:rPr>
          <w:rFonts w:asciiTheme="majorHAnsi" w:hAnsiTheme="majorHAnsi" w:cs="GillSansMT"/>
          <w:sz w:val="20"/>
          <w:szCs w:val="20"/>
          <w:lang w:val="es-ES"/>
        </w:rPr>
        <w:t>, otorgándole a los condenados</w:t>
      </w:r>
      <w:r w:rsidR="008B5414" w:rsidRPr="00F84AB1">
        <w:rPr>
          <w:rFonts w:asciiTheme="majorHAnsi" w:hAnsiTheme="majorHAnsi" w:cs="GillSansMT"/>
          <w:sz w:val="20"/>
          <w:szCs w:val="20"/>
          <w:lang w:val="es-ES"/>
        </w:rPr>
        <w:t xml:space="preserve"> el beneficio de la libertad vigilada.</w:t>
      </w:r>
    </w:p>
    <w:p w:rsidR="003A1D57" w:rsidRPr="00F84AB1" w:rsidRDefault="003A1D57"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ES"/>
        </w:rPr>
      </w:pPr>
    </w:p>
    <w:p w:rsidR="003A1D57" w:rsidRPr="00F84AB1" w:rsidRDefault="00066960" w:rsidP="00331369">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Theme="majorHAnsi" w:hAnsiTheme="majorHAnsi" w:cs="GillSansMT"/>
          <w:b/>
          <w:sz w:val="20"/>
          <w:szCs w:val="20"/>
          <w:lang w:val="es-ES"/>
        </w:rPr>
      </w:pPr>
      <w:r w:rsidRPr="00F84AB1">
        <w:rPr>
          <w:rFonts w:asciiTheme="majorHAnsi" w:hAnsiTheme="majorHAnsi" w:cs="GillSansMT"/>
          <w:b/>
          <w:sz w:val="20"/>
          <w:szCs w:val="20"/>
          <w:lang w:val="es-ES"/>
        </w:rPr>
        <w:t xml:space="preserve">Caso de </w:t>
      </w:r>
      <w:r w:rsidR="000701B0" w:rsidRPr="00F84AB1">
        <w:rPr>
          <w:rFonts w:asciiTheme="majorHAnsi" w:hAnsiTheme="majorHAnsi" w:cs="GillSansMT"/>
          <w:b/>
          <w:sz w:val="20"/>
          <w:szCs w:val="20"/>
          <w:lang w:val="es-ES"/>
        </w:rPr>
        <w:t>María Arriagada Jerez y Jorge Aillón Lara</w:t>
      </w:r>
      <w:r w:rsidR="00BC28D3" w:rsidRPr="00F84AB1">
        <w:rPr>
          <w:rFonts w:asciiTheme="majorHAnsi" w:hAnsiTheme="majorHAnsi" w:cs="GillSansMT"/>
          <w:b/>
          <w:sz w:val="20"/>
          <w:szCs w:val="20"/>
          <w:lang w:val="es-ES"/>
        </w:rPr>
        <w:t xml:space="preserve"> y familiares</w:t>
      </w:r>
    </w:p>
    <w:p w:rsidR="003A1D57" w:rsidRPr="00F84AB1" w:rsidRDefault="003A1D57"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ES"/>
        </w:rPr>
      </w:pPr>
    </w:p>
    <w:p w:rsidR="00B306E4" w:rsidRPr="00F84AB1" w:rsidRDefault="00DD4BFE"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El 23</w:t>
      </w:r>
      <w:r w:rsidR="000701B0" w:rsidRPr="00F84AB1">
        <w:rPr>
          <w:rFonts w:asciiTheme="majorHAnsi" w:hAnsiTheme="majorHAnsi" w:cs="GillSansMT"/>
          <w:sz w:val="20"/>
          <w:szCs w:val="20"/>
          <w:lang w:val="es-ES"/>
        </w:rPr>
        <w:t xml:space="preserve"> de junio de 2010, los peticionarios remitieron una ampliación de denuncia presentada en favor </w:t>
      </w:r>
      <w:r w:rsidR="000F4059" w:rsidRPr="00F84AB1">
        <w:rPr>
          <w:rFonts w:asciiTheme="majorHAnsi" w:hAnsiTheme="majorHAnsi" w:cs="GillSansMT"/>
          <w:sz w:val="20"/>
          <w:szCs w:val="20"/>
          <w:lang w:val="es-ES"/>
        </w:rPr>
        <w:t xml:space="preserve">de </w:t>
      </w:r>
      <w:r w:rsidR="000701B0" w:rsidRPr="00F84AB1">
        <w:rPr>
          <w:rFonts w:asciiTheme="majorHAnsi" w:hAnsiTheme="majorHAnsi" w:cs="GillSansMT"/>
          <w:sz w:val="20"/>
          <w:szCs w:val="20"/>
          <w:lang w:val="es-ES"/>
        </w:rPr>
        <w:t>María Arriagada Jerez y Jorge Aillón Lara</w:t>
      </w:r>
      <w:r w:rsidR="00DD6761" w:rsidRPr="00F84AB1">
        <w:rPr>
          <w:rFonts w:asciiTheme="majorHAnsi" w:hAnsiTheme="majorHAnsi" w:cs="GillSansMT"/>
          <w:sz w:val="20"/>
          <w:szCs w:val="20"/>
          <w:lang w:val="es-ES"/>
        </w:rPr>
        <w:t xml:space="preserve"> y sus familiares</w:t>
      </w:r>
      <w:r w:rsidR="00B306E4" w:rsidRPr="00F84AB1">
        <w:rPr>
          <w:rFonts w:asciiTheme="majorHAnsi" w:hAnsiTheme="majorHAnsi" w:cs="GillSansMT"/>
          <w:sz w:val="20"/>
          <w:szCs w:val="20"/>
          <w:lang w:val="es-ES"/>
        </w:rPr>
        <w:t>.</w:t>
      </w:r>
    </w:p>
    <w:p w:rsidR="00ED6947" w:rsidRPr="00F84AB1" w:rsidRDefault="00ED6947"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cs="GillSansMT"/>
          <w:sz w:val="20"/>
          <w:szCs w:val="20"/>
          <w:lang w:val="es-ES"/>
        </w:rPr>
      </w:pPr>
    </w:p>
    <w:p w:rsidR="00F11EF7" w:rsidRPr="00F84AB1" w:rsidRDefault="00ED6947"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En cuanto a María Arriagada Jerez, se indica que era</w:t>
      </w:r>
      <w:r w:rsidR="00DD4BFE" w:rsidRPr="00F84AB1">
        <w:rPr>
          <w:rFonts w:asciiTheme="majorHAnsi" w:hAnsiTheme="majorHAnsi" w:cs="GillSansMT"/>
          <w:sz w:val="20"/>
          <w:szCs w:val="20"/>
          <w:lang w:val="es-ES"/>
        </w:rPr>
        <w:t xml:space="preserve"> profesora y</w:t>
      </w:r>
      <w:r w:rsidRPr="00F84AB1">
        <w:rPr>
          <w:rFonts w:asciiTheme="majorHAnsi" w:hAnsiTheme="majorHAnsi" w:cs="GillSansMT"/>
          <w:sz w:val="20"/>
          <w:szCs w:val="20"/>
          <w:lang w:val="es-ES"/>
        </w:rPr>
        <w:t xml:space="preserve"> militante del Partido Comunista y que</w:t>
      </w:r>
      <w:r w:rsidR="00F11EF7" w:rsidRPr="00F84AB1">
        <w:rPr>
          <w:rFonts w:asciiTheme="majorHAnsi" w:hAnsiTheme="majorHAnsi" w:cs="GillSansMT"/>
          <w:sz w:val="20"/>
          <w:szCs w:val="20"/>
          <w:lang w:val="es-ES"/>
        </w:rPr>
        <w:t xml:space="preserve"> </w:t>
      </w:r>
      <w:r w:rsidR="00F11EF7" w:rsidRPr="00F84AB1">
        <w:rPr>
          <w:rFonts w:asciiTheme="majorHAnsi" w:hAnsiTheme="majorHAnsi" w:cs="GillSansMT,Bold"/>
          <w:bCs/>
          <w:sz w:val="20"/>
          <w:szCs w:val="20"/>
          <w:lang w:val="es-ES"/>
        </w:rPr>
        <w:t>fue detenida por funcionarios de la Fuer</w:t>
      </w:r>
      <w:r w:rsidR="00BC28D3" w:rsidRPr="00F84AB1">
        <w:rPr>
          <w:rFonts w:asciiTheme="majorHAnsi" w:hAnsiTheme="majorHAnsi" w:cs="GillSansMT,Bold"/>
          <w:bCs/>
          <w:sz w:val="20"/>
          <w:szCs w:val="20"/>
          <w:lang w:val="es-ES"/>
        </w:rPr>
        <w:t>z</w:t>
      </w:r>
      <w:r w:rsidR="00F11EF7" w:rsidRPr="00F84AB1">
        <w:rPr>
          <w:rFonts w:asciiTheme="majorHAnsi" w:hAnsiTheme="majorHAnsi" w:cs="GillSansMT,Bold"/>
          <w:bCs/>
          <w:sz w:val="20"/>
          <w:szCs w:val="20"/>
          <w:lang w:val="es-ES"/>
        </w:rPr>
        <w:t>a Aérea de Chile (en adelante FACH) quienes llegaron a su domicilio ubicado en la Escuela No. 31 de Chilpaco, en un helicóptero de la Base Aérea</w:t>
      </w:r>
      <w:r w:rsidR="00831589" w:rsidRPr="00F84AB1">
        <w:rPr>
          <w:rFonts w:asciiTheme="majorHAnsi" w:hAnsiTheme="majorHAnsi" w:cs="GillSansMT,Bold"/>
          <w:bCs/>
          <w:sz w:val="20"/>
          <w:szCs w:val="20"/>
          <w:lang w:val="es-ES"/>
        </w:rPr>
        <w:t>.</w:t>
      </w:r>
      <w:r w:rsidR="00F11EF7" w:rsidRPr="00F84AB1">
        <w:rPr>
          <w:rFonts w:asciiTheme="majorHAnsi" w:hAnsiTheme="majorHAnsi" w:cs="GillSansMT,Bold"/>
          <w:bCs/>
          <w:sz w:val="20"/>
          <w:szCs w:val="20"/>
          <w:lang w:val="es-ES"/>
        </w:rPr>
        <w:t xml:space="preserve"> Alegan que fue </w:t>
      </w:r>
      <w:r w:rsidR="00831589" w:rsidRPr="00F84AB1">
        <w:rPr>
          <w:rFonts w:asciiTheme="majorHAnsi" w:hAnsiTheme="majorHAnsi" w:cs="GillSansMT,Bold"/>
          <w:bCs/>
          <w:sz w:val="20"/>
          <w:szCs w:val="20"/>
          <w:lang w:val="es-ES"/>
        </w:rPr>
        <w:t>detenida</w:t>
      </w:r>
      <w:r w:rsidR="00F11EF7" w:rsidRPr="00F84AB1">
        <w:rPr>
          <w:rFonts w:asciiTheme="majorHAnsi" w:hAnsiTheme="majorHAnsi" w:cs="GillSansMT,Bold"/>
          <w:bCs/>
          <w:sz w:val="20"/>
          <w:szCs w:val="20"/>
          <w:lang w:val="es-ES"/>
        </w:rPr>
        <w:t xml:space="preserve"> junto </w:t>
      </w:r>
      <w:r w:rsidR="00831589" w:rsidRPr="00F84AB1">
        <w:rPr>
          <w:rFonts w:asciiTheme="majorHAnsi" w:hAnsiTheme="majorHAnsi" w:cs="GillSansMT,Bold"/>
          <w:bCs/>
          <w:sz w:val="20"/>
          <w:szCs w:val="20"/>
          <w:lang w:val="es-ES"/>
        </w:rPr>
        <w:t xml:space="preserve">a </w:t>
      </w:r>
      <w:r w:rsidR="00F11EF7" w:rsidRPr="00F84AB1">
        <w:rPr>
          <w:rFonts w:asciiTheme="majorHAnsi" w:hAnsiTheme="majorHAnsi" w:cs="GillSansMT,Bold"/>
          <w:bCs/>
          <w:sz w:val="20"/>
          <w:szCs w:val="20"/>
          <w:lang w:val="es-ES"/>
        </w:rPr>
        <w:t xml:space="preserve">otro profesor </w:t>
      </w:r>
      <w:r w:rsidR="00831589" w:rsidRPr="00F84AB1">
        <w:rPr>
          <w:rFonts w:asciiTheme="majorHAnsi" w:hAnsiTheme="majorHAnsi" w:cs="GillSansMT,Bold"/>
          <w:bCs/>
          <w:sz w:val="20"/>
          <w:szCs w:val="20"/>
          <w:lang w:val="es-ES"/>
        </w:rPr>
        <w:t xml:space="preserve">de apellido Durán </w:t>
      </w:r>
      <w:r w:rsidR="00F11EF7" w:rsidRPr="00F84AB1">
        <w:rPr>
          <w:rFonts w:asciiTheme="majorHAnsi" w:hAnsiTheme="majorHAnsi" w:cs="GillSansMT,Bold"/>
          <w:bCs/>
          <w:sz w:val="20"/>
          <w:szCs w:val="20"/>
          <w:lang w:val="es-ES"/>
        </w:rPr>
        <w:t>en presencia de su familia y colegas</w:t>
      </w:r>
      <w:r w:rsidR="00831589" w:rsidRPr="00F84AB1">
        <w:rPr>
          <w:rFonts w:asciiTheme="majorHAnsi" w:hAnsiTheme="majorHAnsi" w:cs="GillSansMT,Bold"/>
          <w:bCs/>
          <w:sz w:val="20"/>
          <w:szCs w:val="20"/>
          <w:lang w:val="es-ES"/>
        </w:rPr>
        <w:t>,</w:t>
      </w:r>
      <w:r w:rsidR="00F11EF7" w:rsidRPr="00F84AB1">
        <w:rPr>
          <w:rFonts w:asciiTheme="majorHAnsi" w:hAnsiTheme="majorHAnsi" w:cs="GillSansMT,Bold"/>
          <w:bCs/>
          <w:sz w:val="20"/>
          <w:szCs w:val="20"/>
          <w:lang w:val="es-ES"/>
        </w:rPr>
        <w:t xml:space="preserve"> y que fue trasladada a Lonquimay, donde estuvo recluida 3 días en el Retén de Carabineros. </w:t>
      </w:r>
      <w:r w:rsidR="00831589" w:rsidRPr="00F84AB1">
        <w:rPr>
          <w:rFonts w:asciiTheme="majorHAnsi" w:hAnsiTheme="majorHAnsi" w:cs="GillSansMT,Bold"/>
          <w:bCs/>
          <w:sz w:val="20"/>
          <w:szCs w:val="20"/>
          <w:lang w:val="es-ES"/>
        </w:rPr>
        <w:t>Refieren que po</w:t>
      </w:r>
      <w:r w:rsidR="00F11EF7" w:rsidRPr="00F84AB1">
        <w:rPr>
          <w:rFonts w:asciiTheme="majorHAnsi" w:hAnsiTheme="majorHAnsi" w:cs="GillSansMT,Bold"/>
          <w:bCs/>
          <w:sz w:val="20"/>
          <w:szCs w:val="20"/>
          <w:lang w:val="es-ES"/>
        </w:rPr>
        <w:t>steriormente fue trasladada al Cuartel de Carabineros de Curacautín y luego a la Base Aérea de Maquehue, desde donde desapareció.</w:t>
      </w:r>
    </w:p>
    <w:p w:rsidR="00B306E4" w:rsidRPr="00F84AB1" w:rsidRDefault="00B306E4"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cs="GillSansMT"/>
          <w:sz w:val="20"/>
          <w:szCs w:val="20"/>
          <w:lang w:val="es-ES"/>
        </w:rPr>
      </w:pPr>
    </w:p>
    <w:p w:rsidR="003A1D57" w:rsidRPr="00F84AB1" w:rsidRDefault="00B306E4"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Respecto de Jorge Aillón Lara, los peticionarios refieren que era militante del Partido Comunista y que fue detenido por primera vez por Carabineros de Lo</w:t>
      </w:r>
      <w:r w:rsidR="005C3FFE" w:rsidRPr="00F84AB1">
        <w:rPr>
          <w:rFonts w:asciiTheme="majorHAnsi" w:hAnsiTheme="majorHAnsi" w:cs="GillSansMT"/>
          <w:sz w:val="20"/>
          <w:szCs w:val="20"/>
          <w:lang w:val="es-ES"/>
        </w:rPr>
        <w:t xml:space="preserve">nquimay </w:t>
      </w:r>
      <w:r w:rsidRPr="00F84AB1">
        <w:rPr>
          <w:rFonts w:asciiTheme="majorHAnsi" w:hAnsiTheme="majorHAnsi" w:cs="GillSansMT"/>
          <w:sz w:val="20"/>
          <w:szCs w:val="20"/>
          <w:lang w:val="es-ES"/>
        </w:rPr>
        <w:t>y trasladado al cuartel</w:t>
      </w:r>
      <w:r w:rsidR="005C3FFE" w:rsidRPr="00F84AB1">
        <w:rPr>
          <w:rFonts w:asciiTheme="majorHAnsi" w:hAnsiTheme="majorHAnsi" w:cs="GillSansMT"/>
          <w:sz w:val="20"/>
          <w:szCs w:val="20"/>
          <w:lang w:val="es-ES"/>
        </w:rPr>
        <w:t>, donde permaneció por 3 días. Indican que posteriormente fue trasladado a la c</w:t>
      </w:r>
      <w:r w:rsidRPr="00F84AB1">
        <w:rPr>
          <w:rFonts w:asciiTheme="majorHAnsi" w:hAnsiTheme="majorHAnsi" w:cs="GillSansMT"/>
          <w:sz w:val="20"/>
          <w:szCs w:val="20"/>
          <w:lang w:val="es-ES"/>
        </w:rPr>
        <w:t>árcel de Victoria</w:t>
      </w:r>
      <w:r w:rsidR="005C3FFE" w:rsidRPr="00F84AB1">
        <w:rPr>
          <w:rFonts w:asciiTheme="majorHAnsi" w:hAnsiTheme="majorHAnsi" w:cs="GillSansMT"/>
          <w:sz w:val="20"/>
          <w:szCs w:val="20"/>
          <w:lang w:val="es-ES"/>
        </w:rPr>
        <w:t xml:space="preserve"> donde permaneció</w:t>
      </w:r>
      <w:r w:rsidRPr="00F84AB1">
        <w:rPr>
          <w:rFonts w:asciiTheme="majorHAnsi" w:hAnsiTheme="majorHAnsi" w:cs="GillSansMT"/>
          <w:sz w:val="20"/>
          <w:szCs w:val="20"/>
          <w:lang w:val="es-ES"/>
        </w:rPr>
        <w:t xml:space="preserve"> hasta el 27 de septiembre de 1973</w:t>
      </w:r>
      <w:r w:rsidR="005C3FFE" w:rsidRPr="00F84AB1">
        <w:rPr>
          <w:rFonts w:asciiTheme="majorHAnsi" w:hAnsiTheme="majorHAnsi" w:cs="GillSansMT"/>
          <w:sz w:val="20"/>
          <w:szCs w:val="20"/>
          <w:lang w:val="es-ES"/>
        </w:rPr>
        <w:t xml:space="preserve">, </w:t>
      </w:r>
      <w:r w:rsidR="00CC3D05" w:rsidRPr="00F84AB1">
        <w:rPr>
          <w:rFonts w:asciiTheme="majorHAnsi" w:hAnsiTheme="majorHAnsi" w:cs="GillSansMT"/>
          <w:sz w:val="20"/>
          <w:szCs w:val="20"/>
          <w:lang w:val="es-ES"/>
        </w:rPr>
        <w:t>fecha en</w:t>
      </w:r>
      <w:r w:rsidR="00BC28D3" w:rsidRPr="00F84AB1">
        <w:rPr>
          <w:rFonts w:asciiTheme="majorHAnsi" w:hAnsiTheme="majorHAnsi" w:cs="GillSansMT"/>
          <w:sz w:val="20"/>
          <w:szCs w:val="20"/>
          <w:lang w:val="es-ES"/>
        </w:rPr>
        <w:t xml:space="preserve"> la que</w:t>
      </w:r>
      <w:r w:rsidRPr="00F84AB1">
        <w:rPr>
          <w:rFonts w:asciiTheme="majorHAnsi" w:hAnsiTheme="majorHAnsi" w:cs="GillSansMT"/>
          <w:sz w:val="20"/>
          <w:szCs w:val="20"/>
          <w:lang w:val="es-ES"/>
        </w:rPr>
        <w:t xml:space="preserve"> fue puesto en libertad. </w:t>
      </w:r>
      <w:r w:rsidR="00CC3D05" w:rsidRPr="00F84AB1">
        <w:rPr>
          <w:rFonts w:asciiTheme="majorHAnsi" w:hAnsiTheme="majorHAnsi" w:cs="GillSansMT"/>
          <w:sz w:val="20"/>
          <w:szCs w:val="20"/>
          <w:lang w:val="es-ES"/>
        </w:rPr>
        <w:t xml:space="preserve">Relatan que </w:t>
      </w:r>
      <w:r w:rsidRPr="00F84AB1">
        <w:rPr>
          <w:rFonts w:asciiTheme="majorHAnsi" w:hAnsiTheme="majorHAnsi" w:cs="GillSansMT"/>
          <w:sz w:val="20"/>
          <w:szCs w:val="20"/>
          <w:lang w:val="es-ES"/>
        </w:rPr>
        <w:t xml:space="preserve">ese mismo día al llegar a la estación de ferrocarril </w:t>
      </w:r>
      <w:r w:rsidR="00CC3D05" w:rsidRPr="00F84AB1">
        <w:rPr>
          <w:rFonts w:asciiTheme="majorHAnsi" w:hAnsiTheme="majorHAnsi" w:cs="GillSansMT"/>
          <w:sz w:val="20"/>
          <w:szCs w:val="20"/>
          <w:lang w:val="es-ES"/>
        </w:rPr>
        <w:t>camino a su casa, fue</w:t>
      </w:r>
      <w:r w:rsidRPr="00F84AB1">
        <w:rPr>
          <w:rFonts w:asciiTheme="majorHAnsi" w:hAnsiTheme="majorHAnsi" w:cs="GillSansMT"/>
          <w:sz w:val="20"/>
          <w:szCs w:val="20"/>
          <w:lang w:val="es-ES"/>
        </w:rPr>
        <w:t xml:space="preserve"> detenido por personal militar del Regimiento Lautaro, quienes lo entregaron a personal de la</w:t>
      </w:r>
      <w:r w:rsidR="00CC3D05" w:rsidRPr="00F84AB1">
        <w:rPr>
          <w:rFonts w:asciiTheme="majorHAnsi" w:hAnsiTheme="majorHAnsi" w:cs="GillSansMT"/>
          <w:sz w:val="20"/>
          <w:szCs w:val="20"/>
          <w:lang w:val="es-ES"/>
        </w:rPr>
        <w:t xml:space="preserve"> F</w:t>
      </w:r>
      <w:r w:rsidR="00F11EF7" w:rsidRPr="00F84AB1">
        <w:rPr>
          <w:rFonts w:asciiTheme="majorHAnsi" w:hAnsiTheme="majorHAnsi" w:cs="GillSansMT"/>
          <w:sz w:val="20"/>
          <w:szCs w:val="20"/>
          <w:lang w:val="es-ES"/>
        </w:rPr>
        <w:t>ACH</w:t>
      </w:r>
      <w:r w:rsidR="00CC3D05"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 xml:space="preserve">Señalan que luego fue trasladado a la Comisaría de Carabineros de Curacautín y posteriormente a la Base Aérea Maquehue de Temuco, </w:t>
      </w:r>
      <w:r w:rsidR="00831589" w:rsidRPr="00F84AB1">
        <w:rPr>
          <w:rFonts w:asciiTheme="majorHAnsi" w:hAnsiTheme="majorHAnsi" w:cs="GillSansMT"/>
          <w:sz w:val="20"/>
          <w:szCs w:val="20"/>
          <w:lang w:val="es-ES"/>
        </w:rPr>
        <w:t>desde donde desapareció.</w:t>
      </w:r>
    </w:p>
    <w:p w:rsidR="0098721D" w:rsidRPr="00F84AB1" w:rsidRDefault="0098721D" w:rsidP="00C64463">
      <w:pPr>
        <w:pStyle w:val="ListParagraph"/>
        <w:jc w:val="both"/>
        <w:rPr>
          <w:rFonts w:asciiTheme="majorHAnsi" w:hAnsiTheme="majorHAnsi" w:cs="GillSansMT"/>
          <w:sz w:val="20"/>
          <w:szCs w:val="20"/>
          <w:lang w:val="es-ES"/>
        </w:rPr>
      </w:pPr>
    </w:p>
    <w:p w:rsidR="00AF7A72" w:rsidRPr="00F84AB1" w:rsidRDefault="00AF7A72"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Los peticionarios indican que a raíz de los hechos los familiares de ambas víctimas iniciaron inmediatamente gestiones antes autoridades para dar con su paradero, sin éxito. Indican que se inició una investigación en el Juzgado de Curacautín, la cual fue sobreseída temporalmente el 30 de octubre de 1979, por estimarse que la perpetración del delito no estaba justificada, resolución que fue confirmada por la Corte de Apelaciones de Temuco el 22 de noviembre de 1979. Relatan que posteriormente se inició una investigación instruida por un Ministro en Visita de la Corte de Apelaciones de Temuco, en la cual se dictó la sentencia definitiva el 30 de mayo de 2008, que condenó a Leonardo Reyes Herrera, Luis Alberto Soto Pinto, Heriberto Pereira Rojas, Jorge Eduardo Soto Herrera, Luis Osmán Yañez Silva, Jorge Aliro Valde</w:t>
      </w:r>
      <w:r w:rsidR="00453338" w:rsidRPr="00F84AB1">
        <w:rPr>
          <w:rFonts w:asciiTheme="majorHAnsi" w:hAnsiTheme="majorHAnsi" w:cs="GillSansMT"/>
          <w:sz w:val="20"/>
          <w:szCs w:val="20"/>
          <w:lang w:val="es-ES"/>
        </w:rPr>
        <w:t>benito Isler y Enrique Alberto R</w:t>
      </w:r>
      <w:r w:rsidRPr="00F84AB1">
        <w:rPr>
          <w:rFonts w:asciiTheme="majorHAnsi" w:hAnsiTheme="majorHAnsi" w:cs="GillSansMT"/>
          <w:sz w:val="20"/>
          <w:szCs w:val="20"/>
          <w:lang w:val="es-ES"/>
        </w:rPr>
        <w:t xml:space="preserve">ebolledo Sotelo a la pena de </w:t>
      </w:r>
      <w:r w:rsidR="00D65985" w:rsidRPr="00F84AB1">
        <w:rPr>
          <w:rFonts w:asciiTheme="majorHAnsi" w:hAnsiTheme="majorHAnsi" w:cs="GillSansMT"/>
          <w:sz w:val="20"/>
          <w:szCs w:val="20"/>
          <w:lang w:val="es-ES"/>
        </w:rPr>
        <w:t>ocho</w:t>
      </w:r>
      <w:r w:rsidRPr="00F84AB1">
        <w:rPr>
          <w:rFonts w:asciiTheme="majorHAnsi" w:hAnsiTheme="majorHAnsi" w:cs="GillSansMT"/>
          <w:sz w:val="20"/>
          <w:szCs w:val="20"/>
          <w:lang w:val="es-ES"/>
        </w:rPr>
        <w:t xml:space="preserve"> años de presidio mayor</w:t>
      </w:r>
      <w:r w:rsidR="00764625" w:rsidRPr="00F84AB1">
        <w:rPr>
          <w:rFonts w:asciiTheme="majorHAnsi" w:hAnsiTheme="majorHAnsi" w:cs="GillSansMT"/>
          <w:sz w:val="20"/>
          <w:szCs w:val="20"/>
          <w:lang w:val="es-ES"/>
        </w:rPr>
        <w:t xml:space="preserve"> por el delito de secuestro calificado cometido en contra de María Arriagada Jerez y Jorge Aillón Lara</w:t>
      </w:r>
      <w:r w:rsidR="00453338" w:rsidRPr="00F84AB1">
        <w:rPr>
          <w:rFonts w:asciiTheme="majorHAnsi" w:hAnsiTheme="majorHAnsi" w:cs="GillSansMT"/>
          <w:sz w:val="20"/>
          <w:szCs w:val="20"/>
          <w:lang w:val="es-ES"/>
        </w:rPr>
        <w:t>, sin favorecer a ninguno de los condenados con beneficios alternativos, por considerar que</w:t>
      </w:r>
      <w:r w:rsidRPr="00F84AB1">
        <w:rPr>
          <w:rFonts w:asciiTheme="majorHAnsi" w:hAnsiTheme="majorHAnsi" w:cs="GillSansMT"/>
          <w:sz w:val="20"/>
          <w:szCs w:val="20"/>
          <w:lang w:val="es-ES"/>
        </w:rPr>
        <w:t xml:space="preserve"> no cumplían con los requisitos de la Ley 18.216.</w:t>
      </w:r>
    </w:p>
    <w:p w:rsidR="0098721D" w:rsidRPr="00F84AB1" w:rsidRDefault="0098721D" w:rsidP="00C64463">
      <w:pPr>
        <w:pStyle w:val="ListParagraph"/>
        <w:jc w:val="both"/>
        <w:rPr>
          <w:rFonts w:asciiTheme="majorHAnsi" w:hAnsiTheme="majorHAnsi" w:cs="GillSansMT"/>
          <w:sz w:val="20"/>
          <w:szCs w:val="20"/>
          <w:lang w:val="es-ES"/>
        </w:rPr>
      </w:pPr>
    </w:p>
    <w:p w:rsidR="0098721D" w:rsidRPr="00F84AB1" w:rsidRDefault="00764625"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s="GillSansMT"/>
          <w:sz w:val="20"/>
          <w:szCs w:val="20"/>
          <w:lang w:val="es-ES"/>
        </w:rPr>
      </w:pPr>
      <w:r w:rsidRPr="00F84AB1">
        <w:rPr>
          <w:rFonts w:asciiTheme="majorHAnsi" w:hAnsiTheme="majorHAnsi" w:cs="GillSansMT"/>
          <w:sz w:val="20"/>
          <w:szCs w:val="20"/>
          <w:lang w:val="es-ES"/>
        </w:rPr>
        <w:t>Indican</w:t>
      </w:r>
      <w:r w:rsidR="00BC28D3" w:rsidRPr="00F84AB1">
        <w:rPr>
          <w:rFonts w:asciiTheme="majorHAnsi" w:hAnsiTheme="majorHAnsi" w:cs="GillSansMT"/>
          <w:sz w:val="20"/>
          <w:szCs w:val="20"/>
          <w:lang w:val="es-ES"/>
        </w:rPr>
        <w:t xml:space="preserve"> que</w:t>
      </w:r>
      <w:r w:rsidR="0098721D" w:rsidRPr="00F84AB1">
        <w:rPr>
          <w:rFonts w:asciiTheme="majorHAnsi" w:hAnsiTheme="majorHAnsi" w:cs="GillSansMT"/>
          <w:sz w:val="20"/>
          <w:szCs w:val="20"/>
          <w:lang w:val="es-ES"/>
        </w:rPr>
        <w:t xml:space="preserve"> la Corte de Apelaciones de Temuco confirmó dicha sentencia el 19 de agosto de 2008. Asimismo, señalan que el 23 de diciembre de 2009 la C</w:t>
      </w:r>
      <w:r w:rsidR="00E54E78" w:rsidRPr="00F84AB1">
        <w:rPr>
          <w:rFonts w:asciiTheme="majorHAnsi" w:hAnsiTheme="majorHAnsi" w:cs="GillSansMT"/>
          <w:sz w:val="20"/>
          <w:szCs w:val="20"/>
          <w:lang w:val="es-ES"/>
        </w:rPr>
        <w:t xml:space="preserve">orte Suprema </w:t>
      </w:r>
      <w:r w:rsidR="0098721D" w:rsidRPr="00F84AB1">
        <w:rPr>
          <w:rFonts w:asciiTheme="majorHAnsi" w:hAnsiTheme="majorHAnsi" w:cs="GillSansMT"/>
          <w:sz w:val="20"/>
          <w:szCs w:val="20"/>
          <w:lang w:val="es-ES"/>
        </w:rPr>
        <w:t>al conocer el recurso de casación invalidó de oficio la sentencia de segunda instancia al considerar que adolecía de vicios formales, dado que el sentenciador no se pronunció en extenso sobre las razones para rechazar la prescripción gradual y dictó sentencia de reemplazo</w:t>
      </w:r>
      <w:r w:rsidR="00E17967" w:rsidRPr="00F84AB1">
        <w:rPr>
          <w:rFonts w:asciiTheme="majorHAnsi" w:hAnsiTheme="majorHAnsi" w:cs="GillSansMT"/>
          <w:sz w:val="20"/>
          <w:szCs w:val="20"/>
          <w:lang w:val="es-ES"/>
        </w:rPr>
        <w:t xml:space="preserve"> sin nueva vista,</w:t>
      </w:r>
      <w:r w:rsidR="00037E6B" w:rsidRPr="00F84AB1">
        <w:rPr>
          <w:rFonts w:asciiTheme="majorHAnsi" w:hAnsiTheme="majorHAnsi" w:cs="GillSansMT"/>
          <w:sz w:val="20"/>
          <w:szCs w:val="20"/>
          <w:lang w:val="es-ES"/>
        </w:rPr>
        <w:t xml:space="preserve"> </w:t>
      </w:r>
      <w:r w:rsidR="0098721D" w:rsidRPr="00F84AB1">
        <w:rPr>
          <w:rFonts w:asciiTheme="majorHAnsi" w:hAnsiTheme="majorHAnsi" w:cs="GillSansMT"/>
          <w:sz w:val="20"/>
          <w:szCs w:val="20"/>
          <w:lang w:val="es-ES"/>
        </w:rPr>
        <w:t xml:space="preserve">en la que aplicó la atenuante de conducta irreprochable anterior y </w:t>
      </w:r>
      <w:r w:rsidR="00E17967" w:rsidRPr="00F84AB1">
        <w:rPr>
          <w:rFonts w:asciiTheme="majorHAnsi" w:hAnsiTheme="majorHAnsi" w:cs="GillSansMT"/>
          <w:sz w:val="20"/>
          <w:szCs w:val="20"/>
          <w:lang w:val="es-ES"/>
        </w:rPr>
        <w:t>la media prescripción, contando el p</w:t>
      </w:r>
      <w:r w:rsidR="00DD4BFE" w:rsidRPr="00F84AB1">
        <w:rPr>
          <w:rFonts w:asciiTheme="majorHAnsi" w:hAnsiTheme="majorHAnsi" w:cs="GillSansMT"/>
          <w:sz w:val="20"/>
          <w:szCs w:val="20"/>
          <w:lang w:val="es-ES"/>
        </w:rPr>
        <w:t>laz</w:t>
      </w:r>
      <w:r w:rsidR="00E17967" w:rsidRPr="00F84AB1">
        <w:rPr>
          <w:rFonts w:asciiTheme="majorHAnsi" w:hAnsiTheme="majorHAnsi" w:cs="GillSansMT"/>
          <w:sz w:val="20"/>
          <w:szCs w:val="20"/>
          <w:lang w:val="es-ES"/>
        </w:rPr>
        <w:t xml:space="preserve">o para considerar que el delito se consideraba prescrito desde la fecha de comisión del </w:t>
      </w:r>
      <w:r w:rsidR="00DD4BFE" w:rsidRPr="00F84AB1">
        <w:rPr>
          <w:rFonts w:asciiTheme="majorHAnsi" w:hAnsiTheme="majorHAnsi" w:cs="GillSansMT"/>
          <w:sz w:val="20"/>
          <w:szCs w:val="20"/>
          <w:lang w:val="es-ES"/>
        </w:rPr>
        <w:t>ilícito</w:t>
      </w:r>
      <w:r w:rsidR="00037E6B" w:rsidRPr="00F84AB1">
        <w:rPr>
          <w:rFonts w:asciiTheme="majorHAnsi" w:hAnsiTheme="majorHAnsi" w:cs="GillSansMT"/>
          <w:sz w:val="20"/>
          <w:szCs w:val="20"/>
          <w:lang w:val="es-ES"/>
        </w:rPr>
        <w:t xml:space="preserve">. </w:t>
      </w:r>
      <w:r w:rsidR="00C20A8D" w:rsidRPr="00F84AB1">
        <w:rPr>
          <w:rFonts w:asciiTheme="majorHAnsi" w:hAnsiTheme="majorHAnsi" w:cs="GillSansMT"/>
          <w:sz w:val="20"/>
          <w:szCs w:val="20"/>
          <w:lang w:val="es-ES"/>
        </w:rPr>
        <w:t>Así</w:t>
      </w:r>
      <w:r w:rsidR="00037E6B" w:rsidRPr="00F84AB1">
        <w:rPr>
          <w:rFonts w:asciiTheme="majorHAnsi" w:hAnsiTheme="majorHAnsi" w:cs="GillSansMT"/>
          <w:sz w:val="20"/>
          <w:szCs w:val="20"/>
          <w:lang w:val="es-ES"/>
        </w:rPr>
        <w:t xml:space="preserve"> refieren que se condenó a los hechores a tres años y un día de presidio por el delito de secuestro calificado cometido en contra de las presuntas víctimas,</w:t>
      </w:r>
      <w:r w:rsidR="00DD4BFE" w:rsidRPr="00F84AB1">
        <w:rPr>
          <w:rFonts w:asciiTheme="majorHAnsi" w:hAnsiTheme="majorHAnsi" w:cs="GillSansMT"/>
          <w:sz w:val="20"/>
          <w:szCs w:val="20"/>
          <w:lang w:val="es-ES"/>
        </w:rPr>
        <w:t xml:space="preserve"> y</w:t>
      </w:r>
      <w:r w:rsidR="00037E6B" w:rsidRPr="00F84AB1">
        <w:rPr>
          <w:rFonts w:asciiTheme="majorHAnsi" w:hAnsiTheme="majorHAnsi" w:cs="GillSansMT"/>
          <w:sz w:val="20"/>
          <w:szCs w:val="20"/>
          <w:lang w:val="es-ES"/>
        </w:rPr>
        <w:t xml:space="preserve"> </w:t>
      </w:r>
      <w:r w:rsidR="00D105F9" w:rsidRPr="00F84AB1">
        <w:rPr>
          <w:rFonts w:asciiTheme="majorHAnsi" w:hAnsiTheme="majorHAnsi" w:cs="GillSansMT"/>
          <w:sz w:val="20"/>
          <w:szCs w:val="20"/>
          <w:lang w:val="es-ES"/>
        </w:rPr>
        <w:t xml:space="preserve">se les otorgó </w:t>
      </w:r>
      <w:r w:rsidR="00DD4BFE" w:rsidRPr="00F84AB1">
        <w:rPr>
          <w:rFonts w:asciiTheme="majorHAnsi" w:hAnsiTheme="majorHAnsi" w:cs="GillSansMT"/>
          <w:sz w:val="20"/>
          <w:szCs w:val="20"/>
          <w:lang w:val="es-ES"/>
        </w:rPr>
        <w:t xml:space="preserve">a los condenados </w:t>
      </w:r>
      <w:r w:rsidR="00D105F9" w:rsidRPr="00F84AB1">
        <w:rPr>
          <w:rFonts w:asciiTheme="majorHAnsi" w:hAnsiTheme="majorHAnsi" w:cs="GillSansMT"/>
          <w:sz w:val="20"/>
          <w:szCs w:val="20"/>
          <w:lang w:val="es-ES"/>
        </w:rPr>
        <w:t>el beneficio de la libertad vigilada</w:t>
      </w:r>
      <w:r w:rsidR="0098721D" w:rsidRPr="00F84AB1">
        <w:rPr>
          <w:rFonts w:asciiTheme="majorHAnsi" w:hAnsiTheme="majorHAnsi" w:cs="GillSansMT"/>
          <w:sz w:val="20"/>
          <w:szCs w:val="20"/>
          <w:lang w:val="es-ES"/>
        </w:rPr>
        <w:t>.</w:t>
      </w:r>
    </w:p>
    <w:p w:rsidR="003A1D57" w:rsidRPr="00F84AB1" w:rsidRDefault="003A1D57"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ES"/>
        </w:rPr>
      </w:pPr>
    </w:p>
    <w:p w:rsidR="003A1D57" w:rsidRPr="00F84AB1" w:rsidRDefault="000F4059" w:rsidP="00331369">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Theme="majorHAnsi" w:hAnsiTheme="majorHAnsi" w:cs="Arial"/>
          <w:color w:val="943634" w:themeColor="accent2" w:themeShade="BF"/>
          <w:sz w:val="20"/>
          <w:szCs w:val="20"/>
          <w:lang w:val="es-ES"/>
        </w:rPr>
      </w:pPr>
      <w:r w:rsidRPr="00F84AB1">
        <w:rPr>
          <w:rFonts w:asciiTheme="majorHAnsi" w:hAnsiTheme="majorHAnsi" w:cs="GillSansMT"/>
          <w:b/>
          <w:sz w:val="20"/>
          <w:szCs w:val="20"/>
          <w:lang w:val="es-ES"/>
        </w:rPr>
        <w:t xml:space="preserve">Caso de </w:t>
      </w:r>
      <w:r w:rsidR="00017A2A" w:rsidRPr="00F84AB1">
        <w:rPr>
          <w:rFonts w:asciiTheme="majorHAnsi" w:hAnsiTheme="majorHAnsi" w:cs="GillSansMT"/>
          <w:b/>
          <w:sz w:val="20"/>
          <w:szCs w:val="20"/>
          <w:lang w:val="es-ES"/>
        </w:rPr>
        <w:t>Marcelo Eduardo Salinas Eytel</w:t>
      </w:r>
      <w:r w:rsidR="00BC28D3" w:rsidRPr="00F84AB1">
        <w:rPr>
          <w:rFonts w:asciiTheme="majorHAnsi" w:hAnsiTheme="majorHAnsi" w:cs="GillSansMT"/>
          <w:b/>
          <w:sz w:val="20"/>
          <w:szCs w:val="20"/>
          <w:lang w:val="es-ES"/>
        </w:rPr>
        <w:t xml:space="preserve"> y familiares</w:t>
      </w:r>
    </w:p>
    <w:p w:rsidR="003A1D57" w:rsidRPr="00F84AB1" w:rsidRDefault="003A1D57"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ES"/>
        </w:rPr>
      </w:pPr>
    </w:p>
    <w:p w:rsidR="000F4059" w:rsidRPr="00F84AB1" w:rsidRDefault="000F4059" w:rsidP="00C64463">
      <w:pPr>
        <w:pStyle w:val="ListParagraph"/>
        <w:numPr>
          <w:ilvl w:val="0"/>
          <w:numId w:val="56"/>
        </w:numPr>
        <w:jc w:val="both"/>
        <w:rPr>
          <w:rFonts w:asciiTheme="majorHAnsi" w:eastAsia="Arial Unicode MS" w:hAnsiTheme="majorHAnsi" w:cs="GillSansMT"/>
          <w:color w:val="auto"/>
          <w:sz w:val="20"/>
          <w:szCs w:val="20"/>
          <w:lang w:val="es-ES" w:eastAsia="en-US"/>
        </w:rPr>
      </w:pPr>
      <w:r w:rsidRPr="00F84AB1">
        <w:rPr>
          <w:rFonts w:asciiTheme="majorHAnsi" w:hAnsiTheme="majorHAnsi" w:cs="GillSansMT"/>
          <w:sz w:val="20"/>
          <w:szCs w:val="20"/>
          <w:lang w:val="es-ES"/>
        </w:rPr>
        <w:t>El 20 de julio de 2010, los peticionarios remitieron una ampliación de denuncia presentada en favor de</w:t>
      </w:r>
      <w:r w:rsidRPr="00F84AB1">
        <w:rPr>
          <w:rFonts w:asciiTheme="majorHAnsi" w:hAnsiTheme="majorHAnsi"/>
          <w:sz w:val="20"/>
          <w:szCs w:val="20"/>
          <w:lang w:val="es-ES"/>
        </w:rPr>
        <w:t xml:space="preserve"> </w:t>
      </w:r>
      <w:r w:rsidRPr="00F84AB1">
        <w:rPr>
          <w:rFonts w:asciiTheme="majorHAnsi" w:eastAsia="Arial Unicode MS" w:hAnsiTheme="majorHAnsi" w:cs="GillSansMT"/>
          <w:color w:val="auto"/>
          <w:sz w:val="20"/>
          <w:szCs w:val="20"/>
          <w:lang w:val="es-ES" w:eastAsia="en-US"/>
        </w:rPr>
        <w:t>Marcelo Eduardo Salinas Eytel</w:t>
      </w:r>
      <w:r w:rsidR="00DD6761" w:rsidRPr="00F84AB1">
        <w:rPr>
          <w:rFonts w:asciiTheme="majorHAnsi" w:eastAsia="Arial Unicode MS" w:hAnsiTheme="majorHAnsi" w:cs="GillSansMT"/>
          <w:color w:val="auto"/>
          <w:sz w:val="20"/>
          <w:szCs w:val="20"/>
          <w:lang w:val="es-ES" w:eastAsia="en-US"/>
        </w:rPr>
        <w:t xml:space="preserve"> y sus familiares</w:t>
      </w:r>
      <w:r w:rsidR="00B70FC9" w:rsidRPr="00F84AB1">
        <w:rPr>
          <w:rFonts w:asciiTheme="majorHAnsi" w:eastAsia="Arial Unicode MS" w:hAnsiTheme="majorHAnsi" w:cs="GillSansMT"/>
          <w:color w:val="auto"/>
          <w:sz w:val="20"/>
          <w:szCs w:val="20"/>
          <w:lang w:val="es-ES" w:eastAsia="en-US"/>
        </w:rPr>
        <w:t>.</w:t>
      </w:r>
      <w:r w:rsidR="002C2AC8" w:rsidRPr="00F84AB1">
        <w:rPr>
          <w:rFonts w:asciiTheme="majorHAnsi" w:eastAsia="Arial Unicode MS" w:hAnsiTheme="majorHAnsi" w:cs="GillSansMT"/>
          <w:color w:val="auto"/>
          <w:sz w:val="20"/>
          <w:szCs w:val="20"/>
          <w:lang w:val="es-ES" w:eastAsia="en-US"/>
        </w:rPr>
        <w:t xml:space="preserve"> </w:t>
      </w:r>
    </w:p>
    <w:p w:rsidR="000F31AE" w:rsidRPr="00F84AB1" w:rsidRDefault="000F31AE" w:rsidP="00C64463">
      <w:pPr>
        <w:pStyle w:val="ListParagraph"/>
        <w:jc w:val="both"/>
        <w:rPr>
          <w:rFonts w:asciiTheme="majorHAnsi" w:eastAsia="Arial Unicode MS" w:hAnsiTheme="majorHAnsi" w:cs="GillSansMT"/>
          <w:color w:val="auto"/>
          <w:sz w:val="20"/>
          <w:szCs w:val="20"/>
          <w:lang w:val="es-ES" w:eastAsia="en-US"/>
        </w:rPr>
      </w:pPr>
    </w:p>
    <w:p w:rsidR="00400F2F" w:rsidRPr="00F84AB1" w:rsidRDefault="00400F2F" w:rsidP="00C64463">
      <w:pPr>
        <w:pStyle w:val="ListParagraph"/>
        <w:numPr>
          <w:ilvl w:val="0"/>
          <w:numId w:val="56"/>
        </w:numPr>
        <w:jc w:val="both"/>
        <w:rPr>
          <w:rFonts w:asciiTheme="majorHAnsi" w:eastAsia="Arial Unicode MS" w:hAnsiTheme="majorHAnsi" w:cs="GillSansMT"/>
          <w:color w:val="auto"/>
          <w:sz w:val="20"/>
          <w:szCs w:val="20"/>
          <w:lang w:val="es-ES" w:eastAsia="en-US"/>
        </w:rPr>
      </w:pPr>
      <w:r w:rsidRPr="00F84AB1">
        <w:rPr>
          <w:rFonts w:asciiTheme="majorHAnsi" w:eastAsia="Arial Unicode MS" w:hAnsiTheme="majorHAnsi" w:cs="GillSansMT"/>
          <w:color w:val="auto"/>
          <w:sz w:val="20"/>
          <w:szCs w:val="20"/>
          <w:lang w:val="es-ES" w:eastAsia="en-US"/>
        </w:rPr>
        <w:t xml:space="preserve">En la denuncia se indica que Marcelo Eduardo Salinas Eytel fue detenido el 31 de octubre de 1974 </w:t>
      </w:r>
      <w:r w:rsidRPr="00F84AB1">
        <w:rPr>
          <w:rFonts w:asciiTheme="majorHAnsi" w:hAnsiTheme="majorHAnsi" w:cs="GillSansMT"/>
          <w:sz w:val="20"/>
          <w:szCs w:val="20"/>
          <w:lang w:val="es-ES"/>
        </w:rPr>
        <w:t>en la Comuna Providencia,</w:t>
      </w:r>
      <w:r w:rsidRPr="00F84AB1">
        <w:rPr>
          <w:rFonts w:asciiTheme="majorHAnsi" w:eastAsia="Arial Unicode MS" w:hAnsiTheme="majorHAnsi" w:cs="GillSansMT"/>
          <w:color w:val="auto"/>
          <w:sz w:val="20"/>
          <w:szCs w:val="20"/>
          <w:lang w:val="es-ES" w:eastAsia="en-US"/>
        </w:rPr>
        <w:t xml:space="preserve"> en circunstancias en que </w:t>
      </w:r>
      <w:r w:rsidR="00645450" w:rsidRPr="00F84AB1">
        <w:rPr>
          <w:rFonts w:asciiTheme="majorHAnsi" w:eastAsia="Arial Unicode MS" w:hAnsiTheme="majorHAnsi" w:cs="GillSansMT"/>
          <w:color w:val="auto"/>
          <w:sz w:val="20"/>
          <w:szCs w:val="20"/>
          <w:lang w:val="es-ES" w:eastAsia="en-US"/>
        </w:rPr>
        <w:t xml:space="preserve">había coordinado </w:t>
      </w:r>
      <w:r w:rsidRPr="00F84AB1">
        <w:rPr>
          <w:rFonts w:asciiTheme="majorHAnsi" w:eastAsia="Arial Unicode MS" w:hAnsiTheme="majorHAnsi" w:cs="GillSansMT"/>
          <w:color w:val="auto"/>
          <w:sz w:val="20"/>
          <w:szCs w:val="20"/>
          <w:lang w:val="es-ES" w:eastAsia="en-US"/>
        </w:rPr>
        <w:t xml:space="preserve">recoger </w:t>
      </w:r>
      <w:r w:rsidR="00645450" w:rsidRPr="00F84AB1">
        <w:rPr>
          <w:rFonts w:asciiTheme="majorHAnsi" w:eastAsia="Arial Unicode MS" w:hAnsiTheme="majorHAnsi" w:cs="GillSansMT"/>
          <w:color w:val="auto"/>
          <w:sz w:val="20"/>
          <w:szCs w:val="20"/>
          <w:lang w:val="es-ES" w:eastAsia="en-US"/>
        </w:rPr>
        <w:t xml:space="preserve">ese día </w:t>
      </w:r>
      <w:r w:rsidRPr="00F84AB1">
        <w:rPr>
          <w:rFonts w:asciiTheme="majorHAnsi" w:eastAsia="Arial Unicode MS" w:hAnsiTheme="majorHAnsi" w:cs="GillSansMT"/>
          <w:color w:val="auto"/>
          <w:sz w:val="20"/>
          <w:szCs w:val="20"/>
          <w:lang w:val="es-ES" w:eastAsia="en-US"/>
        </w:rPr>
        <w:t>a su espo</w:t>
      </w:r>
      <w:r w:rsidRPr="00F84AB1">
        <w:rPr>
          <w:rFonts w:asciiTheme="majorHAnsi" w:hAnsiTheme="majorHAnsi" w:cs="GillSansMT"/>
          <w:sz w:val="20"/>
          <w:szCs w:val="20"/>
          <w:lang w:val="es-ES"/>
        </w:rPr>
        <w:t xml:space="preserve">sa Jacqueline Drouilly, quien refieren también sería detenida desaparecida. Los peticionarios </w:t>
      </w:r>
      <w:r w:rsidR="00645450" w:rsidRPr="00F84AB1">
        <w:rPr>
          <w:rFonts w:asciiTheme="majorHAnsi" w:hAnsiTheme="majorHAnsi" w:cs="GillSansMT"/>
          <w:sz w:val="20"/>
          <w:szCs w:val="20"/>
          <w:lang w:val="es-ES"/>
        </w:rPr>
        <w:t xml:space="preserve">señalan </w:t>
      </w:r>
      <w:r w:rsidRPr="00F84AB1">
        <w:rPr>
          <w:rFonts w:asciiTheme="majorHAnsi" w:hAnsiTheme="majorHAnsi" w:cs="GillSansMT"/>
          <w:sz w:val="20"/>
          <w:szCs w:val="20"/>
          <w:lang w:val="es-ES"/>
        </w:rPr>
        <w:t xml:space="preserve">que agentes de seguridad </w:t>
      </w:r>
      <w:r w:rsidR="0063396C" w:rsidRPr="00F84AB1">
        <w:rPr>
          <w:rFonts w:asciiTheme="majorHAnsi" w:hAnsiTheme="majorHAnsi" w:cs="GillSansMT"/>
          <w:sz w:val="20"/>
          <w:szCs w:val="20"/>
          <w:lang w:val="es-ES"/>
        </w:rPr>
        <w:t>habían llegado a</w:t>
      </w:r>
      <w:r w:rsidRPr="00F84AB1">
        <w:rPr>
          <w:rFonts w:asciiTheme="majorHAnsi" w:hAnsiTheme="majorHAnsi" w:cs="GillSansMT"/>
          <w:sz w:val="20"/>
          <w:szCs w:val="20"/>
          <w:lang w:val="es-ES"/>
        </w:rPr>
        <w:t>l inmueble</w:t>
      </w:r>
      <w:r w:rsidR="0063396C" w:rsidRPr="00F84AB1">
        <w:rPr>
          <w:rFonts w:asciiTheme="majorHAnsi" w:hAnsiTheme="majorHAnsi" w:cs="GillSansMT"/>
          <w:sz w:val="20"/>
          <w:szCs w:val="20"/>
          <w:lang w:val="es-ES"/>
        </w:rPr>
        <w:t xml:space="preserve"> </w:t>
      </w:r>
      <w:r w:rsidR="00904DBE" w:rsidRPr="00F84AB1">
        <w:rPr>
          <w:rFonts w:asciiTheme="majorHAnsi" w:hAnsiTheme="majorHAnsi" w:cs="GillSansMT"/>
          <w:sz w:val="20"/>
          <w:szCs w:val="20"/>
          <w:lang w:val="es-ES"/>
        </w:rPr>
        <w:t xml:space="preserve">del encuentro </w:t>
      </w:r>
      <w:r w:rsidR="0063396C" w:rsidRPr="00F84AB1">
        <w:rPr>
          <w:rFonts w:asciiTheme="majorHAnsi" w:hAnsiTheme="majorHAnsi" w:cs="GillSansMT"/>
          <w:sz w:val="20"/>
          <w:szCs w:val="20"/>
          <w:lang w:val="es-ES"/>
        </w:rPr>
        <w:t xml:space="preserve">el </w:t>
      </w:r>
      <w:r w:rsidR="00645450" w:rsidRPr="00F84AB1">
        <w:rPr>
          <w:rFonts w:asciiTheme="majorHAnsi" w:hAnsiTheme="majorHAnsi" w:cs="GillSansMT"/>
          <w:sz w:val="20"/>
          <w:szCs w:val="20"/>
          <w:lang w:val="es-ES"/>
        </w:rPr>
        <w:t xml:space="preserve">30 de octubre </w:t>
      </w:r>
      <w:r w:rsidR="0063396C" w:rsidRPr="00F84AB1">
        <w:rPr>
          <w:rFonts w:asciiTheme="majorHAnsi" w:hAnsiTheme="majorHAnsi" w:cs="GillSansMT"/>
          <w:sz w:val="20"/>
          <w:szCs w:val="20"/>
          <w:lang w:val="es-ES"/>
        </w:rPr>
        <w:t>y</w:t>
      </w:r>
      <w:r w:rsidRPr="00F84AB1">
        <w:rPr>
          <w:rFonts w:asciiTheme="majorHAnsi" w:hAnsiTheme="majorHAnsi" w:cs="GillSansMT"/>
          <w:sz w:val="20"/>
          <w:szCs w:val="20"/>
          <w:lang w:val="es-ES"/>
        </w:rPr>
        <w:t xml:space="preserve"> detenido a su esposa</w:t>
      </w:r>
      <w:r w:rsidR="0063396C" w:rsidRPr="00F84AB1">
        <w:rPr>
          <w:rFonts w:asciiTheme="majorHAnsi" w:hAnsiTheme="majorHAnsi" w:cs="GillSansMT"/>
          <w:sz w:val="20"/>
          <w:szCs w:val="20"/>
          <w:lang w:val="es-ES"/>
        </w:rPr>
        <w:t>. Indican que la presunta víctima al percatarse de la custodia</w:t>
      </w:r>
      <w:r w:rsidR="00645450" w:rsidRPr="00F84AB1">
        <w:rPr>
          <w:rFonts w:asciiTheme="majorHAnsi" w:hAnsiTheme="majorHAnsi" w:cs="GillSansMT"/>
          <w:sz w:val="20"/>
          <w:szCs w:val="20"/>
          <w:lang w:val="es-ES"/>
        </w:rPr>
        <w:t xml:space="preserve"> de </w:t>
      </w:r>
      <w:r w:rsidR="005D49CB" w:rsidRPr="00F84AB1">
        <w:rPr>
          <w:rFonts w:asciiTheme="majorHAnsi" w:hAnsiTheme="majorHAnsi" w:cs="GillSansMT"/>
          <w:sz w:val="20"/>
          <w:szCs w:val="20"/>
          <w:lang w:val="es-ES"/>
        </w:rPr>
        <w:t>sujetos</w:t>
      </w:r>
      <w:r w:rsidR="00645450" w:rsidRPr="00F84AB1">
        <w:rPr>
          <w:rFonts w:asciiTheme="majorHAnsi" w:hAnsiTheme="majorHAnsi" w:cs="GillSansMT"/>
          <w:sz w:val="20"/>
          <w:szCs w:val="20"/>
          <w:lang w:val="es-ES"/>
        </w:rPr>
        <w:t xml:space="preserve"> </w:t>
      </w:r>
      <w:r w:rsidR="005D49CB" w:rsidRPr="00F84AB1">
        <w:rPr>
          <w:rFonts w:asciiTheme="majorHAnsi" w:hAnsiTheme="majorHAnsi" w:cs="GillSansMT"/>
          <w:sz w:val="20"/>
          <w:szCs w:val="20"/>
          <w:lang w:val="es-ES"/>
        </w:rPr>
        <w:t>en la casa</w:t>
      </w:r>
      <w:r w:rsidR="0063396C" w:rsidRPr="00F84AB1">
        <w:rPr>
          <w:rFonts w:asciiTheme="majorHAnsi" w:hAnsiTheme="majorHAnsi" w:cs="GillSansMT"/>
          <w:sz w:val="20"/>
          <w:szCs w:val="20"/>
          <w:lang w:val="es-ES"/>
        </w:rPr>
        <w:t>,</w:t>
      </w:r>
      <w:r w:rsidRPr="00F84AB1">
        <w:rPr>
          <w:rFonts w:asciiTheme="majorHAnsi" w:hAnsiTheme="majorHAnsi" w:cs="GillSansMT"/>
          <w:sz w:val="20"/>
          <w:szCs w:val="20"/>
          <w:lang w:val="es-ES"/>
        </w:rPr>
        <w:t xml:space="preserve"> trató de </w:t>
      </w:r>
      <w:r w:rsidR="00EF67E3" w:rsidRPr="00F84AB1">
        <w:rPr>
          <w:rFonts w:asciiTheme="majorHAnsi" w:hAnsiTheme="majorHAnsi" w:cs="GillSansMT"/>
          <w:sz w:val="20"/>
          <w:szCs w:val="20"/>
          <w:lang w:val="es-ES"/>
        </w:rPr>
        <w:t>huir</w:t>
      </w:r>
      <w:r w:rsidRPr="00F84AB1">
        <w:rPr>
          <w:rFonts w:asciiTheme="majorHAnsi" w:hAnsiTheme="majorHAnsi" w:cs="GillSansMT"/>
          <w:sz w:val="20"/>
          <w:szCs w:val="20"/>
          <w:lang w:val="es-ES"/>
        </w:rPr>
        <w:t xml:space="preserve">, y los agentes </w:t>
      </w:r>
      <w:r w:rsidR="0063396C" w:rsidRPr="00F84AB1">
        <w:rPr>
          <w:rFonts w:asciiTheme="majorHAnsi" w:hAnsiTheme="majorHAnsi" w:cs="GillSansMT"/>
          <w:sz w:val="20"/>
          <w:szCs w:val="20"/>
          <w:lang w:val="es-ES"/>
        </w:rPr>
        <w:t xml:space="preserve">comenzaron a </w:t>
      </w:r>
      <w:r w:rsidRPr="00F84AB1">
        <w:rPr>
          <w:rFonts w:asciiTheme="majorHAnsi" w:hAnsiTheme="majorHAnsi" w:cs="GillSansMT"/>
          <w:sz w:val="20"/>
          <w:szCs w:val="20"/>
          <w:lang w:val="es-ES"/>
        </w:rPr>
        <w:t xml:space="preserve">disparar a las ruedas del </w:t>
      </w:r>
      <w:r w:rsidR="0063396C" w:rsidRPr="00F84AB1">
        <w:rPr>
          <w:rFonts w:asciiTheme="majorHAnsi" w:hAnsiTheme="majorHAnsi" w:cs="GillSansMT"/>
          <w:sz w:val="20"/>
          <w:szCs w:val="20"/>
          <w:lang w:val="es-ES"/>
        </w:rPr>
        <w:t>vehículo, por lo que debió detenerse</w:t>
      </w:r>
      <w:r w:rsidR="005079FB" w:rsidRPr="00F84AB1">
        <w:rPr>
          <w:rFonts w:asciiTheme="majorHAnsi" w:hAnsiTheme="majorHAnsi" w:cs="GillSansMT"/>
          <w:sz w:val="20"/>
          <w:szCs w:val="20"/>
          <w:lang w:val="es-ES"/>
        </w:rPr>
        <w:t>.</w:t>
      </w:r>
      <w:r w:rsidRPr="00F84AB1">
        <w:rPr>
          <w:rFonts w:asciiTheme="majorHAnsi" w:hAnsiTheme="majorHAnsi" w:cs="GillSansMT"/>
          <w:sz w:val="20"/>
          <w:szCs w:val="20"/>
          <w:lang w:val="es-ES"/>
        </w:rPr>
        <w:t xml:space="preserve"> </w:t>
      </w:r>
      <w:r w:rsidR="0063396C" w:rsidRPr="00F84AB1">
        <w:rPr>
          <w:rFonts w:asciiTheme="majorHAnsi" w:hAnsiTheme="majorHAnsi" w:cs="GillSansMT"/>
          <w:sz w:val="20"/>
          <w:szCs w:val="20"/>
          <w:lang w:val="es-ES"/>
        </w:rPr>
        <w:t>Indican que Marcelo Eduardo Salinas Eytel fue detenido y</w:t>
      </w:r>
      <w:r w:rsidRPr="00F84AB1">
        <w:rPr>
          <w:rFonts w:asciiTheme="majorHAnsi" w:hAnsiTheme="majorHAnsi" w:cs="GillSansMT"/>
          <w:sz w:val="20"/>
          <w:szCs w:val="20"/>
          <w:lang w:val="es-ES"/>
        </w:rPr>
        <w:t xml:space="preserve"> llevado al recinto clandestino de la DINA, conocido como “José Domingo Cañas” u “Ollahue”, y </w:t>
      </w:r>
      <w:r w:rsidR="0024686C" w:rsidRPr="00F84AB1">
        <w:rPr>
          <w:rFonts w:asciiTheme="majorHAnsi" w:hAnsiTheme="majorHAnsi" w:cs="GillSansMT"/>
          <w:sz w:val="20"/>
          <w:szCs w:val="20"/>
          <w:lang w:val="es-ES"/>
        </w:rPr>
        <w:t xml:space="preserve">posteriormente trasladado </w:t>
      </w:r>
      <w:r w:rsidRPr="00F84AB1">
        <w:rPr>
          <w:rFonts w:asciiTheme="majorHAnsi" w:hAnsiTheme="majorHAnsi" w:cs="GillSansMT"/>
          <w:sz w:val="20"/>
          <w:szCs w:val="20"/>
          <w:lang w:val="es-ES"/>
        </w:rPr>
        <w:t>al cuartel “Villa Grimaldi”</w:t>
      </w:r>
      <w:r w:rsidR="00003238" w:rsidRPr="00F84AB1">
        <w:rPr>
          <w:rFonts w:asciiTheme="majorHAnsi" w:hAnsiTheme="majorHAnsi" w:cs="GillSansMT"/>
          <w:sz w:val="20"/>
          <w:szCs w:val="20"/>
          <w:lang w:val="es-ES"/>
        </w:rPr>
        <w:t>,</w:t>
      </w:r>
      <w:r w:rsidRPr="00F84AB1">
        <w:rPr>
          <w:rFonts w:asciiTheme="majorHAnsi" w:hAnsiTheme="majorHAnsi" w:cs="GillSansMT"/>
          <w:sz w:val="20"/>
          <w:szCs w:val="20"/>
          <w:lang w:val="es-ES"/>
        </w:rPr>
        <w:t xml:space="preserve"> donde fue interrogado y torturado.</w:t>
      </w:r>
      <w:r w:rsidR="009D2913"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 xml:space="preserve">Alegan que posteriormente fue trasladado junto </w:t>
      </w:r>
      <w:r w:rsidR="00003238" w:rsidRPr="00F84AB1">
        <w:rPr>
          <w:rFonts w:asciiTheme="majorHAnsi" w:hAnsiTheme="majorHAnsi" w:cs="GillSansMT"/>
          <w:sz w:val="20"/>
          <w:szCs w:val="20"/>
          <w:lang w:val="es-ES"/>
        </w:rPr>
        <w:t>a</w:t>
      </w:r>
      <w:r w:rsidRPr="00F84AB1">
        <w:rPr>
          <w:rFonts w:asciiTheme="majorHAnsi" w:hAnsiTheme="majorHAnsi" w:cs="GillSansMT"/>
          <w:sz w:val="20"/>
          <w:szCs w:val="20"/>
          <w:lang w:val="es-ES"/>
        </w:rPr>
        <w:t xml:space="preserve"> su esposa a</w:t>
      </w:r>
      <w:r w:rsidR="00003238" w:rsidRPr="00F84AB1">
        <w:rPr>
          <w:rFonts w:asciiTheme="majorHAnsi" w:hAnsiTheme="majorHAnsi" w:cs="GillSansMT"/>
          <w:sz w:val="20"/>
          <w:szCs w:val="20"/>
          <w:lang w:val="es-ES"/>
        </w:rPr>
        <w:t xml:space="preserve">l centro </w:t>
      </w:r>
      <w:r w:rsidRPr="00F84AB1">
        <w:rPr>
          <w:rFonts w:asciiTheme="majorHAnsi" w:hAnsiTheme="majorHAnsi" w:cs="GillSansMT"/>
          <w:sz w:val="20"/>
          <w:szCs w:val="20"/>
          <w:lang w:val="es-ES"/>
        </w:rPr>
        <w:t>“Cuatro Álamos”, desde donde se pierde su rastro.</w:t>
      </w:r>
    </w:p>
    <w:p w:rsidR="000F31AE" w:rsidRPr="00F84AB1" w:rsidRDefault="000F31AE" w:rsidP="00C64463">
      <w:pPr>
        <w:pStyle w:val="ListParagraph"/>
        <w:jc w:val="both"/>
        <w:rPr>
          <w:rFonts w:asciiTheme="majorHAnsi" w:eastAsia="Arial Unicode MS" w:hAnsiTheme="majorHAnsi" w:cs="GillSansMT"/>
          <w:color w:val="auto"/>
          <w:sz w:val="20"/>
          <w:szCs w:val="20"/>
          <w:lang w:val="es-ES" w:eastAsia="en-US"/>
        </w:rPr>
      </w:pPr>
    </w:p>
    <w:p w:rsidR="00877B0C" w:rsidRPr="00F84AB1" w:rsidRDefault="00144309" w:rsidP="00C64463">
      <w:pPr>
        <w:pStyle w:val="ListParagraph"/>
        <w:numPr>
          <w:ilvl w:val="0"/>
          <w:numId w:val="56"/>
        </w:numPr>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Los peticionarios refieren que </w:t>
      </w:r>
      <w:r w:rsidR="000F31AE" w:rsidRPr="00F84AB1">
        <w:rPr>
          <w:rFonts w:asciiTheme="majorHAnsi" w:hAnsiTheme="majorHAnsi" w:cs="GillSansMT"/>
          <w:sz w:val="20"/>
          <w:szCs w:val="20"/>
          <w:lang w:val="es-ES"/>
        </w:rPr>
        <w:t xml:space="preserve">sus familiares </w:t>
      </w:r>
      <w:r w:rsidRPr="00F84AB1">
        <w:rPr>
          <w:rFonts w:asciiTheme="majorHAnsi" w:hAnsiTheme="majorHAnsi" w:cs="GillSansMT"/>
          <w:sz w:val="20"/>
          <w:szCs w:val="20"/>
          <w:lang w:val="es-ES"/>
        </w:rPr>
        <w:t xml:space="preserve">iniciaron de inmediato gestiones ante autoridades de la época, e </w:t>
      </w:r>
      <w:r w:rsidR="000F31AE" w:rsidRPr="00F84AB1">
        <w:rPr>
          <w:rFonts w:asciiTheme="majorHAnsi" w:hAnsiTheme="majorHAnsi" w:cs="GillSansMT"/>
          <w:sz w:val="20"/>
          <w:szCs w:val="20"/>
          <w:lang w:val="es-ES"/>
        </w:rPr>
        <w:t xml:space="preserve">interpusieron </w:t>
      </w:r>
      <w:r w:rsidRPr="00F84AB1">
        <w:rPr>
          <w:rFonts w:asciiTheme="majorHAnsi" w:hAnsiTheme="majorHAnsi" w:cs="GillSansMT"/>
          <w:sz w:val="20"/>
          <w:szCs w:val="20"/>
          <w:lang w:val="es-ES"/>
        </w:rPr>
        <w:t xml:space="preserve">el 19 de noviembre de 1974 </w:t>
      </w:r>
      <w:r w:rsidR="000F31AE" w:rsidRPr="00F84AB1">
        <w:rPr>
          <w:rFonts w:asciiTheme="majorHAnsi" w:hAnsiTheme="majorHAnsi" w:cs="GillSansMT"/>
          <w:sz w:val="20"/>
          <w:szCs w:val="20"/>
          <w:lang w:val="es-ES"/>
        </w:rPr>
        <w:t>un recurso de amparo ante la C</w:t>
      </w:r>
      <w:r w:rsidRPr="00F84AB1">
        <w:rPr>
          <w:rFonts w:asciiTheme="majorHAnsi" w:hAnsiTheme="majorHAnsi" w:cs="GillSansMT"/>
          <w:sz w:val="20"/>
          <w:szCs w:val="20"/>
          <w:lang w:val="es-ES"/>
        </w:rPr>
        <w:t xml:space="preserve">orte de </w:t>
      </w:r>
      <w:r w:rsidR="000F31AE" w:rsidRPr="00F84AB1">
        <w:rPr>
          <w:rFonts w:asciiTheme="majorHAnsi" w:hAnsiTheme="majorHAnsi" w:cs="GillSansMT"/>
          <w:sz w:val="20"/>
          <w:szCs w:val="20"/>
          <w:lang w:val="es-ES"/>
        </w:rPr>
        <w:t>A</w:t>
      </w:r>
      <w:r w:rsidRPr="00F84AB1">
        <w:rPr>
          <w:rFonts w:asciiTheme="majorHAnsi" w:hAnsiTheme="majorHAnsi" w:cs="GillSansMT"/>
          <w:sz w:val="20"/>
          <w:szCs w:val="20"/>
          <w:lang w:val="es-ES"/>
        </w:rPr>
        <w:t xml:space="preserve">pelaciones de </w:t>
      </w:r>
      <w:r w:rsidR="000F31AE" w:rsidRPr="00F84AB1">
        <w:rPr>
          <w:rFonts w:asciiTheme="majorHAnsi" w:hAnsiTheme="majorHAnsi" w:cs="GillSansMT"/>
          <w:sz w:val="20"/>
          <w:szCs w:val="20"/>
          <w:lang w:val="es-ES"/>
        </w:rPr>
        <w:t>S</w:t>
      </w:r>
      <w:r w:rsidRPr="00F84AB1">
        <w:rPr>
          <w:rFonts w:asciiTheme="majorHAnsi" w:hAnsiTheme="majorHAnsi" w:cs="GillSansMT"/>
          <w:sz w:val="20"/>
          <w:szCs w:val="20"/>
          <w:lang w:val="es-ES"/>
        </w:rPr>
        <w:t>antiago,</w:t>
      </w:r>
      <w:r w:rsidR="000F31AE" w:rsidRPr="00F84AB1">
        <w:rPr>
          <w:rFonts w:asciiTheme="majorHAnsi" w:hAnsiTheme="majorHAnsi" w:cs="GillSansMT"/>
          <w:sz w:val="20"/>
          <w:szCs w:val="20"/>
          <w:lang w:val="es-ES"/>
        </w:rPr>
        <w:t xml:space="preserve"> </w:t>
      </w:r>
      <w:r w:rsidRPr="00F84AB1">
        <w:rPr>
          <w:rFonts w:asciiTheme="majorHAnsi" w:hAnsiTheme="majorHAnsi" w:cs="GillSansMT"/>
          <w:sz w:val="20"/>
          <w:szCs w:val="20"/>
          <w:lang w:val="es-ES"/>
        </w:rPr>
        <w:t xml:space="preserve">la que </w:t>
      </w:r>
      <w:r w:rsidR="000F31AE" w:rsidRPr="00F84AB1">
        <w:rPr>
          <w:rFonts w:asciiTheme="majorHAnsi" w:hAnsiTheme="majorHAnsi" w:cs="GillSansMT"/>
          <w:sz w:val="20"/>
          <w:szCs w:val="20"/>
          <w:lang w:val="es-ES"/>
        </w:rPr>
        <w:t xml:space="preserve">el 5 de marzo de 1975 </w:t>
      </w:r>
      <w:r w:rsidRPr="00F84AB1">
        <w:rPr>
          <w:rFonts w:asciiTheme="majorHAnsi" w:hAnsiTheme="majorHAnsi" w:cs="GillSansMT"/>
          <w:sz w:val="20"/>
          <w:szCs w:val="20"/>
          <w:lang w:val="es-ES"/>
        </w:rPr>
        <w:t xml:space="preserve">rechazo la acción y remitió la causa al </w:t>
      </w:r>
      <w:r w:rsidR="000F31AE" w:rsidRPr="00F84AB1">
        <w:rPr>
          <w:rFonts w:asciiTheme="majorHAnsi" w:hAnsiTheme="majorHAnsi" w:cs="GillSansMT"/>
          <w:sz w:val="20"/>
          <w:szCs w:val="20"/>
          <w:lang w:val="es-ES"/>
        </w:rPr>
        <w:t xml:space="preserve">Juzgado del Crimen de Santiago </w:t>
      </w:r>
      <w:r w:rsidRPr="00F84AB1">
        <w:rPr>
          <w:rFonts w:asciiTheme="majorHAnsi" w:hAnsiTheme="majorHAnsi" w:cs="GillSansMT"/>
          <w:sz w:val="20"/>
          <w:szCs w:val="20"/>
          <w:lang w:val="es-ES"/>
        </w:rPr>
        <w:t>a fin de que se investigara la posible comisión de algún ilícito</w:t>
      </w:r>
      <w:r w:rsidR="00B463BC" w:rsidRPr="00F84AB1">
        <w:rPr>
          <w:rFonts w:asciiTheme="majorHAnsi" w:hAnsiTheme="majorHAnsi" w:cs="GillSansMT"/>
          <w:sz w:val="20"/>
          <w:szCs w:val="20"/>
          <w:lang w:val="es-ES"/>
        </w:rPr>
        <w:t>.</w:t>
      </w:r>
      <w:r w:rsidR="000F31AE" w:rsidRPr="00F84AB1">
        <w:rPr>
          <w:rFonts w:asciiTheme="majorHAnsi" w:hAnsiTheme="majorHAnsi" w:cs="GillSansMT"/>
          <w:sz w:val="20"/>
          <w:szCs w:val="20"/>
          <w:lang w:val="es-ES"/>
        </w:rPr>
        <w:t xml:space="preserve"> Indican que el 13 de mayo de 1975 se declaró cerrado el sumario, </w:t>
      </w:r>
      <w:r w:rsidR="00B463BC" w:rsidRPr="00F84AB1">
        <w:rPr>
          <w:rFonts w:asciiTheme="majorHAnsi" w:hAnsiTheme="majorHAnsi" w:cs="GillSansMT"/>
          <w:sz w:val="20"/>
          <w:szCs w:val="20"/>
          <w:lang w:val="es-ES"/>
        </w:rPr>
        <w:t xml:space="preserve">señalándose que de los antecedentes acumulados no </w:t>
      </w:r>
      <w:r w:rsidR="001D435E" w:rsidRPr="00F84AB1">
        <w:rPr>
          <w:rFonts w:asciiTheme="majorHAnsi" w:hAnsiTheme="majorHAnsi" w:cs="GillSansMT"/>
          <w:sz w:val="20"/>
          <w:szCs w:val="20"/>
          <w:lang w:val="es-ES"/>
        </w:rPr>
        <w:t>resultaba</w:t>
      </w:r>
      <w:r w:rsidR="00B463BC" w:rsidRPr="00F84AB1">
        <w:rPr>
          <w:rFonts w:asciiTheme="majorHAnsi" w:hAnsiTheme="majorHAnsi" w:cs="GillSansMT"/>
          <w:sz w:val="20"/>
          <w:szCs w:val="20"/>
          <w:lang w:val="es-ES"/>
        </w:rPr>
        <w:t xml:space="preserve"> justificado delito alguno </w:t>
      </w:r>
      <w:r w:rsidR="000F31AE" w:rsidRPr="00F84AB1">
        <w:rPr>
          <w:rFonts w:asciiTheme="majorHAnsi" w:hAnsiTheme="majorHAnsi" w:cs="GillSansMT"/>
          <w:sz w:val="20"/>
          <w:szCs w:val="20"/>
          <w:lang w:val="es-ES"/>
        </w:rPr>
        <w:t>y se sobreseyó temporalmente</w:t>
      </w:r>
      <w:r w:rsidR="001D435E" w:rsidRPr="00F84AB1">
        <w:rPr>
          <w:rFonts w:asciiTheme="majorHAnsi" w:hAnsiTheme="majorHAnsi" w:cs="GillSansMT"/>
          <w:sz w:val="20"/>
          <w:szCs w:val="20"/>
          <w:lang w:val="es-ES"/>
        </w:rPr>
        <w:t xml:space="preserve"> la causa. </w:t>
      </w:r>
      <w:r w:rsidR="000F31AE" w:rsidRPr="00F84AB1">
        <w:rPr>
          <w:rFonts w:asciiTheme="majorHAnsi" w:hAnsiTheme="majorHAnsi" w:cs="GillSansMT"/>
          <w:sz w:val="20"/>
          <w:szCs w:val="20"/>
          <w:lang w:val="es-ES"/>
        </w:rPr>
        <w:t xml:space="preserve">Dicha resolución fue aprobada </w:t>
      </w:r>
      <w:r w:rsidR="00DC14AB" w:rsidRPr="00F84AB1">
        <w:rPr>
          <w:rFonts w:asciiTheme="majorHAnsi" w:hAnsiTheme="majorHAnsi" w:cs="GillSansMT"/>
          <w:sz w:val="20"/>
          <w:szCs w:val="20"/>
          <w:lang w:val="es-ES"/>
        </w:rPr>
        <w:t xml:space="preserve">en consulta, </w:t>
      </w:r>
      <w:r w:rsidR="000F31AE" w:rsidRPr="00F84AB1">
        <w:rPr>
          <w:rFonts w:asciiTheme="majorHAnsi" w:hAnsiTheme="majorHAnsi" w:cs="GillSansMT"/>
          <w:sz w:val="20"/>
          <w:szCs w:val="20"/>
          <w:lang w:val="es-ES"/>
        </w:rPr>
        <w:t>por</w:t>
      </w:r>
      <w:r w:rsidR="00DC14AB" w:rsidRPr="00F84AB1">
        <w:rPr>
          <w:rFonts w:asciiTheme="majorHAnsi" w:hAnsiTheme="majorHAnsi" w:cs="GillSansMT"/>
          <w:sz w:val="20"/>
          <w:szCs w:val="20"/>
          <w:lang w:val="es-ES"/>
        </w:rPr>
        <w:t xml:space="preserve"> la Corte de Apelaciones de Santiago el 16 de julio de 1975.</w:t>
      </w:r>
      <w:r w:rsidR="000F31AE" w:rsidRPr="00F84AB1">
        <w:rPr>
          <w:rFonts w:asciiTheme="majorHAnsi" w:hAnsiTheme="majorHAnsi" w:cs="GillSansMT"/>
          <w:sz w:val="20"/>
          <w:szCs w:val="20"/>
          <w:lang w:val="es-ES"/>
        </w:rPr>
        <w:t xml:space="preserve"> </w:t>
      </w:r>
    </w:p>
    <w:p w:rsidR="00877B0C" w:rsidRPr="00F84AB1" w:rsidRDefault="00877B0C" w:rsidP="00C64463">
      <w:pPr>
        <w:pStyle w:val="ListParagraph"/>
        <w:jc w:val="both"/>
        <w:rPr>
          <w:rFonts w:asciiTheme="majorHAnsi" w:hAnsiTheme="majorHAnsi" w:cs="GillSansMT"/>
          <w:sz w:val="20"/>
          <w:szCs w:val="20"/>
          <w:lang w:val="es-ES"/>
        </w:rPr>
      </w:pPr>
    </w:p>
    <w:p w:rsidR="000B0733" w:rsidRPr="00F84AB1" w:rsidRDefault="000F31AE" w:rsidP="00C64463">
      <w:pPr>
        <w:pStyle w:val="ListParagraph"/>
        <w:numPr>
          <w:ilvl w:val="0"/>
          <w:numId w:val="56"/>
        </w:numPr>
        <w:jc w:val="both"/>
        <w:rPr>
          <w:rFonts w:asciiTheme="majorHAnsi" w:hAnsiTheme="majorHAnsi" w:cs="GillSansMT"/>
          <w:sz w:val="20"/>
          <w:szCs w:val="20"/>
          <w:lang w:val="es-ES"/>
        </w:rPr>
      </w:pPr>
      <w:r w:rsidRPr="00F84AB1">
        <w:rPr>
          <w:rFonts w:asciiTheme="majorHAnsi" w:hAnsiTheme="majorHAnsi" w:cs="GillSansMT"/>
          <w:sz w:val="20"/>
          <w:szCs w:val="20"/>
          <w:lang w:val="es-ES"/>
        </w:rPr>
        <w:t>Señalan que en julio de ese año</w:t>
      </w:r>
      <w:r w:rsidR="00877B0C" w:rsidRPr="00F84AB1">
        <w:rPr>
          <w:rFonts w:asciiTheme="majorHAnsi" w:hAnsiTheme="majorHAnsi" w:cs="GillSansMT"/>
          <w:sz w:val="20"/>
          <w:szCs w:val="20"/>
          <w:lang w:val="es-ES"/>
        </w:rPr>
        <w:t>,</w:t>
      </w:r>
      <w:r w:rsidRPr="00F84AB1">
        <w:rPr>
          <w:rFonts w:asciiTheme="majorHAnsi" w:hAnsiTheme="majorHAnsi" w:cs="GillSansMT"/>
          <w:sz w:val="20"/>
          <w:szCs w:val="20"/>
          <w:lang w:val="es-ES"/>
        </w:rPr>
        <w:t xml:space="preserve"> la suegra de </w:t>
      </w:r>
      <w:r w:rsidR="00877B0C" w:rsidRPr="00F84AB1">
        <w:rPr>
          <w:rFonts w:asciiTheme="majorHAnsi" w:hAnsiTheme="majorHAnsi" w:cs="GillSansMT"/>
          <w:sz w:val="20"/>
          <w:szCs w:val="20"/>
          <w:lang w:val="es-ES"/>
        </w:rPr>
        <w:t xml:space="preserve">la presunta víctima </w:t>
      </w:r>
      <w:r w:rsidRPr="00F84AB1">
        <w:rPr>
          <w:rFonts w:asciiTheme="majorHAnsi" w:hAnsiTheme="majorHAnsi" w:cs="GillSansMT"/>
          <w:sz w:val="20"/>
          <w:szCs w:val="20"/>
          <w:lang w:val="es-ES"/>
        </w:rPr>
        <w:t>presentó una denuncia por el secuestro de su yerno y su hija</w:t>
      </w:r>
      <w:r w:rsidR="00877B0C" w:rsidRPr="00F84AB1">
        <w:rPr>
          <w:rFonts w:asciiTheme="majorHAnsi" w:hAnsiTheme="majorHAnsi" w:cs="GillSansMT"/>
          <w:sz w:val="20"/>
          <w:szCs w:val="20"/>
          <w:lang w:val="es-ES"/>
        </w:rPr>
        <w:t>,</w:t>
      </w:r>
      <w:r w:rsidRPr="00F84AB1">
        <w:rPr>
          <w:rFonts w:asciiTheme="majorHAnsi" w:hAnsiTheme="majorHAnsi" w:cs="GillSansMT"/>
          <w:sz w:val="20"/>
          <w:szCs w:val="20"/>
          <w:lang w:val="es-ES"/>
        </w:rPr>
        <w:t xml:space="preserve"> </w:t>
      </w:r>
      <w:r w:rsidR="00877B0C" w:rsidRPr="00F84AB1">
        <w:rPr>
          <w:rFonts w:asciiTheme="majorHAnsi" w:hAnsiTheme="majorHAnsi" w:cs="GillSansMT"/>
          <w:sz w:val="20"/>
          <w:szCs w:val="20"/>
          <w:lang w:val="es-ES"/>
        </w:rPr>
        <w:t xml:space="preserve">la </w:t>
      </w:r>
      <w:r w:rsidRPr="00F84AB1">
        <w:rPr>
          <w:rFonts w:asciiTheme="majorHAnsi" w:hAnsiTheme="majorHAnsi" w:cs="GillSansMT"/>
          <w:sz w:val="20"/>
          <w:szCs w:val="20"/>
          <w:lang w:val="es-ES"/>
        </w:rPr>
        <w:t>que fue acumulada a la causa</w:t>
      </w:r>
      <w:r w:rsidR="00877B0C" w:rsidRPr="00F84AB1">
        <w:rPr>
          <w:rFonts w:asciiTheme="majorHAnsi" w:hAnsiTheme="majorHAnsi" w:cs="GillSansMT"/>
          <w:sz w:val="20"/>
          <w:szCs w:val="20"/>
          <w:lang w:val="es-ES"/>
        </w:rPr>
        <w:t xml:space="preserve"> iniciada</w:t>
      </w:r>
      <w:r w:rsidRPr="00F84AB1">
        <w:rPr>
          <w:rFonts w:asciiTheme="majorHAnsi" w:hAnsiTheme="majorHAnsi" w:cs="GillSansMT"/>
          <w:sz w:val="20"/>
          <w:szCs w:val="20"/>
          <w:lang w:val="es-ES"/>
        </w:rPr>
        <w:t xml:space="preserve"> por “presunta de</w:t>
      </w:r>
      <w:r w:rsidR="00AD1EEB" w:rsidRPr="00F84AB1">
        <w:rPr>
          <w:rFonts w:asciiTheme="majorHAnsi" w:hAnsiTheme="majorHAnsi" w:cs="GillSansMT"/>
          <w:sz w:val="20"/>
          <w:szCs w:val="20"/>
          <w:lang w:val="es-ES"/>
        </w:rPr>
        <w:t>sgracia” de Jacqueline Drouilly</w:t>
      </w:r>
      <w:r w:rsidR="00877B0C" w:rsidRPr="00F84AB1">
        <w:rPr>
          <w:rFonts w:asciiTheme="majorHAnsi" w:hAnsiTheme="majorHAnsi" w:cs="GillSansMT"/>
          <w:sz w:val="20"/>
          <w:szCs w:val="20"/>
          <w:lang w:val="es-ES"/>
        </w:rPr>
        <w:t>.</w:t>
      </w:r>
      <w:r w:rsidRPr="00F84AB1">
        <w:rPr>
          <w:rFonts w:asciiTheme="majorHAnsi" w:hAnsiTheme="majorHAnsi" w:cs="GillSansMT"/>
          <w:sz w:val="20"/>
          <w:szCs w:val="20"/>
          <w:lang w:val="es-ES"/>
        </w:rPr>
        <w:t xml:space="preserve"> Indican que se dictó sobreseimiento temporal el 31 de marzo de 197</w:t>
      </w:r>
      <w:r w:rsidR="00877B0C" w:rsidRPr="00F84AB1">
        <w:rPr>
          <w:rFonts w:asciiTheme="majorHAnsi" w:hAnsiTheme="majorHAnsi" w:cs="GillSansMT"/>
          <w:sz w:val="20"/>
          <w:szCs w:val="20"/>
          <w:lang w:val="es-ES"/>
        </w:rPr>
        <w:t>6 al no encontrarse acreditado ningún delito.</w:t>
      </w:r>
      <w:r w:rsidRPr="00F84AB1">
        <w:rPr>
          <w:rFonts w:asciiTheme="majorHAnsi" w:hAnsiTheme="majorHAnsi" w:cs="GillSansMT"/>
          <w:sz w:val="20"/>
          <w:szCs w:val="20"/>
          <w:lang w:val="es-ES"/>
        </w:rPr>
        <w:t xml:space="preserve"> Indican que apelada la resolución, la </w:t>
      </w:r>
      <w:r w:rsidR="00877B0C" w:rsidRPr="00F84AB1">
        <w:rPr>
          <w:rFonts w:asciiTheme="majorHAnsi" w:hAnsiTheme="majorHAnsi" w:cs="GillSansMT"/>
          <w:sz w:val="20"/>
          <w:szCs w:val="20"/>
          <w:lang w:val="es-ES"/>
        </w:rPr>
        <w:t xml:space="preserve">Corte de Apelaciones de Santiago </w:t>
      </w:r>
      <w:r w:rsidRPr="00F84AB1">
        <w:rPr>
          <w:rFonts w:asciiTheme="majorHAnsi" w:hAnsiTheme="majorHAnsi" w:cs="GillSansMT"/>
          <w:sz w:val="20"/>
          <w:szCs w:val="20"/>
          <w:lang w:val="es-ES"/>
        </w:rPr>
        <w:t>aprobó el sobreseimiento el 18 de junio de 1976.</w:t>
      </w:r>
    </w:p>
    <w:p w:rsidR="00940379" w:rsidRPr="00F84AB1" w:rsidRDefault="00940379" w:rsidP="00C64463">
      <w:pPr>
        <w:pStyle w:val="ListParagraph"/>
        <w:jc w:val="both"/>
        <w:rPr>
          <w:rFonts w:asciiTheme="majorHAnsi" w:hAnsiTheme="majorHAnsi" w:cs="GillSansMT"/>
          <w:sz w:val="20"/>
          <w:szCs w:val="20"/>
          <w:lang w:val="es-ES"/>
        </w:rPr>
      </w:pPr>
    </w:p>
    <w:p w:rsidR="003D5D26" w:rsidRPr="00F84AB1" w:rsidRDefault="008A0597" w:rsidP="00402F64">
      <w:pPr>
        <w:pStyle w:val="ListParagraph"/>
        <w:numPr>
          <w:ilvl w:val="0"/>
          <w:numId w:val="56"/>
        </w:numPr>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Refieren que años más tarde, </w:t>
      </w:r>
      <w:r w:rsidR="00940379" w:rsidRPr="00F84AB1">
        <w:rPr>
          <w:rFonts w:asciiTheme="majorHAnsi" w:hAnsiTheme="majorHAnsi" w:cs="GillSansMT"/>
          <w:sz w:val="20"/>
          <w:szCs w:val="20"/>
          <w:lang w:val="es-ES"/>
        </w:rPr>
        <w:t>la CNRR solicitó la reapertura del sumario con lo cual se inic</w:t>
      </w:r>
      <w:r w:rsidR="00D7494B" w:rsidRPr="00F84AB1">
        <w:rPr>
          <w:rFonts w:asciiTheme="majorHAnsi" w:hAnsiTheme="majorHAnsi" w:cs="GillSansMT"/>
          <w:sz w:val="20"/>
          <w:szCs w:val="20"/>
          <w:lang w:val="es-ES"/>
        </w:rPr>
        <w:t xml:space="preserve">ió una investigación criminal. </w:t>
      </w:r>
      <w:r w:rsidR="00940379" w:rsidRPr="00F84AB1">
        <w:rPr>
          <w:rFonts w:asciiTheme="majorHAnsi" w:hAnsiTheme="majorHAnsi" w:cs="GillSansMT"/>
          <w:sz w:val="20"/>
          <w:szCs w:val="20"/>
          <w:lang w:val="es-ES"/>
        </w:rPr>
        <w:t xml:space="preserve">Sostienen que en mayo de 2002 </w:t>
      </w:r>
      <w:r w:rsidR="00D7494B" w:rsidRPr="00F84AB1">
        <w:rPr>
          <w:rFonts w:asciiTheme="majorHAnsi" w:hAnsiTheme="majorHAnsi" w:cs="GillSansMT"/>
          <w:sz w:val="20"/>
          <w:szCs w:val="20"/>
          <w:lang w:val="es-ES"/>
        </w:rPr>
        <w:t xml:space="preserve">el juez </w:t>
      </w:r>
      <w:r w:rsidR="00940379" w:rsidRPr="00F84AB1">
        <w:rPr>
          <w:rFonts w:asciiTheme="majorHAnsi" w:hAnsiTheme="majorHAnsi" w:cs="GillSansMT"/>
          <w:sz w:val="20"/>
          <w:szCs w:val="20"/>
          <w:lang w:val="es-ES"/>
        </w:rPr>
        <w:t xml:space="preserve">se </w:t>
      </w:r>
      <w:r w:rsidR="00D7494B" w:rsidRPr="00F84AB1">
        <w:rPr>
          <w:rFonts w:asciiTheme="majorHAnsi" w:hAnsiTheme="majorHAnsi" w:cs="GillSansMT"/>
          <w:sz w:val="20"/>
          <w:szCs w:val="20"/>
          <w:lang w:val="es-ES"/>
        </w:rPr>
        <w:t>declaró incompetente a favor de un Ministro de Fuero.</w:t>
      </w:r>
      <w:r w:rsidR="00940379" w:rsidRPr="00F84AB1">
        <w:rPr>
          <w:rFonts w:asciiTheme="majorHAnsi" w:hAnsiTheme="majorHAnsi" w:cs="GillSansMT"/>
          <w:sz w:val="20"/>
          <w:szCs w:val="20"/>
          <w:lang w:val="es-ES"/>
        </w:rPr>
        <w:t xml:space="preserve"> El expediente se acumuló </w:t>
      </w:r>
      <w:r w:rsidR="00D7494B" w:rsidRPr="00F84AB1">
        <w:rPr>
          <w:rFonts w:asciiTheme="majorHAnsi" w:hAnsiTheme="majorHAnsi" w:cs="GillSansMT"/>
          <w:sz w:val="20"/>
          <w:szCs w:val="20"/>
          <w:lang w:val="es-ES"/>
        </w:rPr>
        <w:t>a</w:t>
      </w:r>
      <w:r w:rsidR="00940379" w:rsidRPr="00F84AB1">
        <w:rPr>
          <w:rFonts w:asciiTheme="majorHAnsi" w:hAnsiTheme="majorHAnsi" w:cs="GillSansMT"/>
          <w:sz w:val="20"/>
          <w:szCs w:val="20"/>
          <w:lang w:val="es-ES"/>
        </w:rPr>
        <w:t>l caso con</w:t>
      </w:r>
      <w:r w:rsidR="00D7494B" w:rsidRPr="00F84AB1">
        <w:rPr>
          <w:rFonts w:asciiTheme="majorHAnsi" w:hAnsiTheme="majorHAnsi" w:cs="GillSansMT"/>
          <w:sz w:val="20"/>
          <w:szCs w:val="20"/>
          <w:lang w:val="es-ES"/>
        </w:rPr>
        <w:t>ocido como “Operación Colombo”.</w:t>
      </w:r>
      <w:r w:rsidR="00940379" w:rsidRPr="00F84AB1">
        <w:rPr>
          <w:rFonts w:asciiTheme="majorHAnsi" w:hAnsiTheme="majorHAnsi" w:cs="GillSansMT"/>
          <w:sz w:val="20"/>
          <w:szCs w:val="20"/>
          <w:lang w:val="es-ES"/>
        </w:rPr>
        <w:t xml:space="preserve"> Señalan que</w:t>
      </w:r>
      <w:r w:rsidR="00D7494B" w:rsidRPr="00F84AB1">
        <w:rPr>
          <w:rFonts w:asciiTheme="majorHAnsi" w:hAnsiTheme="majorHAnsi" w:cs="GillSansMT"/>
          <w:sz w:val="20"/>
          <w:szCs w:val="20"/>
          <w:lang w:val="es-ES"/>
        </w:rPr>
        <w:t xml:space="preserve"> años más tarde el expediente es desagregado y remitido a un Ministro de Fuero, </w:t>
      </w:r>
      <w:r w:rsidR="00940379" w:rsidRPr="00F84AB1">
        <w:rPr>
          <w:rFonts w:asciiTheme="majorHAnsi" w:hAnsiTheme="majorHAnsi" w:cs="GillSansMT"/>
          <w:sz w:val="20"/>
          <w:szCs w:val="20"/>
          <w:lang w:val="es-ES"/>
        </w:rPr>
        <w:t>por incidir en la investigación c</w:t>
      </w:r>
      <w:r w:rsidR="00D7494B" w:rsidRPr="00F84AB1">
        <w:rPr>
          <w:rFonts w:asciiTheme="majorHAnsi" w:hAnsiTheme="majorHAnsi" w:cs="GillSansMT"/>
          <w:sz w:val="20"/>
          <w:szCs w:val="20"/>
          <w:lang w:val="es-ES"/>
        </w:rPr>
        <w:t xml:space="preserve">onocida como “Villa Grimaldi”. En este último proceso indican que el PDH habría </w:t>
      </w:r>
      <w:r w:rsidR="00700588" w:rsidRPr="00F84AB1">
        <w:rPr>
          <w:rFonts w:asciiTheme="majorHAnsi" w:hAnsiTheme="majorHAnsi" w:cs="GillSansMT"/>
          <w:sz w:val="20"/>
          <w:szCs w:val="20"/>
          <w:lang w:val="es-ES"/>
        </w:rPr>
        <w:t xml:space="preserve">actuado como parte coadyuvante. Señalan que </w:t>
      </w:r>
      <w:r w:rsidR="00940379" w:rsidRPr="00F84AB1">
        <w:rPr>
          <w:rFonts w:asciiTheme="majorHAnsi" w:hAnsiTheme="majorHAnsi" w:cs="GillSansMT"/>
          <w:sz w:val="20"/>
          <w:szCs w:val="20"/>
          <w:lang w:val="es-ES"/>
        </w:rPr>
        <w:t>el 17 de abril de 2008 se condenó a Juan Manuel Contreras a 15 años de presidio mayor en grado medio</w:t>
      </w:r>
      <w:r w:rsidR="00405272" w:rsidRPr="00F84AB1">
        <w:rPr>
          <w:rFonts w:asciiTheme="majorHAnsi" w:hAnsiTheme="majorHAnsi" w:cs="GillSansMT"/>
          <w:sz w:val="20"/>
          <w:szCs w:val="20"/>
          <w:lang w:val="es-ES"/>
        </w:rPr>
        <w:t xml:space="preserve">, </w:t>
      </w:r>
      <w:r w:rsidR="00023919" w:rsidRPr="00F84AB1">
        <w:rPr>
          <w:rFonts w:asciiTheme="majorHAnsi" w:hAnsiTheme="majorHAnsi" w:cs="GillSansMT"/>
          <w:sz w:val="20"/>
          <w:szCs w:val="20"/>
          <w:lang w:val="es-ES"/>
        </w:rPr>
        <w:t>a</w:t>
      </w:r>
      <w:r w:rsidR="00940379" w:rsidRPr="00F84AB1">
        <w:rPr>
          <w:rFonts w:asciiTheme="majorHAnsi" w:hAnsiTheme="majorHAnsi" w:cs="GillSansMT"/>
          <w:sz w:val="20"/>
          <w:szCs w:val="20"/>
          <w:lang w:val="es-ES"/>
        </w:rPr>
        <w:t xml:space="preserve">l General </w:t>
      </w:r>
      <w:r w:rsidR="008D2919" w:rsidRPr="00F84AB1">
        <w:rPr>
          <w:rFonts w:asciiTheme="majorHAnsi" w:hAnsiTheme="majorHAnsi" w:cs="GillSansMT"/>
          <w:sz w:val="20"/>
          <w:szCs w:val="20"/>
          <w:lang w:val="es-ES"/>
        </w:rPr>
        <w:t>(R)</w:t>
      </w:r>
      <w:r w:rsidR="00012631" w:rsidRPr="00F84AB1">
        <w:rPr>
          <w:rFonts w:asciiTheme="majorHAnsi" w:hAnsiTheme="majorHAnsi" w:cs="GillSansMT"/>
          <w:sz w:val="20"/>
          <w:szCs w:val="20"/>
          <w:lang w:val="es-ES"/>
        </w:rPr>
        <w:t xml:space="preserve"> </w:t>
      </w:r>
      <w:r w:rsidR="00940379" w:rsidRPr="00F84AB1">
        <w:rPr>
          <w:rFonts w:asciiTheme="majorHAnsi" w:hAnsiTheme="majorHAnsi" w:cs="GillSansMT"/>
          <w:sz w:val="20"/>
          <w:szCs w:val="20"/>
          <w:lang w:val="es-ES"/>
        </w:rPr>
        <w:t xml:space="preserve">César Manrique Bravo, al Brigadier del Ejército </w:t>
      </w:r>
      <w:r w:rsidR="00402F64" w:rsidRPr="00F84AB1">
        <w:rPr>
          <w:rFonts w:asciiTheme="majorHAnsi" w:hAnsiTheme="majorHAnsi" w:cs="GillSansMT"/>
          <w:sz w:val="20"/>
          <w:szCs w:val="20"/>
          <w:lang w:val="es-ES"/>
        </w:rPr>
        <w:t>(R)</w:t>
      </w:r>
      <w:r w:rsidR="00012631" w:rsidRPr="00F84AB1">
        <w:rPr>
          <w:rFonts w:asciiTheme="majorHAnsi" w:hAnsiTheme="majorHAnsi" w:cs="GillSansMT"/>
          <w:sz w:val="20"/>
          <w:szCs w:val="20"/>
          <w:lang w:val="es-ES"/>
        </w:rPr>
        <w:t xml:space="preserve"> </w:t>
      </w:r>
      <w:r w:rsidR="00940379" w:rsidRPr="00F84AB1">
        <w:rPr>
          <w:rFonts w:asciiTheme="majorHAnsi" w:hAnsiTheme="majorHAnsi" w:cs="GillSansMT"/>
          <w:sz w:val="20"/>
          <w:szCs w:val="20"/>
          <w:lang w:val="es-ES"/>
        </w:rPr>
        <w:t xml:space="preserve">Pedro Octavio Espinoza Bravo, al Teniente Coronel </w:t>
      </w:r>
      <w:r w:rsidR="008D2919" w:rsidRPr="00F84AB1">
        <w:rPr>
          <w:rFonts w:asciiTheme="majorHAnsi" w:hAnsiTheme="majorHAnsi" w:cs="GillSansMT"/>
          <w:sz w:val="20"/>
          <w:szCs w:val="20"/>
          <w:lang w:val="es-ES"/>
        </w:rPr>
        <w:t>(R)</w:t>
      </w:r>
      <w:r w:rsidR="00012631" w:rsidRPr="00F84AB1">
        <w:rPr>
          <w:rFonts w:asciiTheme="majorHAnsi" w:hAnsiTheme="majorHAnsi" w:cs="GillSansMT"/>
          <w:sz w:val="20"/>
          <w:szCs w:val="20"/>
          <w:lang w:val="es-ES"/>
        </w:rPr>
        <w:t xml:space="preserve"> </w:t>
      </w:r>
      <w:r w:rsidR="00940379" w:rsidRPr="00F84AB1">
        <w:rPr>
          <w:rFonts w:asciiTheme="majorHAnsi" w:hAnsiTheme="majorHAnsi" w:cs="GillSansMT"/>
          <w:sz w:val="20"/>
          <w:szCs w:val="20"/>
          <w:lang w:val="es-ES"/>
        </w:rPr>
        <w:t>Francisco Maximiliano Ferrer Lima y al Brigadier</w:t>
      </w:r>
      <w:r w:rsidR="00402F64" w:rsidRPr="00F84AB1">
        <w:rPr>
          <w:rFonts w:asciiTheme="majorHAnsi" w:hAnsiTheme="majorHAnsi" w:cs="GillSansMT"/>
          <w:sz w:val="20"/>
          <w:szCs w:val="20"/>
          <w:lang w:val="es-ES"/>
        </w:rPr>
        <w:t xml:space="preserve"> (R)</w:t>
      </w:r>
      <w:r w:rsidR="00940379" w:rsidRPr="00F84AB1">
        <w:rPr>
          <w:rFonts w:asciiTheme="majorHAnsi" w:hAnsiTheme="majorHAnsi" w:cs="GillSansMT"/>
          <w:sz w:val="20"/>
          <w:szCs w:val="20"/>
          <w:lang w:val="es-ES"/>
        </w:rPr>
        <w:t xml:space="preserve"> Miguel Krassnoff Martchenko a las penas de 10 años y un día de presidio mayor como autores del delito de secuestro calificado </w:t>
      </w:r>
      <w:r w:rsidR="00023919" w:rsidRPr="00F84AB1">
        <w:rPr>
          <w:rFonts w:asciiTheme="majorHAnsi" w:hAnsiTheme="majorHAnsi" w:cs="GillSansMT"/>
          <w:sz w:val="20"/>
          <w:szCs w:val="20"/>
          <w:lang w:val="es-ES"/>
        </w:rPr>
        <w:t>de Marcelo Eduardo Salinas Eytel</w:t>
      </w:r>
      <w:r w:rsidR="00940379" w:rsidRPr="00F84AB1">
        <w:rPr>
          <w:rFonts w:asciiTheme="majorHAnsi" w:hAnsiTheme="majorHAnsi" w:cs="GillSansMT"/>
          <w:sz w:val="20"/>
          <w:szCs w:val="20"/>
          <w:lang w:val="es-ES"/>
        </w:rPr>
        <w:t xml:space="preserve"> y que se absolvió a un</w:t>
      </w:r>
      <w:r w:rsidR="000119F0" w:rsidRPr="00F84AB1">
        <w:rPr>
          <w:rFonts w:asciiTheme="majorHAnsi" w:hAnsiTheme="majorHAnsi" w:cs="GillSansMT"/>
          <w:sz w:val="20"/>
          <w:szCs w:val="20"/>
          <w:lang w:val="es-ES"/>
        </w:rPr>
        <w:t xml:space="preserve"> oficial de</w:t>
      </w:r>
      <w:r w:rsidR="00940379" w:rsidRPr="00F84AB1">
        <w:rPr>
          <w:rFonts w:asciiTheme="majorHAnsi" w:hAnsiTheme="majorHAnsi" w:cs="GillSansMT"/>
          <w:sz w:val="20"/>
          <w:szCs w:val="20"/>
          <w:lang w:val="es-ES"/>
        </w:rPr>
        <w:t xml:space="preserve"> </w:t>
      </w:r>
      <w:r w:rsidR="000119F0" w:rsidRPr="00F84AB1">
        <w:rPr>
          <w:rFonts w:asciiTheme="majorHAnsi" w:hAnsiTheme="majorHAnsi" w:cs="GillSansMT"/>
          <w:sz w:val="20"/>
          <w:szCs w:val="20"/>
          <w:lang w:val="es-ES"/>
        </w:rPr>
        <w:t>gendarmería</w:t>
      </w:r>
      <w:r w:rsidR="009F6536" w:rsidRPr="00F84AB1">
        <w:rPr>
          <w:rFonts w:asciiTheme="majorHAnsi" w:hAnsiTheme="majorHAnsi" w:cs="GillSansMT"/>
          <w:sz w:val="20"/>
          <w:szCs w:val="20"/>
          <w:lang w:val="es-ES"/>
        </w:rPr>
        <w:t xml:space="preserve"> </w:t>
      </w:r>
      <w:r w:rsidR="008D2919" w:rsidRPr="00F84AB1">
        <w:rPr>
          <w:rFonts w:asciiTheme="majorHAnsi" w:hAnsiTheme="majorHAnsi" w:cs="GillSansMT"/>
          <w:sz w:val="20"/>
          <w:szCs w:val="20"/>
          <w:lang w:val="es-ES"/>
        </w:rPr>
        <w:t>(R)</w:t>
      </w:r>
      <w:r w:rsidR="009F6536" w:rsidRPr="00F84AB1">
        <w:rPr>
          <w:rFonts w:asciiTheme="majorHAnsi" w:hAnsiTheme="majorHAnsi" w:cs="GillSansMT"/>
          <w:sz w:val="20"/>
          <w:szCs w:val="20"/>
          <w:lang w:val="es-ES"/>
        </w:rPr>
        <w:t>.</w:t>
      </w:r>
      <w:r w:rsidR="00940379" w:rsidRPr="00F84AB1">
        <w:rPr>
          <w:rFonts w:asciiTheme="majorHAnsi" w:hAnsiTheme="majorHAnsi" w:cs="GillSansMT"/>
          <w:sz w:val="20"/>
          <w:szCs w:val="20"/>
          <w:lang w:val="es-ES"/>
        </w:rPr>
        <w:t xml:space="preserve"> Indican que además se les sancionó con inhabilitación absoluta perpetua para cargos y oficio</w:t>
      </w:r>
      <w:r w:rsidR="009F6536" w:rsidRPr="00F84AB1">
        <w:rPr>
          <w:rFonts w:asciiTheme="majorHAnsi" w:hAnsiTheme="majorHAnsi" w:cs="GillSansMT"/>
          <w:sz w:val="20"/>
          <w:szCs w:val="20"/>
          <w:lang w:val="es-ES"/>
        </w:rPr>
        <w:t>s públicos y derechos políticos</w:t>
      </w:r>
      <w:r w:rsidR="00940379" w:rsidRPr="00F84AB1">
        <w:rPr>
          <w:rFonts w:asciiTheme="majorHAnsi" w:hAnsiTheme="majorHAnsi" w:cs="GillSansMT"/>
          <w:sz w:val="20"/>
          <w:szCs w:val="20"/>
          <w:lang w:val="es-ES"/>
        </w:rPr>
        <w:t xml:space="preserve"> y para profesiones</w:t>
      </w:r>
      <w:r w:rsidR="009F6536" w:rsidRPr="00F84AB1">
        <w:rPr>
          <w:rFonts w:asciiTheme="majorHAnsi" w:hAnsiTheme="majorHAnsi" w:cs="GillSansMT"/>
          <w:sz w:val="20"/>
          <w:szCs w:val="20"/>
          <w:lang w:val="es-ES"/>
        </w:rPr>
        <w:t xml:space="preserve"> titulares mientras la condena. Asimismo, el fallo </w:t>
      </w:r>
      <w:r w:rsidR="00940379" w:rsidRPr="00F84AB1">
        <w:rPr>
          <w:rFonts w:asciiTheme="majorHAnsi" w:hAnsiTheme="majorHAnsi" w:cs="GillSansMT"/>
          <w:sz w:val="20"/>
          <w:szCs w:val="20"/>
          <w:lang w:val="es-ES"/>
        </w:rPr>
        <w:t xml:space="preserve">no </w:t>
      </w:r>
      <w:r w:rsidR="009F6536" w:rsidRPr="00F84AB1">
        <w:rPr>
          <w:rFonts w:asciiTheme="majorHAnsi" w:hAnsiTheme="majorHAnsi" w:cs="GillSansMT"/>
          <w:sz w:val="20"/>
          <w:szCs w:val="20"/>
          <w:lang w:val="es-ES"/>
        </w:rPr>
        <w:t xml:space="preserve">concedió </w:t>
      </w:r>
      <w:r w:rsidR="00940379" w:rsidRPr="00F84AB1">
        <w:rPr>
          <w:rFonts w:asciiTheme="majorHAnsi" w:hAnsiTheme="majorHAnsi" w:cs="GillSansMT"/>
          <w:sz w:val="20"/>
          <w:szCs w:val="20"/>
          <w:lang w:val="es-ES"/>
        </w:rPr>
        <w:t xml:space="preserve">a los sentenciados ningún beneficio </w:t>
      </w:r>
      <w:r w:rsidR="00264364" w:rsidRPr="00F84AB1">
        <w:rPr>
          <w:rFonts w:asciiTheme="majorHAnsi" w:hAnsiTheme="majorHAnsi" w:cs="GillSansMT"/>
          <w:sz w:val="20"/>
          <w:szCs w:val="20"/>
          <w:lang w:val="es-ES"/>
        </w:rPr>
        <w:t>alternativo al cumplimiento de la pena</w:t>
      </w:r>
      <w:r w:rsidR="00940379" w:rsidRPr="00F84AB1">
        <w:rPr>
          <w:rFonts w:asciiTheme="majorHAnsi" w:hAnsiTheme="majorHAnsi" w:cs="GillSansMT"/>
          <w:sz w:val="20"/>
          <w:szCs w:val="20"/>
          <w:lang w:val="es-ES"/>
        </w:rPr>
        <w:t>.</w:t>
      </w:r>
    </w:p>
    <w:p w:rsidR="003D5D26" w:rsidRPr="00F84AB1" w:rsidRDefault="003D5D26" w:rsidP="00C64463">
      <w:pPr>
        <w:jc w:val="both"/>
        <w:rPr>
          <w:rFonts w:asciiTheme="majorHAnsi" w:hAnsiTheme="majorHAnsi" w:cs="GillSansMT"/>
          <w:color w:val="000000"/>
          <w:sz w:val="20"/>
          <w:szCs w:val="20"/>
          <w:lang w:val="es-ES"/>
        </w:rPr>
      </w:pPr>
    </w:p>
    <w:p w:rsidR="00CC7E67" w:rsidRPr="00F84AB1" w:rsidRDefault="003D5D26" w:rsidP="00FC55F2">
      <w:pPr>
        <w:pStyle w:val="ListParagraph"/>
        <w:numPr>
          <w:ilvl w:val="0"/>
          <w:numId w:val="56"/>
        </w:numPr>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Indican que en segunda instancia, la Corte de </w:t>
      </w:r>
      <w:r w:rsidR="00EF67E3" w:rsidRPr="00F84AB1">
        <w:rPr>
          <w:rFonts w:asciiTheme="majorHAnsi" w:hAnsiTheme="majorHAnsi" w:cs="GillSansMT"/>
          <w:sz w:val="20"/>
          <w:szCs w:val="20"/>
          <w:lang w:val="es-ES"/>
        </w:rPr>
        <w:t>Apelaciones de Santiago confirmó</w:t>
      </w:r>
      <w:r w:rsidRPr="00F84AB1">
        <w:rPr>
          <w:rFonts w:asciiTheme="majorHAnsi" w:hAnsiTheme="majorHAnsi" w:cs="GillSansMT"/>
          <w:sz w:val="20"/>
          <w:szCs w:val="20"/>
          <w:lang w:val="es-ES"/>
        </w:rPr>
        <w:t xml:space="preserve"> la sentencia el 5 de enero de 2009. </w:t>
      </w:r>
      <w:r w:rsidR="00CC7E67" w:rsidRPr="00F84AB1">
        <w:rPr>
          <w:rFonts w:asciiTheme="majorHAnsi" w:hAnsiTheme="majorHAnsi" w:cs="GillSansMT"/>
          <w:sz w:val="20"/>
          <w:szCs w:val="20"/>
          <w:lang w:val="es-ES"/>
        </w:rPr>
        <w:t xml:space="preserve">Asimismo, señalan que el 25 de enero de 2010 la Corte Suprema conociendo recursos de casación invalidó de oficio la sentencia de segunda instancia al considerar que adolecía de vicios formales, y dictó sentencia de reemplazo en la que aplicó a </w:t>
      </w:r>
      <w:r w:rsidR="00FC55F2" w:rsidRPr="00F84AB1">
        <w:rPr>
          <w:rFonts w:asciiTheme="majorHAnsi" w:hAnsiTheme="majorHAnsi" w:cs="GillSansMT"/>
          <w:sz w:val="20"/>
          <w:szCs w:val="20"/>
          <w:lang w:val="es-ES"/>
        </w:rPr>
        <w:t>tres</w:t>
      </w:r>
      <w:r w:rsidR="00CC7E67" w:rsidRPr="00F84AB1">
        <w:rPr>
          <w:rFonts w:asciiTheme="majorHAnsi" w:hAnsiTheme="majorHAnsi" w:cs="GillSansMT"/>
          <w:sz w:val="20"/>
          <w:szCs w:val="20"/>
          <w:lang w:val="es-ES"/>
        </w:rPr>
        <w:t xml:space="preserve"> de los condenados la atenuante de irreproc</w:t>
      </w:r>
      <w:r w:rsidR="00EF67E3" w:rsidRPr="00F84AB1">
        <w:rPr>
          <w:rFonts w:asciiTheme="majorHAnsi" w:hAnsiTheme="majorHAnsi" w:cs="GillSansMT"/>
          <w:sz w:val="20"/>
          <w:szCs w:val="20"/>
          <w:lang w:val="es-ES"/>
        </w:rPr>
        <w:t>hable conducta anterior y aplicó</w:t>
      </w:r>
      <w:r w:rsidR="00CC7E67" w:rsidRPr="00F84AB1">
        <w:rPr>
          <w:rFonts w:asciiTheme="majorHAnsi" w:hAnsiTheme="majorHAnsi" w:cs="GillSansMT"/>
          <w:sz w:val="20"/>
          <w:szCs w:val="20"/>
          <w:lang w:val="es-ES"/>
        </w:rPr>
        <w:t xml:space="preserve"> respecto de todos los condenados la figura de la prescripción gradual, confirmando la sentencia de primera instancia. Indican que</w:t>
      </w:r>
      <w:r w:rsidR="008E278B" w:rsidRPr="00F84AB1">
        <w:rPr>
          <w:rFonts w:asciiTheme="majorHAnsi" w:hAnsiTheme="majorHAnsi" w:cs="GillSansMT"/>
          <w:sz w:val="20"/>
          <w:szCs w:val="20"/>
          <w:lang w:val="es-ES"/>
        </w:rPr>
        <w:t xml:space="preserve"> consecuencialmente,</w:t>
      </w:r>
      <w:r w:rsidR="00CC7E67" w:rsidRPr="00F84AB1">
        <w:rPr>
          <w:rFonts w:asciiTheme="majorHAnsi" w:hAnsiTheme="majorHAnsi" w:cs="GillSansMT"/>
          <w:sz w:val="20"/>
          <w:szCs w:val="20"/>
          <w:lang w:val="es-ES"/>
        </w:rPr>
        <w:t xml:space="preserve"> Juan Manuel Contreras</w:t>
      </w:r>
      <w:r w:rsidR="008E278B" w:rsidRPr="00F84AB1">
        <w:rPr>
          <w:rFonts w:asciiTheme="majorHAnsi" w:hAnsiTheme="majorHAnsi" w:cs="GillSansMT"/>
          <w:sz w:val="20"/>
          <w:szCs w:val="20"/>
          <w:lang w:val="es-ES"/>
        </w:rPr>
        <w:t xml:space="preserve"> fue condenado a </w:t>
      </w:r>
      <w:r w:rsidR="003C7077" w:rsidRPr="00F84AB1">
        <w:rPr>
          <w:rFonts w:asciiTheme="majorHAnsi" w:hAnsiTheme="majorHAnsi" w:cs="GillSansMT"/>
          <w:sz w:val="20"/>
          <w:szCs w:val="20"/>
          <w:lang w:val="es-ES"/>
        </w:rPr>
        <w:t>cinco</w:t>
      </w:r>
      <w:r w:rsidR="00CC7E67" w:rsidRPr="00F84AB1">
        <w:rPr>
          <w:rFonts w:asciiTheme="majorHAnsi" w:hAnsiTheme="majorHAnsi" w:cs="GillSansMT"/>
          <w:sz w:val="20"/>
          <w:szCs w:val="20"/>
          <w:lang w:val="es-ES"/>
        </w:rPr>
        <w:t xml:space="preserve"> años </w:t>
      </w:r>
      <w:r w:rsidR="008E278B" w:rsidRPr="00F84AB1">
        <w:rPr>
          <w:rFonts w:asciiTheme="majorHAnsi" w:hAnsiTheme="majorHAnsi" w:cs="GillSansMT"/>
          <w:sz w:val="20"/>
          <w:szCs w:val="20"/>
          <w:lang w:val="es-ES"/>
        </w:rPr>
        <w:t>de presidio</w:t>
      </w:r>
      <w:r w:rsidR="00DC012B" w:rsidRPr="00F84AB1">
        <w:rPr>
          <w:rFonts w:asciiTheme="majorHAnsi" w:hAnsiTheme="majorHAnsi" w:cs="GillSansMT"/>
          <w:sz w:val="20"/>
          <w:szCs w:val="20"/>
          <w:lang w:val="es-ES"/>
        </w:rPr>
        <w:t xml:space="preserve">, y el resto de los condenados sentenciados a </w:t>
      </w:r>
      <w:r w:rsidR="00FC55F2" w:rsidRPr="00F84AB1">
        <w:rPr>
          <w:rFonts w:asciiTheme="majorHAnsi" w:hAnsiTheme="majorHAnsi" w:cs="GillSansMT"/>
          <w:sz w:val="20"/>
          <w:szCs w:val="20"/>
          <w:lang w:val="es-ES"/>
        </w:rPr>
        <w:t>tres</w:t>
      </w:r>
      <w:r w:rsidR="00DC012B" w:rsidRPr="00F84AB1">
        <w:rPr>
          <w:rFonts w:asciiTheme="majorHAnsi" w:hAnsiTheme="majorHAnsi" w:cs="GillSansMT"/>
          <w:sz w:val="20"/>
          <w:szCs w:val="20"/>
          <w:lang w:val="es-ES"/>
        </w:rPr>
        <w:t xml:space="preserve"> años de presidio, y se</w:t>
      </w:r>
      <w:r w:rsidR="00CC7E67" w:rsidRPr="00F84AB1">
        <w:rPr>
          <w:rFonts w:asciiTheme="majorHAnsi" w:hAnsiTheme="majorHAnsi" w:cs="GillSansMT"/>
          <w:sz w:val="20"/>
          <w:szCs w:val="20"/>
          <w:lang w:val="es-ES"/>
        </w:rPr>
        <w:t xml:space="preserve"> le concedió libertad vigilada </w:t>
      </w:r>
      <w:r w:rsidR="00DC012B" w:rsidRPr="00F84AB1">
        <w:rPr>
          <w:rFonts w:asciiTheme="majorHAnsi" w:hAnsiTheme="majorHAnsi" w:cs="GillSansMT"/>
          <w:sz w:val="20"/>
          <w:szCs w:val="20"/>
          <w:lang w:val="es-ES"/>
        </w:rPr>
        <w:t xml:space="preserve">a todos los </w:t>
      </w:r>
      <w:r w:rsidR="00EF67E3" w:rsidRPr="00F84AB1">
        <w:rPr>
          <w:rFonts w:asciiTheme="majorHAnsi" w:hAnsiTheme="majorHAnsi" w:cs="GillSansMT"/>
          <w:sz w:val="20"/>
          <w:szCs w:val="20"/>
          <w:lang w:val="es-ES"/>
        </w:rPr>
        <w:t>condenado</w:t>
      </w:r>
      <w:r w:rsidR="00EF11D0" w:rsidRPr="00F84AB1">
        <w:rPr>
          <w:rFonts w:asciiTheme="majorHAnsi" w:hAnsiTheme="majorHAnsi" w:cs="GillSansMT"/>
          <w:sz w:val="20"/>
          <w:szCs w:val="20"/>
          <w:lang w:val="es-ES"/>
        </w:rPr>
        <w:t>s</w:t>
      </w:r>
      <w:r w:rsidR="00DC012B" w:rsidRPr="00F84AB1">
        <w:rPr>
          <w:rFonts w:asciiTheme="majorHAnsi" w:hAnsiTheme="majorHAnsi" w:cs="GillSansMT"/>
          <w:sz w:val="20"/>
          <w:szCs w:val="20"/>
          <w:lang w:val="es-ES"/>
        </w:rPr>
        <w:t xml:space="preserve">. </w:t>
      </w:r>
    </w:p>
    <w:p w:rsidR="006F6E25" w:rsidRPr="00F84AB1" w:rsidRDefault="006F6E25"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ES"/>
        </w:rPr>
      </w:pPr>
    </w:p>
    <w:p w:rsidR="006F6E25" w:rsidRPr="00F84AB1" w:rsidRDefault="005F146A" w:rsidP="00331369">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Theme="majorHAnsi" w:hAnsiTheme="majorHAnsi" w:cs="GillSansMT"/>
          <w:b/>
          <w:sz w:val="20"/>
          <w:szCs w:val="20"/>
          <w:lang w:val="es-ES"/>
        </w:rPr>
      </w:pPr>
      <w:r w:rsidRPr="00F84AB1">
        <w:rPr>
          <w:rFonts w:asciiTheme="majorHAnsi" w:hAnsiTheme="majorHAnsi" w:cs="GillSansMT"/>
          <w:b/>
          <w:sz w:val="20"/>
          <w:szCs w:val="20"/>
          <w:lang w:val="es-ES"/>
        </w:rPr>
        <w:t xml:space="preserve">Caso de </w:t>
      </w:r>
      <w:r w:rsidR="0062257E" w:rsidRPr="00F84AB1">
        <w:rPr>
          <w:rFonts w:asciiTheme="majorHAnsi" w:hAnsiTheme="majorHAnsi" w:cs="GillSansMT"/>
          <w:b/>
          <w:sz w:val="20"/>
          <w:szCs w:val="20"/>
          <w:lang w:val="es-ES"/>
        </w:rPr>
        <w:t>Gerardo Antonio Encina Pérez</w:t>
      </w:r>
      <w:r w:rsidR="00BC28D3" w:rsidRPr="00F84AB1">
        <w:rPr>
          <w:rFonts w:asciiTheme="majorHAnsi" w:hAnsiTheme="majorHAnsi" w:cs="GillSansMT"/>
          <w:b/>
          <w:sz w:val="20"/>
          <w:szCs w:val="20"/>
          <w:lang w:val="es-ES"/>
        </w:rPr>
        <w:t xml:space="preserve"> y familiares</w:t>
      </w:r>
    </w:p>
    <w:p w:rsidR="006F6E25" w:rsidRPr="00F84AB1" w:rsidRDefault="006F6E25"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ES"/>
        </w:rPr>
      </w:pPr>
    </w:p>
    <w:p w:rsidR="006F6E25" w:rsidRPr="00F84AB1" w:rsidRDefault="00E04A87" w:rsidP="00C64463">
      <w:pPr>
        <w:pStyle w:val="ListParagraph"/>
        <w:numPr>
          <w:ilvl w:val="0"/>
          <w:numId w:val="56"/>
        </w:numPr>
        <w:jc w:val="both"/>
        <w:rPr>
          <w:rFonts w:asciiTheme="majorHAnsi" w:hAnsiTheme="majorHAnsi" w:cs="Arial"/>
          <w:color w:val="943634" w:themeColor="accent2" w:themeShade="BF"/>
          <w:sz w:val="20"/>
          <w:szCs w:val="20"/>
          <w:lang w:val="es-ES"/>
        </w:rPr>
      </w:pPr>
      <w:r w:rsidRPr="00F84AB1">
        <w:rPr>
          <w:rFonts w:asciiTheme="majorHAnsi" w:hAnsiTheme="majorHAnsi" w:cs="GillSansMT"/>
          <w:sz w:val="20"/>
          <w:szCs w:val="20"/>
          <w:lang w:val="es-ES"/>
        </w:rPr>
        <w:t>El 16</w:t>
      </w:r>
      <w:r w:rsidR="0062257E" w:rsidRPr="00F84AB1">
        <w:rPr>
          <w:rFonts w:asciiTheme="majorHAnsi" w:hAnsiTheme="majorHAnsi" w:cs="GillSansMT"/>
          <w:sz w:val="20"/>
          <w:szCs w:val="20"/>
          <w:lang w:val="es-ES"/>
        </w:rPr>
        <w:t xml:space="preserve"> de </w:t>
      </w:r>
      <w:r w:rsidRPr="00F84AB1">
        <w:rPr>
          <w:rFonts w:asciiTheme="majorHAnsi" w:hAnsiTheme="majorHAnsi" w:cs="GillSansMT"/>
          <w:sz w:val="20"/>
          <w:szCs w:val="20"/>
          <w:lang w:val="es-ES"/>
        </w:rPr>
        <w:t>agosto</w:t>
      </w:r>
      <w:r w:rsidR="0062257E" w:rsidRPr="00F84AB1">
        <w:rPr>
          <w:rFonts w:asciiTheme="majorHAnsi" w:hAnsiTheme="majorHAnsi" w:cs="GillSansMT"/>
          <w:sz w:val="20"/>
          <w:szCs w:val="20"/>
          <w:lang w:val="es-ES"/>
        </w:rPr>
        <w:t xml:space="preserve"> de 2010, los peticionarios remitieron una ampliación de denuncia presentada en favor de Gerardo Antonio Encina Pérez</w:t>
      </w:r>
      <w:r w:rsidR="00DD6761" w:rsidRPr="00F84AB1">
        <w:rPr>
          <w:rFonts w:asciiTheme="majorHAnsi" w:hAnsiTheme="majorHAnsi" w:cs="GillSansMT"/>
          <w:sz w:val="20"/>
          <w:szCs w:val="20"/>
          <w:lang w:val="es-ES"/>
        </w:rPr>
        <w:t xml:space="preserve"> y sus familiares</w:t>
      </w:r>
      <w:r w:rsidR="00DC4F0B" w:rsidRPr="00F84AB1">
        <w:rPr>
          <w:rFonts w:asciiTheme="majorHAnsi" w:hAnsiTheme="majorHAnsi" w:cs="GillSansMT"/>
          <w:sz w:val="20"/>
          <w:szCs w:val="20"/>
          <w:lang w:val="es-ES"/>
        </w:rPr>
        <w:t>.</w:t>
      </w:r>
    </w:p>
    <w:p w:rsidR="006F6E25" w:rsidRPr="00F84AB1" w:rsidRDefault="006F6E25"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ES"/>
        </w:rPr>
      </w:pPr>
    </w:p>
    <w:p w:rsidR="006F6E25" w:rsidRPr="00F84AB1" w:rsidRDefault="00DC45EF" w:rsidP="00C64463">
      <w:pPr>
        <w:pStyle w:val="ListParagraph"/>
        <w:numPr>
          <w:ilvl w:val="0"/>
          <w:numId w:val="56"/>
        </w:numPr>
        <w:jc w:val="both"/>
        <w:rPr>
          <w:rFonts w:asciiTheme="majorHAnsi" w:hAnsiTheme="majorHAnsi" w:cs="GillSansMT"/>
          <w:sz w:val="20"/>
          <w:szCs w:val="20"/>
          <w:lang w:val="es-ES"/>
        </w:rPr>
      </w:pPr>
      <w:r w:rsidRPr="00F84AB1">
        <w:rPr>
          <w:rFonts w:asciiTheme="majorHAnsi" w:hAnsiTheme="majorHAnsi" w:cs="GillSansMT"/>
          <w:sz w:val="20"/>
          <w:szCs w:val="20"/>
          <w:lang w:val="es-ES"/>
        </w:rPr>
        <w:lastRenderedPageBreak/>
        <w:t xml:space="preserve">Los peticionarios indican que la presunta víctima era militante del partido socialista y que </w:t>
      </w:r>
      <w:r w:rsidR="002D09E2" w:rsidRPr="00F84AB1">
        <w:rPr>
          <w:rFonts w:asciiTheme="majorHAnsi" w:hAnsiTheme="majorHAnsi" w:cs="GillSansMT"/>
          <w:sz w:val="20"/>
          <w:szCs w:val="20"/>
          <w:lang w:val="es-ES"/>
        </w:rPr>
        <w:t>en los primeros d</w:t>
      </w:r>
      <w:r w:rsidR="002D09E2" w:rsidRPr="00F84AB1">
        <w:rPr>
          <w:rFonts w:asciiTheme="majorHAnsi" w:hAnsiTheme="majorHAnsi" w:cs="Times New Roman"/>
          <w:sz w:val="20"/>
          <w:szCs w:val="20"/>
          <w:lang w:val="es-ES"/>
        </w:rPr>
        <w:t>ías de octubre de 1973 una patrulla policial lleg</w:t>
      </w:r>
      <w:r w:rsidR="003C7077" w:rsidRPr="00F84AB1">
        <w:rPr>
          <w:rFonts w:asciiTheme="majorHAnsi" w:hAnsiTheme="majorHAnsi" w:cs="Times New Roman"/>
          <w:sz w:val="20"/>
          <w:szCs w:val="20"/>
          <w:lang w:val="es-ES"/>
        </w:rPr>
        <w:t>ó</w:t>
      </w:r>
      <w:r w:rsidR="002D09E2" w:rsidRPr="00F84AB1">
        <w:rPr>
          <w:rFonts w:asciiTheme="majorHAnsi" w:hAnsiTheme="majorHAnsi" w:cs="Times New Roman"/>
          <w:sz w:val="20"/>
          <w:szCs w:val="20"/>
          <w:lang w:val="es-ES"/>
        </w:rPr>
        <w:t xml:space="preserve"> a su casa en su búsqueda, y al no encontrarlo lo dejaron citado a la 5</w:t>
      </w:r>
      <w:r w:rsidR="00EF11D0" w:rsidRPr="00F84AB1">
        <w:rPr>
          <w:rFonts w:asciiTheme="majorHAnsi" w:hAnsiTheme="majorHAnsi" w:cs="Times New Roman"/>
          <w:sz w:val="20"/>
          <w:szCs w:val="20"/>
          <w:lang w:val="es-ES"/>
        </w:rPr>
        <w:t>ª</w:t>
      </w:r>
      <w:r w:rsidR="002D09E2" w:rsidRPr="00F84AB1">
        <w:rPr>
          <w:rFonts w:asciiTheme="majorHAnsi" w:hAnsiTheme="majorHAnsi" w:cs="Times New Roman"/>
          <w:sz w:val="20"/>
          <w:szCs w:val="20"/>
          <w:lang w:val="es-ES"/>
        </w:rPr>
        <w:t xml:space="preserve"> Comisaría de Carabineros de San Javier. Refieren que </w:t>
      </w:r>
      <w:r w:rsidR="0009521C" w:rsidRPr="00F84AB1">
        <w:rPr>
          <w:rFonts w:asciiTheme="majorHAnsi" w:hAnsiTheme="majorHAnsi" w:cs="GillSansMT"/>
          <w:sz w:val="20"/>
          <w:szCs w:val="20"/>
          <w:lang w:val="es-ES"/>
        </w:rPr>
        <w:t xml:space="preserve">Gerardo Antonio Encina Pérez ya había sido detenido anteriormente y puesto a disposición de la Fiscalía Militar de Linares, encontrándose en libertad bajo fianza, con obligación de presentarse todas las semanas, por lo </w:t>
      </w:r>
      <w:r w:rsidR="00D20C6D" w:rsidRPr="00F84AB1">
        <w:rPr>
          <w:rFonts w:asciiTheme="majorHAnsi" w:hAnsiTheme="majorHAnsi" w:cs="GillSansMT"/>
          <w:sz w:val="20"/>
          <w:szCs w:val="20"/>
          <w:lang w:val="es-ES"/>
        </w:rPr>
        <w:t xml:space="preserve">que al regresar a su domicilio, decidió </w:t>
      </w:r>
      <w:r w:rsidR="00016890" w:rsidRPr="00F84AB1">
        <w:rPr>
          <w:rFonts w:asciiTheme="majorHAnsi" w:hAnsiTheme="majorHAnsi" w:cs="GillSansMT"/>
          <w:sz w:val="20"/>
          <w:szCs w:val="20"/>
          <w:lang w:val="es-ES"/>
        </w:rPr>
        <w:t xml:space="preserve">dirigirse junto a su esposa a </w:t>
      </w:r>
      <w:r w:rsidR="00393B16" w:rsidRPr="00F84AB1">
        <w:rPr>
          <w:rFonts w:asciiTheme="majorHAnsi" w:hAnsiTheme="majorHAnsi" w:cs="GillSansMT"/>
          <w:sz w:val="20"/>
          <w:szCs w:val="20"/>
          <w:lang w:val="es-ES"/>
        </w:rPr>
        <w:t xml:space="preserve">la </w:t>
      </w:r>
      <w:r w:rsidR="00016890" w:rsidRPr="00F84AB1">
        <w:rPr>
          <w:rFonts w:asciiTheme="majorHAnsi" w:hAnsiTheme="majorHAnsi" w:cs="GillSansMT"/>
          <w:sz w:val="20"/>
          <w:szCs w:val="20"/>
          <w:lang w:val="es-ES"/>
        </w:rPr>
        <w:t>Fiscalía Militar y luego a la unidad policial, lugar donde fue detenido. Indican que su esposa lo espero todo el día y volvió al día siguiente sin que le dieran explicación satisfactoria. Desde entonces se perdió su rastro.</w:t>
      </w:r>
    </w:p>
    <w:p w:rsidR="00016890" w:rsidRPr="00F84AB1" w:rsidRDefault="00016890" w:rsidP="00C64463">
      <w:pPr>
        <w:pStyle w:val="ListParagraph"/>
        <w:jc w:val="both"/>
        <w:rPr>
          <w:rFonts w:asciiTheme="majorHAnsi" w:hAnsiTheme="majorHAnsi" w:cs="GillSansMT"/>
          <w:sz w:val="20"/>
          <w:szCs w:val="20"/>
          <w:lang w:val="es-ES"/>
        </w:rPr>
      </w:pPr>
    </w:p>
    <w:p w:rsidR="00016890" w:rsidRPr="00F84AB1" w:rsidRDefault="00016890" w:rsidP="00C64463">
      <w:pPr>
        <w:pStyle w:val="ListParagraph"/>
        <w:numPr>
          <w:ilvl w:val="0"/>
          <w:numId w:val="56"/>
        </w:numPr>
        <w:jc w:val="both"/>
        <w:rPr>
          <w:rFonts w:asciiTheme="majorHAnsi" w:hAnsiTheme="majorHAnsi" w:cs="GillSansMT"/>
          <w:sz w:val="20"/>
          <w:szCs w:val="20"/>
          <w:lang w:val="es-ES"/>
        </w:rPr>
      </w:pPr>
      <w:r w:rsidRPr="00F84AB1">
        <w:rPr>
          <w:rFonts w:asciiTheme="majorHAnsi" w:hAnsiTheme="majorHAnsi" w:cs="GillSansMT"/>
          <w:sz w:val="20"/>
          <w:szCs w:val="20"/>
          <w:lang w:val="es-ES"/>
        </w:rPr>
        <w:t>Refieren que alrededor de diez o quince días después, familiares de otros desaparecidos de la misma localidad solicitaron permiso a la autoridad militar de la zona para rastrear el río Loncomilla a fin de encontrar los restos de sus familiares. En dicha búsqueda encontraron el cuerpo sin vida y con huellas de disparos de Gerardo Antonio Encina Pérez</w:t>
      </w:r>
      <w:r w:rsidR="001F507B" w:rsidRPr="00F84AB1">
        <w:rPr>
          <w:rFonts w:asciiTheme="majorHAnsi" w:hAnsiTheme="majorHAnsi" w:cs="GillSansMT"/>
          <w:sz w:val="20"/>
          <w:szCs w:val="20"/>
          <w:lang w:val="es-ES"/>
        </w:rPr>
        <w:t>, el cual debieron devolver a las aguas por temor a represalias ya que solo contaban con autorización para rescatar los cuerpos de sus familiares</w:t>
      </w:r>
      <w:r w:rsidRPr="00F84AB1">
        <w:rPr>
          <w:rFonts w:asciiTheme="majorHAnsi" w:hAnsiTheme="majorHAnsi" w:cs="GillSansMT"/>
          <w:sz w:val="20"/>
          <w:szCs w:val="20"/>
          <w:lang w:val="es-ES"/>
        </w:rPr>
        <w:t xml:space="preserve">. </w:t>
      </w:r>
    </w:p>
    <w:p w:rsidR="00A04BF2" w:rsidRPr="00F84AB1" w:rsidRDefault="00A04BF2" w:rsidP="00C64463">
      <w:pPr>
        <w:pStyle w:val="ListParagraph"/>
        <w:jc w:val="both"/>
        <w:rPr>
          <w:rFonts w:asciiTheme="majorHAnsi" w:hAnsiTheme="majorHAnsi" w:cs="GillSansMT"/>
          <w:sz w:val="20"/>
          <w:szCs w:val="20"/>
          <w:lang w:val="es-ES"/>
        </w:rPr>
      </w:pPr>
    </w:p>
    <w:p w:rsidR="006D14B3" w:rsidRPr="00F84AB1" w:rsidRDefault="00A04BF2" w:rsidP="00C64463">
      <w:pPr>
        <w:pStyle w:val="ListParagraph"/>
        <w:numPr>
          <w:ilvl w:val="0"/>
          <w:numId w:val="56"/>
        </w:numPr>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Se indica que a raíz de los hechos su cónyuge inicio de inmediato gestiones ante el Fiscal Militar y el Gobernador de la zona, sin resultados. </w:t>
      </w:r>
      <w:r w:rsidR="008E3458" w:rsidRPr="00F84AB1">
        <w:rPr>
          <w:rFonts w:asciiTheme="majorHAnsi" w:hAnsiTheme="majorHAnsi" w:cs="GillSansMT"/>
          <w:sz w:val="20"/>
          <w:szCs w:val="20"/>
          <w:lang w:val="es-ES"/>
        </w:rPr>
        <w:t>Refieren que en 1990 su cónyuge concurrió a la CNVR y el caso de la presunta víctima fue calificado como detenido desaparecido.</w:t>
      </w:r>
      <w:r w:rsidR="008508E8" w:rsidRPr="00F84AB1">
        <w:rPr>
          <w:rFonts w:asciiTheme="majorHAnsi" w:hAnsiTheme="majorHAnsi" w:cs="GillSansMT"/>
          <w:sz w:val="20"/>
          <w:szCs w:val="20"/>
          <w:lang w:val="es-ES"/>
        </w:rPr>
        <w:t xml:space="preserve"> Dicha comisión, una vez terminado su</w:t>
      </w:r>
      <w:r w:rsidR="00012631" w:rsidRPr="00F84AB1">
        <w:rPr>
          <w:rFonts w:asciiTheme="majorHAnsi" w:hAnsiTheme="majorHAnsi" w:cs="GillSansMT"/>
          <w:sz w:val="20"/>
          <w:szCs w:val="20"/>
          <w:lang w:val="es-ES"/>
        </w:rPr>
        <w:t xml:space="preserve"> </w:t>
      </w:r>
      <w:r w:rsidR="008508E8" w:rsidRPr="00F84AB1">
        <w:rPr>
          <w:rFonts w:asciiTheme="majorHAnsi" w:hAnsiTheme="majorHAnsi" w:cs="GillSansMT"/>
          <w:sz w:val="20"/>
          <w:szCs w:val="20"/>
          <w:lang w:val="es-ES"/>
        </w:rPr>
        <w:t xml:space="preserve">mandato, remitió al Juzgado de Letras de San Javier antecedentes, iniciándose el 20 de febrero de 1991 un proceso. Sostienen que </w:t>
      </w:r>
      <w:r w:rsidR="00080A44" w:rsidRPr="00F84AB1">
        <w:rPr>
          <w:rFonts w:asciiTheme="majorHAnsi" w:hAnsiTheme="majorHAnsi" w:cs="GillSansMT"/>
          <w:sz w:val="20"/>
          <w:szCs w:val="20"/>
          <w:lang w:val="es-ES"/>
        </w:rPr>
        <w:t xml:space="preserve">el 21 de junio de 1994, tras una insuficiente investigación se sobreseyó </w:t>
      </w:r>
      <w:r w:rsidR="00DE5E89" w:rsidRPr="00F84AB1">
        <w:rPr>
          <w:rFonts w:asciiTheme="majorHAnsi" w:hAnsiTheme="majorHAnsi" w:cs="GillSansMT"/>
          <w:sz w:val="20"/>
          <w:szCs w:val="20"/>
          <w:lang w:val="es-ES"/>
        </w:rPr>
        <w:t>temporalmente la causa, por falta</w:t>
      </w:r>
      <w:r w:rsidR="00FE6385" w:rsidRPr="00F84AB1">
        <w:rPr>
          <w:rFonts w:asciiTheme="majorHAnsi" w:hAnsiTheme="majorHAnsi" w:cs="GillSansMT"/>
          <w:sz w:val="20"/>
          <w:szCs w:val="20"/>
          <w:lang w:val="es-ES"/>
        </w:rPr>
        <w:t xml:space="preserve"> de indicios para acusar a determinada persona.</w:t>
      </w:r>
      <w:r w:rsidR="00DE5E89" w:rsidRPr="00F84AB1">
        <w:rPr>
          <w:rFonts w:asciiTheme="majorHAnsi" w:hAnsiTheme="majorHAnsi" w:cs="GillSansMT"/>
          <w:sz w:val="20"/>
          <w:szCs w:val="20"/>
          <w:lang w:val="es-ES"/>
        </w:rPr>
        <w:t xml:space="preserve"> </w:t>
      </w:r>
    </w:p>
    <w:p w:rsidR="006F2758" w:rsidRPr="00F84AB1" w:rsidRDefault="006F2758" w:rsidP="00C64463">
      <w:pPr>
        <w:pStyle w:val="ListParagraph"/>
        <w:jc w:val="both"/>
        <w:rPr>
          <w:rFonts w:asciiTheme="majorHAnsi" w:hAnsiTheme="majorHAnsi" w:cs="GillSansMT"/>
          <w:sz w:val="20"/>
          <w:szCs w:val="20"/>
          <w:lang w:val="es-ES"/>
        </w:rPr>
      </w:pPr>
    </w:p>
    <w:p w:rsidR="006F2758" w:rsidRPr="00F84AB1" w:rsidRDefault="00C64EEB" w:rsidP="00C64463">
      <w:pPr>
        <w:pStyle w:val="ListParagraph"/>
        <w:numPr>
          <w:ilvl w:val="0"/>
          <w:numId w:val="56"/>
        </w:numPr>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En la denuncia se indica que el 20 de junio de 2003 el pleno de la Corte de Apelaciones de Talca acordó acceder </w:t>
      </w:r>
      <w:r w:rsidR="00D40BAA" w:rsidRPr="00F84AB1">
        <w:rPr>
          <w:rFonts w:asciiTheme="majorHAnsi" w:hAnsiTheme="majorHAnsi" w:cs="GillSansMT"/>
          <w:sz w:val="20"/>
          <w:szCs w:val="20"/>
          <w:lang w:val="es-ES"/>
        </w:rPr>
        <w:t>al nombramiento de un juez con dedicación exclusiva para las causas por violaciones a derechos humanos, por lo que se designó</w:t>
      </w:r>
      <w:r w:rsidR="008E63D6" w:rsidRPr="00F84AB1">
        <w:rPr>
          <w:rFonts w:asciiTheme="majorHAnsi" w:hAnsiTheme="majorHAnsi" w:cs="GillSansMT"/>
          <w:sz w:val="20"/>
          <w:szCs w:val="20"/>
          <w:lang w:val="es-ES"/>
        </w:rPr>
        <w:t xml:space="preserve"> al Juez de Letras de San Javier al conocimiento de la causa.</w:t>
      </w:r>
      <w:r w:rsidR="00012631" w:rsidRPr="00F84AB1">
        <w:rPr>
          <w:rFonts w:asciiTheme="majorHAnsi" w:hAnsiTheme="majorHAnsi" w:cs="GillSansMT"/>
          <w:sz w:val="20"/>
          <w:szCs w:val="20"/>
          <w:lang w:val="es-ES"/>
        </w:rPr>
        <w:t xml:space="preserve"> </w:t>
      </w:r>
      <w:r w:rsidR="008E63D6" w:rsidRPr="00F84AB1">
        <w:rPr>
          <w:rFonts w:asciiTheme="majorHAnsi" w:hAnsiTheme="majorHAnsi" w:cs="GillSansMT"/>
          <w:sz w:val="20"/>
          <w:szCs w:val="20"/>
          <w:lang w:val="es-ES"/>
        </w:rPr>
        <w:t>En dicho proceso se hizo parte el PDH el 3 de julio de 2003, y el 29 de agosto de ese año se sometió a proceso a dos exfuncionarios del ejército y un exfuncionario de carabineros</w:t>
      </w:r>
      <w:r w:rsidR="00AA46F1" w:rsidRPr="00F84AB1">
        <w:rPr>
          <w:rFonts w:asciiTheme="majorHAnsi" w:hAnsiTheme="majorHAnsi" w:cs="GillSansMT"/>
          <w:sz w:val="20"/>
          <w:szCs w:val="20"/>
          <w:lang w:val="es-ES"/>
        </w:rPr>
        <w:t xml:space="preserve"> en calidad de autores de secuestro calificado</w:t>
      </w:r>
      <w:r w:rsidR="008E63D6" w:rsidRPr="00F84AB1">
        <w:rPr>
          <w:rFonts w:asciiTheme="majorHAnsi" w:hAnsiTheme="majorHAnsi" w:cs="GillSansMT"/>
          <w:sz w:val="20"/>
          <w:szCs w:val="20"/>
          <w:lang w:val="es-ES"/>
        </w:rPr>
        <w:t xml:space="preserve">. </w:t>
      </w:r>
    </w:p>
    <w:p w:rsidR="00AA46F1" w:rsidRPr="00F84AB1" w:rsidRDefault="00AA46F1" w:rsidP="00C64463">
      <w:pPr>
        <w:pStyle w:val="ListParagraph"/>
        <w:jc w:val="both"/>
        <w:rPr>
          <w:rFonts w:asciiTheme="majorHAnsi" w:hAnsiTheme="majorHAnsi" w:cs="GillSansMT"/>
          <w:sz w:val="20"/>
          <w:szCs w:val="20"/>
          <w:lang w:val="es-ES"/>
        </w:rPr>
      </w:pPr>
    </w:p>
    <w:p w:rsidR="00AA46F1" w:rsidRPr="00F84AB1" w:rsidRDefault="00AA46F1" w:rsidP="00C64463">
      <w:pPr>
        <w:pStyle w:val="ListParagraph"/>
        <w:numPr>
          <w:ilvl w:val="0"/>
          <w:numId w:val="56"/>
        </w:numPr>
        <w:jc w:val="both"/>
        <w:rPr>
          <w:rFonts w:asciiTheme="majorHAnsi" w:hAnsiTheme="majorHAnsi" w:cs="GillSansMT"/>
          <w:sz w:val="20"/>
          <w:szCs w:val="20"/>
          <w:lang w:val="es-ES"/>
        </w:rPr>
      </w:pPr>
      <w:r w:rsidRPr="00F84AB1">
        <w:rPr>
          <w:rFonts w:asciiTheme="majorHAnsi" w:hAnsiTheme="majorHAnsi" w:cs="GillSansMT"/>
          <w:sz w:val="20"/>
          <w:szCs w:val="20"/>
          <w:lang w:val="es-ES"/>
        </w:rPr>
        <w:t>Los peticionarios indican que posteriormente las causas por violaciones a derechos humanos fueron entregadas a una Ministra de la Corte de Apelac</w:t>
      </w:r>
      <w:r w:rsidR="00DA2FE7" w:rsidRPr="00F84AB1">
        <w:rPr>
          <w:rFonts w:asciiTheme="majorHAnsi" w:hAnsiTheme="majorHAnsi" w:cs="GillSansMT"/>
          <w:sz w:val="20"/>
          <w:szCs w:val="20"/>
          <w:lang w:val="es-ES"/>
        </w:rPr>
        <w:t>iones de Talca, quien recalificó</w:t>
      </w:r>
      <w:r w:rsidRPr="00F84AB1">
        <w:rPr>
          <w:rFonts w:asciiTheme="majorHAnsi" w:hAnsiTheme="majorHAnsi" w:cs="GillSansMT"/>
          <w:sz w:val="20"/>
          <w:szCs w:val="20"/>
          <w:lang w:val="es-ES"/>
        </w:rPr>
        <w:t xml:space="preserve"> el ilícito como homicidio cal</w:t>
      </w:r>
      <w:r w:rsidR="00DA2FE7" w:rsidRPr="00F84AB1">
        <w:rPr>
          <w:rFonts w:asciiTheme="majorHAnsi" w:hAnsiTheme="majorHAnsi" w:cs="GillSansMT"/>
          <w:sz w:val="20"/>
          <w:szCs w:val="20"/>
          <w:lang w:val="es-ES"/>
        </w:rPr>
        <w:t>ificado y dictó</w:t>
      </w:r>
      <w:r w:rsidRPr="00F84AB1">
        <w:rPr>
          <w:rFonts w:asciiTheme="majorHAnsi" w:hAnsiTheme="majorHAnsi" w:cs="GillSansMT"/>
          <w:sz w:val="20"/>
          <w:szCs w:val="20"/>
          <w:lang w:val="es-ES"/>
        </w:rPr>
        <w:t xml:space="preserve"> sentencia el </w:t>
      </w:r>
      <w:r w:rsidR="00F31EF6" w:rsidRPr="00F84AB1">
        <w:rPr>
          <w:rFonts w:asciiTheme="majorHAnsi" w:hAnsiTheme="majorHAnsi" w:cs="GillSansMT"/>
          <w:sz w:val="20"/>
          <w:szCs w:val="20"/>
          <w:lang w:val="es-ES"/>
        </w:rPr>
        <w:t>14</w:t>
      </w:r>
      <w:r w:rsidRPr="00F84AB1">
        <w:rPr>
          <w:rFonts w:asciiTheme="majorHAnsi" w:hAnsiTheme="majorHAnsi" w:cs="GillSansMT"/>
          <w:sz w:val="20"/>
          <w:szCs w:val="20"/>
          <w:lang w:val="es-ES"/>
        </w:rPr>
        <w:t xml:space="preserve"> de agosto de 2005 absolviendo a dos imputados por considerar extinguida la acción penal por prescripción respecto de uno, y por no estar acreditada la participación respecto del segundo. En cuanto a la tercera persona vincul</w:t>
      </w:r>
      <w:r w:rsidR="00DA2FE7" w:rsidRPr="00F84AB1">
        <w:rPr>
          <w:rFonts w:asciiTheme="majorHAnsi" w:hAnsiTheme="majorHAnsi" w:cs="GillSansMT"/>
          <w:sz w:val="20"/>
          <w:szCs w:val="20"/>
          <w:lang w:val="es-ES"/>
        </w:rPr>
        <w:t>ada al proceso, se declaró</w:t>
      </w:r>
      <w:r w:rsidRPr="00F84AB1">
        <w:rPr>
          <w:rFonts w:asciiTheme="majorHAnsi" w:hAnsiTheme="majorHAnsi" w:cs="GillSansMT"/>
          <w:sz w:val="20"/>
          <w:szCs w:val="20"/>
          <w:lang w:val="es-ES"/>
        </w:rPr>
        <w:t xml:space="preserve"> el sobreseimiento por fallecimiento.</w:t>
      </w:r>
      <w:r w:rsidR="006C1834" w:rsidRPr="00F84AB1">
        <w:rPr>
          <w:rFonts w:asciiTheme="majorHAnsi" w:hAnsiTheme="majorHAnsi" w:cs="GillSansMT"/>
          <w:sz w:val="20"/>
          <w:szCs w:val="20"/>
          <w:lang w:val="es-ES"/>
        </w:rPr>
        <w:t xml:space="preserve"> De la documentación remitida se desprende que en el fallo de primera instancia se </w:t>
      </w:r>
      <w:r w:rsidR="00FC0263" w:rsidRPr="00F84AB1">
        <w:rPr>
          <w:rFonts w:asciiTheme="majorHAnsi" w:hAnsiTheme="majorHAnsi" w:cs="GillSansMT"/>
          <w:sz w:val="20"/>
          <w:szCs w:val="20"/>
          <w:lang w:val="es-ES"/>
        </w:rPr>
        <w:t>consideró</w:t>
      </w:r>
      <w:r w:rsidR="006C1834" w:rsidRPr="00F84AB1">
        <w:rPr>
          <w:rFonts w:asciiTheme="majorHAnsi" w:hAnsiTheme="majorHAnsi" w:cs="GillSansMT"/>
          <w:sz w:val="20"/>
          <w:szCs w:val="20"/>
          <w:lang w:val="es-ES"/>
        </w:rPr>
        <w:t xml:space="preserve"> </w:t>
      </w:r>
      <w:r w:rsidR="00FC0263" w:rsidRPr="00F84AB1">
        <w:rPr>
          <w:rFonts w:asciiTheme="majorHAnsi" w:hAnsiTheme="majorHAnsi" w:cs="GillSansMT"/>
          <w:sz w:val="20"/>
          <w:szCs w:val="20"/>
          <w:lang w:val="es-ES"/>
        </w:rPr>
        <w:t xml:space="preserve">en base a </w:t>
      </w:r>
      <w:r w:rsidR="006C1834" w:rsidRPr="00F84AB1">
        <w:rPr>
          <w:rFonts w:asciiTheme="majorHAnsi" w:hAnsiTheme="majorHAnsi" w:cs="GillSansMT"/>
          <w:sz w:val="20"/>
          <w:szCs w:val="20"/>
          <w:lang w:val="es-ES"/>
        </w:rPr>
        <w:t>los testimonios rendidos en el proceso</w:t>
      </w:r>
      <w:r w:rsidR="00FC0263" w:rsidRPr="00F84AB1">
        <w:rPr>
          <w:rFonts w:asciiTheme="majorHAnsi" w:hAnsiTheme="majorHAnsi" w:cs="GillSansMT"/>
          <w:sz w:val="20"/>
          <w:szCs w:val="20"/>
          <w:lang w:val="es-ES"/>
        </w:rPr>
        <w:t>, que</w:t>
      </w:r>
      <w:r w:rsidR="006C1834" w:rsidRPr="00F84AB1">
        <w:rPr>
          <w:rFonts w:asciiTheme="majorHAnsi" w:hAnsiTheme="majorHAnsi" w:cs="GillSansMT"/>
          <w:sz w:val="20"/>
          <w:szCs w:val="20"/>
          <w:lang w:val="es-ES"/>
        </w:rPr>
        <w:t xml:space="preserve"> no se puede dudar del hallazgo del cadáver de la presu</w:t>
      </w:r>
      <w:r w:rsidR="00DA2FE7" w:rsidRPr="00F84AB1">
        <w:rPr>
          <w:rFonts w:asciiTheme="majorHAnsi" w:hAnsiTheme="majorHAnsi" w:cs="GillSansMT"/>
          <w:sz w:val="20"/>
          <w:szCs w:val="20"/>
          <w:lang w:val="es-ES"/>
        </w:rPr>
        <w:t>nta víctima, en las aguas del rí</w:t>
      </w:r>
      <w:r w:rsidR="006C1834" w:rsidRPr="00F84AB1">
        <w:rPr>
          <w:rFonts w:asciiTheme="majorHAnsi" w:hAnsiTheme="majorHAnsi" w:cs="GillSansMT"/>
          <w:sz w:val="20"/>
          <w:szCs w:val="20"/>
          <w:lang w:val="es-ES"/>
        </w:rPr>
        <w:t>o Loncomilla en octubre de 1973</w:t>
      </w:r>
      <w:r w:rsidR="00FC0263" w:rsidRPr="00F84AB1">
        <w:rPr>
          <w:rFonts w:asciiTheme="majorHAnsi" w:hAnsiTheme="majorHAnsi" w:cs="GillSansMT"/>
          <w:sz w:val="20"/>
          <w:szCs w:val="20"/>
          <w:lang w:val="es-ES"/>
        </w:rPr>
        <w:t>, con lo cual</w:t>
      </w:r>
      <w:r w:rsidR="00DA2FE7" w:rsidRPr="00F84AB1">
        <w:rPr>
          <w:rFonts w:asciiTheme="majorHAnsi" w:hAnsiTheme="majorHAnsi" w:cs="GillSansMT"/>
          <w:sz w:val="20"/>
          <w:szCs w:val="20"/>
          <w:lang w:val="es-ES"/>
        </w:rPr>
        <w:t xml:space="preserve"> se</w:t>
      </w:r>
      <w:r w:rsidR="00FC0263" w:rsidRPr="00F84AB1">
        <w:rPr>
          <w:rFonts w:asciiTheme="majorHAnsi" w:hAnsiTheme="majorHAnsi" w:cs="GillSansMT"/>
          <w:sz w:val="20"/>
          <w:szCs w:val="20"/>
          <w:lang w:val="es-ES"/>
        </w:rPr>
        <w:t xml:space="preserve"> desestima la hipótesis del delito de secuestro calificado</w:t>
      </w:r>
      <w:r w:rsidR="00DA2FE7" w:rsidRPr="00F84AB1">
        <w:rPr>
          <w:rFonts w:asciiTheme="majorHAnsi" w:hAnsiTheme="majorHAnsi" w:cs="GillSansMT"/>
          <w:sz w:val="20"/>
          <w:szCs w:val="20"/>
          <w:lang w:val="es-ES"/>
        </w:rPr>
        <w:t>,</w:t>
      </w:r>
      <w:r w:rsidR="00FC0263" w:rsidRPr="00F84AB1">
        <w:rPr>
          <w:rFonts w:asciiTheme="majorHAnsi" w:hAnsiTheme="majorHAnsi" w:cs="GillSansMT"/>
          <w:sz w:val="20"/>
          <w:szCs w:val="20"/>
          <w:lang w:val="es-ES"/>
        </w:rPr>
        <w:t xml:space="preserve"> por lo que refiere que la ficción jurídica que sostiene que el ilícito permanece en el tiempo, no tiene aplicación en este caso.</w:t>
      </w:r>
    </w:p>
    <w:p w:rsidR="00AA46F1" w:rsidRPr="00F84AB1" w:rsidRDefault="00AA46F1" w:rsidP="00C64463">
      <w:pPr>
        <w:pStyle w:val="ListParagraph"/>
        <w:jc w:val="both"/>
        <w:rPr>
          <w:rFonts w:asciiTheme="majorHAnsi" w:hAnsiTheme="majorHAnsi" w:cs="GillSansMT"/>
          <w:sz w:val="20"/>
          <w:szCs w:val="20"/>
          <w:lang w:val="es-ES"/>
        </w:rPr>
      </w:pPr>
    </w:p>
    <w:p w:rsidR="00AA46F1" w:rsidRPr="00F84AB1" w:rsidRDefault="00AA46F1" w:rsidP="003C7077">
      <w:pPr>
        <w:pStyle w:val="ListParagraph"/>
        <w:numPr>
          <w:ilvl w:val="0"/>
          <w:numId w:val="56"/>
        </w:numPr>
        <w:jc w:val="both"/>
        <w:rPr>
          <w:rFonts w:asciiTheme="majorHAnsi" w:hAnsiTheme="majorHAnsi" w:cs="GillSansMT"/>
          <w:sz w:val="20"/>
          <w:szCs w:val="20"/>
          <w:lang w:val="es-ES"/>
        </w:rPr>
      </w:pPr>
      <w:r w:rsidRPr="00F84AB1">
        <w:rPr>
          <w:rFonts w:asciiTheme="majorHAnsi" w:hAnsiTheme="majorHAnsi" w:cs="GillSansMT"/>
          <w:sz w:val="20"/>
          <w:szCs w:val="20"/>
          <w:lang w:val="es-ES"/>
        </w:rPr>
        <w:t>Indican que el fallo fue apelado por el PDH y que el 6 de julio de 2009 la Corte de Apelaciones de Tal</w:t>
      </w:r>
      <w:r w:rsidR="00DA2FE7" w:rsidRPr="00F84AB1">
        <w:rPr>
          <w:rFonts w:asciiTheme="majorHAnsi" w:hAnsiTheme="majorHAnsi" w:cs="GillSansMT"/>
          <w:sz w:val="20"/>
          <w:szCs w:val="20"/>
          <w:lang w:val="es-ES"/>
        </w:rPr>
        <w:t>ca revoc</w:t>
      </w:r>
      <w:r w:rsidR="003C7077" w:rsidRPr="00F84AB1">
        <w:rPr>
          <w:rFonts w:asciiTheme="majorHAnsi" w:hAnsiTheme="majorHAnsi" w:cs="GillSansMT"/>
          <w:sz w:val="20"/>
          <w:szCs w:val="20"/>
          <w:lang w:val="es-ES"/>
        </w:rPr>
        <w:t>ó</w:t>
      </w:r>
      <w:r w:rsidR="00DA2FE7" w:rsidRPr="00F84AB1">
        <w:rPr>
          <w:rFonts w:asciiTheme="majorHAnsi" w:hAnsiTheme="majorHAnsi" w:cs="GillSansMT"/>
          <w:sz w:val="20"/>
          <w:szCs w:val="20"/>
          <w:lang w:val="es-ES"/>
        </w:rPr>
        <w:t xml:space="preserve"> la sentencia y condenó</w:t>
      </w:r>
      <w:r w:rsidRPr="00F84AB1">
        <w:rPr>
          <w:rFonts w:asciiTheme="majorHAnsi" w:hAnsiTheme="majorHAnsi" w:cs="GillSansMT"/>
          <w:sz w:val="20"/>
          <w:szCs w:val="20"/>
          <w:lang w:val="es-ES"/>
        </w:rPr>
        <w:t xml:space="preserve"> a </w:t>
      </w:r>
      <w:r w:rsidR="00761F67" w:rsidRPr="00F84AB1">
        <w:rPr>
          <w:rFonts w:asciiTheme="majorHAnsi" w:hAnsiTheme="majorHAnsi" w:cs="GillSansMT"/>
          <w:sz w:val="20"/>
          <w:szCs w:val="20"/>
          <w:lang w:val="es-ES"/>
        </w:rPr>
        <w:t>Lecaros Carrasco</w:t>
      </w:r>
      <w:r w:rsidRPr="00F84AB1">
        <w:rPr>
          <w:rFonts w:asciiTheme="majorHAnsi" w:hAnsiTheme="majorHAnsi" w:cs="GillSansMT"/>
          <w:sz w:val="20"/>
          <w:szCs w:val="20"/>
          <w:lang w:val="es-ES"/>
        </w:rPr>
        <w:t xml:space="preserve"> a la pena de cinco años y un día </w:t>
      </w:r>
      <w:r w:rsidR="00247DF2" w:rsidRPr="00F84AB1">
        <w:rPr>
          <w:rFonts w:asciiTheme="majorHAnsi" w:hAnsiTheme="majorHAnsi" w:cs="GillSansMT"/>
          <w:sz w:val="20"/>
          <w:szCs w:val="20"/>
          <w:lang w:val="es-ES"/>
        </w:rPr>
        <w:t>de presidio c</w:t>
      </w:r>
      <w:r w:rsidRPr="00F84AB1">
        <w:rPr>
          <w:rFonts w:asciiTheme="majorHAnsi" w:hAnsiTheme="majorHAnsi" w:cs="GillSansMT"/>
          <w:sz w:val="20"/>
          <w:szCs w:val="20"/>
          <w:lang w:val="es-ES"/>
        </w:rPr>
        <w:t>omo autor de homicidio calificado</w:t>
      </w:r>
      <w:r w:rsidR="00247DF2" w:rsidRPr="00F84AB1">
        <w:rPr>
          <w:rFonts w:asciiTheme="majorHAnsi" w:hAnsiTheme="majorHAnsi" w:cs="GillSansMT"/>
          <w:sz w:val="20"/>
          <w:szCs w:val="20"/>
          <w:lang w:val="es-ES"/>
        </w:rPr>
        <w:t xml:space="preserve">, confirmando el fallo en lo demás. </w:t>
      </w:r>
    </w:p>
    <w:p w:rsidR="00247DF2" w:rsidRPr="00F84AB1" w:rsidRDefault="00247DF2" w:rsidP="00C64463">
      <w:pPr>
        <w:pStyle w:val="ListParagraph"/>
        <w:jc w:val="both"/>
        <w:rPr>
          <w:rFonts w:asciiTheme="majorHAnsi" w:hAnsiTheme="majorHAnsi" w:cs="GillSansMT"/>
          <w:sz w:val="20"/>
          <w:szCs w:val="20"/>
          <w:lang w:val="es-ES"/>
        </w:rPr>
      </w:pPr>
    </w:p>
    <w:p w:rsidR="006F6E25" w:rsidRPr="00F84AB1" w:rsidRDefault="00247DF2" w:rsidP="0066264E">
      <w:pPr>
        <w:pStyle w:val="ListParagraph"/>
        <w:numPr>
          <w:ilvl w:val="0"/>
          <w:numId w:val="56"/>
        </w:numPr>
        <w:jc w:val="both"/>
        <w:rPr>
          <w:rFonts w:asciiTheme="majorHAnsi" w:hAnsiTheme="majorHAnsi" w:cs="GillSansMT"/>
          <w:sz w:val="20"/>
          <w:szCs w:val="20"/>
          <w:lang w:val="es-ES"/>
        </w:rPr>
      </w:pPr>
      <w:r w:rsidRPr="00F84AB1">
        <w:rPr>
          <w:rFonts w:asciiTheme="majorHAnsi" w:hAnsiTheme="majorHAnsi" w:cs="GillSansMT"/>
          <w:sz w:val="20"/>
          <w:szCs w:val="20"/>
          <w:lang w:val="es-ES"/>
        </w:rPr>
        <w:t>Los peticionarios señalan que el 14 de abril de 2010 la Corte Suprema conociendo de un recurso de casación en el fondo interpuesto por el condenado, invalid</w:t>
      </w:r>
      <w:r w:rsidR="0066264E" w:rsidRPr="00F84AB1">
        <w:rPr>
          <w:rFonts w:asciiTheme="majorHAnsi" w:hAnsiTheme="majorHAnsi" w:cs="GillSansMT"/>
          <w:sz w:val="20"/>
          <w:szCs w:val="20"/>
          <w:lang w:val="es-ES"/>
        </w:rPr>
        <w:t>ó</w:t>
      </w:r>
      <w:r w:rsidRPr="00F84AB1">
        <w:rPr>
          <w:rFonts w:asciiTheme="majorHAnsi" w:hAnsiTheme="majorHAnsi" w:cs="GillSansMT"/>
          <w:sz w:val="20"/>
          <w:szCs w:val="20"/>
          <w:lang w:val="es-ES"/>
        </w:rPr>
        <w:t xml:space="preserve"> el fallo por considerar que adolecía de vicios formales y dict</w:t>
      </w:r>
      <w:r w:rsidR="00DA2FE7" w:rsidRPr="00F84AB1">
        <w:rPr>
          <w:rFonts w:asciiTheme="majorHAnsi" w:hAnsiTheme="majorHAnsi" w:cs="GillSansMT"/>
          <w:sz w:val="20"/>
          <w:szCs w:val="20"/>
          <w:lang w:val="es-ES"/>
        </w:rPr>
        <w:t>ó</w:t>
      </w:r>
      <w:r w:rsidRPr="00F84AB1">
        <w:rPr>
          <w:rFonts w:asciiTheme="majorHAnsi" w:hAnsiTheme="majorHAnsi" w:cs="GillSansMT"/>
          <w:sz w:val="20"/>
          <w:szCs w:val="20"/>
          <w:lang w:val="es-ES"/>
        </w:rPr>
        <w:t xml:space="preserve"> sentencia de reemplazo</w:t>
      </w:r>
      <w:r w:rsidR="0081111C" w:rsidRPr="00F84AB1">
        <w:rPr>
          <w:rFonts w:asciiTheme="majorHAnsi" w:hAnsiTheme="majorHAnsi" w:cs="GillSansMT"/>
          <w:sz w:val="20"/>
          <w:szCs w:val="20"/>
          <w:lang w:val="es-ES"/>
        </w:rPr>
        <w:t>. En la nueva sentencia se a</w:t>
      </w:r>
      <w:r w:rsidRPr="00F84AB1">
        <w:rPr>
          <w:rFonts w:asciiTheme="majorHAnsi" w:hAnsiTheme="majorHAnsi" w:cs="GillSansMT"/>
          <w:sz w:val="20"/>
          <w:szCs w:val="20"/>
          <w:lang w:val="es-ES"/>
        </w:rPr>
        <w:t xml:space="preserve">plica </w:t>
      </w:r>
      <w:r w:rsidR="0081111C" w:rsidRPr="00F84AB1">
        <w:rPr>
          <w:rFonts w:asciiTheme="majorHAnsi" w:hAnsiTheme="majorHAnsi" w:cs="GillSansMT"/>
          <w:sz w:val="20"/>
          <w:szCs w:val="20"/>
          <w:lang w:val="es-ES"/>
        </w:rPr>
        <w:t>l</w:t>
      </w:r>
      <w:r w:rsidRPr="00F84AB1">
        <w:rPr>
          <w:rFonts w:asciiTheme="majorHAnsi" w:hAnsiTheme="majorHAnsi" w:cs="GillSansMT"/>
          <w:sz w:val="20"/>
          <w:szCs w:val="20"/>
          <w:lang w:val="es-ES"/>
        </w:rPr>
        <w:t>a atenuante de irreprochable conducta anterior y la media prescripción,</w:t>
      </w:r>
      <w:r w:rsidR="00DA2FE7" w:rsidRPr="00F84AB1">
        <w:rPr>
          <w:rFonts w:asciiTheme="majorHAnsi" w:hAnsiTheme="majorHAnsi" w:cs="GillSansMT"/>
          <w:sz w:val="20"/>
          <w:szCs w:val="20"/>
          <w:lang w:val="es-ES"/>
        </w:rPr>
        <w:t xml:space="preserve"> y se </w:t>
      </w:r>
      <w:r w:rsidR="0081111C" w:rsidRPr="00F84AB1">
        <w:rPr>
          <w:rFonts w:asciiTheme="majorHAnsi" w:hAnsiTheme="majorHAnsi" w:cs="GillSansMT"/>
          <w:sz w:val="20"/>
          <w:szCs w:val="20"/>
          <w:lang w:val="es-ES"/>
        </w:rPr>
        <w:t xml:space="preserve">condena </w:t>
      </w:r>
      <w:r w:rsidR="00DA2FE7" w:rsidRPr="00F84AB1">
        <w:rPr>
          <w:rFonts w:asciiTheme="majorHAnsi" w:hAnsiTheme="majorHAnsi" w:cs="GillSansMT"/>
          <w:sz w:val="20"/>
          <w:szCs w:val="20"/>
          <w:lang w:val="es-ES"/>
        </w:rPr>
        <w:t xml:space="preserve">al inculpado </w:t>
      </w:r>
      <w:r w:rsidR="0081111C" w:rsidRPr="00F84AB1">
        <w:rPr>
          <w:rFonts w:asciiTheme="majorHAnsi" w:hAnsiTheme="majorHAnsi" w:cs="GillSansMT"/>
          <w:sz w:val="20"/>
          <w:szCs w:val="20"/>
          <w:lang w:val="es-ES"/>
        </w:rPr>
        <w:t>a la pena de cinco años,</w:t>
      </w:r>
      <w:r w:rsidRPr="00F84AB1">
        <w:rPr>
          <w:rFonts w:asciiTheme="majorHAnsi" w:hAnsiTheme="majorHAnsi" w:cs="GillSansMT"/>
          <w:sz w:val="20"/>
          <w:szCs w:val="20"/>
          <w:lang w:val="es-ES"/>
        </w:rPr>
        <w:t xml:space="preserve"> con lo cual,</w:t>
      </w:r>
      <w:r w:rsidR="0081111C" w:rsidRPr="00F84AB1">
        <w:rPr>
          <w:rFonts w:asciiTheme="majorHAnsi" w:hAnsiTheme="majorHAnsi" w:cs="GillSansMT"/>
          <w:sz w:val="20"/>
          <w:szCs w:val="20"/>
          <w:lang w:val="es-ES"/>
        </w:rPr>
        <w:t xml:space="preserve"> atendida la duración de la pena impuesta y </w:t>
      </w:r>
      <w:r w:rsidR="0066264E" w:rsidRPr="00F84AB1">
        <w:rPr>
          <w:rFonts w:asciiTheme="majorHAnsi" w:hAnsiTheme="majorHAnsi" w:cs="GillSansMT"/>
          <w:sz w:val="20"/>
          <w:szCs w:val="20"/>
          <w:lang w:val="es-ES"/>
        </w:rPr>
        <w:t>el hecho de que padecía</w:t>
      </w:r>
      <w:r w:rsidR="0081111C" w:rsidRPr="00F84AB1">
        <w:rPr>
          <w:rFonts w:asciiTheme="majorHAnsi" w:hAnsiTheme="majorHAnsi" w:cs="GillSansMT"/>
          <w:sz w:val="20"/>
          <w:szCs w:val="20"/>
          <w:lang w:val="es-ES"/>
        </w:rPr>
        <w:t xml:space="preserve"> dolencias físicas verificadas mediante informe médico, </w:t>
      </w:r>
      <w:r w:rsidR="0066264E" w:rsidRPr="00F84AB1">
        <w:rPr>
          <w:rFonts w:asciiTheme="majorHAnsi" w:hAnsiTheme="majorHAnsi" w:cs="GillSansMT"/>
          <w:sz w:val="20"/>
          <w:szCs w:val="20"/>
          <w:lang w:val="es-ES"/>
        </w:rPr>
        <w:t>se le concedió</w:t>
      </w:r>
      <w:r w:rsidR="00573E26" w:rsidRPr="00F84AB1">
        <w:rPr>
          <w:rFonts w:asciiTheme="majorHAnsi" w:hAnsiTheme="majorHAnsi" w:cs="GillSansMT"/>
          <w:sz w:val="20"/>
          <w:szCs w:val="20"/>
          <w:lang w:val="es-ES"/>
        </w:rPr>
        <w:t xml:space="preserve"> la medida alternativa de libertad vigilada. </w:t>
      </w:r>
    </w:p>
    <w:p w:rsidR="006F6E25" w:rsidRPr="00F84AB1" w:rsidRDefault="006F6E25"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ES"/>
        </w:rPr>
      </w:pPr>
    </w:p>
    <w:p w:rsidR="006F6E25" w:rsidRPr="00F84AB1" w:rsidRDefault="004351B9" w:rsidP="00331369">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Theme="majorHAnsi" w:hAnsiTheme="majorHAnsi" w:cs="GillSansMT"/>
          <w:b/>
          <w:sz w:val="20"/>
          <w:szCs w:val="20"/>
          <w:lang w:val="es-ES"/>
        </w:rPr>
      </w:pPr>
      <w:r w:rsidRPr="00F84AB1">
        <w:rPr>
          <w:rFonts w:asciiTheme="majorHAnsi" w:hAnsiTheme="majorHAnsi" w:cs="GillSansMT"/>
          <w:b/>
          <w:sz w:val="20"/>
          <w:szCs w:val="20"/>
          <w:lang w:val="es-ES"/>
        </w:rPr>
        <w:t>Caso de Miguel Antonio Figueroa Mercado</w:t>
      </w:r>
      <w:r w:rsidR="00BC28D3" w:rsidRPr="00F84AB1">
        <w:rPr>
          <w:rFonts w:asciiTheme="majorHAnsi" w:hAnsiTheme="majorHAnsi" w:cs="GillSansMT"/>
          <w:b/>
          <w:sz w:val="20"/>
          <w:szCs w:val="20"/>
          <w:lang w:val="es-ES"/>
        </w:rPr>
        <w:t xml:space="preserve"> y familiares</w:t>
      </w:r>
    </w:p>
    <w:p w:rsidR="004351B9" w:rsidRPr="00F84AB1" w:rsidRDefault="004351B9"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b/>
          <w:sz w:val="20"/>
          <w:szCs w:val="20"/>
          <w:lang w:val="es-ES"/>
        </w:rPr>
      </w:pPr>
    </w:p>
    <w:p w:rsidR="006F6E25" w:rsidRPr="00F84AB1" w:rsidRDefault="00E04A87" w:rsidP="00C64463">
      <w:pPr>
        <w:pStyle w:val="ListParagraph"/>
        <w:numPr>
          <w:ilvl w:val="0"/>
          <w:numId w:val="56"/>
        </w:numPr>
        <w:jc w:val="both"/>
        <w:rPr>
          <w:rFonts w:asciiTheme="majorHAnsi" w:hAnsiTheme="majorHAnsi" w:cs="Arial"/>
          <w:color w:val="943634" w:themeColor="accent2" w:themeShade="BF"/>
          <w:sz w:val="20"/>
          <w:szCs w:val="20"/>
          <w:lang w:val="es-ES"/>
        </w:rPr>
      </w:pPr>
      <w:r w:rsidRPr="00F84AB1">
        <w:rPr>
          <w:rFonts w:asciiTheme="majorHAnsi" w:hAnsiTheme="majorHAnsi" w:cs="GillSansMT"/>
          <w:sz w:val="20"/>
          <w:szCs w:val="20"/>
          <w:lang w:val="es-ES"/>
        </w:rPr>
        <w:t xml:space="preserve">El </w:t>
      </w:r>
      <w:r w:rsidR="00386D17" w:rsidRPr="00F84AB1">
        <w:rPr>
          <w:rFonts w:asciiTheme="majorHAnsi" w:hAnsiTheme="majorHAnsi" w:cs="GillSansMT"/>
          <w:sz w:val="20"/>
          <w:szCs w:val="20"/>
          <w:lang w:val="es-ES"/>
        </w:rPr>
        <w:t>16 de agosto de 2010</w:t>
      </w:r>
      <w:r w:rsidRPr="00F84AB1">
        <w:rPr>
          <w:rFonts w:asciiTheme="majorHAnsi" w:hAnsiTheme="majorHAnsi" w:cs="GillSansMT"/>
          <w:sz w:val="20"/>
          <w:szCs w:val="20"/>
          <w:lang w:val="es-ES"/>
        </w:rPr>
        <w:t>, los peticionarios remitieron una ampliación de denuncia presentada en favor de</w:t>
      </w:r>
      <w:r w:rsidR="008011E0" w:rsidRPr="00F84AB1">
        <w:rPr>
          <w:rFonts w:asciiTheme="majorHAnsi" w:hAnsiTheme="majorHAnsi" w:cs="GillSansMT"/>
          <w:sz w:val="20"/>
          <w:szCs w:val="20"/>
          <w:lang w:val="es-ES"/>
        </w:rPr>
        <w:t xml:space="preserve"> Miguel Antonio Figueroa Mercado</w:t>
      </w:r>
      <w:r w:rsidR="00F238B1" w:rsidRPr="00F84AB1">
        <w:rPr>
          <w:rFonts w:asciiTheme="majorHAnsi" w:hAnsiTheme="majorHAnsi" w:cs="GillSansMT"/>
          <w:sz w:val="20"/>
          <w:szCs w:val="20"/>
          <w:lang w:val="es-ES"/>
        </w:rPr>
        <w:t xml:space="preserve"> y sus familiares. </w:t>
      </w:r>
    </w:p>
    <w:p w:rsidR="00342515" w:rsidRPr="00F84AB1" w:rsidRDefault="00342515" w:rsidP="00C64463">
      <w:pPr>
        <w:pStyle w:val="ListParagraph"/>
        <w:jc w:val="both"/>
        <w:rPr>
          <w:rFonts w:asciiTheme="majorHAnsi" w:hAnsiTheme="majorHAnsi" w:cs="Arial"/>
          <w:color w:val="943634" w:themeColor="accent2" w:themeShade="BF"/>
          <w:sz w:val="20"/>
          <w:szCs w:val="20"/>
          <w:lang w:val="es-ES"/>
        </w:rPr>
      </w:pPr>
    </w:p>
    <w:p w:rsidR="006F6E25" w:rsidRPr="00F84AB1" w:rsidRDefault="00342515" w:rsidP="00C644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sz w:val="20"/>
          <w:szCs w:val="20"/>
          <w:lang w:val="es-ES"/>
        </w:rPr>
      </w:pPr>
      <w:r w:rsidRPr="00F84AB1">
        <w:rPr>
          <w:rFonts w:asciiTheme="majorHAnsi" w:hAnsiTheme="majorHAnsi" w:cs="GillSansMT"/>
          <w:sz w:val="20"/>
          <w:szCs w:val="20"/>
          <w:lang w:val="es-ES"/>
        </w:rPr>
        <w:lastRenderedPageBreak/>
        <w:t xml:space="preserve">Los peticionarios refieren que la presunta víctima era militante del Partido Comunista, y que el 29 de septiembre de </w:t>
      </w:r>
      <w:r w:rsidR="00C64463" w:rsidRPr="00F84AB1">
        <w:rPr>
          <w:rFonts w:asciiTheme="majorHAnsi" w:hAnsiTheme="majorHAnsi" w:cs="GillSansMT"/>
          <w:sz w:val="20"/>
          <w:szCs w:val="20"/>
          <w:lang w:val="es-ES"/>
        </w:rPr>
        <w:t>1973</w:t>
      </w:r>
      <w:r w:rsidRPr="00F84AB1">
        <w:rPr>
          <w:rFonts w:asciiTheme="majorHAnsi" w:hAnsiTheme="majorHAnsi" w:cs="GillSansMT"/>
          <w:sz w:val="20"/>
          <w:szCs w:val="20"/>
          <w:lang w:val="es-ES"/>
        </w:rPr>
        <w:t xml:space="preserve"> en horas de la noche</w:t>
      </w:r>
      <w:r w:rsidR="00EB3705" w:rsidRPr="00F84AB1">
        <w:rPr>
          <w:rFonts w:asciiTheme="majorHAnsi" w:hAnsiTheme="majorHAnsi" w:cs="GillSansMT"/>
          <w:sz w:val="20"/>
          <w:szCs w:val="20"/>
          <w:lang w:val="es-ES"/>
        </w:rPr>
        <w:t xml:space="preserve">, mientras se encontraba en su casa, la que </w:t>
      </w:r>
      <w:r w:rsidR="00BD3011" w:rsidRPr="00F84AB1">
        <w:rPr>
          <w:rFonts w:asciiTheme="majorHAnsi" w:hAnsiTheme="majorHAnsi" w:cs="GillSansMT"/>
          <w:sz w:val="20"/>
          <w:szCs w:val="20"/>
          <w:lang w:val="es-ES"/>
        </w:rPr>
        <w:t>ocupaba</w:t>
      </w:r>
      <w:r w:rsidR="00EB3705" w:rsidRPr="00F84AB1">
        <w:rPr>
          <w:rFonts w:asciiTheme="majorHAnsi" w:hAnsiTheme="majorHAnsi" w:cs="GillSansMT"/>
          <w:sz w:val="20"/>
          <w:szCs w:val="20"/>
          <w:lang w:val="es-ES"/>
        </w:rPr>
        <w:t xml:space="preserve"> como dirigente sindical del asentamiento </w:t>
      </w:r>
      <w:r w:rsidR="00BD3011" w:rsidRPr="00F84AB1">
        <w:rPr>
          <w:rFonts w:asciiTheme="majorHAnsi" w:hAnsiTheme="majorHAnsi" w:cs="GillSansMT"/>
          <w:sz w:val="20"/>
          <w:szCs w:val="20"/>
          <w:lang w:val="es-ES"/>
        </w:rPr>
        <w:t>de</w:t>
      </w:r>
      <w:r w:rsidR="00EB3705" w:rsidRPr="00F84AB1">
        <w:rPr>
          <w:rFonts w:asciiTheme="majorHAnsi" w:hAnsiTheme="majorHAnsi" w:cs="GillSansMT"/>
          <w:sz w:val="20"/>
          <w:szCs w:val="20"/>
          <w:lang w:val="es-ES"/>
        </w:rPr>
        <w:t xml:space="preserve">l Fundo Peñuelas, Comuna de </w:t>
      </w:r>
      <w:r w:rsidR="00BD3011" w:rsidRPr="00F84AB1">
        <w:rPr>
          <w:rFonts w:asciiTheme="majorHAnsi" w:hAnsiTheme="majorHAnsi" w:cs="GillSansMT"/>
          <w:sz w:val="20"/>
          <w:szCs w:val="20"/>
          <w:lang w:val="es-ES"/>
        </w:rPr>
        <w:t>Vi</w:t>
      </w:r>
      <w:r w:rsidR="00EB3705" w:rsidRPr="00F84AB1">
        <w:rPr>
          <w:rFonts w:asciiTheme="majorHAnsi" w:hAnsiTheme="majorHAnsi" w:cs="GillSansMT"/>
          <w:sz w:val="20"/>
          <w:szCs w:val="20"/>
          <w:lang w:val="es-ES"/>
        </w:rPr>
        <w:t xml:space="preserve">lla Alegre, </w:t>
      </w:r>
      <w:r w:rsidR="00BD3011" w:rsidRPr="00F84AB1">
        <w:rPr>
          <w:rFonts w:asciiTheme="majorHAnsi" w:hAnsiTheme="majorHAnsi" w:cs="GillSansMT"/>
          <w:sz w:val="20"/>
          <w:szCs w:val="20"/>
          <w:lang w:val="es-ES"/>
        </w:rPr>
        <w:t>llegaron d</w:t>
      </w:r>
      <w:r w:rsidR="00EB3705" w:rsidRPr="00F84AB1">
        <w:rPr>
          <w:rFonts w:asciiTheme="majorHAnsi" w:hAnsiTheme="majorHAnsi" w:cs="GillSansMT"/>
          <w:sz w:val="20"/>
          <w:szCs w:val="20"/>
          <w:lang w:val="es-ES"/>
        </w:rPr>
        <w:t xml:space="preserve">os vehículos, una </w:t>
      </w:r>
      <w:r w:rsidR="00BD3011" w:rsidRPr="00F84AB1">
        <w:rPr>
          <w:rFonts w:asciiTheme="majorHAnsi" w:hAnsiTheme="majorHAnsi" w:cs="GillSansMT"/>
          <w:sz w:val="20"/>
          <w:szCs w:val="20"/>
          <w:lang w:val="es-ES"/>
        </w:rPr>
        <w:t>p</w:t>
      </w:r>
      <w:r w:rsidR="00EB3705" w:rsidRPr="00F84AB1">
        <w:rPr>
          <w:rFonts w:asciiTheme="majorHAnsi" w:hAnsiTheme="majorHAnsi" w:cs="GillSansMT"/>
          <w:sz w:val="20"/>
          <w:szCs w:val="20"/>
          <w:lang w:val="es-ES"/>
        </w:rPr>
        <w:t xml:space="preserve">atrulla compuesta por unos diez o doce militares y un carabinero que era jefe del Retén del sector </w:t>
      </w:r>
      <w:r w:rsidR="00BD3011" w:rsidRPr="00F84AB1">
        <w:rPr>
          <w:rFonts w:asciiTheme="majorHAnsi" w:hAnsiTheme="majorHAnsi" w:cs="GillSansMT"/>
          <w:sz w:val="20"/>
          <w:szCs w:val="20"/>
          <w:lang w:val="es-ES"/>
        </w:rPr>
        <w:t>d</w:t>
      </w:r>
      <w:r w:rsidR="00EB3705" w:rsidRPr="00F84AB1">
        <w:rPr>
          <w:rFonts w:asciiTheme="majorHAnsi" w:hAnsiTheme="majorHAnsi" w:cs="GillSansMT"/>
          <w:sz w:val="20"/>
          <w:szCs w:val="20"/>
          <w:lang w:val="es-ES"/>
        </w:rPr>
        <w:t xml:space="preserve">enominado Pataguas, Lagunillas o Polvareda. </w:t>
      </w:r>
      <w:r w:rsidR="00BD3011" w:rsidRPr="00F84AB1">
        <w:rPr>
          <w:rFonts w:asciiTheme="majorHAnsi" w:hAnsiTheme="majorHAnsi" w:cs="GillSansMT"/>
          <w:sz w:val="20"/>
          <w:szCs w:val="20"/>
          <w:lang w:val="es-ES"/>
        </w:rPr>
        <w:t>Indican que l</w:t>
      </w:r>
      <w:r w:rsidR="00EB3705" w:rsidRPr="00F84AB1">
        <w:rPr>
          <w:rFonts w:asciiTheme="majorHAnsi" w:hAnsiTheme="majorHAnsi" w:cs="GillSansMT"/>
          <w:sz w:val="20"/>
          <w:szCs w:val="20"/>
          <w:lang w:val="es-ES"/>
        </w:rPr>
        <w:t xml:space="preserve">os agentes rodearon la vivienda, </w:t>
      </w:r>
      <w:r w:rsidR="00BD3011" w:rsidRPr="00F84AB1">
        <w:rPr>
          <w:rFonts w:asciiTheme="majorHAnsi" w:hAnsiTheme="majorHAnsi" w:cs="GillSansMT"/>
          <w:sz w:val="20"/>
          <w:szCs w:val="20"/>
          <w:lang w:val="es-ES"/>
        </w:rPr>
        <w:t xml:space="preserve">e </w:t>
      </w:r>
      <w:r w:rsidR="00EB3705" w:rsidRPr="00F84AB1">
        <w:rPr>
          <w:rFonts w:asciiTheme="majorHAnsi" w:hAnsiTheme="majorHAnsi" w:cs="GillSansMT"/>
          <w:sz w:val="20"/>
          <w:szCs w:val="20"/>
          <w:lang w:val="es-ES"/>
        </w:rPr>
        <w:t>ingresaron</w:t>
      </w:r>
      <w:r w:rsidR="00974117" w:rsidRPr="00F84AB1">
        <w:rPr>
          <w:rFonts w:asciiTheme="majorHAnsi" w:hAnsiTheme="majorHAnsi" w:cs="GillSansMT"/>
          <w:sz w:val="20"/>
          <w:szCs w:val="20"/>
          <w:lang w:val="es-ES"/>
        </w:rPr>
        <w:t>, deteniendo a la presunta ví</w:t>
      </w:r>
      <w:r w:rsidR="00BD3011" w:rsidRPr="00F84AB1">
        <w:rPr>
          <w:rFonts w:asciiTheme="majorHAnsi" w:hAnsiTheme="majorHAnsi" w:cs="GillSansMT"/>
          <w:sz w:val="20"/>
          <w:szCs w:val="20"/>
          <w:lang w:val="es-ES"/>
        </w:rPr>
        <w:t xml:space="preserve">ctima </w:t>
      </w:r>
      <w:r w:rsidR="00EB3705" w:rsidRPr="00F84AB1">
        <w:rPr>
          <w:rFonts w:asciiTheme="majorHAnsi" w:hAnsiTheme="majorHAnsi" w:cs="GillSansMT"/>
          <w:sz w:val="20"/>
          <w:szCs w:val="20"/>
          <w:lang w:val="es-ES"/>
        </w:rPr>
        <w:t>por orden del Jefe de Plaza de San Javier, sin exhibir ninguna orden</w:t>
      </w:r>
      <w:r w:rsidR="00BD3011" w:rsidRPr="00F84AB1">
        <w:rPr>
          <w:rFonts w:asciiTheme="majorHAnsi" w:hAnsiTheme="majorHAnsi" w:cs="GillSansMT"/>
          <w:sz w:val="20"/>
          <w:szCs w:val="20"/>
          <w:lang w:val="es-ES"/>
        </w:rPr>
        <w:t xml:space="preserve"> de detención</w:t>
      </w:r>
      <w:r w:rsidR="00EB3705" w:rsidRPr="00F84AB1">
        <w:rPr>
          <w:rFonts w:asciiTheme="majorHAnsi" w:hAnsiTheme="majorHAnsi" w:cs="GillSansMT"/>
          <w:sz w:val="20"/>
          <w:szCs w:val="20"/>
          <w:lang w:val="es-ES"/>
        </w:rPr>
        <w:t>,</w:t>
      </w:r>
      <w:r w:rsidR="00BD3011" w:rsidRPr="00F84AB1">
        <w:rPr>
          <w:rFonts w:asciiTheme="majorHAnsi" w:hAnsiTheme="majorHAnsi" w:cs="GillSansMT"/>
          <w:sz w:val="20"/>
          <w:szCs w:val="20"/>
          <w:lang w:val="es-ES"/>
        </w:rPr>
        <w:t xml:space="preserve"> y</w:t>
      </w:r>
      <w:r w:rsidR="00EB3705" w:rsidRPr="00F84AB1">
        <w:rPr>
          <w:rFonts w:asciiTheme="majorHAnsi" w:hAnsiTheme="majorHAnsi" w:cs="GillSansMT"/>
          <w:sz w:val="20"/>
          <w:szCs w:val="20"/>
          <w:lang w:val="es-ES"/>
        </w:rPr>
        <w:t xml:space="preserve"> lo subieron a un jeep militar llevándoselo con destino desconocido, </w:t>
      </w:r>
      <w:r w:rsidR="00BD3011" w:rsidRPr="00F84AB1">
        <w:rPr>
          <w:rFonts w:asciiTheme="majorHAnsi" w:hAnsiTheme="majorHAnsi" w:cs="GillSansMT"/>
          <w:sz w:val="20"/>
          <w:szCs w:val="20"/>
          <w:lang w:val="es-ES"/>
        </w:rPr>
        <w:t>pese a</w:t>
      </w:r>
      <w:r w:rsidR="00EB3705" w:rsidRPr="00F84AB1">
        <w:rPr>
          <w:rFonts w:asciiTheme="majorHAnsi" w:hAnsiTheme="majorHAnsi" w:cs="GillSansMT"/>
          <w:sz w:val="20"/>
          <w:szCs w:val="20"/>
          <w:lang w:val="es-ES"/>
        </w:rPr>
        <w:t xml:space="preserve"> que a su hija </w:t>
      </w:r>
      <w:r w:rsidR="00BD3011" w:rsidRPr="00F84AB1">
        <w:rPr>
          <w:rFonts w:asciiTheme="majorHAnsi" w:hAnsiTheme="majorHAnsi" w:cs="GillSansMT"/>
          <w:sz w:val="20"/>
          <w:szCs w:val="20"/>
          <w:lang w:val="es-ES"/>
        </w:rPr>
        <w:t xml:space="preserve">Sara Eugenia Figueroa Quezada </w:t>
      </w:r>
      <w:r w:rsidR="00EB3705" w:rsidRPr="00F84AB1">
        <w:rPr>
          <w:rFonts w:asciiTheme="majorHAnsi" w:hAnsiTheme="majorHAnsi" w:cs="GillSansMT"/>
          <w:sz w:val="20"/>
          <w:szCs w:val="20"/>
          <w:lang w:val="es-ES"/>
        </w:rPr>
        <w:t>le señalaron que lo trasladaban a Linares.</w:t>
      </w:r>
      <w:r w:rsidR="00BD3011" w:rsidRPr="00F84AB1">
        <w:rPr>
          <w:rFonts w:asciiTheme="majorHAnsi" w:hAnsiTheme="majorHAnsi" w:cs="GillSansMT"/>
          <w:sz w:val="20"/>
          <w:szCs w:val="20"/>
          <w:lang w:val="es-ES"/>
        </w:rPr>
        <w:t xml:space="preserve"> Desde ese momento estaría desaparecido.</w:t>
      </w:r>
    </w:p>
    <w:p w:rsidR="006F6E25" w:rsidRPr="00F84AB1" w:rsidRDefault="006F6E25"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ES"/>
        </w:rPr>
      </w:pPr>
    </w:p>
    <w:p w:rsidR="009F5AC0" w:rsidRPr="00F84AB1" w:rsidRDefault="00BD28EA" w:rsidP="00C644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color w:val="943634" w:themeColor="accent2" w:themeShade="BF"/>
          <w:sz w:val="20"/>
          <w:szCs w:val="20"/>
          <w:lang w:val="es-ES"/>
        </w:rPr>
      </w:pPr>
      <w:r w:rsidRPr="00F84AB1">
        <w:rPr>
          <w:rFonts w:asciiTheme="majorHAnsi" w:hAnsiTheme="majorHAnsi" w:cs="GillSansMT"/>
          <w:sz w:val="20"/>
          <w:szCs w:val="20"/>
          <w:lang w:val="es-ES"/>
        </w:rPr>
        <w:t>Indican que la pareja de la presunta víctima, María Rebeca Quezada Cifuentes, inició de inmediato su búsqueda en el Regimiento Escuela de Artillería d</w:t>
      </w:r>
      <w:r w:rsidR="00E70B38" w:rsidRPr="00F84AB1">
        <w:rPr>
          <w:rFonts w:asciiTheme="majorHAnsi" w:hAnsiTheme="majorHAnsi" w:cs="GillSansMT"/>
          <w:sz w:val="20"/>
          <w:szCs w:val="20"/>
          <w:lang w:val="es-ES"/>
        </w:rPr>
        <w:t>e Linares, Hospitales y u</w:t>
      </w:r>
      <w:r w:rsidRPr="00F84AB1">
        <w:rPr>
          <w:rFonts w:asciiTheme="majorHAnsi" w:hAnsiTheme="majorHAnsi" w:cs="GillSansMT"/>
          <w:sz w:val="20"/>
          <w:szCs w:val="20"/>
          <w:lang w:val="es-ES"/>
        </w:rPr>
        <w:t xml:space="preserve">nidades </w:t>
      </w:r>
      <w:r w:rsidR="00E70B38" w:rsidRPr="00F84AB1">
        <w:rPr>
          <w:rFonts w:asciiTheme="majorHAnsi" w:hAnsiTheme="majorHAnsi" w:cs="GillSansMT"/>
          <w:sz w:val="20"/>
          <w:szCs w:val="20"/>
          <w:lang w:val="es-ES"/>
        </w:rPr>
        <w:t xml:space="preserve">policiales de Linares y </w:t>
      </w:r>
      <w:r w:rsidRPr="00F84AB1">
        <w:rPr>
          <w:rFonts w:asciiTheme="majorHAnsi" w:hAnsiTheme="majorHAnsi" w:cs="GillSansMT"/>
          <w:sz w:val="20"/>
          <w:szCs w:val="20"/>
          <w:lang w:val="es-ES"/>
        </w:rPr>
        <w:t xml:space="preserve">San Javier, </w:t>
      </w:r>
      <w:r w:rsidR="00E70B38" w:rsidRPr="00F84AB1">
        <w:rPr>
          <w:rFonts w:asciiTheme="majorHAnsi" w:hAnsiTheme="majorHAnsi" w:cs="GillSansMT"/>
          <w:sz w:val="20"/>
          <w:szCs w:val="20"/>
          <w:lang w:val="es-ES"/>
        </w:rPr>
        <w:t>sin resultados. Refieren que</w:t>
      </w:r>
      <w:r w:rsidRPr="00F84AB1">
        <w:rPr>
          <w:rFonts w:asciiTheme="majorHAnsi" w:hAnsiTheme="majorHAnsi" w:cs="GillSansMT"/>
          <w:sz w:val="20"/>
          <w:szCs w:val="20"/>
          <w:lang w:val="es-ES"/>
        </w:rPr>
        <w:t xml:space="preserve"> debido a las</w:t>
      </w:r>
      <w:r w:rsidR="009F5AC0" w:rsidRPr="00F84AB1">
        <w:rPr>
          <w:rFonts w:asciiTheme="majorHAnsi" w:hAnsiTheme="majorHAnsi" w:cs="GillSansMT"/>
          <w:sz w:val="20"/>
          <w:szCs w:val="20"/>
          <w:lang w:val="es-ES"/>
        </w:rPr>
        <w:t xml:space="preserve"> precarias condiciones en que quedó y con varios hijos pequeños, sumado a que vivía lejos de la ciudad, no pudo concurrir a ningún organismo de derechos humanos a plantear su situación.</w:t>
      </w:r>
      <w:r w:rsidR="009F5AC0" w:rsidRPr="00F84AB1">
        <w:rPr>
          <w:rFonts w:asciiTheme="majorHAnsi" w:hAnsiTheme="majorHAnsi" w:cs="Arial"/>
          <w:color w:val="943634" w:themeColor="accent2" w:themeShade="BF"/>
          <w:sz w:val="20"/>
          <w:szCs w:val="20"/>
          <w:lang w:val="es-ES"/>
        </w:rPr>
        <w:t xml:space="preserve"> </w:t>
      </w:r>
    </w:p>
    <w:p w:rsidR="009F5AC0" w:rsidRPr="00F84AB1" w:rsidRDefault="009F5AC0" w:rsidP="00C64463">
      <w:pPr>
        <w:pStyle w:val="ListParagraph"/>
        <w:jc w:val="both"/>
        <w:rPr>
          <w:rFonts w:asciiTheme="majorHAnsi" w:hAnsiTheme="majorHAnsi" w:cs="Arial"/>
          <w:color w:val="943634" w:themeColor="accent2" w:themeShade="BF"/>
          <w:sz w:val="20"/>
          <w:szCs w:val="20"/>
          <w:lang w:val="es-ES"/>
        </w:rPr>
      </w:pPr>
    </w:p>
    <w:p w:rsidR="00C61973" w:rsidRPr="00F84AB1" w:rsidRDefault="009F5AC0" w:rsidP="00C644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Refieren que </w:t>
      </w:r>
      <w:r w:rsidR="00D37048" w:rsidRPr="00F84AB1">
        <w:rPr>
          <w:rFonts w:asciiTheme="majorHAnsi" w:hAnsiTheme="majorHAnsi" w:cs="GillSansMT"/>
          <w:sz w:val="20"/>
          <w:szCs w:val="20"/>
          <w:lang w:val="es-ES"/>
        </w:rPr>
        <w:t>p</w:t>
      </w:r>
      <w:r w:rsidRPr="00F84AB1">
        <w:rPr>
          <w:rFonts w:asciiTheme="majorHAnsi" w:hAnsiTheme="majorHAnsi" w:cs="GillSansMT"/>
          <w:sz w:val="20"/>
          <w:szCs w:val="20"/>
          <w:lang w:val="es-ES"/>
        </w:rPr>
        <w:t xml:space="preserve">osteriormente, en el año 1990, su hijo Carlos Antonio Figueroa Quezada </w:t>
      </w:r>
      <w:r w:rsidR="00974117" w:rsidRPr="00F84AB1">
        <w:rPr>
          <w:rFonts w:asciiTheme="majorHAnsi" w:hAnsiTheme="majorHAnsi" w:cs="GillSansMT"/>
          <w:sz w:val="20"/>
          <w:szCs w:val="20"/>
          <w:lang w:val="es-ES"/>
        </w:rPr>
        <w:t>puso en conocimiento de la CNVR</w:t>
      </w:r>
      <w:r w:rsidRPr="00F84AB1">
        <w:rPr>
          <w:rFonts w:asciiTheme="majorHAnsi" w:hAnsiTheme="majorHAnsi" w:cs="GillSansMT"/>
          <w:sz w:val="20"/>
          <w:szCs w:val="20"/>
          <w:lang w:val="es-ES"/>
        </w:rPr>
        <w:t xml:space="preserve"> lo sucedido </w:t>
      </w:r>
      <w:r w:rsidR="002D28DC" w:rsidRPr="00F84AB1">
        <w:rPr>
          <w:rFonts w:asciiTheme="majorHAnsi" w:hAnsiTheme="majorHAnsi" w:cs="GillSansMT"/>
          <w:sz w:val="20"/>
          <w:szCs w:val="20"/>
          <w:lang w:val="es-ES"/>
        </w:rPr>
        <w:t>y</w:t>
      </w:r>
      <w:r w:rsidR="00012631" w:rsidRPr="00F84AB1">
        <w:rPr>
          <w:rFonts w:asciiTheme="majorHAnsi" w:hAnsiTheme="majorHAnsi" w:cs="GillSansMT"/>
          <w:sz w:val="20"/>
          <w:szCs w:val="20"/>
          <w:lang w:val="es-ES"/>
        </w:rPr>
        <w:t xml:space="preserve"> </w:t>
      </w:r>
      <w:r w:rsidR="002D28DC" w:rsidRPr="00F84AB1">
        <w:rPr>
          <w:rFonts w:asciiTheme="majorHAnsi" w:hAnsiTheme="majorHAnsi" w:cs="GillSansMT"/>
          <w:sz w:val="20"/>
          <w:szCs w:val="20"/>
          <w:lang w:val="es-ES"/>
        </w:rPr>
        <w:t xml:space="preserve">Miguel Antonio Figueroa Mercado </w:t>
      </w:r>
      <w:r w:rsidRPr="00F84AB1">
        <w:rPr>
          <w:rFonts w:asciiTheme="majorHAnsi" w:hAnsiTheme="majorHAnsi" w:cs="GillSansMT"/>
          <w:sz w:val="20"/>
          <w:szCs w:val="20"/>
          <w:lang w:val="es-ES"/>
        </w:rPr>
        <w:t xml:space="preserve">fue calificado como víctima de violación a los derechos humanos en calidad de </w:t>
      </w:r>
      <w:r w:rsidR="003928F0" w:rsidRPr="00F84AB1">
        <w:rPr>
          <w:rFonts w:asciiTheme="majorHAnsi" w:hAnsiTheme="majorHAnsi" w:cs="GillSansMT"/>
          <w:sz w:val="20"/>
          <w:szCs w:val="20"/>
          <w:lang w:val="es-ES"/>
        </w:rPr>
        <w:t>detenido d</w:t>
      </w:r>
      <w:r w:rsidRPr="00F84AB1">
        <w:rPr>
          <w:rFonts w:asciiTheme="majorHAnsi" w:hAnsiTheme="majorHAnsi" w:cs="GillSansMT"/>
          <w:sz w:val="20"/>
          <w:szCs w:val="20"/>
          <w:lang w:val="es-ES"/>
        </w:rPr>
        <w:t>esaparecido</w:t>
      </w:r>
      <w:r w:rsidR="003F2051" w:rsidRPr="00F84AB1">
        <w:rPr>
          <w:rFonts w:asciiTheme="majorHAnsi" w:hAnsiTheme="majorHAnsi" w:cs="GillSansMT"/>
          <w:sz w:val="20"/>
          <w:szCs w:val="20"/>
          <w:lang w:val="es-ES"/>
        </w:rPr>
        <w:t xml:space="preserve">. Indican que luego, la CNRR, continuadora legal de la CNVR, </w:t>
      </w:r>
      <w:r w:rsidR="007B4013" w:rsidRPr="00F84AB1">
        <w:rPr>
          <w:rFonts w:asciiTheme="majorHAnsi" w:hAnsiTheme="majorHAnsi" w:cs="GillSansMT"/>
          <w:sz w:val="20"/>
          <w:szCs w:val="20"/>
          <w:lang w:val="es-ES"/>
        </w:rPr>
        <w:t>interpuso una denuncia ante el Prime</w:t>
      </w:r>
      <w:r w:rsidR="00700282" w:rsidRPr="00F84AB1">
        <w:rPr>
          <w:rFonts w:asciiTheme="majorHAnsi" w:hAnsiTheme="majorHAnsi" w:cs="GillSansMT"/>
          <w:sz w:val="20"/>
          <w:szCs w:val="20"/>
          <w:lang w:val="es-ES"/>
        </w:rPr>
        <w:t>r Juzgado de Letras de Linares. El 3 de julio de 2003 el PDH se hizo parte coadyuvante en el proceso, y el 8 de septiembre de ese año el magistrado a cargo de la causa, sometió a proceso en calidad de autor del delito a Claudio Abdón Lecaros Carrasco, teni</w:t>
      </w:r>
      <w:r w:rsidR="00974117" w:rsidRPr="00F84AB1">
        <w:rPr>
          <w:rFonts w:asciiTheme="majorHAnsi" w:hAnsiTheme="majorHAnsi" w:cs="GillSansMT"/>
          <w:sz w:val="20"/>
          <w:szCs w:val="20"/>
          <w:lang w:val="es-ES"/>
        </w:rPr>
        <w:t>ente coronel de ejército (R)</w:t>
      </w:r>
      <w:r w:rsidR="00700282" w:rsidRPr="00F84AB1">
        <w:rPr>
          <w:rFonts w:asciiTheme="majorHAnsi" w:hAnsiTheme="majorHAnsi" w:cs="GillSansMT"/>
          <w:sz w:val="20"/>
          <w:szCs w:val="20"/>
          <w:lang w:val="es-ES"/>
        </w:rPr>
        <w:t xml:space="preserve">. </w:t>
      </w:r>
      <w:r w:rsidR="0010418E" w:rsidRPr="00F84AB1">
        <w:rPr>
          <w:rFonts w:asciiTheme="majorHAnsi" w:hAnsiTheme="majorHAnsi" w:cs="GillSansMT"/>
          <w:sz w:val="20"/>
          <w:szCs w:val="20"/>
          <w:lang w:val="es-ES"/>
        </w:rPr>
        <w:t>Tras ello, el juez se declaró</w:t>
      </w:r>
      <w:r w:rsidR="00C61973" w:rsidRPr="00F84AB1">
        <w:rPr>
          <w:rFonts w:asciiTheme="majorHAnsi" w:hAnsiTheme="majorHAnsi" w:cs="GillSansMT"/>
          <w:sz w:val="20"/>
          <w:szCs w:val="20"/>
          <w:lang w:val="es-ES"/>
        </w:rPr>
        <w:t xml:space="preserve"> incompetente por haber ocurrido el ilícito en otro territorio jurisdiccional, pasando a un Juez con dedicación exclusiva de San Javier. Indican que el 21 de noviembre de 2003 el magistrado dicto acusación.</w:t>
      </w:r>
    </w:p>
    <w:p w:rsidR="00C61973" w:rsidRPr="00F84AB1" w:rsidRDefault="00C61973" w:rsidP="00C64463">
      <w:pPr>
        <w:pStyle w:val="ListParagraph"/>
        <w:jc w:val="both"/>
        <w:rPr>
          <w:rFonts w:asciiTheme="majorHAnsi" w:hAnsiTheme="majorHAnsi" w:cs="GillSansMT"/>
          <w:sz w:val="20"/>
          <w:szCs w:val="20"/>
          <w:lang w:val="es-ES"/>
        </w:rPr>
      </w:pPr>
    </w:p>
    <w:p w:rsidR="00CB1935" w:rsidRPr="00F84AB1" w:rsidRDefault="00C61973" w:rsidP="00C644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sz w:val="20"/>
          <w:szCs w:val="20"/>
          <w:lang w:val="es-ES"/>
        </w:rPr>
      </w:pPr>
      <w:r w:rsidRPr="00F84AB1">
        <w:rPr>
          <w:rFonts w:asciiTheme="majorHAnsi" w:hAnsiTheme="majorHAnsi" w:cs="GillSansMT"/>
          <w:sz w:val="20"/>
          <w:szCs w:val="20"/>
          <w:lang w:val="es-ES"/>
        </w:rPr>
        <w:t>Los peticionarios señalan que posteri</w:t>
      </w:r>
      <w:r w:rsidR="0010418E" w:rsidRPr="00F84AB1">
        <w:rPr>
          <w:rFonts w:asciiTheme="majorHAnsi" w:hAnsiTheme="majorHAnsi" w:cs="GillSansMT"/>
          <w:sz w:val="20"/>
          <w:szCs w:val="20"/>
          <w:lang w:val="es-ES"/>
        </w:rPr>
        <w:t>ormente la Corte Suprema entregó</w:t>
      </w:r>
      <w:r w:rsidRPr="00F84AB1">
        <w:rPr>
          <w:rFonts w:asciiTheme="majorHAnsi" w:hAnsiTheme="majorHAnsi" w:cs="GillSansMT"/>
          <w:sz w:val="20"/>
          <w:szCs w:val="20"/>
          <w:lang w:val="es-ES"/>
        </w:rPr>
        <w:t xml:space="preserve"> el conocimiento de las causas a la Ministra de la Corte de Apelaciones de Talca, quien dicta sentencia absolutoria el</w:t>
      </w:r>
      <w:r w:rsidR="00CB1935" w:rsidRPr="00F84AB1">
        <w:rPr>
          <w:rFonts w:asciiTheme="majorHAnsi" w:hAnsiTheme="majorHAnsi" w:cs="GillSansMT"/>
          <w:sz w:val="20"/>
          <w:szCs w:val="20"/>
          <w:lang w:val="es-ES"/>
        </w:rPr>
        <w:t xml:space="preserve"> 18 de julio de 2008, basada en que la acción penal se encontraría prescrita. </w:t>
      </w:r>
    </w:p>
    <w:p w:rsidR="00CB1935" w:rsidRPr="00F84AB1" w:rsidRDefault="00CB1935" w:rsidP="00C64463">
      <w:pPr>
        <w:pStyle w:val="ListParagraph"/>
        <w:jc w:val="both"/>
        <w:rPr>
          <w:rFonts w:asciiTheme="majorHAnsi" w:hAnsiTheme="majorHAnsi" w:cs="GillSansMT"/>
          <w:sz w:val="20"/>
          <w:szCs w:val="20"/>
          <w:lang w:val="es-ES"/>
        </w:rPr>
      </w:pPr>
    </w:p>
    <w:p w:rsidR="006F6E25" w:rsidRPr="00F84AB1" w:rsidRDefault="00CB1935" w:rsidP="00C644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sz w:val="20"/>
          <w:szCs w:val="20"/>
          <w:lang w:val="es-ES"/>
        </w:rPr>
      </w:pPr>
      <w:r w:rsidRPr="00F84AB1">
        <w:rPr>
          <w:rFonts w:asciiTheme="majorHAnsi" w:hAnsiTheme="majorHAnsi" w:cs="GillSansMT"/>
          <w:sz w:val="20"/>
          <w:szCs w:val="20"/>
          <w:lang w:val="es-ES"/>
        </w:rPr>
        <w:t xml:space="preserve">Apelada </w:t>
      </w:r>
      <w:r w:rsidR="00A3703C" w:rsidRPr="00F84AB1">
        <w:rPr>
          <w:rFonts w:asciiTheme="majorHAnsi" w:hAnsiTheme="majorHAnsi" w:cs="GillSansMT"/>
          <w:sz w:val="20"/>
          <w:szCs w:val="20"/>
          <w:lang w:val="es-ES"/>
        </w:rPr>
        <w:t xml:space="preserve">dicha sentencia por el PDH, </w:t>
      </w:r>
      <w:r w:rsidR="00B265EE" w:rsidRPr="00F84AB1">
        <w:rPr>
          <w:rFonts w:asciiTheme="majorHAnsi" w:hAnsiTheme="majorHAnsi" w:cs="GillSansMT"/>
          <w:sz w:val="20"/>
          <w:szCs w:val="20"/>
          <w:lang w:val="es-ES"/>
        </w:rPr>
        <w:t xml:space="preserve">indican que </w:t>
      </w:r>
      <w:r w:rsidR="00A3703C" w:rsidRPr="00F84AB1">
        <w:rPr>
          <w:rFonts w:asciiTheme="majorHAnsi" w:hAnsiTheme="majorHAnsi" w:cs="GillSansMT"/>
          <w:sz w:val="20"/>
          <w:szCs w:val="20"/>
          <w:lang w:val="es-ES"/>
        </w:rPr>
        <w:t>la Corte de Apelaciones de Talca</w:t>
      </w:r>
      <w:r w:rsidR="00BE7B96" w:rsidRPr="00F84AB1">
        <w:rPr>
          <w:rFonts w:asciiTheme="majorHAnsi" w:hAnsiTheme="majorHAnsi" w:cs="GillSansMT"/>
          <w:sz w:val="20"/>
          <w:szCs w:val="20"/>
          <w:lang w:val="es-ES"/>
        </w:rPr>
        <w:t xml:space="preserve">, mediante resolución de 17 de abril de 2009 </w:t>
      </w:r>
      <w:r w:rsidR="008F556B" w:rsidRPr="00F84AB1">
        <w:rPr>
          <w:rFonts w:asciiTheme="majorHAnsi" w:hAnsiTheme="majorHAnsi" w:cs="GillSansMT"/>
          <w:sz w:val="20"/>
          <w:szCs w:val="20"/>
          <w:lang w:val="es-ES"/>
        </w:rPr>
        <w:t>decidió</w:t>
      </w:r>
      <w:r w:rsidR="00BE7B96" w:rsidRPr="00F84AB1">
        <w:rPr>
          <w:rFonts w:asciiTheme="majorHAnsi" w:hAnsiTheme="majorHAnsi" w:cs="GillSansMT"/>
          <w:sz w:val="20"/>
          <w:szCs w:val="20"/>
          <w:lang w:val="es-ES"/>
        </w:rPr>
        <w:t xml:space="preserve"> revocar la misma, precisando que los hechos eran constitutivos de </w:t>
      </w:r>
      <w:r w:rsidR="008F556B" w:rsidRPr="00F84AB1">
        <w:rPr>
          <w:rFonts w:asciiTheme="majorHAnsi" w:hAnsiTheme="majorHAnsi" w:cs="GillSansMT"/>
          <w:sz w:val="20"/>
          <w:szCs w:val="20"/>
          <w:lang w:val="es-ES"/>
        </w:rPr>
        <w:t>detención</w:t>
      </w:r>
      <w:r w:rsidR="00BE7B96" w:rsidRPr="00F84AB1">
        <w:rPr>
          <w:rFonts w:asciiTheme="majorHAnsi" w:hAnsiTheme="majorHAnsi" w:cs="GillSansMT"/>
          <w:sz w:val="20"/>
          <w:szCs w:val="20"/>
          <w:lang w:val="es-ES"/>
        </w:rPr>
        <w:t xml:space="preserve"> ilegal y arbitraria, y no del delito de secuestro calificado, y en consecuencia, condenaron al acusado a la pena de 540 días de reclusión</w:t>
      </w:r>
      <w:r w:rsidR="008F556B" w:rsidRPr="00F84AB1">
        <w:rPr>
          <w:rFonts w:asciiTheme="majorHAnsi" w:hAnsiTheme="majorHAnsi" w:cs="GillSansMT"/>
          <w:sz w:val="20"/>
          <w:szCs w:val="20"/>
          <w:lang w:val="es-ES"/>
        </w:rPr>
        <w:t>, otorgándole la remisión condicional de la pena.</w:t>
      </w:r>
      <w:r w:rsidR="008F556B" w:rsidRPr="00F84AB1">
        <w:rPr>
          <w:rFonts w:asciiTheme="majorHAnsi" w:hAnsiTheme="majorHAnsi" w:cs="GillSansMT"/>
          <w:color w:val="auto"/>
          <w:sz w:val="20"/>
          <w:szCs w:val="20"/>
          <w:lang w:val="es-ES"/>
        </w:rPr>
        <w:t xml:space="preserve"> </w:t>
      </w:r>
      <w:r w:rsidR="00681C6D" w:rsidRPr="00F84AB1">
        <w:rPr>
          <w:rFonts w:asciiTheme="majorHAnsi" w:hAnsiTheme="majorHAnsi" w:cs="GillSansMT"/>
          <w:color w:val="auto"/>
          <w:sz w:val="20"/>
          <w:szCs w:val="20"/>
          <w:lang w:val="es-ES"/>
        </w:rPr>
        <w:t xml:space="preserve">De la revisión de la sentencia, se colige que la Corte de Apelaciones de Talca consideró que </w:t>
      </w:r>
      <w:r w:rsidR="00AD0516" w:rsidRPr="00F84AB1">
        <w:rPr>
          <w:rFonts w:asciiTheme="majorHAnsi" w:hAnsiTheme="majorHAnsi" w:cs="GillSansMT"/>
          <w:color w:val="auto"/>
          <w:sz w:val="20"/>
          <w:szCs w:val="20"/>
          <w:lang w:val="es-ES"/>
        </w:rPr>
        <w:t xml:space="preserve">como solo existía certeza de </w:t>
      </w:r>
      <w:r w:rsidR="00655153" w:rsidRPr="00F84AB1">
        <w:rPr>
          <w:rFonts w:asciiTheme="majorHAnsi" w:hAnsiTheme="majorHAnsi" w:cs="GillSansMT"/>
          <w:color w:val="auto"/>
          <w:sz w:val="20"/>
          <w:szCs w:val="20"/>
          <w:lang w:val="es-ES"/>
        </w:rPr>
        <w:t>la</w:t>
      </w:r>
      <w:r w:rsidR="00AD0516" w:rsidRPr="00F84AB1">
        <w:rPr>
          <w:rFonts w:asciiTheme="majorHAnsi" w:hAnsiTheme="majorHAnsi" w:cs="GillSansMT"/>
          <w:color w:val="auto"/>
          <w:sz w:val="20"/>
          <w:szCs w:val="20"/>
          <w:lang w:val="es-ES"/>
        </w:rPr>
        <w:t xml:space="preserve"> detención de la presunta víctima, pero no de su posterior destino, no adquirió la convicción para entender que estuvo secuestrado de manera permanente, bajo poder del condenado, por lo que al ignorarse esta circunstancia así como su fallecimiento, </w:t>
      </w:r>
      <w:r w:rsidR="00433274" w:rsidRPr="00F84AB1">
        <w:rPr>
          <w:rFonts w:asciiTheme="majorHAnsi" w:hAnsiTheme="majorHAnsi" w:cs="GillSansMT"/>
          <w:color w:val="auto"/>
          <w:sz w:val="20"/>
          <w:szCs w:val="20"/>
          <w:lang w:val="es-ES"/>
        </w:rPr>
        <w:t>no se puede configurar el secuestro permanente.</w:t>
      </w:r>
    </w:p>
    <w:p w:rsidR="002813AC" w:rsidRPr="00F84AB1" w:rsidRDefault="002813AC" w:rsidP="00C64463">
      <w:pPr>
        <w:pStyle w:val="ListParagraph"/>
        <w:jc w:val="both"/>
        <w:rPr>
          <w:rFonts w:asciiTheme="majorHAnsi" w:hAnsiTheme="majorHAnsi" w:cs="GillSansMT"/>
          <w:sz w:val="20"/>
          <w:szCs w:val="20"/>
          <w:lang w:val="es-ES"/>
        </w:rPr>
      </w:pPr>
    </w:p>
    <w:p w:rsidR="000B0733" w:rsidRPr="00F84AB1" w:rsidRDefault="0010418E" w:rsidP="00C644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GillSansMT"/>
          <w:sz w:val="20"/>
          <w:szCs w:val="20"/>
          <w:lang w:val="es-ES"/>
        </w:rPr>
      </w:pPr>
      <w:r w:rsidRPr="00F84AB1">
        <w:rPr>
          <w:rFonts w:asciiTheme="majorHAnsi" w:hAnsiTheme="majorHAnsi" w:cs="GillSansMT"/>
          <w:sz w:val="20"/>
          <w:szCs w:val="20"/>
          <w:lang w:val="es-ES"/>
        </w:rPr>
        <w:t>Señalan que el PDH impugnó</w:t>
      </w:r>
      <w:r w:rsidR="00B265EE" w:rsidRPr="00F84AB1">
        <w:rPr>
          <w:rFonts w:asciiTheme="majorHAnsi" w:hAnsiTheme="majorHAnsi" w:cs="GillSansMT"/>
          <w:sz w:val="20"/>
          <w:szCs w:val="20"/>
          <w:lang w:val="es-ES"/>
        </w:rPr>
        <w:t xml:space="preserve"> dicha sentencia mediante recurso de casación, y que la Corte Suprema el 18 de mayo de 2010, acogiendo </w:t>
      </w:r>
      <w:r w:rsidRPr="00F84AB1">
        <w:rPr>
          <w:rFonts w:asciiTheme="majorHAnsi" w:hAnsiTheme="majorHAnsi" w:cs="GillSansMT"/>
          <w:sz w:val="20"/>
          <w:szCs w:val="20"/>
          <w:lang w:val="es-ES"/>
        </w:rPr>
        <w:t>el recurso de casación, invalidó la sentencia y dictó</w:t>
      </w:r>
      <w:r w:rsidR="00B265EE" w:rsidRPr="00F84AB1">
        <w:rPr>
          <w:rFonts w:asciiTheme="majorHAnsi" w:hAnsiTheme="majorHAnsi" w:cs="GillSansMT"/>
          <w:sz w:val="20"/>
          <w:szCs w:val="20"/>
          <w:lang w:val="es-ES"/>
        </w:rPr>
        <w:t xml:space="preserve"> sentencia de reemplazo, </w:t>
      </w:r>
      <w:r w:rsidR="00167C53" w:rsidRPr="00F84AB1">
        <w:rPr>
          <w:rFonts w:asciiTheme="majorHAnsi" w:hAnsiTheme="majorHAnsi" w:cs="GillSansMT"/>
          <w:sz w:val="20"/>
          <w:szCs w:val="20"/>
          <w:lang w:val="es-ES"/>
        </w:rPr>
        <w:t>condenando al inculpado por el delito de secuestro calificado</w:t>
      </w:r>
      <w:r w:rsidR="0064758F" w:rsidRPr="00F84AB1">
        <w:rPr>
          <w:rFonts w:asciiTheme="majorHAnsi" w:hAnsiTheme="majorHAnsi" w:cs="GillSansMT"/>
          <w:sz w:val="20"/>
          <w:szCs w:val="20"/>
          <w:lang w:val="es-ES"/>
        </w:rPr>
        <w:t xml:space="preserve"> a la pena de tres años y accesorias</w:t>
      </w:r>
      <w:r w:rsidR="00167C53" w:rsidRPr="00F84AB1">
        <w:rPr>
          <w:rFonts w:asciiTheme="majorHAnsi" w:hAnsiTheme="majorHAnsi" w:cs="GillSansMT"/>
          <w:sz w:val="20"/>
          <w:szCs w:val="20"/>
          <w:lang w:val="es-ES"/>
        </w:rPr>
        <w:t xml:space="preserve">, pero </w:t>
      </w:r>
      <w:r w:rsidR="00B265EE" w:rsidRPr="00F84AB1">
        <w:rPr>
          <w:rFonts w:asciiTheme="majorHAnsi" w:hAnsiTheme="majorHAnsi" w:cs="GillSansMT"/>
          <w:sz w:val="20"/>
          <w:szCs w:val="20"/>
          <w:lang w:val="es-ES"/>
        </w:rPr>
        <w:t>aplicando la atenuante de irreprochable conducta anterior y la media prescripción</w:t>
      </w:r>
      <w:r w:rsidRPr="00F84AB1">
        <w:rPr>
          <w:rFonts w:asciiTheme="majorHAnsi" w:hAnsiTheme="majorHAnsi" w:cs="GillSansMT"/>
          <w:sz w:val="20"/>
          <w:szCs w:val="20"/>
          <w:lang w:val="es-ES"/>
        </w:rPr>
        <w:t>, beneficiando al condenado</w:t>
      </w:r>
      <w:r w:rsidR="0064758F" w:rsidRPr="00F84AB1">
        <w:rPr>
          <w:rFonts w:asciiTheme="majorHAnsi" w:hAnsiTheme="majorHAnsi" w:cs="GillSansMT"/>
          <w:sz w:val="20"/>
          <w:szCs w:val="20"/>
          <w:lang w:val="es-ES"/>
        </w:rPr>
        <w:t xml:space="preserve"> con la remisión condicional de la pena</w:t>
      </w:r>
      <w:r w:rsidR="00B265EE" w:rsidRPr="00F84AB1">
        <w:rPr>
          <w:rFonts w:asciiTheme="majorHAnsi" w:hAnsiTheme="majorHAnsi" w:cs="GillSansMT"/>
          <w:sz w:val="20"/>
          <w:szCs w:val="20"/>
          <w:lang w:val="es-ES"/>
        </w:rPr>
        <w:t xml:space="preserve">. </w:t>
      </w:r>
    </w:p>
    <w:p w:rsidR="009F251D" w:rsidRPr="00F84AB1" w:rsidRDefault="009F251D"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p>
    <w:p w:rsidR="0063685A" w:rsidRPr="00F84AB1" w:rsidRDefault="0063685A" w:rsidP="00C64463">
      <w:pPr>
        <w:spacing w:after="240"/>
        <w:ind w:firstLine="720"/>
        <w:jc w:val="both"/>
        <w:rPr>
          <w:rFonts w:asciiTheme="majorHAnsi" w:hAnsiTheme="majorHAnsi"/>
          <w:b/>
          <w:bCs/>
          <w:sz w:val="20"/>
          <w:szCs w:val="20"/>
          <w:lang w:val="es-UY"/>
        </w:rPr>
      </w:pPr>
      <w:r w:rsidRPr="00F84AB1">
        <w:rPr>
          <w:rFonts w:asciiTheme="majorHAnsi" w:hAnsiTheme="majorHAnsi"/>
          <w:b/>
          <w:bCs/>
          <w:sz w:val="20"/>
          <w:szCs w:val="20"/>
          <w:lang w:val="es-UY"/>
        </w:rPr>
        <w:t>B.</w:t>
      </w:r>
      <w:r w:rsidRPr="00F84AB1">
        <w:rPr>
          <w:rFonts w:asciiTheme="majorHAnsi" w:hAnsiTheme="majorHAnsi"/>
          <w:b/>
          <w:bCs/>
          <w:sz w:val="20"/>
          <w:szCs w:val="20"/>
          <w:lang w:val="es-UY"/>
        </w:rPr>
        <w:tab/>
        <w:t>Posición del Estado</w:t>
      </w:r>
      <w:r w:rsidR="00441DBA" w:rsidRPr="00F84AB1">
        <w:rPr>
          <w:rFonts w:asciiTheme="majorHAnsi" w:hAnsiTheme="majorHAnsi"/>
          <w:b/>
          <w:bCs/>
          <w:sz w:val="20"/>
          <w:szCs w:val="20"/>
          <w:lang w:val="es-UY"/>
        </w:rPr>
        <w:t xml:space="preserve"> </w:t>
      </w:r>
    </w:p>
    <w:p w:rsidR="00CA04E5" w:rsidRPr="00F84AB1" w:rsidRDefault="00CA04E5" w:rsidP="00C644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r w:rsidRPr="00F84AB1">
        <w:rPr>
          <w:rFonts w:asciiTheme="majorHAnsi" w:hAnsiTheme="majorHAnsi"/>
          <w:sz w:val="20"/>
          <w:szCs w:val="20"/>
          <w:lang w:val="es-ES"/>
        </w:rPr>
        <w:t>Con fecha</w:t>
      </w:r>
      <w:r w:rsidR="00D07D62" w:rsidRPr="00F84AB1">
        <w:rPr>
          <w:rFonts w:asciiTheme="majorHAnsi" w:hAnsiTheme="majorHAnsi"/>
          <w:sz w:val="20"/>
          <w:szCs w:val="20"/>
          <w:lang w:val="es-ES"/>
        </w:rPr>
        <w:t>s</w:t>
      </w:r>
      <w:r w:rsidRPr="00F84AB1">
        <w:rPr>
          <w:rFonts w:asciiTheme="majorHAnsi" w:hAnsiTheme="majorHAnsi"/>
          <w:sz w:val="20"/>
          <w:szCs w:val="20"/>
          <w:lang w:val="es-ES"/>
        </w:rPr>
        <w:t xml:space="preserve"> 5 de mayo de 2014</w:t>
      </w:r>
      <w:r w:rsidR="00D07D62" w:rsidRPr="00F84AB1">
        <w:rPr>
          <w:rFonts w:asciiTheme="majorHAnsi" w:hAnsiTheme="majorHAnsi"/>
          <w:sz w:val="20"/>
          <w:szCs w:val="20"/>
          <w:lang w:val="es-ES"/>
        </w:rPr>
        <w:t xml:space="preserve"> y 7 de enero de 2016</w:t>
      </w:r>
      <w:r w:rsidRPr="00F84AB1">
        <w:rPr>
          <w:rFonts w:asciiTheme="majorHAnsi" w:hAnsiTheme="majorHAnsi"/>
          <w:sz w:val="20"/>
          <w:szCs w:val="20"/>
          <w:lang w:val="es-ES"/>
        </w:rPr>
        <w:t xml:space="preserve">, el Estado remitió su respuesta, señalando que sin perjuicio de las observaciones sobre el fondo que pueda formular en su oportunidad, no tiene reparos respecto al cumplimiento de los requisitos de forma </w:t>
      </w:r>
      <w:r w:rsidR="00BA6DA5" w:rsidRPr="00F84AB1">
        <w:rPr>
          <w:rFonts w:asciiTheme="majorHAnsi" w:hAnsiTheme="majorHAnsi"/>
          <w:sz w:val="20"/>
          <w:szCs w:val="20"/>
          <w:lang w:val="es-ES"/>
        </w:rPr>
        <w:t xml:space="preserve">de admisibilidad </w:t>
      </w:r>
      <w:r w:rsidRPr="00F84AB1">
        <w:rPr>
          <w:rFonts w:asciiTheme="majorHAnsi" w:hAnsiTheme="majorHAnsi"/>
          <w:sz w:val="20"/>
          <w:szCs w:val="20"/>
          <w:lang w:val="es-ES"/>
        </w:rPr>
        <w:t xml:space="preserve">por parte de los peticionarios. </w:t>
      </w:r>
    </w:p>
    <w:p w:rsidR="00EF0308" w:rsidRPr="00F84AB1" w:rsidRDefault="00EF0308" w:rsidP="00C6446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p>
    <w:p w:rsidR="00331369" w:rsidRDefault="00331369">
      <w:pPr>
        <w:rPr>
          <w:rFonts w:asciiTheme="majorHAnsi" w:hAnsiTheme="majorHAnsi"/>
          <w:b/>
          <w:bCs/>
          <w:sz w:val="20"/>
          <w:szCs w:val="20"/>
          <w:lang w:val="es-UY"/>
        </w:rPr>
      </w:pPr>
      <w:r>
        <w:rPr>
          <w:rFonts w:asciiTheme="majorHAnsi" w:hAnsiTheme="majorHAnsi"/>
          <w:b/>
          <w:bCs/>
          <w:sz w:val="20"/>
          <w:szCs w:val="20"/>
          <w:lang w:val="es-UY"/>
        </w:rPr>
        <w:br w:type="page"/>
      </w:r>
    </w:p>
    <w:p w:rsidR="0063685A" w:rsidRPr="00F84AB1" w:rsidRDefault="0063685A" w:rsidP="00C64463">
      <w:pPr>
        <w:spacing w:after="240"/>
        <w:ind w:firstLine="720"/>
        <w:jc w:val="both"/>
        <w:rPr>
          <w:rFonts w:asciiTheme="majorHAnsi" w:hAnsiTheme="majorHAnsi"/>
          <w:b/>
          <w:bCs/>
          <w:sz w:val="20"/>
          <w:szCs w:val="20"/>
          <w:lang w:val="es-UY"/>
        </w:rPr>
      </w:pPr>
      <w:r w:rsidRPr="00F84AB1">
        <w:rPr>
          <w:rFonts w:asciiTheme="majorHAnsi" w:hAnsiTheme="majorHAnsi"/>
          <w:b/>
          <w:bCs/>
          <w:sz w:val="20"/>
          <w:szCs w:val="20"/>
          <w:lang w:val="es-UY"/>
        </w:rPr>
        <w:lastRenderedPageBreak/>
        <w:t>V.</w:t>
      </w:r>
      <w:r w:rsidRPr="00F84AB1">
        <w:rPr>
          <w:rFonts w:asciiTheme="majorHAnsi" w:hAnsiTheme="majorHAnsi"/>
          <w:b/>
          <w:bCs/>
          <w:sz w:val="20"/>
          <w:szCs w:val="20"/>
          <w:lang w:val="es-UY"/>
        </w:rPr>
        <w:tab/>
        <w:t>ANÁLISIS SOBRE COMPETENCIA Y ADMISIBILIDAD</w:t>
      </w:r>
    </w:p>
    <w:p w:rsidR="0063685A" w:rsidRPr="00F84AB1" w:rsidRDefault="0063685A" w:rsidP="00C64463">
      <w:pPr>
        <w:spacing w:after="240"/>
        <w:ind w:left="1440" w:hanging="720"/>
        <w:jc w:val="both"/>
        <w:rPr>
          <w:rFonts w:asciiTheme="majorHAnsi" w:hAnsiTheme="majorHAnsi"/>
          <w:sz w:val="20"/>
          <w:szCs w:val="20"/>
          <w:lang w:val="es-UY"/>
        </w:rPr>
      </w:pPr>
      <w:r w:rsidRPr="00F84AB1">
        <w:rPr>
          <w:rFonts w:asciiTheme="majorHAnsi" w:hAnsiTheme="majorHAnsi"/>
          <w:b/>
          <w:bCs/>
          <w:sz w:val="20"/>
          <w:szCs w:val="20"/>
          <w:lang w:val="es-UY"/>
        </w:rPr>
        <w:t>A.</w:t>
      </w:r>
      <w:r w:rsidRPr="00F84AB1">
        <w:rPr>
          <w:rFonts w:asciiTheme="majorHAnsi" w:hAnsiTheme="majorHAnsi"/>
          <w:b/>
          <w:bCs/>
          <w:sz w:val="20"/>
          <w:szCs w:val="20"/>
          <w:lang w:val="es-UY"/>
        </w:rPr>
        <w:tab/>
        <w:t xml:space="preserve">Competencia </w:t>
      </w:r>
    </w:p>
    <w:p w:rsidR="009C0DD1" w:rsidRPr="00F84AB1" w:rsidRDefault="009C0DD1" w:rsidP="009C0DD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es-UY"/>
        </w:rPr>
      </w:pPr>
      <w:r w:rsidRPr="00F84AB1">
        <w:rPr>
          <w:rFonts w:asciiTheme="majorHAnsi" w:eastAsia="SimSun" w:hAnsiTheme="majorHAnsi"/>
          <w:sz w:val="20"/>
          <w:szCs w:val="20"/>
          <w:lang w:val="es-UY"/>
        </w:rPr>
        <w:t xml:space="preserve">Los peticionarios se encuentran facultados, en principio, por el artículo 44 de la Convención Americana para presentar peticiones ante la Comisión. La petición señala como presuntas víctimas a personas individuales, respecto de quienes el Estado Chile se comprometió a respetar y garantizar los derechos consagrados en la Convención Americana. En lo concerniente al Estado, la Comisión señala que Chile es un Estado parte en la Convención Americana desde el 21 de agosto de 1990, fecha en la que depositó su instrumento de ratificación. Por lo tanto, la Comisión tiene competencia </w:t>
      </w:r>
      <w:r w:rsidRPr="00F84AB1">
        <w:rPr>
          <w:rFonts w:asciiTheme="majorHAnsi" w:eastAsia="SimSun" w:hAnsiTheme="majorHAnsi"/>
          <w:i/>
          <w:sz w:val="20"/>
          <w:szCs w:val="20"/>
          <w:lang w:val="es-UY"/>
        </w:rPr>
        <w:t>ratione personae</w:t>
      </w:r>
      <w:r w:rsidRPr="00F84AB1">
        <w:rPr>
          <w:rFonts w:asciiTheme="majorHAnsi" w:eastAsia="SimSun" w:hAnsiTheme="majorHAnsi"/>
          <w:sz w:val="20"/>
          <w:szCs w:val="20"/>
          <w:lang w:val="es-UY"/>
        </w:rPr>
        <w:t xml:space="preserve"> para examinar la petición. Asimismo, la Comisión tiene competencia </w:t>
      </w:r>
      <w:r w:rsidRPr="00F84AB1">
        <w:rPr>
          <w:rFonts w:asciiTheme="majorHAnsi" w:eastAsia="SimSun" w:hAnsiTheme="majorHAnsi"/>
          <w:i/>
          <w:sz w:val="20"/>
          <w:szCs w:val="20"/>
          <w:lang w:val="es-UY"/>
        </w:rPr>
        <w:t>ratione loci</w:t>
      </w:r>
      <w:r w:rsidRPr="00F84AB1">
        <w:rPr>
          <w:rFonts w:asciiTheme="majorHAnsi" w:eastAsia="SimSun" w:hAnsiTheme="majorHAnsi"/>
          <w:sz w:val="20"/>
          <w:szCs w:val="20"/>
          <w:lang w:val="es-UY"/>
        </w:rPr>
        <w:t xml:space="preserve"> para conocer la petición, por cuanto en ella se alegan violaciones de derechos protegidos en la Convención Americana que habrían tenido lugar dentro del territorio de Chile, Estado Parte en dicho tratado. </w:t>
      </w:r>
    </w:p>
    <w:p w:rsidR="009C0DD1" w:rsidRPr="00F84AB1" w:rsidRDefault="009C0DD1" w:rsidP="009C0DD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es-UY"/>
        </w:rPr>
      </w:pPr>
    </w:p>
    <w:p w:rsidR="009C0DD1" w:rsidRPr="00F84AB1" w:rsidRDefault="009C0DD1" w:rsidP="009C0DD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es-UY"/>
        </w:rPr>
      </w:pPr>
      <w:r w:rsidRPr="00F84AB1">
        <w:rPr>
          <w:rFonts w:asciiTheme="majorHAnsi" w:eastAsia="SimSun" w:hAnsiTheme="majorHAnsi"/>
          <w:sz w:val="20"/>
          <w:szCs w:val="20"/>
          <w:lang w:val="es-UY"/>
        </w:rPr>
        <w:t xml:space="preserve">La Comisión tiene competencia </w:t>
      </w:r>
      <w:r w:rsidRPr="00F84AB1">
        <w:rPr>
          <w:rFonts w:asciiTheme="majorHAnsi" w:eastAsia="SimSun" w:hAnsiTheme="majorHAnsi"/>
          <w:i/>
          <w:sz w:val="20"/>
          <w:szCs w:val="20"/>
          <w:lang w:val="es-UY"/>
        </w:rPr>
        <w:t>ratione temporis</w:t>
      </w:r>
      <w:r w:rsidRPr="00F84AB1">
        <w:rPr>
          <w:rFonts w:asciiTheme="majorHAnsi" w:eastAsia="SimSun" w:hAnsiTheme="majorHAnsi"/>
          <w:sz w:val="20"/>
          <w:szCs w:val="20"/>
          <w:lang w:val="es-UY"/>
        </w:rPr>
        <w:t xml:space="preserve"> por cuanto la obligación de respetar y garantizar los derechos protegidos en la Convención Americana se encontraba en vigor para el Estado en la fecha en que habrían ocurrido los hechos alegados en la </w:t>
      </w:r>
      <w:r w:rsidRPr="00F84AB1">
        <w:rPr>
          <w:rFonts w:asciiTheme="majorHAnsi" w:hAnsiTheme="majorHAnsi"/>
          <w:sz w:val="20"/>
          <w:szCs w:val="20"/>
          <w:lang w:val="es-ES"/>
        </w:rPr>
        <w:t>petición</w:t>
      </w:r>
      <w:r w:rsidRPr="00F84AB1">
        <w:rPr>
          <w:rFonts w:asciiTheme="majorHAnsi" w:eastAsia="SimSun" w:hAnsiTheme="majorHAnsi"/>
          <w:sz w:val="20"/>
          <w:szCs w:val="20"/>
          <w:lang w:val="es-UY"/>
        </w:rPr>
        <w:t>.</w:t>
      </w:r>
      <w:r w:rsidR="00991B93" w:rsidRPr="00F84AB1">
        <w:rPr>
          <w:rFonts w:asciiTheme="majorHAnsi" w:eastAsia="SimSun" w:hAnsiTheme="majorHAnsi"/>
          <w:sz w:val="20"/>
          <w:szCs w:val="20"/>
          <w:lang w:val="es-UY"/>
        </w:rPr>
        <w:t xml:space="preserve"> En este sentido, la Comisión toma en cuenta que los peticionarios plantean la aplicación de la figura de la media prescripción o prescripción gradual  en la etapa final de cada uno de los casos indicados, hechos que tuvieron lugar en cada caso bajo la vigencia de la Convención en Chile.</w:t>
      </w:r>
      <w:r w:rsidR="00500E4F" w:rsidRPr="00F84AB1">
        <w:rPr>
          <w:rFonts w:asciiTheme="majorHAnsi" w:eastAsia="SimSun" w:hAnsiTheme="majorHAnsi"/>
          <w:sz w:val="20"/>
          <w:szCs w:val="20"/>
          <w:lang w:val="es-UY"/>
        </w:rPr>
        <w:t xml:space="preserve"> </w:t>
      </w:r>
      <w:r w:rsidRPr="00F84AB1">
        <w:rPr>
          <w:rFonts w:asciiTheme="majorHAnsi" w:eastAsia="SimSun" w:hAnsiTheme="majorHAnsi"/>
          <w:sz w:val="20"/>
          <w:szCs w:val="20"/>
          <w:lang w:val="es-UY"/>
        </w:rPr>
        <w:t xml:space="preserve">Finalmente, la Comisión tiene competencia </w:t>
      </w:r>
      <w:r w:rsidRPr="00F84AB1">
        <w:rPr>
          <w:rFonts w:asciiTheme="majorHAnsi" w:eastAsia="SimSun" w:hAnsiTheme="majorHAnsi"/>
          <w:i/>
          <w:sz w:val="20"/>
          <w:szCs w:val="20"/>
          <w:lang w:val="es-UY"/>
        </w:rPr>
        <w:t>ratione materiae</w:t>
      </w:r>
      <w:r w:rsidRPr="00F84AB1">
        <w:rPr>
          <w:rFonts w:asciiTheme="majorHAnsi" w:eastAsia="SimSun" w:hAnsiTheme="majorHAnsi"/>
          <w:sz w:val="20"/>
          <w:szCs w:val="20"/>
          <w:lang w:val="es-UY"/>
        </w:rPr>
        <w:t>, dado que en la petición se denuncian posibles violaciones a derechos humanos protegidos por la Convención Americana.</w:t>
      </w:r>
    </w:p>
    <w:p w:rsidR="00F11133" w:rsidRPr="00F84AB1" w:rsidRDefault="00F11133" w:rsidP="00C64463">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p>
    <w:p w:rsidR="0063685A" w:rsidRPr="00F84AB1" w:rsidRDefault="0063685A" w:rsidP="00C6446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lang w:val="es-UY"/>
        </w:rPr>
      </w:pPr>
      <w:r w:rsidRPr="00F84AB1">
        <w:rPr>
          <w:rFonts w:asciiTheme="majorHAnsi" w:hAnsiTheme="majorHAnsi"/>
          <w:b/>
          <w:bCs/>
          <w:sz w:val="20"/>
          <w:szCs w:val="20"/>
          <w:lang w:val="es-UY"/>
        </w:rPr>
        <w:t xml:space="preserve">Requisitos de </w:t>
      </w:r>
      <w:r w:rsidR="005A48C0" w:rsidRPr="00F84AB1">
        <w:rPr>
          <w:rFonts w:asciiTheme="majorHAnsi" w:hAnsiTheme="majorHAnsi"/>
          <w:b/>
          <w:sz w:val="20"/>
          <w:szCs w:val="20"/>
          <w:lang w:val="es-UY"/>
        </w:rPr>
        <w:t xml:space="preserve">Admisibilidad </w:t>
      </w:r>
    </w:p>
    <w:p w:rsidR="0063685A" w:rsidRPr="00F84AB1" w:rsidRDefault="0063685A" w:rsidP="00C64463">
      <w:pPr>
        <w:spacing w:after="240"/>
        <w:ind w:firstLine="720"/>
        <w:jc w:val="both"/>
        <w:rPr>
          <w:rFonts w:asciiTheme="majorHAnsi" w:hAnsiTheme="majorHAnsi"/>
          <w:b/>
          <w:sz w:val="20"/>
          <w:szCs w:val="20"/>
          <w:lang w:val="es-UY"/>
        </w:rPr>
      </w:pPr>
      <w:r w:rsidRPr="00F84AB1">
        <w:rPr>
          <w:rFonts w:asciiTheme="majorHAnsi" w:hAnsiTheme="majorHAnsi"/>
          <w:b/>
          <w:sz w:val="20"/>
          <w:szCs w:val="20"/>
          <w:lang w:val="es-UY"/>
        </w:rPr>
        <w:t>1.</w:t>
      </w:r>
      <w:r w:rsidRPr="00F84AB1">
        <w:rPr>
          <w:rFonts w:asciiTheme="majorHAnsi" w:hAnsiTheme="majorHAnsi"/>
          <w:b/>
          <w:sz w:val="20"/>
          <w:szCs w:val="20"/>
          <w:lang w:val="es-UY"/>
        </w:rPr>
        <w:tab/>
        <w:t>Agotamiento de los recursos internos</w:t>
      </w:r>
    </w:p>
    <w:p w:rsidR="0063685A" w:rsidRPr="00F84AB1" w:rsidRDefault="004B5ECA" w:rsidP="00C644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color w:val="auto"/>
          <w:sz w:val="20"/>
          <w:szCs w:val="20"/>
          <w:lang w:val="es-UY"/>
        </w:rPr>
      </w:pPr>
      <w:r w:rsidRPr="00F84AB1">
        <w:rPr>
          <w:rFonts w:asciiTheme="majorHAnsi" w:hAnsiTheme="majorHAnsi" w:cs="Arial"/>
          <w:sz w:val="20"/>
          <w:szCs w:val="20"/>
          <w:lang w:val="es-PE"/>
        </w:rPr>
        <w:t>El artículo 46.1.a</w:t>
      </w:r>
      <w:r w:rsidR="0063685A" w:rsidRPr="00F84AB1">
        <w:rPr>
          <w:rFonts w:asciiTheme="majorHAnsi" w:hAnsiTheme="majorHAnsi" w:cs="Arial"/>
          <w:sz w:val="20"/>
          <w:szCs w:val="20"/>
          <w:lang w:val="es-PE"/>
        </w:rPr>
        <w:t xml:space="preserve">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w:t>
      </w:r>
      <w:r w:rsidR="00012631" w:rsidRPr="00F84AB1">
        <w:rPr>
          <w:rFonts w:asciiTheme="majorHAnsi" w:hAnsiTheme="majorHAnsi" w:cs="Arial"/>
          <w:sz w:val="20"/>
          <w:szCs w:val="20"/>
          <w:lang w:val="es-PE"/>
        </w:rPr>
        <w:t xml:space="preserve"> </w:t>
      </w:r>
      <w:r w:rsidR="0063685A" w:rsidRPr="00F84AB1">
        <w:rPr>
          <w:rFonts w:asciiTheme="majorHAnsi" w:hAnsiTheme="majorHAnsi"/>
          <w:sz w:val="20"/>
          <w:szCs w:val="20"/>
          <w:lang w:val="es-UY"/>
        </w:rPr>
        <w:t xml:space="preserve">Este requisito tiene como objeto permitir que las autoridades nacionales conozcan sobre la supuesta violación de un derecho protegido y, de ser apropiado, </w:t>
      </w:r>
      <w:r w:rsidR="00485810" w:rsidRPr="00F84AB1">
        <w:rPr>
          <w:rFonts w:asciiTheme="majorHAnsi" w:hAnsiTheme="majorHAnsi"/>
          <w:sz w:val="20"/>
          <w:szCs w:val="20"/>
          <w:lang w:val="es-UY"/>
        </w:rPr>
        <w:t>solucionen la situación</w:t>
      </w:r>
      <w:r w:rsidR="0063685A" w:rsidRPr="00F84AB1">
        <w:rPr>
          <w:rFonts w:asciiTheme="majorHAnsi" w:hAnsiTheme="majorHAnsi"/>
          <w:sz w:val="20"/>
          <w:szCs w:val="20"/>
          <w:lang w:val="es-UY"/>
        </w:rPr>
        <w:t xml:space="preserve"> antes de que sea conocida por una instancia internacional. </w:t>
      </w:r>
      <w:r w:rsidR="0063685A" w:rsidRPr="00F84AB1">
        <w:rPr>
          <w:rFonts w:asciiTheme="majorHAnsi" w:hAnsiTheme="majorHAnsi" w:cs="Arial"/>
          <w:color w:val="auto"/>
          <w:sz w:val="20"/>
          <w:szCs w:val="20"/>
          <w:lang w:val="es-PE"/>
        </w:rPr>
        <w:t>Por su parte, el artículo 46(2) de la Convención prevé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r w:rsidR="0063685A" w:rsidRPr="00F84AB1">
        <w:rPr>
          <w:rFonts w:asciiTheme="majorHAnsi" w:hAnsiTheme="majorHAnsi"/>
          <w:color w:val="auto"/>
          <w:sz w:val="20"/>
          <w:szCs w:val="20"/>
          <w:lang w:val="es-UY"/>
        </w:rPr>
        <w:t xml:space="preserve"> </w:t>
      </w:r>
    </w:p>
    <w:p w:rsidR="00547D7F" w:rsidRPr="00F84AB1" w:rsidRDefault="00547D7F"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lang w:val="es-UY"/>
        </w:rPr>
      </w:pPr>
    </w:p>
    <w:p w:rsidR="00EB3F4B" w:rsidRPr="00F84AB1" w:rsidRDefault="009C0DD1" w:rsidP="00C64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GillSansMT"/>
          <w:sz w:val="20"/>
          <w:szCs w:val="20"/>
          <w:lang w:val="es-ES"/>
        </w:rPr>
      </w:pPr>
      <w:r w:rsidRPr="00F84AB1">
        <w:rPr>
          <w:rFonts w:asciiTheme="majorHAnsi" w:hAnsiTheme="majorHAnsi" w:cs="Arial"/>
          <w:sz w:val="20"/>
          <w:szCs w:val="20"/>
          <w:lang w:val="es-UY"/>
        </w:rPr>
        <w:t>Los</w:t>
      </w:r>
      <w:r w:rsidR="0063685A" w:rsidRPr="00F84AB1">
        <w:rPr>
          <w:rFonts w:asciiTheme="majorHAnsi" w:hAnsiTheme="majorHAnsi" w:cs="Arial"/>
          <w:sz w:val="20"/>
          <w:szCs w:val="20"/>
          <w:lang w:val="es-PE"/>
        </w:rPr>
        <w:t xml:space="preserve"> peticionario</w:t>
      </w:r>
      <w:r w:rsidRPr="00F84AB1">
        <w:rPr>
          <w:rFonts w:asciiTheme="majorHAnsi" w:hAnsiTheme="majorHAnsi" w:cs="Arial"/>
          <w:sz w:val="20"/>
          <w:szCs w:val="20"/>
          <w:lang w:val="es-PE"/>
        </w:rPr>
        <w:t>s</w:t>
      </w:r>
      <w:r w:rsidR="0063685A" w:rsidRPr="00F84AB1">
        <w:rPr>
          <w:rFonts w:asciiTheme="majorHAnsi" w:hAnsiTheme="majorHAnsi" w:cs="Arial"/>
          <w:sz w:val="20"/>
          <w:szCs w:val="20"/>
          <w:lang w:val="es-PE"/>
        </w:rPr>
        <w:t xml:space="preserve"> alega</w:t>
      </w:r>
      <w:r w:rsidRPr="00F84AB1">
        <w:rPr>
          <w:rFonts w:asciiTheme="majorHAnsi" w:hAnsiTheme="majorHAnsi" w:cs="Arial"/>
          <w:sz w:val="20"/>
          <w:szCs w:val="20"/>
          <w:lang w:val="es-PE"/>
        </w:rPr>
        <w:t>n</w:t>
      </w:r>
      <w:r w:rsidR="0063685A" w:rsidRPr="00F84AB1">
        <w:rPr>
          <w:rFonts w:asciiTheme="majorHAnsi" w:hAnsiTheme="majorHAnsi" w:cs="Arial"/>
          <w:sz w:val="20"/>
          <w:szCs w:val="20"/>
          <w:lang w:val="es-PE"/>
        </w:rPr>
        <w:t xml:space="preserve"> que </w:t>
      </w:r>
      <w:r w:rsidR="00220622" w:rsidRPr="00F84AB1">
        <w:rPr>
          <w:rFonts w:asciiTheme="majorHAnsi" w:hAnsiTheme="majorHAnsi" w:cs="Arial"/>
          <w:sz w:val="20"/>
          <w:szCs w:val="20"/>
          <w:lang w:val="es-PE"/>
        </w:rPr>
        <w:t>la Corte Suprema, mediante el conocimiento de recursos de casaci</w:t>
      </w:r>
      <w:r w:rsidR="00A07DBD" w:rsidRPr="00F84AB1">
        <w:rPr>
          <w:rFonts w:asciiTheme="majorHAnsi" w:hAnsiTheme="majorHAnsi" w:cs="Arial"/>
          <w:sz w:val="20"/>
          <w:szCs w:val="20"/>
          <w:lang w:val="es-PE"/>
        </w:rPr>
        <w:t xml:space="preserve">ón en todos los asuntos, </w:t>
      </w:r>
      <w:r w:rsidR="00DF71FF" w:rsidRPr="00F84AB1">
        <w:rPr>
          <w:rFonts w:asciiTheme="majorHAnsi" w:hAnsiTheme="majorHAnsi" w:cs="Arial"/>
          <w:sz w:val="20"/>
          <w:szCs w:val="20"/>
          <w:lang w:val="es-PE"/>
        </w:rPr>
        <w:t>anuló</w:t>
      </w:r>
      <w:r w:rsidR="00220622" w:rsidRPr="00F84AB1">
        <w:rPr>
          <w:rFonts w:asciiTheme="majorHAnsi" w:hAnsiTheme="majorHAnsi" w:cs="Arial"/>
          <w:sz w:val="20"/>
          <w:szCs w:val="20"/>
          <w:lang w:val="es-PE"/>
        </w:rPr>
        <w:t xml:space="preserve"> las sentencias de segunda instancia, y </w:t>
      </w:r>
      <w:r w:rsidR="00DF71FF" w:rsidRPr="00F84AB1">
        <w:rPr>
          <w:rFonts w:asciiTheme="majorHAnsi" w:hAnsiTheme="majorHAnsi" w:cs="Arial"/>
          <w:sz w:val="20"/>
          <w:szCs w:val="20"/>
          <w:lang w:val="es-PE"/>
        </w:rPr>
        <w:t>dictó</w:t>
      </w:r>
      <w:r w:rsidR="00220622" w:rsidRPr="00F84AB1">
        <w:rPr>
          <w:rFonts w:asciiTheme="majorHAnsi" w:hAnsiTheme="majorHAnsi" w:cs="Arial"/>
          <w:sz w:val="20"/>
          <w:szCs w:val="20"/>
          <w:lang w:val="es-PE"/>
        </w:rPr>
        <w:t xml:space="preserve"> sin nueva vista del asunto, una nueva resolución que </w:t>
      </w:r>
      <w:r w:rsidR="00E90863" w:rsidRPr="00F84AB1">
        <w:rPr>
          <w:rFonts w:asciiTheme="majorHAnsi" w:hAnsiTheme="majorHAnsi" w:cs="Arial"/>
          <w:sz w:val="20"/>
          <w:szCs w:val="20"/>
          <w:lang w:val="es-PE"/>
        </w:rPr>
        <w:t xml:space="preserve">revestiría carácter de </w:t>
      </w:r>
      <w:r w:rsidR="00220622" w:rsidRPr="00F84AB1">
        <w:rPr>
          <w:rFonts w:asciiTheme="majorHAnsi" w:hAnsiTheme="majorHAnsi" w:cs="Arial"/>
          <w:sz w:val="20"/>
          <w:szCs w:val="20"/>
          <w:lang w:val="es-PE"/>
        </w:rPr>
        <w:t xml:space="preserve">sentencia </w:t>
      </w:r>
      <w:r w:rsidR="00DF71FF" w:rsidRPr="00F84AB1">
        <w:rPr>
          <w:rFonts w:asciiTheme="majorHAnsi" w:hAnsiTheme="majorHAnsi" w:cs="Arial"/>
          <w:sz w:val="20"/>
          <w:szCs w:val="20"/>
          <w:lang w:val="es-PE"/>
        </w:rPr>
        <w:t>firme</w:t>
      </w:r>
      <w:r w:rsidR="0063685A" w:rsidRPr="00F84AB1">
        <w:rPr>
          <w:rFonts w:asciiTheme="majorHAnsi" w:hAnsiTheme="majorHAnsi" w:cs="Arial"/>
          <w:sz w:val="20"/>
          <w:szCs w:val="20"/>
          <w:lang w:val="es-PE"/>
        </w:rPr>
        <w:t xml:space="preserve">. </w:t>
      </w:r>
      <w:r w:rsidR="00BF3764" w:rsidRPr="00F84AB1">
        <w:rPr>
          <w:rFonts w:asciiTheme="majorHAnsi" w:hAnsiTheme="majorHAnsi" w:cs="Arial"/>
          <w:sz w:val="20"/>
          <w:szCs w:val="20"/>
          <w:lang w:val="es-PE"/>
        </w:rPr>
        <w:t xml:space="preserve">Alegan </w:t>
      </w:r>
      <w:r w:rsidR="007914AE" w:rsidRPr="00F84AB1">
        <w:rPr>
          <w:rFonts w:asciiTheme="majorHAnsi" w:hAnsiTheme="majorHAnsi" w:cs="GillSansMT"/>
          <w:sz w:val="20"/>
          <w:szCs w:val="20"/>
          <w:lang w:val="es-ES"/>
        </w:rPr>
        <w:t>que no existen recursos posibles, puesto que la resolución emana de la Corte Suprema, y tiene carácter de ejecutoriada.</w:t>
      </w:r>
    </w:p>
    <w:p w:rsidR="00485810" w:rsidRPr="00F84AB1" w:rsidRDefault="00EB3F4B" w:rsidP="00D43CD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UY"/>
        </w:rPr>
      </w:pPr>
      <w:r w:rsidRPr="00F84AB1">
        <w:rPr>
          <w:rFonts w:asciiTheme="majorHAnsi" w:hAnsiTheme="majorHAnsi"/>
          <w:sz w:val="20"/>
          <w:szCs w:val="20"/>
          <w:lang w:val="es-UY"/>
        </w:rPr>
        <w:t>Por su parte el Estado indica que no tiene reparos respecto al cumplimiento de los requisitos de forma</w:t>
      </w:r>
      <w:r w:rsidR="00DB56A1" w:rsidRPr="00F84AB1">
        <w:rPr>
          <w:rFonts w:asciiTheme="majorHAnsi" w:hAnsiTheme="majorHAnsi"/>
          <w:sz w:val="20"/>
          <w:szCs w:val="20"/>
          <w:lang w:val="es-UY"/>
        </w:rPr>
        <w:t xml:space="preserve"> de admisibilidad </w:t>
      </w:r>
      <w:r w:rsidRPr="00F84AB1">
        <w:rPr>
          <w:rFonts w:asciiTheme="majorHAnsi" w:hAnsiTheme="majorHAnsi"/>
          <w:sz w:val="20"/>
          <w:szCs w:val="20"/>
          <w:lang w:val="es-UY"/>
        </w:rPr>
        <w:t>por parte de los peticionarios.</w:t>
      </w:r>
    </w:p>
    <w:p w:rsidR="009568A4" w:rsidRPr="00F84AB1" w:rsidRDefault="009568A4" w:rsidP="00FE7E67">
      <w:pPr>
        <w:rPr>
          <w:rFonts w:asciiTheme="majorHAnsi" w:hAnsiTheme="majorHAnsi"/>
          <w:sz w:val="20"/>
          <w:szCs w:val="20"/>
          <w:lang w:val="es-ES"/>
        </w:rPr>
      </w:pPr>
    </w:p>
    <w:p w:rsidR="00547D7F" w:rsidRPr="00F84AB1" w:rsidRDefault="00A42491" w:rsidP="00E923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F84AB1">
        <w:rPr>
          <w:rFonts w:asciiTheme="majorHAnsi" w:hAnsiTheme="majorHAnsi" w:cs="Arial"/>
          <w:sz w:val="20"/>
          <w:szCs w:val="20"/>
          <w:lang w:val="es-ES"/>
        </w:rPr>
        <w:t xml:space="preserve">La Comisión toma nota  que todas las denuncias presentadas fueron analizadas en primera y segunda instancia, y que se decidieron finalmente en conocimiento de recursos de casación en la forma y fondo, por la Corte Suprema de Justicia. Esta </w:t>
      </w:r>
      <w:r w:rsidR="007B6049" w:rsidRPr="00F84AB1">
        <w:rPr>
          <w:rFonts w:asciiTheme="majorHAnsi" w:hAnsiTheme="majorHAnsi" w:cs="Arial"/>
          <w:sz w:val="20"/>
          <w:szCs w:val="20"/>
          <w:lang w:val="es-ES"/>
        </w:rPr>
        <w:t>acogió dichos recursos</w:t>
      </w:r>
      <w:r w:rsidRPr="00F84AB1">
        <w:rPr>
          <w:rFonts w:asciiTheme="majorHAnsi" w:hAnsiTheme="majorHAnsi" w:cs="Arial"/>
          <w:sz w:val="20"/>
          <w:szCs w:val="20"/>
          <w:lang w:val="es-ES"/>
        </w:rPr>
        <w:t xml:space="preserve"> o decretó de oficio la nulidad de las sentencias de segunda instancia, dictando en consecuencia sentencias de reemplazo. </w:t>
      </w:r>
      <w:r w:rsidR="00C75637" w:rsidRPr="00F84AB1">
        <w:rPr>
          <w:rFonts w:asciiTheme="majorHAnsi" w:hAnsiTheme="majorHAnsi" w:cs="Arial"/>
          <w:sz w:val="20"/>
          <w:szCs w:val="20"/>
          <w:lang w:val="es-ES"/>
        </w:rPr>
        <w:t xml:space="preserve">Tras la decisión de la Corte Suprema, los peticionarios indican que no contaron con acceso a recursos adicionales, y el Estado por su parte tampoco ha identificado otros recursos idóneos no agotados. En consecuencia, </w:t>
      </w:r>
      <w:r w:rsidR="00BC29CF" w:rsidRPr="00F84AB1">
        <w:rPr>
          <w:rFonts w:asciiTheme="majorHAnsi" w:hAnsiTheme="majorHAnsi" w:cs="Arial"/>
          <w:sz w:val="20"/>
          <w:szCs w:val="20"/>
          <w:lang w:val="es-ES"/>
        </w:rPr>
        <w:t xml:space="preserve">la Comisión entiende que las respectivas decisiones de la Corte Suprema produjeron sentencias firmes en los procesos penales y los recursos se encuentran agotados. </w:t>
      </w:r>
    </w:p>
    <w:p w:rsidR="00B056A5" w:rsidRPr="00F84AB1" w:rsidRDefault="00B056A5" w:rsidP="00C64463">
      <w:pPr>
        <w:spacing w:after="240"/>
        <w:ind w:firstLine="720"/>
        <w:jc w:val="both"/>
        <w:rPr>
          <w:rFonts w:asciiTheme="majorHAnsi" w:hAnsiTheme="majorHAnsi"/>
          <w:b/>
          <w:sz w:val="20"/>
          <w:szCs w:val="20"/>
          <w:lang w:val="es-UY"/>
        </w:rPr>
      </w:pPr>
      <w:r w:rsidRPr="00F84AB1">
        <w:rPr>
          <w:rFonts w:asciiTheme="majorHAnsi" w:hAnsiTheme="majorHAnsi"/>
          <w:b/>
          <w:sz w:val="20"/>
          <w:szCs w:val="20"/>
          <w:lang w:val="es-UY"/>
        </w:rPr>
        <w:lastRenderedPageBreak/>
        <w:t>2.</w:t>
      </w:r>
      <w:r w:rsidRPr="00F84AB1">
        <w:rPr>
          <w:rFonts w:asciiTheme="majorHAnsi" w:hAnsiTheme="majorHAnsi"/>
          <w:b/>
          <w:sz w:val="20"/>
          <w:szCs w:val="20"/>
          <w:lang w:val="es-UY"/>
        </w:rPr>
        <w:tab/>
      </w:r>
      <w:r w:rsidR="0063685A" w:rsidRPr="00F84AB1">
        <w:rPr>
          <w:rFonts w:asciiTheme="majorHAnsi" w:hAnsiTheme="majorHAnsi"/>
          <w:b/>
          <w:sz w:val="20"/>
          <w:szCs w:val="20"/>
          <w:lang w:val="es-UY"/>
        </w:rPr>
        <w:t>Plazo de presentación de la petición</w:t>
      </w:r>
    </w:p>
    <w:p w:rsidR="00547D7F" w:rsidRPr="00F84AB1" w:rsidRDefault="00D568DD" w:rsidP="00C644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F84AB1">
        <w:rPr>
          <w:rFonts w:asciiTheme="majorHAnsi" w:hAnsiTheme="majorHAnsi" w:cs="Arial"/>
          <w:sz w:val="20"/>
          <w:szCs w:val="20"/>
          <w:lang w:val="es-PE"/>
        </w:rPr>
        <w:t>El artículo 46.1.b</w:t>
      </w:r>
      <w:r w:rsidR="0063685A" w:rsidRPr="00F84AB1">
        <w:rPr>
          <w:rFonts w:asciiTheme="majorHAnsi" w:hAnsiTheme="majorHAnsi" w:cs="Arial"/>
          <w:sz w:val="20"/>
          <w:szCs w:val="20"/>
          <w:lang w:val="es-PE"/>
        </w:rPr>
        <w:t xml:space="preserve"> de l</w:t>
      </w:r>
      <w:r w:rsidR="0063685A" w:rsidRPr="00F84AB1">
        <w:rPr>
          <w:rFonts w:asciiTheme="majorHAnsi" w:hAnsiTheme="majorHAnsi"/>
          <w:sz w:val="20"/>
          <w:szCs w:val="20"/>
          <w:lang w:val="es-ES_tradnl"/>
        </w:rPr>
        <w:t>a Convención Americana establece que para que una petición resulte admisible por la Comisión se requerirá que sea presentada dentro del plazo de seis meses a partir de la fecha en que el presun</w:t>
      </w:r>
      <w:r w:rsidR="0063685A" w:rsidRPr="00F84AB1">
        <w:rPr>
          <w:rFonts w:asciiTheme="majorHAnsi" w:hAnsiTheme="majorHAnsi"/>
          <w:color w:val="auto"/>
          <w:sz w:val="20"/>
          <w:szCs w:val="20"/>
          <w:lang w:val="es-ES_tradnl"/>
        </w:rPr>
        <w:t>to lesionado haya sido notific</w:t>
      </w:r>
      <w:r w:rsidR="00AD79CB" w:rsidRPr="00F84AB1">
        <w:rPr>
          <w:rFonts w:asciiTheme="majorHAnsi" w:hAnsiTheme="majorHAnsi"/>
          <w:color w:val="auto"/>
          <w:sz w:val="20"/>
          <w:szCs w:val="20"/>
          <w:lang w:val="es-ES_tradnl"/>
        </w:rPr>
        <w:t xml:space="preserve">ado de la decisión definitiva. </w:t>
      </w:r>
    </w:p>
    <w:p w:rsidR="00CA15DA" w:rsidRPr="00F84AB1" w:rsidRDefault="00CA15DA" w:rsidP="00E9236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B80580" w:rsidRPr="00F84AB1" w:rsidRDefault="007D286D" w:rsidP="009F73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F84AB1">
        <w:rPr>
          <w:rFonts w:asciiTheme="majorHAnsi" w:hAnsiTheme="majorHAnsi"/>
          <w:color w:val="auto"/>
          <w:sz w:val="20"/>
          <w:szCs w:val="20"/>
          <w:lang w:val="es-AR"/>
        </w:rPr>
        <w:t>La</w:t>
      </w:r>
      <w:r w:rsidR="00D568DD" w:rsidRPr="00F84AB1">
        <w:rPr>
          <w:rFonts w:asciiTheme="majorHAnsi" w:hAnsiTheme="majorHAnsi"/>
          <w:color w:val="auto"/>
          <w:sz w:val="20"/>
          <w:szCs w:val="20"/>
          <w:lang w:val="es-AR"/>
        </w:rPr>
        <w:t>s</w:t>
      </w:r>
      <w:r w:rsidRPr="00F84AB1">
        <w:rPr>
          <w:rFonts w:asciiTheme="majorHAnsi" w:hAnsiTheme="majorHAnsi"/>
          <w:color w:val="auto"/>
          <w:sz w:val="20"/>
          <w:szCs w:val="20"/>
          <w:lang w:val="es-AR"/>
        </w:rPr>
        <w:t xml:space="preserve"> petici</w:t>
      </w:r>
      <w:r w:rsidR="00D568DD" w:rsidRPr="00F84AB1">
        <w:rPr>
          <w:rFonts w:asciiTheme="majorHAnsi" w:hAnsiTheme="majorHAnsi"/>
          <w:color w:val="auto"/>
          <w:sz w:val="20"/>
          <w:szCs w:val="20"/>
          <w:lang w:val="es-AR"/>
        </w:rPr>
        <w:t>ones</w:t>
      </w:r>
      <w:r w:rsidRPr="00F84AB1">
        <w:rPr>
          <w:rFonts w:asciiTheme="majorHAnsi" w:hAnsiTheme="majorHAnsi"/>
          <w:color w:val="auto"/>
          <w:sz w:val="20"/>
          <w:szCs w:val="20"/>
          <w:lang w:val="es-AR"/>
        </w:rPr>
        <w:t xml:space="preserve"> ante la CIDH fue</w:t>
      </w:r>
      <w:r w:rsidR="00D568DD" w:rsidRPr="00F84AB1">
        <w:rPr>
          <w:rFonts w:asciiTheme="majorHAnsi" w:hAnsiTheme="majorHAnsi"/>
          <w:color w:val="auto"/>
          <w:sz w:val="20"/>
          <w:szCs w:val="20"/>
          <w:lang w:val="es-AR"/>
        </w:rPr>
        <w:t>ron</w:t>
      </w:r>
      <w:r w:rsidRPr="00F84AB1">
        <w:rPr>
          <w:rFonts w:asciiTheme="majorHAnsi" w:hAnsiTheme="majorHAnsi"/>
          <w:color w:val="auto"/>
          <w:sz w:val="20"/>
          <w:szCs w:val="20"/>
          <w:lang w:val="es-AR"/>
        </w:rPr>
        <w:t xml:space="preserve"> recibida</w:t>
      </w:r>
      <w:r w:rsidR="00D568DD" w:rsidRPr="00F84AB1">
        <w:rPr>
          <w:rFonts w:asciiTheme="majorHAnsi" w:hAnsiTheme="majorHAnsi"/>
          <w:color w:val="auto"/>
          <w:sz w:val="20"/>
          <w:szCs w:val="20"/>
          <w:lang w:val="es-AR"/>
        </w:rPr>
        <w:t>s</w:t>
      </w:r>
      <w:r w:rsidRPr="00F84AB1">
        <w:rPr>
          <w:rFonts w:asciiTheme="majorHAnsi" w:hAnsiTheme="majorHAnsi"/>
          <w:color w:val="auto"/>
          <w:sz w:val="20"/>
          <w:szCs w:val="20"/>
          <w:lang w:val="es-AR"/>
        </w:rPr>
        <w:t xml:space="preserve"> </w:t>
      </w:r>
      <w:r w:rsidR="00CA15DA" w:rsidRPr="00F84AB1">
        <w:rPr>
          <w:rFonts w:asciiTheme="majorHAnsi" w:hAnsiTheme="majorHAnsi"/>
          <w:color w:val="auto"/>
          <w:sz w:val="20"/>
          <w:szCs w:val="20"/>
          <w:lang w:val="es-AR"/>
        </w:rPr>
        <w:t xml:space="preserve">en diversas fechas. Así, </w:t>
      </w:r>
      <w:r w:rsidR="009F73DE" w:rsidRPr="00F84AB1">
        <w:rPr>
          <w:rFonts w:asciiTheme="majorHAnsi" w:hAnsiTheme="majorHAnsi"/>
          <w:color w:val="auto"/>
          <w:sz w:val="20"/>
          <w:szCs w:val="20"/>
          <w:lang w:val="es-AR"/>
        </w:rPr>
        <w:t xml:space="preserve">en cuanto a la petición </w:t>
      </w:r>
      <w:r w:rsidR="009F73DE" w:rsidRPr="00F84AB1">
        <w:rPr>
          <w:rFonts w:asciiTheme="majorHAnsi" w:hAnsiTheme="majorHAnsi"/>
          <w:sz w:val="20"/>
          <w:szCs w:val="20"/>
          <w:lang w:val="es-ES"/>
        </w:rPr>
        <w:t>presentada por la AFDD,</w:t>
      </w:r>
      <w:r w:rsidR="00012631" w:rsidRPr="00F84AB1">
        <w:rPr>
          <w:rFonts w:asciiTheme="majorHAnsi" w:hAnsiTheme="majorHAnsi"/>
          <w:sz w:val="20"/>
          <w:szCs w:val="20"/>
          <w:lang w:val="es-ES"/>
        </w:rPr>
        <w:t xml:space="preserve"> </w:t>
      </w:r>
      <w:r w:rsidR="009F73DE" w:rsidRPr="00F84AB1">
        <w:rPr>
          <w:rFonts w:asciiTheme="majorHAnsi" w:hAnsiTheme="majorHAnsi"/>
          <w:sz w:val="20"/>
          <w:szCs w:val="20"/>
          <w:lang w:val="es-ES"/>
        </w:rPr>
        <w:t>fue recibida el 28 de enero de 2008</w:t>
      </w:r>
      <w:r w:rsidR="00012631" w:rsidRPr="00F84AB1">
        <w:rPr>
          <w:rFonts w:asciiTheme="majorHAnsi" w:hAnsiTheme="majorHAnsi"/>
          <w:sz w:val="20"/>
          <w:szCs w:val="20"/>
          <w:lang w:val="es-ES"/>
        </w:rPr>
        <w:t xml:space="preserve"> </w:t>
      </w:r>
      <w:r w:rsidR="009F73DE" w:rsidRPr="00F84AB1">
        <w:rPr>
          <w:rFonts w:asciiTheme="majorHAnsi" w:hAnsiTheme="majorHAnsi"/>
          <w:sz w:val="20"/>
          <w:szCs w:val="20"/>
          <w:lang w:val="es-ES"/>
        </w:rPr>
        <w:t>y los presuntos hechos materia del reclamo tuvieron lugar el 30 de julio de 2007</w:t>
      </w:r>
      <w:r w:rsidR="001E5795" w:rsidRPr="00F84AB1">
        <w:rPr>
          <w:rFonts w:asciiTheme="majorHAnsi" w:hAnsiTheme="majorHAnsi"/>
          <w:sz w:val="20"/>
          <w:szCs w:val="20"/>
          <w:lang w:val="es-ES"/>
        </w:rPr>
        <w:t>. R</w:t>
      </w:r>
      <w:r w:rsidR="00CA15DA" w:rsidRPr="00F84AB1">
        <w:rPr>
          <w:rFonts w:asciiTheme="majorHAnsi" w:hAnsiTheme="majorHAnsi"/>
          <w:color w:val="auto"/>
          <w:sz w:val="20"/>
          <w:szCs w:val="20"/>
          <w:lang w:val="es-AR"/>
        </w:rPr>
        <w:t xml:space="preserve">especto de la denuncia recibida </w:t>
      </w:r>
      <w:r w:rsidRPr="00F84AB1">
        <w:rPr>
          <w:rFonts w:asciiTheme="majorHAnsi" w:hAnsiTheme="majorHAnsi"/>
          <w:color w:val="auto"/>
          <w:sz w:val="20"/>
          <w:szCs w:val="20"/>
          <w:lang w:val="es-AR"/>
        </w:rPr>
        <w:t xml:space="preserve">el </w:t>
      </w:r>
      <w:r w:rsidR="00CA15DA" w:rsidRPr="00F84AB1">
        <w:rPr>
          <w:rFonts w:asciiTheme="majorHAnsi" w:hAnsiTheme="majorHAnsi"/>
          <w:color w:val="auto"/>
          <w:sz w:val="20"/>
          <w:szCs w:val="20"/>
          <w:lang w:val="es-AR"/>
        </w:rPr>
        <w:t>3 de marzo de 2008</w:t>
      </w:r>
      <w:r w:rsidR="009D7861" w:rsidRPr="00F84AB1">
        <w:rPr>
          <w:rFonts w:asciiTheme="majorHAnsi" w:hAnsiTheme="majorHAnsi"/>
          <w:color w:val="auto"/>
          <w:sz w:val="20"/>
          <w:szCs w:val="20"/>
          <w:lang w:val="es-AR"/>
        </w:rPr>
        <w:t>,</w:t>
      </w:r>
      <w:r w:rsidR="00CA15DA" w:rsidRPr="00F84AB1">
        <w:rPr>
          <w:rFonts w:asciiTheme="majorHAnsi" w:hAnsiTheme="majorHAnsi"/>
          <w:color w:val="auto"/>
          <w:sz w:val="20"/>
          <w:szCs w:val="20"/>
          <w:lang w:val="es-AR"/>
        </w:rPr>
        <w:t xml:space="preserve"> los presuntos hechos materia del reclamo tuvieron lugar el</w:t>
      </w:r>
      <w:r w:rsidR="00012631" w:rsidRPr="00F84AB1">
        <w:rPr>
          <w:rFonts w:asciiTheme="majorHAnsi" w:hAnsiTheme="majorHAnsi"/>
          <w:color w:val="auto"/>
          <w:sz w:val="20"/>
          <w:szCs w:val="20"/>
          <w:lang w:val="es-AR"/>
        </w:rPr>
        <w:t xml:space="preserve"> </w:t>
      </w:r>
      <w:r w:rsidR="00CA15DA" w:rsidRPr="00F84AB1">
        <w:rPr>
          <w:rFonts w:asciiTheme="majorHAnsi" w:hAnsiTheme="majorHAnsi"/>
          <w:color w:val="auto"/>
          <w:sz w:val="20"/>
          <w:szCs w:val="20"/>
          <w:lang w:val="es-AR"/>
        </w:rPr>
        <w:t>5 de septiembre de 2007</w:t>
      </w:r>
      <w:r w:rsidR="009D7861" w:rsidRPr="00F84AB1">
        <w:rPr>
          <w:rFonts w:asciiTheme="majorHAnsi" w:hAnsiTheme="majorHAnsi"/>
          <w:color w:val="auto"/>
          <w:sz w:val="20"/>
          <w:szCs w:val="20"/>
          <w:lang w:val="es-AR"/>
        </w:rPr>
        <w:t>. Respecto de la denuncia recibida el 26 de junio de 2008, los presuntos hechos materia del reclamo tuvieron lugar el</w:t>
      </w:r>
      <w:r w:rsidR="00012631" w:rsidRPr="00F84AB1">
        <w:rPr>
          <w:rFonts w:asciiTheme="majorHAnsi" w:hAnsiTheme="majorHAnsi"/>
          <w:color w:val="auto"/>
          <w:sz w:val="20"/>
          <w:szCs w:val="20"/>
          <w:lang w:val="es-AR"/>
        </w:rPr>
        <w:t xml:space="preserve"> </w:t>
      </w:r>
      <w:r w:rsidR="009D7861" w:rsidRPr="00F84AB1">
        <w:rPr>
          <w:rFonts w:asciiTheme="majorHAnsi" w:hAnsiTheme="majorHAnsi"/>
          <w:color w:val="auto"/>
          <w:sz w:val="20"/>
          <w:szCs w:val="20"/>
          <w:lang w:val="es-AR"/>
        </w:rPr>
        <w:t xml:space="preserve">27 de diciembre de 2007. </w:t>
      </w:r>
      <w:r w:rsidR="001105AA" w:rsidRPr="00F84AB1">
        <w:rPr>
          <w:rFonts w:asciiTheme="majorHAnsi" w:hAnsiTheme="majorHAnsi"/>
          <w:color w:val="auto"/>
          <w:sz w:val="20"/>
          <w:szCs w:val="20"/>
          <w:lang w:val="es-AR"/>
        </w:rPr>
        <w:t>Respecto de la denuncia recibida el 10 de junio de 2009, los presuntos hechos materia del reclamo tuvieron l</w:t>
      </w:r>
      <w:r w:rsidR="00A51220" w:rsidRPr="00F84AB1">
        <w:rPr>
          <w:rFonts w:asciiTheme="majorHAnsi" w:hAnsiTheme="majorHAnsi"/>
          <w:color w:val="auto"/>
          <w:sz w:val="20"/>
          <w:szCs w:val="20"/>
          <w:lang w:val="es-AR"/>
        </w:rPr>
        <w:t>ugar el</w:t>
      </w:r>
      <w:r w:rsidR="00012631" w:rsidRPr="00F84AB1">
        <w:rPr>
          <w:rFonts w:asciiTheme="majorHAnsi" w:hAnsiTheme="majorHAnsi"/>
          <w:color w:val="auto"/>
          <w:sz w:val="20"/>
          <w:szCs w:val="20"/>
          <w:lang w:val="es-AR"/>
        </w:rPr>
        <w:t xml:space="preserve"> </w:t>
      </w:r>
      <w:r w:rsidR="00A51220" w:rsidRPr="00F84AB1">
        <w:rPr>
          <w:rFonts w:asciiTheme="majorHAnsi" w:hAnsiTheme="majorHAnsi"/>
          <w:color w:val="auto"/>
          <w:sz w:val="20"/>
          <w:szCs w:val="20"/>
          <w:lang w:val="es-AR"/>
        </w:rPr>
        <w:t>11 de diciembre de 2008</w:t>
      </w:r>
      <w:r w:rsidR="001105AA" w:rsidRPr="00F84AB1">
        <w:rPr>
          <w:rFonts w:asciiTheme="majorHAnsi" w:hAnsiTheme="majorHAnsi"/>
          <w:color w:val="auto"/>
          <w:sz w:val="20"/>
          <w:szCs w:val="20"/>
          <w:lang w:val="es-AR"/>
        </w:rPr>
        <w:t>. Respecto de la denuncia recibida el 24 de junio de 2009, los presuntos hechos materia del reclamo tuvieron lugar el</w:t>
      </w:r>
      <w:r w:rsidR="00012631" w:rsidRPr="00F84AB1">
        <w:rPr>
          <w:rFonts w:asciiTheme="majorHAnsi" w:hAnsiTheme="majorHAnsi"/>
          <w:color w:val="auto"/>
          <w:sz w:val="20"/>
          <w:szCs w:val="20"/>
          <w:lang w:val="es-AR"/>
        </w:rPr>
        <w:t xml:space="preserve"> </w:t>
      </w:r>
      <w:r w:rsidR="001105AA" w:rsidRPr="00F84AB1">
        <w:rPr>
          <w:rFonts w:asciiTheme="majorHAnsi" w:hAnsiTheme="majorHAnsi"/>
          <w:color w:val="auto"/>
          <w:sz w:val="20"/>
          <w:szCs w:val="20"/>
          <w:lang w:val="es-ES"/>
        </w:rPr>
        <w:t>24 diciembre de 2008. Respecto de la denuncia recibida el 4 de marzo de 2010, los presuntos hechos materia del reclamo tuvieron lugar el</w:t>
      </w:r>
      <w:r w:rsidR="00012631" w:rsidRPr="00F84AB1">
        <w:rPr>
          <w:rFonts w:asciiTheme="majorHAnsi" w:hAnsiTheme="majorHAnsi"/>
          <w:color w:val="auto"/>
          <w:sz w:val="20"/>
          <w:szCs w:val="20"/>
          <w:lang w:val="es-ES"/>
        </w:rPr>
        <w:t xml:space="preserve"> </w:t>
      </w:r>
      <w:r w:rsidR="001105AA" w:rsidRPr="00F84AB1">
        <w:rPr>
          <w:rFonts w:asciiTheme="majorHAnsi" w:hAnsiTheme="majorHAnsi"/>
          <w:color w:val="auto"/>
          <w:sz w:val="20"/>
          <w:szCs w:val="20"/>
          <w:lang w:val="es-ES"/>
        </w:rPr>
        <w:t>10 de septiembre de 2009</w:t>
      </w:r>
      <w:r w:rsidR="000545D6" w:rsidRPr="00F84AB1">
        <w:rPr>
          <w:rFonts w:asciiTheme="majorHAnsi" w:hAnsiTheme="majorHAnsi"/>
          <w:color w:val="auto"/>
          <w:sz w:val="20"/>
          <w:szCs w:val="20"/>
          <w:lang w:val="es-ES"/>
        </w:rPr>
        <w:t xml:space="preserve">. </w:t>
      </w:r>
      <w:r w:rsidR="000545D6" w:rsidRPr="00F84AB1">
        <w:rPr>
          <w:rFonts w:asciiTheme="majorHAnsi" w:hAnsiTheme="majorHAnsi"/>
          <w:color w:val="auto"/>
          <w:sz w:val="20"/>
          <w:szCs w:val="20"/>
          <w:lang w:val="es-AR"/>
        </w:rPr>
        <w:t>Respecto de la denuncia recibida el 20 de enero de 2010, los presuntos hechos materia del reclamo tuvieron lugar el</w:t>
      </w:r>
      <w:r w:rsidR="00012631" w:rsidRPr="00F84AB1">
        <w:rPr>
          <w:rFonts w:asciiTheme="majorHAnsi" w:hAnsiTheme="majorHAnsi"/>
          <w:color w:val="auto"/>
          <w:sz w:val="20"/>
          <w:szCs w:val="20"/>
          <w:lang w:val="es-AR"/>
        </w:rPr>
        <w:t xml:space="preserve"> </w:t>
      </w:r>
      <w:r w:rsidR="000545D6" w:rsidRPr="00F84AB1">
        <w:rPr>
          <w:rFonts w:asciiTheme="majorHAnsi" w:hAnsiTheme="majorHAnsi"/>
          <w:color w:val="auto"/>
          <w:sz w:val="20"/>
          <w:szCs w:val="20"/>
          <w:lang w:val="es-ES"/>
        </w:rPr>
        <w:t>23</w:t>
      </w:r>
      <w:r w:rsidR="00834904" w:rsidRPr="00F84AB1">
        <w:rPr>
          <w:rFonts w:asciiTheme="majorHAnsi" w:hAnsiTheme="majorHAnsi"/>
          <w:color w:val="auto"/>
          <w:sz w:val="20"/>
          <w:szCs w:val="20"/>
          <w:lang w:val="es-ES"/>
        </w:rPr>
        <w:t xml:space="preserve"> </w:t>
      </w:r>
      <w:r w:rsidR="000545D6" w:rsidRPr="00F84AB1">
        <w:rPr>
          <w:rFonts w:asciiTheme="majorHAnsi" w:hAnsiTheme="majorHAnsi"/>
          <w:color w:val="auto"/>
          <w:sz w:val="20"/>
          <w:szCs w:val="20"/>
          <w:lang w:val="es-ES"/>
        </w:rPr>
        <w:t>de julio 2009</w:t>
      </w:r>
      <w:r w:rsidR="00834904" w:rsidRPr="00F84AB1">
        <w:rPr>
          <w:rFonts w:asciiTheme="majorHAnsi" w:hAnsiTheme="majorHAnsi"/>
          <w:color w:val="auto"/>
          <w:sz w:val="20"/>
          <w:szCs w:val="20"/>
          <w:lang w:val="es-ES"/>
        </w:rPr>
        <w:t xml:space="preserve">. Respecto de la denuncia recibida el </w:t>
      </w:r>
      <w:r w:rsidR="00834904" w:rsidRPr="00F84AB1">
        <w:rPr>
          <w:rFonts w:asciiTheme="majorHAnsi" w:hAnsiTheme="majorHAnsi"/>
          <w:color w:val="auto"/>
          <w:sz w:val="20"/>
          <w:szCs w:val="20"/>
          <w:lang w:val="es-AR"/>
        </w:rPr>
        <w:t>12 de febrero de 2010</w:t>
      </w:r>
      <w:r w:rsidR="00834904" w:rsidRPr="00F84AB1">
        <w:rPr>
          <w:rFonts w:asciiTheme="majorHAnsi" w:hAnsiTheme="majorHAnsi"/>
          <w:color w:val="auto"/>
          <w:sz w:val="20"/>
          <w:szCs w:val="20"/>
          <w:lang w:val="es-ES"/>
        </w:rPr>
        <w:t>, los presuntos hechos materia del reclamo tuvieron lugar el</w:t>
      </w:r>
      <w:r w:rsidR="00012631" w:rsidRPr="00F84AB1">
        <w:rPr>
          <w:rFonts w:asciiTheme="majorHAnsi" w:hAnsiTheme="majorHAnsi"/>
          <w:color w:val="auto"/>
          <w:sz w:val="20"/>
          <w:szCs w:val="20"/>
          <w:lang w:val="es-ES"/>
        </w:rPr>
        <w:t xml:space="preserve"> </w:t>
      </w:r>
      <w:r w:rsidR="00834904" w:rsidRPr="00F84AB1">
        <w:rPr>
          <w:rFonts w:asciiTheme="majorHAnsi" w:hAnsiTheme="majorHAnsi"/>
          <w:color w:val="auto"/>
          <w:sz w:val="20"/>
          <w:szCs w:val="20"/>
          <w:lang w:val="es-ES"/>
        </w:rPr>
        <w:t>13 de agosto de 2009.</w:t>
      </w:r>
      <w:r w:rsidR="007A519A" w:rsidRPr="00F84AB1">
        <w:rPr>
          <w:rFonts w:asciiTheme="majorHAnsi" w:hAnsiTheme="majorHAnsi"/>
          <w:color w:val="auto"/>
          <w:sz w:val="20"/>
          <w:szCs w:val="20"/>
          <w:lang w:val="es-ES"/>
        </w:rPr>
        <w:t xml:space="preserve"> </w:t>
      </w:r>
      <w:r w:rsidR="007A519A" w:rsidRPr="00F84AB1">
        <w:rPr>
          <w:rFonts w:asciiTheme="majorHAnsi" w:hAnsiTheme="majorHAnsi"/>
          <w:color w:val="auto"/>
          <w:sz w:val="20"/>
          <w:szCs w:val="20"/>
          <w:lang w:val="es-AR"/>
        </w:rPr>
        <w:t xml:space="preserve">Respecto de la denuncia recibida el 25 de marzo de 2010, los presuntos hechos materia del reclamo tuvieron lugar el </w:t>
      </w:r>
      <w:r w:rsidR="007A519A" w:rsidRPr="00F84AB1">
        <w:rPr>
          <w:rFonts w:asciiTheme="majorHAnsi" w:hAnsiTheme="majorHAnsi"/>
          <w:color w:val="auto"/>
          <w:sz w:val="20"/>
          <w:szCs w:val="20"/>
          <w:lang w:val="es-ES"/>
        </w:rPr>
        <w:t xml:space="preserve">29 de septiembre de 2009. </w:t>
      </w:r>
      <w:r w:rsidR="007A519A" w:rsidRPr="00F84AB1">
        <w:rPr>
          <w:rFonts w:asciiTheme="majorHAnsi" w:hAnsiTheme="majorHAnsi"/>
          <w:color w:val="auto"/>
          <w:sz w:val="20"/>
          <w:szCs w:val="20"/>
          <w:lang w:val="es-AR"/>
        </w:rPr>
        <w:t>Respecto de la denuncia recibida el 1 de junio de 2010, los presuntos hechos materia del reclamo tuvieron lugar el</w:t>
      </w:r>
      <w:r w:rsidR="00012631" w:rsidRPr="00F84AB1">
        <w:rPr>
          <w:rFonts w:asciiTheme="majorHAnsi" w:hAnsiTheme="majorHAnsi"/>
          <w:color w:val="auto"/>
          <w:sz w:val="20"/>
          <w:szCs w:val="20"/>
          <w:lang w:val="es-AR"/>
        </w:rPr>
        <w:t xml:space="preserve"> </w:t>
      </w:r>
      <w:r w:rsidR="007A519A" w:rsidRPr="00F84AB1">
        <w:rPr>
          <w:rFonts w:asciiTheme="majorHAnsi" w:hAnsiTheme="majorHAnsi"/>
          <w:color w:val="auto"/>
          <w:sz w:val="20"/>
          <w:szCs w:val="20"/>
          <w:lang w:val="es-ES"/>
        </w:rPr>
        <w:t xml:space="preserve">2 de diciembre de 2009. </w:t>
      </w:r>
      <w:r w:rsidR="007A519A" w:rsidRPr="00F84AB1">
        <w:rPr>
          <w:rFonts w:asciiTheme="majorHAnsi" w:hAnsiTheme="majorHAnsi"/>
          <w:color w:val="auto"/>
          <w:sz w:val="20"/>
          <w:szCs w:val="20"/>
          <w:lang w:val="es-AR"/>
        </w:rPr>
        <w:t xml:space="preserve">Respecto de la denuncia recibida el 23 de junio de 2010, los presuntos hechos materia del reclamo tuvieron lugar el </w:t>
      </w:r>
      <w:r w:rsidR="007A519A" w:rsidRPr="00F84AB1">
        <w:rPr>
          <w:rFonts w:asciiTheme="majorHAnsi" w:hAnsiTheme="majorHAnsi"/>
          <w:color w:val="auto"/>
          <w:sz w:val="20"/>
          <w:szCs w:val="20"/>
          <w:lang w:val="es-ES"/>
        </w:rPr>
        <w:t xml:space="preserve">23 de diciembre de 2009. </w:t>
      </w:r>
      <w:r w:rsidR="007A519A" w:rsidRPr="00F84AB1">
        <w:rPr>
          <w:rFonts w:asciiTheme="majorHAnsi" w:hAnsiTheme="majorHAnsi"/>
          <w:color w:val="auto"/>
          <w:sz w:val="20"/>
          <w:szCs w:val="20"/>
          <w:lang w:val="es-AR"/>
        </w:rPr>
        <w:t xml:space="preserve">Respecto de la denuncia recibida el </w:t>
      </w:r>
      <w:r w:rsidR="00693DBA" w:rsidRPr="00F84AB1">
        <w:rPr>
          <w:rFonts w:asciiTheme="majorHAnsi" w:hAnsiTheme="majorHAnsi"/>
          <w:color w:val="auto"/>
          <w:sz w:val="20"/>
          <w:szCs w:val="20"/>
          <w:lang w:val="es-AR"/>
        </w:rPr>
        <w:t>20 de julio de 2010</w:t>
      </w:r>
      <w:r w:rsidR="007A519A" w:rsidRPr="00F84AB1">
        <w:rPr>
          <w:rFonts w:asciiTheme="majorHAnsi" w:hAnsiTheme="majorHAnsi"/>
          <w:color w:val="auto"/>
          <w:sz w:val="20"/>
          <w:szCs w:val="20"/>
          <w:lang w:val="es-AR"/>
        </w:rPr>
        <w:t xml:space="preserve">, los presuntos hechos materia del reclamo </w:t>
      </w:r>
      <w:r w:rsidR="00693DBA" w:rsidRPr="00F84AB1">
        <w:rPr>
          <w:rFonts w:asciiTheme="majorHAnsi" w:hAnsiTheme="majorHAnsi"/>
          <w:color w:val="auto"/>
          <w:sz w:val="20"/>
          <w:szCs w:val="20"/>
          <w:lang w:val="es-AR"/>
        </w:rPr>
        <w:t xml:space="preserve">tuvieron lugar el </w:t>
      </w:r>
      <w:r w:rsidR="007A519A" w:rsidRPr="00F84AB1">
        <w:rPr>
          <w:rFonts w:asciiTheme="majorHAnsi" w:hAnsiTheme="majorHAnsi"/>
          <w:color w:val="auto"/>
          <w:sz w:val="20"/>
          <w:szCs w:val="20"/>
          <w:lang w:val="es-AR"/>
        </w:rPr>
        <w:t>25 de enero de 2010</w:t>
      </w:r>
      <w:r w:rsidR="00693DBA" w:rsidRPr="00F84AB1">
        <w:rPr>
          <w:rFonts w:asciiTheme="majorHAnsi" w:hAnsiTheme="majorHAnsi"/>
          <w:color w:val="auto"/>
          <w:sz w:val="20"/>
          <w:szCs w:val="20"/>
          <w:lang w:val="es-AR"/>
        </w:rPr>
        <w:t>. Finalmente, respecto de las denuncias recibidas el 16 de agosto de 2010, los presuntos hechos materia del reclamo tuvieron lugar los días 14 de abril y 18 de mayo de 2010.</w:t>
      </w:r>
      <w:r w:rsidR="00EC6630" w:rsidRPr="00F84AB1">
        <w:rPr>
          <w:rFonts w:asciiTheme="majorHAnsi" w:hAnsiTheme="majorHAnsi"/>
          <w:color w:val="auto"/>
          <w:sz w:val="20"/>
          <w:szCs w:val="20"/>
          <w:lang w:val="es-AR"/>
        </w:rPr>
        <w:t xml:space="preserve"> </w:t>
      </w:r>
    </w:p>
    <w:p w:rsidR="00A07DBD" w:rsidRPr="00F84AB1" w:rsidRDefault="00A07DBD" w:rsidP="00A07DB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7D286D" w:rsidRPr="00F84AB1" w:rsidRDefault="00A43FC7" w:rsidP="00C644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UY"/>
        </w:rPr>
      </w:pPr>
      <w:r w:rsidRPr="00F84AB1">
        <w:rPr>
          <w:rFonts w:asciiTheme="majorHAnsi" w:hAnsiTheme="majorHAnsi"/>
          <w:sz w:val="20"/>
          <w:szCs w:val="20"/>
          <w:lang w:val="es-ES"/>
        </w:rPr>
        <w:t>Por lo tanto, la Comisión concluye que</w:t>
      </w:r>
      <w:r w:rsidR="0007318B" w:rsidRPr="00F84AB1">
        <w:rPr>
          <w:rFonts w:asciiTheme="majorHAnsi" w:hAnsiTheme="majorHAnsi"/>
          <w:sz w:val="20"/>
          <w:szCs w:val="20"/>
          <w:lang w:val="es-ES"/>
        </w:rPr>
        <w:t xml:space="preserve"> todos los asuntos fueron presentados dentro de plazo, por lo que se </w:t>
      </w:r>
      <w:r w:rsidRPr="00F84AB1">
        <w:rPr>
          <w:rFonts w:asciiTheme="majorHAnsi" w:hAnsiTheme="majorHAnsi"/>
          <w:sz w:val="20"/>
          <w:szCs w:val="20"/>
          <w:lang w:val="es-ES"/>
        </w:rPr>
        <w:t xml:space="preserve">cumple el requisito establecido en el artículo </w:t>
      </w:r>
      <w:r w:rsidRPr="00F84AB1">
        <w:rPr>
          <w:rFonts w:asciiTheme="majorHAnsi" w:hAnsiTheme="majorHAnsi"/>
          <w:color w:val="auto"/>
          <w:sz w:val="20"/>
          <w:szCs w:val="20"/>
          <w:lang w:val="es-ES"/>
        </w:rPr>
        <w:t>46.1.b de la Convención.</w:t>
      </w:r>
    </w:p>
    <w:p w:rsidR="00547D7F" w:rsidRPr="00F84AB1" w:rsidRDefault="00547D7F"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Pr="00F84AB1" w:rsidRDefault="0063685A" w:rsidP="00C64463">
      <w:pPr>
        <w:spacing w:after="240"/>
        <w:ind w:left="720"/>
        <w:jc w:val="both"/>
        <w:rPr>
          <w:rFonts w:asciiTheme="majorHAnsi" w:hAnsiTheme="majorHAnsi"/>
          <w:b/>
          <w:bCs/>
          <w:sz w:val="20"/>
          <w:szCs w:val="20"/>
          <w:lang w:val="es-UY"/>
        </w:rPr>
      </w:pPr>
      <w:r w:rsidRPr="00F84AB1">
        <w:rPr>
          <w:rFonts w:asciiTheme="majorHAnsi" w:hAnsiTheme="majorHAnsi"/>
          <w:b/>
          <w:bCs/>
          <w:sz w:val="20"/>
          <w:szCs w:val="20"/>
          <w:lang w:val="es-UY"/>
        </w:rPr>
        <w:t>3.</w:t>
      </w:r>
      <w:r w:rsidRPr="00F84AB1">
        <w:rPr>
          <w:rFonts w:asciiTheme="majorHAnsi" w:hAnsiTheme="majorHAnsi"/>
          <w:b/>
          <w:bCs/>
          <w:sz w:val="20"/>
          <w:szCs w:val="20"/>
          <w:lang w:val="es-UY"/>
        </w:rPr>
        <w:tab/>
        <w:t>Duplicación de procedimientos y cosa juzgada</w:t>
      </w:r>
      <w:r w:rsidRPr="00F84AB1">
        <w:rPr>
          <w:rFonts w:asciiTheme="majorHAnsi" w:hAnsiTheme="majorHAnsi"/>
          <w:b/>
          <w:bCs/>
          <w:i/>
          <w:sz w:val="20"/>
          <w:szCs w:val="20"/>
          <w:lang w:val="es-UY"/>
        </w:rPr>
        <w:t xml:space="preserve"> </w:t>
      </w:r>
      <w:r w:rsidRPr="00F84AB1">
        <w:rPr>
          <w:rFonts w:asciiTheme="majorHAnsi" w:hAnsiTheme="majorHAnsi"/>
          <w:b/>
          <w:bCs/>
          <w:sz w:val="20"/>
          <w:szCs w:val="20"/>
          <w:lang w:val="es-UY"/>
        </w:rPr>
        <w:t>internacional</w:t>
      </w:r>
    </w:p>
    <w:p w:rsidR="0063685A" w:rsidRPr="00F84AB1" w:rsidRDefault="0063685A" w:rsidP="00C644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F84AB1">
        <w:rPr>
          <w:rFonts w:asciiTheme="majorHAnsi" w:hAnsiTheme="majorHAnsi"/>
          <w:sz w:val="20"/>
          <w:szCs w:val="20"/>
          <w:lang w:val="es-UY"/>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w:t>
      </w:r>
      <w:r w:rsidR="008B31B8" w:rsidRPr="00F84AB1">
        <w:rPr>
          <w:rFonts w:asciiTheme="majorHAnsi" w:hAnsiTheme="majorHAnsi"/>
          <w:sz w:val="20"/>
          <w:szCs w:val="20"/>
          <w:lang w:val="es-UY"/>
        </w:rPr>
        <w:t>.</w:t>
      </w:r>
      <w:r w:rsidRPr="00F84AB1">
        <w:rPr>
          <w:rFonts w:asciiTheme="majorHAnsi" w:hAnsiTheme="majorHAnsi"/>
          <w:sz w:val="20"/>
          <w:szCs w:val="20"/>
          <w:lang w:val="es-UY"/>
        </w:rPr>
        <w:t>1</w:t>
      </w:r>
      <w:r w:rsidR="008B31B8" w:rsidRPr="00F84AB1">
        <w:rPr>
          <w:rFonts w:asciiTheme="majorHAnsi" w:hAnsiTheme="majorHAnsi"/>
          <w:sz w:val="20"/>
          <w:szCs w:val="20"/>
          <w:lang w:val="es-UY"/>
        </w:rPr>
        <w:t>.</w:t>
      </w:r>
      <w:r w:rsidRPr="00F84AB1">
        <w:rPr>
          <w:rFonts w:asciiTheme="majorHAnsi" w:hAnsiTheme="majorHAnsi"/>
          <w:sz w:val="20"/>
          <w:szCs w:val="20"/>
          <w:lang w:val="es-UY"/>
        </w:rPr>
        <w:t>c y 47</w:t>
      </w:r>
      <w:r w:rsidR="008B31B8" w:rsidRPr="00F84AB1">
        <w:rPr>
          <w:rFonts w:asciiTheme="majorHAnsi" w:hAnsiTheme="majorHAnsi"/>
          <w:sz w:val="20"/>
          <w:szCs w:val="20"/>
          <w:lang w:val="es-UY"/>
        </w:rPr>
        <w:t>.</w:t>
      </w:r>
      <w:r w:rsidRPr="00F84AB1">
        <w:rPr>
          <w:rFonts w:asciiTheme="majorHAnsi" w:hAnsiTheme="majorHAnsi"/>
          <w:sz w:val="20"/>
          <w:szCs w:val="20"/>
          <w:lang w:val="es-UY"/>
        </w:rPr>
        <w:t>d de la Convención.</w:t>
      </w:r>
    </w:p>
    <w:p w:rsidR="00547D7F" w:rsidRPr="00F84AB1" w:rsidRDefault="00547D7F"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Pr="00F84AB1" w:rsidRDefault="0063685A" w:rsidP="00C64463">
      <w:pPr>
        <w:spacing w:after="240"/>
        <w:ind w:left="720"/>
        <w:jc w:val="both"/>
        <w:rPr>
          <w:rFonts w:asciiTheme="majorHAnsi" w:hAnsiTheme="majorHAnsi"/>
          <w:b/>
          <w:bCs/>
          <w:sz w:val="20"/>
          <w:szCs w:val="20"/>
          <w:lang w:val="es-UY"/>
        </w:rPr>
      </w:pPr>
      <w:r w:rsidRPr="00F84AB1">
        <w:rPr>
          <w:rFonts w:asciiTheme="majorHAnsi" w:hAnsiTheme="majorHAnsi"/>
          <w:b/>
          <w:bCs/>
          <w:sz w:val="20"/>
          <w:szCs w:val="20"/>
          <w:lang w:val="es-UY"/>
        </w:rPr>
        <w:t>4.</w:t>
      </w:r>
      <w:r w:rsidRPr="00F84AB1">
        <w:rPr>
          <w:rFonts w:asciiTheme="majorHAnsi" w:hAnsiTheme="majorHAnsi"/>
          <w:b/>
          <w:bCs/>
          <w:sz w:val="20"/>
          <w:szCs w:val="20"/>
          <w:lang w:val="es-UY"/>
        </w:rPr>
        <w:tab/>
        <w:t>Caracterización de los hechos alegados</w:t>
      </w:r>
    </w:p>
    <w:p w:rsidR="009F0B9A" w:rsidRPr="00F84AB1" w:rsidRDefault="0063685A" w:rsidP="007B5C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F84AB1">
        <w:rPr>
          <w:rFonts w:asciiTheme="majorHAnsi" w:hAnsiTheme="majorHAnsi"/>
          <w:sz w:val="20"/>
          <w:szCs w:val="20"/>
          <w:lang w:val="es-UY"/>
        </w:rPr>
        <w:t>A los efectos de la admisibilidad, la Comisión debe decidir si los hechos alegados pueden caracterizar una violación de derechos, según lo estipulado en el artículo 47</w:t>
      </w:r>
      <w:r w:rsidR="007B5C28" w:rsidRPr="00F84AB1">
        <w:rPr>
          <w:rFonts w:asciiTheme="majorHAnsi" w:hAnsiTheme="majorHAnsi"/>
          <w:sz w:val="20"/>
          <w:szCs w:val="20"/>
          <w:lang w:val="es-UY"/>
        </w:rPr>
        <w:t>.</w:t>
      </w:r>
      <w:r w:rsidRPr="00F84AB1">
        <w:rPr>
          <w:rFonts w:asciiTheme="majorHAnsi" w:hAnsiTheme="majorHAnsi"/>
          <w:sz w:val="20"/>
          <w:szCs w:val="20"/>
          <w:lang w:val="es-UY"/>
        </w:rPr>
        <w:t>b de la Convención Americana, o si la petición es "manifiestamente infundada" o es "evidente su total improcedencia", conforme al inciso (c) de dicho artículo.</w:t>
      </w:r>
      <w:r w:rsidR="00012631" w:rsidRPr="00F84AB1">
        <w:rPr>
          <w:rFonts w:asciiTheme="majorHAnsi" w:hAnsiTheme="majorHAnsi"/>
          <w:sz w:val="20"/>
          <w:szCs w:val="20"/>
          <w:lang w:val="es-UY"/>
        </w:rPr>
        <w:t xml:space="preserve"> </w:t>
      </w:r>
      <w:r w:rsidRPr="00F84AB1">
        <w:rPr>
          <w:rFonts w:asciiTheme="majorHAnsi" w:hAnsiTheme="majorHAnsi"/>
          <w:sz w:val="20"/>
          <w:szCs w:val="20"/>
          <w:lang w:val="es-UY"/>
        </w:rPr>
        <w:t xml:space="preserve">El criterio para analizar la admisibilidad difiere del utilizado para el análisis del fondo de la petición dado que la Comisión sólo realiza un análisis </w:t>
      </w:r>
      <w:r w:rsidRPr="00F84AB1">
        <w:rPr>
          <w:rFonts w:asciiTheme="majorHAnsi" w:hAnsiTheme="majorHAnsi"/>
          <w:i/>
          <w:sz w:val="20"/>
          <w:szCs w:val="20"/>
          <w:lang w:val="es-UY"/>
        </w:rPr>
        <w:t>prima facie</w:t>
      </w:r>
      <w:r w:rsidRPr="00F84AB1">
        <w:rPr>
          <w:rFonts w:asciiTheme="majorHAnsi" w:hAnsiTheme="majorHAnsi"/>
          <w:sz w:val="20"/>
          <w:szCs w:val="20"/>
          <w:lang w:val="es-UY"/>
        </w:rPr>
        <w:t xml:space="preserve"> para determinar si los peticionarios establecen la aparente o posible violación de un derecho garantizado por la </w:t>
      </w:r>
      <w:r w:rsidR="00847102" w:rsidRPr="00F84AB1">
        <w:rPr>
          <w:rFonts w:asciiTheme="majorHAnsi" w:hAnsiTheme="majorHAnsi"/>
          <w:sz w:val="20"/>
          <w:szCs w:val="20"/>
          <w:lang w:val="es-UY"/>
        </w:rPr>
        <w:t>Convención Americana</w:t>
      </w:r>
      <w:r w:rsidRPr="00F84AB1">
        <w:rPr>
          <w:rFonts w:asciiTheme="majorHAnsi" w:hAnsiTheme="majorHAnsi"/>
          <w:sz w:val="20"/>
          <w:szCs w:val="20"/>
          <w:lang w:val="es-UY"/>
        </w:rPr>
        <w:t>. Se trata de un análisis somero que no implica prejuzgar o emitir una opinión preliminar sobre el fondo del asunto.</w:t>
      </w:r>
    </w:p>
    <w:p w:rsidR="007B5C28" w:rsidRPr="00F84AB1" w:rsidRDefault="007B5C28" w:rsidP="007B5C2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9F0B9A" w:rsidRPr="00F84AB1" w:rsidRDefault="009F0B9A" w:rsidP="00C644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F84AB1">
        <w:rPr>
          <w:rFonts w:asciiTheme="majorHAnsi" w:hAnsiTheme="majorHAnsi"/>
          <w:sz w:val="20"/>
          <w:szCs w:val="20"/>
          <w:lang w:val="es-UY"/>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547D7F" w:rsidRPr="00F84AB1" w:rsidRDefault="00547D7F" w:rsidP="00C6446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AD4F43" w:rsidRPr="00F84AB1" w:rsidRDefault="00A26AAF" w:rsidP="00AD4F43">
      <w:pPr>
        <w:numPr>
          <w:ilvl w:val="0"/>
          <w:numId w:val="56"/>
        </w:numPr>
        <w:spacing w:after="240"/>
        <w:jc w:val="both"/>
        <w:rPr>
          <w:rFonts w:asciiTheme="majorHAnsi" w:hAnsiTheme="majorHAnsi" w:cs="Arial"/>
          <w:sz w:val="20"/>
          <w:szCs w:val="20"/>
          <w:lang w:val="es-ES"/>
        </w:rPr>
      </w:pPr>
      <w:r w:rsidRPr="00F84AB1">
        <w:rPr>
          <w:rFonts w:asciiTheme="majorHAnsi" w:hAnsiTheme="majorHAnsi" w:cs="Arial"/>
          <w:sz w:val="20"/>
          <w:szCs w:val="20"/>
          <w:lang w:val="es-ES"/>
        </w:rPr>
        <w:t>Los peticionarios</w:t>
      </w:r>
      <w:r w:rsidR="0087297A" w:rsidRPr="00F84AB1">
        <w:rPr>
          <w:rFonts w:asciiTheme="majorHAnsi" w:hAnsiTheme="majorHAnsi" w:cs="Arial"/>
          <w:sz w:val="20"/>
          <w:szCs w:val="20"/>
          <w:lang w:val="es-ES"/>
        </w:rPr>
        <w:t xml:space="preserve"> </w:t>
      </w:r>
      <w:r w:rsidR="0063685A" w:rsidRPr="00F84AB1">
        <w:rPr>
          <w:rFonts w:asciiTheme="majorHAnsi" w:hAnsiTheme="majorHAnsi" w:cs="Arial"/>
          <w:sz w:val="20"/>
          <w:szCs w:val="20"/>
          <w:lang w:val="es-ES"/>
        </w:rPr>
        <w:t>sostiene</w:t>
      </w:r>
      <w:r w:rsidRPr="00F84AB1">
        <w:rPr>
          <w:rFonts w:asciiTheme="majorHAnsi" w:hAnsiTheme="majorHAnsi" w:cs="Arial"/>
          <w:sz w:val="20"/>
          <w:szCs w:val="20"/>
          <w:lang w:val="es-ES"/>
        </w:rPr>
        <w:t>n</w:t>
      </w:r>
      <w:r w:rsidR="0063685A" w:rsidRPr="00F84AB1">
        <w:rPr>
          <w:rFonts w:asciiTheme="majorHAnsi" w:hAnsiTheme="majorHAnsi" w:cs="Arial"/>
          <w:sz w:val="20"/>
          <w:szCs w:val="20"/>
          <w:lang w:val="es-ES"/>
        </w:rPr>
        <w:t xml:space="preserve"> que</w:t>
      </w:r>
      <w:r w:rsidR="00B30AA5" w:rsidRPr="00F84AB1">
        <w:rPr>
          <w:rFonts w:asciiTheme="majorHAnsi" w:hAnsiTheme="majorHAnsi" w:cs="Arial"/>
          <w:sz w:val="20"/>
          <w:szCs w:val="20"/>
          <w:lang w:val="es-ES"/>
        </w:rPr>
        <w:t xml:space="preserve"> la Corte Suprema, conociendo recursos de casación ejercidos por las partes en el marco de la investigación pen</w:t>
      </w:r>
      <w:r w:rsidR="0082016F" w:rsidRPr="00F84AB1">
        <w:rPr>
          <w:rFonts w:asciiTheme="majorHAnsi" w:hAnsiTheme="majorHAnsi" w:cs="Arial"/>
          <w:sz w:val="20"/>
          <w:szCs w:val="20"/>
          <w:lang w:val="es-ES"/>
        </w:rPr>
        <w:t>al iniciada por la</w:t>
      </w:r>
      <w:r w:rsidR="002F4DBB" w:rsidRPr="00F84AB1">
        <w:rPr>
          <w:rFonts w:asciiTheme="majorHAnsi" w:hAnsiTheme="majorHAnsi" w:cs="Arial"/>
          <w:sz w:val="20"/>
          <w:szCs w:val="20"/>
          <w:lang w:val="es-ES"/>
        </w:rPr>
        <w:t>s torturas,</w:t>
      </w:r>
      <w:r w:rsidR="0082016F" w:rsidRPr="00F84AB1">
        <w:rPr>
          <w:rFonts w:asciiTheme="majorHAnsi" w:hAnsiTheme="majorHAnsi" w:cs="Arial"/>
          <w:sz w:val="20"/>
          <w:szCs w:val="20"/>
          <w:lang w:val="es-ES"/>
        </w:rPr>
        <w:t xml:space="preserve"> </w:t>
      </w:r>
      <w:r w:rsidR="002F4DBB" w:rsidRPr="00F84AB1">
        <w:rPr>
          <w:rFonts w:asciiTheme="majorHAnsi" w:hAnsiTheme="majorHAnsi" w:cs="Arial"/>
          <w:sz w:val="20"/>
          <w:szCs w:val="20"/>
          <w:lang w:val="es-ES"/>
        </w:rPr>
        <w:t>desaparición o</w:t>
      </w:r>
      <w:r w:rsidR="0082016F" w:rsidRPr="00F84AB1">
        <w:rPr>
          <w:rFonts w:asciiTheme="majorHAnsi" w:hAnsiTheme="majorHAnsi" w:cs="Arial"/>
          <w:sz w:val="20"/>
          <w:szCs w:val="20"/>
          <w:lang w:val="es-ES"/>
        </w:rPr>
        <w:t xml:space="preserve"> </w:t>
      </w:r>
      <w:r w:rsidR="005D5C2B" w:rsidRPr="00F84AB1">
        <w:rPr>
          <w:rFonts w:asciiTheme="majorHAnsi" w:hAnsiTheme="majorHAnsi" w:cs="Arial"/>
          <w:sz w:val="20"/>
          <w:szCs w:val="20"/>
          <w:lang w:val="es-ES"/>
        </w:rPr>
        <w:t xml:space="preserve">ejecución </w:t>
      </w:r>
      <w:r w:rsidR="005D5C2B" w:rsidRPr="00F84AB1">
        <w:rPr>
          <w:rFonts w:asciiTheme="majorHAnsi" w:hAnsiTheme="majorHAnsi" w:cs="Arial"/>
          <w:sz w:val="20"/>
          <w:szCs w:val="20"/>
          <w:lang w:val="es-ES"/>
        </w:rPr>
        <w:lastRenderedPageBreak/>
        <w:t>extrajudicial</w:t>
      </w:r>
      <w:r w:rsidR="00FF4669" w:rsidRPr="00F84AB1">
        <w:rPr>
          <w:rFonts w:asciiTheme="majorHAnsi" w:hAnsiTheme="majorHAnsi" w:cs="Arial"/>
          <w:sz w:val="20"/>
          <w:szCs w:val="20"/>
          <w:lang w:val="es-ES"/>
        </w:rPr>
        <w:t xml:space="preserve"> </w:t>
      </w:r>
      <w:r w:rsidR="00B30AA5" w:rsidRPr="00F84AB1">
        <w:rPr>
          <w:rFonts w:asciiTheme="majorHAnsi" w:hAnsiTheme="majorHAnsi" w:cs="Arial"/>
          <w:sz w:val="20"/>
          <w:szCs w:val="20"/>
          <w:lang w:val="es-ES"/>
        </w:rPr>
        <w:t>de la</w:t>
      </w:r>
      <w:r w:rsidR="00070F83" w:rsidRPr="00F84AB1">
        <w:rPr>
          <w:rFonts w:asciiTheme="majorHAnsi" w:hAnsiTheme="majorHAnsi" w:cs="Arial"/>
          <w:sz w:val="20"/>
          <w:szCs w:val="20"/>
          <w:lang w:val="es-ES"/>
        </w:rPr>
        <w:t>s</w:t>
      </w:r>
      <w:r w:rsidR="00B30AA5" w:rsidRPr="00F84AB1">
        <w:rPr>
          <w:rFonts w:asciiTheme="majorHAnsi" w:hAnsiTheme="majorHAnsi" w:cs="Arial"/>
          <w:sz w:val="20"/>
          <w:szCs w:val="20"/>
          <w:lang w:val="es-ES"/>
        </w:rPr>
        <w:t xml:space="preserve"> presunta</w:t>
      </w:r>
      <w:r w:rsidR="00070F83" w:rsidRPr="00F84AB1">
        <w:rPr>
          <w:rFonts w:asciiTheme="majorHAnsi" w:hAnsiTheme="majorHAnsi" w:cs="Arial"/>
          <w:sz w:val="20"/>
          <w:szCs w:val="20"/>
          <w:lang w:val="es-ES"/>
        </w:rPr>
        <w:t>s</w:t>
      </w:r>
      <w:r w:rsidR="00B30AA5" w:rsidRPr="00F84AB1">
        <w:rPr>
          <w:rFonts w:asciiTheme="majorHAnsi" w:hAnsiTheme="majorHAnsi" w:cs="Arial"/>
          <w:sz w:val="20"/>
          <w:szCs w:val="20"/>
          <w:lang w:val="es-ES"/>
        </w:rPr>
        <w:t xml:space="preserve"> víctima</w:t>
      </w:r>
      <w:r w:rsidR="00070F83" w:rsidRPr="00F84AB1">
        <w:rPr>
          <w:rFonts w:asciiTheme="majorHAnsi" w:hAnsiTheme="majorHAnsi" w:cs="Arial"/>
          <w:sz w:val="20"/>
          <w:szCs w:val="20"/>
          <w:lang w:val="es-ES"/>
        </w:rPr>
        <w:t>s</w:t>
      </w:r>
      <w:r w:rsidR="00B30AA5" w:rsidRPr="00F84AB1">
        <w:rPr>
          <w:rFonts w:asciiTheme="majorHAnsi" w:hAnsiTheme="majorHAnsi" w:cs="Arial"/>
          <w:sz w:val="20"/>
          <w:szCs w:val="20"/>
          <w:lang w:val="es-ES"/>
        </w:rPr>
        <w:t xml:space="preserve">, </w:t>
      </w:r>
      <w:r w:rsidR="005D48B3" w:rsidRPr="00F84AB1">
        <w:rPr>
          <w:rFonts w:asciiTheme="majorHAnsi" w:hAnsiTheme="majorHAnsi" w:cs="Arial"/>
          <w:sz w:val="20"/>
          <w:szCs w:val="20"/>
          <w:lang w:val="es-ES"/>
        </w:rPr>
        <w:t xml:space="preserve">en el entendido de que constituyen crímenes de lesa humanidad ocurridos en el contexto de la dictadura militar, </w:t>
      </w:r>
      <w:r w:rsidR="00B30AA5" w:rsidRPr="00F84AB1">
        <w:rPr>
          <w:rFonts w:asciiTheme="majorHAnsi" w:hAnsiTheme="majorHAnsi" w:cs="Arial"/>
          <w:sz w:val="20"/>
          <w:szCs w:val="20"/>
          <w:lang w:val="es-ES"/>
        </w:rPr>
        <w:t>aplic</w:t>
      </w:r>
      <w:r w:rsidR="00DE1943" w:rsidRPr="00F84AB1">
        <w:rPr>
          <w:rFonts w:asciiTheme="majorHAnsi" w:hAnsiTheme="majorHAnsi" w:cs="Arial"/>
          <w:sz w:val="20"/>
          <w:szCs w:val="20"/>
          <w:lang w:val="es-ES"/>
        </w:rPr>
        <w:t>ó</w:t>
      </w:r>
      <w:r w:rsidR="00B30AA5" w:rsidRPr="00F84AB1">
        <w:rPr>
          <w:rFonts w:asciiTheme="majorHAnsi" w:hAnsiTheme="majorHAnsi" w:cs="Arial"/>
          <w:sz w:val="20"/>
          <w:szCs w:val="20"/>
          <w:lang w:val="es-ES"/>
        </w:rPr>
        <w:t xml:space="preserve"> la figura legal </w:t>
      </w:r>
      <w:r w:rsidR="00DE1943" w:rsidRPr="00F84AB1">
        <w:rPr>
          <w:rFonts w:asciiTheme="majorHAnsi" w:hAnsiTheme="majorHAnsi" w:cs="Arial"/>
          <w:sz w:val="20"/>
          <w:szCs w:val="20"/>
          <w:lang w:val="es-ES"/>
        </w:rPr>
        <w:t>estableci</w:t>
      </w:r>
      <w:r w:rsidR="00B30AA5" w:rsidRPr="00F84AB1">
        <w:rPr>
          <w:rFonts w:asciiTheme="majorHAnsi" w:hAnsiTheme="majorHAnsi" w:cs="Arial"/>
          <w:sz w:val="20"/>
          <w:szCs w:val="20"/>
          <w:lang w:val="es-ES"/>
        </w:rPr>
        <w:t>da en el artículo 103 del Código Penal</w:t>
      </w:r>
      <w:r w:rsidR="005D48B3" w:rsidRPr="00F84AB1">
        <w:rPr>
          <w:rFonts w:asciiTheme="majorHAnsi" w:hAnsiTheme="majorHAnsi" w:cs="Arial"/>
          <w:sz w:val="20"/>
          <w:szCs w:val="20"/>
          <w:lang w:val="es-ES"/>
        </w:rPr>
        <w:t xml:space="preserve"> que contempla la media prescripción o prescripción gradual</w:t>
      </w:r>
      <w:r w:rsidR="00B30AA5" w:rsidRPr="00F84AB1">
        <w:rPr>
          <w:rFonts w:asciiTheme="majorHAnsi" w:hAnsiTheme="majorHAnsi" w:cs="Arial"/>
          <w:sz w:val="20"/>
          <w:szCs w:val="20"/>
          <w:lang w:val="es-ES"/>
        </w:rPr>
        <w:t>. Sobre este aspecto, refiere</w:t>
      </w:r>
      <w:r w:rsidRPr="00F84AB1">
        <w:rPr>
          <w:rFonts w:asciiTheme="majorHAnsi" w:hAnsiTheme="majorHAnsi" w:cs="Arial"/>
          <w:sz w:val="20"/>
          <w:szCs w:val="20"/>
          <w:lang w:val="es-ES"/>
        </w:rPr>
        <w:t>n</w:t>
      </w:r>
      <w:r w:rsidR="00B30AA5" w:rsidRPr="00F84AB1">
        <w:rPr>
          <w:rFonts w:asciiTheme="majorHAnsi" w:hAnsiTheme="majorHAnsi" w:cs="Arial"/>
          <w:sz w:val="20"/>
          <w:szCs w:val="20"/>
          <w:lang w:val="es-ES"/>
        </w:rPr>
        <w:t xml:space="preserve"> que la Corte Suprema </w:t>
      </w:r>
      <w:r w:rsidR="00DE1943" w:rsidRPr="00F84AB1">
        <w:rPr>
          <w:rFonts w:asciiTheme="majorHAnsi" w:hAnsiTheme="majorHAnsi" w:cs="Arial"/>
          <w:sz w:val="20"/>
          <w:szCs w:val="20"/>
          <w:lang w:val="es-ES"/>
        </w:rPr>
        <w:t>es</w:t>
      </w:r>
      <w:r w:rsidR="00B30AA5" w:rsidRPr="00F84AB1">
        <w:rPr>
          <w:rFonts w:asciiTheme="majorHAnsi" w:hAnsiTheme="majorHAnsi" w:cs="Arial"/>
          <w:sz w:val="20"/>
          <w:szCs w:val="20"/>
          <w:lang w:val="es-ES"/>
        </w:rPr>
        <w:t xml:space="preserve"> incompetente para conocer como tribunal de instancia, y que al casar de oficio la sentencia se impidió el libre acceso de las víctimas a</w:t>
      </w:r>
      <w:r w:rsidR="00012631" w:rsidRPr="00F84AB1">
        <w:rPr>
          <w:rFonts w:asciiTheme="majorHAnsi" w:hAnsiTheme="majorHAnsi" w:cs="Arial"/>
          <w:sz w:val="20"/>
          <w:szCs w:val="20"/>
          <w:lang w:val="es-ES"/>
        </w:rPr>
        <w:t xml:space="preserve"> </w:t>
      </w:r>
      <w:r w:rsidR="00B30AA5" w:rsidRPr="00F84AB1">
        <w:rPr>
          <w:rFonts w:asciiTheme="majorHAnsi" w:hAnsiTheme="majorHAnsi" w:cs="Arial"/>
          <w:sz w:val="20"/>
          <w:szCs w:val="20"/>
          <w:lang w:val="es-ES"/>
        </w:rPr>
        <w:t>exponer su posición ante dicho tribunal, restándoles la posibilidad de ser oídas y de interponer un recur</w:t>
      </w:r>
      <w:r w:rsidR="0087297A" w:rsidRPr="00F84AB1">
        <w:rPr>
          <w:rFonts w:asciiTheme="majorHAnsi" w:hAnsiTheme="majorHAnsi" w:cs="Arial"/>
          <w:sz w:val="20"/>
          <w:szCs w:val="20"/>
          <w:lang w:val="es-ES"/>
        </w:rPr>
        <w:t>so contra la resolución. Además alega</w:t>
      </w:r>
      <w:r w:rsidRPr="00F84AB1">
        <w:rPr>
          <w:rFonts w:asciiTheme="majorHAnsi" w:hAnsiTheme="majorHAnsi" w:cs="Arial"/>
          <w:sz w:val="20"/>
          <w:szCs w:val="20"/>
          <w:lang w:val="es-ES"/>
        </w:rPr>
        <w:t>n</w:t>
      </w:r>
      <w:r w:rsidR="0087297A" w:rsidRPr="00F84AB1">
        <w:rPr>
          <w:rFonts w:asciiTheme="majorHAnsi" w:hAnsiTheme="majorHAnsi" w:cs="Arial"/>
          <w:sz w:val="20"/>
          <w:szCs w:val="20"/>
          <w:lang w:val="es-ES"/>
        </w:rPr>
        <w:t xml:space="preserve"> </w:t>
      </w:r>
      <w:r w:rsidR="00B30AA5" w:rsidRPr="00F84AB1">
        <w:rPr>
          <w:rFonts w:asciiTheme="majorHAnsi" w:hAnsiTheme="majorHAnsi" w:cs="Arial"/>
          <w:sz w:val="20"/>
          <w:szCs w:val="20"/>
          <w:lang w:val="es-ES"/>
        </w:rPr>
        <w:t xml:space="preserve">que la pena establecida </w:t>
      </w:r>
      <w:r w:rsidR="005D48B3" w:rsidRPr="00F84AB1">
        <w:rPr>
          <w:rFonts w:asciiTheme="majorHAnsi" w:hAnsiTheme="majorHAnsi" w:cs="Arial"/>
          <w:sz w:val="20"/>
          <w:szCs w:val="20"/>
          <w:lang w:val="es-ES"/>
        </w:rPr>
        <w:t xml:space="preserve">en aplicación de dicha norma, </w:t>
      </w:r>
      <w:r w:rsidR="00B30AA5" w:rsidRPr="00F84AB1">
        <w:rPr>
          <w:rFonts w:asciiTheme="majorHAnsi" w:hAnsiTheme="majorHAnsi" w:cs="Arial"/>
          <w:sz w:val="20"/>
          <w:szCs w:val="20"/>
          <w:lang w:val="es-ES"/>
        </w:rPr>
        <w:t>no cumpl</w:t>
      </w:r>
      <w:r w:rsidR="00DE1943" w:rsidRPr="00F84AB1">
        <w:rPr>
          <w:rFonts w:asciiTheme="majorHAnsi" w:hAnsiTheme="majorHAnsi" w:cs="Arial"/>
          <w:sz w:val="20"/>
          <w:szCs w:val="20"/>
          <w:lang w:val="es-ES"/>
        </w:rPr>
        <w:t>e</w:t>
      </w:r>
      <w:r w:rsidR="00B30AA5" w:rsidRPr="00F84AB1">
        <w:rPr>
          <w:rFonts w:asciiTheme="majorHAnsi" w:hAnsiTheme="majorHAnsi" w:cs="Arial"/>
          <w:sz w:val="20"/>
          <w:szCs w:val="20"/>
          <w:lang w:val="es-ES"/>
        </w:rPr>
        <w:t xml:space="preserve"> con los principios de proporcionalidad y pertinencia, ni con los</w:t>
      </w:r>
      <w:r w:rsidR="00012631" w:rsidRPr="00F84AB1">
        <w:rPr>
          <w:rFonts w:asciiTheme="majorHAnsi" w:hAnsiTheme="majorHAnsi" w:cs="Arial"/>
          <w:sz w:val="20"/>
          <w:szCs w:val="20"/>
          <w:lang w:val="es-ES"/>
        </w:rPr>
        <w:t xml:space="preserve"> </w:t>
      </w:r>
      <w:r w:rsidR="00B30AA5" w:rsidRPr="00F84AB1">
        <w:rPr>
          <w:rFonts w:asciiTheme="majorHAnsi" w:hAnsiTheme="majorHAnsi" w:cs="Arial"/>
          <w:sz w:val="20"/>
          <w:szCs w:val="20"/>
          <w:lang w:val="es-ES"/>
        </w:rPr>
        <w:t>fines de reparación en casos de crímenes de lesa humanidad. Finalmente sostiene</w:t>
      </w:r>
      <w:r w:rsidRPr="00F84AB1">
        <w:rPr>
          <w:rFonts w:asciiTheme="majorHAnsi" w:hAnsiTheme="majorHAnsi" w:cs="Arial"/>
          <w:sz w:val="20"/>
          <w:szCs w:val="20"/>
          <w:lang w:val="es-ES"/>
        </w:rPr>
        <w:t>n</w:t>
      </w:r>
      <w:r w:rsidR="00B30AA5" w:rsidRPr="00F84AB1">
        <w:rPr>
          <w:rFonts w:asciiTheme="majorHAnsi" w:hAnsiTheme="majorHAnsi" w:cs="Arial"/>
          <w:sz w:val="20"/>
          <w:szCs w:val="20"/>
          <w:lang w:val="es-ES"/>
        </w:rPr>
        <w:t xml:space="preserve"> que en Chile se investiga, juzga y sanciona los crímenes de lesa humanidad con el estatuto legislativo de delitos comunes, y que la resolución de la Corte no </w:t>
      </w:r>
      <w:r w:rsidR="00DE1943" w:rsidRPr="00F84AB1">
        <w:rPr>
          <w:rFonts w:asciiTheme="majorHAnsi" w:hAnsiTheme="majorHAnsi" w:cs="Arial"/>
          <w:sz w:val="20"/>
          <w:szCs w:val="20"/>
          <w:lang w:val="es-ES"/>
        </w:rPr>
        <w:t>es</w:t>
      </w:r>
      <w:r w:rsidR="00B30AA5" w:rsidRPr="00F84AB1">
        <w:rPr>
          <w:rFonts w:asciiTheme="majorHAnsi" w:hAnsiTheme="majorHAnsi" w:cs="Arial"/>
          <w:sz w:val="20"/>
          <w:szCs w:val="20"/>
          <w:lang w:val="es-ES"/>
        </w:rPr>
        <w:t xml:space="preserve"> razonada al otorgar beneficios propios de una atenuante de la envergadura de la prescripción gradual a los responsables de delitos imprescriptibles. </w:t>
      </w:r>
    </w:p>
    <w:p w:rsidR="00547D7F" w:rsidRPr="00F84AB1" w:rsidRDefault="0063685A" w:rsidP="00B30AA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hAnsiTheme="majorHAnsi"/>
          <w:sz w:val="20"/>
          <w:szCs w:val="20"/>
          <w:lang w:val="es-ES"/>
        </w:rPr>
        <w:t xml:space="preserve">A su vez el Estado manifiesta que </w:t>
      </w:r>
      <w:r w:rsidR="00B30AA5" w:rsidRPr="00F84AB1">
        <w:rPr>
          <w:rFonts w:asciiTheme="majorHAnsi" w:hAnsiTheme="majorHAnsi"/>
          <w:sz w:val="20"/>
          <w:szCs w:val="20"/>
          <w:lang w:val="es-ES"/>
        </w:rPr>
        <w:t xml:space="preserve">no tiene reparos respecto al cumplimiento de los requisitos de forma </w:t>
      </w:r>
      <w:r w:rsidR="00A26AAF" w:rsidRPr="00F84AB1">
        <w:rPr>
          <w:rFonts w:asciiTheme="majorHAnsi" w:hAnsiTheme="majorHAnsi"/>
          <w:sz w:val="20"/>
          <w:szCs w:val="20"/>
          <w:lang w:val="es-ES"/>
        </w:rPr>
        <w:t xml:space="preserve">de admisibilidad </w:t>
      </w:r>
      <w:r w:rsidR="00B30AA5" w:rsidRPr="00F84AB1">
        <w:rPr>
          <w:rFonts w:asciiTheme="majorHAnsi" w:hAnsiTheme="majorHAnsi"/>
          <w:sz w:val="20"/>
          <w:szCs w:val="20"/>
          <w:lang w:val="es-ES"/>
        </w:rPr>
        <w:t>por parte de los peticionarios.</w:t>
      </w:r>
    </w:p>
    <w:p w:rsidR="005B2163" w:rsidRPr="00F84AB1" w:rsidRDefault="005B2163" w:rsidP="00B30AA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F84AB1">
        <w:rPr>
          <w:rFonts w:asciiTheme="majorHAnsi" w:hAnsiTheme="majorHAnsi" w:cs="Arial"/>
          <w:sz w:val="20"/>
          <w:szCs w:val="20"/>
          <w:lang w:val="es-ES"/>
        </w:rPr>
        <w:t xml:space="preserve">La </w:t>
      </w:r>
      <w:r w:rsidR="005A559F" w:rsidRPr="00F84AB1">
        <w:rPr>
          <w:rFonts w:asciiTheme="majorHAnsi" w:hAnsiTheme="majorHAnsi" w:cs="Arial"/>
          <w:sz w:val="20"/>
          <w:szCs w:val="20"/>
          <w:lang w:val="es-ES"/>
        </w:rPr>
        <w:t xml:space="preserve">Comisión entiende que </w:t>
      </w:r>
      <w:r w:rsidR="00006D0D" w:rsidRPr="00F84AB1">
        <w:rPr>
          <w:rFonts w:asciiTheme="majorHAnsi" w:hAnsiTheme="majorHAnsi" w:cs="Arial"/>
          <w:sz w:val="20"/>
          <w:szCs w:val="20"/>
          <w:lang w:val="es-ES"/>
        </w:rPr>
        <w:t>corresponde analizar en la etapa de fondo, los argumentos relativos a la naturaleza jurídica y los efectos de la aplicación de la figura legal de la media prescripción o prescripción gradual, la cual los peticionarios plantean ha sido aplicada por la Corte Suprema de Justicia chilena en el conocimiento de recursos de casación en</w:t>
      </w:r>
      <w:r w:rsidR="00FF4669" w:rsidRPr="00F84AB1">
        <w:rPr>
          <w:rFonts w:asciiTheme="majorHAnsi" w:hAnsiTheme="majorHAnsi" w:cs="Arial"/>
          <w:sz w:val="20"/>
          <w:szCs w:val="20"/>
          <w:lang w:val="es-ES"/>
        </w:rPr>
        <w:t xml:space="preserve"> los presentes</w:t>
      </w:r>
      <w:r w:rsidR="00006D0D" w:rsidRPr="00F84AB1">
        <w:rPr>
          <w:rFonts w:asciiTheme="majorHAnsi" w:hAnsiTheme="majorHAnsi" w:cs="Arial"/>
          <w:sz w:val="20"/>
          <w:szCs w:val="20"/>
          <w:lang w:val="es-ES"/>
        </w:rPr>
        <w:t xml:space="preserve"> casos vinculados a crímenes de lesa humanidad cometidos durante la dictadura.</w:t>
      </w:r>
    </w:p>
    <w:p w:rsidR="00DF7463" w:rsidRPr="00F84AB1" w:rsidRDefault="00DF7463" w:rsidP="00DF7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F84AB1">
        <w:rPr>
          <w:rFonts w:asciiTheme="majorHAnsi" w:eastAsia="SimSun" w:hAnsiTheme="majorHAnsi"/>
          <w:sz w:val="20"/>
          <w:szCs w:val="20"/>
          <w:lang w:val="es-ES"/>
        </w:rPr>
        <w:t>En este sentido, la Comisión concluye que los hechos denunciados podrían caracterizar violaciones a los derechos consagrados en los artículos 8 y 25 de la Convención, toda vez se alega que los familiares no tuvieron acceso a un recurso sencillo y eficaz, en el marco de un proceso que respetase las garantías judiciales y que permitiese sancionar adecuada y proporcional a los autores de los hechos, así como por la denunciada aplicación de una figura</w:t>
      </w:r>
      <w:r w:rsidR="00312D91" w:rsidRPr="00F84AB1">
        <w:rPr>
          <w:rFonts w:asciiTheme="majorHAnsi" w:eastAsia="SimSun" w:hAnsiTheme="majorHAnsi"/>
          <w:sz w:val="20"/>
          <w:szCs w:val="20"/>
          <w:lang w:val="es-ES"/>
        </w:rPr>
        <w:t xml:space="preserve"> legal</w:t>
      </w:r>
      <w:r w:rsidRPr="00F84AB1">
        <w:rPr>
          <w:rFonts w:asciiTheme="majorHAnsi" w:eastAsia="SimSun" w:hAnsiTheme="majorHAnsi"/>
          <w:sz w:val="20"/>
          <w:szCs w:val="20"/>
          <w:lang w:val="es-ES"/>
        </w:rPr>
        <w:t xml:space="preserve"> que atenúa la responsabilidad penal basada en el transcurso del tiempo y su posible incompatibilidad con</w:t>
      </w:r>
      <w:r w:rsidR="00012631" w:rsidRPr="00F84AB1">
        <w:rPr>
          <w:rFonts w:asciiTheme="majorHAnsi" w:eastAsia="SimSun" w:hAnsiTheme="majorHAnsi"/>
          <w:sz w:val="20"/>
          <w:szCs w:val="20"/>
          <w:lang w:val="es-ES"/>
        </w:rPr>
        <w:t xml:space="preserve"> </w:t>
      </w:r>
      <w:r w:rsidRPr="00F84AB1">
        <w:rPr>
          <w:rFonts w:asciiTheme="majorHAnsi" w:eastAsia="SimSun" w:hAnsiTheme="majorHAnsi"/>
          <w:sz w:val="20"/>
          <w:szCs w:val="20"/>
          <w:lang w:val="es-ES"/>
        </w:rPr>
        <w:t>la prohibición de aplicación de la prescripción de casos</w:t>
      </w:r>
      <w:r w:rsidR="00F472E0" w:rsidRPr="00F84AB1">
        <w:rPr>
          <w:rFonts w:asciiTheme="majorHAnsi" w:eastAsia="SimSun" w:hAnsiTheme="majorHAnsi"/>
          <w:sz w:val="20"/>
          <w:szCs w:val="20"/>
          <w:lang w:val="es-ES"/>
        </w:rPr>
        <w:t xml:space="preserve"> de crímenes de lesa humanidad</w:t>
      </w:r>
      <w:r w:rsidR="00FF4669" w:rsidRPr="00F84AB1">
        <w:rPr>
          <w:rFonts w:asciiTheme="majorHAnsi" w:eastAsia="SimSun" w:hAnsiTheme="majorHAnsi"/>
          <w:sz w:val="20"/>
          <w:szCs w:val="20"/>
          <w:lang w:val="es-ES"/>
        </w:rPr>
        <w:t xml:space="preserve">, y; </w:t>
      </w:r>
      <w:r w:rsidR="005267A7" w:rsidRPr="00F84AB1">
        <w:rPr>
          <w:rFonts w:asciiTheme="majorHAnsi" w:eastAsia="SimSun" w:hAnsiTheme="majorHAnsi"/>
          <w:sz w:val="20"/>
          <w:szCs w:val="20"/>
          <w:lang w:val="es-ES"/>
        </w:rPr>
        <w:t xml:space="preserve">artículo </w:t>
      </w:r>
      <w:r w:rsidR="00FF4669" w:rsidRPr="00F84AB1">
        <w:rPr>
          <w:rFonts w:asciiTheme="majorHAnsi" w:eastAsia="SimSun" w:hAnsiTheme="majorHAnsi"/>
          <w:sz w:val="20"/>
          <w:szCs w:val="20"/>
          <w:lang w:val="es-ES"/>
        </w:rPr>
        <w:t>5 de la Convención, en relación con el sufrimiento provocado a los familiares de las presuntas víctimas por lo que alegan como una denegación de justicia</w:t>
      </w:r>
      <w:r w:rsidRPr="00F84AB1">
        <w:rPr>
          <w:rFonts w:asciiTheme="majorHAnsi" w:eastAsia="SimSun" w:hAnsiTheme="majorHAnsi"/>
          <w:sz w:val="20"/>
          <w:szCs w:val="20"/>
          <w:lang w:val="es-ES"/>
        </w:rPr>
        <w:t>. Todo ello, en relación con los artículos 1.1 y 2 de la Convención</w:t>
      </w:r>
      <w:r w:rsidR="000233FC" w:rsidRPr="00F84AB1">
        <w:rPr>
          <w:rFonts w:asciiTheme="majorHAnsi" w:eastAsia="SimSun" w:hAnsiTheme="majorHAnsi"/>
          <w:sz w:val="20"/>
          <w:szCs w:val="20"/>
          <w:lang w:val="es-ES"/>
        </w:rPr>
        <w:t>.</w:t>
      </w:r>
    </w:p>
    <w:p w:rsidR="00DF7463" w:rsidRPr="00F84AB1" w:rsidRDefault="00DF7463" w:rsidP="00DF7463">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84AB1">
        <w:rPr>
          <w:rFonts w:asciiTheme="majorHAnsi" w:hAnsiTheme="majorHAnsi"/>
          <w:sz w:val="20"/>
          <w:szCs w:val="20"/>
          <w:lang w:val="es-ES"/>
        </w:rPr>
        <w:t xml:space="preserve">En vista de los elementos de hecho y de derecho presentados por las partes y la naturaleza del asunto puesto bajo su conocimiento, y del contexto en el que se enmarcan las denuncias, la CIDH considera que, de ser probados, los hechos alegados podrían caracterizar posibles violaciones a los derechos protegidos en los artículos 5, 8 y 25 de la Convención Americana, en concordancia con los artículos 1 y 2 de dicho tratado. </w:t>
      </w:r>
    </w:p>
    <w:p w:rsidR="0063685A" w:rsidRPr="00F84AB1" w:rsidRDefault="0063685A" w:rsidP="00C64463">
      <w:pPr>
        <w:spacing w:after="240"/>
        <w:ind w:firstLine="720"/>
        <w:jc w:val="both"/>
        <w:rPr>
          <w:rFonts w:asciiTheme="majorHAnsi" w:hAnsiTheme="majorHAnsi"/>
          <w:b/>
          <w:bCs/>
          <w:sz w:val="20"/>
          <w:szCs w:val="20"/>
          <w:lang w:val="es-UY"/>
        </w:rPr>
      </w:pPr>
      <w:r w:rsidRPr="00F84AB1">
        <w:rPr>
          <w:rFonts w:asciiTheme="majorHAnsi" w:hAnsiTheme="majorHAnsi"/>
          <w:b/>
          <w:bCs/>
          <w:sz w:val="20"/>
          <w:szCs w:val="20"/>
          <w:lang w:val="es-UY"/>
        </w:rPr>
        <w:t>V</w:t>
      </w:r>
      <w:r w:rsidR="002A14D6" w:rsidRPr="00F84AB1">
        <w:rPr>
          <w:rFonts w:asciiTheme="majorHAnsi" w:hAnsiTheme="majorHAnsi"/>
          <w:b/>
          <w:bCs/>
          <w:sz w:val="20"/>
          <w:szCs w:val="20"/>
          <w:lang w:val="es-UY"/>
        </w:rPr>
        <w:t>I</w:t>
      </w:r>
      <w:r w:rsidRPr="00F84AB1">
        <w:rPr>
          <w:rFonts w:asciiTheme="majorHAnsi" w:hAnsiTheme="majorHAnsi"/>
          <w:b/>
          <w:bCs/>
          <w:sz w:val="20"/>
          <w:szCs w:val="20"/>
          <w:lang w:val="es-UY"/>
        </w:rPr>
        <w:t>.</w:t>
      </w:r>
      <w:r w:rsidRPr="00F84AB1">
        <w:rPr>
          <w:rFonts w:asciiTheme="majorHAnsi" w:hAnsiTheme="majorHAnsi"/>
          <w:b/>
          <w:bCs/>
          <w:sz w:val="20"/>
          <w:szCs w:val="20"/>
          <w:lang w:val="es-UY"/>
        </w:rPr>
        <w:tab/>
        <w:t>CONCLUSIONES</w:t>
      </w:r>
    </w:p>
    <w:p w:rsidR="003664B3" w:rsidRPr="00F84AB1" w:rsidRDefault="003664B3" w:rsidP="00C6446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F84AB1">
        <w:rPr>
          <w:rFonts w:asciiTheme="majorHAnsi" w:hAnsiTheme="majorHAnsi"/>
          <w:sz w:val="20"/>
          <w:szCs w:val="20"/>
          <w:lang w:val="es-AR"/>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547D7F" w:rsidRPr="00F84AB1" w:rsidRDefault="00547D7F" w:rsidP="00C64463">
      <w:pPr>
        <w:jc w:val="both"/>
        <w:rPr>
          <w:rFonts w:asciiTheme="majorHAnsi" w:hAnsiTheme="majorHAnsi"/>
          <w:b/>
          <w:bCs/>
          <w:sz w:val="20"/>
          <w:szCs w:val="20"/>
          <w:lang w:val="es-ES"/>
        </w:rPr>
      </w:pPr>
    </w:p>
    <w:p w:rsidR="0063685A" w:rsidRPr="00F84AB1" w:rsidRDefault="0063685A" w:rsidP="00334621">
      <w:pPr>
        <w:spacing w:after="240"/>
        <w:jc w:val="center"/>
        <w:rPr>
          <w:rFonts w:asciiTheme="majorHAnsi" w:hAnsiTheme="majorHAnsi"/>
          <w:b/>
          <w:bCs/>
          <w:sz w:val="20"/>
          <w:szCs w:val="20"/>
          <w:lang w:val="es-ES"/>
        </w:rPr>
      </w:pPr>
      <w:r w:rsidRPr="00F84AB1">
        <w:rPr>
          <w:rFonts w:asciiTheme="majorHAnsi" w:hAnsiTheme="majorHAnsi"/>
          <w:b/>
          <w:bCs/>
          <w:sz w:val="20"/>
          <w:szCs w:val="20"/>
          <w:lang w:val="es-ES"/>
        </w:rPr>
        <w:t>LA COMISIÓN INTERAMERICANA DE DERECHOS HUMANOS</w:t>
      </w:r>
    </w:p>
    <w:p w:rsidR="0063685A" w:rsidRPr="00F84AB1" w:rsidRDefault="0063685A" w:rsidP="00334621">
      <w:pPr>
        <w:spacing w:after="240"/>
        <w:jc w:val="both"/>
        <w:rPr>
          <w:rFonts w:asciiTheme="majorHAnsi" w:hAnsiTheme="majorHAnsi"/>
          <w:b/>
          <w:bCs/>
          <w:sz w:val="20"/>
          <w:szCs w:val="20"/>
          <w:lang w:val="es-UY"/>
        </w:rPr>
      </w:pPr>
      <w:r w:rsidRPr="00F84AB1">
        <w:rPr>
          <w:rFonts w:asciiTheme="majorHAnsi" w:hAnsiTheme="majorHAnsi"/>
          <w:b/>
          <w:bCs/>
          <w:sz w:val="20"/>
          <w:szCs w:val="20"/>
          <w:lang w:val="es-UY"/>
        </w:rPr>
        <w:t>DECIDE:</w:t>
      </w:r>
    </w:p>
    <w:p w:rsidR="00FD6D1E" w:rsidRPr="00F84AB1" w:rsidRDefault="00FD6D1E" w:rsidP="00331369">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ind w:left="0" w:firstLine="720"/>
        <w:jc w:val="both"/>
        <w:rPr>
          <w:rFonts w:asciiTheme="majorHAnsi" w:hAnsiTheme="majorHAnsi"/>
          <w:sz w:val="20"/>
          <w:szCs w:val="20"/>
          <w:lang w:val="es-UY"/>
        </w:rPr>
      </w:pPr>
      <w:r w:rsidRPr="00F84AB1">
        <w:rPr>
          <w:rFonts w:asciiTheme="majorHAnsi" w:hAnsiTheme="majorHAnsi"/>
          <w:sz w:val="20"/>
          <w:szCs w:val="20"/>
          <w:lang w:val="es-ES"/>
        </w:rPr>
        <w:t>Declarar admisible la presente petición en relación con los artículos 5, 8</w:t>
      </w:r>
      <w:r w:rsidR="00576259" w:rsidRPr="00F84AB1">
        <w:rPr>
          <w:rFonts w:asciiTheme="majorHAnsi" w:hAnsiTheme="majorHAnsi"/>
          <w:sz w:val="20"/>
          <w:szCs w:val="20"/>
          <w:lang w:val="es-ES"/>
        </w:rPr>
        <w:t xml:space="preserve">, </w:t>
      </w:r>
      <w:r w:rsidRPr="00F84AB1">
        <w:rPr>
          <w:rFonts w:asciiTheme="majorHAnsi" w:hAnsiTheme="majorHAnsi"/>
          <w:sz w:val="20"/>
          <w:szCs w:val="20"/>
          <w:lang w:val="es-ES"/>
        </w:rPr>
        <w:t>y 25 de la Convención Americana en conexión con artículos 1.1 y 2 del mismo instrumento;</w:t>
      </w:r>
    </w:p>
    <w:p w:rsidR="00547D7F" w:rsidRPr="00F84AB1" w:rsidRDefault="00547D7F" w:rsidP="00331369">
      <w:pPr>
        <w:pStyle w:val="ListParagraph"/>
        <w:tabs>
          <w:tab w:val="num" w:pos="0"/>
        </w:tabs>
        <w:suppressAutoHyphens/>
        <w:ind w:left="0" w:firstLine="720"/>
        <w:jc w:val="both"/>
        <w:rPr>
          <w:rFonts w:asciiTheme="majorHAnsi" w:hAnsiTheme="majorHAnsi"/>
          <w:sz w:val="20"/>
          <w:szCs w:val="20"/>
          <w:lang w:val="es-ES"/>
        </w:rPr>
      </w:pPr>
    </w:p>
    <w:p w:rsidR="0063685A" w:rsidRPr="00F84AB1" w:rsidRDefault="0063685A" w:rsidP="00331369">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ind w:left="0" w:firstLine="720"/>
        <w:jc w:val="both"/>
        <w:rPr>
          <w:rFonts w:asciiTheme="majorHAnsi" w:hAnsiTheme="majorHAnsi"/>
          <w:sz w:val="20"/>
          <w:szCs w:val="20"/>
          <w:lang w:val="es-UY"/>
        </w:rPr>
      </w:pPr>
      <w:r w:rsidRPr="00F84AB1">
        <w:rPr>
          <w:rFonts w:asciiTheme="majorHAnsi" w:hAnsiTheme="majorHAnsi"/>
          <w:sz w:val="20"/>
          <w:szCs w:val="20"/>
          <w:lang w:val="es-UY"/>
        </w:rPr>
        <w:t>Notificar a las partes la presente decisión;</w:t>
      </w:r>
    </w:p>
    <w:p w:rsidR="00913522" w:rsidRPr="00F84AB1" w:rsidRDefault="00913522" w:rsidP="00331369">
      <w:pPr>
        <w:tabs>
          <w:tab w:val="num" w:pos="0"/>
        </w:tabs>
        <w:ind w:firstLine="720"/>
        <w:jc w:val="both"/>
        <w:rPr>
          <w:rFonts w:asciiTheme="majorHAnsi" w:hAnsiTheme="majorHAnsi"/>
          <w:sz w:val="20"/>
          <w:szCs w:val="20"/>
          <w:lang w:val="es-UY"/>
        </w:rPr>
      </w:pPr>
    </w:p>
    <w:p w:rsidR="0063685A" w:rsidRPr="00F84AB1" w:rsidRDefault="0063685A" w:rsidP="00331369">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ind w:left="0" w:firstLine="720"/>
        <w:jc w:val="both"/>
        <w:rPr>
          <w:rFonts w:asciiTheme="majorHAnsi" w:hAnsiTheme="majorHAnsi"/>
          <w:sz w:val="20"/>
          <w:szCs w:val="20"/>
          <w:lang w:val="es-UY"/>
        </w:rPr>
      </w:pPr>
      <w:r w:rsidRPr="00F84AB1">
        <w:rPr>
          <w:rFonts w:asciiTheme="majorHAnsi" w:hAnsiTheme="majorHAnsi"/>
          <w:sz w:val="20"/>
          <w:szCs w:val="20"/>
          <w:lang w:val="es-UY"/>
        </w:rPr>
        <w:t>Continuar con el análisis del fondo de la cuestión;</w:t>
      </w:r>
      <w:r w:rsidR="00711192" w:rsidRPr="00F84AB1">
        <w:rPr>
          <w:rFonts w:asciiTheme="majorHAnsi" w:hAnsiTheme="majorHAnsi"/>
          <w:sz w:val="20"/>
          <w:szCs w:val="20"/>
          <w:lang w:val="es-UY"/>
        </w:rPr>
        <w:t xml:space="preserve"> y</w:t>
      </w:r>
    </w:p>
    <w:p w:rsidR="00547D7F" w:rsidRPr="00F84AB1" w:rsidRDefault="00547D7F" w:rsidP="00331369">
      <w:pPr>
        <w:suppressAutoHyphens/>
        <w:ind w:firstLine="720"/>
        <w:jc w:val="both"/>
        <w:rPr>
          <w:rFonts w:asciiTheme="majorHAnsi" w:hAnsiTheme="majorHAnsi"/>
          <w:sz w:val="20"/>
          <w:szCs w:val="20"/>
          <w:lang w:val="es-UY"/>
        </w:rPr>
      </w:pPr>
    </w:p>
    <w:p w:rsidR="0063685A" w:rsidRDefault="0063685A" w:rsidP="00331369">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ind w:left="0" w:firstLine="720"/>
        <w:jc w:val="both"/>
        <w:rPr>
          <w:rFonts w:asciiTheme="majorHAnsi" w:hAnsiTheme="majorHAnsi"/>
          <w:sz w:val="20"/>
          <w:szCs w:val="20"/>
          <w:lang w:val="es-UY"/>
        </w:rPr>
      </w:pPr>
      <w:r w:rsidRPr="00F84AB1">
        <w:rPr>
          <w:rFonts w:asciiTheme="majorHAnsi" w:hAnsiTheme="majorHAnsi"/>
          <w:sz w:val="20"/>
          <w:szCs w:val="20"/>
          <w:lang w:val="es-UY"/>
        </w:rPr>
        <w:lastRenderedPageBreak/>
        <w:t>Publicar esta decisión e incluirla en su Informe Anual a la Asamblea General de la Organización de los Estados Americanos.</w:t>
      </w:r>
    </w:p>
    <w:p w:rsidR="00F6325B" w:rsidRPr="00F6325B" w:rsidRDefault="00F6325B" w:rsidP="00F6325B">
      <w:pPr>
        <w:pStyle w:val="ListParagraph"/>
        <w:rPr>
          <w:rFonts w:asciiTheme="majorHAnsi" w:hAnsiTheme="majorHAnsi"/>
          <w:sz w:val="20"/>
          <w:szCs w:val="20"/>
          <w:lang w:val="es-UY"/>
        </w:rPr>
      </w:pPr>
    </w:p>
    <w:p w:rsidR="007214FB" w:rsidRPr="00A37B82" w:rsidRDefault="007214FB" w:rsidP="007214FB">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Dado y firmado en la ciudad de</w:t>
      </w:r>
      <w:r w:rsidR="00E24D9B">
        <w:rPr>
          <w:rFonts w:asciiTheme="majorHAnsi" w:hAnsiTheme="majorHAnsi" w:cs="Arial"/>
          <w:noProof/>
          <w:spacing w:val="-2"/>
          <w:sz w:val="20"/>
          <w:szCs w:val="20"/>
          <w:lang w:val="es-CL"/>
        </w:rPr>
        <w:t xml:space="preserve"> Panamá</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 xml:space="preserve">6. </w:t>
      </w:r>
      <w:r w:rsidRPr="00A37B82">
        <w:rPr>
          <w:rFonts w:asciiTheme="majorHAnsi" w:hAnsiTheme="majorHAnsi" w:cs="Arial"/>
          <w:noProof/>
          <w:spacing w:val="-2"/>
          <w:sz w:val="20"/>
          <w:szCs w:val="20"/>
          <w:lang w:val="es-CL"/>
        </w:rPr>
        <w:t xml:space="preserve">(Firmado):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334621">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Enrique Gil Botero,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7214FB" w:rsidRPr="00A37B82" w:rsidRDefault="007214FB" w:rsidP="007214FB">
      <w:pPr>
        <w:suppressAutoHyphens/>
        <w:ind w:firstLine="720"/>
        <w:jc w:val="both"/>
        <w:rPr>
          <w:rFonts w:asciiTheme="majorHAnsi" w:hAnsiTheme="majorHAnsi" w:cs="Arial"/>
          <w:noProof/>
          <w:spacing w:val="-2"/>
          <w:sz w:val="20"/>
          <w:szCs w:val="20"/>
          <w:lang w:val="es-CL"/>
        </w:rPr>
      </w:pPr>
    </w:p>
    <w:p w:rsidR="00F6325B" w:rsidRPr="00F6325B" w:rsidRDefault="00F6325B" w:rsidP="00F6325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sectPr w:rsidR="00F6325B" w:rsidRPr="00F6325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53D" w:rsidRDefault="0029253D">
      <w:r>
        <w:separator/>
      </w:r>
    </w:p>
  </w:endnote>
  <w:endnote w:type="continuationSeparator" w:id="0">
    <w:p w:rsidR="0029253D" w:rsidRDefault="0029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nsolas">
    <w:panose1 w:val="020B060902020403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GillSansMT">
    <w:panose1 w:val="00000000000000000000"/>
    <w:charset w:val="00"/>
    <w:family w:val="auto"/>
    <w:notTrueType/>
    <w:pitch w:val="default"/>
    <w:sig w:usb0="00000003" w:usb1="00000000" w:usb2="00000000" w:usb3="00000000" w:csb0="00000001" w:csb1="00000000"/>
  </w:font>
  <w:font w:name="GillSansMT,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146" w:rsidRDefault="00EA01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E62363" w:rsidRPr="00934A2C" w:rsidRDefault="0021571D">
        <w:pPr>
          <w:pStyle w:val="Footer"/>
          <w:jc w:val="center"/>
          <w:rPr>
            <w:sz w:val="16"/>
            <w:szCs w:val="22"/>
          </w:rPr>
        </w:pPr>
        <w:r w:rsidRPr="00934A2C">
          <w:rPr>
            <w:sz w:val="16"/>
            <w:szCs w:val="22"/>
          </w:rPr>
          <w:fldChar w:fldCharType="begin"/>
        </w:r>
        <w:r w:rsidR="00E62363" w:rsidRPr="00934A2C">
          <w:rPr>
            <w:sz w:val="16"/>
            <w:szCs w:val="22"/>
          </w:rPr>
          <w:instrText xml:space="preserve"> PAGE   \* MERGEFORMAT </w:instrText>
        </w:r>
        <w:r w:rsidRPr="00934A2C">
          <w:rPr>
            <w:sz w:val="16"/>
            <w:szCs w:val="22"/>
          </w:rPr>
          <w:fldChar w:fldCharType="separate"/>
        </w:r>
        <w:r w:rsidR="00EA0146">
          <w:rPr>
            <w:noProof/>
            <w:sz w:val="16"/>
            <w:szCs w:val="22"/>
          </w:rPr>
          <w:t>1</w:t>
        </w:r>
        <w:r w:rsidRPr="00934A2C">
          <w:rPr>
            <w:noProof/>
            <w:sz w:val="16"/>
            <w:szCs w:val="22"/>
          </w:rPr>
          <w:fldChar w:fldCharType="end"/>
        </w:r>
      </w:p>
    </w:sdtContent>
  </w:sdt>
  <w:p w:rsidR="00E62363" w:rsidRDefault="00E623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63" w:rsidRPr="00934A2C" w:rsidRDefault="00E62363">
    <w:pPr>
      <w:pStyle w:val="Footer"/>
      <w:jc w:val="center"/>
      <w:rPr>
        <w:sz w:val="16"/>
        <w:szCs w:val="22"/>
      </w:rPr>
    </w:pPr>
  </w:p>
  <w:p w:rsidR="00E62363" w:rsidRDefault="00E62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53D" w:rsidRPr="000F35ED" w:rsidRDefault="0029253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9253D" w:rsidRPr="000F35ED" w:rsidRDefault="0029253D" w:rsidP="000F35ED">
      <w:pPr>
        <w:rPr>
          <w:rFonts w:asciiTheme="majorHAnsi" w:hAnsiTheme="majorHAnsi"/>
          <w:sz w:val="16"/>
          <w:szCs w:val="16"/>
        </w:rPr>
      </w:pPr>
      <w:r w:rsidRPr="000F35ED">
        <w:rPr>
          <w:rFonts w:asciiTheme="majorHAnsi" w:hAnsiTheme="majorHAnsi"/>
          <w:sz w:val="16"/>
          <w:szCs w:val="16"/>
        </w:rPr>
        <w:separator/>
      </w:r>
    </w:p>
    <w:p w:rsidR="0029253D" w:rsidRPr="000F35ED" w:rsidRDefault="0029253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29253D" w:rsidRPr="000F35ED" w:rsidRDefault="0029253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B02757" w:rsidRPr="005E2EBC" w:rsidRDefault="00B02757" w:rsidP="00B02757">
      <w:pPr>
        <w:pStyle w:val="FootnoteText"/>
        <w:spacing w:before="120"/>
        <w:ind w:firstLine="720"/>
        <w:jc w:val="both"/>
        <w:rPr>
          <w:rFonts w:asciiTheme="majorHAnsi" w:hAnsiTheme="majorHAnsi"/>
          <w:sz w:val="16"/>
          <w:szCs w:val="16"/>
          <w:lang w:val="es-ES_tradnl"/>
        </w:rPr>
      </w:pPr>
      <w:r w:rsidRPr="005E2EBC">
        <w:rPr>
          <w:rStyle w:val="FootnoteReference"/>
          <w:rFonts w:asciiTheme="majorHAnsi" w:hAnsiTheme="majorHAnsi"/>
          <w:sz w:val="16"/>
          <w:szCs w:val="16"/>
        </w:rPr>
        <w:footnoteRef/>
      </w:r>
      <w:r w:rsidRPr="0011537A">
        <w:rPr>
          <w:rFonts w:asciiTheme="majorHAnsi" w:hAnsiTheme="majorHAnsi"/>
          <w:sz w:val="16"/>
          <w:szCs w:val="16"/>
          <w:lang w:val="es-ES"/>
        </w:rPr>
        <w:t xml:space="preserve"> </w:t>
      </w:r>
      <w:r w:rsidRPr="005E2EBC">
        <w:rPr>
          <w:rFonts w:asciiTheme="majorHAnsi" w:hAnsiTheme="majorHAnsi"/>
          <w:sz w:val="16"/>
          <w:szCs w:val="16"/>
          <w:lang w:val="es-ES"/>
        </w:rPr>
        <w:t>Loreto Meza van den Daele, Boris Paredes Bustos, Karina Fernández Neira, Cristián Cruz Rivera, Magdalena Garcés Fuentes, José Antonio Guerrero Uriarte, Joseph Bereaud Barraza, María Cecilia Noguer Fernández, Luisa Carolina Sanhueza Gómez.</w:t>
      </w:r>
    </w:p>
  </w:footnote>
  <w:footnote w:id="3">
    <w:p w:rsidR="00923BF7" w:rsidRPr="005E2EBC" w:rsidRDefault="00923BF7" w:rsidP="005E2EBC">
      <w:pPr>
        <w:pStyle w:val="FootnoteText"/>
        <w:spacing w:before="120"/>
        <w:ind w:firstLine="720"/>
        <w:jc w:val="both"/>
        <w:rPr>
          <w:rFonts w:asciiTheme="majorHAnsi" w:hAnsiTheme="majorHAnsi"/>
          <w:sz w:val="16"/>
          <w:szCs w:val="16"/>
          <w:lang w:val="es-E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Petición presentada en representación de Cardenio Ancacura Manquián, Teófilo Zaragozo González Calfulef, Manuel Hernández Inostroza, y Arturo Benito Vega González, y sus respectivos familiares. La Comisión registró inicialmente dicha denuncia bajo el número P 305-08.</w:t>
      </w:r>
    </w:p>
  </w:footnote>
  <w:footnote w:id="4">
    <w:p w:rsidR="00923BF7" w:rsidRPr="005E2EBC" w:rsidRDefault="00923BF7" w:rsidP="005E2EBC">
      <w:pPr>
        <w:pStyle w:val="FootnoteText"/>
        <w:spacing w:before="120"/>
        <w:ind w:firstLine="720"/>
        <w:jc w:val="both"/>
        <w:rPr>
          <w:rFonts w:asciiTheme="majorHAnsi" w:hAnsiTheme="majorHAnsi"/>
          <w:sz w:val="16"/>
          <w:szCs w:val="16"/>
          <w:lang w:val="es-E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Petición presentada en representación de Luis Evangelista Aguayo Fernández, Manuel Eduardi Bascuñan Aravena, José Ignacio Bustos Fuentes, Enrique Angel Carreño González, Rafael Alonso Díaz Meza, Rolando Antonio Ibarra Ortega (López), Aroldo Vivian Laurie Luengo, Ireneo Alberto Méndez Hernández, Armando Edelmiro Morales Morales, José Luis Morales Ruiz, Aurelio Clodomiro Peñailillo Sepúlveda</w:t>
      </w:r>
      <w:r w:rsidR="002162DD">
        <w:rPr>
          <w:rFonts w:asciiTheme="majorHAnsi" w:eastAsia="Arial Unicode MS" w:hAnsiTheme="majorHAnsi" w:cs="GillSansMT"/>
          <w:color w:val="auto"/>
          <w:sz w:val="16"/>
          <w:szCs w:val="16"/>
          <w:lang w:val="es-ES" w:eastAsia="en-US"/>
        </w:rPr>
        <w:t>,</w:t>
      </w:r>
      <w:r w:rsidRPr="005E2EBC">
        <w:rPr>
          <w:rFonts w:asciiTheme="majorHAnsi" w:eastAsia="Arial Unicode MS" w:hAnsiTheme="majorHAnsi" w:cs="GillSansMT"/>
          <w:color w:val="auto"/>
          <w:sz w:val="16"/>
          <w:szCs w:val="16"/>
          <w:lang w:val="es-ES" w:eastAsia="en-US"/>
        </w:rPr>
        <w:t xml:space="preserve"> Luis Alcides Pereira Hernández, Armando Aroldo Pereira Meriño, Oscar Abdón Retamal Pérez, Luis Enrique Rivera Cofré, José Hernán Riveros Chávez, Roberto del Carmen Rivero Muñoz, Oscar Eladio Saldías Daza, Hernán Sarmiento Sabater, Hugo Enrique Soto Campos</w:t>
      </w:r>
      <w:r w:rsidR="002162DD">
        <w:rPr>
          <w:rFonts w:asciiTheme="majorHAnsi" w:eastAsia="Arial Unicode MS" w:hAnsiTheme="majorHAnsi" w:cs="GillSansMT"/>
          <w:color w:val="auto"/>
          <w:sz w:val="16"/>
          <w:szCs w:val="16"/>
          <w:lang w:val="es-ES" w:eastAsia="en-US"/>
        </w:rPr>
        <w:t>,</w:t>
      </w:r>
      <w:r w:rsidRPr="005E2EBC">
        <w:rPr>
          <w:rFonts w:asciiTheme="majorHAnsi" w:eastAsia="Arial Unicode MS" w:hAnsiTheme="majorHAnsi" w:cs="GillSansMT"/>
          <w:color w:val="auto"/>
          <w:sz w:val="16"/>
          <w:szCs w:val="16"/>
          <w:lang w:val="es-ES" w:eastAsia="en-US"/>
        </w:rPr>
        <w:t xml:space="preserve"> Ruperto Oriol Torres Aravena, Edelmerio Andonio Valdez Sepúlveda, Víctor Julio Vivanco Vásquez, Claudio Jesús Escanilla Escobar, y sus respectivos familiares. La Comisión registró inicialmente dicha denuncia bajo el número P 759-08.</w:t>
      </w:r>
    </w:p>
  </w:footnote>
  <w:footnote w:id="5">
    <w:p w:rsidR="00923BF7" w:rsidRPr="005E2EBC" w:rsidRDefault="00923BF7" w:rsidP="005E2EBC">
      <w:pPr>
        <w:pStyle w:val="FootnoteText"/>
        <w:spacing w:before="120"/>
        <w:ind w:firstLine="720"/>
        <w:jc w:val="both"/>
        <w:rPr>
          <w:rFonts w:asciiTheme="majorHAnsi" w:hAnsiTheme="majorHAnsi"/>
          <w:sz w:val="16"/>
          <w:szCs w:val="16"/>
          <w:lang w:val="es-E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Petición presentada en representación de Nelson Almendras Almendras, José Ricardo López López, Juan de la Cruz Briones Pérez, Victoriano Lagos Lagos, y sus respectivos familiares. La Comisión registró inicialmente dicha denuncia bajo el número P 707-09.</w:t>
      </w:r>
    </w:p>
  </w:footnote>
  <w:footnote w:id="6">
    <w:p w:rsidR="00923BF7" w:rsidRPr="005E2EBC" w:rsidRDefault="00923BF7" w:rsidP="005E2EBC">
      <w:pPr>
        <w:pStyle w:val="FootnoteText"/>
        <w:spacing w:before="120"/>
        <w:ind w:firstLine="720"/>
        <w:jc w:val="both"/>
        <w:rPr>
          <w:rFonts w:asciiTheme="majorHAnsi" w:hAnsiTheme="majorHAnsi"/>
          <w:sz w:val="16"/>
          <w:szCs w:val="16"/>
          <w:lang w:val="es-E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Petición presentada en representación de Eugenio Iván Montti Cordero y Carmen Margarita Díaz Darricarrere, y sus respectivos familiares. La Comisión registró inicialmente dicha denuncia bajo el número P 798-09.</w:t>
      </w:r>
    </w:p>
  </w:footnote>
  <w:footnote w:id="7">
    <w:p w:rsidR="00923BF7" w:rsidRPr="005E2EBC" w:rsidRDefault="00923BF7" w:rsidP="005E2EBC">
      <w:pPr>
        <w:pStyle w:val="FootnoteText"/>
        <w:spacing w:before="120"/>
        <w:ind w:firstLine="720"/>
        <w:jc w:val="both"/>
        <w:rPr>
          <w:rFonts w:asciiTheme="majorHAnsi" w:eastAsia="Arial Unicode MS" w:hAnsiTheme="majorHAnsi" w:cs="GillSansMT"/>
          <w:color w:val="auto"/>
          <w:sz w:val="16"/>
          <w:szCs w:val="16"/>
          <w:lang w:val="es-ES" w:eastAsia="en-U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Petición presentada en representación de Félix Santiago de la Jara Goyeneche y sus familiares. La Comisión registró inicialmente dicha denuncia bajo el número P 665-11.</w:t>
      </w:r>
    </w:p>
  </w:footnote>
  <w:footnote w:id="8">
    <w:p w:rsidR="00923BF7" w:rsidRPr="005E2EBC" w:rsidRDefault="00923BF7" w:rsidP="005E2EBC">
      <w:pPr>
        <w:pStyle w:val="FootnoteText"/>
        <w:spacing w:before="120"/>
        <w:ind w:firstLine="720"/>
        <w:jc w:val="both"/>
        <w:rPr>
          <w:rFonts w:asciiTheme="majorHAnsi" w:eastAsia="Arial Unicode MS" w:hAnsiTheme="majorHAnsi" w:cs="GillSansMT"/>
          <w:color w:val="auto"/>
          <w:sz w:val="16"/>
          <w:szCs w:val="16"/>
          <w:lang w:val="es-ES" w:eastAsia="en-U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Petición presentada en representación de Luciano Aedo Hidalgo y sus familiares.</w:t>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La Comisión registró inicialmente dicha denuncia bajo el número P 102-08.</w:t>
      </w:r>
    </w:p>
  </w:footnote>
  <w:footnote w:id="9">
    <w:p w:rsidR="00923BF7" w:rsidRPr="005E2EBC" w:rsidRDefault="00923BF7" w:rsidP="005E2EBC">
      <w:pPr>
        <w:pStyle w:val="FootnoteText"/>
        <w:spacing w:before="120"/>
        <w:ind w:firstLine="720"/>
        <w:jc w:val="both"/>
        <w:rPr>
          <w:rFonts w:asciiTheme="majorHAnsi" w:eastAsia="Arial Unicode MS" w:hAnsiTheme="majorHAnsi" w:cs="GillSansMT"/>
          <w:color w:val="auto"/>
          <w:sz w:val="16"/>
          <w:szCs w:val="16"/>
          <w:lang w:val="es-ES" w:eastAsia="en-U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Petición presentada en representación de Felipe Segundo Rivera Gajardo, Gastón Fernando Vidaurrázaga Manríquez, José Humberto Carrasco Tapia, Abraham Muskatblit Eidelstein, y sus respectivos familiares. La Comisión registró inicialmente dicha denuncia bajo el número P 676-11.</w:t>
      </w:r>
    </w:p>
  </w:footnote>
  <w:footnote w:id="10">
    <w:p w:rsidR="00923BF7" w:rsidRPr="005E2EBC" w:rsidRDefault="00923BF7" w:rsidP="005E2EBC">
      <w:pPr>
        <w:pStyle w:val="FootnoteText"/>
        <w:spacing w:before="120"/>
        <w:ind w:firstLine="720"/>
        <w:jc w:val="both"/>
        <w:rPr>
          <w:rFonts w:asciiTheme="majorHAnsi" w:eastAsia="Arial Unicode MS" w:hAnsiTheme="majorHAnsi" w:cs="GillSansMT"/>
          <w:color w:val="auto"/>
          <w:sz w:val="16"/>
          <w:szCs w:val="16"/>
          <w:lang w:val="es-ES" w:eastAsia="en-U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Petición presentada en representación de Cecilia Miguelina Bojanic Abad y Flavio Arquímides Oyarzún Soto, y sus respectivos familiares.</w:t>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La Comisión registró inicialmente dicha denuncia bajo el número P 674-11.</w:t>
      </w:r>
    </w:p>
  </w:footnote>
  <w:footnote w:id="11">
    <w:p w:rsidR="00923BF7" w:rsidRPr="005E2EBC" w:rsidRDefault="00923BF7" w:rsidP="005E2EBC">
      <w:pPr>
        <w:pStyle w:val="FootnoteText"/>
        <w:spacing w:before="120"/>
        <w:ind w:firstLine="720"/>
        <w:jc w:val="both"/>
        <w:rPr>
          <w:rFonts w:asciiTheme="majorHAnsi" w:eastAsia="Arial Unicode MS" w:hAnsiTheme="majorHAnsi" w:cs="GillSansMT"/>
          <w:color w:val="auto"/>
          <w:sz w:val="16"/>
          <w:szCs w:val="16"/>
          <w:lang w:val="es-ES" w:eastAsia="en-U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Petición presentada en representación de José Felix García Franco y sus familiares.</w:t>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La Comisión registró inicialmente dicha denuncia bajo el número P 1275-04.</w:t>
      </w:r>
    </w:p>
  </w:footnote>
  <w:footnote w:id="12">
    <w:p w:rsidR="00923BF7" w:rsidRPr="005E2EBC" w:rsidRDefault="00923BF7" w:rsidP="00CB05D0">
      <w:pPr>
        <w:pStyle w:val="FootnoteText"/>
        <w:spacing w:before="120"/>
        <w:ind w:firstLine="720"/>
        <w:jc w:val="both"/>
        <w:rPr>
          <w:rFonts w:asciiTheme="majorHAnsi" w:eastAsia="Arial Unicode MS" w:hAnsiTheme="majorHAnsi" w:cs="GillSansMT"/>
          <w:color w:val="auto"/>
          <w:sz w:val="16"/>
          <w:szCs w:val="16"/>
          <w:lang w:val="es-ES" w:eastAsia="en-U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Petición presentada en representación de María Arriagada Jerez, Jorge Aillón Lara, y sus respectivos familiares. La Comisión registró inicialmente dicha denuncia bajo el número P 675-11.</w:t>
      </w:r>
    </w:p>
  </w:footnote>
  <w:footnote w:id="13">
    <w:p w:rsidR="00923BF7" w:rsidRPr="005E2EBC" w:rsidRDefault="00923BF7" w:rsidP="005E2EBC">
      <w:pPr>
        <w:pStyle w:val="FootnoteText"/>
        <w:spacing w:before="120"/>
        <w:ind w:firstLine="720"/>
        <w:jc w:val="both"/>
        <w:rPr>
          <w:rFonts w:asciiTheme="majorHAnsi" w:eastAsia="Arial Unicode MS" w:hAnsiTheme="majorHAnsi" w:cs="GillSansMT"/>
          <w:color w:val="auto"/>
          <w:sz w:val="16"/>
          <w:szCs w:val="16"/>
          <w:lang w:val="es-ES" w:eastAsia="en-U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Petición presentada en representación de Marcelo Eduardo Salinas Eytel y sus familiares. La Comisión registró inicialmente dicha denuncia bajo el número P 1051-11.</w:t>
      </w:r>
    </w:p>
  </w:footnote>
  <w:footnote w:id="14">
    <w:p w:rsidR="00923BF7" w:rsidRPr="005E2EBC" w:rsidRDefault="00923BF7" w:rsidP="005E2EBC">
      <w:pPr>
        <w:pStyle w:val="FootnoteText"/>
        <w:spacing w:before="120"/>
        <w:ind w:firstLine="720"/>
        <w:jc w:val="both"/>
        <w:rPr>
          <w:rFonts w:asciiTheme="majorHAnsi" w:eastAsia="Arial Unicode MS" w:hAnsiTheme="majorHAnsi" w:cs="GillSansMT"/>
          <w:color w:val="auto"/>
          <w:sz w:val="16"/>
          <w:szCs w:val="16"/>
          <w:lang w:val="es-ES" w:eastAsia="en-U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E</w:t>
      </w:r>
      <w:r w:rsidR="00120FC9">
        <w:rPr>
          <w:rFonts w:asciiTheme="majorHAnsi" w:eastAsia="Arial Unicode MS" w:hAnsiTheme="majorHAnsi" w:cs="GillSansMT"/>
          <w:color w:val="auto"/>
          <w:sz w:val="16"/>
          <w:szCs w:val="16"/>
          <w:lang w:val="es-ES" w:eastAsia="en-US"/>
        </w:rPr>
        <w:t>n esta fecha se recibieron dos p</w:t>
      </w:r>
      <w:r w:rsidRPr="005E2EBC">
        <w:rPr>
          <w:rFonts w:asciiTheme="majorHAnsi" w:eastAsia="Arial Unicode MS" w:hAnsiTheme="majorHAnsi" w:cs="GillSansMT"/>
          <w:color w:val="auto"/>
          <w:sz w:val="16"/>
          <w:szCs w:val="16"/>
          <w:lang w:val="es-ES" w:eastAsia="en-US"/>
        </w:rPr>
        <w:t>eticiones presentadas en representación de Gerardo Antonio Encina Pérez Miguel Antonio y sus familiares, la cual la Comisión registró inicialmente bajo el número P 1211-10, y en representación de Figueroa Mercado y sus familiares, la cual la Comisión registró inicialmente bajo el número P 1457-10.</w:t>
      </w:r>
    </w:p>
    <w:p w:rsidR="00923BF7" w:rsidRPr="005E2EBC" w:rsidRDefault="00923BF7" w:rsidP="005E2EBC">
      <w:pPr>
        <w:pStyle w:val="FootnoteText"/>
        <w:spacing w:before="120"/>
        <w:ind w:firstLine="720"/>
        <w:jc w:val="both"/>
        <w:rPr>
          <w:rFonts w:asciiTheme="majorHAnsi" w:eastAsia="Arial Unicode MS" w:hAnsiTheme="majorHAnsi" w:cs="GillSansMT"/>
          <w:color w:val="auto"/>
          <w:sz w:val="16"/>
          <w:szCs w:val="16"/>
          <w:lang w:val="es-ES" w:eastAsia="en-US"/>
        </w:rPr>
      </w:pPr>
    </w:p>
    <w:p w:rsidR="00923BF7" w:rsidRPr="005E2EBC" w:rsidRDefault="00923BF7" w:rsidP="005E2EBC">
      <w:pPr>
        <w:pStyle w:val="FootnoteText"/>
        <w:spacing w:before="120"/>
        <w:ind w:firstLine="720"/>
        <w:jc w:val="both"/>
        <w:rPr>
          <w:rFonts w:asciiTheme="majorHAnsi" w:hAnsiTheme="majorHAnsi"/>
          <w:sz w:val="16"/>
          <w:szCs w:val="16"/>
          <w:lang w:val="es-ES"/>
        </w:rPr>
      </w:pPr>
    </w:p>
  </w:footnote>
  <w:footnote w:id="15">
    <w:p w:rsidR="00913552" w:rsidRPr="005E2EBC" w:rsidRDefault="00913552" w:rsidP="005E2EBC">
      <w:pPr>
        <w:pStyle w:val="FootnoteText"/>
        <w:ind w:firstLine="706"/>
        <w:jc w:val="both"/>
        <w:rPr>
          <w:rFonts w:asciiTheme="majorHAnsi" w:hAnsiTheme="majorHAnsi"/>
          <w:sz w:val="16"/>
          <w:szCs w:val="16"/>
          <w:lang w:val="es-E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Los rangos de los agentes estatales del Ejército y Fuerza Aérea han sido obtenidos mediante consulta realizada a la página web http://www.ddhh.gov.cl/filesapp/2.sentenciadef.pdf</w:t>
      </w:r>
    </w:p>
  </w:footnote>
  <w:footnote w:id="16">
    <w:p w:rsidR="00E62363" w:rsidRPr="005E2EBC" w:rsidRDefault="00E62363" w:rsidP="005E2EBC">
      <w:pPr>
        <w:pStyle w:val="HTMLPreformatted"/>
        <w:shd w:val="clear" w:color="auto" w:fill="FFFFFF"/>
        <w:spacing w:before="120"/>
        <w:ind w:firstLine="720"/>
        <w:jc w:val="both"/>
        <w:rPr>
          <w:rFonts w:asciiTheme="majorHAnsi" w:eastAsia="Times New Roman" w:hAnsiTheme="majorHAnsi" w:cs="Courier New"/>
          <w:color w:val="666666"/>
          <w:sz w:val="16"/>
          <w:szCs w:val="16"/>
          <w:bdr w:val="none" w:sz="0" w:space="0" w:color="auto"/>
          <w:lang w:val="es-ES"/>
        </w:rPr>
      </w:pPr>
      <w:r w:rsidRPr="005E2EBC">
        <w:rPr>
          <w:rStyle w:val="FootnoteReference"/>
          <w:rFonts w:asciiTheme="majorHAnsi" w:hAnsiTheme="majorHAnsi"/>
          <w:sz w:val="16"/>
          <w:szCs w:val="16"/>
        </w:rPr>
        <w:footnoteRef/>
      </w:r>
      <w:r w:rsidRPr="005E2EBC">
        <w:rPr>
          <w:rFonts w:asciiTheme="majorHAnsi" w:hAnsiTheme="majorHAnsi" w:cs="GillSansMT"/>
          <w:sz w:val="16"/>
          <w:szCs w:val="16"/>
          <w:lang w:val="es-ES"/>
        </w:rPr>
        <w:t xml:space="preserve"> Esta norma establece que: “Art. 10. Están exentos de responsabilidad criminal: No. 10. El que obra en cumplimiento de un deber o en el ejercicio legítimo de un derecho, autoridad, oficio o</w:t>
      </w:r>
      <w:r w:rsidR="00012631">
        <w:rPr>
          <w:rFonts w:asciiTheme="majorHAnsi" w:hAnsiTheme="majorHAnsi" w:cs="GillSansMT"/>
          <w:sz w:val="16"/>
          <w:szCs w:val="16"/>
          <w:lang w:val="es-ES"/>
        </w:rPr>
        <w:t xml:space="preserve"> </w:t>
      </w:r>
      <w:r w:rsidRPr="005E2EBC">
        <w:rPr>
          <w:rFonts w:asciiTheme="majorHAnsi" w:hAnsiTheme="majorHAnsi" w:cs="GillSansMT"/>
          <w:sz w:val="16"/>
          <w:szCs w:val="16"/>
          <w:lang w:val="es-ES"/>
        </w:rPr>
        <w:t>cargo”.</w:t>
      </w:r>
    </w:p>
  </w:footnote>
  <w:footnote w:id="17">
    <w:p w:rsidR="00E62363" w:rsidRPr="005E2EBC" w:rsidRDefault="00E62363" w:rsidP="005E2EBC">
      <w:pPr>
        <w:pStyle w:val="FootnoteText"/>
        <w:spacing w:before="120"/>
        <w:ind w:firstLine="720"/>
        <w:jc w:val="both"/>
        <w:rPr>
          <w:rFonts w:asciiTheme="majorHAnsi" w:hAnsiTheme="majorHAnsi"/>
          <w:sz w:val="16"/>
          <w:szCs w:val="16"/>
          <w:lang w:val="es-ES"/>
        </w:rPr>
      </w:pPr>
      <w:r w:rsidRPr="005E2EBC">
        <w:rPr>
          <w:rFonts w:asciiTheme="majorHAnsi" w:hAnsiTheme="majorHAnsi"/>
          <w:sz w:val="16"/>
          <w:szCs w:val="16"/>
          <w:vertAlign w:val="superscript"/>
          <w:lang w:val="es-ES"/>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Manuel Eduardo Bascuñán Aravena, José Ignacio Bustos Fuentes, Enrique Ángel Carreño González, Rafael Alonso Díaz Meza, Rolando Antonio Ibarra Ortega (López), Armando Edelmiro Morales Morales, Aurelio Clodomiro Peñailillo Sepúlveda, Luis Alcides Pereira Hernández, Oscar Abdón Retamal Pérez, Luis Enrique Rivera Cofré, José Hernán Riveros Chávez, Oscar Eladio Saldías Daza, Hernán Sarmiento Sabater, Hugo Enrique Soto Campos, Ruperto Oriol Torres Aravena, Edelmiro Antonio Valdez Sepúlveda, Víctor Julio Vivanco Vásquez</w:t>
      </w:r>
      <w:r w:rsidR="00A5499F">
        <w:rPr>
          <w:rFonts w:asciiTheme="majorHAnsi" w:eastAsia="Arial Unicode MS" w:hAnsiTheme="majorHAnsi" w:cs="GillSansMT"/>
          <w:color w:val="auto"/>
          <w:sz w:val="16"/>
          <w:szCs w:val="16"/>
          <w:lang w:val="es-ES" w:eastAsia="en-US"/>
        </w:rPr>
        <w:t xml:space="preserve"> y</w:t>
      </w:r>
      <w:r w:rsidRPr="005E2EBC">
        <w:rPr>
          <w:rFonts w:asciiTheme="majorHAnsi" w:eastAsia="Arial Unicode MS" w:hAnsiTheme="majorHAnsi" w:cs="GillSansMT"/>
          <w:color w:val="auto"/>
          <w:sz w:val="16"/>
          <w:szCs w:val="16"/>
          <w:lang w:val="es-ES" w:eastAsia="en-US"/>
        </w:rPr>
        <w:t xml:space="preserve"> C</w:t>
      </w:r>
      <w:r w:rsidR="00A5499F">
        <w:rPr>
          <w:rFonts w:asciiTheme="majorHAnsi" w:eastAsia="Arial Unicode MS" w:hAnsiTheme="majorHAnsi" w:cs="GillSansMT"/>
          <w:color w:val="auto"/>
          <w:sz w:val="16"/>
          <w:szCs w:val="16"/>
          <w:lang w:val="es-ES" w:eastAsia="en-US"/>
        </w:rPr>
        <w:t xml:space="preserve">laudio Jesús Escanilla Escobar </w:t>
      </w:r>
      <w:r w:rsidRPr="005E2EBC">
        <w:rPr>
          <w:rFonts w:asciiTheme="majorHAnsi" w:eastAsia="Arial Unicode MS" w:hAnsiTheme="majorHAnsi" w:cs="GillSansMT"/>
          <w:color w:val="auto"/>
          <w:sz w:val="16"/>
          <w:szCs w:val="16"/>
          <w:lang w:val="es-ES" w:eastAsia="en-US"/>
        </w:rPr>
        <w:t>.</w:t>
      </w:r>
    </w:p>
  </w:footnote>
  <w:footnote w:id="18">
    <w:p w:rsidR="00E62363" w:rsidRPr="005E2EBC" w:rsidRDefault="00E62363" w:rsidP="005E2EBC">
      <w:pPr>
        <w:pStyle w:val="FootnoteText"/>
        <w:spacing w:before="120"/>
        <w:ind w:firstLine="720"/>
        <w:jc w:val="both"/>
        <w:rPr>
          <w:rFonts w:asciiTheme="majorHAnsi" w:hAnsiTheme="majorHAnsi"/>
          <w:sz w:val="16"/>
          <w:szCs w:val="16"/>
          <w:lang w:val="es-ES"/>
        </w:rPr>
      </w:pPr>
      <w:r w:rsidRPr="005E2EBC">
        <w:rPr>
          <w:rStyle w:val="FootnoteReference"/>
          <w:rFonts w:asciiTheme="majorHAnsi" w:hAnsiTheme="majorHAnsi"/>
          <w:sz w:val="16"/>
          <w:szCs w:val="16"/>
        </w:rPr>
        <w:footnoteRef/>
      </w:r>
      <w:r w:rsidRPr="005E2EBC">
        <w:rPr>
          <w:rFonts w:asciiTheme="majorHAnsi" w:hAnsiTheme="majorHAnsi"/>
          <w:sz w:val="16"/>
          <w:szCs w:val="16"/>
          <w:lang w:val="es-ES"/>
        </w:rPr>
        <w:t xml:space="preserve"> </w:t>
      </w:r>
      <w:r w:rsidRPr="005E2EBC">
        <w:rPr>
          <w:rFonts w:asciiTheme="majorHAnsi" w:eastAsia="Arial Unicode MS" w:hAnsiTheme="majorHAnsi" w:cs="GillSansMT"/>
          <w:color w:val="auto"/>
          <w:sz w:val="16"/>
          <w:szCs w:val="16"/>
          <w:lang w:val="es-ES" w:eastAsia="en-US"/>
        </w:rPr>
        <w:t xml:space="preserve">Refieren que dicho organismo fue creado por el Decreto Ley No. 1.878 de 1977, y que sucedió a la DINA, contando con una estructura organizada de poder, con medios propios y recintos de detención clandestinos.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63" w:rsidRDefault="0021571D" w:rsidP="00CC5A63">
    <w:pPr>
      <w:pStyle w:val="Header"/>
      <w:framePr w:wrap="around" w:vAnchor="text" w:hAnchor="margin" w:xAlign="center" w:y="1"/>
      <w:rPr>
        <w:rStyle w:val="PageNumber"/>
        <w:rFonts w:eastAsia="Trebuchet MS"/>
      </w:rPr>
    </w:pPr>
    <w:r>
      <w:rPr>
        <w:rStyle w:val="PageNumber"/>
        <w:rFonts w:eastAsia="Trebuchet MS"/>
      </w:rPr>
      <w:fldChar w:fldCharType="begin"/>
    </w:r>
    <w:r w:rsidR="00E62363">
      <w:rPr>
        <w:rStyle w:val="PageNumber"/>
        <w:rFonts w:eastAsia="Trebuchet MS"/>
      </w:rPr>
      <w:instrText xml:space="preserve">PAGE  </w:instrText>
    </w:r>
    <w:r>
      <w:rPr>
        <w:rStyle w:val="PageNumber"/>
        <w:rFonts w:eastAsia="Trebuchet MS"/>
      </w:rPr>
      <w:fldChar w:fldCharType="end"/>
    </w:r>
  </w:p>
  <w:p w:rsidR="00E62363" w:rsidRDefault="00E623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63" w:rsidRDefault="00E62363" w:rsidP="00A50FCF">
    <w:pPr>
      <w:pStyle w:val="Header"/>
      <w:tabs>
        <w:tab w:val="clear" w:pos="4320"/>
        <w:tab w:val="clear" w:pos="8640"/>
      </w:tabs>
      <w:jc w:val="center"/>
      <w:rPr>
        <w:sz w:val="22"/>
        <w:szCs w:val="22"/>
      </w:rPr>
    </w:pPr>
    <w:r>
      <w:rPr>
        <w:noProof/>
        <w:sz w:val="22"/>
        <w:szCs w:val="22"/>
      </w:rPr>
      <w:drawing>
        <wp:inline distT="0" distB="0" distL="0" distR="0" wp14:anchorId="1CBEB22A" wp14:editId="5AC5B49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62363" w:rsidRPr="00EC7D62" w:rsidRDefault="0029253D"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146" w:rsidRDefault="00EA0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62E4893"/>
    <w:multiLevelType w:val="hybridMultilevel"/>
    <w:tmpl w:val="225A39EE"/>
    <w:lvl w:ilvl="0" w:tplc="7A50D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2651A"/>
    <w:multiLevelType w:val="hybridMultilevel"/>
    <w:tmpl w:val="CEE4A326"/>
    <w:lvl w:ilvl="0" w:tplc="7258FFEA">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D15AE3C4"/>
    <w:lvl w:ilvl="0" w:tplc="5B34573C">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7DB618C"/>
    <w:multiLevelType w:val="hybridMultilevel"/>
    <w:tmpl w:val="20B0520A"/>
    <w:lvl w:ilvl="0" w:tplc="0409000F">
      <w:start w:val="1"/>
      <w:numFmt w:val="decimal"/>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EC402F6"/>
    <w:multiLevelType w:val="hybridMultilevel"/>
    <w:tmpl w:val="ED7418C0"/>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975CB"/>
    <w:multiLevelType w:val="multilevel"/>
    <w:tmpl w:val="0C0A0027"/>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8F22B0"/>
    <w:multiLevelType w:val="hybridMultilevel"/>
    <w:tmpl w:val="BA00285E"/>
    <w:lvl w:ilvl="0" w:tplc="3AD6B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9F47655"/>
    <w:multiLevelType w:val="hybridMultilevel"/>
    <w:tmpl w:val="BB9A9FC8"/>
    <w:lvl w:ilvl="0" w:tplc="000C35F2">
      <w:start w:val="1"/>
      <w:numFmt w:val="decimal"/>
      <w:lvlText w:val="%1."/>
      <w:lvlJc w:val="left"/>
      <w:pPr>
        <w:tabs>
          <w:tab w:val="num" w:pos="540"/>
        </w:tabs>
        <w:ind w:left="-180" w:firstLine="720"/>
      </w:pPr>
      <w:rPr>
        <w:rFonts w:cs="Times New Roman" w:hint="default"/>
        <w:b w:val="0"/>
        <w:color w:val="000000"/>
        <w:sz w:val="20"/>
        <w:szCs w:val="20"/>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CE01992"/>
    <w:multiLevelType w:val="hybridMultilevel"/>
    <w:tmpl w:val="CD9C84E0"/>
    <w:lvl w:ilvl="0" w:tplc="6EFE9E70">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907255"/>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8"/>
  </w:num>
  <w:num w:numId="3">
    <w:abstractNumId w:val="60"/>
  </w:num>
  <w:num w:numId="4">
    <w:abstractNumId w:val="25"/>
  </w:num>
  <w:num w:numId="5">
    <w:abstractNumId w:val="51"/>
  </w:num>
  <w:num w:numId="6">
    <w:abstractNumId w:val="30"/>
  </w:num>
  <w:num w:numId="7">
    <w:abstractNumId w:val="10"/>
  </w:num>
  <w:num w:numId="8">
    <w:abstractNumId w:val="21"/>
  </w:num>
  <w:num w:numId="9">
    <w:abstractNumId w:val="46"/>
  </w:num>
  <w:num w:numId="10">
    <w:abstractNumId w:val="1"/>
  </w:num>
  <w:num w:numId="11">
    <w:abstractNumId w:val="41"/>
  </w:num>
  <w:num w:numId="12">
    <w:abstractNumId w:val="42"/>
  </w:num>
  <w:num w:numId="13">
    <w:abstractNumId w:val="47"/>
  </w:num>
  <w:num w:numId="14">
    <w:abstractNumId w:val="2"/>
  </w:num>
  <w:num w:numId="15">
    <w:abstractNumId w:val="5"/>
  </w:num>
  <w:num w:numId="16">
    <w:abstractNumId w:val="11"/>
  </w:num>
  <w:num w:numId="17">
    <w:abstractNumId w:val="12"/>
  </w:num>
  <w:num w:numId="18">
    <w:abstractNumId w:val="13"/>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2"/>
  </w:num>
  <w:num w:numId="26">
    <w:abstractNumId w:val="23"/>
  </w:num>
  <w:num w:numId="27">
    <w:abstractNumId w:val="26"/>
  </w:num>
  <w:num w:numId="28">
    <w:abstractNumId w:val="27"/>
  </w:num>
  <w:num w:numId="29">
    <w:abstractNumId w:val="28"/>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8"/>
  </w:num>
  <w:num w:numId="38">
    <w:abstractNumId w:val="39"/>
  </w:num>
  <w:num w:numId="39">
    <w:abstractNumId w:val="43"/>
  </w:num>
  <w:num w:numId="40">
    <w:abstractNumId w:val="44"/>
  </w:num>
  <w:num w:numId="41">
    <w:abstractNumId w:val="49"/>
  </w:num>
  <w:num w:numId="42">
    <w:abstractNumId w:val="53"/>
  </w:num>
  <w:num w:numId="43">
    <w:abstractNumId w:val="55"/>
  </w:num>
  <w:num w:numId="44">
    <w:abstractNumId w:val="58"/>
  </w:num>
  <w:num w:numId="45">
    <w:abstractNumId w:val="59"/>
  </w:num>
  <w:num w:numId="46">
    <w:abstractNumId w:val="61"/>
  </w:num>
  <w:num w:numId="47">
    <w:abstractNumId w:val="62"/>
  </w:num>
  <w:num w:numId="48">
    <w:abstractNumId w:val="63"/>
  </w:num>
  <w:num w:numId="49">
    <w:abstractNumId w:val="65"/>
  </w:num>
  <w:num w:numId="50">
    <w:abstractNumId w:val="66"/>
  </w:num>
  <w:num w:numId="51">
    <w:abstractNumId w:val="24"/>
  </w:num>
  <w:num w:numId="52">
    <w:abstractNumId w:val="45"/>
  </w:num>
  <w:num w:numId="53">
    <w:abstractNumId w:val="57"/>
  </w:num>
  <w:num w:numId="54">
    <w:abstractNumId w:val="48"/>
  </w:num>
  <w:num w:numId="55">
    <w:abstractNumId w:val="50"/>
  </w:num>
  <w:num w:numId="56">
    <w:abstractNumId w:val="7"/>
  </w:num>
  <w:num w:numId="57">
    <w:abstractNumId w:val="14"/>
  </w:num>
  <w:num w:numId="58">
    <w:abstractNumId w:val="56"/>
  </w:num>
  <w:num w:numId="59">
    <w:abstractNumId w:val="54"/>
  </w:num>
  <w:num w:numId="60">
    <w:abstractNumId w:val="52"/>
  </w:num>
  <w:num w:numId="61">
    <w:abstractNumId w:val="36"/>
  </w:num>
  <w:num w:numId="62">
    <w:abstractNumId w:val="40"/>
  </w:num>
  <w:num w:numId="63">
    <w:abstractNumId w:val="3"/>
  </w:num>
  <w:num w:numId="64">
    <w:abstractNumId w:val="64"/>
  </w:num>
  <w:num w:numId="65">
    <w:abstractNumId w:val="4"/>
  </w:num>
  <w:num w:numId="66">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1AA"/>
    <w:rsid w:val="0000036F"/>
    <w:rsid w:val="00000CDA"/>
    <w:rsid w:val="000029A7"/>
    <w:rsid w:val="00003238"/>
    <w:rsid w:val="00004ED7"/>
    <w:rsid w:val="00005143"/>
    <w:rsid w:val="00006D0D"/>
    <w:rsid w:val="00006E1F"/>
    <w:rsid w:val="000070D7"/>
    <w:rsid w:val="00007555"/>
    <w:rsid w:val="0001077B"/>
    <w:rsid w:val="000119F0"/>
    <w:rsid w:val="00011EA7"/>
    <w:rsid w:val="00012631"/>
    <w:rsid w:val="00014A4B"/>
    <w:rsid w:val="00015ED5"/>
    <w:rsid w:val="00016185"/>
    <w:rsid w:val="00016890"/>
    <w:rsid w:val="00016940"/>
    <w:rsid w:val="0001788C"/>
    <w:rsid w:val="00017A2A"/>
    <w:rsid w:val="00020C8B"/>
    <w:rsid w:val="0002301B"/>
    <w:rsid w:val="000233FC"/>
    <w:rsid w:val="00023919"/>
    <w:rsid w:val="00023DEC"/>
    <w:rsid w:val="000240CE"/>
    <w:rsid w:val="00024204"/>
    <w:rsid w:val="00024654"/>
    <w:rsid w:val="000259FD"/>
    <w:rsid w:val="00026FDC"/>
    <w:rsid w:val="000273FD"/>
    <w:rsid w:val="00027475"/>
    <w:rsid w:val="00027931"/>
    <w:rsid w:val="0003090A"/>
    <w:rsid w:val="0003117A"/>
    <w:rsid w:val="00032B2B"/>
    <w:rsid w:val="00033D0B"/>
    <w:rsid w:val="00036321"/>
    <w:rsid w:val="00037E6B"/>
    <w:rsid w:val="00040C3A"/>
    <w:rsid w:val="00041257"/>
    <w:rsid w:val="000426EB"/>
    <w:rsid w:val="000435FC"/>
    <w:rsid w:val="00044371"/>
    <w:rsid w:val="000450AB"/>
    <w:rsid w:val="00046B01"/>
    <w:rsid w:val="00047F1B"/>
    <w:rsid w:val="00050AC2"/>
    <w:rsid w:val="00051575"/>
    <w:rsid w:val="000545D6"/>
    <w:rsid w:val="00054A9F"/>
    <w:rsid w:val="00054DD6"/>
    <w:rsid w:val="00057A41"/>
    <w:rsid w:val="00057DD7"/>
    <w:rsid w:val="00057EE5"/>
    <w:rsid w:val="00060818"/>
    <w:rsid w:val="00061918"/>
    <w:rsid w:val="000623F2"/>
    <w:rsid w:val="00063713"/>
    <w:rsid w:val="000640A0"/>
    <w:rsid w:val="00065EF6"/>
    <w:rsid w:val="00066960"/>
    <w:rsid w:val="00066DE8"/>
    <w:rsid w:val="0006760C"/>
    <w:rsid w:val="0007016D"/>
    <w:rsid w:val="000701B0"/>
    <w:rsid w:val="00070F83"/>
    <w:rsid w:val="000716C5"/>
    <w:rsid w:val="00073098"/>
    <w:rsid w:val="0007318B"/>
    <w:rsid w:val="00074055"/>
    <w:rsid w:val="00075E23"/>
    <w:rsid w:val="000809C3"/>
    <w:rsid w:val="00080A44"/>
    <w:rsid w:val="0008448B"/>
    <w:rsid w:val="0009344A"/>
    <w:rsid w:val="000941C3"/>
    <w:rsid w:val="0009521C"/>
    <w:rsid w:val="000A072E"/>
    <w:rsid w:val="000A135F"/>
    <w:rsid w:val="000A392E"/>
    <w:rsid w:val="000A4579"/>
    <w:rsid w:val="000A575F"/>
    <w:rsid w:val="000A67FF"/>
    <w:rsid w:val="000A7941"/>
    <w:rsid w:val="000A79AD"/>
    <w:rsid w:val="000B0733"/>
    <w:rsid w:val="000B195C"/>
    <w:rsid w:val="000B1C4A"/>
    <w:rsid w:val="000B3D5D"/>
    <w:rsid w:val="000B494D"/>
    <w:rsid w:val="000C1332"/>
    <w:rsid w:val="000C2DEA"/>
    <w:rsid w:val="000C5E5A"/>
    <w:rsid w:val="000D02FA"/>
    <w:rsid w:val="000D10DB"/>
    <w:rsid w:val="000D1231"/>
    <w:rsid w:val="000D7E9C"/>
    <w:rsid w:val="000D7F8F"/>
    <w:rsid w:val="000E2DE1"/>
    <w:rsid w:val="000E3456"/>
    <w:rsid w:val="000E48F9"/>
    <w:rsid w:val="000E4D5F"/>
    <w:rsid w:val="000E5961"/>
    <w:rsid w:val="000E5EB5"/>
    <w:rsid w:val="000E6391"/>
    <w:rsid w:val="000E6839"/>
    <w:rsid w:val="000F013A"/>
    <w:rsid w:val="000F1C58"/>
    <w:rsid w:val="000F2F85"/>
    <w:rsid w:val="000F31AE"/>
    <w:rsid w:val="000F35ED"/>
    <w:rsid w:val="000F38E9"/>
    <w:rsid w:val="000F4059"/>
    <w:rsid w:val="00100D33"/>
    <w:rsid w:val="00103086"/>
    <w:rsid w:val="0010418E"/>
    <w:rsid w:val="00105B85"/>
    <w:rsid w:val="00105B99"/>
    <w:rsid w:val="00107131"/>
    <w:rsid w:val="0010736F"/>
    <w:rsid w:val="001105AA"/>
    <w:rsid w:val="0011169C"/>
    <w:rsid w:val="00112D7A"/>
    <w:rsid w:val="00113F73"/>
    <w:rsid w:val="001148A3"/>
    <w:rsid w:val="0011537A"/>
    <w:rsid w:val="00116D8B"/>
    <w:rsid w:val="00120B75"/>
    <w:rsid w:val="00120FC9"/>
    <w:rsid w:val="00121CC2"/>
    <w:rsid w:val="00124020"/>
    <w:rsid w:val="001244C9"/>
    <w:rsid w:val="00126C2F"/>
    <w:rsid w:val="00131801"/>
    <w:rsid w:val="00132306"/>
    <w:rsid w:val="00133EE5"/>
    <w:rsid w:val="00136D4B"/>
    <w:rsid w:val="001375F0"/>
    <w:rsid w:val="001422F4"/>
    <w:rsid w:val="001435BA"/>
    <w:rsid w:val="00143CC8"/>
    <w:rsid w:val="00144309"/>
    <w:rsid w:val="00151838"/>
    <w:rsid w:val="0015252C"/>
    <w:rsid w:val="00153196"/>
    <w:rsid w:val="0015327F"/>
    <w:rsid w:val="0015623E"/>
    <w:rsid w:val="001603D2"/>
    <w:rsid w:val="00165A27"/>
    <w:rsid w:val="00166C6B"/>
    <w:rsid w:val="00167834"/>
    <w:rsid w:val="00167A34"/>
    <w:rsid w:val="00167C53"/>
    <w:rsid w:val="00171A4B"/>
    <w:rsid w:val="00171E67"/>
    <w:rsid w:val="001726B5"/>
    <w:rsid w:val="00174665"/>
    <w:rsid w:val="001779B0"/>
    <w:rsid w:val="00181715"/>
    <w:rsid w:val="00182D70"/>
    <w:rsid w:val="0018336B"/>
    <w:rsid w:val="00184258"/>
    <w:rsid w:val="0018517C"/>
    <w:rsid w:val="00186D8A"/>
    <w:rsid w:val="00186F68"/>
    <w:rsid w:val="00187EF4"/>
    <w:rsid w:val="00190F18"/>
    <w:rsid w:val="00192370"/>
    <w:rsid w:val="00193739"/>
    <w:rsid w:val="0019485B"/>
    <w:rsid w:val="0019590A"/>
    <w:rsid w:val="001A0EB5"/>
    <w:rsid w:val="001A2A8E"/>
    <w:rsid w:val="001A433F"/>
    <w:rsid w:val="001A5F1C"/>
    <w:rsid w:val="001A60AF"/>
    <w:rsid w:val="001A6194"/>
    <w:rsid w:val="001A701C"/>
    <w:rsid w:val="001A7870"/>
    <w:rsid w:val="001B030F"/>
    <w:rsid w:val="001B4E23"/>
    <w:rsid w:val="001B5F27"/>
    <w:rsid w:val="001B79DD"/>
    <w:rsid w:val="001C1B41"/>
    <w:rsid w:val="001C2456"/>
    <w:rsid w:val="001C52F6"/>
    <w:rsid w:val="001C6A6F"/>
    <w:rsid w:val="001D222F"/>
    <w:rsid w:val="001D435E"/>
    <w:rsid w:val="001D4DC3"/>
    <w:rsid w:val="001D5532"/>
    <w:rsid w:val="001D5E90"/>
    <w:rsid w:val="001D6410"/>
    <w:rsid w:val="001D65EF"/>
    <w:rsid w:val="001D7AB3"/>
    <w:rsid w:val="001E0480"/>
    <w:rsid w:val="001E062B"/>
    <w:rsid w:val="001E0DC3"/>
    <w:rsid w:val="001E4142"/>
    <w:rsid w:val="001E4A62"/>
    <w:rsid w:val="001E5403"/>
    <w:rsid w:val="001E5795"/>
    <w:rsid w:val="001E758E"/>
    <w:rsid w:val="001F143D"/>
    <w:rsid w:val="001F507B"/>
    <w:rsid w:val="001F56A4"/>
    <w:rsid w:val="001F6B8F"/>
    <w:rsid w:val="001F6D2B"/>
    <w:rsid w:val="001F7AFD"/>
    <w:rsid w:val="00201166"/>
    <w:rsid w:val="002032E1"/>
    <w:rsid w:val="002076DC"/>
    <w:rsid w:val="00210927"/>
    <w:rsid w:val="00210D19"/>
    <w:rsid w:val="00211A8A"/>
    <w:rsid w:val="00213ADA"/>
    <w:rsid w:val="0021571D"/>
    <w:rsid w:val="00215986"/>
    <w:rsid w:val="002162DD"/>
    <w:rsid w:val="002165DD"/>
    <w:rsid w:val="002165F1"/>
    <w:rsid w:val="00216F53"/>
    <w:rsid w:val="00220622"/>
    <w:rsid w:val="0022115C"/>
    <w:rsid w:val="00221FF8"/>
    <w:rsid w:val="00224CEC"/>
    <w:rsid w:val="002250A3"/>
    <w:rsid w:val="00226DC3"/>
    <w:rsid w:val="002343F9"/>
    <w:rsid w:val="00235217"/>
    <w:rsid w:val="00235934"/>
    <w:rsid w:val="00240F4C"/>
    <w:rsid w:val="0024125C"/>
    <w:rsid w:val="00241D01"/>
    <w:rsid w:val="002445F7"/>
    <w:rsid w:val="002452DC"/>
    <w:rsid w:val="0024686C"/>
    <w:rsid w:val="00246D1F"/>
    <w:rsid w:val="00247403"/>
    <w:rsid w:val="00247542"/>
    <w:rsid w:val="00247DF2"/>
    <w:rsid w:val="00251C98"/>
    <w:rsid w:val="00252D08"/>
    <w:rsid w:val="00253500"/>
    <w:rsid w:val="00253F6C"/>
    <w:rsid w:val="00256688"/>
    <w:rsid w:val="00257138"/>
    <w:rsid w:val="0025783F"/>
    <w:rsid w:val="0026247A"/>
    <w:rsid w:val="00262C5A"/>
    <w:rsid w:val="00264364"/>
    <w:rsid w:val="0026525D"/>
    <w:rsid w:val="00266195"/>
    <w:rsid w:val="00266B61"/>
    <w:rsid w:val="00266E63"/>
    <w:rsid w:val="0026712A"/>
    <w:rsid w:val="00267D9F"/>
    <w:rsid w:val="002704DB"/>
    <w:rsid w:val="00270709"/>
    <w:rsid w:val="00273323"/>
    <w:rsid w:val="00273714"/>
    <w:rsid w:val="0027561A"/>
    <w:rsid w:val="00276509"/>
    <w:rsid w:val="00276C5E"/>
    <w:rsid w:val="00280867"/>
    <w:rsid w:val="00280DBC"/>
    <w:rsid w:val="002813AC"/>
    <w:rsid w:val="0029253D"/>
    <w:rsid w:val="002940B2"/>
    <w:rsid w:val="002965A0"/>
    <w:rsid w:val="00296B39"/>
    <w:rsid w:val="00296FCC"/>
    <w:rsid w:val="00297B3F"/>
    <w:rsid w:val="002A0AAE"/>
    <w:rsid w:val="002A14D6"/>
    <w:rsid w:val="002A1F14"/>
    <w:rsid w:val="002A28A4"/>
    <w:rsid w:val="002A4C7A"/>
    <w:rsid w:val="002A5820"/>
    <w:rsid w:val="002A621F"/>
    <w:rsid w:val="002B0611"/>
    <w:rsid w:val="002B0D08"/>
    <w:rsid w:val="002B0EF5"/>
    <w:rsid w:val="002C22F5"/>
    <w:rsid w:val="002C2AC8"/>
    <w:rsid w:val="002C3435"/>
    <w:rsid w:val="002C3E29"/>
    <w:rsid w:val="002C5D1B"/>
    <w:rsid w:val="002D09D6"/>
    <w:rsid w:val="002D09E2"/>
    <w:rsid w:val="002D153E"/>
    <w:rsid w:val="002D28DC"/>
    <w:rsid w:val="002D2B26"/>
    <w:rsid w:val="002D2E60"/>
    <w:rsid w:val="002D5913"/>
    <w:rsid w:val="002D6ABE"/>
    <w:rsid w:val="002D7AB0"/>
    <w:rsid w:val="002D7EA2"/>
    <w:rsid w:val="002E0A91"/>
    <w:rsid w:val="002E187C"/>
    <w:rsid w:val="002E25B3"/>
    <w:rsid w:val="002E2AB9"/>
    <w:rsid w:val="002E501A"/>
    <w:rsid w:val="002E54A1"/>
    <w:rsid w:val="002E6E81"/>
    <w:rsid w:val="002F32FB"/>
    <w:rsid w:val="002F3805"/>
    <w:rsid w:val="002F4370"/>
    <w:rsid w:val="002F471D"/>
    <w:rsid w:val="002F4DBB"/>
    <w:rsid w:val="002F5BAE"/>
    <w:rsid w:val="002F6EED"/>
    <w:rsid w:val="00302733"/>
    <w:rsid w:val="00302A79"/>
    <w:rsid w:val="00302D82"/>
    <w:rsid w:val="003031BA"/>
    <w:rsid w:val="00303272"/>
    <w:rsid w:val="00305AC4"/>
    <w:rsid w:val="00305DC4"/>
    <w:rsid w:val="0031137D"/>
    <w:rsid w:val="003120B1"/>
    <w:rsid w:val="00312D91"/>
    <w:rsid w:val="00313751"/>
    <w:rsid w:val="00314078"/>
    <w:rsid w:val="0031535D"/>
    <w:rsid w:val="00316067"/>
    <w:rsid w:val="003205C9"/>
    <w:rsid w:val="00321631"/>
    <w:rsid w:val="00331369"/>
    <w:rsid w:val="00331491"/>
    <w:rsid w:val="0033169F"/>
    <w:rsid w:val="00331D0B"/>
    <w:rsid w:val="00333E3E"/>
    <w:rsid w:val="00334621"/>
    <w:rsid w:val="0033467B"/>
    <w:rsid w:val="003349BC"/>
    <w:rsid w:val="00336F63"/>
    <w:rsid w:val="00337081"/>
    <w:rsid w:val="00337A8C"/>
    <w:rsid w:val="00342515"/>
    <w:rsid w:val="003432C6"/>
    <w:rsid w:val="00343F16"/>
    <w:rsid w:val="00344C4F"/>
    <w:rsid w:val="00346C95"/>
    <w:rsid w:val="00353D20"/>
    <w:rsid w:val="00355DBB"/>
    <w:rsid w:val="00356185"/>
    <w:rsid w:val="00360380"/>
    <w:rsid w:val="003633DF"/>
    <w:rsid w:val="0036424D"/>
    <w:rsid w:val="00365D51"/>
    <w:rsid w:val="0036642E"/>
    <w:rsid w:val="003664B3"/>
    <w:rsid w:val="003678D6"/>
    <w:rsid w:val="003701DC"/>
    <w:rsid w:val="003719A4"/>
    <w:rsid w:val="00372C61"/>
    <w:rsid w:val="003737D8"/>
    <w:rsid w:val="0037519E"/>
    <w:rsid w:val="00377942"/>
    <w:rsid w:val="0038083A"/>
    <w:rsid w:val="00381CE5"/>
    <w:rsid w:val="00382164"/>
    <w:rsid w:val="00382568"/>
    <w:rsid w:val="003849F4"/>
    <w:rsid w:val="003866B8"/>
    <w:rsid w:val="00386947"/>
    <w:rsid w:val="00386CF0"/>
    <w:rsid w:val="00386D17"/>
    <w:rsid w:val="00387556"/>
    <w:rsid w:val="00387599"/>
    <w:rsid w:val="0039051C"/>
    <w:rsid w:val="003917AB"/>
    <w:rsid w:val="00392416"/>
    <w:rsid w:val="003928F0"/>
    <w:rsid w:val="0039320E"/>
    <w:rsid w:val="00393B16"/>
    <w:rsid w:val="00394F08"/>
    <w:rsid w:val="00396807"/>
    <w:rsid w:val="003977A0"/>
    <w:rsid w:val="003A1D57"/>
    <w:rsid w:val="003A1F87"/>
    <w:rsid w:val="003A277A"/>
    <w:rsid w:val="003A6B58"/>
    <w:rsid w:val="003B0935"/>
    <w:rsid w:val="003B1A72"/>
    <w:rsid w:val="003B25EC"/>
    <w:rsid w:val="003B2D86"/>
    <w:rsid w:val="003B75C0"/>
    <w:rsid w:val="003C01D3"/>
    <w:rsid w:val="003C2691"/>
    <w:rsid w:val="003C2BF1"/>
    <w:rsid w:val="003C38BF"/>
    <w:rsid w:val="003C676B"/>
    <w:rsid w:val="003C7077"/>
    <w:rsid w:val="003D1903"/>
    <w:rsid w:val="003D2966"/>
    <w:rsid w:val="003D2C18"/>
    <w:rsid w:val="003D3BC2"/>
    <w:rsid w:val="003D51F2"/>
    <w:rsid w:val="003D5D26"/>
    <w:rsid w:val="003D6917"/>
    <w:rsid w:val="003E13B3"/>
    <w:rsid w:val="003E39EA"/>
    <w:rsid w:val="003E45E9"/>
    <w:rsid w:val="003E67C0"/>
    <w:rsid w:val="003E6CA1"/>
    <w:rsid w:val="003E6DD0"/>
    <w:rsid w:val="003F08ED"/>
    <w:rsid w:val="003F2051"/>
    <w:rsid w:val="003F6F88"/>
    <w:rsid w:val="0040049D"/>
    <w:rsid w:val="00400F2F"/>
    <w:rsid w:val="00401B91"/>
    <w:rsid w:val="00401BF3"/>
    <w:rsid w:val="00402128"/>
    <w:rsid w:val="00402F64"/>
    <w:rsid w:val="004030C5"/>
    <w:rsid w:val="00403570"/>
    <w:rsid w:val="00405272"/>
    <w:rsid w:val="004065A9"/>
    <w:rsid w:val="0040696D"/>
    <w:rsid w:val="004108AC"/>
    <w:rsid w:val="004111E4"/>
    <w:rsid w:val="004165C2"/>
    <w:rsid w:val="004170BA"/>
    <w:rsid w:val="00420277"/>
    <w:rsid w:val="004209BA"/>
    <w:rsid w:val="00420A53"/>
    <w:rsid w:val="00420D5D"/>
    <w:rsid w:val="00425BD8"/>
    <w:rsid w:val="00430EC5"/>
    <w:rsid w:val="004327C3"/>
    <w:rsid w:val="00433274"/>
    <w:rsid w:val="004351B9"/>
    <w:rsid w:val="0043547F"/>
    <w:rsid w:val="0043556F"/>
    <w:rsid w:val="00436681"/>
    <w:rsid w:val="004405E4"/>
    <w:rsid w:val="00440A72"/>
    <w:rsid w:val="00440D2C"/>
    <w:rsid w:val="00441DBA"/>
    <w:rsid w:val="00441ECB"/>
    <w:rsid w:val="00445327"/>
    <w:rsid w:val="00450386"/>
    <w:rsid w:val="00451400"/>
    <w:rsid w:val="00451FCE"/>
    <w:rsid w:val="004526E1"/>
    <w:rsid w:val="00453338"/>
    <w:rsid w:val="004535EF"/>
    <w:rsid w:val="00455147"/>
    <w:rsid w:val="0045564E"/>
    <w:rsid w:val="00455EA9"/>
    <w:rsid w:val="00463075"/>
    <w:rsid w:val="00463893"/>
    <w:rsid w:val="00463C62"/>
    <w:rsid w:val="00467B7E"/>
    <w:rsid w:val="00467D6A"/>
    <w:rsid w:val="004700C1"/>
    <w:rsid w:val="0047161C"/>
    <w:rsid w:val="0047191B"/>
    <w:rsid w:val="00472ACD"/>
    <w:rsid w:val="00472BD1"/>
    <w:rsid w:val="00473E44"/>
    <w:rsid w:val="004768F6"/>
    <w:rsid w:val="00476DFF"/>
    <w:rsid w:val="00476F2C"/>
    <w:rsid w:val="00477592"/>
    <w:rsid w:val="004806E3"/>
    <w:rsid w:val="00480D89"/>
    <w:rsid w:val="00481161"/>
    <w:rsid w:val="0048165E"/>
    <w:rsid w:val="00481DB8"/>
    <w:rsid w:val="00484310"/>
    <w:rsid w:val="004849CF"/>
    <w:rsid w:val="00485810"/>
    <w:rsid w:val="00486E54"/>
    <w:rsid w:val="00486F1C"/>
    <w:rsid w:val="00490634"/>
    <w:rsid w:val="004913EA"/>
    <w:rsid w:val="00492C2D"/>
    <w:rsid w:val="0049419D"/>
    <w:rsid w:val="0049443B"/>
    <w:rsid w:val="00495A73"/>
    <w:rsid w:val="00496B13"/>
    <w:rsid w:val="00497413"/>
    <w:rsid w:val="004A03E9"/>
    <w:rsid w:val="004A6E91"/>
    <w:rsid w:val="004A7C1E"/>
    <w:rsid w:val="004B08A0"/>
    <w:rsid w:val="004B252D"/>
    <w:rsid w:val="004B309E"/>
    <w:rsid w:val="004B592B"/>
    <w:rsid w:val="004B5AF6"/>
    <w:rsid w:val="004B5ECA"/>
    <w:rsid w:val="004B6719"/>
    <w:rsid w:val="004B6F40"/>
    <w:rsid w:val="004B7A65"/>
    <w:rsid w:val="004C0B20"/>
    <w:rsid w:val="004C1939"/>
    <w:rsid w:val="004C20D2"/>
    <w:rsid w:val="004C4B62"/>
    <w:rsid w:val="004C54C9"/>
    <w:rsid w:val="004C56F7"/>
    <w:rsid w:val="004C5E3B"/>
    <w:rsid w:val="004C6E94"/>
    <w:rsid w:val="004C726A"/>
    <w:rsid w:val="004D01F4"/>
    <w:rsid w:val="004D077C"/>
    <w:rsid w:val="004D0C4A"/>
    <w:rsid w:val="004D1F1D"/>
    <w:rsid w:val="004D2F33"/>
    <w:rsid w:val="004D3DCC"/>
    <w:rsid w:val="004D5134"/>
    <w:rsid w:val="004D6025"/>
    <w:rsid w:val="004D66D6"/>
    <w:rsid w:val="004E2483"/>
    <w:rsid w:val="004E2649"/>
    <w:rsid w:val="004E3D60"/>
    <w:rsid w:val="004E4235"/>
    <w:rsid w:val="004E4600"/>
    <w:rsid w:val="004E5B9D"/>
    <w:rsid w:val="004E6EAE"/>
    <w:rsid w:val="004E7402"/>
    <w:rsid w:val="004F1420"/>
    <w:rsid w:val="004F1DE6"/>
    <w:rsid w:val="004F2CDF"/>
    <w:rsid w:val="004F3A5F"/>
    <w:rsid w:val="004F3EAD"/>
    <w:rsid w:val="004F4EE0"/>
    <w:rsid w:val="004F4F8C"/>
    <w:rsid w:val="004F51ED"/>
    <w:rsid w:val="004F5503"/>
    <w:rsid w:val="004F7755"/>
    <w:rsid w:val="00500E4F"/>
    <w:rsid w:val="00501399"/>
    <w:rsid w:val="00501A4D"/>
    <w:rsid w:val="00501BC9"/>
    <w:rsid w:val="0050633D"/>
    <w:rsid w:val="005079FB"/>
    <w:rsid w:val="00507BC4"/>
    <w:rsid w:val="0051190A"/>
    <w:rsid w:val="00511D13"/>
    <w:rsid w:val="005128E4"/>
    <w:rsid w:val="00512D0A"/>
    <w:rsid w:val="005133DB"/>
    <w:rsid w:val="00516100"/>
    <w:rsid w:val="00517210"/>
    <w:rsid w:val="005227CA"/>
    <w:rsid w:val="005239EA"/>
    <w:rsid w:val="00525535"/>
    <w:rsid w:val="00525560"/>
    <w:rsid w:val="0052664C"/>
    <w:rsid w:val="005267A7"/>
    <w:rsid w:val="005316A2"/>
    <w:rsid w:val="00531A90"/>
    <w:rsid w:val="00531D2B"/>
    <w:rsid w:val="00533730"/>
    <w:rsid w:val="005343ED"/>
    <w:rsid w:val="00534578"/>
    <w:rsid w:val="00537C57"/>
    <w:rsid w:val="0054078E"/>
    <w:rsid w:val="00540BFB"/>
    <w:rsid w:val="005414D2"/>
    <w:rsid w:val="00541CA3"/>
    <w:rsid w:val="00543878"/>
    <w:rsid w:val="00544C49"/>
    <w:rsid w:val="0054674E"/>
    <w:rsid w:val="00547321"/>
    <w:rsid w:val="00547D7F"/>
    <w:rsid w:val="005516A1"/>
    <w:rsid w:val="0055235E"/>
    <w:rsid w:val="00553123"/>
    <w:rsid w:val="0055507F"/>
    <w:rsid w:val="005570F1"/>
    <w:rsid w:val="005572A2"/>
    <w:rsid w:val="0055767B"/>
    <w:rsid w:val="00563075"/>
    <w:rsid w:val="00564377"/>
    <w:rsid w:val="00564E5E"/>
    <w:rsid w:val="00565DFF"/>
    <w:rsid w:val="00565EAA"/>
    <w:rsid w:val="00567677"/>
    <w:rsid w:val="00570069"/>
    <w:rsid w:val="00573728"/>
    <w:rsid w:val="00573E26"/>
    <w:rsid w:val="0057402A"/>
    <w:rsid w:val="0057417F"/>
    <w:rsid w:val="00574DA7"/>
    <w:rsid w:val="00575629"/>
    <w:rsid w:val="0057617B"/>
    <w:rsid w:val="00576259"/>
    <w:rsid w:val="005770DD"/>
    <w:rsid w:val="005771D0"/>
    <w:rsid w:val="00577B40"/>
    <w:rsid w:val="005801FE"/>
    <w:rsid w:val="00580A6E"/>
    <w:rsid w:val="0058180A"/>
    <w:rsid w:val="0058642A"/>
    <w:rsid w:val="0058798F"/>
    <w:rsid w:val="0059191A"/>
    <w:rsid w:val="00592149"/>
    <w:rsid w:val="005921FF"/>
    <w:rsid w:val="00594FDA"/>
    <w:rsid w:val="00596813"/>
    <w:rsid w:val="00596831"/>
    <w:rsid w:val="005A3E08"/>
    <w:rsid w:val="005A48C0"/>
    <w:rsid w:val="005A5317"/>
    <w:rsid w:val="005A559F"/>
    <w:rsid w:val="005A5BC5"/>
    <w:rsid w:val="005A5CFB"/>
    <w:rsid w:val="005A653D"/>
    <w:rsid w:val="005A6D0E"/>
    <w:rsid w:val="005A789F"/>
    <w:rsid w:val="005B00CA"/>
    <w:rsid w:val="005B0DA0"/>
    <w:rsid w:val="005B0EE4"/>
    <w:rsid w:val="005B1299"/>
    <w:rsid w:val="005B2163"/>
    <w:rsid w:val="005B3F03"/>
    <w:rsid w:val="005B516B"/>
    <w:rsid w:val="005B52B0"/>
    <w:rsid w:val="005B6806"/>
    <w:rsid w:val="005B69AD"/>
    <w:rsid w:val="005B69B4"/>
    <w:rsid w:val="005B78BD"/>
    <w:rsid w:val="005C1B79"/>
    <w:rsid w:val="005C3A26"/>
    <w:rsid w:val="005C3FFE"/>
    <w:rsid w:val="005C4225"/>
    <w:rsid w:val="005C70C7"/>
    <w:rsid w:val="005C72B2"/>
    <w:rsid w:val="005C7689"/>
    <w:rsid w:val="005D1CD2"/>
    <w:rsid w:val="005D3AEB"/>
    <w:rsid w:val="005D48B3"/>
    <w:rsid w:val="005D49CB"/>
    <w:rsid w:val="005D5C2B"/>
    <w:rsid w:val="005E09DE"/>
    <w:rsid w:val="005E0EDC"/>
    <w:rsid w:val="005E153C"/>
    <w:rsid w:val="005E2EBC"/>
    <w:rsid w:val="005E392F"/>
    <w:rsid w:val="005E4568"/>
    <w:rsid w:val="005E459A"/>
    <w:rsid w:val="005E6EEE"/>
    <w:rsid w:val="005F0DAD"/>
    <w:rsid w:val="005F0F33"/>
    <w:rsid w:val="005F146A"/>
    <w:rsid w:val="005F1654"/>
    <w:rsid w:val="005F33F0"/>
    <w:rsid w:val="005F3EF0"/>
    <w:rsid w:val="005F5D21"/>
    <w:rsid w:val="005F7586"/>
    <w:rsid w:val="006003F1"/>
    <w:rsid w:val="00600DEB"/>
    <w:rsid w:val="00607AFC"/>
    <w:rsid w:val="00607D8F"/>
    <w:rsid w:val="00610106"/>
    <w:rsid w:val="0061034F"/>
    <w:rsid w:val="006123A2"/>
    <w:rsid w:val="0061276A"/>
    <w:rsid w:val="006137E5"/>
    <w:rsid w:val="00614B79"/>
    <w:rsid w:val="006150A6"/>
    <w:rsid w:val="00615204"/>
    <w:rsid w:val="0061612F"/>
    <w:rsid w:val="00617241"/>
    <w:rsid w:val="0061772E"/>
    <w:rsid w:val="00620E6B"/>
    <w:rsid w:val="00622174"/>
    <w:rsid w:val="0062257E"/>
    <w:rsid w:val="00623ACC"/>
    <w:rsid w:val="006261D0"/>
    <w:rsid w:val="00627C9F"/>
    <w:rsid w:val="006309E9"/>
    <w:rsid w:val="00631142"/>
    <w:rsid w:val="006311E9"/>
    <w:rsid w:val="00632354"/>
    <w:rsid w:val="0063396C"/>
    <w:rsid w:val="00634A8A"/>
    <w:rsid w:val="0063685A"/>
    <w:rsid w:val="00640D73"/>
    <w:rsid w:val="00641547"/>
    <w:rsid w:val="00642810"/>
    <w:rsid w:val="00643134"/>
    <w:rsid w:val="00644BEC"/>
    <w:rsid w:val="00645450"/>
    <w:rsid w:val="00646C24"/>
    <w:rsid w:val="00646CC2"/>
    <w:rsid w:val="0064758F"/>
    <w:rsid w:val="006478E5"/>
    <w:rsid w:val="00650C7A"/>
    <w:rsid w:val="0065195B"/>
    <w:rsid w:val="006520BF"/>
    <w:rsid w:val="00652333"/>
    <w:rsid w:val="00655153"/>
    <w:rsid w:val="006572C7"/>
    <w:rsid w:val="00657800"/>
    <w:rsid w:val="006603BB"/>
    <w:rsid w:val="0066108B"/>
    <w:rsid w:val="0066264E"/>
    <w:rsid w:val="00663A41"/>
    <w:rsid w:val="00664C6B"/>
    <w:rsid w:val="006650A2"/>
    <w:rsid w:val="0066510A"/>
    <w:rsid w:val="006672A6"/>
    <w:rsid w:val="00671210"/>
    <w:rsid w:val="00671782"/>
    <w:rsid w:val="00672B80"/>
    <w:rsid w:val="00673489"/>
    <w:rsid w:val="0067409D"/>
    <w:rsid w:val="006753C9"/>
    <w:rsid w:val="0068009E"/>
    <w:rsid w:val="00681C6D"/>
    <w:rsid w:val="00682DEA"/>
    <w:rsid w:val="00692219"/>
    <w:rsid w:val="00693DBA"/>
    <w:rsid w:val="0069475E"/>
    <w:rsid w:val="006964AA"/>
    <w:rsid w:val="00697247"/>
    <w:rsid w:val="006A0425"/>
    <w:rsid w:val="006A17D2"/>
    <w:rsid w:val="006A1B60"/>
    <w:rsid w:val="006A4BBF"/>
    <w:rsid w:val="006A5197"/>
    <w:rsid w:val="006A73E6"/>
    <w:rsid w:val="006B024B"/>
    <w:rsid w:val="006B2291"/>
    <w:rsid w:val="006B2D5C"/>
    <w:rsid w:val="006B3481"/>
    <w:rsid w:val="006B4B60"/>
    <w:rsid w:val="006C1834"/>
    <w:rsid w:val="006C4EB1"/>
    <w:rsid w:val="006C6DD6"/>
    <w:rsid w:val="006C762E"/>
    <w:rsid w:val="006D14B3"/>
    <w:rsid w:val="006D3A94"/>
    <w:rsid w:val="006D4605"/>
    <w:rsid w:val="006D55BE"/>
    <w:rsid w:val="006D5E37"/>
    <w:rsid w:val="006D686F"/>
    <w:rsid w:val="006D7063"/>
    <w:rsid w:val="006D7447"/>
    <w:rsid w:val="006D7771"/>
    <w:rsid w:val="006D7A33"/>
    <w:rsid w:val="006E0166"/>
    <w:rsid w:val="006E0457"/>
    <w:rsid w:val="006E0580"/>
    <w:rsid w:val="006E3EA0"/>
    <w:rsid w:val="006E43E2"/>
    <w:rsid w:val="006E57A7"/>
    <w:rsid w:val="006E6723"/>
    <w:rsid w:val="006E7B34"/>
    <w:rsid w:val="006F2758"/>
    <w:rsid w:val="006F2B55"/>
    <w:rsid w:val="006F2CFB"/>
    <w:rsid w:val="006F3711"/>
    <w:rsid w:val="006F3E4A"/>
    <w:rsid w:val="006F4D7C"/>
    <w:rsid w:val="006F54C9"/>
    <w:rsid w:val="006F6AAB"/>
    <w:rsid w:val="006F6E25"/>
    <w:rsid w:val="00700282"/>
    <w:rsid w:val="00700588"/>
    <w:rsid w:val="007007AE"/>
    <w:rsid w:val="0070171F"/>
    <w:rsid w:val="0070178E"/>
    <w:rsid w:val="0070697F"/>
    <w:rsid w:val="00707EB6"/>
    <w:rsid w:val="00711192"/>
    <w:rsid w:val="00712EC6"/>
    <w:rsid w:val="00714517"/>
    <w:rsid w:val="00714B19"/>
    <w:rsid w:val="007154A6"/>
    <w:rsid w:val="00715F0E"/>
    <w:rsid w:val="007200B4"/>
    <w:rsid w:val="007212B7"/>
    <w:rsid w:val="007214FB"/>
    <w:rsid w:val="00721611"/>
    <w:rsid w:val="0072199C"/>
    <w:rsid w:val="00722C9F"/>
    <w:rsid w:val="00724EC8"/>
    <w:rsid w:val="007253B8"/>
    <w:rsid w:val="0072753C"/>
    <w:rsid w:val="0073177C"/>
    <w:rsid w:val="00731C79"/>
    <w:rsid w:val="0073653E"/>
    <w:rsid w:val="0073741F"/>
    <w:rsid w:val="00737B52"/>
    <w:rsid w:val="00740EAE"/>
    <w:rsid w:val="00741182"/>
    <w:rsid w:val="007414AE"/>
    <w:rsid w:val="00743D38"/>
    <w:rsid w:val="0074466A"/>
    <w:rsid w:val="00747F08"/>
    <w:rsid w:val="00750147"/>
    <w:rsid w:val="00750D29"/>
    <w:rsid w:val="00751BFE"/>
    <w:rsid w:val="00752CD8"/>
    <w:rsid w:val="007539FB"/>
    <w:rsid w:val="00755A9D"/>
    <w:rsid w:val="00756753"/>
    <w:rsid w:val="00760BFB"/>
    <w:rsid w:val="00761F67"/>
    <w:rsid w:val="007628A3"/>
    <w:rsid w:val="00763942"/>
    <w:rsid w:val="00763E22"/>
    <w:rsid w:val="00764625"/>
    <w:rsid w:val="007646CC"/>
    <w:rsid w:val="0076643F"/>
    <w:rsid w:val="00774534"/>
    <w:rsid w:val="0077652E"/>
    <w:rsid w:val="00777AE5"/>
    <w:rsid w:val="00777F63"/>
    <w:rsid w:val="00784EA8"/>
    <w:rsid w:val="00785115"/>
    <w:rsid w:val="00787687"/>
    <w:rsid w:val="0078787E"/>
    <w:rsid w:val="00787F1E"/>
    <w:rsid w:val="007901A3"/>
    <w:rsid w:val="007914AE"/>
    <w:rsid w:val="00791AA8"/>
    <w:rsid w:val="00793B0E"/>
    <w:rsid w:val="0079466C"/>
    <w:rsid w:val="007956B7"/>
    <w:rsid w:val="00796F45"/>
    <w:rsid w:val="007974B2"/>
    <w:rsid w:val="007A39FC"/>
    <w:rsid w:val="007A3F0C"/>
    <w:rsid w:val="007A4989"/>
    <w:rsid w:val="007A519A"/>
    <w:rsid w:val="007A5817"/>
    <w:rsid w:val="007A58BE"/>
    <w:rsid w:val="007A672B"/>
    <w:rsid w:val="007B1B46"/>
    <w:rsid w:val="007B4013"/>
    <w:rsid w:val="007B50C8"/>
    <w:rsid w:val="007B5C28"/>
    <w:rsid w:val="007B6049"/>
    <w:rsid w:val="007B60E9"/>
    <w:rsid w:val="007B6CC3"/>
    <w:rsid w:val="007B6DDE"/>
    <w:rsid w:val="007B7693"/>
    <w:rsid w:val="007C17DD"/>
    <w:rsid w:val="007C1DDE"/>
    <w:rsid w:val="007C3334"/>
    <w:rsid w:val="007C3387"/>
    <w:rsid w:val="007C3C83"/>
    <w:rsid w:val="007C655E"/>
    <w:rsid w:val="007C7F12"/>
    <w:rsid w:val="007D08FC"/>
    <w:rsid w:val="007D11A2"/>
    <w:rsid w:val="007D286D"/>
    <w:rsid w:val="007D2B98"/>
    <w:rsid w:val="007D4682"/>
    <w:rsid w:val="007D505D"/>
    <w:rsid w:val="007D52EE"/>
    <w:rsid w:val="007D79A6"/>
    <w:rsid w:val="007E09D0"/>
    <w:rsid w:val="007E0D98"/>
    <w:rsid w:val="007E1669"/>
    <w:rsid w:val="007E21BC"/>
    <w:rsid w:val="007E50E5"/>
    <w:rsid w:val="007E7513"/>
    <w:rsid w:val="007F088D"/>
    <w:rsid w:val="007F322C"/>
    <w:rsid w:val="007F5385"/>
    <w:rsid w:val="008011E0"/>
    <w:rsid w:val="00801CB5"/>
    <w:rsid w:val="00802002"/>
    <w:rsid w:val="00803F1C"/>
    <w:rsid w:val="0080600E"/>
    <w:rsid w:val="00806916"/>
    <w:rsid w:val="0080788F"/>
    <w:rsid w:val="0081107D"/>
    <w:rsid w:val="0081111C"/>
    <w:rsid w:val="00811E23"/>
    <w:rsid w:val="00812625"/>
    <w:rsid w:val="00813382"/>
    <w:rsid w:val="00817612"/>
    <w:rsid w:val="0082016F"/>
    <w:rsid w:val="00822267"/>
    <w:rsid w:val="00827459"/>
    <w:rsid w:val="00830199"/>
    <w:rsid w:val="00830492"/>
    <w:rsid w:val="00831155"/>
    <w:rsid w:val="00831589"/>
    <w:rsid w:val="008338A4"/>
    <w:rsid w:val="00833E99"/>
    <w:rsid w:val="008341B0"/>
    <w:rsid w:val="0083473B"/>
    <w:rsid w:val="00834904"/>
    <w:rsid w:val="00835E89"/>
    <w:rsid w:val="00836183"/>
    <w:rsid w:val="00837C45"/>
    <w:rsid w:val="00840D03"/>
    <w:rsid w:val="0084114F"/>
    <w:rsid w:val="008416A9"/>
    <w:rsid w:val="00843A57"/>
    <w:rsid w:val="00843B2F"/>
    <w:rsid w:val="00844730"/>
    <w:rsid w:val="008457C2"/>
    <w:rsid w:val="008462FC"/>
    <w:rsid w:val="00847102"/>
    <w:rsid w:val="00847696"/>
    <w:rsid w:val="008506AB"/>
    <w:rsid w:val="008508E8"/>
    <w:rsid w:val="008511E9"/>
    <w:rsid w:val="008516C9"/>
    <w:rsid w:val="008522CF"/>
    <w:rsid w:val="00852636"/>
    <w:rsid w:val="0085269B"/>
    <w:rsid w:val="00857A82"/>
    <w:rsid w:val="00862227"/>
    <w:rsid w:val="008651FF"/>
    <w:rsid w:val="00865731"/>
    <w:rsid w:val="00865CBF"/>
    <w:rsid w:val="0087297A"/>
    <w:rsid w:val="00872A6D"/>
    <w:rsid w:val="00872E3A"/>
    <w:rsid w:val="00873836"/>
    <w:rsid w:val="00874ABC"/>
    <w:rsid w:val="00874FD9"/>
    <w:rsid w:val="0087502F"/>
    <w:rsid w:val="00877B0C"/>
    <w:rsid w:val="0088130C"/>
    <w:rsid w:val="008817AB"/>
    <w:rsid w:val="008828CB"/>
    <w:rsid w:val="008831BD"/>
    <w:rsid w:val="00883798"/>
    <w:rsid w:val="00884A03"/>
    <w:rsid w:val="00885737"/>
    <w:rsid w:val="0088778F"/>
    <w:rsid w:val="00890650"/>
    <w:rsid w:val="0089177F"/>
    <w:rsid w:val="0089183D"/>
    <w:rsid w:val="008923BC"/>
    <w:rsid w:val="00892B4F"/>
    <w:rsid w:val="008955D0"/>
    <w:rsid w:val="00897E12"/>
    <w:rsid w:val="008A0597"/>
    <w:rsid w:val="008A1F80"/>
    <w:rsid w:val="008A2A24"/>
    <w:rsid w:val="008A308E"/>
    <w:rsid w:val="008A6762"/>
    <w:rsid w:val="008A6793"/>
    <w:rsid w:val="008A6C9F"/>
    <w:rsid w:val="008A6CBB"/>
    <w:rsid w:val="008A7A92"/>
    <w:rsid w:val="008A7E0F"/>
    <w:rsid w:val="008B12F5"/>
    <w:rsid w:val="008B31B8"/>
    <w:rsid w:val="008B4881"/>
    <w:rsid w:val="008B5414"/>
    <w:rsid w:val="008B70C1"/>
    <w:rsid w:val="008B7D6F"/>
    <w:rsid w:val="008C10D7"/>
    <w:rsid w:val="008C279F"/>
    <w:rsid w:val="008C4554"/>
    <w:rsid w:val="008C547F"/>
    <w:rsid w:val="008C57E0"/>
    <w:rsid w:val="008D16B2"/>
    <w:rsid w:val="008D22A4"/>
    <w:rsid w:val="008D2919"/>
    <w:rsid w:val="008D4D64"/>
    <w:rsid w:val="008D534E"/>
    <w:rsid w:val="008D7241"/>
    <w:rsid w:val="008D768D"/>
    <w:rsid w:val="008E278B"/>
    <w:rsid w:val="008E333B"/>
    <w:rsid w:val="008E3458"/>
    <w:rsid w:val="008E3759"/>
    <w:rsid w:val="008E5211"/>
    <w:rsid w:val="008E63D6"/>
    <w:rsid w:val="008E6EF2"/>
    <w:rsid w:val="008F0415"/>
    <w:rsid w:val="008F1912"/>
    <w:rsid w:val="008F1D0C"/>
    <w:rsid w:val="008F30E1"/>
    <w:rsid w:val="008F50BC"/>
    <w:rsid w:val="008F556B"/>
    <w:rsid w:val="008F5C68"/>
    <w:rsid w:val="008F6699"/>
    <w:rsid w:val="008F72CB"/>
    <w:rsid w:val="008F78D4"/>
    <w:rsid w:val="0090028E"/>
    <w:rsid w:val="0090270B"/>
    <w:rsid w:val="009037A3"/>
    <w:rsid w:val="00903CBA"/>
    <w:rsid w:val="009041DC"/>
    <w:rsid w:val="00904DBE"/>
    <w:rsid w:val="00904F4B"/>
    <w:rsid w:val="00906431"/>
    <w:rsid w:val="009105FF"/>
    <w:rsid w:val="00911A47"/>
    <w:rsid w:val="00911B93"/>
    <w:rsid w:val="00913522"/>
    <w:rsid w:val="00913552"/>
    <w:rsid w:val="00917845"/>
    <w:rsid w:val="00917B5A"/>
    <w:rsid w:val="00917C48"/>
    <w:rsid w:val="00920A58"/>
    <w:rsid w:val="00920A8C"/>
    <w:rsid w:val="00920D8B"/>
    <w:rsid w:val="009215D3"/>
    <w:rsid w:val="00921EFF"/>
    <w:rsid w:val="00922AB8"/>
    <w:rsid w:val="00923BF7"/>
    <w:rsid w:val="00925156"/>
    <w:rsid w:val="00927FC4"/>
    <w:rsid w:val="009310DE"/>
    <w:rsid w:val="00932687"/>
    <w:rsid w:val="00933208"/>
    <w:rsid w:val="00933697"/>
    <w:rsid w:val="00933C3A"/>
    <w:rsid w:val="00933E33"/>
    <w:rsid w:val="00933FC8"/>
    <w:rsid w:val="00934942"/>
    <w:rsid w:val="00934A2C"/>
    <w:rsid w:val="00940379"/>
    <w:rsid w:val="00941303"/>
    <w:rsid w:val="00941E56"/>
    <w:rsid w:val="00942873"/>
    <w:rsid w:val="00945499"/>
    <w:rsid w:val="00945D8E"/>
    <w:rsid w:val="00946A6F"/>
    <w:rsid w:val="00946ED6"/>
    <w:rsid w:val="00946EEA"/>
    <w:rsid w:val="00955001"/>
    <w:rsid w:val="0095591A"/>
    <w:rsid w:val="009568A4"/>
    <w:rsid w:val="009568DB"/>
    <w:rsid w:val="00956AEF"/>
    <w:rsid w:val="00956D8A"/>
    <w:rsid w:val="00957559"/>
    <w:rsid w:val="00960468"/>
    <w:rsid w:val="009606A7"/>
    <w:rsid w:val="009612DA"/>
    <w:rsid w:val="009613D2"/>
    <w:rsid w:val="009629EB"/>
    <w:rsid w:val="0096356F"/>
    <w:rsid w:val="00963E51"/>
    <w:rsid w:val="0096411E"/>
    <w:rsid w:val="0096490D"/>
    <w:rsid w:val="0096515A"/>
    <w:rsid w:val="00966F80"/>
    <w:rsid w:val="0096706E"/>
    <w:rsid w:val="00967890"/>
    <w:rsid w:val="009679A6"/>
    <w:rsid w:val="00970252"/>
    <w:rsid w:val="009711CB"/>
    <w:rsid w:val="00971F3E"/>
    <w:rsid w:val="00973A27"/>
    <w:rsid w:val="00973E47"/>
    <w:rsid w:val="00974117"/>
    <w:rsid w:val="00974B51"/>
    <w:rsid w:val="00975C4E"/>
    <w:rsid w:val="00976D73"/>
    <w:rsid w:val="009774E2"/>
    <w:rsid w:val="00981FBA"/>
    <w:rsid w:val="009824DB"/>
    <w:rsid w:val="00982B9C"/>
    <w:rsid w:val="00983AA9"/>
    <w:rsid w:val="00984618"/>
    <w:rsid w:val="0098671C"/>
    <w:rsid w:val="0098721D"/>
    <w:rsid w:val="009873C2"/>
    <w:rsid w:val="00990BCA"/>
    <w:rsid w:val="00991B93"/>
    <w:rsid w:val="00991B9E"/>
    <w:rsid w:val="00993166"/>
    <w:rsid w:val="00994F7B"/>
    <w:rsid w:val="009954A2"/>
    <w:rsid w:val="00995EB5"/>
    <w:rsid w:val="009966B5"/>
    <w:rsid w:val="00996806"/>
    <w:rsid w:val="00996E8A"/>
    <w:rsid w:val="009972FE"/>
    <w:rsid w:val="00997BC5"/>
    <w:rsid w:val="009A075C"/>
    <w:rsid w:val="009A4566"/>
    <w:rsid w:val="009A4F41"/>
    <w:rsid w:val="009A77BA"/>
    <w:rsid w:val="009B1AE3"/>
    <w:rsid w:val="009B28BB"/>
    <w:rsid w:val="009B2C07"/>
    <w:rsid w:val="009B2E24"/>
    <w:rsid w:val="009B381B"/>
    <w:rsid w:val="009B5BDE"/>
    <w:rsid w:val="009B646B"/>
    <w:rsid w:val="009B6894"/>
    <w:rsid w:val="009C0DD1"/>
    <w:rsid w:val="009C298E"/>
    <w:rsid w:val="009C33FE"/>
    <w:rsid w:val="009C3537"/>
    <w:rsid w:val="009C4404"/>
    <w:rsid w:val="009C4A96"/>
    <w:rsid w:val="009C5771"/>
    <w:rsid w:val="009D01E2"/>
    <w:rsid w:val="009D02E7"/>
    <w:rsid w:val="009D0D42"/>
    <w:rsid w:val="009D117A"/>
    <w:rsid w:val="009D14B0"/>
    <w:rsid w:val="009D1753"/>
    <w:rsid w:val="009D187B"/>
    <w:rsid w:val="009D2913"/>
    <w:rsid w:val="009D3C38"/>
    <w:rsid w:val="009D5B32"/>
    <w:rsid w:val="009D7611"/>
    <w:rsid w:val="009D7861"/>
    <w:rsid w:val="009E0B61"/>
    <w:rsid w:val="009E1191"/>
    <w:rsid w:val="009E53DE"/>
    <w:rsid w:val="009E5D48"/>
    <w:rsid w:val="009E64B7"/>
    <w:rsid w:val="009E764D"/>
    <w:rsid w:val="009E7A1C"/>
    <w:rsid w:val="009F0445"/>
    <w:rsid w:val="009F0583"/>
    <w:rsid w:val="009F0B9A"/>
    <w:rsid w:val="009F1287"/>
    <w:rsid w:val="009F251D"/>
    <w:rsid w:val="009F57ED"/>
    <w:rsid w:val="009F5AC0"/>
    <w:rsid w:val="009F641C"/>
    <w:rsid w:val="009F6536"/>
    <w:rsid w:val="009F73DE"/>
    <w:rsid w:val="00A00F4B"/>
    <w:rsid w:val="00A021C4"/>
    <w:rsid w:val="00A04BF2"/>
    <w:rsid w:val="00A07DBD"/>
    <w:rsid w:val="00A108DB"/>
    <w:rsid w:val="00A146B5"/>
    <w:rsid w:val="00A15162"/>
    <w:rsid w:val="00A158FD"/>
    <w:rsid w:val="00A16A38"/>
    <w:rsid w:val="00A16E24"/>
    <w:rsid w:val="00A17BC5"/>
    <w:rsid w:val="00A20501"/>
    <w:rsid w:val="00A21365"/>
    <w:rsid w:val="00A2467B"/>
    <w:rsid w:val="00A248CC"/>
    <w:rsid w:val="00A24B62"/>
    <w:rsid w:val="00A24DB6"/>
    <w:rsid w:val="00A267FC"/>
    <w:rsid w:val="00A26AAF"/>
    <w:rsid w:val="00A3082D"/>
    <w:rsid w:val="00A31047"/>
    <w:rsid w:val="00A328B3"/>
    <w:rsid w:val="00A3703C"/>
    <w:rsid w:val="00A3762B"/>
    <w:rsid w:val="00A422B7"/>
    <w:rsid w:val="00A42491"/>
    <w:rsid w:val="00A43459"/>
    <w:rsid w:val="00A43AEB"/>
    <w:rsid w:val="00A43FC7"/>
    <w:rsid w:val="00A47F90"/>
    <w:rsid w:val="00A506BF"/>
    <w:rsid w:val="00A50FCF"/>
    <w:rsid w:val="00A51220"/>
    <w:rsid w:val="00A528D1"/>
    <w:rsid w:val="00A543F6"/>
    <w:rsid w:val="00A5499F"/>
    <w:rsid w:val="00A54E2C"/>
    <w:rsid w:val="00A555B9"/>
    <w:rsid w:val="00A610CD"/>
    <w:rsid w:val="00A618BC"/>
    <w:rsid w:val="00A72B47"/>
    <w:rsid w:val="00A73220"/>
    <w:rsid w:val="00A73CC3"/>
    <w:rsid w:val="00A76D56"/>
    <w:rsid w:val="00A77918"/>
    <w:rsid w:val="00A80552"/>
    <w:rsid w:val="00A815CF"/>
    <w:rsid w:val="00A82CB2"/>
    <w:rsid w:val="00A847A8"/>
    <w:rsid w:val="00A854CF"/>
    <w:rsid w:val="00A872D3"/>
    <w:rsid w:val="00A90891"/>
    <w:rsid w:val="00A94BBF"/>
    <w:rsid w:val="00A971E6"/>
    <w:rsid w:val="00AA03DA"/>
    <w:rsid w:val="00AA09A2"/>
    <w:rsid w:val="00AA1FAA"/>
    <w:rsid w:val="00AA2F20"/>
    <w:rsid w:val="00AA34B3"/>
    <w:rsid w:val="00AA3FF4"/>
    <w:rsid w:val="00AA46F1"/>
    <w:rsid w:val="00AA6379"/>
    <w:rsid w:val="00AA7996"/>
    <w:rsid w:val="00AA79C6"/>
    <w:rsid w:val="00AB1215"/>
    <w:rsid w:val="00AB28F6"/>
    <w:rsid w:val="00AB2E68"/>
    <w:rsid w:val="00AB5126"/>
    <w:rsid w:val="00AC19CB"/>
    <w:rsid w:val="00AC2851"/>
    <w:rsid w:val="00AC3F50"/>
    <w:rsid w:val="00AC440F"/>
    <w:rsid w:val="00AC61D7"/>
    <w:rsid w:val="00AC6BDB"/>
    <w:rsid w:val="00AC7268"/>
    <w:rsid w:val="00AC77ED"/>
    <w:rsid w:val="00AC7D85"/>
    <w:rsid w:val="00AD0516"/>
    <w:rsid w:val="00AD1EEB"/>
    <w:rsid w:val="00AD213E"/>
    <w:rsid w:val="00AD249C"/>
    <w:rsid w:val="00AD296F"/>
    <w:rsid w:val="00AD4F43"/>
    <w:rsid w:val="00AD5490"/>
    <w:rsid w:val="00AD60C7"/>
    <w:rsid w:val="00AD79CB"/>
    <w:rsid w:val="00AE14B7"/>
    <w:rsid w:val="00AE1F8A"/>
    <w:rsid w:val="00AE2482"/>
    <w:rsid w:val="00AE4D99"/>
    <w:rsid w:val="00AE4DA0"/>
    <w:rsid w:val="00AE5488"/>
    <w:rsid w:val="00AE59F3"/>
    <w:rsid w:val="00AE68E7"/>
    <w:rsid w:val="00AE6F91"/>
    <w:rsid w:val="00AE7364"/>
    <w:rsid w:val="00AF0D42"/>
    <w:rsid w:val="00AF105F"/>
    <w:rsid w:val="00AF1F34"/>
    <w:rsid w:val="00AF34C5"/>
    <w:rsid w:val="00AF3FE9"/>
    <w:rsid w:val="00AF5571"/>
    <w:rsid w:val="00AF674B"/>
    <w:rsid w:val="00AF6C26"/>
    <w:rsid w:val="00AF7A72"/>
    <w:rsid w:val="00B00C44"/>
    <w:rsid w:val="00B02757"/>
    <w:rsid w:val="00B0296D"/>
    <w:rsid w:val="00B03F2C"/>
    <w:rsid w:val="00B04664"/>
    <w:rsid w:val="00B055B8"/>
    <w:rsid w:val="00B05658"/>
    <w:rsid w:val="00B056A5"/>
    <w:rsid w:val="00B05E02"/>
    <w:rsid w:val="00B06109"/>
    <w:rsid w:val="00B0688C"/>
    <w:rsid w:val="00B071E3"/>
    <w:rsid w:val="00B07341"/>
    <w:rsid w:val="00B073B9"/>
    <w:rsid w:val="00B10381"/>
    <w:rsid w:val="00B10DCC"/>
    <w:rsid w:val="00B10E11"/>
    <w:rsid w:val="00B11322"/>
    <w:rsid w:val="00B11D5D"/>
    <w:rsid w:val="00B1283A"/>
    <w:rsid w:val="00B1416C"/>
    <w:rsid w:val="00B20E1A"/>
    <w:rsid w:val="00B21814"/>
    <w:rsid w:val="00B258CF"/>
    <w:rsid w:val="00B26361"/>
    <w:rsid w:val="00B265EE"/>
    <w:rsid w:val="00B27524"/>
    <w:rsid w:val="00B302AA"/>
    <w:rsid w:val="00B30539"/>
    <w:rsid w:val="00B306E4"/>
    <w:rsid w:val="00B30AA5"/>
    <w:rsid w:val="00B314DB"/>
    <w:rsid w:val="00B31DFB"/>
    <w:rsid w:val="00B32A3D"/>
    <w:rsid w:val="00B334C6"/>
    <w:rsid w:val="00B361F2"/>
    <w:rsid w:val="00B3718B"/>
    <w:rsid w:val="00B37C5B"/>
    <w:rsid w:val="00B42A68"/>
    <w:rsid w:val="00B42B24"/>
    <w:rsid w:val="00B4632A"/>
    <w:rsid w:val="00B463BC"/>
    <w:rsid w:val="00B47D3E"/>
    <w:rsid w:val="00B508A6"/>
    <w:rsid w:val="00B530F1"/>
    <w:rsid w:val="00B538F4"/>
    <w:rsid w:val="00B555F9"/>
    <w:rsid w:val="00B621B2"/>
    <w:rsid w:val="00B633E1"/>
    <w:rsid w:val="00B64990"/>
    <w:rsid w:val="00B6621C"/>
    <w:rsid w:val="00B702B3"/>
    <w:rsid w:val="00B703DD"/>
    <w:rsid w:val="00B70FC9"/>
    <w:rsid w:val="00B71881"/>
    <w:rsid w:val="00B73510"/>
    <w:rsid w:val="00B7364F"/>
    <w:rsid w:val="00B73DD4"/>
    <w:rsid w:val="00B761E0"/>
    <w:rsid w:val="00B77452"/>
    <w:rsid w:val="00B77DF7"/>
    <w:rsid w:val="00B80580"/>
    <w:rsid w:val="00B80AAF"/>
    <w:rsid w:val="00B80FC7"/>
    <w:rsid w:val="00B82F38"/>
    <w:rsid w:val="00B851B0"/>
    <w:rsid w:val="00B872EC"/>
    <w:rsid w:val="00B91CD3"/>
    <w:rsid w:val="00B96023"/>
    <w:rsid w:val="00BA01CB"/>
    <w:rsid w:val="00BA1578"/>
    <w:rsid w:val="00BA276C"/>
    <w:rsid w:val="00BA4572"/>
    <w:rsid w:val="00BA5756"/>
    <w:rsid w:val="00BA6DA5"/>
    <w:rsid w:val="00BA774A"/>
    <w:rsid w:val="00BB0FB9"/>
    <w:rsid w:val="00BB12BC"/>
    <w:rsid w:val="00BB17EE"/>
    <w:rsid w:val="00BB306F"/>
    <w:rsid w:val="00BB3694"/>
    <w:rsid w:val="00BB3ADD"/>
    <w:rsid w:val="00BB508E"/>
    <w:rsid w:val="00BC0F54"/>
    <w:rsid w:val="00BC28D3"/>
    <w:rsid w:val="00BC29CF"/>
    <w:rsid w:val="00BC3137"/>
    <w:rsid w:val="00BC397E"/>
    <w:rsid w:val="00BC4641"/>
    <w:rsid w:val="00BC4DC4"/>
    <w:rsid w:val="00BC5E81"/>
    <w:rsid w:val="00BD28EA"/>
    <w:rsid w:val="00BD3011"/>
    <w:rsid w:val="00BD36F5"/>
    <w:rsid w:val="00BD45B5"/>
    <w:rsid w:val="00BD4A9D"/>
    <w:rsid w:val="00BD4B89"/>
    <w:rsid w:val="00BD56A5"/>
    <w:rsid w:val="00BE15D8"/>
    <w:rsid w:val="00BE3224"/>
    <w:rsid w:val="00BE7B96"/>
    <w:rsid w:val="00BF2BDF"/>
    <w:rsid w:val="00BF3764"/>
    <w:rsid w:val="00BF64F4"/>
    <w:rsid w:val="00BF6F40"/>
    <w:rsid w:val="00BF6FD8"/>
    <w:rsid w:val="00C00B36"/>
    <w:rsid w:val="00C03680"/>
    <w:rsid w:val="00C054DF"/>
    <w:rsid w:val="00C05EF6"/>
    <w:rsid w:val="00C06E2C"/>
    <w:rsid w:val="00C10B17"/>
    <w:rsid w:val="00C112A2"/>
    <w:rsid w:val="00C12269"/>
    <w:rsid w:val="00C13BD1"/>
    <w:rsid w:val="00C160C3"/>
    <w:rsid w:val="00C20A8D"/>
    <w:rsid w:val="00C215F1"/>
    <w:rsid w:val="00C21762"/>
    <w:rsid w:val="00C23DDF"/>
    <w:rsid w:val="00C2414B"/>
    <w:rsid w:val="00C24543"/>
    <w:rsid w:val="00C256A2"/>
    <w:rsid w:val="00C30276"/>
    <w:rsid w:val="00C32967"/>
    <w:rsid w:val="00C32E3B"/>
    <w:rsid w:val="00C33BC5"/>
    <w:rsid w:val="00C34936"/>
    <w:rsid w:val="00C3628C"/>
    <w:rsid w:val="00C371D7"/>
    <w:rsid w:val="00C42F1A"/>
    <w:rsid w:val="00C436D4"/>
    <w:rsid w:val="00C46589"/>
    <w:rsid w:val="00C51141"/>
    <w:rsid w:val="00C51515"/>
    <w:rsid w:val="00C5419E"/>
    <w:rsid w:val="00C5660B"/>
    <w:rsid w:val="00C57A31"/>
    <w:rsid w:val="00C61194"/>
    <w:rsid w:val="00C617ED"/>
    <w:rsid w:val="00C61973"/>
    <w:rsid w:val="00C62E1E"/>
    <w:rsid w:val="00C64463"/>
    <w:rsid w:val="00C6451F"/>
    <w:rsid w:val="00C64984"/>
    <w:rsid w:val="00C64D15"/>
    <w:rsid w:val="00C64D20"/>
    <w:rsid w:val="00C64EEB"/>
    <w:rsid w:val="00C65024"/>
    <w:rsid w:val="00C66B72"/>
    <w:rsid w:val="00C66FFD"/>
    <w:rsid w:val="00C6797B"/>
    <w:rsid w:val="00C70FCB"/>
    <w:rsid w:val="00C727FA"/>
    <w:rsid w:val="00C737E5"/>
    <w:rsid w:val="00C74035"/>
    <w:rsid w:val="00C742C7"/>
    <w:rsid w:val="00C75637"/>
    <w:rsid w:val="00C76440"/>
    <w:rsid w:val="00C765C7"/>
    <w:rsid w:val="00C77B4F"/>
    <w:rsid w:val="00C8065F"/>
    <w:rsid w:val="00C809E5"/>
    <w:rsid w:val="00C8271F"/>
    <w:rsid w:val="00C84AAE"/>
    <w:rsid w:val="00C91506"/>
    <w:rsid w:val="00C930A9"/>
    <w:rsid w:val="00C938B3"/>
    <w:rsid w:val="00C93ABC"/>
    <w:rsid w:val="00C9567A"/>
    <w:rsid w:val="00C958C1"/>
    <w:rsid w:val="00C97C00"/>
    <w:rsid w:val="00CA04E5"/>
    <w:rsid w:val="00CA05C5"/>
    <w:rsid w:val="00CA15DA"/>
    <w:rsid w:val="00CA1F6F"/>
    <w:rsid w:val="00CA4877"/>
    <w:rsid w:val="00CA4B0F"/>
    <w:rsid w:val="00CA4B8C"/>
    <w:rsid w:val="00CB05D0"/>
    <w:rsid w:val="00CB0C54"/>
    <w:rsid w:val="00CB0CAD"/>
    <w:rsid w:val="00CB1935"/>
    <w:rsid w:val="00CB212D"/>
    <w:rsid w:val="00CB2660"/>
    <w:rsid w:val="00CB37D2"/>
    <w:rsid w:val="00CB44EB"/>
    <w:rsid w:val="00CB59C3"/>
    <w:rsid w:val="00CC0193"/>
    <w:rsid w:val="00CC3D05"/>
    <w:rsid w:val="00CC50F4"/>
    <w:rsid w:val="00CC5A63"/>
    <w:rsid w:val="00CC5E90"/>
    <w:rsid w:val="00CC6456"/>
    <w:rsid w:val="00CC6E48"/>
    <w:rsid w:val="00CC7B79"/>
    <w:rsid w:val="00CC7E67"/>
    <w:rsid w:val="00CD046C"/>
    <w:rsid w:val="00CD0D01"/>
    <w:rsid w:val="00CD2A74"/>
    <w:rsid w:val="00CD4296"/>
    <w:rsid w:val="00CD5BA1"/>
    <w:rsid w:val="00CD5BAF"/>
    <w:rsid w:val="00CD72F0"/>
    <w:rsid w:val="00CE076C"/>
    <w:rsid w:val="00CE108F"/>
    <w:rsid w:val="00CE2AC1"/>
    <w:rsid w:val="00CE5199"/>
    <w:rsid w:val="00CE6553"/>
    <w:rsid w:val="00CE66D5"/>
    <w:rsid w:val="00CF13C5"/>
    <w:rsid w:val="00CF2349"/>
    <w:rsid w:val="00CF263C"/>
    <w:rsid w:val="00CF2735"/>
    <w:rsid w:val="00CF3F4C"/>
    <w:rsid w:val="00CF637A"/>
    <w:rsid w:val="00D008F5"/>
    <w:rsid w:val="00D059DE"/>
    <w:rsid w:val="00D07D62"/>
    <w:rsid w:val="00D105F9"/>
    <w:rsid w:val="00D108DF"/>
    <w:rsid w:val="00D110D7"/>
    <w:rsid w:val="00D13FCE"/>
    <w:rsid w:val="00D140EC"/>
    <w:rsid w:val="00D1656C"/>
    <w:rsid w:val="00D16B25"/>
    <w:rsid w:val="00D16E04"/>
    <w:rsid w:val="00D20C6D"/>
    <w:rsid w:val="00D221BC"/>
    <w:rsid w:val="00D25169"/>
    <w:rsid w:val="00D25D8A"/>
    <w:rsid w:val="00D27A83"/>
    <w:rsid w:val="00D306D1"/>
    <w:rsid w:val="00D30FB9"/>
    <w:rsid w:val="00D31817"/>
    <w:rsid w:val="00D33240"/>
    <w:rsid w:val="00D34786"/>
    <w:rsid w:val="00D352EC"/>
    <w:rsid w:val="00D37048"/>
    <w:rsid w:val="00D3716C"/>
    <w:rsid w:val="00D377B9"/>
    <w:rsid w:val="00D37BFC"/>
    <w:rsid w:val="00D4094F"/>
    <w:rsid w:val="00D40BAA"/>
    <w:rsid w:val="00D41E96"/>
    <w:rsid w:val="00D438C1"/>
    <w:rsid w:val="00D43CDD"/>
    <w:rsid w:val="00D454E9"/>
    <w:rsid w:val="00D47A8E"/>
    <w:rsid w:val="00D47E66"/>
    <w:rsid w:val="00D5060D"/>
    <w:rsid w:val="00D52949"/>
    <w:rsid w:val="00D52D14"/>
    <w:rsid w:val="00D55EE6"/>
    <w:rsid w:val="00D562F1"/>
    <w:rsid w:val="00D568DD"/>
    <w:rsid w:val="00D57559"/>
    <w:rsid w:val="00D5781F"/>
    <w:rsid w:val="00D619BF"/>
    <w:rsid w:val="00D61B8A"/>
    <w:rsid w:val="00D61F46"/>
    <w:rsid w:val="00D64170"/>
    <w:rsid w:val="00D65985"/>
    <w:rsid w:val="00D66305"/>
    <w:rsid w:val="00D67B0F"/>
    <w:rsid w:val="00D712D3"/>
    <w:rsid w:val="00D71422"/>
    <w:rsid w:val="00D726F9"/>
    <w:rsid w:val="00D72DC6"/>
    <w:rsid w:val="00D7494B"/>
    <w:rsid w:val="00D7558D"/>
    <w:rsid w:val="00D762BC"/>
    <w:rsid w:val="00D77BE6"/>
    <w:rsid w:val="00D8146A"/>
    <w:rsid w:val="00D816B1"/>
    <w:rsid w:val="00D81911"/>
    <w:rsid w:val="00D81D92"/>
    <w:rsid w:val="00D83BFE"/>
    <w:rsid w:val="00D857A5"/>
    <w:rsid w:val="00D872B8"/>
    <w:rsid w:val="00D87798"/>
    <w:rsid w:val="00D91341"/>
    <w:rsid w:val="00D91FE1"/>
    <w:rsid w:val="00D93562"/>
    <w:rsid w:val="00D94C6C"/>
    <w:rsid w:val="00D95FD3"/>
    <w:rsid w:val="00D9706E"/>
    <w:rsid w:val="00DA04EB"/>
    <w:rsid w:val="00DA1494"/>
    <w:rsid w:val="00DA14B6"/>
    <w:rsid w:val="00DA19BA"/>
    <w:rsid w:val="00DA1E4D"/>
    <w:rsid w:val="00DA205F"/>
    <w:rsid w:val="00DA2FE7"/>
    <w:rsid w:val="00DA4A60"/>
    <w:rsid w:val="00DA6180"/>
    <w:rsid w:val="00DA7B5F"/>
    <w:rsid w:val="00DB56A1"/>
    <w:rsid w:val="00DB7AB2"/>
    <w:rsid w:val="00DB7D86"/>
    <w:rsid w:val="00DC012B"/>
    <w:rsid w:val="00DC0527"/>
    <w:rsid w:val="00DC0C5E"/>
    <w:rsid w:val="00DC11E7"/>
    <w:rsid w:val="00DC14AB"/>
    <w:rsid w:val="00DC38D6"/>
    <w:rsid w:val="00DC4058"/>
    <w:rsid w:val="00DC4377"/>
    <w:rsid w:val="00DC45EF"/>
    <w:rsid w:val="00DC4F0B"/>
    <w:rsid w:val="00DC5103"/>
    <w:rsid w:val="00DC6A2A"/>
    <w:rsid w:val="00DC7023"/>
    <w:rsid w:val="00DC769A"/>
    <w:rsid w:val="00DC7E59"/>
    <w:rsid w:val="00DD3D86"/>
    <w:rsid w:val="00DD4BFE"/>
    <w:rsid w:val="00DD56C3"/>
    <w:rsid w:val="00DD5EC4"/>
    <w:rsid w:val="00DD6761"/>
    <w:rsid w:val="00DD763B"/>
    <w:rsid w:val="00DE1943"/>
    <w:rsid w:val="00DE198C"/>
    <w:rsid w:val="00DE1EC5"/>
    <w:rsid w:val="00DE4F93"/>
    <w:rsid w:val="00DE572B"/>
    <w:rsid w:val="00DE5B8B"/>
    <w:rsid w:val="00DE5E89"/>
    <w:rsid w:val="00DE6C1D"/>
    <w:rsid w:val="00DE79B2"/>
    <w:rsid w:val="00DF143D"/>
    <w:rsid w:val="00DF1EC4"/>
    <w:rsid w:val="00DF35E3"/>
    <w:rsid w:val="00DF47DD"/>
    <w:rsid w:val="00DF61CD"/>
    <w:rsid w:val="00DF71FF"/>
    <w:rsid w:val="00DF7463"/>
    <w:rsid w:val="00E011F8"/>
    <w:rsid w:val="00E027CA"/>
    <w:rsid w:val="00E0340B"/>
    <w:rsid w:val="00E03F3F"/>
    <w:rsid w:val="00E04A87"/>
    <w:rsid w:val="00E04A90"/>
    <w:rsid w:val="00E04B4D"/>
    <w:rsid w:val="00E06946"/>
    <w:rsid w:val="00E13A26"/>
    <w:rsid w:val="00E13C22"/>
    <w:rsid w:val="00E14542"/>
    <w:rsid w:val="00E17967"/>
    <w:rsid w:val="00E17A28"/>
    <w:rsid w:val="00E219C7"/>
    <w:rsid w:val="00E22462"/>
    <w:rsid w:val="00E226FB"/>
    <w:rsid w:val="00E23829"/>
    <w:rsid w:val="00E2395A"/>
    <w:rsid w:val="00E24D9B"/>
    <w:rsid w:val="00E251D6"/>
    <w:rsid w:val="00E30F8A"/>
    <w:rsid w:val="00E3172F"/>
    <w:rsid w:val="00E32BDB"/>
    <w:rsid w:val="00E330EE"/>
    <w:rsid w:val="00E34CF7"/>
    <w:rsid w:val="00E3588F"/>
    <w:rsid w:val="00E36BBD"/>
    <w:rsid w:val="00E40086"/>
    <w:rsid w:val="00E4043F"/>
    <w:rsid w:val="00E405EB"/>
    <w:rsid w:val="00E43157"/>
    <w:rsid w:val="00E43832"/>
    <w:rsid w:val="00E44F1D"/>
    <w:rsid w:val="00E461CE"/>
    <w:rsid w:val="00E4656C"/>
    <w:rsid w:val="00E51305"/>
    <w:rsid w:val="00E51876"/>
    <w:rsid w:val="00E5242B"/>
    <w:rsid w:val="00E5373E"/>
    <w:rsid w:val="00E53B5B"/>
    <w:rsid w:val="00E54C27"/>
    <w:rsid w:val="00E54E78"/>
    <w:rsid w:val="00E565F9"/>
    <w:rsid w:val="00E56B35"/>
    <w:rsid w:val="00E61083"/>
    <w:rsid w:val="00E620BE"/>
    <w:rsid w:val="00E62363"/>
    <w:rsid w:val="00E62A24"/>
    <w:rsid w:val="00E641CC"/>
    <w:rsid w:val="00E65E21"/>
    <w:rsid w:val="00E70B38"/>
    <w:rsid w:val="00E70FC2"/>
    <w:rsid w:val="00E720CA"/>
    <w:rsid w:val="00E72BE1"/>
    <w:rsid w:val="00E73780"/>
    <w:rsid w:val="00E75091"/>
    <w:rsid w:val="00E77197"/>
    <w:rsid w:val="00E80288"/>
    <w:rsid w:val="00E82724"/>
    <w:rsid w:val="00E84B47"/>
    <w:rsid w:val="00E84E68"/>
    <w:rsid w:val="00E84EB5"/>
    <w:rsid w:val="00E85662"/>
    <w:rsid w:val="00E8789F"/>
    <w:rsid w:val="00E87DB1"/>
    <w:rsid w:val="00E90863"/>
    <w:rsid w:val="00E9236B"/>
    <w:rsid w:val="00E92F88"/>
    <w:rsid w:val="00E9393F"/>
    <w:rsid w:val="00E939ED"/>
    <w:rsid w:val="00E94AEA"/>
    <w:rsid w:val="00E95BE1"/>
    <w:rsid w:val="00E9677E"/>
    <w:rsid w:val="00E97B71"/>
    <w:rsid w:val="00EA0146"/>
    <w:rsid w:val="00EA1D5D"/>
    <w:rsid w:val="00EA3620"/>
    <w:rsid w:val="00EA3625"/>
    <w:rsid w:val="00EA3D34"/>
    <w:rsid w:val="00EA44BC"/>
    <w:rsid w:val="00EA5365"/>
    <w:rsid w:val="00EA5DF7"/>
    <w:rsid w:val="00EA6389"/>
    <w:rsid w:val="00EA6BBE"/>
    <w:rsid w:val="00EA73C7"/>
    <w:rsid w:val="00EB1347"/>
    <w:rsid w:val="00EB3705"/>
    <w:rsid w:val="00EB3F4B"/>
    <w:rsid w:val="00EB454D"/>
    <w:rsid w:val="00EB5E84"/>
    <w:rsid w:val="00EB7F0B"/>
    <w:rsid w:val="00EC0098"/>
    <w:rsid w:val="00EC0F47"/>
    <w:rsid w:val="00EC4D3A"/>
    <w:rsid w:val="00EC63A8"/>
    <w:rsid w:val="00EC6630"/>
    <w:rsid w:val="00EC67DF"/>
    <w:rsid w:val="00EC6B48"/>
    <w:rsid w:val="00EC7C43"/>
    <w:rsid w:val="00ED10CA"/>
    <w:rsid w:val="00ED206C"/>
    <w:rsid w:val="00ED23AA"/>
    <w:rsid w:val="00ED3A83"/>
    <w:rsid w:val="00ED3CE0"/>
    <w:rsid w:val="00ED3F54"/>
    <w:rsid w:val="00ED6947"/>
    <w:rsid w:val="00ED76BE"/>
    <w:rsid w:val="00EE01F4"/>
    <w:rsid w:val="00EE25B7"/>
    <w:rsid w:val="00EE25D5"/>
    <w:rsid w:val="00EE3BE4"/>
    <w:rsid w:val="00EE5099"/>
    <w:rsid w:val="00EE5661"/>
    <w:rsid w:val="00EE614E"/>
    <w:rsid w:val="00EE66A1"/>
    <w:rsid w:val="00EF0308"/>
    <w:rsid w:val="00EF11D0"/>
    <w:rsid w:val="00EF1E7A"/>
    <w:rsid w:val="00EF2F96"/>
    <w:rsid w:val="00EF3CAC"/>
    <w:rsid w:val="00EF487E"/>
    <w:rsid w:val="00EF52F4"/>
    <w:rsid w:val="00EF619B"/>
    <w:rsid w:val="00EF67E3"/>
    <w:rsid w:val="00EF6D0F"/>
    <w:rsid w:val="00EF6EF6"/>
    <w:rsid w:val="00EF7F39"/>
    <w:rsid w:val="00F00B55"/>
    <w:rsid w:val="00F00D66"/>
    <w:rsid w:val="00F01097"/>
    <w:rsid w:val="00F01451"/>
    <w:rsid w:val="00F02AD1"/>
    <w:rsid w:val="00F04122"/>
    <w:rsid w:val="00F05233"/>
    <w:rsid w:val="00F05C77"/>
    <w:rsid w:val="00F07272"/>
    <w:rsid w:val="00F10B7C"/>
    <w:rsid w:val="00F11133"/>
    <w:rsid w:val="00F11D45"/>
    <w:rsid w:val="00F11EF7"/>
    <w:rsid w:val="00F12CF8"/>
    <w:rsid w:val="00F1354D"/>
    <w:rsid w:val="00F14FB4"/>
    <w:rsid w:val="00F15DD3"/>
    <w:rsid w:val="00F15E1F"/>
    <w:rsid w:val="00F16A9B"/>
    <w:rsid w:val="00F17D97"/>
    <w:rsid w:val="00F17E02"/>
    <w:rsid w:val="00F20DE8"/>
    <w:rsid w:val="00F2241E"/>
    <w:rsid w:val="00F22770"/>
    <w:rsid w:val="00F22E4E"/>
    <w:rsid w:val="00F238B1"/>
    <w:rsid w:val="00F24922"/>
    <w:rsid w:val="00F2499C"/>
    <w:rsid w:val="00F253CC"/>
    <w:rsid w:val="00F258BD"/>
    <w:rsid w:val="00F25D0E"/>
    <w:rsid w:val="00F3115D"/>
    <w:rsid w:val="00F3132A"/>
    <w:rsid w:val="00F31EF6"/>
    <w:rsid w:val="00F32ADE"/>
    <w:rsid w:val="00F333F6"/>
    <w:rsid w:val="00F33DC3"/>
    <w:rsid w:val="00F34CE7"/>
    <w:rsid w:val="00F35BB5"/>
    <w:rsid w:val="00F3661F"/>
    <w:rsid w:val="00F37106"/>
    <w:rsid w:val="00F37947"/>
    <w:rsid w:val="00F40524"/>
    <w:rsid w:val="00F420ED"/>
    <w:rsid w:val="00F423FE"/>
    <w:rsid w:val="00F425A2"/>
    <w:rsid w:val="00F42FD2"/>
    <w:rsid w:val="00F43880"/>
    <w:rsid w:val="00F44155"/>
    <w:rsid w:val="00F4438B"/>
    <w:rsid w:val="00F45849"/>
    <w:rsid w:val="00F472E0"/>
    <w:rsid w:val="00F505BE"/>
    <w:rsid w:val="00F50F6C"/>
    <w:rsid w:val="00F512F2"/>
    <w:rsid w:val="00F519CF"/>
    <w:rsid w:val="00F52C5F"/>
    <w:rsid w:val="00F54E44"/>
    <w:rsid w:val="00F56626"/>
    <w:rsid w:val="00F56BA5"/>
    <w:rsid w:val="00F56FCF"/>
    <w:rsid w:val="00F60300"/>
    <w:rsid w:val="00F60E22"/>
    <w:rsid w:val="00F626CC"/>
    <w:rsid w:val="00F6325B"/>
    <w:rsid w:val="00F63EC4"/>
    <w:rsid w:val="00F63FEF"/>
    <w:rsid w:val="00F642A4"/>
    <w:rsid w:val="00F6448C"/>
    <w:rsid w:val="00F65284"/>
    <w:rsid w:val="00F653AF"/>
    <w:rsid w:val="00F664B2"/>
    <w:rsid w:val="00F72CF7"/>
    <w:rsid w:val="00F72E41"/>
    <w:rsid w:val="00F76DFD"/>
    <w:rsid w:val="00F77FB5"/>
    <w:rsid w:val="00F80A12"/>
    <w:rsid w:val="00F80F93"/>
    <w:rsid w:val="00F81395"/>
    <w:rsid w:val="00F8189A"/>
    <w:rsid w:val="00F83165"/>
    <w:rsid w:val="00F842DB"/>
    <w:rsid w:val="00F84AB1"/>
    <w:rsid w:val="00F84D4A"/>
    <w:rsid w:val="00F86628"/>
    <w:rsid w:val="00F917D1"/>
    <w:rsid w:val="00F944BA"/>
    <w:rsid w:val="00F95FCC"/>
    <w:rsid w:val="00F9653B"/>
    <w:rsid w:val="00FA0509"/>
    <w:rsid w:val="00FA0EE3"/>
    <w:rsid w:val="00FA13B6"/>
    <w:rsid w:val="00FA1476"/>
    <w:rsid w:val="00FA3213"/>
    <w:rsid w:val="00FA5DE2"/>
    <w:rsid w:val="00FA62BD"/>
    <w:rsid w:val="00FA7E13"/>
    <w:rsid w:val="00FB000C"/>
    <w:rsid w:val="00FB01E2"/>
    <w:rsid w:val="00FB0BC3"/>
    <w:rsid w:val="00FB171B"/>
    <w:rsid w:val="00FB1A4B"/>
    <w:rsid w:val="00FB3CF0"/>
    <w:rsid w:val="00FB52C2"/>
    <w:rsid w:val="00FB5AA0"/>
    <w:rsid w:val="00FB5C63"/>
    <w:rsid w:val="00FB62CF"/>
    <w:rsid w:val="00FB6CBD"/>
    <w:rsid w:val="00FB7F68"/>
    <w:rsid w:val="00FC0263"/>
    <w:rsid w:val="00FC18B6"/>
    <w:rsid w:val="00FC305C"/>
    <w:rsid w:val="00FC55F2"/>
    <w:rsid w:val="00FC55F8"/>
    <w:rsid w:val="00FD0E34"/>
    <w:rsid w:val="00FD3C3B"/>
    <w:rsid w:val="00FD3E99"/>
    <w:rsid w:val="00FD6D1E"/>
    <w:rsid w:val="00FE330A"/>
    <w:rsid w:val="00FE4503"/>
    <w:rsid w:val="00FE56F4"/>
    <w:rsid w:val="00FE6385"/>
    <w:rsid w:val="00FE6B45"/>
    <w:rsid w:val="00FE6E13"/>
    <w:rsid w:val="00FE7E67"/>
    <w:rsid w:val="00FF050B"/>
    <w:rsid w:val="00FF09AC"/>
    <w:rsid w:val="00FF13C6"/>
    <w:rsid w:val="00FF2B19"/>
    <w:rsid w:val="00FF42BB"/>
    <w:rsid w:val="00FF4669"/>
    <w:rsid w:val="00FF55F3"/>
    <w:rsid w:val="00FF5851"/>
    <w:rsid w:val="00FF5B72"/>
    <w:rsid w:val="00FF64B8"/>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paragraph" w:styleId="HTMLPreformatted">
    <w:name w:val="HTML Preformatted"/>
    <w:basedOn w:val="Normal"/>
    <w:link w:val="HTMLPreformattedChar"/>
    <w:uiPriority w:val="99"/>
    <w:unhideWhenUsed/>
    <w:rsid w:val="00852636"/>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52636"/>
    <w:rPr>
      <w:rFonts w:ascii="Consolas" w:hAnsi="Consolas" w:cs="Consolas"/>
      <w:lang w:val="en-US" w:eastAsia="en-US"/>
    </w:rPr>
  </w:style>
  <w:style w:type="character" w:styleId="CommentReference">
    <w:name w:val="annotation reference"/>
    <w:basedOn w:val="DefaultParagraphFont"/>
    <w:uiPriority w:val="99"/>
    <w:semiHidden/>
    <w:unhideWhenUsed/>
    <w:rsid w:val="000640A0"/>
    <w:rPr>
      <w:sz w:val="16"/>
      <w:szCs w:val="16"/>
    </w:rPr>
  </w:style>
  <w:style w:type="paragraph" w:styleId="CommentText">
    <w:name w:val="annotation text"/>
    <w:basedOn w:val="Normal"/>
    <w:link w:val="CommentTextChar"/>
    <w:uiPriority w:val="99"/>
    <w:semiHidden/>
    <w:unhideWhenUsed/>
    <w:rsid w:val="000640A0"/>
    <w:rPr>
      <w:sz w:val="20"/>
      <w:szCs w:val="20"/>
    </w:rPr>
  </w:style>
  <w:style w:type="character" w:customStyle="1" w:styleId="CommentTextChar">
    <w:name w:val="Comment Text Char"/>
    <w:basedOn w:val="DefaultParagraphFont"/>
    <w:link w:val="CommentText"/>
    <w:uiPriority w:val="99"/>
    <w:semiHidden/>
    <w:rsid w:val="000640A0"/>
    <w:rPr>
      <w:lang w:val="en-US" w:eastAsia="en-US"/>
    </w:rPr>
  </w:style>
  <w:style w:type="paragraph" w:styleId="CommentSubject">
    <w:name w:val="annotation subject"/>
    <w:basedOn w:val="CommentText"/>
    <w:next w:val="CommentText"/>
    <w:link w:val="CommentSubjectChar"/>
    <w:uiPriority w:val="99"/>
    <w:semiHidden/>
    <w:unhideWhenUsed/>
    <w:rsid w:val="000640A0"/>
    <w:rPr>
      <w:b/>
      <w:bCs/>
    </w:rPr>
  </w:style>
  <w:style w:type="character" w:customStyle="1" w:styleId="CommentSubjectChar">
    <w:name w:val="Comment Subject Char"/>
    <w:basedOn w:val="CommentTextChar"/>
    <w:link w:val="CommentSubject"/>
    <w:uiPriority w:val="99"/>
    <w:semiHidden/>
    <w:rsid w:val="000640A0"/>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paragraph" w:styleId="HTMLPreformatted">
    <w:name w:val="HTML Preformatted"/>
    <w:basedOn w:val="Normal"/>
    <w:link w:val="HTMLPreformattedChar"/>
    <w:uiPriority w:val="99"/>
    <w:unhideWhenUsed/>
    <w:rsid w:val="00852636"/>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52636"/>
    <w:rPr>
      <w:rFonts w:ascii="Consolas" w:hAnsi="Consolas" w:cs="Consolas"/>
      <w:lang w:val="en-US" w:eastAsia="en-US"/>
    </w:rPr>
  </w:style>
  <w:style w:type="character" w:styleId="CommentReference">
    <w:name w:val="annotation reference"/>
    <w:basedOn w:val="DefaultParagraphFont"/>
    <w:uiPriority w:val="99"/>
    <w:semiHidden/>
    <w:unhideWhenUsed/>
    <w:rsid w:val="000640A0"/>
    <w:rPr>
      <w:sz w:val="16"/>
      <w:szCs w:val="16"/>
    </w:rPr>
  </w:style>
  <w:style w:type="paragraph" w:styleId="CommentText">
    <w:name w:val="annotation text"/>
    <w:basedOn w:val="Normal"/>
    <w:link w:val="CommentTextChar"/>
    <w:uiPriority w:val="99"/>
    <w:semiHidden/>
    <w:unhideWhenUsed/>
    <w:rsid w:val="000640A0"/>
    <w:rPr>
      <w:sz w:val="20"/>
      <w:szCs w:val="20"/>
    </w:rPr>
  </w:style>
  <w:style w:type="character" w:customStyle="1" w:styleId="CommentTextChar">
    <w:name w:val="Comment Text Char"/>
    <w:basedOn w:val="DefaultParagraphFont"/>
    <w:link w:val="CommentText"/>
    <w:uiPriority w:val="99"/>
    <w:semiHidden/>
    <w:rsid w:val="000640A0"/>
    <w:rPr>
      <w:lang w:val="en-US" w:eastAsia="en-US"/>
    </w:rPr>
  </w:style>
  <w:style w:type="paragraph" w:styleId="CommentSubject">
    <w:name w:val="annotation subject"/>
    <w:basedOn w:val="CommentText"/>
    <w:next w:val="CommentText"/>
    <w:link w:val="CommentSubjectChar"/>
    <w:uiPriority w:val="99"/>
    <w:semiHidden/>
    <w:unhideWhenUsed/>
    <w:rsid w:val="000640A0"/>
    <w:rPr>
      <w:b/>
      <w:bCs/>
    </w:rPr>
  </w:style>
  <w:style w:type="character" w:customStyle="1" w:styleId="CommentSubjectChar">
    <w:name w:val="Comment Subject Char"/>
    <w:basedOn w:val="CommentTextChar"/>
    <w:link w:val="CommentSubject"/>
    <w:uiPriority w:val="99"/>
    <w:semiHidden/>
    <w:rsid w:val="000640A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5579">
      <w:bodyDiv w:val="1"/>
      <w:marLeft w:val="0"/>
      <w:marRight w:val="0"/>
      <w:marTop w:val="0"/>
      <w:marBottom w:val="0"/>
      <w:divBdr>
        <w:top w:val="none" w:sz="0" w:space="0" w:color="auto"/>
        <w:left w:val="none" w:sz="0" w:space="0" w:color="auto"/>
        <w:bottom w:val="none" w:sz="0" w:space="0" w:color="auto"/>
        <w:right w:val="none" w:sz="0" w:space="0" w:color="auto"/>
      </w:divBdr>
    </w:div>
    <w:div w:id="80951315">
      <w:bodyDiv w:val="1"/>
      <w:marLeft w:val="0"/>
      <w:marRight w:val="0"/>
      <w:marTop w:val="0"/>
      <w:marBottom w:val="0"/>
      <w:divBdr>
        <w:top w:val="none" w:sz="0" w:space="0" w:color="auto"/>
        <w:left w:val="none" w:sz="0" w:space="0" w:color="auto"/>
        <w:bottom w:val="none" w:sz="0" w:space="0" w:color="auto"/>
        <w:right w:val="none" w:sz="0" w:space="0" w:color="auto"/>
      </w:divBdr>
    </w:div>
    <w:div w:id="253900558">
      <w:bodyDiv w:val="1"/>
      <w:marLeft w:val="0"/>
      <w:marRight w:val="0"/>
      <w:marTop w:val="0"/>
      <w:marBottom w:val="0"/>
      <w:divBdr>
        <w:top w:val="none" w:sz="0" w:space="0" w:color="auto"/>
        <w:left w:val="none" w:sz="0" w:space="0" w:color="auto"/>
        <w:bottom w:val="none" w:sz="0" w:space="0" w:color="auto"/>
        <w:right w:val="none" w:sz="0" w:space="0" w:color="auto"/>
      </w:divBdr>
    </w:div>
    <w:div w:id="307318405">
      <w:bodyDiv w:val="1"/>
      <w:marLeft w:val="0"/>
      <w:marRight w:val="0"/>
      <w:marTop w:val="0"/>
      <w:marBottom w:val="0"/>
      <w:divBdr>
        <w:top w:val="none" w:sz="0" w:space="0" w:color="auto"/>
        <w:left w:val="none" w:sz="0" w:space="0" w:color="auto"/>
        <w:bottom w:val="none" w:sz="0" w:space="0" w:color="auto"/>
        <w:right w:val="none" w:sz="0" w:space="0" w:color="auto"/>
      </w:divBdr>
    </w:div>
    <w:div w:id="407461708">
      <w:bodyDiv w:val="1"/>
      <w:marLeft w:val="0"/>
      <w:marRight w:val="0"/>
      <w:marTop w:val="0"/>
      <w:marBottom w:val="0"/>
      <w:divBdr>
        <w:top w:val="none" w:sz="0" w:space="0" w:color="auto"/>
        <w:left w:val="none" w:sz="0" w:space="0" w:color="auto"/>
        <w:bottom w:val="none" w:sz="0" w:space="0" w:color="auto"/>
        <w:right w:val="none" w:sz="0" w:space="0" w:color="auto"/>
      </w:divBdr>
    </w:div>
    <w:div w:id="845636623">
      <w:bodyDiv w:val="1"/>
      <w:marLeft w:val="0"/>
      <w:marRight w:val="0"/>
      <w:marTop w:val="0"/>
      <w:marBottom w:val="0"/>
      <w:divBdr>
        <w:top w:val="none" w:sz="0" w:space="0" w:color="auto"/>
        <w:left w:val="none" w:sz="0" w:space="0" w:color="auto"/>
        <w:bottom w:val="none" w:sz="0" w:space="0" w:color="auto"/>
        <w:right w:val="none" w:sz="0" w:space="0" w:color="auto"/>
      </w:divBdr>
    </w:div>
    <w:div w:id="865866717">
      <w:bodyDiv w:val="1"/>
      <w:marLeft w:val="0"/>
      <w:marRight w:val="0"/>
      <w:marTop w:val="0"/>
      <w:marBottom w:val="0"/>
      <w:divBdr>
        <w:top w:val="none" w:sz="0" w:space="0" w:color="auto"/>
        <w:left w:val="none" w:sz="0" w:space="0" w:color="auto"/>
        <w:bottom w:val="none" w:sz="0" w:space="0" w:color="auto"/>
        <w:right w:val="none" w:sz="0" w:space="0" w:color="auto"/>
      </w:divBdr>
    </w:div>
    <w:div w:id="965310156">
      <w:bodyDiv w:val="1"/>
      <w:marLeft w:val="0"/>
      <w:marRight w:val="0"/>
      <w:marTop w:val="0"/>
      <w:marBottom w:val="0"/>
      <w:divBdr>
        <w:top w:val="none" w:sz="0" w:space="0" w:color="auto"/>
        <w:left w:val="none" w:sz="0" w:space="0" w:color="auto"/>
        <w:bottom w:val="none" w:sz="0" w:space="0" w:color="auto"/>
        <w:right w:val="none" w:sz="0" w:space="0" w:color="auto"/>
      </w:divBdr>
    </w:div>
    <w:div w:id="1074546246">
      <w:bodyDiv w:val="1"/>
      <w:marLeft w:val="0"/>
      <w:marRight w:val="0"/>
      <w:marTop w:val="0"/>
      <w:marBottom w:val="0"/>
      <w:divBdr>
        <w:top w:val="none" w:sz="0" w:space="0" w:color="auto"/>
        <w:left w:val="none" w:sz="0" w:space="0" w:color="auto"/>
        <w:bottom w:val="none" w:sz="0" w:space="0" w:color="auto"/>
        <w:right w:val="none" w:sz="0" w:space="0" w:color="auto"/>
      </w:divBdr>
    </w:div>
    <w:div w:id="1201474493">
      <w:bodyDiv w:val="1"/>
      <w:marLeft w:val="0"/>
      <w:marRight w:val="0"/>
      <w:marTop w:val="0"/>
      <w:marBottom w:val="0"/>
      <w:divBdr>
        <w:top w:val="none" w:sz="0" w:space="0" w:color="auto"/>
        <w:left w:val="none" w:sz="0" w:space="0" w:color="auto"/>
        <w:bottom w:val="none" w:sz="0" w:space="0" w:color="auto"/>
        <w:right w:val="none" w:sz="0" w:space="0" w:color="auto"/>
      </w:divBdr>
    </w:div>
    <w:div w:id="1450664456">
      <w:bodyDiv w:val="1"/>
      <w:marLeft w:val="0"/>
      <w:marRight w:val="0"/>
      <w:marTop w:val="0"/>
      <w:marBottom w:val="0"/>
      <w:divBdr>
        <w:top w:val="none" w:sz="0" w:space="0" w:color="auto"/>
        <w:left w:val="none" w:sz="0" w:space="0" w:color="auto"/>
        <w:bottom w:val="none" w:sz="0" w:space="0" w:color="auto"/>
        <w:right w:val="none" w:sz="0" w:space="0" w:color="auto"/>
      </w:divBdr>
    </w:div>
    <w:div w:id="1508136710">
      <w:bodyDiv w:val="1"/>
      <w:marLeft w:val="0"/>
      <w:marRight w:val="0"/>
      <w:marTop w:val="0"/>
      <w:marBottom w:val="0"/>
      <w:divBdr>
        <w:top w:val="none" w:sz="0" w:space="0" w:color="auto"/>
        <w:left w:val="none" w:sz="0" w:space="0" w:color="auto"/>
        <w:bottom w:val="none" w:sz="0" w:space="0" w:color="auto"/>
        <w:right w:val="none" w:sz="0" w:space="0" w:color="auto"/>
      </w:divBdr>
    </w:div>
    <w:div w:id="1561087579">
      <w:bodyDiv w:val="1"/>
      <w:marLeft w:val="0"/>
      <w:marRight w:val="0"/>
      <w:marTop w:val="0"/>
      <w:marBottom w:val="0"/>
      <w:divBdr>
        <w:top w:val="none" w:sz="0" w:space="0" w:color="auto"/>
        <w:left w:val="none" w:sz="0" w:space="0" w:color="auto"/>
        <w:bottom w:val="none" w:sz="0" w:space="0" w:color="auto"/>
        <w:right w:val="none" w:sz="0" w:space="0" w:color="auto"/>
      </w:divBdr>
    </w:div>
    <w:div w:id="1584291386">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24573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4435623">
      <w:bodyDiv w:val="1"/>
      <w:marLeft w:val="0"/>
      <w:marRight w:val="0"/>
      <w:marTop w:val="0"/>
      <w:marBottom w:val="0"/>
      <w:divBdr>
        <w:top w:val="none" w:sz="0" w:space="0" w:color="auto"/>
        <w:left w:val="none" w:sz="0" w:space="0" w:color="auto"/>
        <w:bottom w:val="none" w:sz="0" w:space="0" w:color="auto"/>
        <w:right w:val="none" w:sz="0" w:space="0" w:color="auto"/>
      </w:divBdr>
    </w:div>
    <w:div w:id="2003268509">
      <w:bodyDiv w:val="1"/>
      <w:marLeft w:val="0"/>
      <w:marRight w:val="0"/>
      <w:marTop w:val="0"/>
      <w:marBottom w:val="0"/>
      <w:divBdr>
        <w:top w:val="none" w:sz="0" w:space="0" w:color="auto"/>
        <w:left w:val="none" w:sz="0" w:space="0" w:color="auto"/>
        <w:bottom w:val="none" w:sz="0" w:space="0" w:color="auto"/>
        <w:right w:val="none" w:sz="0" w:space="0" w:color="auto"/>
      </w:divBdr>
    </w:div>
    <w:div w:id="210981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6A9F7-B971-4D0D-BD66-17CCF5EA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14578</Words>
  <Characters>76249</Characters>
  <Application>Microsoft Office Word</Application>
  <DocSecurity>0</DocSecurity>
  <Lines>1906</Lines>
  <Paragraphs>662</Paragraphs>
  <ScaleCrop>false</ScaleCrop>
  <Company/>
  <LinksUpToDate>false</LinksUpToDate>
  <CharactersWithSpaces>90165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58/16</dc:title>
  <dc:creator/>
  <cp:lastModifiedBy/>
  <cp:revision>1</cp:revision>
  <dcterms:created xsi:type="dcterms:W3CDTF">2017-02-02T17:47:00Z</dcterms:created>
  <dcterms:modified xsi:type="dcterms:W3CDTF">2017-02-02T17:47:00Z</dcterms:modified>
</cp:coreProperties>
</file>