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3326E5" w:rsidRPr="00B81C23" w:rsidRDefault="003326E5" w:rsidP="003326E5">
      <w:pPr>
        <w:tabs>
          <w:tab w:val="center" w:pos="5400"/>
        </w:tabs>
        <w:suppressAutoHyphens/>
        <w:jc w:val="center"/>
        <w:rPr>
          <w:rFonts w:asciiTheme="majorHAnsi" w:hAnsiTheme="majorHAnsi"/>
          <w:sz w:val="22"/>
          <w:szCs w:val="22"/>
        </w:rPr>
      </w:pPr>
    </w:p>
    <w:p w:rsidR="003326E5" w:rsidRPr="00C4161A" w:rsidRDefault="003326E5" w:rsidP="003326E5">
      <w:pPr>
        <w:tabs>
          <w:tab w:val="center" w:pos="5400"/>
        </w:tabs>
        <w:suppressAutoHyphens/>
        <w:jc w:val="right"/>
        <w:rPr>
          <w:rFonts w:asciiTheme="majorHAnsi" w:hAnsiTheme="majorHAnsi"/>
          <w:b/>
          <w:sz w:val="52"/>
          <w:szCs w:val="20"/>
          <w:lang w:val="es-ES_tradnl"/>
        </w:rPr>
      </w:pPr>
    </w:p>
    <w:p w:rsidR="003326E5" w:rsidRPr="00AE1F34" w:rsidRDefault="003326E5" w:rsidP="003326E5">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625F3">
                              <w:rPr>
                                <w:rFonts w:asciiTheme="majorHAnsi" w:hAnsiTheme="majorHAnsi" w:cs="Arial"/>
                                <w:b/>
                                <w:bCs/>
                                <w:color w:val="0D0D0D" w:themeColor="text1" w:themeTint="F2"/>
                                <w:sz w:val="36"/>
                                <w:szCs w:val="22"/>
                                <w:lang w:val="es-ES_tradnl"/>
                              </w:rPr>
                              <w:t xml:space="preserve"> 57</w:t>
                            </w:r>
                            <w:r w:rsidR="007B05C4">
                              <w:rPr>
                                <w:rFonts w:asciiTheme="majorHAnsi" w:hAnsiTheme="majorHAnsi" w:cs="Arial"/>
                                <w:b/>
                                <w:bCs/>
                                <w:color w:val="0D0D0D" w:themeColor="text1" w:themeTint="F2"/>
                                <w:sz w:val="36"/>
                                <w:szCs w:val="22"/>
                                <w:lang w:val="es-ES_tradnl"/>
                              </w:rPr>
                              <w:t>/16</w:t>
                            </w:r>
                          </w:p>
                          <w:p w:rsidR="00CD046C" w:rsidRPr="0010736F" w:rsidRDefault="001F551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
                                <w:color w:val="0D0D0D" w:themeColor="text1" w:themeTint="F2"/>
                                <w:sz w:val="36"/>
                                <w:szCs w:val="22"/>
                                <w:lang w:val="es-ES_tradnl"/>
                              </w:rPr>
                              <w:t>PETICIO</w:t>
                            </w:r>
                            <w:r w:rsidR="005B52B0" w:rsidRPr="004E2649">
                              <w:rPr>
                                <w:rFonts w:asciiTheme="majorHAnsi" w:hAnsiTheme="majorHAnsi" w:cs="Arial"/>
                                <w:b/>
                                <w:color w:val="0D0D0D" w:themeColor="text1" w:themeTint="F2"/>
                                <w:sz w:val="36"/>
                                <w:szCs w:val="22"/>
                                <w:lang w:val="es-ES_tradnl"/>
                              </w:rPr>
                              <w:t>N</w:t>
                            </w:r>
                            <w:r w:rsidR="00C53B9F">
                              <w:rPr>
                                <w:rFonts w:asciiTheme="majorHAnsi" w:hAnsiTheme="majorHAnsi" w:cs="Arial"/>
                                <w:b/>
                                <w:color w:val="0D0D0D" w:themeColor="text1" w:themeTint="F2"/>
                                <w:sz w:val="36"/>
                                <w:szCs w:val="22"/>
                                <w:lang w:val="es-ES_tradnl"/>
                              </w:rPr>
                              <w:t>ES</w:t>
                            </w:r>
                            <w:r w:rsidR="005B52B0" w:rsidRPr="004E2649">
                              <w:rPr>
                                <w:rFonts w:asciiTheme="majorHAnsi" w:hAnsiTheme="majorHAnsi" w:cs="Arial"/>
                                <w:b/>
                                <w:color w:val="0D0D0D" w:themeColor="text1" w:themeTint="F2"/>
                                <w:sz w:val="36"/>
                                <w:szCs w:val="22"/>
                                <w:lang w:val="es-ES_tradnl"/>
                              </w:rPr>
                              <w:t xml:space="preserve"> </w:t>
                            </w:r>
                            <w:r w:rsidR="00820126">
                              <w:rPr>
                                <w:rFonts w:asciiTheme="majorHAnsi" w:hAnsiTheme="majorHAnsi" w:cs="Arial"/>
                                <w:b/>
                                <w:color w:val="0D0D0D" w:themeColor="text1" w:themeTint="F2"/>
                                <w:sz w:val="36"/>
                                <w:szCs w:val="22"/>
                                <w:lang w:val="es-ES_tradnl"/>
                              </w:rPr>
                              <w:t>589-07, 590-07 y</w:t>
                            </w:r>
                            <w:r w:rsidR="00133471">
                              <w:rPr>
                                <w:rFonts w:asciiTheme="majorHAnsi" w:hAnsiTheme="majorHAnsi" w:cs="Arial"/>
                                <w:b/>
                                <w:color w:val="0D0D0D" w:themeColor="text1" w:themeTint="F2"/>
                                <w:sz w:val="36"/>
                                <w:szCs w:val="22"/>
                                <w:lang w:val="es-ES_tradnl"/>
                              </w:rPr>
                              <w:t xml:space="preserve"> 591-</w:t>
                            </w:r>
                            <w:r w:rsidR="00133471" w:rsidRPr="00133471">
                              <w:rPr>
                                <w:rFonts w:asciiTheme="majorHAnsi" w:hAnsiTheme="majorHAnsi" w:cs="Arial"/>
                                <w:b/>
                                <w:color w:val="0D0D0D" w:themeColor="text1" w:themeTint="F2"/>
                                <w:sz w:val="36"/>
                                <w:szCs w:val="22"/>
                                <w:lang w:val="es-ES_tradnl"/>
                              </w:rPr>
                              <w:t>07</w:t>
                            </w:r>
                            <w:r w:rsidR="00133471">
                              <w:rPr>
                                <w:rFonts w:asciiTheme="majorHAnsi" w:hAnsiTheme="majorHAnsi" w:cs="Arial"/>
                                <w:b/>
                                <w:color w:val="0D0D0D" w:themeColor="text1" w:themeTint="F2"/>
                                <w:sz w:val="36"/>
                                <w:szCs w:val="22"/>
                                <w:lang w:val="es-ES_tradnl"/>
                              </w:rPr>
                              <w:t xml:space="preserve"> </w:t>
                            </w:r>
                            <w:r w:rsidR="005B52B0"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3334A9" w:rsidRPr="003334A9" w:rsidRDefault="003334A9" w:rsidP="003334A9">
                            <w:pPr>
                              <w:spacing w:line="276" w:lineRule="auto"/>
                              <w:rPr>
                                <w:rFonts w:asciiTheme="majorHAnsi" w:hAnsiTheme="majorHAnsi" w:cs="Arial"/>
                                <w:color w:val="0D0D0D" w:themeColor="text1" w:themeTint="F2"/>
                                <w:szCs w:val="22"/>
                                <w:lang w:val="es-ES_tradnl"/>
                              </w:rPr>
                            </w:pPr>
                            <w:r w:rsidRPr="003334A9">
                              <w:rPr>
                                <w:rFonts w:asciiTheme="majorHAnsi" w:hAnsiTheme="majorHAnsi" w:cs="Arial"/>
                                <w:color w:val="0D0D0D" w:themeColor="text1" w:themeTint="F2"/>
                                <w:szCs w:val="22"/>
                                <w:lang w:val="es-ES_tradnl"/>
                              </w:rPr>
                              <w:t>JULIO CÉSAR RITO DE LOS SANTOS Y OTROS</w:t>
                            </w:r>
                          </w:p>
                          <w:p w:rsidR="005B52B0" w:rsidRPr="0010736F" w:rsidRDefault="003334A9" w:rsidP="003334A9">
                            <w:pPr>
                              <w:spacing w:line="276" w:lineRule="auto"/>
                              <w:rPr>
                                <w:rFonts w:asciiTheme="majorHAnsi" w:hAnsiTheme="majorHAnsi" w:cs="Arial"/>
                                <w:color w:val="0D0D0D" w:themeColor="text1" w:themeTint="F2"/>
                                <w:szCs w:val="22"/>
                                <w:lang w:val="es-ES"/>
                              </w:rPr>
                            </w:pPr>
                            <w:r w:rsidRPr="003334A9">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625F3">
                        <w:rPr>
                          <w:rFonts w:asciiTheme="majorHAnsi" w:hAnsiTheme="majorHAnsi" w:cs="Arial"/>
                          <w:b/>
                          <w:bCs/>
                          <w:color w:val="0D0D0D" w:themeColor="text1" w:themeTint="F2"/>
                          <w:sz w:val="36"/>
                          <w:szCs w:val="22"/>
                          <w:lang w:val="es-ES_tradnl"/>
                        </w:rPr>
                        <w:t xml:space="preserve"> 57</w:t>
                      </w:r>
                      <w:r w:rsidR="007B05C4">
                        <w:rPr>
                          <w:rFonts w:asciiTheme="majorHAnsi" w:hAnsiTheme="majorHAnsi" w:cs="Arial"/>
                          <w:b/>
                          <w:bCs/>
                          <w:color w:val="0D0D0D" w:themeColor="text1" w:themeTint="F2"/>
                          <w:sz w:val="36"/>
                          <w:szCs w:val="22"/>
                          <w:lang w:val="es-ES_tradnl"/>
                        </w:rPr>
                        <w:t>/16</w:t>
                      </w:r>
                    </w:p>
                    <w:p w:rsidR="00CD046C" w:rsidRPr="0010736F" w:rsidRDefault="001F551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
                          <w:color w:val="0D0D0D" w:themeColor="text1" w:themeTint="F2"/>
                          <w:sz w:val="36"/>
                          <w:szCs w:val="22"/>
                          <w:lang w:val="es-ES_tradnl"/>
                        </w:rPr>
                        <w:t>PETICIO</w:t>
                      </w:r>
                      <w:r w:rsidR="005B52B0" w:rsidRPr="004E2649">
                        <w:rPr>
                          <w:rFonts w:asciiTheme="majorHAnsi" w:hAnsiTheme="majorHAnsi" w:cs="Arial"/>
                          <w:b/>
                          <w:color w:val="0D0D0D" w:themeColor="text1" w:themeTint="F2"/>
                          <w:sz w:val="36"/>
                          <w:szCs w:val="22"/>
                          <w:lang w:val="es-ES_tradnl"/>
                        </w:rPr>
                        <w:t>N</w:t>
                      </w:r>
                      <w:r w:rsidR="00C53B9F">
                        <w:rPr>
                          <w:rFonts w:asciiTheme="majorHAnsi" w:hAnsiTheme="majorHAnsi" w:cs="Arial"/>
                          <w:b/>
                          <w:color w:val="0D0D0D" w:themeColor="text1" w:themeTint="F2"/>
                          <w:sz w:val="36"/>
                          <w:szCs w:val="22"/>
                          <w:lang w:val="es-ES_tradnl"/>
                        </w:rPr>
                        <w:t>ES</w:t>
                      </w:r>
                      <w:r w:rsidR="005B52B0" w:rsidRPr="004E2649">
                        <w:rPr>
                          <w:rFonts w:asciiTheme="majorHAnsi" w:hAnsiTheme="majorHAnsi" w:cs="Arial"/>
                          <w:b/>
                          <w:color w:val="0D0D0D" w:themeColor="text1" w:themeTint="F2"/>
                          <w:sz w:val="36"/>
                          <w:szCs w:val="22"/>
                          <w:lang w:val="es-ES_tradnl"/>
                        </w:rPr>
                        <w:t xml:space="preserve"> </w:t>
                      </w:r>
                      <w:r w:rsidR="00820126">
                        <w:rPr>
                          <w:rFonts w:asciiTheme="majorHAnsi" w:hAnsiTheme="majorHAnsi" w:cs="Arial"/>
                          <w:b/>
                          <w:color w:val="0D0D0D" w:themeColor="text1" w:themeTint="F2"/>
                          <w:sz w:val="36"/>
                          <w:szCs w:val="22"/>
                          <w:lang w:val="es-ES_tradnl"/>
                        </w:rPr>
                        <w:t>589-07, 590-07 y</w:t>
                      </w:r>
                      <w:r w:rsidR="00133471">
                        <w:rPr>
                          <w:rFonts w:asciiTheme="majorHAnsi" w:hAnsiTheme="majorHAnsi" w:cs="Arial"/>
                          <w:b/>
                          <w:color w:val="0D0D0D" w:themeColor="text1" w:themeTint="F2"/>
                          <w:sz w:val="36"/>
                          <w:szCs w:val="22"/>
                          <w:lang w:val="es-ES_tradnl"/>
                        </w:rPr>
                        <w:t xml:space="preserve"> 591-</w:t>
                      </w:r>
                      <w:r w:rsidR="00133471" w:rsidRPr="00133471">
                        <w:rPr>
                          <w:rFonts w:asciiTheme="majorHAnsi" w:hAnsiTheme="majorHAnsi" w:cs="Arial"/>
                          <w:b/>
                          <w:color w:val="0D0D0D" w:themeColor="text1" w:themeTint="F2"/>
                          <w:sz w:val="36"/>
                          <w:szCs w:val="22"/>
                          <w:lang w:val="es-ES_tradnl"/>
                        </w:rPr>
                        <w:t>07</w:t>
                      </w:r>
                      <w:r w:rsidR="00133471">
                        <w:rPr>
                          <w:rFonts w:asciiTheme="majorHAnsi" w:hAnsiTheme="majorHAnsi" w:cs="Arial"/>
                          <w:b/>
                          <w:color w:val="0D0D0D" w:themeColor="text1" w:themeTint="F2"/>
                          <w:sz w:val="36"/>
                          <w:szCs w:val="22"/>
                          <w:lang w:val="es-ES_tradnl"/>
                        </w:rPr>
                        <w:t xml:space="preserve"> </w:t>
                      </w:r>
                      <w:r w:rsidR="005B52B0"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3334A9" w:rsidRPr="003334A9" w:rsidRDefault="003334A9" w:rsidP="003334A9">
                      <w:pPr>
                        <w:spacing w:line="276" w:lineRule="auto"/>
                        <w:rPr>
                          <w:rFonts w:asciiTheme="majorHAnsi" w:hAnsiTheme="majorHAnsi" w:cs="Arial"/>
                          <w:color w:val="0D0D0D" w:themeColor="text1" w:themeTint="F2"/>
                          <w:szCs w:val="22"/>
                          <w:lang w:val="es-ES_tradnl"/>
                        </w:rPr>
                      </w:pPr>
                      <w:r w:rsidRPr="003334A9">
                        <w:rPr>
                          <w:rFonts w:asciiTheme="majorHAnsi" w:hAnsiTheme="majorHAnsi" w:cs="Arial"/>
                          <w:color w:val="0D0D0D" w:themeColor="text1" w:themeTint="F2"/>
                          <w:szCs w:val="22"/>
                          <w:lang w:val="es-ES_tradnl"/>
                        </w:rPr>
                        <w:t>JULIO CÉSAR RITO DE LOS SANTOS Y OTROS</w:t>
                      </w:r>
                    </w:p>
                    <w:p w:rsidR="005B52B0" w:rsidRPr="0010736F" w:rsidRDefault="003334A9" w:rsidP="003334A9">
                      <w:pPr>
                        <w:spacing w:line="276" w:lineRule="auto"/>
                        <w:rPr>
                          <w:rFonts w:asciiTheme="majorHAnsi" w:hAnsiTheme="majorHAnsi" w:cs="Arial"/>
                          <w:color w:val="0D0D0D" w:themeColor="text1" w:themeTint="F2"/>
                          <w:szCs w:val="22"/>
                          <w:lang w:val="es-ES"/>
                        </w:rPr>
                      </w:pPr>
                      <w:r w:rsidRPr="003334A9">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326E5" w:rsidRDefault="00627C9F" w:rsidP="007A5817">
                            <w:pPr>
                              <w:spacing w:line="276" w:lineRule="auto"/>
                              <w:jc w:val="right"/>
                              <w:rPr>
                                <w:rFonts w:asciiTheme="minorHAnsi" w:hAnsiTheme="minorHAnsi"/>
                                <w:color w:val="FFFFFF" w:themeColor="background1"/>
                                <w:sz w:val="22"/>
                                <w:lang w:val="pt-BR"/>
                              </w:rPr>
                            </w:pPr>
                            <w:r w:rsidRPr="003326E5">
                              <w:rPr>
                                <w:rFonts w:asciiTheme="minorHAnsi" w:hAnsiTheme="minorHAnsi"/>
                                <w:color w:val="FFFFFF" w:themeColor="background1"/>
                                <w:sz w:val="22"/>
                                <w:lang w:val="pt-BR"/>
                              </w:rPr>
                              <w:t>OEA/Ser.L/V/II.15</w:t>
                            </w:r>
                            <w:r w:rsidR="00E625F3">
                              <w:rPr>
                                <w:rFonts w:asciiTheme="minorHAnsi" w:hAnsiTheme="minorHAnsi"/>
                                <w:color w:val="FFFFFF" w:themeColor="background1"/>
                                <w:sz w:val="22"/>
                                <w:lang w:val="pt-BR"/>
                              </w:rPr>
                              <w:t>9</w:t>
                            </w:r>
                          </w:p>
                          <w:p w:rsidR="00627C9F" w:rsidRPr="003326E5" w:rsidRDefault="00E625F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66</w:t>
                            </w:r>
                          </w:p>
                          <w:p w:rsidR="00627C9F" w:rsidRPr="007D3755" w:rsidRDefault="00E625F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6 diciembre </w:t>
                            </w:r>
                            <w:r w:rsidR="00627C9F" w:rsidRPr="007D3755">
                              <w:rPr>
                                <w:rFonts w:asciiTheme="minorHAnsi" w:hAnsiTheme="minorHAnsi"/>
                                <w:color w:val="FFFFFF" w:themeColor="background1"/>
                                <w:sz w:val="22"/>
                                <w:lang w:val="es-ES"/>
                              </w:rPr>
                              <w:t>201</w:t>
                            </w:r>
                            <w:r w:rsidR="00BF02CB" w:rsidRPr="007D3755">
                              <w:rPr>
                                <w:rFonts w:asciiTheme="minorHAnsi" w:hAnsiTheme="minorHAnsi"/>
                                <w:color w:val="FFFFFF" w:themeColor="background1"/>
                                <w:sz w:val="22"/>
                                <w:lang w:val="es-ES"/>
                              </w:rPr>
                              <w:t>6</w:t>
                            </w:r>
                          </w:p>
                          <w:p w:rsidR="00627C9F" w:rsidRPr="007D3755" w:rsidRDefault="00E0340B" w:rsidP="007A5817">
                            <w:pPr>
                              <w:spacing w:line="276" w:lineRule="auto"/>
                              <w:jc w:val="right"/>
                              <w:rPr>
                                <w:rFonts w:asciiTheme="minorHAnsi" w:hAnsiTheme="minorHAnsi"/>
                                <w:color w:val="FFFFFF" w:themeColor="background1"/>
                                <w:sz w:val="22"/>
                                <w:lang w:val="es-ES"/>
                              </w:rPr>
                            </w:pPr>
                            <w:r w:rsidRPr="007D3755">
                              <w:rPr>
                                <w:rFonts w:asciiTheme="minorHAnsi" w:hAnsiTheme="minorHAnsi"/>
                                <w:color w:val="FFFFFF" w:themeColor="background1"/>
                                <w:sz w:val="22"/>
                                <w:lang w:val="es-ES"/>
                              </w:rPr>
                              <w:t xml:space="preserve">Original: </w:t>
                            </w:r>
                            <w:r w:rsidR="008B12F5" w:rsidRPr="007D3755">
                              <w:rPr>
                                <w:rFonts w:asciiTheme="minorHAnsi" w:hAnsiTheme="minorHAnsi"/>
                                <w:color w:val="FFFFFF" w:themeColor="background1"/>
                                <w:sz w:val="22"/>
                                <w:lang w:val="es-ES"/>
                              </w:rPr>
                              <w:t>e</w:t>
                            </w:r>
                            <w:r w:rsidR="00627C9F" w:rsidRPr="007D3755">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326E5" w:rsidRDefault="00627C9F" w:rsidP="007A5817">
                      <w:pPr>
                        <w:spacing w:line="276" w:lineRule="auto"/>
                        <w:jc w:val="right"/>
                        <w:rPr>
                          <w:rFonts w:asciiTheme="minorHAnsi" w:hAnsiTheme="minorHAnsi"/>
                          <w:color w:val="FFFFFF" w:themeColor="background1"/>
                          <w:sz w:val="22"/>
                          <w:lang w:val="pt-BR"/>
                        </w:rPr>
                      </w:pPr>
                      <w:r w:rsidRPr="003326E5">
                        <w:rPr>
                          <w:rFonts w:asciiTheme="minorHAnsi" w:hAnsiTheme="minorHAnsi"/>
                          <w:color w:val="FFFFFF" w:themeColor="background1"/>
                          <w:sz w:val="22"/>
                          <w:lang w:val="pt-BR"/>
                        </w:rPr>
                        <w:t>OEA/Ser.L/V/II.15</w:t>
                      </w:r>
                      <w:r w:rsidR="00E625F3">
                        <w:rPr>
                          <w:rFonts w:asciiTheme="minorHAnsi" w:hAnsiTheme="minorHAnsi"/>
                          <w:color w:val="FFFFFF" w:themeColor="background1"/>
                          <w:sz w:val="22"/>
                          <w:lang w:val="pt-BR"/>
                        </w:rPr>
                        <w:t>9</w:t>
                      </w:r>
                    </w:p>
                    <w:p w:rsidR="00627C9F" w:rsidRPr="003326E5" w:rsidRDefault="00E625F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66</w:t>
                      </w:r>
                    </w:p>
                    <w:p w:rsidR="00627C9F" w:rsidRPr="007D3755" w:rsidRDefault="00E625F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6 diciembre </w:t>
                      </w:r>
                      <w:r w:rsidR="00627C9F" w:rsidRPr="007D3755">
                        <w:rPr>
                          <w:rFonts w:asciiTheme="minorHAnsi" w:hAnsiTheme="minorHAnsi"/>
                          <w:color w:val="FFFFFF" w:themeColor="background1"/>
                          <w:sz w:val="22"/>
                          <w:lang w:val="es-ES"/>
                        </w:rPr>
                        <w:t>201</w:t>
                      </w:r>
                      <w:r w:rsidR="00BF02CB" w:rsidRPr="007D3755">
                        <w:rPr>
                          <w:rFonts w:asciiTheme="minorHAnsi" w:hAnsiTheme="minorHAnsi"/>
                          <w:color w:val="FFFFFF" w:themeColor="background1"/>
                          <w:sz w:val="22"/>
                          <w:lang w:val="es-ES"/>
                        </w:rPr>
                        <w:t>6</w:t>
                      </w:r>
                    </w:p>
                    <w:p w:rsidR="00627C9F" w:rsidRPr="007D3755" w:rsidRDefault="00E0340B" w:rsidP="007A5817">
                      <w:pPr>
                        <w:spacing w:line="276" w:lineRule="auto"/>
                        <w:jc w:val="right"/>
                        <w:rPr>
                          <w:rFonts w:asciiTheme="minorHAnsi" w:hAnsiTheme="minorHAnsi"/>
                          <w:color w:val="FFFFFF" w:themeColor="background1"/>
                          <w:sz w:val="22"/>
                          <w:lang w:val="es-ES"/>
                        </w:rPr>
                      </w:pPr>
                      <w:r w:rsidRPr="007D3755">
                        <w:rPr>
                          <w:rFonts w:asciiTheme="minorHAnsi" w:hAnsiTheme="minorHAnsi"/>
                          <w:color w:val="FFFFFF" w:themeColor="background1"/>
                          <w:sz w:val="22"/>
                          <w:lang w:val="es-ES"/>
                        </w:rPr>
                        <w:t xml:space="preserve">Original: </w:t>
                      </w:r>
                      <w:r w:rsidR="008B12F5" w:rsidRPr="007D3755">
                        <w:rPr>
                          <w:rFonts w:asciiTheme="minorHAnsi" w:hAnsiTheme="minorHAnsi"/>
                          <w:color w:val="FFFFFF" w:themeColor="background1"/>
                          <w:sz w:val="22"/>
                          <w:lang w:val="es-ES"/>
                        </w:rPr>
                        <w:t>e</w:t>
                      </w:r>
                      <w:r w:rsidR="00627C9F" w:rsidRPr="007D3755">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5F3" w:rsidRPr="00890650" w:rsidRDefault="00E625F3" w:rsidP="00E625F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2070 celebrada el 6</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 de 2016</w:t>
                            </w:r>
                            <w:r w:rsidR="0091406A">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sidR="0091406A">
                              <w:rPr>
                                <w:rFonts w:asciiTheme="majorHAnsi" w:hAnsiTheme="majorHAnsi" w:cs="Univers"/>
                                <w:color w:val="0D0D0D" w:themeColor="text1" w:themeTint="F2"/>
                                <w:sz w:val="18"/>
                                <w:szCs w:val="20"/>
                                <w:lang w:val="es-ES_tradnl"/>
                              </w:rPr>
                              <w:t>.</w:t>
                            </w:r>
                            <w:r w:rsidR="00843452">
                              <w:rPr>
                                <w:rFonts w:asciiTheme="majorHAnsi" w:hAnsiTheme="majorHAnsi" w:cs="Univers"/>
                                <w:color w:val="0D0D0D" w:themeColor="text1" w:themeTint="F2"/>
                                <w:sz w:val="18"/>
                                <w:szCs w:val="20"/>
                                <w:lang w:val="es-ES_tradnl"/>
                              </w:rPr>
                              <w:t xml:space="preserve"> </w:t>
                            </w:r>
                          </w:p>
                          <w:p w:rsidR="00DD3D86" w:rsidRPr="00E625F3"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625F3" w:rsidRPr="00890650" w:rsidRDefault="00E625F3" w:rsidP="00E625F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2070 celebrada el 6</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 de 2016</w:t>
                      </w:r>
                      <w:r w:rsidR="0091406A">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sidR="0091406A">
                        <w:rPr>
                          <w:rFonts w:asciiTheme="majorHAnsi" w:hAnsiTheme="majorHAnsi" w:cs="Univers"/>
                          <w:color w:val="0D0D0D" w:themeColor="text1" w:themeTint="F2"/>
                          <w:sz w:val="18"/>
                          <w:szCs w:val="20"/>
                          <w:lang w:val="es-ES_tradnl"/>
                        </w:rPr>
                        <w:t>.</w:t>
                      </w:r>
                      <w:r w:rsidR="00843452">
                        <w:rPr>
                          <w:rFonts w:asciiTheme="majorHAnsi" w:hAnsiTheme="majorHAnsi" w:cs="Univers"/>
                          <w:color w:val="0D0D0D" w:themeColor="text1" w:themeTint="F2"/>
                          <w:sz w:val="18"/>
                          <w:szCs w:val="20"/>
                          <w:lang w:val="es-ES_tradnl"/>
                        </w:rPr>
                        <w:t xml:space="preserve"> </w:t>
                      </w:r>
                    </w:p>
                    <w:p w:rsidR="00DD3D86" w:rsidRPr="00E625F3"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6861" w:rsidRPr="00716861">
                              <w:rPr>
                                <w:rFonts w:asciiTheme="majorHAnsi" w:hAnsiTheme="majorHAnsi"/>
                                <w:color w:val="595959" w:themeColor="text1" w:themeTint="A6"/>
                                <w:sz w:val="18"/>
                                <w:szCs w:val="18"/>
                                <w:lang w:val="pt-BR"/>
                              </w:rPr>
                              <w:t>5</w:t>
                            </w:r>
                            <w:r w:rsidR="00716861">
                              <w:rPr>
                                <w:rFonts w:asciiTheme="majorHAnsi" w:hAnsiTheme="majorHAnsi"/>
                                <w:color w:val="595959" w:themeColor="text1" w:themeTint="A6"/>
                                <w:sz w:val="18"/>
                                <w:szCs w:val="18"/>
                                <w:lang w:val="pt-BR"/>
                              </w:rPr>
                              <w:t>7/16</w:t>
                            </w:r>
                            <w:r w:rsidRPr="00716861">
                              <w:rPr>
                                <w:rFonts w:asciiTheme="majorHAnsi" w:hAnsiTheme="majorHAnsi"/>
                                <w:color w:val="595959" w:themeColor="text1" w:themeTint="A6"/>
                                <w:sz w:val="18"/>
                                <w:szCs w:val="18"/>
                                <w:lang w:val="pt-BR"/>
                              </w:rPr>
                              <w:t>.</w:t>
                            </w:r>
                            <w:r w:rsidR="00716861">
                              <w:rPr>
                                <w:rFonts w:asciiTheme="majorHAnsi" w:hAnsiTheme="majorHAnsi"/>
                                <w:color w:val="595959" w:themeColor="text1" w:themeTint="A6"/>
                                <w:sz w:val="18"/>
                                <w:szCs w:val="18"/>
                                <w:lang w:val="pt-BR"/>
                              </w:rPr>
                              <w:t xml:space="preserve"> </w:t>
                            </w:r>
                            <w:r w:rsidR="00716861" w:rsidRPr="00716861">
                              <w:rPr>
                                <w:rFonts w:asciiTheme="majorHAnsi" w:hAnsiTheme="majorHAnsi"/>
                                <w:color w:val="595959" w:themeColor="text1" w:themeTint="A6"/>
                                <w:sz w:val="18"/>
                                <w:szCs w:val="18"/>
                                <w:lang w:val="es-ES"/>
                              </w:rPr>
                              <w:t>Peticiones 589-07, 590-07 y 591-07</w:t>
                            </w:r>
                            <w:r w:rsidR="00716861">
                              <w:rPr>
                                <w:rFonts w:asciiTheme="majorHAnsi" w:hAnsiTheme="majorHAnsi"/>
                                <w:color w:val="595959" w:themeColor="text1" w:themeTint="A6"/>
                                <w:sz w:val="18"/>
                                <w:szCs w:val="18"/>
                                <w:lang w:val="es-ES"/>
                              </w:rPr>
                              <w:t>.</w:t>
                            </w:r>
                            <w:r w:rsidR="00716861" w:rsidRPr="00716861">
                              <w:rPr>
                                <w:rFonts w:asciiTheme="majorHAnsi" w:hAnsiTheme="majorHAnsi"/>
                                <w:color w:val="595959" w:themeColor="text1" w:themeTint="A6"/>
                                <w:sz w:val="18"/>
                                <w:szCs w:val="18"/>
                                <w:lang w:val="es-ES"/>
                              </w:rPr>
                              <w:t xml:space="preserve"> </w:t>
                            </w:r>
                            <w:r w:rsidR="00716861">
                              <w:rPr>
                                <w:rFonts w:asciiTheme="majorHAnsi" w:hAnsiTheme="majorHAnsi"/>
                                <w:color w:val="595959" w:themeColor="text1" w:themeTint="A6"/>
                                <w:sz w:val="18"/>
                                <w:szCs w:val="18"/>
                                <w:lang w:val="es-ES_tradnl"/>
                              </w:rPr>
                              <w:t xml:space="preserve">Admisibilidad. </w:t>
                            </w:r>
                            <w:r w:rsidR="00716861" w:rsidRPr="00716861">
                              <w:rPr>
                                <w:rFonts w:asciiTheme="majorHAnsi" w:hAnsiTheme="majorHAnsi"/>
                                <w:color w:val="595959" w:themeColor="text1" w:themeTint="A6"/>
                                <w:sz w:val="18"/>
                                <w:szCs w:val="18"/>
                                <w:lang w:val="es-ES_tradnl"/>
                              </w:rPr>
                              <w:t>Julio César Rito De Los Santos</w:t>
                            </w:r>
                            <w:r w:rsidR="00716861">
                              <w:rPr>
                                <w:rFonts w:asciiTheme="majorHAnsi" w:hAnsiTheme="majorHAnsi"/>
                                <w:color w:val="595959" w:themeColor="text1" w:themeTint="A6"/>
                                <w:sz w:val="18"/>
                                <w:szCs w:val="18"/>
                                <w:lang w:val="es-ES_tradnl"/>
                              </w:rPr>
                              <w:t xml:space="preserve"> y otros</w:t>
                            </w:r>
                            <w:r w:rsidR="00716861" w:rsidRPr="00890650">
                              <w:rPr>
                                <w:rFonts w:asciiTheme="majorHAnsi" w:hAnsiTheme="majorHAnsi"/>
                                <w:color w:val="595959" w:themeColor="text1" w:themeTint="A6"/>
                                <w:sz w:val="18"/>
                                <w:szCs w:val="18"/>
                                <w:lang w:val="es-ES_tradnl"/>
                              </w:rPr>
                              <w:t xml:space="preserve">. </w:t>
                            </w:r>
                            <w:r w:rsidR="0071686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16861">
                              <w:rPr>
                                <w:rFonts w:asciiTheme="majorHAnsi" w:hAnsiTheme="majorHAnsi"/>
                                <w:color w:val="595959" w:themeColor="text1" w:themeTint="A6"/>
                                <w:sz w:val="18"/>
                                <w:szCs w:val="18"/>
                                <w:lang w:val="es-ES_tradnl"/>
                              </w:rPr>
                              <w:t>6 de diciembre de 2016</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6861" w:rsidRPr="00716861">
                        <w:rPr>
                          <w:rFonts w:asciiTheme="majorHAnsi" w:hAnsiTheme="majorHAnsi"/>
                          <w:color w:val="595959" w:themeColor="text1" w:themeTint="A6"/>
                          <w:sz w:val="18"/>
                          <w:szCs w:val="18"/>
                          <w:lang w:val="pt-BR"/>
                        </w:rPr>
                        <w:t>5</w:t>
                      </w:r>
                      <w:r w:rsidR="00716861">
                        <w:rPr>
                          <w:rFonts w:asciiTheme="majorHAnsi" w:hAnsiTheme="majorHAnsi"/>
                          <w:color w:val="595959" w:themeColor="text1" w:themeTint="A6"/>
                          <w:sz w:val="18"/>
                          <w:szCs w:val="18"/>
                          <w:lang w:val="pt-BR"/>
                        </w:rPr>
                        <w:t>7/16</w:t>
                      </w:r>
                      <w:r w:rsidRPr="00716861">
                        <w:rPr>
                          <w:rFonts w:asciiTheme="majorHAnsi" w:hAnsiTheme="majorHAnsi"/>
                          <w:color w:val="595959" w:themeColor="text1" w:themeTint="A6"/>
                          <w:sz w:val="18"/>
                          <w:szCs w:val="18"/>
                          <w:lang w:val="pt-BR"/>
                        </w:rPr>
                        <w:t>.</w:t>
                      </w:r>
                      <w:r w:rsidR="00716861">
                        <w:rPr>
                          <w:rFonts w:asciiTheme="majorHAnsi" w:hAnsiTheme="majorHAnsi"/>
                          <w:color w:val="595959" w:themeColor="text1" w:themeTint="A6"/>
                          <w:sz w:val="18"/>
                          <w:szCs w:val="18"/>
                          <w:lang w:val="pt-BR"/>
                        </w:rPr>
                        <w:t xml:space="preserve"> </w:t>
                      </w:r>
                      <w:r w:rsidR="00716861" w:rsidRPr="00716861">
                        <w:rPr>
                          <w:rFonts w:asciiTheme="majorHAnsi" w:hAnsiTheme="majorHAnsi"/>
                          <w:color w:val="595959" w:themeColor="text1" w:themeTint="A6"/>
                          <w:sz w:val="18"/>
                          <w:szCs w:val="18"/>
                          <w:lang w:val="es-ES"/>
                        </w:rPr>
                        <w:t>Peticiones 589-07, 590-07 y 591-07</w:t>
                      </w:r>
                      <w:r w:rsidR="00716861">
                        <w:rPr>
                          <w:rFonts w:asciiTheme="majorHAnsi" w:hAnsiTheme="majorHAnsi"/>
                          <w:color w:val="595959" w:themeColor="text1" w:themeTint="A6"/>
                          <w:sz w:val="18"/>
                          <w:szCs w:val="18"/>
                          <w:lang w:val="es-ES"/>
                        </w:rPr>
                        <w:t>.</w:t>
                      </w:r>
                      <w:r w:rsidR="00716861" w:rsidRPr="00716861">
                        <w:rPr>
                          <w:rFonts w:asciiTheme="majorHAnsi" w:hAnsiTheme="majorHAnsi"/>
                          <w:color w:val="595959" w:themeColor="text1" w:themeTint="A6"/>
                          <w:sz w:val="18"/>
                          <w:szCs w:val="18"/>
                          <w:lang w:val="es-ES"/>
                        </w:rPr>
                        <w:t xml:space="preserve"> </w:t>
                      </w:r>
                      <w:r w:rsidR="00716861">
                        <w:rPr>
                          <w:rFonts w:asciiTheme="majorHAnsi" w:hAnsiTheme="majorHAnsi"/>
                          <w:color w:val="595959" w:themeColor="text1" w:themeTint="A6"/>
                          <w:sz w:val="18"/>
                          <w:szCs w:val="18"/>
                          <w:lang w:val="es-ES_tradnl"/>
                        </w:rPr>
                        <w:t xml:space="preserve">Admisibilidad. </w:t>
                      </w:r>
                      <w:r w:rsidR="00716861" w:rsidRPr="00716861">
                        <w:rPr>
                          <w:rFonts w:asciiTheme="majorHAnsi" w:hAnsiTheme="majorHAnsi"/>
                          <w:color w:val="595959" w:themeColor="text1" w:themeTint="A6"/>
                          <w:sz w:val="18"/>
                          <w:szCs w:val="18"/>
                          <w:lang w:val="es-ES_tradnl"/>
                        </w:rPr>
                        <w:t>Julio César Rito De Los Santos</w:t>
                      </w:r>
                      <w:r w:rsidR="00716861">
                        <w:rPr>
                          <w:rFonts w:asciiTheme="majorHAnsi" w:hAnsiTheme="majorHAnsi"/>
                          <w:color w:val="595959" w:themeColor="text1" w:themeTint="A6"/>
                          <w:sz w:val="18"/>
                          <w:szCs w:val="18"/>
                          <w:lang w:val="es-ES_tradnl"/>
                        </w:rPr>
                        <w:t xml:space="preserve"> y otros</w:t>
                      </w:r>
                      <w:r w:rsidR="00716861" w:rsidRPr="00890650">
                        <w:rPr>
                          <w:rFonts w:asciiTheme="majorHAnsi" w:hAnsiTheme="majorHAnsi"/>
                          <w:color w:val="595959" w:themeColor="text1" w:themeTint="A6"/>
                          <w:sz w:val="18"/>
                          <w:szCs w:val="18"/>
                          <w:lang w:val="es-ES_tradnl"/>
                        </w:rPr>
                        <w:t xml:space="preserve">. </w:t>
                      </w:r>
                      <w:r w:rsidR="0071686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16861">
                        <w:rPr>
                          <w:rFonts w:asciiTheme="majorHAnsi" w:hAnsiTheme="majorHAnsi"/>
                          <w:color w:val="595959" w:themeColor="text1" w:themeTint="A6"/>
                          <w:sz w:val="18"/>
                          <w:szCs w:val="18"/>
                          <w:lang w:val="es-ES_tradnl"/>
                        </w:rPr>
                        <w:t>6 de diciembre de 2016</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2C3162"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57</w:t>
      </w:r>
      <w:r w:rsidR="00722C9F" w:rsidRPr="00722C9F">
        <w:rPr>
          <w:rFonts w:asciiTheme="majorHAnsi" w:hAnsiTheme="majorHAnsi"/>
          <w:b/>
          <w:sz w:val="18"/>
          <w:szCs w:val="20"/>
          <w:lang w:val="es-ES_tradnl"/>
        </w:rPr>
        <w:t>/1</w:t>
      </w:r>
      <w:r w:rsidR="00FE07DD">
        <w:rPr>
          <w:rFonts w:asciiTheme="majorHAnsi" w:hAnsiTheme="majorHAnsi"/>
          <w:b/>
          <w:sz w:val="18"/>
          <w:szCs w:val="20"/>
          <w:lang w:val="es-ES_tradnl"/>
        </w:rPr>
        <w:t>6</w:t>
      </w:r>
    </w:p>
    <w:p w:rsidR="00CB7A34" w:rsidRPr="00CB7A34" w:rsidRDefault="001F551E"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PETICIO</w:t>
      </w:r>
      <w:r w:rsidR="00CB7A34" w:rsidRPr="00CB7A34">
        <w:rPr>
          <w:rFonts w:asciiTheme="majorHAnsi" w:hAnsiTheme="majorHAnsi"/>
          <w:sz w:val="18"/>
          <w:szCs w:val="20"/>
          <w:lang w:val="es-ES_tradnl"/>
        </w:rPr>
        <w:t>NES 589-07</w:t>
      </w:r>
      <w:r w:rsidR="00CB7A34" w:rsidRPr="00CB7A34">
        <w:rPr>
          <w:rFonts w:asciiTheme="majorHAnsi" w:hAnsiTheme="majorHAnsi"/>
          <w:sz w:val="18"/>
          <w:szCs w:val="20"/>
          <w:lang w:val="es-ES"/>
        </w:rPr>
        <w:t xml:space="preserve"> – </w:t>
      </w:r>
      <w:r w:rsidR="00CB7A34" w:rsidRPr="00CB7A34">
        <w:rPr>
          <w:rFonts w:asciiTheme="majorHAnsi" w:hAnsiTheme="majorHAnsi"/>
          <w:sz w:val="18"/>
          <w:szCs w:val="20"/>
          <w:lang w:val="es-ES_tradnl"/>
        </w:rPr>
        <w:t>JULIO CÉSAR RITO DE LOS SANTOS</w:t>
      </w:r>
    </w:p>
    <w:p w:rsidR="00CB7A34" w:rsidRPr="00CB7A34" w:rsidRDefault="00CB7A34" w:rsidP="00722C9F">
      <w:pPr>
        <w:tabs>
          <w:tab w:val="center" w:pos="5400"/>
        </w:tabs>
        <w:suppressAutoHyphens/>
        <w:spacing w:line="276" w:lineRule="auto"/>
        <w:jc w:val="center"/>
        <w:rPr>
          <w:rFonts w:asciiTheme="majorHAnsi" w:hAnsiTheme="majorHAnsi"/>
          <w:sz w:val="18"/>
          <w:szCs w:val="20"/>
          <w:lang w:val="es-ES_tradnl"/>
        </w:rPr>
      </w:pPr>
      <w:r w:rsidRPr="00CB7A34">
        <w:rPr>
          <w:rFonts w:asciiTheme="majorHAnsi" w:hAnsiTheme="majorHAnsi"/>
          <w:sz w:val="18"/>
          <w:szCs w:val="20"/>
          <w:lang w:val="es-ES_tradnl"/>
        </w:rPr>
        <w:t>590-07 –</w:t>
      </w:r>
      <w:r w:rsidRPr="007D3755">
        <w:rPr>
          <w:lang w:val="es-ES"/>
        </w:rPr>
        <w:t xml:space="preserve"> </w:t>
      </w:r>
      <w:r w:rsidRPr="00CB7A34">
        <w:rPr>
          <w:rFonts w:asciiTheme="majorHAnsi" w:hAnsiTheme="majorHAnsi"/>
          <w:sz w:val="18"/>
          <w:szCs w:val="20"/>
          <w:lang w:val="es-ES_tradnl"/>
        </w:rPr>
        <w:t>HUGO DANIEL FERREIRA</w:t>
      </w:r>
    </w:p>
    <w:p w:rsidR="00722C9F" w:rsidRPr="00CB7A34" w:rsidRDefault="00CB7A34" w:rsidP="00722C9F">
      <w:pPr>
        <w:tabs>
          <w:tab w:val="center" w:pos="5400"/>
        </w:tabs>
        <w:suppressAutoHyphens/>
        <w:spacing w:line="276" w:lineRule="auto"/>
        <w:jc w:val="center"/>
        <w:rPr>
          <w:rFonts w:asciiTheme="majorHAnsi" w:hAnsiTheme="majorHAnsi"/>
          <w:sz w:val="18"/>
          <w:szCs w:val="20"/>
          <w:lang w:val="es-ES_tradnl"/>
        </w:rPr>
      </w:pPr>
      <w:r w:rsidRPr="00CB7A34">
        <w:rPr>
          <w:rFonts w:asciiTheme="majorHAnsi" w:hAnsiTheme="majorHAnsi"/>
          <w:sz w:val="18"/>
          <w:szCs w:val="20"/>
          <w:lang w:val="es-ES_tradnl"/>
        </w:rPr>
        <w:t>591-07 – NICASIO WASHINGTON ROMERO UBAL</w:t>
      </w:r>
    </w:p>
    <w:p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rsidR="0070697F" w:rsidRDefault="003334A9"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ARGENTINA</w:t>
      </w:r>
    </w:p>
    <w:p w:rsidR="0040395B" w:rsidRDefault="002C3162" w:rsidP="00AA520D">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6 DE DICIEMBRE DE 2016</w:t>
      </w:r>
    </w:p>
    <w:p w:rsidR="00510C75" w:rsidRDefault="00510C75" w:rsidP="0040395B">
      <w:pPr>
        <w:tabs>
          <w:tab w:val="center" w:pos="5400"/>
        </w:tabs>
        <w:suppressAutoHyphens/>
        <w:spacing w:line="276" w:lineRule="auto"/>
        <w:jc w:val="center"/>
        <w:rPr>
          <w:rFonts w:asciiTheme="majorHAnsi" w:hAnsiTheme="majorHAnsi"/>
          <w:sz w:val="18"/>
          <w:szCs w:val="20"/>
          <w:lang w:val="es-ES_tradnl"/>
        </w:rPr>
      </w:pPr>
    </w:p>
    <w:p w:rsidR="0091406A" w:rsidRPr="0040395B" w:rsidRDefault="0091406A" w:rsidP="0040395B">
      <w:pPr>
        <w:tabs>
          <w:tab w:val="center" w:pos="5400"/>
        </w:tabs>
        <w:suppressAutoHyphens/>
        <w:spacing w:line="276" w:lineRule="auto"/>
        <w:jc w:val="center"/>
        <w:rPr>
          <w:rFonts w:asciiTheme="majorHAnsi" w:hAnsiTheme="majorHAnsi"/>
          <w:sz w:val="18"/>
          <w:szCs w:val="20"/>
          <w:lang w:val="es-ES_tradnl"/>
        </w:rPr>
      </w:pPr>
    </w:p>
    <w:p w:rsidR="003239B8" w:rsidRPr="000419AD" w:rsidRDefault="003239B8" w:rsidP="0003041C">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450" w:type="dxa"/>
        <w:tblInd w:w="108" w:type="dxa"/>
        <w:tblBorders>
          <w:insideH w:val="single" w:sz="6" w:space="0" w:color="auto"/>
          <w:insideV w:val="single" w:sz="6" w:space="0" w:color="auto"/>
        </w:tblBorders>
        <w:tblLook w:val="04A0" w:firstRow="1" w:lastRow="0" w:firstColumn="1" w:lastColumn="0" w:noHBand="0" w:noVBand="1"/>
      </w:tblPr>
      <w:tblGrid>
        <w:gridCol w:w="4680"/>
        <w:gridCol w:w="4770"/>
      </w:tblGrid>
      <w:tr w:rsidR="003239B8" w:rsidRPr="001D4A4A" w:rsidTr="0003041C">
        <w:tc>
          <w:tcPr>
            <w:tcW w:w="4680" w:type="dxa"/>
            <w:tcBorders>
              <w:top w:val="single" w:sz="4"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color w:val="FFFFFF" w:themeColor="background1"/>
                <w:sz w:val="20"/>
                <w:szCs w:val="20"/>
              </w:rPr>
            </w:pPr>
            <w:r w:rsidRPr="001D4A4A">
              <w:rPr>
                <w:rFonts w:asciiTheme="majorHAnsi" w:hAnsiTheme="majorHAnsi"/>
                <w:b/>
                <w:bCs/>
                <w:color w:val="FFFFFF" w:themeColor="background1"/>
                <w:sz w:val="20"/>
                <w:szCs w:val="20"/>
              </w:rPr>
              <w:t>Parte peticionaria:</w:t>
            </w:r>
          </w:p>
        </w:tc>
        <w:tc>
          <w:tcPr>
            <w:tcW w:w="4770" w:type="dxa"/>
            <w:vAlign w:val="center"/>
          </w:tcPr>
          <w:p w:rsidR="003239B8" w:rsidRPr="001D4A4A" w:rsidRDefault="00B62B29" w:rsidP="0003041C">
            <w:pPr>
              <w:jc w:val="both"/>
              <w:rPr>
                <w:rFonts w:asciiTheme="majorHAnsi" w:hAnsiTheme="majorHAnsi"/>
                <w:bCs/>
                <w:sz w:val="20"/>
                <w:szCs w:val="20"/>
              </w:rPr>
            </w:pPr>
            <w:r w:rsidRPr="001D4A4A">
              <w:rPr>
                <w:rFonts w:asciiTheme="majorHAnsi" w:hAnsiTheme="majorHAnsi"/>
                <w:bCs/>
                <w:sz w:val="20"/>
                <w:szCs w:val="20"/>
              </w:rPr>
              <w:t xml:space="preserve">Eugenio M. Spota, </w:t>
            </w:r>
            <w:r w:rsidR="002D5212" w:rsidRPr="001D4A4A">
              <w:rPr>
                <w:rFonts w:asciiTheme="majorHAnsi" w:hAnsiTheme="majorHAnsi"/>
                <w:bCs/>
                <w:sz w:val="20"/>
                <w:szCs w:val="20"/>
              </w:rPr>
              <w:t>Alejandra Irma Vain y Maria Lucrecia Lambardi</w:t>
            </w:r>
          </w:p>
        </w:tc>
      </w:tr>
      <w:tr w:rsidR="003239B8" w:rsidRPr="001D4A4A" w:rsidTr="0003041C">
        <w:tc>
          <w:tcPr>
            <w:tcW w:w="4680" w:type="dxa"/>
            <w:tcBorders>
              <w:top w:val="single" w:sz="6" w:space="0" w:color="auto"/>
              <w:bottom w:val="single" w:sz="6" w:space="0" w:color="auto"/>
            </w:tcBorders>
            <w:shd w:val="clear" w:color="auto" w:fill="386294"/>
            <w:vAlign w:val="center"/>
          </w:tcPr>
          <w:p w:rsidR="003239B8" w:rsidRPr="001D4A4A" w:rsidRDefault="008E2E7D" w:rsidP="0003041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62B29" w:rsidRPr="001D4A4A">
                  <w:rPr>
                    <w:rFonts w:asciiTheme="majorHAnsi" w:hAnsiTheme="majorHAnsi"/>
                    <w:b/>
                    <w:bCs/>
                    <w:color w:val="FFFFFF" w:themeColor="background1"/>
                    <w:sz w:val="20"/>
                    <w:szCs w:val="20"/>
                  </w:rPr>
                  <w:t>Presuntas víctimas</w:t>
                </w:r>
              </w:sdtContent>
            </w:sdt>
            <w:r w:rsidR="003239B8" w:rsidRPr="001D4A4A">
              <w:rPr>
                <w:rFonts w:asciiTheme="majorHAnsi" w:hAnsiTheme="majorHAnsi"/>
                <w:b/>
                <w:bCs/>
                <w:color w:val="FFFFFF" w:themeColor="background1"/>
                <w:sz w:val="20"/>
                <w:szCs w:val="20"/>
              </w:rPr>
              <w:t>:</w:t>
            </w:r>
          </w:p>
        </w:tc>
        <w:tc>
          <w:tcPr>
            <w:tcW w:w="4770" w:type="dxa"/>
            <w:vAlign w:val="center"/>
          </w:tcPr>
          <w:p w:rsidR="003239B8" w:rsidRPr="001D4A4A" w:rsidRDefault="00DD6F03" w:rsidP="0003041C">
            <w:pPr>
              <w:ind w:right="162"/>
              <w:jc w:val="both"/>
              <w:rPr>
                <w:rFonts w:asciiTheme="majorHAnsi" w:hAnsiTheme="majorHAnsi"/>
                <w:bCs/>
                <w:sz w:val="20"/>
                <w:szCs w:val="20"/>
                <w:lang w:val="es-ES"/>
              </w:rPr>
            </w:pPr>
            <w:r w:rsidRPr="001D4A4A">
              <w:rPr>
                <w:rFonts w:asciiTheme="majorHAnsi" w:hAnsiTheme="majorHAnsi"/>
                <w:bCs/>
                <w:sz w:val="20"/>
                <w:szCs w:val="20"/>
                <w:lang w:val="es-ES"/>
              </w:rPr>
              <w:t>Julio César Rito de los Santos</w:t>
            </w:r>
            <w:r w:rsidR="00197375" w:rsidRPr="001D4A4A">
              <w:rPr>
                <w:rFonts w:asciiTheme="majorHAnsi" w:hAnsiTheme="majorHAnsi"/>
                <w:bCs/>
                <w:sz w:val="20"/>
                <w:szCs w:val="20"/>
                <w:lang w:val="es-ES"/>
              </w:rPr>
              <w:t>,</w:t>
            </w:r>
            <w:r w:rsidRPr="001D4A4A">
              <w:rPr>
                <w:rFonts w:asciiTheme="majorHAnsi" w:hAnsiTheme="majorHAnsi"/>
                <w:bCs/>
                <w:sz w:val="20"/>
                <w:szCs w:val="20"/>
                <w:lang w:val="es-ES"/>
              </w:rPr>
              <w:t xml:space="preserve"> </w:t>
            </w:r>
            <w:r w:rsidR="00555243" w:rsidRPr="001D4A4A">
              <w:rPr>
                <w:rFonts w:asciiTheme="majorHAnsi" w:hAnsiTheme="majorHAnsi"/>
                <w:bCs/>
                <w:sz w:val="20"/>
                <w:szCs w:val="20"/>
                <w:lang w:val="es-ES"/>
              </w:rPr>
              <w:t>Hugo Daniel Ferreira</w:t>
            </w:r>
            <w:r w:rsidR="00197375" w:rsidRPr="001D4A4A">
              <w:rPr>
                <w:rFonts w:asciiTheme="majorHAnsi" w:hAnsiTheme="majorHAnsi"/>
                <w:bCs/>
                <w:sz w:val="20"/>
                <w:szCs w:val="20"/>
                <w:lang w:val="es-ES"/>
              </w:rPr>
              <w:t xml:space="preserve"> y Nicasio Washington Romero Ubal</w:t>
            </w:r>
          </w:p>
        </w:tc>
      </w:tr>
      <w:tr w:rsidR="003239B8" w:rsidRPr="001D4A4A" w:rsidTr="0003041C">
        <w:tc>
          <w:tcPr>
            <w:tcW w:w="4680" w:type="dxa"/>
            <w:tcBorders>
              <w:top w:val="single" w:sz="6"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color w:val="FFFFFF" w:themeColor="background1"/>
                <w:sz w:val="20"/>
                <w:szCs w:val="20"/>
              </w:rPr>
            </w:pPr>
            <w:r w:rsidRPr="001D4A4A">
              <w:rPr>
                <w:rFonts w:asciiTheme="majorHAnsi" w:hAnsiTheme="majorHAnsi"/>
                <w:b/>
                <w:bCs/>
                <w:color w:val="FFFFFF" w:themeColor="background1"/>
                <w:sz w:val="20"/>
                <w:szCs w:val="20"/>
              </w:rPr>
              <w:t>Estado denunciado:</w:t>
            </w:r>
          </w:p>
        </w:tc>
        <w:tc>
          <w:tcPr>
            <w:tcW w:w="4770" w:type="dxa"/>
            <w:vAlign w:val="center"/>
          </w:tcPr>
          <w:p w:rsidR="003239B8" w:rsidRPr="001D4A4A" w:rsidRDefault="00B62B29" w:rsidP="0003041C">
            <w:pPr>
              <w:jc w:val="both"/>
              <w:rPr>
                <w:rFonts w:asciiTheme="majorHAnsi" w:hAnsiTheme="majorHAnsi"/>
                <w:bCs/>
                <w:sz w:val="20"/>
                <w:szCs w:val="20"/>
              </w:rPr>
            </w:pPr>
            <w:r w:rsidRPr="001D4A4A">
              <w:rPr>
                <w:rFonts w:asciiTheme="majorHAnsi" w:hAnsiTheme="majorHAnsi"/>
                <w:bCs/>
                <w:sz w:val="20"/>
                <w:szCs w:val="20"/>
              </w:rPr>
              <w:t>Argentina</w:t>
            </w:r>
          </w:p>
        </w:tc>
      </w:tr>
    </w:tbl>
    <w:p w:rsidR="003239B8" w:rsidRPr="001D4A4A" w:rsidRDefault="003239B8" w:rsidP="0003041C">
      <w:pPr>
        <w:spacing w:before="240" w:after="240"/>
        <w:ind w:firstLine="720"/>
        <w:jc w:val="both"/>
        <w:rPr>
          <w:rFonts w:asciiTheme="majorHAnsi" w:hAnsiTheme="majorHAnsi"/>
          <w:b/>
          <w:bCs/>
          <w:sz w:val="20"/>
          <w:szCs w:val="20"/>
        </w:rPr>
      </w:pPr>
      <w:r w:rsidRPr="001D4A4A">
        <w:rPr>
          <w:rFonts w:asciiTheme="majorHAnsi" w:hAnsiTheme="majorHAnsi"/>
          <w:b/>
          <w:bCs/>
          <w:sz w:val="20"/>
          <w:szCs w:val="20"/>
        </w:rPr>
        <w:t>II.</w:t>
      </w:r>
      <w:r w:rsidRPr="001D4A4A">
        <w:rPr>
          <w:rFonts w:asciiTheme="majorHAnsi" w:hAnsiTheme="majorHAnsi"/>
          <w:b/>
          <w:bCs/>
          <w:sz w:val="20"/>
          <w:szCs w:val="20"/>
        </w:rPr>
        <w:tab/>
        <w:t>TRÁMITE ANTE LA CIDH</w:t>
      </w:r>
    </w:p>
    <w:tbl>
      <w:tblPr>
        <w:tblStyle w:val="TableGrid"/>
        <w:tblW w:w="9450" w:type="dxa"/>
        <w:tblInd w:w="108" w:type="dxa"/>
        <w:tblBorders>
          <w:insideH w:val="single" w:sz="6" w:space="0" w:color="auto"/>
          <w:insideV w:val="single" w:sz="6" w:space="0" w:color="auto"/>
        </w:tblBorders>
        <w:tblLook w:val="04A0" w:firstRow="1" w:lastRow="0" w:firstColumn="1" w:lastColumn="0" w:noHBand="0" w:noVBand="1"/>
      </w:tblPr>
      <w:tblGrid>
        <w:gridCol w:w="4680"/>
        <w:gridCol w:w="4770"/>
      </w:tblGrid>
      <w:tr w:rsidR="003239B8" w:rsidRPr="001D4A4A" w:rsidTr="0003041C">
        <w:tc>
          <w:tcPr>
            <w:tcW w:w="4680" w:type="dxa"/>
            <w:tcBorders>
              <w:top w:val="single" w:sz="6"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color w:val="FFFFFF" w:themeColor="background1"/>
                <w:sz w:val="20"/>
                <w:szCs w:val="20"/>
                <w:lang w:val="es-ES"/>
              </w:rPr>
            </w:pPr>
            <w:r w:rsidRPr="001D4A4A">
              <w:rPr>
                <w:rFonts w:asciiTheme="majorHAnsi" w:hAnsiTheme="majorHAnsi"/>
                <w:b/>
                <w:bCs/>
                <w:color w:val="FFFFFF" w:themeColor="background1"/>
                <w:sz w:val="20"/>
                <w:szCs w:val="20"/>
                <w:lang w:val="es-ES"/>
              </w:rPr>
              <w:t>Fecha de presentación de la petición:</w:t>
            </w:r>
          </w:p>
        </w:tc>
        <w:tc>
          <w:tcPr>
            <w:tcW w:w="4770" w:type="dxa"/>
            <w:vAlign w:val="center"/>
          </w:tcPr>
          <w:p w:rsidR="003239B8" w:rsidRPr="001D4A4A" w:rsidRDefault="00B62B29" w:rsidP="0003041C">
            <w:pPr>
              <w:jc w:val="both"/>
              <w:rPr>
                <w:rFonts w:asciiTheme="majorHAnsi" w:hAnsiTheme="majorHAnsi"/>
                <w:bCs/>
                <w:sz w:val="20"/>
                <w:szCs w:val="20"/>
                <w:lang w:val="es-ES"/>
              </w:rPr>
            </w:pPr>
            <w:r w:rsidRPr="001D4A4A">
              <w:rPr>
                <w:rFonts w:asciiTheme="majorHAnsi" w:hAnsiTheme="majorHAnsi"/>
                <w:bCs/>
                <w:sz w:val="20"/>
                <w:szCs w:val="20"/>
                <w:lang w:val="es-ES"/>
              </w:rPr>
              <w:t>11 de mayo de 2007</w:t>
            </w:r>
          </w:p>
        </w:tc>
      </w:tr>
      <w:tr w:rsidR="003239B8" w:rsidRPr="001D4A4A" w:rsidTr="0003041C">
        <w:tc>
          <w:tcPr>
            <w:tcW w:w="4680" w:type="dxa"/>
            <w:tcBorders>
              <w:top w:val="single" w:sz="6"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color w:val="FFFFFF" w:themeColor="background1"/>
                <w:sz w:val="20"/>
                <w:szCs w:val="20"/>
                <w:lang w:val="es-ES"/>
              </w:rPr>
            </w:pPr>
            <w:r w:rsidRPr="001D4A4A">
              <w:rPr>
                <w:rFonts w:asciiTheme="majorHAnsi" w:hAnsiTheme="majorHAnsi"/>
                <w:b/>
                <w:color w:val="FFFFFF" w:themeColor="background1"/>
                <w:sz w:val="20"/>
                <w:szCs w:val="20"/>
                <w:lang w:val="es-ES"/>
              </w:rPr>
              <w:t>Fecha de notificación de la petición al Estado:</w:t>
            </w:r>
          </w:p>
        </w:tc>
        <w:tc>
          <w:tcPr>
            <w:tcW w:w="4770" w:type="dxa"/>
            <w:vAlign w:val="center"/>
          </w:tcPr>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589-07: 8 de septiembre de 2011</w:t>
            </w:r>
          </w:p>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590-07: 14 de septiembre de 2011</w:t>
            </w:r>
          </w:p>
          <w:p w:rsidR="00B62B29"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591-07: 6 de septiembre de 2011</w:t>
            </w:r>
          </w:p>
        </w:tc>
      </w:tr>
      <w:tr w:rsidR="003239B8" w:rsidRPr="001D4A4A" w:rsidTr="0003041C">
        <w:tc>
          <w:tcPr>
            <w:tcW w:w="4680" w:type="dxa"/>
            <w:tcBorders>
              <w:top w:val="single" w:sz="6"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color w:val="FFFFFF" w:themeColor="background1"/>
                <w:sz w:val="20"/>
                <w:szCs w:val="20"/>
                <w:lang w:val="es-ES"/>
              </w:rPr>
            </w:pPr>
            <w:r w:rsidRPr="001D4A4A">
              <w:rPr>
                <w:rFonts w:asciiTheme="majorHAnsi" w:hAnsiTheme="majorHAnsi"/>
                <w:b/>
                <w:color w:val="FFFFFF" w:themeColor="background1"/>
                <w:sz w:val="20"/>
                <w:szCs w:val="20"/>
                <w:lang w:val="es-ES"/>
              </w:rPr>
              <w:t>Fecha de primera respuesta del Estado:</w:t>
            </w:r>
          </w:p>
        </w:tc>
        <w:tc>
          <w:tcPr>
            <w:tcW w:w="4770" w:type="dxa"/>
            <w:vAlign w:val="center"/>
          </w:tcPr>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589-07: 3 de enero de 2012</w:t>
            </w:r>
          </w:p>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590-07: 17 mayo de 2013</w:t>
            </w:r>
          </w:p>
          <w:p w:rsidR="00C361B0"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591-07</w:t>
            </w:r>
            <w:r w:rsidR="004F4978" w:rsidRPr="001D4A4A">
              <w:rPr>
                <w:rFonts w:asciiTheme="majorHAnsi" w:hAnsiTheme="majorHAnsi"/>
                <w:bCs/>
                <w:sz w:val="20"/>
                <w:szCs w:val="20"/>
                <w:lang w:val="es-ES"/>
              </w:rPr>
              <w:t xml:space="preserve">: </w:t>
            </w:r>
            <w:r w:rsidRPr="001D4A4A">
              <w:rPr>
                <w:rFonts w:asciiTheme="majorHAnsi" w:hAnsiTheme="majorHAnsi"/>
                <w:bCs/>
                <w:sz w:val="20"/>
                <w:szCs w:val="20"/>
                <w:lang w:val="es-ES"/>
              </w:rPr>
              <w:t>2 de febrero de 2012</w:t>
            </w:r>
          </w:p>
        </w:tc>
      </w:tr>
      <w:tr w:rsidR="003239B8" w:rsidRPr="001D4A4A" w:rsidTr="0003041C">
        <w:tc>
          <w:tcPr>
            <w:tcW w:w="4680" w:type="dxa"/>
            <w:tcBorders>
              <w:top w:val="single" w:sz="6" w:space="0" w:color="auto"/>
              <w:bottom w:val="single" w:sz="6" w:space="0" w:color="auto"/>
            </w:tcBorders>
            <w:shd w:val="clear" w:color="auto" w:fill="386294"/>
            <w:vAlign w:val="center"/>
          </w:tcPr>
          <w:p w:rsidR="003239B8" w:rsidRPr="001D4A4A" w:rsidRDefault="003239B8" w:rsidP="007D3755">
            <w:pPr>
              <w:ind w:left="-108"/>
              <w:jc w:val="center"/>
              <w:rPr>
                <w:rFonts w:asciiTheme="majorHAnsi" w:hAnsiTheme="majorHAnsi"/>
                <w:b/>
                <w:bCs/>
                <w:color w:val="FFFFFF" w:themeColor="background1"/>
                <w:sz w:val="20"/>
                <w:szCs w:val="20"/>
                <w:lang w:val="es-ES"/>
              </w:rPr>
            </w:pPr>
            <w:r w:rsidRPr="001D4A4A">
              <w:rPr>
                <w:rFonts w:asciiTheme="majorHAnsi" w:hAnsiTheme="majorHAnsi"/>
                <w:b/>
                <w:bCs/>
                <w:color w:val="FFFFFF" w:themeColor="background1"/>
                <w:sz w:val="20"/>
                <w:szCs w:val="20"/>
                <w:lang w:val="es-ES"/>
              </w:rPr>
              <w:t>Observaciones adicionales de la parte peticionaria:</w:t>
            </w:r>
          </w:p>
        </w:tc>
        <w:tc>
          <w:tcPr>
            <w:tcW w:w="4770" w:type="dxa"/>
            <w:vAlign w:val="center"/>
          </w:tcPr>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589-07</w:t>
            </w:r>
            <w:r w:rsidR="004F6717" w:rsidRPr="001D4A4A">
              <w:rPr>
                <w:rFonts w:asciiTheme="majorHAnsi" w:hAnsiTheme="majorHAnsi"/>
                <w:bCs/>
                <w:sz w:val="20"/>
                <w:szCs w:val="20"/>
                <w:lang w:val="es-ES"/>
              </w:rPr>
              <w:t>: 21 de marzo de 2012</w:t>
            </w:r>
          </w:p>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590-07</w:t>
            </w:r>
            <w:r w:rsidR="006F600F" w:rsidRPr="001D4A4A">
              <w:rPr>
                <w:rFonts w:asciiTheme="majorHAnsi" w:hAnsiTheme="majorHAnsi"/>
                <w:bCs/>
                <w:sz w:val="20"/>
                <w:szCs w:val="20"/>
                <w:lang w:val="es-ES"/>
              </w:rPr>
              <w:t>: 22 de agosto de 2013</w:t>
            </w:r>
            <w:r w:rsidR="005E461A" w:rsidRPr="001D4A4A">
              <w:rPr>
                <w:rFonts w:asciiTheme="majorHAnsi" w:hAnsiTheme="majorHAnsi"/>
                <w:bCs/>
                <w:sz w:val="20"/>
                <w:szCs w:val="20"/>
                <w:lang w:val="es-ES"/>
              </w:rPr>
              <w:t xml:space="preserve"> y 17 de enero de 2014</w:t>
            </w:r>
          </w:p>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591-07: 23 de marzo de 2012</w:t>
            </w:r>
          </w:p>
        </w:tc>
      </w:tr>
      <w:tr w:rsidR="003239B8" w:rsidRPr="001D4A4A" w:rsidTr="0003041C">
        <w:tc>
          <w:tcPr>
            <w:tcW w:w="4680" w:type="dxa"/>
            <w:tcBorders>
              <w:top w:val="single" w:sz="6"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color w:val="FFFFFF" w:themeColor="background1"/>
                <w:sz w:val="20"/>
                <w:szCs w:val="20"/>
                <w:lang w:val="es-ES"/>
              </w:rPr>
            </w:pPr>
            <w:r w:rsidRPr="001D4A4A">
              <w:rPr>
                <w:rFonts w:asciiTheme="majorHAnsi" w:hAnsiTheme="majorHAnsi"/>
                <w:b/>
                <w:bCs/>
                <w:color w:val="FFFFFF" w:themeColor="background1"/>
                <w:sz w:val="20"/>
                <w:szCs w:val="20"/>
                <w:lang w:val="es-ES"/>
              </w:rPr>
              <w:t>Observaciones adicionales del Estado</w:t>
            </w:r>
            <w:r w:rsidRPr="001D4A4A">
              <w:rPr>
                <w:rStyle w:val="FootnoteReference"/>
                <w:rFonts w:asciiTheme="majorHAnsi" w:hAnsiTheme="majorHAnsi"/>
                <w:b/>
                <w:color w:val="FFFFFF" w:themeColor="background1"/>
                <w:sz w:val="20"/>
                <w:szCs w:val="20"/>
                <w:lang w:val="es-ES"/>
              </w:rPr>
              <w:footnoteReference w:id="2"/>
            </w:r>
            <w:r w:rsidRPr="001D4A4A">
              <w:rPr>
                <w:rFonts w:asciiTheme="majorHAnsi" w:hAnsiTheme="majorHAnsi"/>
                <w:b/>
                <w:bCs/>
                <w:color w:val="FFFFFF" w:themeColor="background1"/>
                <w:sz w:val="20"/>
                <w:szCs w:val="20"/>
                <w:lang w:val="es-ES"/>
              </w:rPr>
              <w:t>:</w:t>
            </w:r>
          </w:p>
        </w:tc>
        <w:tc>
          <w:tcPr>
            <w:tcW w:w="4770" w:type="dxa"/>
            <w:vAlign w:val="center"/>
          </w:tcPr>
          <w:p w:rsidR="0040395B"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589-07</w:t>
            </w:r>
            <w:r w:rsidR="00F34803" w:rsidRPr="001D4A4A">
              <w:rPr>
                <w:rFonts w:asciiTheme="majorHAnsi" w:hAnsiTheme="majorHAnsi"/>
                <w:bCs/>
                <w:sz w:val="20"/>
                <w:szCs w:val="20"/>
                <w:lang w:val="es-ES"/>
              </w:rPr>
              <w:t>: 19 de septiembre de 2013</w:t>
            </w:r>
          </w:p>
          <w:p w:rsidR="00133471"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590-07</w:t>
            </w:r>
            <w:r w:rsidR="005E461A" w:rsidRPr="001D4A4A">
              <w:rPr>
                <w:rFonts w:asciiTheme="majorHAnsi" w:hAnsiTheme="majorHAnsi"/>
                <w:bCs/>
                <w:sz w:val="20"/>
                <w:szCs w:val="20"/>
                <w:lang w:val="es-ES"/>
              </w:rPr>
              <w:t>: 15 de abril de 2014</w:t>
            </w:r>
          </w:p>
          <w:p w:rsidR="00C361B0" w:rsidRPr="001D4A4A" w:rsidRDefault="00133471" w:rsidP="0003041C">
            <w:pPr>
              <w:jc w:val="both"/>
              <w:rPr>
                <w:rFonts w:asciiTheme="majorHAnsi" w:hAnsiTheme="majorHAnsi"/>
                <w:bCs/>
                <w:sz w:val="20"/>
                <w:szCs w:val="20"/>
                <w:lang w:val="es-ES"/>
              </w:rPr>
            </w:pPr>
            <w:r w:rsidRPr="001D4A4A">
              <w:rPr>
                <w:rFonts w:asciiTheme="majorHAnsi" w:hAnsiTheme="majorHAnsi"/>
                <w:bCs/>
                <w:sz w:val="20"/>
                <w:szCs w:val="20"/>
                <w:lang w:val="es-ES"/>
              </w:rPr>
              <w:t>591-07: 18 de diciembre de 2013</w:t>
            </w:r>
          </w:p>
        </w:tc>
      </w:tr>
    </w:tbl>
    <w:p w:rsidR="003239B8" w:rsidRPr="001D4A4A" w:rsidRDefault="003239B8" w:rsidP="0091406A">
      <w:pPr>
        <w:spacing w:before="240" w:after="240"/>
        <w:ind w:left="1440" w:hanging="720"/>
        <w:jc w:val="both"/>
        <w:rPr>
          <w:rFonts w:asciiTheme="majorHAnsi" w:hAnsiTheme="majorHAnsi"/>
          <w:b/>
          <w:bCs/>
          <w:sz w:val="20"/>
          <w:szCs w:val="20"/>
          <w:lang w:val="es-ES"/>
        </w:rPr>
      </w:pPr>
      <w:r w:rsidRPr="001D4A4A">
        <w:rPr>
          <w:rFonts w:asciiTheme="majorHAnsi" w:hAnsiTheme="majorHAnsi"/>
          <w:b/>
          <w:bCs/>
          <w:sz w:val="20"/>
          <w:szCs w:val="20"/>
          <w:lang w:val="es-ES"/>
        </w:rPr>
        <w:t xml:space="preserve">III. </w:t>
      </w:r>
      <w:r w:rsidRPr="001D4A4A">
        <w:rPr>
          <w:rFonts w:asciiTheme="majorHAnsi" w:hAnsiTheme="majorHAnsi"/>
          <w:b/>
          <w:bCs/>
          <w:sz w:val="20"/>
          <w:szCs w:val="20"/>
          <w:lang w:val="es-ES"/>
        </w:rPr>
        <w:tab/>
        <w:t>COMPETENCIA, DUPLICACIÓN</w:t>
      </w:r>
      <w:r w:rsidRPr="001D4A4A">
        <w:rPr>
          <w:rFonts w:asciiTheme="majorHAnsi" w:hAnsiTheme="majorHAnsi"/>
          <w:b/>
          <w:bCs/>
          <w:color w:val="FFFFFF" w:themeColor="background1"/>
          <w:sz w:val="20"/>
          <w:szCs w:val="20"/>
          <w:lang w:val="es-ES"/>
        </w:rPr>
        <w:t xml:space="preserve"> </w:t>
      </w:r>
      <w:r w:rsidRPr="001D4A4A">
        <w:rPr>
          <w:rFonts w:asciiTheme="majorHAnsi" w:hAnsiTheme="majorHAnsi"/>
          <w:b/>
          <w:bCs/>
          <w:sz w:val="20"/>
          <w:szCs w:val="20"/>
          <w:lang w:val="es-ES"/>
        </w:rPr>
        <w:t>DE PROCEDIMIENTOS Y COSA JUZGADA</w:t>
      </w:r>
      <w:r w:rsidRPr="001D4A4A">
        <w:rPr>
          <w:rFonts w:asciiTheme="majorHAnsi" w:hAnsiTheme="majorHAnsi"/>
          <w:b/>
          <w:bCs/>
          <w:i/>
          <w:sz w:val="20"/>
          <w:szCs w:val="20"/>
          <w:lang w:val="es-ES"/>
        </w:rPr>
        <w:t xml:space="preserve"> </w:t>
      </w:r>
      <w:r w:rsidRPr="001D4A4A">
        <w:rPr>
          <w:rFonts w:asciiTheme="majorHAnsi" w:hAnsiTheme="majorHAnsi"/>
          <w:b/>
          <w:bCs/>
          <w:sz w:val="20"/>
          <w:szCs w:val="20"/>
          <w:lang w:val="es-ES"/>
        </w:rPr>
        <w:t>INTERNACIONAL</w:t>
      </w:r>
    </w:p>
    <w:tbl>
      <w:tblPr>
        <w:tblStyle w:val="TableGrid"/>
        <w:tblW w:w="9450" w:type="dxa"/>
        <w:tblInd w:w="108" w:type="dxa"/>
        <w:tblBorders>
          <w:insideH w:val="single" w:sz="6" w:space="0" w:color="auto"/>
          <w:insideV w:val="single" w:sz="6" w:space="0" w:color="auto"/>
        </w:tblBorders>
        <w:tblLook w:val="04A0" w:firstRow="1" w:lastRow="0" w:firstColumn="1" w:lastColumn="0" w:noHBand="0" w:noVBand="1"/>
      </w:tblPr>
      <w:tblGrid>
        <w:gridCol w:w="4680"/>
        <w:gridCol w:w="4770"/>
      </w:tblGrid>
      <w:tr w:rsidR="003239B8" w:rsidRPr="0091406A" w:rsidTr="0003041C">
        <w:trPr>
          <w:cantSplit/>
        </w:trPr>
        <w:tc>
          <w:tcPr>
            <w:tcW w:w="4680" w:type="dxa"/>
            <w:tcBorders>
              <w:top w:val="single" w:sz="4"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i/>
                <w:color w:val="FFFFFF" w:themeColor="background1"/>
                <w:sz w:val="20"/>
                <w:szCs w:val="20"/>
              </w:rPr>
            </w:pPr>
            <w:r w:rsidRPr="001D4A4A">
              <w:rPr>
                <w:rFonts w:asciiTheme="majorHAnsi" w:hAnsiTheme="majorHAnsi"/>
                <w:b/>
                <w:bCs/>
                <w:color w:val="FFFFFF" w:themeColor="background1"/>
                <w:sz w:val="20"/>
                <w:szCs w:val="20"/>
              </w:rPr>
              <w:t>Competencia</w:t>
            </w:r>
            <w:r w:rsidRPr="001D4A4A">
              <w:rPr>
                <w:rFonts w:asciiTheme="majorHAnsi" w:hAnsiTheme="majorHAnsi"/>
                <w:b/>
                <w:bCs/>
                <w:i/>
                <w:color w:val="FFFFFF" w:themeColor="background1"/>
                <w:sz w:val="20"/>
                <w:szCs w:val="20"/>
              </w:rPr>
              <w:t xml:space="preserve"> Ratione personae:</w:t>
            </w:r>
          </w:p>
        </w:tc>
        <w:tc>
          <w:tcPr>
            <w:tcW w:w="4770" w:type="dxa"/>
            <w:vAlign w:val="center"/>
          </w:tcPr>
          <w:p w:rsidR="003239B8" w:rsidRPr="001D4A4A" w:rsidRDefault="001D4A4A" w:rsidP="00D90709">
            <w:pPr>
              <w:jc w:val="both"/>
              <w:rPr>
                <w:rFonts w:asciiTheme="majorHAnsi" w:hAnsiTheme="majorHAnsi"/>
                <w:bCs/>
                <w:sz w:val="20"/>
                <w:szCs w:val="20"/>
                <w:lang w:val="es-ES"/>
              </w:rPr>
            </w:pPr>
            <w:r w:rsidRPr="001D4A4A">
              <w:rPr>
                <w:rFonts w:asciiTheme="majorHAnsi" w:hAnsiTheme="majorHAnsi"/>
                <w:bCs/>
                <w:sz w:val="20"/>
                <w:szCs w:val="20"/>
                <w:lang w:val="es-ES"/>
              </w:rPr>
              <w:t>Sí</w:t>
            </w:r>
            <w:r w:rsidR="007D3755">
              <w:rPr>
                <w:rFonts w:asciiTheme="majorHAnsi" w:hAnsiTheme="majorHAnsi"/>
                <w:bCs/>
                <w:sz w:val="20"/>
                <w:szCs w:val="20"/>
                <w:lang w:val="es-ES"/>
              </w:rPr>
              <w:t>,</w:t>
            </w:r>
            <w:r w:rsidR="00133471" w:rsidRPr="001D4A4A">
              <w:rPr>
                <w:rFonts w:asciiTheme="majorHAnsi" w:hAnsiTheme="majorHAnsi"/>
                <w:bCs/>
                <w:sz w:val="20"/>
                <w:szCs w:val="20"/>
                <w:lang w:val="es-ES"/>
              </w:rPr>
              <w:t xml:space="preserve"> en todas las peticiones</w:t>
            </w:r>
          </w:p>
        </w:tc>
      </w:tr>
      <w:tr w:rsidR="003239B8" w:rsidRPr="0091406A" w:rsidTr="0003041C">
        <w:trPr>
          <w:cantSplit/>
        </w:trPr>
        <w:tc>
          <w:tcPr>
            <w:tcW w:w="4680" w:type="dxa"/>
            <w:tcBorders>
              <w:top w:val="single" w:sz="6" w:space="0" w:color="auto"/>
              <w:bottom w:val="single" w:sz="6" w:space="0" w:color="auto"/>
            </w:tcBorders>
            <w:shd w:val="clear" w:color="auto" w:fill="386294"/>
            <w:vAlign w:val="center"/>
          </w:tcPr>
          <w:p w:rsidR="003239B8" w:rsidRPr="007D3755" w:rsidRDefault="003239B8" w:rsidP="0003041C">
            <w:pPr>
              <w:jc w:val="center"/>
              <w:rPr>
                <w:rFonts w:asciiTheme="majorHAnsi" w:hAnsiTheme="majorHAnsi"/>
                <w:b/>
                <w:bCs/>
                <w:color w:val="FFFFFF" w:themeColor="background1"/>
                <w:sz w:val="20"/>
                <w:szCs w:val="20"/>
                <w:lang w:val="es-ES"/>
              </w:rPr>
            </w:pPr>
            <w:r w:rsidRPr="007D3755">
              <w:rPr>
                <w:rFonts w:asciiTheme="majorHAnsi" w:hAnsiTheme="majorHAnsi"/>
                <w:b/>
                <w:bCs/>
                <w:color w:val="FFFFFF" w:themeColor="background1"/>
                <w:sz w:val="20"/>
                <w:szCs w:val="20"/>
                <w:lang w:val="es-ES"/>
              </w:rPr>
              <w:t>Competencia</w:t>
            </w:r>
            <w:r w:rsidRPr="007D3755">
              <w:rPr>
                <w:rFonts w:asciiTheme="majorHAnsi" w:hAnsiTheme="majorHAnsi"/>
                <w:b/>
                <w:bCs/>
                <w:i/>
                <w:color w:val="FFFFFF" w:themeColor="background1"/>
                <w:sz w:val="20"/>
                <w:szCs w:val="20"/>
                <w:lang w:val="es-ES"/>
              </w:rPr>
              <w:t xml:space="preserve"> Ratione loci</w:t>
            </w:r>
            <w:r w:rsidRPr="007D3755">
              <w:rPr>
                <w:rFonts w:asciiTheme="majorHAnsi" w:hAnsiTheme="majorHAnsi"/>
                <w:b/>
                <w:bCs/>
                <w:color w:val="FFFFFF" w:themeColor="background1"/>
                <w:sz w:val="20"/>
                <w:szCs w:val="20"/>
                <w:lang w:val="es-ES"/>
              </w:rPr>
              <w:t>:</w:t>
            </w:r>
          </w:p>
        </w:tc>
        <w:tc>
          <w:tcPr>
            <w:tcW w:w="4770" w:type="dxa"/>
            <w:vAlign w:val="center"/>
          </w:tcPr>
          <w:p w:rsidR="003239B8" w:rsidRPr="001D4A4A" w:rsidRDefault="001D4A4A" w:rsidP="00D90709">
            <w:pPr>
              <w:jc w:val="both"/>
              <w:rPr>
                <w:rFonts w:asciiTheme="majorHAnsi" w:hAnsiTheme="majorHAnsi"/>
                <w:bCs/>
                <w:sz w:val="20"/>
                <w:szCs w:val="20"/>
                <w:lang w:val="es-ES"/>
              </w:rPr>
            </w:pPr>
            <w:r w:rsidRPr="001D4A4A">
              <w:rPr>
                <w:rFonts w:asciiTheme="majorHAnsi" w:hAnsiTheme="majorHAnsi"/>
                <w:bCs/>
                <w:sz w:val="20"/>
                <w:szCs w:val="20"/>
                <w:lang w:val="es-ES"/>
              </w:rPr>
              <w:t>Sí</w:t>
            </w:r>
            <w:r w:rsidR="007D3755">
              <w:rPr>
                <w:rFonts w:asciiTheme="majorHAnsi" w:hAnsiTheme="majorHAnsi"/>
                <w:bCs/>
                <w:sz w:val="20"/>
                <w:szCs w:val="20"/>
                <w:lang w:val="es-ES"/>
              </w:rPr>
              <w:t>,</w:t>
            </w:r>
            <w:r w:rsidR="00133471" w:rsidRPr="001D4A4A">
              <w:rPr>
                <w:rFonts w:asciiTheme="majorHAnsi" w:hAnsiTheme="majorHAnsi"/>
                <w:bCs/>
                <w:sz w:val="20"/>
                <w:szCs w:val="20"/>
                <w:lang w:val="es-ES"/>
              </w:rPr>
              <w:t xml:space="preserve"> en todas las peticiones</w:t>
            </w:r>
          </w:p>
        </w:tc>
      </w:tr>
      <w:tr w:rsidR="003239B8" w:rsidRPr="0091406A" w:rsidTr="0003041C">
        <w:trPr>
          <w:cantSplit/>
        </w:trPr>
        <w:tc>
          <w:tcPr>
            <w:tcW w:w="4680" w:type="dxa"/>
            <w:tcBorders>
              <w:top w:val="single" w:sz="6" w:space="0" w:color="auto"/>
              <w:bottom w:val="single" w:sz="6" w:space="0" w:color="auto"/>
            </w:tcBorders>
            <w:shd w:val="clear" w:color="auto" w:fill="386294"/>
            <w:vAlign w:val="center"/>
          </w:tcPr>
          <w:p w:rsidR="003239B8" w:rsidRPr="007D3755" w:rsidRDefault="003239B8" w:rsidP="0003041C">
            <w:pPr>
              <w:jc w:val="center"/>
              <w:rPr>
                <w:rFonts w:asciiTheme="majorHAnsi" w:hAnsiTheme="majorHAnsi"/>
                <w:b/>
                <w:bCs/>
                <w:color w:val="FFFFFF" w:themeColor="background1"/>
                <w:sz w:val="20"/>
                <w:szCs w:val="20"/>
                <w:lang w:val="es-ES"/>
              </w:rPr>
            </w:pPr>
            <w:r w:rsidRPr="007D3755">
              <w:rPr>
                <w:rFonts w:asciiTheme="majorHAnsi" w:hAnsiTheme="majorHAnsi"/>
                <w:b/>
                <w:bCs/>
                <w:color w:val="FFFFFF" w:themeColor="background1"/>
                <w:sz w:val="20"/>
                <w:szCs w:val="20"/>
                <w:lang w:val="es-ES"/>
              </w:rPr>
              <w:t>Competencia</w:t>
            </w:r>
            <w:r w:rsidRPr="007D3755">
              <w:rPr>
                <w:rFonts w:asciiTheme="majorHAnsi" w:hAnsiTheme="majorHAnsi"/>
                <w:b/>
                <w:bCs/>
                <w:i/>
                <w:color w:val="FFFFFF" w:themeColor="background1"/>
                <w:sz w:val="20"/>
                <w:szCs w:val="20"/>
                <w:lang w:val="es-ES"/>
              </w:rPr>
              <w:t xml:space="preserve"> Ratione temporis</w:t>
            </w:r>
            <w:r w:rsidRPr="007D3755">
              <w:rPr>
                <w:rFonts w:asciiTheme="majorHAnsi" w:hAnsiTheme="majorHAnsi"/>
                <w:b/>
                <w:bCs/>
                <w:color w:val="FFFFFF" w:themeColor="background1"/>
                <w:sz w:val="20"/>
                <w:szCs w:val="20"/>
                <w:lang w:val="es-ES"/>
              </w:rPr>
              <w:t>:</w:t>
            </w:r>
          </w:p>
        </w:tc>
        <w:tc>
          <w:tcPr>
            <w:tcW w:w="4770" w:type="dxa"/>
            <w:vAlign w:val="center"/>
          </w:tcPr>
          <w:p w:rsidR="003239B8" w:rsidRPr="001D4A4A" w:rsidRDefault="0068692B" w:rsidP="00C53B9F">
            <w:pPr>
              <w:jc w:val="both"/>
              <w:rPr>
                <w:rFonts w:asciiTheme="majorHAnsi" w:hAnsiTheme="majorHAnsi"/>
                <w:bCs/>
                <w:sz w:val="20"/>
                <w:szCs w:val="20"/>
                <w:lang w:val="es-ES"/>
              </w:rPr>
            </w:pPr>
            <w:r w:rsidRPr="0068692B">
              <w:rPr>
                <w:rFonts w:asciiTheme="majorHAnsi" w:hAnsiTheme="majorHAnsi"/>
                <w:bCs/>
                <w:sz w:val="20"/>
                <w:szCs w:val="20"/>
                <w:lang w:val="es-ES"/>
              </w:rPr>
              <w:t>Sí</w:t>
            </w:r>
            <w:r>
              <w:rPr>
                <w:rFonts w:asciiTheme="majorHAnsi" w:hAnsiTheme="majorHAnsi"/>
                <w:bCs/>
                <w:sz w:val="20"/>
                <w:szCs w:val="20"/>
                <w:lang w:val="es-ES"/>
              </w:rPr>
              <w:t xml:space="preserve">, </w:t>
            </w:r>
            <w:r w:rsidR="00FC7C97" w:rsidRPr="00A833D3">
              <w:rPr>
                <w:rFonts w:asciiTheme="majorHAnsi" w:hAnsiTheme="majorHAnsi"/>
                <w:bCs/>
                <w:sz w:val="20"/>
                <w:szCs w:val="20"/>
                <w:lang w:val="es-ES"/>
              </w:rPr>
              <w:t>Declaración Americana de los Derechos y Deberes del Hombre</w:t>
            </w:r>
            <w:r w:rsidR="00C53B9F" w:rsidRPr="00F16C61">
              <w:rPr>
                <w:rStyle w:val="FootnoteReference"/>
                <w:rFonts w:asciiTheme="majorHAnsi" w:hAnsiTheme="majorHAnsi"/>
                <w:sz w:val="20"/>
                <w:szCs w:val="20"/>
                <w:bdr w:val="none" w:sz="0" w:space="0" w:color="auto" w:frame="1"/>
                <w:lang w:val="es-ES"/>
              </w:rPr>
              <w:footnoteReference w:id="3"/>
            </w:r>
            <w:r w:rsidR="00C53B9F" w:rsidRPr="00F16C61">
              <w:rPr>
                <w:rFonts w:asciiTheme="majorHAnsi" w:hAnsiTheme="majorHAnsi"/>
                <w:bCs/>
                <w:sz w:val="20"/>
                <w:szCs w:val="20"/>
                <w:lang w:val="es-ES"/>
              </w:rPr>
              <w:t xml:space="preserve"> </w:t>
            </w:r>
            <w:r w:rsidR="00FC7C97" w:rsidRPr="00A833D3">
              <w:rPr>
                <w:rStyle w:val="FootnoteReference"/>
                <w:rFonts w:asciiTheme="majorHAnsi" w:hAnsiTheme="majorHAnsi"/>
                <w:bCs/>
                <w:sz w:val="20"/>
                <w:szCs w:val="20"/>
                <w:vertAlign w:val="baseline"/>
                <w:lang w:val="es-ES"/>
              </w:rPr>
              <w:t xml:space="preserve"> </w:t>
            </w:r>
            <w:r w:rsidR="00FC7C97">
              <w:rPr>
                <w:rStyle w:val="FootnoteReference"/>
                <w:rFonts w:asciiTheme="majorHAnsi" w:hAnsiTheme="majorHAnsi"/>
                <w:bCs/>
                <w:sz w:val="20"/>
                <w:szCs w:val="20"/>
                <w:vertAlign w:val="baseline"/>
                <w:lang w:val="es-ES"/>
              </w:rPr>
              <w:t>(</w:t>
            </w:r>
            <w:r w:rsidR="00FC7C97" w:rsidRPr="00F16C61">
              <w:rPr>
                <w:rStyle w:val="FootnoteReference"/>
                <w:rFonts w:asciiTheme="majorHAnsi" w:hAnsiTheme="majorHAnsi"/>
                <w:bCs/>
                <w:sz w:val="20"/>
                <w:szCs w:val="20"/>
                <w:vertAlign w:val="baseline"/>
                <w:lang w:val="es-ES"/>
              </w:rPr>
              <w:t>r</w:t>
            </w:r>
            <w:r w:rsidR="00FC7C97" w:rsidRPr="00F16C61">
              <w:rPr>
                <w:rFonts w:asciiTheme="majorHAnsi" w:hAnsiTheme="majorHAnsi"/>
                <w:bCs/>
                <w:sz w:val="20"/>
                <w:szCs w:val="20"/>
                <w:lang w:val="es-ES"/>
              </w:rPr>
              <w:t>especto a</w:t>
            </w:r>
            <w:r w:rsidR="00FC7C97" w:rsidRPr="00F16C61">
              <w:rPr>
                <w:rStyle w:val="FootnoteReference"/>
                <w:rFonts w:asciiTheme="majorHAnsi" w:hAnsiTheme="majorHAnsi"/>
                <w:bCs/>
                <w:sz w:val="20"/>
                <w:szCs w:val="20"/>
                <w:vertAlign w:val="baseline"/>
                <w:lang w:val="es-ES"/>
              </w:rPr>
              <w:t xml:space="preserve"> los hechos ocurridos</w:t>
            </w:r>
            <w:r w:rsidR="00FC7C97" w:rsidRPr="00F16C61">
              <w:rPr>
                <w:rFonts w:asciiTheme="majorHAnsi" w:hAnsiTheme="majorHAnsi"/>
                <w:bCs/>
                <w:sz w:val="20"/>
                <w:szCs w:val="20"/>
                <w:lang w:val="es-ES"/>
              </w:rPr>
              <w:t xml:space="preserve"> con anterioridad a que Argentina ratificara la Convención</w:t>
            </w:r>
            <w:r w:rsidR="00F16C61" w:rsidRPr="00F16C61">
              <w:rPr>
                <w:rFonts w:asciiTheme="majorHAnsi" w:hAnsiTheme="majorHAnsi"/>
                <w:sz w:val="20"/>
                <w:szCs w:val="20"/>
                <w:bdr w:val="none" w:sz="0" w:space="0" w:color="auto" w:frame="1"/>
                <w:lang w:val="es-ES"/>
              </w:rPr>
              <w:t>)</w:t>
            </w:r>
            <w:r w:rsidR="00FC7C97" w:rsidRPr="00F16C61">
              <w:rPr>
                <w:rFonts w:asciiTheme="majorHAnsi" w:hAnsiTheme="majorHAnsi"/>
                <w:bCs/>
                <w:sz w:val="20"/>
                <w:szCs w:val="20"/>
                <w:lang w:val="es-ES"/>
              </w:rPr>
              <w:t xml:space="preserve"> y </w:t>
            </w:r>
            <w:r w:rsidR="00A833D3" w:rsidRPr="00F16C61">
              <w:rPr>
                <w:rFonts w:asciiTheme="majorHAnsi" w:hAnsiTheme="majorHAnsi"/>
                <w:bCs/>
                <w:sz w:val="20"/>
                <w:szCs w:val="20"/>
                <w:lang w:val="es-ES"/>
              </w:rPr>
              <w:t>Convención Americana sobre Derechos Humanos</w:t>
            </w:r>
            <w:r w:rsidR="00C53B9F">
              <w:rPr>
                <w:rStyle w:val="FootnoteReference"/>
                <w:rFonts w:asciiTheme="majorHAnsi" w:hAnsiTheme="majorHAnsi"/>
                <w:bCs/>
                <w:sz w:val="20"/>
                <w:szCs w:val="20"/>
                <w:lang w:val="es-ES"/>
              </w:rPr>
              <w:footnoteReference w:id="4"/>
            </w:r>
            <w:r w:rsidR="00F16C61">
              <w:rPr>
                <w:rFonts w:asciiTheme="majorHAnsi" w:hAnsiTheme="majorHAnsi"/>
                <w:bCs/>
                <w:sz w:val="20"/>
                <w:szCs w:val="20"/>
                <w:lang w:val="es-ES"/>
              </w:rPr>
              <w:t xml:space="preserve"> </w:t>
            </w:r>
            <w:r w:rsidR="00A833D3" w:rsidRPr="00F16C61">
              <w:rPr>
                <w:rFonts w:asciiTheme="majorHAnsi" w:hAnsiTheme="majorHAnsi"/>
                <w:bCs/>
                <w:sz w:val="20"/>
                <w:szCs w:val="20"/>
                <w:lang w:val="es-ES"/>
              </w:rPr>
              <w:t>(</w:t>
            </w:r>
            <w:r w:rsidR="004060F5" w:rsidRPr="00F16C61">
              <w:rPr>
                <w:rFonts w:asciiTheme="majorHAnsi" w:hAnsiTheme="majorHAnsi"/>
                <w:bCs/>
                <w:sz w:val="20"/>
                <w:szCs w:val="20"/>
                <w:bdr w:val="none" w:sz="0" w:space="0" w:color="auto" w:frame="1"/>
                <w:lang w:val="es-ES"/>
              </w:rPr>
              <w:t xml:space="preserve">respecto </w:t>
            </w:r>
            <w:r w:rsidR="00FC7C97" w:rsidRPr="00F16C61">
              <w:rPr>
                <w:rFonts w:asciiTheme="majorHAnsi" w:hAnsiTheme="majorHAnsi"/>
                <w:bCs/>
                <w:sz w:val="20"/>
                <w:szCs w:val="20"/>
                <w:bdr w:val="none" w:sz="0" w:space="0" w:color="auto" w:frame="1"/>
                <w:lang w:val="es-ES"/>
              </w:rPr>
              <w:t>a</w:t>
            </w:r>
            <w:r w:rsidR="004060F5" w:rsidRPr="00F16C61">
              <w:rPr>
                <w:rFonts w:asciiTheme="majorHAnsi" w:hAnsiTheme="majorHAnsi"/>
                <w:bCs/>
                <w:sz w:val="20"/>
                <w:szCs w:val="20"/>
                <w:bdr w:val="none" w:sz="0" w:space="0" w:color="auto" w:frame="1"/>
                <w:lang w:val="es-ES"/>
              </w:rPr>
              <w:t xml:space="preserve"> los hechos posteriores a la ratificación</w:t>
            </w:r>
            <w:r w:rsidR="004060F5" w:rsidRPr="004060F5">
              <w:rPr>
                <w:rFonts w:asciiTheme="majorHAnsi" w:hAnsiTheme="majorHAnsi"/>
                <w:bCs/>
                <w:sz w:val="20"/>
                <w:szCs w:val="20"/>
                <w:bdr w:val="none" w:sz="0" w:space="0" w:color="auto" w:frame="1"/>
                <w:lang w:val="es-ES"/>
              </w:rPr>
              <w:t xml:space="preserve"> de este instrumento</w:t>
            </w:r>
            <w:r w:rsidR="00FC7C97">
              <w:rPr>
                <w:rFonts w:asciiTheme="majorHAnsi" w:hAnsiTheme="majorHAnsi"/>
                <w:bCs/>
                <w:sz w:val="20"/>
                <w:szCs w:val="20"/>
                <w:lang w:val="es-ES"/>
              </w:rPr>
              <w:t>)</w:t>
            </w:r>
            <w:r w:rsidR="00B807BC">
              <w:rPr>
                <w:rFonts w:asciiTheme="majorHAnsi" w:hAnsiTheme="majorHAnsi"/>
                <w:bCs/>
                <w:sz w:val="20"/>
                <w:szCs w:val="20"/>
                <w:lang w:val="es-ES"/>
              </w:rPr>
              <w:t>.</w:t>
            </w:r>
          </w:p>
        </w:tc>
      </w:tr>
      <w:tr w:rsidR="003239B8" w:rsidRPr="0091406A" w:rsidTr="0003041C">
        <w:trPr>
          <w:cantSplit/>
        </w:trPr>
        <w:tc>
          <w:tcPr>
            <w:tcW w:w="4680" w:type="dxa"/>
            <w:tcBorders>
              <w:top w:val="single" w:sz="6"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color w:val="FFFFFF" w:themeColor="background1"/>
                <w:sz w:val="20"/>
                <w:szCs w:val="20"/>
              </w:rPr>
            </w:pPr>
            <w:r w:rsidRPr="001D4A4A">
              <w:rPr>
                <w:rFonts w:asciiTheme="majorHAnsi" w:hAnsiTheme="majorHAnsi"/>
                <w:b/>
                <w:bCs/>
                <w:color w:val="FFFFFF" w:themeColor="background1"/>
                <w:sz w:val="20"/>
                <w:szCs w:val="20"/>
              </w:rPr>
              <w:t>Competencia</w:t>
            </w:r>
            <w:r w:rsidRPr="001D4A4A">
              <w:rPr>
                <w:rFonts w:asciiTheme="majorHAnsi" w:hAnsiTheme="majorHAnsi"/>
                <w:b/>
                <w:bCs/>
                <w:i/>
                <w:color w:val="FFFFFF" w:themeColor="background1"/>
                <w:sz w:val="20"/>
                <w:szCs w:val="20"/>
              </w:rPr>
              <w:t xml:space="preserve"> Ratione materia</w:t>
            </w:r>
            <w:r w:rsidR="00A40707" w:rsidRPr="001D4A4A">
              <w:rPr>
                <w:rFonts w:asciiTheme="majorHAnsi" w:hAnsiTheme="majorHAnsi"/>
                <w:b/>
                <w:bCs/>
                <w:i/>
                <w:color w:val="FFFFFF" w:themeColor="background1"/>
                <w:sz w:val="20"/>
                <w:szCs w:val="20"/>
              </w:rPr>
              <w:t>e</w:t>
            </w:r>
            <w:r w:rsidRPr="001D4A4A">
              <w:rPr>
                <w:rFonts w:asciiTheme="majorHAnsi" w:hAnsiTheme="majorHAnsi"/>
                <w:b/>
                <w:bCs/>
                <w:color w:val="FFFFFF" w:themeColor="background1"/>
                <w:sz w:val="20"/>
                <w:szCs w:val="20"/>
              </w:rPr>
              <w:t>:</w:t>
            </w:r>
          </w:p>
        </w:tc>
        <w:tc>
          <w:tcPr>
            <w:tcW w:w="4770" w:type="dxa"/>
            <w:vAlign w:val="center"/>
          </w:tcPr>
          <w:p w:rsidR="003239B8" w:rsidRPr="001D4A4A" w:rsidRDefault="0068692B" w:rsidP="00FC7C97">
            <w:pPr>
              <w:jc w:val="both"/>
              <w:rPr>
                <w:rFonts w:asciiTheme="majorHAnsi" w:hAnsiTheme="majorHAnsi"/>
                <w:bCs/>
                <w:sz w:val="20"/>
                <w:szCs w:val="20"/>
                <w:lang w:val="es-ES"/>
              </w:rPr>
            </w:pPr>
            <w:r w:rsidRPr="0068692B">
              <w:rPr>
                <w:rFonts w:asciiTheme="majorHAnsi" w:hAnsiTheme="majorHAnsi"/>
                <w:bCs/>
                <w:sz w:val="20"/>
                <w:szCs w:val="20"/>
                <w:bdr w:val="none" w:sz="0" w:space="0" w:color="auto" w:frame="1"/>
                <w:lang w:val="es-ES"/>
              </w:rPr>
              <w:t>Sí</w:t>
            </w:r>
            <w:r>
              <w:rPr>
                <w:rFonts w:asciiTheme="majorHAnsi" w:hAnsiTheme="majorHAnsi"/>
                <w:bCs/>
                <w:sz w:val="20"/>
                <w:szCs w:val="20"/>
                <w:bdr w:val="none" w:sz="0" w:space="0" w:color="auto" w:frame="1"/>
                <w:lang w:val="es-ES"/>
              </w:rPr>
              <w:t xml:space="preserve">, </w:t>
            </w:r>
            <w:r w:rsidR="00FC7C97">
              <w:rPr>
                <w:rFonts w:asciiTheme="majorHAnsi" w:hAnsiTheme="majorHAnsi"/>
                <w:bCs/>
                <w:sz w:val="20"/>
                <w:szCs w:val="20"/>
                <w:bdr w:val="none" w:sz="0" w:space="0" w:color="auto" w:frame="1"/>
                <w:lang w:val="es-ES"/>
              </w:rPr>
              <w:t>Declaración Americana</w:t>
            </w:r>
            <w:r w:rsidR="00FC7C97" w:rsidRPr="001D4A4A">
              <w:rPr>
                <w:rFonts w:asciiTheme="majorHAnsi" w:hAnsiTheme="majorHAnsi"/>
                <w:bCs/>
                <w:sz w:val="20"/>
                <w:szCs w:val="20"/>
                <w:bdr w:val="none" w:sz="0" w:space="0" w:color="auto" w:frame="1"/>
                <w:lang w:val="es-ES"/>
              </w:rPr>
              <w:t xml:space="preserve"> </w:t>
            </w:r>
            <w:r w:rsidR="00FC7C97">
              <w:rPr>
                <w:rFonts w:asciiTheme="majorHAnsi" w:hAnsiTheme="majorHAnsi"/>
                <w:bCs/>
                <w:sz w:val="20"/>
                <w:szCs w:val="20"/>
                <w:bdr w:val="none" w:sz="0" w:space="0" w:color="auto" w:frame="1"/>
                <w:lang w:val="es-ES"/>
              </w:rPr>
              <w:t xml:space="preserve">y </w:t>
            </w:r>
            <w:r w:rsidR="000D759E" w:rsidRPr="001D4A4A">
              <w:rPr>
                <w:rFonts w:asciiTheme="majorHAnsi" w:hAnsiTheme="majorHAnsi"/>
                <w:bCs/>
                <w:sz w:val="20"/>
                <w:szCs w:val="20"/>
                <w:bdr w:val="none" w:sz="0" w:space="0" w:color="auto" w:frame="1"/>
                <w:lang w:val="es-ES"/>
              </w:rPr>
              <w:t>Convención Americana</w:t>
            </w:r>
          </w:p>
        </w:tc>
      </w:tr>
      <w:tr w:rsidR="003239B8" w:rsidRPr="0091406A" w:rsidTr="0003041C">
        <w:trPr>
          <w:cantSplit/>
        </w:trPr>
        <w:tc>
          <w:tcPr>
            <w:tcW w:w="4680" w:type="dxa"/>
            <w:tcBorders>
              <w:top w:val="single" w:sz="6"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i/>
                <w:color w:val="FFFFFF" w:themeColor="background1"/>
                <w:sz w:val="20"/>
                <w:szCs w:val="20"/>
                <w:lang w:val="es-ES"/>
              </w:rPr>
            </w:pPr>
            <w:r w:rsidRPr="001D4A4A">
              <w:rPr>
                <w:rFonts w:asciiTheme="majorHAnsi" w:hAnsiTheme="majorHAnsi"/>
                <w:b/>
                <w:bCs/>
                <w:color w:val="FFFFFF" w:themeColor="background1"/>
                <w:sz w:val="20"/>
                <w:szCs w:val="20"/>
                <w:lang w:val="es-ES"/>
              </w:rPr>
              <w:lastRenderedPageBreak/>
              <w:t>Duplicación de procedimientos y cosa juzgada</w:t>
            </w:r>
            <w:r w:rsidRPr="001D4A4A">
              <w:rPr>
                <w:rFonts w:asciiTheme="majorHAnsi" w:hAnsiTheme="majorHAnsi"/>
                <w:b/>
                <w:bCs/>
                <w:i/>
                <w:color w:val="FFFFFF" w:themeColor="background1"/>
                <w:sz w:val="20"/>
                <w:szCs w:val="20"/>
                <w:lang w:val="es-ES"/>
              </w:rPr>
              <w:t xml:space="preserve"> </w:t>
            </w:r>
            <w:r w:rsidRPr="001D4A4A">
              <w:rPr>
                <w:rFonts w:asciiTheme="majorHAnsi" w:hAnsiTheme="majorHAnsi"/>
                <w:b/>
                <w:bCs/>
                <w:color w:val="FFFFFF" w:themeColor="background1"/>
                <w:sz w:val="20"/>
                <w:szCs w:val="20"/>
                <w:lang w:val="es-ES"/>
              </w:rPr>
              <w:t>internacional</w:t>
            </w:r>
          </w:p>
        </w:tc>
        <w:tc>
          <w:tcPr>
            <w:tcW w:w="4770" w:type="dxa"/>
            <w:vAlign w:val="center"/>
          </w:tcPr>
          <w:p w:rsidR="003239B8" w:rsidRPr="001D4A4A" w:rsidRDefault="003334A9" w:rsidP="00D90709">
            <w:pPr>
              <w:jc w:val="both"/>
              <w:rPr>
                <w:rFonts w:asciiTheme="majorHAnsi" w:hAnsiTheme="majorHAnsi"/>
                <w:bCs/>
                <w:sz w:val="20"/>
                <w:szCs w:val="20"/>
                <w:bdr w:val="none" w:sz="0" w:space="0" w:color="auto" w:frame="1"/>
                <w:lang w:val="es-ES"/>
              </w:rPr>
            </w:pPr>
            <w:r w:rsidRPr="001D4A4A">
              <w:rPr>
                <w:rFonts w:asciiTheme="majorHAnsi" w:hAnsiTheme="majorHAnsi"/>
                <w:bCs/>
                <w:sz w:val="20"/>
                <w:szCs w:val="20"/>
                <w:bdr w:val="none" w:sz="0" w:space="0" w:color="auto" w:frame="1"/>
                <w:lang w:val="es-ES"/>
              </w:rPr>
              <w:t>No</w:t>
            </w:r>
            <w:r w:rsidR="00133471" w:rsidRPr="001D4A4A">
              <w:rPr>
                <w:rFonts w:asciiTheme="majorHAnsi" w:hAnsiTheme="majorHAnsi"/>
                <w:bCs/>
                <w:sz w:val="20"/>
                <w:szCs w:val="20"/>
                <w:bdr w:val="none" w:sz="0" w:space="0" w:color="auto" w:frame="1"/>
                <w:lang w:val="es-ES"/>
              </w:rPr>
              <w:t>, en todas las peticiones</w:t>
            </w:r>
          </w:p>
        </w:tc>
      </w:tr>
    </w:tbl>
    <w:p w:rsidR="003239B8" w:rsidRPr="001D4A4A" w:rsidRDefault="003239B8" w:rsidP="0091406A">
      <w:pPr>
        <w:spacing w:before="240" w:after="240"/>
        <w:ind w:left="1440" w:hanging="720"/>
        <w:jc w:val="both"/>
        <w:rPr>
          <w:rFonts w:asciiTheme="majorHAnsi" w:hAnsiTheme="majorHAnsi"/>
          <w:b/>
          <w:bCs/>
          <w:sz w:val="20"/>
          <w:szCs w:val="20"/>
          <w:lang w:val="es-ES"/>
        </w:rPr>
      </w:pPr>
      <w:r w:rsidRPr="001D4A4A">
        <w:rPr>
          <w:rFonts w:asciiTheme="majorHAnsi" w:hAnsiTheme="majorHAnsi"/>
          <w:b/>
          <w:bCs/>
          <w:sz w:val="20"/>
          <w:szCs w:val="20"/>
          <w:lang w:val="es-ES"/>
        </w:rPr>
        <w:t xml:space="preserve">IV. </w:t>
      </w:r>
      <w:r w:rsidRPr="001D4A4A">
        <w:rPr>
          <w:rFonts w:asciiTheme="majorHAnsi" w:hAnsiTheme="majorHAnsi"/>
          <w:b/>
          <w:bCs/>
          <w:sz w:val="20"/>
          <w:szCs w:val="20"/>
          <w:lang w:val="es-ES"/>
        </w:rPr>
        <w:tab/>
        <w:t xml:space="preserve">ANÁLISIS DE CARACTERIZACIÓN, </w:t>
      </w:r>
      <w:r w:rsidRPr="001D4A4A">
        <w:rPr>
          <w:rFonts w:asciiTheme="majorHAnsi" w:hAnsiTheme="majorHAnsi"/>
          <w:b/>
          <w:sz w:val="20"/>
          <w:szCs w:val="20"/>
          <w:lang w:val="es-ES"/>
        </w:rPr>
        <w:t>AGOTAMIENTO DE LOS RECURSOS INTERNOS Y PLAZO DE PRESENTACIÓN</w:t>
      </w:r>
    </w:p>
    <w:tbl>
      <w:tblPr>
        <w:tblStyle w:val="TableGrid"/>
        <w:tblW w:w="9450" w:type="dxa"/>
        <w:tblInd w:w="108" w:type="dxa"/>
        <w:tblBorders>
          <w:insideH w:val="single" w:sz="6" w:space="0" w:color="auto"/>
          <w:insideV w:val="single" w:sz="6" w:space="0" w:color="auto"/>
        </w:tblBorders>
        <w:tblLook w:val="04A0" w:firstRow="1" w:lastRow="0" w:firstColumn="1" w:lastColumn="0" w:noHBand="0" w:noVBand="1"/>
      </w:tblPr>
      <w:tblGrid>
        <w:gridCol w:w="4680"/>
        <w:gridCol w:w="4770"/>
      </w:tblGrid>
      <w:tr w:rsidR="003239B8" w:rsidRPr="0091406A" w:rsidTr="0003041C">
        <w:trPr>
          <w:cantSplit/>
        </w:trPr>
        <w:tc>
          <w:tcPr>
            <w:tcW w:w="4680" w:type="dxa"/>
            <w:tcBorders>
              <w:top w:val="single" w:sz="4" w:space="0" w:color="auto"/>
              <w:bottom w:val="single" w:sz="6" w:space="0" w:color="auto"/>
            </w:tcBorders>
            <w:shd w:val="clear" w:color="auto" w:fill="386294"/>
            <w:vAlign w:val="center"/>
          </w:tcPr>
          <w:p w:rsidR="003239B8" w:rsidRPr="001D4A4A" w:rsidRDefault="003239B8" w:rsidP="0003041C">
            <w:pPr>
              <w:jc w:val="center"/>
              <w:rPr>
                <w:rFonts w:asciiTheme="majorHAnsi" w:hAnsiTheme="majorHAnsi"/>
                <w:b/>
                <w:bCs/>
                <w:i/>
                <w:color w:val="FFFFFF" w:themeColor="background1"/>
                <w:sz w:val="20"/>
                <w:szCs w:val="20"/>
              </w:rPr>
            </w:pPr>
            <w:r w:rsidRPr="001D4A4A">
              <w:rPr>
                <w:rFonts w:asciiTheme="majorHAnsi" w:hAnsiTheme="majorHAnsi"/>
                <w:b/>
                <w:bCs/>
                <w:color w:val="FFFFFF" w:themeColor="background1"/>
                <w:sz w:val="20"/>
                <w:szCs w:val="20"/>
              </w:rPr>
              <w:t>Derechos declarados admisibles</w:t>
            </w:r>
            <w:r w:rsidRPr="001D4A4A">
              <w:rPr>
                <w:rFonts w:asciiTheme="majorHAnsi" w:hAnsiTheme="majorHAnsi"/>
                <w:b/>
                <w:bCs/>
                <w:i/>
                <w:color w:val="FFFFFF" w:themeColor="background1"/>
                <w:sz w:val="20"/>
                <w:szCs w:val="20"/>
              </w:rPr>
              <w:t>:</w:t>
            </w:r>
          </w:p>
        </w:tc>
        <w:tc>
          <w:tcPr>
            <w:tcW w:w="4770" w:type="dxa"/>
            <w:vAlign w:val="center"/>
          </w:tcPr>
          <w:p w:rsidR="003239B8" w:rsidRPr="001D4A4A" w:rsidRDefault="001D4A4A" w:rsidP="00F1025A">
            <w:pPr>
              <w:jc w:val="both"/>
              <w:rPr>
                <w:rFonts w:asciiTheme="majorHAnsi" w:hAnsiTheme="majorHAnsi"/>
                <w:bCs/>
                <w:sz w:val="20"/>
                <w:szCs w:val="20"/>
                <w:lang w:val="es-ES"/>
              </w:rPr>
            </w:pPr>
            <w:r w:rsidRPr="001D4A4A">
              <w:rPr>
                <w:rFonts w:asciiTheme="majorHAnsi" w:hAnsiTheme="majorHAnsi"/>
                <w:bCs/>
                <w:sz w:val="20"/>
                <w:szCs w:val="20"/>
                <w:lang w:val="es-ES"/>
              </w:rPr>
              <w:t>Sí</w:t>
            </w:r>
            <w:r w:rsidR="000D759E" w:rsidRPr="001D4A4A">
              <w:rPr>
                <w:rFonts w:asciiTheme="majorHAnsi" w:hAnsiTheme="majorHAnsi"/>
                <w:bCs/>
                <w:sz w:val="20"/>
                <w:szCs w:val="20"/>
                <w:lang w:val="es-ES"/>
              </w:rPr>
              <w:t xml:space="preserve">, artículos </w:t>
            </w:r>
            <w:r w:rsidR="001814F1" w:rsidRPr="001D4A4A">
              <w:rPr>
                <w:rFonts w:asciiTheme="majorHAnsi" w:hAnsiTheme="majorHAnsi"/>
                <w:bCs/>
                <w:sz w:val="20"/>
                <w:szCs w:val="20"/>
                <w:lang w:val="es-ES"/>
              </w:rPr>
              <w:t>8</w:t>
            </w:r>
            <w:r w:rsidR="00862C75" w:rsidRPr="001D4A4A">
              <w:rPr>
                <w:rFonts w:asciiTheme="majorHAnsi" w:hAnsiTheme="majorHAnsi"/>
                <w:bCs/>
                <w:sz w:val="20"/>
                <w:szCs w:val="20"/>
                <w:lang w:val="es-ES"/>
              </w:rPr>
              <w:t xml:space="preserve"> (garantías judiciales)</w:t>
            </w:r>
            <w:r w:rsidR="001814F1" w:rsidRPr="001D4A4A">
              <w:rPr>
                <w:rFonts w:asciiTheme="majorHAnsi" w:hAnsiTheme="majorHAnsi"/>
                <w:bCs/>
                <w:sz w:val="20"/>
                <w:szCs w:val="20"/>
                <w:lang w:val="es-ES"/>
              </w:rPr>
              <w:t xml:space="preserve">, </w:t>
            </w:r>
            <w:r w:rsidR="00C21E74">
              <w:rPr>
                <w:rFonts w:asciiTheme="majorHAnsi" w:hAnsiTheme="majorHAnsi"/>
                <w:bCs/>
                <w:sz w:val="20"/>
                <w:szCs w:val="20"/>
                <w:lang w:val="es-ES"/>
              </w:rPr>
              <w:t xml:space="preserve">13 (pensamiento y expresión), 22 (circulación y residencia), </w:t>
            </w:r>
            <w:r w:rsidR="001814F1" w:rsidRPr="001D4A4A">
              <w:rPr>
                <w:rFonts w:asciiTheme="majorHAnsi" w:hAnsiTheme="majorHAnsi"/>
                <w:bCs/>
                <w:sz w:val="20"/>
                <w:szCs w:val="20"/>
                <w:lang w:val="es-ES"/>
              </w:rPr>
              <w:t>24</w:t>
            </w:r>
            <w:r w:rsidR="00862C75" w:rsidRPr="001D4A4A">
              <w:rPr>
                <w:rFonts w:asciiTheme="majorHAnsi" w:hAnsiTheme="majorHAnsi"/>
                <w:bCs/>
                <w:sz w:val="20"/>
                <w:szCs w:val="20"/>
                <w:lang w:val="es-ES"/>
              </w:rPr>
              <w:t xml:space="preserve"> (</w:t>
            </w:r>
            <w:r w:rsidRPr="001D4A4A">
              <w:rPr>
                <w:rFonts w:asciiTheme="majorHAnsi" w:hAnsiTheme="majorHAnsi"/>
                <w:bCs/>
                <w:sz w:val="20"/>
                <w:szCs w:val="20"/>
                <w:lang w:val="es-ES"/>
              </w:rPr>
              <w:t>igualdad ante la ley)</w:t>
            </w:r>
            <w:r w:rsidR="001814F1" w:rsidRPr="001D4A4A">
              <w:rPr>
                <w:rFonts w:asciiTheme="majorHAnsi" w:hAnsiTheme="majorHAnsi"/>
                <w:bCs/>
                <w:sz w:val="20"/>
                <w:szCs w:val="20"/>
                <w:lang w:val="es-ES"/>
              </w:rPr>
              <w:t xml:space="preserve"> y 25</w:t>
            </w:r>
            <w:r w:rsidR="000D759E" w:rsidRPr="001D4A4A">
              <w:rPr>
                <w:rFonts w:asciiTheme="majorHAnsi" w:hAnsiTheme="majorHAnsi"/>
                <w:sz w:val="20"/>
                <w:szCs w:val="20"/>
                <w:lang w:val="es-ES"/>
              </w:rPr>
              <w:t xml:space="preserve"> </w:t>
            </w:r>
            <w:r w:rsidRPr="001D4A4A">
              <w:rPr>
                <w:rFonts w:asciiTheme="majorHAnsi" w:hAnsiTheme="majorHAnsi"/>
                <w:sz w:val="20"/>
                <w:szCs w:val="20"/>
                <w:lang w:val="es-ES"/>
              </w:rPr>
              <w:t xml:space="preserve">(protección judicial) </w:t>
            </w:r>
            <w:r w:rsidR="000D759E" w:rsidRPr="001D4A4A">
              <w:rPr>
                <w:rFonts w:asciiTheme="majorHAnsi" w:hAnsiTheme="majorHAnsi"/>
                <w:bCs/>
                <w:sz w:val="20"/>
                <w:szCs w:val="20"/>
                <w:lang w:val="es-ES"/>
              </w:rPr>
              <w:t xml:space="preserve">de la </w:t>
            </w:r>
            <w:r w:rsidR="0003041C" w:rsidRPr="001D4A4A">
              <w:rPr>
                <w:rFonts w:asciiTheme="majorHAnsi" w:hAnsiTheme="majorHAnsi"/>
                <w:bCs/>
                <w:sz w:val="20"/>
                <w:szCs w:val="20"/>
                <w:lang w:val="es-ES"/>
              </w:rPr>
              <w:t>Convención</w:t>
            </w:r>
            <w:r w:rsidR="008A148E">
              <w:rPr>
                <w:rFonts w:asciiTheme="majorHAnsi" w:hAnsiTheme="majorHAnsi"/>
                <w:bCs/>
                <w:sz w:val="20"/>
                <w:szCs w:val="20"/>
                <w:lang w:val="es-ES"/>
              </w:rPr>
              <w:t xml:space="preserve"> en relación con </w:t>
            </w:r>
            <w:r w:rsidR="00F1025A">
              <w:rPr>
                <w:rFonts w:asciiTheme="majorHAnsi" w:hAnsiTheme="majorHAnsi"/>
                <w:bCs/>
                <w:sz w:val="20"/>
                <w:szCs w:val="20"/>
                <w:lang w:val="es-ES"/>
              </w:rPr>
              <w:t>los</w:t>
            </w:r>
            <w:r w:rsidR="008A148E">
              <w:rPr>
                <w:rFonts w:asciiTheme="majorHAnsi" w:hAnsiTheme="majorHAnsi"/>
                <w:bCs/>
                <w:sz w:val="20"/>
                <w:szCs w:val="20"/>
                <w:lang w:val="es-ES"/>
              </w:rPr>
              <w:t xml:space="preserve"> artículo</w:t>
            </w:r>
            <w:r w:rsidR="00F1025A">
              <w:rPr>
                <w:rFonts w:asciiTheme="majorHAnsi" w:hAnsiTheme="majorHAnsi"/>
                <w:bCs/>
                <w:sz w:val="20"/>
                <w:szCs w:val="20"/>
                <w:lang w:val="es-ES"/>
              </w:rPr>
              <w:t>s</w:t>
            </w:r>
            <w:r w:rsidR="008A148E">
              <w:rPr>
                <w:rFonts w:asciiTheme="majorHAnsi" w:hAnsiTheme="majorHAnsi"/>
                <w:bCs/>
                <w:sz w:val="20"/>
                <w:szCs w:val="20"/>
                <w:lang w:val="es-ES"/>
              </w:rPr>
              <w:t xml:space="preserve"> 1.1 </w:t>
            </w:r>
            <w:r w:rsidR="00F1025A">
              <w:rPr>
                <w:rFonts w:asciiTheme="majorHAnsi" w:hAnsiTheme="majorHAnsi"/>
                <w:bCs/>
                <w:sz w:val="20"/>
                <w:szCs w:val="20"/>
                <w:lang w:val="es-ES"/>
              </w:rPr>
              <w:t xml:space="preserve">y 2 </w:t>
            </w:r>
            <w:r w:rsidR="008A148E">
              <w:rPr>
                <w:rFonts w:asciiTheme="majorHAnsi" w:hAnsiTheme="majorHAnsi"/>
                <w:bCs/>
                <w:sz w:val="20"/>
                <w:szCs w:val="20"/>
                <w:lang w:val="es-ES"/>
              </w:rPr>
              <w:t>del mismo instrumento;</w:t>
            </w:r>
            <w:r w:rsidR="0027475B" w:rsidRPr="001D4A4A">
              <w:rPr>
                <w:rFonts w:asciiTheme="majorHAnsi" w:hAnsiTheme="majorHAnsi"/>
                <w:bCs/>
                <w:sz w:val="20"/>
                <w:szCs w:val="20"/>
                <w:lang w:val="es-ES"/>
              </w:rPr>
              <w:t xml:space="preserve"> y</w:t>
            </w:r>
            <w:r w:rsidR="00ED0CBE" w:rsidRPr="001D4A4A">
              <w:rPr>
                <w:rFonts w:asciiTheme="majorHAnsi" w:hAnsiTheme="majorHAnsi"/>
                <w:bCs/>
                <w:sz w:val="20"/>
                <w:szCs w:val="20"/>
                <w:lang w:val="es-ES"/>
              </w:rPr>
              <w:t xml:space="preserve"> artículos</w:t>
            </w:r>
            <w:r w:rsidR="0027475B" w:rsidRPr="001D4A4A">
              <w:rPr>
                <w:rFonts w:asciiTheme="majorHAnsi" w:hAnsiTheme="majorHAnsi"/>
                <w:bCs/>
                <w:sz w:val="20"/>
                <w:szCs w:val="20"/>
                <w:lang w:val="es-ES"/>
              </w:rPr>
              <w:t xml:space="preserve"> I</w:t>
            </w:r>
            <w:r w:rsidRPr="001D4A4A">
              <w:rPr>
                <w:rFonts w:asciiTheme="majorHAnsi" w:hAnsiTheme="majorHAnsi"/>
                <w:bCs/>
                <w:sz w:val="20"/>
                <w:szCs w:val="20"/>
                <w:lang w:val="es-ES"/>
              </w:rPr>
              <w:t xml:space="preserve"> (vida, libertad, seguridad e integridad)</w:t>
            </w:r>
            <w:r w:rsidR="0027475B" w:rsidRPr="001D4A4A">
              <w:rPr>
                <w:rFonts w:asciiTheme="majorHAnsi" w:hAnsiTheme="majorHAnsi"/>
                <w:bCs/>
                <w:sz w:val="20"/>
                <w:szCs w:val="20"/>
                <w:lang w:val="es-ES"/>
              </w:rPr>
              <w:t xml:space="preserve"> y VIII</w:t>
            </w:r>
            <w:r w:rsidRPr="001D4A4A">
              <w:rPr>
                <w:rFonts w:asciiTheme="majorHAnsi" w:hAnsiTheme="majorHAnsi"/>
                <w:bCs/>
                <w:sz w:val="20"/>
                <w:szCs w:val="20"/>
                <w:lang w:val="es-ES"/>
              </w:rPr>
              <w:t xml:space="preserve"> (residencia y transito)</w:t>
            </w:r>
            <w:r w:rsidR="0027475B" w:rsidRPr="001D4A4A">
              <w:rPr>
                <w:rFonts w:asciiTheme="majorHAnsi" w:hAnsiTheme="majorHAnsi"/>
                <w:bCs/>
                <w:sz w:val="20"/>
                <w:szCs w:val="20"/>
                <w:lang w:val="es-ES"/>
              </w:rPr>
              <w:t xml:space="preserve"> de la Declaración.</w:t>
            </w:r>
            <w:r w:rsidR="00E4242F" w:rsidRPr="001D4A4A">
              <w:rPr>
                <w:rFonts w:asciiTheme="majorHAnsi" w:hAnsiTheme="majorHAnsi"/>
                <w:sz w:val="20"/>
                <w:szCs w:val="20"/>
                <w:lang w:val="es-ES"/>
              </w:rPr>
              <w:t xml:space="preserve"> </w:t>
            </w:r>
          </w:p>
        </w:tc>
      </w:tr>
      <w:tr w:rsidR="003239B8" w:rsidRPr="0091406A" w:rsidTr="0003041C">
        <w:trPr>
          <w:cantSplit/>
        </w:trPr>
        <w:tc>
          <w:tcPr>
            <w:tcW w:w="4680" w:type="dxa"/>
            <w:tcBorders>
              <w:top w:val="single" w:sz="6" w:space="0" w:color="auto"/>
              <w:bottom w:val="single" w:sz="6" w:space="0" w:color="auto"/>
            </w:tcBorders>
            <w:shd w:val="clear" w:color="auto" w:fill="386294"/>
            <w:vAlign w:val="center"/>
          </w:tcPr>
          <w:p w:rsidR="003239B8" w:rsidRPr="008A148E" w:rsidRDefault="003239B8" w:rsidP="0003041C">
            <w:pPr>
              <w:jc w:val="center"/>
              <w:rPr>
                <w:rFonts w:asciiTheme="majorHAnsi" w:hAnsiTheme="majorHAnsi"/>
                <w:b/>
                <w:bCs/>
                <w:color w:val="FFFFFF" w:themeColor="background1"/>
                <w:sz w:val="20"/>
                <w:szCs w:val="20"/>
                <w:lang w:val="es-ES"/>
              </w:rPr>
            </w:pPr>
            <w:r w:rsidRPr="008A148E">
              <w:rPr>
                <w:rFonts w:asciiTheme="majorHAnsi" w:hAnsiTheme="majorHAnsi"/>
                <w:b/>
                <w:bCs/>
                <w:color w:val="FFFFFF" w:themeColor="background1"/>
                <w:sz w:val="20"/>
                <w:szCs w:val="20"/>
                <w:lang w:val="es-ES"/>
              </w:rPr>
              <w:t>Agotamiento de recursos internos:</w:t>
            </w:r>
          </w:p>
        </w:tc>
        <w:tc>
          <w:tcPr>
            <w:tcW w:w="4770" w:type="dxa"/>
            <w:vAlign w:val="center"/>
          </w:tcPr>
          <w:p w:rsidR="003239B8" w:rsidRPr="001D4A4A" w:rsidRDefault="001D4A4A" w:rsidP="00D90709">
            <w:pPr>
              <w:jc w:val="both"/>
              <w:rPr>
                <w:rFonts w:asciiTheme="majorHAnsi" w:hAnsiTheme="majorHAnsi"/>
                <w:bCs/>
                <w:sz w:val="20"/>
                <w:szCs w:val="20"/>
                <w:lang w:val="es-ES"/>
              </w:rPr>
            </w:pPr>
            <w:r w:rsidRPr="001D4A4A">
              <w:rPr>
                <w:rFonts w:asciiTheme="majorHAnsi" w:hAnsiTheme="majorHAnsi"/>
                <w:bCs/>
                <w:sz w:val="20"/>
                <w:szCs w:val="20"/>
                <w:lang w:val="es-ES"/>
              </w:rPr>
              <w:t>Sí</w:t>
            </w:r>
            <w:r w:rsidR="000D759E" w:rsidRPr="001D4A4A">
              <w:rPr>
                <w:rFonts w:asciiTheme="majorHAnsi" w:hAnsiTheme="majorHAnsi"/>
                <w:bCs/>
                <w:sz w:val="20"/>
                <w:szCs w:val="20"/>
                <w:lang w:val="es-ES"/>
              </w:rPr>
              <w:t>, 13 y 14 de noviembre de 2006</w:t>
            </w:r>
          </w:p>
        </w:tc>
      </w:tr>
      <w:tr w:rsidR="003239B8" w:rsidRPr="001D4A4A" w:rsidTr="0003041C">
        <w:trPr>
          <w:cantSplit/>
        </w:trPr>
        <w:tc>
          <w:tcPr>
            <w:tcW w:w="4680" w:type="dxa"/>
            <w:tcBorders>
              <w:top w:val="single" w:sz="6" w:space="0" w:color="auto"/>
              <w:bottom w:val="single" w:sz="6" w:space="0" w:color="auto"/>
            </w:tcBorders>
            <w:shd w:val="clear" w:color="auto" w:fill="386294"/>
            <w:vAlign w:val="center"/>
          </w:tcPr>
          <w:p w:rsidR="003239B8" w:rsidRPr="008A148E" w:rsidRDefault="003239B8" w:rsidP="0003041C">
            <w:pPr>
              <w:jc w:val="center"/>
              <w:rPr>
                <w:rFonts w:asciiTheme="majorHAnsi" w:hAnsiTheme="majorHAnsi"/>
                <w:b/>
                <w:bCs/>
                <w:color w:val="FFFFFF" w:themeColor="background1"/>
                <w:sz w:val="20"/>
                <w:szCs w:val="20"/>
                <w:lang w:val="es-ES"/>
              </w:rPr>
            </w:pPr>
            <w:r w:rsidRPr="008A148E">
              <w:rPr>
                <w:rFonts w:asciiTheme="majorHAnsi" w:hAnsiTheme="majorHAnsi"/>
                <w:b/>
                <w:bCs/>
                <w:color w:val="FFFFFF" w:themeColor="background1"/>
                <w:sz w:val="20"/>
                <w:szCs w:val="20"/>
                <w:lang w:val="es-ES"/>
              </w:rPr>
              <w:t>Presentación dentro de plazo:</w:t>
            </w:r>
          </w:p>
        </w:tc>
        <w:tc>
          <w:tcPr>
            <w:tcW w:w="4770" w:type="dxa"/>
            <w:vAlign w:val="center"/>
          </w:tcPr>
          <w:p w:rsidR="003239B8" w:rsidRPr="001D4A4A" w:rsidRDefault="001D4A4A" w:rsidP="00D90709">
            <w:pPr>
              <w:jc w:val="both"/>
              <w:rPr>
                <w:rFonts w:asciiTheme="majorHAnsi" w:hAnsiTheme="majorHAnsi"/>
                <w:bCs/>
                <w:sz w:val="20"/>
                <w:szCs w:val="20"/>
              </w:rPr>
            </w:pPr>
            <w:r w:rsidRPr="001D4A4A">
              <w:rPr>
                <w:rFonts w:asciiTheme="majorHAnsi" w:hAnsiTheme="majorHAnsi"/>
                <w:bCs/>
                <w:sz w:val="20"/>
                <w:szCs w:val="20"/>
                <w:lang w:val="es-ES"/>
              </w:rPr>
              <w:t>Sí</w:t>
            </w:r>
            <w:r w:rsidR="000D759E" w:rsidRPr="008A148E">
              <w:rPr>
                <w:rFonts w:asciiTheme="majorHAnsi" w:hAnsiTheme="majorHAnsi"/>
                <w:bCs/>
                <w:sz w:val="20"/>
                <w:szCs w:val="20"/>
                <w:lang w:val="es-ES"/>
              </w:rPr>
              <w:t>, 11 de m</w:t>
            </w:r>
            <w:r w:rsidR="000D759E" w:rsidRPr="001D4A4A">
              <w:rPr>
                <w:rFonts w:asciiTheme="majorHAnsi" w:hAnsiTheme="majorHAnsi"/>
                <w:bCs/>
                <w:sz w:val="20"/>
                <w:szCs w:val="20"/>
              </w:rPr>
              <w:t>ayo de 2007</w:t>
            </w:r>
          </w:p>
        </w:tc>
      </w:tr>
    </w:tbl>
    <w:p w:rsidR="00197375" w:rsidRPr="00197375" w:rsidRDefault="00197375" w:rsidP="00860B53">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CUESTIONES PREVIAS </w:t>
      </w:r>
    </w:p>
    <w:p w:rsidR="003239B8" w:rsidRPr="00BE3753" w:rsidRDefault="00157F26" w:rsidP="00860B53">
      <w:pPr>
        <w:pStyle w:val="ListParagraph"/>
        <w:numPr>
          <w:ilvl w:val="0"/>
          <w:numId w:val="57"/>
        </w:numPr>
        <w:tabs>
          <w:tab w:val="center" w:pos="0"/>
        </w:tabs>
        <w:suppressAutoHyphens/>
        <w:spacing w:after="240"/>
        <w:ind w:left="0" w:firstLine="720"/>
        <w:jc w:val="both"/>
        <w:rPr>
          <w:sz w:val="20"/>
          <w:szCs w:val="20"/>
          <w:lang w:val="es-ES"/>
        </w:rPr>
      </w:pPr>
      <w:r w:rsidRPr="00BE3753">
        <w:rPr>
          <w:sz w:val="20"/>
          <w:szCs w:val="20"/>
          <w:lang w:val="es-ES"/>
        </w:rPr>
        <w:t xml:space="preserve">El 11 de mayo de 2007 se recibieron tres peticiones </w:t>
      </w:r>
      <w:r w:rsidR="002739CE" w:rsidRPr="00BE3753">
        <w:rPr>
          <w:sz w:val="20"/>
          <w:szCs w:val="20"/>
          <w:lang w:val="es-ES"/>
        </w:rPr>
        <w:t xml:space="preserve">presentadas por los mismos peticionarios </w:t>
      </w:r>
      <w:r w:rsidRPr="00BE3753">
        <w:rPr>
          <w:sz w:val="20"/>
          <w:szCs w:val="20"/>
          <w:lang w:val="es-ES"/>
        </w:rPr>
        <w:t xml:space="preserve">que fueron registradas bajo los números 589-07, 590-07 y 591-07. </w:t>
      </w:r>
      <w:r w:rsidR="00C53B9F">
        <w:rPr>
          <w:sz w:val="20"/>
          <w:szCs w:val="20"/>
          <w:lang w:val="es-ES"/>
        </w:rPr>
        <w:t>Al finalizar la etapa de admisibilidad, l</w:t>
      </w:r>
      <w:r w:rsidR="00E95F26" w:rsidRPr="00BE3753">
        <w:rPr>
          <w:sz w:val="20"/>
          <w:szCs w:val="20"/>
          <w:lang w:val="es-ES"/>
        </w:rPr>
        <w:t>a CIDH</w:t>
      </w:r>
      <w:r w:rsidR="00C53B9F">
        <w:rPr>
          <w:sz w:val="20"/>
          <w:szCs w:val="20"/>
          <w:lang w:val="es-ES"/>
        </w:rPr>
        <w:t xml:space="preserve"> decidió</w:t>
      </w:r>
      <w:r w:rsidR="003334A9" w:rsidRPr="00BE3753">
        <w:rPr>
          <w:sz w:val="20"/>
          <w:szCs w:val="20"/>
          <w:lang w:val="es-ES"/>
        </w:rPr>
        <w:t xml:space="preserve"> acumular las tres peticiones y tramitarlas de forma conjunta en la etapa de fondo</w:t>
      </w:r>
      <w:r w:rsidR="00E95F26" w:rsidRPr="00BE3753">
        <w:rPr>
          <w:sz w:val="20"/>
          <w:szCs w:val="20"/>
          <w:lang w:val="es-ES"/>
        </w:rPr>
        <w:t xml:space="preserve">, con fundamento en que los hechos </w:t>
      </w:r>
      <w:r w:rsidR="00C53B9F">
        <w:rPr>
          <w:sz w:val="20"/>
          <w:szCs w:val="20"/>
          <w:lang w:val="es-ES"/>
        </w:rPr>
        <w:t xml:space="preserve">alegados </w:t>
      </w:r>
      <w:r w:rsidR="00E95F26" w:rsidRPr="00BE3753">
        <w:rPr>
          <w:sz w:val="20"/>
          <w:szCs w:val="20"/>
          <w:lang w:val="es-ES"/>
        </w:rPr>
        <w:t xml:space="preserve">son similares y sus materias son substancialmente las mismas de acuerdo a lo establecido en el artículo </w:t>
      </w:r>
      <w:r w:rsidR="006F1A41" w:rsidRPr="00BE3753">
        <w:rPr>
          <w:sz w:val="20"/>
          <w:szCs w:val="20"/>
          <w:lang w:val="es-ES"/>
        </w:rPr>
        <w:t>29</w:t>
      </w:r>
      <w:r w:rsidR="00E95F26" w:rsidRPr="00BE3753">
        <w:rPr>
          <w:sz w:val="20"/>
          <w:szCs w:val="20"/>
          <w:lang w:val="es-ES"/>
        </w:rPr>
        <w:t>(</w:t>
      </w:r>
      <w:r w:rsidR="006F1A41" w:rsidRPr="00BE3753">
        <w:rPr>
          <w:sz w:val="20"/>
          <w:szCs w:val="20"/>
          <w:lang w:val="es-ES"/>
        </w:rPr>
        <w:t>5</w:t>
      </w:r>
      <w:r w:rsidR="00E95F26" w:rsidRPr="00BE3753">
        <w:rPr>
          <w:sz w:val="20"/>
          <w:szCs w:val="20"/>
          <w:lang w:val="es-ES"/>
        </w:rPr>
        <w:t xml:space="preserve">) del Reglamento de la Comisión.  </w:t>
      </w:r>
    </w:p>
    <w:p w:rsidR="003239B8" w:rsidRDefault="003239B8" w:rsidP="00860B53">
      <w:pPr>
        <w:spacing w:after="240"/>
        <w:ind w:firstLine="720"/>
        <w:jc w:val="both"/>
        <w:rPr>
          <w:rFonts w:asciiTheme="majorHAnsi" w:hAnsiTheme="majorHAnsi"/>
          <w:b/>
          <w:sz w:val="20"/>
          <w:szCs w:val="20"/>
          <w:lang w:val="es-UY"/>
        </w:rPr>
      </w:pPr>
      <w:r>
        <w:rPr>
          <w:rFonts w:asciiTheme="majorHAnsi" w:hAnsiTheme="majorHAnsi"/>
          <w:b/>
          <w:sz w:val="20"/>
          <w:szCs w:val="20"/>
          <w:lang w:val="es-UY"/>
        </w:rPr>
        <w:t>V</w:t>
      </w:r>
      <w:r w:rsidR="00197375">
        <w:rPr>
          <w:rFonts w:asciiTheme="majorHAnsi" w:hAnsiTheme="majorHAnsi"/>
          <w:b/>
          <w:sz w:val="20"/>
          <w:szCs w:val="20"/>
          <w:lang w:val="es-UY"/>
        </w:rPr>
        <w:t>I</w:t>
      </w:r>
      <w:r>
        <w:rPr>
          <w:rFonts w:asciiTheme="majorHAnsi" w:hAnsiTheme="majorHAnsi"/>
          <w:b/>
          <w:sz w:val="20"/>
          <w:szCs w:val="20"/>
          <w:lang w:val="es-UY"/>
        </w:rPr>
        <w:t xml:space="preserve">. </w:t>
      </w:r>
      <w:r>
        <w:rPr>
          <w:rFonts w:asciiTheme="majorHAnsi" w:hAnsiTheme="majorHAnsi"/>
          <w:b/>
          <w:sz w:val="20"/>
          <w:szCs w:val="20"/>
          <w:lang w:val="es-UY"/>
        </w:rPr>
        <w:tab/>
        <w:t xml:space="preserve">HECHOS ALEGADOS </w:t>
      </w:r>
    </w:p>
    <w:p w:rsidR="00F9143D" w:rsidRPr="00D3255D" w:rsidRDefault="004069C9" w:rsidP="00D3255D">
      <w:pPr>
        <w:pStyle w:val="ListParagraph"/>
        <w:numPr>
          <w:ilvl w:val="0"/>
          <w:numId w:val="57"/>
        </w:numPr>
        <w:tabs>
          <w:tab w:val="center" w:pos="0"/>
        </w:tabs>
        <w:suppressAutoHyphens/>
        <w:spacing w:after="240"/>
        <w:ind w:left="0" w:firstLine="720"/>
        <w:jc w:val="both"/>
        <w:rPr>
          <w:sz w:val="20"/>
          <w:szCs w:val="20"/>
          <w:lang w:val="es-ES"/>
        </w:rPr>
      </w:pPr>
      <w:r w:rsidRPr="00B00E2F">
        <w:rPr>
          <w:sz w:val="20"/>
          <w:szCs w:val="20"/>
          <w:lang w:val="es-ES"/>
        </w:rPr>
        <w:t>Los peticionarios afirman que</w:t>
      </w:r>
      <w:r w:rsidR="009B6828" w:rsidRPr="00B00E2F">
        <w:rPr>
          <w:sz w:val="20"/>
          <w:szCs w:val="20"/>
          <w:lang w:val="es-ES"/>
        </w:rPr>
        <w:t xml:space="preserve"> Julio César Rito de los Santos</w:t>
      </w:r>
      <w:r w:rsidR="00892A89">
        <w:rPr>
          <w:sz w:val="20"/>
          <w:szCs w:val="20"/>
          <w:lang w:val="es-ES"/>
        </w:rPr>
        <w:t xml:space="preserve">, </w:t>
      </w:r>
      <w:r w:rsidR="009B6828" w:rsidRPr="00B00E2F">
        <w:rPr>
          <w:sz w:val="20"/>
          <w:szCs w:val="20"/>
          <w:lang w:val="es-ES"/>
        </w:rPr>
        <w:t>Hugo Daniel Ferreira</w:t>
      </w:r>
      <w:r w:rsidR="00892A89">
        <w:rPr>
          <w:sz w:val="20"/>
          <w:szCs w:val="20"/>
          <w:lang w:val="es-ES"/>
        </w:rPr>
        <w:t xml:space="preserve"> y </w:t>
      </w:r>
      <w:r w:rsidR="00892A89" w:rsidRPr="00B00E2F">
        <w:rPr>
          <w:sz w:val="20"/>
          <w:szCs w:val="20"/>
          <w:lang w:val="es-ES"/>
        </w:rPr>
        <w:t>Nicasio Washington Romero Ubal,</w:t>
      </w:r>
      <w:r w:rsidRPr="00B00E2F">
        <w:rPr>
          <w:sz w:val="20"/>
          <w:szCs w:val="20"/>
          <w:lang w:val="es-ES"/>
        </w:rPr>
        <w:t xml:space="preserve"> de nacionalidad uruguaya, se radicaron en la Argentina </w:t>
      </w:r>
      <w:r w:rsidR="00CA251D" w:rsidRPr="00B00E2F">
        <w:rPr>
          <w:sz w:val="20"/>
          <w:szCs w:val="20"/>
          <w:lang w:val="es-ES"/>
        </w:rPr>
        <w:t xml:space="preserve">entre los años 1973 y 1974, </w:t>
      </w:r>
      <w:r w:rsidRPr="00B00E2F">
        <w:rPr>
          <w:sz w:val="20"/>
          <w:szCs w:val="20"/>
          <w:lang w:val="es-ES"/>
        </w:rPr>
        <w:t xml:space="preserve">con el fin de huir de las fuerzas conjuntas uruguayas, tras el golpe de estado acaecido en ese país en el año 1973. Alegan que </w:t>
      </w:r>
      <w:r w:rsidR="008D1236" w:rsidRPr="00B00E2F">
        <w:rPr>
          <w:sz w:val="20"/>
          <w:szCs w:val="20"/>
          <w:lang w:val="es-ES"/>
        </w:rPr>
        <w:t>entr</w:t>
      </w:r>
      <w:r w:rsidR="0077537E" w:rsidRPr="00B00E2F">
        <w:rPr>
          <w:sz w:val="20"/>
          <w:szCs w:val="20"/>
          <w:lang w:val="es-ES"/>
        </w:rPr>
        <w:t>e el 2 y el 3 de junio de 1974,</w:t>
      </w:r>
      <w:r w:rsidR="00246839" w:rsidRPr="00B00E2F">
        <w:rPr>
          <w:sz w:val="20"/>
          <w:szCs w:val="20"/>
          <w:lang w:val="es-ES"/>
        </w:rPr>
        <w:t xml:space="preserve"> Julio César Rito de los Santos</w:t>
      </w:r>
      <w:r w:rsidR="008D1236" w:rsidRPr="00B00E2F">
        <w:rPr>
          <w:sz w:val="20"/>
          <w:szCs w:val="20"/>
          <w:lang w:val="es-ES"/>
        </w:rPr>
        <w:t xml:space="preserve"> y Hugo Daniel Ferreira fueron detenidos </w:t>
      </w:r>
      <w:r w:rsidR="00246839" w:rsidRPr="00B00E2F">
        <w:rPr>
          <w:sz w:val="20"/>
          <w:szCs w:val="20"/>
          <w:lang w:val="es-ES"/>
        </w:rPr>
        <w:t xml:space="preserve">junto a otras 100 personas </w:t>
      </w:r>
      <w:r w:rsidR="008D1236" w:rsidRPr="00B00E2F">
        <w:rPr>
          <w:sz w:val="20"/>
          <w:szCs w:val="20"/>
          <w:lang w:val="es-ES"/>
        </w:rPr>
        <w:t xml:space="preserve">por la Superintendencia </w:t>
      </w:r>
      <w:r w:rsidR="00580EC7" w:rsidRPr="00B00E2F">
        <w:rPr>
          <w:sz w:val="20"/>
          <w:szCs w:val="20"/>
          <w:lang w:val="es-ES"/>
        </w:rPr>
        <w:t>de Seguridad F</w:t>
      </w:r>
      <w:r w:rsidR="00246839" w:rsidRPr="00B00E2F">
        <w:rPr>
          <w:sz w:val="20"/>
          <w:szCs w:val="20"/>
          <w:lang w:val="es-ES"/>
        </w:rPr>
        <w:t xml:space="preserve">ederal </w:t>
      </w:r>
      <w:r w:rsidR="00580EC7" w:rsidRPr="00B00E2F">
        <w:rPr>
          <w:sz w:val="20"/>
          <w:szCs w:val="20"/>
          <w:lang w:val="es-ES"/>
        </w:rPr>
        <w:t xml:space="preserve">en la ciudad de Buenos Aires, </w:t>
      </w:r>
      <w:r w:rsidR="00C53B9F">
        <w:rPr>
          <w:sz w:val="20"/>
          <w:szCs w:val="20"/>
          <w:lang w:val="es-ES"/>
        </w:rPr>
        <w:t>mientras participaban en</w:t>
      </w:r>
      <w:r w:rsidR="003B5686">
        <w:rPr>
          <w:sz w:val="20"/>
          <w:szCs w:val="20"/>
          <w:lang w:val="es-ES"/>
        </w:rPr>
        <w:t xml:space="preserve"> </w:t>
      </w:r>
      <w:r w:rsidR="00246839" w:rsidRPr="00B00E2F">
        <w:rPr>
          <w:sz w:val="20"/>
          <w:szCs w:val="20"/>
          <w:lang w:val="es-ES"/>
        </w:rPr>
        <w:t xml:space="preserve">una reunión política. </w:t>
      </w:r>
      <w:r w:rsidR="00E63EDE">
        <w:rPr>
          <w:sz w:val="20"/>
          <w:szCs w:val="20"/>
          <w:lang w:val="es-ES"/>
        </w:rPr>
        <w:t>Indican que</w:t>
      </w:r>
      <w:r w:rsidR="008E7E2B" w:rsidRPr="00B00E2F">
        <w:rPr>
          <w:sz w:val="20"/>
          <w:szCs w:val="20"/>
          <w:lang w:val="es-ES"/>
        </w:rPr>
        <w:t xml:space="preserve"> t</w:t>
      </w:r>
      <w:r w:rsidR="00246839" w:rsidRPr="00B00E2F">
        <w:rPr>
          <w:sz w:val="20"/>
          <w:szCs w:val="20"/>
          <w:lang w:val="es-ES"/>
        </w:rPr>
        <w:t xml:space="preserve">ras su detención fueron </w:t>
      </w:r>
      <w:r w:rsidR="0055644A" w:rsidRPr="00B00E2F">
        <w:rPr>
          <w:sz w:val="20"/>
          <w:szCs w:val="20"/>
          <w:lang w:val="es-ES"/>
        </w:rPr>
        <w:t>interrogad</w:t>
      </w:r>
      <w:r w:rsidR="00E63EDE">
        <w:rPr>
          <w:sz w:val="20"/>
          <w:szCs w:val="20"/>
          <w:lang w:val="es-ES"/>
        </w:rPr>
        <w:t>o</w:t>
      </w:r>
      <w:r w:rsidR="0055644A" w:rsidRPr="00B00E2F">
        <w:rPr>
          <w:sz w:val="20"/>
          <w:szCs w:val="20"/>
          <w:lang w:val="es-ES"/>
        </w:rPr>
        <w:t xml:space="preserve">s y </w:t>
      </w:r>
      <w:r w:rsidR="00246839" w:rsidRPr="00B00E2F">
        <w:rPr>
          <w:sz w:val="20"/>
          <w:szCs w:val="20"/>
          <w:lang w:val="es-ES"/>
        </w:rPr>
        <w:t>condenad</w:t>
      </w:r>
      <w:r w:rsidR="00E63EDE">
        <w:rPr>
          <w:sz w:val="20"/>
          <w:szCs w:val="20"/>
          <w:lang w:val="es-ES"/>
        </w:rPr>
        <w:t>o</w:t>
      </w:r>
      <w:r w:rsidR="00246839" w:rsidRPr="00B00E2F">
        <w:rPr>
          <w:sz w:val="20"/>
          <w:szCs w:val="20"/>
          <w:lang w:val="es-ES"/>
        </w:rPr>
        <w:t>s a 30 días de arresto por violar el edicto que pro</w:t>
      </w:r>
      <w:r w:rsidR="002739CE">
        <w:rPr>
          <w:sz w:val="20"/>
          <w:szCs w:val="20"/>
          <w:lang w:val="es-ES"/>
        </w:rPr>
        <w:t>hibía las reuniones políticas. A</w:t>
      </w:r>
      <w:r w:rsidR="00E63EDE">
        <w:rPr>
          <w:sz w:val="20"/>
          <w:szCs w:val="20"/>
          <w:lang w:val="es-ES"/>
        </w:rPr>
        <w:t>gregan</w:t>
      </w:r>
      <w:r w:rsidR="002739CE">
        <w:rPr>
          <w:sz w:val="20"/>
          <w:szCs w:val="20"/>
          <w:lang w:val="es-ES"/>
        </w:rPr>
        <w:t xml:space="preserve"> que t</w:t>
      </w:r>
      <w:r w:rsidR="00D3255D">
        <w:rPr>
          <w:sz w:val="20"/>
          <w:szCs w:val="20"/>
          <w:lang w:val="es-ES"/>
        </w:rPr>
        <w:t xml:space="preserve">ras su liberación </w:t>
      </w:r>
      <w:r w:rsidR="00246839" w:rsidRPr="00B00E2F">
        <w:rPr>
          <w:sz w:val="20"/>
          <w:szCs w:val="20"/>
          <w:lang w:val="es-ES"/>
        </w:rPr>
        <w:t xml:space="preserve">las presuntas víctimas </w:t>
      </w:r>
      <w:r w:rsidR="00065A1E">
        <w:rPr>
          <w:sz w:val="20"/>
          <w:szCs w:val="20"/>
          <w:lang w:val="es-ES"/>
        </w:rPr>
        <w:t>pasaron</w:t>
      </w:r>
      <w:r w:rsidR="00246839" w:rsidRPr="00B00E2F">
        <w:rPr>
          <w:sz w:val="20"/>
          <w:szCs w:val="20"/>
          <w:lang w:val="es-ES"/>
        </w:rPr>
        <w:t xml:space="preserve"> a la clandestinidad, toda vez que en reiteradas</w:t>
      </w:r>
      <w:r w:rsidR="008E7E2B" w:rsidRPr="00B00E2F">
        <w:rPr>
          <w:sz w:val="20"/>
          <w:szCs w:val="20"/>
          <w:lang w:val="es-ES"/>
        </w:rPr>
        <w:t xml:space="preserve"> </w:t>
      </w:r>
      <w:r w:rsidR="00246839" w:rsidRPr="00B00E2F">
        <w:rPr>
          <w:sz w:val="20"/>
          <w:szCs w:val="20"/>
          <w:lang w:val="es-ES"/>
        </w:rPr>
        <w:t xml:space="preserve">oportunidades se presentaron agentes </w:t>
      </w:r>
      <w:r w:rsidR="00240A6E">
        <w:rPr>
          <w:sz w:val="20"/>
          <w:szCs w:val="20"/>
          <w:lang w:val="es-ES"/>
        </w:rPr>
        <w:t xml:space="preserve">vestidos </w:t>
      </w:r>
      <w:r w:rsidR="00246839" w:rsidRPr="00B00E2F">
        <w:rPr>
          <w:sz w:val="20"/>
          <w:szCs w:val="20"/>
          <w:lang w:val="es-ES"/>
        </w:rPr>
        <w:t>de civil preguntando por su paradero y el de su</w:t>
      </w:r>
      <w:r w:rsidR="00412101" w:rsidRPr="00B00E2F">
        <w:rPr>
          <w:sz w:val="20"/>
          <w:szCs w:val="20"/>
          <w:lang w:val="es-ES"/>
        </w:rPr>
        <w:t>s</w:t>
      </w:r>
      <w:r w:rsidR="00246839" w:rsidRPr="00B00E2F">
        <w:rPr>
          <w:sz w:val="20"/>
          <w:szCs w:val="20"/>
          <w:lang w:val="es-ES"/>
        </w:rPr>
        <w:t xml:space="preserve"> </w:t>
      </w:r>
      <w:r w:rsidR="00C07D1C">
        <w:rPr>
          <w:sz w:val="20"/>
          <w:szCs w:val="20"/>
          <w:lang w:val="es-ES"/>
        </w:rPr>
        <w:t>familiares</w:t>
      </w:r>
      <w:r w:rsidR="00C45FE7">
        <w:rPr>
          <w:sz w:val="20"/>
          <w:szCs w:val="20"/>
          <w:lang w:val="es-ES"/>
        </w:rPr>
        <w:t>. En el tiempo subsiguiente</w:t>
      </w:r>
      <w:r w:rsidR="00C07D1C">
        <w:rPr>
          <w:sz w:val="20"/>
          <w:szCs w:val="20"/>
          <w:lang w:val="es-ES"/>
        </w:rPr>
        <w:t>,</w:t>
      </w:r>
      <w:r w:rsidR="00D3255D">
        <w:rPr>
          <w:sz w:val="20"/>
          <w:szCs w:val="20"/>
          <w:lang w:val="es-ES"/>
        </w:rPr>
        <w:t xml:space="preserve"> permanecieron en uno de los refugios del </w:t>
      </w:r>
      <w:r w:rsidR="00D3255D" w:rsidRPr="00B00E2F">
        <w:rPr>
          <w:sz w:val="20"/>
          <w:szCs w:val="20"/>
          <w:lang w:val="es-ES"/>
        </w:rPr>
        <w:t>Alto Comisionado de las Naciones Unidas para los Refugiados</w:t>
      </w:r>
      <w:r w:rsidR="00D3255D">
        <w:rPr>
          <w:sz w:val="20"/>
          <w:szCs w:val="20"/>
          <w:lang w:val="es-ES"/>
        </w:rPr>
        <w:t xml:space="preserve"> </w:t>
      </w:r>
      <w:r w:rsidR="00D3255D" w:rsidRPr="00B00E2F">
        <w:rPr>
          <w:sz w:val="20"/>
          <w:szCs w:val="20"/>
          <w:lang w:val="es-ES"/>
        </w:rPr>
        <w:t>(en adelante “ACNUR”)</w:t>
      </w:r>
      <w:r w:rsidR="00D3255D">
        <w:rPr>
          <w:sz w:val="20"/>
          <w:szCs w:val="20"/>
          <w:lang w:val="es-ES"/>
        </w:rPr>
        <w:t xml:space="preserve">. </w:t>
      </w:r>
      <w:r w:rsidR="00D277B4" w:rsidRPr="00D3255D">
        <w:rPr>
          <w:sz w:val="20"/>
          <w:szCs w:val="20"/>
          <w:lang w:val="es-ES"/>
        </w:rPr>
        <w:t>S</w:t>
      </w:r>
      <w:r w:rsidR="00065A1E" w:rsidRPr="00D3255D">
        <w:rPr>
          <w:sz w:val="20"/>
          <w:szCs w:val="20"/>
          <w:lang w:val="es-ES"/>
        </w:rPr>
        <w:t xml:space="preserve">eñalan que </w:t>
      </w:r>
      <w:r w:rsidR="00D3255D">
        <w:rPr>
          <w:sz w:val="20"/>
          <w:szCs w:val="20"/>
          <w:lang w:val="es-ES"/>
        </w:rPr>
        <w:t xml:space="preserve">después de </w:t>
      </w:r>
      <w:r w:rsidR="002356AD">
        <w:rPr>
          <w:sz w:val="20"/>
          <w:szCs w:val="20"/>
          <w:lang w:val="es-ES"/>
        </w:rPr>
        <w:t>la</w:t>
      </w:r>
      <w:r w:rsidR="00D3255D">
        <w:rPr>
          <w:sz w:val="20"/>
          <w:szCs w:val="20"/>
          <w:lang w:val="es-ES"/>
        </w:rPr>
        <w:t xml:space="preserve"> detención</w:t>
      </w:r>
      <w:r w:rsidR="00C07D1C">
        <w:rPr>
          <w:sz w:val="20"/>
          <w:szCs w:val="20"/>
          <w:lang w:val="es-ES"/>
        </w:rPr>
        <w:t>,</w:t>
      </w:r>
      <w:r w:rsidR="002356AD">
        <w:rPr>
          <w:sz w:val="20"/>
          <w:szCs w:val="20"/>
          <w:lang w:val="es-ES"/>
        </w:rPr>
        <w:t xml:space="preserve"> </w:t>
      </w:r>
      <w:r w:rsidR="00065A1E" w:rsidRPr="00D3255D">
        <w:rPr>
          <w:sz w:val="20"/>
          <w:szCs w:val="20"/>
          <w:lang w:val="es-ES"/>
        </w:rPr>
        <w:t xml:space="preserve">el Estado </w:t>
      </w:r>
      <w:r w:rsidR="00D277B4" w:rsidRPr="00D3255D">
        <w:rPr>
          <w:sz w:val="20"/>
          <w:szCs w:val="20"/>
          <w:lang w:val="es-ES"/>
        </w:rPr>
        <w:t>a</w:t>
      </w:r>
      <w:r w:rsidR="00065A1E" w:rsidRPr="00D3255D">
        <w:rPr>
          <w:sz w:val="20"/>
          <w:szCs w:val="20"/>
          <w:lang w:val="es-ES"/>
        </w:rPr>
        <w:t xml:space="preserve">rgentino </w:t>
      </w:r>
      <w:r w:rsidR="00D277B4" w:rsidRPr="00D3255D">
        <w:rPr>
          <w:sz w:val="20"/>
          <w:szCs w:val="20"/>
          <w:lang w:val="es-ES"/>
        </w:rPr>
        <w:t xml:space="preserve">comenzó un proceso de expulsión en contra </w:t>
      </w:r>
      <w:r w:rsidR="00C07D1C">
        <w:rPr>
          <w:sz w:val="20"/>
          <w:szCs w:val="20"/>
          <w:lang w:val="es-ES"/>
        </w:rPr>
        <w:t>de</w:t>
      </w:r>
      <w:r w:rsidR="00C07D1C" w:rsidRPr="00D3255D">
        <w:rPr>
          <w:sz w:val="20"/>
          <w:szCs w:val="20"/>
          <w:lang w:val="es-ES"/>
        </w:rPr>
        <w:t xml:space="preserve"> las presuntas víctimas </w:t>
      </w:r>
      <w:r w:rsidR="00C45FE7">
        <w:rPr>
          <w:sz w:val="20"/>
          <w:szCs w:val="20"/>
          <w:lang w:val="es-ES"/>
        </w:rPr>
        <w:t xml:space="preserve">–vinculado con </w:t>
      </w:r>
      <w:r w:rsidR="00D277B4" w:rsidRPr="00D3255D">
        <w:rPr>
          <w:sz w:val="20"/>
          <w:szCs w:val="20"/>
          <w:lang w:val="es-ES"/>
        </w:rPr>
        <w:t>el denominado “Plan Cóndor”</w:t>
      </w:r>
      <w:r w:rsidR="002356AD">
        <w:rPr>
          <w:sz w:val="20"/>
          <w:szCs w:val="20"/>
          <w:lang w:val="es-ES"/>
        </w:rPr>
        <w:t>-</w:t>
      </w:r>
      <w:r w:rsidR="00D277B4" w:rsidRPr="00D3255D">
        <w:rPr>
          <w:sz w:val="20"/>
          <w:szCs w:val="20"/>
          <w:lang w:val="es-ES"/>
        </w:rPr>
        <w:t xml:space="preserve"> por lo que </w:t>
      </w:r>
      <w:r w:rsidR="00C45FE7">
        <w:rPr>
          <w:sz w:val="20"/>
          <w:szCs w:val="20"/>
          <w:lang w:val="es-ES"/>
        </w:rPr>
        <w:t>corrían el riesgo de ser</w:t>
      </w:r>
      <w:r w:rsidR="00E63EDE" w:rsidRPr="00D3255D">
        <w:rPr>
          <w:sz w:val="20"/>
          <w:szCs w:val="20"/>
          <w:lang w:val="es-ES"/>
        </w:rPr>
        <w:t xml:space="preserve"> deportadas</w:t>
      </w:r>
      <w:r w:rsidR="00D277B4" w:rsidRPr="00D3255D">
        <w:rPr>
          <w:sz w:val="20"/>
          <w:szCs w:val="20"/>
          <w:lang w:val="es-ES"/>
        </w:rPr>
        <w:t xml:space="preserve"> </w:t>
      </w:r>
      <w:r w:rsidR="00C45FE7">
        <w:rPr>
          <w:sz w:val="20"/>
          <w:szCs w:val="20"/>
          <w:lang w:val="es-ES"/>
        </w:rPr>
        <w:t xml:space="preserve">y entregadas a las fuerzas represivas </w:t>
      </w:r>
      <w:r w:rsidR="00C07D1C">
        <w:rPr>
          <w:sz w:val="20"/>
          <w:szCs w:val="20"/>
          <w:lang w:val="es-ES"/>
        </w:rPr>
        <w:t>uruguayas.</w:t>
      </w:r>
      <w:r w:rsidR="00065A1E" w:rsidRPr="00D3255D">
        <w:rPr>
          <w:sz w:val="20"/>
          <w:szCs w:val="20"/>
          <w:lang w:val="es-ES"/>
        </w:rPr>
        <w:t xml:space="preserve"> </w:t>
      </w:r>
      <w:r w:rsidR="00C07D1C">
        <w:rPr>
          <w:sz w:val="20"/>
          <w:szCs w:val="20"/>
          <w:lang w:val="es-ES"/>
        </w:rPr>
        <w:t>A</w:t>
      </w:r>
      <w:r w:rsidR="00026582" w:rsidRPr="00D3255D">
        <w:rPr>
          <w:sz w:val="20"/>
          <w:szCs w:val="20"/>
          <w:lang w:val="es-ES"/>
        </w:rPr>
        <w:t>l</w:t>
      </w:r>
      <w:r w:rsidR="00D277B4" w:rsidRPr="00D3255D">
        <w:rPr>
          <w:sz w:val="20"/>
          <w:szCs w:val="20"/>
          <w:lang w:val="es-ES"/>
        </w:rPr>
        <w:t xml:space="preserve"> concretiz</w:t>
      </w:r>
      <w:r w:rsidR="00026582" w:rsidRPr="00D3255D">
        <w:rPr>
          <w:sz w:val="20"/>
          <w:szCs w:val="20"/>
          <w:lang w:val="es-ES"/>
        </w:rPr>
        <w:t>arse l</w:t>
      </w:r>
      <w:r w:rsidR="00D277B4" w:rsidRPr="00D3255D">
        <w:rPr>
          <w:sz w:val="20"/>
          <w:szCs w:val="20"/>
          <w:lang w:val="es-ES"/>
        </w:rPr>
        <w:t>a expulsión</w:t>
      </w:r>
      <w:r w:rsidR="00026582" w:rsidRPr="00D3255D">
        <w:rPr>
          <w:sz w:val="20"/>
          <w:szCs w:val="20"/>
          <w:lang w:val="es-ES"/>
        </w:rPr>
        <w:t>,</w:t>
      </w:r>
      <w:r w:rsidR="00D277B4" w:rsidRPr="00D3255D">
        <w:rPr>
          <w:sz w:val="20"/>
          <w:szCs w:val="20"/>
          <w:lang w:val="es-ES"/>
        </w:rPr>
        <w:t xml:space="preserve"> </w:t>
      </w:r>
      <w:r w:rsidR="00C07D1C">
        <w:rPr>
          <w:sz w:val="20"/>
          <w:szCs w:val="20"/>
          <w:lang w:val="es-ES"/>
        </w:rPr>
        <w:t xml:space="preserve">indican que </w:t>
      </w:r>
      <w:r w:rsidR="00026582" w:rsidRPr="00D3255D">
        <w:rPr>
          <w:sz w:val="20"/>
          <w:szCs w:val="20"/>
          <w:lang w:val="es-ES"/>
        </w:rPr>
        <w:t xml:space="preserve">consiguieron un salvoconducto </w:t>
      </w:r>
      <w:r w:rsidR="00A04D69" w:rsidRPr="00D3255D">
        <w:rPr>
          <w:sz w:val="20"/>
          <w:szCs w:val="20"/>
          <w:lang w:val="es-ES"/>
        </w:rPr>
        <w:t xml:space="preserve">gracias a la intervención del ACNUR </w:t>
      </w:r>
      <w:r w:rsidR="00026582" w:rsidRPr="00D3255D">
        <w:rPr>
          <w:sz w:val="20"/>
          <w:szCs w:val="20"/>
          <w:lang w:val="es-ES"/>
        </w:rPr>
        <w:t xml:space="preserve">que les permitió salir </w:t>
      </w:r>
      <w:r w:rsidR="0028793D">
        <w:rPr>
          <w:sz w:val="20"/>
          <w:szCs w:val="20"/>
          <w:lang w:val="es-ES"/>
        </w:rPr>
        <w:t xml:space="preserve">del país entre el 18 y </w:t>
      </w:r>
      <w:r w:rsidR="00026582" w:rsidRPr="00D3255D">
        <w:rPr>
          <w:sz w:val="20"/>
          <w:szCs w:val="20"/>
          <w:lang w:val="es-ES"/>
        </w:rPr>
        <w:t>19 de julio de 1975</w:t>
      </w:r>
      <w:r w:rsidR="00C07D1C">
        <w:rPr>
          <w:sz w:val="20"/>
          <w:szCs w:val="20"/>
          <w:lang w:val="es-ES"/>
        </w:rPr>
        <w:t>. Fueron acogidos por S</w:t>
      </w:r>
      <w:r w:rsidR="00A04D69">
        <w:rPr>
          <w:sz w:val="20"/>
          <w:szCs w:val="20"/>
          <w:lang w:val="es-ES"/>
        </w:rPr>
        <w:t xml:space="preserve">uecia, </w:t>
      </w:r>
      <w:r w:rsidR="00C07D1C">
        <w:rPr>
          <w:sz w:val="20"/>
          <w:szCs w:val="20"/>
          <w:lang w:val="es-ES"/>
        </w:rPr>
        <w:t xml:space="preserve">quien </w:t>
      </w:r>
      <w:r w:rsidR="00026582" w:rsidRPr="00D3255D">
        <w:rPr>
          <w:sz w:val="20"/>
          <w:szCs w:val="20"/>
          <w:lang w:val="es-ES"/>
        </w:rPr>
        <w:t xml:space="preserve">les </w:t>
      </w:r>
      <w:r w:rsidR="00A04D69" w:rsidRPr="00D3255D">
        <w:rPr>
          <w:sz w:val="20"/>
          <w:szCs w:val="20"/>
          <w:lang w:val="es-ES"/>
        </w:rPr>
        <w:t>otorg</w:t>
      </w:r>
      <w:r w:rsidR="00A04D69">
        <w:rPr>
          <w:sz w:val="20"/>
          <w:szCs w:val="20"/>
          <w:lang w:val="es-ES"/>
        </w:rPr>
        <w:t>ó</w:t>
      </w:r>
      <w:r w:rsidR="00026582" w:rsidRPr="00D3255D">
        <w:rPr>
          <w:sz w:val="20"/>
          <w:szCs w:val="20"/>
          <w:lang w:val="es-ES"/>
        </w:rPr>
        <w:t xml:space="preserve"> </w:t>
      </w:r>
      <w:r w:rsidR="00A04D69">
        <w:rPr>
          <w:sz w:val="20"/>
          <w:szCs w:val="20"/>
          <w:lang w:val="es-ES"/>
        </w:rPr>
        <w:t xml:space="preserve">el estatus de refugiados </w:t>
      </w:r>
      <w:r w:rsidR="00065A1E" w:rsidRPr="00D3255D">
        <w:rPr>
          <w:sz w:val="20"/>
          <w:szCs w:val="20"/>
          <w:lang w:val="es-ES"/>
        </w:rPr>
        <w:t>político</w:t>
      </w:r>
      <w:r w:rsidR="00A04D69">
        <w:rPr>
          <w:sz w:val="20"/>
          <w:szCs w:val="20"/>
          <w:lang w:val="es-ES"/>
        </w:rPr>
        <w:t>s</w:t>
      </w:r>
      <w:r w:rsidR="00065A1E" w:rsidRPr="00D3255D">
        <w:rPr>
          <w:sz w:val="20"/>
          <w:szCs w:val="20"/>
          <w:lang w:val="es-ES"/>
        </w:rPr>
        <w:t>.</w:t>
      </w:r>
    </w:p>
    <w:p w:rsidR="00F9143D" w:rsidRPr="00860B53" w:rsidRDefault="00A04D69" w:rsidP="00860B53">
      <w:pPr>
        <w:pStyle w:val="ListParagraph"/>
        <w:numPr>
          <w:ilvl w:val="0"/>
          <w:numId w:val="57"/>
        </w:numPr>
        <w:tabs>
          <w:tab w:val="center" w:pos="0"/>
        </w:tabs>
        <w:suppressAutoHyphens/>
        <w:spacing w:after="240"/>
        <w:ind w:left="0" w:firstLine="720"/>
        <w:jc w:val="both"/>
        <w:rPr>
          <w:sz w:val="20"/>
          <w:szCs w:val="20"/>
          <w:lang w:val="es-ES"/>
        </w:rPr>
      </w:pPr>
      <w:r>
        <w:rPr>
          <w:sz w:val="20"/>
          <w:szCs w:val="20"/>
          <w:lang w:val="es-ES"/>
        </w:rPr>
        <w:t xml:space="preserve">Alegan que, por su parte, </w:t>
      </w:r>
      <w:r w:rsidR="009B6828" w:rsidRPr="0040742E">
        <w:rPr>
          <w:sz w:val="20"/>
          <w:szCs w:val="20"/>
          <w:lang w:val="es-ES"/>
        </w:rPr>
        <w:t>Nicasio Washington Romero Ubal fue detenido el 13 de septiembre de 1974</w:t>
      </w:r>
      <w:r w:rsidR="0055644A" w:rsidRPr="0040742E">
        <w:rPr>
          <w:sz w:val="20"/>
          <w:szCs w:val="20"/>
          <w:lang w:val="es-ES"/>
        </w:rPr>
        <w:t xml:space="preserve"> </w:t>
      </w:r>
      <w:r w:rsidR="00C53B9F">
        <w:rPr>
          <w:sz w:val="20"/>
          <w:szCs w:val="20"/>
          <w:lang w:val="es-ES"/>
        </w:rPr>
        <w:t xml:space="preserve">en Buenos Aires </w:t>
      </w:r>
      <w:r w:rsidR="0055644A" w:rsidRPr="0040742E">
        <w:rPr>
          <w:sz w:val="20"/>
          <w:szCs w:val="20"/>
          <w:lang w:val="es-ES"/>
        </w:rPr>
        <w:t>por personas desconocidas</w:t>
      </w:r>
      <w:r w:rsidR="003674A3">
        <w:rPr>
          <w:sz w:val="20"/>
          <w:szCs w:val="20"/>
          <w:lang w:val="es-ES"/>
        </w:rPr>
        <w:t>,</w:t>
      </w:r>
      <w:r w:rsidR="0055644A" w:rsidRPr="0040742E">
        <w:rPr>
          <w:sz w:val="20"/>
          <w:szCs w:val="20"/>
          <w:lang w:val="es-ES"/>
        </w:rPr>
        <w:t xml:space="preserve"> y</w:t>
      </w:r>
      <w:r w:rsidR="008518AE" w:rsidRPr="0040742E">
        <w:rPr>
          <w:sz w:val="20"/>
          <w:szCs w:val="20"/>
          <w:lang w:val="es-ES"/>
        </w:rPr>
        <w:t xml:space="preserve"> mantenido </w:t>
      </w:r>
      <w:r w:rsidR="003674A3">
        <w:rPr>
          <w:sz w:val="20"/>
          <w:szCs w:val="20"/>
          <w:lang w:val="es-ES"/>
        </w:rPr>
        <w:t xml:space="preserve">varios días </w:t>
      </w:r>
      <w:r w:rsidR="008518AE" w:rsidRPr="0040742E">
        <w:rPr>
          <w:sz w:val="20"/>
          <w:szCs w:val="20"/>
          <w:lang w:val="es-ES"/>
        </w:rPr>
        <w:t xml:space="preserve">incomunicado junto a otros </w:t>
      </w:r>
      <w:r w:rsidR="0077537E">
        <w:rPr>
          <w:sz w:val="20"/>
          <w:szCs w:val="20"/>
          <w:lang w:val="es-ES"/>
        </w:rPr>
        <w:t>uruguayos. Indican que l</w:t>
      </w:r>
      <w:r w:rsidR="008518AE" w:rsidRPr="0040742E">
        <w:rPr>
          <w:sz w:val="20"/>
          <w:szCs w:val="20"/>
          <w:lang w:val="es-ES"/>
        </w:rPr>
        <w:t>a presunta víctima y</w:t>
      </w:r>
      <w:r w:rsidR="00A54B72" w:rsidRPr="0040742E">
        <w:rPr>
          <w:sz w:val="20"/>
          <w:szCs w:val="20"/>
          <w:lang w:val="es-ES"/>
        </w:rPr>
        <w:t xml:space="preserve"> los demás individuos</w:t>
      </w:r>
      <w:r w:rsidR="008518AE" w:rsidRPr="0040742E">
        <w:rPr>
          <w:sz w:val="20"/>
          <w:szCs w:val="20"/>
          <w:lang w:val="es-ES"/>
        </w:rPr>
        <w:t xml:space="preserve"> </w:t>
      </w:r>
      <w:r w:rsidR="0055644A" w:rsidRPr="0040742E">
        <w:rPr>
          <w:sz w:val="20"/>
          <w:szCs w:val="20"/>
          <w:lang w:val="es-ES"/>
        </w:rPr>
        <w:t>fueron</w:t>
      </w:r>
      <w:r w:rsidR="008518AE" w:rsidRPr="0040742E">
        <w:rPr>
          <w:sz w:val="20"/>
          <w:szCs w:val="20"/>
          <w:lang w:val="es-ES"/>
        </w:rPr>
        <w:t xml:space="preserve"> trasladados a diferentes centros clandestinos donde </w:t>
      </w:r>
      <w:r w:rsidR="0055644A" w:rsidRPr="0040742E">
        <w:rPr>
          <w:sz w:val="20"/>
          <w:szCs w:val="20"/>
          <w:lang w:val="es-ES"/>
        </w:rPr>
        <w:t>fueron</w:t>
      </w:r>
      <w:r w:rsidR="008518AE" w:rsidRPr="0040742E">
        <w:rPr>
          <w:sz w:val="20"/>
          <w:szCs w:val="20"/>
          <w:lang w:val="es-ES"/>
        </w:rPr>
        <w:t xml:space="preserve"> torturados </w:t>
      </w:r>
      <w:r w:rsidR="0055644A" w:rsidRPr="0040742E">
        <w:rPr>
          <w:sz w:val="20"/>
          <w:szCs w:val="20"/>
          <w:lang w:val="es-ES"/>
        </w:rPr>
        <w:t xml:space="preserve">y sometidos a diversos interrogatorios </w:t>
      </w:r>
      <w:r w:rsidR="008518AE" w:rsidRPr="0040742E">
        <w:rPr>
          <w:sz w:val="20"/>
          <w:szCs w:val="20"/>
          <w:lang w:val="es-ES"/>
        </w:rPr>
        <w:t>sobre asuntos políticos del Uruguay</w:t>
      </w:r>
      <w:r w:rsidR="0055644A" w:rsidRPr="0040742E">
        <w:rPr>
          <w:sz w:val="20"/>
          <w:szCs w:val="20"/>
          <w:lang w:val="es-ES"/>
        </w:rPr>
        <w:t>,</w:t>
      </w:r>
      <w:r w:rsidR="008518AE" w:rsidRPr="0040742E">
        <w:rPr>
          <w:sz w:val="20"/>
          <w:szCs w:val="20"/>
          <w:lang w:val="es-ES"/>
        </w:rPr>
        <w:t xml:space="preserve"> por personas con acento uruguayo, bajo la custodia de otros</w:t>
      </w:r>
      <w:r w:rsidR="003674A3">
        <w:rPr>
          <w:sz w:val="20"/>
          <w:szCs w:val="20"/>
          <w:lang w:val="es-ES"/>
        </w:rPr>
        <w:t xml:space="preserve"> individuos</w:t>
      </w:r>
      <w:r w:rsidR="008518AE" w:rsidRPr="0040742E">
        <w:rPr>
          <w:sz w:val="20"/>
          <w:szCs w:val="20"/>
          <w:lang w:val="es-ES"/>
        </w:rPr>
        <w:t xml:space="preserve"> que parecían argentinos. El 16 octubre de 1974, la presunta víctima </w:t>
      </w:r>
      <w:r w:rsidR="0055644A" w:rsidRPr="0040742E">
        <w:rPr>
          <w:sz w:val="20"/>
          <w:szCs w:val="20"/>
          <w:lang w:val="es-ES"/>
        </w:rPr>
        <w:t>fue</w:t>
      </w:r>
      <w:r w:rsidR="008518AE" w:rsidRPr="0040742E">
        <w:rPr>
          <w:sz w:val="20"/>
          <w:szCs w:val="20"/>
          <w:lang w:val="es-ES"/>
        </w:rPr>
        <w:t xml:space="preserve"> liberada cerca de su casa.</w:t>
      </w:r>
      <w:r w:rsidR="002A79D4">
        <w:rPr>
          <w:sz w:val="20"/>
          <w:szCs w:val="20"/>
          <w:lang w:val="es-ES"/>
        </w:rPr>
        <w:t xml:space="preserve"> </w:t>
      </w:r>
      <w:r w:rsidR="00065A1E">
        <w:rPr>
          <w:sz w:val="20"/>
          <w:szCs w:val="20"/>
          <w:lang w:val="es-ES"/>
        </w:rPr>
        <w:t xml:space="preserve">Ese mismo </w:t>
      </w:r>
      <w:r w:rsidR="00026582">
        <w:rPr>
          <w:sz w:val="20"/>
          <w:szCs w:val="20"/>
          <w:lang w:val="es-ES"/>
        </w:rPr>
        <w:t>día</w:t>
      </w:r>
      <w:r w:rsidR="00065A1E">
        <w:rPr>
          <w:sz w:val="20"/>
          <w:szCs w:val="20"/>
          <w:lang w:val="es-ES"/>
        </w:rPr>
        <w:t>, bajo la protección</w:t>
      </w:r>
      <w:r w:rsidR="00026582">
        <w:rPr>
          <w:sz w:val="20"/>
          <w:szCs w:val="20"/>
          <w:lang w:val="es-ES"/>
        </w:rPr>
        <w:t xml:space="preserve"> del A</w:t>
      </w:r>
      <w:r w:rsidR="00065A1E">
        <w:rPr>
          <w:sz w:val="20"/>
          <w:szCs w:val="20"/>
          <w:lang w:val="es-ES"/>
        </w:rPr>
        <w:t>CNUR, logr</w:t>
      </w:r>
      <w:r w:rsidR="00026582">
        <w:rPr>
          <w:sz w:val="20"/>
          <w:szCs w:val="20"/>
          <w:lang w:val="es-ES"/>
        </w:rPr>
        <w:t>ó</w:t>
      </w:r>
      <w:r w:rsidR="00065A1E">
        <w:rPr>
          <w:sz w:val="20"/>
          <w:szCs w:val="20"/>
          <w:lang w:val="es-ES"/>
        </w:rPr>
        <w:t xml:space="preserve"> dejar el país y </w:t>
      </w:r>
      <w:r w:rsidR="00047E0C">
        <w:rPr>
          <w:sz w:val="20"/>
          <w:szCs w:val="20"/>
          <w:lang w:val="es-ES"/>
        </w:rPr>
        <w:t>obtener el estatus de refugiado político</w:t>
      </w:r>
      <w:r w:rsidR="00065A1E">
        <w:rPr>
          <w:sz w:val="20"/>
          <w:szCs w:val="20"/>
          <w:lang w:val="es-ES"/>
        </w:rPr>
        <w:t xml:space="preserve"> en Suecia.</w:t>
      </w:r>
    </w:p>
    <w:p w:rsidR="002A79D4" w:rsidRPr="00026582" w:rsidRDefault="00D97722" w:rsidP="00860B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26582">
        <w:rPr>
          <w:rFonts w:ascii="Cambria" w:hAnsi="Cambria"/>
          <w:sz w:val="20"/>
          <w:szCs w:val="20"/>
          <w:lang w:val="es-ES"/>
        </w:rPr>
        <w:t>Según la petición, e</w:t>
      </w:r>
      <w:r w:rsidR="00EE2048" w:rsidRPr="00026582">
        <w:rPr>
          <w:rFonts w:ascii="Cambria" w:hAnsi="Cambria"/>
          <w:sz w:val="20"/>
          <w:szCs w:val="20"/>
          <w:lang w:val="es-ES"/>
        </w:rPr>
        <w:t>l 8 de</w:t>
      </w:r>
      <w:r w:rsidR="00DE62DE" w:rsidRPr="00026582">
        <w:rPr>
          <w:rFonts w:ascii="Cambria" w:hAnsi="Cambria"/>
          <w:sz w:val="20"/>
          <w:szCs w:val="20"/>
          <w:lang w:val="es-ES"/>
        </w:rPr>
        <w:t xml:space="preserve"> agosto de 1998, Julio César Rito de los Santos y Hug</w:t>
      </w:r>
      <w:r w:rsidR="009B1E2C" w:rsidRPr="00026582">
        <w:rPr>
          <w:rFonts w:ascii="Cambria" w:hAnsi="Cambria"/>
          <w:sz w:val="20"/>
          <w:szCs w:val="20"/>
          <w:lang w:val="es-ES"/>
        </w:rPr>
        <w:t xml:space="preserve">o Daniel Ferreira solicitaron una reparación </w:t>
      </w:r>
      <w:r w:rsidR="00DE62DE" w:rsidRPr="00026582">
        <w:rPr>
          <w:rFonts w:ascii="Cambria" w:hAnsi="Cambria"/>
          <w:sz w:val="20"/>
          <w:szCs w:val="20"/>
          <w:lang w:val="es-ES"/>
        </w:rPr>
        <w:t>ante el Ministerio de Justicia y Derechos Humanos de la Nación (</w:t>
      </w:r>
      <w:r w:rsidR="007C7833" w:rsidRPr="00026582">
        <w:rPr>
          <w:rFonts w:ascii="Cambria" w:hAnsi="Cambria"/>
          <w:sz w:val="20"/>
          <w:szCs w:val="20"/>
          <w:lang w:val="es-ES"/>
        </w:rPr>
        <w:t xml:space="preserve">en adelante </w:t>
      </w:r>
      <w:r w:rsidR="00B924C3" w:rsidRPr="00026582">
        <w:rPr>
          <w:rFonts w:ascii="Cambria" w:hAnsi="Cambria"/>
          <w:sz w:val="20"/>
          <w:szCs w:val="20"/>
          <w:lang w:val="es-ES"/>
        </w:rPr>
        <w:t>“</w:t>
      </w:r>
      <w:r w:rsidR="00DE62DE" w:rsidRPr="00026582">
        <w:rPr>
          <w:rFonts w:ascii="Cambria" w:hAnsi="Cambria"/>
          <w:sz w:val="20"/>
          <w:szCs w:val="20"/>
          <w:lang w:val="es-ES"/>
        </w:rPr>
        <w:t>MINDH</w:t>
      </w:r>
      <w:r w:rsidR="00B924C3" w:rsidRPr="00026582">
        <w:rPr>
          <w:rFonts w:ascii="Cambria" w:hAnsi="Cambria"/>
          <w:sz w:val="20"/>
          <w:szCs w:val="20"/>
          <w:lang w:val="es-ES"/>
        </w:rPr>
        <w:t>”</w:t>
      </w:r>
      <w:r w:rsidR="00DE62DE" w:rsidRPr="00026582">
        <w:rPr>
          <w:rFonts w:ascii="Cambria" w:hAnsi="Cambria"/>
          <w:sz w:val="20"/>
          <w:szCs w:val="20"/>
          <w:lang w:val="es-ES"/>
        </w:rPr>
        <w:t>)</w:t>
      </w:r>
      <w:r w:rsidR="0028793D">
        <w:rPr>
          <w:rFonts w:ascii="Cambria" w:hAnsi="Cambria"/>
          <w:sz w:val="20"/>
          <w:szCs w:val="20"/>
          <w:lang w:val="es-ES"/>
        </w:rPr>
        <w:t xml:space="preserve"> </w:t>
      </w:r>
      <w:r w:rsidR="0028793D" w:rsidRPr="00026582">
        <w:rPr>
          <w:rFonts w:ascii="Cambria" w:hAnsi="Cambria"/>
          <w:sz w:val="20"/>
          <w:szCs w:val="20"/>
          <w:lang w:val="es-ES"/>
        </w:rPr>
        <w:t xml:space="preserve">invocando la </w:t>
      </w:r>
      <w:r w:rsidR="0028793D">
        <w:rPr>
          <w:rFonts w:ascii="Cambria" w:hAnsi="Cambria"/>
          <w:sz w:val="20"/>
          <w:szCs w:val="20"/>
          <w:lang w:val="es-ES"/>
        </w:rPr>
        <w:t>Ley</w:t>
      </w:r>
      <w:r w:rsidR="0028793D" w:rsidRPr="00026582">
        <w:rPr>
          <w:rFonts w:ascii="Cambria" w:hAnsi="Cambria"/>
          <w:sz w:val="20"/>
          <w:szCs w:val="20"/>
          <w:lang w:val="es-ES"/>
        </w:rPr>
        <w:t xml:space="preserve"> 24.043</w:t>
      </w:r>
      <w:r w:rsidR="00DE62DE" w:rsidRPr="00026582">
        <w:rPr>
          <w:rFonts w:ascii="Cambria" w:hAnsi="Cambria"/>
          <w:sz w:val="20"/>
          <w:szCs w:val="20"/>
          <w:lang w:val="es-ES"/>
        </w:rPr>
        <w:t xml:space="preserve">. </w:t>
      </w:r>
      <w:r w:rsidR="0028793D">
        <w:rPr>
          <w:rFonts w:ascii="Cambria" w:hAnsi="Cambria"/>
          <w:sz w:val="20"/>
          <w:szCs w:val="20"/>
          <w:lang w:val="es-ES"/>
        </w:rPr>
        <w:t>E</w:t>
      </w:r>
      <w:r w:rsidR="00DE62DE" w:rsidRPr="00026582">
        <w:rPr>
          <w:rFonts w:ascii="Cambria" w:hAnsi="Cambria"/>
          <w:sz w:val="20"/>
          <w:szCs w:val="20"/>
          <w:lang w:val="es-ES"/>
        </w:rPr>
        <w:t xml:space="preserve">l MINDH resolvió negar la solicitud de indemnización, considerando que el arresto de las presuntas víctimas estaba fuera del ámbito temporal de la </w:t>
      </w:r>
      <w:r w:rsidR="00625AE3">
        <w:rPr>
          <w:rFonts w:ascii="Cambria" w:hAnsi="Cambria"/>
          <w:sz w:val="20"/>
          <w:szCs w:val="20"/>
          <w:lang w:val="es-ES"/>
        </w:rPr>
        <w:t>Ley</w:t>
      </w:r>
      <w:r w:rsidR="00DE62DE" w:rsidRPr="00026582">
        <w:rPr>
          <w:rFonts w:ascii="Cambria" w:hAnsi="Cambria"/>
          <w:sz w:val="20"/>
          <w:szCs w:val="20"/>
          <w:lang w:val="es-ES"/>
        </w:rPr>
        <w:t xml:space="preserve">, toda vez </w:t>
      </w:r>
      <w:r w:rsidR="00DE62DE" w:rsidRPr="00026582">
        <w:rPr>
          <w:rFonts w:ascii="Cambria" w:hAnsi="Cambria"/>
          <w:sz w:val="20"/>
          <w:szCs w:val="20"/>
          <w:lang w:val="es-ES"/>
        </w:rPr>
        <w:lastRenderedPageBreak/>
        <w:t>que er</w:t>
      </w:r>
      <w:r w:rsidR="0028793D">
        <w:rPr>
          <w:rFonts w:ascii="Cambria" w:hAnsi="Cambria"/>
          <w:sz w:val="20"/>
          <w:szCs w:val="20"/>
          <w:lang w:val="es-ES"/>
        </w:rPr>
        <w:t xml:space="preserve">a anterior a la declaración de </w:t>
      </w:r>
      <w:r w:rsidR="000E7038">
        <w:rPr>
          <w:rFonts w:ascii="Cambria" w:hAnsi="Cambria"/>
          <w:sz w:val="20"/>
          <w:szCs w:val="20"/>
          <w:lang w:val="es-ES"/>
        </w:rPr>
        <w:t>e</w:t>
      </w:r>
      <w:r w:rsidR="0028793D">
        <w:rPr>
          <w:rFonts w:ascii="Cambria" w:hAnsi="Cambria"/>
          <w:sz w:val="20"/>
          <w:szCs w:val="20"/>
          <w:lang w:val="es-ES"/>
        </w:rPr>
        <w:t xml:space="preserve">stado de </w:t>
      </w:r>
      <w:r w:rsidR="000E7038">
        <w:rPr>
          <w:rFonts w:ascii="Cambria" w:hAnsi="Cambria"/>
          <w:sz w:val="20"/>
          <w:szCs w:val="20"/>
          <w:lang w:val="es-ES"/>
        </w:rPr>
        <w:t>s</w:t>
      </w:r>
      <w:r w:rsidR="00DE62DE" w:rsidRPr="00026582">
        <w:rPr>
          <w:rFonts w:ascii="Cambria" w:hAnsi="Cambria"/>
          <w:sz w:val="20"/>
          <w:szCs w:val="20"/>
          <w:lang w:val="es-ES"/>
        </w:rPr>
        <w:t>itio</w:t>
      </w:r>
      <w:r w:rsidR="0028793D">
        <w:rPr>
          <w:rFonts w:ascii="Cambria" w:hAnsi="Cambria"/>
          <w:sz w:val="20"/>
          <w:szCs w:val="20"/>
          <w:lang w:val="es-ES"/>
        </w:rPr>
        <w:t xml:space="preserve"> en Argentina</w:t>
      </w:r>
      <w:r w:rsidR="00DE62DE" w:rsidRPr="00026582">
        <w:rPr>
          <w:rFonts w:ascii="Cambria" w:hAnsi="Cambria"/>
          <w:sz w:val="20"/>
          <w:szCs w:val="20"/>
          <w:lang w:val="es-ES"/>
        </w:rPr>
        <w:t xml:space="preserve"> y que su detención no constaba en los registros del Ministerio del Interior</w:t>
      </w:r>
      <w:r w:rsidR="008F5060">
        <w:rPr>
          <w:rFonts w:ascii="Cambria" w:hAnsi="Cambria"/>
          <w:sz w:val="20"/>
          <w:szCs w:val="20"/>
          <w:lang w:val="es-ES"/>
        </w:rPr>
        <w:t>.</w:t>
      </w:r>
      <w:r w:rsidR="00DE62DE" w:rsidRPr="00026582">
        <w:rPr>
          <w:rFonts w:ascii="Cambria" w:hAnsi="Cambria"/>
          <w:sz w:val="20"/>
          <w:szCs w:val="20"/>
          <w:lang w:val="es-ES"/>
        </w:rPr>
        <w:t xml:space="preserve"> </w:t>
      </w:r>
      <w:r w:rsidR="00BF6F2C" w:rsidRPr="00026582">
        <w:rPr>
          <w:rFonts w:ascii="Cambria" w:hAnsi="Cambria"/>
          <w:sz w:val="20"/>
          <w:szCs w:val="20"/>
          <w:lang w:val="es-ES"/>
        </w:rPr>
        <w:t xml:space="preserve">Ante el contenido de dichas resoluciones, </w:t>
      </w:r>
      <w:r w:rsidRPr="00026582">
        <w:rPr>
          <w:rFonts w:ascii="Cambria" w:hAnsi="Cambria"/>
          <w:sz w:val="20"/>
          <w:szCs w:val="20"/>
          <w:lang w:val="es-ES"/>
        </w:rPr>
        <w:t>los peticionarios</w:t>
      </w:r>
      <w:r w:rsidR="00BF6F2C" w:rsidRPr="00026582">
        <w:rPr>
          <w:rFonts w:ascii="Cambria" w:hAnsi="Cambria"/>
          <w:sz w:val="20"/>
          <w:szCs w:val="20"/>
          <w:lang w:val="es-ES"/>
        </w:rPr>
        <w:t xml:space="preserve"> present</w:t>
      </w:r>
      <w:r w:rsidRPr="00026582">
        <w:rPr>
          <w:rFonts w:ascii="Cambria" w:hAnsi="Cambria"/>
          <w:sz w:val="20"/>
          <w:szCs w:val="20"/>
          <w:lang w:val="es-ES"/>
        </w:rPr>
        <w:t>aron</w:t>
      </w:r>
      <w:r w:rsidR="00BF6F2C" w:rsidRPr="00026582">
        <w:rPr>
          <w:rFonts w:ascii="Cambria" w:hAnsi="Cambria"/>
          <w:sz w:val="20"/>
          <w:szCs w:val="20"/>
          <w:lang w:val="es-ES"/>
        </w:rPr>
        <w:t xml:space="preserve"> un recurso de apelación directa ante la Cámara Nacional de Apelaciones de lo Contencioso Administrativo Federal (</w:t>
      </w:r>
      <w:r w:rsidR="005E4E25" w:rsidRPr="00026582">
        <w:rPr>
          <w:rFonts w:ascii="Cambria" w:hAnsi="Cambria"/>
          <w:sz w:val="20"/>
          <w:szCs w:val="20"/>
          <w:lang w:val="es-ES"/>
        </w:rPr>
        <w:t xml:space="preserve">en adelante </w:t>
      </w:r>
      <w:r w:rsidR="00B924C3" w:rsidRPr="00026582">
        <w:rPr>
          <w:rFonts w:ascii="Cambria" w:hAnsi="Cambria"/>
          <w:sz w:val="20"/>
          <w:szCs w:val="20"/>
          <w:lang w:val="es-ES"/>
        </w:rPr>
        <w:t>“</w:t>
      </w:r>
      <w:r w:rsidR="00BF6F2C" w:rsidRPr="00026582">
        <w:rPr>
          <w:rFonts w:ascii="Cambria" w:hAnsi="Cambria"/>
          <w:sz w:val="20"/>
          <w:szCs w:val="20"/>
          <w:lang w:val="es-ES"/>
        </w:rPr>
        <w:t>CNA</w:t>
      </w:r>
      <w:r w:rsidR="00B924C3" w:rsidRPr="00026582">
        <w:rPr>
          <w:rFonts w:ascii="Cambria" w:hAnsi="Cambria"/>
          <w:sz w:val="20"/>
          <w:szCs w:val="20"/>
          <w:lang w:val="es-ES"/>
        </w:rPr>
        <w:t>”</w:t>
      </w:r>
      <w:r w:rsidR="00BF6F2C" w:rsidRPr="00026582">
        <w:rPr>
          <w:rFonts w:ascii="Cambria" w:hAnsi="Cambria"/>
          <w:sz w:val="20"/>
          <w:szCs w:val="20"/>
          <w:lang w:val="es-ES"/>
        </w:rPr>
        <w:t>)</w:t>
      </w:r>
      <w:r w:rsidR="00E0131F" w:rsidRPr="00026582">
        <w:rPr>
          <w:rFonts w:ascii="Cambria" w:hAnsi="Cambria"/>
          <w:sz w:val="20"/>
          <w:szCs w:val="20"/>
          <w:lang w:val="es-ES"/>
        </w:rPr>
        <w:t xml:space="preserve">. </w:t>
      </w:r>
      <w:r w:rsidR="008F5060">
        <w:rPr>
          <w:rFonts w:ascii="Cambria" w:hAnsi="Cambria"/>
          <w:sz w:val="20"/>
          <w:szCs w:val="20"/>
          <w:lang w:val="es-ES"/>
        </w:rPr>
        <w:t xml:space="preserve">Dicho </w:t>
      </w:r>
      <w:r w:rsidR="00E0131F" w:rsidRPr="00026582">
        <w:rPr>
          <w:rFonts w:ascii="Cambria" w:hAnsi="Cambria"/>
          <w:sz w:val="20"/>
          <w:szCs w:val="20"/>
          <w:lang w:val="es-ES"/>
        </w:rPr>
        <w:t xml:space="preserve">tribunal resolvió </w:t>
      </w:r>
      <w:r w:rsidR="00E0131F" w:rsidRPr="00026582">
        <w:rPr>
          <w:rFonts w:ascii="Cambria" w:hAnsi="Cambria"/>
          <w:i/>
          <w:sz w:val="20"/>
          <w:szCs w:val="20"/>
          <w:lang w:val="es-ES"/>
        </w:rPr>
        <w:t>“que la situación del actor – que fue liberado de su detención sin quedar sometido a régimen alguno de control- escapa a las previsiones del régimen indemnizatorio solicitado, pues no puede equipararse la situación de quie</w:t>
      </w:r>
      <w:r w:rsidR="00FD51D3" w:rsidRPr="00026582">
        <w:rPr>
          <w:rFonts w:ascii="Cambria" w:hAnsi="Cambria"/>
          <w:i/>
          <w:sz w:val="20"/>
          <w:szCs w:val="20"/>
          <w:lang w:val="es-ES"/>
        </w:rPr>
        <w:t>n</w:t>
      </w:r>
      <w:r w:rsidR="00E0131F" w:rsidRPr="00026582">
        <w:rPr>
          <w:rFonts w:ascii="Cambria" w:hAnsi="Cambria"/>
          <w:i/>
          <w:sz w:val="20"/>
          <w:szCs w:val="20"/>
          <w:lang w:val="es-ES"/>
        </w:rPr>
        <w:t xml:space="preserve">es fueron obligados </w:t>
      </w:r>
      <w:r w:rsidR="00FD51D3" w:rsidRPr="00026582">
        <w:rPr>
          <w:rFonts w:ascii="Cambria" w:hAnsi="Cambria"/>
          <w:i/>
          <w:sz w:val="20"/>
          <w:szCs w:val="20"/>
          <w:lang w:val="es-ES"/>
        </w:rPr>
        <w:t xml:space="preserve">a </w:t>
      </w:r>
      <w:r w:rsidR="00E0131F" w:rsidRPr="00026582">
        <w:rPr>
          <w:rFonts w:ascii="Cambria" w:hAnsi="Cambria"/>
          <w:i/>
          <w:sz w:val="20"/>
          <w:szCs w:val="20"/>
          <w:lang w:val="es-ES"/>
        </w:rPr>
        <w:t xml:space="preserve">exiliarse previa detención ilegal,…. con la de quienes debieron dejar el país por circunstancias ajenas a las contempladas en las </w:t>
      </w:r>
      <w:r w:rsidR="00625AE3">
        <w:rPr>
          <w:rFonts w:ascii="Cambria" w:hAnsi="Cambria"/>
          <w:i/>
          <w:sz w:val="20"/>
          <w:szCs w:val="20"/>
          <w:lang w:val="es-ES"/>
        </w:rPr>
        <w:t>Ley</w:t>
      </w:r>
      <w:r w:rsidR="00E0131F" w:rsidRPr="00026582">
        <w:rPr>
          <w:rFonts w:ascii="Cambria" w:hAnsi="Cambria"/>
          <w:i/>
          <w:sz w:val="20"/>
          <w:szCs w:val="20"/>
          <w:lang w:val="es-ES"/>
        </w:rPr>
        <w:t xml:space="preserve">es 24.043 y 24.906.” </w:t>
      </w:r>
      <w:r w:rsidR="00E0131F" w:rsidRPr="00026582">
        <w:rPr>
          <w:rFonts w:ascii="Cambria" w:hAnsi="Cambria"/>
          <w:sz w:val="20"/>
          <w:szCs w:val="20"/>
          <w:lang w:val="es-ES"/>
        </w:rPr>
        <w:t xml:space="preserve">Asimismo, desechó la solicitud subsidiaria de indemnización, por </w:t>
      </w:r>
      <w:r w:rsidR="00CA251D" w:rsidRPr="00026582">
        <w:rPr>
          <w:rFonts w:ascii="Cambria" w:hAnsi="Cambria"/>
          <w:sz w:val="20"/>
          <w:szCs w:val="20"/>
          <w:lang w:val="es-ES"/>
        </w:rPr>
        <w:t>considerar</w:t>
      </w:r>
      <w:r w:rsidR="00E0131F" w:rsidRPr="00026582">
        <w:rPr>
          <w:rFonts w:ascii="Cambria" w:hAnsi="Cambria"/>
          <w:sz w:val="20"/>
          <w:szCs w:val="20"/>
          <w:lang w:val="es-ES"/>
        </w:rPr>
        <w:t xml:space="preserve"> que debía solicitarse en sede ordinaria, la cual, en cualquier caso esta</w:t>
      </w:r>
      <w:r w:rsidR="005E4E25" w:rsidRPr="00026582">
        <w:rPr>
          <w:rFonts w:ascii="Cambria" w:hAnsi="Cambria"/>
          <w:sz w:val="20"/>
          <w:szCs w:val="20"/>
          <w:lang w:val="es-ES"/>
        </w:rPr>
        <w:t>ba</w:t>
      </w:r>
      <w:r w:rsidR="00E0131F" w:rsidRPr="00026582">
        <w:rPr>
          <w:rFonts w:ascii="Cambria" w:hAnsi="Cambria"/>
          <w:sz w:val="20"/>
          <w:szCs w:val="20"/>
          <w:lang w:val="es-ES"/>
        </w:rPr>
        <w:t xml:space="preserve"> prescrita. Frente al fallo adverso, </w:t>
      </w:r>
      <w:r w:rsidR="004B4ECE" w:rsidRPr="00026582">
        <w:rPr>
          <w:rFonts w:ascii="Cambria" w:hAnsi="Cambria"/>
          <w:sz w:val="20"/>
          <w:szCs w:val="20"/>
          <w:lang w:val="es-ES"/>
        </w:rPr>
        <w:t>las dos presuntas víctimas interpusieron</w:t>
      </w:r>
      <w:r w:rsidR="00ED0CBE">
        <w:rPr>
          <w:rFonts w:ascii="Cambria" w:hAnsi="Cambria"/>
          <w:sz w:val="20"/>
          <w:szCs w:val="20"/>
          <w:lang w:val="es-ES"/>
        </w:rPr>
        <w:t xml:space="preserve"> R</w:t>
      </w:r>
      <w:r w:rsidR="00E0131F" w:rsidRPr="00026582">
        <w:rPr>
          <w:rFonts w:ascii="Cambria" w:hAnsi="Cambria"/>
          <w:sz w:val="20"/>
          <w:szCs w:val="20"/>
          <w:lang w:val="es-ES"/>
        </w:rPr>
        <w:t xml:space="preserve">ecurso </w:t>
      </w:r>
      <w:r w:rsidR="00ED0CBE" w:rsidRPr="00026582">
        <w:rPr>
          <w:rFonts w:ascii="Cambria" w:hAnsi="Cambria"/>
          <w:sz w:val="20"/>
          <w:szCs w:val="20"/>
          <w:lang w:val="es-ES"/>
        </w:rPr>
        <w:t xml:space="preserve">Extraordinario Federal </w:t>
      </w:r>
      <w:r w:rsidR="00E0131F" w:rsidRPr="00026582">
        <w:rPr>
          <w:rFonts w:ascii="Cambria" w:hAnsi="Cambria"/>
          <w:sz w:val="20"/>
          <w:szCs w:val="20"/>
          <w:lang w:val="es-ES"/>
        </w:rPr>
        <w:t>ante la Corte Suprema</w:t>
      </w:r>
      <w:r w:rsidR="002A79D4" w:rsidRPr="00026582">
        <w:rPr>
          <w:rFonts w:ascii="Cambria" w:hAnsi="Cambria"/>
          <w:sz w:val="20"/>
          <w:szCs w:val="20"/>
          <w:lang w:val="es-ES"/>
        </w:rPr>
        <w:t xml:space="preserve"> de Justicia</w:t>
      </w:r>
      <w:r w:rsidR="00C53B9F">
        <w:rPr>
          <w:rFonts w:ascii="Cambria" w:hAnsi="Cambria"/>
          <w:sz w:val="20"/>
          <w:szCs w:val="20"/>
          <w:lang w:val="es-ES"/>
        </w:rPr>
        <w:t xml:space="preserve"> de la Nación</w:t>
      </w:r>
      <w:r w:rsidR="002A79D4" w:rsidRPr="00026582">
        <w:rPr>
          <w:rFonts w:ascii="Cambria" w:hAnsi="Cambria"/>
          <w:sz w:val="20"/>
          <w:szCs w:val="20"/>
          <w:lang w:val="es-ES"/>
        </w:rPr>
        <w:t xml:space="preserve"> (</w:t>
      </w:r>
      <w:r w:rsidR="005E4E25" w:rsidRPr="00026582">
        <w:rPr>
          <w:rFonts w:ascii="Cambria" w:hAnsi="Cambria"/>
          <w:sz w:val="20"/>
          <w:szCs w:val="20"/>
          <w:lang w:val="es-ES"/>
        </w:rPr>
        <w:t xml:space="preserve">en adelante </w:t>
      </w:r>
      <w:r w:rsidR="002A79D4" w:rsidRPr="00026582">
        <w:rPr>
          <w:rFonts w:ascii="Cambria" w:hAnsi="Cambria"/>
          <w:sz w:val="20"/>
          <w:szCs w:val="20"/>
          <w:lang w:val="es-ES"/>
        </w:rPr>
        <w:t>CSJ</w:t>
      </w:r>
      <w:r w:rsidR="00C53B9F">
        <w:rPr>
          <w:rFonts w:ascii="Cambria" w:hAnsi="Cambria"/>
          <w:sz w:val="20"/>
          <w:szCs w:val="20"/>
          <w:lang w:val="es-ES"/>
        </w:rPr>
        <w:t>N</w:t>
      </w:r>
      <w:r w:rsidR="002A79D4" w:rsidRPr="00026582">
        <w:rPr>
          <w:rFonts w:ascii="Cambria" w:hAnsi="Cambria"/>
          <w:sz w:val="20"/>
          <w:szCs w:val="20"/>
          <w:lang w:val="es-ES"/>
        </w:rPr>
        <w:t>)</w:t>
      </w:r>
      <w:r w:rsidR="00E0131F" w:rsidRPr="00026582">
        <w:rPr>
          <w:rFonts w:ascii="Cambria" w:hAnsi="Cambria"/>
          <w:sz w:val="20"/>
          <w:szCs w:val="20"/>
          <w:lang w:val="es-ES"/>
        </w:rPr>
        <w:t>. Sin embargo, el 31</w:t>
      </w:r>
      <w:r w:rsidR="005E4E25" w:rsidRPr="00026582">
        <w:rPr>
          <w:rFonts w:ascii="Cambria" w:hAnsi="Cambria"/>
          <w:sz w:val="20"/>
          <w:szCs w:val="20"/>
          <w:lang w:val="es-ES"/>
        </w:rPr>
        <w:t xml:space="preserve"> de octubre de 20</w:t>
      </w:r>
      <w:r w:rsidR="00D26F3A">
        <w:rPr>
          <w:rFonts w:ascii="Cambria" w:hAnsi="Cambria"/>
          <w:sz w:val="20"/>
          <w:szCs w:val="20"/>
          <w:lang w:val="es-ES"/>
        </w:rPr>
        <w:t>06</w:t>
      </w:r>
      <w:r w:rsidR="00E0131F" w:rsidRPr="00026582">
        <w:rPr>
          <w:rFonts w:ascii="Cambria" w:hAnsi="Cambria"/>
          <w:sz w:val="20"/>
          <w:szCs w:val="20"/>
          <w:lang w:val="es-ES"/>
        </w:rPr>
        <w:t xml:space="preserve"> la Corte confirmó la sentencia de primera instancia, señalando que el caso quedaba fuera de los supuestos temporales de la </w:t>
      </w:r>
      <w:r w:rsidR="00625AE3">
        <w:rPr>
          <w:rFonts w:ascii="Cambria" w:hAnsi="Cambria"/>
          <w:sz w:val="20"/>
          <w:szCs w:val="20"/>
          <w:lang w:val="es-ES"/>
        </w:rPr>
        <w:t>Ley</w:t>
      </w:r>
      <w:r w:rsidR="00BC6C2F">
        <w:rPr>
          <w:rFonts w:ascii="Cambria" w:hAnsi="Cambria"/>
          <w:sz w:val="20"/>
          <w:szCs w:val="20"/>
          <w:lang w:val="es-ES"/>
        </w:rPr>
        <w:t>, toda vez que la detención hab</w:t>
      </w:r>
      <w:r w:rsidR="00E0131F" w:rsidRPr="00026582">
        <w:rPr>
          <w:rFonts w:ascii="Cambria" w:hAnsi="Cambria"/>
          <w:sz w:val="20"/>
          <w:szCs w:val="20"/>
          <w:lang w:val="es-ES"/>
        </w:rPr>
        <w:t>ía sucedido antes de la declar</w:t>
      </w:r>
      <w:r w:rsidR="002A79D4" w:rsidRPr="00026582">
        <w:rPr>
          <w:rFonts w:ascii="Cambria" w:hAnsi="Cambria"/>
          <w:sz w:val="20"/>
          <w:szCs w:val="20"/>
          <w:lang w:val="es-ES"/>
        </w:rPr>
        <w:t>atoria de estado de sitio</w:t>
      </w:r>
      <w:r w:rsidR="00E0131F" w:rsidRPr="00026582">
        <w:rPr>
          <w:rFonts w:ascii="Cambria" w:hAnsi="Cambria"/>
          <w:sz w:val="20"/>
          <w:szCs w:val="20"/>
          <w:lang w:val="es-ES"/>
        </w:rPr>
        <w:t xml:space="preserve">. </w:t>
      </w:r>
      <w:r w:rsidR="000E7038">
        <w:rPr>
          <w:rFonts w:ascii="Cambria" w:hAnsi="Cambria"/>
          <w:sz w:val="20"/>
          <w:szCs w:val="20"/>
          <w:lang w:val="es-ES"/>
        </w:rPr>
        <w:t xml:space="preserve">La decisión </w:t>
      </w:r>
      <w:r w:rsidR="00E0131F" w:rsidRPr="00026582">
        <w:rPr>
          <w:rFonts w:ascii="Cambria" w:hAnsi="Cambria"/>
          <w:sz w:val="20"/>
          <w:szCs w:val="20"/>
          <w:lang w:val="es-ES"/>
        </w:rPr>
        <w:t xml:space="preserve">fue notificada el </w:t>
      </w:r>
      <w:r w:rsidR="004B4ECE" w:rsidRPr="00026582">
        <w:rPr>
          <w:rFonts w:ascii="Cambria" w:hAnsi="Cambria"/>
          <w:sz w:val="20"/>
          <w:szCs w:val="20"/>
          <w:lang w:val="es-ES"/>
        </w:rPr>
        <w:t xml:space="preserve">13 de noviembre de 2006 a </w:t>
      </w:r>
      <w:r w:rsidR="00EE2048" w:rsidRPr="00026582">
        <w:rPr>
          <w:rFonts w:ascii="Cambria" w:hAnsi="Cambria"/>
          <w:sz w:val="20"/>
          <w:szCs w:val="20"/>
          <w:lang w:val="es-ES"/>
        </w:rPr>
        <w:t xml:space="preserve">Hugo Daniel Ferreira </w:t>
      </w:r>
      <w:r w:rsidR="004B4ECE" w:rsidRPr="00026582">
        <w:rPr>
          <w:rFonts w:ascii="Cambria" w:hAnsi="Cambria"/>
          <w:sz w:val="20"/>
          <w:szCs w:val="20"/>
          <w:lang w:val="es-ES"/>
        </w:rPr>
        <w:t>y el 14</w:t>
      </w:r>
      <w:r w:rsidR="002A79D4" w:rsidRPr="00026582">
        <w:rPr>
          <w:rFonts w:ascii="Cambria" w:hAnsi="Cambria"/>
          <w:sz w:val="20"/>
          <w:szCs w:val="20"/>
          <w:lang w:val="es-ES"/>
        </w:rPr>
        <w:t xml:space="preserve"> de n</w:t>
      </w:r>
      <w:r w:rsidR="004B4ECE" w:rsidRPr="00026582">
        <w:rPr>
          <w:rFonts w:ascii="Cambria" w:hAnsi="Cambria"/>
          <w:sz w:val="20"/>
          <w:szCs w:val="20"/>
          <w:lang w:val="es-ES"/>
        </w:rPr>
        <w:t>ov</w:t>
      </w:r>
      <w:r w:rsidR="002A79D4" w:rsidRPr="00026582">
        <w:rPr>
          <w:rFonts w:ascii="Cambria" w:hAnsi="Cambria"/>
          <w:sz w:val="20"/>
          <w:szCs w:val="20"/>
          <w:lang w:val="es-ES"/>
        </w:rPr>
        <w:t>iembre de 20</w:t>
      </w:r>
      <w:r w:rsidR="004B4ECE" w:rsidRPr="00026582">
        <w:rPr>
          <w:rFonts w:ascii="Cambria" w:hAnsi="Cambria"/>
          <w:sz w:val="20"/>
          <w:szCs w:val="20"/>
          <w:lang w:val="es-ES"/>
        </w:rPr>
        <w:t>06 a Julio César Rito de los Santos</w:t>
      </w:r>
      <w:r w:rsidR="00EE2048" w:rsidRPr="00026582">
        <w:rPr>
          <w:rFonts w:ascii="Cambria" w:hAnsi="Cambria"/>
          <w:sz w:val="20"/>
          <w:szCs w:val="20"/>
          <w:lang w:val="es-ES"/>
        </w:rPr>
        <w:t>.</w:t>
      </w:r>
    </w:p>
    <w:p w:rsidR="007B002C" w:rsidRDefault="00EE2048" w:rsidP="008273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A79D4">
        <w:rPr>
          <w:rFonts w:ascii="Cambria" w:hAnsi="Cambria"/>
          <w:sz w:val="20"/>
          <w:szCs w:val="20"/>
          <w:lang w:val="es-ES"/>
        </w:rPr>
        <w:t xml:space="preserve">Por </w:t>
      </w:r>
      <w:r w:rsidR="00972F3C" w:rsidRPr="002A79D4">
        <w:rPr>
          <w:rFonts w:ascii="Cambria" w:hAnsi="Cambria"/>
          <w:sz w:val="20"/>
          <w:szCs w:val="20"/>
          <w:lang w:val="es-ES"/>
        </w:rPr>
        <w:t xml:space="preserve">otra parte, se alega que Nicasio Washington Romero Ubal </w:t>
      </w:r>
      <w:r w:rsidR="005E4E25">
        <w:rPr>
          <w:rFonts w:ascii="Cambria" w:hAnsi="Cambria"/>
          <w:sz w:val="20"/>
          <w:szCs w:val="20"/>
          <w:lang w:val="es-ES"/>
        </w:rPr>
        <w:t>solicitó</w:t>
      </w:r>
      <w:r w:rsidRPr="002A79D4">
        <w:rPr>
          <w:rFonts w:ascii="Cambria" w:hAnsi="Cambria"/>
          <w:sz w:val="20"/>
          <w:szCs w:val="20"/>
          <w:lang w:val="es-ES"/>
        </w:rPr>
        <w:t xml:space="preserve"> los beneficios otorgados por la </w:t>
      </w:r>
      <w:r w:rsidR="00625AE3">
        <w:rPr>
          <w:rFonts w:ascii="Cambria" w:hAnsi="Cambria"/>
          <w:sz w:val="20"/>
          <w:szCs w:val="20"/>
          <w:lang w:val="es-ES"/>
        </w:rPr>
        <w:t>Ley</w:t>
      </w:r>
      <w:r w:rsidRPr="002A79D4">
        <w:rPr>
          <w:rFonts w:ascii="Cambria" w:hAnsi="Cambria"/>
          <w:sz w:val="20"/>
          <w:szCs w:val="20"/>
          <w:lang w:val="es-ES"/>
        </w:rPr>
        <w:t xml:space="preserve"> 24.043 el </w:t>
      </w:r>
      <w:r w:rsidR="00972F3C" w:rsidRPr="002A79D4">
        <w:rPr>
          <w:rFonts w:ascii="Cambria" w:hAnsi="Cambria"/>
          <w:sz w:val="20"/>
          <w:szCs w:val="20"/>
          <w:lang w:val="es-ES"/>
        </w:rPr>
        <w:t>9</w:t>
      </w:r>
      <w:r w:rsidRPr="002A79D4">
        <w:rPr>
          <w:rFonts w:ascii="Cambria" w:hAnsi="Cambria"/>
          <w:sz w:val="20"/>
          <w:szCs w:val="20"/>
          <w:lang w:val="es-ES"/>
        </w:rPr>
        <w:t xml:space="preserve"> de septiembre de 1998. El 23</w:t>
      </w:r>
      <w:r w:rsidR="005E4E25">
        <w:rPr>
          <w:rFonts w:ascii="Cambria" w:hAnsi="Cambria"/>
          <w:sz w:val="20"/>
          <w:szCs w:val="20"/>
          <w:lang w:val="es-ES"/>
        </w:rPr>
        <w:t xml:space="preserve"> de septiembre de 19</w:t>
      </w:r>
      <w:r w:rsidRPr="002A79D4">
        <w:rPr>
          <w:rFonts w:ascii="Cambria" w:hAnsi="Cambria"/>
          <w:sz w:val="20"/>
          <w:szCs w:val="20"/>
          <w:lang w:val="es-ES"/>
        </w:rPr>
        <w:t>99 el MINDH resolvió negar la solicitud de indemnización, considerando que la situación atravesada por el solicitante no se enmarca</w:t>
      </w:r>
      <w:r w:rsidR="00FD51D3">
        <w:rPr>
          <w:rFonts w:ascii="Cambria" w:hAnsi="Cambria"/>
          <w:sz w:val="20"/>
          <w:szCs w:val="20"/>
          <w:lang w:val="es-ES"/>
        </w:rPr>
        <w:t>ba</w:t>
      </w:r>
      <w:r w:rsidRPr="002A79D4">
        <w:rPr>
          <w:rFonts w:ascii="Cambria" w:hAnsi="Cambria"/>
          <w:sz w:val="20"/>
          <w:szCs w:val="20"/>
          <w:lang w:val="es-ES"/>
        </w:rPr>
        <w:t xml:space="preserve"> en los extremos establecidos en la </w:t>
      </w:r>
      <w:r w:rsidR="00625AE3">
        <w:rPr>
          <w:rFonts w:ascii="Cambria" w:hAnsi="Cambria"/>
          <w:sz w:val="20"/>
          <w:szCs w:val="20"/>
          <w:lang w:val="es-ES"/>
        </w:rPr>
        <w:t>Ley</w:t>
      </w:r>
      <w:r w:rsidRPr="002A79D4">
        <w:rPr>
          <w:rFonts w:ascii="Cambria" w:hAnsi="Cambria"/>
          <w:sz w:val="20"/>
          <w:szCs w:val="20"/>
          <w:lang w:val="es-ES"/>
        </w:rPr>
        <w:t xml:space="preserve">. Ante </w:t>
      </w:r>
      <w:r w:rsidR="0031609F" w:rsidRPr="002A79D4">
        <w:rPr>
          <w:rFonts w:ascii="Cambria" w:hAnsi="Cambria"/>
          <w:sz w:val="20"/>
          <w:szCs w:val="20"/>
          <w:lang w:val="es-ES"/>
        </w:rPr>
        <w:t xml:space="preserve">dicha </w:t>
      </w:r>
      <w:r w:rsidR="00972F3C" w:rsidRPr="002A79D4">
        <w:rPr>
          <w:rFonts w:ascii="Cambria" w:hAnsi="Cambria"/>
          <w:sz w:val="20"/>
          <w:szCs w:val="20"/>
          <w:lang w:val="es-ES"/>
        </w:rPr>
        <w:t>resolución</w:t>
      </w:r>
      <w:r w:rsidRPr="002A79D4">
        <w:rPr>
          <w:rFonts w:ascii="Cambria" w:hAnsi="Cambria"/>
          <w:sz w:val="20"/>
          <w:szCs w:val="20"/>
          <w:lang w:val="es-ES"/>
        </w:rPr>
        <w:t>, se presentó un recurso de apelación directa ante la CNA. Finalmente, el</w:t>
      </w:r>
      <w:r w:rsidR="0031609F" w:rsidRPr="002A79D4">
        <w:rPr>
          <w:rFonts w:ascii="Cambria" w:hAnsi="Cambria"/>
          <w:sz w:val="20"/>
          <w:szCs w:val="20"/>
          <w:lang w:val="es-ES"/>
        </w:rPr>
        <w:t xml:space="preserve"> </w:t>
      </w:r>
      <w:r w:rsidR="00760257">
        <w:rPr>
          <w:rFonts w:ascii="Cambria" w:hAnsi="Cambria"/>
          <w:sz w:val="20"/>
          <w:szCs w:val="20"/>
          <w:lang w:val="es-ES"/>
        </w:rPr>
        <w:t>9 de mayo de 20</w:t>
      </w:r>
      <w:r w:rsidRPr="002A79D4">
        <w:rPr>
          <w:rFonts w:ascii="Cambria" w:hAnsi="Cambria"/>
          <w:sz w:val="20"/>
          <w:szCs w:val="20"/>
          <w:lang w:val="es-ES"/>
        </w:rPr>
        <w:t xml:space="preserve">00, el tribunal resolvió </w:t>
      </w:r>
      <w:r w:rsidRPr="002A79D4">
        <w:rPr>
          <w:rFonts w:ascii="Cambria" w:hAnsi="Cambria"/>
          <w:i/>
          <w:sz w:val="20"/>
          <w:szCs w:val="20"/>
          <w:lang w:val="es-ES"/>
        </w:rPr>
        <w:t>“que, en tal contexto, la intención del legislador aparece suficientemente clara al precisar en su texto los</w:t>
      </w:r>
      <w:r w:rsidR="0031609F" w:rsidRPr="002A79D4">
        <w:rPr>
          <w:rFonts w:ascii="Cambria" w:hAnsi="Cambria"/>
          <w:i/>
          <w:sz w:val="20"/>
          <w:szCs w:val="20"/>
          <w:lang w:val="es-ES"/>
        </w:rPr>
        <w:t xml:space="preserve"> </w:t>
      </w:r>
      <w:r w:rsidRPr="002A79D4">
        <w:rPr>
          <w:rFonts w:ascii="Cambria" w:hAnsi="Cambria"/>
          <w:i/>
          <w:sz w:val="20"/>
          <w:szCs w:val="20"/>
          <w:lang w:val="es-ES"/>
        </w:rPr>
        <w:t>límites temporales que comprende el beneficio instituido, razón por la cual lo resuelto en sede administrativa se muestra acorde con el</w:t>
      </w:r>
      <w:r w:rsidR="0031609F" w:rsidRPr="002A79D4">
        <w:rPr>
          <w:rFonts w:ascii="Cambria" w:hAnsi="Cambria"/>
          <w:i/>
          <w:sz w:val="20"/>
          <w:szCs w:val="20"/>
          <w:lang w:val="es-ES"/>
        </w:rPr>
        <w:t xml:space="preserve"> </w:t>
      </w:r>
      <w:r w:rsidRPr="002A79D4">
        <w:rPr>
          <w:rFonts w:ascii="Cambria" w:hAnsi="Cambria"/>
          <w:i/>
          <w:sz w:val="20"/>
          <w:szCs w:val="20"/>
          <w:lang w:val="es-ES"/>
        </w:rPr>
        <w:t xml:space="preserve">texto de la </w:t>
      </w:r>
      <w:r w:rsidR="00625AE3">
        <w:rPr>
          <w:rFonts w:ascii="Cambria" w:hAnsi="Cambria"/>
          <w:i/>
          <w:sz w:val="20"/>
          <w:szCs w:val="20"/>
          <w:lang w:val="es-ES"/>
        </w:rPr>
        <w:t>Ley</w:t>
      </w:r>
      <w:r w:rsidRPr="002A79D4">
        <w:rPr>
          <w:rFonts w:ascii="Cambria" w:hAnsi="Cambria"/>
          <w:i/>
          <w:sz w:val="20"/>
          <w:szCs w:val="20"/>
          <w:lang w:val="es-ES"/>
        </w:rPr>
        <w:t xml:space="preserve"> 24.043, su reglamentación, y la </w:t>
      </w:r>
      <w:r w:rsidR="00625AE3">
        <w:rPr>
          <w:rFonts w:ascii="Cambria" w:hAnsi="Cambria"/>
          <w:i/>
          <w:sz w:val="20"/>
          <w:szCs w:val="20"/>
          <w:lang w:val="es-ES"/>
        </w:rPr>
        <w:t>Ley</w:t>
      </w:r>
      <w:r w:rsidRPr="002A79D4">
        <w:rPr>
          <w:rFonts w:ascii="Cambria" w:hAnsi="Cambria"/>
          <w:i/>
          <w:sz w:val="20"/>
          <w:szCs w:val="20"/>
          <w:lang w:val="es-ES"/>
        </w:rPr>
        <w:t xml:space="preserve"> 24.906, sin que, por lo demás, el resultado de la aplicación del texto legal aparezca</w:t>
      </w:r>
      <w:r w:rsidR="0031609F" w:rsidRPr="002A79D4">
        <w:rPr>
          <w:rFonts w:ascii="Cambria" w:hAnsi="Cambria"/>
          <w:i/>
          <w:sz w:val="20"/>
          <w:szCs w:val="20"/>
          <w:lang w:val="es-ES"/>
        </w:rPr>
        <w:t xml:space="preserve"> irrazonable….”</w:t>
      </w:r>
      <w:r w:rsidR="0031609F" w:rsidRPr="002A79D4">
        <w:rPr>
          <w:rFonts w:ascii="Cambria" w:hAnsi="Cambria"/>
          <w:sz w:val="20"/>
          <w:szCs w:val="20"/>
          <w:lang w:val="es-ES"/>
        </w:rPr>
        <w:t xml:space="preserve">. </w:t>
      </w:r>
      <w:r w:rsidRPr="002A79D4">
        <w:rPr>
          <w:rFonts w:ascii="Cambria" w:hAnsi="Cambria"/>
          <w:sz w:val="20"/>
          <w:szCs w:val="20"/>
          <w:lang w:val="es-ES"/>
        </w:rPr>
        <w:t xml:space="preserve">Frente al fallo adverso, </w:t>
      </w:r>
      <w:r w:rsidR="00972F3C" w:rsidRPr="002A79D4">
        <w:rPr>
          <w:rFonts w:ascii="Cambria" w:hAnsi="Cambria"/>
          <w:sz w:val="20"/>
          <w:szCs w:val="20"/>
          <w:lang w:val="es-ES"/>
        </w:rPr>
        <w:t xml:space="preserve">Nicasio Washington Romero Ubal </w:t>
      </w:r>
      <w:r w:rsidR="00ED0CBE">
        <w:rPr>
          <w:rFonts w:ascii="Cambria" w:hAnsi="Cambria"/>
          <w:sz w:val="20"/>
          <w:szCs w:val="20"/>
          <w:lang w:val="es-ES"/>
        </w:rPr>
        <w:t>interpuso Recurso Extraordinario F</w:t>
      </w:r>
      <w:r w:rsidR="00972F3C" w:rsidRPr="002A79D4">
        <w:rPr>
          <w:rFonts w:ascii="Cambria" w:hAnsi="Cambria"/>
          <w:sz w:val="20"/>
          <w:szCs w:val="20"/>
          <w:lang w:val="es-ES"/>
        </w:rPr>
        <w:t>ederal ante la Corte Suprema</w:t>
      </w:r>
      <w:r w:rsidRPr="002A79D4">
        <w:rPr>
          <w:rFonts w:ascii="Cambria" w:hAnsi="Cambria"/>
          <w:sz w:val="20"/>
          <w:szCs w:val="20"/>
          <w:lang w:val="es-ES"/>
        </w:rPr>
        <w:t>, mismo que no</w:t>
      </w:r>
      <w:r w:rsidR="0031609F" w:rsidRPr="002A79D4">
        <w:rPr>
          <w:rFonts w:ascii="Cambria" w:hAnsi="Cambria"/>
          <w:sz w:val="20"/>
          <w:szCs w:val="20"/>
          <w:lang w:val="es-ES"/>
        </w:rPr>
        <w:t xml:space="preserve"> </w:t>
      </w:r>
      <w:r w:rsidR="00972F3C" w:rsidRPr="002A79D4">
        <w:rPr>
          <w:rFonts w:ascii="Cambria" w:hAnsi="Cambria"/>
          <w:sz w:val="20"/>
          <w:szCs w:val="20"/>
          <w:lang w:val="es-ES"/>
        </w:rPr>
        <w:t>fue</w:t>
      </w:r>
      <w:r w:rsidRPr="002A79D4">
        <w:rPr>
          <w:rFonts w:ascii="Cambria" w:hAnsi="Cambria"/>
          <w:sz w:val="20"/>
          <w:szCs w:val="20"/>
          <w:lang w:val="es-ES"/>
        </w:rPr>
        <w:t xml:space="preserve"> concedido por entender que el tema no era una cuestión federal suficiente.</w:t>
      </w:r>
      <w:r w:rsidR="0031609F" w:rsidRPr="002A79D4">
        <w:rPr>
          <w:rFonts w:ascii="Cambria" w:hAnsi="Cambria"/>
          <w:sz w:val="20"/>
          <w:szCs w:val="20"/>
          <w:lang w:val="es-ES"/>
        </w:rPr>
        <w:t xml:space="preserve"> </w:t>
      </w:r>
      <w:r w:rsidRPr="002A79D4">
        <w:rPr>
          <w:rFonts w:ascii="Cambria" w:hAnsi="Cambria"/>
          <w:sz w:val="20"/>
          <w:szCs w:val="20"/>
          <w:lang w:val="es-ES"/>
        </w:rPr>
        <w:t>Por lo anterior, la presunta víctima presentó queja por apelación denegada</w:t>
      </w:r>
      <w:r w:rsidR="002A79D4" w:rsidRPr="002A79D4">
        <w:rPr>
          <w:rFonts w:ascii="Cambria" w:hAnsi="Cambria"/>
          <w:sz w:val="20"/>
          <w:szCs w:val="20"/>
          <w:lang w:val="es-ES"/>
        </w:rPr>
        <w:t>, la cual fue admitida. Sin embargo, e</w:t>
      </w:r>
      <w:r w:rsidRPr="002A79D4">
        <w:rPr>
          <w:rFonts w:ascii="Cambria" w:hAnsi="Cambria"/>
          <w:sz w:val="20"/>
          <w:szCs w:val="20"/>
          <w:lang w:val="es-ES"/>
        </w:rPr>
        <w:t>l 31</w:t>
      </w:r>
      <w:r w:rsidR="002D00AD">
        <w:rPr>
          <w:rFonts w:ascii="Cambria" w:hAnsi="Cambria"/>
          <w:sz w:val="20"/>
          <w:szCs w:val="20"/>
          <w:lang w:val="es-ES"/>
        </w:rPr>
        <w:t xml:space="preserve"> de octubre de 20</w:t>
      </w:r>
      <w:r w:rsidRPr="002A79D4">
        <w:rPr>
          <w:rFonts w:ascii="Cambria" w:hAnsi="Cambria"/>
          <w:sz w:val="20"/>
          <w:szCs w:val="20"/>
          <w:lang w:val="es-ES"/>
        </w:rPr>
        <w:t>06 la CSJ</w:t>
      </w:r>
      <w:r w:rsidR="0000389E">
        <w:rPr>
          <w:rFonts w:ascii="Cambria" w:hAnsi="Cambria"/>
          <w:sz w:val="20"/>
          <w:szCs w:val="20"/>
          <w:lang w:val="es-ES"/>
        </w:rPr>
        <w:t>N</w:t>
      </w:r>
      <w:r w:rsidR="0031609F" w:rsidRPr="002A79D4">
        <w:rPr>
          <w:rFonts w:ascii="Cambria" w:hAnsi="Cambria"/>
          <w:sz w:val="20"/>
          <w:szCs w:val="20"/>
          <w:lang w:val="es-ES"/>
        </w:rPr>
        <w:t xml:space="preserve"> </w:t>
      </w:r>
      <w:r w:rsidRPr="002A79D4">
        <w:rPr>
          <w:rFonts w:ascii="Cambria" w:hAnsi="Cambria"/>
          <w:sz w:val="20"/>
          <w:szCs w:val="20"/>
          <w:lang w:val="es-ES"/>
        </w:rPr>
        <w:t xml:space="preserve">confirmó la sentencia de primera instancia, señalando que el caso quedaba fuera de los supuestos temporales de la </w:t>
      </w:r>
      <w:r w:rsidR="00625AE3">
        <w:rPr>
          <w:rFonts w:ascii="Cambria" w:hAnsi="Cambria"/>
          <w:sz w:val="20"/>
          <w:szCs w:val="20"/>
          <w:lang w:val="es-ES"/>
        </w:rPr>
        <w:t>Ley</w:t>
      </w:r>
      <w:r w:rsidRPr="002A79D4">
        <w:rPr>
          <w:rFonts w:ascii="Cambria" w:hAnsi="Cambria"/>
          <w:sz w:val="20"/>
          <w:szCs w:val="20"/>
          <w:lang w:val="es-ES"/>
        </w:rPr>
        <w:t>, toda vez</w:t>
      </w:r>
      <w:r w:rsidR="0031609F" w:rsidRPr="002A79D4">
        <w:rPr>
          <w:rFonts w:ascii="Cambria" w:hAnsi="Cambria"/>
          <w:sz w:val="20"/>
          <w:szCs w:val="20"/>
          <w:lang w:val="es-ES"/>
        </w:rPr>
        <w:t xml:space="preserve"> </w:t>
      </w:r>
      <w:r w:rsidR="00BC6C2F">
        <w:rPr>
          <w:rFonts w:ascii="Cambria" w:hAnsi="Cambria"/>
          <w:sz w:val="20"/>
          <w:szCs w:val="20"/>
          <w:lang w:val="es-ES"/>
        </w:rPr>
        <w:t>que la detención hab</w:t>
      </w:r>
      <w:r w:rsidRPr="002A79D4">
        <w:rPr>
          <w:rFonts w:ascii="Cambria" w:hAnsi="Cambria"/>
          <w:sz w:val="20"/>
          <w:szCs w:val="20"/>
          <w:lang w:val="es-ES"/>
        </w:rPr>
        <w:t xml:space="preserve">ía sucedido antes de la declaratoria de estado de sitio y que tanto la detención como el </w:t>
      </w:r>
      <w:r w:rsidR="000E7038">
        <w:rPr>
          <w:rFonts w:ascii="Cambria" w:hAnsi="Cambria"/>
          <w:sz w:val="20"/>
          <w:szCs w:val="20"/>
          <w:lang w:val="es-ES"/>
        </w:rPr>
        <w:t>exilio</w:t>
      </w:r>
      <w:r w:rsidRPr="002A79D4">
        <w:rPr>
          <w:rFonts w:ascii="Cambria" w:hAnsi="Cambria"/>
          <w:sz w:val="20"/>
          <w:szCs w:val="20"/>
          <w:lang w:val="es-ES"/>
        </w:rPr>
        <w:t xml:space="preserve"> quedaban</w:t>
      </w:r>
      <w:r w:rsidR="0031609F" w:rsidRPr="002A79D4">
        <w:rPr>
          <w:rFonts w:ascii="Cambria" w:hAnsi="Cambria"/>
          <w:sz w:val="20"/>
          <w:szCs w:val="20"/>
          <w:lang w:val="es-ES"/>
        </w:rPr>
        <w:t xml:space="preserve"> </w:t>
      </w:r>
      <w:r w:rsidRPr="002A79D4">
        <w:rPr>
          <w:rFonts w:ascii="Cambria" w:hAnsi="Cambria"/>
          <w:sz w:val="20"/>
          <w:szCs w:val="20"/>
          <w:lang w:val="es-ES"/>
        </w:rPr>
        <w:t>fuera de los alcances</w:t>
      </w:r>
      <w:r w:rsidR="002A79D4" w:rsidRPr="002A79D4">
        <w:rPr>
          <w:rFonts w:ascii="Cambria" w:hAnsi="Cambria"/>
          <w:sz w:val="20"/>
          <w:szCs w:val="20"/>
          <w:lang w:val="es-ES"/>
        </w:rPr>
        <w:t xml:space="preserve"> de las </w:t>
      </w:r>
      <w:r w:rsidR="000E7038">
        <w:rPr>
          <w:rFonts w:ascii="Cambria" w:hAnsi="Cambria"/>
          <w:sz w:val="20"/>
          <w:szCs w:val="20"/>
          <w:lang w:val="es-ES"/>
        </w:rPr>
        <w:t>l</w:t>
      </w:r>
      <w:r w:rsidR="00625AE3">
        <w:rPr>
          <w:rFonts w:ascii="Cambria" w:hAnsi="Cambria"/>
          <w:sz w:val="20"/>
          <w:szCs w:val="20"/>
          <w:lang w:val="es-ES"/>
        </w:rPr>
        <w:t>ey</w:t>
      </w:r>
      <w:r w:rsidR="002A79D4" w:rsidRPr="002A79D4">
        <w:rPr>
          <w:rFonts w:ascii="Cambria" w:hAnsi="Cambria"/>
          <w:sz w:val="20"/>
          <w:szCs w:val="20"/>
          <w:lang w:val="es-ES"/>
        </w:rPr>
        <w:t>es invocadas</w:t>
      </w:r>
      <w:r w:rsidR="002A79D4">
        <w:rPr>
          <w:rFonts w:ascii="Cambria" w:hAnsi="Cambria"/>
          <w:sz w:val="20"/>
          <w:szCs w:val="20"/>
          <w:lang w:val="es-ES"/>
        </w:rPr>
        <w:t xml:space="preserve">. </w:t>
      </w:r>
      <w:r w:rsidR="002D00AD">
        <w:rPr>
          <w:rFonts w:ascii="Cambria" w:hAnsi="Cambria"/>
          <w:sz w:val="20"/>
          <w:szCs w:val="20"/>
          <w:lang w:val="es-ES"/>
        </w:rPr>
        <w:t>La decisión</w:t>
      </w:r>
      <w:r w:rsidR="002A79D4">
        <w:rPr>
          <w:rFonts w:ascii="Cambria" w:hAnsi="Cambria"/>
          <w:sz w:val="20"/>
          <w:szCs w:val="20"/>
          <w:lang w:val="es-ES"/>
        </w:rPr>
        <w:t xml:space="preserve"> fue notificada el 13 de n</w:t>
      </w:r>
      <w:r w:rsidRPr="002A79D4">
        <w:rPr>
          <w:rFonts w:ascii="Cambria" w:hAnsi="Cambria"/>
          <w:sz w:val="20"/>
          <w:szCs w:val="20"/>
          <w:lang w:val="es-ES"/>
        </w:rPr>
        <w:t>ov</w:t>
      </w:r>
      <w:r w:rsidR="002A79D4">
        <w:rPr>
          <w:rFonts w:ascii="Cambria" w:hAnsi="Cambria"/>
          <w:sz w:val="20"/>
          <w:szCs w:val="20"/>
          <w:lang w:val="es-ES"/>
        </w:rPr>
        <w:t>iembre de 20</w:t>
      </w:r>
      <w:r w:rsidRPr="002A79D4">
        <w:rPr>
          <w:rFonts w:ascii="Cambria" w:hAnsi="Cambria"/>
          <w:sz w:val="20"/>
          <w:szCs w:val="20"/>
          <w:lang w:val="es-ES"/>
        </w:rPr>
        <w:t>06.</w:t>
      </w:r>
    </w:p>
    <w:p w:rsidR="00F52A7E" w:rsidRPr="00E4242F" w:rsidRDefault="00F52A7E" w:rsidP="00E424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37CA">
        <w:rPr>
          <w:rFonts w:ascii="Cambria" w:hAnsi="Cambria"/>
          <w:sz w:val="20"/>
          <w:szCs w:val="20"/>
          <w:lang w:val="es-ES"/>
        </w:rPr>
        <w:t>En conclu</w:t>
      </w:r>
      <w:r w:rsidR="00F7093A">
        <w:rPr>
          <w:rFonts w:ascii="Cambria" w:hAnsi="Cambria"/>
          <w:sz w:val="20"/>
          <w:szCs w:val="20"/>
          <w:lang w:val="es-ES"/>
        </w:rPr>
        <w:t>sión, los peticionarios señala</w:t>
      </w:r>
      <w:r w:rsidRPr="00C637CA">
        <w:rPr>
          <w:rFonts w:ascii="Cambria" w:hAnsi="Cambria"/>
          <w:sz w:val="20"/>
          <w:szCs w:val="20"/>
          <w:lang w:val="es-ES"/>
        </w:rPr>
        <w:t xml:space="preserve">n que </w:t>
      </w:r>
      <w:r w:rsidR="00C637CA" w:rsidRPr="00C637CA">
        <w:rPr>
          <w:rFonts w:ascii="Cambria" w:hAnsi="Cambria"/>
          <w:sz w:val="20"/>
          <w:szCs w:val="20"/>
          <w:lang w:val="es-ES"/>
        </w:rPr>
        <w:t>en</w:t>
      </w:r>
      <w:r w:rsidR="00E4242F">
        <w:rPr>
          <w:rFonts w:ascii="Cambria" w:hAnsi="Cambria"/>
          <w:sz w:val="20"/>
          <w:szCs w:val="20"/>
          <w:lang w:val="es-ES"/>
        </w:rPr>
        <w:t xml:space="preserve"> los </w:t>
      </w:r>
      <w:r w:rsidR="00F7093A">
        <w:rPr>
          <w:rFonts w:ascii="Cambria" w:hAnsi="Cambria"/>
          <w:sz w:val="20"/>
          <w:szCs w:val="20"/>
          <w:lang w:val="es-ES"/>
        </w:rPr>
        <w:t xml:space="preserve">diversos </w:t>
      </w:r>
      <w:r w:rsidR="00E4242F">
        <w:rPr>
          <w:rFonts w:ascii="Cambria" w:hAnsi="Cambria"/>
          <w:sz w:val="20"/>
          <w:szCs w:val="20"/>
          <w:lang w:val="es-ES"/>
        </w:rPr>
        <w:t>procesos</w:t>
      </w:r>
      <w:r w:rsidR="00C637CA" w:rsidRPr="00C637CA">
        <w:rPr>
          <w:rFonts w:ascii="Cambria" w:hAnsi="Cambria"/>
          <w:sz w:val="20"/>
          <w:szCs w:val="20"/>
          <w:lang w:val="es-ES"/>
        </w:rPr>
        <w:t xml:space="preserve"> ofrecieron </w:t>
      </w:r>
      <w:r w:rsidR="00EB68E5">
        <w:rPr>
          <w:rFonts w:ascii="Cambria" w:hAnsi="Cambria"/>
          <w:sz w:val="20"/>
          <w:szCs w:val="20"/>
          <w:lang w:val="es-ES"/>
        </w:rPr>
        <w:t>pruebas</w:t>
      </w:r>
      <w:r w:rsidR="00C637CA" w:rsidRPr="00C637CA">
        <w:rPr>
          <w:rFonts w:ascii="Cambria" w:hAnsi="Cambria"/>
          <w:sz w:val="20"/>
          <w:szCs w:val="20"/>
          <w:lang w:val="es-ES"/>
        </w:rPr>
        <w:t xml:space="preserve"> </w:t>
      </w:r>
      <w:r w:rsidR="00EB68E5">
        <w:rPr>
          <w:rFonts w:ascii="Cambria" w:hAnsi="Cambria"/>
          <w:sz w:val="20"/>
          <w:szCs w:val="20"/>
          <w:lang w:val="es-ES"/>
        </w:rPr>
        <w:t xml:space="preserve">de su </w:t>
      </w:r>
      <w:r w:rsidR="00C637CA" w:rsidRPr="00C637CA">
        <w:rPr>
          <w:rFonts w:ascii="Cambria" w:hAnsi="Cambria"/>
          <w:sz w:val="20"/>
          <w:szCs w:val="20"/>
          <w:lang w:val="es-ES"/>
        </w:rPr>
        <w:t>estatus de refugiados políticos</w:t>
      </w:r>
      <w:r w:rsidR="00EB68E5">
        <w:rPr>
          <w:rFonts w:ascii="Cambria" w:hAnsi="Cambria"/>
          <w:sz w:val="20"/>
          <w:szCs w:val="20"/>
          <w:lang w:val="es-ES"/>
        </w:rPr>
        <w:t xml:space="preserve"> y </w:t>
      </w:r>
      <w:r w:rsidR="00C637CA" w:rsidRPr="00C637CA">
        <w:rPr>
          <w:rFonts w:ascii="Cambria" w:hAnsi="Cambria"/>
          <w:sz w:val="20"/>
          <w:szCs w:val="20"/>
          <w:lang w:val="es-ES"/>
        </w:rPr>
        <w:t xml:space="preserve">solicitaron se ordenara a la autoridad </w:t>
      </w:r>
      <w:r w:rsidR="00F7093A" w:rsidRPr="00C637CA">
        <w:rPr>
          <w:rFonts w:ascii="Cambria" w:hAnsi="Cambria"/>
          <w:sz w:val="20"/>
          <w:szCs w:val="20"/>
          <w:lang w:val="es-ES"/>
        </w:rPr>
        <w:t>pertinente</w:t>
      </w:r>
      <w:r w:rsidR="00C637CA" w:rsidRPr="00C637CA">
        <w:rPr>
          <w:rFonts w:ascii="Cambria" w:hAnsi="Cambria"/>
          <w:sz w:val="20"/>
          <w:szCs w:val="20"/>
          <w:lang w:val="es-ES"/>
        </w:rPr>
        <w:t xml:space="preserve"> la producción de documentos que permitían corroborar los hechos sustenta</w:t>
      </w:r>
      <w:r w:rsidR="00CD3FCA">
        <w:rPr>
          <w:rFonts w:ascii="Cambria" w:hAnsi="Cambria"/>
          <w:sz w:val="20"/>
          <w:szCs w:val="20"/>
          <w:lang w:val="es-ES"/>
        </w:rPr>
        <w:t>dos</w:t>
      </w:r>
      <w:r w:rsidR="00C637CA" w:rsidRPr="00C637CA">
        <w:rPr>
          <w:rFonts w:ascii="Cambria" w:hAnsi="Cambria"/>
          <w:sz w:val="20"/>
          <w:szCs w:val="20"/>
          <w:lang w:val="es-ES"/>
        </w:rPr>
        <w:t xml:space="preserve"> en </w:t>
      </w:r>
      <w:r w:rsidR="00EB68E5">
        <w:rPr>
          <w:rFonts w:ascii="Cambria" w:hAnsi="Cambria"/>
          <w:sz w:val="20"/>
          <w:szCs w:val="20"/>
          <w:lang w:val="es-ES"/>
        </w:rPr>
        <w:t>su</w:t>
      </w:r>
      <w:r w:rsidR="00C637CA" w:rsidRPr="00C637CA">
        <w:rPr>
          <w:rFonts w:ascii="Cambria" w:hAnsi="Cambria"/>
          <w:sz w:val="20"/>
          <w:szCs w:val="20"/>
          <w:lang w:val="es-ES"/>
        </w:rPr>
        <w:t xml:space="preserve"> reclamo. Alegan que estos </w:t>
      </w:r>
      <w:r w:rsidR="00E4242F">
        <w:rPr>
          <w:rFonts w:ascii="Cambria" w:hAnsi="Cambria"/>
          <w:sz w:val="20"/>
          <w:szCs w:val="20"/>
          <w:lang w:val="es-ES"/>
        </w:rPr>
        <w:t>documentos nunca f</w:t>
      </w:r>
      <w:r w:rsidR="00C637CA" w:rsidRPr="00C637CA">
        <w:rPr>
          <w:rFonts w:ascii="Cambria" w:hAnsi="Cambria"/>
          <w:sz w:val="20"/>
          <w:szCs w:val="20"/>
          <w:lang w:val="es-ES"/>
        </w:rPr>
        <w:t xml:space="preserve">ueron aportados, lo cual representaría una violación a su derecho a la defensa en juicio. </w:t>
      </w:r>
      <w:r w:rsidR="00E4242F">
        <w:rPr>
          <w:rFonts w:ascii="Cambria" w:hAnsi="Cambria"/>
          <w:sz w:val="20"/>
          <w:szCs w:val="20"/>
          <w:lang w:val="es-ES"/>
        </w:rPr>
        <w:t xml:space="preserve">Además, alegan </w:t>
      </w:r>
      <w:r w:rsidR="00C637CA" w:rsidRPr="00C637CA">
        <w:rPr>
          <w:rFonts w:ascii="Cambria" w:hAnsi="Cambria"/>
          <w:sz w:val="20"/>
          <w:szCs w:val="20"/>
          <w:lang w:val="es-ES"/>
        </w:rPr>
        <w:t>que</w:t>
      </w:r>
      <w:r w:rsidR="00C637CA">
        <w:rPr>
          <w:rFonts w:ascii="Cambria" w:hAnsi="Cambria"/>
          <w:sz w:val="20"/>
          <w:szCs w:val="20"/>
          <w:lang w:val="es-ES"/>
        </w:rPr>
        <w:t xml:space="preserve"> e</w:t>
      </w:r>
      <w:r w:rsidRPr="00C637CA">
        <w:rPr>
          <w:rFonts w:ascii="Cambria" w:hAnsi="Cambria"/>
          <w:sz w:val="20"/>
          <w:szCs w:val="20"/>
          <w:lang w:val="es-ES"/>
        </w:rPr>
        <w:t xml:space="preserve">n </w:t>
      </w:r>
      <w:r w:rsidR="00D6174E">
        <w:rPr>
          <w:rFonts w:ascii="Cambria" w:hAnsi="Cambria"/>
          <w:sz w:val="20"/>
          <w:szCs w:val="20"/>
          <w:lang w:val="es-ES"/>
        </w:rPr>
        <w:t xml:space="preserve">muchos </w:t>
      </w:r>
      <w:r w:rsidRPr="00C637CA">
        <w:rPr>
          <w:rFonts w:ascii="Cambria" w:hAnsi="Cambria"/>
          <w:sz w:val="20"/>
          <w:szCs w:val="20"/>
          <w:lang w:val="es-ES"/>
        </w:rPr>
        <w:t xml:space="preserve">casos similares a los suyos la indemnización prevista en la </w:t>
      </w:r>
      <w:r w:rsidR="00625AE3">
        <w:rPr>
          <w:rFonts w:ascii="Cambria" w:hAnsi="Cambria"/>
          <w:sz w:val="20"/>
          <w:szCs w:val="20"/>
          <w:lang w:val="es-ES"/>
        </w:rPr>
        <w:t>Ley</w:t>
      </w:r>
      <w:r w:rsidRPr="00C637CA">
        <w:rPr>
          <w:rFonts w:ascii="Cambria" w:hAnsi="Cambria"/>
          <w:sz w:val="20"/>
          <w:szCs w:val="20"/>
          <w:lang w:val="es-ES"/>
        </w:rPr>
        <w:t xml:space="preserve"> 24.043 fue otorgada</w:t>
      </w:r>
      <w:r w:rsidR="00E4242F">
        <w:rPr>
          <w:rFonts w:ascii="Cambria" w:hAnsi="Cambria"/>
          <w:sz w:val="20"/>
          <w:szCs w:val="20"/>
          <w:lang w:val="es-ES"/>
        </w:rPr>
        <w:t xml:space="preserve">, como en el caso </w:t>
      </w:r>
      <w:r w:rsidR="00E4242F" w:rsidRPr="00C637CA">
        <w:rPr>
          <w:rFonts w:ascii="Cambria" w:hAnsi="Cambria"/>
          <w:sz w:val="20"/>
          <w:szCs w:val="20"/>
          <w:lang w:val="es-ES"/>
        </w:rPr>
        <w:t>de la esposa de Julio César Rito de los Santos</w:t>
      </w:r>
      <w:r w:rsidR="00E4242F">
        <w:rPr>
          <w:rFonts w:ascii="Cambria" w:hAnsi="Cambria"/>
          <w:sz w:val="20"/>
          <w:szCs w:val="20"/>
          <w:lang w:val="es-ES"/>
        </w:rPr>
        <w:t>, quien se</w:t>
      </w:r>
      <w:r w:rsidR="0000389E">
        <w:rPr>
          <w:rFonts w:ascii="Cambria" w:hAnsi="Cambria"/>
          <w:sz w:val="20"/>
          <w:szCs w:val="20"/>
          <w:lang w:val="es-ES"/>
        </w:rPr>
        <w:t xml:space="preserve"> encontraba en la </w:t>
      </w:r>
      <w:r w:rsidR="00E4242F">
        <w:rPr>
          <w:rFonts w:ascii="Cambria" w:hAnsi="Cambria"/>
          <w:sz w:val="20"/>
          <w:szCs w:val="20"/>
          <w:lang w:val="es-ES"/>
        </w:rPr>
        <w:t>idéntica situación descrita por el marido</w:t>
      </w:r>
      <w:r w:rsidR="00F7093A">
        <w:rPr>
          <w:rFonts w:ascii="Cambria" w:hAnsi="Cambria"/>
          <w:sz w:val="20"/>
          <w:szCs w:val="20"/>
          <w:lang w:val="es-ES"/>
        </w:rPr>
        <w:t xml:space="preserve"> y presunta víctima</w:t>
      </w:r>
      <w:r w:rsidR="00E4242F">
        <w:rPr>
          <w:rFonts w:ascii="Cambria" w:hAnsi="Cambria"/>
          <w:sz w:val="20"/>
          <w:szCs w:val="20"/>
          <w:lang w:val="es-ES"/>
        </w:rPr>
        <w:t xml:space="preserve">. </w:t>
      </w:r>
      <w:r w:rsidRPr="00E4242F">
        <w:rPr>
          <w:rFonts w:ascii="Cambria" w:hAnsi="Cambria"/>
          <w:sz w:val="20"/>
          <w:szCs w:val="20"/>
          <w:lang w:val="es-ES"/>
        </w:rPr>
        <w:t>Con fundamento en lo anterior, los peticionarios solicitan a la Comisión que declare la violación de los derechos contenidos en los artículos 7, 8, 22, 24 y 25</w:t>
      </w:r>
      <w:r w:rsidR="00816B9E" w:rsidRPr="00E4242F">
        <w:rPr>
          <w:rFonts w:ascii="Cambria" w:hAnsi="Cambria"/>
          <w:sz w:val="20"/>
          <w:szCs w:val="20"/>
          <w:lang w:val="es-ES"/>
        </w:rPr>
        <w:t xml:space="preserve"> de la Convención</w:t>
      </w:r>
      <w:r w:rsidR="00510C75">
        <w:rPr>
          <w:rFonts w:ascii="Cambria" w:hAnsi="Cambria"/>
          <w:sz w:val="20"/>
          <w:szCs w:val="20"/>
          <w:lang w:val="es-ES"/>
        </w:rPr>
        <w:t>.</w:t>
      </w:r>
    </w:p>
    <w:p w:rsidR="0080539F" w:rsidRPr="007B002C" w:rsidRDefault="00FD51D3" w:rsidP="006211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732FF4" w:rsidRPr="007B002C">
        <w:rPr>
          <w:rFonts w:ascii="Cambria" w:hAnsi="Cambria"/>
          <w:sz w:val="20"/>
          <w:szCs w:val="20"/>
          <w:lang w:val="es-ES"/>
        </w:rPr>
        <w:t xml:space="preserve">l Estado </w:t>
      </w:r>
      <w:r w:rsidR="00BE3753" w:rsidRPr="007B002C">
        <w:rPr>
          <w:rFonts w:ascii="Cambria" w:hAnsi="Cambria"/>
          <w:sz w:val="20"/>
          <w:szCs w:val="20"/>
          <w:lang w:val="es-ES"/>
        </w:rPr>
        <w:t xml:space="preserve">señala que </w:t>
      </w:r>
      <w:r w:rsidR="00EA143A" w:rsidRPr="007B002C">
        <w:rPr>
          <w:rFonts w:ascii="Cambria" w:hAnsi="Cambria"/>
          <w:sz w:val="20"/>
          <w:szCs w:val="20"/>
          <w:lang w:val="es-ES"/>
        </w:rPr>
        <w:t>el</w:t>
      </w:r>
      <w:r w:rsidR="00BE3753" w:rsidRPr="007B002C">
        <w:rPr>
          <w:rFonts w:ascii="Cambria" w:hAnsi="Cambria"/>
          <w:sz w:val="20"/>
          <w:szCs w:val="20"/>
          <w:lang w:val="es-ES"/>
        </w:rPr>
        <w:t xml:space="preserve"> </w:t>
      </w:r>
      <w:r w:rsidR="00EA143A" w:rsidRPr="007B002C">
        <w:rPr>
          <w:rFonts w:ascii="Cambria" w:hAnsi="Cambria"/>
          <w:sz w:val="20"/>
          <w:szCs w:val="20"/>
          <w:lang w:val="es-ES"/>
        </w:rPr>
        <w:t>origen</w:t>
      </w:r>
      <w:r w:rsidR="00BE3753" w:rsidRPr="007B002C">
        <w:rPr>
          <w:rFonts w:ascii="Cambria" w:hAnsi="Cambria"/>
          <w:sz w:val="20"/>
          <w:szCs w:val="20"/>
          <w:lang w:val="es-ES"/>
        </w:rPr>
        <w:t xml:space="preserve"> de las </w:t>
      </w:r>
      <w:r w:rsidR="00625AE3">
        <w:rPr>
          <w:rFonts w:ascii="Cambria" w:hAnsi="Cambria"/>
          <w:sz w:val="20"/>
          <w:szCs w:val="20"/>
          <w:lang w:val="es-ES"/>
        </w:rPr>
        <w:t>Ley</w:t>
      </w:r>
      <w:r w:rsidR="00BE3753" w:rsidRPr="007B002C">
        <w:rPr>
          <w:rFonts w:ascii="Cambria" w:hAnsi="Cambria"/>
          <w:sz w:val="20"/>
          <w:szCs w:val="20"/>
          <w:lang w:val="es-ES"/>
        </w:rPr>
        <w:t>es reparatorias ar</w:t>
      </w:r>
      <w:r w:rsidR="00EA143A" w:rsidRPr="007B002C">
        <w:rPr>
          <w:rFonts w:ascii="Cambria" w:hAnsi="Cambria"/>
          <w:sz w:val="20"/>
          <w:szCs w:val="20"/>
          <w:lang w:val="es-ES"/>
        </w:rPr>
        <w:t>gentinas puede</w:t>
      </w:r>
      <w:r w:rsidR="00BE3753" w:rsidRPr="007B002C">
        <w:rPr>
          <w:rFonts w:ascii="Cambria" w:hAnsi="Cambria"/>
          <w:sz w:val="20"/>
          <w:szCs w:val="20"/>
          <w:lang w:val="es-ES"/>
        </w:rPr>
        <w:t xml:space="preserve"> encontrarse en varios casos tramitados ante la Comisión</w:t>
      </w:r>
      <w:r w:rsidR="00BE3753" w:rsidRPr="007B002C">
        <w:rPr>
          <w:lang w:val="es-ES"/>
        </w:rPr>
        <w:t xml:space="preserve"> </w:t>
      </w:r>
      <w:r w:rsidR="00BE3753" w:rsidRPr="007B002C">
        <w:rPr>
          <w:rFonts w:ascii="Cambria" w:hAnsi="Cambria"/>
          <w:sz w:val="20"/>
          <w:szCs w:val="20"/>
          <w:lang w:val="es-ES"/>
        </w:rPr>
        <w:t>los cuales derivaron en una solución amistosa reflej</w:t>
      </w:r>
      <w:r w:rsidR="00EA143A" w:rsidRPr="007B002C">
        <w:rPr>
          <w:rFonts w:ascii="Cambria" w:hAnsi="Cambria"/>
          <w:sz w:val="20"/>
          <w:szCs w:val="20"/>
          <w:lang w:val="es-ES"/>
        </w:rPr>
        <w:t>ada</w:t>
      </w:r>
      <w:r w:rsidR="00542F0A" w:rsidRPr="007B002C">
        <w:rPr>
          <w:rFonts w:ascii="Cambria" w:hAnsi="Cambria"/>
          <w:sz w:val="20"/>
          <w:szCs w:val="20"/>
          <w:lang w:val="es-ES"/>
        </w:rPr>
        <w:t xml:space="preserve"> en el decreto No. 70/91</w:t>
      </w:r>
      <w:r w:rsidR="00F7093A">
        <w:rPr>
          <w:rStyle w:val="FootnoteReference"/>
          <w:rFonts w:ascii="Cambria" w:hAnsi="Cambria"/>
          <w:sz w:val="20"/>
          <w:szCs w:val="20"/>
          <w:lang w:val="es-ES"/>
        </w:rPr>
        <w:footnoteReference w:id="5"/>
      </w:r>
      <w:r w:rsidR="00314B34" w:rsidRPr="007B002C">
        <w:rPr>
          <w:rFonts w:ascii="Cambria" w:hAnsi="Cambria"/>
          <w:sz w:val="20"/>
          <w:szCs w:val="20"/>
          <w:lang w:val="es-ES"/>
        </w:rPr>
        <w:t xml:space="preserve">. </w:t>
      </w:r>
      <w:r>
        <w:rPr>
          <w:rFonts w:ascii="Cambria" w:hAnsi="Cambria"/>
          <w:sz w:val="20"/>
          <w:szCs w:val="20"/>
          <w:lang w:val="es-ES"/>
        </w:rPr>
        <w:t xml:space="preserve">Indica que </w:t>
      </w:r>
      <w:r w:rsidR="00314B34" w:rsidRPr="007B002C">
        <w:rPr>
          <w:rFonts w:ascii="Cambria" w:hAnsi="Cambria"/>
          <w:sz w:val="20"/>
          <w:szCs w:val="20"/>
          <w:lang w:val="es-ES"/>
        </w:rPr>
        <w:t>posterior</w:t>
      </w:r>
      <w:r w:rsidR="00F7093A">
        <w:rPr>
          <w:rFonts w:ascii="Cambria" w:hAnsi="Cambria"/>
          <w:sz w:val="20"/>
          <w:szCs w:val="20"/>
          <w:lang w:val="es-ES"/>
        </w:rPr>
        <w:t>mente</w:t>
      </w:r>
      <w:r w:rsidR="00314B34" w:rsidRPr="007B002C">
        <w:rPr>
          <w:rFonts w:ascii="Cambria" w:hAnsi="Cambria"/>
          <w:sz w:val="20"/>
          <w:szCs w:val="20"/>
          <w:lang w:val="es-ES"/>
        </w:rPr>
        <w:t xml:space="preserve"> se han</w:t>
      </w:r>
      <w:r w:rsidR="00652BA5" w:rsidRPr="007B002C">
        <w:rPr>
          <w:rFonts w:ascii="Cambria" w:hAnsi="Cambria"/>
          <w:sz w:val="20"/>
          <w:szCs w:val="20"/>
          <w:lang w:val="es-ES"/>
        </w:rPr>
        <w:t xml:space="preserve"> sancionado </w:t>
      </w:r>
      <w:r w:rsidR="00314B34" w:rsidRPr="007B002C">
        <w:rPr>
          <w:rFonts w:ascii="Cambria" w:hAnsi="Cambria"/>
          <w:sz w:val="20"/>
          <w:szCs w:val="20"/>
          <w:lang w:val="es-ES"/>
        </w:rPr>
        <w:t>otras normas, en particular</w:t>
      </w:r>
      <w:r w:rsidR="00044A0A" w:rsidRPr="007B002C">
        <w:rPr>
          <w:rFonts w:ascii="Cambria" w:hAnsi="Cambria"/>
          <w:sz w:val="20"/>
          <w:szCs w:val="20"/>
          <w:lang w:val="es-ES"/>
        </w:rPr>
        <w:t xml:space="preserve"> </w:t>
      </w:r>
      <w:r w:rsidR="00EA143A" w:rsidRPr="007B002C">
        <w:rPr>
          <w:rFonts w:ascii="Cambria" w:hAnsi="Cambria"/>
          <w:sz w:val="20"/>
          <w:szCs w:val="20"/>
          <w:lang w:val="es-ES"/>
        </w:rPr>
        <w:t xml:space="preserve">la </w:t>
      </w:r>
      <w:r w:rsidR="00625AE3">
        <w:rPr>
          <w:rFonts w:ascii="Cambria" w:hAnsi="Cambria"/>
          <w:sz w:val="20"/>
          <w:szCs w:val="20"/>
          <w:lang w:val="es-ES"/>
        </w:rPr>
        <w:t>Ley</w:t>
      </w:r>
      <w:r w:rsidR="00044A0A" w:rsidRPr="007B002C">
        <w:rPr>
          <w:rFonts w:ascii="Cambria" w:hAnsi="Cambria"/>
          <w:sz w:val="20"/>
          <w:szCs w:val="20"/>
          <w:lang w:val="es-ES"/>
        </w:rPr>
        <w:t xml:space="preserve"> 24.043 que prevé </w:t>
      </w:r>
      <w:r w:rsidR="00652BA5" w:rsidRPr="007B002C">
        <w:rPr>
          <w:rFonts w:ascii="Cambria" w:hAnsi="Cambria"/>
          <w:sz w:val="20"/>
          <w:szCs w:val="20"/>
          <w:lang w:val="es-ES"/>
        </w:rPr>
        <w:t>indemnizaciones a personas que hubieran sido puestas a disposición del</w:t>
      </w:r>
      <w:r w:rsidR="00845A0C">
        <w:rPr>
          <w:rFonts w:ascii="Cambria" w:hAnsi="Cambria"/>
          <w:sz w:val="20"/>
          <w:szCs w:val="20"/>
          <w:lang w:val="es-ES"/>
        </w:rPr>
        <w:t xml:space="preserve"> Poder Ejecutivo Nacional (en adelante</w:t>
      </w:r>
      <w:r w:rsidR="00652BA5" w:rsidRPr="007B002C">
        <w:rPr>
          <w:rFonts w:ascii="Cambria" w:hAnsi="Cambria"/>
          <w:sz w:val="20"/>
          <w:szCs w:val="20"/>
          <w:lang w:val="es-ES"/>
        </w:rPr>
        <w:t xml:space="preserve"> </w:t>
      </w:r>
      <w:r w:rsidR="00845A0C">
        <w:rPr>
          <w:rFonts w:ascii="Cambria" w:hAnsi="Cambria"/>
          <w:sz w:val="20"/>
          <w:szCs w:val="20"/>
          <w:lang w:val="es-ES"/>
        </w:rPr>
        <w:t>“</w:t>
      </w:r>
      <w:r w:rsidR="00314B34" w:rsidRPr="007B002C">
        <w:rPr>
          <w:rFonts w:ascii="Cambria" w:hAnsi="Cambria"/>
          <w:sz w:val="20"/>
          <w:szCs w:val="20"/>
          <w:lang w:val="es-ES"/>
        </w:rPr>
        <w:t>PEN</w:t>
      </w:r>
      <w:r w:rsidR="00845A0C">
        <w:rPr>
          <w:rFonts w:ascii="Cambria" w:hAnsi="Cambria"/>
          <w:sz w:val="20"/>
          <w:szCs w:val="20"/>
          <w:lang w:val="es-ES"/>
        </w:rPr>
        <w:t>”)</w:t>
      </w:r>
      <w:r w:rsidR="00314B34" w:rsidRPr="007B002C">
        <w:rPr>
          <w:rFonts w:ascii="Cambria" w:hAnsi="Cambria"/>
          <w:sz w:val="20"/>
          <w:szCs w:val="20"/>
          <w:lang w:val="es-ES"/>
        </w:rPr>
        <w:t xml:space="preserve"> dentro del período que va d</w:t>
      </w:r>
      <w:r w:rsidR="00044A0A" w:rsidRPr="007B002C">
        <w:rPr>
          <w:rFonts w:ascii="Cambria" w:hAnsi="Cambria"/>
          <w:sz w:val="20"/>
          <w:szCs w:val="20"/>
          <w:lang w:val="es-ES"/>
        </w:rPr>
        <w:t>esde el 6 de noviembre de 197</w:t>
      </w:r>
      <w:r w:rsidR="00950ADB">
        <w:rPr>
          <w:rFonts w:ascii="Cambria" w:hAnsi="Cambria"/>
          <w:sz w:val="20"/>
          <w:szCs w:val="20"/>
          <w:lang w:val="es-ES"/>
        </w:rPr>
        <w:t>4</w:t>
      </w:r>
      <w:r w:rsidR="00044A0A" w:rsidRPr="007B002C">
        <w:rPr>
          <w:rFonts w:ascii="Cambria" w:hAnsi="Cambria"/>
          <w:sz w:val="20"/>
          <w:szCs w:val="20"/>
          <w:lang w:val="es-ES"/>
        </w:rPr>
        <w:t xml:space="preserve"> </w:t>
      </w:r>
      <w:r w:rsidR="00621172">
        <w:rPr>
          <w:rFonts w:ascii="Cambria" w:hAnsi="Cambria"/>
          <w:sz w:val="20"/>
          <w:szCs w:val="20"/>
          <w:lang w:val="es-ES"/>
        </w:rPr>
        <w:t>(fecha</w:t>
      </w:r>
      <w:r w:rsidR="00621172" w:rsidRPr="00621172">
        <w:rPr>
          <w:rFonts w:ascii="Cambria" w:hAnsi="Cambria"/>
          <w:sz w:val="20"/>
          <w:szCs w:val="20"/>
          <w:lang w:val="es-ES"/>
        </w:rPr>
        <w:t xml:space="preserve"> de la declaración de Estado de Sitio en Argentina</w:t>
      </w:r>
      <w:r w:rsidR="00621172">
        <w:rPr>
          <w:rFonts w:ascii="Cambria" w:hAnsi="Cambria"/>
          <w:sz w:val="20"/>
          <w:szCs w:val="20"/>
          <w:lang w:val="es-ES"/>
        </w:rPr>
        <w:t>)</w:t>
      </w:r>
      <w:r w:rsidR="00621172" w:rsidRPr="00621172">
        <w:rPr>
          <w:rFonts w:ascii="Cambria" w:hAnsi="Cambria"/>
          <w:sz w:val="20"/>
          <w:szCs w:val="20"/>
          <w:lang w:val="es-ES"/>
        </w:rPr>
        <w:t xml:space="preserve"> </w:t>
      </w:r>
      <w:r w:rsidR="00314B34" w:rsidRPr="007B002C">
        <w:rPr>
          <w:rFonts w:ascii="Cambria" w:hAnsi="Cambria"/>
          <w:sz w:val="20"/>
          <w:szCs w:val="20"/>
          <w:lang w:val="es-ES"/>
        </w:rPr>
        <w:t>al 10 de diciembre de 1983</w:t>
      </w:r>
      <w:r w:rsidR="00652BA5" w:rsidRPr="007B002C">
        <w:rPr>
          <w:rFonts w:ascii="Cambria" w:hAnsi="Cambria"/>
          <w:sz w:val="20"/>
          <w:szCs w:val="20"/>
          <w:lang w:val="es-ES"/>
        </w:rPr>
        <w:t>.</w:t>
      </w:r>
      <w:r w:rsidR="007B002C" w:rsidRPr="007B002C">
        <w:rPr>
          <w:rFonts w:ascii="Cambria" w:hAnsi="Cambria"/>
          <w:sz w:val="20"/>
          <w:szCs w:val="20"/>
          <w:lang w:val="es-ES"/>
        </w:rPr>
        <w:t xml:space="preserve"> </w:t>
      </w:r>
      <w:r w:rsidR="00044A0A" w:rsidRPr="007B002C">
        <w:rPr>
          <w:rFonts w:ascii="Cambria" w:hAnsi="Cambria"/>
          <w:sz w:val="20"/>
          <w:szCs w:val="20"/>
          <w:lang w:val="es-ES"/>
        </w:rPr>
        <w:t xml:space="preserve">Agrega que en el año 2009 </w:t>
      </w:r>
      <w:r w:rsidR="00EA143A" w:rsidRPr="007B002C">
        <w:rPr>
          <w:rFonts w:ascii="Cambria" w:hAnsi="Cambria"/>
          <w:sz w:val="20"/>
          <w:szCs w:val="20"/>
          <w:lang w:val="es-ES"/>
        </w:rPr>
        <w:t xml:space="preserve">también </w:t>
      </w:r>
      <w:r w:rsidR="00044A0A" w:rsidRPr="007B002C">
        <w:rPr>
          <w:rFonts w:ascii="Cambria" w:hAnsi="Cambria"/>
          <w:sz w:val="20"/>
          <w:szCs w:val="20"/>
          <w:lang w:val="es-ES"/>
        </w:rPr>
        <w:t xml:space="preserve">se </w:t>
      </w:r>
      <w:r w:rsidR="005668C9" w:rsidRPr="007B002C">
        <w:rPr>
          <w:rFonts w:ascii="Cambria" w:hAnsi="Cambria"/>
          <w:sz w:val="20"/>
          <w:szCs w:val="20"/>
          <w:lang w:val="es-ES"/>
        </w:rPr>
        <w:t xml:space="preserve">sancionó la </w:t>
      </w:r>
      <w:r w:rsidR="00625AE3">
        <w:rPr>
          <w:rFonts w:ascii="Cambria" w:hAnsi="Cambria"/>
          <w:sz w:val="20"/>
          <w:szCs w:val="20"/>
          <w:lang w:val="es-ES"/>
        </w:rPr>
        <w:t>Ley</w:t>
      </w:r>
      <w:r w:rsidR="00044A0A" w:rsidRPr="007B002C">
        <w:rPr>
          <w:rFonts w:ascii="Cambria" w:hAnsi="Cambria"/>
          <w:sz w:val="20"/>
          <w:szCs w:val="20"/>
          <w:lang w:val="es-ES"/>
        </w:rPr>
        <w:t xml:space="preserve"> 26.564, mediante la cual se amplió el concepto de "víctima</w:t>
      </w:r>
      <w:r w:rsidR="005668C9" w:rsidRPr="007B002C">
        <w:rPr>
          <w:rFonts w:ascii="Cambria" w:hAnsi="Cambria"/>
          <w:sz w:val="20"/>
          <w:szCs w:val="20"/>
          <w:lang w:val="es-ES"/>
        </w:rPr>
        <w:t>”, incorporando</w:t>
      </w:r>
      <w:r w:rsidR="00044A0A" w:rsidRPr="007B002C">
        <w:rPr>
          <w:rFonts w:ascii="Cambria" w:hAnsi="Cambria"/>
          <w:sz w:val="20"/>
          <w:szCs w:val="20"/>
          <w:lang w:val="es-ES"/>
        </w:rPr>
        <w:t xml:space="preserve"> los beneficios de las </w:t>
      </w:r>
      <w:r w:rsidR="00625AE3">
        <w:rPr>
          <w:rFonts w:ascii="Cambria" w:hAnsi="Cambria"/>
          <w:sz w:val="20"/>
          <w:szCs w:val="20"/>
          <w:lang w:val="es-ES"/>
        </w:rPr>
        <w:t>Ley</w:t>
      </w:r>
      <w:r w:rsidR="00044A0A" w:rsidRPr="007B002C">
        <w:rPr>
          <w:rFonts w:ascii="Cambria" w:hAnsi="Cambria"/>
          <w:sz w:val="20"/>
          <w:szCs w:val="20"/>
          <w:lang w:val="es-ES"/>
        </w:rPr>
        <w:t>es existentes</w:t>
      </w:r>
      <w:r w:rsidR="00612AE2" w:rsidRPr="007B002C">
        <w:rPr>
          <w:rFonts w:ascii="Cambria" w:hAnsi="Cambria"/>
          <w:sz w:val="20"/>
          <w:szCs w:val="20"/>
          <w:lang w:val="es-ES"/>
        </w:rPr>
        <w:t xml:space="preserve"> </w:t>
      </w:r>
      <w:r w:rsidR="007B002C" w:rsidRPr="007B002C">
        <w:rPr>
          <w:rFonts w:ascii="Cambria" w:hAnsi="Cambria"/>
          <w:sz w:val="20"/>
          <w:szCs w:val="20"/>
          <w:lang w:val="es-ES"/>
        </w:rPr>
        <w:t xml:space="preserve">a </w:t>
      </w:r>
      <w:r w:rsidR="00612AE2" w:rsidRPr="007B002C">
        <w:rPr>
          <w:rFonts w:ascii="Cambria" w:hAnsi="Cambria"/>
          <w:sz w:val="20"/>
          <w:szCs w:val="20"/>
          <w:lang w:val="es-ES"/>
        </w:rPr>
        <w:t xml:space="preserve">quienes </w:t>
      </w:r>
      <w:r w:rsidR="005668C9" w:rsidRPr="007B002C">
        <w:rPr>
          <w:rFonts w:ascii="Cambria" w:hAnsi="Cambria"/>
          <w:sz w:val="20"/>
          <w:szCs w:val="20"/>
          <w:lang w:val="es-ES"/>
        </w:rPr>
        <w:t>“</w:t>
      </w:r>
      <w:r w:rsidR="00612AE2" w:rsidRPr="007B002C">
        <w:rPr>
          <w:rFonts w:ascii="Cambria" w:hAnsi="Cambria"/>
          <w:sz w:val="20"/>
          <w:szCs w:val="20"/>
          <w:lang w:val="es-ES"/>
        </w:rPr>
        <w:t xml:space="preserve">hubieran sido detenidos por razones políticas a disposición de juzgados federales o provinciales y/o sometidos a regímenes de detención previstos por cualquier normativa que conforme a lo establecido por la doctrina y los tratados internacionales, pueda ser definida como detención de carácter </w:t>
      </w:r>
      <w:r w:rsidR="00612AE2" w:rsidRPr="007B002C">
        <w:rPr>
          <w:rFonts w:ascii="Cambria" w:hAnsi="Cambria"/>
          <w:sz w:val="20"/>
          <w:szCs w:val="20"/>
          <w:lang w:val="es-ES"/>
        </w:rPr>
        <w:lastRenderedPageBreak/>
        <w:t>político</w:t>
      </w:r>
      <w:r w:rsidR="005668C9" w:rsidRPr="007B002C">
        <w:rPr>
          <w:rFonts w:ascii="Cambria" w:hAnsi="Cambria"/>
          <w:sz w:val="20"/>
          <w:szCs w:val="20"/>
          <w:lang w:val="es-ES"/>
        </w:rPr>
        <w:t>”</w:t>
      </w:r>
      <w:r w:rsidR="00612AE2" w:rsidRPr="007B002C">
        <w:rPr>
          <w:rFonts w:ascii="Cambria" w:hAnsi="Cambria"/>
          <w:sz w:val="20"/>
          <w:szCs w:val="20"/>
          <w:lang w:val="es-ES"/>
        </w:rPr>
        <w:t>.</w:t>
      </w:r>
      <w:r w:rsidR="005668C9" w:rsidRPr="007B002C">
        <w:rPr>
          <w:rFonts w:ascii="Cambria" w:hAnsi="Cambria"/>
          <w:sz w:val="20"/>
          <w:szCs w:val="20"/>
          <w:lang w:val="es-ES"/>
        </w:rPr>
        <w:t xml:space="preserve"> </w:t>
      </w:r>
      <w:r w:rsidR="007B002C" w:rsidRPr="007B002C">
        <w:rPr>
          <w:rFonts w:ascii="Cambria" w:hAnsi="Cambria"/>
          <w:sz w:val="20"/>
          <w:szCs w:val="20"/>
          <w:lang w:val="es-ES"/>
        </w:rPr>
        <w:t>En este sentido el Estado manifiesta que podría existir en el ordenamiento jurídico argentino un recurso idóneo y eficaz que no habría sido utilizado por las presuntas víctimas, por lo que éste debiera ser intentado.</w:t>
      </w:r>
      <w:r w:rsidR="007B002C">
        <w:rPr>
          <w:rFonts w:ascii="Cambria" w:hAnsi="Cambria"/>
          <w:sz w:val="20"/>
          <w:szCs w:val="20"/>
          <w:lang w:val="es-ES"/>
        </w:rPr>
        <w:t xml:space="preserve"> </w:t>
      </w:r>
      <w:r w:rsidR="005668C9" w:rsidRPr="007B002C">
        <w:rPr>
          <w:rFonts w:ascii="Cambria" w:hAnsi="Cambria"/>
          <w:sz w:val="20"/>
          <w:szCs w:val="20"/>
          <w:lang w:val="es-ES"/>
        </w:rPr>
        <w:t>A</w:t>
      </w:r>
      <w:r w:rsidR="007B002C" w:rsidRPr="007B002C">
        <w:rPr>
          <w:rFonts w:ascii="Cambria" w:hAnsi="Cambria"/>
          <w:sz w:val="20"/>
          <w:szCs w:val="20"/>
          <w:lang w:val="es-ES"/>
        </w:rPr>
        <w:t>lega que</w:t>
      </w:r>
      <w:r w:rsidR="005668C9" w:rsidRPr="007B002C">
        <w:rPr>
          <w:rFonts w:ascii="Cambria" w:hAnsi="Cambria"/>
          <w:sz w:val="20"/>
          <w:szCs w:val="20"/>
          <w:lang w:val="es-ES"/>
        </w:rPr>
        <w:t xml:space="preserve"> al ampliar el ámbito temporal y material de las situaciones pasibles de obtener el beneficio reparatorio, el Estado argentino ha intentado contemplar los casos que, como </w:t>
      </w:r>
      <w:r w:rsidR="00621172">
        <w:rPr>
          <w:rFonts w:ascii="Cambria" w:hAnsi="Cambria"/>
          <w:sz w:val="20"/>
          <w:szCs w:val="20"/>
          <w:lang w:val="es-ES"/>
        </w:rPr>
        <w:t>los presentes</w:t>
      </w:r>
      <w:r w:rsidR="005668C9" w:rsidRPr="007B002C">
        <w:rPr>
          <w:rFonts w:ascii="Cambria" w:hAnsi="Cambria"/>
          <w:sz w:val="20"/>
          <w:szCs w:val="20"/>
          <w:lang w:val="es-ES"/>
        </w:rPr>
        <w:t xml:space="preserve">, no encontraban respuesta satisfactoria. </w:t>
      </w:r>
      <w:r w:rsidR="007B002C" w:rsidRPr="007B002C">
        <w:rPr>
          <w:rFonts w:ascii="Cambria" w:hAnsi="Cambria"/>
          <w:sz w:val="20"/>
          <w:szCs w:val="20"/>
          <w:lang w:val="es-ES"/>
        </w:rPr>
        <w:t>Indica que</w:t>
      </w:r>
      <w:r w:rsidR="005668C9" w:rsidRPr="007B002C">
        <w:rPr>
          <w:rFonts w:ascii="Cambria" w:hAnsi="Cambria"/>
          <w:sz w:val="20"/>
          <w:szCs w:val="20"/>
          <w:lang w:val="es-ES"/>
        </w:rPr>
        <w:t xml:space="preserve"> deben destacarse los esfuerzos constantes realizados por la República Argentina que dan cuenta de su voluntad de acompañar la evolución de dichos reclamos llevados a cabo por los diversos sectores afectados por el accionar de la última dictadura </w:t>
      </w:r>
      <w:r w:rsidR="007B002C" w:rsidRPr="007B002C">
        <w:rPr>
          <w:rFonts w:ascii="Cambria" w:hAnsi="Cambria"/>
          <w:sz w:val="20"/>
          <w:szCs w:val="20"/>
          <w:lang w:val="es-ES"/>
        </w:rPr>
        <w:t>cívico</w:t>
      </w:r>
      <w:r w:rsidR="00D31D06">
        <w:rPr>
          <w:rFonts w:ascii="Cambria" w:hAnsi="Cambria"/>
          <w:sz w:val="20"/>
          <w:szCs w:val="20"/>
          <w:lang w:val="es-ES"/>
        </w:rPr>
        <w:t>-</w:t>
      </w:r>
      <w:r w:rsidR="007B002C" w:rsidRPr="007B002C">
        <w:rPr>
          <w:rFonts w:ascii="Cambria" w:hAnsi="Cambria"/>
          <w:sz w:val="20"/>
          <w:szCs w:val="20"/>
          <w:lang w:val="es-ES"/>
        </w:rPr>
        <w:t>militar</w:t>
      </w:r>
      <w:r w:rsidR="005668C9" w:rsidRPr="007B002C">
        <w:rPr>
          <w:rFonts w:ascii="Cambria" w:hAnsi="Cambria"/>
          <w:sz w:val="20"/>
          <w:szCs w:val="20"/>
          <w:lang w:val="es-ES"/>
        </w:rPr>
        <w:t>.</w:t>
      </w:r>
    </w:p>
    <w:p w:rsidR="0080539F" w:rsidRPr="0080539F" w:rsidRDefault="0080539F" w:rsidP="008273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539F">
        <w:rPr>
          <w:rFonts w:ascii="Cambria" w:hAnsi="Cambria"/>
          <w:sz w:val="20"/>
          <w:szCs w:val="20"/>
          <w:lang w:val="es-ES"/>
        </w:rPr>
        <w:t>Por todas las observaciones anteriores, el Estado solicit</w:t>
      </w:r>
      <w:r w:rsidR="007B002C">
        <w:rPr>
          <w:rFonts w:ascii="Cambria" w:hAnsi="Cambria"/>
          <w:sz w:val="20"/>
          <w:szCs w:val="20"/>
          <w:lang w:val="es-ES"/>
        </w:rPr>
        <w:t>a</w:t>
      </w:r>
      <w:r w:rsidRPr="0080539F">
        <w:rPr>
          <w:rFonts w:ascii="Cambria" w:hAnsi="Cambria"/>
          <w:sz w:val="20"/>
          <w:szCs w:val="20"/>
          <w:lang w:val="es-ES"/>
        </w:rPr>
        <w:t xml:space="preserve"> a la Comisión</w:t>
      </w:r>
      <w:r>
        <w:rPr>
          <w:rFonts w:ascii="Cambria" w:hAnsi="Cambria"/>
          <w:sz w:val="20"/>
          <w:szCs w:val="20"/>
          <w:lang w:val="es-ES"/>
        </w:rPr>
        <w:t xml:space="preserve"> </w:t>
      </w:r>
      <w:r w:rsidRPr="0080539F">
        <w:rPr>
          <w:rFonts w:ascii="Cambria" w:hAnsi="Cambria"/>
          <w:sz w:val="20"/>
          <w:szCs w:val="20"/>
          <w:lang w:val="es-ES"/>
        </w:rPr>
        <w:t xml:space="preserve">la declaración de inadmisibilidad </w:t>
      </w:r>
      <w:r w:rsidR="007B002C">
        <w:rPr>
          <w:rFonts w:ascii="Cambria" w:hAnsi="Cambria"/>
          <w:sz w:val="20"/>
          <w:szCs w:val="20"/>
          <w:lang w:val="es-ES"/>
        </w:rPr>
        <w:t xml:space="preserve">por falta de agotamiento </w:t>
      </w:r>
      <w:r w:rsidR="00621172">
        <w:rPr>
          <w:rFonts w:ascii="Cambria" w:hAnsi="Cambria"/>
          <w:sz w:val="20"/>
          <w:szCs w:val="20"/>
          <w:lang w:val="es-ES"/>
        </w:rPr>
        <w:t>y el archivo de las</w:t>
      </w:r>
      <w:r w:rsidRPr="0080539F">
        <w:rPr>
          <w:rFonts w:ascii="Cambria" w:hAnsi="Cambria"/>
          <w:sz w:val="20"/>
          <w:szCs w:val="20"/>
          <w:lang w:val="es-ES"/>
        </w:rPr>
        <w:t xml:space="preserve"> </w:t>
      </w:r>
      <w:r w:rsidR="00621172" w:rsidRPr="0080539F">
        <w:rPr>
          <w:rFonts w:ascii="Cambria" w:hAnsi="Cambria"/>
          <w:sz w:val="20"/>
          <w:szCs w:val="20"/>
          <w:lang w:val="es-ES"/>
        </w:rPr>
        <w:t>peticion</w:t>
      </w:r>
      <w:r w:rsidR="00621172">
        <w:rPr>
          <w:rFonts w:ascii="Cambria" w:hAnsi="Cambria"/>
          <w:sz w:val="20"/>
          <w:szCs w:val="20"/>
          <w:lang w:val="es-ES"/>
        </w:rPr>
        <w:t>es</w:t>
      </w:r>
      <w:r w:rsidRPr="0080539F">
        <w:rPr>
          <w:rFonts w:ascii="Cambria" w:hAnsi="Cambria"/>
          <w:sz w:val="20"/>
          <w:szCs w:val="20"/>
          <w:lang w:val="es-ES"/>
        </w:rPr>
        <w:t>.</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00197375">
        <w:rPr>
          <w:rFonts w:asciiTheme="majorHAnsi" w:eastAsia="Cambria" w:hAnsiTheme="majorHAnsi" w:cs="Cambria"/>
          <w:b/>
          <w:bCs/>
          <w:color w:val="000000"/>
          <w:sz w:val="20"/>
          <w:szCs w:val="20"/>
          <w:u w:color="000000"/>
          <w:lang w:val="es-ES" w:eastAsia="es-ES"/>
        </w:rPr>
        <w:t>I</w:t>
      </w:r>
      <w:r w:rsidRPr="003239B8">
        <w:rPr>
          <w:rFonts w:asciiTheme="majorHAnsi" w:eastAsia="Cambria" w:hAnsiTheme="majorHAnsi" w:cs="Cambria"/>
          <w:b/>
          <w:bCs/>
          <w:color w:val="000000"/>
          <w:sz w:val="20"/>
          <w:szCs w:val="20"/>
          <w:u w:color="000000"/>
          <w:lang w:val="es-ES" w:eastAsia="es-ES"/>
        </w:rPr>
        <w:t>.</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7820F5" w:rsidRDefault="007820F5" w:rsidP="007820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20F5">
        <w:rPr>
          <w:rFonts w:ascii="Cambria" w:hAnsi="Cambria"/>
          <w:sz w:val="20"/>
          <w:szCs w:val="20"/>
          <w:lang w:val="es-ES"/>
        </w:rPr>
        <w:t xml:space="preserve">Los peticionarios indican que los recursos internos quedaron agotados con </w:t>
      </w:r>
      <w:r w:rsidR="005545B0">
        <w:rPr>
          <w:rFonts w:ascii="Cambria" w:hAnsi="Cambria"/>
          <w:sz w:val="20"/>
          <w:szCs w:val="20"/>
          <w:lang w:val="es-ES"/>
        </w:rPr>
        <w:t>la decisión d</w:t>
      </w:r>
      <w:r w:rsidRPr="007820F5">
        <w:rPr>
          <w:rFonts w:ascii="Cambria" w:hAnsi="Cambria"/>
          <w:sz w:val="20"/>
          <w:szCs w:val="20"/>
          <w:lang w:val="es-ES"/>
        </w:rPr>
        <w:t xml:space="preserve">el </w:t>
      </w:r>
      <w:r w:rsidR="00ED0CBE" w:rsidRPr="007820F5">
        <w:rPr>
          <w:rFonts w:ascii="Cambria" w:hAnsi="Cambria"/>
          <w:sz w:val="20"/>
          <w:szCs w:val="20"/>
          <w:lang w:val="es-ES"/>
        </w:rPr>
        <w:t>Recurso Extraordinario Federal</w:t>
      </w:r>
      <w:r w:rsidRPr="007820F5">
        <w:rPr>
          <w:rFonts w:ascii="Cambria" w:hAnsi="Cambria"/>
          <w:sz w:val="20"/>
          <w:szCs w:val="20"/>
          <w:lang w:val="es-ES"/>
        </w:rPr>
        <w:t xml:space="preserve">, </w:t>
      </w:r>
      <w:r w:rsidR="005545B0">
        <w:rPr>
          <w:rFonts w:ascii="Cambria" w:hAnsi="Cambria"/>
          <w:sz w:val="20"/>
          <w:szCs w:val="20"/>
          <w:lang w:val="es-ES"/>
        </w:rPr>
        <w:t>la</w:t>
      </w:r>
      <w:r w:rsidRPr="007820F5">
        <w:rPr>
          <w:rFonts w:ascii="Cambria" w:hAnsi="Cambria"/>
          <w:sz w:val="20"/>
          <w:szCs w:val="20"/>
          <w:lang w:val="es-ES"/>
        </w:rPr>
        <w:t xml:space="preserve"> cual fue notificad</w:t>
      </w:r>
      <w:r w:rsidR="005545B0">
        <w:rPr>
          <w:rFonts w:ascii="Cambria" w:hAnsi="Cambria"/>
          <w:sz w:val="20"/>
          <w:szCs w:val="20"/>
          <w:lang w:val="es-ES"/>
        </w:rPr>
        <w:t>a</w:t>
      </w:r>
      <w:r w:rsidRPr="007820F5">
        <w:rPr>
          <w:rFonts w:ascii="Cambria" w:hAnsi="Cambria"/>
          <w:sz w:val="20"/>
          <w:szCs w:val="20"/>
          <w:lang w:val="es-ES"/>
        </w:rPr>
        <w:t xml:space="preserve"> el 13 y 14 de noviembre de 2006. Asimismo argumentan que el </w:t>
      </w:r>
      <w:r w:rsidR="00625AE3">
        <w:rPr>
          <w:rFonts w:ascii="Cambria" w:hAnsi="Cambria"/>
          <w:sz w:val="20"/>
          <w:szCs w:val="20"/>
          <w:lang w:val="es-ES"/>
        </w:rPr>
        <w:t>recurso directo previsto en la Ley</w:t>
      </w:r>
      <w:r w:rsidRPr="007820F5">
        <w:rPr>
          <w:rFonts w:ascii="Cambria" w:hAnsi="Cambria"/>
          <w:sz w:val="20"/>
          <w:szCs w:val="20"/>
          <w:lang w:val="es-ES"/>
        </w:rPr>
        <w:t xml:space="preserve"> 24.043 es el recurso adecuado y efectivo para reclamar la indemnización por los hechos que lleva</w:t>
      </w:r>
      <w:r w:rsidR="005545B0">
        <w:rPr>
          <w:rFonts w:ascii="Cambria" w:hAnsi="Cambria"/>
          <w:sz w:val="20"/>
          <w:szCs w:val="20"/>
          <w:lang w:val="es-ES"/>
        </w:rPr>
        <w:t>ron</w:t>
      </w:r>
      <w:r w:rsidRPr="007820F5">
        <w:rPr>
          <w:rFonts w:ascii="Cambria" w:hAnsi="Cambria"/>
          <w:sz w:val="20"/>
          <w:szCs w:val="20"/>
          <w:lang w:val="es-ES"/>
        </w:rPr>
        <w:t xml:space="preserve"> al exilio a las presuntas víctimas e indican en sus escritos que en casos </w:t>
      </w:r>
      <w:r w:rsidR="00625AE3">
        <w:rPr>
          <w:rFonts w:ascii="Cambria" w:hAnsi="Cambria"/>
          <w:sz w:val="20"/>
          <w:szCs w:val="20"/>
          <w:lang w:val="es-ES"/>
        </w:rPr>
        <w:t>análogos</w:t>
      </w:r>
      <w:r w:rsidRPr="007820F5">
        <w:rPr>
          <w:rFonts w:ascii="Cambria" w:hAnsi="Cambria"/>
          <w:sz w:val="20"/>
          <w:szCs w:val="20"/>
          <w:lang w:val="es-ES"/>
        </w:rPr>
        <w:t xml:space="preserve"> a los suyos los tribunales aplicaron dicha </w:t>
      </w:r>
      <w:r w:rsidR="00625AE3">
        <w:rPr>
          <w:rFonts w:ascii="Cambria" w:hAnsi="Cambria"/>
          <w:sz w:val="20"/>
          <w:szCs w:val="20"/>
          <w:lang w:val="es-ES"/>
        </w:rPr>
        <w:t>Ley</w:t>
      </w:r>
      <w:r w:rsidRPr="007820F5">
        <w:rPr>
          <w:rFonts w:ascii="Cambria" w:hAnsi="Cambria"/>
          <w:sz w:val="20"/>
          <w:szCs w:val="20"/>
          <w:lang w:val="es-ES"/>
        </w:rPr>
        <w:t xml:space="preserve">. </w:t>
      </w:r>
      <w:r w:rsidR="00406015" w:rsidRPr="007820F5">
        <w:rPr>
          <w:rFonts w:ascii="Cambria" w:hAnsi="Cambria"/>
          <w:sz w:val="20"/>
          <w:szCs w:val="20"/>
          <w:lang w:val="es-ES"/>
        </w:rPr>
        <w:t xml:space="preserve">Por su parte, el Estado </w:t>
      </w:r>
      <w:r w:rsidRPr="007820F5">
        <w:rPr>
          <w:rFonts w:ascii="Cambria" w:hAnsi="Cambria"/>
          <w:sz w:val="20"/>
          <w:szCs w:val="20"/>
          <w:lang w:val="es-ES"/>
        </w:rPr>
        <w:t xml:space="preserve">sostiene </w:t>
      </w:r>
      <w:r w:rsidR="00625AE3">
        <w:rPr>
          <w:rFonts w:ascii="Cambria" w:hAnsi="Cambria"/>
          <w:sz w:val="20"/>
          <w:szCs w:val="20"/>
          <w:lang w:val="es-ES"/>
        </w:rPr>
        <w:t>que el recurso previsto por la Ley</w:t>
      </w:r>
      <w:r w:rsidRPr="007820F5">
        <w:rPr>
          <w:rFonts w:ascii="Cambria" w:hAnsi="Cambria"/>
          <w:sz w:val="20"/>
          <w:szCs w:val="20"/>
          <w:lang w:val="es-ES"/>
        </w:rPr>
        <w:t xml:space="preserve"> 24.043 no comprende los hechos alegados por los peticionarios y que no se han agotado los recursos internos dado que los peticionarios no solicitaron los beneficios a través de la </w:t>
      </w:r>
      <w:r w:rsidR="00625AE3">
        <w:rPr>
          <w:rFonts w:ascii="Cambria" w:hAnsi="Cambria"/>
          <w:sz w:val="20"/>
          <w:szCs w:val="20"/>
          <w:lang w:val="es-ES"/>
        </w:rPr>
        <w:t>Ley</w:t>
      </w:r>
      <w:r w:rsidRPr="007820F5">
        <w:rPr>
          <w:rFonts w:ascii="Cambria" w:hAnsi="Cambria"/>
          <w:sz w:val="20"/>
          <w:szCs w:val="20"/>
          <w:lang w:val="es-ES"/>
        </w:rPr>
        <w:t xml:space="preserve"> 26.564, promulgada en diciembre de 2009, </w:t>
      </w:r>
      <w:r w:rsidR="00625AE3">
        <w:rPr>
          <w:rFonts w:ascii="Cambria" w:hAnsi="Cambria"/>
          <w:sz w:val="20"/>
          <w:szCs w:val="20"/>
          <w:lang w:val="es-ES"/>
        </w:rPr>
        <w:t xml:space="preserve">la cual </w:t>
      </w:r>
      <w:r w:rsidRPr="007820F5">
        <w:rPr>
          <w:rFonts w:ascii="Cambria" w:hAnsi="Cambria"/>
          <w:sz w:val="20"/>
          <w:szCs w:val="20"/>
          <w:lang w:val="es-ES"/>
        </w:rPr>
        <w:t xml:space="preserve">sería un recurso eficaz e idóneo. </w:t>
      </w:r>
    </w:p>
    <w:p w:rsidR="001D14A5" w:rsidRPr="006A4998" w:rsidRDefault="00473162" w:rsidP="006A49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3162">
        <w:rPr>
          <w:rFonts w:ascii="Cambria" w:hAnsi="Cambria"/>
          <w:sz w:val="20"/>
          <w:szCs w:val="20"/>
          <w:lang w:val="es-ES"/>
        </w:rPr>
        <w:t xml:space="preserve">La Comisión, sin entrar a conocer cuestiones de derecho interno, toma en cuenta que respecto al alcance de la </w:t>
      </w:r>
      <w:r w:rsidR="00625AE3">
        <w:rPr>
          <w:rFonts w:ascii="Cambria" w:hAnsi="Cambria"/>
          <w:sz w:val="20"/>
          <w:szCs w:val="20"/>
          <w:lang w:val="es-ES"/>
        </w:rPr>
        <w:t>Ley</w:t>
      </w:r>
      <w:r w:rsidRPr="00473162">
        <w:rPr>
          <w:rFonts w:ascii="Cambria" w:hAnsi="Cambria"/>
          <w:sz w:val="20"/>
          <w:szCs w:val="20"/>
          <w:lang w:val="es-ES"/>
        </w:rPr>
        <w:t xml:space="preserve"> 24.043, con el trascurso de tiempo, los tribunales argentinos han desarrollado enfoques jurisprudenciales sobre la interpretación extensiva de la norma a fin de reparar otros tipos de restricciones a la libertad, impuesta ya sea con orden escrita o sin orden escrita del PEN</w:t>
      </w:r>
      <w:r w:rsidR="003530F9">
        <w:rPr>
          <w:rStyle w:val="FootnoteReference"/>
          <w:rFonts w:ascii="Cambria" w:hAnsi="Cambria"/>
          <w:sz w:val="20"/>
          <w:szCs w:val="20"/>
          <w:lang w:val="es-ES"/>
        </w:rPr>
        <w:footnoteReference w:id="6"/>
      </w:r>
      <w:r w:rsidRPr="00473162">
        <w:rPr>
          <w:rFonts w:ascii="Cambria" w:hAnsi="Cambria"/>
          <w:sz w:val="20"/>
          <w:szCs w:val="20"/>
          <w:lang w:val="es-ES"/>
        </w:rPr>
        <w:t xml:space="preserve">. </w:t>
      </w:r>
      <w:r w:rsidR="001D14A5" w:rsidRPr="006A4998">
        <w:rPr>
          <w:rFonts w:ascii="Cambria" w:hAnsi="Cambria"/>
          <w:sz w:val="20"/>
          <w:szCs w:val="20"/>
          <w:lang w:val="es-ES"/>
        </w:rPr>
        <w:t xml:space="preserve">Al respecto, la Comisión ha confirmado que en sentencias posteriores a la presentación de la petición, la Corte Suprema de Justicia </w:t>
      </w:r>
      <w:r w:rsidR="00DE7FCB" w:rsidRPr="006A4998">
        <w:rPr>
          <w:rFonts w:ascii="Cambria" w:hAnsi="Cambria"/>
          <w:sz w:val="20"/>
          <w:szCs w:val="20"/>
          <w:lang w:val="es-ES"/>
        </w:rPr>
        <w:t xml:space="preserve">argentina </w:t>
      </w:r>
      <w:r w:rsidR="001D14A5" w:rsidRPr="006A4998">
        <w:rPr>
          <w:rFonts w:ascii="Cambria" w:hAnsi="Cambria"/>
          <w:sz w:val="20"/>
          <w:szCs w:val="20"/>
          <w:lang w:val="es-ES"/>
        </w:rPr>
        <w:t xml:space="preserve">señaló acerca de la aplicación de la </w:t>
      </w:r>
      <w:r w:rsidR="00625AE3">
        <w:rPr>
          <w:rFonts w:ascii="Cambria" w:hAnsi="Cambria"/>
          <w:sz w:val="20"/>
          <w:szCs w:val="20"/>
          <w:lang w:val="es-ES"/>
        </w:rPr>
        <w:t>Ley</w:t>
      </w:r>
      <w:r w:rsidR="001D14A5" w:rsidRPr="006A4998">
        <w:rPr>
          <w:rFonts w:ascii="Cambria" w:hAnsi="Cambria"/>
          <w:sz w:val="20"/>
          <w:szCs w:val="20"/>
          <w:lang w:val="es-ES"/>
        </w:rPr>
        <w:t xml:space="preserve"> 24.043</w:t>
      </w:r>
      <w:r w:rsidR="006A4998">
        <w:rPr>
          <w:rStyle w:val="FootnoteReference"/>
          <w:rFonts w:ascii="Cambria" w:hAnsi="Cambria"/>
          <w:sz w:val="20"/>
          <w:szCs w:val="20"/>
          <w:lang w:val="es-ES"/>
        </w:rPr>
        <w:footnoteReference w:id="7"/>
      </w:r>
      <w:r w:rsidR="001D14A5" w:rsidRPr="006A4998">
        <w:rPr>
          <w:rFonts w:ascii="Cambria" w:hAnsi="Cambria"/>
          <w:sz w:val="20"/>
          <w:szCs w:val="20"/>
          <w:lang w:val="es-ES"/>
        </w:rPr>
        <w:t>:</w:t>
      </w:r>
    </w:p>
    <w:p w:rsidR="001D14A5" w:rsidRPr="00FB5D82" w:rsidRDefault="001D14A5" w:rsidP="00B27C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540"/>
        <w:jc w:val="both"/>
        <w:rPr>
          <w:rFonts w:ascii="Cambria" w:hAnsi="Cambria"/>
          <w:sz w:val="20"/>
          <w:szCs w:val="20"/>
          <w:lang w:val="es-ES"/>
        </w:rPr>
      </w:pPr>
      <w:r w:rsidRPr="00FB5D82">
        <w:rPr>
          <w:rFonts w:ascii="Cambria" w:hAnsi="Cambria"/>
          <w:sz w:val="20"/>
          <w:szCs w:val="20"/>
          <w:lang w:val="es-ES"/>
        </w:rPr>
        <w:t xml:space="preserve">...en tanto las condiciones en las que la actora tuvo que permanecer y luego abandonar el país -sobre las que no existen controversias- demuestran que su decisión de ampararse, primero, bajo la bandera de una nación amiga, y emigrar después, lejos de ser considerada como "voluntaria" o libremente adoptada, fue la única y desesperada alternativa que tuvo para salvar su vida ante la amenaza del propio Estado o de organizaciones paralelas o, cuanto menos, de recuperar su libertad pues...al momento de su decisión de extrañarse, ya sufría la mengua de tal derecho básico" toda vez que "...detención, no sólo en esa </w:t>
      </w:r>
      <w:r w:rsidR="00625AE3" w:rsidRPr="00FB5D82">
        <w:rPr>
          <w:rFonts w:ascii="Cambria" w:hAnsi="Cambria"/>
          <w:sz w:val="20"/>
          <w:szCs w:val="20"/>
          <w:lang w:val="es-ES"/>
        </w:rPr>
        <w:t>Ley</w:t>
      </w:r>
      <w:r w:rsidRPr="00FB5D82">
        <w:rPr>
          <w:rFonts w:ascii="Cambria" w:hAnsi="Cambria"/>
          <w:sz w:val="20"/>
          <w:szCs w:val="20"/>
          <w:lang w:val="es-ES"/>
        </w:rPr>
        <w:t xml:space="preserve"> sino también para el sentido común, significa distintas formas de menoscabo a la libertad ambulatoria...Por ello...también se encuentra ínsito en el concepto de detención de la </w:t>
      </w:r>
      <w:r w:rsidR="00625AE3" w:rsidRPr="00FB5D82">
        <w:rPr>
          <w:rFonts w:ascii="Cambria" w:hAnsi="Cambria"/>
          <w:sz w:val="20"/>
          <w:szCs w:val="20"/>
          <w:lang w:val="es-ES"/>
        </w:rPr>
        <w:t>Ley</w:t>
      </w:r>
      <w:r w:rsidRPr="00FB5D82">
        <w:rPr>
          <w:rFonts w:ascii="Cambria" w:hAnsi="Cambria"/>
          <w:sz w:val="20"/>
          <w:szCs w:val="20"/>
          <w:lang w:val="es-ES"/>
        </w:rPr>
        <w:t xml:space="preserve"> el análisis, el confinamiento obligado de toda la familia...como único medio de torcer el destino de muerte que ya habían sufrido dos de sus integrantes</w:t>
      </w:r>
      <w:r w:rsidR="00B27C90" w:rsidRPr="00FB5D82">
        <w:rPr>
          <w:rStyle w:val="FootnoteReference"/>
          <w:rFonts w:ascii="Cambria" w:hAnsi="Cambria"/>
          <w:sz w:val="20"/>
          <w:szCs w:val="20"/>
          <w:lang w:val="es-ES"/>
        </w:rPr>
        <w:footnoteReference w:id="8"/>
      </w:r>
      <w:r w:rsidRPr="00FB5D82">
        <w:rPr>
          <w:rFonts w:ascii="Cambria" w:hAnsi="Cambria"/>
          <w:sz w:val="20"/>
          <w:szCs w:val="20"/>
          <w:lang w:val="es-ES"/>
        </w:rPr>
        <w:t xml:space="preserve"> .</w:t>
      </w:r>
    </w:p>
    <w:p w:rsidR="001D14A5" w:rsidRPr="006402F6" w:rsidRDefault="001D14A5" w:rsidP="001D14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402F6">
        <w:rPr>
          <w:rFonts w:ascii="Cambria" w:hAnsi="Cambria"/>
          <w:sz w:val="20"/>
          <w:szCs w:val="20"/>
          <w:lang w:val="es-ES"/>
        </w:rPr>
        <w:t xml:space="preserve">Por lo anterior, y teniendo en cuenta que los peticionarios alegan circunstancias similares a las presentadas en otros casos analizados y resueltos bajo </w:t>
      </w:r>
      <w:r w:rsidR="003530F9" w:rsidRPr="006402F6">
        <w:rPr>
          <w:rFonts w:ascii="Cambria" w:hAnsi="Cambria"/>
          <w:sz w:val="20"/>
          <w:szCs w:val="20"/>
          <w:lang w:val="es-ES"/>
        </w:rPr>
        <w:t xml:space="preserve">dicha </w:t>
      </w:r>
      <w:r w:rsidR="00625AE3" w:rsidRPr="006402F6">
        <w:rPr>
          <w:rFonts w:ascii="Cambria" w:hAnsi="Cambria"/>
          <w:sz w:val="20"/>
          <w:szCs w:val="20"/>
          <w:lang w:val="es-ES"/>
        </w:rPr>
        <w:t>Ley</w:t>
      </w:r>
      <w:r w:rsidR="003530F9" w:rsidRPr="006402F6">
        <w:rPr>
          <w:rFonts w:ascii="Cambria" w:hAnsi="Cambria"/>
          <w:sz w:val="20"/>
          <w:szCs w:val="20"/>
          <w:lang w:val="es-ES"/>
        </w:rPr>
        <w:t>, la Comisión concluye</w:t>
      </w:r>
      <w:r w:rsidRPr="006402F6">
        <w:rPr>
          <w:rFonts w:ascii="Cambria" w:hAnsi="Cambria"/>
          <w:sz w:val="20"/>
          <w:szCs w:val="20"/>
          <w:lang w:val="es-ES"/>
        </w:rPr>
        <w:t xml:space="preserve"> que la </w:t>
      </w:r>
      <w:r w:rsidR="00625AE3" w:rsidRPr="006402F6">
        <w:rPr>
          <w:rFonts w:ascii="Cambria" w:hAnsi="Cambria"/>
          <w:sz w:val="20"/>
          <w:szCs w:val="20"/>
          <w:lang w:val="es-ES"/>
        </w:rPr>
        <w:t>Ley</w:t>
      </w:r>
      <w:r w:rsidRPr="006402F6">
        <w:rPr>
          <w:rFonts w:ascii="Cambria" w:hAnsi="Cambria"/>
          <w:sz w:val="20"/>
          <w:szCs w:val="20"/>
          <w:lang w:val="es-ES"/>
        </w:rPr>
        <w:t xml:space="preserve"> 24.043 consagra</w:t>
      </w:r>
      <w:r w:rsidR="003530F9" w:rsidRPr="006402F6">
        <w:rPr>
          <w:rFonts w:ascii="Cambria" w:hAnsi="Cambria"/>
          <w:sz w:val="20"/>
          <w:szCs w:val="20"/>
          <w:lang w:val="es-ES"/>
        </w:rPr>
        <w:t>ba</w:t>
      </w:r>
      <w:r w:rsidRPr="006402F6">
        <w:rPr>
          <w:rFonts w:ascii="Cambria" w:hAnsi="Cambria"/>
          <w:sz w:val="20"/>
          <w:szCs w:val="20"/>
          <w:lang w:val="es-ES"/>
        </w:rPr>
        <w:t xml:space="preserve"> un recurso idóneo.</w:t>
      </w:r>
      <w:r w:rsidR="00B43F3B" w:rsidRPr="006402F6">
        <w:rPr>
          <w:rFonts w:ascii="Cambria" w:hAnsi="Cambria"/>
          <w:sz w:val="20"/>
          <w:szCs w:val="20"/>
          <w:lang w:val="es-ES"/>
        </w:rPr>
        <w:t xml:space="preserve"> </w:t>
      </w:r>
      <w:r w:rsidR="00F1025A" w:rsidRPr="006402F6">
        <w:rPr>
          <w:rFonts w:ascii="Cambria" w:hAnsi="Cambria"/>
          <w:sz w:val="20"/>
          <w:szCs w:val="20"/>
          <w:lang w:val="es-ES"/>
        </w:rPr>
        <w:t>Además</w:t>
      </w:r>
      <w:r w:rsidR="00B43F3B" w:rsidRPr="006402F6">
        <w:rPr>
          <w:rFonts w:ascii="Cambria" w:hAnsi="Cambria"/>
          <w:sz w:val="20"/>
          <w:szCs w:val="20"/>
          <w:lang w:val="es-ES"/>
        </w:rPr>
        <w:t xml:space="preserve"> la CIDH</w:t>
      </w:r>
      <w:r w:rsidR="00F1025A" w:rsidRPr="006402F6">
        <w:rPr>
          <w:rFonts w:ascii="Cambria" w:hAnsi="Cambria"/>
          <w:sz w:val="20"/>
          <w:szCs w:val="20"/>
          <w:lang w:val="es-ES"/>
        </w:rPr>
        <w:t xml:space="preserve"> toma nota que las presuntas víctimas agotaron una serie de recursos</w:t>
      </w:r>
      <w:r w:rsidR="006402F6" w:rsidRPr="006402F6">
        <w:rPr>
          <w:rFonts w:ascii="Cambria" w:hAnsi="Cambria"/>
          <w:sz w:val="20"/>
          <w:szCs w:val="20"/>
          <w:lang w:val="es-ES"/>
        </w:rPr>
        <w:t xml:space="preserve"> previstos por el derecho interno</w:t>
      </w:r>
      <w:r w:rsidR="00F1025A" w:rsidRPr="006402F6">
        <w:rPr>
          <w:rFonts w:ascii="Cambria" w:hAnsi="Cambria"/>
          <w:sz w:val="20"/>
          <w:szCs w:val="20"/>
          <w:lang w:val="es-ES"/>
        </w:rPr>
        <w:t xml:space="preserve">, </w:t>
      </w:r>
      <w:r w:rsidR="00A01739" w:rsidRPr="006402F6">
        <w:rPr>
          <w:rFonts w:ascii="Cambria" w:hAnsi="Cambria"/>
          <w:sz w:val="20"/>
          <w:szCs w:val="20"/>
          <w:lang w:val="es-ES"/>
        </w:rPr>
        <w:t xml:space="preserve">que tenían disponibles </w:t>
      </w:r>
      <w:r w:rsidR="00D5665E" w:rsidRPr="006402F6">
        <w:rPr>
          <w:rFonts w:ascii="Cambria" w:hAnsi="Cambria"/>
          <w:sz w:val="20"/>
          <w:szCs w:val="20"/>
          <w:lang w:val="es-ES"/>
        </w:rPr>
        <w:t xml:space="preserve">y </w:t>
      </w:r>
      <w:r w:rsidR="00A01739" w:rsidRPr="006402F6">
        <w:rPr>
          <w:rFonts w:ascii="Cambria" w:hAnsi="Cambria"/>
          <w:sz w:val="20"/>
          <w:szCs w:val="20"/>
          <w:lang w:val="es-ES"/>
        </w:rPr>
        <w:t xml:space="preserve">que fueron razonables </w:t>
      </w:r>
      <w:r w:rsidR="00D5665E" w:rsidRPr="006402F6">
        <w:rPr>
          <w:rFonts w:ascii="Cambria" w:hAnsi="Cambria"/>
          <w:sz w:val="20"/>
          <w:szCs w:val="20"/>
          <w:lang w:val="es-ES"/>
        </w:rPr>
        <w:t>en su momento;</w:t>
      </w:r>
      <w:r w:rsidR="00F1025A" w:rsidRPr="006402F6">
        <w:rPr>
          <w:rFonts w:ascii="Cambria" w:hAnsi="Cambria"/>
          <w:sz w:val="20"/>
          <w:szCs w:val="20"/>
          <w:lang w:val="es-ES"/>
        </w:rPr>
        <w:t xml:space="preserve"> y</w:t>
      </w:r>
      <w:r w:rsidR="00A640E0" w:rsidRPr="006402F6">
        <w:rPr>
          <w:rFonts w:ascii="Cambria" w:hAnsi="Cambria"/>
          <w:sz w:val="20"/>
          <w:szCs w:val="20"/>
          <w:lang w:val="es-ES"/>
        </w:rPr>
        <w:t xml:space="preserve"> a </w:t>
      </w:r>
      <w:r w:rsidR="00A640E0" w:rsidRPr="006402F6">
        <w:rPr>
          <w:rFonts w:ascii="Cambria" w:hAnsi="Cambria"/>
          <w:sz w:val="20"/>
          <w:szCs w:val="20"/>
          <w:lang w:val="es-ES"/>
        </w:rPr>
        <w:lastRenderedPageBreak/>
        <w:t>efectos de la admisibilidad</w:t>
      </w:r>
      <w:r w:rsidR="00F1025A" w:rsidRPr="006402F6">
        <w:rPr>
          <w:rFonts w:ascii="Cambria" w:hAnsi="Cambria"/>
          <w:sz w:val="20"/>
          <w:szCs w:val="20"/>
          <w:lang w:val="es-ES"/>
        </w:rPr>
        <w:t xml:space="preserve"> el Sistema no exige reiterados intentos uno tras otro</w:t>
      </w:r>
      <w:r w:rsidR="006402F6" w:rsidRPr="006402F6">
        <w:rPr>
          <w:rFonts w:ascii="Cambria" w:hAnsi="Cambria"/>
          <w:sz w:val="20"/>
          <w:szCs w:val="20"/>
          <w:lang w:val="es-ES"/>
        </w:rPr>
        <w:t xml:space="preserve"> ante la emanación de nuevas leyes</w:t>
      </w:r>
      <w:r w:rsidR="00F1025A" w:rsidRPr="006402F6">
        <w:rPr>
          <w:rFonts w:ascii="Cambria" w:hAnsi="Cambria"/>
          <w:sz w:val="20"/>
          <w:szCs w:val="20"/>
          <w:lang w:val="es-ES"/>
        </w:rPr>
        <w:t>.</w:t>
      </w:r>
    </w:p>
    <w:p w:rsidR="003239B8" w:rsidRDefault="00B27C90" w:rsidP="001D14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406015" w:rsidRPr="00CC47C9">
        <w:rPr>
          <w:rFonts w:ascii="Cambria" w:hAnsi="Cambria"/>
          <w:sz w:val="20"/>
          <w:szCs w:val="20"/>
          <w:lang w:val="es-ES"/>
        </w:rPr>
        <w:t>a</w:t>
      </w:r>
      <w:r w:rsidR="00CC47C9">
        <w:rPr>
          <w:rFonts w:ascii="Cambria" w:hAnsi="Cambria"/>
          <w:sz w:val="20"/>
          <w:szCs w:val="20"/>
          <w:lang w:val="es-ES"/>
        </w:rPr>
        <w:t>s</w:t>
      </w:r>
      <w:r w:rsidR="00406015" w:rsidRPr="00CC47C9">
        <w:rPr>
          <w:rFonts w:ascii="Cambria" w:hAnsi="Cambria"/>
          <w:sz w:val="20"/>
          <w:szCs w:val="20"/>
          <w:lang w:val="es-ES"/>
        </w:rPr>
        <w:t xml:space="preserve"> presunta</w:t>
      </w:r>
      <w:r w:rsidR="00CC47C9">
        <w:rPr>
          <w:rFonts w:ascii="Cambria" w:hAnsi="Cambria"/>
          <w:sz w:val="20"/>
          <w:szCs w:val="20"/>
          <w:lang w:val="es-ES"/>
        </w:rPr>
        <w:t>s</w:t>
      </w:r>
      <w:r w:rsidR="00406015" w:rsidRPr="00CC47C9">
        <w:rPr>
          <w:rFonts w:ascii="Cambria" w:hAnsi="Cambria"/>
          <w:sz w:val="20"/>
          <w:szCs w:val="20"/>
          <w:lang w:val="es-ES"/>
        </w:rPr>
        <w:t xml:space="preserve"> víctima</w:t>
      </w:r>
      <w:r w:rsidR="00CC47C9">
        <w:rPr>
          <w:rFonts w:ascii="Cambria" w:hAnsi="Cambria"/>
          <w:sz w:val="20"/>
          <w:szCs w:val="20"/>
          <w:lang w:val="es-ES"/>
        </w:rPr>
        <w:t>s</w:t>
      </w:r>
      <w:r w:rsidR="00406015" w:rsidRPr="00CC47C9">
        <w:rPr>
          <w:rFonts w:ascii="Cambria" w:hAnsi="Cambria"/>
          <w:sz w:val="20"/>
          <w:szCs w:val="20"/>
          <w:lang w:val="es-ES"/>
        </w:rPr>
        <w:t xml:space="preserve"> agot</w:t>
      </w:r>
      <w:r w:rsidR="00CC47C9">
        <w:rPr>
          <w:rFonts w:ascii="Cambria" w:hAnsi="Cambria"/>
          <w:sz w:val="20"/>
          <w:szCs w:val="20"/>
          <w:lang w:val="es-ES"/>
        </w:rPr>
        <w:t>aron</w:t>
      </w:r>
      <w:r w:rsidR="00406015" w:rsidRPr="00CC47C9">
        <w:rPr>
          <w:rFonts w:ascii="Cambria" w:hAnsi="Cambria"/>
          <w:sz w:val="20"/>
          <w:szCs w:val="20"/>
          <w:lang w:val="es-ES"/>
        </w:rPr>
        <w:t xml:space="preserve"> los recursos internos mediante la sentencia que le</w:t>
      </w:r>
      <w:r w:rsidR="00CC47C9">
        <w:rPr>
          <w:rFonts w:ascii="Cambria" w:hAnsi="Cambria"/>
          <w:sz w:val="20"/>
          <w:szCs w:val="20"/>
          <w:lang w:val="es-ES"/>
        </w:rPr>
        <w:t>s</w:t>
      </w:r>
      <w:r w:rsidR="00406015" w:rsidRPr="00CC47C9">
        <w:rPr>
          <w:rFonts w:ascii="Cambria" w:hAnsi="Cambria"/>
          <w:sz w:val="20"/>
          <w:szCs w:val="20"/>
          <w:lang w:val="es-ES"/>
        </w:rPr>
        <w:t xml:space="preserve"> fue notificada el </w:t>
      </w:r>
      <w:r w:rsidR="00CC47C9">
        <w:rPr>
          <w:rFonts w:ascii="Cambria" w:hAnsi="Cambria"/>
          <w:sz w:val="20"/>
          <w:szCs w:val="20"/>
          <w:lang w:val="es-ES"/>
        </w:rPr>
        <w:t>13 y 14 de noviembre de 2006</w:t>
      </w:r>
      <w:r w:rsidR="00406015" w:rsidRPr="00CC47C9">
        <w:rPr>
          <w:rFonts w:ascii="Cambria" w:hAnsi="Cambria"/>
          <w:sz w:val="20"/>
          <w:szCs w:val="20"/>
          <w:lang w:val="es-ES"/>
        </w:rPr>
        <w:t xml:space="preserve">, en cumplimiento de los artículos 46.1.a de la Convención y 31.1 del Reglamento, y en vista de que la petición fue presentada el </w:t>
      </w:r>
      <w:r w:rsidR="00CC47C9">
        <w:rPr>
          <w:rFonts w:ascii="Cambria" w:hAnsi="Cambria"/>
          <w:sz w:val="20"/>
          <w:szCs w:val="20"/>
          <w:lang w:val="es-ES"/>
        </w:rPr>
        <w:t>11 de mayo de 2007</w:t>
      </w:r>
      <w:r w:rsidR="00406015" w:rsidRPr="00CC47C9">
        <w:rPr>
          <w:rFonts w:ascii="Cambria" w:hAnsi="Cambria"/>
          <w:sz w:val="20"/>
          <w:szCs w:val="20"/>
          <w:lang w:val="es-ES"/>
        </w:rPr>
        <w:t>, la petición cumple el requisito establecido en el artículo 46.1.b de la Convención y 32.1 del Reglamento.</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sidR="00197375">
        <w:rPr>
          <w:rFonts w:asciiTheme="majorHAnsi" w:hAnsiTheme="majorHAnsi"/>
          <w:b/>
          <w:bCs/>
          <w:sz w:val="20"/>
          <w:szCs w:val="20"/>
          <w:lang w:val="es-ES"/>
        </w:rPr>
        <w:t>I</w:t>
      </w:r>
      <w:r>
        <w:rPr>
          <w:rFonts w:asciiTheme="majorHAnsi" w:hAnsiTheme="majorHAnsi"/>
          <w:b/>
          <w:bCs/>
          <w:sz w:val="20"/>
          <w:szCs w:val="20"/>
          <w:lang w:val="es-ES"/>
        </w:rPr>
        <w:t>.</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8D5909" w:rsidRPr="00783597" w:rsidRDefault="00E46F95" w:rsidP="003239B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3C5EB9">
        <w:rPr>
          <w:sz w:val="20"/>
          <w:szCs w:val="20"/>
          <w:lang w:val="es-ES"/>
        </w:rPr>
        <w:t xml:space="preserve">En vista de los elementos de hecho y de derecho expuestos por las partes y la naturaleza del asunto puesto bajo su conocimiento, la Comisión considera que, de ser </w:t>
      </w:r>
      <w:r w:rsidR="002B718F" w:rsidRPr="003C5EB9">
        <w:rPr>
          <w:sz w:val="20"/>
          <w:szCs w:val="20"/>
          <w:lang w:val="es-ES"/>
        </w:rPr>
        <w:t xml:space="preserve">probados los alegatos relativos a </w:t>
      </w:r>
      <w:r w:rsidRPr="003C5EB9">
        <w:rPr>
          <w:sz w:val="20"/>
          <w:szCs w:val="20"/>
          <w:lang w:val="es-ES"/>
        </w:rPr>
        <w:t xml:space="preserve">la violación a </w:t>
      </w:r>
      <w:r w:rsidRPr="00783597">
        <w:rPr>
          <w:sz w:val="20"/>
          <w:szCs w:val="20"/>
          <w:lang w:val="es-ES"/>
        </w:rPr>
        <w:t xml:space="preserve">los derechos a las </w:t>
      </w:r>
      <w:r w:rsidR="002B718F" w:rsidRPr="00783597">
        <w:rPr>
          <w:sz w:val="20"/>
          <w:szCs w:val="20"/>
          <w:lang w:val="es-ES"/>
        </w:rPr>
        <w:t xml:space="preserve">garantías judiciales </w:t>
      </w:r>
      <w:r w:rsidRPr="00783597">
        <w:rPr>
          <w:sz w:val="20"/>
          <w:szCs w:val="20"/>
          <w:lang w:val="es-ES"/>
        </w:rPr>
        <w:t xml:space="preserve">y </w:t>
      </w:r>
      <w:r w:rsidR="002B718F" w:rsidRPr="00783597">
        <w:rPr>
          <w:sz w:val="20"/>
          <w:szCs w:val="20"/>
          <w:lang w:val="es-ES"/>
        </w:rPr>
        <w:t xml:space="preserve">a </w:t>
      </w:r>
      <w:r w:rsidRPr="00783597">
        <w:rPr>
          <w:sz w:val="20"/>
          <w:szCs w:val="20"/>
          <w:lang w:val="es-ES"/>
        </w:rPr>
        <w:t xml:space="preserve">la protección judicial </w:t>
      </w:r>
      <w:r w:rsidR="002B718F" w:rsidRPr="00783597">
        <w:rPr>
          <w:sz w:val="20"/>
          <w:szCs w:val="20"/>
          <w:lang w:val="es-ES"/>
        </w:rPr>
        <w:t>en los procesos administrativos y judiciales internos</w:t>
      </w:r>
      <w:r w:rsidR="00A74AD1" w:rsidRPr="00783597">
        <w:rPr>
          <w:sz w:val="20"/>
          <w:szCs w:val="20"/>
          <w:lang w:val="es-ES"/>
        </w:rPr>
        <w:t>,</w:t>
      </w:r>
      <w:r w:rsidR="002B718F" w:rsidRPr="00783597">
        <w:rPr>
          <w:sz w:val="20"/>
          <w:szCs w:val="20"/>
          <w:lang w:val="es-ES"/>
        </w:rPr>
        <w:t xml:space="preserve"> así como la alegada</w:t>
      </w:r>
      <w:r w:rsidR="003C5EB9" w:rsidRPr="00783597">
        <w:rPr>
          <w:sz w:val="20"/>
          <w:szCs w:val="20"/>
          <w:lang w:val="es-ES"/>
        </w:rPr>
        <w:t xml:space="preserve"> falta de respuesta de las autoridades ante el pedido de las </w:t>
      </w:r>
      <w:r w:rsidR="004C73BC" w:rsidRPr="00783597">
        <w:rPr>
          <w:sz w:val="20"/>
          <w:szCs w:val="20"/>
          <w:lang w:val="es-ES"/>
        </w:rPr>
        <w:t>pr</w:t>
      </w:r>
      <w:r w:rsidR="003C5EB9" w:rsidRPr="00783597">
        <w:rPr>
          <w:sz w:val="20"/>
          <w:szCs w:val="20"/>
          <w:lang w:val="es-ES"/>
        </w:rPr>
        <w:t>esuntas víctimas de producir documentos vitales</w:t>
      </w:r>
      <w:r w:rsidR="002B718F" w:rsidRPr="00783597">
        <w:rPr>
          <w:sz w:val="20"/>
          <w:szCs w:val="20"/>
          <w:lang w:val="es-ES"/>
        </w:rPr>
        <w:t xml:space="preserve"> </w:t>
      </w:r>
      <w:r w:rsidR="003C5EB9" w:rsidRPr="00783597">
        <w:rPr>
          <w:sz w:val="20"/>
          <w:szCs w:val="20"/>
          <w:lang w:val="es-ES"/>
        </w:rPr>
        <w:t xml:space="preserve">para </w:t>
      </w:r>
      <w:r w:rsidR="004C73BC" w:rsidRPr="00783597">
        <w:rPr>
          <w:sz w:val="20"/>
          <w:szCs w:val="20"/>
          <w:lang w:val="es-ES"/>
        </w:rPr>
        <w:t>la decisión del caso</w:t>
      </w:r>
      <w:r w:rsidR="003C5EB9" w:rsidRPr="00783597">
        <w:rPr>
          <w:sz w:val="20"/>
          <w:szCs w:val="20"/>
          <w:lang w:val="es-ES"/>
        </w:rPr>
        <w:t xml:space="preserve">, y la alegada </w:t>
      </w:r>
      <w:r w:rsidR="002B718F" w:rsidRPr="00783597">
        <w:rPr>
          <w:sz w:val="20"/>
          <w:szCs w:val="20"/>
          <w:lang w:val="es-ES"/>
        </w:rPr>
        <w:t xml:space="preserve">discriminación al haberse reconocido reparaciones </w:t>
      </w:r>
      <w:r w:rsidR="00A74AD1" w:rsidRPr="00783597">
        <w:rPr>
          <w:sz w:val="20"/>
          <w:szCs w:val="20"/>
          <w:lang w:val="es-ES"/>
        </w:rPr>
        <w:t>en</w:t>
      </w:r>
      <w:r w:rsidR="002B718F" w:rsidRPr="00783597">
        <w:rPr>
          <w:sz w:val="20"/>
          <w:szCs w:val="20"/>
          <w:lang w:val="es-ES"/>
        </w:rPr>
        <w:t xml:space="preserve"> otros casos </w:t>
      </w:r>
      <w:r w:rsidR="00862C75" w:rsidRPr="00783597">
        <w:rPr>
          <w:sz w:val="20"/>
          <w:szCs w:val="20"/>
          <w:lang w:val="es-ES"/>
        </w:rPr>
        <w:t>análogos</w:t>
      </w:r>
      <w:r w:rsidR="003530F9" w:rsidRPr="00783597">
        <w:rPr>
          <w:sz w:val="20"/>
          <w:szCs w:val="20"/>
          <w:lang w:val="es-ES"/>
        </w:rPr>
        <w:t>,</w:t>
      </w:r>
      <w:r w:rsidR="002B718F" w:rsidRPr="00783597">
        <w:rPr>
          <w:sz w:val="20"/>
          <w:szCs w:val="20"/>
          <w:lang w:val="es-ES"/>
        </w:rPr>
        <w:t xml:space="preserve"> </w:t>
      </w:r>
      <w:r w:rsidRPr="00783597">
        <w:rPr>
          <w:sz w:val="20"/>
          <w:szCs w:val="20"/>
          <w:lang w:val="es-ES"/>
        </w:rPr>
        <w:t xml:space="preserve">podrían caracterizarse posibles violaciones a los derechos </w:t>
      </w:r>
      <w:r w:rsidR="002B718F" w:rsidRPr="00783597">
        <w:rPr>
          <w:sz w:val="20"/>
          <w:szCs w:val="20"/>
          <w:lang w:val="es-ES"/>
        </w:rPr>
        <w:t>protegidos en los artículos 8</w:t>
      </w:r>
      <w:r w:rsidRPr="00783597">
        <w:rPr>
          <w:sz w:val="20"/>
          <w:szCs w:val="20"/>
          <w:lang w:val="es-ES"/>
        </w:rPr>
        <w:t xml:space="preserve">, </w:t>
      </w:r>
      <w:r w:rsidR="00C21E74" w:rsidRPr="00783597">
        <w:rPr>
          <w:sz w:val="20"/>
          <w:szCs w:val="20"/>
          <w:lang w:val="es-ES"/>
        </w:rPr>
        <w:t xml:space="preserve">13, </w:t>
      </w:r>
      <w:r w:rsidRPr="00783597">
        <w:rPr>
          <w:sz w:val="20"/>
          <w:szCs w:val="20"/>
          <w:lang w:val="es-ES"/>
        </w:rPr>
        <w:t xml:space="preserve">24 </w:t>
      </w:r>
      <w:r w:rsidR="002B718F" w:rsidRPr="00783597">
        <w:rPr>
          <w:sz w:val="20"/>
          <w:szCs w:val="20"/>
          <w:lang w:val="es-ES"/>
        </w:rPr>
        <w:t xml:space="preserve">y 25 </w:t>
      </w:r>
      <w:r w:rsidR="0050314B" w:rsidRPr="00783597">
        <w:rPr>
          <w:sz w:val="20"/>
          <w:szCs w:val="20"/>
          <w:lang w:val="es-ES"/>
        </w:rPr>
        <w:t>de la Convención Americana e</w:t>
      </w:r>
      <w:r w:rsidR="00FB41E1" w:rsidRPr="00783597">
        <w:rPr>
          <w:sz w:val="20"/>
          <w:szCs w:val="20"/>
          <w:lang w:val="es-ES"/>
        </w:rPr>
        <w:t>n relación con su</w:t>
      </w:r>
      <w:r w:rsidR="00F1025A" w:rsidRPr="00783597">
        <w:rPr>
          <w:sz w:val="20"/>
          <w:szCs w:val="20"/>
          <w:lang w:val="es-ES"/>
        </w:rPr>
        <w:t>s</w:t>
      </w:r>
      <w:r w:rsidR="00FB41E1" w:rsidRPr="00783597">
        <w:rPr>
          <w:sz w:val="20"/>
          <w:szCs w:val="20"/>
          <w:lang w:val="es-ES"/>
        </w:rPr>
        <w:t xml:space="preserve"> artículo</w:t>
      </w:r>
      <w:r w:rsidR="00F1025A" w:rsidRPr="00783597">
        <w:rPr>
          <w:sz w:val="20"/>
          <w:szCs w:val="20"/>
          <w:lang w:val="es-ES"/>
        </w:rPr>
        <w:t>s</w:t>
      </w:r>
      <w:r w:rsidR="00FB41E1" w:rsidRPr="00783597">
        <w:rPr>
          <w:sz w:val="20"/>
          <w:szCs w:val="20"/>
          <w:lang w:val="es-ES"/>
        </w:rPr>
        <w:t xml:space="preserve"> 1.1</w:t>
      </w:r>
      <w:r w:rsidR="003530F9" w:rsidRPr="00783597">
        <w:rPr>
          <w:sz w:val="20"/>
          <w:szCs w:val="20"/>
          <w:lang w:val="es-ES"/>
        </w:rPr>
        <w:t xml:space="preserve"> </w:t>
      </w:r>
      <w:r w:rsidR="00F1025A" w:rsidRPr="00783597">
        <w:rPr>
          <w:sz w:val="20"/>
          <w:szCs w:val="20"/>
          <w:lang w:val="es-ES"/>
        </w:rPr>
        <w:t xml:space="preserve">y 2 </w:t>
      </w:r>
      <w:r w:rsidR="003530F9" w:rsidRPr="00783597">
        <w:rPr>
          <w:sz w:val="20"/>
          <w:szCs w:val="20"/>
          <w:lang w:val="es-ES"/>
        </w:rPr>
        <w:t>en perjuicio de las presuntas víctimas</w:t>
      </w:r>
      <w:r w:rsidR="00FB41E1" w:rsidRPr="00783597">
        <w:rPr>
          <w:sz w:val="20"/>
          <w:szCs w:val="20"/>
          <w:lang w:val="es-ES"/>
        </w:rPr>
        <w:t xml:space="preserve">. </w:t>
      </w:r>
      <w:r w:rsidR="003530F9" w:rsidRPr="00783597">
        <w:rPr>
          <w:sz w:val="20"/>
          <w:szCs w:val="20"/>
          <w:lang w:val="es-ES"/>
        </w:rPr>
        <w:t>Adicionalmente, e</w:t>
      </w:r>
      <w:r w:rsidR="00FB41E1" w:rsidRPr="00783597">
        <w:rPr>
          <w:sz w:val="20"/>
          <w:szCs w:val="20"/>
          <w:lang w:val="es-ES"/>
        </w:rPr>
        <w:t xml:space="preserve">n relación con los hechos que llevaron a las presuntas víctimas a solicitar el asilo y exiliarse en Suecia, </w:t>
      </w:r>
      <w:r w:rsidR="00ED0CBE" w:rsidRPr="00783597">
        <w:rPr>
          <w:sz w:val="20"/>
          <w:szCs w:val="20"/>
          <w:lang w:val="es-ES"/>
        </w:rPr>
        <w:t xml:space="preserve">ocurridos </w:t>
      </w:r>
      <w:r w:rsidR="00392C67" w:rsidRPr="00783597">
        <w:rPr>
          <w:sz w:val="20"/>
          <w:szCs w:val="20"/>
          <w:lang w:val="es-ES"/>
        </w:rPr>
        <w:t>con anterioridad a que Argentina depositara su instrumento de ratificación de la Convención Americana</w:t>
      </w:r>
      <w:r w:rsidR="00FB41E1" w:rsidRPr="00783597">
        <w:rPr>
          <w:sz w:val="20"/>
          <w:szCs w:val="20"/>
          <w:lang w:val="es-ES"/>
        </w:rPr>
        <w:t>, la CIDH considera que de ser ciertos podrían caracterizar presuntas violaciones de los derechos consagrados en los artículos I</w:t>
      </w:r>
      <w:r w:rsidR="00A01739" w:rsidRPr="00783597">
        <w:rPr>
          <w:sz w:val="20"/>
          <w:szCs w:val="20"/>
          <w:lang w:val="es-ES"/>
        </w:rPr>
        <w:t xml:space="preserve"> </w:t>
      </w:r>
      <w:r w:rsidR="00FB41E1" w:rsidRPr="00783597">
        <w:rPr>
          <w:sz w:val="20"/>
          <w:szCs w:val="20"/>
          <w:lang w:val="es-ES"/>
        </w:rPr>
        <w:t>y VIII</w:t>
      </w:r>
      <w:r w:rsidR="00A01739" w:rsidRPr="00783597">
        <w:rPr>
          <w:sz w:val="20"/>
          <w:szCs w:val="20"/>
          <w:lang w:val="es-ES"/>
        </w:rPr>
        <w:t xml:space="preserve"> </w:t>
      </w:r>
      <w:r w:rsidR="00FB41E1" w:rsidRPr="00783597">
        <w:rPr>
          <w:sz w:val="20"/>
          <w:szCs w:val="20"/>
          <w:lang w:val="es-ES"/>
        </w:rPr>
        <w:t>de la Declaración Americ</w:t>
      </w:r>
      <w:r w:rsidR="00B93CA1" w:rsidRPr="00783597">
        <w:rPr>
          <w:sz w:val="20"/>
          <w:szCs w:val="20"/>
          <w:lang w:val="es-ES"/>
        </w:rPr>
        <w:t>ana</w:t>
      </w:r>
      <w:r w:rsidR="00A640E0" w:rsidRPr="00783597">
        <w:rPr>
          <w:rStyle w:val="FootnoteReference"/>
          <w:sz w:val="20"/>
          <w:szCs w:val="20"/>
          <w:lang w:val="es-ES"/>
        </w:rPr>
        <w:footnoteReference w:id="9"/>
      </w:r>
      <w:r w:rsidR="00B93CA1" w:rsidRPr="00783597">
        <w:rPr>
          <w:sz w:val="20"/>
          <w:szCs w:val="20"/>
          <w:lang w:val="es-ES"/>
        </w:rPr>
        <w:t xml:space="preserve">. </w:t>
      </w:r>
      <w:r w:rsidR="004C73BC" w:rsidRPr="00783597">
        <w:rPr>
          <w:sz w:val="20"/>
          <w:szCs w:val="20"/>
          <w:lang w:val="es-ES"/>
        </w:rPr>
        <w:t xml:space="preserve">Asimismo, la CIDH considerará en la etapa de fondo la posible aplicación del artículo 22 de la </w:t>
      </w:r>
      <w:r w:rsidR="00A640E0" w:rsidRPr="00783597">
        <w:rPr>
          <w:sz w:val="20"/>
          <w:szCs w:val="20"/>
          <w:lang w:val="es-ES"/>
        </w:rPr>
        <w:t>C</w:t>
      </w:r>
      <w:r w:rsidR="00A640E0">
        <w:rPr>
          <w:sz w:val="20"/>
          <w:szCs w:val="20"/>
          <w:lang w:val="es-ES"/>
        </w:rPr>
        <w:t>onvención</w:t>
      </w:r>
      <w:r w:rsidR="004C73BC" w:rsidRPr="00783597">
        <w:rPr>
          <w:sz w:val="20"/>
          <w:szCs w:val="20"/>
          <w:lang w:val="es-ES"/>
        </w:rPr>
        <w:t xml:space="preserve"> en el contexto de los alegatos planteados en el presente asunto.</w:t>
      </w:r>
    </w:p>
    <w:p w:rsidR="003239B8" w:rsidRPr="00783597" w:rsidRDefault="00197375" w:rsidP="008D590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783597">
        <w:rPr>
          <w:rFonts w:asciiTheme="majorHAnsi" w:hAnsiTheme="majorHAnsi"/>
          <w:b/>
          <w:bCs/>
          <w:sz w:val="20"/>
          <w:szCs w:val="20"/>
          <w:lang w:val="es-ES"/>
        </w:rPr>
        <w:t>IX</w:t>
      </w:r>
      <w:r w:rsidR="003239B8" w:rsidRPr="00783597">
        <w:rPr>
          <w:rFonts w:asciiTheme="majorHAnsi" w:hAnsiTheme="majorHAnsi"/>
          <w:b/>
          <w:bCs/>
          <w:sz w:val="20"/>
          <w:szCs w:val="20"/>
          <w:lang w:val="es-ES"/>
        </w:rPr>
        <w:t xml:space="preserve">. </w:t>
      </w:r>
      <w:r w:rsidR="003239B8" w:rsidRPr="00783597">
        <w:rPr>
          <w:rFonts w:asciiTheme="majorHAnsi" w:hAnsiTheme="majorHAnsi"/>
          <w:b/>
          <w:bCs/>
          <w:sz w:val="20"/>
          <w:szCs w:val="20"/>
          <w:lang w:val="es-ES"/>
        </w:rPr>
        <w:tab/>
        <w:t>DECISIÓN</w:t>
      </w:r>
    </w:p>
    <w:p w:rsidR="000419AD" w:rsidRPr="00326A7E" w:rsidRDefault="00326A7E" w:rsidP="00326A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3597">
        <w:rPr>
          <w:rFonts w:asciiTheme="majorHAnsi" w:hAnsiTheme="majorHAnsi"/>
          <w:sz w:val="20"/>
          <w:szCs w:val="20"/>
          <w:lang w:val="es-ES"/>
        </w:rPr>
        <w:t xml:space="preserve">Declarar admisible la presente petición con relación a los artículos 8, </w:t>
      </w:r>
      <w:r w:rsidR="00787A50" w:rsidRPr="00783597">
        <w:rPr>
          <w:rFonts w:asciiTheme="majorHAnsi" w:hAnsiTheme="majorHAnsi"/>
          <w:sz w:val="20"/>
          <w:szCs w:val="20"/>
          <w:lang w:val="es-ES"/>
        </w:rPr>
        <w:t xml:space="preserve">13, </w:t>
      </w:r>
      <w:r w:rsidR="00C21E74" w:rsidRPr="00783597">
        <w:rPr>
          <w:rFonts w:asciiTheme="majorHAnsi" w:hAnsiTheme="majorHAnsi"/>
          <w:sz w:val="20"/>
          <w:szCs w:val="20"/>
          <w:lang w:val="es-ES"/>
        </w:rPr>
        <w:t xml:space="preserve">22, </w:t>
      </w:r>
      <w:r w:rsidRPr="00783597">
        <w:rPr>
          <w:rFonts w:asciiTheme="majorHAnsi" w:hAnsiTheme="majorHAnsi"/>
          <w:sz w:val="20"/>
          <w:szCs w:val="20"/>
          <w:lang w:val="es-ES"/>
        </w:rPr>
        <w:t>24</w:t>
      </w:r>
      <w:r w:rsidRPr="00326A7E">
        <w:rPr>
          <w:rFonts w:asciiTheme="majorHAnsi" w:hAnsiTheme="majorHAnsi"/>
          <w:sz w:val="20"/>
          <w:szCs w:val="20"/>
          <w:lang w:val="es-ES"/>
        </w:rPr>
        <w:t xml:space="preserve"> y 25 en conexión con </w:t>
      </w:r>
      <w:r w:rsidR="00787A50">
        <w:rPr>
          <w:rFonts w:asciiTheme="majorHAnsi" w:hAnsiTheme="majorHAnsi"/>
          <w:sz w:val="20"/>
          <w:szCs w:val="20"/>
          <w:lang w:val="es-ES"/>
        </w:rPr>
        <w:t>los</w:t>
      </w:r>
      <w:r w:rsidRPr="00326A7E">
        <w:rPr>
          <w:rFonts w:asciiTheme="majorHAnsi" w:hAnsiTheme="majorHAnsi"/>
          <w:sz w:val="20"/>
          <w:szCs w:val="20"/>
          <w:lang w:val="es-ES"/>
        </w:rPr>
        <w:t xml:space="preserve"> artículo</w:t>
      </w:r>
      <w:r w:rsidR="00787A50">
        <w:rPr>
          <w:rFonts w:asciiTheme="majorHAnsi" w:hAnsiTheme="majorHAnsi"/>
          <w:sz w:val="20"/>
          <w:szCs w:val="20"/>
          <w:lang w:val="es-ES"/>
        </w:rPr>
        <w:t>s</w:t>
      </w:r>
      <w:r w:rsidRPr="00326A7E">
        <w:rPr>
          <w:rFonts w:asciiTheme="majorHAnsi" w:hAnsiTheme="majorHAnsi"/>
          <w:sz w:val="20"/>
          <w:szCs w:val="20"/>
          <w:lang w:val="es-ES"/>
        </w:rPr>
        <w:t xml:space="preserve"> 1.1 </w:t>
      </w:r>
      <w:r w:rsidR="00787A50">
        <w:rPr>
          <w:rFonts w:asciiTheme="majorHAnsi" w:hAnsiTheme="majorHAnsi"/>
          <w:sz w:val="20"/>
          <w:szCs w:val="20"/>
          <w:lang w:val="es-ES"/>
        </w:rPr>
        <w:t xml:space="preserve">y 2 </w:t>
      </w:r>
      <w:r w:rsidRPr="00326A7E">
        <w:rPr>
          <w:rFonts w:asciiTheme="majorHAnsi" w:hAnsiTheme="majorHAnsi"/>
          <w:sz w:val="20"/>
          <w:szCs w:val="20"/>
          <w:lang w:val="es-ES"/>
        </w:rPr>
        <w:t>de la Convención Americana</w:t>
      </w:r>
      <w:r>
        <w:rPr>
          <w:rFonts w:asciiTheme="majorHAnsi" w:hAnsiTheme="majorHAnsi"/>
          <w:sz w:val="20"/>
          <w:szCs w:val="20"/>
          <w:lang w:val="es-ES"/>
        </w:rPr>
        <w:t xml:space="preserve"> y </w:t>
      </w:r>
      <w:r w:rsidRPr="00326A7E">
        <w:rPr>
          <w:rFonts w:asciiTheme="majorHAnsi" w:hAnsiTheme="majorHAnsi"/>
          <w:sz w:val="20"/>
          <w:szCs w:val="20"/>
          <w:lang w:val="es-ES"/>
        </w:rPr>
        <w:t>los artículos I y VIII de la Declaración Americana de los Derechos y Deberes del Hombre.</w:t>
      </w:r>
    </w:p>
    <w:p w:rsidR="003239B8" w:rsidRPr="003239B8" w:rsidRDefault="003239B8" w:rsidP="008273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rsidR="003239B8" w:rsidRPr="003239B8" w:rsidRDefault="003239B8" w:rsidP="008273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rsidR="00722C9F" w:rsidRPr="00510C75" w:rsidRDefault="003239B8"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rsidR="00510C75" w:rsidRPr="00A37B82" w:rsidRDefault="00510C75" w:rsidP="00510C75">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DB6A86">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510C75" w:rsidRPr="00A37B82" w:rsidRDefault="00510C75" w:rsidP="00510C75">
      <w:pPr>
        <w:suppressAutoHyphens/>
        <w:ind w:firstLine="720"/>
        <w:jc w:val="both"/>
        <w:rPr>
          <w:rFonts w:asciiTheme="majorHAnsi" w:hAnsiTheme="majorHAnsi" w:cs="Arial"/>
          <w:noProof/>
          <w:spacing w:val="-2"/>
          <w:sz w:val="20"/>
          <w:szCs w:val="20"/>
          <w:lang w:val="es-CL"/>
        </w:rPr>
      </w:pPr>
    </w:p>
    <w:sectPr w:rsidR="00510C75" w:rsidRPr="00A37B82" w:rsidSect="002739CE">
      <w:type w:val="oddPage"/>
      <w:pgSz w:w="12240" w:h="15840"/>
      <w:pgMar w:top="135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7D" w:rsidRDefault="008E2E7D">
      <w:r>
        <w:separator/>
      </w:r>
    </w:p>
  </w:endnote>
  <w:endnote w:type="continuationSeparator" w:id="0">
    <w:p w:rsidR="008E2E7D" w:rsidRDefault="008E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44" w:rsidRDefault="00622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22244">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7D" w:rsidRPr="000F35ED" w:rsidRDefault="008E2E7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E2E7D" w:rsidRPr="000F35ED" w:rsidRDefault="008E2E7D" w:rsidP="000F35ED">
      <w:pPr>
        <w:rPr>
          <w:rFonts w:asciiTheme="majorHAnsi" w:hAnsiTheme="majorHAnsi"/>
          <w:sz w:val="16"/>
          <w:szCs w:val="16"/>
        </w:rPr>
      </w:pPr>
      <w:r w:rsidRPr="000F35ED">
        <w:rPr>
          <w:rFonts w:asciiTheme="majorHAnsi" w:hAnsiTheme="majorHAnsi"/>
          <w:sz w:val="16"/>
          <w:szCs w:val="16"/>
        </w:rPr>
        <w:separator/>
      </w:r>
    </w:p>
    <w:p w:rsidR="008E2E7D" w:rsidRPr="000F35ED" w:rsidRDefault="008E2E7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E2E7D" w:rsidRPr="000F35ED" w:rsidRDefault="008E2E7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239B8" w:rsidRPr="00EB68E5" w:rsidRDefault="003239B8" w:rsidP="007D3755">
      <w:pPr>
        <w:pStyle w:val="FootnoteText"/>
        <w:spacing w:after="120"/>
        <w:ind w:firstLine="720"/>
        <w:jc w:val="both"/>
        <w:rPr>
          <w:rFonts w:asciiTheme="minorHAnsi" w:hAnsiTheme="minorHAnsi"/>
          <w:sz w:val="16"/>
          <w:szCs w:val="16"/>
          <w:lang w:val="es-ES"/>
        </w:rPr>
      </w:pPr>
      <w:r w:rsidRPr="00EB68E5">
        <w:rPr>
          <w:rStyle w:val="FootnoteReference"/>
          <w:rFonts w:asciiTheme="minorHAnsi" w:hAnsiTheme="minorHAnsi"/>
          <w:sz w:val="16"/>
          <w:szCs w:val="16"/>
        </w:rPr>
        <w:footnoteRef/>
      </w:r>
      <w:r w:rsidRPr="00EB68E5">
        <w:rPr>
          <w:rFonts w:asciiTheme="minorHAnsi" w:hAnsiTheme="minorHAnsi"/>
          <w:sz w:val="16"/>
          <w:szCs w:val="16"/>
          <w:lang w:val="es-ES"/>
        </w:rPr>
        <w:t xml:space="preserve"> </w:t>
      </w:r>
      <w:r w:rsidR="007D3755" w:rsidRPr="007D3755">
        <w:rPr>
          <w:rFonts w:asciiTheme="minorHAnsi" w:hAnsiTheme="minorHAnsi"/>
          <w:sz w:val="16"/>
          <w:szCs w:val="16"/>
          <w:lang w:val="es-ES"/>
        </w:rPr>
        <w:t>Todas las observaciones recibidas fueron debidamente trasladadas a la parte contraria</w:t>
      </w:r>
      <w:r w:rsidRPr="00EB68E5">
        <w:rPr>
          <w:rFonts w:asciiTheme="minorHAnsi" w:hAnsiTheme="minorHAnsi"/>
          <w:sz w:val="16"/>
          <w:szCs w:val="16"/>
          <w:lang w:val="es-ES"/>
        </w:rPr>
        <w:t>.</w:t>
      </w:r>
    </w:p>
  </w:footnote>
  <w:footnote w:id="3">
    <w:p w:rsidR="00C53B9F" w:rsidRPr="00EB68E5" w:rsidRDefault="00C53B9F" w:rsidP="007D3755">
      <w:pPr>
        <w:pStyle w:val="FootnoteText"/>
        <w:spacing w:after="120"/>
        <w:ind w:firstLine="720"/>
        <w:jc w:val="both"/>
        <w:rPr>
          <w:rFonts w:asciiTheme="minorHAnsi" w:hAnsiTheme="minorHAnsi"/>
          <w:sz w:val="16"/>
          <w:szCs w:val="16"/>
          <w:lang w:val="es-ES"/>
        </w:rPr>
      </w:pPr>
      <w:r w:rsidRPr="00EB68E5">
        <w:rPr>
          <w:rStyle w:val="FootnoteReference"/>
          <w:rFonts w:asciiTheme="minorHAnsi" w:hAnsiTheme="minorHAnsi"/>
          <w:sz w:val="16"/>
          <w:szCs w:val="16"/>
        </w:rPr>
        <w:footnoteRef/>
      </w:r>
      <w:r w:rsidRPr="00EB68E5">
        <w:rPr>
          <w:rFonts w:asciiTheme="minorHAnsi" w:hAnsiTheme="minorHAnsi"/>
          <w:sz w:val="16"/>
          <w:szCs w:val="16"/>
          <w:lang w:val="es-ES"/>
        </w:rPr>
        <w:t xml:space="preserve"> En adelante “Declaración” o “Declaración Americana”. De acuerdo a lo establecido en el artículo 23 del Reglamento de la Comisión, esta es competente para conocer y pronunciarse sobre presuntas violaciones de la Declaración Americana, por parte del Estado argentino, respecto a hechos ocurridos antes de la entrada en vigor de la Convención.</w:t>
      </w:r>
    </w:p>
  </w:footnote>
  <w:footnote w:id="4">
    <w:p w:rsidR="00C53B9F" w:rsidRPr="00EB68E5" w:rsidRDefault="00C53B9F" w:rsidP="007D3755">
      <w:pPr>
        <w:pStyle w:val="FootnoteText"/>
        <w:spacing w:after="120"/>
        <w:ind w:firstLine="720"/>
        <w:jc w:val="both"/>
        <w:rPr>
          <w:rFonts w:asciiTheme="minorHAnsi" w:hAnsiTheme="minorHAnsi"/>
          <w:lang w:val="es-ES"/>
        </w:rPr>
      </w:pPr>
      <w:r w:rsidRPr="00EB68E5">
        <w:rPr>
          <w:rStyle w:val="FootnoteReference"/>
          <w:rFonts w:asciiTheme="minorHAnsi" w:hAnsiTheme="minorHAnsi"/>
          <w:sz w:val="16"/>
          <w:szCs w:val="16"/>
        </w:rPr>
        <w:footnoteRef/>
      </w:r>
      <w:r w:rsidRPr="00EB68E5">
        <w:rPr>
          <w:rFonts w:asciiTheme="minorHAnsi" w:hAnsiTheme="minorHAnsi"/>
          <w:sz w:val="16"/>
          <w:szCs w:val="16"/>
          <w:lang w:val="es-ES"/>
        </w:rPr>
        <w:t xml:space="preserve"> En adelante “Convención” o “Convención Americana”. Depósito de instrumento realizado el 5 de septiembre de 1984.</w:t>
      </w:r>
    </w:p>
  </w:footnote>
  <w:footnote w:id="5">
    <w:p w:rsidR="00F7093A" w:rsidRPr="00EB68E5" w:rsidRDefault="00F7093A" w:rsidP="007D3755">
      <w:pPr>
        <w:pStyle w:val="FootnoteText"/>
        <w:spacing w:after="120"/>
        <w:ind w:firstLine="720"/>
        <w:jc w:val="both"/>
        <w:rPr>
          <w:rFonts w:asciiTheme="minorHAnsi" w:hAnsiTheme="minorHAnsi"/>
          <w:lang w:val="es-ES"/>
        </w:rPr>
      </w:pPr>
      <w:r w:rsidRPr="00EB68E5">
        <w:rPr>
          <w:rStyle w:val="FootnoteReference"/>
          <w:rFonts w:asciiTheme="minorHAnsi" w:hAnsiTheme="minorHAnsi"/>
          <w:sz w:val="16"/>
          <w:szCs w:val="16"/>
        </w:rPr>
        <w:footnoteRef/>
      </w:r>
      <w:r w:rsidRPr="00EB68E5">
        <w:rPr>
          <w:rFonts w:asciiTheme="minorHAnsi" w:hAnsiTheme="minorHAnsi"/>
          <w:sz w:val="16"/>
          <w:szCs w:val="16"/>
          <w:lang w:val="es-ES"/>
        </w:rPr>
        <w:t xml:space="preserve"> El Estado hace referencia a CIDH, Informe No. 1/93 respecto de los casos 10.288, 10.310, 10.436, 10.496 10.631 y 10.771, Solución Amistosa, Argentina, 3 de marzo de 1993.</w:t>
      </w:r>
    </w:p>
  </w:footnote>
  <w:footnote w:id="6">
    <w:p w:rsidR="003530F9" w:rsidRPr="00EB68E5" w:rsidRDefault="003530F9" w:rsidP="007D3755">
      <w:pPr>
        <w:pStyle w:val="FootnoteText"/>
        <w:spacing w:after="120"/>
        <w:ind w:firstLine="720"/>
        <w:jc w:val="both"/>
        <w:rPr>
          <w:rFonts w:asciiTheme="minorHAnsi" w:hAnsiTheme="minorHAnsi"/>
          <w:lang w:val="es-ES"/>
        </w:rPr>
      </w:pPr>
      <w:r w:rsidRPr="00EB68E5">
        <w:rPr>
          <w:rStyle w:val="FootnoteReference"/>
          <w:rFonts w:asciiTheme="minorHAnsi" w:hAnsiTheme="minorHAnsi"/>
          <w:sz w:val="16"/>
        </w:rPr>
        <w:footnoteRef/>
      </w:r>
      <w:r w:rsidRPr="00EB68E5">
        <w:rPr>
          <w:rFonts w:asciiTheme="minorHAnsi" w:hAnsiTheme="minorHAnsi"/>
          <w:lang w:val="es-ES"/>
        </w:rPr>
        <w:t xml:space="preserve"> </w:t>
      </w:r>
      <w:r w:rsidRPr="00EB68E5">
        <w:rPr>
          <w:rFonts w:asciiTheme="minorHAnsi" w:hAnsiTheme="minorHAnsi"/>
          <w:sz w:val="16"/>
          <w:lang w:val="es-ES"/>
        </w:rPr>
        <w:t>CIDH, Informe No. 45/14, Petición 325-00, Admisibilidad, Rufino Jorge Almeida, Argentina, 18 de julio de 2014, párr. 57.</w:t>
      </w:r>
    </w:p>
  </w:footnote>
  <w:footnote w:id="7">
    <w:p w:rsidR="006A4998" w:rsidRPr="00EB68E5" w:rsidRDefault="006A4998" w:rsidP="007D3755">
      <w:pPr>
        <w:pStyle w:val="FootnoteText"/>
        <w:spacing w:after="120"/>
        <w:ind w:firstLine="720"/>
        <w:jc w:val="both"/>
        <w:rPr>
          <w:rFonts w:asciiTheme="minorHAnsi" w:hAnsiTheme="minorHAnsi"/>
          <w:sz w:val="16"/>
          <w:szCs w:val="16"/>
          <w:lang w:val="es-ES"/>
        </w:rPr>
      </w:pPr>
      <w:r w:rsidRPr="00EB68E5">
        <w:rPr>
          <w:rStyle w:val="FootnoteReference"/>
          <w:rFonts w:asciiTheme="minorHAnsi" w:hAnsiTheme="minorHAnsi"/>
          <w:sz w:val="16"/>
          <w:szCs w:val="16"/>
        </w:rPr>
        <w:footnoteRef/>
      </w:r>
      <w:r w:rsidRPr="00EB68E5">
        <w:rPr>
          <w:rFonts w:asciiTheme="minorHAnsi" w:hAnsiTheme="minorHAnsi"/>
          <w:sz w:val="16"/>
          <w:szCs w:val="16"/>
          <w:lang w:val="es-ES"/>
        </w:rPr>
        <w:t xml:space="preserve"> CIDH, Informe No. 12/10, Caso 12.106, Admisibilidad, Enrique Hermann Pfister Frías y Lucrecia Pfister Frías, Argentina, 16 de marzo de 2010, párr. 37.</w:t>
      </w:r>
    </w:p>
  </w:footnote>
  <w:footnote w:id="8">
    <w:p w:rsidR="00B27C90" w:rsidRPr="00EB68E5" w:rsidRDefault="00B27C90" w:rsidP="007D3755">
      <w:pPr>
        <w:pStyle w:val="FootnoteText"/>
        <w:spacing w:after="120"/>
        <w:ind w:firstLine="720"/>
        <w:jc w:val="both"/>
        <w:rPr>
          <w:rFonts w:asciiTheme="minorHAnsi" w:hAnsiTheme="minorHAnsi"/>
          <w:lang w:val="es-ES"/>
        </w:rPr>
      </w:pPr>
      <w:r w:rsidRPr="00EB68E5">
        <w:rPr>
          <w:rStyle w:val="FootnoteReference"/>
          <w:rFonts w:asciiTheme="minorHAnsi" w:hAnsiTheme="minorHAnsi"/>
          <w:sz w:val="16"/>
          <w:szCs w:val="16"/>
        </w:rPr>
        <w:footnoteRef/>
      </w:r>
      <w:r w:rsidRPr="00EB68E5">
        <w:rPr>
          <w:rFonts w:asciiTheme="minorHAnsi" w:hAnsiTheme="minorHAnsi"/>
          <w:sz w:val="16"/>
          <w:szCs w:val="16"/>
          <w:lang w:val="es-ES"/>
        </w:rPr>
        <w:t xml:space="preserve"> </w:t>
      </w:r>
      <w:r w:rsidR="008E16EB" w:rsidRPr="008E16EB">
        <w:rPr>
          <w:rFonts w:asciiTheme="minorHAnsi" w:hAnsiTheme="minorHAnsi" w:hint="eastAsia"/>
          <w:sz w:val="16"/>
          <w:szCs w:val="16"/>
          <w:lang w:val="es-ES"/>
        </w:rPr>
        <w:t xml:space="preserve">Corte Suprema de Justicia de la Nación, sentencia de 14 de octubre de 2004, </w:t>
      </w:r>
      <w:r w:rsidR="008E16EB">
        <w:rPr>
          <w:rFonts w:asciiTheme="minorHAnsi" w:hAnsiTheme="minorHAnsi"/>
          <w:sz w:val="16"/>
          <w:szCs w:val="16"/>
          <w:lang w:val="es-ES"/>
        </w:rPr>
        <w:t>“</w:t>
      </w:r>
      <w:r w:rsidR="008E16EB" w:rsidRPr="008E16EB">
        <w:rPr>
          <w:rFonts w:asciiTheme="minorHAnsi" w:hAnsiTheme="minorHAnsi" w:hint="eastAsia"/>
          <w:sz w:val="16"/>
          <w:szCs w:val="16"/>
          <w:lang w:val="es-ES"/>
        </w:rPr>
        <w:t>Yofre de Vaca Narvaja, Susana c/ M˚ del Interior- resol. M.J.H. (expte. 443.459/98)</w:t>
      </w:r>
      <w:r w:rsidR="008E16EB">
        <w:rPr>
          <w:rFonts w:asciiTheme="minorHAnsi" w:hAnsiTheme="minorHAnsi"/>
          <w:sz w:val="16"/>
          <w:szCs w:val="16"/>
          <w:lang w:val="es-ES"/>
        </w:rPr>
        <w:t>”</w:t>
      </w:r>
      <w:r w:rsidR="008E16EB" w:rsidRPr="008E16EB">
        <w:rPr>
          <w:rFonts w:asciiTheme="minorHAnsi" w:hAnsiTheme="minorHAnsi" w:hint="eastAsia"/>
          <w:sz w:val="16"/>
          <w:szCs w:val="16"/>
          <w:lang w:val="es-ES"/>
        </w:rPr>
        <w:t xml:space="preserve">. La cita corresponde al dictamen de la Procuración General en este caso el cual es compartido por la Corte. Este precedente fue reiterado, en los casos de la Corte Suprema de Justicia: </w:t>
      </w:r>
      <w:r w:rsidR="008E16EB">
        <w:rPr>
          <w:rFonts w:asciiTheme="minorHAnsi" w:hAnsiTheme="minorHAnsi"/>
          <w:sz w:val="16"/>
          <w:szCs w:val="16"/>
          <w:lang w:val="es-ES"/>
        </w:rPr>
        <w:t>“</w:t>
      </w:r>
      <w:r w:rsidR="008E16EB" w:rsidRPr="008E16EB">
        <w:rPr>
          <w:rFonts w:asciiTheme="minorHAnsi" w:hAnsiTheme="minorHAnsi" w:hint="eastAsia"/>
          <w:sz w:val="16"/>
          <w:szCs w:val="16"/>
          <w:lang w:val="es-ES"/>
        </w:rPr>
        <w:t>Cuesta, Lucrecia Silvia c/ M˚J y DD.HH. art. 3 ley 24.043 (resol. 550/01)</w:t>
      </w:r>
      <w:r w:rsidR="008E16EB">
        <w:rPr>
          <w:rFonts w:asciiTheme="minorHAnsi" w:hAnsiTheme="minorHAnsi"/>
          <w:sz w:val="16"/>
          <w:szCs w:val="16"/>
          <w:lang w:val="es-ES"/>
        </w:rPr>
        <w:t xml:space="preserve">” </w:t>
      </w:r>
      <w:r w:rsidR="008E16EB" w:rsidRPr="008E16EB">
        <w:rPr>
          <w:rFonts w:asciiTheme="minorHAnsi" w:hAnsiTheme="minorHAnsi" w:hint="eastAsia"/>
          <w:sz w:val="16"/>
          <w:szCs w:val="16"/>
          <w:lang w:val="es-ES"/>
        </w:rPr>
        <w:t xml:space="preserve">de 28 de marzo de 2006. De igual manera, la Corte Suprema se refirió al pasaje citado en </w:t>
      </w:r>
      <w:r w:rsidR="008E16EB">
        <w:rPr>
          <w:rFonts w:asciiTheme="minorHAnsi" w:hAnsiTheme="minorHAnsi"/>
          <w:sz w:val="16"/>
          <w:szCs w:val="16"/>
          <w:lang w:val="es-ES"/>
        </w:rPr>
        <w:t>“</w:t>
      </w:r>
      <w:r w:rsidR="008E16EB" w:rsidRPr="008E16EB">
        <w:rPr>
          <w:rFonts w:asciiTheme="minorHAnsi" w:hAnsiTheme="minorHAnsi" w:hint="eastAsia"/>
          <w:sz w:val="16"/>
          <w:szCs w:val="16"/>
          <w:lang w:val="es-ES"/>
        </w:rPr>
        <w:t>Dragoevich, Héctor Ramón c/ M˚ de J y DD.HH. –art. 3 ley 24.043 (resol. 612/01)</w:t>
      </w:r>
      <w:r w:rsidR="008E16EB">
        <w:rPr>
          <w:rFonts w:asciiTheme="minorHAnsi" w:hAnsiTheme="minorHAnsi"/>
          <w:sz w:val="16"/>
          <w:szCs w:val="16"/>
          <w:lang w:val="es-ES"/>
        </w:rPr>
        <w:t>”,</w:t>
      </w:r>
      <w:r w:rsidR="008E16EB" w:rsidRPr="008E16EB">
        <w:rPr>
          <w:rFonts w:asciiTheme="minorHAnsi" w:hAnsiTheme="minorHAnsi" w:hint="eastAsia"/>
          <w:sz w:val="16"/>
          <w:szCs w:val="16"/>
          <w:lang w:val="es-ES"/>
        </w:rPr>
        <w:t xml:space="preserve"> sentencia de 2 de diciembre de 2008.</w:t>
      </w:r>
    </w:p>
  </w:footnote>
  <w:footnote w:id="9">
    <w:p w:rsidR="0047654E" w:rsidRPr="0047654E" w:rsidRDefault="00A640E0" w:rsidP="0047654E">
      <w:pPr>
        <w:pStyle w:val="FootnoteText"/>
        <w:spacing w:after="120"/>
        <w:ind w:firstLine="720"/>
        <w:jc w:val="both"/>
        <w:rPr>
          <w:rFonts w:asciiTheme="minorHAnsi" w:hAnsiTheme="minorHAnsi"/>
          <w:sz w:val="16"/>
          <w:lang w:val="es-ES"/>
        </w:rPr>
      </w:pPr>
      <w:r w:rsidRPr="004F38F2">
        <w:rPr>
          <w:rStyle w:val="FootnoteReference"/>
          <w:rFonts w:asciiTheme="minorHAnsi" w:hAnsiTheme="minorHAnsi"/>
          <w:sz w:val="16"/>
        </w:rPr>
        <w:footnoteRef/>
      </w:r>
      <w:r w:rsidRPr="004F38F2">
        <w:rPr>
          <w:rFonts w:asciiTheme="minorHAnsi" w:hAnsiTheme="minorHAnsi"/>
          <w:sz w:val="16"/>
          <w:lang w:val="es-ES"/>
        </w:rPr>
        <w:t xml:space="preserve"> En relación con la presunta violación de</w:t>
      </w:r>
      <w:r>
        <w:rPr>
          <w:rFonts w:asciiTheme="minorHAnsi" w:hAnsiTheme="minorHAnsi"/>
          <w:sz w:val="16"/>
          <w:lang w:val="es-ES"/>
        </w:rPr>
        <w:t>l artículo 7</w:t>
      </w:r>
      <w:r w:rsidRPr="004F38F2">
        <w:rPr>
          <w:rFonts w:asciiTheme="minorHAnsi" w:hAnsiTheme="minorHAnsi"/>
          <w:sz w:val="16"/>
          <w:lang w:val="es-ES"/>
        </w:rPr>
        <w:t xml:space="preserve"> alegada por los peticionarios, la CIDH observa que </w:t>
      </w:r>
      <w:r>
        <w:rPr>
          <w:rFonts w:asciiTheme="minorHAnsi" w:hAnsiTheme="minorHAnsi"/>
          <w:sz w:val="16"/>
          <w:lang w:val="es-ES"/>
        </w:rPr>
        <w:t xml:space="preserve">los hechos alegados </w:t>
      </w:r>
      <w:r w:rsidRPr="004F38F2">
        <w:rPr>
          <w:rFonts w:asciiTheme="minorHAnsi" w:hAnsiTheme="minorHAnsi"/>
          <w:sz w:val="16"/>
          <w:lang w:val="es-ES"/>
        </w:rPr>
        <w:t xml:space="preserve">tuvieron lugar con anterioridad a que Argentina ratificara la Convención Americana; y en consecuencia no tiene competencia temporal para analizarlos a la luz de dicho instrumento. Por lo tanto, la CIDH </w:t>
      </w:r>
      <w:r>
        <w:rPr>
          <w:rFonts w:asciiTheme="minorHAnsi" w:hAnsiTheme="minorHAnsi"/>
          <w:sz w:val="16"/>
          <w:lang w:val="es-ES"/>
        </w:rPr>
        <w:t>analizará los</w:t>
      </w:r>
      <w:r w:rsidRPr="004F38F2">
        <w:rPr>
          <w:rFonts w:asciiTheme="minorHAnsi" w:hAnsiTheme="minorHAnsi"/>
          <w:sz w:val="16"/>
          <w:lang w:val="es-ES"/>
        </w:rPr>
        <w:t xml:space="preserve"> mismo</w:t>
      </w:r>
      <w:r>
        <w:rPr>
          <w:rFonts w:asciiTheme="minorHAnsi" w:hAnsiTheme="minorHAnsi"/>
          <w:sz w:val="16"/>
          <w:lang w:val="es-ES"/>
        </w:rPr>
        <w:t>s</w:t>
      </w:r>
      <w:r w:rsidRPr="004F38F2">
        <w:rPr>
          <w:rFonts w:asciiTheme="minorHAnsi" w:hAnsiTheme="minorHAnsi"/>
          <w:sz w:val="16"/>
          <w:lang w:val="es-ES"/>
        </w:rPr>
        <w:t xml:space="preserve"> bajo la Declaración Americana</w:t>
      </w:r>
      <w:r>
        <w:rPr>
          <w:rFonts w:asciiTheme="minorHAnsi" w:hAnsiTheme="minorHAnsi"/>
          <w:sz w:val="16"/>
          <w:lang w:val="es-ES"/>
        </w:rPr>
        <w:t xml:space="preserve"> ya que a</w:t>
      </w:r>
      <w:r w:rsidRPr="00AF3686">
        <w:rPr>
          <w:rFonts w:asciiTheme="minorHAnsi" w:hAnsiTheme="minorHAnsi"/>
          <w:sz w:val="16"/>
          <w:lang w:val="es-ES"/>
        </w:rPr>
        <w:t>l momento de los hechos, Argentina era parte de la Carta de la OEA y, consecuentemente, tenía la obligación de respetar los derechos amparados por la Declaración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E2E7D"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44" w:rsidRDefault="00622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E0C0BE30"/>
    <w:lvl w:ilvl="0" w:tplc="FB721056">
      <w:start w:val="4"/>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86A7FBA"/>
    <w:multiLevelType w:val="hybridMultilevel"/>
    <w:tmpl w:val="C4F6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89E"/>
    <w:rsid w:val="00006E1F"/>
    <w:rsid w:val="000070D7"/>
    <w:rsid w:val="0001788C"/>
    <w:rsid w:val="00026582"/>
    <w:rsid w:val="0003041C"/>
    <w:rsid w:val="0003043F"/>
    <w:rsid w:val="00030DE6"/>
    <w:rsid w:val="00040C3A"/>
    <w:rsid w:val="000419AD"/>
    <w:rsid w:val="00044A0A"/>
    <w:rsid w:val="00047E0C"/>
    <w:rsid w:val="00055563"/>
    <w:rsid w:val="00065A1E"/>
    <w:rsid w:val="000716C5"/>
    <w:rsid w:val="00075E23"/>
    <w:rsid w:val="000772B2"/>
    <w:rsid w:val="00090104"/>
    <w:rsid w:val="0009344A"/>
    <w:rsid w:val="000A392E"/>
    <w:rsid w:val="000A4845"/>
    <w:rsid w:val="000A575F"/>
    <w:rsid w:val="000D10DB"/>
    <w:rsid w:val="000D759E"/>
    <w:rsid w:val="000E5EB5"/>
    <w:rsid w:val="000E7038"/>
    <w:rsid w:val="000F35ED"/>
    <w:rsid w:val="00107131"/>
    <w:rsid w:val="0010736F"/>
    <w:rsid w:val="00113F73"/>
    <w:rsid w:val="00121CC2"/>
    <w:rsid w:val="00133471"/>
    <w:rsid w:val="00133EE5"/>
    <w:rsid w:val="00157F26"/>
    <w:rsid w:val="00167A34"/>
    <w:rsid w:val="001814F1"/>
    <w:rsid w:val="00197375"/>
    <w:rsid w:val="001A7870"/>
    <w:rsid w:val="001C1B41"/>
    <w:rsid w:val="001D14A5"/>
    <w:rsid w:val="001D1ADA"/>
    <w:rsid w:val="001D4A4A"/>
    <w:rsid w:val="001D65EF"/>
    <w:rsid w:val="001D7469"/>
    <w:rsid w:val="001D752C"/>
    <w:rsid w:val="001F0324"/>
    <w:rsid w:val="001F551E"/>
    <w:rsid w:val="001F7201"/>
    <w:rsid w:val="002249D9"/>
    <w:rsid w:val="002250A3"/>
    <w:rsid w:val="00235217"/>
    <w:rsid w:val="002356AD"/>
    <w:rsid w:val="00240A6E"/>
    <w:rsid w:val="00246839"/>
    <w:rsid w:val="00246D1F"/>
    <w:rsid w:val="00247403"/>
    <w:rsid w:val="00247542"/>
    <w:rsid w:val="00266B61"/>
    <w:rsid w:val="0026712A"/>
    <w:rsid w:val="002704DB"/>
    <w:rsid w:val="002739CE"/>
    <w:rsid w:val="0027475B"/>
    <w:rsid w:val="0028793D"/>
    <w:rsid w:val="002A0AAE"/>
    <w:rsid w:val="002A5820"/>
    <w:rsid w:val="002A79D4"/>
    <w:rsid w:val="002B718F"/>
    <w:rsid w:val="002C3162"/>
    <w:rsid w:val="002D00AD"/>
    <w:rsid w:val="002D2B26"/>
    <w:rsid w:val="002D5212"/>
    <w:rsid w:val="002D7EA2"/>
    <w:rsid w:val="002E187C"/>
    <w:rsid w:val="00302733"/>
    <w:rsid w:val="00305524"/>
    <w:rsid w:val="00314078"/>
    <w:rsid w:val="00314237"/>
    <w:rsid w:val="00314B34"/>
    <w:rsid w:val="0031535D"/>
    <w:rsid w:val="0031609F"/>
    <w:rsid w:val="003239B8"/>
    <w:rsid w:val="00326A7E"/>
    <w:rsid w:val="0033169F"/>
    <w:rsid w:val="003326E5"/>
    <w:rsid w:val="003334A9"/>
    <w:rsid w:val="00346C95"/>
    <w:rsid w:val="003530F9"/>
    <w:rsid w:val="00356185"/>
    <w:rsid w:val="0036018F"/>
    <w:rsid w:val="00360380"/>
    <w:rsid w:val="003674A3"/>
    <w:rsid w:val="0037519E"/>
    <w:rsid w:val="00376199"/>
    <w:rsid w:val="00381A5A"/>
    <w:rsid w:val="00381FA3"/>
    <w:rsid w:val="00386CF0"/>
    <w:rsid w:val="00392C67"/>
    <w:rsid w:val="003A1D94"/>
    <w:rsid w:val="003B5686"/>
    <w:rsid w:val="003B70FB"/>
    <w:rsid w:val="003C5EB9"/>
    <w:rsid w:val="003C676B"/>
    <w:rsid w:val="003D3BC2"/>
    <w:rsid w:val="003E6CA1"/>
    <w:rsid w:val="0040395B"/>
    <w:rsid w:val="00406015"/>
    <w:rsid w:val="004060F5"/>
    <w:rsid w:val="004069C9"/>
    <w:rsid w:val="0040742E"/>
    <w:rsid w:val="00412101"/>
    <w:rsid w:val="004165C2"/>
    <w:rsid w:val="0043174F"/>
    <w:rsid w:val="00441ECB"/>
    <w:rsid w:val="00445193"/>
    <w:rsid w:val="004513E6"/>
    <w:rsid w:val="00462C1B"/>
    <w:rsid w:val="00467B7E"/>
    <w:rsid w:val="00467FBB"/>
    <w:rsid w:val="00473162"/>
    <w:rsid w:val="00473BB4"/>
    <w:rsid w:val="00474470"/>
    <w:rsid w:val="004759EE"/>
    <w:rsid w:val="0047654E"/>
    <w:rsid w:val="00477592"/>
    <w:rsid w:val="00486F1C"/>
    <w:rsid w:val="0049419D"/>
    <w:rsid w:val="004A67AD"/>
    <w:rsid w:val="004B4ECE"/>
    <w:rsid w:val="004C20D2"/>
    <w:rsid w:val="004C4B62"/>
    <w:rsid w:val="004C54C9"/>
    <w:rsid w:val="004C73BC"/>
    <w:rsid w:val="004D4ABA"/>
    <w:rsid w:val="004D6025"/>
    <w:rsid w:val="004E2649"/>
    <w:rsid w:val="004E69EB"/>
    <w:rsid w:val="004F38F2"/>
    <w:rsid w:val="004F4978"/>
    <w:rsid w:val="004F6717"/>
    <w:rsid w:val="00501399"/>
    <w:rsid w:val="0050314B"/>
    <w:rsid w:val="0050633D"/>
    <w:rsid w:val="00507BC4"/>
    <w:rsid w:val="00510C75"/>
    <w:rsid w:val="005128E4"/>
    <w:rsid w:val="005133DB"/>
    <w:rsid w:val="00523B16"/>
    <w:rsid w:val="00525560"/>
    <w:rsid w:val="00542F0A"/>
    <w:rsid w:val="00544C49"/>
    <w:rsid w:val="005516A1"/>
    <w:rsid w:val="005545B0"/>
    <w:rsid w:val="00555243"/>
    <w:rsid w:val="0055644A"/>
    <w:rsid w:val="0056007C"/>
    <w:rsid w:val="00563557"/>
    <w:rsid w:val="005668C9"/>
    <w:rsid w:val="0057402A"/>
    <w:rsid w:val="005771D0"/>
    <w:rsid w:val="00580EC7"/>
    <w:rsid w:val="00583580"/>
    <w:rsid w:val="0059191A"/>
    <w:rsid w:val="005921FF"/>
    <w:rsid w:val="005A24ED"/>
    <w:rsid w:val="005A2FF2"/>
    <w:rsid w:val="005A6D0E"/>
    <w:rsid w:val="005B52B0"/>
    <w:rsid w:val="005B6806"/>
    <w:rsid w:val="005C3C56"/>
    <w:rsid w:val="005C4225"/>
    <w:rsid w:val="005D1173"/>
    <w:rsid w:val="005E4047"/>
    <w:rsid w:val="005E461A"/>
    <w:rsid w:val="005E4E25"/>
    <w:rsid w:val="005F0DAD"/>
    <w:rsid w:val="005F0F33"/>
    <w:rsid w:val="00600DEB"/>
    <w:rsid w:val="00606100"/>
    <w:rsid w:val="006065C0"/>
    <w:rsid w:val="00612AE2"/>
    <w:rsid w:val="006156C8"/>
    <w:rsid w:val="00621172"/>
    <w:rsid w:val="00622244"/>
    <w:rsid w:val="00625AE3"/>
    <w:rsid w:val="00626A8B"/>
    <w:rsid w:val="00627C9F"/>
    <w:rsid w:val="006311E9"/>
    <w:rsid w:val="00632354"/>
    <w:rsid w:val="006402F6"/>
    <w:rsid w:val="006415AB"/>
    <w:rsid w:val="00642810"/>
    <w:rsid w:val="00652333"/>
    <w:rsid w:val="00652BA5"/>
    <w:rsid w:val="00662448"/>
    <w:rsid w:val="0068009E"/>
    <w:rsid w:val="0068692B"/>
    <w:rsid w:val="00692219"/>
    <w:rsid w:val="006A17D2"/>
    <w:rsid w:val="006A3315"/>
    <w:rsid w:val="006A4998"/>
    <w:rsid w:val="006A60D9"/>
    <w:rsid w:val="006A73E6"/>
    <w:rsid w:val="006B2D5C"/>
    <w:rsid w:val="006B4B6C"/>
    <w:rsid w:val="006C4EB1"/>
    <w:rsid w:val="006E0166"/>
    <w:rsid w:val="006E7B34"/>
    <w:rsid w:val="006F1A41"/>
    <w:rsid w:val="006F1B8A"/>
    <w:rsid w:val="006F4D06"/>
    <w:rsid w:val="006F600F"/>
    <w:rsid w:val="0070697F"/>
    <w:rsid w:val="00716861"/>
    <w:rsid w:val="0072199C"/>
    <w:rsid w:val="00722C9F"/>
    <w:rsid w:val="007253B8"/>
    <w:rsid w:val="00732FF4"/>
    <w:rsid w:val="0073741F"/>
    <w:rsid w:val="00747E23"/>
    <w:rsid w:val="00760257"/>
    <w:rsid w:val="0076643F"/>
    <w:rsid w:val="0077537E"/>
    <w:rsid w:val="00775FA1"/>
    <w:rsid w:val="00776988"/>
    <w:rsid w:val="007772C7"/>
    <w:rsid w:val="00777F63"/>
    <w:rsid w:val="007820F5"/>
    <w:rsid w:val="00783597"/>
    <w:rsid w:val="00787272"/>
    <w:rsid w:val="00787A50"/>
    <w:rsid w:val="007A5817"/>
    <w:rsid w:val="007B002C"/>
    <w:rsid w:val="007B05C4"/>
    <w:rsid w:val="007B60E9"/>
    <w:rsid w:val="007B6CC3"/>
    <w:rsid w:val="007C3334"/>
    <w:rsid w:val="007C58E8"/>
    <w:rsid w:val="007C7414"/>
    <w:rsid w:val="007C7833"/>
    <w:rsid w:val="007D2B98"/>
    <w:rsid w:val="007D3755"/>
    <w:rsid w:val="007E21BC"/>
    <w:rsid w:val="007E7EF0"/>
    <w:rsid w:val="00803F1C"/>
    <w:rsid w:val="0080539F"/>
    <w:rsid w:val="0080600E"/>
    <w:rsid w:val="00816B9E"/>
    <w:rsid w:val="00817612"/>
    <w:rsid w:val="00820126"/>
    <w:rsid w:val="00827386"/>
    <w:rsid w:val="008338A4"/>
    <w:rsid w:val="00837C45"/>
    <w:rsid w:val="00843452"/>
    <w:rsid w:val="00844730"/>
    <w:rsid w:val="008457C2"/>
    <w:rsid w:val="00845A0C"/>
    <w:rsid w:val="008518AE"/>
    <w:rsid w:val="00857A82"/>
    <w:rsid w:val="00860B53"/>
    <w:rsid w:val="00862C75"/>
    <w:rsid w:val="00873836"/>
    <w:rsid w:val="0088111C"/>
    <w:rsid w:val="00885737"/>
    <w:rsid w:val="00890650"/>
    <w:rsid w:val="00892A89"/>
    <w:rsid w:val="00897950"/>
    <w:rsid w:val="00897E12"/>
    <w:rsid w:val="008A148E"/>
    <w:rsid w:val="008A7E0F"/>
    <w:rsid w:val="008B12F5"/>
    <w:rsid w:val="008B167B"/>
    <w:rsid w:val="008D1236"/>
    <w:rsid w:val="008D5909"/>
    <w:rsid w:val="008D768D"/>
    <w:rsid w:val="008E16EB"/>
    <w:rsid w:val="008E2E7D"/>
    <w:rsid w:val="008E3759"/>
    <w:rsid w:val="008E5318"/>
    <w:rsid w:val="008E7E2B"/>
    <w:rsid w:val="008F1912"/>
    <w:rsid w:val="008F5060"/>
    <w:rsid w:val="0090270B"/>
    <w:rsid w:val="009041DC"/>
    <w:rsid w:val="0091406A"/>
    <w:rsid w:val="00917B5A"/>
    <w:rsid w:val="00920A58"/>
    <w:rsid w:val="00920A8C"/>
    <w:rsid w:val="00934A2C"/>
    <w:rsid w:val="00940CB9"/>
    <w:rsid w:val="00950ADB"/>
    <w:rsid w:val="0096706E"/>
    <w:rsid w:val="00971268"/>
    <w:rsid w:val="00972F3C"/>
    <w:rsid w:val="00974491"/>
    <w:rsid w:val="00975C4E"/>
    <w:rsid w:val="00981FBA"/>
    <w:rsid w:val="00997BC5"/>
    <w:rsid w:val="009A4F41"/>
    <w:rsid w:val="009B1E2C"/>
    <w:rsid w:val="009B381B"/>
    <w:rsid w:val="009B5BF2"/>
    <w:rsid w:val="009B6828"/>
    <w:rsid w:val="009D1753"/>
    <w:rsid w:val="009D7611"/>
    <w:rsid w:val="009E0B61"/>
    <w:rsid w:val="009E53DE"/>
    <w:rsid w:val="00A01739"/>
    <w:rsid w:val="00A04D69"/>
    <w:rsid w:val="00A11E44"/>
    <w:rsid w:val="00A328B3"/>
    <w:rsid w:val="00A40707"/>
    <w:rsid w:val="00A50FCF"/>
    <w:rsid w:val="00A528D1"/>
    <w:rsid w:val="00A54B72"/>
    <w:rsid w:val="00A610CD"/>
    <w:rsid w:val="00A640E0"/>
    <w:rsid w:val="00A74AD1"/>
    <w:rsid w:val="00A758AA"/>
    <w:rsid w:val="00A833D3"/>
    <w:rsid w:val="00A85322"/>
    <w:rsid w:val="00A8566C"/>
    <w:rsid w:val="00A8795B"/>
    <w:rsid w:val="00AA09A2"/>
    <w:rsid w:val="00AA520D"/>
    <w:rsid w:val="00AA7996"/>
    <w:rsid w:val="00AC19CB"/>
    <w:rsid w:val="00AC23A4"/>
    <w:rsid w:val="00AC6659"/>
    <w:rsid w:val="00AE4176"/>
    <w:rsid w:val="00AE5488"/>
    <w:rsid w:val="00AE6F91"/>
    <w:rsid w:val="00AF3686"/>
    <w:rsid w:val="00AF5571"/>
    <w:rsid w:val="00B00E2F"/>
    <w:rsid w:val="00B07341"/>
    <w:rsid w:val="00B27C90"/>
    <w:rsid w:val="00B30539"/>
    <w:rsid w:val="00B314DB"/>
    <w:rsid w:val="00B361F2"/>
    <w:rsid w:val="00B3718B"/>
    <w:rsid w:val="00B43F3B"/>
    <w:rsid w:val="00B4632A"/>
    <w:rsid w:val="00B530F1"/>
    <w:rsid w:val="00B62B29"/>
    <w:rsid w:val="00B807BC"/>
    <w:rsid w:val="00B924C3"/>
    <w:rsid w:val="00B93CA1"/>
    <w:rsid w:val="00BA276C"/>
    <w:rsid w:val="00BA7D91"/>
    <w:rsid w:val="00BB306F"/>
    <w:rsid w:val="00BC6741"/>
    <w:rsid w:val="00BC68EE"/>
    <w:rsid w:val="00BC6C2F"/>
    <w:rsid w:val="00BD4B89"/>
    <w:rsid w:val="00BD63A4"/>
    <w:rsid w:val="00BE3753"/>
    <w:rsid w:val="00BF02CB"/>
    <w:rsid w:val="00BF487D"/>
    <w:rsid w:val="00BF6F2C"/>
    <w:rsid w:val="00BF6FD8"/>
    <w:rsid w:val="00C03680"/>
    <w:rsid w:val="00C054DF"/>
    <w:rsid w:val="00C07D1C"/>
    <w:rsid w:val="00C21762"/>
    <w:rsid w:val="00C21E74"/>
    <w:rsid w:val="00C21FEF"/>
    <w:rsid w:val="00C24543"/>
    <w:rsid w:val="00C256A2"/>
    <w:rsid w:val="00C313D0"/>
    <w:rsid w:val="00C361B0"/>
    <w:rsid w:val="00C45FE7"/>
    <w:rsid w:val="00C46873"/>
    <w:rsid w:val="00C50996"/>
    <w:rsid w:val="00C51515"/>
    <w:rsid w:val="00C53B9F"/>
    <w:rsid w:val="00C55402"/>
    <w:rsid w:val="00C5660B"/>
    <w:rsid w:val="00C637CA"/>
    <w:rsid w:val="00C66B72"/>
    <w:rsid w:val="00C9567A"/>
    <w:rsid w:val="00CA251D"/>
    <w:rsid w:val="00CA2D00"/>
    <w:rsid w:val="00CB212D"/>
    <w:rsid w:val="00CB2660"/>
    <w:rsid w:val="00CB7A34"/>
    <w:rsid w:val="00CC47C9"/>
    <w:rsid w:val="00CC5E90"/>
    <w:rsid w:val="00CD046C"/>
    <w:rsid w:val="00CD3FCA"/>
    <w:rsid w:val="00CE076C"/>
    <w:rsid w:val="00CE5199"/>
    <w:rsid w:val="00CE66D5"/>
    <w:rsid w:val="00CF637A"/>
    <w:rsid w:val="00CF6B68"/>
    <w:rsid w:val="00D058E1"/>
    <w:rsid w:val="00D059DE"/>
    <w:rsid w:val="00D11066"/>
    <w:rsid w:val="00D13FCE"/>
    <w:rsid w:val="00D26F3A"/>
    <w:rsid w:val="00D277B4"/>
    <w:rsid w:val="00D306D1"/>
    <w:rsid w:val="00D30800"/>
    <w:rsid w:val="00D31D06"/>
    <w:rsid w:val="00D3255D"/>
    <w:rsid w:val="00D34786"/>
    <w:rsid w:val="00D37BFC"/>
    <w:rsid w:val="00D47A8E"/>
    <w:rsid w:val="00D52D14"/>
    <w:rsid w:val="00D5665E"/>
    <w:rsid w:val="00D6174E"/>
    <w:rsid w:val="00D712D3"/>
    <w:rsid w:val="00D71422"/>
    <w:rsid w:val="00D72DC6"/>
    <w:rsid w:val="00D7558D"/>
    <w:rsid w:val="00D81D92"/>
    <w:rsid w:val="00D876B4"/>
    <w:rsid w:val="00D90709"/>
    <w:rsid w:val="00D97722"/>
    <w:rsid w:val="00DA5FEE"/>
    <w:rsid w:val="00DA7B5F"/>
    <w:rsid w:val="00DB6A86"/>
    <w:rsid w:val="00DC11E7"/>
    <w:rsid w:val="00DC7023"/>
    <w:rsid w:val="00DC769A"/>
    <w:rsid w:val="00DD3D86"/>
    <w:rsid w:val="00DD6F03"/>
    <w:rsid w:val="00DE62DE"/>
    <w:rsid w:val="00DE7FCB"/>
    <w:rsid w:val="00DF1EC4"/>
    <w:rsid w:val="00DF2B59"/>
    <w:rsid w:val="00E0131F"/>
    <w:rsid w:val="00E0340B"/>
    <w:rsid w:val="00E04A90"/>
    <w:rsid w:val="00E0551F"/>
    <w:rsid w:val="00E219C7"/>
    <w:rsid w:val="00E4242F"/>
    <w:rsid w:val="00E43157"/>
    <w:rsid w:val="00E461CE"/>
    <w:rsid w:val="00E46F95"/>
    <w:rsid w:val="00E625F3"/>
    <w:rsid w:val="00E63EDE"/>
    <w:rsid w:val="00E720CA"/>
    <w:rsid w:val="00E84EB5"/>
    <w:rsid w:val="00E85662"/>
    <w:rsid w:val="00E8789F"/>
    <w:rsid w:val="00E95F26"/>
    <w:rsid w:val="00E97B71"/>
    <w:rsid w:val="00EA143A"/>
    <w:rsid w:val="00EA3D34"/>
    <w:rsid w:val="00EB1BC3"/>
    <w:rsid w:val="00EB454D"/>
    <w:rsid w:val="00EB68E5"/>
    <w:rsid w:val="00ED0CBE"/>
    <w:rsid w:val="00ED4D76"/>
    <w:rsid w:val="00ED549D"/>
    <w:rsid w:val="00ED76BE"/>
    <w:rsid w:val="00EE2048"/>
    <w:rsid w:val="00EF619B"/>
    <w:rsid w:val="00F00B55"/>
    <w:rsid w:val="00F02AD1"/>
    <w:rsid w:val="00F1025A"/>
    <w:rsid w:val="00F16C61"/>
    <w:rsid w:val="00F253CC"/>
    <w:rsid w:val="00F34803"/>
    <w:rsid w:val="00F37106"/>
    <w:rsid w:val="00F427C1"/>
    <w:rsid w:val="00F519CF"/>
    <w:rsid w:val="00F52A7E"/>
    <w:rsid w:val="00F56BA5"/>
    <w:rsid w:val="00F60E22"/>
    <w:rsid w:val="00F7093A"/>
    <w:rsid w:val="00F71F22"/>
    <w:rsid w:val="00F81395"/>
    <w:rsid w:val="00F81BB8"/>
    <w:rsid w:val="00F9143D"/>
    <w:rsid w:val="00F917D1"/>
    <w:rsid w:val="00F9653B"/>
    <w:rsid w:val="00FA07E7"/>
    <w:rsid w:val="00FA1395"/>
    <w:rsid w:val="00FB41E1"/>
    <w:rsid w:val="00FB5D82"/>
    <w:rsid w:val="00FB62CF"/>
    <w:rsid w:val="00FC7C97"/>
    <w:rsid w:val="00FD3C3B"/>
    <w:rsid w:val="00FD44D7"/>
    <w:rsid w:val="00FD51D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7375"/>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7375"/>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2218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6B30"/>
    <w:rsid w:val="00180346"/>
    <w:rsid w:val="001D0F4B"/>
    <w:rsid w:val="002B1569"/>
    <w:rsid w:val="002D00CE"/>
    <w:rsid w:val="00394049"/>
    <w:rsid w:val="004E459A"/>
    <w:rsid w:val="004F2DF8"/>
    <w:rsid w:val="00502B36"/>
    <w:rsid w:val="006C1779"/>
    <w:rsid w:val="00704F69"/>
    <w:rsid w:val="007417AA"/>
    <w:rsid w:val="007651E4"/>
    <w:rsid w:val="008F340B"/>
    <w:rsid w:val="009A261B"/>
    <w:rsid w:val="00AC15A4"/>
    <w:rsid w:val="00B55FE8"/>
    <w:rsid w:val="00BB3418"/>
    <w:rsid w:val="00C57172"/>
    <w:rsid w:val="00D143CB"/>
    <w:rsid w:val="00D15733"/>
    <w:rsid w:val="00D437A2"/>
    <w:rsid w:val="00DA30BD"/>
    <w:rsid w:val="00DC2481"/>
    <w:rsid w:val="00E65986"/>
    <w:rsid w:val="00F00D2F"/>
    <w:rsid w:val="00F02D91"/>
    <w:rsid w:val="00FA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7DEC-66F4-45D1-86E1-CBE0A0CD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2548</Words>
  <Characters>14529</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57/16</dc:title>
  <dc:creator/>
  <cp:lastModifiedBy/>
  <cp:revision>1</cp:revision>
  <dcterms:created xsi:type="dcterms:W3CDTF">2017-01-11T21:39:00Z</dcterms:created>
  <dcterms:modified xsi:type="dcterms:W3CDTF">2017-01-11T21:39:00Z</dcterms:modified>
</cp:coreProperties>
</file>