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040C3A" w:rsidRPr="0090270B" w:rsidRDefault="00D306D1" w:rsidP="00627C9F">
      <w:pPr>
        <w:jc w:val="both"/>
        <w:rPr>
          <w:rFonts w:asciiTheme="majorHAnsi" w:hAnsiTheme="majorHAnsi" w:cs="Univers"/>
          <w:b/>
          <w:bCs/>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44791422" wp14:editId="7406293A">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90270B">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26715A15" wp14:editId="6599AE05">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B2660" w:rsidRDefault="00AE5488" w:rsidP="00AE5488">
                            <w:r>
                              <w:rPr>
                                <w:noProof/>
                              </w:rPr>
                              <w:drawing>
                                <wp:inline distT="0" distB="0" distL="0" distR="0" wp14:anchorId="3933D214" wp14:editId="140F1565">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rsidR="00CB2660" w:rsidRDefault="00AE5488" w:rsidP="00AE5488">
                      <w:r>
                        <w:rPr>
                          <w:noProof/>
                        </w:rPr>
                        <w:drawing>
                          <wp:inline distT="0" distB="0" distL="0" distR="0" wp14:anchorId="3933D214" wp14:editId="140F1565">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p>
    <w:p w:rsidR="00040C3A" w:rsidRPr="0090270B" w:rsidRDefault="00040C3A" w:rsidP="00040C3A">
      <w:pPr>
        <w:tabs>
          <w:tab w:val="center" w:pos="5400"/>
        </w:tabs>
        <w:suppressAutoHyphens/>
        <w:jc w:val="both"/>
        <w:rPr>
          <w:rFonts w:asciiTheme="majorHAnsi" w:hAnsiTheme="majorHAnsi"/>
          <w:sz w:val="22"/>
          <w:szCs w:val="22"/>
          <w:lang w:val="es-ES"/>
        </w:rPr>
      </w:pPr>
    </w:p>
    <w:p w:rsidR="00040C3A" w:rsidRPr="0090270B" w:rsidRDefault="00040C3A" w:rsidP="00040C3A">
      <w:pPr>
        <w:tabs>
          <w:tab w:val="center" w:pos="5400"/>
        </w:tabs>
        <w:suppressAutoHyphens/>
        <w:jc w:val="both"/>
        <w:rPr>
          <w:rFonts w:asciiTheme="majorHAnsi" w:hAnsiTheme="majorHAnsi"/>
          <w:sz w:val="22"/>
          <w:szCs w:val="22"/>
          <w:lang w:val="es-ES"/>
        </w:rPr>
      </w:pPr>
    </w:p>
    <w:p w:rsidR="005128E4" w:rsidRPr="0090270B" w:rsidRDefault="005128E4" w:rsidP="00040C3A">
      <w:pPr>
        <w:tabs>
          <w:tab w:val="center" w:pos="5400"/>
        </w:tabs>
        <w:suppressAutoHyphens/>
        <w:rPr>
          <w:rFonts w:asciiTheme="majorHAnsi" w:hAnsiTheme="majorHAnsi"/>
          <w:sz w:val="22"/>
          <w:szCs w:val="22"/>
          <w:lang w:val="es-ES_tradnl"/>
        </w:rPr>
      </w:pPr>
    </w:p>
    <w:p w:rsidR="005128E4" w:rsidRPr="0090270B" w:rsidRDefault="005128E4" w:rsidP="00040C3A">
      <w:pPr>
        <w:tabs>
          <w:tab w:val="center" w:pos="5400"/>
        </w:tabs>
        <w:suppressAutoHyphens/>
        <w:rPr>
          <w:rFonts w:asciiTheme="majorHAnsi" w:hAnsiTheme="majorHAnsi"/>
          <w:sz w:val="22"/>
          <w:szCs w:val="22"/>
          <w:lang w:val="es-ES_tradnl"/>
        </w:rPr>
      </w:pPr>
    </w:p>
    <w:p w:rsidR="005128E4" w:rsidRPr="0090270B" w:rsidRDefault="005128E4" w:rsidP="00040C3A">
      <w:pPr>
        <w:tabs>
          <w:tab w:val="center" w:pos="5400"/>
        </w:tabs>
        <w:suppressAutoHyphens/>
        <w:rPr>
          <w:rFonts w:asciiTheme="majorHAnsi" w:hAnsiTheme="majorHAnsi"/>
          <w:sz w:val="22"/>
          <w:szCs w:val="22"/>
          <w:lang w:val="es-ES_tradnl"/>
        </w:rPr>
      </w:pPr>
    </w:p>
    <w:p w:rsidR="00040C3A" w:rsidRPr="0090270B" w:rsidRDefault="00040C3A" w:rsidP="005128E4">
      <w:pPr>
        <w:tabs>
          <w:tab w:val="center" w:pos="5400"/>
        </w:tabs>
        <w:suppressAutoHyphens/>
        <w:jc w:val="center"/>
        <w:rPr>
          <w:rFonts w:asciiTheme="majorHAnsi" w:hAnsiTheme="majorHAnsi"/>
          <w:sz w:val="22"/>
          <w:szCs w:val="22"/>
          <w:lang w:val="es-ES_tradnl"/>
        </w:rPr>
      </w:pPr>
    </w:p>
    <w:p w:rsidR="00040C3A" w:rsidRPr="0090270B" w:rsidRDefault="00040C3A" w:rsidP="005128E4">
      <w:pPr>
        <w:tabs>
          <w:tab w:val="center" w:pos="5400"/>
        </w:tabs>
        <w:suppressAutoHyphens/>
        <w:jc w:val="center"/>
        <w:rPr>
          <w:rFonts w:asciiTheme="majorHAnsi" w:hAnsiTheme="majorHAnsi"/>
          <w:sz w:val="22"/>
          <w:szCs w:val="22"/>
          <w:lang w:val="es-ES_tradnl"/>
        </w:rPr>
      </w:pPr>
    </w:p>
    <w:p w:rsidR="005B52B0" w:rsidRPr="0090270B" w:rsidRDefault="005B52B0" w:rsidP="005128E4">
      <w:pPr>
        <w:tabs>
          <w:tab w:val="center" w:pos="5400"/>
        </w:tabs>
        <w:suppressAutoHyphens/>
        <w:jc w:val="center"/>
        <w:rPr>
          <w:rFonts w:asciiTheme="majorHAnsi" w:hAnsiTheme="majorHAnsi"/>
          <w:sz w:val="22"/>
          <w:szCs w:val="22"/>
          <w:lang w:val="es-ES_tradnl"/>
        </w:rPr>
      </w:pPr>
    </w:p>
    <w:p w:rsidR="005B52B0" w:rsidRPr="0090270B" w:rsidRDefault="005B52B0" w:rsidP="005128E4">
      <w:pPr>
        <w:tabs>
          <w:tab w:val="center" w:pos="5400"/>
        </w:tabs>
        <w:suppressAutoHyphens/>
        <w:jc w:val="center"/>
        <w:rPr>
          <w:rFonts w:asciiTheme="majorHAnsi" w:hAnsiTheme="majorHAnsi"/>
          <w:sz w:val="22"/>
          <w:szCs w:val="22"/>
          <w:lang w:val="es-ES_tradnl"/>
        </w:rPr>
      </w:pPr>
    </w:p>
    <w:p w:rsidR="005B52B0" w:rsidRPr="0090270B" w:rsidRDefault="005B52B0" w:rsidP="005128E4">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3D3BC2"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2431D62B" wp14:editId="26F1F216">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Pr="004E2649">
                              <w:rPr>
                                <w:rFonts w:asciiTheme="majorHAnsi" w:hAnsiTheme="majorHAnsi" w:cs="Arial"/>
                                <w:b/>
                                <w:bCs/>
                                <w:color w:val="0D0D0D" w:themeColor="text1" w:themeTint="F2"/>
                                <w:sz w:val="36"/>
                                <w:szCs w:val="22"/>
                                <w:lang w:val="es-ES_tradnl"/>
                              </w:rPr>
                              <w:t xml:space="preserve"> </w:t>
                            </w:r>
                            <w:r w:rsidR="00365FA3">
                              <w:rPr>
                                <w:rFonts w:asciiTheme="majorHAnsi" w:hAnsiTheme="majorHAnsi" w:cs="Arial"/>
                                <w:b/>
                                <w:bCs/>
                                <w:color w:val="0D0D0D" w:themeColor="text1" w:themeTint="F2"/>
                                <w:sz w:val="36"/>
                                <w:szCs w:val="22"/>
                                <w:lang w:val="es-ES_tradnl"/>
                              </w:rPr>
                              <w:t>24</w:t>
                            </w:r>
                            <w:r w:rsidR="0070059A">
                              <w:rPr>
                                <w:rFonts w:asciiTheme="majorHAnsi" w:hAnsiTheme="majorHAnsi" w:cs="Arial"/>
                                <w:b/>
                                <w:bCs/>
                                <w:color w:val="0D0D0D" w:themeColor="text1" w:themeTint="F2"/>
                                <w:sz w:val="36"/>
                                <w:szCs w:val="22"/>
                                <w:lang w:val="es-ES_tradnl"/>
                              </w:rPr>
                              <w:t>/15</w:t>
                            </w:r>
                          </w:p>
                          <w:p w:rsidR="00EB786A" w:rsidRPr="000731A1" w:rsidRDefault="00EB786A" w:rsidP="00EB786A">
                            <w:pPr>
                              <w:spacing w:line="276" w:lineRule="auto"/>
                              <w:rPr>
                                <w:rFonts w:asciiTheme="majorHAnsi" w:hAnsiTheme="majorHAnsi" w:cs="Arial"/>
                                <w:b/>
                                <w:bCs/>
                                <w:color w:val="0D0D0D" w:themeColor="text1" w:themeTint="F2"/>
                                <w:sz w:val="36"/>
                                <w:szCs w:val="40"/>
                                <w:lang w:val="es-ES"/>
                              </w:rPr>
                            </w:pPr>
                            <w:r w:rsidRPr="000731A1">
                              <w:rPr>
                                <w:rFonts w:asciiTheme="majorHAnsi" w:hAnsiTheme="majorHAnsi" w:cs="Arial"/>
                                <w:b/>
                                <w:bCs/>
                                <w:color w:val="0D0D0D" w:themeColor="text1" w:themeTint="F2"/>
                                <w:sz w:val="36"/>
                                <w:szCs w:val="40"/>
                                <w:lang w:val="es-ES"/>
                              </w:rPr>
                              <w:t>PETICIÓN 1752-09</w:t>
                            </w:r>
                          </w:p>
                          <w:p w:rsidR="00EB786A" w:rsidRPr="000731A1" w:rsidRDefault="00EB786A" w:rsidP="00EB786A">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
                              </w:rPr>
                              <w:t xml:space="preserve">INFORME DE </w:t>
                            </w:r>
                            <w:r w:rsidRPr="000731A1">
                              <w:rPr>
                                <w:rFonts w:asciiTheme="majorHAnsi" w:hAnsiTheme="majorHAnsi" w:cs="Arial"/>
                                <w:color w:val="0D0D0D" w:themeColor="text1" w:themeTint="F2"/>
                                <w:szCs w:val="22"/>
                                <w:lang w:val="es-ES"/>
                              </w:rPr>
                              <w:t xml:space="preserve">ADMISIBILIDAD </w:t>
                            </w:r>
                          </w:p>
                          <w:p w:rsidR="00EB786A" w:rsidRPr="000731A1" w:rsidRDefault="00EB786A" w:rsidP="00EB786A">
                            <w:pPr>
                              <w:spacing w:line="276" w:lineRule="auto"/>
                              <w:rPr>
                                <w:rFonts w:asciiTheme="majorHAnsi" w:hAnsiTheme="majorHAnsi" w:cs="Arial"/>
                                <w:color w:val="0D0D0D" w:themeColor="text1" w:themeTint="F2"/>
                                <w:szCs w:val="22"/>
                                <w:lang w:val="es-ES"/>
                              </w:rPr>
                            </w:pPr>
                          </w:p>
                          <w:p w:rsidR="00EB786A" w:rsidRPr="000731A1" w:rsidRDefault="00EB786A" w:rsidP="00EB786A">
                            <w:pPr>
                              <w:spacing w:line="276" w:lineRule="auto"/>
                              <w:rPr>
                                <w:rFonts w:asciiTheme="majorHAnsi" w:hAnsiTheme="majorHAnsi" w:cs="Arial"/>
                                <w:color w:val="0D0D0D" w:themeColor="text1" w:themeTint="F2"/>
                                <w:szCs w:val="22"/>
                                <w:lang w:val="es-ES"/>
                              </w:rPr>
                            </w:pPr>
                            <w:r w:rsidRPr="000731A1">
                              <w:rPr>
                                <w:rFonts w:asciiTheme="majorHAnsi" w:hAnsiTheme="majorHAnsi" w:cs="Arial"/>
                                <w:color w:val="0D0D0D" w:themeColor="text1" w:themeTint="F2"/>
                                <w:szCs w:val="22"/>
                                <w:lang w:val="es-ES"/>
                              </w:rPr>
                              <w:t>BERNARDO ABÁN TERCERO</w:t>
                            </w:r>
                          </w:p>
                          <w:p w:rsidR="00EB786A" w:rsidRPr="000731A1" w:rsidRDefault="00EB786A" w:rsidP="00EB786A">
                            <w:pPr>
                              <w:spacing w:line="276" w:lineRule="auto"/>
                              <w:rPr>
                                <w:rFonts w:asciiTheme="majorHAnsi" w:hAnsiTheme="majorHAnsi"/>
                                <w:color w:val="0D0D0D" w:themeColor="text1" w:themeTint="F2"/>
                                <w:lang w:val="es-ES"/>
                              </w:rPr>
                            </w:pPr>
                            <w:r w:rsidRPr="000731A1">
                              <w:rPr>
                                <w:rFonts w:asciiTheme="majorHAnsi" w:hAnsiTheme="majorHAnsi" w:cs="Arial"/>
                                <w:color w:val="0D0D0D" w:themeColor="text1" w:themeTint="F2"/>
                                <w:szCs w:val="22"/>
                                <w:lang w:val="es-ES"/>
                              </w:rPr>
                              <w:t>ESTADOS UNIDOS</w:t>
                            </w:r>
                          </w:p>
                          <w:p w:rsidR="005B52B0" w:rsidRPr="00EB786A" w:rsidRDefault="005B52B0" w:rsidP="007A5817">
                            <w:pPr>
                              <w:rPr>
                                <w:color w:val="0D0D0D" w:themeColor="text1" w:themeTint="F2"/>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Pr="004E2649">
                        <w:rPr>
                          <w:rFonts w:asciiTheme="majorHAnsi" w:hAnsiTheme="majorHAnsi" w:cs="Arial"/>
                          <w:b/>
                          <w:bCs/>
                          <w:color w:val="0D0D0D" w:themeColor="text1" w:themeTint="F2"/>
                          <w:sz w:val="36"/>
                          <w:szCs w:val="22"/>
                          <w:lang w:val="es-ES_tradnl"/>
                        </w:rPr>
                        <w:t xml:space="preserve"> </w:t>
                      </w:r>
                      <w:r w:rsidR="00365FA3">
                        <w:rPr>
                          <w:rFonts w:asciiTheme="majorHAnsi" w:hAnsiTheme="majorHAnsi" w:cs="Arial"/>
                          <w:b/>
                          <w:bCs/>
                          <w:color w:val="0D0D0D" w:themeColor="text1" w:themeTint="F2"/>
                          <w:sz w:val="36"/>
                          <w:szCs w:val="22"/>
                          <w:lang w:val="es-ES_tradnl"/>
                        </w:rPr>
                        <w:t>24</w:t>
                      </w:r>
                      <w:r w:rsidR="0070059A">
                        <w:rPr>
                          <w:rFonts w:asciiTheme="majorHAnsi" w:hAnsiTheme="majorHAnsi" w:cs="Arial"/>
                          <w:b/>
                          <w:bCs/>
                          <w:color w:val="0D0D0D" w:themeColor="text1" w:themeTint="F2"/>
                          <w:sz w:val="36"/>
                          <w:szCs w:val="22"/>
                          <w:lang w:val="es-ES_tradnl"/>
                        </w:rPr>
                        <w:t>/15</w:t>
                      </w:r>
                    </w:p>
                    <w:p w:rsidR="00EB786A" w:rsidRPr="000731A1" w:rsidRDefault="00EB786A" w:rsidP="00EB786A">
                      <w:pPr>
                        <w:spacing w:line="276" w:lineRule="auto"/>
                        <w:rPr>
                          <w:rFonts w:asciiTheme="majorHAnsi" w:hAnsiTheme="majorHAnsi" w:cs="Arial"/>
                          <w:b/>
                          <w:bCs/>
                          <w:color w:val="0D0D0D" w:themeColor="text1" w:themeTint="F2"/>
                          <w:sz w:val="36"/>
                          <w:szCs w:val="40"/>
                          <w:lang w:val="es-ES"/>
                        </w:rPr>
                      </w:pPr>
                      <w:r w:rsidRPr="000731A1">
                        <w:rPr>
                          <w:rFonts w:asciiTheme="majorHAnsi" w:hAnsiTheme="majorHAnsi" w:cs="Arial"/>
                          <w:b/>
                          <w:bCs/>
                          <w:color w:val="0D0D0D" w:themeColor="text1" w:themeTint="F2"/>
                          <w:sz w:val="36"/>
                          <w:szCs w:val="40"/>
                          <w:lang w:val="es-ES"/>
                        </w:rPr>
                        <w:t>PETICIÓN 1752-09</w:t>
                      </w:r>
                    </w:p>
                    <w:p w:rsidR="00EB786A" w:rsidRPr="000731A1" w:rsidRDefault="00EB786A" w:rsidP="00EB786A">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
                        </w:rPr>
                        <w:t xml:space="preserve">INFORME DE </w:t>
                      </w:r>
                      <w:r w:rsidRPr="000731A1">
                        <w:rPr>
                          <w:rFonts w:asciiTheme="majorHAnsi" w:hAnsiTheme="majorHAnsi" w:cs="Arial"/>
                          <w:color w:val="0D0D0D" w:themeColor="text1" w:themeTint="F2"/>
                          <w:szCs w:val="22"/>
                          <w:lang w:val="es-ES"/>
                        </w:rPr>
                        <w:t xml:space="preserve">ADMISIBILIDAD </w:t>
                      </w:r>
                    </w:p>
                    <w:p w:rsidR="00EB786A" w:rsidRPr="000731A1" w:rsidRDefault="00EB786A" w:rsidP="00EB786A">
                      <w:pPr>
                        <w:spacing w:line="276" w:lineRule="auto"/>
                        <w:rPr>
                          <w:rFonts w:asciiTheme="majorHAnsi" w:hAnsiTheme="majorHAnsi" w:cs="Arial"/>
                          <w:color w:val="0D0D0D" w:themeColor="text1" w:themeTint="F2"/>
                          <w:szCs w:val="22"/>
                          <w:lang w:val="es-ES"/>
                        </w:rPr>
                      </w:pPr>
                    </w:p>
                    <w:p w:rsidR="00EB786A" w:rsidRPr="000731A1" w:rsidRDefault="00EB786A" w:rsidP="00EB786A">
                      <w:pPr>
                        <w:spacing w:line="276" w:lineRule="auto"/>
                        <w:rPr>
                          <w:rFonts w:asciiTheme="majorHAnsi" w:hAnsiTheme="majorHAnsi" w:cs="Arial"/>
                          <w:color w:val="0D0D0D" w:themeColor="text1" w:themeTint="F2"/>
                          <w:szCs w:val="22"/>
                          <w:lang w:val="es-ES"/>
                        </w:rPr>
                      </w:pPr>
                      <w:r w:rsidRPr="000731A1">
                        <w:rPr>
                          <w:rFonts w:asciiTheme="majorHAnsi" w:hAnsiTheme="majorHAnsi" w:cs="Arial"/>
                          <w:color w:val="0D0D0D" w:themeColor="text1" w:themeTint="F2"/>
                          <w:szCs w:val="22"/>
                          <w:lang w:val="es-ES"/>
                        </w:rPr>
                        <w:t>BERNARDO ABÁN TERCERO</w:t>
                      </w:r>
                    </w:p>
                    <w:p w:rsidR="00EB786A" w:rsidRPr="000731A1" w:rsidRDefault="00EB786A" w:rsidP="00EB786A">
                      <w:pPr>
                        <w:spacing w:line="276" w:lineRule="auto"/>
                        <w:rPr>
                          <w:rFonts w:asciiTheme="majorHAnsi" w:hAnsiTheme="majorHAnsi"/>
                          <w:color w:val="0D0D0D" w:themeColor="text1" w:themeTint="F2"/>
                          <w:lang w:val="es-ES"/>
                        </w:rPr>
                      </w:pPr>
                      <w:r w:rsidRPr="000731A1">
                        <w:rPr>
                          <w:rFonts w:asciiTheme="majorHAnsi" w:hAnsiTheme="majorHAnsi" w:cs="Arial"/>
                          <w:color w:val="0D0D0D" w:themeColor="text1" w:themeTint="F2"/>
                          <w:szCs w:val="22"/>
                          <w:lang w:val="es-ES"/>
                        </w:rPr>
                        <w:t>ESTADOS UNIDOS</w:t>
                      </w:r>
                    </w:p>
                    <w:p w:rsidR="005B52B0" w:rsidRPr="00EB786A" w:rsidRDefault="005B52B0" w:rsidP="007A5817">
                      <w:pPr>
                        <w:rPr>
                          <w:color w:val="0D0D0D" w:themeColor="text1" w:themeTint="F2"/>
                          <w:lang w:val="es-ES"/>
                        </w:rPr>
                      </w:pPr>
                    </w:p>
                  </w:txbxContent>
                </v:textbox>
              </v:shape>
            </w:pict>
          </mc:Fallback>
        </mc:AlternateContent>
      </w:r>
      <w:r w:rsidR="004E2649" w:rsidRPr="0090270B">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2AE0EDE4" wp14:editId="12130AA3">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27C9F" w:rsidRPr="00365FA3" w:rsidRDefault="0070059A" w:rsidP="007A5817">
                            <w:pPr>
                              <w:spacing w:line="276" w:lineRule="auto"/>
                              <w:jc w:val="right"/>
                              <w:rPr>
                                <w:rFonts w:asciiTheme="minorHAnsi" w:hAnsiTheme="minorHAnsi"/>
                                <w:color w:val="FFFFFF" w:themeColor="background1"/>
                                <w:sz w:val="22"/>
                                <w:lang w:val="es-ES"/>
                              </w:rPr>
                            </w:pPr>
                            <w:r w:rsidRPr="00365FA3">
                              <w:rPr>
                                <w:rFonts w:asciiTheme="minorHAnsi" w:hAnsiTheme="minorHAnsi"/>
                                <w:color w:val="FFFFFF" w:themeColor="background1"/>
                                <w:sz w:val="22"/>
                                <w:lang w:val="es-ES"/>
                              </w:rPr>
                              <w:t>OEA/Ser.L/V/II</w:t>
                            </w:r>
                          </w:p>
                          <w:p w:rsidR="0070059A" w:rsidRPr="000731A1" w:rsidRDefault="0070059A" w:rsidP="0070059A">
                            <w:pPr>
                              <w:jc w:val="right"/>
                              <w:rPr>
                                <w:rFonts w:asciiTheme="minorHAnsi" w:hAnsiTheme="minorHAnsi"/>
                                <w:color w:val="FFFFFF" w:themeColor="background1"/>
                                <w:sz w:val="22"/>
                                <w:lang w:val="es-ES"/>
                              </w:rPr>
                            </w:pPr>
                            <w:r w:rsidRPr="000731A1">
                              <w:rPr>
                                <w:rFonts w:asciiTheme="minorHAnsi" w:hAnsiTheme="minorHAnsi"/>
                                <w:color w:val="FFFFFF" w:themeColor="background1"/>
                                <w:sz w:val="22"/>
                                <w:lang w:val="es-ES"/>
                              </w:rPr>
                              <w:t xml:space="preserve">Doc. </w:t>
                            </w:r>
                            <w:r>
                              <w:rPr>
                                <w:rFonts w:asciiTheme="minorHAnsi" w:hAnsiTheme="minorHAnsi"/>
                                <w:color w:val="FFFFFF" w:themeColor="background1"/>
                                <w:sz w:val="22"/>
                                <w:lang w:val="es-ES"/>
                              </w:rPr>
                              <w:t>21</w:t>
                            </w:r>
                          </w:p>
                          <w:p w:rsidR="0070059A" w:rsidRPr="000731A1" w:rsidRDefault="0070059A" w:rsidP="0070059A">
                            <w:pPr>
                              <w:jc w:val="right"/>
                              <w:rPr>
                                <w:rFonts w:asciiTheme="minorHAnsi" w:hAnsiTheme="minorHAnsi"/>
                                <w:color w:val="FFFFFF" w:themeColor="background1"/>
                                <w:sz w:val="22"/>
                                <w:lang w:val="es-ES"/>
                              </w:rPr>
                            </w:pPr>
                            <w:r>
                              <w:rPr>
                                <w:rFonts w:asciiTheme="minorHAnsi" w:hAnsiTheme="minorHAnsi"/>
                                <w:color w:val="FFFFFF" w:themeColor="background1"/>
                                <w:sz w:val="22"/>
                                <w:lang w:val="es-ES"/>
                              </w:rPr>
                              <w:t>24</w:t>
                            </w:r>
                            <w:r w:rsidRPr="000731A1">
                              <w:rPr>
                                <w:rFonts w:asciiTheme="minorHAnsi" w:hAnsiTheme="minorHAnsi"/>
                                <w:color w:val="FFFFFF" w:themeColor="background1"/>
                                <w:sz w:val="22"/>
                                <w:lang w:val="es-ES"/>
                              </w:rPr>
                              <w:t xml:space="preserve"> junio de 2015</w:t>
                            </w:r>
                          </w:p>
                          <w:p w:rsidR="0070059A" w:rsidRPr="000731A1" w:rsidRDefault="0070059A" w:rsidP="0070059A">
                            <w:pPr>
                              <w:jc w:val="right"/>
                              <w:rPr>
                                <w:rFonts w:asciiTheme="minorHAnsi" w:hAnsiTheme="minorHAnsi"/>
                                <w:color w:val="FFFFFF" w:themeColor="background1"/>
                                <w:sz w:val="22"/>
                                <w:lang w:val="es-ES"/>
                              </w:rPr>
                            </w:pPr>
                            <w:r w:rsidRPr="000731A1">
                              <w:rPr>
                                <w:rFonts w:asciiTheme="minorHAnsi" w:hAnsiTheme="minorHAnsi"/>
                                <w:color w:val="FFFFFF" w:themeColor="background1"/>
                                <w:sz w:val="22"/>
                                <w:lang w:val="es-ES"/>
                              </w:rPr>
                              <w:t>Original: inglés</w:t>
                            </w:r>
                          </w:p>
                          <w:p w:rsidR="00627C9F" w:rsidRPr="0070059A" w:rsidRDefault="00627C9F" w:rsidP="0070059A">
                            <w:pPr>
                              <w:spacing w:line="276" w:lineRule="auto"/>
                              <w:jc w:val="right"/>
                              <w:rPr>
                                <w:rFonts w:asciiTheme="minorHAnsi" w:hAnsiTheme="minorHAnsi"/>
                                <w:color w:val="FFFFFF" w:themeColor="background1"/>
                                <w:sz w:val="22"/>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rsidR="00627C9F" w:rsidRPr="00365FA3" w:rsidRDefault="0070059A" w:rsidP="007A5817">
                      <w:pPr>
                        <w:spacing w:line="276" w:lineRule="auto"/>
                        <w:jc w:val="right"/>
                        <w:rPr>
                          <w:rFonts w:asciiTheme="minorHAnsi" w:hAnsiTheme="minorHAnsi"/>
                          <w:color w:val="FFFFFF" w:themeColor="background1"/>
                          <w:sz w:val="22"/>
                          <w:lang w:val="es-ES"/>
                        </w:rPr>
                      </w:pPr>
                      <w:r w:rsidRPr="00365FA3">
                        <w:rPr>
                          <w:rFonts w:asciiTheme="minorHAnsi" w:hAnsiTheme="minorHAnsi"/>
                          <w:color w:val="FFFFFF" w:themeColor="background1"/>
                          <w:sz w:val="22"/>
                          <w:lang w:val="es-ES"/>
                        </w:rPr>
                        <w:t>OEA/Ser.L/V/II</w:t>
                      </w:r>
                    </w:p>
                    <w:p w:rsidR="0070059A" w:rsidRPr="000731A1" w:rsidRDefault="0070059A" w:rsidP="0070059A">
                      <w:pPr>
                        <w:jc w:val="right"/>
                        <w:rPr>
                          <w:rFonts w:asciiTheme="minorHAnsi" w:hAnsiTheme="minorHAnsi"/>
                          <w:color w:val="FFFFFF" w:themeColor="background1"/>
                          <w:sz w:val="22"/>
                          <w:lang w:val="es-ES"/>
                        </w:rPr>
                      </w:pPr>
                      <w:r w:rsidRPr="000731A1">
                        <w:rPr>
                          <w:rFonts w:asciiTheme="minorHAnsi" w:hAnsiTheme="minorHAnsi"/>
                          <w:color w:val="FFFFFF" w:themeColor="background1"/>
                          <w:sz w:val="22"/>
                          <w:lang w:val="es-ES"/>
                        </w:rPr>
                        <w:t xml:space="preserve">Doc. </w:t>
                      </w:r>
                      <w:r>
                        <w:rPr>
                          <w:rFonts w:asciiTheme="minorHAnsi" w:hAnsiTheme="minorHAnsi"/>
                          <w:color w:val="FFFFFF" w:themeColor="background1"/>
                          <w:sz w:val="22"/>
                          <w:lang w:val="es-ES"/>
                        </w:rPr>
                        <w:t>21</w:t>
                      </w:r>
                    </w:p>
                    <w:p w:rsidR="0070059A" w:rsidRPr="000731A1" w:rsidRDefault="0070059A" w:rsidP="0070059A">
                      <w:pPr>
                        <w:jc w:val="right"/>
                        <w:rPr>
                          <w:rFonts w:asciiTheme="minorHAnsi" w:hAnsiTheme="minorHAnsi"/>
                          <w:color w:val="FFFFFF" w:themeColor="background1"/>
                          <w:sz w:val="22"/>
                          <w:lang w:val="es-ES"/>
                        </w:rPr>
                      </w:pPr>
                      <w:r>
                        <w:rPr>
                          <w:rFonts w:asciiTheme="minorHAnsi" w:hAnsiTheme="minorHAnsi"/>
                          <w:color w:val="FFFFFF" w:themeColor="background1"/>
                          <w:sz w:val="22"/>
                          <w:lang w:val="es-ES"/>
                        </w:rPr>
                        <w:t>24</w:t>
                      </w:r>
                      <w:r w:rsidRPr="000731A1">
                        <w:rPr>
                          <w:rFonts w:asciiTheme="minorHAnsi" w:hAnsiTheme="minorHAnsi"/>
                          <w:color w:val="FFFFFF" w:themeColor="background1"/>
                          <w:sz w:val="22"/>
                          <w:lang w:val="es-ES"/>
                        </w:rPr>
                        <w:t xml:space="preserve"> junio de 2015</w:t>
                      </w:r>
                    </w:p>
                    <w:p w:rsidR="0070059A" w:rsidRPr="000731A1" w:rsidRDefault="0070059A" w:rsidP="0070059A">
                      <w:pPr>
                        <w:jc w:val="right"/>
                        <w:rPr>
                          <w:rFonts w:asciiTheme="minorHAnsi" w:hAnsiTheme="minorHAnsi"/>
                          <w:color w:val="FFFFFF" w:themeColor="background1"/>
                          <w:sz w:val="22"/>
                          <w:lang w:val="es-ES"/>
                        </w:rPr>
                      </w:pPr>
                      <w:r w:rsidRPr="000731A1">
                        <w:rPr>
                          <w:rFonts w:asciiTheme="minorHAnsi" w:hAnsiTheme="minorHAnsi"/>
                          <w:color w:val="FFFFFF" w:themeColor="background1"/>
                          <w:sz w:val="22"/>
                          <w:lang w:val="es-ES"/>
                        </w:rPr>
                        <w:t>Original: inglés</w:t>
                      </w:r>
                    </w:p>
                    <w:p w:rsidR="00627C9F" w:rsidRPr="0070059A" w:rsidRDefault="00627C9F" w:rsidP="0070059A">
                      <w:pPr>
                        <w:spacing w:line="276" w:lineRule="auto"/>
                        <w:jc w:val="right"/>
                        <w:rPr>
                          <w:rFonts w:asciiTheme="minorHAnsi" w:hAnsiTheme="minorHAnsi"/>
                          <w:color w:val="FFFFFF" w:themeColor="background1"/>
                          <w:sz w:val="22"/>
                          <w:lang w:val="es-ES"/>
                        </w:rPr>
                      </w:pPr>
                    </w:p>
                  </w:txbxContent>
                </v:textbox>
              </v:shape>
            </w:pict>
          </mc:Fallback>
        </mc:AlternateContent>
      </w: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cs="Arial"/>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5128E4" w:rsidRPr="0090270B" w:rsidRDefault="005128E4"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5128E4" w:rsidRPr="0090270B" w:rsidRDefault="005128E4" w:rsidP="00040C3A">
      <w:pPr>
        <w:tabs>
          <w:tab w:val="center" w:pos="5400"/>
        </w:tabs>
        <w:suppressAutoHyphens/>
        <w:jc w:val="center"/>
        <w:rPr>
          <w:rFonts w:asciiTheme="majorHAnsi" w:hAnsiTheme="majorHAnsi"/>
          <w:sz w:val="22"/>
          <w:szCs w:val="22"/>
          <w:lang w:val="es-ES_tradnl"/>
        </w:rPr>
      </w:pPr>
    </w:p>
    <w:p w:rsidR="005128E4" w:rsidRPr="0090270B" w:rsidRDefault="005128E4" w:rsidP="00040C3A">
      <w:pPr>
        <w:tabs>
          <w:tab w:val="center" w:pos="5400"/>
        </w:tabs>
        <w:suppressAutoHyphens/>
        <w:jc w:val="center"/>
        <w:rPr>
          <w:rFonts w:asciiTheme="majorHAnsi" w:hAnsiTheme="majorHAnsi"/>
          <w:sz w:val="22"/>
          <w:szCs w:val="22"/>
          <w:lang w:val="es-ES_tradnl"/>
        </w:rPr>
      </w:pPr>
    </w:p>
    <w:p w:rsidR="005128E4" w:rsidRPr="0090270B" w:rsidRDefault="005128E4"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082E39A9" wp14:editId="7066B799">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EB786A">
                              <w:rPr>
                                <w:rFonts w:asciiTheme="majorHAnsi" w:hAnsiTheme="majorHAnsi"/>
                                <w:color w:val="0D0D0D" w:themeColor="text1" w:themeTint="F2"/>
                                <w:sz w:val="18"/>
                                <w:szCs w:val="22"/>
                                <w:lang w:val="es-ES"/>
                              </w:rPr>
                              <w:t>ónicamente</w:t>
                            </w:r>
                            <w:r w:rsidRPr="00890650">
                              <w:rPr>
                                <w:rFonts w:asciiTheme="majorHAnsi" w:hAnsiTheme="majorHAnsi"/>
                                <w:color w:val="0D0D0D" w:themeColor="text1" w:themeTint="F2"/>
                                <w:sz w:val="18"/>
                                <w:szCs w:val="22"/>
                                <w:lang w:val="es-ES"/>
                              </w:rPr>
                              <w:t xml:space="preserve"> por la Comisión el </w:t>
                            </w:r>
                            <w:r w:rsidR="00EB786A">
                              <w:rPr>
                                <w:rFonts w:asciiTheme="majorHAnsi" w:hAnsiTheme="majorHAnsi"/>
                                <w:color w:val="0D0D0D" w:themeColor="text1" w:themeTint="F2"/>
                                <w:sz w:val="18"/>
                                <w:szCs w:val="22"/>
                                <w:lang w:val="es-ES"/>
                              </w:rPr>
                              <w:t>24 de junio</w:t>
                            </w:r>
                            <w:r w:rsidRPr="00890650">
                              <w:rPr>
                                <w:rFonts w:asciiTheme="majorHAnsi" w:hAnsiTheme="majorHAnsi"/>
                                <w:color w:val="0D0D0D" w:themeColor="text1" w:themeTint="F2"/>
                                <w:sz w:val="18"/>
                                <w:szCs w:val="22"/>
                                <w:lang w:val="es-ES"/>
                              </w:rPr>
                              <w:t xml:space="preserve"> de 2014</w:t>
                            </w:r>
                          </w:p>
                          <w:p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EB786A">
                        <w:rPr>
                          <w:rFonts w:asciiTheme="majorHAnsi" w:hAnsiTheme="majorHAnsi"/>
                          <w:color w:val="0D0D0D" w:themeColor="text1" w:themeTint="F2"/>
                          <w:sz w:val="18"/>
                          <w:szCs w:val="22"/>
                          <w:lang w:val="es-ES"/>
                        </w:rPr>
                        <w:t>ónicamente</w:t>
                      </w:r>
                      <w:r w:rsidRPr="00890650">
                        <w:rPr>
                          <w:rFonts w:asciiTheme="majorHAnsi" w:hAnsiTheme="majorHAnsi"/>
                          <w:color w:val="0D0D0D" w:themeColor="text1" w:themeTint="F2"/>
                          <w:sz w:val="18"/>
                          <w:szCs w:val="22"/>
                          <w:lang w:val="es-ES"/>
                        </w:rPr>
                        <w:t xml:space="preserve"> por la Comisión el </w:t>
                      </w:r>
                      <w:r w:rsidR="00EB786A">
                        <w:rPr>
                          <w:rFonts w:asciiTheme="majorHAnsi" w:hAnsiTheme="majorHAnsi"/>
                          <w:color w:val="0D0D0D" w:themeColor="text1" w:themeTint="F2"/>
                          <w:sz w:val="18"/>
                          <w:szCs w:val="22"/>
                          <w:lang w:val="es-ES"/>
                        </w:rPr>
                        <w:t>24 de junio</w:t>
                      </w:r>
                      <w:r w:rsidRPr="00890650">
                        <w:rPr>
                          <w:rFonts w:asciiTheme="majorHAnsi" w:hAnsiTheme="majorHAnsi"/>
                          <w:color w:val="0D0D0D" w:themeColor="text1" w:themeTint="F2"/>
                          <w:sz w:val="18"/>
                          <w:szCs w:val="22"/>
                          <w:lang w:val="es-ES"/>
                        </w:rPr>
                        <w:t xml:space="preserve"> de 2014</w:t>
                      </w:r>
                    </w:p>
                    <w:p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2F9E530E" wp14:editId="67E51E45">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B786A" w:rsidRPr="000731A1" w:rsidRDefault="00EB786A" w:rsidP="00EB786A">
                            <w:pPr>
                              <w:spacing w:line="276" w:lineRule="auto"/>
                              <w:rPr>
                                <w:rFonts w:asciiTheme="majorHAnsi" w:hAnsiTheme="majorHAnsi"/>
                                <w:color w:val="595959" w:themeColor="text1" w:themeTint="A6"/>
                                <w:sz w:val="18"/>
                                <w:lang w:val="es-ES"/>
                              </w:rPr>
                            </w:pPr>
                            <w:r w:rsidRPr="000731A1">
                              <w:rPr>
                                <w:rFonts w:asciiTheme="majorHAnsi" w:hAnsiTheme="majorHAnsi"/>
                                <w:b/>
                                <w:color w:val="595959" w:themeColor="text1" w:themeTint="A6"/>
                                <w:sz w:val="18"/>
                                <w:lang w:val="es-ES"/>
                              </w:rPr>
                              <w:t>Cítese como:</w:t>
                            </w:r>
                            <w:r>
                              <w:rPr>
                                <w:rFonts w:asciiTheme="majorHAnsi" w:hAnsiTheme="majorHAnsi"/>
                                <w:color w:val="595959" w:themeColor="text1" w:themeTint="A6"/>
                                <w:sz w:val="18"/>
                                <w:lang w:val="es-ES"/>
                              </w:rPr>
                              <w:t xml:space="preserve"> CIDH, Informe  N</w:t>
                            </w:r>
                            <w:r w:rsidRPr="000731A1">
                              <w:rPr>
                                <w:rFonts w:asciiTheme="majorHAnsi" w:hAnsiTheme="majorHAnsi"/>
                                <w:color w:val="595959" w:themeColor="text1" w:themeTint="A6"/>
                                <w:sz w:val="18"/>
                                <w:vertAlign w:val="superscript"/>
                                <w:lang w:val="es-ES"/>
                              </w:rPr>
                              <w:t>o</w:t>
                            </w:r>
                            <w:r w:rsidRPr="000731A1">
                              <w:rPr>
                                <w:rFonts w:asciiTheme="majorHAnsi" w:hAnsiTheme="majorHAnsi"/>
                                <w:color w:val="595959" w:themeColor="text1" w:themeTint="A6"/>
                                <w:sz w:val="18"/>
                                <w:lang w:val="es-ES"/>
                              </w:rPr>
                              <w:t xml:space="preserve"> </w:t>
                            </w:r>
                            <w:r>
                              <w:rPr>
                                <w:rFonts w:asciiTheme="majorHAnsi" w:hAnsiTheme="majorHAnsi"/>
                                <w:color w:val="595959" w:themeColor="text1" w:themeTint="A6"/>
                                <w:sz w:val="18"/>
                                <w:lang w:val="es-ES"/>
                              </w:rPr>
                              <w:t>24/15</w:t>
                            </w:r>
                            <w:r w:rsidRPr="000731A1">
                              <w:rPr>
                                <w:rFonts w:asciiTheme="majorHAnsi" w:hAnsiTheme="majorHAnsi"/>
                                <w:color w:val="595959" w:themeColor="text1" w:themeTint="A6"/>
                                <w:sz w:val="18"/>
                                <w:lang w:val="es-ES"/>
                              </w:rPr>
                              <w:t xml:space="preserve">, Petición 1752-09. Admisibilidad. Bernardo </w:t>
                            </w:r>
                            <w:proofErr w:type="spellStart"/>
                            <w:r w:rsidRPr="000731A1">
                              <w:rPr>
                                <w:rFonts w:asciiTheme="majorHAnsi" w:hAnsiTheme="majorHAnsi"/>
                                <w:color w:val="595959" w:themeColor="text1" w:themeTint="A6"/>
                                <w:sz w:val="18"/>
                                <w:lang w:val="es-ES"/>
                              </w:rPr>
                              <w:t>Abán</w:t>
                            </w:r>
                            <w:proofErr w:type="spellEnd"/>
                            <w:r w:rsidRPr="000731A1">
                              <w:rPr>
                                <w:rFonts w:asciiTheme="majorHAnsi" w:hAnsiTheme="majorHAnsi"/>
                                <w:color w:val="595959" w:themeColor="text1" w:themeTint="A6"/>
                                <w:sz w:val="18"/>
                                <w:lang w:val="es-ES"/>
                              </w:rPr>
                              <w:t xml:space="preserve"> Tercero. Estados Unidos. </w:t>
                            </w:r>
                            <w:r>
                              <w:rPr>
                                <w:rFonts w:asciiTheme="majorHAnsi" w:hAnsiTheme="majorHAnsi"/>
                                <w:color w:val="595959" w:themeColor="text1" w:themeTint="A6"/>
                                <w:sz w:val="18"/>
                                <w:lang w:val="es-ES"/>
                              </w:rPr>
                              <w:t>24 de junio de 2015</w:t>
                            </w:r>
                            <w:r w:rsidRPr="000731A1">
                              <w:rPr>
                                <w:rFonts w:asciiTheme="majorHAnsi" w:hAnsiTheme="majorHAnsi"/>
                                <w:color w:val="595959" w:themeColor="text1" w:themeTint="A6"/>
                                <w:sz w:val="18"/>
                                <w:lang w:val="es-ES"/>
                              </w:rPr>
                              <w:t>.</w:t>
                            </w:r>
                          </w:p>
                          <w:p w:rsidR="00113F73" w:rsidRPr="00890650" w:rsidRDefault="00113F73" w:rsidP="00113F73">
                            <w:pPr>
                              <w:spacing w:line="276" w:lineRule="auto"/>
                              <w:rPr>
                                <w:rFonts w:asciiTheme="majorHAnsi" w:hAnsiTheme="majorHAnsi"/>
                                <w:color w:val="595959" w:themeColor="text1" w:themeTint="A6"/>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rsidR="00EB786A" w:rsidRPr="000731A1" w:rsidRDefault="00EB786A" w:rsidP="00EB786A">
                      <w:pPr>
                        <w:spacing w:line="276" w:lineRule="auto"/>
                        <w:rPr>
                          <w:rFonts w:asciiTheme="majorHAnsi" w:hAnsiTheme="majorHAnsi"/>
                          <w:color w:val="595959" w:themeColor="text1" w:themeTint="A6"/>
                          <w:sz w:val="18"/>
                          <w:lang w:val="es-ES"/>
                        </w:rPr>
                      </w:pPr>
                      <w:r w:rsidRPr="000731A1">
                        <w:rPr>
                          <w:rFonts w:asciiTheme="majorHAnsi" w:hAnsiTheme="majorHAnsi"/>
                          <w:b/>
                          <w:color w:val="595959" w:themeColor="text1" w:themeTint="A6"/>
                          <w:sz w:val="18"/>
                          <w:lang w:val="es-ES"/>
                        </w:rPr>
                        <w:t>Cítese como:</w:t>
                      </w:r>
                      <w:r>
                        <w:rPr>
                          <w:rFonts w:asciiTheme="majorHAnsi" w:hAnsiTheme="majorHAnsi"/>
                          <w:color w:val="595959" w:themeColor="text1" w:themeTint="A6"/>
                          <w:sz w:val="18"/>
                          <w:lang w:val="es-ES"/>
                        </w:rPr>
                        <w:t xml:space="preserve"> CIDH, Informe  N</w:t>
                      </w:r>
                      <w:r w:rsidRPr="000731A1">
                        <w:rPr>
                          <w:rFonts w:asciiTheme="majorHAnsi" w:hAnsiTheme="majorHAnsi"/>
                          <w:color w:val="595959" w:themeColor="text1" w:themeTint="A6"/>
                          <w:sz w:val="18"/>
                          <w:vertAlign w:val="superscript"/>
                          <w:lang w:val="es-ES"/>
                        </w:rPr>
                        <w:t>o</w:t>
                      </w:r>
                      <w:r w:rsidRPr="000731A1">
                        <w:rPr>
                          <w:rFonts w:asciiTheme="majorHAnsi" w:hAnsiTheme="majorHAnsi"/>
                          <w:color w:val="595959" w:themeColor="text1" w:themeTint="A6"/>
                          <w:sz w:val="18"/>
                          <w:lang w:val="es-ES"/>
                        </w:rPr>
                        <w:t xml:space="preserve"> </w:t>
                      </w:r>
                      <w:r>
                        <w:rPr>
                          <w:rFonts w:asciiTheme="majorHAnsi" w:hAnsiTheme="majorHAnsi"/>
                          <w:color w:val="595959" w:themeColor="text1" w:themeTint="A6"/>
                          <w:sz w:val="18"/>
                          <w:lang w:val="es-ES"/>
                        </w:rPr>
                        <w:t>24/15</w:t>
                      </w:r>
                      <w:r w:rsidRPr="000731A1">
                        <w:rPr>
                          <w:rFonts w:asciiTheme="majorHAnsi" w:hAnsiTheme="majorHAnsi"/>
                          <w:color w:val="595959" w:themeColor="text1" w:themeTint="A6"/>
                          <w:sz w:val="18"/>
                          <w:lang w:val="es-ES"/>
                        </w:rPr>
                        <w:t xml:space="preserve">, Petición 1752-09. Admisibilidad. Bernardo </w:t>
                      </w:r>
                      <w:proofErr w:type="spellStart"/>
                      <w:r w:rsidRPr="000731A1">
                        <w:rPr>
                          <w:rFonts w:asciiTheme="majorHAnsi" w:hAnsiTheme="majorHAnsi"/>
                          <w:color w:val="595959" w:themeColor="text1" w:themeTint="A6"/>
                          <w:sz w:val="18"/>
                          <w:lang w:val="es-ES"/>
                        </w:rPr>
                        <w:t>Abán</w:t>
                      </w:r>
                      <w:proofErr w:type="spellEnd"/>
                      <w:r w:rsidRPr="000731A1">
                        <w:rPr>
                          <w:rFonts w:asciiTheme="majorHAnsi" w:hAnsiTheme="majorHAnsi"/>
                          <w:color w:val="595959" w:themeColor="text1" w:themeTint="A6"/>
                          <w:sz w:val="18"/>
                          <w:lang w:val="es-ES"/>
                        </w:rPr>
                        <w:t xml:space="preserve"> Tercero. Estados Unidos. </w:t>
                      </w:r>
                      <w:r>
                        <w:rPr>
                          <w:rFonts w:asciiTheme="majorHAnsi" w:hAnsiTheme="majorHAnsi"/>
                          <w:color w:val="595959" w:themeColor="text1" w:themeTint="A6"/>
                          <w:sz w:val="18"/>
                          <w:lang w:val="es-ES"/>
                        </w:rPr>
                        <w:t>24 de junio de 2015</w:t>
                      </w:r>
                      <w:r w:rsidRPr="000731A1">
                        <w:rPr>
                          <w:rFonts w:asciiTheme="majorHAnsi" w:hAnsiTheme="majorHAnsi"/>
                          <w:color w:val="595959" w:themeColor="text1" w:themeTint="A6"/>
                          <w:sz w:val="18"/>
                          <w:lang w:val="es-ES"/>
                        </w:rPr>
                        <w:t>.</w:t>
                      </w:r>
                    </w:p>
                    <w:p w:rsidR="00113F73" w:rsidRPr="00890650" w:rsidRDefault="00113F73" w:rsidP="00113F73">
                      <w:pPr>
                        <w:spacing w:line="276" w:lineRule="auto"/>
                        <w:rPr>
                          <w:rFonts w:asciiTheme="majorHAnsi" w:hAnsiTheme="majorHAnsi"/>
                          <w:color w:val="595959" w:themeColor="text1" w:themeTint="A6"/>
                          <w:sz w:val="18"/>
                          <w:szCs w:val="18"/>
                        </w:rPr>
                      </w:pPr>
                    </w:p>
                  </w:txbxContent>
                </v:textbox>
              </v:shape>
            </w:pict>
          </mc:Fallback>
        </mc:AlternateContent>
      </w: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90270B" w:rsidRDefault="00D306D1" w:rsidP="005516A1">
      <w:pPr>
        <w:tabs>
          <w:tab w:val="center" w:pos="5400"/>
        </w:tabs>
        <w:suppressAutoHyphens/>
        <w:jc w:val="center"/>
        <w:rPr>
          <w:rFonts w:asciiTheme="majorHAnsi" w:hAnsiTheme="majorHAnsi"/>
          <w:b/>
          <w:sz w:val="20"/>
          <w:lang w:val="es-ES_tradnl"/>
        </w:rPr>
      </w:pPr>
      <w:r>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4B2EBCFF" wp14:editId="5B157161">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72DC6" w:rsidRPr="00D72DC6" w:rsidRDefault="00D72DC6"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38BB9D09" wp14:editId="10842A21">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rsidR="00D72DC6" w:rsidRPr="00D72DC6" w:rsidRDefault="00D72DC6"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38BB9D09" wp14:editId="10842A21">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v:textbox>
              </v:shape>
            </w:pict>
          </mc:Fallback>
        </mc:AlternateContent>
      </w:r>
      <w:r w:rsidRPr="00625030">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70E92519" wp14:editId="3B41177C">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rsidR="0070697F" w:rsidRDefault="0070697F" w:rsidP="005516A1">
      <w:pPr>
        <w:tabs>
          <w:tab w:val="center" w:pos="5400"/>
        </w:tabs>
        <w:suppressAutoHyphens/>
        <w:jc w:val="center"/>
        <w:rPr>
          <w:rFonts w:asciiTheme="majorHAnsi" w:hAnsiTheme="majorHAnsi"/>
          <w:b/>
          <w:sz w:val="20"/>
          <w:lang w:val="es-ES_tradnl"/>
        </w:rPr>
        <w:sectPr w:rsidR="0070697F" w:rsidSect="00C054DF">
          <w:headerReference w:type="even" r:id="rId13"/>
          <w:headerReference w:type="default" r:id="rId14"/>
          <w:footerReference w:type="even" r:id="rId15"/>
          <w:footerReference w:type="default" r:id="rId16"/>
          <w:headerReference w:type="first" r:id="rId17"/>
          <w:footerReference w:type="first" r:id="rId18"/>
          <w:type w:val="oddPage"/>
          <w:pgSz w:w="12240" w:h="15840"/>
          <w:pgMar w:top="1440" w:right="1440" w:bottom="1440" w:left="1440" w:header="720" w:footer="720" w:gutter="0"/>
          <w:pgNumType w:start="0"/>
          <w:cols w:space="720"/>
          <w:titlePg/>
          <w:docGrid w:linePitch="326"/>
        </w:sectPr>
      </w:pPr>
    </w:p>
    <w:p w:rsidR="00EB786A" w:rsidRPr="00DF6A93" w:rsidRDefault="00EB786A" w:rsidP="00EB786A">
      <w:pPr>
        <w:tabs>
          <w:tab w:val="center" w:pos="5400"/>
        </w:tabs>
        <w:suppressAutoHyphens/>
        <w:spacing w:line="276" w:lineRule="auto"/>
        <w:jc w:val="center"/>
        <w:rPr>
          <w:rFonts w:asciiTheme="majorHAnsi" w:hAnsiTheme="majorHAnsi"/>
          <w:b/>
          <w:sz w:val="18"/>
          <w:szCs w:val="20"/>
          <w:lang w:val="es-ES"/>
        </w:rPr>
      </w:pPr>
      <w:r w:rsidRPr="00DF6A93">
        <w:rPr>
          <w:rFonts w:asciiTheme="majorHAnsi" w:hAnsiTheme="majorHAnsi"/>
          <w:b/>
          <w:sz w:val="18"/>
          <w:szCs w:val="20"/>
          <w:lang w:val="es-ES"/>
        </w:rPr>
        <w:lastRenderedPageBreak/>
        <w:t>INFORME N</w:t>
      </w:r>
      <w:r w:rsidR="00C01BB1">
        <w:rPr>
          <w:rFonts w:asciiTheme="majorHAnsi" w:hAnsiTheme="majorHAnsi"/>
          <w:b/>
          <w:sz w:val="18"/>
          <w:szCs w:val="20"/>
          <w:lang w:val="es-ES"/>
        </w:rPr>
        <w:t>o.</w:t>
      </w:r>
      <w:r w:rsidRPr="00DF6A93">
        <w:rPr>
          <w:rFonts w:asciiTheme="majorHAnsi" w:hAnsiTheme="majorHAnsi"/>
          <w:b/>
          <w:sz w:val="18"/>
          <w:szCs w:val="20"/>
          <w:lang w:val="es-ES"/>
        </w:rPr>
        <w:t xml:space="preserve"> </w:t>
      </w:r>
      <w:r>
        <w:rPr>
          <w:rFonts w:asciiTheme="majorHAnsi" w:hAnsiTheme="majorHAnsi"/>
          <w:b/>
          <w:sz w:val="18"/>
          <w:szCs w:val="20"/>
          <w:lang w:val="es-ES"/>
        </w:rPr>
        <w:t>24</w:t>
      </w:r>
      <w:r w:rsidRPr="00DF6A93">
        <w:rPr>
          <w:rFonts w:asciiTheme="majorHAnsi" w:hAnsiTheme="majorHAnsi"/>
          <w:b/>
          <w:sz w:val="18"/>
          <w:szCs w:val="20"/>
          <w:lang w:val="es-ES"/>
        </w:rPr>
        <w:t>/15</w:t>
      </w:r>
      <w:r w:rsidR="00365FA3" w:rsidRPr="00365FA3">
        <w:rPr>
          <w:rStyle w:val="FootnoteReference"/>
          <w:rFonts w:asciiTheme="majorHAnsi" w:hAnsiTheme="majorHAnsi"/>
          <w:b/>
          <w:sz w:val="18"/>
          <w:szCs w:val="20"/>
          <w:lang w:val="es-ES"/>
        </w:rPr>
        <w:footnoteReference w:id="2"/>
      </w:r>
    </w:p>
    <w:p w:rsidR="00EB786A" w:rsidRPr="00DF6A93" w:rsidRDefault="00EB786A" w:rsidP="00EB786A">
      <w:pPr>
        <w:tabs>
          <w:tab w:val="center" w:pos="5400"/>
        </w:tabs>
        <w:suppressAutoHyphens/>
        <w:spacing w:line="276" w:lineRule="auto"/>
        <w:jc w:val="center"/>
        <w:rPr>
          <w:rFonts w:asciiTheme="majorHAnsi" w:hAnsiTheme="majorHAnsi"/>
          <w:b/>
          <w:sz w:val="18"/>
          <w:szCs w:val="20"/>
          <w:lang w:val="es-ES"/>
        </w:rPr>
      </w:pPr>
      <w:r w:rsidRPr="00DF6A93">
        <w:rPr>
          <w:rFonts w:asciiTheme="majorHAnsi" w:hAnsiTheme="majorHAnsi"/>
          <w:b/>
          <w:sz w:val="18"/>
          <w:szCs w:val="20"/>
          <w:lang w:val="es-ES"/>
        </w:rPr>
        <w:t>PETICIÓN 1752-09</w:t>
      </w:r>
    </w:p>
    <w:p w:rsidR="00EB786A" w:rsidRPr="00DF6A93" w:rsidRDefault="00EB786A" w:rsidP="00EB786A">
      <w:pPr>
        <w:tabs>
          <w:tab w:val="center" w:pos="5400"/>
        </w:tabs>
        <w:suppressAutoHyphens/>
        <w:spacing w:line="276" w:lineRule="auto"/>
        <w:jc w:val="center"/>
        <w:rPr>
          <w:rFonts w:asciiTheme="majorHAnsi" w:hAnsiTheme="majorHAnsi"/>
          <w:sz w:val="18"/>
          <w:szCs w:val="20"/>
          <w:lang w:val="es-ES"/>
        </w:rPr>
      </w:pPr>
      <w:r>
        <w:rPr>
          <w:rFonts w:asciiTheme="majorHAnsi" w:hAnsiTheme="majorHAnsi"/>
          <w:sz w:val="18"/>
          <w:szCs w:val="20"/>
          <w:lang w:val="es-ES"/>
        </w:rPr>
        <w:t xml:space="preserve">INFORME DE </w:t>
      </w:r>
      <w:r w:rsidRPr="00DF6A93">
        <w:rPr>
          <w:rFonts w:asciiTheme="majorHAnsi" w:hAnsiTheme="majorHAnsi"/>
          <w:sz w:val="18"/>
          <w:szCs w:val="20"/>
          <w:lang w:val="es-ES"/>
        </w:rPr>
        <w:t>ADMISIBILIDAD</w:t>
      </w:r>
    </w:p>
    <w:p w:rsidR="00EB786A" w:rsidRPr="00DF6A93" w:rsidRDefault="00EB786A" w:rsidP="00EB786A">
      <w:pPr>
        <w:tabs>
          <w:tab w:val="center" w:pos="5400"/>
        </w:tabs>
        <w:suppressAutoHyphens/>
        <w:spacing w:line="276" w:lineRule="auto"/>
        <w:jc w:val="center"/>
        <w:rPr>
          <w:rFonts w:asciiTheme="majorHAnsi" w:hAnsiTheme="majorHAnsi"/>
          <w:sz w:val="18"/>
          <w:szCs w:val="20"/>
          <w:lang w:val="es-ES"/>
        </w:rPr>
      </w:pPr>
      <w:r w:rsidRPr="00DF6A93">
        <w:rPr>
          <w:rFonts w:asciiTheme="majorHAnsi" w:hAnsiTheme="majorHAnsi"/>
          <w:sz w:val="18"/>
          <w:szCs w:val="20"/>
          <w:lang w:val="es-ES"/>
        </w:rPr>
        <w:t>BERNARDO ABÁN TERCERO</w:t>
      </w:r>
    </w:p>
    <w:p w:rsidR="00EB786A" w:rsidRPr="00DF6A93" w:rsidRDefault="00EB786A" w:rsidP="00EB786A">
      <w:pPr>
        <w:tabs>
          <w:tab w:val="center" w:pos="5400"/>
        </w:tabs>
        <w:suppressAutoHyphens/>
        <w:spacing w:line="276" w:lineRule="auto"/>
        <w:jc w:val="center"/>
        <w:rPr>
          <w:rFonts w:asciiTheme="majorHAnsi" w:hAnsiTheme="majorHAnsi"/>
          <w:sz w:val="18"/>
          <w:szCs w:val="20"/>
          <w:lang w:val="es-ES"/>
        </w:rPr>
      </w:pPr>
      <w:r w:rsidRPr="00DF6A93">
        <w:rPr>
          <w:rFonts w:asciiTheme="majorHAnsi" w:hAnsiTheme="majorHAnsi"/>
          <w:sz w:val="18"/>
          <w:szCs w:val="20"/>
          <w:lang w:val="es-ES"/>
        </w:rPr>
        <w:t>ESTADOS UNIDOS</w:t>
      </w:r>
      <w:r w:rsidRPr="00DF6A93">
        <w:rPr>
          <w:rFonts w:asciiTheme="majorHAnsi" w:hAnsiTheme="majorHAnsi"/>
          <w:sz w:val="18"/>
          <w:szCs w:val="20"/>
          <w:lang w:val="es-ES"/>
        </w:rPr>
        <w:br/>
      </w:r>
      <w:r>
        <w:rPr>
          <w:rFonts w:asciiTheme="majorHAnsi" w:hAnsiTheme="majorHAnsi"/>
          <w:sz w:val="18"/>
          <w:szCs w:val="20"/>
          <w:lang w:val="es-ES"/>
        </w:rPr>
        <w:t>24</w:t>
      </w:r>
      <w:r w:rsidRPr="00DF6A93">
        <w:rPr>
          <w:rFonts w:asciiTheme="majorHAnsi" w:hAnsiTheme="majorHAnsi"/>
          <w:sz w:val="18"/>
          <w:szCs w:val="20"/>
          <w:lang w:val="es-ES"/>
        </w:rPr>
        <w:t xml:space="preserve"> DE JUNIO DE 2015 </w:t>
      </w:r>
    </w:p>
    <w:p w:rsidR="00DF1EC4" w:rsidRDefault="00DF1EC4" w:rsidP="00DF1EC4">
      <w:pPr>
        <w:tabs>
          <w:tab w:val="center" w:pos="4680"/>
          <w:tab w:val="left" w:pos="6511"/>
        </w:tabs>
        <w:jc w:val="center"/>
        <w:rPr>
          <w:rFonts w:ascii="Cambria" w:hAnsi="Cambria" w:cs="Calibri"/>
          <w:sz w:val="20"/>
          <w:szCs w:val="20"/>
          <w:lang w:val="es-ES_tradnl"/>
        </w:rPr>
      </w:pPr>
    </w:p>
    <w:p w:rsidR="00EB786A" w:rsidRPr="00DF6A93" w:rsidRDefault="00EB786A" w:rsidP="00D72206">
      <w:pPr>
        <w:tabs>
          <w:tab w:val="center" w:pos="5400"/>
        </w:tabs>
        <w:suppressAutoHyphens/>
        <w:ind w:firstLine="720"/>
        <w:jc w:val="both"/>
        <w:rPr>
          <w:rFonts w:asciiTheme="majorHAnsi" w:hAnsiTheme="majorHAnsi"/>
          <w:sz w:val="20"/>
          <w:szCs w:val="20"/>
          <w:lang w:val="es-ES"/>
        </w:rPr>
      </w:pPr>
    </w:p>
    <w:p w:rsidR="00EB786A" w:rsidRPr="00DF6A93" w:rsidRDefault="00EB786A" w:rsidP="00D72206">
      <w:pPr>
        <w:ind w:firstLine="720"/>
        <w:jc w:val="both"/>
        <w:rPr>
          <w:rFonts w:asciiTheme="majorHAnsi" w:hAnsiTheme="majorHAnsi"/>
          <w:b/>
          <w:bCs/>
          <w:sz w:val="20"/>
          <w:szCs w:val="20"/>
          <w:lang w:val="es-ES"/>
        </w:rPr>
      </w:pPr>
      <w:r w:rsidRPr="00DF6A93">
        <w:rPr>
          <w:rFonts w:asciiTheme="majorHAnsi" w:hAnsiTheme="majorHAnsi"/>
          <w:b/>
          <w:bCs/>
          <w:sz w:val="20"/>
          <w:szCs w:val="20"/>
          <w:lang w:val="es-ES"/>
        </w:rPr>
        <w:t>I.</w:t>
      </w:r>
      <w:r w:rsidRPr="00DF6A93">
        <w:rPr>
          <w:rFonts w:asciiTheme="majorHAnsi" w:hAnsiTheme="majorHAnsi"/>
          <w:b/>
          <w:bCs/>
          <w:sz w:val="20"/>
          <w:szCs w:val="20"/>
          <w:lang w:val="es-ES"/>
        </w:rPr>
        <w:tab/>
        <w:t>RESUMEN</w:t>
      </w:r>
    </w:p>
    <w:p w:rsidR="00EB786A" w:rsidRPr="00DF6A93" w:rsidRDefault="00EB786A" w:rsidP="00D72206">
      <w:pPr>
        <w:ind w:firstLine="720"/>
        <w:jc w:val="both"/>
        <w:rPr>
          <w:rFonts w:asciiTheme="majorHAnsi" w:hAnsiTheme="majorHAnsi"/>
          <w:sz w:val="20"/>
          <w:szCs w:val="20"/>
          <w:lang w:val="es-ES"/>
        </w:rPr>
      </w:pPr>
    </w:p>
    <w:p w:rsidR="00EB786A" w:rsidRPr="00DF6A93" w:rsidRDefault="00EB786A" w:rsidP="00D72206">
      <w:pPr>
        <w:numPr>
          <w:ilvl w:val="0"/>
          <w:numId w:val="102"/>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es-ES"/>
        </w:rPr>
      </w:pPr>
      <w:r w:rsidRPr="00DF6A93">
        <w:rPr>
          <w:rFonts w:asciiTheme="majorHAnsi" w:hAnsiTheme="majorHAnsi"/>
          <w:sz w:val="20"/>
          <w:szCs w:val="20"/>
          <w:lang w:val="es-ES"/>
        </w:rPr>
        <w:t xml:space="preserve">El 10 de septiembre de 2009, la Comisión Interamericana de Derechos Humanos (en adelante “la Comisión Interamericana” o “la CIDH”) recibió una petición presentada por Peter </w:t>
      </w:r>
      <w:proofErr w:type="spellStart"/>
      <w:r w:rsidRPr="00DF6A93">
        <w:rPr>
          <w:rFonts w:asciiTheme="majorHAnsi" w:hAnsiTheme="majorHAnsi"/>
          <w:sz w:val="20"/>
          <w:szCs w:val="20"/>
          <w:lang w:val="es-ES"/>
        </w:rPr>
        <w:t>Bellamy</w:t>
      </w:r>
      <w:proofErr w:type="spellEnd"/>
      <w:r w:rsidRPr="00DF6A93">
        <w:rPr>
          <w:rFonts w:asciiTheme="majorHAnsi" w:hAnsiTheme="majorHAnsi"/>
          <w:sz w:val="20"/>
          <w:szCs w:val="20"/>
          <w:lang w:val="es-ES"/>
        </w:rPr>
        <w:t xml:space="preserve"> (en adelante “el peticionario”) en nombre de Bernardo </w:t>
      </w:r>
      <w:proofErr w:type="spellStart"/>
      <w:r w:rsidRPr="00DF6A93">
        <w:rPr>
          <w:rFonts w:asciiTheme="majorHAnsi" w:hAnsiTheme="majorHAnsi"/>
          <w:sz w:val="20"/>
          <w:szCs w:val="20"/>
          <w:lang w:val="es-ES"/>
        </w:rPr>
        <w:t>Abán</w:t>
      </w:r>
      <w:proofErr w:type="spellEnd"/>
      <w:r w:rsidRPr="00DF6A93">
        <w:rPr>
          <w:rFonts w:asciiTheme="majorHAnsi" w:hAnsiTheme="majorHAnsi"/>
          <w:sz w:val="20"/>
          <w:szCs w:val="20"/>
          <w:lang w:val="es-ES"/>
        </w:rPr>
        <w:t xml:space="preserve"> Tercero (en adelante “la presunta víctima” o “el señor Tercero”), ciudadano nicaragüense que se encuentra privado de libertad en el corredor de la muerte en Texas, Estados Unidos. Según información de prensa, la ejecución d</w:t>
      </w:r>
      <w:r w:rsidRPr="00DF6A93">
        <w:rPr>
          <w:rFonts w:asciiTheme="majorHAnsi" w:hAnsiTheme="majorHAnsi" w:cs="Arial"/>
          <w:sz w:val="20"/>
          <w:szCs w:val="20"/>
          <w:lang w:val="es-ES"/>
        </w:rPr>
        <w:t xml:space="preserve">el señor Tercero está programada para el 26 de agosto de 2015.  </w:t>
      </w:r>
      <w:r w:rsidRPr="00DF6A93">
        <w:rPr>
          <w:rFonts w:asciiTheme="majorHAnsi" w:hAnsiTheme="majorHAnsi"/>
          <w:sz w:val="20"/>
          <w:szCs w:val="20"/>
          <w:lang w:val="es-ES"/>
        </w:rPr>
        <w:t xml:space="preserve">  </w:t>
      </w:r>
    </w:p>
    <w:p w:rsidR="00EB786A" w:rsidRPr="00DF6A93" w:rsidRDefault="00EB786A" w:rsidP="00D72206">
      <w:pPr>
        <w:ind w:firstLine="720"/>
        <w:jc w:val="both"/>
        <w:rPr>
          <w:rFonts w:asciiTheme="majorHAnsi" w:hAnsiTheme="majorHAnsi"/>
          <w:sz w:val="20"/>
          <w:szCs w:val="20"/>
          <w:lang w:val="es-ES"/>
        </w:rPr>
      </w:pPr>
    </w:p>
    <w:p w:rsidR="00EB786A" w:rsidRPr="00DF6A93" w:rsidRDefault="00EB786A" w:rsidP="00D72206">
      <w:pPr>
        <w:numPr>
          <w:ilvl w:val="0"/>
          <w:numId w:val="10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Theme="majorHAnsi" w:hAnsiTheme="majorHAnsi"/>
          <w:sz w:val="20"/>
          <w:szCs w:val="20"/>
          <w:lang w:val="es-ES"/>
        </w:rPr>
      </w:pPr>
      <w:r w:rsidRPr="00DF6A93">
        <w:rPr>
          <w:rFonts w:asciiTheme="majorHAnsi" w:hAnsiTheme="majorHAnsi"/>
          <w:sz w:val="20"/>
          <w:szCs w:val="20"/>
          <w:lang w:val="es-ES"/>
        </w:rPr>
        <w:t xml:space="preserve">El peticionario afirma que el señor Tercero era menor de </w:t>
      </w:r>
      <w:r w:rsidRPr="00DF6A93">
        <w:rPr>
          <w:rFonts w:asciiTheme="majorHAnsi" w:hAnsiTheme="majorHAnsi" w:cs="Arial"/>
          <w:sz w:val="20"/>
          <w:szCs w:val="20"/>
          <w:lang w:val="es-ES"/>
        </w:rPr>
        <w:t>18 años cuando cometió el delito; que el Estado se negó a notificar a las autoridades consulares, en violación del artículo 36 de la Convención de Viena sobre Relaciones Consulares, pese a la solicitud efectuada por la presunta víctima; y que el abogado designado por el tribunal le proporcionó patrocinio letrado ineficaz. Asimismo</w:t>
      </w:r>
      <w:r w:rsidRPr="00DF6A93">
        <w:rPr>
          <w:rFonts w:asciiTheme="majorHAnsi" w:hAnsiTheme="majorHAnsi"/>
          <w:sz w:val="20"/>
          <w:szCs w:val="20"/>
          <w:lang w:val="es-ES"/>
        </w:rPr>
        <w:t>, el peticionario afirma que se ha violado el derecho d</w:t>
      </w:r>
      <w:r w:rsidRPr="00DF6A93">
        <w:rPr>
          <w:rFonts w:asciiTheme="majorHAnsi" w:hAnsiTheme="majorHAnsi" w:cs="Arial"/>
          <w:sz w:val="20"/>
          <w:szCs w:val="20"/>
          <w:lang w:val="es-ES"/>
        </w:rPr>
        <w:t>el señor Tercero al debido proceso; en particular, que la fiscalía suprimió declaraciones y pruebas testimoniales mediante amenaza o intimidación. A la fecha de la aprobación del presente informe, el Estado no había presentado observaciones.</w:t>
      </w:r>
    </w:p>
    <w:p w:rsidR="00EB786A" w:rsidRPr="00DF6A93" w:rsidRDefault="00EB786A" w:rsidP="00D72206">
      <w:pPr>
        <w:suppressAutoHyphens/>
        <w:ind w:firstLine="720"/>
        <w:jc w:val="both"/>
        <w:rPr>
          <w:rFonts w:asciiTheme="majorHAnsi" w:hAnsiTheme="majorHAnsi" w:cs="Arial"/>
          <w:sz w:val="20"/>
          <w:szCs w:val="20"/>
          <w:lang w:val="es-ES"/>
        </w:rPr>
      </w:pPr>
    </w:p>
    <w:p w:rsidR="00EB786A" w:rsidRPr="00DF6A93" w:rsidRDefault="00EB786A" w:rsidP="00D72206">
      <w:pPr>
        <w:numPr>
          <w:ilvl w:val="0"/>
          <w:numId w:val="102"/>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es-ES"/>
        </w:rPr>
      </w:pPr>
      <w:r w:rsidRPr="00DF6A93">
        <w:rPr>
          <w:rFonts w:asciiTheme="majorHAnsi" w:hAnsiTheme="majorHAnsi"/>
          <w:sz w:val="20"/>
          <w:szCs w:val="20"/>
          <w:lang w:val="es-ES"/>
        </w:rPr>
        <w:t>Sin prejuzgar sobre el fondo del reclamo, la Comisión Interamericana, después de examinar la posición del peticionario y de conformidad con los requisitos establecidos en los artículos 31 a 34 de su Reglamento, decide declarar que el caso es admisible con el propósito de examinar la presunta violación de los derechos enunciados en los artículos I (derecho a la vida, a la libertad, a la seguridad e integridad de la persona), VII (derecho de protección a la infancia), XVIII (derecho de justicia) y XXVI (derecho a proceso regular) de la Declaración Americana de los Derechos y Deberes del Hombre (en adelante “la Declaración Americana”). La CIDH también decide notificar su decisión a las partes e incluirla en su Informe Anual a la Asamblea General de la OEA.</w:t>
      </w:r>
    </w:p>
    <w:p w:rsidR="00EB786A" w:rsidRPr="00DF6A93" w:rsidRDefault="00EB786A" w:rsidP="005D0580">
      <w:pPr>
        <w:ind w:firstLine="720"/>
        <w:jc w:val="both"/>
        <w:rPr>
          <w:rFonts w:asciiTheme="majorHAnsi" w:hAnsiTheme="majorHAnsi"/>
          <w:b/>
          <w:bCs/>
          <w:sz w:val="20"/>
          <w:szCs w:val="20"/>
          <w:lang w:val="es-ES"/>
        </w:rPr>
      </w:pPr>
    </w:p>
    <w:p w:rsidR="00EB786A" w:rsidRPr="00DF6A93" w:rsidRDefault="00EB786A" w:rsidP="005D0580">
      <w:pPr>
        <w:ind w:firstLine="720"/>
        <w:jc w:val="both"/>
        <w:rPr>
          <w:rFonts w:asciiTheme="majorHAnsi" w:hAnsiTheme="majorHAnsi"/>
          <w:b/>
          <w:bCs/>
          <w:sz w:val="20"/>
          <w:szCs w:val="20"/>
          <w:lang w:val="es-ES"/>
        </w:rPr>
      </w:pPr>
      <w:r w:rsidRPr="00DF6A93">
        <w:rPr>
          <w:rFonts w:asciiTheme="majorHAnsi" w:hAnsiTheme="majorHAnsi"/>
          <w:b/>
          <w:bCs/>
          <w:sz w:val="20"/>
          <w:szCs w:val="20"/>
          <w:lang w:val="es-ES"/>
        </w:rPr>
        <w:t>II.</w:t>
      </w:r>
      <w:r w:rsidRPr="00DF6A93">
        <w:rPr>
          <w:rFonts w:asciiTheme="majorHAnsi" w:hAnsiTheme="majorHAnsi"/>
          <w:b/>
          <w:bCs/>
          <w:sz w:val="20"/>
          <w:szCs w:val="20"/>
          <w:lang w:val="es-ES"/>
        </w:rPr>
        <w:tab/>
        <w:t>PROCEDIMIENTO ANTE LA CIDH</w:t>
      </w:r>
    </w:p>
    <w:p w:rsidR="00EB786A" w:rsidRPr="00DF6A93" w:rsidRDefault="00EB786A" w:rsidP="005D0580">
      <w:pPr>
        <w:ind w:firstLine="720"/>
        <w:jc w:val="both"/>
        <w:rPr>
          <w:rFonts w:asciiTheme="majorHAnsi" w:hAnsiTheme="majorHAnsi"/>
          <w:sz w:val="20"/>
          <w:szCs w:val="20"/>
          <w:lang w:val="es-ES"/>
        </w:rPr>
      </w:pPr>
    </w:p>
    <w:p w:rsidR="00EB786A" w:rsidRPr="00DF6A93" w:rsidRDefault="00EB786A" w:rsidP="005D0580">
      <w:pPr>
        <w:numPr>
          <w:ilvl w:val="0"/>
          <w:numId w:val="10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Theme="majorHAnsi" w:hAnsiTheme="majorHAnsi"/>
          <w:sz w:val="20"/>
          <w:szCs w:val="20"/>
          <w:lang w:val="es-ES"/>
        </w:rPr>
      </w:pPr>
      <w:r w:rsidRPr="00DF6A93">
        <w:rPr>
          <w:rFonts w:asciiTheme="majorHAnsi" w:hAnsiTheme="majorHAnsi"/>
          <w:sz w:val="20"/>
          <w:szCs w:val="20"/>
          <w:lang w:val="es-ES"/>
        </w:rPr>
        <w:t xml:space="preserve">El 10 de septiembre de 2009, la Comisión Interamericana recibió una petición presentada inicialmente contra Nicaragua por Peter </w:t>
      </w:r>
      <w:proofErr w:type="spellStart"/>
      <w:r w:rsidRPr="00DF6A93">
        <w:rPr>
          <w:rFonts w:asciiTheme="majorHAnsi" w:hAnsiTheme="majorHAnsi"/>
          <w:sz w:val="20"/>
          <w:szCs w:val="20"/>
          <w:lang w:val="es-ES"/>
        </w:rPr>
        <w:t>Bellamy</w:t>
      </w:r>
      <w:proofErr w:type="spellEnd"/>
      <w:r w:rsidRPr="00DF6A93">
        <w:rPr>
          <w:rFonts w:asciiTheme="majorHAnsi" w:hAnsiTheme="majorHAnsi"/>
          <w:sz w:val="20"/>
          <w:szCs w:val="20"/>
          <w:lang w:val="es-ES"/>
        </w:rPr>
        <w:t xml:space="preserve"> en nombre de la presunta víctima. Mediante carta </w:t>
      </w:r>
      <w:r>
        <w:rPr>
          <w:rFonts w:asciiTheme="majorHAnsi" w:hAnsiTheme="majorHAnsi"/>
          <w:sz w:val="20"/>
          <w:szCs w:val="20"/>
          <w:lang w:val="es-ES"/>
        </w:rPr>
        <w:t>de</w:t>
      </w:r>
      <w:r w:rsidRPr="00DF6A93">
        <w:rPr>
          <w:rFonts w:asciiTheme="majorHAnsi" w:hAnsiTheme="majorHAnsi"/>
          <w:sz w:val="20"/>
          <w:szCs w:val="20"/>
          <w:lang w:val="es-ES"/>
        </w:rPr>
        <w:t xml:space="preserve"> fecha del 24 de enero de 2013, la CIDH informó al peticionario que, habiendo concluido el estudio dispuesto en el artículo 26 del Reglamento de la Comisión, no se podía tramitar la petición contra Nicaragua </w:t>
      </w:r>
      <w:r>
        <w:rPr>
          <w:rFonts w:asciiTheme="majorHAnsi" w:hAnsiTheme="majorHAnsi"/>
          <w:sz w:val="20"/>
          <w:szCs w:val="20"/>
          <w:lang w:val="es-ES"/>
        </w:rPr>
        <w:t>dado que</w:t>
      </w:r>
      <w:r w:rsidRPr="00DF6A93">
        <w:rPr>
          <w:rFonts w:asciiTheme="majorHAnsi" w:hAnsiTheme="majorHAnsi"/>
          <w:sz w:val="20"/>
          <w:szCs w:val="20"/>
          <w:lang w:val="es-ES"/>
        </w:rPr>
        <w:t xml:space="preserve"> la información que contenía no cumplía los requisitos establecidos en dicho Reglamento y en otros instrumentos pertinentes. Asimismo, la CIDH informó al peticionario que en la petición </w:t>
      </w:r>
      <w:r>
        <w:rPr>
          <w:rFonts w:asciiTheme="majorHAnsi" w:hAnsiTheme="majorHAnsi"/>
          <w:sz w:val="20"/>
          <w:szCs w:val="20"/>
          <w:lang w:val="es-ES"/>
        </w:rPr>
        <w:t>se habían detectado alegatos</w:t>
      </w:r>
      <w:r w:rsidRPr="00DF6A93">
        <w:rPr>
          <w:rFonts w:asciiTheme="majorHAnsi" w:hAnsiTheme="majorHAnsi"/>
          <w:sz w:val="20"/>
          <w:szCs w:val="20"/>
          <w:lang w:val="es-ES"/>
        </w:rPr>
        <w:t xml:space="preserve"> contra Estados Unidos</w:t>
      </w:r>
      <w:r>
        <w:rPr>
          <w:rFonts w:asciiTheme="majorHAnsi" w:hAnsiTheme="majorHAnsi"/>
          <w:sz w:val="20"/>
          <w:szCs w:val="20"/>
          <w:lang w:val="es-ES"/>
        </w:rPr>
        <w:t>, los cuales estaban siendo analizados</w:t>
      </w:r>
      <w:r w:rsidRPr="00DF6A93">
        <w:rPr>
          <w:rFonts w:asciiTheme="majorHAnsi" w:hAnsiTheme="majorHAnsi"/>
          <w:sz w:val="20"/>
          <w:szCs w:val="20"/>
          <w:lang w:val="es-ES"/>
        </w:rPr>
        <w:t xml:space="preserve"> de conformidad con el Reglamento. La Comisión solicitó </w:t>
      </w:r>
      <w:r>
        <w:rPr>
          <w:rFonts w:asciiTheme="majorHAnsi" w:hAnsiTheme="majorHAnsi"/>
          <w:sz w:val="20"/>
          <w:szCs w:val="20"/>
          <w:lang w:val="es-ES"/>
        </w:rPr>
        <w:t>además que lo</w:t>
      </w:r>
      <w:r w:rsidRPr="00DF6A93">
        <w:rPr>
          <w:rFonts w:asciiTheme="majorHAnsi" w:hAnsiTheme="majorHAnsi"/>
          <w:sz w:val="20"/>
          <w:szCs w:val="20"/>
          <w:lang w:val="es-ES"/>
        </w:rPr>
        <w:t xml:space="preserve">s </w:t>
      </w:r>
      <w:r>
        <w:rPr>
          <w:rFonts w:asciiTheme="majorHAnsi" w:hAnsiTheme="majorHAnsi"/>
          <w:sz w:val="20"/>
          <w:szCs w:val="20"/>
          <w:lang w:val="es-ES"/>
        </w:rPr>
        <w:t>alegatos formulado</w:t>
      </w:r>
      <w:r w:rsidRPr="00DF6A93">
        <w:rPr>
          <w:rFonts w:asciiTheme="majorHAnsi" w:hAnsiTheme="majorHAnsi"/>
          <w:sz w:val="20"/>
          <w:szCs w:val="20"/>
          <w:lang w:val="es-ES"/>
        </w:rPr>
        <w:t xml:space="preserve">s contra Estados Unidos </w:t>
      </w:r>
      <w:r>
        <w:rPr>
          <w:rFonts w:asciiTheme="majorHAnsi" w:hAnsiTheme="majorHAnsi"/>
          <w:sz w:val="20"/>
          <w:szCs w:val="20"/>
          <w:lang w:val="es-ES"/>
        </w:rPr>
        <w:t>fueran enviados</w:t>
      </w:r>
      <w:r w:rsidRPr="00DF6A93">
        <w:rPr>
          <w:rFonts w:asciiTheme="majorHAnsi" w:hAnsiTheme="majorHAnsi"/>
          <w:sz w:val="20"/>
          <w:szCs w:val="20"/>
          <w:lang w:val="es-ES"/>
        </w:rPr>
        <w:t xml:space="preserve"> en inglés, idioma oficial del Estado en cuestión.  </w:t>
      </w:r>
    </w:p>
    <w:p w:rsidR="00EB786A" w:rsidRPr="00DF6A93" w:rsidRDefault="00EB786A" w:rsidP="005D0580">
      <w:pPr>
        <w:ind w:firstLine="720"/>
        <w:jc w:val="both"/>
        <w:rPr>
          <w:rFonts w:asciiTheme="majorHAnsi" w:hAnsiTheme="majorHAnsi"/>
          <w:sz w:val="20"/>
          <w:szCs w:val="20"/>
          <w:lang w:val="es-ES"/>
        </w:rPr>
      </w:pPr>
    </w:p>
    <w:p w:rsidR="00EB786A" w:rsidRPr="00DF6A93" w:rsidRDefault="00EB786A" w:rsidP="005D0580">
      <w:pPr>
        <w:numPr>
          <w:ilvl w:val="0"/>
          <w:numId w:val="10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Theme="majorHAnsi" w:hAnsiTheme="majorHAnsi"/>
          <w:sz w:val="20"/>
          <w:szCs w:val="20"/>
          <w:lang w:val="es-ES"/>
        </w:rPr>
      </w:pPr>
      <w:r w:rsidRPr="00DF6A93">
        <w:rPr>
          <w:rFonts w:asciiTheme="majorHAnsi" w:hAnsiTheme="majorHAnsi"/>
          <w:sz w:val="20"/>
          <w:szCs w:val="20"/>
          <w:lang w:val="es-ES"/>
        </w:rPr>
        <w:t xml:space="preserve">   El 19 de marzo de 2013, la CIDH recibió una comunicación en inglés </w:t>
      </w:r>
      <w:r>
        <w:rPr>
          <w:rFonts w:asciiTheme="majorHAnsi" w:hAnsiTheme="majorHAnsi"/>
          <w:sz w:val="20"/>
          <w:szCs w:val="20"/>
          <w:lang w:val="es-ES"/>
        </w:rPr>
        <w:t>resumiendo los alegatos</w:t>
      </w:r>
      <w:r w:rsidRPr="00DF6A93">
        <w:rPr>
          <w:rFonts w:asciiTheme="majorHAnsi" w:hAnsiTheme="majorHAnsi"/>
          <w:sz w:val="20"/>
          <w:szCs w:val="20"/>
          <w:lang w:val="es-ES"/>
        </w:rPr>
        <w:t xml:space="preserve"> contra Estados Unidos y </w:t>
      </w:r>
      <w:r>
        <w:rPr>
          <w:rFonts w:asciiTheme="majorHAnsi" w:hAnsiTheme="majorHAnsi"/>
          <w:sz w:val="20"/>
          <w:szCs w:val="20"/>
          <w:lang w:val="es-ES"/>
        </w:rPr>
        <w:t>solicitando</w:t>
      </w:r>
      <w:r w:rsidRPr="00DF6A93">
        <w:rPr>
          <w:rFonts w:asciiTheme="majorHAnsi" w:hAnsiTheme="majorHAnsi"/>
          <w:sz w:val="20"/>
          <w:szCs w:val="20"/>
          <w:lang w:val="es-ES"/>
        </w:rPr>
        <w:t xml:space="preserve"> medidas cautelares. El 24 de marzo, el 7 de abril, el 29 de mayo y el 20 de agosto de 2013, el peticionario envió información adicional. El 5 de noviembre de 2013, la Comisión transmitió las partes pertinentes de la petición al Estado y le dio un plazo de tres meses para presentar sus observaciones de conformidad con el artículo 30(3) del Reglamento de la Comisión. </w:t>
      </w:r>
    </w:p>
    <w:p w:rsidR="00EB786A" w:rsidRPr="00DF6A93" w:rsidRDefault="00EB786A" w:rsidP="005D0580">
      <w:pPr>
        <w:pStyle w:val="ListParagraph"/>
        <w:ind w:left="0" w:firstLine="720"/>
        <w:jc w:val="both"/>
        <w:rPr>
          <w:rFonts w:asciiTheme="majorHAnsi" w:hAnsiTheme="majorHAnsi"/>
          <w:sz w:val="20"/>
          <w:szCs w:val="20"/>
          <w:lang w:val="es-ES"/>
        </w:rPr>
      </w:pPr>
    </w:p>
    <w:p w:rsidR="00EB786A" w:rsidRPr="00DF6A93" w:rsidRDefault="00EB786A" w:rsidP="005D0580">
      <w:pPr>
        <w:numPr>
          <w:ilvl w:val="0"/>
          <w:numId w:val="102"/>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es-ES"/>
        </w:rPr>
      </w:pPr>
      <w:r w:rsidRPr="00DF6A93">
        <w:rPr>
          <w:rFonts w:asciiTheme="majorHAnsi" w:hAnsiTheme="majorHAnsi"/>
          <w:sz w:val="20"/>
          <w:szCs w:val="20"/>
          <w:lang w:val="es-ES"/>
        </w:rPr>
        <w:t xml:space="preserve">El 30 de junio de 2014, el peticionario envió información adicional, </w:t>
      </w:r>
      <w:r>
        <w:rPr>
          <w:rFonts w:asciiTheme="majorHAnsi" w:hAnsiTheme="majorHAnsi"/>
          <w:sz w:val="20"/>
          <w:szCs w:val="20"/>
          <w:lang w:val="es-ES"/>
        </w:rPr>
        <w:t>la cual</w:t>
      </w:r>
      <w:r w:rsidRPr="00DF6A93">
        <w:rPr>
          <w:rFonts w:asciiTheme="majorHAnsi" w:hAnsiTheme="majorHAnsi"/>
          <w:sz w:val="20"/>
          <w:szCs w:val="20"/>
          <w:lang w:val="es-ES"/>
        </w:rPr>
        <w:t xml:space="preserve"> fue transmitida al Estado. A la fecha de aprobación del presente informe, la Comisión Interamericana no había recibido observaciones de Estados Unidos.</w:t>
      </w:r>
    </w:p>
    <w:p w:rsidR="00EB786A" w:rsidRPr="00DF6A93" w:rsidRDefault="00EB786A" w:rsidP="005D0580">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Theme="majorHAnsi" w:hAnsiTheme="majorHAnsi"/>
          <w:b/>
          <w:sz w:val="20"/>
          <w:szCs w:val="20"/>
          <w:lang w:val="es-ES"/>
        </w:rPr>
      </w:pPr>
    </w:p>
    <w:p w:rsidR="00EB786A" w:rsidRPr="00DF6A93" w:rsidRDefault="00EB786A" w:rsidP="005D0580">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Theme="majorHAnsi" w:hAnsiTheme="majorHAnsi"/>
          <w:sz w:val="20"/>
          <w:szCs w:val="20"/>
          <w:lang w:val="es-ES"/>
        </w:rPr>
      </w:pPr>
      <w:r w:rsidRPr="00DF6A93">
        <w:rPr>
          <w:rFonts w:asciiTheme="majorHAnsi" w:hAnsiTheme="majorHAnsi"/>
          <w:b/>
          <w:sz w:val="20"/>
          <w:szCs w:val="20"/>
          <w:lang w:val="es-ES"/>
        </w:rPr>
        <w:t>Medidas cautelares</w:t>
      </w:r>
    </w:p>
    <w:p w:rsidR="00EB786A" w:rsidRPr="00DF6A93" w:rsidRDefault="00EB786A" w:rsidP="005D0580">
      <w:pPr>
        <w:pStyle w:val="ListParagraph"/>
        <w:ind w:left="0" w:firstLine="720"/>
        <w:jc w:val="both"/>
        <w:rPr>
          <w:rFonts w:asciiTheme="majorHAnsi" w:hAnsiTheme="majorHAnsi"/>
          <w:sz w:val="20"/>
          <w:szCs w:val="20"/>
          <w:lang w:val="es-ES"/>
        </w:rPr>
      </w:pPr>
    </w:p>
    <w:p w:rsidR="00EB786A" w:rsidRPr="00DF6A93" w:rsidRDefault="00EB786A" w:rsidP="005D0580">
      <w:pPr>
        <w:numPr>
          <w:ilvl w:val="0"/>
          <w:numId w:val="102"/>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es-ES"/>
        </w:rPr>
      </w:pPr>
      <w:r w:rsidRPr="00DF6A93">
        <w:rPr>
          <w:rFonts w:asciiTheme="majorHAnsi" w:hAnsiTheme="majorHAnsi"/>
          <w:sz w:val="20"/>
          <w:szCs w:val="20"/>
          <w:lang w:val="es-ES"/>
        </w:rPr>
        <w:t>El 4 de abril de 2013, la Comisión Interamericana notificó al Estado que había otorgado medidas cautelares a favor del señor Tercero y solicitó que se suspendiera la ejecución hasta tanto se pronunciara sobre el fondo de la petición.</w:t>
      </w:r>
    </w:p>
    <w:p w:rsidR="00EB786A" w:rsidRPr="00DF6A93" w:rsidRDefault="00EB786A" w:rsidP="005D0580">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Theme="majorHAnsi" w:hAnsiTheme="majorHAnsi"/>
          <w:b/>
          <w:bCs/>
          <w:sz w:val="20"/>
          <w:szCs w:val="20"/>
          <w:lang w:val="es-ES"/>
        </w:rPr>
      </w:pPr>
    </w:p>
    <w:p w:rsidR="00EB786A" w:rsidRPr="00DF6A93" w:rsidRDefault="00EB786A" w:rsidP="005D0580">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Theme="majorHAnsi" w:hAnsiTheme="majorHAnsi"/>
          <w:b/>
          <w:bCs/>
          <w:sz w:val="20"/>
          <w:szCs w:val="20"/>
          <w:lang w:val="es-ES"/>
        </w:rPr>
      </w:pPr>
      <w:r w:rsidRPr="00DF6A93">
        <w:rPr>
          <w:rFonts w:asciiTheme="majorHAnsi" w:hAnsiTheme="majorHAnsi"/>
          <w:b/>
          <w:bCs/>
          <w:sz w:val="20"/>
          <w:szCs w:val="20"/>
          <w:lang w:val="es-ES"/>
        </w:rPr>
        <w:t>III.</w:t>
      </w:r>
      <w:r w:rsidRPr="00DF6A93">
        <w:rPr>
          <w:rFonts w:asciiTheme="majorHAnsi" w:hAnsiTheme="majorHAnsi"/>
          <w:b/>
          <w:bCs/>
          <w:sz w:val="20"/>
          <w:szCs w:val="20"/>
          <w:lang w:val="es-ES"/>
        </w:rPr>
        <w:tab/>
        <w:t>POSICIÓN DE LAS PARTES</w:t>
      </w:r>
    </w:p>
    <w:p w:rsidR="00EB786A" w:rsidRPr="00DF6A93" w:rsidRDefault="00EB786A" w:rsidP="005D0580">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Theme="majorHAnsi" w:hAnsiTheme="majorHAnsi"/>
          <w:b/>
          <w:bCs/>
          <w:sz w:val="20"/>
          <w:szCs w:val="20"/>
          <w:lang w:val="es-ES"/>
        </w:rPr>
      </w:pPr>
    </w:p>
    <w:p w:rsidR="00EB786A" w:rsidRPr="00DF6A93" w:rsidRDefault="00EB786A" w:rsidP="005D0580">
      <w:pPr>
        <w:pStyle w:val="ListParagraph"/>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hAnsiTheme="majorHAnsi"/>
          <w:sz w:val="20"/>
          <w:szCs w:val="20"/>
          <w:lang w:val="es-ES"/>
        </w:rPr>
      </w:pPr>
      <w:r w:rsidRPr="00DF6A93">
        <w:rPr>
          <w:rFonts w:asciiTheme="majorHAnsi" w:hAnsiTheme="majorHAnsi"/>
          <w:b/>
          <w:bCs/>
          <w:sz w:val="20"/>
          <w:szCs w:val="20"/>
          <w:lang w:val="es-ES"/>
        </w:rPr>
        <w:t>Posición del peticionario</w:t>
      </w:r>
    </w:p>
    <w:p w:rsidR="00EB786A" w:rsidRPr="00DF6A93" w:rsidRDefault="00EB786A" w:rsidP="005D0580">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Theme="majorHAnsi" w:hAnsiTheme="majorHAnsi"/>
          <w:sz w:val="20"/>
          <w:szCs w:val="20"/>
          <w:lang w:val="es-ES"/>
        </w:rPr>
      </w:pPr>
    </w:p>
    <w:p w:rsidR="00EB786A" w:rsidRPr="00DF6A93" w:rsidRDefault="00EB786A" w:rsidP="005D0580">
      <w:pPr>
        <w:numPr>
          <w:ilvl w:val="0"/>
          <w:numId w:val="10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Theme="majorHAnsi" w:hAnsiTheme="majorHAnsi"/>
          <w:sz w:val="20"/>
          <w:szCs w:val="20"/>
          <w:lang w:val="es-ES"/>
        </w:rPr>
      </w:pPr>
      <w:r w:rsidRPr="00DF6A93">
        <w:rPr>
          <w:rFonts w:asciiTheme="majorHAnsi" w:hAnsiTheme="majorHAnsi" w:cs="Arial"/>
          <w:sz w:val="20"/>
          <w:szCs w:val="20"/>
          <w:lang w:val="es-ES"/>
        </w:rPr>
        <w:t>De acuerdo con la información que obra en autos</w:t>
      </w:r>
      <w:r w:rsidRPr="00DF6A93">
        <w:rPr>
          <w:rStyle w:val="FootnoteReference"/>
          <w:rFonts w:asciiTheme="majorHAnsi" w:hAnsiTheme="majorHAnsi"/>
          <w:sz w:val="20"/>
          <w:szCs w:val="20"/>
          <w:lang w:val="es-ES"/>
        </w:rPr>
        <w:footnoteReference w:id="3"/>
      </w:r>
      <w:r w:rsidRPr="00DF6A93">
        <w:rPr>
          <w:rFonts w:asciiTheme="majorHAnsi" w:hAnsiTheme="majorHAnsi" w:cs="Arial"/>
          <w:sz w:val="20"/>
          <w:szCs w:val="20"/>
          <w:lang w:val="es-ES"/>
        </w:rPr>
        <w:t xml:space="preserve">, el 20 de octubre de 2000 el señor Tercero fue condenado a muerte en el 232 Tribunal de Distrito del Condado de Harris, Texas, por un homicidio punible con pena capital cometido en el curso de un robo con agravante el 31 de marzo de 1997. El 20 de noviembre de 2000, el abogado de la presunta víctima presentó una </w:t>
      </w:r>
      <w:r>
        <w:rPr>
          <w:rFonts w:asciiTheme="majorHAnsi" w:hAnsiTheme="majorHAnsi" w:cs="Arial"/>
          <w:sz w:val="20"/>
          <w:szCs w:val="20"/>
          <w:lang w:val="es-ES"/>
        </w:rPr>
        <w:t>solicitud</w:t>
      </w:r>
      <w:r w:rsidRPr="00DF6A93">
        <w:rPr>
          <w:rFonts w:asciiTheme="majorHAnsi" w:hAnsiTheme="majorHAnsi" w:cs="Arial"/>
          <w:sz w:val="20"/>
          <w:szCs w:val="20"/>
          <w:lang w:val="es-ES"/>
        </w:rPr>
        <w:t xml:space="preserve"> de nuevo juicio por falta de conducta de los fiscales, que fue denegada el 18 de diciembre de 2000. El 18 de septiembre de 2002, el Tribunal de Apelaciones en lo Penal de Texas denegó la apelación directa y el 16 de noviembre de 2005 denegó una petición de hábeas corpus.</w:t>
      </w:r>
    </w:p>
    <w:p w:rsidR="00EB786A" w:rsidRPr="00DF6A93" w:rsidRDefault="00EB786A" w:rsidP="005D0580">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Theme="majorHAnsi" w:hAnsiTheme="majorHAnsi"/>
          <w:sz w:val="20"/>
          <w:szCs w:val="20"/>
          <w:lang w:val="es-ES"/>
        </w:rPr>
      </w:pPr>
    </w:p>
    <w:p w:rsidR="00EB786A" w:rsidRPr="00DF6A93" w:rsidRDefault="00EB786A" w:rsidP="005D0580">
      <w:pPr>
        <w:numPr>
          <w:ilvl w:val="0"/>
          <w:numId w:val="10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Theme="majorHAnsi" w:hAnsiTheme="majorHAnsi"/>
          <w:sz w:val="20"/>
          <w:szCs w:val="20"/>
          <w:lang w:val="es-ES"/>
        </w:rPr>
      </w:pPr>
      <w:r w:rsidRPr="00DF6A93">
        <w:rPr>
          <w:rFonts w:asciiTheme="majorHAnsi" w:hAnsiTheme="majorHAnsi" w:cs="Arial"/>
          <w:sz w:val="20"/>
          <w:szCs w:val="20"/>
          <w:lang w:val="es-ES"/>
        </w:rPr>
        <w:t>El 24 de octubre de 2006, el señor Tercero interpuso un recurso</w:t>
      </w:r>
      <w:r>
        <w:rPr>
          <w:rFonts w:asciiTheme="majorHAnsi" w:hAnsiTheme="majorHAnsi" w:cs="Arial"/>
          <w:sz w:val="20"/>
          <w:szCs w:val="20"/>
          <w:lang w:val="es-ES"/>
        </w:rPr>
        <w:t xml:space="preserve"> federal</w:t>
      </w:r>
      <w:r w:rsidRPr="00DF6A93">
        <w:rPr>
          <w:rFonts w:asciiTheme="majorHAnsi" w:hAnsiTheme="majorHAnsi" w:cs="Arial"/>
          <w:sz w:val="20"/>
          <w:szCs w:val="20"/>
          <w:lang w:val="es-ES"/>
        </w:rPr>
        <w:t xml:space="preserve"> de hábeas corpus que contenía varios reclamos, entre ellos que la presunta víctima tenía</w:t>
      </w:r>
      <w:r>
        <w:rPr>
          <w:rFonts w:asciiTheme="majorHAnsi" w:hAnsiTheme="majorHAnsi" w:cs="Arial"/>
          <w:sz w:val="20"/>
          <w:szCs w:val="20"/>
          <w:lang w:val="es-ES"/>
        </w:rPr>
        <w:t xml:space="preserve"> </w:t>
      </w:r>
      <w:proofErr w:type="spellStart"/>
      <w:r>
        <w:rPr>
          <w:rFonts w:asciiTheme="majorHAnsi" w:hAnsiTheme="majorHAnsi" w:cs="Arial"/>
          <w:sz w:val="20"/>
          <w:szCs w:val="20"/>
          <w:lang w:val="es-ES"/>
        </w:rPr>
        <w:t>alegadamente</w:t>
      </w:r>
      <w:proofErr w:type="spellEnd"/>
      <w:r w:rsidRPr="00DF6A93">
        <w:rPr>
          <w:rFonts w:asciiTheme="majorHAnsi" w:hAnsiTheme="majorHAnsi" w:cs="Arial"/>
          <w:sz w:val="20"/>
          <w:szCs w:val="20"/>
          <w:lang w:val="es-ES"/>
        </w:rPr>
        <w:t xml:space="preserve"> menos de 18 años de edad cuando cometió el delito por el cual se le condenó a muerte y, por lo tanto, no cumplía los requisitos para ser ejecutado de acuerdo con el fallo de la Corte Suprema de Estados Unidos en </w:t>
      </w:r>
      <w:proofErr w:type="spellStart"/>
      <w:r w:rsidRPr="00DF6A93">
        <w:rPr>
          <w:rFonts w:asciiTheme="majorHAnsi" w:hAnsiTheme="majorHAnsi" w:cs="Arial"/>
          <w:i/>
          <w:sz w:val="20"/>
          <w:szCs w:val="20"/>
          <w:lang w:val="es-ES"/>
        </w:rPr>
        <w:t>Roper</w:t>
      </w:r>
      <w:proofErr w:type="spellEnd"/>
      <w:r w:rsidRPr="00DF6A93">
        <w:rPr>
          <w:rFonts w:asciiTheme="majorHAnsi" w:hAnsiTheme="majorHAnsi" w:cs="Arial"/>
          <w:i/>
          <w:sz w:val="20"/>
          <w:szCs w:val="20"/>
          <w:lang w:val="es-ES"/>
        </w:rPr>
        <w:t xml:space="preserve"> </w:t>
      </w:r>
      <w:r>
        <w:rPr>
          <w:rFonts w:asciiTheme="majorHAnsi" w:hAnsiTheme="majorHAnsi" w:cs="Arial"/>
          <w:i/>
          <w:sz w:val="20"/>
          <w:szCs w:val="20"/>
          <w:lang w:val="es-ES"/>
        </w:rPr>
        <w:t>v</w:t>
      </w:r>
      <w:r w:rsidRPr="00DF6A93">
        <w:rPr>
          <w:rFonts w:asciiTheme="majorHAnsi" w:hAnsiTheme="majorHAnsi" w:cs="Arial"/>
          <w:i/>
          <w:sz w:val="20"/>
          <w:szCs w:val="20"/>
          <w:lang w:val="es-ES"/>
        </w:rPr>
        <w:t>. Simmons</w:t>
      </w:r>
      <w:r w:rsidRPr="00DF6A93">
        <w:rPr>
          <w:rFonts w:asciiTheme="majorHAnsi" w:hAnsiTheme="majorHAnsi" w:cs="Arial"/>
          <w:sz w:val="20"/>
          <w:szCs w:val="20"/>
          <w:lang w:val="es-ES"/>
        </w:rPr>
        <w:t xml:space="preserve"> (543 U.S. 551, 125 </w:t>
      </w:r>
      <w:proofErr w:type="spellStart"/>
      <w:r w:rsidRPr="00DF6A93">
        <w:rPr>
          <w:rFonts w:asciiTheme="majorHAnsi" w:hAnsiTheme="majorHAnsi" w:cs="Arial"/>
          <w:sz w:val="20"/>
          <w:szCs w:val="20"/>
          <w:lang w:val="es-ES"/>
        </w:rPr>
        <w:t>S.Ct</w:t>
      </w:r>
      <w:proofErr w:type="spellEnd"/>
      <w:r w:rsidRPr="00DF6A93">
        <w:rPr>
          <w:rFonts w:asciiTheme="majorHAnsi" w:hAnsiTheme="majorHAnsi" w:cs="Arial"/>
          <w:sz w:val="20"/>
          <w:szCs w:val="20"/>
          <w:lang w:val="es-ES"/>
        </w:rPr>
        <w:t xml:space="preserve">. 1183, 2005). </w:t>
      </w:r>
    </w:p>
    <w:p w:rsidR="00EB786A" w:rsidRPr="00DF6A93" w:rsidRDefault="00EB786A" w:rsidP="005D0580">
      <w:pPr>
        <w:pStyle w:val="ListParagraph"/>
        <w:ind w:left="0" w:firstLine="720"/>
        <w:jc w:val="both"/>
        <w:rPr>
          <w:rFonts w:asciiTheme="majorHAnsi" w:hAnsiTheme="majorHAnsi" w:cs="Arial"/>
          <w:sz w:val="20"/>
          <w:szCs w:val="20"/>
          <w:lang w:val="es-ES"/>
        </w:rPr>
      </w:pPr>
    </w:p>
    <w:p w:rsidR="00EB786A" w:rsidRPr="00DF6A93" w:rsidRDefault="00EB786A" w:rsidP="005D0580">
      <w:pPr>
        <w:numPr>
          <w:ilvl w:val="0"/>
          <w:numId w:val="10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Theme="majorHAnsi" w:hAnsiTheme="majorHAnsi"/>
          <w:sz w:val="20"/>
          <w:szCs w:val="20"/>
          <w:lang w:val="es-ES"/>
        </w:rPr>
      </w:pPr>
      <w:r w:rsidRPr="00DF6A93">
        <w:rPr>
          <w:rFonts w:asciiTheme="majorHAnsi" w:hAnsiTheme="majorHAnsi" w:cs="Arial"/>
          <w:sz w:val="20"/>
          <w:szCs w:val="20"/>
          <w:lang w:val="es-ES"/>
        </w:rPr>
        <w:t xml:space="preserve">El 22 de junio de 2007, el Estado respondió a la petición de hábeas corpus y presentó los resultados de una investigación realizada por la Embajada de Estados Unidos en Nicaragua. El Estado afirmó que se había </w:t>
      </w:r>
      <w:r>
        <w:rPr>
          <w:rFonts w:asciiTheme="majorHAnsi" w:hAnsiTheme="majorHAnsi" w:cs="Arial"/>
          <w:sz w:val="20"/>
          <w:szCs w:val="20"/>
          <w:lang w:val="es-ES"/>
        </w:rPr>
        <w:t>realizado</w:t>
      </w:r>
      <w:r w:rsidRPr="00DF6A93">
        <w:rPr>
          <w:rFonts w:asciiTheme="majorHAnsi" w:hAnsiTheme="majorHAnsi" w:cs="Arial"/>
          <w:sz w:val="20"/>
          <w:szCs w:val="20"/>
          <w:lang w:val="es-ES"/>
        </w:rPr>
        <w:t xml:space="preserve"> una “rectificación” del acta de nacimiento de la presunta víctima para cambiar su fecha de nacimiento a fin de mostrar que era menor de lo que era en realidad. En vista de esta respuesta, se asignaron fondos al abogado del señor Tercero para que realizara su propia investigación en Nicaragua. En noviembre de 2007, Norma Villanueva, la investigadora contratada por su abogado, viajó a Nicaragua y, según se informa, realizó una investigación exhaustiva. El 8 de enero de 2008, el abogado del señor Tercero presentó una declaración jurada detallada de la señora Villanueva, en la cual confirmaba la autenticidad del certificado de nacimiento. El 31 de marzo de 2008, el Tribunal de Apelaciones dio instrucciones al abogado de la presunta víctima para que volviera a acudir al tribunal estatal a fin de agotar el reclamo de conformidad con el caso </w:t>
      </w:r>
      <w:r w:rsidRPr="00DF6A93">
        <w:rPr>
          <w:rFonts w:asciiTheme="majorHAnsi" w:hAnsiTheme="majorHAnsi" w:cs="Arial"/>
          <w:i/>
          <w:sz w:val="20"/>
          <w:szCs w:val="20"/>
          <w:lang w:val="es-ES"/>
        </w:rPr>
        <w:t>Simmons</w:t>
      </w:r>
      <w:r w:rsidRPr="00DF6A93">
        <w:rPr>
          <w:rFonts w:asciiTheme="majorHAnsi" w:hAnsiTheme="majorHAnsi" w:cs="Arial"/>
          <w:sz w:val="20"/>
          <w:szCs w:val="20"/>
          <w:lang w:val="es-ES"/>
        </w:rPr>
        <w:t xml:space="preserve">. </w:t>
      </w:r>
    </w:p>
    <w:p w:rsidR="00EB786A" w:rsidRPr="00DF6A93" w:rsidRDefault="00EB786A" w:rsidP="005D0580">
      <w:pPr>
        <w:pStyle w:val="ListParagraph"/>
        <w:ind w:left="0" w:firstLine="720"/>
        <w:jc w:val="both"/>
        <w:rPr>
          <w:rFonts w:asciiTheme="majorHAnsi" w:hAnsiTheme="majorHAnsi" w:cs="Arial"/>
          <w:sz w:val="20"/>
          <w:szCs w:val="20"/>
          <w:lang w:val="es-ES"/>
        </w:rPr>
      </w:pPr>
    </w:p>
    <w:p w:rsidR="00EB786A" w:rsidRPr="00DF6A93" w:rsidRDefault="00EB786A" w:rsidP="005D0580">
      <w:pPr>
        <w:numPr>
          <w:ilvl w:val="0"/>
          <w:numId w:val="10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Theme="majorHAnsi" w:hAnsiTheme="majorHAnsi"/>
          <w:sz w:val="20"/>
          <w:szCs w:val="20"/>
          <w:lang w:val="es-ES"/>
        </w:rPr>
      </w:pPr>
      <w:r w:rsidRPr="00DF6A93">
        <w:rPr>
          <w:rFonts w:asciiTheme="majorHAnsi" w:hAnsiTheme="majorHAnsi" w:cs="Arial"/>
          <w:sz w:val="20"/>
          <w:szCs w:val="20"/>
          <w:lang w:val="es-ES"/>
        </w:rPr>
        <w:t xml:space="preserve">El 4 de noviembre de 2009, las partes presentaron su propuesta de conclusiones de hecho y de derecho ante el Tribunal de Distrito del Condado de Harris. El 13 de noviembre de 2009, el Tribunal de Distrito refrendó las conclusiones propuestas por el Estado y emitió una orden de denegación del recurso de hábeas corpus interpuesto por el señor Tercero. El 3 de marzo de 2010, el Tribunal de Apelaciones en lo Penal adoptó las conclusiones de hecho y de derecho del Tribunal de Distrito y denegó el recurso de reparación. </w:t>
      </w:r>
    </w:p>
    <w:p w:rsidR="00EB786A" w:rsidRPr="00DF6A93" w:rsidRDefault="00EB786A" w:rsidP="005D0580">
      <w:pPr>
        <w:pStyle w:val="ListParagraph"/>
        <w:ind w:left="0" w:firstLine="720"/>
        <w:jc w:val="both"/>
        <w:rPr>
          <w:rFonts w:asciiTheme="majorHAnsi" w:hAnsiTheme="majorHAnsi" w:cs="Arial"/>
          <w:sz w:val="20"/>
          <w:szCs w:val="20"/>
          <w:lang w:val="es-ES"/>
        </w:rPr>
      </w:pPr>
    </w:p>
    <w:p w:rsidR="00EB786A" w:rsidRPr="00DF6A93" w:rsidRDefault="00EB786A" w:rsidP="005D0580">
      <w:pPr>
        <w:numPr>
          <w:ilvl w:val="0"/>
          <w:numId w:val="10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Theme="majorHAnsi" w:hAnsiTheme="majorHAnsi"/>
          <w:sz w:val="20"/>
          <w:szCs w:val="20"/>
          <w:lang w:val="es-ES"/>
        </w:rPr>
      </w:pPr>
      <w:r w:rsidRPr="00DF6A93">
        <w:rPr>
          <w:rFonts w:asciiTheme="majorHAnsi" w:hAnsiTheme="majorHAnsi" w:cs="Arial"/>
          <w:sz w:val="20"/>
          <w:szCs w:val="20"/>
          <w:lang w:val="es-ES"/>
        </w:rPr>
        <w:t xml:space="preserve">El 14 de julio de 2010, la presunta víctima presentó una solicitud de hábeas corpus enmendada, </w:t>
      </w:r>
      <w:r>
        <w:rPr>
          <w:rFonts w:asciiTheme="majorHAnsi" w:hAnsiTheme="majorHAnsi" w:cs="Arial"/>
          <w:sz w:val="20"/>
          <w:szCs w:val="20"/>
          <w:lang w:val="es-ES"/>
        </w:rPr>
        <w:t>la cual</w:t>
      </w:r>
      <w:r w:rsidRPr="00DF6A93">
        <w:rPr>
          <w:rFonts w:asciiTheme="majorHAnsi" w:hAnsiTheme="majorHAnsi" w:cs="Arial"/>
          <w:sz w:val="20"/>
          <w:szCs w:val="20"/>
          <w:lang w:val="es-ES"/>
        </w:rPr>
        <w:t xml:space="preserve"> fue denegada por el Tribunal de Distrito el 7 de febrero de 2013. El 5 de marzo de 2013, la </w:t>
      </w:r>
      <w:r w:rsidRPr="00DF6A93">
        <w:rPr>
          <w:rFonts w:asciiTheme="majorHAnsi" w:hAnsiTheme="majorHAnsi" w:cs="Arial"/>
          <w:sz w:val="20"/>
          <w:szCs w:val="20"/>
          <w:lang w:val="es-ES"/>
        </w:rPr>
        <w:lastRenderedPageBreak/>
        <w:t>presunta víctima interpuso una apelación. No hay ninguna información en el expediente de la Comisión sobre el resultado de estas actuaciones. El 30 de junio de 2014, la Corte Suprema de Estados Unidos denegó el auto de avocación. De acuerdo con información de dominio público, la ejecución del señor Tercero está programada para el 26 de agosto de 2015</w:t>
      </w:r>
      <w:r w:rsidR="00BC0BBE">
        <w:rPr>
          <w:rFonts w:asciiTheme="majorHAnsi" w:hAnsiTheme="majorHAnsi" w:cs="Arial"/>
          <w:sz w:val="20"/>
          <w:szCs w:val="20"/>
          <w:lang w:val="es-ES"/>
        </w:rPr>
        <w:t>.</w:t>
      </w:r>
    </w:p>
    <w:p w:rsidR="00EB786A" w:rsidRPr="00DF6A93" w:rsidRDefault="00EB786A" w:rsidP="005D0580">
      <w:pPr>
        <w:pStyle w:val="ListParagraph"/>
        <w:ind w:left="0" w:firstLine="720"/>
        <w:jc w:val="both"/>
        <w:rPr>
          <w:rFonts w:asciiTheme="majorHAnsi" w:hAnsiTheme="majorHAnsi" w:cs="Arial"/>
          <w:sz w:val="20"/>
          <w:szCs w:val="20"/>
          <w:lang w:val="es-ES"/>
        </w:rPr>
      </w:pPr>
    </w:p>
    <w:p w:rsidR="00EB786A" w:rsidRPr="00DF6A93" w:rsidRDefault="00EB786A" w:rsidP="005D0580">
      <w:pPr>
        <w:numPr>
          <w:ilvl w:val="0"/>
          <w:numId w:val="10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Theme="majorHAnsi" w:hAnsiTheme="majorHAnsi"/>
          <w:sz w:val="20"/>
          <w:szCs w:val="20"/>
          <w:lang w:val="es-ES"/>
        </w:rPr>
      </w:pPr>
      <w:r w:rsidRPr="00DF6A93">
        <w:rPr>
          <w:rFonts w:asciiTheme="majorHAnsi" w:hAnsiTheme="majorHAnsi" w:cs="Arial"/>
          <w:sz w:val="20"/>
          <w:szCs w:val="20"/>
          <w:lang w:val="es-ES"/>
        </w:rPr>
        <w:t>El peticionario sostiene que, como consecuencia de las supuestas violaciones de los derechos humanos de la presunta víctima, esta condena de pena de muerte es incompatible con el derecho interno e internacional. En ese sentido, alega que el señor Tercero era menor de 18 años cuando cometió el delito, que el Estado se negó a notificar a las autoridades consulares en violación del artículo 36 de la Convención de Viena sobre Relaciones Consulares, que el abogado designado por el tribunal le proporcionó patrocinio letrado ineficaz y</w:t>
      </w:r>
      <w:r w:rsidRPr="00DF6A93">
        <w:rPr>
          <w:rFonts w:asciiTheme="majorHAnsi" w:hAnsiTheme="majorHAnsi"/>
          <w:sz w:val="20"/>
          <w:szCs w:val="20"/>
          <w:lang w:val="es-ES"/>
        </w:rPr>
        <w:t xml:space="preserve"> que se ha violado el derecho d</w:t>
      </w:r>
      <w:r w:rsidRPr="00DF6A93">
        <w:rPr>
          <w:rFonts w:asciiTheme="majorHAnsi" w:hAnsiTheme="majorHAnsi" w:cs="Arial"/>
          <w:sz w:val="20"/>
          <w:szCs w:val="20"/>
          <w:lang w:val="es-ES"/>
        </w:rPr>
        <w:t>el señor Tercero al debido proceso.</w:t>
      </w:r>
    </w:p>
    <w:p w:rsidR="00EB786A" w:rsidRPr="00DF6A93" w:rsidRDefault="00EB786A" w:rsidP="005D0580">
      <w:pPr>
        <w:pStyle w:val="ListParagraph"/>
        <w:ind w:left="0" w:firstLine="720"/>
        <w:jc w:val="both"/>
        <w:rPr>
          <w:rFonts w:asciiTheme="majorHAnsi" w:hAnsiTheme="majorHAnsi" w:cs="Arial"/>
          <w:sz w:val="20"/>
          <w:szCs w:val="20"/>
          <w:lang w:val="es-ES"/>
        </w:rPr>
      </w:pPr>
    </w:p>
    <w:p w:rsidR="00EB786A" w:rsidRPr="00DF6A93" w:rsidRDefault="00EB786A" w:rsidP="005D0580">
      <w:pPr>
        <w:numPr>
          <w:ilvl w:val="0"/>
          <w:numId w:val="10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Theme="majorHAnsi" w:hAnsiTheme="majorHAnsi"/>
          <w:sz w:val="20"/>
          <w:szCs w:val="20"/>
          <w:lang w:val="es-ES"/>
        </w:rPr>
      </w:pPr>
      <w:r w:rsidRPr="00DF6A93">
        <w:rPr>
          <w:rFonts w:asciiTheme="majorHAnsi" w:hAnsiTheme="majorHAnsi" w:cs="Arial"/>
          <w:sz w:val="20"/>
          <w:szCs w:val="20"/>
          <w:lang w:val="es-ES"/>
        </w:rPr>
        <w:t>Según el peticionario, el señor Tercero era menor de 18 años cuando cometió el delito por el cual fue condenado a muerte. En ese sentido, el peticionario afirma que la imposición de la pena de muerte es una violación de los derechos de la presunta víctima amparados en la octava y decimocuarta</w:t>
      </w:r>
      <w:r>
        <w:rPr>
          <w:rFonts w:asciiTheme="majorHAnsi" w:hAnsiTheme="majorHAnsi" w:cs="Arial"/>
          <w:sz w:val="20"/>
          <w:szCs w:val="20"/>
          <w:lang w:val="es-ES"/>
        </w:rPr>
        <w:t xml:space="preserve"> enmiendas</w:t>
      </w:r>
      <w:r w:rsidRPr="00DF6A93">
        <w:rPr>
          <w:rFonts w:asciiTheme="majorHAnsi" w:hAnsiTheme="majorHAnsi" w:cs="Arial"/>
          <w:sz w:val="20"/>
          <w:szCs w:val="20"/>
          <w:lang w:val="es-ES"/>
        </w:rPr>
        <w:t xml:space="preserve"> de la Constitución de Estados Unidos de acuerdo con el fallo de la Corte Suprema de Estados Unidos en </w:t>
      </w:r>
      <w:proofErr w:type="spellStart"/>
      <w:r w:rsidRPr="00DF6A93">
        <w:rPr>
          <w:rFonts w:asciiTheme="majorHAnsi" w:hAnsiTheme="majorHAnsi" w:cs="Arial"/>
          <w:i/>
          <w:sz w:val="20"/>
          <w:szCs w:val="20"/>
          <w:lang w:val="es-ES"/>
        </w:rPr>
        <w:t>Roper</w:t>
      </w:r>
      <w:proofErr w:type="spellEnd"/>
      <w:r w:rsidRPr="00DF6A93">
        <w:rPr>
          <w:rFonts w:asciiTheme="majorHAnsi" w:hAnsiTheme="majorHAnsi" w:cs="Arial"/>
          <w:i/>
          <w:sz w:val="20"/>
          <w:szCs w:val="20"/>
          <w:lang w:val="es-ES"/>
        </w:rPr>
        <w:t xml:space="preserve"> </w:t>
      </w:r>
      <w:r>
        <w:rPr>
          <w:rFonts w:asciiTheme="majorHAnsi" w:hAnsiTheme="majorHAnsi" w:cs="Arial"/>
          <w:i/>
          <w:sz w:val="20"/>
          <w:szCs w:val="20"/>
          <w:lang w:val="es-ES"/>
        </w:rPr>
        <w:t>v</w:t>
      </w:r>
      <w:r w:rsidRPr="00DF6A93">
        <w:rPr>
          <w:rFonts w:asciiTheme="majorHAnsi" w:hAnsiTheme="majorHAnsi" w:cs="Arial"/>
          <w:i/>
          <w:sz w:val="20"/>
          <w:szCs w:val="20"/>
          <w:lang w:val="es-ES"/>
        </w:rPr>
        <w:t>. Simmons</w:t>
      </w:r>
      <w:r w:rsidRPr="00DF6A93">
        <w:rPr>
          <w:rFonts w:asciiTheme="majorHAnsi" w:hAnsiTheme="majorHAnsi" w:cs="Arial"/>
          <w:sz w:val="20"/>
          <w:szCs w:val="20"/>
          <w:lang w:val="es-ES"/>
        </w:rPr>
        <w:t>. El peticionario indica que el estado de Texas, el Tribunal Federal de Distrito y la fiscalía trataron de socavar las pruebas documentales obtenidas de las autoridades nicaragüenses, en particular un certificado de nacimiento, documentos certificados en microficha, declaraciones juradas de la madre del señor Tercero y de otros familiares y vecinos, y la declaración jurada de un</w:t>
      </w:r>
      <w:r>
        <w:rPr>
          <w:rFonts w:asciiTheme="majorHAnsi" w:hAnsiTheme="majorHAnsi" w:cs="Arial"/>
          <w:sz w:val="20"/>
          <w:szCs w:val="20"/>
          <w:lang w:val="es-ES"/>
        </w:rPr>
        <w:t>a</w:t>
      </w:r>
      <w:r w:rsidRPr="00DF6A93">
        <w:rPr>
          <w:rFonts w:asciiTheme="majorHAnsi" w:hAnsiTheme="majorHAnsi" w:cs="Arial"/>
          <w:sz w:val="20"/>
          <w:szCs w:val="20"/>
          <w:lang w:val="es-ES"/>
        </w:rPr>
        <w:t xml:space="preserve"> investigador</w:t>
      </w:r>
      <w:r>
        <w:rPr>
          <w:rFonts w:asciiTheme="majorHAnsi" w:hAnsiTheme="majorHAnsi" w:cs="Arial"/>
          <w:sz w:val="20"/>
          <w:szCs w:val="20"/>
          <w:lang w:val="es-ES"/>
        </w:rPr>
        <w:t>a</w:t>
      </w:r>
      <w:r w:rsidRPr="00DF6A93">
        <w:rPr>
          <w:rFonts w:asciiTheme="majorHAnsi" w:hAnsiTheme="majorHAnsi" w:cs="Arial"/>
          <w:sz w:val="20"/>
          <w:szCs w:val="20"/>
          <w:lang w:val="es-ES"/>
        </w:rPr>
        <w:t xml:space="preserve"> certificad</w:t>
      </w:r>
      <w:r>
        <w:rPr>
          <w:rFonts w:asciiTheme="majorHAnsi" w:hAnsiTheme="majorHAnsi" w:cs="Arial"/>
          <w:sz w:val="20"/>
          <w:szCs w:val="20"/>
          <w:lang w:val="es-ES"/>
        </w:rPr>
        <w:t>a</w:t>
      </w:r>
      <w:r w:rsidRPr="00DF6A93">
        <w:rPr>
          <w:rFonts w:asciiTheme="majorHAnsi" w:hAnsiTheme="majorHAnsi" w:cs="Arial"/>
          <w:sz w:val="20"/>
          <w:szCs w:val="20"/>
          <w:lang w:val="es-ES"/>
        </w:rPr>
        <w:t xml:space="preserve"> de la defensa.</w:t>
      </w:r>
    </w:p>
    <w:p w:rsidR="00EB786A" w:rsidRPr="00DF6A93" w:rsidRDefault="00EB786A" w:rsidP="005D0580">
      <w:pPr>
        <w:pStyle w:val="ListParagraph"/>
        <w:ind w:left="0" w:firstLine="720"/>
        <w:jc w:val="both"/>
        <w:rPr>
          <w:rFonts w:asciiTheme="majorHAnsi" w:hAnsiTheme="majorHAnsi" w:cs="Arial"/>
          <w:sz w:val="20"/>
          <w:szCs w:val="20"/>
          <w:lang w:val="es-ES"/>
        </w:rPr>
      </w:pPr>
    </w:p>
    <w:p w:rsidR="00EB786A" w:rsidRPr="00DF6A93" w:rsidRDefault="00EB786A" w:rsidP="005D0580">
      <w:pPr>
        <w:numPr>
          <w:ilvl w:val="0"/>
          <w:numId w:val="10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Theme="majorHAnsi" w:hAnsiTheme="majorHAnsi"/>
          <w:sz w:val="20"/>
          <w:szCs w:val="20"/>
          <w:lang w:val="es-ES"/>
        </w:rPr>
      </w:pPr>
      <w:r w:rsidRPr="00DF6A93">
        <w:rPr>
          <w:rFonts w:asciiTheme="majorHAnsi" w:hAnsiTheme="majorHAnsi" w:cs="Arial"/>
          <w:sz w:val="20"/>
          <w:szCs w:val="20"/>
          <w:lang w:val="es-ES"/>
        </w:rPr>
        <w:t xml:space="preserve">De acuerdo con la información proporcionada, la verdadera fecha de nacimiento del señor Tercero es el 20 de agosto de 1979. </w:t>
      </w:r>
      <w:r>
        <w:rPr>
          <w:rFonts w:asciiTheme="majorHAnsi" w:hAnsiTheme="majorHAnsi" w:cs="Arial"/>
          <w:sz w:val="20"/>
          <w:szCs w:val="20"/>
          <w:lang w:val="es-ES"/>
        </w:rPr>
        <w:t>La presunta víctima habría ingresado a</w:t>
      </w:r>
      <w:r w:rsidRPr="00DF6A93">
        <w:rPr>
          <w:rFonts w:asciiTheme="majorHAnsi" w:hAnsiTheme="majorHAnsi" w:cs="Arial"/>
          <w:sz w:val="20"/>
          <w:szCs w:val="20"/>
          <w:lang w:val="es-ES"/>
        </w:rPr>
        <w:t xml:space="preserve"> Estados Unidos en 1994 cuando tenía 15 años. Debido a que era un menor indocumentado, no encontraba trabajo, no tenía dinero para comprar comida y a veces dormía en la calle. Ese mismo año le </w:t>
      </w:r>
      <w:r>
        <w:rPr>
          <w:rFonts w:asciiTheme="majorHAnsi" w:hAnsiTheme="majorHAnsi" w:cs="Arial"/>
          <w:sz w:val="20"/>
          <w:szCs w:val="20"/>
          <w:lang w:val="es-ES"/>
        </w:rPr>
        <w:t>habría pedido</w:t>
      </w:r>
      <w:r w:rsidRPr="00DF6A93">
        <w:rPr>
          <w:rFonts w:asciiTheme="majorHAnsi" w:hAnsiTheme="majorHAnsi" w:cs="Arial"/>
          <w:sz w:val="20"/>
          <w:szCs w:val="20"/>
          <w:lang w:val="es-ES"/>
        </w:rPr>
        <w:t xml:space="preserve"> a su abuela, qu</w:t>
      </w:r>
      <w:r>
        <w:rPr>
          <w:rFonts w:asciiTheme="majorHAnsi" w:hAnsiTheme="majorHAnsi" w:cs="Arial"/>
          <w:sz w:val="20"/>
          <w:szCs w:val="20"/>
          <w:lang w:val="es-ES"/>
        </w:rPr>
        <w:t>i</w:t>
      </w:r>
      <w:r w:rsidRPr="00DF6A93">
        <w:rPr>
          <w:rFonts w:asciiTheme="majorHAnsi" w:hAnsiTheme="majorHAnsi" w:cs="Arial"/>
          <w:sz w:val="20"/>
          <w:szCs w:val="20"/>
          <w:lang w:val="es-ES"/>
        </w:rPr>
        <w:t>e</w:t>
      </w:r>
      <w:r>
        <w:rPr>
          <w:rFonts w:asciiTheme="majorHAnsi" w:hAnsiTheme="majorHAnsi" w:cs="Arial"/>
          <w:sz w:val="20"/>
          <w:szCs w:val="20"/>
          <w:lang w:val="es-ES"/>
        </w:rPr>
        <w:t>n</w:t>
      </w:r>
      <w:r w:rsidRPr="00DF6A93">
        <w:rPr>
          <w:rFonts w:asciiTheme="majorHAnsi" w:hAnsiTheme="majorHAnsi" w:cs="Arial"/>
          <w:sz w:val="20"/>
          <w:szCs w:val="20"/>
          <w:lang w:val="es-ES"/>
        </w:rPr>
        <w:t xml:space="preserve"> estaba en Nicaragua, que le enviara el certificado de nacimiento de su hermano mayor, quien también hab</w:t>
      </w:r>
      <w:r>
        <w:rPr>
          <w:rFonts w:asciiTheme="majorHAnsi" w:hAnsiTheme="majorHAnsi" w:cs="Arial"/>
          <w:sz w:val="20"/>
          <w:szCs w:val="20"/>
          <w:lang w:val="es-ES"/>
        </w:rPr>
        <w:t>r</w:t>
      </w:r>
      <w:r w:rsidRPr="00DF6A93">
        <w:rPr>
          <w:rFonts w:asciiTheme="majorHAnsi" w:hAnsiTheme="majorHAnsi" w:cs="Arial"/>
          <w:sz w:val="20"/>
          <w:szCs w:val="20"/>
          <w:lang w:val="es-ES"/>
        </w:rPr>
        <w:t xml:space="preserve">ía nacido </w:t>
      </w:r>
      <w:r>
        <w:rPr>
          <w:rFonts w:asciiTheme="majorHAnsi" w:hAnsiTheme="majorHAnsi" w:cs="Arial"/>
          <w:sz w:val="20"/>
          <w:szCs w:val="20"/>
          <w:lang w:val="es-ES"/>
        </w:rPr>
        <w:t>un</w:t>
      </w:r>
      <w:r w:rsidRPr="00DF6A93">
        <w:rPr>
          <w:rFonts w:asciiTheme="majorHAnsi" w:hAnsiTheme="majorHAnsi" w:cs="Arial"/>
          <w:sz w:val="20"/>
          <w:szCs w:val="20"/>
          <w:lang w:val="es-ES"/>
        </w:rPr>
        <w:t xml:space="preserve"> 20 de agosto pero de 1976 y había fallecido antes que el señor Tercero naciera. Siguiendo la tradición </w:t>
      </w:r>
      <w:r>
        <w:rPr>
          <w:rFonts w:asciiTheme="majorHAnsi" w:hAnsiTheme="majorHAnsi" w:cs="Arial"/>
          <w:sz w:val="20"/>
          <w:szCs w:val="20"/>
          <w:lang w:val="es-ES"/>
        </w:rPr>
        <w:t>en</w:t>
      </w:r>
      <w:r w:rsidRPr="00DF6A93">
        <w:rPr>
          <w:rFonts w:asciiTheme="majorHAnsi" w:hAnsiTheme="majorHAnsi" w:cs="Arial"/>
          <w:sz w:val="20"/>
          <w:szCs w:val="20"/>
          <w:lang w:val="es-ES"/>
        </w:rPr>
        <w:t xml:space="preserve"> Nicaragua, a la presunta víctima le </w:t>
      </w:r>
      <w:r>
        <w:rPr>
          <w:rFonts w:asciiTheme="majorHAnsi" w:hAnsiTheme="majorHAnsi" w:cs="Arial"/>
          <w:sz w:val="20"/>
          <w:szCs w:val="20"/>
          <w:lang w:val="es-ES"/>
        </w:rPr>
        <w:t xml:space="preserve">habrían dado </w:t>
      </w:r>
      <w:r w:rsidRPr="00DF6A93">
        <w:rPr>
          <w:rFonts w:asciiTheme="majorHAnsi" w:hAnsiTheme="majorHAnsi" w:cs="Arial"/>
          <w:sz w:val="20"/>
          <w:szCs w:val="20"/>
          <w:lang w:val="es-ES"/>
        </w:rPr>
        <w:t>el mismo nombre que a su hermano. El señor Tercero, según se informa, usó este documento para obtener una tarjeta de identidad de Texas a fin de conseguir trabajo.</w:t>
      </w:r>
    </w:p>
    <w:p w:rsidR="00EB786A" w:rsidRPr="00DF6A93" w:rsidRDefault="00EB786A" w:rsidP="005D0580">
      <w:pPr>
        <w:pStyle w:val="ListParagraph"/>
        <w:ind w:left="0" w:firstLine="720"/>
        <w:jc w:val="both"/>
        <w:rPr>
          <w:rFonts w:asciiTheme="majorHAnsi" w:hAnsiTheme="majorHAnsi" w:cs="Arial"/>
          <w:sz w:val="20"/>
          <w:szCs w:val="20"/>
          <w:lang w:val="es-ES"/>
        </w:rPr>
      </w:pPr>
    </w:p>
    <w:p w:rsidR="00EB786A" w:rsidRPr="00DF6A93" w:rsidRDefault="00EB786A" w:rsidP="005D0580">
      <w:pPr>
        <w:numPr>
          <w:ilvl w:val="0"/>
          <w:numId w:val="10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Theme="majorHAnsi" w:hAnsiTheme="majorHAnsi"/>
          <w:sz w:val="20"/>
          <w:szCs w:val="20"/>
          <w:lang w:val="es-ES"/>
        </w:rPr>
      </w:pPr>
      <w:r>
        <w:rPr>
          <w:rFonts w:asciiTheme="majorHAnsi" w:hAnsiTheme="majorHAnsi" w:cs="Arial"/>
          <w:sz w:val="20"/>
          <w:szCs w:val="20"/>
          <w:lang w:val="es-ES"/>
        </w:rPr>
        <w:t>L</w:t>
      </w:r>
      <w:r w:rsidRPr="00DF6A93">
        <w:rPr>
          <w:rFonts w:asciiTheme="majorHAnsi" w:hAnsiTheme="majorHAnsi" w:cs="Arial"/>
          <w:sz w:val="20"/>
          <w:szCs w:val="20"/>
          <w:lang w:val="es-ES"/>
        </w:rPr>
        <w:t xml:space="preserve">a presunta víctima </w:t>
      </w:r>
      <w:r>
        <w:rPr>
          <w:rFonts w:asciiTheme="majorHAnsi" w:hAnsiTheme="majorHAnsi" w:cs="Arial"/>
          <w:sz w:val="20"/>
          <w:szCs w:val="20"/>
          <w:lang w:val="es-ES"/>
        </w:rPr>
        <w:t>habría sido</w:t>
      </w:r>
      <w:r w:rsidRPr="00DF6A93">
        <w:rPr>
          <w:rFonts w:asciiTheme="majorHAnsi" w:hAnsiTheme="majorHAnsi" w:cs="Arial"/>
          <w:sz w:val="20"/>
          <w:szCs w:val="20"/>
          <w:lang w:val="es-ES"/>
        </w:rPr>
        <w:t xml:space="preserve"> condenada a muerte sobre la base de la identidad y la edad de su hermano</w:t>
      </w:r>
      <w:r>
        <w:rPr>
          <w:rFonts w:asciiTheme="majorHAnsi" w:hAnsiTheme="majorHAnsi" w:cs="Arial"/>
          <w:sz w:val="20"/>
          <w:szCs w:val="20"/>
          <w:lang w:val="es-ES"/>
        </w:rPr>
        <w:t>. Cuando se realizó el juicio</w:t>
      </w:r>
      <w:r w:rsidRPr="00DF6A93">
        <w:rPr>
          <w:rFonts w:asciiTheme="majorHAnsi" w:hAnsiTheme="majorHAnsi" w:cs="Arial"/>
          <w:sz w:val="20"/>
          <w:szCs w:val="20"/>
          <w:lang w:val="es-ES"/>
        </w:rPr>
        <w:t xml:space="preserve"> en 2000, el señor Tercero no </w:t>
      </w:r>
      <w:r>
        <w:rPr>
          <w:rFonts w:asciiTheme="majorHAnsi" w:hAnsiTheme="majorHAnsi" w:cs="Arial"/>
          <w:sz w:val="20"/>
          <w:szCs w:val="20"/>
          <w:lang w:val="es-ES"/>
        </w:rPr>
        <w:t xml:space="preserve">habría </w:t>
      </w:r>
      <w:r w:rsidRPr="00DF6A93">
        <w:rPr>
          <w:rFonts w:asciiTheme="majorHAnsi" w:hAnsiTheme="majorHAnsi" w:cs="Arial"/>
          <w:sz w:val="20"/>
          <w:szCs w:val="20"/>
          <w:lang w:val="es-ES"/>
        </w:rPr>
        <w:t>revel</w:t>
      </w:r>
      <w:r>
        <w:rPr>
          <w:rFonts w:asciiTheme="majorHAnsi" w:hAnsiTheme="majorHAnsi" w:cs="Arial"/>
          <w:sz w:val="20"/>
          <w:szCs w:val="20"/>
          <w:lang w:val="es-ES"/>
        </w:rPr>
        <w:t>ado</w:t>
      </w:r>
      <w:r w:rsidRPr="00DF6A93">
        <w:rPr>
          <w:rFonts w:asciiTheme="majorHAnsi" w:hAnsiTheme="majorHAnsi" w:cs="Arial"/>
          <w:sz w:val="20"/>
          <w:szCs w:val="20"/>
          <w:lang w:val="es-ES"/>
        </w:rPr>
        <w:t xml:space="preserve"> su verdadera identidad porque era constitucional condenar a muerte a personas que habían cometido un delito cuando eran menores de 18 años. Fue después del fallo de la Corte Suprema de 2005 en </w:t>
      </w:r>
      <w:proofErr w:type="spellStart"/>
      <w:r w:rsidRPr="00DF6A93">
        <w:rPr>
          <w:rFonts w:asciiTheme="majorHAnsi" w:hAnsiTheme="majorHAnsi" w:cs="Arial"/>
          <w:i/>
          <w:sz w:val="20"/>
          <w:szCs w:val="20"/>
          <w:lang w:val="es-ES"/>
        </w:rPr>
        <w:t>Roper</w:t>
      </w:r>
      <w:proofErr w:type="spellEnd"/>
      <w:r w:rsidRPr="00DF6A93">
        <w:rPr>
          <w:rFonts w:asciiTheme="majorHAnsi" w:hAnsiTheme="majorHAnsi" w:cs="Arial"/>
          <w:i/>
          <w:sz w:val="20"/>
          <w:szCs w:val="20"/>
          <w:lang w:val="es-ES"/>
        </w:rPr>
        <w:t xml:space="preserve"> </w:t>
      </w:r>
      <w:r>
        <w:rPr>
          <w:rFonts w:asciiTheme="majorHAnsi" w:hAnsiTheme="majorHAnsi" w:cs="Arial"/>
          <w:i/>
          <w:sz w:val="20"/>
          <w:szCs w:val="20"/>
          <w:lang w:val="es-ES"/>
        </w:rPr>
        <w:t>v</w:t>
      </w:r>
      <w:r w:rsidRPr="00DF6A93">
        <w:rPr>
          <w:rFonts w:asciiTheme="majorHAnsi" w:hAnsiTheme="majorHAnsi" w:cs="Arial"/>
          <w:i/>
          <w:sz w:val="20"/>
          <w:szCs w:val="20"/>
          <w:lang w:val="es-ES"/>
        </w:rPr>
        <w:t>. Simmons</w:t>
      </w:r>
      <w:r w:rsidRPr="00DF6A93">
        <w:rPr>
          <w:rFonts w:asciiTheme="majorHAnsi" w:hAnsiTheme="majorHAnsi" w:cs="Arial"/>
          <w:sz w:val="20"/>
          <w:szCs w:val="20"/>
          <w:lang w:val="es-ES"/>
        </w:rPr>
        <w:t xml:space="preserve"> que reveló su verdadera edad. En noviembre de 2007, el Tribunal de Distrito de Estados Unidos nombró a la investigadora Norma Villanueva, quien viajó a Nicaragua para realizar una investigación de la autenticidad del certificado de nacimiento. Según la declaración jurada presentada al tribunal, la investigadora entrevistó a numerosos funcionarios nicaragüenses, examinó la microficha del certificado de nacimiento original de la presunta víctima y de su hermano, y entrevistó a familiares del señor Tercero y a un amigo íntimo de su madre que tenía conocimiento directo del nacimiento de la presunta víctima. En la declaración jurada se confirmaba la autenticidad del certificado de nacimiento que indica que el señor Tercero nació el 20 de agosto de 1979</w:t>
      </w:r>
      <w:r w:rsidR="00BC0BBE">
        <w:rPr>
          <w:rFonts w:asciiTheme="majorHAnsi" w:hAnsiTheme="majorHAnsi" w:cs="Arial"/>
          <w:sz w:val="20"/>
          <w:szCs w:val="20"/>
          <w:lang w:val="es-ES"/>
        </w:rPr>
        <w:t>.</w:t>
      </w:r>
    </w:p>
    <w:p w:rsidR="00EB786A" w:rsidRPr="00DF6A93" w:rsidRDefault="00EB786A" w:rsidP="005D0580">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Theme="majorHAnsi" w:hAnsiTheme="majorHAnsi"/>
          <w:sz w:val="20"/>
          <w:szCs w:val="20"/>
          <w:lang w:val="es-ES"/>
        </w:rPr>
      </w:pPr>
    </w:p>
    <w:p w:rsidR="00EB786A" w:rsidRPr="00DF6A93" w:rsidRDefault="00EB786A" w:rsidP="005D0580">
      <w:pPr>
        <w:numPr>
          <w:ilvl w:val="0"/>
          <w:numId w:val="10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Theme="majorHAnsi" w:hAnsiTheme="majorHAnsi"/>
          <w:sz w:val="20"/>
          <w:szCs w:val="20"/>
          <w:lang w:val="es-ES"/>
        </w:rPr>
      </w:pPr>
      <w:r w:rsidRPr="00DF6A93">
        <w:rPr>
          <w:rFonts w:asciiTheme="majorHAnsi" w:hAnsiTheme="majorHAnsi" w:cs="Arial"/>
          <w:sz w:val="20"/>
          <w:szCs w:val="20"/>
          <w:lang w:val="es-ES"/>
        </w:rPr>
        <w:t xml:space="preserve">Con respecto a la presunta violación del artículo 36 de la Convención de Viena sobre Relaciones Consulares, el peticionario alega que el Buró Federal de Investigaciones (FBI) y otros agentes del estado de Texas y de Estados Unidos no notificaron o se negaron a notificar al consulado de Nicaragua sobre el arresto de la presunta víctima, pese a que el señor Tercero </w:t>
      </w:r>
      <w:r>
        <w:rPr>
          <w:rFonts w:asciiTheme="majorHAnsi" w:hAnsiTheme="majorHAnsi" w:cs="Arial"/>
          <w:sz w:val="20"/>
          <w:szCs w:val="20"/>
          <w:lang w:val="es-ES"/>
        </w:rPr>
        <w:t xml:space="preserve">había solicitado </w:t>
      </w:r>
      <w:r w:rsidRPr="00DF6A93">
        <w:rPr>
          <w:rFonts w:asciiTheme="majorHAnsi" w:hAnsiTheme="majorHAnsi" w:cs="Arial"/>
          <w:sz w:val="20"/>
          <w:szCs w:val="20"/>
          <w:lang w:val="es-ES"/>
        </w:rPr>
        <w:t>asistencia consular.</w:t>
      </w:r>
    </w:p>
    <w:p w:rsidR="00EB786A" w:rsidRPr="00DF6A93" w:rsidRDefault="00EB786A" w:rsidP="005D0580">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Theme="majorHAnsi" w:hAnsiTheme="majorHAnsi"/>
          <w:sz w:val="20"/>
          <w:szCs w:val="20"/>
          <w:lang w:val="es-ES"/>
        </w:rPr>
      </w:pPr>
    </w:p>
    <w:p w:rsidR="00EB786A" w:rsidRPr="00DF6A93" w:rsidRDefault="00EB786A" w:rsidP="005D0580">
      <w:pPr>
        <w:numPr>
          <w:ilvl w:val="0"/>
          <w:numId w:val="10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Theme="majorHAnsi" w:hAnsiTheme="majorHAnsi"/>
          <w:sz w:val="20"/>
          <w:szCs w:val="20"/>
          <w:lang w:val="es-ES"/>
        </w:rPr>
      </w:pPr>
      <w:r w:rsidRPr="00DF6A93">
        <w:rPr>
          <w:rFonts w:asciiTheme="majorHAnsi" w:hAnsiTheme="majorHAnsi" w:cs="Arial"/>
          <w:sz w:val="20"/>
          <w:szCs w:val="20"/>
          <w:lang w:val="es-ES"/>
        </w:rPr>
        <w:t>Asimismo, el peticionario alega que Estados Unidos violó el derecho del señor Tercero al debido proce</w:t>
      </w:r>
      <w:r>
        <w:rPr>
          <w:rFonts w:asciiTheme="majorHAnsi" w:hAnsiTheme="majorHAnsi" w:cs="Arial"/>
          <w:sz w:val="20"/>
          <w:szCs w:val="20"/>
          <w:lang w:val="es-ES"/>
        </w:rPr>
        <w:t>s</w:t>
      </w:r>
      <w:r w:rsidRPr="00DF6A93">
        <w:rPr>
          <w:rFonts w:asciiTheme="majorHAnsi" w:hAnsiTheme="majorHAnsi" w:cs="Arial"/>
          <w:sz w:val="20"/>
          <w:szCs w:val="20"/>
          <w:lang w:val="es-ES"/>
        </w:rPr>
        <w:t>o legal. En la petición se afirma que la muerte de la cual la presunta víctima fue acusada y condenada se debió a la descarga accidental de un arma de fuego en el curso de una pelea con la persona que resultó muerta. El peticionario alega en ese sentido que el señor Tercero no tenía la intención de matar y que, por lo tanto, la definición de homicidio punible con pena capital no se aplicaba a su caso.</w:t>
      </w:r>
    </w:p>
    <w:p w:rsidR="00EB786A" w:rsidRPr="00DF6A93" w:rsidRDefault="00EB786A" w:rsidP="005D0580">
      <w:pPr>
        <w:pStyle w:val="ListParagraph"/>
        <w:ind w:left="0" w:firstLine="720"/>
        <w:jc w:val="both"/>
        <w:rPr>
          <w:rFonts w:asciiTheme="majorHAnsi" w:hAnsiTheme="majorHAnsi" w:cs="Arial"/>
          <w:sz w:val="20"/>
          <w:szCs w:val="20"/>
          <w:lang w:val="es-ES"/>
        </w:rPr>
      </w:pPr>
    </w:p>
    <w:p w:rsidR="00EB786A" w:rsidRPr="00DF6A93" w:rsidRDefault="00EB786A" w:rsidP="005D0580">
      <w:pPr>
        <w:numPr>
          <w:ilvl w:val="0"/>
          <w:numId w:val="10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Theme="majorHAnsi" w:hAnsiTheme="majorHAnsi"/>
          <w:sz w:val="20"/>
          <w:szCs w:val="20"/>
          <w:lang w:val="es-ES"/>
        </w:rPr>
      </w:pPr>
      <w:r w:rsidRPr="00DF6A93">
        <w:rPr>
          <w:rFonts w:asciiTheme="majorHAnsi" w:hAnsiTheme="majorHAnsi" w:cs="Arial"/>
          <w:sz w:val="20"/>
          <w:szCs w:val="20"/>
          <w:lang w:val="es-ES"/>
        </w:rPr>
        <w:lastRenderedPageBreak/>
        <w:t xml:space="preserve">Además, el peticionario sostiene que, tras la condena, tres personas, entre ellas la ex novia del señor Tercero, admitieron que el fiscal las había manipulado durante la audiencia sobre la </w:t>
      </w:r>
      <w:r>
        <w:rPr>
          <w:rFonts w:asciiTheme="majorHAnsi" w:hAnsiTheme="majorHAnsi" w:cs="Arial"/>
          <w:sz w:val="20"/>
          <w:szCs w:val="20"/>
          <w:lang w:val="es-ES"/>
        </w:rPr>
        <w:t>solicitud</w:t>
      </w:r>
      <w:r w:rsidRPr="00DF6A93">
        <w:rPr>
          <w:rFonts w:asciiTheme="majorHAnsi" w:hAnsiTheme="majorHAnsi" w:cs="Arial"/>
          <w:sz w:val="20"/>
          <w:szCs w:val="20"/>
          <w:lang w:val="es-ES"/>
        </w:rPr>
        <w:t xml:space="preserve"> de un nuevo juicio realizada el 18 de diciembre de 2000. El peticionario alega en ese sentido que el señor Tercero fue arrestado “en una operación clandestina del FBI en julio de 1999”. Según el peticionario, el FBI le prometió a la ex novia del señor Tercero </w:t>
      </w:r>
      <w:r>
        <w:rPr>
          <w:rFonts w:asciiTheme="majorHAnsi" w:hAnsiTheme="majorHAnsi" w:cs="Arial"/>
          <w:sz w:val="20"/>
          <w:szCs w:val="20"/>
          <w:lang w:val="es-ES"/>
        </w:rPr>
        <w:t>pagarle</w:t>
      </w:r>
      <w:r w:rsidRPr="00DF6A93">
        <w:rPr>
          <w:rFonts w:asciiTheme="majorHAnsi" w:hAnsiTheme="majorHAnsi" w:cs="Arial"/>
          <w:sz w:val="20"/>
          <w:szCs w:val="20"/>
          <w:lang w:val="es-ES"/>
        </w:rPr>
        <w:t xml:space="preserve"> US$ 5 millones para que lo hiciera cruzar la frontera entre México y Estados Unidos. El peticionario agrega que la supresión de las declaraciones y pruebas testimoniales por el fiscal, mediante amenaza o intimidación, constituye un acto de coerción.</w:t>
      </w:r>
    </w:p>
    <w:p w:rsidR="00EB786A" w:rsidRPr="00DF6A93" w:rsidRDefault="00EB786A" w:rsidP="005D0580">
      <w:pPr>
        <w:pStyle w:val="ListParagraph"/>
        <w:ind w:left="0" w:firstLine="720"/>
        <w:jc w:val="both"/>
        <w:rPr>
          <w:rFonts w:asciiTheme="majorHAnsi" w:hAnsiTheme="majorHAnsi" w:cs="Arial"/>
          <w:sz w:val="20"/>
          <w:szCs w:val="20"/>
          <w:lang w:val="es-ES"/>
        </w:rPr>
      </w:pPr>
    </w:p>
    <w:p w:rsidR="00EB786A" w:rsidRPr="00DF6A93" w:rsidRDefault="00EB786A" w:rsidP="005D0580">
      <w:pPr>
        <w:numPr>
          <w:ilvl w:val="0"/>
          <w:numId w:val="10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Theme="majorHAnsi" w:hAnsiTheme="majorHAnsi"/>
          <w:sz w:val="20"/>
          <w:szCs w:val="20"/>
          <w:lang w:val="es-ES"/>
        </w:rPr>
      </w:pPr>
      <w:r w:rsidRPr="00DF6A93">
        <w:rPr>
          <w:rFonts w:asciiTheme="majorHAnsi" w:hAnsiTheme="majorHAnsi" w:cs="Arial"/>
          <w:sz w:val="20"/>
          <w:szCs w:val="20"/>
          <w:lang w:val="es-ES"/>
        </w:rPr>
        <w:t>Con respecto al supuesto patrocinio letrado ineficaz, el peticionario afirma que el abogado del señor Tercero designado por el estado informó al Cónsul de Nicaragua acerca del juicio de la presunta víctima siete meses después del arresto, en violación del artículo 36 de la Convención de Viena sobre Relaciones Consulares, que dispone que las autoridades competentes deben informar al establecimiento consular del Estado emisor “sin demora”. Además, afirma que el abogado designado por el tribunal excluyó deliberadamente un reclamo de conformidad con el caso Brady con respecto a la supuesta supresión por la fiscalía de pruebas favorables para el acusado en la apelación ante los tribunales del estado.</w:t>
      </w:r>
    </w:p>
    <w:p w:rsidR="00EB786A" w:rsidRPr="00DF6A93" w:rsidRDefault="00EB786A" w:rsidP="00BC0BBE">
      <w:pPr>
        <w:pStyle w:val="ListParagraph"/>
        <w:ind w:left="0" w:firstLine="720"/>
        <w:jc w:val="both"/>
        <w:rPr>
          <w:rFonts w:asciiTheme="majorHAnsi" w:hAnsiTheme="majorHAnsi"/>
          <w:b/>
          <w:bCs/>
          <w:sz w:val="20"/>
          <w:szCs w:val="20"/>
          <w:lang w:val="es-ES"/>
        </w:rPr>
      </w:pPr>
    </w:p>
    <w:p w:rsidR="00EB786A" w:rsidRPr="00DF6A93" w:rsidRDefault="00EB786A" w:rsidP="00BC0BBE">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Theme="majorHAnsi" w:hAnsiTheme="majorHAnsi"/>
          <w:sz w:val="20"/>
          <w:szCs w:val="20"/>
          <w:lang w:val="es-ES"/>
        </w:rPr>
      </w:pPr>
      <w:r w:rsidRPr="00DF6A93">
        <w:rPr>
          <w:rFonts w:asciiTheme="majorHAnsi" w:hAnsiTheme="majorHAnsi"/>
          <w:b/>
          <w:bCs/>
          <w:sz w:val="20"/>
          <w:szCs w:val="20"/>
          <w:lang w:val="es-ES"/>
        </w:rPr>
        <w:t>B.</w:t>
      </w:r>
      <w:r w:rsidRPr="00DF6A93">
        <w:rPr>
          <w:rFonts w:asciiTheme="majorHAnsi" w:hAnsiTheme="majorHAnsi"/>
          <w:b/>
          <w:bCs/>
          <w:sz w:val="20"/>
          <w:szCs w:val="20"/>
          <w:lang w:val="es-ES"/>
        </w:rPr>
        <w:tab/>
        <w:t>Posición del Estado</w:t>
      </w:r>
    </w:p>
    <w:p w:rsidR="00EB786A" w:rsidRPr="00DF6A93" w:rsidRDefault="00EB786A" w:rsidP="00BC0BBE">
      <w:pPr>
        <w:ind w:firstLine="720"/>
        <w:jc w:val="both"/>
        <w:rPr>
          <w:rFonts w:asciiTheme="majorHAnsi" w:hAnsiTheme="majorHAnsi"/>
          <w:sz w:val="20"/>
          <w:szCs w:val="20"/>
          <w:lang w:val="es-ES"/>
        </w:rPr>
      </w:pPr>
    </w:p>
    <w:p w:rsidR="00EB786A" w:rsidRPr="00DF6A93" w:rsidRDefault="00EB786A" w:rsidP="00BC0BBE">
      <w:pPr>
        <w:numPr>
          <w:ilvl w:val="0"/>
          <w:numId w:val="102"/>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es-ES"/>
        </w:rPr>
      </w:pPr>
      <w:r w:rsidRPr="00DF6A93">
        <w:rPr>
          <w:rFonts w:asciiTheme="majorHAnsi" w:hAnsiTheme="majorHAnsi"/>
          <w:sz w:val="20"/>
          <w:szCs w:val="20"/>
          <w:lang w:val="es-ES"/>
        </w:rPr>
        <w:t>La CIDH no ha recibido información u observaciones del Estado en relación con la petición del señor Tercero</w:t>
      </w:r>
      <w:r w:rsidRPr="00DF6A93">
        <w:rPr>
          <w:rFonts w:asciiTheme="majorHAnsi" w:hAnsiTheme="majorHAnsi" w:cs="Arial"/>
          <w:sz w:val="20"/>
          <w:szCs w:val="20"/>
          <w:lang w:val="es-ES"/>
        </w:rPr>
        <w:t xml:space="preserve">. </w:t>
      </w:r>
    </w:p>
    <w:p w:rsidR="00EB786A" w:rsidRPr="00DF6A93" w:rsidRDefault="00EB786A" w:rsidP="00BC0BBE">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Theme="majorHAnsi" w:hAnsiTheme="majorHAnsi" w:cs="Arial"/>
          <w:sz w:val="20"/>
          <w:szCs w:val="20"/>
          <w:lang w:val="es-ES"/>
        </w:rPr>
      </w:pPr>
    </w:p>
    <w:p w:rsidR="00EB786A" w:rsidRPr="00DF6A93" w:rsidRDefault="00EB786A" w:rsidP="00BC0BBE">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Theme="majorHAnsi" w:hAnsiTheme="majorHAnsi"/>
          <w:b/>
          <w:sz w:val="20"/>
          <w:szCs w:val="20"/>
          <w:lang w:val="es-ES"/>
        </w:rPr>
      </w:pPr>
      <w:r w:rsidRPr="00DF6A93">
        <w:rPr>
          <w:rFonts w:asciiTheme="majorHAnsi" w:hAnsiTheme="majorHAnsi" w:cs="Arial"/>
          <w:b/>
          <w:sz w:val="20"/>
          <w:szCs w:val="20"/>
          <w:lang w:val="es-ES"/>
        </w:rPr>
        <w:t>IV.</w:t>
      </w:r>
      <w:r w:rsidRPr="00DF6A93">
        <w:rPr>
          <w:rFonts w:asciiTheme="majorHAnsi" w:hAnsiTheme="majorHAnsi" w:cs="Arial"/>
          <w:b/>
          <w:sz w:val="20"/>
          <w:szCs w:val="20"/>
          <w:lang w:val="es-ES"/>
        </w:rPr>
        <w:tab/>
      </w:r>
      <w:r w:rsidRPr="00DF6A93">
        <w:rPr>
          <w:rFonts w:asciiTheme="majorHAnsi" w:hAnsiTheme="majorHAnsi"/>
          <w:b/>
          <w:sz w:val="20"/>
          <w:szCs w:val="20"/>
          <w:lang w:val="es-ES"/>
        </w:rPr>
        <w:t>ANÁLISIS SOBRE COMPETENCIA Y ADMISIBILIDAD</w:t>
      </w:r>
    </w:p>
    <w:p w:rsidR="00EB786A" w:rsidRPr="00DF6A93" w:rsidRDefault="00EB786A" w:rsidP="00BC0BBE">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Theme="majorHAnsi" w:hAnsiTheme="majorHAnsi"/>
          <w:b/>
          <w:sz w:val="20"/>
          <w:szCs w:val="20"/>
          <w:lang w:val="es-ES"/>
        </w:rPr>
      </w:pPr>
    </w:p>
    <w:p w:rsidR="00EB786A" w:rsidRPr="00DF6A93" w:rsidRDefault="00EB786A" w:rsidP="00BC0BBE">
      <w:pPr>
        <w:pStyle w:val="ListParagraph"/>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lang w:val="es-ES"/>
        </w:rPr>
      </w:pPr>
      <w:r w:rsidRPr="00DF6A93">
        <w:rPr>
          <w:rFonts w:asciiTheme="majorHAnsi" w:hAnsiTheme="majorHAnsi" w:cs="Arial"/>
          <w:b/>
          <w:sz w:val="20"/>
          <w:szCs w:val="20"/>
          <w:lang w:val="es-ES"/>
        </w:rPr>
        <w:t xml:space="preserve">Competencia </w:t>
      </w:r>
    </w:p>
    <w:p w:rsidR="00EB786A" w:rsidRPr="00DF6A93" w:rsidRDefault="00EB786A" w:rsidP="00BC0BBE">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Theme="majorHAnsi" w:hAnsiTheme="majorHAnsi"/>
          <w:sz w:val="20"/>
          <w:szCs w:val="20"/>
          <w:lang w:val="es-ES"/>
        </w:rPr>
      </w:pPr>
    </w:p>
    <w:p w:rsidR="00EB786A" w:rsidRPr="00DF6A93" w:rsidRDefault="00EB786A" w:rsidP="00BC0BBE">
      <w:pPr>
        <w:numPr>
          <w:ilvl w:val="0"/>
          <w:numId w:val="102"/>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es-ES"/>
        </w:rPr>
      </w:pPr>
      <w:r w:rsidRPr="00DF6A93">
        <w:rPr>
          <w:rFonts w:ascii="Cambria" w:hAnsi="Cambria" w:cs="Arial"/>
          <w:sz w:val="20"/>
          <w:szCs w:val="20"/>
          <w:lang w:val="es-ES"/>
        </w:rPr>
        <w:t xml:space="preserve">De conformidad con el artículo 23 del Reglamento de la CIDH, el peticionario </w:t>
      </w:r>
      <w:r>
        <w:rPr>
          <w:rFonts w:ascii="Cambria" w:hAnsi="Cambria" w:cs="Arial"/>
          <w:sz w:val="20"/>
          <w:szCs w:val="20"/>
          <w:lang w:val="es-ES"/>
        </w:rPr>
        <w:t>tiene</w:t>
      </w:r>
      <w:r w:rsidRPr="00DF6A93">
        <w:rPr>
          <w:rFonts w:ascii="Cambria" w:hAnsi="Cambria" w:cs="Arial"/>
          <w:sz w:val="20"/>
          <w:szCs w:val="20"/>
          <w:lang w:val="es-ES"/>
        </w:rPr>
        <w:t xml:space="preserve"> </w:t>
      </w:r>
      <w:r w:rsidRPr="00DF6A93">
        <w:rPr>
          <w:rFonts w:ascii="Cambria" w:hAnsi="Cambria" w:cs="Arial"/>
          <w:i/>
          <w:sz w:val="20"/>
          <w:szCs w:val="20"/>
          <w:lang w:val="es-ES"/>
        </w:rPr>
        <w:t xml:space="preserve">locus </w:t>
      </w:r>
      <w:proofErr w:type="spellStart"/>
      <w:r w:rsidRPr="00DF6A93">
        <w:rPr>
          <w:rFonts w:ascii="Cambria" w:hAnsi="Cambria" w:cs="Arial"/>
          <w:i/>
          <w:sz w:val="20"/>
          <w:szCs w:val="20"/>
          <w:lang w:val="es-ES"/>
        </w:rPr>
        <w:t>standi</w:t>
      </w:r>
      <w:proofErr w:type="spellEnd"/>
      <w:r w:rsidRPr="00DF6A93">
        <w:rPr>
          <w:rFonts w:ascii="Cambria" w:hAnsi="Cambria" w:cs="Arial"/>
          <w:sz w:val="20"/>
          <w:szCs w:val="20"/>
          <w:lang w:val="es-ES"/>
        </w:rPr>
        <w:t xml:space="preserve"> para presentar peticiones a la Comisión Interamericana. En la petición se identifica como presunta víctima a una persona respecto de la cual Estados Unidos se ha comprometido a respetar y garantizar los derechos consagrados en la Carta de la OEA y la Declaración Americana. En cuanto al Estado, la Comisión observa que Estados Unidos está sujeto a las obligaciones establecidas en la Declaración Americana, la Carta de la OEA, el artículo 20 del Estatuto de la CIDH y el artículo 51 de su Reglamento. Estados Unidos es miembro de la Organización de los Estados Americanos desde el 19 de junio de 1951, fecha en que depositó el instrumento de ratificación de la Carta de la OEA</w:t>
      </w:r>
      <w:r w:rsidRPr="00DF6A93">
        <w:rPr>
          <w:rStyle w:val="FootnoteReference"/>
          <w:rFonts w:ascii="Cambria" w:hAnsi="Cambria"/>
          <w:sz w:val="20"/>
          <w:szCs w:val="20"/>
          <w:lang w:val="es-ES"/>
        </w:rPr>
        <w:footnoteReference w:id="4"/>
      </w:r>
      <w:r w:rsidRPr="00DF6A93">
        <w:rPr>
          <w:rFonts w:ascii="Cambria" w:hAnsi="Cambria" w:cs="Arial"/>
          <w:sz w:val="20"/>
          <w:szCs w:val="20"/>
          <w:lang w:val="es-ES"/>
        </w:rPr>
        <w:t xml:space="preserve">. En consecuencia, la CIDH es competente </w:t>
      </w:r>
      <w:proofErr w:type="spellStart"/>
      <w:r w:rsidRPr="00DF6A93">
        <w:rPr>
          <w:rFonts w:ascii="Cambria" w:hAnsi="Cambria" w:cs="Arial"/>
          <w:i/>
          <w:sz w:val="20"/>
          <w:szCs w:val="20"/>
          <w:lang w:val="es-ES"/>
        </w:rPr>
        <w:t>ratione</w:t>
      </w:r>
      <w:proofErr w:type="spellEnd"/>
      <w:r w:rsidRPr="00DF6A93">
        <w:rPr>
          <w:rFonts w:ascii="Cambria" w:hAnsi="Cambria" w:cs="Arial"/>
          <w:i/>
          <w:sz w:val="20"/>
          <w:szCs w:val="20"/>
          <w:lang w:val="es-ES"/>
        </w:rPr>
        <w:t xml:space="preserve"> </w:t>
      </w:r>
      <w:proofErr w:type="spellStart"/>
      <w:r w:rsidRPr="00DF6A93">
        <w:rPr>
          <w:rFonts w:ascii="Cambria" w:hAnsi="Cambria" w:cs="Arial"/>
          <w:i/>
          <w:sz w:val="20"/>
          <w:szCs w:val="20"/>
          <w:lang w:val="es-ES"/>
        </w:rPr>
        <w:t>personae</w:t>
      </w:r>
      <w:proofErr w:type="spellEnd"/>
      <w:r w:rsidRPr="00DF6A93">
        <w:rPr>
          <w:rFonts w:ascii="Cambria" w:hAnsi="Cambria" w:cs="Arial"/>
          <w:sz w:val="20"/>
          <w:szCs w:val="20"/>
          <w:lang w:val="es-ES"/>
        </w:rPr>
        <w:t xml:space="preserve"> para conocer la petición</w:t>
      </w:r>
      <w:r w:rsidRPr="00DF6A93">
        <w:rPr>
          <w:rFonts w:asciiTheme="majorHAnsi" w:hAnsiTheme="majorHAnsi" w:cs="Arial"/>
          <w:sz w:val="20"/>
          <w:szCs w:val="20"/>
          <w:lang w:val="es-ES"/>
        </w:rPr>
        <w:t xml:space="preserve">. </w:t>
      </w:r>
    </w:p>
    <w:p w:rsidR="00EB786A" w:rsidRPr="00DF6A93" w:rsidRDefault="00EB786A" w:rsidP="00BC0BBE">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Theme="majorHAnsi" w:hAnsiTheme="majorHAnsi"/>
          <w:sz w:val="20"/>
          <w:szCs w:val="20"/>
          <w:lang w:val="es-ES"/>
        </w:rPr>
      </w:pPr>
    </w:p>
    <w:p w:rsidR="00EB786A" w:rsidRPr="00DF6A93" w:rsidRDefault="00EB786A" w:rsidP="00BC0BBE">
      <w:pPr>
        <w:numPr>
          <w:ilvl w:val="0"/>
          <w:numId w:val="10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Theme="majorHAnsi" w:hAnsiTheme="majorHAnsi"/>
          <w:sz w:val="20"/>
          <w:szCs w:val="20"/>
          <w:lang w:val="es-ES"/>
        </w:rPr>
      </w:pPr>
      <w:r w:rsidRPr="00DF6A93">
        <w:rPr>
          <w:rFonts w:ascii="Cambria" w:hAnsi="Cambria"/>
          <w:sz w:val="20"/>
          <w:lang w:val="es-ES"/>
        </w:rPr>
        <w:t xml:space="preserve">Asimismo, la Comisión Interamericana es competente </w:t>
      </w:r>
      <w:proofErr w:type="spellStart"/>
      <w:r w:rsidRPr="00DF6A93">
        <w:rPr>
          <w:rFonts w:ascii="Cambria" w:hAnsi="Cambria"/>
          <w:i/>
          <w:sz w:val="20"/>
          <w:lang w:val="es-ES"/>
        </w:rPr>
        <w:t>ratione</w:t>
      </w:r>
      <w:proofErr w:type="spellEnd"/>
      <w:r w:rsidRPr="00DF6A93">
        <w:rPr>
          <w:rFonts w:ascii="Cambria" w:hAnsi="Cambria"/>
          <w:i/>
          <w:sz w:val="20"/>
          <w:lang w:val="es-ES"/>
        </w:rPr>
        <w:t xml:space="preserve"> </w:t>
      </w:r>
      <w:proofErr w:type="spellStart"/>
      <w:r w:rsidRPr="00DF6A93">
        <w:rPr>
          <w:rFonts w:ascii="Cambria" w:hAnsi="Cambria"/>
          <w:i/>
          <w:sz w:val="20"/>
          <w:lang w:val="es-ES"/>
        </w:rPr>
        <w:t>loci</w:t>
      </w:r>
      <w:proofErr w:type="spellEnd"/>
      <w:r w:rsidRPr="00DF6A93">
        <w:rPr>
          <w:rFonts w:ascii="Cambria" w:hAnsi="Cambria"/>
          <w:i/>
          <w:sz w:val="20"/>
          <w:lang w:val="es-ES"/>
        </w:rPr>
        <w:t xml:space="preserve"> </w:t>
      </w:r>
      <w:r w:rsidRPr="00DF6A93">
        <w:rPr>
          <w:rFonts w:ascii="Cambria" w:hAnsi="Cambria"/>
          <w:sz w:val="20"/>
          <w:lang w:val="es-ES"/>
        </w:rPr>
        <w:t xml:space="preserve">para examinar la petición, en tanto se alega que las violaciones de los derechos protegidos en la Declaración Americana tuvieron lugar dentro del territorio de Estados Unidos. La CIDH es competente </w:t>
      </w:r>
      <w:proofErr w:type="spellStart"/>
      <w:r w:rsidRPr="00DF6A93">
        <w:rPr>
          <w:rFonts w:ascii="Cambria" w:hAnsi="Cambria"/>
          <w:i/>
          <w:sz w:val="20"/>
          <w:lang w:val="es-ES"/>
        </w:rPr>
        <w:t>ratione</w:t>
      </w:r>
      <w:proofErr w:type="spellEnd"/>
      <w:r w:rsidRPr="00DF6A93">
        <w:rPr>
          <w:rFonts w:ascii="Cambria" w:hAnsi="Cambria"/>
          <w:i/>
          <w:sz w:val="20"/>
          <w:lang w:val="es-ES"/>
        </w:rPr>
        <w:t xml:space="preserve"> </w:t>
      </w:r>
      <w:proofErr w:type="spellStart"/>
      <w:r w:rsidRPr="00DF6A93">
        <w:rPr>
          <w:rFonts w:ascii="Cambria" w:hAnsi="Cambria"/>
          <w:i/>
          <w:sz w:val="20"/>
          <w:lang w:val="es-ES"/>
        </w:rPr>
        <w:t>temporis</w:t>
      </w:r>
      <w:proofErr w:type="spellEnd"/>
      <w:r w:rsidRPr="00DF6A93">
        <w:rPr>
          <w:rFonts w:ascii="Cambria" w:hAnsi="Cambria"/>
          <w:i/>
          <w:sz w:val="20"/>
          <w:lang w:val="es-ES"/>
        </w:rPr>
        <w:t xml:space="preserve"> </w:t>
      </w:r>
      <w:r w:rsidRPr="00DF6A93">
        <w:rPr>
          <w:rFonts w:ascii="Cambria" w:hAnsi="Cambria"/>
          <w:sz w:val="20"/>
          <w:lang w:val="es-ES"/>
        </w:rPr>
        <w:t xml:space="preserve">dado que la obligación de respetar y garantizar los derechos protegidos en la Declaración Americana ya estaba vigente para el Estado en la fecha en que habrían ocurrido los hechos alegados. Finalmente, la Comisión Interamericana es competente </w:t>
      </w:r>
      <w:proofErr w:type="spellStart"/>
      <w:r w:rsidRPr="00DF6A93">
        <w:rPr>
          <w:rFonts w:ascii="Cambria" w:hAnsi="Cambria"/>
          <w:i/>
          <w:sz w:val="20"/>
          <w:lang w:val="es-ES"/>
        </w:rPr>
        <w:t>ratione</w:t>
      </w:r>
      <w:proofErr w:type="spellEnd"/>
      <w:r w:rsidRPr="00DF6A93">
        <w:rPr>
          <w:rFonts w:ascii="Cambria" w:hAnsi="Cambria"/>
          <w:i/>
          <w:sz w:val="20"/>
          <w:lang w:val="es-ES"/>
        </w:rPr>
        <w:t xml:space="preserve"> </w:t>
      </w:r>
      <w:proofErr w:type="spellStart"/>
      <w:r w:rsidRPr="00DF6A93">
        <w:rPr>
          <w:rFonts w:ascii="Cambria" w:hAnsi="Cambria"/>
          <w:i/>
          <w:sz w:val="20"/>
          <w:lang w:val="es-ES"/>
        </w:rPr>
        <w:t>materiae</w:t>
      </w:r>
      <w:proofErr w:type="spellEnd"/>
      <w:r w:rsidRPr="00DF6A93">
        <w:rPr>
          <w:rFonts w:ascii="Cambria" w:hAnsi="Cambria"/>
          <w:sz w:val="20"/>
          <w:lang w:val="es-ES"/>
        </w:rPr>
        <w:t xml:space="preserve"> porque la petición se refiere a posibles violaciones de derechos humanos protegidos en la Declaración Americana</w:t>
      </w:r>
      <w:r w:rsidRPr="00DF6A93">
        <w:rPr>
          <w:rFonts w:asciiTheme="majorHAnsi" w:hAnsiTheme="majorHAnsi"/>
          <w:sz w:val="20"/>
          <w:szCs w:val="20"/>
          <w:lang w:val="es-ES"/>
        </w:rPr>
        <w:t xml:space="preserve">. </w:t>
      </w:r>
    </w:p>
    <w:p w:rsidR="00EB786A" w:rsidRPr="00DF6A93" w:rsidRDefault="00EB786A" w:rsidP="00BC0BBE">
      <w:pPr>
        <w:pStyle w:val="ListParagraph"/>
        <w:ind w:left="0" w:firstLine="720"/>
        <w:jc w:val="both"/>
        <w:rPr>
          <w:rFonts w:asciiTheme="majorHAnsi" w:hAnsiTheme="majorHAnsi"/>
          <w:b/>
          <w:bCs/>
          <w:sz w:val="20"/>
          <w:szCs w:val="20"/>
          <w:lang w:val="es-ES"/>
        </w:rPr>
      </w:pPr>
    </w:p>
    <w:p w:rsidR="00EB786A" w:rsidRPr="00DF6A93" w:rsidRDefault="00EB786A" w:rsidP="00BC0BBE">
      <w:pPr>
        <w:pStyle w:val="ListParagraph"/>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b/>
          <w:bCs/>
          <w:sz w:val="20"/>
          <w:szCs w:val="20"/>
          <w:lang w:val="es-ES"/>
        </w:rPr>
      </w:pPr>
      <w:r w:rsidRPr="00DF6A93">
        <w:rPr>
          <w:rFonts w:asciiTheme="majorHAnsi" w:hAnsiTheme="majorHAnsi"/>
          <w:b/>
          <w:bCs/>
          <w:sz w:val="20"/>
          <w:szCs w:val="20"/>
          <w:lang w:val="es-ES"/>
        </w:rPr>
        <w:t xml:space="preserve">Requisitos de admisibilidad </w:t>
      </w:r>
    </w:p>
    <w:p w:rsidR="00EB786A" w:rsidRPr="00DF6A93" w:rsidRDefault="00EB786A" w:rsidP="00BC0BBE">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Theme="majorHAnsi" w:hAnsiTheme="majorHAnsi"/>
          <w:b/>
          <w:bCs/>
          <w:sz w:val="20"/>
          <w:szCs w:val="20"/>
          <w:lang w:val="es-ES"/>
        </w:rPr>
      </w:pPr>
    </w:p>
    <w:p w:rsidR="00EB786A" w:rsidRPr="00DF6A93" w:rsidRDefault="00EB786A" w:rsidP="00BC0BBE">
      <w:pPr>
        <w:pStyle w:val="ListParagraph"/>
        <w:numPr>
          <w:ilvl w:val="0"/>
          <w:numId w:val="111"/>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lang w:val="es-ES"/>
        </w:rPr>
      </w:pPr>
      <w:r w:rsidRPr="00DF6A93">
        <w:rPr>
          <w:rFonts w:asciiTheme="majorHAnsi" w:hAnsiTheme="majorHAnsi"/>
          <w:b/>
          <w:bCs/>
          <w:sz w:val="20"/>
          <w:szCs w:val="20"/>
          <w:lang w:val="es-ES"/>
        </w:rPr>
        <w:t>Agotamiento de recursos internos</w:t>
      </w:r>
      <w:r w:rsidRPr="00DF6A93">
        <w:rPr>
          <w:rFonts w:asciiTheme="majorHAnsi" w:hAnsiTheme="majorHAnsi"/>
          <w:b/>
          <w:sz w:val="20"/>
          <w:szCs w:val="20"/>
          <w:lang w:val="es-ES"/>
        </w:rPr>
        <w:t xml:space="preserve"> </w:t>
      </w:r>
    </w:p>
    <w:p w:rsidR="00EB786A" w:rsidRPr="00DF6A93" w:rsidRDefault="00EB786A" w:rsidP="00BC0BBE">
      <w:pPr>
        <w:pStyle w:val="ListParagraph"/>
        <w:ind w:left="0" w:firstLine="720"/>
        <w:jc w:val="both"/>
        <w:rPr>
          <w:rFonts w:asciiTheme="majorHAnsi" w:hAnsiTheme="majorHAnsi"/>
          <w:sz w:val="20"/>
          <w:szCs w:val="20"/>
          <w:lang w:val="es-ES"/>
        </w:rPr>
      </w:pPr>
    </w:p>
    <w:p w:rsidR="00EB786A" w:rsidRPr="00DF6A93" w:rsidRDefault="00EB786A" w:rsidP="00BC0BBE">
      <w:pPr>
        <w:numPr>
          <w:ilvl w:val="0"/>
          <w:numId w:val="10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Theme="majorHAnsi" w:hAnsiTheme="majorHAnsi"/>
          <w:sz w:val="20"/>
          <w:szCs w:val="20"/>
          <w:lang w:val="es-ES"/>
        </w:rPr>
      </w:pPr>
      <w:r w:rsidRPr="00DF6A93">
        <w:rPr>
          <w:rFonts w:asciiTheme="majorHAnsi" w:hAnsiTheme="majorHAnsi"/>
          <w:sz w:val="20"/>
          <w:szCs w:val="20"/>
          <w:lang w:val="es-ES"/>
        </w:rPr>
        <w:t xml:space="preserve">De conformidad con el artículo 31(1) del Reglamento de la Comisión Interamericana, para que una petición sea admisible deben haberse planteado y agotado los recursos internos según los principios de derecho internacional reconocidos de manera general. Este requisito tiene por objeto permitir que las </w:t>
      </w:r>
      <w:r w:rsidRPr="00DF6A93">
        <w:rPr>
          <w:rFonts w:asciiTheme="majorHAnsi" w:hAnsiTheme="majorHAnsi"/>
          <w:sz w:val="20"/>
          <w:szCs w:val="20"/>
          <w:lang w:val="es-ES"/>
        </w:rPr>
        <w:lastRenderedPageBreak/>
        <w:t>autoridades nacionales conozcan de la presunta violación del derecho protegido y, si corresponde, resuelvan el asunto antes de que sea conocido por un organismo internacional.</w:t>
      </w:r>
    </w:p>
    <w:p w:rsidR="00EB786A" w:rsidRPr="00DF6A93" w:rsidRDefault="00EB786A" w:rsidP="00BC0BBE">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Theme="majorHAnsi" w:hAnsiTheme="majorHAnsi"/>
          <w:sz w:val="20"/>
          <w:szCs w:val="20"/>
          <w:lang w:val="es-ES"/>
        </w:rPr>
      </w:pPr>
    </w:p>
    <w:p w:rsidR="00EB786A" w:rsidRPr="00DF6A93" w:rsidRDefault="00EB786A" w:rsidP="00BC0BBE">
      <w:pPr>
        <w:numPr>
          <w:ilvl w:val="0"/>
          <w:numId w:val="10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Theme="majorHAnsi" w:hAnsiTheme="majorHAnsi"/>
          <w:sz w:val="20"/>
          <w:szCs w:val="20"/>
          <w:lang w:val="es-ES"/>
        </w:rPr>
      </w:pPr>
      <w:r w:rsidRPr="00DF6A93">
        <w:rPr>
          <w:rFonts w:asciiTheme="majorHAnsi" w:hAnsiTheme="majorHAnsi"/>
          <w:sz w:val="20"/>
          <w:szCs w:val="20"/>
          <w:lang w:val="es-ES"/>
        </w:rPr>
        <w:t xml:space="preserve">De acuerdo con la información disponible, tras la confirmación de la condena en apelación directa, el </w:t>
      </w:r>
      <w:r w:rsidRPr="00DF6A93">
        <w:rPr>
          <w:rFonts w:asciiTheme="majorHAnsi" w:hAnsiTheme="majorHAnsi" w:cs="Arial"/>
          <w:sz w:val="20"/>
          <w:szCs w:val="20"/>
          <w:lang w:val="es-ES"/>
        </w:rPr>
        <w:t xml:space="preserve">Tribunal de Apelaciones en lo Penal de Texas denegó el recurso de </w:t>
      </w:r>
      <w:r>
        <w:rPr>
          <w:rFonts w:asciiTheme="majorHAnsi" w:hAnsiTheme="majorHAnsi" w:cs="Arial"/>
          <w:sz w:val="20"/>
          <w:szCs w:val="20"/>
          <w:lang w:val="es-ES"/>
        </w:rPr>
        <w:t>habeas corpus</w:t>
      </w:r>
      <w:r w:rsidRPr="00DF6A93">
        <w:rPr>
          <w:rFonts w:asciiTheme="majorHAnsi" w:hAnsiTheme="majorHAnsi" w:cs="Arial"/>
          <w:sz w:val="20"/>
          <w:szCs w:val="20"/>
          <w:lang w:val="es-ES"/>
        </w:rPr>
        <w:t xml:space="preserve">. El 24 de octubre de 2006, el señor Tercero interpuso un recurso de hábeas corpus en una instancia federal, que fue denegado el 3 de marzo de 2010. El 30 de junio de 2014, la Corte Suprema de Estados Unidos denegó un auto de avocación. La ejecución del señor Tercero está programada para el 26 de agosto de 2015.  </w:t>
      </w:r>
    </w:p>
    <w:p w:rsidR="00EB786A" w:rsidRPr="00DF6A93" w:rsidRDefault="00EB786A" w:rsidP="00BC0BBE">
      <w:pPr>
        <w:pStyle w:val="ListParagraph"/>
        <w:ind w:left="0" w:firstLine="720"/>
        <w:jc w:val="both"/>
        <w:rPr>
          <w:rFonts w:asciiTheme="majorHAnsi" w:hAnsiTheme="majorHAnsi"/>
          <w:sz w:val="20"/>
          <w:szCs w:val="20"/>
          <w:lang w:val="es-ES"/>
        </w:rPr>
      </w:pPr>
    </w:p>
    <w:p w:rsidR="00EB786A" w:rsidRPr="00DF6A93" w:rsidRDefault="00EB786A" w:rsidP="00BC0BBE">
      <w:pPr>
        <w:numPr>
          <w:ilvl w:val="0"/>
          <w:numId w:val="10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Theme="majorHAnsi" w:hAnsiTheme="majorHAnsi"/>
          <w:sz w:val="20"/>
          <w:szCs w:val="20"/>
          <w:lang w:val="es-ES"/>
        </w:rPr>
      </w:pPr>
      <w:r w:rsidRPr="00DF6A93">
        <w:rPr>
          <w:rFonts w:asciiTheme="majorHAnsi" w:hAnsiTheme="majorHAnsi"/>
          <w:sz w:val="20"/>
          <w:szCs w:val="20"/>
          <w:lang w:val="es-ES"/>
        </w:rPr>
        <w:t>Por lo tanto, la CIDH concluye que se han agotado los recursos internos de conformidad con el artículo 31(1) de su Reglamento.</w:t>
      </w:r>
    </w:p>
    <w:p w:rsidR="00EB786A" w:rsidRPr="00DF6A93" w:rsidRDefault="00EB786A" w:rsidP="00BC0BBE">
      <w:pPr>
        <w:pStyle w:val="ListParagraph"/>
        <w:ind w:left="0" w:firstLine="720"/>
        <w:jc w:val="both"/>
        <w:rPr>
          <w:rFonts w:asciiTheme="majorHAnsi" w:hAnsiTheme="majorHAnsi"/>
          <w:b/>
          <w:sz w:val="20"/>
          <w:szCs w:val="20"/>
          <w:lang w:val="es-ES"/>
        </w:rPr>
      </w:pPr>
    </w:p>
    <w:p w:rsidR="00EB786A" w:rsidRPr="00DF6A93" w:rsidRDefault="00EB786A" w:rsidP="00BC0BBE">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Theme="majorHAnsi" w:hAnsiTheme="majorHAnsi"/>
          <w:sz w:val="20"/>
          <w:szCs w:val="20"/>
          <w:lang w:val="es-ES"/>
        </w:rPr>
      </w:pPr>
      <w:r w:rsidRPr="00DF6A93">
        <w:rPr>
          <w:rFonts w:asciiTheme="majorHAnsi" w:hAnsiTheme="majorHAnsi"/>
          <w:b/>
          <w:sz w:val="20"/>
          <w:szCs w:val="20"/>
          <w:lang w:val="es-ES"/>
        </w:rPr>
        <w:t xml:space="preserve">2. </w:t>
      </w:r>
      <w:r w:rsidRPr="00DF6A93">
        <w:rPr>
          <w:rFonts w:asciiTheme="majorHAnsi" w:hAnsiTheme="majorHAnsi"/>
          <w:b/>
          <w:sz w:val="20"/>
          <w:szCs w:val="20"/>
          <w:lang w:val="es-ES"/>
        </w:rPr>
        <w:tab/>
        <w:t xml:space="preserve">Plazo </w:t>
      </w:r>
      <w:r>
        <w:rPr>
          <w:rFonts w:asciiTheme="majorHAnsi" w:hAnsiTheme="majorHAnsi"/>
          <w:b/>
          <w:sz w:val="20"/>
          <w:szCs w:val="20"/>
          <w:lang w:val="es-ES"/>
        </w:rPr>
        <w:t xml:space="preserve">para la </w:t>
      </w:r>
      <w:r w:rsidRPr="00DF6A93">
        <w:rPr>
          <w:rFonts w:asciiTheme="majorHAnsi" w:hAnsiTheme="majorHAnsi"/>
          <w:b/>
          <w:sz w:val="20"/>
          <w:szCs w:val="20"/>
          <w:lang w:val="es-ES"/>
        </w:rPr>
        <w:t>presentación de la petición</w:t>
      </w:r>
    </w:p>
    <w:p w:rsidR="00EB786A" w:rsidRPr="00DF6A93" w:rsidRDefault="00EB786A" w:rsidP="00BC0BBE">
      <w:pPr>
        <w:pStyle w:val="ListParagraph"/>
        <w:ind w:left="0" w:firstLine="720"/>
        <w:jc w:val="both"/>
        <w:rPr>
          <w:rFonts w:asciiTheme="majorHAnsi" w:hAnsiTheme="majorHAnsi"/>
          <w:sz w:val="20"/>
          <w:szCs w:val="20"/>
          <w:lang w:val="es-ES"/>
        </w:rPr>
      </w:pPr>
    </w:p>
    <w:p w:rsidR="00EB786A" w:rsidRPr="00DF6A93" w:rsidRDefault="00EB786A" w:rsidP="00BC0BBE">
      <w:pPr>
        <w:numPr>
          <w:ilvl w:val="0"/>
          <w:numId w:val="10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Theme="majorHAnsi" w:hAnsiTheme="majorHAnsi"/>
          <w:sz w:val="20"/>
          <w:szCs w:val="20"/>
          <w:lang w:val="es-ES"/>
        </w:rPr>
      </w:pPr>
      <w:r w:rsidRPr="00DF6A93">
        <w:rPr>
          <w:rFonts w:asciiTheme="majorHAnsi" w:hAnsiTheme="majorHAnsi"/>
          <w:sz w:val="20"/>
          <w:szCs w:val="20"/>
          <w:lang w:val="es-ES"/>
        </w:rPr>
        <w:t xml:space="preserve">El artículo 32(1) del Reglamento de la Comisión Interamericana establece que, para que una petición o comunicación sea aceptada, debe ser presentada dentro de un plazo de seis meses contados desde la fecha en la cual se haya notificado la decisión final a la parte que alegue la violación de sus derechos. </w:t>
      </w:r>
    </w:p>
    <w:p w:rsidR="00EB786A" w:rsidRPr="00DF6A93" w:rsidRDefault="00EB786A" w:rsidP="00BC0BBE">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Theme="majorHAnsi" w:hAnsiTheme="majorHAnsi"/>
          <w:sz w:val="20"/>
          <w:szCs w:val="20"/>
          <w:lang w:val="es-ES"/>
        </w:rPr>
      </w:pPr>
    </w:p>
    <w:p w:rsidR="00EB786A" w:rsidRPr="00DF6A93" w:rsidRDefault="00EB786A" w:rsidP="00BC0BBE">
      <w:pPr>
        <w:numPr>
          <w:ilvl w:val="0"/>
          <w:numId w:val="10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Theme="majorHAnsi" w:hAnsiTheme="majorHAnsi"/>
          <w:sz w:val="20"/>
          <w:szCs w:val="20"/>
          <w:lang w:val="es-ES"/>
        </w:rPr>
      </w:pPr>
      <w:r w:rsidRPr="00DF6A93">
        <w:rPr>
          <w:rFonts w:asciiTheme="majorHAnsi" w:hAnsiTheme="majorHAnsi"/>
          <w:sz w:val="20"/>
          <w:szCs w:val="20"/>
          <w:lang w:val="es-ES"/>
        </w:rPr>
        <w:t xml:space="preserve">En el caso analizado, la Corte Suprema de </w:t>
      </w:r>
      <w:r w:rsidRPr="00DF6A93">
        <w:rPr>
          <w:rFonts w:asciiTheme="majorHAnsi" w:hAnsiTheme="majorHAnsi" w:cs="Arial"/>
          <w:sz w:val="20"/>
          <w:szCs w:val="20"/>
          <w:lang w:val="es-ES"/>
        </w:rPr>
        <w:t>Estados Unidos denegó el auto de avocación</w:t>
      </w:r>
      <w:r w:rsidRPr="00DF6A93">
        <w:rPr>
          <w:rFonts w:asciiTheme="majorHAnsi" w:hAnsiTheme="majorHAnsi"/>
          <w:sz w:val="20"/>
          <w:szCs w:val="20"/>
          <w:lang w:val="es-ES"/>
        </w:rPr>
        <w:t xml:space="preserve"> el </w:t>
      </w:r>
      <w:r w:rsidRPr="00DF6A93">
        <w:rPr>
          <w:rFonts w:asciiTheme="majorHAnsi" w:hAnsiTheme="majorHAnsi" w:cs="Arial"/>
          <w:sz w:val="20"/>
          <w:szCs w:val="20"/>
          <w:lang w:val="es-ES"/>
        </w:rPr>
        <w:t xml:space="preserve">30 de junio de 2014. </w:t>
      </w:r>
      <w:r w:rsidRPr="00DF6A93">
        <w:rPr>
          <w:rFonts w:asciiTheme="majorHAnsi" w:hAnsiTheme="majorHAnsi"/>
          <w:sz w:val="20"/>
          <w:szCs w:val="20"/>
          <w:lang w:val="es-ES"/>
        </w:rPr>
        <w:t>La CIDH recibió la petición original el 10 de septiembre de 2009 y la versión en inglés de l</w:t>
      </w:r>
      <w:r>
        <w:rPr>
          <w:rFonts w:asciiTheme="majorHAnsi" w:hAnsiTheme="majorHAnsi"/>
          <w:sz w:val="20"/>
          <w:szCs w:val="20"/>
          <w:lang w:val="es-ES"/>
        </w:rPr>
        <w:t>o</w:t>
      </w:r>
      <w:r w:rsidRPr="00DF6A93">
        <w:rPr>
          <w:rFonts w:asciiTheme="majorHAnsi" w:hAnsiTheme="majorHAnsi"/>
          <w:sz w:val="20"/>
          <w:szCs w:val="20"/>
          <w:lang w:val="es-ES"/>
        </w:rPr>
        <w:t xml:space="preserve">s </w:t>
      </w:r>
      <w:r>
        <w:rPr>
          <w:rFonts w:asciiTheme="majorHAnsi" w:hAnsiTheme="majorHAnsi"/>
          <w:sz w:val="20"/>
          <w:szCs w:val="20"/>
          <w:lang w:val="es-ES"/>
        </w:rPr>
        <w:t>alegatos formulado</w:t>
      </w:r>
      <w:r w:rsidRPr="00DF6A93">
        <w:rPr>
          <w:rFonts w:asciiTheme="majorHAnsi" w:hAnsiTheme="majorHAnsi"/>
          <w:sz w:val="20"/>
          <w:szCs w:val="20"/>
          <w:lang w:val="es-ES"/>
        </w:rPr>
        <w:t>s contra Estados Unidos el 19 de marzo de 2013. La Comisión Interamericana concluye, por lo tanto, que la presente petición satisface el requisito del artículo 32(1) de su Reglamento.</w:t>
      </w:r>
    </w:p>
    <w:p w:rsidR="00EB786A" w:rsidRPr="00DF6A93" w:rsidRDefault="00EB786A" w:rsidP="00BC0BBE">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Theme="majorHAnsi" w:hAnsiTheme="majorHAnsi"/>
          <w:sz w:val="20"/>
          <w:szCs w:val="20"/>
          <w:lang w:val="es-ES"/>
        </w:rPr>
      </w:pPr>
    </w:p>
    <w:p w:rsidR="00EB786A" w:rsidRPr="00DF6A93" w:rsidRDefault="00EB786A" w:rsidP="00BC0BBE">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Theme="majorHAnsi" w:hAnsiTheme="majorHAnsi"/>
          <w:b/>
          <w:sz w:val="20"/>
          <w:szCs w:val="20"/>
          <w:lang w:val="es-ES"/>
        </w:rPr>
      </w:pPr>
      <w:r w:rsidRPr="00DF6A93">
        <w:rPr>
          <w:rFonts w:asciiTheme="majorHAnsi" w:hAnsiTheme="majorHAnsi"/>
          <w:b/>
          <w:sz w:val="20"/>
          <w:szCs w:val="20"/>
          <w:lang w:val="es-ES"/>
        </w:rPr>
        <w:t>3.</w:t>
      </w:r>
      <w:r w:rsidRPr="00DF6A93">
        <w:rPr>
          <w:rFonts w:asciiTheme="majorHAnsi" w:hAnsiTheme="majorHAnsi"/>
          <w:b/>
          <w:sz w:val="20"/>
          <w:szCs w:val="20"/>
          <w:lang w:val="es-ES"/>
        </w:rPr>
        <w:tab/>
      </w:r>
      <w:r w:rsidRPr="00DF6A93">
        <w:rPr>
          <w:rFonts w:ascii="Cambria" w:hAnsi="Cambria"/>
          <w:b/>
          <w:sz w:val="20"/>
          <w:szCs w:val="20"/>
          <w:lang w:val="es-ES"/>
        </w:rPr>
        <w:t xml:space="preserve">Duplicación de procedimientos y </w:t>
      </w:r>
      <w:r w:rsidRPr="00DF6A93">
        <w:rPr>
          <w:rFonts w:ascii="Cambria" w:hAnsi="Cambria"/>
          <w:b/>
          <w:i/>
          <w:sz w:val="20"/>
          <w:szCs w:val="20"/>
          <w:lang w:val="es-ES"/>
        </w:rPr>
        <w:t xml:space="preserve">res </w:t>
      </w:r>
      <w:proofErr w:type="spellStart"/>
      <w:r w:rsidRPr="00DF6A93">
        <w:rPr>
          <w:rFonts w:ascii="Cambria" w:hAnsi="Cambria"/>
          <w:b/>
          <w:i/>
          <w:sz w:val="20"/>
          <w:szCs w:val="20"/>
          <w:lang w:val="es-ES"/>
        </w:rPr>
        <w:t>judicata</w:t>
      </w:r>
      <w:proofErr w:type="spellEnd"/>
      <w:r w:rsidRPr="00DF6A93">
        <w:rPr>
          <w:rFonts w:ascii="Cambria" w:hAnsi="Cambria"/>
          <w:b/>
          <w:sz w:val="20"/>
          <w:szCs w:val="20"/>
          <w:lang w:val="es-ES"/>
        </w:rPr>
        <w:t xml:space="preserve"> internacionales</w:t>
      </w:r>
      <w:r w:rsidRPr="00DF6A93">
        <w:rPr>
          <w:rFonts w:asciiTheme="majorHAnsi" w:hAnsiTheme="majorHAnsi"/>
          <w:b/>
          <w:bCs/>
          <w:sz w:val="20"/>
          <w:szCs w:val="20"/>
          <w:lang w:val="es-ES"/>
        </w:rPr>
        <w:t xml:space="preserve"> </w:t>
      </w:r>
    </w:p>
    <w:p w:rsidR="00EB786A" w:rsidRPr="00DF6A93" w:rsidRDefault="00EB786A" w:rsidP="00BC0BBE">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Theme="majorHAnsi" w:hAnsiTheme="majorHAnsi"/>
          <w:sz w:val="20"/>
          <w:szCs w:val="20"/>
          <w:lang w:val="es-ES"/>
        </w:rPr>
      </w:pPr>
    </w:p>
    <w:p w:rsidR="00EB786A" w:rsidRPr="00DF6A93" w:rsidRDefault="00EB786A" w:rsidP="00BC0BBE">
      <w:pPr>
        <w:numPr>
          <w:ilvl w:val="0"/>
          <w:numId w:val="10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Theme="majorHAnsi" w:hAnsiTheme="majorHAnsi"/>
          <w:sz w:val="20"/>
          <w:szCs w:val="20"/>
          <w:lang w:val="es-ES"/>
        </w:rPr>
      </w:pPr>
      <w:r w:rsidRPr="00DF6A93">
        <w:rPr>
          <w:rFonts w:asciiTheme="majorHAnsi" w:hAnsiTheme="majorHAnsi"/>
          <w:sz w:val="20"/>
          <w:szCs w:val="20"/>
          <w:lang w:val="es-ES"/>
        </w:rPr>
        <w:t>No surge del expediente que la materia de la petición se encuentre pendiente de otro procedimiento de arreglo internacional ni que reproduzca una petición ya examinada por la Comisión Interamericana u otra organización internacional. Por lo tanto, corresponde dar por cumplidos los requisitos establecidos en el artículo 33 del Reglamento de la CIDH.</w:t>
      </w:r>
    </w:p>
    <w:p w:rsidR="00EB786A" w:rsidRPr="00DF6A93" w:rsidRDefault="00EB786A" w:rsidP="00BC0BBE">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Theme="majorHAnsi" w:hAnsiTheme="majorHAnsi"/>
          <w:sz w:val="20"/>
          <w:szCs w:val="20"/>
          <w:lang w:val="es-ES"/>
        </w:rPr>
      </w:pPr>
    </w:p>
    <w:p w:rsidR="00EB786A" w:rsidRPr="00DF6A93" w:rsidRDefault="00EB786A" w:rsidP="00BC0BBE">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Theme="majorHAnsi" w:hAnsiTheme="majorHAnsi"/>
          <w:sz w:val="20"/>
          <w:szCs w:val="20"/>
          <w:lang w:val="es-ES"/>
        </w:rPr>
      </w:pPr>
      <w:r w:rsidRPr="00DF6A93">
        <w:rPr>
          <w:rFonts w:asciiTheme="majorHAnsi" w:hAnsiTheme="majorHAnsi"/>
          <w:b/>
          <w:sz w:val="20"/>
          <w:szCs w:val="20"/>
          <w:lang w:val="es-ES"/>
        </w:rPr>
        <w:t>4</w:t>
      </w:r>
      <w:r w:rsidRPr="00DF6A93">
        <w:rPr>
          <w:rFonts w:asciiTheme="majorHAnsi" w:hAnsiTheme="majorHAnsi"/>
          <w:sz w:val="20"/>
          <w:szCs w:val="20"/>
          <w:lang w:val="es-ES"/>
        </w:rPr>
        <w:t>.</w:t>
      </w:r>
      <w:r w:rsidRPr="00DF6A93">
        <w:rPr>
          <w:rFonts w:asciiTheme="majorHAnsi" w:hAnsiTheme="majorHAnsi"/>
          <w:sz w:val="20"/>
          <w:szCs w:val="20"/>
          <w:lang w:val="es-ES"/>
        </w:rPr>
        <w:tab/>
      </w:r>
      <w:r w:rsidRPr="00DF6A93">
        <w:rPr>
          <w:rFonts w:ascii="Cambria" w:hAnsi="Cambria"/>
          <w:b/>
          <w:bCs/>
          <w:sz w:val="20"/>
          <w:szCs w:val="20"/>
          <w:lang w:val="es-ES"/>
        </w:rPr>
        <w:t>Caracterización de los hechos alegados</w:t>
      </w:r>
    </w:p>
    <w:p w:rsidR="00EB786A" w:rsidRPr="00DF6A93" w:rsidRDefault="00EB786A" w:rsidP="00BC0BBE">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Theme="majorHAnsi" w:hAnsiTheme="majorHAnsi"/>
          <w:sz w:val="20"/>
          <w:szCs w:val="20"/>
          <w:lang w:val="es-ES"/>
        </w:rPr>
      </w:pPr>
    </w:p>
    <w:p w:rsidR="00EB786A" w:rsidRPr="00DF6A93" w:rsidRDefault="00EB786A" w:rsidP="00BC0BBE">
      <w:pPr>
        <w:numPr>
          <w:ilvl w:val="0"/>
          <w:numId w:val="10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Theme="majorHAnsi" w:hAnsiTheme="majorHAnsi"/>
          <w:sz w:val="20"/>
          <w:szCs w:val="20"/>
          <w:lang w:val="es-ES"/>
        </w:rPr>
      </w:pPr>
      <w:r w:rsidRPr="00DF6A93">
        <w:rPr>
          <w:rFonts w:ascii="Cambria" w:hAnsi="Cambria"/>
          <w:sz w:val="20"/>
          <w:szCs w:val="20"/>
          <w:lang w:val="es-ES"/>
        </w:rPr>
        <w:t xml:space="preserve">De conformidad con el artículo 34(2) de su Reglamento, la Comisión debe declarar inadmisible toda petición o caso en el que no se señalen hechos que podrían caracterizar una violación de los derechos a los que hace referencia el artículo 27 de dicho Reglamento, en cuyo caso la petición debe ser rechazada por ser “manifiestamente infundada” o “improcedente” según lo dispuesto en el artículo 34(b). El criterio utilizado para analizar la admisibilidad de una petición difiere del que se usa para analizar el fondo del caso, puesto que en la etapa de admisibilidad la Comisión Interamericana sólo realiza un análisis </w:t>
      </w:r>
      <w:r w:rsidRPr="00DF6A93">
        <w:rPr>
          <w:rFonts w:ascii="Cambria" w:hAnsi="Cambria"/>
          <w:i/>
          <w:sz w:val="20"/>
          <w:szCs w:val="20"/>
          <w:lang w:val="es-ES"/>
        </w:rPr>
        <w:t>prima facie</w:t>
      </w:r>
      <w:r w:rsidRPr="00DF6A93">
        <w:rPr>
          <w:rFonts w:ascii="Cambria" w:hAnsi="Cambria"/>
          <w:sz w:val="20"/>
          <w:szCs w:val="20"/>
          <w:lang w:val="es-ES"/>
        </w:rPr>
        <w:t xml:space="preserve"> con miras a determinar si la petición se refiere a una aparente o posible violación de un derecho garantizado en la Declaración Americana. Se trata de un análisis preliminar que no implica un prejuzgamiento ni una opinión preliminar sobre el fondo del caso</w:t>
      </w:r>
      <w:r w:rsidRPr="00DF6A93">
        <w:rPr>
          <w:rFonts w:asciiTheme="majorHAnsi" w:hAnsiTheme="majorHAnsi"/>
          <w:sz w:val="20"/>
          <w:szCs w:val="20"/>
          <w:lang w:val="es-ES"/>
        </w:rPr>
        <w:t>.</w:t>
      </w:r>
    </w:p>
    <w:p w:rsidR="00EB786A" w:rsidRPr="00DF6A93" w:rsidRDefault="00EB786A" w:rsidP="00BC0BBE">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Theme="majorHAnsi" w:hAnsiTheme="majorHAnsi"/>
          <w:sz w:val="20"/>
          <w:szCs w:val="20"/>
          <w:lang w:val="es-ES"/>
        </w:rPr>
      </w:pPr>
    </w:p>
    <w:p w:rsidR="00EB786A" w:rsidRPr="00DF6A93" w:rsidRDefault="00EB786A" w:rsidP="00BC0BBE">
      <w:pPr>
        <w:numPr>
          <w:ilvl w:val="0"/>
          <w:numId w:val="10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Theme="majorHAnsi" w:hAnsiTheme="majorHAnsi"/>
          <w:sz w:val="20"/>
          <w:szCs w:val="20"/>
          <w:lang w:val="es-ES"/>
        </w:rPr>
      </w:pPr>
      <w:r w:rsidRPr="00DF6A93">
        <w:rPr>
          <w:rFonts w:ascii="Cambria" w:hAnsi="Cambria"/>
          <w:sz w:val="20"/>
          <w:szCs w:val="20"/>
          <w:lang w:val="es-ES"/>
        </w:rPr>
        <w:t>El Reglamento de la Comisión Interamericana no requiere que los peticionarios indiquen los derechos específicos que se alegan violados por el Estado en el asunto que se presenta ante la Comisión, aunque los peticionarios pueden hacerlo. Corresponde a la CIDH, basándose en la jurisprudencia del sistema interamericano, determinar en su informe de admisibilidad qué disposiciones de los instrumentos interamericanos pertinentes son aplicables y puede determinarse que han sido violadas si los hechos alegados fueran probados con elementos suficientes</w:t>
      </w:r>
      <w:r w:rsidRPr="00DF6A93">
        <w:rPr>
          <w:rFonts w:asciiTheme="majorHAnsi" w:hAnsiTheme="majorHAnsi"/>
          <w:sz w:val="20"/>
          <w:szCs w:val="20"/>
          <w:lang w:val="es-ES"/>
        </w:rPr>
        <w:t>.</w:t>
      </w:r>
    </w:p>
    <w:p w:rsidR="00EB786A" w:rsidRPr="00DF6A93" w:rsidRDefault="00EB786A" w:rsidP="00BC0BBE">
      <w:pPr>
        <w:pStyle w:val="ListParagraph"/>
        <w:ind w:left="0" w:firstLine="720"/>
        <w:jc w:val="both"/>
        <w:rPr>
          <w:rFonts w:asciiTheme="majorHAnsi" w:hAnsiTheme="majorHAnsi"/>
          <w:sz w:val="20"/>
          <w:szCs w:val="20"/>
          <w:lang w:val="es-ES"/>
        </w:rPr>
      </w:pPr>
    </w:p>
    <w:p w:rsidR="00EB786A" w:rsidRPr="00DF6A93" w:rsidRDefault="00EB786A" w:rsidP="00BC0BBE">
      <w:pPr>
        <w:numPr>
          <w:ilvl w:val="0"/>
          <w:numId w:val="10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Theme="majorHAnsi" w:hAnsiTheme="majorHAnsi"/>
          <w:sz w:val="20"/>
          <w:szCs w:val="20"/>
          <w:lang w:val="es-ES"/>
        </w:rPr>
      </w:pPr>
      <w:r w:rsidRPr="00DF6A93">
        <w:rPr>
          <w:rFonts w:asciiTheme="majorHAnsi" w:hAnsiTheme="majorHAnsi"/>
          <w:sz w:val="20"/>
          <w:szCs w:val="20"/>
          <w:lang w:val="es-ES"/>
        </w:rPr>
        <w:t xml:space="preserve">El peticionario afirma que el señor Tercero era menor de </w:t>
      </w:r>
      <w:r w:rsidRPr="00DF6A93">
        <w:rPr>
          <w:rFonts w:asciiTheme="majorHAnsi" w:hAnsiTheme="majorHAnsi" w:cs="Arial"/>
          <w:sz w:val="20"/>
          <w:szCs w:val="20"/>
          <w:lang w:val="es-ES"/>
        </w:rPr>
        <w:t>18 años cuando cometió el delito, que el Estado se negó a notificar a las autoridades consulares en violación del artículo 36 de la Convención de Viena sobre Relaciones Consulares y que el abogado designado por el tribunal le proporcionó patrocinio letrado ineficaz. Asimismo</w:t>
      </w:r>
      <w:r w:rsidRPr="00DF6A93">
        <w:rPr>
          <w:rFonts w:asciiTheme="majorHAnsi" w:hAnsiTheme="majorHAnsi"/>
          <w:sz w:val="20"/>
          <w:szCs w:val="20"/>
          <w:lang w:val="es-ES"/>
        </w:rPr>
        <w:t>, el peticionario afirma que se ha violado el derecho d</w:t>
      </w:r>
      <w:r w:rsidRPr="00DF6A93">
        <w:rPr>
          <w:rFonts w:asciiTheme="majorHAnsi" w:hAnsiTheme="majorHAnsi" w:cs="Arial"/>
          <w:sz w:val="20"/>
          <w:szCs w:val="20"/>
          <w:lang w:val="es-ES"/>
        </w:rPr>
        <w:t>el señor Tercero al debido proceso; en particular, que la fiscalía suprimió declaraciones y pruebas testimoniales mediante amenaza o intimidación.</w:t>
      </w:r>
    </w:p>
    <w:p w:rsidR="00EB786A" w:rsidRPr="00DF6A93" w:rsidRDefault="00EB786A" w:rsidP="00BC0BBE">
      <w:pPr>
        <w:pStyle w:val="ListParagraph"/>
        <w:ind w:left="0" w:firstLine="720"/>
        <w:jc w:val="both"/>
        <w:rPr>
          <w:rFonts w:asciiTheme="majorHAnsi" w:hAnsiTheme="majorHAnsi"/>
          <w:sz w:val="20"/>
          <w:szCs w:val="20"/>
          <w:lang w:val="es-ES"/>
        </w:rPr>
      </w:pPr>
    </w:p>
    <w:p w:rsidR="00EB786A" w:rsidRPr="00DF6A93" w:rsidRDefault="00EB786A" w:rsidP="00BC0BBE">
      <w:pPr>
        <w:numPr>
          <w:ilvl w:val="0"/>
          <w:numId w:val="102"/>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es-ES"/>
        </w:rPr>
      </w:pPr>
      <w:r w:rsidRPr="00DF6A93">
        <w:rPr>
          <w:rFonts w:ascii="Cambria" w:hAnsi="Cambria"/>
          <w:sz w:val="20"/>
          <w:szCs w:val="20"/>
          <w:lang w:val="es-ES"/>
        </w:rPr>
        <w:t>Debido al escrutinio más estricto que la Comisión Interamericana ha aplicado en casos de pena de muerte</w:t>
      </w:r>
      <w:r w:rsidRPr="00DF6A93">
        <w:rPr>
          <w:rStyle w:val="FootnoteReference"/>
          <w:rFonts w:asciiTheme="majorHAnsi" w:hAnsiTheme="majorHAnsi"/>
          <w:sz w:val="20"/>
          <w:szCs w:val="20"/>
          <w:lang w:val="es-ES"/>
        </w:rPr>
        <w:footnoteReference w:id="5"/>
      </w:r>
      <w:r w:rsidRPr="00DF6A93">
        <w:rPr>
          <w:rFonts w:ascii="Cambria" w:hAnsi="Cambria"/>
          <w:sz w:val="20"/>
          <w:szCs w:val="20"/>
          <w:lang w:val="es-ES"/>
        </w:rPr>
        <w:t>,</w:t>
      </w:r>
      <w:r w:rsidRPr="00DF6A93">
        <w:rPr>
          <w:rFonts w:asciiTheme="majorHAnsi" w:hAnsiTheme="majorHAnsi"/>
          <w:sz w:val="20"/>
          <w:szCs w:val="20"/>
          <w:lang w:val="es-ES"/>
        </w:rPr>
        <w:t xml:space="preserve"> la CIDH observa que, de ser probados, los hechos alegados por el peticionario podrían llegar a caracterizar violaciones de los artículos I, VII, XVIII y XXVI de la Declaración Americana. La CIDH reitera que tiene una obligación mayor de garantizar que toda privación de la vida resultante de la aplicación de la pena de muerte se realice en cumplimiento estricto de los instrumentos interamericanos de derechos humanos aplicables, entre ellos la Declaración Americana</w:t>
      </w:r>
      <w:r w:rsidRPr="00DF6A93">
        <w:rPr>
          <w:rStyle w:val="FootnoteReference"/>
          <w:rFonts w:asciiTheme="majorHAnsi" w:hAnsiTheme="majorHAnsi"/>
          <w:sz w:val="20"/>
          <w:szCs w:val="20"/>
          <w:lang w:val="es-ES"/>
        </w:rPr>
        <w:footnoteReference w:id="6"/>
      </w:r>
      <w:r w:rsidRPr="00DF6A93">
        <w:rPr>
          <w:rFonts w:asciiTheme="majorHAnsi" w:eastAsia="Times New Roman" w:hAnsiTheme="majorHAnsi"/>
          <w:sz w:val="20"/>
          <w:szCs w:val="20"/>
          <w:lang w:val="es-ES"/>
        </w:rPr>
        <w:t>.</w:t>
      </w:r>
    </w:p>
    <w:p w:rsidR="00EB786A" w:rsidRPr="00DF6A93" w:rsidRDefault="00EB786A" w:rsidP="00BC0BBE">
      <w:pPr>
        <w:pStyle w:val="ListParagraph"/>
        <w:ind w:left="0" w:firstLine="720"/>
        <w:jc w:val="both"/>
        <w:rPr>
          <w:rFonts w:asciiTheme="majorHAnsi" w:hAnsiTheme="majorHAnsi"/>
          <w:sz w:val="20"/>
          <w:szCs w:val="20"/>
          <w:lang w:val="es-ES"/>
        </w:rPr>
      </w:pPr>
    </w:p>
    <w:p w:rsidR="00EB786A" w:rsidRPr="00DF6A93" w:rsidRDefault="00EB786A" w:rsidP="00BC0BBE">
      <w:pPr>
        <w:numPr>
          <w:ilvl w:val="0"/>
          <w:numId w:val="10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Theme="majorHAnsi" w:hAnsiTheme="majorHAnsi"/>
          <w:sz w:val="20"/>
          <w:szCs w:val="20"/>
          <w:lang w:val="es-ES"/>
        </w:rPr>
      </w:pPr>
      <w:r w:rsidRPr="00DF6A93">
        <w:rPr>
          <w:rFonts w:ascii="Cambria" w:hAnsi="Cambria"/>
          <w:sz w:val="20"/>
          <w:szCs w:val="20"/>
          <w:lang w:val="es-ES"/>
        </w:rPr>
        <w:t xml:space="preserve">En conclusión, la CIDH decide que la petición no es manifiestamente infundada ni improcedente y declara que, </w:t>
      </w:r>
      <w:r w:rsidRPr="00DF6A93">
        <w:rPr>
          <w:rFonts w:ascii="Cambria" w:hAnsi="Cambria"/>
          <w:i/>
          <w:sz w:val="20"/>
          <w:szCs w:val="20"/>
          <w:lang w:val="es-ES"/>
        </w:rPr>
        <w:t>prima facie</w:t>
      </w:r>
      <w:r w:rsidRPr="00DF6A93">
        <w:rPr>
          <w:rFonts w:ascii="Cambria" w:hAnsi="Cambria"/>
          <w:sz w:val="20"/>
          <w:szCs w:val="20"/>
          <w:lang w:val="es-ES"/>
        </w:rPr>
        <w:t>, los peticionarios han cumplido los requisitos establecidos en el artículo 34 del Reglamento de la Comisión</w:t>
      </w:r>
      <w:r w:rsidRPr="00DF6A93">
        <w:rPr>
          <w:rFonts w:asciiTheme="majorHAnsi" w:hAnsiTheme="majorHAnsi"/>
          <w:sz w:val="20"/>
          <w:szCs w:val="20"/>
          <w:lang w:val="es-ES"/>
        </w:rPr>
        <w:t xml:space="preserve">. </w:t>
      </w:r>
    </w:p>
    <w:p w:rsidR="00EB786A" w:rsidRPr="00DF6A93" w:rsidRDefault="00EB786A" w:rsidP="00BC0BBE">
      <w:pPr>
        <w:pStyle w:val="ListParagraph"/>
        <w:ind w:left="0" w:firstLine="720"/>
        <w:jc w:val="both"/>
        <w:rPr>
          <w:rFonts w:asciiTheme="majorHAnsi" w:hAnsiTheme="majorHAnsi"/>
          <w:b/>
          <w:bCs/>
          <w:sz w:val="20"/>
          <w:szCs w:val="20"/>
          <w:lang w:val="es-ES"/>
        </w:rPr>
      </w:pPr>
    </w:p>
    <w:p w:rsidR="00EB786A" w:rsidRPr="00DF6A93" w:rsidRDefault="00EB786A" w:rsidP="00BC0BBE">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Theme="majorHAnsi" w:hAnsiTheme="majorHAnsi"/>
          <w:sz w:val="20"/>
          <w:szCs w:val="20"/>
          <w:lang w:val="es-ES"/>
        </w:rPr>
      </w:pPr>
      <w:r w:rsidRPr="00DF6A93">
        <w:rPr>
          <w:rFonts w:asciiTheme="majorHAnsi" w:hAnsiTheme="majorHAnsi"/>
          <w:b/>
          <w:bCs/>
          <w:sz w:val="20"/>
          <w:szCs w:val="20"/>
          <w:lang w:val="es-ES"/>
        </w:rPr>
        <w:t xml:space="preserve">V. </w:t>
      </w:r>
      <w:r w:rsidRPr="00DF6A93">
        <w:rPr>
          <w:rFonts w:asciiTheme="majorHAnsi" w:hAnsiTheme="majorHAnsi"/>
          <w:b/>
          <w:bCs/>
          <w:sz w:val="20"/>
          <w:szCs w:val="20"/>
          <w:lang w:val="es-ES"/>
        </w:rPr>
        <w:tab/>
        <w:t>CONCLUSIONES</w:t>
      </w:r>
    </w:p>
    <w:p w:rsidR="00EB786A" w:rsidRPr="00DF6A93" w:rsidRDefault="00EB786A" w:rsidP="00BC0BBE">
      <w:pPr>
        <w:pStyle w:val="ListParagraph"/>
        <w:ind w:left="0" w:firstLine="720"/>
        <w:jc w:val="both"/>
        <w:rPr>
          <w:rFonts w:asciiTheme="majorHAnsi" w:eastAsia="MS Mincho" w:hAnsiTheme="majorHAnsi"/>
          <w:sz w:val="20"/>
          <w:szCs w:val="20"/>
          <w:lang w:val="es-ES"/>
        </w:rPr>
      </w:pPr>
    </w:p>
    <w:p w:rsidR="00EB786A" w:rsidRPr="00DF6A93" w:rsidRDefault="00EB786A" w:rsidP="00BC0BBE">
      <w:pPr>
        <w:numPr>
          <w:ilvl w:val="0"/>
          <w:numId w:val="10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Theme="majorHAnsi" w:hAnsiTheme="majorHAnsi"/>
          <w:sz w:val="20"/>
          <w:szCs w:val="20"/>
          <w:lang w:val="es-ES"/>
        </w:rPr>
      </w:pPr>
      <w:r w:rsidRPr="00DF6A93">
        <w:rPr>
          <w:rFonts w:ascii="Cambria" w:eastAsia="MS Mincho" w:hAnsi="Cambria"/>
          <w:sz w:val="20"/>
          <w:szCs w:val="20"/>
          <w:lang w:val="es-ES"/>
        </w:rPr>
        <w:t>La Comisión Interamericana concluye que es competente para tomar conocimiento del presente caso y que la petición es admisible de conformidad con los artículos 31 a 34 de su Reglamento. Con base en los argumentos de hecho y de derecho establecidos anteriormente y sin prejuzgar sobre el fondo del caso</w:t>
      </w:r>
      <w:r w:rsidRPr="00DF6A93">
        <w:rPr>
          <w:rFonts w:asciiTheme="majorHAnsi" w:eastAsia="MS Mincho" w:hAnsiTheme="majorHAnsi"/>
          <w:sz w:val="20"/>
          <w:szCs w:val="20"/>
          <w:lang w:val="es-ES"/>
        </w:rPr>
        <w:t xml:space="preserve">, </w:t>
      </w:r>
    </w:p>
    <w:p w:rsidR="00EB786A" w:rsidRPr="00DF6A93" w:rsidRDefault="00EB786A" w:rsidP="00EB786A">
      <w:pPr>
        <w:ind w:firstLine="720"/>
        <w:jc w:val="both"/>
        <w:rPr>
          <w:rFonts w:asciiTheme="majorHAnsi" w:eastAsia="MS Mincho" w:hAnsiTheme="majorHAnsi"/>
          <w:sz w:val="20"/>
          <w:szCs w:val="20"/>
          <w:lang w:val="es-ES"/>
        </w:rPr>
      </w:pPr>
    </w:p>
    <w:p w:rsidR="00EB786A" w:rsidRPr="00DF6A93" w:rsidRDefault="00EB786A" w:rsidP="00EB786A">
      <w:pPr>
        <w:jc w:val="center"/>
        <w:rPr>
          <w:rFonts w:asciiTheme="majorHAnsi" w:hAnsiTheme="majorHAnsi"/>
          <w:b/>
          <w:bCs/>
          <w:sz w:val="20"/>
          <w:szCs w:val="20"/>
          <w:lang w:val="es-ES"/>
        </w:rPr>
      </w:pPr>
      <w:r w:rsidRPr="00DF6A93">
        <w:rPr>
          <w:rFonts w:asciiTheme="majorHAnsi" w:hAnsiTheme="majorHAnsi"/>
          <w:b/>
          <w:bCs/>
          <w:sz w:val="20"/>
          <w:szCs w:val="20"/>
          <w:lang w:val="es-ES"/>
        </w:rPr>
        <w:t xml:space="preserve">LA COMISIÓN INTERAMERICANA DE DERECHOS HUMANOS </w:t>
      </w:r>
    </w:p>
    <w:p w:rsidR="00EB786A" w:rsidRPr="00DF6A93" w:rsidRDefault="00EB786A" w:rsidP="00EB786A">
      <w:pPr>
        <w:jc w:val="both"/>
        <w:rPr>
          <w:rFonts w:asciiTheme="majorHAnsi" w:hAnsiTheme="majorHAnsi"/>
          <w:b/>
          <w:bCs/>
          <w:sz w:val="20"/>
          <w:szCs w:val="20"/>
          <w:lang w:val="es-ES"/>
        </w:rPr>
      </w:pPr>
      <w:r w:rsidRPr="00DF6A93">
        <w:rPr>
          <w:rFonts w:asciiTheme="majorHAnsi" w:hAnsiTheme="majorHAnsi"/>
          <w:b/>
          <w:bCs/>
          <w:sz w:val="20"/>
          <w:szCs w:val="20"/>
          <w:lang w:val="es-ES"/>
        </w:rPr>
        <w:t>DECIDE:</w:t>
      </w:r>
    </w:p>
    <w:p w:rsidR="00EB786A" w:rsidRPr="00DF6A93" w:rsidRDefault="00EB786A" w:rsidP="00BC0BBE">
      <w:pPr>
        <w:ind w:firstLine="720"/>
        <w:jc w:val="both"/>
        <w:rPr>
          <w:rFonts w:asciiTheme="majorHAnsi" w:hAnsiTheme="majorHAnsi"/>
          <w:sz w:val="20"/>
          <w:szCs w:val="20"/>
          <w:lang w:val="es-ES"/>
        </w:rPr>
      </w:pPr>
    </w:p>
    <w:p w:rsidR="00EB786A" w:rsidRPr="00DF6A93" w:rsidRDefault="00EB786A" w:rsidP="00BC0BBE">
      <w:pPr>
        <w:ind w:firstLine="720"/>
        <w:jc w:val="both"/>
        <w:rPr>
          <w:rFonts w:asciiTheme="majorHAnsi" w:hAnsiTheme="majorHAnsi"/>
          <w:sz w:val="20"/>
          <w:szCs w:val="20"/>
          <w:lang w:val="es-ES"/>
        </w:rPr>
      </w:pPr>
      <w:r w:rsidRPr="00DF6A93">
        <w:rPr>
          <w:rFonts w:asciiTheme="majorHAnsi" w:hAnsiTheme="majorHAnsi"/>
          <w:sz w:val="20"/>
          <w:szCs w:val="20"/>
          <w:lang w:val="es-ES"/>
        </w:rPr>
        <w:t>1.</w:t>
      </w:r>
      <w:r w:rsidRPr="00DF6A93">
        <w:rPr>
          <w:rFonts w:asciiTheme="majorHAnsi" w:hAnsiTheme="majorHAnsi"/>
          <w:sz w:val="20"/>
          <w:szCs w:val="20"/>
          <w:lang w:val="es-ES"/>
        </w:rPr>
        <w:tab/>
      </w:r>
      <w:r w:rsidRPr="00DF6A93">
        <w:rPr>
          <w:rFonts w:ascii="Cambria" w:hAnsi="Cambria"/>
          <w:sz w:val="20"/>
          <w:szCs w:val="20"/>
          <w:lang w:val="es-ES"/>
        </w:rPr>
        <w:t>Declarar admisible la presente petición con respecto a los artículos</w:t>
      </w:r>
      <w:r w:rsidRPr="00DF6A93">
        <w:rPr>
          <w:rFonts w:asciiTheme="majorHAnsi" w:hAnsiTheme="majorHAnsi"/>
          <w:sz w:val="20"/>
          <w:szCs w:val="20"/>
          <w:lang w:val="es-ES"/>
        </w:rPr>
        <w:t xml:space="preserve"> I, VII, XVIII y XXVI </w:t>
      </w:r>
      <w:r w:rsidRPr="00DF6A93">
        <w:rPr>
          <w:rFonts w:ascii="Cambria" w:hAnsi="Cambria"/>
          <w:sz w:val="20"/>
          <w:szCs w:val="20"/>
          <w:lang w:val="es-ES"/>
        </w:rPr>
        <w:t>de la Declaración Americana</w:t>
      </w:r>
      <w:r w:rsidRPr="00DF6A93">
        <w:rPr>
          <w:rFonts w:asciiTheme="majorHAnsi" w:hAnsiTheme="majorHAnsi"/>
          <w:sz w:val="20"/>
          <w:szCs w:val="20"/>
          <w:lang w:val="es-ES"/>
        </w:rPr>
        <w:t>;</w:t>
      </w:r>
    </w:p>
    <w:p w:rsidR="00EB786A" w:rsidRPr="00DF6A93" w:rsidRDefault="00EB786A" w:rsidP="00BC0BBE">
      <w:pPr>
        <w:ind w:firstLine="720"/>
        <w:jc w:val="both"/>
        <w:rPr>
          <w:rFonts w:asciiTheme="majorHAnsi" w:hAnsiTheme="majorHAnsi"/>
          <w:sz w:val="20"/>
          <w:szCs w:val="20"/>
          <w:lang w:val="es-ES"/>
        </w:rPr>
      </w:pPr>
    </w:p>
    <w:p w:rsidR="00EB786A" w:rsidRPr="00DF6A93" w:rsidRDefault="00EB786A" w:rsidP="00BC0BBE">
      <w:pPr>
        <w:ind w:firstLine="720"/>
        <w:jc w:val="both"/>
        <w:rPr>
          <w:rFonts w:ascii="Cambria" w:eastAsia="SimSun" w:hAnsi="Cambria"/>
          <w:sz w:val="20"/>
          <w:szCs w:val="20"/>
          <w:bdr w:val="none" w:sz="0" w:space="0" w:color="auto"/>
          <w:lang w:val="es-ES"/>
        </w:rPr>
      </w:pPr>
      <w:r w:rsidRPr="00DF6A93">
        <w:rPr>
          <w:rFonts w:asciiTheme="majorHAnsi" w:hAnsiTheme="majorHAnsi"/>
          <w:sz w:val="20"/>
          <w:szCs w:val="20"/>
          <w:lang w:val="es-ES"/>
        </w:rPr>
        <w:t>2.</w:t>
      </w:r>
      <w:r w:rsidRPr="00DF6A93">
        <w:rPr>
          <w:rFonts w:asciiTheme="majorHAnsi" w:hAnsiTheme="majorHAnsi"/>
          <w:sz w:val="20"/>
          <w:szCs w:val="20"/>
          <w:lang w:val="es-ES"/>
        </w:rPr>
        <w:tab/>
      </w:r>
      <w:r w:rsidRPr="00DF6A93">
        <w:rPr>
          <w:rFonts w:ascii="Cambria" w:eastAsia="SimSun" w:hAnsi="Cambria"/>
          <w:sz w:val="20"/>
          <w:szCs w:val="20"/>
          <w:bdr w:val="none" w:sz="0" w:space="0" w:color="auto"/>
          <w:lang w:val="es-ES"/>
        </w:rPr>
        <w:t>Notificar a las partes de la presente petición;</w:t>
      </w:r>
    </w:p>
    <w:p w:rsidR="00EB786A" w:rsidRPr="00DF6A93" w:rsidRDefault="00EB786A" w:rsidP="00BC0BBE">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eastAsia="SimSun" w:hAnsi="Cambria"/>
          <w:sz w:val="20"/>
          <w:szCs w:val="20"/>
          <w:bdr w:val="none" w:sz="0" w:space="0" w:color="auto"/>
          <w:lang w:val="es-ES"/>
        </w:rPr>
      </w:pPr>
    </w:p>
    <w:p w:rsidR="00EB786A" w:rsidRPr="00DF6A93" w:rsidRDefault="00EB786A" w:rsidP="00BC0BBE">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eastAsia="SimSun" w:hAnsi="Cambria"/>
          <w:sz w:val="20"/>
          <w:szCs w:val="20"/>
          <w:bdr w:val="none" w:sz="0" w:space="0" w:color="auto"/>
          <w:lang w:val="es-ES"/>
        </w:rPr>
      </w:pPr>
      <w:r w:rsidRPr="00DF6A93">
        <w:rPr>
          <w:rFonts w:ascii="Cambria" w:eastAsia="SimSun" w:hAnsi="Cambria"/>
          <w:sz w:val="20"/>
          <w:szCs w:val="20"/>
          <w:bdr w:val="none" w:sz="0" w:space="0" w:color="auto"/>
          <w:lang w:val="es-ES"/>
        </w:rPr>
        <w:t>3.</w:t>
      </w:r>
      <w:r w:rsidRPr="00DF6A93">
        <w:rPr>
          <w:rFonts w:ascii="Cambria" w:eastAsia="SimSun" w:hAnsi="Cambria"/>
          <w:sz w:val="20"/>
          <w:szCs w:val="20"/>
          <w:bdr w:val="none" w:sz="0" w:space="0" w:color="auto"/>
          <w:lang w:val="es-ES"/>
        </w:rPr>
        <w:tab/>
        <w:t>Proceder con el análisis del fondo del caso; y</w:t>
      </w:r>
    </w:p>
    <w:p w:rsidR="00EB786A" w:rsidRPr="00DF6A93" w:rsidRDefault="00EB786A" w:rsidP="00BC0BBE">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eastAsia="SimSun" w:hAnsi="Cambria"/>
          <w:sz w:val="20"/>
          <w:szCs w:val="20"/>
          <w:bdr w:val="none" w:sz="0" w:space="0" w:color="auto"/>
          <w:lang w:val="es-ES"/>
        </w:rPr>
      </w:pPr>
    </w:p>
    <w:p w:rsidR="00EB786A" w:rsidRDefault="00EB786A" w:rsidP="00BC0BBE">
      <w:pPr>
        <w:ind w:firstLine="720"/>
        <w:jc w:val="both"/>
        <w:rPr>
          <w:rFonts w:asciiTheme="majorHAnsi" w:hAnsiTheme="majorHAnsi"/>
          <w:sz w:val="20"/>
          <w:szCs w:val="20"/>
          <w:lang w:val="es-ES"/>
        </w:rPr>
      </w:pPr>
      <w:r w:rsidRPr="00DF6A93">
        <w:rPr>
          <w:rFonts w:ascii="Cambria" w:eastAsia="SimSun" w:hAnsi="Cambria"/>
          <w:sz w:val="20"/>
          <w:szCs w:val="20"/>
          <w:bdr w:val="none" w:sz="0" w:space="0" w:color="auto"/>
          <w:lang w:val="es-ES"/>
        </w:rPr>
        <w:t>4.</w:t>
      </w:r>
      <w:r w:rsidRPr="00DF6A93">
        <w:rPr>
          <w:rFonts w:ascii="Cambria" w:eastAsia="SimSun" w:hAnsi="Cambria"/>
          <w:sz w:val="20"/>
          <w:szCs w:val="20"/>
          <w:bdr w:val="none" w:sz="0" w:space="0" w:color="auto"/>
          <w:lang w:val="es-ES"/>
        </w:rPr>
        <w:tab/>
        <w:t>Publicar esta decisión e incluirla en su Informe Anual a la Asamblea General de la Organización de los Estados Americanos</w:t>
      </w:r>
      <w:r w:rsidRPr="00DF6A93">
        <w:rPr>
          <w:rFonts w:asciiTheme="majorHAnsi" w:hAnsiTheme="majorHAnsi"/>
          <w:sz w:val="20"/>
          <w:szCs w:val="20"/>
          <w:lang w:val="es-ES"/>
        </w:rPr>
        <w:t>.</w:t>
      </w:r>
    </w:p>
    <w:p w:rsidR="00426B36" w:rsidRDefault="00426B36" w:rsidP="00BC0BBE">
      <w:pPr>
        <w:ind w:firstLine="720"/>
        <w:jc w:val="both"/>
        <w:rPr>
          <w:rFonts w:asciiTheme="majorHAnsi" w:hAnsiTheme="majorHAnsi"/>
          <w:sz w:val="20"/>
          <w:szCs w:val="20"/>
          <w:lang w:val="es-ES"/>
        </w:rPr>
      </w:pPr>
    </w:p>
    <w:p w:rsidR="00196962" w:rsidRPr="00804A84" w:rsidRDefault="00C01BB1" w:rsidP="00196962">
      <w:pPr>
        <w:ind w:firstLine="720"/>
        <w:jc w:val="both"/>
        <w:rPr>
          <w:rFonts w:ascii="Cambria" w:hAnsi="Cambria" w:cs="Arial"/>
          <w:noProof/>
          <w:spacing w:val="-2"/>
          <w:sz w:val="20"/>
          <w:szCs w:val="20"/>
          <w:lang w:val="es-CL"/>
        </w:rPr>
      </w:pPr>
      <w:r>
        <w:rPr>
          <w:rFonts w:ascii="Cambria" w:hAnsi="Cambria" w:cs="Arial"/>
          <w:noProof/>
          <w:spacing w:val="-2"/>
          <w:sz w:val="20"/>
          <w:szCs w:val="20"/>
          <w:lang w:val="es-CL"/>
        </w:rPr>
        <w:t>Aprobado por la Comisión Interamericana de Derechos Humanos</w:t>
      </w:r>
      <w:r w:rsidR="00196962" w:rsidRPr="00804A84">
        <w:rPr>
          <w:rFonts w:ascii="Cambria" w:hAnsi="Cambria" w:cs="Arial"/>
          <w:noProof/>
          <w:spacing w:val="-2"/>
          <w:sz w:val="20"/>
          <w:szCs w:val="20"/>
          <w:lang w:val="es-CL"/>
        </w:rPr>
        <w:t xml:space="preserve"> a los </w:t>
      </w:r>
      <w:r w:rsidR="00196962">
        <w:rPr>
          <w:rFonts w:ascii="Cambria" w:hAnsi="Cambria" w:cs="Arial"/>
          <w:noProof/>
          <w:spacing w:val="-2"/>
          <w:sz w:val="20"/>
          <w:szCs w:val="20"/>
          <w:lang w:val="es-CL"/>
        </w:rPr>
        <w:t>24</w:t>
      </w:r>
      <w:r w:rsidR="00196962" w:rsidRPr="00804A84">
        <w:rPr>
          <w:rFonts w:ascii="Cambria" w:hAnsi="Cambria" w:cs="Arial"/>
          <w:noProof/>
          <w:spacing w:val="-2"/>
          <w:sz w:val="20"/>
          <w:szCs w:val="20"/>
          <w:lang w:val="es-CL"/>
        </w:rPr>
        <w:t xml:space="preserve"> días del mes de </w:t>
      </w:r>
      <w:r w:rsidR="00196962">
        <w:rPr>
          <w:rFonts w:ascii="Cambria" w:hAnsi="Cambria" w:cs="Arial"/>
          <w:noProof/>
          <w:spacing w:val="-2"/>
          <w:sz w:val="20"/>
          <w:szCs w:val="20"/>
          <w:lang w:val="es-CL"/>
        </w:rPr>
        <w:t>junio</w:t>
      </w:r>
      <w:r w:rsidR="00196962" w:rsidRPr="00804A84">
        <w:rPr>
          <w:rFonts w:ascii="Cambria" w:hAnsi="Cambria" w:cs="Arial"/>
          <w:noProof/>
          <w:spacing w:val="-2"/>
          <w:sz w:val="20"/>
          <w:szCs w:val="20"/>
          <w:lang w:val="es-CL"/>
        </w:rPr>
        <w:t xml:space="preserve"> de 201</w:t>
      </w:r>
      <w:r w:rsidR="00196962">
        <w:rPr>
          <w:rFonts w:ascii="Cambria" w:hAnsi="Cambria" w:cs="Arial"/>
          <w:noProof/>
          <w:spacing w:val="-2"/>
          <w:sz w:val="20"/>
          <w:szCs w:val="20"/>
          <w:lang w:val="es-CL"/>
        </w:rPr>
        <w:t>5</w:t>
      </w:r>
      <w:r w:rsidR="00196962" w:rsidRPr="00804A84">
        <w:rPr>
          <w:rFonts w:ascii="Cambria" w:hAnsi="Cambria" w:cs="Arial"/>
          <w:noProof/>
          <w:spacing w:val="-2"/>
          <w:sz w:val="20"/>
          <w:szCs w:val="20"/>
          <w:lang w:val="es-CL"/>
        </w:rPr>
        <w:t xml:space="preserve">. (Firmado): </w:t>
      </w:r>
      <w:r w:rsidR="00196962">
        <w:rPr>
          <w:rFonts w:ascii="Cambria" w:hAnsi="Cambria" w:cs="Arial"/>
          <w:noProof/>
          <w:spacing w:val="-2"/>
          <w:sz w:val="20"/>
          <w:szCs w:val="20"/>
          <w:lang w:val="es-CL"/>
        </w:rPr>
        <w:t>Rose-Marie Belle Antoine</w:t>
      </w:r>
      <w:r w:rsidR="00196962" w:rsidRPr="00804A84">
        <w:rPr>
          <w:rFonts w:ascii="Cambria" w:hAnsi="Cambria" w:cs="Arial"/>
          <w:noProof/>
          <w:spacing w:val="-2"/>
          <w:sz w:val="20"/>
          <w:szCs w:val="20"/>
          <w:lang w:val="es-CL"/>
        </w:rPr>
        <w:t>, Presidenta;</w:t>
      </w:r>
      <w:r w:rsidR="00196962">
        <w:rPr>
          <w:rFonts w:ascii="Cambria" w:hAnsi="Cambria" w:cs="Arial"/>
          <w:noProof/>
          <w:spacing w:val="-2"/>
          <w:sz w:val="20"/>
          <w:szCs w:val="20"/>
          <w:lang w:val="es-CL"/>
        </w:rPr>
        <w:t xml:space="preserve"> José de Jesús Orozco Henríquez, </w:t>
      </w:r>
      <w:r w:rsidR="00196962" w:rsidRPr="00804A84">
        <w:rPr>
          <w:rFonts w:ascii="Cambria" w:hAnsi="Cambria" w:cs="Arial"/>
          <w:noProof/>
          <w:spacing w:val="-2"/>
          <w:sz w:val="20"/>
          <w:szCs w:val="20"/>
          <w:lang w:val="es-CL"/>
        </w:rPr>
        <w:t xml:space="preserve">Segundo Vicepresidente; </w:t>
      </w:r>
      <w:r w:rsidR="00196962">
        <w:rPr>
          <w:rFonts w:ascii="Cambria" w:hAnsi="Cambria" w:cs="Arial"/>
          <w:noProof/>
          <w:spacing w:val="-2"/>
          <w:sz w:val="20"/>
          <w:szCs w:val="20"/>
          <w:lang w:val="es-CL"/>
        </w:rPr>
        <w:t>Felipe González</w:t>
      </w:r>
      <w:r w:rsidR="00196962" w:rsidRPr="00804A84">
        <w:rPr>
          <w:rFonts w:ascii="Cambria" w:hAnsi="Cambria" w:cs="Arial"/>
          <w:noProof/>
          <w:spacing w:val="-2"/>
          <w:sz w:val="20"/>
          <w:szCs w:val="20"/>
          <w:lang w:val="es-CL"/>
        </w:rPr>
        <w:t xml:space="preserve">, Rosa María Ortiz, </w:t>
      </w:r>
      <w:r w:rsidR="00196962">
        <w:rPr>
          <w:rFonts w:ascii="Cambria" w:hAnsi="Cambria" w:cs="Arial"/>
          <w:noProof/>
          <w:spacing w:val="-2"/>
          <w:sz w:val="20"/>
          <w:szCs w:val="20"/>
          <w:lang w:val="es-CL"/>
        </w:rPr>
        <w:t xml:space="preserve">Tracy Robinson y </w:t>
      </w:r>
      <w:r w:rsidR="00196962" w:rsidRPr="00804A84">
        <w:rPr>
          <w:rFonts w:ascii="Cambria" w:hAnsi="Cambria" w:cs="Arial"/>
          <w:noProof/>
          <w:spacing w:val="-2"/>
          <w:sz w:val="20"/>
          <w:szCs w:val="20"/>
          <w:lang w:val="es-CL"/>
        </w:rPr>
        <w:t>Paulo Vannuchi</w:t>
      </w:r>
      <w:r w:rsidR="00196962">
        <w:rPr>
          <w:rFonts w:ascii="Cambria" w:hAnsi="Cambria" w:cs="Arial"/>
          <w:noProof/>
          <w:spacing w:val="-2"/>
          <w:sz w:val="20"/>
          <w:szCs w:val="20"/>
          <w:lang w:val="es-CL"/>
        </w:rPr>
        <w:t xml:space="preserve">, </w:t>
      </w:r>
      <w:r w:rsidR="00196962" w:rsidRPr="00804A84">
        <w:rPr>
          <w:rFonts w:ascii="Cambria" w:hAnsi="Cambria" w:cs="Arial"/>
          <w:noProof/>
          <w:spacing w:val="-2"/>
          <w:sz w:val="20"/>
          <w:szCs w:val="20"/>
          <w:lang w:val="es-CL"/>
        </w:rPr>
        <w:t>Miembros de la Comisión.</w:t>
      </w:r>
    </w:p>
    <w:p w:rsidR="00426B36" w:rsidRPr="00196962" w:rsidRDefault="00426B36" w:rsidP="00BC0BBE">
      <w:pPr>
        <w:ind w:firstLine="720"/>
        <w:jc w:val="both"/>
        <w:rPr>
          <w:rFonts w:asciiTheme="majorHAnsi" w:hAnsiTheme="majorHAnsi"/>
          <w:sz w:val="20"/>
          <w:szCs w:val="20"/>
          <w:lang w:val="es-CL"/>
        </w:rPr>
      </w:pPr>
    </w:p>
    <w:sectPr w:rsidR="00426B36" w:rsidRPr="00196962"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28A7" w:rsidRDefault="007428A7">
      <w:r>
        <w:separator/>
      </w:r>
    </w:p>
  </w:endnote>
  <w:endnote w:type="continuationSeparator" w:id="0">
    <w:p w:rsidR="007428A7" w:rsidRDefault="007428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4A56" w:rsidRDefault="00024A5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5294112"/>
      <w:docPartObj>
        <w:docPartGallery w:val="Page Numbers (Bottom of Page)"/>
        <w:docPartUnique/>
      </w:docPartObj>
    </w:sdtPr>
    <w:sdtEndPr>
      <w:rPr>
        <w:noProof/>
        <w:sz w:val="16"/>
        <w:szCs w:val="22"/>
      </w:rPr>
    </w:sdtEndPr>
    <w:sdtContent>
      <w:p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024A56">
          <w:rPr>
            <w:noProof/>
            <w:sz w:val="16"/>
            <w:szCs w:val="22"/>
          </w:rPr>
          <w:t>1</w:t>
        </w:r>
        <w:r w:rsidRPr="00934A2C">
          <w:rPr>
            <w:noProof/>
            <w:sz w:val="16"/>
            <w:szCs w:val="22"/>
          </w:rPr>
          <w:fldChar w:fldCharType="end"/>
        </w:r>
      </w:p>
    </w:sdtContent>
  </w:sdt>
  <w:p w:rsidR="0070697F" w:rsidRDefault="0070697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697F" w:rsidRPr="00934A2C" w:rsidRDefault="0070697F">
    <w:pPr>
      <w:pStyle w:val="Footer"/>
      <w:jc w:val="center"/>
      <w:rPr>
        <w:sz w:val="16"/>
        <w:szCs w:val="22"/>
      </w:rPr>
    </w:pPr>
  </w:p>
  <w:p w:rsidR="0070697F" w:rsidRDefault="007069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28A7" w:rsidRPr="000F35ED" w:rsidRDefault="007428A7">
      <w:pPr>
        <w:rPr>
          <w:rFonts w:asciiTheme="majorHAnsi" w:hAnsiTheme="majorHAnsi"/>
          <w:sz w:val="16"/>
          <w:szCs w:val="16"/>
        </w:rPr>
      </w:pPr>
      <w:r w:rsidRPr="000F35ED">
        <w:rPr>
          <w:rFonts w:asciiTheme="majorHAnsi" w:hAnsiTheme="majorHAnsi"/>
          <w:sz w:val="16"/>
          <w:szCs w:val="16"/>
        </w:rPr>
        <w:separator/>
      </w:r>
    </w:p>
  </w:footnote>
  <w:footnote w:type="continuationSeparator" w:id="0">
    <w:p w:rsidR="007428A7" w:rsidRPr="000F35ED" w:rsidRDefault="007428A7" w:rsidP="000F35ED">
      <w:pPr>
        <w:rPr>
          <w:rFonts w:asciiTheme="majorHAnsi" w:hAnsiTheme="majorHAnsi"/>
          <w:sz w:val="16"/>
          <w:szCs w:val="16"/>
        </w:rPr>
      </w:pPr>
      <w:r w:rsidRPr="000F35ED">
        <w:rPr>
          <w:rFonts w:asciiTheme="majorHAnsi" w:hAnsiTheme="majorHAnsi"/>
          <w:sz w:val="16"/>
          <w:szCs w:val="16"/>
        </w:rPr>
        <w:separator/>
      </w:r>
    </w:p>
    <w:p w:rsidR="007428A7" w:rsidRPr="000F35ED" w:rsidRDefault="007428A7" w:rsidP="000F35ED">
      <w:pPr>
        <w:pStyle w:val="Footer"/>
        <w:rPr>
          <w:rFonts w:asciiTheme="majorHAnsi" w:hAnsiTheme="majorHAnsi"/>
          <w:sz w:val="16"/>
          <w:szCs w:val="16"/>
        </w:rPr>
      </w:pPr>
      <w:r>
        <w:rPr>
          <w:rFonts w:asciiTheme="majorHAnsi" w:hAnsiTheme="majorHAnsi"/>
          <w:sz w:val="16"/>
          <w:szCs w:val="16"/>
        </w:rPr>
        <w:t xml:space="preserve">[… </w:t>
      </w:r>
      <w:proofErr w:type="spellStart"/>
      <w:proofErr w:type="gramStart"/>
      <w:r>
        <w:rPr>
          <w:rFonts w:asciiTheme="majorHAnsi" w:hAnsiTheme="majorHAnsi"/>
          <w:sz w:val="16"/>
          <w:szCs w:val="16"/>
        </w:rPr>
        <w:t>c</w:t>
      </w:r>
      <w:r w:rsidRPr="000F35ED">
        <w:rPr>
          <w:rFonts w:asciiTheme="majorHAnsi" w:hAnsiTheme="majorHAnsi"/>
          <w:sz w:val="16"/>
          <w:szCs w:val="16"/>
        </w:rPr>
        <w:t>ontinuación</w:t>
      </w:r>
      <w:proofErr w:type="spellEnd"/>
      <w:proofErr w:type="gramEnd"/>
      <w:r>
        <w:rPr>
          <w:rFonts w:asciiTheme="majorHAnsi" w:hAnsiTheme="majorHAnsi"/>
          <w:sz w:val="16"/>
          <w:szCs w:val="16"/>
        </w:rPr>
        <w:t>]</w:t>
      </w:r>
    </w:p>
  </w:footnote>
  <w:footnote w:type="continuationNotice" w:id="1">
    <w:p w:rsidR="007428A7" w:rsidRPr="000F35ED" w:rsidRDefault="007428A7" w:rsidP="000F35ED">
      <w:pPr>
        <w:jc w:val="right"/>
        <w:rPr>
          <w:rFonts w:asciiTheme="majorHAnsi" w:hAnsiTheme="majorHAnsi"/>
          <w:sz w:val="16"/>
          <w:szCs w:val="16"/>
          <w:lang w:val="es-ES"/>
        </w:rPr>
      </w:pPr>
      <w:r>
        <w:rPr>
          <w:rFonts w:asciiTheme="majorHAnsi" w:hAnsiTheme="majorHAnsi"/>
          <w:sz w:val="16"/>
          <w:szCs w:val="16"/>
          <w:lang w:val="es-ES"/>
        </w:rPr>
        <w:t>[</w:t>
      </w:r>
      <w:proofErr w:type="gramStart"/>
      <w:r>
        <w:rPr>
          <w:rFonts w:asciiTheme="majorHAnsi" w:hAnsiTheme="majorHAnsi"/>
          <w:sz w:val="16"/>
          <w:szCs w:val="16"/>
          <w:lang w:val="es-ES"/>
        </w:rPr>
        <w:t>c</w:t>
      </w:r>
      <w:r w:rsidRPr="000F35ED">
        <w:rPr>
          <w:rFonts w:asciiTheme="majorHAnsi" w:hAnsiTheme="majorHAnsi"/>
          <w:sz w:val="16"/>
          <w:szCs w:val="16"/>
          <w:lang w:val="es-ES"/>
        </w:rPr>
        <w:t>ontinúa</w:t>
      </w:r>
      <w:proofErr w:type="gramEnd"/>
      <w:r w:rsidRPr="000F35ED">
        <w:rPr>
          <w:rFonts w:asciiTheme="majorHAnsi" w:hAnsiTheme="majorHAnsi"/>
          <w:sz w:val="16"/>
          <w:szCs w:val="16"/>
          <w:lang w:val="es-ES"/>
        </w:rPr>
        <w:t>…</w:t>
      </w:r>
      <w:r>
        <w:rPr>
          <w:rFonts w:asciiTheme="majorHAnsi" w:hAnsiTheme="majorHAnsi"/>
          <w:sz w:val="16"/>
          <w:szCs w:val="16"/>
          <w:lang w:val="es-ES"/>
        </w:rPr>
        <w:t>]</w:t>
      </w:r>
    </w:p>
  </w:footnote>
  <w:footnote w:id="2">
    <w:p w:rsidR="00365FA3" w:rsidRPr="00365FA3" w:rsidRDefault="00365FA3" w:rsidP="00365FA3">
      <w:pPr>
        <w:pStyle w:val="FootnoteText"/>
        <w:spacing w:before="120"/>
        <w:ind w:firstLine="720"/>
        <w:jc w:val="both"/>
        <w:rPr>
          <w:rFonts w:asciiTheme="majorHAnsi" w:hAnsiTheme="majorHAnsi"/>
          <w:sz w:val="16"/>
          <w:szCs w:val="16"/>
          <w:lang w:val="es-ES"/>
        </w:rPr>
      </w:pPr>
      <w:r w:rsidRPr="00365FA3">
        <w:rPr>
          <w:rStyle w:val="FootnoteReference"/>
          <w:rFonts w:asciiTheme="majorHAnsi" w:hAnsiTheme="majorHAnsi"/>
          <w:sz w:val="16"/>
          <w:szCs w:val="16"/>
        </w:rPr>
        <w:footnoteRef/>
      </w:r>
      <w:r w:rsidRPr="00365FA3">
        <w:rPr>
          <w:rFonts w:asciiTheme="majorHAnsi" w:hAnsiTheme="majorHAnsi"/>
          <w:sz w:val="16"/>
          <w:szCs w:val="16"/>
          <w:lang w:val="es-ES"/>
        </w:rPr>
        <w:t xml:space="preserve"> El Comisionado James </w:t>
      </w:r>
      <w:r w:rsidR="00C01BB1">
        <w:rPr>
          <w:rFonts w:asciiTheme="majorHAnsi" w:hAnsiTheme="majorHAnsi"/>
          <w:sz w:val="16"/>
          <w:szCs w:val="16"/>
          <w:lang w:val="es-ES"/>
        </w:rPr>
        <w:t xml:space="preserve">L. </w:t>
      </w:r>
      <w:proofErr w:type="spellStart"/>
      <w:r w:rsidRPr="00365FA3">
        <w:rPr>
          <w:rFonts w:asciiTheme="majorHAnsi" w:hAnsiTheme="majorHAnsi"/>
          <w:sz w:val="16"/>
          <w:szCs w:val="16"/>
          <w:lang w:val="es-ES"/>
        </w:rPr>
        <w:t>Cavallaro</w:t>
      </w:r>
      <w:proofErr w:type="spellEnd"/>
      <w:r w:rsidRPr="00365FA3">
        <w:rPr>
          <w:rFonts w:asciiTheme="majorHAnsi" w:hAnsiTheme="majorHAnsi"/>
          <w:sz w:val="16"/>
          <w:szCs w:val="16"/>
          <w:lang w:val="es-ES"/>
        </w:rPr>
        <w:t>, de nacionalidad estadounidense, no participó en las deliberaciones ni en la decisión del presente caso, de conformidad con los dispuesto en el artículo 17(2</w:t>
      </w:r>
      <w:proofErr w:type="gramStart"/>
      <w:r w:rsidRPr="00365FA3">
        <w:rPr>
          <w:rFonts w:asciiTheme="majorHAnsi" w:hAnsiTheme="majorHAnsi"/>
          <w:sz w:val="16"/>
          <w:szCs w:val="16"/>
          <w:lang w:val="es-ES"/>
        </w:rPr>
        <w:t>)(</w:t>
      </w:r>
      <w:proofErr w:type="gramEnd"/>
      <w:r w:rsidRPr="00365FA3">
        <w:rPr>
          <w:rFonts w:asciiTheme="majorHAnsi" w:hAnsiTheme="majorHAnsi"/>
          <w:sz w:val="16"/>
          <w:szCs w:val="16"/>
          <w:lang w:val="es-ES"/>
        </w:rPr>
        <w:t>a) del Reglamento de la Comisión.</w:t>
      </w:r>
    </w:p>
  </w:footnote>
  <w:footnote w:id="3">
    <w:p w:rsidR="00EB786A" w:rsidRPr="00430B87" w:rsidRDefault="00EB786A" w:rsidP="00EB786A">
      <w:pPr>
        <w:pStyle w:val="FootnoteText"/>
        <w:spacing w:before="120"/>
        <w:ind w:firstLine="720"/>
        <w:jc w:val="both"/>
        <w:rPr>
          <w:rFonts w:asciiTheme="majorHAnsi" w:hAnsiTheme="majorHAnsi"/>
          <w:sz w:val="16"/>
          <w:szCs w:val="16"/>
          <w:lang w:val="es-ES"/>
        </w:rPr>
      </w:pPr>
      <w:r w:rsidRPr="00430B87">
        <w:rPr>
          <w:rStyle w:val="FootnoteReference"/>
          <w:rFonts w:asciiTheme="majorHAnsi" w:hAnsiTheme="majorHAnsi"/>
          <w:sz w:val="16"/>
          <w:szCs w:val="16"/>
          <w:lang w:val="es-ES"/>
        </w:rPr>
        <w:footnoteRef/>
      </w:r>
      <w:r w:rsidRPr="00365FA3">
        <w:rPr>
          <w:rFonts w:asciiTheme="majorHAnsi" w:hAnsiTheme="majorHAnsi"/>
          <w:sz w:val="16"/>
          <w:szCs w:val="16"/>
          <w:lang w:val="es-ES"/>
        </w:rPr>
        <w:t xml:space="preserve"> Solicitud de emisión de certificado de </w:t>
      </w:r>
      <w:proofErr w:type="spellStart"/>
      <w:r w:rsidRPr="00365FA3">
        <w:rPr>
          <w:rFonts w:asciiTheme="majorHAnsi" w:hAnsiTheme="majorHAnsi"/>
          <w:sz w:val="16"/>
          <w:szCs w:val="16"/>
          <w:lang w:val="es-ES"/>
        </w:rPr>
        <w:t>apelabilidad</w:t>
      </w:r>
      <w:proofErr w:type="spellEnd"/>
      <w:r w:rsidRPr="00365FA3">
        <w:rPr>
          <w:rFonts w:asciiTheme="majorHAnsi" w:hAnsiTheme="majorHAnsi"/>
          <w:sz w:val="16"/>
          <w:szCs w:val="16"/>
          <w:lang w:val="es-ES"/>
        </w:rPr>
        <w:t xml:space="preserve"> y escrito justificativo, Tribunal de Apelaciones de Estados Unidos para el Quinto Circuito, Caso 13-70010, Documento 00512253902, presentado el 28 de mayo de 2013. </w:t>
      </w:r>
      <w:r w:rsidRPr="00430B87">
        <w:rPr>
          <w:rFonts w:asciiTheme="majorHAnsi" w:hAnsiTheme="majorHAnsi"/>
          <w:sz w:val="16"/>
          <w:szCs w:val="16"/>
          <w:lang w:val="es-ES"/>
        </w:rPr>
        <w:t>Com</w:t>
      </w:r>
      <w:r>
        <w:rPr>
          <w:rFonts w:asciiTheme="majorHAnsi" w:hAnsiTheme="majorHAnsi"/>
          <w:sz w:val="16"/>
          <w:szCs w:val="16"/>
          <w:lang w:val="es-ES"/>
        </w:rPr>
        <w:t xml:space="preserve">unicación del peticionario recibida el </w:t>
      </w:r>
      <w:r w:rsidRPr="00430B87">
        <w:rPr>
          <w:rFonts w:asciiTheme="majorHAnsi" w:hAnsiTheme="majorHAnsi"/>
          <w:sz w:val="16"/>
          <w:szCs w:val="16"/>
          <w:lang w:val="es-ES"/>
        </w:rPr>
        <w:t>29</w:t>
      </w:r>
      <w:r>
        <w:rPr>
          <w:rFonts w:asciiTheme="majorHAnsi" w:hAnsiTheme="majorHAnsi"/>
          <w:sz w:val="16"/>
          <w:szCs w:val="16"/>
          <w:lang w:val="es-ES"/>
        </w:rPr>
        <w:t xml:space="preserve"> de mayo de</w:t>
      </w:r>
      <w:r w:rsidRPr="00430B87">
        <w:rPr>
          <w:rFonts w:asciiTheme="majorHAnsi" w:hAnsiTheme="majorHAnsi"/>
          <w:sz w:val="16"/>
          <w:szCs w:val="16"/>
          <w:lang w:val="es-ES"/>
        </w:rPr>
        <w:t xml:space="preserve"> 2013. </w:t>
      </w:r>
    </w:p>
  </w:footnote>
  <w:footnote w:id="4">
    <w:p w:rsidR="00EB786A" w:rsidRPr="00430B87" w:rsidRDefault="00EB786A" w:rsidP="00EB786A">
      <w:pPr>
        <w:pStyle w:val="FootnoteText"/>
        <w:spacing w:before="120"/>
        <w:ind w:firstLine="720"/>
        <w:jc w:val="both"/>
        <w:rPr>
          <w:rFonts w:asciiTheme="majorHAnsi" w:hAnsiTheme="majorHAnsi"/>
          <w:sz w:val="16"/>
          <w:szCs w:val="16"/>
          <w:lang w:val="es-ES"/>
        </w:rPr>
      </w:pPr>
      <w:r w:rsidRPr="00430B87">
        <w:rPr>
          <w:rStyle w:val="FootnoteReference"/>
          <w:rFonts w:asciiTheme="majorHAnsi" w:hAnsiTheme="majorHAnsi"/>
          <w:sz w:val="16"/>
          <w:szCs w:val="16"/>
          <w:lang w:val="es-ES"/>
        </w:rPr>
        <w:footnoteRef/>
      </w:r>
      <w:r w:rsidRPr="00430B87">
        <w:rPr>
          <w:rStyle w:val="FootnoteReference"/>
          <w:rFonts w:asciiTheme="majorHAnsi" w:hAnsiTheme="majorHAnsi"/>
          <w:sz w:val="16"/>
          <w:szCs w:val="16"/>
          <w:lang w:val="es-ES"/>
        </w:rPr>
        <w:t xml:space="preserve"> </w:t>
      </w:r>
      <w:r>
        <w:rPr>
          <w:rFonts w:asciiTheme="majorHAnsi" w:hAnsiTheme="majorHAnsi"/>
          <w:sz w:val="16"/>
          <w:szCs w:val="16"/>
          <w:lang w:val="es-ES"/>
        </w:rPr>
        <w:t xml:space="preserve">Véase también Corte Interamericana de Derechos Humanos, </w:t>
      </w:r>
      <w:r w:rsidRPr="00430B87">
        <w:rPr>
          <w:rFonts w:asciiTheme="majorHAnsi" w:hAnsiTheme="majorHAnsi"/>
          <w:sz w:val="16"/>
          <w:szCs w:val="16"/>
          <w:lang w:val="es-ES"/>
        </w:rPr>
        <w:t>Interpreta</w:t>
      </w:r>
      <w:r>
        <w:rPr>
          <w:rFonts w:asciiTheme="majorHAnsi" w:hAnsiTheme="majorHAnsi"/>
          <w:sz w:val="16"/>
          <w:szCs w:val="16"/>
          <w:lang w:val="es-ES"/>
        </w:rPr>
        <w:t xml:space="preserve">ción de la Declaración Americana de los Derechos y Deberes del Hombre en el marco del artículo </w:t>
      </w:r>
      <w:r w:rsidRPr="00430B87">
        <w:rPr>
          <w:rFonts w:asciiTheme="majorHAnsi" w:hAnsiTheme="majorHAnsi"/>
          <w:sz w:val="16"/>
          <w:szCs w:val="16"/>
          <w:lang w:val="es-ES"/>
        </w:rPr>
        <w:t xml:space="preserve">64 </w:t>
      </w:r>
      <w:r>
        <w:rPr>
          <w:rFonts w:asciiTheme="majorHAnsi" w:hAnsiTheme="majorHAnsi"/>
          <w:sz w:val="16"/>
          <w:szCs w:val="16"/>
          <w:lang w:val="es-ES"/>
        </w:rPr>
        <w:t>de la Convención Americana sobre Derechos Humanos</w:t>
      </w:r>
      <w:r w:rsidRPr="00430B87">
        <w:rPr>
          <w:rFonts w:asciiTheme="majorHAnsi" w:hAnsiTheme="majorHAnsi"/>
          <w:sz w:val="16"/>
          <w:szCs w:val="16"/>
          <w:lang w:val="es-ES"/>
        </w:rPr>
        <w:t>, OC-10.89, p</w:t>
      </w:r>
      <w:r>
        <w:rPr>
          <w:rFonts w:asciiTheme="majorHAnsi" w:hAnsiTheme="majorHAnsi"/>
          <w:sz w:val="16"/>
          <w:szCs w:val="16"/>
          <w:lang w:val="es-ES"/>
        </w:rPr>
        <w:t>árr</w:t>
      </w:r>
      <w:r w:rsidRPr="00430B87">
        <w:rPr>
          <w:rFonts w:asciiTheme="majorHAnsi" w:hAnsiTheme="majorHAnsi"/>
          <w:sz w:val="16"/>
          <w:szCs w:val="16"/>
          <w:lang w:val="es-ES"/>
        </w:rPr>
        <w:t>. 45 (14</w:t>
      </w:r>
      <w:r>
        <w:rPr>
          <w:rFonts w:asciiTheme="majorHAnsi" w:hAnsiTheme="majorHAnsi"/>
          <w:sz w:val="16"/>
          <w:szCs w:val="16"/>
          <w:lang w:val="es-ES"/>
        </w:rPr>
        <w:t xml:space="preserve"> de julio de</w:t>
      </w:r>
      <w:r w:rsidRPr="00430B87">
        <w:rPr>
          <w:rFonts w:asciiTheme="majorHAnsi" w:hAnsiTheme="majorHAnsi"/>
          <w:sz w:val="16"/>
          <w:szCs w:val="16"/>
          <w:lang w:val="es-ES"/>
        </w:rPr>
        <w:t xml:space="preserve"> 1989). </w:t>
      </w:r>
    </w:p>
  </w:footnote>
  <w:footnote w:id="5">
    <w:p w:rsidR="00EB786A" w:rsidRPr="00430B87" w:rsidRDefault="00EB786A" w:rsidP="00EB786A">
      <w:pPr>
        <w:pStyle w:val="FootnoteText"/>
        <w:spacing w:before="120"/>
        <w:ind w:firstLine="720"/>
        <w:jc w:val="both"/>
        <w:rPr>
          <w:rFonts w:asciiTheme="majorHAnsi" w:hAnsiTheme="majorHAnsi"/>
          <w:sz w:val="16"/>
          <w:szCs w:val="16"/>
          <w:lang w:val="es-ES"/>
        </w:rPr>
      </w:pPr>
      <w:r w:rsidRPr="00430B87">
        <w:rPr>
          <w:rStyle w:val="FootnoteReference"/>
          <w:rFonts w:asciiTheme="majorHAnsi" w:hAnsiTheme="majorHAnsi"/>
          <w:sz w:val="16"/>
          <w:szCs w:val="16"/>
          <w:lang w:val="es-ES"/>
        </w:rPr>
        <w:footnoteRef/>
      </w:r>
      <w:r w:rsidRPr="00430B87">
        <w:rPr>
          <w:rFonts w:asciiTheme="majorHAnsi" w:hAnsiTheme="majorHAnsi"/>
          <w:sz w:val="16"/>
          <w:szCs w:val="16"/>
          <w:lang w:val="es-ES"/>
        </w:rPr>
        <w:t xml:space="preserve">  </w:t>
      </w:r>
      <w:r>
        <w:rPr>
          <w:rFonts w:asciiTheme="majorHAnsi" w:hAnsiTheme="majorHAnsi"/>
          <w:sz w:val="16"/>
          <w:szCs w:val="16"/>
          <w:lang w:val="es-ES"/>
        </w:rPr>
        <w:t>De acuerdo con su jurisprudencia</w:t>
      </w:r>
      <w:r w:rsidRPr="00430B87">
        <w:rPr>
          <w:rFonts w:asciiTheme="majorHAnsi" w:hAnsiTheme="majorHAnsi"/>
          <w:sz w:val="16"/>
          <w:szCs w:val="16"/>
          <w:lang w:val="es-ES"/>
        </w:rPr>
        <w:t xml:space="preserve">, </w:t>
      </w:r>
      <w:r>
        <w:rPr>
          <w:rFonts w:asciiTheme="majorHAnsi" w:hAnsiTheme="majorHAnsi"/>
          <w:sz w:val="16"/>
          <w:szCs w:val="16"/>
          <w:lang w:val="es-ES"/>
        </w:rPr>
        <w:t xml:space="preserve">la CIDH aplica un escrutinio más estricto en el examen y la decisión de casos de pena </w:t>
      </w:r>
      <w:r w:rsidRPr="00430B87">
        <w:rPr>
          <w:rFonts w:asciiTheme="majorHAnsi" w:hAnsiTheme="majorHAnsi"/>
          <w:sz w:val="16"/>
          <w:szCs w:val="16"/>
          <w:lang w:val="es-ES"/>
        </w:rPr>
        <w:t>capital</w:t>
      </w:r>
      <w:r>
        <w:rPr>
          <w:rFonts w:asciiTheme="majorHAnsi" w:hAnsiTheme="majorHAnsi"/>
          <w:sz w:val="16"/>
          <w:szCs w:val="16"/>
          <w:lang w:val="es-ES"/>
        </w:rPr>
        <w:t>, a fin de garantizar que toda privación de la vida</w:t>
      </w:r>
      <w:r w:rsidRPr="00430B87">
        <w:rPr>
          <w:rFonts w:asciiTheme="majorHAnsi" w:hAnsiTheme="majorHAnsi"/>
          <w:sz w:val="16"/>
          <w:szCs w:val="16"/>
          <w:lang w:val="es-ES"/>
        </w:rPr>
        <w:t xml:space="preserve"> </w:t>
      </w:r>
      <w:r>
        <w:rPr>
          <w:rFonts w:asciiTheme="majorHAnsi" w:hAnsiTheme="majorHAnsi"/>
          <w:sz w:val="16"/>
          <w:szCs w:val="16"/>
          <w:lang w:val="es-ES"/>
        </w:rPr>
        <w:t xml:space="preserve">que un Estado Miembro de la OEA proponga efectuar mediante la aplicación de la pena de muerte se realice en cumplimiento estricto de los requisitos establecidos en los instrumentos interamericanos de derechos humanos aplicables. Véase CIDH, Informe </w:t>
      </w:r>
      <w:proofErr w:type="spellStart"/>
      <w:r w:rsidRPr="00430B87">
        <w:rPr>
          <w:rFonts w:asciiTheme="majorHAnsi" w:hAnsiTheme="majorHAnsi"/>
          <w:sz w:val="16"/>
          <w:szCs w:val="16"/>
          <w:lang w:val="es-ES"/>
        </w:rPr>
        <w:t>N</w:t>
      </w:r>
      <w:r>
        <w:rPr>
          <w:rFonts w:asciiTheme="majorHAnsi" w:hAnsiTheme="majorHAnsi"/>
          <w:sz w:val="16"/>
          <w:szCs w:val="16"/>
          <w:lang w:val="es-ES"/>
        </w:rPr>
        <w:t>.</w:t>
      </w:r>
      <w:r w:rsidRPr="002213C2">
        <w:rPr>
          <w:rFonts w:asciiTheme="majorHAnsi" w:hAnsiTheme="majorHAnsi"/>
          <w:sz w:val="16"/>
          <w:szCs w:val="16"/>
          <w:vertAlign w:val="superscript"/>
          <w:lang w:val="es-ES"/>
        </w:rPr>
        <w:t>o</w:t>
      </w:r>
      <w:proofErr w:type="spellEnd"/>
      <w:r w:rsidRPr="00430B87">
        <w:rPr>
          <w:rFonts w:asciiTheme="majorHAnsi" w:hAnsiTheme="majorHAnsi"/>
          <w:sz w:val="16"/>
          <w:szCs w:val="16"/>
          <w:lang w:val="es-ES"/>
        </w:rPr>
        <w:t xml:space="preserve"> 54/14, Peti</w:t>
      </w:r>
      <w:r>
        <w:rPr>
          <w:rFonts w:asciiTheme="majorHAnsi" w:hAnsiTheme="majorHAnsi"/>
          <w:sz w:val="16"/>
          <w:szCs w:val="16"/>
          <w:lang w:val="es-ES"/>
        </w:rPr>
        <w:t>ción</w:t>
      </w:r>
      <w:r w:rsidRPr="00430B87">
        <w:rPr>
          <w:rFonts w:asciiTheme="majorHAnsi" w:hAnsiTheme="majorHAnsi"/>
          <w:sz w:val="16"/>
          <w:szCs w:val="16"/>
          <w:lang w:val="es-ES"/>
        </w:rPr>
        <w:t xml:space="preserve"> 684-14, Admisibili</w:t>
      </w:r>
      <w:r>
        <w:rPr>
          <w:rFonts w:asciiTheme="majorHAnsi" w:hAnsiTheme="majorHAnsi"/>
          <w:sz w:val="16"/>
          <w:szCs w:val="16"/>
          <w:lang w:val="es-ES"/>
        </w:rPr>
        <w:t>dad</w:t>
      </w:r>
      <w:r w:rsidRPr="00430B87">
        <w:rPr>
          <w:rFonts w:asciiTheme="majorHAnsi" w:hAnsiTheme="majorHAnsi"/>
          <w:sz w:val="16"/>
          <w:szCs w:val="16"/>
          <w:lang w:val="es-ES"/>
        </w:rPr>
        <w:t xml:space="preserve">, Russell </w:t>
      </w:r>
      <w:proofErr w:type="spellStart"/>
      <w:r w:rsidRPr="00430B87">
        <w:rPr>
          <w:rFonts w:asciiTheme="majorHAnsi" w:hAnsiTheme="majorHAnsi"/>
          <w:sz w:val="16"/>
          <w:szCs w:val="16"/>
          <w:lang w:val="es-ES"/>
        </w:rPr>
        <w:t>Bucklew</w:t>
      </w:r>
      <w:proofErr w:type="spellEnd"/>
      <w:r w:rsidRPr="00430B87">
        <w:rPr>
          <w:rFonts w:asciiTheme="majorHAnsi" w:hAnsiTheme="majorHAnsi"/>
          <w:sz w:val="16"/>
          <w:szCs w:val="16"/>
          <w:lang w:val="es-ES"/>
        </w:rPr>
        <w:t xml:space="preserve"> </w:t>
      </w:r>
      <w:r>
        <w:rPr>
          <w:rFonts w:asciiTheme="majorHAnsi" w:hAnsiTheme="majorHAnsi"/>
          <w:sz w:val="16"/>
          <w:szCs w:val="16"/>
          <w:lang w:val="es-ES"/>
        </w:rPr>
        <w:t>y</w:t>
      </w:r>
      <w:r w:rsidRPr="00430B87">
        <w:rPr>
          <w:rFonts w:asciiTheme="majorHAnsi" w:hAnsiTheme="majorHAnsi"/>
          <w:sz w:val="16"/>
          <w:szCs w:val="16"/>
          <w:lang w:val="es-ES"/>
        </w:rPr>
        <w:t xml:space="preserve"> Charles Warner, </w:t>
      </w:r>
      <w:r>
        <w:rPr>
          <w:rFonts w:asciiTheme="majorHAnsi" w:hAnsiTheme="majorHAnsi"/>
          <w:sz w:val="16"/>
          <w:szCs w:val="16"/>
          <w:lang w:val="es-ES"/>
        </w:rPr>
        <w:t xml:space="preserve">Estados Unidos, </w:t>
      </w:r>
      <w:r w:rsidRPr="00430B87">
        <w:rPr>
          <w:rFonts w:asciiTheme="majorHAnsi" w:hAnsiTheme="majorHAnsi"/>
          <w:sz w:val="16"/>
          <w:szCs w:val="16"/>
          <w:lang w:val="es-ES"/>
        </w:rPr>
        <w:t>21</w:t>
      </w:r>
      <w:r>
        <w:rPr>
          <w:rFonts w:asciiTheme="majorHAnsi" w:hAnsiTheme="majorHAnsi"/>
          <w:sz w:val="16"/>
          <w:szCs w:val="16"/>
          <w:lang w:val="es-ES"/>
        </w:rPr>
        <w:t xml:space="preserve"> de julio de</w:t>
      </w:r>
      <w:r w:rsidRPr="00430B87">
        <w:rPr>
          <w:rFonts w:asciiTheme="majorHAnsi" w:hAnsiTheme="majorHAnsi"/>
          <w:sz w:val="16"/>
          <w:szCs w:val="16"/>
          <w:lang w:val="es-ES"/>
        </w:rPr>
        <w:t xml:space="preserve"> 2014, p</w:t>
      </w:r>
      <w:r>
        <w:rPr>
          <w:rFonts w:asciiTheme="majorHAnsi" w:hAnsiTheme="majorHAnsi"/>
          <w:sz w:val="16"/>
          <w:szCs w:val="16"/>
          <w:lang w:val="es-ES"/>
        </w:rPr>
        <w:t>árr</w:t>
      </w:r>
      <w:r w:rsidRPr="00430B87">
        <w:rPr>
          <w:rFonts w:asciiTheme="majorHAnsi" w:hAnsiTheme="majorHAnsi"/>
          <w:sz w:val="16"/>
          <w:szCs w:val="16"/>
          <w:lang w:val="es-ES"/>
        </w:rPr>
        <w:t>. 3</w:t>
      </w:r>
      <w:r>
        <w:rPr>
          <w:rFonts w:asciiTheme="majorHAnsi" w:hAnsiTheme="majorHAnsi"/>
          <w:sz w:val="16"/>
          <w:szCs w:val="16"/>
          <w:lang w:val="es-ES"/>
        </w:rPr>
        <w:t>9</w:t>
      </w:r>
      <w:r w:rsidRPr="00430B87">
        <w:rPr>
          <w:rFonts w:asciiTheme="majorHAnsi" w:hAnsiTheme="majorHAnsi"/>
          <w:sz w:val="16"/>
          <w:szCs w:val="16"/>
          <w:lang w:val="es-ES"/>
        </w:rPr>
        <w:t xml:space="preserve">. </w:t>
      </w:r>
    </w:p>
  </w:footnote>
  <w:footnote w:id="6">
    <w:p w:rsidR="00EB786A" w:rsidRPr="00430B87" w:rsidRDefault="00EB786A" w:rsidP="00EB786A">
      <w:pPr>
        <w:pStyle w:val="FootnoteText"/>
        <w:spacing w:before="120"/>
        <w:ind w:firstLine="720"/>
        <w:jc w:val="both"/>
        <w:rPr>
          <w:rFonts w:asciiTheme="majorHAnsi" w:hAnsiTheme="majorHAnsi"/>
          <w:sz w:val="16"/>
          <w:szCs w:val="16"/>
          <w:lang w:val="es-ES"/>
        </w:rPr>
      </w:pPr>
      <w:r w:rsidRPr="00430B87">
        <w:rPr>
          <w:rStyle w:val="FootnoteReference"/>
          <w:rFonts w:asciiTheme="majorHAnsi" w:hAnsiTheme="majorHAnsi"/>
          <w:sz w:val="16"/>
          <w:szCs w:val="16"/>
          <w:lang w:val="es-ES"/>
        </w:rPr>
        <w:footnoteRef/>
      </w:r>
      <w:r w:rsidRPr="00430B87">
        <w:rPr>
          <w:rFonts w:asciiTheme="majorHAnsi" w:hAnsiTheme="majorHAnsi"/>
          <w:sz w:val="16"/>
          <w:szCs w:val="16"/>
          <w:lang w:val="es-ES"/>
        </w:rPr>
        <w:t xml:space="preserve"> CIDH, Informe </w:t>
      </w:r>
      <w:proofErr w:type="spellStart"/>
      <w:r w:rsidRPr="00430B87">
        <w:rPr>
          <w:rFonts w:asciiTheme="majorHAnsi" w:hAnsiTheme="majorHAnsi"/>
          <w:sz w:val="16"/>
          <w:szCs w:val="16"/>
          <w:lang w:val="es-ES"/>
        </w:rPr>
        <w:t>N.</w:t>
      </w:r>
      <w:r w:rsidRPr="00430B87">
        <w:rPr>
          <w:rFonts w:asciiTheme="majorHAnsi" w:hAnsiTheme="majorHAnsi"/>
          <w:sz w:val="16"/>
          <w:szCs w:val="16"/>
          <w:vertAlign w:val="superscript"/>
          <w:lang w:val="es-ES"/>
        </w:rPr>
        <w:t>o</w:t>
      </w:r>
      <w:proofErr w:type="spellEnd"/>
      <w:r w:rsidRPr="00430B87">
        <w:rPr>
          <w:rFonts w:asciiTheme="majorHAnsi" w:hAnsiTheme="majorHAnsi"/>
          <w:sz w:val="16"/>
          <w:szCs w:val="16"/>
          <w:lang w:val="es-ES"/>
        </w:rPr>
        <w:t xml:space="preserve"> 11/15, Caso 12,833, Fondo, Félix Rocha Díaz, Estados Unidos, 23 de marzo de 2015, párr. 53.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603B506E" wp14:editId="5E897EAD">
          <wp:extent cx="1972237" cy="104775"/>
          <wp:effectExtent l="0" t="0" r="9525" b="0"/>
          <wp:docPr id="3" name="Picture 3"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rsidR="00040C3A" w:rsidRPr="00EC7D62" w:rsidRDefault="007428A7" w:rsidP="00A50FCF">
    <w:pPr>
      <w:pStyle w:val="Header"/>
      <w:tabs>
        <w:tab w:val="clear" w:pos="4320"/>
        <w:tab w:val="clear" w:pos="8640"/>
      </w:tabs>
      <w:jc w:val="center"/>
      <w:rPr>
        <w:sz w:val="22"/>
        <w:szCs w:val="22"/>
      </w:rPr>
    </w:pPr>
    <w:r>
      <w:rPr>
        <w:sz w:val="22"/>
        <w:szCs w:val="22"/>
      </w:rPr>
      <w:pict>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4A56" w:rsidRDefault="00024A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nsid w:val="0CE97965"/>
    <w:multiLevelType w:val="hybridMultilevel"/>
    <w:tmpl w:val="D270B59A"/>
    <w:lvl w:ilvl="0" w:tplc="C7B2990C">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nsid w:val="0E1D2261"/>
    <w:multiLevelType w:val="hybridMultilevel"/>
    <w:tmpl w:val="65E22192"/>
    <w:lvl w:ilvl="0" w:tplc="382C605A">
      <w:start w:val="4"/>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nsid w:val="199651F8"/>
    <w:multiLevelType w:val="hybridMultilevel"/>
    <w:tmpl w:val="377277E2"/>
    <w:lvl w:ilvl="0" w:tplc="64F68E36">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1">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nsid w:val="1F9B2B89"/>
    <w:multiLevelType w:val="hybridMultilevel"/>
    <w:tmpl w:val="B906B1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6">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8">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5">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1">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2">
    <w:nsid w:val="3C432398"/>
    <w:multiLevelType w:val="hybridMultilevel"/>
    <w:tmpl w:val="D710180A"/>
    <w:lvl w:ilvl="0" w:tplc="6F2A060E">
      <w:start w:val="2"/>
      <w:numFmt w:val="none"/>
      <w:lvlText w:val="B."/>
      <w:lvlJc w:val="left"/>
      <w:pPr>
        <w:tabs>
          <w:tab w:val="num" w:pos="1440"/>
        </w:tabs>
        <w:ind w:left="1440" w:hanging="720"/>
      </w:pPr>
      <w:rPr>
        <w:rFonts w:hint="default"/>
      </w:rPr>
    </w:lvl>
    <w:lvl w:ilvl="1" w:tplc="83BC664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2">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3">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5">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8">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2">
    <w:nsid w:val="67B02660"/>
    <w:multiLevelType w:val="hybridMultilevel"/>
    <w:tmpl w:val="A76413CA"/>
    <w:lvl w:ilvl="0" w:tplc="D1D2FA0E">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4">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5">
    <w:nsid w:val="6BF15681"/>
    <w:multiLevelType w:val="hybridMultilevel"/>
    <w:tmpl w:val="3438A16C"/>
    <w:lvl w:ilvl="0" w:tplc="4D787168">
      <w:start w:val="1"/>
      <w:numFmt w:val="decimal"/>
      <w:lvlText w:val="%1."/>
      <w:lvlJc w:val="left"/>
      <w:pPr>
        <w:tabs>
          <w:tab w:val="num" w:pos="4320"/>
        </w:tabs>
        <w:ind w:left="4320" w:hanging="360"/>
      </w:pPr>
      <w:rPr>
        <w:rFonts w:hint="default"/>
        <w:b w:val="0"/>
        <w:color w:val="auto"/>
        <w:sz w:val="20"/>
        <w:szCs w:val="2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56">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73E3135D"/>
    <w:multiLevelType w:val="hybridMultilevel"/>
    <w:tmpl w:val="C50018E0"/>
    <w:lvl w:ilvl="0" w:tplc="C6BEDE10">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9">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3">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6">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7">
    <w:nsid w:val="7EB246CE"/>
    <w:multiLevelType w:val="hybridMultilevel"/>
    <w:tmpl w:val="1BFAA196"/>
    <w:lvl w:ilvl="0" w:tplc="820EDAD6">
      <w:start w:val="1"/>
      <w:numFmt w:val="decimal"/>
      <w:lvlText w:val="%1."/>
      <w:lvlJc w:val="left"/>
      <w:pPr>
        <w:tabs>
          <w:tab w:val="num" w:pos="1260"/>
        </w:tabs>
        <w:ind w:left="1260" w:hanging="720"/>
      </w:pPr>
      <w:rPr>
        <w:rFonts w:ascii="Cambria" w:hAnsi="Cambria" w:cs="Calibri" w:hint="default"/>
        <w:color w:val="auto"/>
        <w:sz w:val="20"/>
        <w:szCs w:val="20"/>
      </w:rPr>
    </w:lvl>
    <w:lvl w:ilvl="1" w:tplc="7A0A6BBA">
      <w:start w:val="1"/>
      <w:numFmt w:val="upperLetter"/>
      <w:lvlText w:val="%2."/>
      <w:lvlJc w:val="left"/>
      <w:pPr>
        <w:tabs>
          <w:tab w:val="num" w:pos="2160"/>
        </w:tabs>
        <w:ind w:left="2160" w:hanging="720"/>
      </w:pPr>
      <w:rPr>
        <w:rFonts w:ascii="Calibri" w:hAnsi="Calibri"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8">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1"/>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5"/>
  </w:num>
  <w:num w:numId="3">
    <w:abstractNumId w:val="45"/>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3"/>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7"/>
  </w:num>
  <w:num w:numId="6">
    <w:abstractNumId w:val="48"/>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62"/>
  </w:num>
  <w:num w:numId="8">
    <w:abstractNumId w:val="24"/>
  </w:num>
  <w:num w:numId="9">
    <w:abstractNumId w:val="51"/>
  </w:num>
  <w:num w:numId="10">
    <w:abstractNumId w:val="17"/>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30"/>
  </w:num>
  <w:num w:numId="12">
    <w:abstractNumId w:val="60"/>
  </w:num>
  <w:num w:numId="13">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1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10"/>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2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3"/>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6"/>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9"/>
  </w:num>
  <w:num w:numId="21">
    <w:abstractNumId w:val="39"/>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6"/>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2"/>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2"/>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41"/>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20"/>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9"/>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2"/>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9"/>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7"/>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8"/>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6"/>
  </w:num>
  <w:num w:numId="53">
    <w:abstractNumId w:val="0"/>
  </w:num>
  <w:num w:numId="54">
    <w:abstractNumId w:val="41"/>
  </w:num>
  <w:num w:numId="55">
    <w:abstractNumId w:val="42"/>
  </w:num>
  <w:num w:numId="56">
    <w:abstractNumId w:val="47"/>
  </w:num>
  <w:num w:numId="57">
    <w:abstractNumId w:val="1"/>
  </w:num>
  <w:num w:numId="58">
    <w:abstractNumId w:val="2"/>
  </w:num>
  <w:num w:numId="59">
    <w:abstractNumId w:val="10"/>
  </w:num>
  <w:num w:numId="60">
    <w:abstractNumId w:val="11"/>
  </w:num>
  <w:num w:numId="61">
    <w:abstractNumId w:val="12"/>
  </w:num>
  <w:num w:numId="62">
    <w:abstractNumId w:val="13"/>
  </w:num>
  <w:num w:numId="63">
    <w:abstractNumId w:val="14"/>
  </w:num>
  <w:num w:numId="64">
    <w:abstractNumId w:val="16"/>
  </w:num>
  <w:num w:numId="65">
    <w:abstractNumId w:val="17"/>
  </w:num>
  <w:num w:numId="66">
    <w:abstractNumId w:val="18"/>
  </w:num>
  <w:num w:numId="67">
    <w:abstractNumId w:val="19"/>
  </w:num>
  <w:num w:numId="68">
    <w:abstractNumId w:val="21"/>
  </w:num>
  <w:num w:numId="69">
    <w:abstractNumId w:val="22"/>
  </w:num>
  <w:num w:numId="70">
    <w:abstractNumId w:val="25"/>
  </w:num>
  <w:num w:numId="71">
    <w:abstractNumId w:val="26"/>
  </w:num>
  <w:num w:numId="72">
    <w:abstractNumId w:val="27"/>
  </w:num>
  <w:num w:numId="73">
    <w:abstractNumId w:val="29"/>
  </w:num>
  <w:num w:numId="74">
    <w:abstractNumId w:val="31"/>
  </w:num>
  <w:num w:numId="75">
    <w:abstractNumId w:val="33"/>
  </w:num>
  <w:num w:numId="76">
    <w:abstractNumId w:val="34"/>
  </w:num>
  <w:num w:numId="77">
    <w:abstractNumId w:val="35"/>
  </w:num>
  <w:num w:numId="78">
    <w:abstractNumId w:val="36"/>
  </w:num>
  <w:num w:numId="79">
    <w:abstractNumId w:val="37"/>
  </w:num>
  <w:num w:numId="80">
    <w:abstractNumId w:val="38"/>
  </w:num>
  <w:num w:numId="81">
    <w:abstractNumId w:val="39"/>
  </w:num>
  <w:num w:numId="82">
    <w:abstractNumId w:val="43"/>
  </w:num>
  <w:num w:numId="83">
    <w:abstractNumId w:val="44"/>
  </w:num>
  <w:num w:numId="84">
    <w:abstractNumId w:val="49"/>
  </w:num>
  <w:num w:numId="85">
    <w:abstractNumId w:val="53"/>
  </w:num>
  <w:num w:numId="86">
    <w:abstractNumId w:val="56"/>
  </w:num>
  <w:num w:numId="87">
    <w:abstractNumId w:val="59"/>
  </w:num>
  <w:num w:numId="88">
    <w:abstractNumId w:val="61"/>
  </w:num>
  <w:num w:numId="89">
    <w:abstractNumId w:val="63"/>
  </w:num>
  <w:num w:numId="90">
    <w:abstractNumId w:val="64"/>
  </w:num>
  <w:num w:numId="91">
    <w:abstractNumId w:val="65"/>
  </w:num>
  <w:num w:numId="92">
    <w:abstractNumId w:val="66"/>
  </w:num>
  <w:num w:numId="93">
    <w:abstractNumId w:val="68"/>
  </w:num>
  <w:num w:numId="94">
    <w:abstractNumId w:val="23"/>
  </w:num>
  <w:num w:numId="95">
    <w:abstractNumId w:val="45"/>
  </w:num>
  <w:num w:numId="96">
    <w:abstractNumId w:val="57"/>
  </w:num>
  <w:num w:numId="97">
    <w:abstractNumId w:val="54"/>
  </w:num>
  <w:num w:numId="98">
    <w:abstractNumId w:val="48"/>
  </w:num>
  <w:num w:numId="99">
    <w:abstractNumId w:val="40"/>
  </w:num>
  <w:num w:numId="100">
    <w:abstractNumId w:val="3"/>
  </w:num>
  <w:num w:numId="101">
    <w:abstractNumId w:val="28"/>
  </w:num>
  <w:num w:numId="102">
    <w:abstractNumId w:val="50"/>
  </w:num>
  <w:num w:numId="103">
    <w:abstractNumId w:val="6"/>
  </w:num>
  <w:num w:numId="104">
    <w:abstractNumId w:val="67"/>
  </w:num>
  <w:num w:numId="105">
    <w:abstractNumId w:val="55"/>
  </w:num>
  <w:num w:numId="106">
    <w:abstractNumId w:val="4"/>
  </w:num>
  <w:num w:numId="107">
    <w:abstractNumId w:val="32"/>
  </w:num>
  <w:num w:numId="108">
    <w:abstractNumId w:val="15"/>
  </w:num>
  <w:num w:numId="109">
    <w:abstractNumId w:val="58"/>
  </w:num>
  <w:num w:numId="110">
    <w:abstractNumId w:val="52"/>
  </w:num>
  <w:num w:numId="111">
    <w:abstractNumId w:val="8"/>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
  <w:rsids>
    <w:rsidRoot w:val="006B2D5C"/>
    <w:rsid w:val="0000036F"/>
    <w:rsid w:val="00000CDA"/>
    <w:rsid w:val="00006E1F"/>
    <w:rsid w:val="000070D7"/>
    <w:rsid w:val="0001788C"/>
    <w:rsid w:val="00024A56"/>
    <w:rsid w:val="00040C3A"/>
    <w:rsid w:val="000716C5"/>
    <w:rsid w:val="00075E23"/>
    <w:rsid w:val="0009344A"/>
    <w:rsid w:val="000A392E"/>
    <w:rsid w:val="000A575F"/>
    <w:rsid w:val="000D10DB"/>
    <w:rsid w:val="000E5EB5"/>
    <w:rsid w:val="000F35ED"/>
    <w:rsid w:val="00107131"/>
    <w:rsid w:val="0010736F"/>
    <w:rsid w:val="00113F73"/>
    <w:rsid w:val="00121CC2"/>
    <w:rsid w:val="00133EE5"/>
    <w:rsid w:val="00134774"/>
    <w:rsid w:val="00167A34"/>
    <w:rsid w:val="00196962"/>
    <w:rsid w:val="001A7870"/>
    <w:rsid w:val="001C1B41"/>
    <w:rsid w:val="001D65EF"/>
    <w:rsid w:val="002250A3"/>
    <w:rsid w:val="00235217"/>
    <w:rsid w:val="00246D1F"/>
    <w:rsid w:val="00247403"/>
    <w:rsid w:val="00247542"/>
    <w:rsid w:val="00266B61"/>
    <w:rsid w:val="0026712A"/>
    <w:rsid w:val="002704DB"/>
    <w:rsid w:val="002A0AAE"/>
    <w:rsid w:val="002A5820"/>
    <w:rsid w:val="002D2B26"/>
    <w:rsid w:val="002D7EA2"/>
    <w:rsid w:val="002E187C"/>
    <w:rsid w:val="00302733"/>
    <w:rsid w:val="00314078"/>
    <w:rsid w:val="0031535D"/>
    <w:rsid w:val="0033169F"/>
    <w:rsid w:val="00346C95"/>
    <w:rsid w:val="00356185"/>
    <w:rsid w:val="00360380"/>
    <w:rsid w:val="00365FA3"/>
    <w:rsid w:val="0037519E"/>
    <w:rsid w:val="00386CF0"/>
    <w:rsid w:val="003C676B"/>
    <w:rsid w:val="003D3BC2"/>
    <w:rsid w:val="003E6CA1"/>
    <w:rsid w:val="004165C2"/>
    <w:rsid w:val="00426B36"/>
    <w:rsid w:val="00441ECB"/>
    <w:rsid w:val="00467B7E"/>
    <w:rsid w:val="00477592"/>
    <w:rsid w:val="00486F1C"/>
    <w:rsid w:val="0049419D"/>
    <w:rsid w:val="004C20D2"/>
    <w:rsid w:val="004C4B62"/>
    <w:rsid w:val="004C54C9"/>
    <w:rsid w:val="004D6025"/>
    <w:rsid w:val="004E2649"/>
    <w:rsid w:val="00501399"/>
    <w:rsid w:val="0050633D"/>
    <w:rsid w:val="00507BC4"/>
    <w:rsid w:val="00510E8D"/>
    <w:rsid w:val="005128E4"/>
    <w:rsid w:val="005133DB"/>
    <w:rsid w:val="00525560"/>
    <w:rsid w:val="00544C49"/>
    <w:rsid w:val="005516A1"/>
    <w:rsid w:val="0057402A"/>
    <w:rsid w:val="005771D0"/>
    <w:rsid w:val="0059191A"/>
    <w:rsid w:val="005921FF"/>
    <w:rsid w:val="005A6D0E"/>
    <w:rsid w:val="005B52B0"/>
    <w:rsid w:val="005B6806"/>
    <w:rsid w:val="005C4225"/>
    <w:rsid w:val="005D0580"/>
    <w:rsid w:val="005F0DAD"/>
    <w:rsid w:val="005F0F33"/>
    <w:rsid w:val="00600DEB"/>
    <w:rsid w:val="00627C9F"/>
    <w:rsid w:val="006311E9"/>
    <w:rsid w:val="00632354"/>
    <w:rsid w:val="00642810"/>
    <w:rsid w:val="00652333"/>
    <w:rsid w:val="0068009E"/>
    <w:rsid w:val="00692219"/>
    <w:rsid w:val="006A17D2"/>
    <w:rsid w:val="006A73E6"/>
    <w:rsid w:val="006B2D5C"/>
    <w:rsid w:val="006C4EB1"/>
    <w:rsid w:val="006E0166"/>
    <w:rsid w:val="006E7B34"/>
    <w:rsid w:val="0070059A"/>
    <w:rsid w:val="0070697F"/>
    <w:rsid w:val="0072199C"/>
    <w:rsid w:val="00722C9F"/>
    <w:rsid w:val="007253B8"/>
    <w:rsid w:val="0073741F"/>
    <w:rsid w:val="007428A7"/>
    <w:rsid w:val="0076643F"/>
    <w:rsid w:val="00777F63"/>
    <w:rsid w:val="007A5817"/>
    <w:rsid w:val="007B60E9"/>
    <w:rsid w:val="007B6CC3"/>
    <w:rsid w:val="007C3334"/>
    <w:rsid w:val="007D2B98"/>
    <w:rsid w:val="007E21BC"/>
    <w:rsid w:val="00803F1C"/>
    <w:rsid w:val="0080600E"/>
    <w:rsid w:val="00817612"/>
    <w:rsid w:val="008338A4"/>
    <w:rsid w:val="00837C45"/>
    <w:rsid w:val="00844730"/>
    <w:rsid w:val="008457C2"/>
    <w:rsid w:val="00857A82"/>
    <w:rsid w:val="00873836"/>
    <w:rsid w:val="00885737"/>
    <w:rsid w:val="00890650"/>
    <w:rsid w:val="00897E12"/>
    <w:rsid w:val="008A7E0F"/>
    <w:rsid w:val="008B12F5"/>
    <w:rsid w:val="008D768D"/>
    <w:rsid w:val="008E3759"/>
    <w:rsid w:val="008F1912"/>
    <w:rsid w:val="0090270B"/>
    <w:rsid w:val="009041DC"/>
    <w:rsid w:val="00917B5A"/>
    <w:rsid w:val="00920A58"/>
    <w:rsid w:val="00920A8C"/>
    <w:rsid w:val="00934A2C"/>
    <w:rsid w:val="0096706E"/>
    <w:rsid w:val="00975C4E"/>
    <w:rsid w:val="00981FBA"/>
    <w:rsid w:val="00997BC5"/>
    <w:rsid w:val="009A4F41"/>
    <w:rsid w:val="009B381B"/>
    <w:rsid w:val="009D1753"/>
    <w:rsid w:val="009D7611"/>
    <w:rsid w:val="009E0B61"/>
    <w:rsid w:val="009E53DE"/>
    <w:rsid w:val="00A328B3"/>
    <w:rsid w:val="00A50FCF"/>
    <w:rsid w:val="00A528D1"/>
    <w:rsid w:val="00A610CD"/>
    <w:rsid w:val="00AA09A2"/>
    <w:rsid w:val="00AA7996"/>
    <w:rsid w:val="00AC19CB"/>
    <w:rsid w:val="00AC4FC6"/>
    <w:rsid w:val="00AE5488"/>
    <w:rsid w:val="00AE6F91"/>
    <w:rsid w:val="00AF5571"/>
    <w:rsid w:val="00B07341"/>
    <w:rsid w:val="00B30539"/>
    <w:rsid w:val="00B314DB"/>
    <w:rsid w:val="00B361F2"/>
    <w:rsid w:val="00B3718B"/>
    <w:rsid w:val="00B4632A"/>
    <w:rsid w:val="00B530F1"/>
    <w:rsid w:val="00BA276C"/>
    <w:rsid w:val="00BB306F"/>
    <w:rsid w:val="00BC0BBE"/>
    <w:rsid w:val="00BD4B89"/>
    <w:rsid w:val="00BF6FD8"/>
    <w:rsid w:val="00C01BB1"/>
    <w:rsid w:val="00C03680"/>
    <w:rsid w:val="00C054DF"/>
    <w:rsid w:val="00C21762"/>
    <w:rsid w:val="00C24543"/>
    <w:rsid w:val="00C256A2"/>
    <w:rsid w:val="00C51515"/>
    <w:rsid w:val="00C5660B"/>
    <w:rsid w:val="00C66B72"/>
    <w:rsid w:val="00C9567A"/>
    <w:rsid w:val="00C970FD"/>
    <w:rsid w:val="00CB212D"/>
    <w:rsid w:val="00CB2660"/>
    <w:rsid w:val="00CC5E90"/>
    <w:rsid w:val="00CD046C"/>
    <w:rsid w:val="00CE076C"/>
    <w:rsid w:val="00CE5199"/>
    <w:rsid w:val="00CE66D5"/>
    <w:rsid w:val="00CF637A"/>
    <w:rsid w:val="00D059DE"/>
    <w:rsid w:val="00D13FCE"/>
    <w:rsid w:val="00D25408"/>
    <w:rsid w:val="00D306D1"/>
    <w:rsid w:val="00D34786"/>
    <w:rsid w:val="00D34C2B"/>
    <w:rsid w:val="00D37BFC"/>
    <w:rsid w:val="00D47A8E"/>
    <w:rsid w:val="00D52D14"/>
    <w:rsid w:val="00D712D3"/>
    <w:rsid w:val="00D71422"/>
    <w:rsid w:val="00D72206"/>
    <w:rsid w:val="00D72DC6"/>
    <w:rsid w:val="00D7558D"/>
    <w:rsid w:val="00D81D92"/>
    <w:rsid w:val="00DA7B5F"/>
    <w:rsid w:val="00DC11E7"/>
    <w:rsid w:val="00DC7023"/>
    <w:rsid w:val="00DC769A"/>
    <w:rsid w:val="00DD3D86"/>
    <w:rsid w:val="00DF1EC4"/>
    <w:rsid w:val="00E0340B"/>
    <w:rsid w:val="00E04A90"/>
    <w:rsid w:val="00E219C7"/>
    <w:rsid w:val="00E43157"/>
    <w:rsid w:val="00E461CE"/>
    <w:rsid w:val="00E720CA"/>
    <w:rsid w:val="00E84EB5"/>
    <w:rsid w:val="00E85662"/>
    <w:rsid w:val="00E8789F"/>
    <w:rsid w:val="00E97B71"/>
    <w:rsid w:val="00EA3D34"/>
    <w:rsid w:val="00EB454D"/>
    <w:rsid w:val="00EB786A"/>
    <w:rsid w:val="00ED76BE"/>
    <w:rsid w:val="00EF619B"/>
    <w:rsid w:val="00F00B55"/>
    <w:rsid w:val="00F02AD1"/>
    <w:rsid w:val="00F253CC"/>
    <w:rsid w:val="00F37106"/>
    <w:rsid w:val="00F519CF"/>
    <w:rsid w:val="00F56BA5"/>
    <w:rsid w:val="00F60E22"/>
    <w:rsid w:val="00F81395"/>
    <w:rsid w:val="00F917D1"/>
    <w:rsid w:val="00F9653B"/>
    <w:rsid w:val="00FB62CF"/>
    <w:rsid w:val="00FD3C3B"/>
    <w:rsid w:val="00FE6B45"/>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0.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0.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EF08DC-9958-4BDD-8F09-A35E32852E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3133</Words>
  <Characters>17891</Characters>
  <Application>Microsoft Office Word</Application>
  <DocSecurity>0</DocSecurity>
  <Lines>425</Lines>
  <Paragraphs>131</Paragraphs>
  <ScaleCrop>false</ScaleCrop>
  <Company/>
  <LinksUpToDate>false</LinksUpToDate>
  <CharactersWithSpaces>20893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24/15</dc:title>
  <dc:creator/>
  <cp:lastModifiedBy/>
  <cp:revision>1</cp:revision>
  <dcterms:created xsi:type="dcterms:W3CDTF">2015-07-01T16:00:00Z</dcterms:created>
  <dcterms:modified xsi:type="dcterms:W3CDTF">2015-07-01T16:00:00Z</dcterms:modified>
</cp:coreProperties>
</file>