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D11BBF" w:rsidRDefault="009D65C5" w:rsidP="00627C9F">
      <w:pPr>
        <w:jc w:val="both"/>
        <w:rPr>
          <w:rFonts w:ascii="Cambria" w:hAnsi="Cambria" w:cs="Univers"/>
          <w:b/>
          <w:bCs/>
          <w:sz w:val="22"/>
          <w:szCs w:val="22"/>
          <w:lang w:val="es-ES_tradnl"/>
        </w:rPr>
      </w:pPr>
      <w:bookmarkStart w:id="0" w:name="_GoBack"/>
      <w:bookmarkEnd w:id="0"/>
      <w:r w:rsidRPr="00D11BBF">
        <w:rPr>
          <w:rFonts w:ascii="Cambria" w:hAnsi="Cambria"/>
          <w:noProof/>
        </w:rPr>
        <w:pict>
          <v:rect id="Rectangle 1" o:spid="_x0000_s1033" style="position:absolute;left:0;text-align:left;margin-left:-32.75pt;margin-top:-34.6pt;width:121.5pt;height:716.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" fillcolor="#4a7194" stroked="f" strokeweight="2pt"/>
        </w:pict>
      </w:r>
      <w:r w:rsidRPr="00D11BBF">
        <w:rPr>
          <w:rFonts w:ascii="Cambria" w:hAnsi="Cambria"/>
          <w:noProof/>
        </w:rPr>
        <w:pict>
          <v:shapetype id="_x0000_t202" coordsize="21600,21600" o:spt="202" path="m,l,21600r21600,l21600,xe">
            <v:stroke joinstyle="miter"/>
            <v:path gradientshapeok="t" o:connecttype="rect"/>
          </v:shapetype>
          <v:shape id="Text Box 11" o:spid="_x0000_s1032" type="#_x0000_t202" style="position:absolute;left:0;text-align:left;margin-left:100.95pt;margin-top:-33.4pt;width:413.25pt;height:71.0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" filled="f" stroked="f" strokeweight=".5pt">
            <v:textbox style="mso-next-textbox:#Text Box 11">
              <w:txbxContent>
                <w:p w:rsidR="00752F94" w:rsidRDefault="009D65C5" w:rsidP="00AE5488">
                  <w:r w:rsidRPr="009D65C5">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208.55pt;height:40.1pt;visibility:visible">
                        <v:imagedata r:id="rId8" o:title="cidh-es"/>
                      </v:shape>
                    </w:pict>
                  </w:r>
                  <w:r w:rsidR="00752F94">
                    <w:tab/>
                    <w:t xml:space="preserve">                              </w:t>
                  </w:r>
                </w:p>
              </w:txbxContent>
            </v:textbox>
          </v:shape>
        </w:pict>
      </w:r>
    </w:p>
    <w:p w:rsidR="00040C3A" w:rsidRPr="00D11BBF" w:rsidRDefault="00040C3A" w:rsidP="00040C3A">
      <w:pPr>
        <w:tabs>
          <w:tab w:val="center" w:pos="5400"/>
        </w:tabs>
        <w:suppressAutoHyphens/>
        <w:jc w:val="both"/>
        <w:rPr>
          <w:rFonts w:ascii="Cambria" w:hAnsi="Cambria"/>
          <w:sz w:val="22"/>
          <w:szCs w:val="22"/>
          <w:lang w:val="es-ES"/>
        </w:rPr>
      </w:pPr>
    </w:p>
    <w:p w:rsidR="00040C3A" w:rsidRPr="00D11BBF" w:rsidRDefault="00040C3A" w:rsidP="00040C3A">
      <w:pPr>
        <w:tabs>
          <w:tab w:val="center" w:pos="5400"/>
        </w:tabs>
        <w:suppressAutoHyphens/>
        <w:jc w:val="both"/>
        <w:rPr>
          <w:rFonts w:ascii="Cambria" w:hAnsi="Cambria"/>
          <w:sz w:val="22"/>
          <w:szCs w:val="22"/>
          <w:lang w:val="es-ES"/>
        </w:rPr>
      </w:pPr>
    </w:p>
    <w:p w:rsidR="005128E4" w:rsidRPr="00D11BBF" w:rsidRDefault="005128E4" w:rsidP="00040C3A">
      <w:pPr>
        <w:tabs>
          <w:tab w:val="center" w:pos="5400"/>
        </w:tabs>
        <w:suppressAutoHyphens/>
        <w:rPr>
          <w:rFonts w:ascii="Cambria" w:hAnsi="Cambria"/>
          <w:sz w:val="22"/>
          <w:szCs w:val="22"/>
          <w:lang w:val="es-ES_tradnl"/>
        </w:rPr>
      </w:pPr>
    </w:p>
    <w:p w:rsidR="005128E4" w:rsidRPr="00D11BBF" w:rsidRDefault="005128E4" w:rsidP="00040C3A">
      <w:pPr>
        <w:tabs>
          <w:tab w:val="center" w:pos="5400"/>
        </w:tabs>
        <w:suppressAutoHyphens/>
        <w:rPr>
          <w:rFonts w:ascii="Cambria" w:hAnsi="Cambria"/>
          <w:sz w:val="22"/>
          <w:szCs w:val="22"/>
          <w:lang w:val="es-ES_tradnl"/>
        </w:rPr>
      </w:pPr>
    </w:p>
    <w:p w:rsidR="005128E4" w:rsidRPr="00D11BBF" w:rsidRDefault="005128E4" w:rsidP="00040C3A">
      <w:pPr>
        <w:tabs>
          <w:tab w:val="center" w:pos="5400"/>
        </w:tabs>
        <w:suppressAutoHyphens/>
        <w:rPr>
          <w:rFonts w:ascii="Cambria" w:hAnsi="Cambria"/>
          <w:sz w:val="22"/>
          <w:szCs w:val="22"/>
          <w:lang w:val="es-ES_tradnl"/>
        </w:rPr>
      </w:pPr>
    </w:p>
    <w:p w:rsidR="00040C3A" w:rsidRPr="00D11BBF" w:rsidRDefault="00040C3A" w:rsidP="005128E4">
      <w:pPr>
        <w:tabs>
          <w:tab w:val="center" w:pos="5400"/>
        </w:tabs>
        <w:suppressAutoHyphens/>
        <w:jc w:val="center"/>
        <w:rPr>
          <w:rFonts w:ascii="Cambria" w:hAnsi="Cambria"/>
          <w:sz w:val="22"/>
          <w:szCs w:val="22"/>
          <w:lang w:val="es-ES_tradnl"/>
        </w:rPr>
      </w:pPr>
    </w:p>
    <w:p w:rsidR="00040C3A" w:rsidRPr="00D11BBF" w:rsidRDefault="00040C3A" w:rsidP="005128E4">
      <w:pPr>
        <w:tabs>
          <w:tab w:val="center" w:pos="5400"/>
        </w:tabs>
        <w:suppressAutoHyphens/>
        <w:jc w:val="center"/>
        <w:rPr>
          <w:rFonts w:ascii="Cambria" w:hAnsi="Cambria"/>
          <w:sz w:val="22"/>
          <w:szCs w:val="22"/>
          <w:lang w:val="es-ES_tradnl"/>
        </w:rPr>
      </w:pPr>
    </w:p>
    <w:p w:rsidR="005B52B0" w:rsidRPr="00D11BBF" w:rsidRDefault="005B52B0" w:rsidP="005128E4">
      <w:pPr>
        <w:tabs>
          <w:tab w:val="center" w:pos="5400"/>
        </w:tabs>
        <w:suppressAutoHyphens/>
        <w:jc w:val="center"/>
        <w:rPr>
          <w:rFonts w:ascii="Cambria" w:hAnsi="Cambria"/>
          <w:sz w:val="22"/>
          <w:szCs w:val="22"/>
          <w:lang w:val="es-ES_tradnl"/>
        </w:rPr>
      </w:pPr>
    </w:p>
    <w:p w:rsidR="005B52B0" w:rsidRPr="00D11BBF" w:rsidRDefault="005B52B0" w:rsidP="005128E4">
      <w:pPr>
        <w:tabs>
          <w:tab w:val="center" w:pos="5400"/>
        </w:tabs>
        <w:suppressAutoHyphens/>
        <w:jc w:val="center"/>
        <w:rPr>
          <w:rFonts w:ascii="Cambria" w:hAnsi="Cambria"/>
          <w:sz w:val="22"/>
          <w:szCs w:val="22"/>
          <w:lang w:val="es-ES_tradnl"/>
        </w:rPr>
      </w:pPr>
    </w:p>
    <w:p w:rsidR="005B52B0" w:rsidRPr="00D11BBF" w:rsidRDefault="005B52B0" w:rsidP="005128E4">
      <w:pPr>
        <w:tabs>
          <w:tab w:val="center" w:pos="5400"/>
        </w:tabs>
        <w:suppressAutoHyphens/>
        <w:jc w:val="center"/>
        <w:rPr>
          <w:rFonts w:ascii="Cambria" w:hAnsi="Cambria"/>
          <w:sz w:val="22"/>
          <w:szCs w:val="22"/>
          <w:lang w:val="es-ES_tradnl"/>
        </w:rPr>
      </w:pPr>
    </w:p>
    <w:p w:rsidR="00040C3A" w:rsidRPr="00D11BBF" w:rsidRDefault="00040C3A" w:rsidP="00040C3A">
      <w:pPr>
        <w:tabs>
          <w:tab w:val="center" w:pos="5400"/>
        </w:tabs>
        <w:suppressAutoHyphens/>
        <w:jc w:val="center"/>
        <w:rPr>
          <w:rFonts w:ascii="Cambria" w:hAnsi="Cambria"/>
          <w:sz w:val="22"/>
          <w:szCs w:val="22"/>
          <w:lang w:val="es-ES_tradnl"/>
        </w:rPr>
      </w:pPr>
    </w:p>
    <w:p w:rsidR="00040C3A" w:rsidRPr="00D11BBF" w:rsidRDefault="00040C3A" w:rsidP="00040C3A">
      <w:pPr>
        <w:tabs>
          <w:tab w:val="center" w:pos="5400"/>
        </w:tabs>
        <w:suppressAutoHyphens/>
        <w:jc w:val="center"/>
        <w:rPr>
          <w:rFonts w:ascii="Cambria" w:hAnsi="Cambria"/>
          <w:sz w:val="22"/>
          <w:szCs w:val="22"/>
          <w:lang w:val="es-ES_tradnl"/>
        </w:rPr>
      </w:pPr>
    </w:p>
    <w:p w:rsidR="00040C3A" w:rsidRPr="00D11BBF" w:rsidRDefault="009D65C5" w:rsidP="00040C3A">
      <w:pPr>
        <w:tabs>
          <w:tab w:val="center" w:pos="5400"/>
        </w:tabs>
        <w:suppressAutoHyphens/>
        <w:jc w:val="center"/>
        <w:rPr>
          <w:rFonts w:ascii="Cambria" w:hAnsi="Cambria"/>
          <w:sz w:val="22"/>
          <w:szCs w:val="22"/>
          <w:lang w:val="es-ES_tradnl"/>
        </w:rPr>
      </w:pPr>
      <w:r w:rsidRPr="00D11BBF">
        <w:rPr>
          <w:rFonts w:ascii="Cambria" w:hAnsi="Cambria"/>
          <w:noProof/>
        </w:rPr>
        <w:pict>
          <v:shape id="Text Box 5" o:spid="_x0000_s1031" type="#_x0000_t202" style="position:absolute;left:0;text-align:left;margin-left:106.5pt;margin-top:8.45pt;width:349.7pt;height:171.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" filled="f" stroked="f" strokeweight=".5pt">
            <v:textbox style="mso-next-textbox:#Text Box 5">
              <w:txbxContent>
                <w:p w:rsidR="00752F94" w:rsidRPr="009D65C5" w:rsidRDefault="00752F94" w:rsidP="00997BC5">
                  <w:pPr>
                    <w:spacing w:line="276" w:lineRule="auto"/>
                    <w:rPr>
                      <w:rFonts w:ascii="Cambria" w:hAnsi="Cambria" w:cs="Arial"/>
                      <w:b/>
                      <w:bCs/>
                      <w:color w:val="0D0D0D"/>
                      <w:sz w:val="36"/>
                      <w:szCs w:val="22"/>
                      <w:lang w:val="es-ES_tradnl"/>
                    </w:rPr>
                  </w:pPr>
                  <w:r w:rsidRPr="009D65C5">
                    <w:rPr>
                      <w:rFonts w:ascii="Cambria" w:hAnsi="Cambria" w:cs="Arial"/>
                      <w:b/>
                      <w:bCs/>
                      <w:color w:val="0D0D0D"/>
                      <w:sz w:val="36"/>
                      <w:szCs w:val="22"/>
                      <w:lang w:val="es-ES_tradnl"/>
                    </w:rPr>
                    <w:t xml:space="preserve">INFORME </w:t>
                  </w:r>
                  <w:r w:rsidRPr="009D65C5">
                    <w:rPr>
                      <w:rFonts w:ascii="Cambria" w:hAnsi="Cambria" w:cs="Arial"/>
                      <w:b/>
                      <w:bCs/>
                      <w:color w:val="0D0D0D"/>
                      <w:sz w:val="36"/>
                      <w:szCs w:val="40"/>
                      <w:lang w:val="es-ES_tradnl"/>
                    </w:rPr>
                    <w:t>No.</w:t>
                  </w:r>
                  <w:r w:rsidRPr="009D65C5">
                    <w:rPr>
                      <w:rFonts w:ascii="Cambria" w:hAnsi="Cambria" w:cs="Arial"/>
                      <w:b/>
                      <w:bCs/>
                      <w:color w:val="0D0D0D"/>
                      <w:sz w:val="36"/>
                      <w:szCs w:val="22"/>
                      <w:lang w:val="es-ES_tradnl"/>
                    </w:rPr>
                    <w:t xml:space="preserve"> </w:t>
                  </w:r>
                  <w:r w:rsidR="00D22244">
                    <w:rPr>
                      <w:rFonts w:ascii="Cambria" w:hAnsi="Cambria" w:cs="Arial"/>
                      <w:b/>
                      <w:bCs/>
                      <w:color w:val="0D0D0D"/>
                      <w:sz w:val="36"/>
                      <w:szCs w:val="22"/>
                      <w:lang w:val="es-ES_tradnl"/>
                    </w:rPr>
                    <w:t>6</w:t>
                  </w:r>
                  <w:r w:rsidRPr="009D65C5">
                    <w:rPr>
                      <w:rFonts w:ascii="Cambria" w:hAnsi="Cambria" w:cs="Arial"/>
                      <w:b/>
                      <w:bCs/>
                      <w:color w:val="0D0D0D"/>
                      <w:sz w:val="36"/>
                      <w:szCs w:val="22"/>
                      <w:lang w:val="es-ES_tradnl"/>
                    </w:rPr>
                    <w:t>/1</w:t>
                  </w:r>
                  <w:r w:rsidR="007E7C11">
                    <w:rPr>
                      <w:rFonts w:ascii="Cambria" w:hAnsi="Cambria" w:cs="Arial"/>
                      <w:b/>
                      <w:bCs/>
                      <w:color w:val="0D0D0D"/>
                      <w:sz w:val="36"/>
                      <w:szCs w:val="22"/>
                      <w:lang w:val="es-ES_tradnl"/>
                    </w:rPr>
                    <w:t>5</w:t>
                  </w:r>
                </w:p>
                <w:p w:rsidR="00752F94" w:rsidRPr="009D65C5" w:rsidRDefault="00752F94" w:rsidP="00997BC5">
                  <w:pPr>
                    <w:spacing w:line="276" w:lineRule="auto"/>
                    <w:rPr>
                      <w:rFonts w:ascii="Cambria" w:hAnsi="Cambria" w:cs="Arial"/>
                      <w:b/>
                      <w:color w:val="0D0D0D"/>
                      <w:sz w:val="36"/>
                      <w:szCs w:val="22"/>
                      <w:lang w:val="es-ES_tradnl"/>
                    </w:rPr>
                  </w:pPr>
                  <w:r w:rsidRPr="009D65C5">
                    <w:rPr>
                      <w:rFonts w:ascii="Cambria" w:hAnsi="Cambria" w:cs="Arial"/>
                      <w:b/>
                      <w:color w:val="0D0D0D"/>
                      <w:sz w:val="36"/>
                      <w:szCs w:val="22"/>
                      <w:lang w:val="es-ES_tradnl"/>
                    </w:rPr>
                    <w:t xml:space="preserve">PETICIÓN 518-03 </w:t>
                  </w:r>
                </w:p>
                <w:p w:rsidR="00752F94" w:rsidRPr="009D65C5" w:rsidRDefault="00752F94" w:rsidP="007B1702">
                  <w:pPr>
                    <w:spacing w:line="276" w:lineRule="auto"/>
                    <w:rPr>
                      <w:rFonts w:ascii="Cambria" w:hAnsi="Cambria" w:cs="Arial"/>
                      <w:color w:val="0D0D0D"/>
                      <w:szCs w:val="22"/>
                      <w:lang w:val="es-ES_tradnl"/>
                    </w:rPr>
                  </w:pPr>
                  <w:r w:rsidRPr="009D65C5">
                    <w:rPr>
                      <w:rFonts w:ascii="Cambria" w:hAnsi="Cambria" w:cs="Arial"/>
                      <w:color w:val="0D0D0D"/>
                      <w:szCs w:val="22"/>
                      <w:lang w:val="es-ES_tradnl"/>
                    </w:rPr>
                    <w:t>INFORME DE ADMISIBILIDAD</w:t>
                  </w:r>
                </w:p>
                <w:p w:rsidR="00752F94" w:rsidRPr="009D65C5" w:rsidRDefault="00752F94" w:rsidP="00997BC5">
                  <w:pPr>
                    <w:spacing w:line="276" w:lineRule="auto"/>
                    <w:rPr>
                      <w:rFonts w:ascii="Cambria" w:hAnsi="Cambria" w:cs="Arial"/>
                      <w:color w:val="0D0D0D"/>
                      <w:szCs w:val="22"/>
                      <w:lang w:val="es-ES_tradnl"/>
                    </w:rPr>
                  </w:pPr>
                  <w:bookmarkStart w:id="1" w:name="_ftnref1"/>
                </w:p>
                <w:bookmarkEnd w:id="1"/>
                <w:p w:rsidR="00752F94" w:rsidRPr="009D65C5" w:rsidRDefault="00752F94" w:rsidP="007B1702">
                  <w:pPr>
                    <w:spacing w:line="276" w:lineRule="auto"/>
                    <w:rPr>
                      <w:rFonts w:ascii="Cambria" w:hAnsi="Cambria" w:cs="Arial"/>
                      <w:color w:val="0D0D0D"/>
                      <w:szCs w:val="22"/>
                      <w:lang w:val="es-ES_tradnl"/>
                    </w:rPr>
                  </w:pPr>
                  <w:r w:rsidRPr="009D65C5">
                    <w:rPr>
                      <w:rFonts w:ascii="Cambria" w:hAnsi="Cambria" w:cs="Arial"/>
                      <w:color w:val="0D0D0D"/>
                      <w:szCs w:val="22"/>
                      <w:lang w:val="es-ES_tradnl"/>
                    </w:rPr>
                    <w:t xml:space="preserve">JORGE VILLARROEL Y OTROS </w:t>
                  </w:r>
                </w:p>
                <w:p w:rsidR="00752F94" w:rsidRPr="009D65C5" w:rsidRDefault="00752F94" w:rsidP="007B1702">
                  <w:pPr>
                    <w:spacing w:line="276" w:lineRule="auto"/>
                    <w:rPr>
                      <w:rFonts w:ascii="Cambria" w:hAnsi="Cambria" w:cs="Arial"/>
                      <w:color w:val="0D0D0D"/>
                      <w:szCs w:val="22"/>
                      <w:lang w:val="es-ES_tradnl"/>
                    </w:rPr>
                  </w:pPr>
                  <w:r w:rsidRPr="009D65C5">
                    <w:rPr>
                      <w:rFonts w:ascii="Cambria" w:hAnsi="Cambria" w:cs="Arial"/>
                      <w:color w:val="0D0D0D"/>
                      <w:szCs w:val="22"/>
                      <w:lang w:val="es-ES_tradnl"/>
                    </w:rPr>
                    <w:t xml:space="preserve">ECUADOR </w:t>
                  </w:r>
                </w:p>
                <w:p w:rsidR="00752F94" w:rsidRPr="009D65C5" w:rsidRDefault="00752F94" w:rsidP="007A5817">
                  <w:pPr>
                    <w:rPr>
                      <w:color w:val="0D0D0D"/>
                      <w:lang w:val="es-ES_tradnl"/>
                    </w:rPr>
                  </w:pPr>
                </w:p>
              </w:txbxContent>
            </v:textbox>
          </v:shape>
        </w:pict>
      </w:r>
      <w:r w:rsidRPr="00D11BBF">
        <w:rPr>
          <w:rFonts w:ascii="Cambria" w:hAnsi="Cambria"/>
          <w:noProof/>
        </w:rPr>
        <w:pict>
          <v:shape id="Text Box 8" o:spid="_x0000_s1030" type="#_x0000_t202" style="position:absolute;left:0;text-align:left;margin-left:-27pt;margin-top:12.95pt;width:109.5pt;height:108.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" filled="f" stroked="f" strokeweight=".5pt">
            <v:textbox style="mso-next-textbox:#Text Box 8">
              <w:txbxContent>
                <w:p w:rsidR="00752F94" w:rsidRPr="00D22244" w:rsidRDefault="00D31054" w:rsidP="007A5817">
                  <w:pPr>
                    <w:spacing w:line="276" w:lineRule="auto"/>
                    <w:jc w:val="right"/>
                    <w:rPr>
                      <w:rFonts w:ascii="Calibri" w:hAnsi="Calibri"/>
                      <w:color w:val="FFFFFF"/>
                      <w:sz w:val="22"/>
                      <w:lang w:val="es-US"/>
                    </w:rPr>
                  </w:pPr>
                  <w:r w:rsidRPr="00D22244">
                    <w:rPr>
                      <w:rFonts w:ascii="Calibri" w:hAnsi="Calibri"/>
                      <w:color w:val="FFFFFF"/>
                      <w:sz w:val="22"/>
                      <w:lang w:val="es-US"/>
                    </w:rPr>
                    <w:t>OEA/Ser.L/V/II.</w:t>
                  </w:r>
                </w:p>
                <w:p w:rsidR="00752F94" w:rsidRPr="00D22244" w:rsidRDefault="00D22244" w:rsidP="007A5817">
                  <w:pPr>
                    <w:spacing w:line="276" w:lineRule="auto"/>
                    <w:jc w:val="right"/>
                    <w:rPr>
                      <w:rFonts w:ascii="Calibri" w:hAnsi="Calibri"/>
                      <w:color w:val="FFFFFF"/>
                      <w:sz w:val="22"/>
                      <w:lang w:val="es-US"/>
                    </w:rPr>
                  </w:pPr>
                  <w:r w:rsidRPr="00D22244">
                    <w:rPr>
                      <w:rFonts w:ascii="Calibri" w:hAnsi="Calibri"/>
                      <w:color w:val="FFFFFF"/>
                      <w:sz w:val="22"/>
                      <w:lang w:val="es-US"/>
                    </w:rPr>
                    <w:t>Doc. 7</w:t>
                  </w:r>
                </w:p>
                <w:p w:rsidR="00752F94" w:rsidRPr="009D65C5" w:rsidRDefault="00D22244" w:rsidP="007A5817">
                  <w:pPr>
                    <w:spacing w:line="276" w:lineRule="auto"/>
                    <w:jc w:val="right"/>
                    <w:rPr>
                      <w:rFonts w:ascii="Calibri" w:hAnsi="Calibri"/>
                      <w:color w:val="FFFFFF"/>
                      <w:sz w:val="22"/>
                      <w:lang w:val="es-AR"/>
                    </w:rPr>
                  </w:pPr>
                  <w:r>
                    <w:rPr>
                      <w:rFonts w:ascii="Calibri" w:hAnsi="Calibri"/>
                      <w:color w:val="FFFFFF"/>
                      <w:sz w:val="22"/>
                      <w:lang w:val="es-AR"/>
                    </w:rPr>
                    <w:t>29 enero</w:t>
                  </w:r>
                  <w:r w:rsidR="00752F94" w:rsidRPr="009D65C5">
                    <w:rPr>
                      <w:rFonts w:ascii="Calibri" w:hAnsi="Calibri"/>
                      <w:color w:val="FFFFFF"/>
                      <w:sz w:val="22"/>
                      <w:lang w:val="es-AR"/>
                    </w:rPr>
                    <w:t xml:space="preserve"> 20</w:t>
                  </w:r>
                  <w:r w:rsidR="007E7C11">
                    <w:rPr>
                      <w:rFonts w:ascii="Calibri" w:hAnsi="Calibri"/>
                      <w:color w:val="FFFFFF"/>
                      <w:sz w:val="22"/>
                      <w:lang w:val="es-AR"/>
                    </w:rPr>
                    <w:t>15</w:t>
                  </w:r>
                </w:p>
                <w:p w:rsidR="00752F94" w:rsidRPr="00D22244" w:rsidRDefault="00752F94" w:rsidP="007A5817">
                  <w:pPr>
                    <w:spacing w:line="276" w:lineRule="auto"/>
                    <w:jc w:val="right"/>
                    <w:rPr>
                      <w:rFonts w:ascii="Calibri" w:hAnsi="Calibri"/>
                      <w:color w:val="FFFFFF"/>
                      <w:sz w:val="22"/>
                      <w:lang w:val="es-US"/>
                    </w:rPr>
                  </w:pPr>
                  <w:r w:rsidRPr="00D22244">
                    <w:rPr>
                      <w:rFonts w:ascii="Calibri" w:hAnsi="Calibri"/>
                      <w:color w:val="FFFFFF"/>
                      <w:sz w:val="22"/>
                      <w:lang w:val="es-US"/>
                    </w:rPr>
                    <w:t>Original: español</w:t>
                  </w:r>
                </w:p>
              </w:txbxContent>
            </v:textbox>
          </v:shape>
        </w:pict>
      </w:r>
    </w:p>
    <w:p w:rsidR="00040C3A" w:rsidRPr="00D11BBF" w:rsidRDefault="00040C3A" w:rsidP="00040C3A">
      <w:pPr>
        <w:tabs>
          <w:tab w:val="center" w:pos="5400"/>
        </w:tabs>
        <w:suppressAutoHyphens/>
        <w:jc w:val="center"/>
        <w:rPr>
          <w:rFonts w:ascii="Cambria" w:hAnsi="Cambria"/>
          <w:sz w:val="22"/>
          <w:szCs w:val="22"/>
          <w:lang w:val="es-ES_tradnl"/>
        </w:rPr>
      </w:pPr>
    </w:p>
    <w:p w:rsidR="00040C3A" w:rsidRPr="00D11BBF" w:rsidRDefault="00040C3A" w:rsidP="00040C3A">
      <w:pPr>
        <w:tabs>
          <w:tab w:val="center" w:pos="5400"/>
        </w:tabs>
        <w:suppressAutoHyphens/>
        <w:jc w:val="center"/>
        <w:rPr>
          <w:rFonts w:ascii="Cambria" w:hAnsi="Cambria"/>
          <w:sz w:val="22"/>
          <w:szCs w:val="22"/>
          <w:lang w:val="es-ES_tradnl"/>
        </w:rPr>
      </w:pPr>
    </w:p>
    <w:p w:rsidR="00040C3A" w:rsidRPr="00D11BBF" w:rsidRDefault="00040C3A" w:rsidP="00040C3A">
      <w:pPr>
        <w:tabs>
          <w:tab w:val="center" w:pos="5400"/>
        </w:tabs>
        <w:suppressAutoHyphens/>
        <w:jc w:val="center"/>
        <w:rPr>
          <w:rFonts w:ascii="Cambria" w:hAnsi="Cambria" w:cs="Arial"/>
          <w:sz w:val="22"/>
          <w:szCs w:val="22"/>
          <w:lang w:val="es-ES_tradnl"/>
        </w:rPr>
      </w:pPr>
    </w:p>
    <w:p w:rsidR="00040C3A" w:rsidRPr="00D11BBF" w:rsidRDefault="00040C3A" w:rsidP="00040C3A">
      <w:pPr>
        <w:tabs>
          <w:tab w:val="center" w:pos="5400"/>
        </w:tabs>
        <w:suppressAutoHyphens/>
        <w:jc w:val="center"/>
        <w:rPr>
          <w:rFonts w:ascii="Cambria" w:hAnsi="Cambria"/>
          <w:sz w:val="22"/>
          <w:szCs w:val="22"/>
          <w:lang w:val="es-ES_tradnl"/>
        </w:rPr>
      </w:pPr>
    </w:p>
    <w:p w:rsidR="00040C3A" w:rsidRPr="00D11BBF" w:rsidRDefault="00040C3A" w:rsidP="00040C3A">
      <w:pPr>
        <w:tabs>
          <w:tab w:val="center" w:pos="5400"/>
        </w:tabs>
        <w:suppressAutoHyphens/>
        <w:jc w:val="center"/>
        <w:rPr>
          <w:rFonts w:ascii="Cambria" w:hAnsi="Cambria"/>
          <w:sz w:val="22"/>
          <w:szCs w:val="22"/>
          <w:lang w:val="es-ES_tradnl"/>
        </w:rPr>
      </w:pPr>
    </w:p>
    <w:p w:rsidR="00040C3A" w:rsidRPr="00D11BBF" w:rsidRDefault="00040C3A" w:rsidP="00040C3A">
      <w:pPr>
        <w:tabs>
          <w:tab w:val="center" w:pos="5400"/>
        </w:tabs>
        <w:suppressAutoHyphens/>
        <w:jc w:val="center"/>
        <w:rPr>
          <w:rFonts w:ascii="Cambria" w:hAnsi="Cambria"/>
          <w:sz w:val="22"/>
          <w:szCs w:val="22"/>
          <w:lang w:val="es-ES_tradnl"/>
        </w:rPr>
      </w:pPr>
    </w:p>
    <w:p w:rsidR="00040C3A" w:rsidRPr="00D11BBF" w:rsidRDefault="00040C3A" w:rsidP="00040C3A">
      <w:pPr>
        <w:tabs>
          <w:tab w:val="center" w:pos="5400"/>
        </w:tabs>
        <w:suppressAutoHyphens/>
        <w:jc w:val="center"/>
        <w:rPr>
          <w:rFonts w:ascii="Cambria" w:hAnsi="Cambria"/>
          <w:sz w:val="22"/>
          <w:szCs w:val="22"/>
          <w:lang w:val="es-ES_tradnl"/>
        </w:rPr>
      </w:pPr>
    </w:p>
    <w:p w:rsidR="005128E4" w:rsidRPr="00D11BBF" w:rsidRDefault="005128E4" w:rsidP="00040C3A">
      <w:pPr>
        <w:tabs>
          <w:tab w:val="center" w:pos="5400"/>
        </w:tabs>
        <w:suppressAutoHyphens/>
        <w:jc w:val="center"/>
        <w:rPr>
          <w:rFonts w:ascii="Cambria" w:hAnsi="Cambria"/>
          <w:sz w:val="22"/>
          <w:szCs w:val="22"/>
          <w:lang w:val="es-ES_tradnl"/>
        </w:rPr>
      </w:pPr>
    </w:p>
    <w:p w:rsidR="00040C3A" w:rsidRPr="00D11BBF" w:rsidRDefault="00040C3A" w:rsidP="00040C3A">
      <w:pPr>
        <w:tabs>
          <w:tab w:val="center" w:pos="5400"/>
        </w:tabs>
        <w:suppressAutoHyphens/>
        <w:jc w:val="center"/>
        <w:rPr>
          <w:rFonts w:ascii="Cambria" w:hAnsi="Cambria"/>
          <w:sz w:val="22"/>
          <w:szCs w:val="22"/>
          <w:lang w:val="es-ES_tradnl"/>
        </w:rPr>
      </w:pPr>
    </w:p>
    <w:p w:rsidR="005128E4" w:rsidRPr="00D11BBF" w:rsidRDefault="005128E4" w:rsidP="00040C3A">
      <w:pPr>
        <w:tabs>
          <w:tab w:val="center" w:pos="5400"/>
        </w:tabs>
        <w:suppressAutoHyphens/>
        <w:jc w:val="center"/>
        <w:rPr>
          <w:rFonts w:ascii="Cambria" w:hAnsi="Cambria"/>
          <w:sz w:val="22"/>
          <w:szCs w:val="22"/>
          <w:lang w:val="es-ES_tradnl"/>
        </w:rPr>
      </w:pPr>
    </w:p>
    <w:p w:rsidR="005128E4" w:rsidRPr="00D11BBF" w:rsidRDefault="005128E4" w:rsidP="00040C3A">
      <w:pPr>
        <w:tabs>
          <w:tab w:val="center" w:pos="5400"/>
        </w:tabs>
        <w:suppressAutoHyphens/>
        <w:jc w:val="center"/>
        <w:rPr>
          <w:rFonts w:ascii="Cambria" w:hAnsi="Cambria"/>
          <w:sz w:val="22"/>
          <w:szCs w:val="22"/>
          <w:lang w:val="es-ES_tradnl"/>
        </w:rPr>
      </w:pPr>
    </w:p>
    <w:p w:rsidR="005128E4" w:rsidRPr="00D11BBF" w:rsidRDefault="005128E4" w:rsidP="00040C3A">
      <w:pPr>
        <w:tabs>
          <w:tab w:val="center" w:pos="5400"/>
        </w:tabs>
        <w:suppressAutoHyphens/>
        <w:jc w:val="center"/>
        <w:rPr>
          <w:rFonts w:ascii="Cambria" w:hAnsi="Cambria"/>
          <w:sz w:val="22"/>
          <w:szCs w:val="22"/>
          <w:lang w:val="es-ES_tradnl"/>
        </w:rPr>
      </w:pPr>
    </w:p>
    <w:p w:rsidR="00040C3A" w:rsidRPr="00D11BBF" w:rsidRDefault="00040C3A" w:rsidP="00040C3A">
      <w:pPr>
        <w:tabs>
          <w:tab w:val="center" w:pos="5400"/>
        </w:tabs>
        <w:suppressAutoHyphens/>
        <w:jc w:val="center"/>
        <w:rPr>
          <w:rFonts w:ascii="Cambria" w:hAnsi="Cambria"/>
          <w:sz w:val="22"/>
          <w:szCs w:val="22"/>
          <w:lang w:val="es-ES_tradnl"/>
        </w:rPr>
      </w:pPr>
    </w:p>
    <w:p w:rsidR="00040C3A" w:rsidRPr="00D11BBF" w:rsidRDefault="00040C3A" w:rsidP="00040C3A">
      <w:pPr>
        <w:tabs>
          <w:tab w:val="center" w:pos="5400"/>
        </w:tabs>
        <w:suppressAutoHyphens/>
        <w:jc w:val="center"/>
        <w:rPr>
          <w:rFonts w:ascii="Cambria" w:hAnsi="Cambria"/>
          <w:sz w:val="22"/>
          <w:szCs w:val="22"/>
          <w:lang w:val="es-ES_tradnl"/>
        </w:rPr>
      </w:pPr>
    </w:p>
    <w:p w:rsidR="00A50FCF" w:rsidRPr="00D11BBF" w:rsidRDefault="00A50FCF" w:rsidP="00040C3A">
      <w:pPr>
        <w:tabs>
          <w:tab w:val="center" w:pos="5400"/>
        </w:tabs>
        <w:suppressAutoHyphens/>
        <w:jc w:val="center"/>
        <w:rPr>
          <w:rFonts w:ascii="Cambria" w:hAnsi="Cambria"/>
          <w:sz w:val="18"/>
          <w:szCs w:val="22"/>
          <w:lang w:val="es-ES_tradnl"/>
        </w:rPr>
      </w:pPr>
    </w:p>
    <w:p w:rsidR="00A50FCF" w:rsidRPr="00D11BBF" w:rsidRDefault="00A50FCF" w:rsidP="00040C3A">
      <w:pPr>
        <w:tabs>
          <w:tab w:val="center" w:pos="5400"/>
        </w:tabs>
        <w:suppressAutoHyphens/>
        <w:jc w:val="center"/>
        <w:rPr>
          <w:rFonts w:ascii="Cambria" w:hAnsi="Cambria"/>
          <w:sz w:val="18"/>
          <w:szCs w:val="22"/>
          <w:lang w:val="es-ES_tradnl"/>
        </w:rPr>
      </w:pPr>
    </w:p>
    <w:p w:rsidR="00A50FCF" w:rsidRPr="00D11BBF" w:rsidRDefault="00A50FCF" w:rsidP="00040C3A">
      <w:pPr>
        <w:tabs>
          <w:tab w:val="center" w:pos="5400"/>
        </w:tabs>
        <w:suppressAutoHyphens/>
        <w:jc w:val="center"/>
        <w:rPr>
          <w:rFonts w:ascii="Cambria" w:hAnsi="Cambria"/>
          <w:sz w:val="18"/>
          <w:szCs w:val="22"/>
          <w:lang w:val="es-ES_tradnl"/>
        </w:rPr>
      </w:pPr>
    </w:p>
    <w:p w:rsidR="00A50FCF" w:rsidRPr="00D11BBF" w:rsidRDefault="00A50FCF" w:rsidP="00040C3A">
      <w:pPr>
        <w:tabs>
          <w:tab w:val="center" w:pos="5400"/>
        </w:tabs>
        <w:suppressAutoHyphens/>
        <w:jc w:val="center"/>
        <w:rPr>
          <w:rFonts w:ascii="Cambria" w:hAnsi="Cambria"/>
          <w:sz w:val="18"/>
          <w:szCs w:val="22"/>
          <w:lang w:val="es-ES_tradnl"/>
        </w:rPr>
      </w:pPr>
    </w:p>
    <w:p w:rsidR="00A50FCF" w:rsidRPr="00D11BBF" w:rsidRDefault="00A50FCF" w:rsidP="00040C3A">
      <w:pPr>
        <w:tabs>
          <w:tab w:val="center" w:pos="5400"/>
        </w:tabs>
        <w:suppressAutoHyphens/>
        <w:jc w:val="center"/>
        <w:rPr>
          <w:rFonts w:ascii="Cambria" w:hAnsi="Cambria"/>
          <w:sz w:val="18"/>
          <w:szCs w:val="22"/>
          <w:lang w:val="es-ES_tradnl"/>
        </w:rPr>
      </w:pPr>
    </w:p>
    <w:p w:rsidR="00A50FCF" w:rsidRPr="00D11BBF" w:rsidRDefault="00A50FCF" w:rsidP="00040C3A">
      <w:pPr>
        <w:tabs>
          <w:tab w:val="center" w:pos="5400"/>
        </w:tabs>
        <w:suppressAutoHyphens/>
        <w:jc w:val="center"/>
        <w:rPr>
          <w:rFonts w:ascii="Cambria" w:hAnsi="Cambria"/>
          <w:sz w:val="18"/>
          <w:szCs w:val="22"/>
          <w:lang w:val="es-ES_tradnl"/>
        </w:rPr>
      </w:pPr>
    </w:p>
    <w:p w:rsidR="00A50FCF" w:rsidRPr="00D11BBF" w:rsidRDefault="00A50FCF" w:rsidP="00040C3A">
      <w:pPr>
        <w:tabs>
          <w:tab w:val="center" w:pos="5400"/>
        </w:tabs>
        <w:suppressAutoHyphens/>
        <w:jc w:val="center"/>
        <w:rPr>
          <w:rFonts w:ascii="Cambria" w:hAnsi="Cambria"/>
          <w:sz w:val="18"/>
          <w:szCs w:val="22"/>
          <w:lang w:val="es-ES_tradnl"/>
        </w:rPr>
      </w:pPr>
    </w:p>
    <w:p w:rsidR="00A50FCF" w:rsidRPr="00D11BBF" w:rsidRDefault="00A50FCF" w:rsidP="00040C3A">
      <w:pPr>
        <w:tabs>
          <w:tab w:val="center" w:pos="5400"/>
        </w:tabs>
        <w:suppressAutoHyphens/>
        <w:jc w:val="center"/>
        <w:rPr>
          <w:rFonts w:ascii="Cambria" w:hAnsi="Cambria"/>
          <w:sz w:val="18"/>
          <w:szCs w:val="22"/>
          <w:lang w:val="es-ES_tradnl"/>
        </w:rPr>
      </w:pPr>
    </w:p>
    <w:p w:rsidR="00A50FCF" w:rsidRPr="00D11BBF" w:rsidRDefault="00A50FCF" w:rsidP="00040C3A">
      <w:pPr>
        <w:tabs>
          <w:tab w:val="center" w:pos="5400"/>
        </w:tabs>
        <w:suppressAutoHyphens/>
        <w:jc w:val="center"/>
        <w:rPr>
          <w:rFonts w:ascii="Cambria" w:hAnsi="Cambria"/>
          <w:sz w:val="18"/>
          <w:szCs w:val="22"/>
          <w:lang w:val="es-ES_tradnl"/>
        </w:rPr>
      </w:pPr>
    </w:p>
    <w:p w:rsidR="00A50FCF" w:rsidRPr="00D11BBF" w:rsidRDefault="00A50FCF" w:rsidP="00040C3A">
      <w:pPr>
        <w:tabs>
          <w:tab w:val="center" w:pos="5400"/>
        </w:tabs>
        <w:suppressAutoHyphens/>
        <w:jc w:val="center"/>
        <w:rPr>
          <w:rFonts w:ascii="Cambria" w:hAnsi="Cambria"/>
          <w:sz w:val="18"/>
          <w:szCs w:val="22"/>
          <w:lang w:val="es-ES_tradnl"/>
        </w:rPr>
      </w:pPr>
    </w:p>
    <w:p w:rsidR="00A50FCF" w:rsidRPr="00D11BBF" w:rsidRDefault="00A50FCF" w:rsidP="00040C3A">
      <w:pPr>
        <w:tabs>
          <w:tab w:val="center" w:pos="5400"/>
        </w:tabs>
        <w:suppressAutoHyphens/>
        <w:jc w:val="center"/>
        <w:rPr>
          <w:rFonts w:ascii="Cambria" w:hAnsi="Cambria"/>
          <w:sz w:val="18"/>
          <w:szCs w:val="22"/>
          <w:lang w:val="es-ES_tradnl"/>
        </w:rPr>
      </w:pPr>
    </w:p>
    <w:p w:rsidR="00A50FCF" w:rsidRPr="00D11BBF" w:rsidRDefault="00A50FCF" w:rsidP="00040C3A">
      <w:pPr>
        <w:tabs>
          <w:tab w:val="center" w:pos="5400"/>
        </w:tabs>
        <w:suppressAutoHyphens/>
        <w:jc w:val="center"/>
        <w:rPr>
          <w:rFonts w:ascii="Cambria" w:hAnsi="Cambria"/>
          <w:sz w:val="18"/>
          <w:szCs w:val="22"/>
          <w:lang w:val="es-ES_tradnl"/>
        </w:rPr>
      </w:pPr>
    </w:p>
    <w:p w:rsidR="00A50FCF" w:rsidRPr="00D11BBF" w:rsidRDefault="00A50FCF" w:rsidP="00040C3A">
      <w:pPr>
        <w:tabs>
          <w:tab w:val="center" w:pos="5400"/>
        </w:tabs>
        <w:suppressAutoHyphens/>
        <w:jc w:val="center"/>
        <w:rPr>
          <w:rFonts w:ascii="Cambria" w:hAnsi="Cambria"/>
          <w:sz w:val="18"/>
          <w:szCs w:val="22"/>
          <w:lang w:val="es-ES_tradnl"/>
        </w:rPr>
      </w:pPr>
    </w:p>
    <w:p w:rsidR="00A50FCF" w:rsidRPr="00D11BBF" w:rsidRDefault="00A50FCF" w:rsidP="00040C3A">
      <w:pPr>
        <w:tabs>
          <w:tab w:val="center" w:pos="5400"/>
        </w:tabs>
        <w:suppressAutoHyphens/>
        <w:jc w:val="center"/>
        <w:rPr>
          <w:rFonts w:ascii="Cambria" w:hAnsi="Cambria"/>
          <w:sz w:val="18"/>
          <w:szCs w:val="22"/>
          <w:lang w:val="es-ES_tradnl"/>
        </w:rPr>
      </w:pPr>
    </w:p>
    <w:p w:rsidR="00A50FCF" w:rsidRPr="00D11BBF" w:rsidRDefault="009D65C5" w:rsidP="00040C3A">
      <w:pPr>
        <w:tabs>
          <w:tab w:val="center" w:pos="5400"/>
        </w:tabs>
        <w:suppressAutoHyphens/>
        <w:jc w:val="center"/>
        <w:rPr>
          <w:rFonts w:ascii="Cambria" w:hAnsi="Cambria"/>
          <w:sz w:val="18"/>
          <w:szCs w:val="22"/>
          <w:lang w:val="es-ES_tradnl"/>
        </w:rPr>
      </w:pPr>
      <w:r w:rsidRPr="00D11BBF">
        <w:rPr>
          <w:rFonts w:ascii="Cambria" w:hAnsi="Cambria"/>
          <w:noProof/>
        </w:rPr>
        <w:pict>
          <v:shape id="Text Box 7" o:spid="_x0000_s1029" type="#_x0000_t202" style="position:absolute;left:0;text-align:left;margin-left:105.65pt;margin-top:1.8pt;width:388.5pt;height:52.3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" filled="f" stroked="f" strokeweight=".5pt">
            <v:textbox style="mso-next-textbox:#Text Box 7">
              <w:txbxContent>
                <w:p w:rsidR="00752F94" w:rsidRPr="009D65C5" w:rsidRDefault="00752F94" w:rsidP="00247403">
                  <w:pPr>
                    <w:tabs>
                      <w:tab w:val="center" w:pos="5400"/>
                    </w:tabs>
                    <w:suppressAutoHyphens/>
                    <w:spacing w:before="60"/>
                    <w:rPr>
                      <w:rFonts w:ascii="Cambria" w:hAnsi="Cambria" w:cs="Univers"/>
                      <w:color w:val="0D0D0D"/>
                      <w:sz w:val="18"/>
                      <w:szCs w:val="20"/>
                      <w:lang w:val="es-ES_tradnl"/>
                    </w:rPr>
                  </w:pPr>
                  <w:r w:rsidRPr="009D65C5">
                    <w:rPr>
                      <w:rFonts w:ascii="Cambria" w:hAnsi="Cambria"/>
                      <w:color w:val="0D0D0D"/>
                      <w:sz w:val="18"/>
                      <w:szCs w:val="20"/>
                      <w:lang w:val="es-ES"/>
                    </w:rPr>
                    <w:t xml:space="preserve">Aprobado por la Comisión </w:t>
                  </w:r>
                  <w:r w:rsidR="00D22244">
                    <w:rPr>
                      <w:rFonts w:ascii="Cambria" w:hAnsi="Cambria"/>
                      <w:color w:val="0D0D0D"/>
                      <w:sz w:val="18"/>
                      <w:szCs w:val="20"/>
                      <w:lang w:val="es-ES"/>
                    </w:rPr>
                    <w:t>el 29</w:t>
                  </w:r>
                  <w:r w:rsidR="007E7C11">
                    <w:rPr>
                      <w:rFonts w:ascii="Cambria" w:hAnsi="Cambria"/>
                      <w:color w:val="0D0D0D"/>
                      <w:sz w:val="18"/>
                      <w:szCs w:val="20"/>
                      <w:lang w:val="es-ES"/>
                    </w:rPr>
                    <w:t xml:space="preserve"> de </w:t>
                  </w:r>
                  <w:r w:rsidR="00D22244">
                    <w:rPr>
                      <w:rFonts w:ascii="Cambria" w:hAnsi="Cambria"/>
                      <w:color w:val="0D0D0D"/>
                      <w:sz w:val="18"/>
                      <w:szCs w:val="20"/>
                      <w:lang w:val="es-ES"/>
                    </w:rPr>
                    <w:t>enero</w:t>
                  </w:r>
                  <w:r w:rsidR="007E7C11">
                    <w:rPr>
                      <w:rFonts w:ascii="Cambria" w:hAnsi="Cambria"/>
                      <w:color w:val="0D0D0D"/>
                      <w:sz w:val="18"/>
                      <w:szCs w:val="20"/>
                      <w:lang w:val="es-ES"/>
                    </w:rPr>
                    <w:t xml:space="preserve"> de 2015</w:t>
                  </w:r>
                  <w:r w:rsidRPr="009D65C5">
                    <w:rPr>
                      <w:rFonts w:ascii="Cambria" w:hAnsi="Cambria"/>
                      <w:color w:val="0D0D0D"/>
                      <w:sz w:val="18"/>
                      <w:szCs w:val="20"/>
                      <w:lang w:val="es-ES"/>
                    </w:rPr>
                    <w:br/>
                  </w:r>
                </w:p>
                <w:p w:rsidR="00752F94" w:rsidRPr="009D65C5" w:rsidRDefault="00752F94" w:rsidP="00247403">
                  <w:pPr>
                    <w:tabs>
                      <w:tab w:val="center" w:pos="5400"/>
                    </w:tabs>
                    <w:suppressAutoHyphens/>
                    <w:spacing w:before="60"/>
                    <w:rPr>
                      <w:rFonts w:ascii="Calibri" w:hAnsi="Calibri" w:cs="Univers"/>
                      <w:color w:val="0D0D0D"/>
                      <w:sz w:val="20"/>
                      <w:szCs w:val="20"/>
                      <w:lang w:val="es-ES"/>
                    </w:rPr>
                  </w:pPr>
                </w:p>
                <w:p w:rsidR="00752F94" w:rsidRPr="009D65C5" w:rsidRDefault="00752F94" w:rsidP="0059191A">
                  <w:pPr>
                    <w:tabs>
                      <w:tab w:val="center" w:pos="5400"/>
                    </w:tabs>
                    <w:suppressAutoHyphens/>
                    <w:spacing w:before="60"/>
                    <w:rPr>
                      <w:rFonts w:ascii="Calibri" w:hAnsi="Calibri"/>
                      <w:color w:val="FFFFFF"/>
                      <w:spacing w:val="-2"/>
                      <w:sz w:val="16"/>
                      <w:lang w:val="es-ES"/>
                    </w:rPr>
                  </w:pPr>
                </w:p>
              </w:txbxContent>
            </v:textbox>
          </v:shape>
        </w:pict>
      </w:r>
    </w:p>
    <w:p w:rsidR="00A50FCF" w:rsidRPr="00D11BBF" w:rsidRDefault="00A50FCF" w:rsidP="00040C3A">
      <w:pPr>
        <w:tabs>
          <w:tab w:val="center" w:pos="5400"/>
        </w:tabs>
        <w:suppressAutoHyphens/>
        <w:jc w:val="center"/>
        <w:rPr>
          <w:rFonts w:ascii="Cambria" w:hAnsi="Cambria"/>
          <w:sz w:val="18"/>
          <w:szCs w:val="22"/>
          <w:lang w:val="es-ES_tradnl"/>
        </w:rPr>
      </w:pPr>
    </w:p>
    <w:p w:rsidR="00A50FCF" w:rsidRPr="00D11BBF" w:rsidRDefault="00A50FCF" w:rsidP="00040C3A">
      <w:pPr>
        <w:tabs>
          <w:tab w:val="center" w:pos="5400"/>
        </w:tabs>
        <w:suppressAutoHyphens/>
        <w:jc w:val="center"/>
        <w:rPr>
          <w:rFonts w:ascii="Cambria" w:hAnsi="Cambria"/>
          <w:sz w:val="18"/>
          <w:szCs w:val="22"/>
          <w:lang w:val="es-ES_tradnl"/>
        </w:rPr>
      </w:pPr>
    </w:p>
    <w:p w:rsidR="00A50FCF" w:rsidRPr="00D11BBF" w:rsidRDefault="00A50FCF" w:rsidP="00040C3A">
      <w:pPr>
        <w:tabs>
          <w:tab w:val="center" w:pos="5400"/>
        </w:tabs>
        <w:suppressAutoHyphens/>
        <w:jc w:val="center"/>
        <w:rPr>
          <w:rFonts w:ascii="Cambria" w:hAnsi="Cambria"/>
          <w:sz w:val="18"/>
          <w:szCs w:val="22"/>
          <w:lang w:val="es-ES_tradnl"/>
        </w:rPr>
      </w:pPr>
    </w:p>
    <w:p w:rsidR="00A50FCF" w:rsidRPr="00D11BBF" w:rsidRDefault="00A50FCF" w:rsidP="00040C3A">
      <w:pPr>
        <w:tabs>
          <w:tab w:val="center" w:pos="5400"/>
        </w:tabs>
        <w:suppressAutoHyphens/>
        <w:jc w:val="center"/>
        <w:rPr>
          <w:rFonts w:ascii="Cambria" w:hAnsi="Cambria"/>
          <w:sz w:val="18"/>
          <w:szCs w:val="22"/>
          <w:lang w:val="es-ES_tradnl"/>
        </w:rPr>
      </w:pPr>
    </w:p>
    <w:p w:rsidR="00A50FCF" w:rsidRPr="00D11BBF" w:rsidRDefault="009D65C5" w:rsidP="00040C3A">
      <w:pPr>
        <w:tabs>
          <w:tab w:val="center" w:pos="5400"/>
        </w:tabs>
        <w:suppressAutoHyphens/>
        <w:jc w:val="center"/>
        <w:rPr>
          <w:rFonts w:ascii="Cambria" w:hAnsi="Cambria"/>
          <w:sz w:val="18"/>
          <w:szCs w:val="22"/>
          <w:lang w:val="es-ES_tradnl"/>
        </w:rPr>
      </w:pPr>
      <w:r w:rsidRPr="00D11BBF">
        <w:rPr>
          <w:rFonts w:ascii="Cambria" w:hAnsi="Cambria"/>
          <w:noProof/>
        </w:rPr>
        <w:pict>
          <v:shape id="Text Box 10" o:spid="_x0000_s1028" type="#_x0000_t202" style="position:absolute;left:0;text-align:left;margin-left:105pt;margin-top:.45pt;width:389.25pt;height:51.7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" filled="f" stroked="f" strokeweight=".5pt">
            <v:textbox style="mso-next-textbox:#Text Box 10">
              <w:txbxContent>
                <w:p w:rsidR="00752F94" w:rsidRPr="009D65C5" w:rsidRDefault="00752F94" w:rsidP="00113F73">
                  <w:pPr>
                    <w:spacing w:line="276" w:lineRule="auto"/>
                    <w:rPr>
                      <w:rFonts w:ascii="Cambria" w:hAnsi="Cambria"/>
                      <w:color w:val="595959"/>
                      <w:sz w:val="18"/>
                      <w:szCs w:val="18"/>
                      <w:lang w:val="es-CR"/>
                    </w:rPr>
                  </w:pPr>
                  <w:r w:rsidRPr="009D65C5">
                    <w:rPr>
                      <w:rFonts w:ascii="Cambria" w:hAnsi="Cambria"/>
                      <w:b/>
                      <w:color w:val="595959"/>
                      <w:sz w:val="18"/>
                      <w:szCs w:val="18"/>
                      <w:lang w:val="pt-BR"/>
                    </w:rPr>
                    <w:t>Citar como:</w:t>
                  </w:r>
                  <w:r w:rsidRPr="009D65C5">
                    <w:rPr>
                      <w:rFonts w:ascii="Cambria" w:hAnsi="Cambria"/>
                      <w:color w:val="595959"/>
                      <w:sz w:val="18"/>
                      <w:szCs w:val="18"/>
                      <w:lang w:val="pt-BR"/>
                    </w:rPr>
                    <w:t xml:space="preserve"> CIDH, Informe No. </w:t>
                  </w:r>
                  <w:r w:rsidR="003340E5">
                    <w:rPr>
                      <w:rFonts w:ascii="Cambria" w:hAnsi="Cambria"/>
                      <w:color w:val="595959"/>
                      <w:sz w:val="18"/>
                      <w:szCs w:val="18"/>
                      <w:lang w:val="pt-BR"/>
                    </w:rPr>
                    <w:t>6/15</w:t>
                  </w:r>
                  <w:r w:rsidRPr="009D65C5">
                    <w:rPr>
                      <w:rFonts w:ascii="Cambria" w:hAnsi="Cambria"/>
                      <w:color w:val="595959"/>
                      <w:sz w:val="18"/>
                      <w:szCs w:val="18"/>
                      <w:lang w:val="es-ES_tradnl"/>
                    </w:rPr>
                    <w:t xml:space="preserve">, Petición 518-03. Admisibilidad. </w:t>
                  </w:r>
                  <w:r w:rsidR="003340E5">
                    <w:rPr>
                      <w:rFonts w:ascii="Cambria" w:hAnsi="Cambria"/>
                      <w:color w:val="595959"/>
                      <w:sz w:val="18"/>
                      <w:szCs w:val="18"/>
                      <w:lang w:val="es-ES_tradnl"/>
                    </w:rPr>
                    <w:t xml:space="preserve">Jorge Villarroel y otros. </w:t>
                  </w:r>
                  <w:r w:rsidRPr="009D65C5">
                    <w:rPr>
                      <w:rFonts w:ascii="Cambria" w:hAnsi="Cambria"/>
                      <w:color w:val="595959"/>
                      <w:sz w:val="18"/>
                      <w:szCs w:val="18"/>
                      <w:lang w:val="es-ES_tradnl"/>
                    </w:rPr>
                    <w:t xml:space="preserve">Ecuador. </w:t>
                  </w:r>
                  <w:r w:rsidR="003340E5">
                    <w:rPr>
                      <w:rFonts w:ascii="Cambria" w:hAnsi="Cambria"/>
                      <w:color w:val="595959"/>
                      <w:sz w:val="18"/>
                      <w:szCs w:val="18"/>
                      <w:lang w:val="es-ES_tradnl"/>
                    </w:rPr>
                    <w:t>29 de enero de 2015</w:t>
                  </w:r>
                  <w:r w:rsidRPr="009D65C5">
                    <w:rPr>
                      <w:rFonts w:ascii="Cambria" w:hAnsi="Cambria"/>
                      <w:color w:val="595959"/>
                      <w:sz w:val="18"/>
                      <w:szCs w:val="18"/>
                      <w:lang w:val="es-CR"/>
                    </w:rPr>
                    <w:t>.</w:t>
                  </w:r>
                </w:p>
              </w:txbxContent>
            </v:textbox>
          </v:shape>
        </w:pict>
      </w:r>
    </w:p>
    <w:p w:rsidR="00A50FCF" w:rsidRPr="00D11BBF" w:rsidRDefault="00A50FCF" w:rsidP="00040C3A">
      <w:pPr>
        <w:tabs>
          <w:tab w:val="center" w:pos="5400"/>
        </w:tabs>
        <w:suppressAutoHyphens/>
        <w:jc w:val="center"/>
        <w:rPr>
          <w:rFonts w:ascii="Cambria" w:hAnsi="Cambria"/>
          <w:sz w:val="18"/>
          <w:szCs w:val="22"/>
          <w:lang w:val="es-ES_tradnl"/>
        </w:rPr>
      </w:pPr>
    </w:p>
    <w:p w:rsidR="0090270B" w:rsidRPr="00D11BBF" w:rsidRDefault="009D65C5" w:rsidP="005516A1">
      <w:pPr>
        <w:tabs>
          <w:tab w:val="center" w:pos="5400"/>
        </w:tabs>
        <w:suppressAutoHyphens/>
        <w:jc w:val="center"/>
        <w:rPr>
          <w:rFonts w:ascii="Cambria" w:hAnsi="Cambria"/>
          <w:b/>
          <w:sz w:val="20"/>
          <w:lang w:val="es-ES_tradnl"/>
        </w:rPr>
      </w:pPr>
      <w:r w:rsidRPr="00D11BBF">
        <w:rPr>
          <w:rFonts w:ascii="Cambria" w:hAnsi="Cambria"/>
          <w:noProof/>
        </w:rPr>
        <w:pict>
          <v:shape id="Text Box 9" o:spid="_x0000_s1027" type="#_x0000_t202" style="position:absolute;left:0;text-align:left;margin-left:104.7pt;margin-top:50.3pt;width:322.55pt;height:44.6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" stroked="f" strokeweight=".5pt">
            <v:textbox style="mso-next-textbox:#Text Box 9">
              <w:txbxContent>
                <w:p w:rsidR="00752F94" w:rsidRPr="009D65C5" w:rsidRDefault="009D65C5" w:rsidP="00F02AD1">
                  <w:pPr>
                    <w:rPr>
                      <w:color w:val="FFFFFF"/>
                    </w:rPr>
                  </w:pPr>
                  <w:r w:rsidRPr="009D65C5">
                    <w:rPr>
                      <w:noProof/>
                      <w:color w:val="FFFFFF"/>
                      <w:lang w:val="es-AR" w:eastAsia="es-AR"/>
                    </w:rPr>
                    <w:pict>
                      <v:shape id="Picture 15" o:spid="_x0000_i1026" type="#_x0000_t75" style="width:105.3pt;height:30.55pt;visibility:visible">
                        <v:imagedata r:id="rId9" o:title="oea-es"/>
                      </v:shape>
                    </w:pict>
                  </w:r>
                </w:p>
              </w:txbxContent>
            </v:textbox>
          </v:shape>
        </w:pict>
      </w:r>
      <w:r w:rsidRPr="00D11BBF">
        <w:rPr>
          <w:rFonts w:ascii="Cambria" w:hAnsi="Cambria"/>
          <w:noProof/>
        </w:rPr>
        <w:pict>
          <v:shape id="Text Box 4" o:spid="_x0000_s1026" type="#_x0000_t202" style="position:absolute;left:0;text-align:left;margin-left:-21.45pt;margin-top:72.05pt;width:93pt;height:26.2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" filled="f" stroked="f" strokeweight=".5pt">
            <v:textbox style="mso-next-textbox:#Text Box 4">
              <w:txbxContent>
                <w:p w:rsidR="00752F94" w:rsidRPr="009D65C5" w:rsidRDefault="00752F94" w:rsidP="00D306D1">
                  <w:pPr>
                    <w:jc w:val="center"/>
                    <w:rPr>
                      <w:rFonts w:ascii="Calibri" w:hAnsi="Calibri"/>
                      <w:b/>
                      <w:color w:val="FFFFFF"/>
                    </w:rPr>
                  </w:pPr>
                  <w:r w:rsidRPr="009D65C5">
                    <w:rPr>
                      <w:rFonts w:ascii="Calibri" w:hAnsi="Calibri"/>
                      <w:b/>
                      <w:color w:val="FFFFFF"/>
                      <w:lang w:val="pt-BR"/>
                    </w:rPr>
                    <w:t>www.cidh.org</w:t>
                  </w:r>
                </w:p>
              </w:txbxContent>
            </v:textbox>
          </v:shape>
        </w:pict>
      </w:r>
    </w:p>
    <w:p w:rsidR="0070697F" w:rsidRPr="00D11BBF" w:rsidRDefault="0070697F" w:rsidP="005516A1">
      <w:pPr>
        <w:tabs>
          <w:tab w:val="center" w:pos="5400"/>
        </w:tabs>
        <w:suppressAutoHyphens/>
        <w:jc w:val="center"/>
        <w:rPr>
          <w:rFonts w:ascii="Cambria" w:hAnsi="Cambria"/>
          <w:b/>
          <w:sz w:val="20"/>
          <w:lang w:val="es-ES_tradnl"/>
        </w:rPr>
        <w:sectPr w:rsidR="0070697F" w:rsidRPr="00D11BB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9B28A5" w:rsidRPr="00D11BBF" w:rsidRDefault="003340E5" w:rsidP="009B28A5">
      <w:pPr>
        <w:tabs>
          <w:tab w:val="center" w:pos="5400"/>
        </w:tabs>
        <w:suppressAutoHyphens/>
        <w:spacing w:line="276" w:lineRule="auto"/>
        <w:jc w:val="center"/>
        <w:rPr>
          <w:rFonts w:ascii="Cambria" w:hAnsi="Cambria"/>
          <w:b/>
          <w:sz w:val="18"/>
          <w:szCs w:val="20"/>
          <w:lang w:val="es-ES_tradnl"/>
        </w:rPr>
      </w:pPr>
      <w:r w:rsidRPr="00D11BBF">
        <w:rPr>
          <w:rFonts w:ascii="Cambria" w:hAnsi="Cambria"/>
          <w:b/>
          <w:sz w:val="18"/>
          <w:szCs w:val="20"/>
          <w:lang w:val="es-ES_tradnl"/>
        </w:rPr>
        <w:lastRenderedPageBreak/>
        <w:t xml:space="preserve">INFORME No. </w:t>
      </w:r>
      <w:r w:rsidR="00905A0B">
        <w:rPr>
          <w:rFonts w:ascii="Cambria" w:hAnsi="Cambria"/>
          <w:b/>
          <w:sz w:val="18"/>
          <w:szCs w:val="20"/>
          <w:lang w:val="es-ES_tradnl"/>
        </w:rPr>
        <w:t>6</w:t>
      </w:r>
      <w:r w:rsidR="007E7C11" w:rsidRPr="00D11BBF">
        <w:rPr>
          <w:rFonts w:ascii="Cambria" w:hAnsi="Cambria"/>
          <w:b/>
          <w:sz w:val="18"/>
          <w:szCs w:val="20"/>
          <w:lang w:val="es-ES_tradnl"/>
        </w:rPr>
        <w:t>/15</w:t>
      </w:r>
    </w:p>
    <w:p w:rsidR="009B28A5" w:rsidRPr="00D11BBF" w:rsidRDefault="009B28A5" w:rsidP="009B28A5">
      <w:pPr>
        <w:tabs>
          <w:tab w:val="center" w:pos="5400"/>
        </w:tabs>
        <w:suppressAutoHyphens/>
        <w:spacing w:line="276" w:lineRule="auto"/>
        <w:jc w:val="center"/>
        <w:rPr>
          <w:rFonts w:ascii="Cambria" w:hAnsi="Cambria"/>
          <w:b/>
          <w:sz w:val="18"/>
          <w:szCs w:val="20"/>
          <w:lang w:val="es-ES_tradnl"/>
        </w:rPr>
      </w:pPr>
      <w:r w:rsidRPr="00D11BBF">
        <w:rPr>
          <w:rFonts w:ascii="Cambria" w:hAnsi="Cambria"/>
          <w:b/>
          <w:sz w:val="18"/>
          <w:szCs w:val="20"/>
          <w:lang w:val="es-ES_tradnl"/>
        </w:rPr>
        <w:t xml:space="preserve">PETICIÓN </w:t>
      </w:r>
      <w:r w:rsidRPr="00D11BBF">
        <w:rPr>
          <w:rFonts w:ascii="Cambria" w:hAnsi="Cambria"/>
          <w:b/>
          <w:sz w:val="18"/>
          <w:lang w:val="es-ES_tradnl"/>
        </w:rPr>
        <w:t>518</w:t>
      </w:r>
      <w:r w:rsidRPr="00D11BBF">
        <w:rPr>
          <w:rFonts w:ascii="Cambria" w:hAnsi="Cambria"/>
          <w:b/>
          <w:sz w:val="18"/>
          <w:szCs w:val="20"/>
          <w:lang w:val="es-ES_tradnl"/>
        </w:rPr>
        <w:t>-</w:t>
      </w:r>
      <w:r w:rsidRPr="00D11BBF">
        <w:rPr>
          <w:rFonts w:ascii="Cambria" w:hAnsi="Cambria"/>
          <w:b/>
          <w:sz w:val="18"/>
          <w:lang w:val="es-ES_tradnl"/>
        </w:rPr>
        <w:t>03</w:t>
      </w:r>
    </w:p>
    <w:p w:rsidR="009B28A5" w:rsidRPr="00D11BBF" w:rsidRDefault="009B28A5" w:rsidP="009B28A5">
      <w:pPr>
        <w:tabs>
          <w:tab w:val="center" w:pos="5400"/>
        </w:tabs>
        <w:suppressAutoHyphens/>
        <w:spacing w:line="276" w:lineRule="auto"/>
        <w:jc w:val="center"/>
        <w:rPr>
          <w:rFonts w:ascii="Cambria" w:hAnsi="Cambria"/>
          <w:sz w:val="18"/>
          <w:szCs w:val="20"/>
          <w:lang w:val="es-ES_tradnl"/>
        </w:rPr>
      </w:pPr>
      <w:r w:rsidRPr="00D11BBF">
        <w:rPr>
          <w:rFonts w:ascii="Cambria" w:hAnsi="Cambria"/>
          <w:sz w:val="18"/>
          <w:szCs w:val="20"/>
          <w:lang w:val="es-ES_tradnl"/>
        </w:rPr>
        <w:t xml:space="preserve">INFORME DE ADMISIBILIDAD </w:t>
      </w:r>
    </w:p>
    <w:p w:rsidR="009B28A5" w:rsidRPr="00D11BBF" w:rsidRDefault="009B28A5" w:rsidP="009B28A5">
      <w:pPr>
        <w:widowControl w:val="0"/>
        <w:tabs>
          <w:tab w:val="center" w:pos="5400"/>
        </w:tabs>
        <w:suppressAutoHyphens/>
        <w:spacing w:line="276" w:lineRule="auto"/>
        <w:jc w:val="center"/>
        <w:rPr>
          <w:rFonts w:ascii="Cambria" w:hAnsi="Cambria"/>
          <w:sz w:val="18"/>
          <w:szCs w:val="20"/>
          <w:lang w:val="es-ES_tradnl"/>
        </w:rPr>
      </w:pPr>
      <w:r w:rsidRPr="00D11BBF">
        <w:rPr>
          <w:rFonts w:ascii="Cambria" w:hAnsi="Cambria"/>
          <w:sz w:val="18"/>
          <w:szCs w:val="20"/>
          <w:lang w:val="es-ES_tradnl"/>
        </w:rPr>
        <w:t xml:space="preserve">JORGE VILLARROEL Y OTROS </w:t>
      </w:r>
    </w:p>
    <w:p w:rsidR="009B28A5" w:rsidRPr="00D11BBF" w:rsidRDefault="009B28A5" w:rsidP="009B28A5">
      <w:pPr>
        <w:widowControl w:val="0"/>
        <w:tabs>
          <w:tab w:val="center" w:pos="5400"/>
        </w:tabs>
        <w:suppressAutoHyphens/>
        <w:spacing w:line="276" w:lineRule="auto"/>
        <w:jc w:val="center"/>
        <w:rPr>
          <w:rFonts w:ascii="Cambria" w:hAnsi="Cambria"/>
          <w:sz w:val="18"/>
          <w:szCs w:val="20"/>
          <w:lang w:val="es-ES_tradnl"/>
        </w:rPr>
      </w:pPr>
      <w:r w:rsidRPr="00D11BBF">
        <w:rPr>
          <w:rFonts w:ascii="Cambria" w:hAnsi="Cambria"/>
          <w:sz w:val="18"/>
          <w:szCs w:val="20"/>
          <w:lang w:val="es-ES_tradnl"/>
        </w:rPr>
        <w:t xml:space="preserve">ECUADOR </w:t>
      </w:r>
    </w:p>
    <w:p w:rsidR="009B28A5" w:rsidRPr="00D11BBF" w:rsidRDefault="00377AC3" w:rsidP="009B28A5">
      <w:pPr>
        <w:widowControl w:val="0"/>
        <w:tabs>
          <w:tab w:val="center" w:pos="5400"/>
        </w:tabs>
        <w:suppressAutoHyphens/>
        <w:spacing w:line="276" w:lineRule="auto"/>
        <w:jc w:val="center"/>
        <w:rPr>
          <w:rFonts w:ascii="Cambria" w:hAnsi="Cambria"/>
          <w:sz w:val="18"/>
          <w:szCs w:val="20"/>
          <w:lang w:val="es-ES_tradnl"/>
        </w:rPr>
      </w:pPr>
      <w:r w:rsidRPr="00D11BBF">
        <w:rPr>
          <w:rFonts w:ascii="Cambria" w:hAnsi="Cambria"/>
          <w:sz w:val="18"/>
          <w:szCs w:val="20"/>
          <w:lang w:val="es-ES_tradnl"/>
        </w:rPr>
        <w:t>29</w:t>
      </w:r>
      <w:r w:rsidR="00674EC3" w:rsidRPr="00D11BBF">
        <w:rPr>
          <w:rFonts w:ascii="Cambria" w:hAnsi="Cambria"/>
          <w:sz w:val="18"/>
          <w:szCs w:val="20"/>
          <w:lang w:val="es-ES_tradnl"/>
        </w:rPr>
        <w:t xml:space="preserve"> DE </w:t>
      </w:r>
      <w:r w:rsidRPr="00D11BBF">
        <w:rPr>
          <w:rFonts w:ascii="Cambria" w:hAnsi="Cambria"/>
          <w:sz w:val="18"/>
          <w:szCs w:val="20"/>
          <w:lang w:val="es-ES_tradnl"/>
        </w:rPr>
        <w:t>ENERO</w:t>
      </w:r>
      <w:r w:rsidR="00674EC3" w:rsidRPr="00D11BBF">
        <w:rPr>
          <w:rFonts w:ascii="Cambria" w:hAnsi="Cambria"/>
          <w:sz w:val="18"/>
          <w:szCs w:val="20"/>
          <w:lang w:val="es-ES_tradnl"/>
        </w:rPr>
        <w:t xml:space="preserve"> DE 2015</w:t>
      </w:r>
    </w:p>
    <w:p w:rsidR="007B1702" w:rsidRPr="00D11BBF" w:rsidRDefault="007B1702" w:rsidP="007B1702">
      <w:pPr>
        <w:rPr>
          <w:rFonts w:ascii="Cambria" w:hAnsi="Cambria" w:cs="Calibri"/>
          <w:sz w:val="20"/>
          <w:szCs w:val="20"/>
          <w:lang w:val="es-ES_tradnl"/>
        </w:rPr>
      </w:pPr>
    </w:p>
    <w:p w:rsidR="003340E5" w:rsidRPr="00D11BBF" w:rsidRDefault="003340E5" w:rsidP="007B1702">
      <w:pPr>
        <w:rPr>
          <w:rFonts w:ascii="Cambria" w:hAnsi="Cambria" w:cs="Calibri"/>
          <w:sz w:val="20"/>
          <w:szCs w:val="20"/>
          <w:lang w:val="es-ES_tradnl"/>
        </w:rPr>
      </w:pPr>
    </w:p>
    <w:p w:rsidR="007B1702" w:rsidRPr="00D11BBF" w:rsidRDefault="007B1702" w:rsidP="00674EC3">
      <w:pPr>
        <w:pStyle w:val="Heading1"/>
        <w:numPr>
          <w:ilvl w:val="0"/>
          <w:numId w:val="56"/>
        </w:numPr>
        <w:rPr>
          <w:color w:val="auto"/>
        </w:rPr>
      </w:pPr>
      <w:r w:rsidRPr="00D11BBF">
        <w:rPr>
          <w:color w:val="auto"/>
        </w:rPr>
        <w:t>RESUMEN</w:t>
      </w:r>
    </w:p>
    <w:p w:rsidR="007B1702" w:rsidRPr="00D11BBF" w:rsidRDefault="007B1702" w:rsidP="007B1702">
      <w:pPr>
        <w:rPr>
          <w:rFonts w:ascii="Cambria" w:hAnsi="Cambria" w:cs="Calibri"/>
          <w:sz w:val="20"/>
          <w:szCs w:val="20"/>
          <w:lang w:val="es-ES_tradnl"/>
        </w:rPr>
      </w:pPr>
    </w:p>
    <w:p w:rsidR="008E4E69" w:rsidRPr="00D11BBF" w:rsidRDefault="007B1702" w:rsidP="008E4E69">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ES_tradnl"/>
        </w:rPr>
      </w:pPr>
      <w:r w:rsidRPr="00D11BBF">
        <w:rPr>
          <w:rFonts w:ascii="Cambria" w:hAnsi="Cambria" w:cs="Calibri"/>
          <w:sz w:val="20"/>
          <w:szCs w:val="20"/>
          <w:lang w:val="es-ES_tradnl"/>
        </w:rPr>
        <w:t>El 15 de julio de 2003 la Comisión Interamericana de Derechos Humanos (en adelante “la Comisión” o “la CIDH”) recibió una petición</w:t>
      </w:r>
      <w:r w:rsidR="00867BE8" w:rsidRPr="00D11BBF">
        <w:rPr>
          <w:rStyle w:val="FootnoteReference"/>
          <w:rFonts w:ascii="Cambria" w:hAnsi="Cambria" w:cs="Calibri"/>
          <w:sz w:val="20"/>
          <w:szCs w:val="20"/>
          <w:lang w:val="es-ES_tradnl"/>
        </w:rPr>
        <w:footnoteReference w:id="2"/>
      </w:r>
      <w:r w:rsidRPr="00D11BBF">
        <w:rPr>
          <w:rFonts w:ascii="Cambria" w:hAnsi="Cambria" w:cs="Calibri"/>
          <w:sz w:val="20"/>
          <w:szCs w:val="20"/>
          <w:lang w:val="es-ES_tradnl"/>
        </w:rPr>
        <w:t xml:space="preserve"> a favor de los </w:t>
      </w:r>
      <w:r w:rsidR="00935E36" w:rsidRPr="00D11BBF">
        <w:rPr>
          <w:rFonts w:ascii="Cambria" w:hAnsi="Cambria" w:cs="Calibri"/>
          <w:sz w:val="20"/>
          <w:szCs w:val="20"/>
          <w:lang w:val="es-ES_tradnl"/>
        </w:rPr>
        <w:t>oficiales de la Policía Nacional del Ecuador:</w:t>
      </w:r>
      <w:r w:rsidRPr="00D11BBF">
        <w:rPr>
          <w:rFonts w:ascii="Cambria" w:hAnsi="Cambria" w:cs="Calibri"/>
          <w:sz w:val="20"/>
          <w:szCs w:val="20"/>
          <w:lang w:val="es-ES_tradnl"/>
        </w:rPr>
        <w:t xml:space="preserve"> Jorge Villarroel Merino, Mario Rommel Cevallos Moreno, Jorge Coloma Gaybor, Fernando López Ortiz, Amílcar Ascazubi Albán y Patricio Vinuesa Pánchez (en adelante “las presuntas víctimas”) en la cual alega la responsabilidad de la República de Ecuador (en adelant</w:t>
      </w:r>
      <w:r w:rsidR="008E4E69" w:rsidRPr="00D11BBF">
        <w:rPr>
          <w:rFonts w:ascii="Cambria" w:hAnsi="Cambria" w:cs="Calibri"/>
          <w:sz w:val="20"/>
          <w:szCs w:val="20"/>
          <w:lang w:val="es-ES_tradnl"/>
        </w:rPr>
        <w:t xml:space="preserve">e “el Estado” o “Ecuador”) por la supuesta violación </w:t>
      </w:r>
      <w:r w:rsidR="008E4E69" w:rsidRPr="00D11BBF">
        <w:rPr>
          <w:rFonts w:ascii="Cambria" w:hAnsi="Cambria" w:cs="Calibri"/>
          <w:sz w:val="20"/>
          <w:szCs w:val="20"/>
          <w:lang w:val="es-PE"/>
        </w:rPr>
        <w:t xml:space="preserve">a los derechos contenidos en los artículos </w:t>
      </w:r>
      <w:r w:rsidR="008E4E69" w:rsidRPr="00D11BBF">
        <w:rPr>
          <w:rFonts w:ascii="Cambria" w:hAnsi="Cambria" w:cs="Calibri"/>
          <w:sz w:val="20"/>
          <w:szCs w:val="20"/>
          <w:lang w:val="es-ES_tradnl"/>
        </w:rPr>
        <w:t>1.1 (obligación de respetar los derechos), 7 (libertad personal), 8 (garantías judiciales), 9 (principio de legalidad y de retroactividad), 10 (indemnización), 11 (protección de la honra y dignidad), 21 (propiedad priv</w:t>
      </w:r>
      <w:r w:rsidR="007E7C11" w:rsidRPr="00D11BBF">
        <w:rPr>
          <w:rFonts w:ascii="Cambria" w:hAnsi="Cambria" w:cs="Calibri"/>
          <w:sz w:val="20"/>
          <w:szCs w:val="20"/>
          <w:lang w:val="es-ES_tradnl"/>
        </w:rPr>
        <w:t>ada), 24 (igualdad ante la ley)</w:t>
      </w:r>
      <w:r w:rsidR="008E4E69" w:rsidRPr="00D11BBF">
        <w:rPr>
          <w:rFonts w:ascii="Cambria" w:hAnsi="Cambria" w:cs="Calibri"/>
          <w:sz w:val="20"/>
          <w:szCs w:val="20"/>
          <w:lang w:val="es-ES_tradnl"/>
        </w:rPr>
        <w:t xml:space="preserve"> y 25 (protección judicial) de la Convención Americana sobre D</w:t>
      </w:r>
      <w:r w:rsidR="007E7C11" w:rsidRPr="00D11BBF">
        <w:rPr>
          <w:rFonts w:ascii="Cambria" w:hAnsi="Cambria" w:cs="Calibri"/>
          <w:sz w:val="20"/>
          <w:szCs w:val="20"/>
          <w:lang w:val="es-ES_tradnl"/>
        </w:rPr>
        <w:t xml:space="preserve">erechos Humanos (en adelante </w:t>
      </w:r>
      <w:r w:rsidR="008E4E69" w:rsidRPr="00D11BBF">
        <w:rPr>
          <w:rFonts w:ascii="Cambria" w:hAnsi="Cambria" w:cs="Calibri"/>
          <w:sz w:val="20"/>
          <w:szCs w:val="20"/>
          <w:lang w:val="es-ES_tradnl"/>
        </w:rPr>
        <w:t>“</w:t>
      </w:r>
      <w:r w:rsidR="007E7C11" w:rsidRPr="00D11BBF">
        <w:rPr>
          <w:rFonts w:ascii="Cambria" w:hAnsi="Cambria" w:cs="Calibri"/>
          <w:sz w:val="20"/>
          <w:szCs w:val="20"/>
          <w:lang w:val="es-ES_tradnl"/>
        </w:rPr>
        <w:t xml:space="preserve">la </w:t>
      </w:r>
      <w:r w:rsidR="008E4E69" w:rsidRPr="00D11BBF">
        <w:rPr>
          <w:rFonts w:ascii="Cambria" w:hAnsi="Cambria" w:cs="Calibri"/>
          <w:sz w:val="20"/>
          <w:szCs w:val="20"/>
          <w:lang w:val="es-ES_tradnl"/>
        </w:rPr>
        <w:t>Convención Americana” o “</w:t>
      </w:r>
      <w:r w:rsidR="007E7C11" w:rsidRPr="00D11BBF">
        <w:rPr>
          <w:rFonts w:ascii="Cambria" w:hAnsi="Cambria" w:cs="Calibri"/>
          <w:sz w:val="20"/>
          <w:szCs w:val="20"/>
          <w:lang w:val="es-ES_tradnl"/>
        </w:rPr>
        <w:t xml:space="preserve">la </w:t>
      </w:r>
      <w:r w:rsidR="008E4E69" w:rsidRPr="00D11BBF">
        <w:rPr>
          <w:rFonts w:ascii="Cambria" w:hAnsi="Cambria" w:cs="Calibri"/>
          <w:sz w:val="20"/>
          <w:szCs w:val="20"/>
          <w:lang w:val="es-ES_tradnl"/>
        </w:rPr>
        <w:t>Convención</w:t>
      </w:r>
      <w:r w:rsidR="00867BE8" w:rsidRPr="00D11BBF">
        <w:rPr>
          <w:rFonts w:ascii="Cambria" w:hAnsi="Cambria" w:cs="Calibri"/>
          <w:sz w:val="20"/>
          <w:szCs w:val="20"/>
          <w:lang w:val="es-ES_tradnl"/>
        </w:rPr>
        <w:t>”)</w:t>
      </w:r>
      <w:r w:rsidR="008E4E69" w:rsidRPr="00D11BBF">
        <w:rPr>
          <w:rFonts w:ascii="Cambria" w:hAnsi="Cambria" w:cs="Calibri"/>
          <w:sz w:val="20"/>
          <w:szCs w:val="20"/>
          <w:lang w:val="es-ES_tradnl"/>
        </w:rPr>
        <w:t xml:space="preserve"> y a los artículos I (vida, libertad, seguridad e integridad), II (igualdad ante la ley), XVIII (derecho de justicia), XXV (protección contra detención arbitraria)</w:t>
      </w:r>
      <w:r w:rsidR="007E7C11" w:rsidRPr="00D11BBF">
        <w:rPr>
          <w:rFonts w:ascii="Cambria" w:hAnsi="Cambria" w:cs="Calibri"/>
          <w:sz w:val="20"/>
          <w:szCs w:val="20"/>
          <w:lang w:val="es-ES_tradnl"/>
        </w:rPr>
        <w:t xml:space="preserve"> y</w:t>
      </w:r>
      <w:r w:rsidR="008E4E69" w:rsidRPr="00D11BBF">
        <w:rPr>
          <w:rFonts w:ascii="Cambria" w:hAnsi="Cambria" w:cs="Calibri"/>
          <w:sz w:val="20"/>
          <w:szCs w:val="20"/>
          <w:lang w:val="es-ES_tradnl"/>
        </w:rPr>
        <w:t xml:space="preserve"> XXVI (derecho a un proceso regular) de la Declaración Americana de Derechos y Deberes del Hombre</w:t>
      </w:r>
      <w:r w:rsidR="00A63756" w:rsidRPr="00D11BBF">
        <w:rPr>
          <w:rFonts w:ascii="Cambria" w:hAnsi="Cambria" w:cs="Calibri"/>
          <w:sz w:val="20"/>
          <w:szCs w:val="20"/>
          <w:lang w:val="es-ES_tradnl"/>
        </w:rPr>
        <w:t xml:space="preserve"> (en adelante “la Declaración”)</w:t>
      </w:r>
      <w:r w:rsidR="00490FDC" w:rsidRPr="00D11BBF">
        <w:rPr>
          <w:rFonts w:ascii="Cambria" w:hAnsi="Cambria" w:cs="Calibri"/>
          <w:sz w:val="20"/>
          <w:szCs w:val="20"/>
          <w:lang w:val="es-ES_tradnl"/>
        </w:rPr>
        <w:t>,</w:t>
      </w:r>
      <w:r w:rsidR="008E4E69" w:rsidRPr="00D11BBF">
        <w:rPr>
          <w:rFonts w:ascii="Cambria" w:hAnsi="Cambria" w:cs="Calibri"/>
          <w:sz w:val="20"/>
          <w:szCs w:val="20"/>
          <w:lang w:val="es-ES_tradnl"/>
        </w:rPr>
        <w:t xml:space="preserve"> </w:t>
      </w:r>
      <w:r w:rsidR="009A0632" w:rsidRPr="00D11BBF">
        <w:rPr>
          <w:rFonts w:ascii="Cambria" w:hAnsi="Cambria" w:cs="Calibri"/>
          <w:sz w:val="20"/>
          <w:szCs w:val="20"/>
          <w:lang w:val="es-ES_tradnl"/>
        </w:rPr>
        <w:t>respecto</w:t>
      </w:r>
      <w:r w:rsidR="008E4E69" w:rsidRPr="00D11BBF">
        <w:rPr>
          <w:rFonts w:ascii="Cambria" w:hAnsi="Cambria" w:cs="Calibri"/>
          <w:sz w:val="20"/>
          <w:szCs w:val="20"/>
          <w:lang w:val="es-ES_tradnl"/>
        </w:rPr>
        <w:t xml:space="preserve"> </w:t>
      </w:r>
      <w:r w:rsidR="002F71AC" w:rsidRPr="00D11BBF">
        <w:rPr>
          <w:rFonts w:ascii="Cambria" w:hAnsi="Cambria" w:cs="Calibri"/>
          <w:sz w:val="20"/>
          <w:szCs w:val="20"/>
          <w:lang w:val="es-ES_tradnl"/>
        </w:rPr>
        <w:t xml:space="preserve">a un </w:t>
      </w:r>
      <w:r w:rsidR="0052778A" w:rsidRPr="00D11BBF">
        <w:rPr>
          <w:rFonts w:ascii="Cambria" w:hAnsi="Cambria" w:cs="Calibri"/>
          <w:sz w:val="20"/>
          <w:szCs w:val="20"/>
          <w:lang w:val="es-ES_tradnl"/>
        </w:rPr>
        <w:t xml:space="preserve">proceso penal </w:t>
      </w:r>
      <w:r w:rsidR="003A17B4" w:rsidRPr="00D11BBF">
        <w:rPr>
          <w:rFonts w:ascii="Cambria" w:hAnsi="Cambria" w:cs="Calibri"/>
          <w:sz w:val="20"/>
          <w:szCs w:val="20"/>
          <w:lang w:val="es-ES_tradnl"/>
        </w:rPr>
        <w:t>p</w:t>
      </w:r>
      <w:r w:rsidR="00C42532" w:rsidRPr="00D11BBF">
        <w:rPr>
          <w:rFonts w:ascii="Cambria" w:hAnsi="Cambria" w:cs="Calibri"/>
          <w:sz w:val="20"/>
          <w:szCs w:val="20"/>
          <w:lang w:val="es-ES_tradnl"/>
        </w:rPr>
        <w:t xml:space="preserve">or peculado abierto en </w:t>
      </w:r>
      <w:r w:rsidR="003A17B4" w:rsidRPr="00D11BBF">
        <w:rPr>
          <w:rFonts w:ascii="Cambria" w:hAnsi="Cambria" w:cs="Calibri"/>
          <w:sz w:val="20"/>
          <w:szCs w:val="20"/>
          <w:lang w:val="es-ES_tradnl"/>
        </w:rPr>
        <w:t xml:space="preserve">contra </w:t>
      </w:r>
      <w:r w:rsidR="00C42532" w:rsidRPr="00D11BBF">
        <w:rPr>
          <w:rFonts w:ascii="Cambria" w:hAnsi="Cambria" w:cs="Calibri"/>
          <w:sz w:val="20"/>
          <w:szCs w:val="20"/>
          <w:lang w:val="es-ES_tradnl"/>
        </w:rPr>
        <w:t xml:space="preserve">de </w:t>
      </w:r>
      <w:r w:rsidR="008E4E69" w:rsidRPr="00D11BBF">
        <w:rPr>
          <w:rFonts w:ascii="Cambria" w:hAnsi="Cambria" w:cs="Calibri"/>
          <w:sz w:val="20"/>
          <w:szCs w:val="20"/>
          <w:lang w:val="es-ES_tradnl"/>
        </w:rPr>
        <w:t>las presuntas víctimas</w:t>
      </w:r>
      <w:r w:rsidR="009A0632" w:rsidRPr="00D11BBF">
        <w:rPr>
          <w:rFonts w:ascii="Cambria" w:hAnsi="Cambria" w:cs="Calibri"/>
          <w:sz w:val="20"/>
          <w:szCs w:val="20"/>
          <w:lang w:val="es-ES_tradnl"/>
        </w:rPr>
        <w:t>.</w:t>
      </w:r>
    </w:p>
    <w:p w:rsidR="007B1702" w:rsidRPr="00D11BBF" w:rsidRDefault="007B1702" w:rsidP="007B1702">
      <w:pPr>
        <w:pStyle w:val="BodyText"/>
        <w:spacing w:after="0"/>
        <w:jc w:val="both"/>
        <w:rPr>
          <w:rFonts w:ascii="Cambria" w:hAnsi="Cambria" w:cs="Calibri"/>
          <w:sz w:val="20"/>
          <w:szCs w:val="20"/>
          <w:lang w:val="es-ES_tradnl"/>
        </w:rPr>
      </w:pPr>
    </w:p>
    <w:p w:rsidR="007B1702" w:rsidRPr="00D11BBF" w:rsidRDefault="00347E3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ES_tradnl"/>
        </w:rPr>
      </w:pPr>
      <w:r w:rsidRPr="00D11BBF">
        <w:rPr>
          <w:rFonts w:ascii="Cambria" w:hAnsi="Cambria" w:cs="Calibri"/>
          <w:sz w:val="20"/>
          <w:szCs w:val="20"/>
          <w:lang w:val="es-ES_tradnl"/>
        </w:rPr>
        <w:t>Por su parte, e</w:t>
      </w:r>
      <w:r w:rsidR="007B1702" w:rsidRPr="00D11BBF">
        <w:rPr>
          <w:rFonts w:ascii="Cambria" w:hAnsi="Cambria" w:cs="Calibri"/>
          <w:sz w:val="20"/>
          <w:szCs w:val="20"/>
          <w:lang w:val="es-ES_tradnl"/>
        </w:rPr>
        <w:t>l Estado alega que el reclamo es inadmisible por falta de agotamiento de los recursos internos</w:t>
      </w:r>
      <w:r w:rsidR="008A1E92" w:rsidRPr="00D11BBF">
        <w:rPr>
          <w:rFonts w:ascii="Cambria" w:hAnsi="Cambria" w:cs="Calibri"/>
          <w:sz w:val="20"/>
          <w:szCs w:val="20"/>
          <w:lang w:val="es-ES_tradnl"/>
        </w:rPr>
        <w:t xml:space="preserve"> </w:t>
      </w:r>
      <w:r w:rsidR="008D528B" w:rsidRPr="00D11BBF">
        <w:rPr>
          <w:rFonts w:ascii="Cambria" w:hAnsi="Cambria" w:cs="Calibri"/>
          <w:sz w:val="20"/>
          <w:szCs w:val="20"/>
          <w:lang w:val="es-ES_tradnl"/>
        </w:rPr>
        <w:t>al</w:t>
      </w:r>
      <w:r w:rsidR="008A1E92" w:rsidRPr="00D11BBF">
        <w:rPr>
          <w:rFonts w:ascii="Cambria" w:hAnsi="Cambria" w:cs="Calibri"/>
          <w:sz w:val="20"/>
          <w:szCs w:val="20"/>
          <w:lang w:val="es-ES_tradnl"/>
        </w:rPr>
        <w:t xml:space="preserve"> haber presentad</w:t>
      </w:r>
      <w:r w:rsidR="002D7B4B" w:rsidRPr="00D11BBF">
        <w:rPr>
          <w:rFonts w:ascii="Cambria" w:hAnsi="Cambria" w:cs="Calibri"/>
          <w:sz w:val="20"/>
          <w:szCs w:val="20"/>
          <w:lang w:val="es-ES_tradnl"/>
        </w:rPr>
        <w:t>o</w:t>
      </w:r>
      <w:r w:rsidR="008A1E92" w:rsidRPr="00D11BBF">
        <w:rPr>
          <w:rFonts w:ascii="Cambria" w:hAnsi="Cambria" w:cs="Calibri"/>
          <w:sz w:val="20"/>
          <w:szCs w:val="20"/>
          <w:lang w:val="es-ES_tradnl"/>
        </w:rPr>
        <w:t xml:space="preserve"> la petición antes de culminar con las instancias internas. Asimismo, </w:t>
      </w:r>
      <w:r w:rsidR="002D7B4B" w:rsidRPr="00D11BBF">
        <w:rPr>
          <w:rFonts w:ascii="Cambria" w:hAnsi="Cambria" w:cs="Calibri"/>
          <w:sz w:val="20"/>
          <w:szCs w:val="20"/>
          <w:lang w:val="es-ES_tradnl"/>
        </w:rPr>
        <w:t>refiere</w:t>
      </w:r>
      <w:r w:rsidR="008A1E92" w:rsidRPr="00D11BBF">
        <w:rPr>
          <w:rFonts w:ascii="Cambria" w:hAnsi="Cambria" w:cs="Calibri"/>
          <w:sz w:val="20"/>
          <w:szCs w:val="20"/>
          <w:lang w:val="es-ES_tradnl"/>
        </w:rPr>
        <w:t xml:space="preserve"> que </w:t>
      </w:r>
      <w:r w:rsidR="00490FDC" w:rsidRPr="00D11BBF">
        <w:rPr>
          <w:rFonts w:ascii="Cambria" w:hAnsi="Cambria" w:cs="Calibri"/>
          <w:sz w:val="20"/>
          <w:szCs w:val="20"/>
          <w:lang w:val="es-ES_tradnl"/>
        </w:rPr>
        <w:t xml:space="preserve">éste </w:t>
      </w:r>
      <w:r w:rsidR="007B1702" w:rsidRPr="00D11BBF">
        <w:rPr>
          <w:rFonts w:ascii="Cambria" w:hAnsi="Cambria" w:cs="Calibri"/>
          <w:sz w:val="20"/>
          <w:szCs w:val="20"/>
          <w:lang w:val="es-ES_tradnl"/>
        </w:rPr>
        <w:t xml:space="preserve">no expone hechos que tiendan a caracterizar violaciones a los derechos establecidos en la Convención y que los recursos judiciales intentados dentro de su proceso penal fueron </w:t>
      </w:r>
      <w:r w:rsidR="008D528B" w:rsidRPr="00D11BBF">
        <w:rPr>
          <w:rFonts w:ascii="Cambria" w:hAnsi="Cambria" w:cs="Calibri"/>
          <w:sz w:val="20"/>
          <w:szCs w:val="20"/>
          <w:lang w:val="es-ES_tradnl"/>
        </w:rPr>
        <w:t xml:space="preserve">efectivos, </w:t>
      </w:r>
      <w:r w:rsidR="00490FDC" w:rsidRPr="00D11BBF">
        <w:rPr>
          <w:rFonts w:ascii="Cambria" w:hAnsi="Cambria" w:cs="Calibri"/>
          <w:sz w:val="20"/>
          <w:szCs w:val="20"/>
          <w:lang w:val="es-ES_tradnl"/>
        </w:rPr>
        <w:t xml:space="preserve">puesto que resultaron en la </w:t>
      </w:r>
      <w:r w:rsidR="007B1702" w:rsidRPr="00D11BBF">
        <w:rPr>
          <w:rFonts w:ascii="Cambria" w:hAnsi="Cambria" w:cs="Calibri"/>
          <w:sz w:val="20"/>
          <w:szCs w:val="20"/>
          <w:lang w:val="es-ES_tradnl"/>
        </w:rPr>
        <w:t>absolución de las presuntas víctimas</w:t>
      </w:r>
      <w:r w:rsidR="00D065EA" w:rsidRPr="00D11BBF">
        <w:rPr>
          <w:rFonts w:ascii="Cambria" w:hAnsi="Cambria" w:cs="Calibri"/>
          <w:sz w:val="20"/>
          <w:szCs w:val="20"/>
          <w:lang w:val="es-ES_tradnl"/>
        </w:rPr>
        <w:t xml:space="preserve">. </w:t>
      </w:r>
    </w:p>
    <w:p w:rsidR="007B1702" w:rsidRPr="00D11BBF" w:rsidRDefault="007B1702" w:rsidP="007B1702">
      <w:pPr>
        <w:pStyle w:val="BodyText"/>
        <w:spacing w:after="0"/>
        <w:jc w:val="both"/>
        <w:rPr>
          <w:rFonts w:ascii="Cambria" w:hAnsi="Cambria" w:cs="Calibri"/>
          <w:sz w:val="20"/>
          <w:szCs w:val="20"/>
          <w:lang w:val="es-ES_tradnl"/>
        </w:rPr>
      </w:pPr>
    </w:p>
    <w:p w:rsidR="007B1702"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jc w:val="both"/>
        <w:rPr>
          <w:rFonts w:ascii="Cambria" w:hAnsi="Cambria" w:cs="Calibri"/>
          <w:sz w:val="20"/>
          <w:szCs w:val="20"/>
          <w:lang w:val="es-ES_tradnl"/>
        </w:rPr>
      </w:pPr>
      <w:r w:rsidRPr="00D11BBF">
        <w:rPr>
          <w:rFonts w:ascii="Cambria" w:hAnsi="Cambria" w:cs="Calibri"/>
          <w:sz w:val="20"/>
          <w:szCs w:val="20"/>
          <w:lang w:val="es-ES_tradnl"/>
        </w:rPr>
        <w:t>Tras analizar las posiciones de las partes y el cumplimiento con los requisitos previstos en los artículos 46 y 47 de la Convención, la C</w:t>
      </w:r>
      <w:r w:rsidR="00A63756" w:rsidRPr="00D11BBF">
        <w:rPr>
          <w:rFonts w:ascii="Cambria" w:hAnsi="Cambria" w:cs="Calibri"/>
          <w:sz w:val="20"/>
          <w:szCs w:val="20"/>
          <w:lang w:val="es-ES_tradnl"/>
        </w:rPr>
        <w:t>IDH</w:t>
      </w:r>
      <w:r w:rsidRPr="00D11BBF">
        <w:rPr>
          <w:rFonts w:ascii="Cambria" w:hAnsi="Cambria" w:cs="Calibri"/>
          <w:sz w:val="20"/>
          <w:szCs w:val="20"/>
          <w:lang w:val="es-ES_tradnl"/>
        </w:rPr>
        <w:t xml:space="preserve"> decidió declarar admisibles los reclamos sobre la presunta violación de los artículos  7, 8, 9 y 25 de la Convención en con</w:t>
      </w:r>
      <w:r w:rsidR="003340E5" w:rsidRPr="00D11BBF">
        <w:rPr>
          <w:rFonts w:ascii="Cambria" w:hAnsi="Cambria" w:cs="Calibri"/>
          <w:sz w:val="20"/>
          <w:szCs w:val="20"/>
          <w:lang w:val="es-ES_tradnl"/>
        </w:rPr>
        <w:t xml:space="preserve">cordancia con su artículo 1.1. </w:t>
      </w:r>
      <w:r w:rsidRPr="00D11BBF">
        <w:rPr>
          <w:rFonts w:ascii="Cambria" w:hAnsi="Cambria" w:cs="Calibri"/>
          <w:sz w:val="20"/>
          <w:szCs w:val="20"/>
          <w:lang w:val="es-ES_tradnl"/>
        </w:rPr>
        <w:t>Por otro lado, declara inadmisible la petición relativa a los artículos 10, 11, 21 y 24 de la C</w:t>
      </w:r>
      <w:r w:rsidR="00A63756" w:rsidRPr="00D11BBF">
        <w:rPr>
          <w:rFonts w:ascii="Cambria" w:hAnsi="Cambria" w:cs="Calibri"/>
          <w:sz w:val="20"/>
          <w:szCs w:val="20"/>
          <w:lang w:val="es-ES_tradnl"/>
        </w:rPr>
        <w:t>onvención</w:t>
      </w:r>
      <w:r w:rsidRPr="00D11BBF">
        <w:rPr>
          <w:rFonts w:ascii="Cambria" w:hAnsi="Cambria" w:cs="Calibri"/>
          <w:sz w:val="20"/>
          <w:szCs w:val="20"/>
          <w:lang w:val="es-ES_tradnl"/>
        </w:rPr>
        <w:t xml:space="preserve"> y relativos a los artículos I, II, XVIII, XXV y XXVI de la Declaración. Asimismo, </w:t>
      </w:r>
      <w:r w:rsidR="007E0228" w:rsidRPr="00D11BBF">
        <w:rPr>
          <w:rFonts w:ascii="Cambria" w:hAnsi="Cambria" w:cs="Calibri"/>
          <w:sz w:val="20"/>
          <w:szCs w:val="20"/>
          <w:lang w:val="es-ES_tradnl"/>
        </w:rPr>
        <w:t xml:space="preserve">la CIDH </w:t>
      </w:r>
      <w:r w:rsidRPr="00D11BBF">
        <w:rPr>
          <w:rFonts w:ascii="Cambria" w:hAnsi="Cambria" w:cs="Calibri"/>
          <w:sz w:val="20"/>
          <w:szCs w:val="20"/>
          <w:lang w:val="es-ES_tradnl"/>
        </w:rPr>
        <w:t>decidió notificar el informe a las partes y ordenar su publicación en su informe anual a la Asamblea General de la OEA.</w:t>
      </w:r>
    </w:p>
    <w:p w:rsidR="007B1702" w:rsidRPr="00D11BBF" w:rsidRDefault="007B1702" w:rsidP="007B1702">
      <w:pPr>
        <w:rPr>
          <w:rFonts w:ascii="Cambria" w:hAnsi="Cambria" w:cs="Calibri"/>
          <w:sz w:val="20"/>
          <w:szCs w:val="20"/>
          <w:lang w:val="es-ES_tradnl"/>
        </w:rPr>
      </w:pPr>
    </w:p>
    <w:p w:rsidR="007B1702" w:rsidRPr="00D11BBF" w:rsidRDefault="007B1702" w:rsidP="00674EC3">
      <w:pPr>
        <w:pStyle w:val="Heading1"/>
        <w:numPr>
          <w:ilvl w:val="0"/>
          <w:numId w:val="56"/>
        </w:numPr>
        <w:rPr>
          <w:color w:val="auto"/>
        </w:rPr>
      </w:pPr>
      <w:r w:rsidRPr="00D11BBF">
        <w:rPr>
          <w:color w:val="auto"/>
        </w:rPr>
        <w:t>TRÁMITE ANTE LA CIDH</w:t>
      </w:r>
    </w:p>
    <w:p w:rsidR="007B1702" w:rsidRPr="00D11BBF" w:rsidRDefault="007B1702" w:rsidP="007B1702">
      <w:pPr>
        <w:rPr>
          <w:rFonts w:ascii="Cambria" w:hAnsi="Cambria" w:cs="Calibri"/>
          <w:sz w:val="20"/>
          <w:szCs w:val="20"/>
          <w:lang w:val="es-ES_tradnl"/>
        </w:rPr>
      </w:pPr>
    </w:p>
    <w:p w:rsidR="00935E36"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jc w:val="both"/>
        <w:rPr>
          <w:rFonts w:ascii="Cambria" w:hAnsi="Cambria" w:cs="Calibri"/>
          <w:sz w:val="20"/>
          <w:szCs w:val="20"/>
          <w:lang w:val="es-ES_tradnl"/>
        </w:rPr>
      </w:pPr>
      <w:r w:rsidRPr="00D11BBF">
        <w:rPr>
          <w:rFonts w:ascii="Cambria" w:hAnsi="Cambria" w:cs="Calibri"/>
          <w:sz w:val="20"/>
          <w:szCs w:val="20"/>
          <w:lang w:val="es-PE"/>
        </w:rPr>
        <w:t>La Comisión recibió la petición el 15 de julio de 2003</w:t>
      </w:r>
      <w:r w:rsidR="00490FDC" w:rsidRPr="00D11BBF">
        <w:rPr>
          <w:rFonts w:ascii="Cambria" w:hAnsi="Cambria" w:cs="Calibri"/>
          <w:sz w:val="20"/>
          <w:szCs w:val="20"/>
          <w:lang w:val="es-PE"/>
        </w:rPr>
        <w:t xml:space="preserve"> e información adicional el 21 de julio siguiente</w:t>
      </w:r>
      <w:r w:rsidR="00F83D3A" w:rsidRPr="00D11BBF">
        <w:rPr>
          <w:rFonts w:ascii="Cambria" w:hAnsi="Cambria" w:cs="Calibri"/>
          <w:sz w:val="20"/>
          <w:szCs w:val="20"/>
          <w:lang w:val="es-PE"/>
        </w:rPr>
        <w:t xml:space="preserve">.  </w:t>
      </w:r>
      <w:r w:rsidR="003A17B4" w:rsidRPr="00D11BBF">
        <w:rPr>
          <w:rFonts w:ascii="Cambria" w:hAnsi="Cambria"/>
          <w:sz w:val="20"/>
          <w:szCs w:val="20"/>
          <w:lang w:val="es-CR"/>
        </w:rPr>
        <w:t>Como parte de su análisis preliminar, e</w:t>
      </w:r>
      <w:r w:rsidR="003A17B4" w:rsidRPr="00D11BBF">
        <w:rPr>
          <w:rFonts w:ascii="Cambria" w:hAnsi="Cambria" w:cs="Calibri"/>
          <w:sz w:val="20"/>
          <w:szCs w:val="20"/>
          <w:lang w:val="es-PE"/>
        </w:rPr>
        <w:t>l 18 de mayo de 2004 solicit</w:t>
      </w:r>
      <w:r w:rsidR="003340E5" w:rsidRPr="00D11BBF">
        <w:rPr>
          <w:rFonts w:ascii="Cambria" w:hAnsi="Cambria" w:cs="Calibri"/>
          <w:sz w:val="20"/>
          <w:szCs w:val="20"/>
          <w:lang w:val="es-PE"/>
        </w:rPr>
        <w:t xml:space="preserve">ó información al peticionario. </w:t>
      </w:r>
      <w:r w:rsidR="003A17B4" w:rsidRPr="00D11BBF">
        <w:rPr>
          <w:rFonts w:ascii="Cambria" w:hAnsi="Cambria" w:cs="Calibri"/>
          <w:sz w:val="20"/>
          <w:szCs w:val="20"/>
          <w:lang w:val="es-PE"/>
        </w:rPr>
        <w:t xml:space="preserve">El peticionario presentó información adicional el 21 y 24 de mayo, 7 de junio y 12 de noviembre de 2004 y el 10 de marzo de 2005. </w:t>
      </w:r>
      <w:r w:rsidR="00A63756" w:rsidRPr="00D11BBF">
        <w:rPr>
          <w:rFonts w:ascii="Cambria" w:hAnsi="Cambria" w:cs="Calibri"/>
          <w:sz w:val="20"/>
          <w:szCs w:val="20"/>
          <w:lang w:val="es-PE"/>
        </w:rPr>
        <w:t>L</w:t>
      </w:r>
      <w:r w:rsidR="00935E36" w:rsidRPr="00D11BBF">
        <w:rPr>
          <w:rFonts w:ascii="Cambria" w:hAnsi="Cambria" w:cs="Calibri"/>
          <w:sz w:val="20"/>
          <w:szCs w:val="20"/>
          <w:lang w:val="es-PE"/>
        </w:rPr>
        <w:t xml:space="preserve">a CIDH </w:t>
      </w:r>
      <w:r w:rsidRPr="00D11BBF">
        <w:rPr>
          <w:rFonts w:ascii="Cambria" w:hAnsi="Cambria" w:cs="Calibri"/>
          <w:sz w:val="20"/>
          <w:szCs w:val="20"/>
          <w:lang w:val="es-PE"/>
        </w:rPr>
        <w:t xml:space="preserve">transmitió las partes pertinentes de la petición al Estado </w:t>
      </w:r>
      <w:r w:rsidR="009D5042" w:rsidRPr="00D11BBF">
        <w:rPr>
          <w:rFonts w:ascii="Cambria" w:hAnsi="Cambria" w:cs="Calibri"/>
          <w:sz w:val="20"/>
          <w:szCs w:val="20"/>
          <w:lang w:val="es-PE"/>
        </w:rPr>
        <w:t>el 29 de julio de 2005</w:t>
      </w:r>
      <w:r w:rsidRPr="00D11BBF">
        <w:rPr>
          <w:rFonts w:ascii="Cambria" w:hAnsi="Cambria" w:cs="Calibri"/>
          <w:sz w:val="20"/>
          <w:szCs w:val="20"/>
          <w:lang w:val="es-PE"/>
        </w:rPr>
        <w:t xml:space="preserve">.  </w:t>
      </w:r>
    </w:p>
    <w:p w:rsidR="00935E36" w:rsidRPr="00D11BBF" w:rsidRDefault="00935E36" w:rsidP="00935E36">
      <w:pPr>
        <w:pStyle w:val="ListParagraph"/>
        <w:rPr>
          <w:rFonts w:cs="Calibri"/>
          <w:color w:val="auto"/>
          <w:sz w:val="20"/>
          <w:szCs w:val="20"/>
          <w:lang w:val="es-PE"/>
        </w:rPr>
      </w:pPr>
    </w:p>
    <w:p w:rsidR="00B55CE6"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jc w:val="both"/>
        <w:rPr>
          <w:rFonts w:ascii="Cambria" w:hAnsi="Cambria" w:cs="Calibri"/>
          <w:sz w:val="20"/>
          <w:szCs w:val="20"/>
          <w:lang w:val="es-ES_tradnl"/>
        </w:rPr>
      </w:pPr>
      <w:r w:rsidRPr="00D11BBF">
        <w:rPr>
          <w:rFonts w:ascii="Cambria" w:hAnsi="Cambria" w:cs="Calibri"/>
          <w:sz w:val="20"/>
          <w:szCs w:val="20"/>
          <w:lang w:val="es-PE"/>
        </w:rPr>
        <w:t>El peticionario envió información adicional el 9 y 21 de noviembre de 2005</w:t>
      </w:r>
      <w:r w:rsidR="009257B3" w:rsidRPr="00D11BBF">
        <w:rPr>
          <w:rFonts w:ascii="Cambria" w:hAnsi="Cambria" w:cs="Calibri"/>
          <w:sz w:val="20"/>
          <w:szCs w:val="20"/>
          <w:lang w:val="es-PE"/>
        </w:rPr>
        <w:t>, ésta fue trasladada al Estado e</w:t>
      </w:r>
      <w:r w:rsidRPr="00D11BBF">
        <w:rPr>
          <w:rFonts w:ascii="Cambria" w:hAnsi="Cambria" w:cs="Calibri"/>
          <w:sz w:val="20"/>
          <w:szCs w:val="20"/>
          <w:lang w:val="es-PE"/>
        </w:rPr>
        <w:t>l 19 de diciembre de 2005</w:t>
      </w:r>
      <w:r w:rsidR="00735754" w:rsidRPr="00D11BBF">
        <w:rPr>
          <w:rFonts w:ascii="Cambria" w:hAnsi="Cambria" w:cs="Calibri"/>
          <w:sz w:val="20"/>
          <w:szCs w:val="20"/>
          <w:lang w:val="es-PE"/>
        </w:rPr>
        <w:t>.  E</w:t>
      </w:r>
      <w:r w:rsidRPr="00D11BBF">
        <w:rPr>
          <w:rFonts w:ascii="Cambria" w:hAnsi="Cambria" w:cs="Calibri"/>
          <w:sz w:val="20"/>
          <w:szCs w:val="20"/>
          <w:lang w:val="es-PE"/>
        </w:rPr>
        <w:t xml:space="preserve">l </w:t>
      </w:r>
      <w:r w:rsidR="009257B3" w:rsidRPr="00D11BBF">
        <w:rPr>
          <w:rFonts w:ascii="Cambria" w:hAnsi="Cambria" w:cs="Calibri"/>
          <w:sz w:val="20"/>
          <w:szCs w:val="20"/>
          <w:lang w:val="es-PE"/>
        </w:rPr>
        <w:t>9 de enero de 2006</w:t>
      </w:r>
      <w:r w:rsidR="002F48F9" w:rsidRPr="00D11BBF">
        <w:rPr>
          <w:rFonts w:ascii="Cambria" w:hAnsi="Cambria" w:cs="Calibri"/>
          <w:sz w:val="20"/>
          <w:szCs w:val="20"/>
          <w:lang w:val="es-PE"/>
        </w:rPr>
        <w:t>,</w:t>
      </w:r>
      <w:r w:rsidR="009257B3" w:rsidRPr="00D11BBF">
        <w:rPr>
          <w:rFonts w:ascii="Cambria" w:hAnsi="Cambria" w:cs="Calibri"/>
          <w:sz w:val="20"/>
          <w:szCs w:val="20"/>
          <w:lang w:val="es-PE"/>
        </w:rPr>
        <w:t xml:space="preserve"> Ecuador present</w:t>
      </w:r>
      <w:r w:rsidR="009D5042" w:rsidRPr="00D11BBF">
        <w:rPr>
          <w:rFonts w:ascii="Cambria" w:hAnsi="Cambria" w:cs="Calibri"/>
          <w:sz w:val="20"/>
          <w:szCs w:val="20"/>
          <w:lang w:val="es-PE"/>
        </w:rPr>
        <w:t xml:space="preserve">ó observaciones.  </w:t>
      </w:r>
      <w:r w:rsidRPr="00D11BBF">
        <w:rPr>
          <w:rFonts w:ascii="Cambria" w:hAnsi="Cambria" w:cs="Calibri"/>
          <w:sz w:val="20"/>
          <w:szCs w:val="20"/>
          <w:lang w:val="es-PE"/>
        </w:rPr>
        <w:t>El 8 de enero, 28 de febrero y 14 de marzo de 2007 el peticionario remitió información adicional</w:t>
      </w:r>
      <w:r w:rsidR="009257B3" w:rsidRPr="00D11BBF">
        <w:rPr>
          <w:rFonts w:ascii="Cambria" w:hAnsi="Cambria" w:cs="Calibri"/>
          <w:sz w:val="20"/>
          <w:szCs w:val="20"/>
          <w:lang w:val="es-PE"/>
        </w:rPr>
        <w:t xml:space="preserve"> que fue trasladada al Estado </w:t>
      </w:r>
      <w:r w:rsidR="00C80712" w:rsidRPr="00D11BBF">
        <w:rPr>
          <w:rFonts w:ascii="Cambria" w:hAnsi="Cambria" w:cs="Calibri"/>
          <w:sz w:val="20"/>
          <w:szCs w:val="20"/>
          <w:lang w:val="es-PE"/>
        </w:rPr>
        <w:t xml:space="preserve">para sus observaciones </w:t>
      </w:r>
      <w:r w:rsidR="009257B3" w:rsidRPr="00D11BBF">
        <w:rPr>
          <w:rFonts w:ascii="Cambria" w:hAnsi="Cambria" w:cs="Calibri"/>
          <w:sz w:val="20"/>
          <w:szCs w:val="20"/>
          <w:lang w:val="es-PE"/>
        </w:rPr>
        <w:t>el 29 de marzo siguiente</w:t>
      </w:r>
      <w:r w:rsidR="00DB0420" w:rsidRPr="00D11BBF">
        <w:rPr>
          <w:rFonts w:ascii="Cambria" w:hAnsi="Cambria" w:cs="Calibri"/>
          <w:sz w:val="20"/>
          <w:szCs w:val="20"/>
          <w:lang w:val="es-PE"/>
        </w:rPr>
        <w:t>. Ante la falta de respuesta, esta solicitud fue reiterada al Estado el 15 de noviembre de 2007</w:t>
      </w:r>
      <w:r w:rsidRPr="00D11BBF">
        <w:rPr>
          <w:rFonts w:ascii="Cambria" w:hAnsi="Cambria" w:cs="Calibri"/>
          <w:sz w:val="20"/>
          <w:szCs w:val="20"/>
          <w:lang w:val="es-PE"/>
        </w:rPr>
        <w:t xml:space="preserve">. </w:t>
      </w:r>
      <w:r w:rsidRPr="00D11BBF">
        <w:rPr>
          <w:rFonts w:ascii="Cambria" w:hAnsi="Cambria" w:cs="Calibri"/>
          <w:sz w:val="20"/>
          <w:szCs w:val="20"/>
          <w:lang w:val="es-ES_tradnl"/>
        </w:rPr>
        <w:t xml:space="preserve">El </w:t>
      </w:r>
      <w:r w:rsidR="00626F0E" w:rsidRPr="00D11BBF">
        <w:rPr>
          <w:rFonts w:ascii="Cambria" w:hAnsi="Cambria" w:cs="Calibri"/>
          <w:sz w:val="20"/>
          <w:szCs w:val="20"/>
          <w:lang w:val="es-ES_tradnl"/>
        </w:rPr>
        <w:t>7</w:t>
      </w:r>
      <w:r w:rsidRPr="00D11BBF">
        <w:rPr>
          <w:rFonts w:ascii="Cambria" w:hAnsi="Cambria" w:cs="Calibri"/>
          <w:sz w:val="20"/>
          <w:szCs w:val="20"/>
          <w:lang w:val="es-ES_tradnl"/>
        </w:rPr>
        <w:t xml:space="preserve"> de octubre de 2008 el peticionario </w:t>
      </w:r>
      <w:r w:rsidR="00DB0420" w:rsidRPr="00D11BBF">
        <w:rPr>
          <w:rFonts w:ascii="Cambria" w:hAnsi="Cambria" w:cs="Calibri"/>
          <w:sz w:val="20"/>
          <w:szCs w:val="20"/>
          <w:lang w:val="es-ES_tradnl"/>
        </w:rPr>
        <w:t>remitió</w:t>
      </w:r>
      <w:r w:rsidRPr="00D11BBF">
        <w:rPr>
          <w:rFonts w:ascii="Cambria" w:hAnsi="Cambria" w:cs="Calibri"/>
          <w:sz w:val="20"/>
          <w:szCs w:val="20"/>
          <w:lang w:val="es-ES_tradnl"/>
        </w:rPr>
        <w:t xml:space="preserve"> información adicional</w:t>
      </w:r>
      <w:r w:rsidR="00DB0420" w:rsidRPr="00D11BBF">
        <w:rPr>
          <w:rFonts w:ascii="Cambria" w:hAnsi="Cambria" w:cs="Calibri"/>
          <w:sz w:val="20"/>
          <w:szCs w:val="20"/>
          <w:lang w:val="es-ES_tradnl"/>
        </w:rPr>
        <w:t xml:space="preserve"> que fue trasladada al Estado </w:t>
      </w:r>
      <w:r w:rsidR="0049745E" w:rsidRPr="00D11BBF">
        <w:rPr>
          <w:rFonts w:ascii="Cambria" w:hAnsi="Cambria" w:cs="Calibri"/>
          <w:sz w:val="20"/>
          <w:szCs w:val="20"/>
          <w:lang w:val="es-ES_tradnl"/>
        </w:rPr>
        <w:t>el 29 de octubre de 2008</w:t>
      </w:r>
      <w:r w:rsidR="00DB0420" w:rsidRPr="00D11BBF">
        <w:rPr>
          <w:rFonts w:ascii="Cambria" w:hAnsi="Cambria" w:cs="Calibri"/>
          <w:sz w:val="20"/>
          <w:szCs w:val="20"/>
          <w:lang w:val="es-ES_tradnl"/>
        </w:rPr>
        <w:t xml:space="preserve">, con una reiteración de que presentara las observaciones pendientes desde el 29 de marzo de </w:t>
      </w:r>
      <w:r w:rsidR="0049745E" w:rsidRPr="00D11BBF">
        <w:rPr>
          <w:rFonts w:ascii="Cambria" w:hAnsi="Cambria" w:cs="Calibri"/>
          <w:sz w:val="20"/>
          <w:szCs w:val="20"/>
          <w:lang w:val="es-ES_tradnl"/>
        </w:rPr>
        <w:t>2007</w:t>
      </w:r>
      <w:r w:rsidRPr="00D11BBF">
        <w:rPr>
          <w:rFonts w:ascii="Cambria" w:hAnsi="Cambria" w:cs="Calibri"/>
          <w:sz w:val="20"/>
          <w:szCs w:val="20"/>
          <w:lang w:val="es-ES_tradnl"/>
        </w:rPr>
        <w:t xml:space="preserve">. </w:t>
      </w:r>
      <w:r w:rsidR="00EC5D0C" w:rsidRPr="00D11BBF">
        <w:rPr>
          <w:rFonts w:ascii="Cambria" w:hAnsi="Cambria" w:cs="Calibri"/>
          <w:sz w:val="20"/>
          <w:szCs w:val="20"/>
          <w:lang w:val="es-ES_tradnl"/>
        </w:rPr>
        <w:t xml:space="preserve"> </w:t>
      </w:r>
    </w:p>
    <w:p w:rsidR="00B55CE6" w:rsidRPr="00D11BBF" w:rsidRDefault="00B55CE6" w:rsidP="00B55CE6">
      <w:pPr>
        <w:pStyle w:val="ListParagraph"/>
        <w:rPr>
          <w:rFonts w:cs="Calibri"/>
          <w:color w:val="auto"/>
          <w:sz w:val="20"/>
          <w:szCs w:val="20"/>
          <w:lang w:val="es-ES_tradnl"/>
        </w:rPr>
      </w:pPr>
    </w:p>
    <w:p w:rsidR="007B1702"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jc w:val="both"/>
        <w:rPr>
          <w:rFonts w:ascii="Cambria" w:hAnsi="Cambria" w:cs="Calibri"/>
          <w:sz w:val="20"/>
          <w:szCs w:val="20"/>
          <w:lang w:val="es-ES_tradnl"/>
        </w:rPr>
      </w:pPr>
      <w:r w:rsidRPr="00D11BBF">
        <w:rPr>
          <w:rFonts w:ascii="Cambria" w:hAnsi="Cambria" w:cs="Calibri"/>
          <w:sz w:val="20"/>
          <w:szCs w:val="20"/>
          <w:lang w:val="es-ES_tradnl"/>
        </w:rPr>
        <w:t>El 13 de noviembre de 2012</w:t>
      </w:r>
      <w:r w:rsidR="00DB0420" w:rsidRPr="00D11BBF">
        <w:rPr>
          <w:rFonts w:ascii="Cambria" w:hAnsi="Cambria" w:cs="Calibri"/>
          <w:sz w:val="20"/>
          <w:szCs w:val="20"/>
          <w:lang w:val="es-ES_tradnl"/>
        </w:rPr>
        <w:t xml:space="preserve"> </w:t>
      </w:r>
      <w:r w:rsidR="00BF127B" w:rsidRPr="00D11BBF">
        <w:rPr>
          <w:rFonts w:ascii="Cambria" w:hAnsi="Cambria" w:cs="Calibri"/>
          <w:sz w:val="20"/>
          <w:szCs w:val="20"/>
          <w:lang w:val="es-ES_tradnl"/>
        </w:rPr>
        <w:t>las presuntas víctimas designa</w:t>
      </w:r>
      <w:r w:rsidR="008D528B" w:rsidRPr="00D11BBF">
        <w:rPr>
          <w:rFonts w:ascii="Cambria" w:hAnsi="Cambria" w:cs="Calibri"/>
          <w:sz w:val="20"/>
          <w:szCs w:val="20"/>
          <w:lang w:val="es-ES_tradnl"/>
        </w:rPr>
        <w:t>ro</w:t>
      </w:r>
      <w:r w:rsidR="00BF127B" w:rsidRPr="00D11BBF">
        <w:rPr>
          <w:rFonts w:ascii="Cambria" w:hAnsi="Cambria" w:cs="Calibri"/>
          <w:sz w:val="20"/>
          <w:szCs w:val="20"/>
          <w:lang w:val="es-ES_tradnl"/>
        </w:rPr>
        <w:t xml:space="preserve">n un nuevo </w:t>
      </w:r>
      <w:r w:rsidR="00A63756" w:rsidRPr="00D11BBF">
        <w:rPr>
          <w:rFonts w:ascii="Cambria" w:hAnsi="Cambria" w:cs="Calibri"/>
          <w:sz w:val="20"/>
          <w:szCs w:val="20"/>
          <w:lang w:val="es-ES_tradnl"/>
        </w:rPr>
        <w:t>representante</w:t>
      </w:r>
      <w:r w:rsidR="00BF127B" w:rsidRPr="00D11BBF">
        <w:rPr>
          <w:rFonts w:ascii="Cambria" w:hAnsi="Cambria" w:cs="Calibri"/>
          <w:sz w:val="20"/>
          <w:szCs w:val="20"/>
          <w:lang w:val="es-ES_tradnl"/>
        </w:rPr>
        <w:t>, el señor Marcelo Dueñas Veloz. Dicha información fu</w:t>
      </w:r>
      <w:r w:rsidR="00D910A3" w:rsidRPr="00D11BBF">
        <w:rPr>
          <w:rFonts w:ascii="Cambria" w:hAnsi="Cambria" w:cs="Calibri"/>
          <w:sz w:val="20"/>
          <w:szCs w:val="20"/>
          <w:lang w:val="es-ES_tradnl"/>
        </w:rPr>
        <w:t>e</w:t>
      </w:r>
      <w:r w:rsidR="00BF127B" w:rsidRPr="00D11BBF">
        <w:rPr>
          <w:rFonts w:ascii="Cambria" w:hAnsi="Cambria" w:cs="Calibri"/>
          <w:sz w:val="20"/>
          <w:szCs w:val="20"/>
          <w:lang w:val="es-ES_tradnl"/>
        </w:rPr>
        <w:t xml:space="preserve"> t</w:t>
      </w:r>
      <w:r w:rsidR="00DB0420" w:rsidRPr="00D11BBF">
        <w:rPr>
          <w:rFonts w:ascii="Cambria" w:hAnsi="Cambria" w:cs="Calibri"/>
          <w:sz w:val="20"/>
          <w:szCs w:val="20"/>
          <w:lang w:val="es-ES_tradnl"/>
        </w:rPr>
        <w:t>rasladada al Estado el</w:t>
      </w:r>
      <w:r w:rsidRPr="00D11BBF">
        <w:rPr>
          <w:rFonts w:ascii="Cambria" w:hAnsi="Cambria" w:cs="Calibri"/>
          <w:sz w:val="20"/>
          <w:szCs w:val="20"/>
          <w:lang w:val="es-ES_tradnl"/>
        </w:rPr>
        <w:t xml:space="preserve"> 19 de noviembre </w:t>
      </w:r>
      <w:r w:rsidR="00DB0420" w:rsidRPr="00D11BBF">
        <w:rPr>
          <w:rFonts w:ascii="Cambria" w:hAnsi="Cambria" w:cs="Calibri"/>
          <w:sz w:val="20"/>
          <w:szCs w:val="20"/>
          <w:lang w:val="es-ES_tradnl"/>
        </w:rPr>
        <w:t xml:space="preserve">siguiente, con una solicitud de observaciones y una reiteración </w:t>
      </w:r>
      <w:r w:rsidR="0049745E" w:rsidRPr="00D11BBF">
        <w:rPr>
          <w:rFonts w:ascii="Cambria" w:hAnsi="Cambria" w:cs="Calibri"/>
          <w:sz w:val="20"/>
          <w:szCs w:val="20"/>
          <w:lang w:val="es-ES_tradnl"/>
        </w:rPr>
        <w:t>relacionada con observaciones pendientes</w:t>
      </w:r>
      <w:r w:rsidRPr="00D11BBF">
        <w:rPr>
          <w:rFonts w:ascii="Cambria" w:hAnsi="Cambria" w:cs="Calibri"/>
          <w:sz w:val="20"/>
          <w:szCs w:val="20"/>
          <w:lang w:val="es-ES_tradnl"/>
        </w:rPr>
        <w:t xml:space="preserve">. </w:t>
      </w:r>
      <w:r w:rsidR="00DF3F7C" w:rsidRPr="00D11BBF">
        <w:rPr>
          <w:rFonts w:ascii="Cambria" w:hAnsi="Cambria" w:cs="Calibri"/>
          <w:sz w:val="20"/>
          <w:szCs w:val="20"/>
          <w:lang w:val="es-ES_tradnl"/>
        </w:rPr>
        <w:t>El 5</w:t>
      </w:r>
      <w:r w:rsidRPr="00D11BBF">
        <w:rPr>
          <w:rFonts w:ascii="Cambria" w:hAnsi="Cambria" w:cs="Calibri"/>
          <w:sz w:val="20"/>
          <w:szCs w:val="20"/>
          <w:lang w:val="es-ES_tradnl"/>
        </w:rPr>
        <w:t xml:space="preserve"> de febrero de 2013 el peticionario</w:t>
      </w:r>
      <w:r w:rsidR="002F48F9" w:rsidRPr="00D11BBF">
        <w:rPr>
          <w:rFonts w:ascii="Cambria" w:hAnsi="Cambria" w:cs="Calibri"/>
          <w:sz w:val="20"/>
          <w:szCs w:val="20"/>
          <w:lang w:val="es-ES_tradnl"/>
        </w:rPr>
        <w:t xml:space="preserve"> remitió información.  </w:t>
      </w:r>
      <w:r w:rsidRPr="00D11BBF">
        <w:rPr>
          <w:rFonts w:ascii="Cambria" w:hAnsi="Cambria" w:cs="Calibri"/>
          <w:sz w:val="20"/>
          <w:szCs w:val="20"/>
          <w:lang w:val="es-ES_tradnl"/>
        </w:rPr>
        <w:t>El 2</w:t>
      </w:r>
      <w:r w:rsidR="00A56264" w:rsidRPr="00D11BBF">
        <w:rPr>
          <w:rFonts w:ascii="Cambria" w:hAnsi="Cambria" w:cs="Calibri"/>
          <w:sz w:val="20"/>
          <w:szCs w:val="20"/>
          <w:lang w:val="es-ES_tradnl"/>
        </w:rPr>
        <w:t>2</w:t>
      </w:r>
      <w:r w:rsidR="008D528B" w:rsidRPr="00D11BBF">
        <w:rPr>
          <w:rFonts w:ascii="Cambria" w:hAnsi="Cambria" w:cs="Calibri"/>
          <w:sz w:val="20"/>
          <w:szCs w:val="20"/>
          <w:lang w:val="es-ES_tradnl"/>
        </w:rPr>
        <w:t xml:space="preserve"> de febrero de 2013 la CIDH la</w:t>
      </w:r>
      <w:r w:rsidRPr="00D11BBF">
        <w:rPr>
          <w:rFonts w:ascii="Cambria" w:hAnsi="Cambria" w:cs="Calibri"/>
          <w:sz w:val="20"/>
          <w:szCs w:val="20"/>
          <w:lang w:val="es-ES_tradnl"/>
        </w:rPr>
        <w:t xml:space="preserve"> remitió al Estado y </w:t>
      </w:r>
      <w:r w:rsidR="002F48F9" w:rsidRPr="00D11BBF">
        <w:rPr>
          <w:rFonts w:ascii="Cambria" w:hAnsi="Cambria" w:cs="Calibri"/>
          <w:sz w:val="20"/>
          <w:szCs w:val="20"/>
          <w:lang w:val="es-ES_tradnl"/>
        </w:rPr>
        <w:t xml:space="preserve">solicitó sus observaciones.  </w:t>
      </w:r>
      <w:r w:rsidRPr="00D11BBF">
        <w:rPr>
          <w:rFonts w:ascii="Cambria" w:hAnsi="Cambria" w:cs="Calibri"/>
          <w:sz w:val="20"/>
          <w:szCs w:val="20"/>
          <w:lang w:val="es-ES_tradnl"/>
        </w:rPr>
        <w:t xml:space="preserve">El 4 de marzo de 2013 el Estado solicitó copia del expediente del caso y una prórroga para contestar la solicitud. El 11 de marzo de 2013 la CIDH </w:t>
      </w:r>
      <w:r w:rsidR="002F48F9" w:rsidRPr="00D11BBF">
        <w:rPr>
          <w:rFonts w:ascii="Cambria" w:hAnsi="Cambria" w:cs="Calibri"/>
          <w:sz w:val="20"/>
          <w:szCs w:val="20"/>
          <w:lang w:val="es-ES_tradnl"/>
        </w:rPr>
        <w:t>remiti</w:t>
      </w:r>
      <w:r w:rsidRPr="00D11BBF">
        <w:rPr>
          <w:rFonts w:ascii="Cambria" w:hAnsi="Cambria" w:cs="Calibri"/>
          <w:sz w:val="20"/>
          <w:szCs w:val="20"/>
          <w:lang w:val="es-ES_tradnl"/>
        </w:rPr>
        <w:t xml:space="preserve">ó copia del expediente al Estado y le otorgó un mes </w:t>
      </w:r>
      <w:r w:rsidR="002F48F9" w:rsidRPr="00D11BBF">
        <w:rPr>
          <w:rFonts w:ascii="Cambria" w:hAnsi="Cambria" w:cs="Calibri"/>
          <w:sz w:val="20"/>
          <w:szCs w:val="20"/>
          <w:lang w:val="es-ES_tradnl"/>
        </w:rPr>
        <w:t xml:space="preserve">adicional </w:t>
      </w:r>
      <w:r w:rsidRPr="00D11BBF">
        <w:rPr>
          <w:rFonts w:ascii="Cambria" w:hAnsi="Cambria" w:cs="Calibri"/>
          <w:sz w:val="20"/>
          <w:szCs w:val="20"/>
          <w:lang w:val="es-ES_tradnl"/>
        </w:rPr>
        <w:t xml:space="preserve">para responder. </w:t>
      </w:r>
      <w:r w:rsidR="00AE656A" w:rsidRPr="00D11BBF">
        <w:rPr>
          <w:rFonts w:ascii="Cambria" w:hAnsi="Cambria" w:cs="Calibri"/>
          <w:sz w:val="20"/>
          <w:szCs w:val="20"/>
          <w:lang w:val="es-ES_tradnl"/>
        </w:rPr>
        <w:t xml:space="preserve">El 29 de abril y </w:t>
      </w:r>
      <w:r w:rsidRPr="00D11BBF">
        <w:rPr>
          <w:rFonts w:ascii="Cambria" w:hAnsi="Cambria" w:cs="Calibri"/>
          <w:sz w:val="20"/>
          <w:szCs w:val="20"/>
          <w:lang w:val="es-ES_tradnl"/>
        </w:rPr>
        <w:t>24 y 26 de julio</w:t>
      </w:r>
      <w:r w:rsidR="00AE656A" w:rsidRPr="00D11BBF">
        <w:rPr>
          <w:rFonts w:ascii="Cambria" w:hAnsi="Cambria" w:cs="Calibri"/>
          <w:sz w:val="20"/>
          <w:szCs w:val="20"/>
          <w:lang w:val="es-ES_tradnl"/>
        </w:rPr>
        <w:t xml:space="preserve"> </w:t>
      </w:r>
      <w:r w:rsidRPr="00D11BBF">
        <w:rPr>
          <w:rFonts w:ascii="Cambria" w:hAnsi="Cambria" w:cs="Calibri"/>
          <w:sz w:val="20"/>
          <w:szCs w:val="20"/>
          <w:lang w:val="es-ES_tradnl"/>
        </w:rPr>
        <w:t xml:space="preserve">de 2013, el peticionario </w:t>
      </w:r>
      <w:r w:rsidR="006415FC" w:rsidRPr="00D11BBF">
        <w:rPr>
          <w:rFonts w:ascii="Cambria" w:hAnsi="Cambria" w:cs="Calibri"/>
          <w:sz w:val="20"/>
          <w:szCs w:val="20"/>
          <w:lang w:val="es-ES_tradnl"/>
        </w:rPr>
        <w:t>remiti</w:t>
      </w:r>
      <w:r w:rsidRPr="00D11BBF">
        <w:rPr>
          <w:rFonts w:ascii="Cambria" w:hAnsi="Cambria" w:cs="Calibri"/>
          <w:sz w:val="20"/>
          <w:szCs w:val="20"/>
          <w:lang w:val="es-ES_tradnl"/>
        </w:rPr>
        <w:t>ó i</w:t>
      </w:r>
      <w:r w:rsidR="009307DA" w:rsidRPr="00D11BBF">
        <w:rPr>
          <w:rFonts w:ascii="Cambria" w:hAnsi="Cambria" w:cs="Calibri"/>
          <w:sz w:val="20"/>
          <w:szCs w:val="20"/>
          <w:lang w:val="es-ES_tradnl"/>
        </w:rPr>
        <w:t xml:space="preserve">nformación.  </w:t>
      </w:r>
      <w:r w:rsidRPr="00D11BBF">
        <w:rPr>
          <w:rFonts w:ascii="Cambria" w:hAnsi="Cambria" w:cs="Calibri"/>
          <w:sz w:val="20"/>
          <w:szCs w:val="20"/>
          <w:lang w:val="es-ES_tradnl"/>
        </w:rPr>
        <w:t>El 8 de agosto de 2013 el Estado</w:t>
      </w:r>
      <w:r w:rsidR="00DA4072" w:rsidRPr="00D11BBF">
        <w:rPr>
          <w:rFonts w:ascii="Cambria" w:hAnsi="Cambria" w:cs="Calibri"/>
          <w:sz w:val="20"/>
          <w:szCs w:val="20"/>
          <w:lang w:val="es-ES_tradnl"/>
        </w:rPr>
        <w:t xml:space="preserve"> envió observaciones</w:t>
      </w:r>
      <w:r w:rsidR="007016F5" w:rsidRPr="00D11BBF">
        <w:rPr>
          <w:rFonts w:ascii="Cambria" w:hAnsi="Cambria" w:cs="Calibri"/>
          <w:sz w:val="20"/>
          <w:szCs w:val="20"/>
          <w:lang w:val="es-ES_tradnl"/>
        </w:rPr>
        <w:t xml:space="preserve"> </w:t>
      </w:r>
      <w:r w:rsidR="009526B4" w:rsidRPr="00D11BBF">
        <w:rPr>
          <w:rFonts w:ascii="Cambria" w:hAnsi="Cambria" w:cs="Calibri"/>
          <w:sz w:val="20"/>
          <w:szCs w:val="20"/>
          <w:lang w:val="es-ES_tradnl"/>
        </w:rPr>
        <w:t xml:space="preserve">que fueron remitidas </w:t>
      </w:r>
      <w:r w:rsidR="007016F5" w:rsidRPr="00D11BBF">
        <w:rPr>
          <w:rFonts w:ascii="Cambria" w:hAnsi="Cambria" w:cs="Calibri"/>
          <w:sz w:val="20"/>
          <w:szCs w:val="20"/>
          <w:lang w:val="es-ES_tradnl"/>
        </w:rPr>
        <w:t xml:space="preserve">al peticionario </w:t>
      </w:r>
      <w:r w:rsidR="009526B4" w:rsidRPr="00D11BBF">
        <w:rPr>
          <w:rFonts w:ascii="Cambria" w:hAnsi="Cambria" w:cs="Calibri"/>
          <w:sz w:val="20"/>
          <w:szCs w:val="20"/>
          <w:lang w:val="es-ES_tradnl"/>
        </w:rPr>
        <w:t xml:space="preserve">el </w:t>
      </w:r>
      <w:r w:rsidR="00B062A0" w:rsidRPr="00D11BBF">
        <w:rPr>
          <w:rFonts w:ascii="Cambria" w:hAnsi="Cambria" w:cs="Calibri"/>
          <w:sz w:val="20"/>
          <w:szCs w:val="20"/>
          <w:lang w:val="es-ES_tradnl"/>
        </w:rPr>
        <w:t xml:space="preserve">19 de agosto </w:t>
      </w:r>
      <w:r w:rsidR="009526B4" w:rsidRPr="00D11BBF">
        <w:rPr>
          <w:rFonts w:ascii="Cambria" w:hAnsi="Cambria" w:cs="Calibri"/>
          <w:sz w:val="20"/>
          <w:szCs w:val="20"/>
          <w:lang w:val="es-ES_tradnl"/>
        </w:rPr>
        <w:t>siguiente</w:t>
      </w:r>
      <w:r w:rsidR="00B062A0" w:rsidRPr="00D11BBF">
        <w:rPr>
          <w:rFonts w:ascii="Cambria" w:hAnsi="Cambria" w:cs="Calibri"/>
          <w:sz w:val="20"/>
          <w:szCs w:val="20"/>
          <w:lang w:val="es-ES_tradnl"/>
        </w:rPr>
        <w:t xml:space="preserve">. </w:t>
      </w:r>
      <w:r w:rsidRPr="00D11BBF">
        <w:rPr>
          <w:rFonts w:ascii="Cambria" w:hAnsi="Cambria" w:cs="Calibri"/>
          <w:sz w:val="20"/>
          <w:szCs w:val="20"/>
          <w:lang w:val="es-ES_tradnl"/>
        </w:rPr>
        <w:t xml:space="preserve">El 15 de agosto de 2013 la CIDH envió </w:t>
      </w:r>
      <w:r w:rsidR="00347E32" w:rsidRPr="00D11BBF">
        <w:rPr>
          <w:rFonts w:ascii="Cambria" w:hAnsi="Cambria" w:cs="Calibri"/>
          <w:sz w:val="20"/>
          <w:szCs w:val="20"/>
          <w:lang w:val="es-ES_tradnl"/>
        </w:rPr>
        <w:t xml:space="preserve">al Estado </w:t>
      </w:r>
      <w:r w:rsidRPr="00D11BBF">
        <w:rPr>
          <w:rFonts w:ascii="Cambria" w:hAnsi="Cambria" w:cs="Calibri"/>
          <w:sz w:val="20"/>
          <w:szCs w:val="20"/>
          <w:lang w:val="es-ES_tradnl"/>
        </w:rPr>
        <w:t>las comunicaciones del peticionario.</w:t>
      </w:r>
    </w:p>
    <w:p w:rsidR="007B1702" w:rsidRPr="00D11BBF" w:rsidRDefault="007B1702" w:rsidP="007B1702">
      <w:pPr>
        <w:pStyle w:val="ListParagraph"/>
        <w:rPr>
          <w:rFonts w:cs="Calibri"/>
          <w:color w:val="auto"/>
          <w:sz w:val="20"/>
          <w:szCs w:val="20"/>
          <w:lang w:val="es-ES_tradnl"/>
        </w:rPr>
      </w:pPr>
    </w:p>
    <w:p w:rsidR="009C38D7"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jc w:val="both"/>
        <w:rPr>
          <w:rFonts w:ascii="Cambria" w:hAnsi="Cambria" w:cs="Calibri"/>
          <w:sz w:val="20"/>
          <w:szCs w:val="20"/>
          <w:lang w:val="es-ES_tradnl"/>
        </w:rPr>
      </w:pPr>
      <w:r w:rsidRPr="00D11BBF">
        <w:rPr>
          <w:rFonts w:ascii="Cambria" w:hAnsi="Cambria" w:cs="Calibri"/>
          <w:sz w:val="20"/>
          <w:szCs w:val="20"/>
          <w:lang w:val="es-ES_tradnl"/>
        </w:rPr>
        <w:t>El 17 y 26 de septiembre de 2013 el peticionario remitió observaciones</w:t>
      </w:r>
      <w:r w:rsidR="009307DA" w:rsidRPr="00D11BBF">
        <w:rPr>
          <w:rFonts w:ascii="Cambria" w:hAnsi="Cambria" w:cs="Calibri"/>
          <w:sz w:val="20"/>
          <w:szCs w:val="20"/>
          <w:lang w:val="es-ES_tradnl"/>
        </w:rPr>
        <w:t xml:space="preserve"> que fueron trasladadas al Estado e</w:t>
      </w:r>
      <w:r w:rsidRPr="00D11BBF">
        <w:rPr>
          <w:rFonts w:ascii="Cambria" w:hAnsi="Cambria" w:cs="Calibri"/>
          <w:sz w:val="20"/>
          <w:szCs w:val="20"/>
          <w:lang w:val="es-ES_tradnl"/>
        </w:rPr>
        <w:t>l 27 de septiembre de 2013</w:t>
      </w:r>
      <w:r w:rsidR="007C7F1A" w:rsidRPr="00D11BBF">
        <w:rPr>
          <w:rFonts w:ascii="Cambria" w:hAnsi="Cambria" w:cs="Calibri"/>
          <w:sz w:val="20"/>
          <w:szCs w:val="20"/>
          <w:lang w:val="es-ES_tradnl"/>
        </w:rPr>
        <w:t xml:space="preserve">. </w:t>
      </w:r>
      <w:r w:rsidR="009307DA" w:rsidRPr="00D11BBF">
        <w:rPr>
          <w:rFonts w:ascii="Cambria" w:hAnsi="Cambria" w:cs="Calibri"/>
          <w:sz w:val="20"/>
          <w:szCs w:val="20"/>
          <w:lang w:val="es-ES_tradnl"/>
        </w:rPr>
        <w:t xml:space="preserve">El mismo </w:t>
      </w:r>
      <w:r w:rsidRPr="00D11BBF">
        <w:rPr>
          <w:rFonts w:ascii="Cambria" w:hAnsi="Cambria" w:cs="Calibri"/>
          <w:sz w:val="20"/>
          <w:szCs w:val="20"/>
          <w:lang w:val="es-ES_tradnl"/>
        </w:rPr>
        <w:t xml:space="preserve">27 de septiembre </w:t>
      </w:r>
      <w:r w:rsidR="009307DA" w:rsidRPr="00D11BBF">
        <w:rPr>
          <w:rFonts w:ascii="Cambria" w:hAnsi="Cambria" w:cs="Calibri"/>
          <w:sz w:val="20"/>
          <w:szCs w:val="20"/>
          <w:lang w:val="es-ES_tradnl"/>
        </w:rPr>
        <w:t>la CIDH remitió al peticionario la</w:t>
      </w:r>
      <w:r w:rsidRPr="00D11BBF">
        <w:rPr>
          <w:rFonts w:ascii="Cambria" w:hAnsi="Cambria" w:cs="Calibri"/>
          <w:sz w:val="20"/>
          <w:szCs w:val="20"/>
          <w:lang w:val="es-ES_tradnl"/>
        </w:rPr>
        <w:t xml:space="preserve"> contestación del Estado de 9 de enero de 2006</w:t>
      </w:r>
      <w:r w:rsidR="009307DA" w:rsidRPr="00D11BBF">
        <w:rPr>
          <w:rFonts w:ascii="Cambria" w:hAnsi="Cambria" w:cs="Calibri"/>
          <w:sz w:val="20"/>
          <w:szCs w:val="20"/>
          <w:lang w:val="es-ES_tradnl"/>
        </w:rPr>
        <w:t>,</w:t>
      </w:r>
      <w:r w:rsidRPr="00D11BBF">
        <w:rPr>
          <w:rFonts w:ascii="Cambria" w:hAnsi="Cambria" w:cs="Calibri"/>
          <w:sz w:val="20"/>
          <w:szCs w:val="20"/>
          <w:lang w:val="es-ES_tradnl"/>
        </w:rPr>
        <w:t xml:space="preserve"> en vista de que no constaba en el expediente que se h</w:t>
      </w:r>
      <w:r w:rsidR="009307DA" w:rsidRPr="00D11BBF">
        <w:rPr>
          <w:rFonts w:ascii="Cambria" w:hAnsi="Cambria" w:cs="Calibri"/>
          <w:sz w:val="20"/>
          <w:szCs w:val="20"/>
          <w:lang w:val="es-ES_tradnl"/>
        </w:rPr>
        <w:t>ubiese trasladado en su momento</w:t>
      </w:r>
      <w:r w:rsidRPr="00D11BBF">
        <w:rPr>
          <w:rFonts w:ascii="Cambria" w:hAnsi="Cambria" w:cs="Calibri"/>
          <w:sz w:val="20"/>
          <w:szCs w:val="20"/>
          <w:lang w:val="es-ES_tradnl"/>
        </w:rPr>
        <w:t>. El 21 de octubre de 2013 el Estado remitió información adicional, la cual fue trasladada al peticionario el 23 de octubre</w:t>
      </w:r>
      <w:r w:rsidR="009307DA" w:rsidRPr="00D11BBF">
        <w:rPr>
          <w:rFonts w:ascii="Cambria" w:hAnsi="Cambria" w:cs="Calibri"/>
          <w:sz w:val="20"/>
          <w:szCs w:val="20"/>
          <w:lang w:val="es-ES_tradnl"/>
        </w:rPr>
        <w:t xml:space="preserve">, éste respondió el </w:t>
      </w:r>
      <w:r w:rsidR="009C38D7" w:rsidRPr="00D11BBF">
        <w:rPr>
          <w:rFonts w:ascii="Cambria" w:hAnsi="Cambria" w:cs="Calibri"/>
          <w:sz w:val="20"/>
          <w:szCs w:val="20"/>
          <w:lang w:val="es-ES_tradnl"/>
        </w:rPr>
        <w:t>1</w:t>
      </w:r>
      <w:r w:rsidRPr="00D11BBF">
        <w:rPr>
          <w:rFonts w:ascii="Cambria" w:hAnsi="Cambria" w:cs="Calibri"/>
          <w:sz w:val="20"/>
          <w:szCs w:val="20"/>
          <w:lang w:val="es-ES_tradnl"/>
        </w:rPr>
        <w:t xml:space="preserve"> de noviembre de 2013. </w:t>
      </w:r>
      <w:r w:rsidR="009C38D7" w:rsidRPr="00D11BBF">
        <w:rPr>
          <w:rFonts w:ascii="Cambria" w:hAnsi="Cambria" w:cs="Calibri"/>
          <w:sz w:val="20"/>
          <w:szCs w:val="20"/>
          <w:lang w:val="es-ES_tradnl"/>
        </w:rPr>
        <w:t xml:space="preserve">  Esta comunicación fue trasladada al Estado el 14 de noviembre siguiente.</w:t>
      </w:r>
      <w:r w:rsidR="008B774F" w:rsidRPr="00D11BBF">
        <w:rPr>
          <w:rFonts w:ascii="Cambria" w:hAnsi="Cambria" w:cs="Calibri"/>
          <w:sz w:val="20"/>
          <w:szCs w:val="20"/>
          <w:lang w:val="es-ES_tradnl"/>
        </w:rPr>
        <w:t xml:space="preserve">  </w:t>
      </w:r>
      <w:r w:rsidR="009C38D7" w:rsidRPr="00D11BBF">
        <w:rPr>
          <w:rFonts w:ascii="Cambria" w:hAnsi="Cambria" w:cs="Calibri"/>
          <w:sz w:val="20"/>
          <w:szCs w:val="20"/>
          <w:lang w:val="es-ES_tradnl"/>
        </w:rPr>
        <w:t>El 28 de febrero de 2014 el peticionario solicitó que la CIDH se pronuncie sobre el fondo del asunto y el 18 de marzo de 2014 el Estado presentó observaciones.  Éstas f</w:t>
      </w:r>
      <w:r w:rsidR="00C161FC" w:rsidRPr="00D11BBF">
        <w:rPr>
          <w:rFonts w:ascii="Cambria" w:hAnsi="Cambria" w:cs="Calibri"/>
          <w:sz w:val="20"/>
          <w:szCs w:val="20"/>
          <w:lang w:val="es-ES_tradnl"/>
        </w:rPr>
        <w:t>u</w:t>
      </w:r>
      <w:r w:rsidR="007016F5" w:rsidRPr="00D11BBF">
        <w:rPr>
          <w:rFonts w:ascii="Cambria" w:hAnsi="Cambria" w:cs="Calibri"/>
          <w:sz w:val="20"/>
          <w:szCs w:val="20"/>
          <w:lang w:val="es-ES_tradnl"/>
        </w:rPr>
        <w:t xml:space="preserve">eron remitidas al peticionario </w:t>
      </w:r>
      <w:r w:rsidR="00C161FC" w:rsidRPr="00D11BBF">
        <w:rPr>
          <w:rFonts w:ascii="Cambria" w:hAnsi="Cambria" w:cs="Calibri"/>
          <w:sz w:val="20"/>
          <w:szCs w:val="20"/>
          <w:lang w:val="es-ES_tradnl"/>
        </w:rPr>
        <w:t>el 2 de mayo de 2014.</w:t>
      </w:r>
      <w:r w:rsidR="0063165E" w:rsidRPr="00D11BBF">
        <w:rPr>
          <w:rFonts w:ascii="Cambria" w:hAnsi="Cambria" w:cs="Calibri"/>
          <w:sz w:val="20"/>
          <w:szCs w:val="20"/>
          <w:lang w:val="es-ES_tradnl"/>
        </w:rPr>
        <w:t xml:space="preserve">  El 11 de diciembre de 2014 los peticionarios presentaron </w:t>
      </w:r>
      <w:r w:rsidR="00A63756" w:rsidRPr="00D11BBF">
        <w:rPr>
          <w:rFonts w:ascii="Cambria" w:hAnsi="Cambria" w:cs="Calibri"/>
          <w:sz w:val="20"/>
          <w:szCs w:val="20"/>
          <w:lang w:val="es-ES_tradnl"/>
        </w:rPr>
        <w:t>información</w:t>
      </w:r>
      <w:r w:rsidR="0063165E" w:rsidRPr="00D11BBF">
        <w:rPr>
          <w:rFonts w:ascii="Cambria" w:hAnsi="Cambria" w:cs="Calibri"/>
          <w:sz w:val="20"/>
          <w:szCs w:val="20"/>
          <w:lang w:val="es-CR"/>
        </w:rPr>
        <w:t xml:space="preserve"> adicional.</w:t>
      </w:r>
    </w:p>
    <w:p w:rsidR="007B1702" w:rsidRPr="00D11BBF" w:rsidRDefault="007B1702" w:rsidP="007B1702">
      <w:pPr>
        <w:rPr>
          <w:rFonts w:ascii="Cambria" w:hAnsi="Cambria" w:cs="Calibri"/>
          <w:sz w:val="20"/>
          <w:szCs w:val="20"/>
          <w:lang w:val="es-ES_tradnl"/>
        </w:rPr>
      </w:pPr>
    </w:p>
    <w:p w:rsidR="007B1702" w:rsidRPr="00D11BBF" w:rsidRDefault="007B1702" w:rsidP="00674EC3">
      <w:pPr>
        <w:pStyle w:val="Heading1"/>
        <w:rPr>
          <w:color w:val="auto"/>
        </w:rPr>
      </w:pPr>
      <w:r w:rsidRPr="00D11BBF">
        <w:rPr>
          <w:color w:val="auto"/>
        </w:rPr>
        <w:t>III.</w:t>
      </w:r>
      <w:r w:rsidRPr="00D11BBF">
        <w:rPr>
          <w:color w:val="auto"/>
        </w:rPr>
        <w:tab/>
        <w:t>POSICIONES DE LAS PARTES</w:t>
      </w:r>
    </w:p>
    <w:p w:rsidR="007B1702" w:rsidRPr="00D11BBF" w:rsidRDefault="007B1702" w:rsidP="007B1702">
      <w:pPr>
        <w:rPr>
          <w:rFonts w:ascii="Cambria" w:hAnsi="Cambria" w:cs="Calibri"/>
          <w:sz w:val="20"/>
          <w:szCs w:val="20"/>
          <w:lang w:val="es-ES_tradnl"/>
        </w:rPr>
      </w:pPr>
    </w:p>
    <w:p w:rsidR="007B1702" w:rsidRPr="00D11BBF" w:rsidRDefault="007B1702" w:rsidP="00674EC3">
      <w:pPr>
        <w:pStyle w:val="Heading2"/>
      </w:pPr>
      <w:r w:rsidRPr="00D11BBF">
        <w:t>Posición del peticionario</w:t>
      </w:r>
    </w:p>
    <w:p w:rsidR="007B1702" w:rsidRPr="00D11BBF" w:rsidRDefault="007B1702" w:rsidP="007B1702">
      <w:pPr>
        <w:rPr>
          <w:rFonts w:ascii="Cambria" w:hAnsi="Cambria"/>
          <w:sz w:val="20"/>
          <w:szCs w:val="20"/>
          <w:lang w:val="es-ES_tradnl"/>
        </w:rPr>
      </w:pPr>
    </w:p>
    <w:p w:rsidR="00A50D57" w:rsidRPr="00D11BBF" w:rsidRDefault="003A588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jc w:val="both"/>
        <w:rPr>
          <w:rFonts w:ascii="Cambria" w:hAnsi="Cambria" w:cs="Calibri"/>
          <w:sz w:val="20"/>
          <w:szCs w:val="20"/>
          <w:lang w:val="es-PE"/>
        </w:rPr>
      </w:pPr>
      <w:r w:rsidRPr="00D11BBF">
        <w:rPr>
          <w:rFonts w:ascii="Cambria" w:hAnsi="Cambria" w:cs="Calibri"/>
          <w:sz w:val="20"/>
          <w:szCs w:val="20"/>
          <w:lang w:val="es-ES_tradnl"/>
        </w:rPr>
        <w:t xml:space="preserve">El peticionario </w:t>
      </w:r>
      <w:r w:rsidR="00A50D57" w:rsidRPr="00D11BBF">
        <w:rPr>
          <w:rFonts w:ascii="Cambria" w:hAnsi="Cambria" w:cs="Calibri"/>
          <w:sz w:val="20"/>
          <w:szCs w:val="20"/>
          <w:lang w:val="es-ES_tradnl"/>
        </w:rPr>
        <w:t xml:space="preserve">alega </w:t>
      </w:r>
      <w:r w:rsidR="00A50D57" w:rsidRPr="00D11BBF">
        <w:rPr>
          <w:rFonts w:ascii="Cambria" w:hAnsi="Cambria" w:cs="Calibri"/>
          <w:snapToGrid w:val="0"/>
          <w:sz w:val="20"/>
          <w:szCs w:val="20"/>
          <w:lang w:val="es-ES_tradnl"/>
        </w:rPr>
        <w:t xml:space="preserve">la responsabilidad de Ecuador por un proceso penal policial instaurado en contra de las presuntas </w:t>
      </w:r>
      <w:r w:rsidR="00A50D57" w:rsidRPr="00D11BBF">
        <w:rPr>
          <w:rFonts w:ascii="Cambria" w:hAnsi="Cambria" w:cs="Calibri"/>
          <w:snapToGrid w:val="0"/>
          <w:sz w:val="20"/>
          <w:szCs w:val="20"/>
          <w:lang w:val="es-CR"/>
        </w:rPr>
        <w:t xml:space="preserve">víctimas </w:t>
      </w:r>
      <w:r w:rsidR="00A50D57" w:rsidRPr="00D11BBF">
        <w:rPr>
          <w:rFonts w:ascii="Cambria" w:hAnsi="Cambria" w:cs="Calibri"/>
          <w:snapToGrid w:val="0"/>
          <w:sz w:val="20"/>
          <w:szCs w:val="20"/>
          <w:lang w:val="es-ES_tradnl"/>
        </w:rPr>
        <w:t xml:space="preserve">sin las debidas garantías, en cuyo marco se </w:t>
      </w:r>
      <w:r w:rsidR="003F5B21" w:rsidRPr="00D11BBF">
        <w:rPr>
          <w:rFonts w:ascii="Cambria" w:hAnsi="Cambria" w:cs="Calibri"/>
          <w:snapToGrid w:val="0"/>
          <w:sz w:val="20"/>
          <w:szCs w:val="20"/>
          <w:lang w:val="es-ES_tradnl"/>
        </w:rPr>
        <w:t>dictó</w:t>
      </w:r>
      <w:r w:rsidR="00A50D57" w:rsidRPr="00D11BBF">
        <w:rPr>
          <w:rFonts w:ascii="Cambria" w:hAnsi="Cambria" w:cs="Calibri"/>
          <w:snapToGrid w:val="0"/>
          <w:sz w:val="20"/>
          <w:szCs w:val="20"/>
          <w:lang w:val="es-ES_tradnl"/>
        </w:rPr>
        <w:t xml:space="preserve"> una privación de detención mediante la aplicación retroactiva de una norma penal; así como la posterior falta de indemnización por el proceso penal y por la detención en firme, la falta de independencia e imparcialidad de los juzgadores y la falta de esclarecimiento por el proceso penal iniciado por prevaricato contra el ex Presidente de la Corte Nacional de Justicia Policial, quien les habría iniciado el proceso penal. </w:t>
      </w:r>
    </w:p>
    <w:p w:rsidR="00A50D57" w:rsidRPr="00D11BBF" w:rsidRDefault="00A50D57" w:rsidP="00A50D5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hAnsi="Cambria" w:cs="Calibri"/>
          <w:sz w:val="20"/>
          <w:szCs w:val="20"/>
          <w:lang w:val="es-PE"/>
        </w:rPr>
      </w:pPr>
    </w:p>
    <w:p w:rsidR="003A5882" w:rsidRPr="00D11BBF" w:rsidRDefault="00C4253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jc w:val="both"/>
        <w:rPr>
          <w:rFonts w:ascii="Cambria" w:hAnsi="Cambria" w:cs="Calibri"/>
          <w:sz w:val="20"/>
          <w:szCs w:val="20"/>
          <w:lang w:val="es-PE"/>
        </w:rPr>
      </w:pPr>
      <w:r w:rsidRPr="00D11BBF">
        <w:rPr>
          <w:rFonts w:ascii="Cambria" w:hAnsi="Cambria" w:cs="Calibri"/>
          <w:sz w:val="20"/>
          <w:szCs w:val="20"/>
          <w:lang w:val="es-PE"/>
        </w:rPr>
        <w:t xml:space="preserve">Asimismo, </w:t>
      </w:r>
      <w:r w:rsidRPr="00D11BBF">
        <w:rPr>
          <w:rFonts w:ascii="Cambria" w:hAnsi="Cambria" w:cs="Calibri"/>
          <w:sz w:val="20"/>
          <w:szCs w:val="20"/>
          <w:lang w:val="es-ES_tradnl"/>
        </w:rPr>
        <w:t>indica</w:t>
      </w:r>
      <w:r w:rsidR="003A5882" w:rsidRPr="00D11BBF">
        <w:rPr>
          <w:rFonts w:ascii="Cambria" w:hAnsi="Cambria" w:cs="Calibri"/>
          <w:sz w:val="20"/>
          <w:szCs w:val="20"/>
          <w:lang w:val="es-ES_tradnl"/>
        </w:rPr>
        <w:t xml:space="preserve"> que l</w:t>
      </w:r>
      <w:r w:rsidR="007B1702" w:rsidRPr="00D11BBF">
        <w:rPr>
          <w:rFonts w:ascii="Cambria" w:hAnsi="Cambria" w:cs="Calibri"/>
          <w:sz w:val="20"/>
          <w:szCs w:val="20"/>
          <w:lang w:val="es-PE"/>
        </w:rPr>
        <w:t xml:space="preserve">as presuntas víctimas </w:t>
      </w:r>
      <w:r w:rsidR="003A5882" w:rsidRPr="00D11BBF">
        <w:rPr>
          <w:rFonts w:ascii="Cambria" w:hAnsi="Cambria" w:cs="Calibri"/>
          <w:sz w:val="20"/>
          <w:szCs w:val="20"/>
          <w:lang w:val="es-PE"/>
        </w:rPr>
        <w:t>s</w:t>
      </w:r>
      <w:r w:rsidR="003A17B4" w:rsidRPr="00D11BBF">
        <w:rPr>
          <w:rFonts w:ascii="Cambria" w:hAnsi="Cambria" w:cs="Calibri"/>
          <w:sz w:val="20"/>
          <w:szCs w:val="20"/>
          <w:lang w:val="es-PE"/>
        </w:rPr>
        <w:t>on</w:t>
      </w:r>
      <w:r w:rsidR="007B1702" w:rsidRPr="00D11BBF">
        <w:rPr>
          <w:rFonts w:ascii="Cambria" w:hAnsi="Cambria" w:cs="Calibri"/>
          <w:sz w:val="20"/>
          <w:szCs w:val="20"/>
          <w:lang w:val="es-PE"/>
        </w:rPr>
        <w:t xml:space="preserve"> oficiales de la Policía Nacional de</w:t>
      </w:r>
      <w:r w:rsidR="003A5882" w:rsidRPr="00D11BBF">
        <w:rPr>
          <w:rFonts w:ascii="Cambria" w:hAnsi="Cambria" w:cs="Calibri"/>
          <w:sz w:val="20"/>
          <w:szCs w:val="20"/>
          <w:lang w:val="es-PE"/>
        </w:rPr>
        <w:t>l Ecuador</w:t>
      </w:r>
      <w:r w:rsidR="004921EA" w:rsidRPr="00D11BBF">
        <w:rPr>
          <w:rFonts w:ascii="Cambria" w:hAnsi="Cambria" w:cs="Calibri"/>
          <w:sz w:val="20"/>
          <w:szCs w:val="20"/>
          <w:lang w:val="es-PE"/>
        </w:rPr>
        <w:t xml:space="preserve"> (en adelante “PN”)</w:t>
      </w:r>
      <w:r w:rsidR="003A5882" w:rsidRPr="00D11BBF">
        <w:rPr>
          <w:rFonts w:ascii="Cambria" w:hAnsi="Cambria" w:cs="Calibri"/>
          <w:sz w:val="20"/>
          <w:szCs w:val="20"/>
          <w:lang w:val="es-PE"/>
        </w:rPr>
        <w:t>.  A ellos s</w:t>
      </w:r>
      <w:r w:rsidR="007B1702" w:rsidRPr="00D11BBF">
        <w:rPr>
          <w:rFonts w:ascii="Cambria" w:hAnsi="Cambria" w:cs="Calibri"/>
          <w:sz w:val="20"/>
          <w:szCs w:val="20"/>
          <w:lang w:val="es-PE"/>
        </w:rPr>
        <w:t>e les</w:t>
      </w:r>
      <w:r w:rsidR="00EC5D0C" w:rsidRPr="00D11BBF">
        <w:rPr>
          <w:rFonts w:ascii="Cambria" w:hAnsi="Cambria" w:cs="Calibri"/>
          <w:sz w:val="20"/>
          <w:szCs w:val="20"/>
          <w:lang w:val="es-PE"/>
        </w:rPr>
        <w:t xml:space="preserve"> inici</w:t>
      </w:r>
      <w:r w:rsidR="00377AC3" w:rsidRPr="00D11BBF">
        <w:rPr>
          <w:rFonts w:ascii="Cambria" w:hAnsi="Cambria" w:cs="Calibri"/>
          <w:sz w:val="20"/>
          <w:szCs w:val="20"/>
          <w:lang w:val="es-PE"/>
        </w:rPr>
        <w:t>ó</w:t>
      </w:r>
      <w:r w:rsidR="003A5882" w:rsidRPr="00D11BBF">
        <w:rPr>
          <w:rFonts w:ascii="Cambria" w:hAnsi="Cambria" w:cs="Calibri"/>
          <w:sz w:val="20"/>
          <w:szCs w:val="20"/>
          <w:lang w:val="es-PE"/>
        </w:rPr>
        <w:t xml:space="preserve"> </w:t>
      </w:r>
      <w:r w:rsidR="007B1702" w:rsidRPr="00D11BBF">
        <w:rPr>
          <w:rFonts w:ascii="Cambria" w:hAnsi="Cambria" w:cs="Calibri"/>
          <w:sz w:val="20"/>
          <w:szCs w:val="20"/>
          <w:lang w:val="es-PE"/>
        </w:rPr>
        <w:t xml:space="preserve">un proceso penal </w:t>
      </w:r>
      <w:r w:rsidR="00752F94" w:rsidRPr="00D11BBF">
        <w:rPr>
          <w:rFonts w:ascii="Cambria" w:hAnsi="Cambria" w:cs="Calibri"/>
          <w:sz w:val="20"/>
          <w:szCs w:val="20"/>
          <w:lang w:val="es-PE"/>
        </w:rPr>
        <w:t xml:space="preserve">ante el fuero </w:t>
      </w:r>
      <w:r w:rsidR="007B1702" w:rsidRPr="00D11BBF">
        <w:rPr>
          <w:rFonts w:ascii="Cambria" w:hAnsi="Cambria" w:cs="Calibri"/>
          <w:sz w:val="20"/>
          <w:szCs w:val="20"/>
          <w:lang w:val="es-PE"/>
        </w:rPr>
        <w:t xml:space="preserve">policial tras la publicación </w:t>
      </w:r>
      <w:r w:rsidR="003A5882" w:rsidRPr="00D11BBF">
        <w:rPr>
          <w:rFonts w:ascii="Cambria" w:hAnsi="Cambria" w:cs="Calibri"/>
          <w:sz w:val="20"/>
          <w:szCs w:val="20"/>
          <w:lang w:val="es-PE"/>
        </w:rPr>
        <w:t xml:space="preserve">por parte de la Contraloría General del Estado </w:t>
      </w:r>
      <w:r w:rsidR="007B1702" w:rsidRPr="00D11BBF">
        <w:rPr>
          <w:rFonts w:ascii="Cambria" w:hAnsi="Cambria" w:cs="Calibri"/>
          <w:sz w:val="20"/>
          <w:szCs w:val="20"/>
          <w:lang w:val="es-PE"/>
        </w:rPr>
        <w:t xml:space="preserve">del “Informe Parcial de: Indicios de Responsabilidad Penal del examen especial a las operaciones administrativas y financieras de la Comandancia General de la </w:t>
      </w:r>
      <w:r w:rsidR="004921EA" w:rsidRPr="00D11BBF">
        <w:rPr>
          <w:rFonts w:ascii="Cambria" w:hAnsi="Cambria" w:cs="Calibri"/>
          <w:sz w:val="20"/>
          <w:szCs w:val="20"/>
          <w:lang w:val="es-PE"/>
        </w:rPr>
        <w:t>P</w:t>
      </w:r>
      <w:r w:rsidR="00A63756" w:rsidRPr="00D11BBF">
        <w:rPr>
          <w:rFonts w:ascii="Cambria" w:hAnsi="Cambria" w:cs="Calibri"/>
          <w:sz w:val="20"/>
          <w:szCs w:val="20"/>
          <w:lang w:val="es-PE"/>
        </w:rPr>
        <w:t xml:space="preserve">olicía </w:t>
      </w:r>
      <w:r w:rsidR="004921EA" w:rsidRPr="00D11BBF">
        <w:rPr>
          <w:rFonts w:ascii="Cambria" w:hAnsi="Cambria" w:cs="Calibri"/>
          <w:sz w:val="20"/>
          <w:szCs w:val="20"/>
          <w:lang w:val="es-PE"/>
        </w:rPr>
        <w:t>N</w:t>
      </w:r>
      <w:r w:rsidR="00A63756" w:rsidRPr="00D11BBF">
        <w:rPr>
          <w:rFonts w:ascii="Cambria" w:hAnsi="Cambria" w:cs="Calibri"/>
          <w:sz w:val="20"/>
          <w:szCs w:val="20"/>
          <w:lang w:val="es-PE"/>
        </w:rPr>
        <w:t>acional</w:t>
      </w:r>
      <w:r w:rsidR="007B1702" w:rsidRPr="00D11BBF">
        <w:rPr>
          <w:rFonts w:ascii="Cambria" w:hAnsi="Cambria" w:cs="Calibri"/>
          <w:sz w:val="20"/>
          <w:szCs w:val="20"/>
          <w:lang w:val="es-PE"/>
        </w:rPr>
        <w:t>. Casas Comerciales: TECMADIE</w:t>
      </w:r>
      <w:r w:rsidR="003A5882" w:rsidRPr="00D11BBF">
        <w:rPr>
          <w:rFonts w:ascii="Cambria" w:hAnsi="Cambria" w:cs="Calibri"/>
          <w:sz w:val="20"/>
          <w:szCs w:val="20"/>
          <w:lang w:val="es-PE"/>
        </w:rPr>
        <w:t>SEL GRUP, COTRANSA y DIJORMING”</w:t>
      </w:r>
      <w:r w:rsidR="00374B68" w:rsidRPr="00D11BBF">
        <w:rPr>
          <w:rFonts w:ascii="Cambria" w:hAnsi="Cambria" w:cs="Calibri"/>
          <w:sz w:val="20"/>
          <w:szCs w:val="20"/>
          <w:lang w:val="es-PE"/>
        </w:rPr>
        <w:t xml:space="preserve"> (en adelante “el Informe</w:t>
      </w:r>
      <w:r w:rsidR="00DB5E7B" w:rsidRPr="00D11BBF">
        <w:rPr>
          <w:rFonts w:ascii="Cambria" w:hAnsi="Cambria" w:cs="Calibri"/>
          <w:sz w:val="20"/>
          <w:szCs w:val="20"/>
          <w:lang w:val="es-PE"/>
        </w:rPr>
        <w:t>”</w:t>
      </w:r>
      <w:r w:rsidR="00374B68" w:rsidRPr="00D11BBF">
        <w:rPr>
          <w:rFonts w:ascii="Cambria" w:hAnsi="Cambria" w:cs="Calibri"/>
          <w:sz w:val="20"/>
          <w:szCs w:val="20"/>
          <w:lang w:val="es-PE"/>
        </w:rPr>
        <w:t>)</w:t>
      </w:r>
      <w:r w:rsidR="007B1702" w:rsidRPr="00D11BBF">
        <w:rPr>
          <w:rStyle w:val="FootnoteReference"/>
          <w:rFonts w:ascii="Cambria" w:hAnsi="Cambria" w:cs="Calibri"/>
          <w:sz w:val="20"/>
          <w:szCs w:val="20"/>
          <w:lang w:val="es-AR"/>
        </w:rPr>
        <w:footnoteReference w:id="3"/>
      </w:r>
      <w:r w:rsidR="007B1702" w:rsidRPr="00D11BBF">
        <w:rPr>
          <w:rFonts w:ascii="Cambria" w:hAnsi="Cambria" w:cs="Calibri"/>
          <w:sz w:val="20"/>
          <w:szCs w:val="20"/>
          <w:lang w:val="es-AR"/>
        </w:rPr>
        <w:t>.</w:t>
      </w:r>
      <w:r w:rsidR="007B1702" w:rsidRPr="00D11BBF">
        <w:rPr>
          <w:rFonts w:ascii="Cambria" w:hAnsi="Cambria" w:cs="Calibri"/>
          <w:sz w:val="20"/>
          <w:szCs w:val="20"/>
          <w:lang w:val="es-PE"/>
        </w:rPr>
        <w:t xml:space="preserve"> </w:t>
      </w:r>
    </w:p>
    <w:p w:rsidR="003A5882" w:rsidRPr="00D11BBF" w:rsidRDefault="003A5882" w:rsidP="003A588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hAnsi="Cambria" w:cs="Calibri"/>
          <w:sz w:val="20"/>
          <w:szCs w:val="20"/>
          <w:lang w:val="es-PE"/>
        </w:rPr>
      </w:pPr>
    </w:p>
    <w:p w:rsidR="007B1702" w:rsidRPr="00D11BBF" w:rsidRDefault="003A588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jc w:val="both"/>
        <w:rPr>
          <w:rFonts w:ascii="Cambria" w:hAnsi="Cambria" w:cs="Calibri"/>
          <w:sz w:val="20"/>
          <w:szCs w:val="20"/>
          <w:lang w:val="es-PE"/>
        </w:rPr>
      </w:pPr>
      <w:r w:rsidRPr="00D11BBF">
        <w:rPr>
          <w:rFonts w:ascii="Cambria" w:hAnsi="Cambria" w:cs="Calibri"/>
          <w:sz w:val="20"/>
          <w:szCs w:val="20"/>
          <w:lang w:val="es-PE"/>
        </w:rPr>
        <w:t xml:space="preserve">Según el peticionario, el </w:t>
      </w:r>
      <w:r w:rsidR="00374B68" w:rsidRPr="00D11BBF">
        <w:rPr>
          <w:rFonts w:ascii="Cambria" w:hAnsi="Cambria" w:cs="Calibri"/>
          <w:sz w:val="20"/>
          <w:szCs w:val="20"/>
          <w:lang w:val="es-PE"/>
        </w:rPr>
        <w:t>Informe de la Contraloría</w:t>
      </w:r>
      <w:r w:rsidRPr="00D11BBF">
        <w:rPr>
          <w:rFonts w:ascii="Cambria" w:hAnsi="Cambria" w:cs="Calibri"/>
          <w:sz w:val="20"/>
          <w:szCs w:val="20"/>
          <w:lang w:val="es-PE"/>
        </w:rPr>
        <w:t xml:space="preserve"> concluía </w:t>
      </w:r>
      <w:r w:rsidR="007B1702" w:rsidRPr="00D11BBF">
        <w:rPr>
          <w:rFonts w:ascii="Cambria" w:hAnsi="Cambria" w:cs="Calibri"/>
          <w:sz w:val="20"/>
          <w:szCs w:val="20"/>
          <w:lang w:val="es-PE"/>
        </w:rPr>
        <w:t>que había mérito para abrir una i</w:t>
      </w:r>
      <w:r w:rsidR="00374B68" w:rsidRPr="00D11BBF">
        <w:rPr>
          <w:rFonts w:ascii="Cambria" w:hAnsi="Cambria" w:cs="Calibri"/>
          <w:sz w:val="20"/>
          <w:szCs w:val="20"/>
          <w:lang w:val="es-PE"/>
        </w:rPr>
        <w:t>nvestigación penal por peculado</w:t>
      </w:r>
      <w:r w:rsidR="007B1702" w:rsidRPr="00D11BBF">
        <w:rPr>
          <w:rStyle w:val="FootnoteReference"/>
          <w:rFonts w:ascii="Cambria" w:hAnsi="Cambria" w:cs="Calibri"/>
          <w:sz w:val="20"/>
          <w:szCs w:val="20"/>
          <w:lang w:val="es-AR"/>
        </w:rPr>
        <w:footnoteReference w:id="4"/>
      </w:r>
      <w:r w:rsidR="00C81799" w:rsidRPr="00D11BBF">
        <w:rPr>
          <w:rFonts w:ascii="Cambria" w:hAnsi="Cambria" w:cs="Calibri"/>
          <w:sz w:val="20"/>
          <w:szCs w:val="20"/>
          <w:lang w:val="es-PE"/>
        </w:rPr>
        <w:t xml:space="preserve"> </w:t>
      </w:r>
      <w:r w:rsidR="00374B68" w:rsidRPr="00D11BBF">
        <w:rPr>
          <w:rFonts w:ascii="Cambria" w:hAnsi="Cambria" w:cs="Calibri"/>
          <w:sz w:val="20"/>
          <w:szCs w:val="20"/>
          <w:lang w:val="es-PE"/>
        </w:rPr>
        <w:t>y hacía</w:t>
      </w:r>
      <w:r w:rsidR="007B1702" w:rsidRPr="00D11BBF">
        <w:rPr>
          <w:rFonts w:ascii="Cambria" w:hAnsi="Cambria" w:cs="Calibri"/>
          <w:sz w:val="20"/>
          <w:szCs w:val="20"/>
          <w:lang w:val="es-PE"/>
        </w:rPr>
        <w:t xml:space="preserve"> mención </w:t>
      </w:r>
      <w:r w:rsidR="00374B68" w:rsidRPr="00D11BBF">
        <w:rPr>
          <w:rFonts w:ascii="Cambria" w:hAnsi="Cambria" w:cs="Calibri"/>
          <w:sz w:val="20"/>
          <w:szCs w:val="20"/>
          <w:lang w:val="es-PE"/>
        </w:rPr>
        <w:t>a</w:t>
      </w:r>
      <w:r w:rsidR="007B1702" w:rsidRPr="00D11BBF">
        <w:rPr>
          <w:rFonts w:ascii="Cambria" w:hAnsi="Cambria" w:cs="Calibri"/>
          <w:sz w:val="20"/>
          <w:szCs w:val="20"/>
          <w:lang w:val="es-PE"/>
        </w:rPr>
        <w:t xml:space="preserve"> </w:t>
      </w:r>
      <w:r w:rsidR="00C81799" w:rsidRPr="00D11BBF">
        <w:rPr>
          <w:rFonts w:ascii="Cambria" w:hAnsi="Cambria" w:cs="Calibri"/>
          <w:sz w:val="20"/>
          <w:szCs w:val="20"/>
          <w:lang w:val="es-PE"/>
        </w:rPr>
        <w:t>las presuntas víctimas como involucradas</w:t>
      </w:r>
      <w:r w:rsidR="00374B68" w:rsidRPr="00D11BBF">
        <w:rPr>
          <w:rFonts w:ascii="Cambria" w:hAnsi="Cambria" w:cs="Calibri"/>
          <w:sz w:val="20"/>
          <w:szCs w:val="20"/>
          <w:lang w:val="es-PE"/>
        </w:rPr>
        <w:t>;</w:t>
      </w:r>
      <w:r w:rsidR="007B1702" w:rsidRPr="00D11BBF">
        <w:rPr>
          <w:rFonts w:ascii="Cambria" w:hAnsi="Cambria" w:cs="Calibri"/>
          <w:sz w:val="20"/>
          <w:szCs w:val="20"/>
          <w:lang w:val="es-PE"/>
        </w:rPr>
        <w:t xml:space="preserve"> sin embargo, </w:t>
      </w:r>
      <w:r w:rsidR="00374B68" w:rsidRPr="00D11BBF">
        <w:rPr>
          <w:rFonts w:ascii="Cambria" w:hAnsi="Cambria" w:cs="Calibri"/>
          <w:sz w:val="20"/>
          <w:szCs w:val="20"/>
          <w:lang w:val="es-PE"/>
        </w:rPr>
        <w:t>sostiene que</w:t>
      </w:r>
      <w:r w:rsidR="007B1702" w:rsidRPr="00D11BBF">
        <w:rPr>
          <w:rFonts w:ascii="Cambria" w:hAnsi="Cambria" w:cs="Calibri"/>
          <w:sz w:val="20"/>
          <w:szCs w:val="20"/>
          <w:lang w:val="es-PE"/>
        </w:rPr>
        <w:t xml:space="preserve"> no habría una clara individualización de las responsabilidades </w:t>
      </w:r>
      <w:r w:rsidR="00374B68" w:rsidRPr="00D11BBF">
        <w:rPr>
          <w:rFonts w:ascii="Cambria" w:hAnsi="Cambria" w:cs="Calibri"/>
          <w:sz w:val="20"/>
          <w:szCs w:val="20"/>
          <w:lang w:val="es-PE"/>
        </w:rPr>
        <w:t xml:space="preserve"> y que </w:t>
      </w:r>
      <w:r w:rsidR="00C81799" w:rsidRPr="00D11BBF">
        <w:rPr>
          <w:rFonts w:ascii="Cambria" w:hAnsi="Cambria" w:cs="Calibri"/>
          <w:sz w:val="20"/>
          <w:szCs w:val="20"/>
          <w:lang w:val="es-PE"/>
        </w:rPr>
        <w:t xml:space="preserve">a </w:t>
      </w:r>
      <w:r w:rsidR="00374B68" w:rsidRPr="00D11BBF">
        <w:rPr>
          <w:rFonts w:ascii="Cambria" w:hAnsi="Cambria" w:cs="Calibri"/>
          <w:sz w:val="20"/>
          <w:szCs w:val="20"/>
          <w:lang w:val="es-PE"/>
        </w:rPr>
        <w:t>l</w:t>
      </w:r>
      <w:r w:rsidR="007B1702" w:rsidRPr="00D11BBF">
        <w:rPr>
          <w:rFonts w:ascii="Cambria" w:hAnsi="Cambria" w:cs="Calibri"/>
          <w:sz w:val="20"/>
          <w:szCs w:val="20"/>
          <w:lang w:val="es-PE"/>
        </w:rPr>
        <w:t xml:space="preserve">as presuntas víctimas </w:t>
      </w:r>
      <w:r w:rsidR="00C81799" w:rsidRPr="00D11BBF">
        <w:rPr>
          <w:rFonts w:ascii="Cambria" w:hAnsi="Cambria" w:cs="Calibri"/>
          <w:sz w:val="20"/>
          <w:szCs w:val="20"/>
          <w:lang w:val="es-PE"/>
        </w:rPr>
        <w:t xml:space="preserve">se </w:t>
      </w:r>
      <w:r w:rsidR="00615498" w:rsidRPr="00D11BBF">
        <w:rPr>
          <w:rFonts w:ascii="Cambria" w:hAnsi="Cambria" w:cs="Calibri"/>
          <w:sz w:val="20"/>
          <w:szCs w:val="20"/>
          <w:lang w:val="es-PE"/>
        </w:rPr>
        <w:t xml:space="preserve">les habría </w:t>
      </w:r>
      <w:r w:rsidR="007B1702" w:rsidRPr="00D11BBF">
        <w:rPr>
          <w:rFonts w:ascii="Cambria" w:hAnsi="Cambria" w:cs="Calibri"/>
          <w:sz w:val="20"/>
          <w:szCs w:val="20"/>
          <w:lang w:val="es-PE"/>
        </w:rPr>
        <w:t>imposibi</w:t>
      </w:r>
      <w:r w:rsidR="00374B68" w:rsidRPr="00D11BBF">
        <w:rPr>
          <w:rFonts w:ascii="Cambria" w:hAnsi="Cambria" w:cs="Calibri"/>
          <w:sz w:val="20"/>
          <w:szCs w:val="20"/>
          <w:lang w:val="es-PE"/>
        </w:rPr>
        <w:t>litado defenderse</w:t>
      </w:r>
      <w:r w:rsidR="007B1702" w:rsidRPr="00D11BBF">
        <w:rPr>
          <w:rFonts w:ascii="Cambria" w:hAnsi="Cambria" w:cs="Calibri"/>
          <w:sz w:val="20"/>
          <w:szCs w:val="20"/>
          <w:lang w:val="es-PE"/>
        </w:rPr>
        <w:t xml:space="preserve">. </w:t>
      </w:r>
      <w:r w:rsidR="003A17B4" w:rsidRPr="00D11BBF">
        <w:rPr>
          <w:rFonts w:ascii="Cambria" w:hAnsi="Cambria" w:cs="Calibri"/>
          <w:sz w:val="20"/>
          <w:szCs w:val="20"/>
          <w:lang w:val="es-PE"/>
        </w:rPr>
        <w:t>El peticionario indica que las presuntas víctimas tuvieron noticia del Informe de la Contraloría mediante una nota periodística de fecha 22 de diciembre de 2001.</w:t>
      </w:r>
    </w:p>
    <w:p w:rsidR="007B1702" w:rsidRPr="00D11BBF" w:rsidRDefault="007B1702" w:rsidP="007B1702">
      <w:pPr>
        <w:pStyle w:val="BodyText"/>
        <w:spacing w:after="0"/>
        <w:ind w:left="720"/>
        <w:jc w:val="both"/>
        <w:rPr>
          <w:rFonts w:ascii="Cambria" w:hAnsi="Cambria" w:cs="Calibri"/>
          <w:sz w:val="20"/>
          <w:szCs w:val="20"/>
          <w:lang w:val="es-PE"/>
        </w:rPr>
      </w:pPr>
    </w:p>
    <w:p w:rsidR="00A23012" w:rsidRPr="00D11BBF" w:rsidRDefault="00C81799"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jc w:val="both"/>
        <w:rPr>
          <w:rFonts w:ascii="Cambria" w:hAnsi="Cambria" w:cs="Calibri"/>
          <w:sz w:val="20"/>
          <w:szCs w:val="20"/>
          <w:lang w:val="es-PE"/>
        </w:rPr>
      </w:pPr>
      <w:r w:rsidRPr="00D11BBF">
        <w:rPr>
          <w:rFonts w:ascii="Cambria" w:hAnsi="Cambria" w:cs="Calibri"/>
          <w:sz w:val="20"/>
          <w:szCs w:val="20"/>
          <w:lang w:val="es-PE"/>
        </w:rPr>
        <w:t>I</w:t>
      </w:r>
      <w:r w:rsidR="00752F94" w:rsidRPr="00D11BBF">
        <w:rPr>
          <w:rFonts w:ascii="Cambria" w:hAnsi="Cambria" w:cs="Calibri"/>
          <w:sz w:val="20"/>
          <w:szCs w:val="20"/>
          <w:lang w:val="es-PE"/>
        </w:rPr>
        <w:t>ndica que</w:t>
      </w:r>
      <w:r w:rsidR="007B1702" w:rsidRPr="00D11BBF">
        <w:rPr>
          <w:rFonts w:ascii="Cambria" w:hAnsi="Cambria" w:cs="Calibri"/>
          <w:sz w:val="20"/>
          <w:szCs w:val="20"/>
          <w:lang w:val="es-PE"/>
        </w:rPr>
        <w:t xml:space="preserve"> </w:t>
      </w:r>
      <w:r w:rsidR="006F26F4" w:rsidRPr="00D11BBF">
        <w:rPr>
          <w:rFonts w:ascii="Cambria" w:hAnsi="Cambria" w:cs="Calibri"/>
          <w:sz w:val="20"/>
          <w:szCs w:val="20"/>
          <w:lang w:val="es-PE"/>
        </w:rPr>
        <w:t>el I</w:t>
      </w:r>
      <w:r w:rsidR="00A23012" w:rsidRPr="00D11BBF">
        <w:rPr>
          <w:rFonts w:ascii="Cambria" w:hAnsi="Cambria" w:cs="Calibri"/>
          <w:sz w:val="20"/>
          <w:szCs w:val="20"/>
          <w:lang w:val="es-PE"/>
        </w:rPr>
        <w:t xml:space="preserve">nforme fue remitido por la Contraloría al Ministro Fiscal Distrital el 19 de diciembre de 2001. </w:t>
      </w:r>
      <w:r w:rsidR="00997EE7" w:rsidRPr="00D11BBF">
        <w:rPr>
          <w:rFonts w:ascii="Cambria" w:hAnsi="Cambria" w:cs="Calibri"/>
          <w:sz w:val="20"/>
          <w:szCs w:val="20"/>
          <w:lang w:val="es-PE"/>
        </w:rPr>
        <w:t>Agreg</w:t>
      </w:r>
      <w:r w:rsidRPr="00D11BBF">
        <w:rPr>
          <w:rFonts w:ascii="Cambria" w:hAnsi="Cambria" w:cs="Calibri"/>
          <w:sz w:val="20"/>
          <w:szCs w:val="20"/>
          <w:lang w:val="es-PE"/>
        </w:rPr>
        <w:t>a</w:t>
      </w:r>
      <w:r w:rsidR="00A23012" w:rsidRPr="00D11BBF">
        <w:rPr>
          <w:rFonts w:ascii="Cambria" w:hAnsi="Cambria" w:cs="Calibri"/>
          <w:sz w:val="20"/>
          <w:szCs w:val="20"/>
          <w:lang w:val="es-PE"/>
        </w:rPr>
        <w:t xml:space="preserve"> </w:t>
      </w:r>
      <w:r w:rsidRPr="00D11BBF">
        <w:rPr>
          <w:rFonts w:ascii="Cambria" w:hAnsi="Cambria" w:cs="Calibri"/>
          <w:sz w:val="20"/>
          <w:szCs w:val="20"/>
          <w:lang w:val="es-PE"/>
        </w:rPr>
        <w:t>que</w:t>
      </w:r>
      <w:r w:rsidR="00A23012" w:rsidRPr="00D11BBF">
        <w:rPr>
          <w:rFonts w:ascii="Cambria" w:hAnsi="Cambria" w:cs="Calibri"/>
          <w:sz w:val="20"/>
          <w:szCs w:val="20"/>
          <w:lang w:val="es-PE"/>
        </w:rPr>
        <w:t xml:space="preserve"> la Fiscalía inició la fase indagatoria y llamó a declar</w:t>
      </w:r>
      <w:r w:rsidR="00BA5AAD" w:rsidRPr="00D11BBF">
        <w:rPr>
          <w:rFonts w:ascii="Cambria" w:hAnsi="Cambria" w:cs="Calibri"/>
          <w:sz w:val="20"/>
          <w:szCs w:val="20"/>
          <w:lang w:val="es-PE"/>
        </w:rPr>
        <w:t>ar a los involucrados</w:t>
      </w:r>
      <w:r w:rsidR="00A23012" w:rsidRPr="00D11BBF">
        <w:rPr>
          <w:rFonts w:ascii="Cambria" w:hAnsi="Cambria" w:cs="Calibri"/>
          <w:sz w:val="20"/>
          <w:szCs w:val="20"/>
          <w:lang w:val="es-PE"/>
        </w:rPr>
        <w:t>.</w:t>
      </w:r>
      <w:r w:rsidR="00B1460D" w:rsidRPr="00D11BBF">
        <w:rPr>
          <w:rFonts w:ascii="Cambria" w:hAnsi="Cambria" w:cs="Calibri"/>
          <w:sz w:val="20"/>
          <w:szCs w:val="20"/>
          <w:lang w:val="es-PE"/>
        </w:rPr>
        <w:t xml:space="preserve"> Por su parte, </w:t>
      </w:r>
      <w:r w:rsidR="007B1702" w:rsidRPr="00D11BBF">
        <w:rPr>
          <w:rFonts w:ascii="Cambria" w:hAnsi="Cambria" w:cs="Calibri"/>
          <w:sz w:val="20"/>
          <w:szCs w:val="20"/>
          <w:lang w:val="es-PE"/>
        </w:rPr>
        <w:t xml:space="preserve">el Presidente de la Corte Nacional de Justicia Policial (en adelante “CNJP”) </w:t>
      </w:r>
      <w:r w:rsidR="007901C3" w:rsidRPr="00D11BBF">
        <w:rPr>
          <w:rFonts w:ascii="Cambria" w:hAnsi="Cambria" w:cs="Calibri"/>
          <w:sz w:val="20"/>
          <w:szCs w:val="20"/>
          <w:lang w:val="es-PE"/>
        </w:rPr>
        <w:t xml:space="preserve">solicitó una copia del informe, </w:t>
      </w:r>
      <w:r w:rsidR="00DB5E7B" w:rsidRPr="00D11BBF">
        <w:rPr>
          <w:rFonts w:ascii="Cambria" w:hAnsi="Cambria" w:cs="Calibri"/>
          <w:sz w:val="20"/>
          <w:szCs w:val="20"/>
          <w:lang w:val="es-PE"/>
        </w:rPr>
        <w:t xml:space="preserve">copia que </w:t>
      </w:r>
      <w:r w:rsidR="007750DA" w:rsidRPr="00D11BBF">
        <w:rPr>
          <w:rFonts w:ascii="Cambria" w:hAnsi="Cambria" w:cs="Calibri"/>
          <w:sz w:val="20"/>
          <w:szCs w:val="20"/>
          <w:lang w:val="es-PE"/>
        </w:rPr>
        <w:t xml:space="preserve">se </w:t>
      </w:r>
      <w:r w:rsidR="00DB5E7B" w:rsidRPr="00D11BBF">
        <w:rPr>
          <w:rFonts w:ascii="Cambria" w:hAnsi="Cambria" w:cs="Calibri"/>
          <w:sz w:val="20"/>
          <w:szCs w:val="20"/>
          <w:lang w:val="es-PE"/>
        </w:rPr>
        <w:t xml:space="preserve">le </w:t>
      </w:r>
      <w:r w:rsidR="007750DA" w:rsidRPr="00D11BBF">
        <w:rPr>
          <w:rFonts w:ascii="Cambria" w:hAnsi="Cambria" w:cs="Calibri"/>
          <w:sz w:val="20"/>
          <w:szCs w:val="20"/>
          <w:lang w:val="es-PE"/>
        </w:rPr>
        <w:t>remitió</w:t>
      </w:r>
      <w:r w:rsidR="007B1702" w:rsidRPr="00D11BBF">
        <w:rPr>
          <w:rFonts w:ascii="Cambria" w:hAnsi="Cambria" w:cs="Calibri"/>
          <w:sz w:val="20"/>
          <w:szCs w:val="20"/>
          <w:lang w:val="es-PE"/>
        </w:rPr>
        <w:t xml:space="preserve"> el 28 de enero de 2002 y con esto, </w:t>
      </w:r>
      <w:r w:rsidR="00DB5E7B" w:rsidRPr="00D11BBF">
        <w:rPr>
          <w:rFonts w:ascii="Cambria" w:hAnsi="Cambria" w:cs="Calibri"/>
          <w:sz w:val="20"/>
          <w:szCs w:val="20"/>
          <w:lang w:val="es-PE"/>
        </w:rPr>
        <w:t>“</w:t>
      </w:r>
      <w:r w:rsidR="007B1702" w:rsidRPr="00D11BBF">
        <w:rPr>
          <w:rFonts w:ascii="Cambria" w:hAnsi="Cambria" w:cs="Calibri"/>
          <w:sz w:val="20"/>
          <w:szCs w:val="20"/>
          <w:lang w:val="es-PE"/>
        </w:rPr>
        <w:t>habría pasado el proceso al fuero policial</w:t>
      </w:r>
      <w:r w:rsidR="00DB5E7B" w:rsidRPr="00D11BBF">
        <w:rPr>
          <w:rFonts w:ascii="Cambria" w:hAnsi="Cambria" w:cs="Calibri"/>
          <w:sz w:val="20"/>
          <w:szCs w:val="20"/>
          <w:lang w:val="es-PE"/>
        </w:rPr>
        <w:t>”</w:t>
      </w:r>
      <w:r w:rsidR="00F4586E" w:rsidRPr="00D11BBF">
        <w:rPr>
          <w:rFonts w:ascii="Cambria" w:hAnsi="Cambria" w:cs="Calibri"/>
          <w:sz w:val="20"/>
          <w:szCs w:val="20"/>
          <w:lang w:val="es-PE"/>
        </w:rPr>
        <w:t>.</w:t>
      </w:r>
    </w:p>
    <w:p w:rsidR="00A23012" w:rsidRPr="00D11BBF" w:rsidRDefault="00A23012" w:rsidP="00A23012">
      <w:pPr>
        <w:pStyle w:val="ListParagraph"/>
        <w:rPr>
          <w:rFonts w:cs="Calibri"/>
          <w:color w:val="auto"/>
          <w:sz w:val="20"/>
          <w:szCs w:val="20"/>
          <w:lang w:val="es-PE"/>
        </w:rPr>
      </w:pPr>
    </w:p>
    <w:p w:rsidR="007B1702"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ind w:left="90" w:firstLine="630"/>
        <w:jc w:val="both"/>
        <w:rPr>
          <w:rFonts w:ascii="Cambria" w:hAnsi="Cambria" w:cs="Calibri"/>
          <w:sz w:val="20"/>
          <w:szCs w:val="20"/>
          <w:lang w:val="es-PE"/>
        </w:rPr>
      </w:pPr>
      <w:r w:rsidRPr="00D11BBF">
        <w:rPr>
          <w:rFonts w:ascii="Cambria" w:hAnsi="Cambria" w:cs="Calibri"/>
          <w:sz w:val="20"/>
          <w:szCs w:val="20"/>
          <w:lang w:val="es-PE"/>
        </w:rPr>
        <w:lastRenderedPageBreak/>
        <w:t xml:space="preserve">El peticionario </w:t>
      </w:r>
      <w:r w:rsidR="00713248" w:rsidRPr="00D11BBF">
        <w:rPr>
          <w:rFonts w:ascii="Cambria" w:hAnsi="Cambria" w:cs="Calibri"/>
          <w:sz w:val="20"/>
          <w:szCs w:val="20"/>
          <w:lang w:val="es-PE"/>
        </w:rPr>
        <w:t xml:space="preserve">expresa que </w:t>
      </w:r>
      <w:r w:rsidRPr="00D11BBF">
        <w:rPr>
          <w:rFonts w:ascii="Cambria" w:hAnsi="Cambria" w:cs="Calibri"/>
          <w:sz w:val="20"/>
          <w:szCs w:val="20"/>
          <w:lang w:val="es-PE"/>
        </w:rPr>
        <w:t xml:space="preserve">el </w:t>
      </w:r>
      <w:r w:rsidR="00BC0E9D" w:rsidRPr="00D11BBF">
        <w:rPr>
          <w:rFonts w:ascii="Cambria" w:hAnsi="Cambria" w:cs="Calibri"/>
          <w:sz w:val="20"/>
          <w:szCs w:val="20"/>
          <w:lang w:val="es-PE"/>
        </w:rPr>
        <w:t>I</w:t>
      </w:r>
      <w:r w:rsidRPr="00D11BBF">
        <w:rPr>
          <w:rFonts w:ascii="Cambria" w:hAnsi="Cambria" w:cs="Calibri"/>
          <w:sz w:val="20"/>
          <w:szCs w:val="20"/>
          <w:lang w:val="es-PE"/>
        </w:rPr>
        <w:t xml:space="preserve">nforme </w:t>
      </w:r>
      <w:r w:rsidR="00912B47" w:rsidRPr="00D11BBF">
        <w:rPr>
          <w:rFonts w:ascii="Cambria" w:hAnsi="Cambria" w:cs="Calibri"/>
          <w:sz w:val="20"/>
          <w:szCs w:val="20"/>
          <w:lang w:val="es-PE"/>
        </w:rPr>
        <w:t>señaló</w:t>
      </w:r>
      <w:r w:rsidRPr="00D11BBF">
        <w:rPr>
          <w:rFonts w:ascii="Cambria" w:hAnsi="Cambria" w:cs="Calibri"/>
          <w:sz w:val="20"/>
          <w:szCs w:val="20"/>
          <w:lang w:val="es-PE"/>
        </w:rPr>
        <w:t xml:space="preserve"> la posible comisión del delito de peculado menor que </w:t>
      </w:r>
      <w:r w:rsidR="00703B88" w:rsidRPr="00D11BBF">
        <w:rPr>
          <w:rFonts w:ascii="Cambria" w:hAnsi="Cambria" w:cs="Calibri"/>
          <w:sz w:val="20"/>
          <w:szCs w:val="20"/>
          <w:lang w:val="es-PE"/>
        </w:rPr>
        <w:t xml:space="preserve">reprime con pena de prisión </w:t>
      </w:r>
      <w:r w:rsidRPr="00D11BBF">
        <w:rPr>
          <w:rFonts w:ascii="Cambria" w:hAnsi="Cambria" w:cs="Calibri"/>
          <w:sz w:val="20"/>
          <w:szCs w:val="20"/>
          <w:lang w:val="es-PE"/>
        </w:rPr>
        <w:t>de entre 1 y 5 años</w:t>
      </w:r>
      <w:r w:rsidR="00BC0E9D" w:rsidRPr="00D11BBF">
        <w:rPr>
          <w:rFonts w:ascii="Cambria" w:hAnsi="Cambria" w:cs="Calibri"/>
          <w:sz w:val="20"/>
          <w:szCs w:val="20"/>
          <w:lang w:val="es-PE"/>
        </w:rPr>
        <w:t xml:space="preserve"> de prisión; sin embargo </w:t>
      </w:r>
      <w:r w:rsidR="007B0134" w:rsidRPr="00D11BBF">
        <w:rPr>
          <w:rFonts w:ascii="Cambria" w:hAnsi="Cambria" w:cs="Calibri"/>
          <w:sz w:val="20"/>
          <w:szCs w:val="20"/>
          <w:lang w:val="es-PE"/>
        </w:rPr>
        <w:t xml:space="preserve">este </w:t>
      </w:r>
      <w:r w:rsidRPr="00D11BBF">
        <w:rPr>
          <w:rFonts w:ascii="Cambria" w:hAnsi="Cambria" w:cs="Calibri"/>
          <w:sz w:val="20"/>
          <w:szCs w:val="20"/>
          <w:lang w:val="es-PE"/>
        </w:rPr>
        <w:t>delito</w:t>
      </w:r>
      <w:r w:rsidR="007B0134" w:rsidRPr="00D11BBF">
        <w:rPr>
          <w:rFonts w:ascii="Cambria" w:hAnsi="Cambria" w:cs="Calibri"/>
          <w:sz w:val="20"/>
          <w:szCs w:val="20"/>
          <w:lang w:val="es-PE"/>
        </w:rPr>
        <w:t xml:space="preserve">, en el Código Penal de la </w:t>
      </w:r>
      <w:r w:rsidR="00BA5AAD" w:rsidRPr="00D11BBF">
        <w:rPr>
          <w:rFonts w:ascii="Cambria" w:hAnsi="Cambria" w:cs="Calibri"/>
          <w:sz w:val="20"/>
          <w:szCs w:val="20"/>
          <w:lang w:val="es-PE"/>
        </w:rPr>
        <w:t>PN</w:t>
      </w:r>
      <w:r w:rsidR="007B0134" w:rsidRPr="00D11BBF">
        <w:rPr>
          <w:rFonts w:ascii="Cambria" w:hAnsi="Cambria" w:cs="Calibri"/>
          <w:sz w:val="20"/>
          <w:szCs w:val="20"/>
          <w:lang w:val="es-PE"/>
        </w:rPr>
        <w:t xml:space="preserve"> </w:t>
      </w:r>
      <w:r w:rsidR="00703B88" w:rsidRPr="00D11BBF">
        <w:rPr>
          <w:rFonts w:ascii="Cambria" w:hAnsi="Cambria" w:cs="Calibri"/>
          <w:sz w:val="20"/>
          <w:szCs w:val="20"/>
          <w:lang w:val="es-PE"/>
        </w:rPr>
        <w:t xml:space="preserve">reprime con reclusión menor extraordinaria de </w:t>
      </w:r>
      <w:r w:rsidRPr="00D11BBF">
        <w:rPr>
          <w:rFonts w:ascii="Cambria" w:hAnsi="Cambria" w:cs="Calibri"/>
          <w:sz w:val="20"/>
          <w:szCs w:val="20"/>
          <w:lang w:val="es-PE"/>
        </w:rPr>
        <w:t xml:space="preserve">entre 3 y 6 años, siendo más grave </w:t>
      </w:r>
      <w:r w:rsidR="00193D65" w:rsidRPr="00D11BBF">
        <w:rPr>
          <w:rFonts w:ascii="Cambria" w:hAnsi="Cambria" w:cs="Calibri"/>
          <w:sz w:val="20"/>
          <w:szCs w:val="20"/>
          <w:lang w:val="es-PE"/>
        </w:rPr>
        <w:t>la eventual sanción</w:t>
      </w:r>
      <w:r w:rsidRPr="00D11BBF">
        <w:rPr>
          <w:rFonts w:ascii="Cambria" w:hAnsi="Cambria" w:cs="Calibri"/>
          <w:sz w:val="20"/>
          <w:szCs w:val="20"/>
          <w:lang w:val="es-PE"/>
        </w:rPr>
        <w:t xml:space="preserve"> para las presuntas víctimas en</w:t>
      </w:r>
      <w:r w:rsidR="007B0134" w:rsidRPr="00D11BBF">
        <w:rPr>
          <w:rFonts w:ascii="Cambria" w:hAnsi="Cambria" w:cs="Calibri"/>
          <w:sz w:val="20"/>
          <w:szCs w:val="20"/>
          <w:lang w:val="es-PE"/>
        </w:rPr>
        <w:t xml:space="preserve"> </w:t>
      </w:r>
      <w:r w:rsidR="002A6090" w:rsidRPr="00D11BBF">
        <w:rPr>
          <w:rFonts w:ascii="Cambria" w:hAnsi="Cambria" w:cs="Calibri"/>
          <w:sz w:val="20"/>
          <w:szCs w:val="20"/>
          <w:lang w:val="es-PE"/>
        </w:rPr>
        <w:t>e</w:t>
      </w:r>
      <w:r w:rsidR="007B0134" w:rsidRPr="00D11BBF">
        <w:rPr>
          <w:rFonts w:ascii="Cambria" w:hAnsi="Cambria" w:cs="Calibri"/>
          <w:sz w:val="20"/>
          <w:szCs w:val="20"/>
          <w:lang w:val="es-PE"/>
        </w:rPr>
        <w:t>ste</w:t>
      </w:r>
      <w:r w:rsidRPr="00D11BBF">
        <w:rPr>
          <w:rFonts w:ascii="Cambria" w:hAnsi="Cambria" w:cs="Calibri"/>
          <w:sz w:val="20"/>
          <w:szCs w:val="20"/>
          <w:lang w:val="es-PE"/>
        </w:rPr>
        <w:t xml:space="preserve"> fuero. </w:t>
      </w:r>
      <w:r w:rsidR="00EC5D0C" w:rsidRPr="00D11BBF">
        <w:rPr>
          <w:rFonts w:ascii="Cambria" w:hAnsi="Cambria" w:cs="Calibri"/>
          <w:sz w:val="20"/>
          <w:szCs w:val="20"/>
          <w:lang w:val="es-PE"/>
        </w:rPr>
        <w:t xml:space="preserve">Agrega que </w:t>
      </w:r>
      <w:r w:rsidRPr="00D11BBF">
        <w:rPr>
          <w:rFonts w:ascii="Cambria" w:hAnsi="Cambria" w:cs="Calibri"/>
          <w:sz w:val="20"/>
          <w:szCs w:val="20"/>
          <w:lang w:val="es-PE"/>
        </w:rPr>
        <w:t>el 19 de marzo de 2002 el Presidente de la CNJP dictó el auto cabeza de proceso</w:t>
      </w:r>
      <w:r w:rsidR="00F507C2" w:rsidRPr="00D11BBF">
        <w:rPr>
          <w:rFonts w:ascii="Cambria" w:hAnsi="Cambria" w:cs="Calibri"/>
          <w:sz w:val="20"/>
          <w:szCs w:val="20"/>
          <w:lang w:val="es-PE"/>
        </w:rPr>
        <w:t xml:space="preserve"> y el </w:t>
      </w:r>
      <w:r w:rsidRPr="00D11BBF">
        <w:rPr>
          <w:rFonts w:ascii="Cambria" w:hAnsi="Cambria" w:cs="Calibri"/>
          <w:sz w:val="20"/>
          <w:szCs w:val="20"/>
          <w:lang w:val="es-PE"/>
        </w:rPr>
        <w:t xml:space="preserve">26 de noviembre </w:t>
      </w:r>
      <w:r w:rsidR="00E11D95" w:rsidRPr="00D11BBF">
        <w:rPr>
          <w:rFonts w:ascii="Cambria" w:hAnsi="Cambria" w:cs="Calibri"/>
          <w:sz w:val="20"/>
          <w:szCs w:val="20"/>
          <w:lang w:val="es-PE"/>
        </w:rPr>
        <w:t>siguiente</w:t>
      </w:r>
      <w:r w:rsidR="00F507C2" w:rsidRPr="00D11BBF">
        <w:rPr>
          <w:rFonts w:ascii="Cambria" w:hAnsi="Cambria" w:cs="Calibri"/>
          <w:sz w:val="20"/>
          <w:szCs w:val="20"/>
          <w:lang w:val="es-PE"/>
        </w:rPr>
        <w:t xml:space="preserve">, dio por cerrada la etapa del sumario.  </w:t>
      </w:r>
      <w:r w:rsidR="00424B14" w:rsidRPr="00D11BBF">
        <w:rPr>
          <w:rFonts w:ascii="Cambria" w:hAnsi="Cambria" w:cs="Calibri"/>
          <w:sz w:val="20"/>
          <w:szCs w:val="20"/>
          <w:lang w:val="es-PE"/>
        </w:rPr>
        <w:t>E</w:t>
      </w:r>
      <w:r w:rsidRPr="00D11BBF">
        <w:rPr>
          <w:rFonts w:ascii="Cambria" w:hAnsi="Cambria" w:cs="Calibri"/>
          <w:sz w:val="20"/>
          <w:szCs w:val="20"/>
          <w:lang w:val="es-PE"/>
        </w:rPr>
        <w:t xml:space="preserve">l 19 de enero de 2003 el Fiscal Policial </w:t>
      </w:r>
      <w:r w:rsidR="00912B47" w:rsidRPr="00D11BBF">
        <w:rPr>
          <w:rFonts w:ascii="Cambria" w:hAnsi="Cambria" w:cs="Calibri"/>
          <w:sz w:val="20"/>
          <w:szCs w:val="20"/>
          <w:lang w:val="es-PE"/>
        </w:rPr>
        <w:t>solicitó</w:t>
      </w:r>
      <w:r w:rsidR="00424B14" w:rsidRPr="00D11BBF">
        <w:rPr>
          <w:rFonts w:ascii="Cambria" w:hAnsi="Cambria" w:cs="Calibri"/>
          <w:sz w:val="20"/>
          <w:szCs w:val="20"/>
          <w:lang w:val="es-PE"/>
        </w:rPr>
        <w:t xml:space="preserve"> la reapertura del </w:t>
      </w:r>
      <w:r w:rsidR="002A6090" w:rsidRPr="00D11BBF">
        <w:rPr>
          <w:rFonts w:ascii="Cambria" w:hAnsi="Cambria" w:cs="Calibri"/>
          <w:sz w:val="20"/>
          <w:szCs w:val="20"/>
          <w:lang w:val="es-PE"/>
        </w:rPr>
        <w:t>sumario, e</w:t>
      </w:r>
      <w:r w:rsidR="00424B14" w:rsidRPr="00D11BBF">
        <w:rPr>
          <w:rFonts w:ascii="Cambria" w:hAnsi="Cambria" w:cs="Calibri"/>
          <w:sz w:val="20"/>
          <w:szCs w:val="20"/>
          <w:lang w:val="es-PE"/>
        </w:rPr>
        <w:t xml:space="preserve">sta solicitud </w:t>
      </w:r>
      <w:r w:rsidR="00912B47" w:rsidRPr="00D11BBF">
        <w:rPr>
          <w:rFonts w:ascii="Cambria" w:hAnsi="Cambria" w:cs="Calibri"/>
          <w:sz w:val="20"/>
          <w:szCs w:val="20"/>
          <w:lang w:val="es-PE"/>
        </w:rPr>
        <w:t>fue denegada</w:t>
      </w:r>
      <w:r w:rsidR="00424B14" w:rsidRPr="00D11BBF">
        <w:rPr>
          <w:rFonts w:ascii="Cambria" w:hAnsi="Cambria" w:cs="Calibri"/>
          <w:sz w:val="20"/>
          <w:szCs w:val="20"/>
          <w:lang w:val="es-PE"/>
        </w:rPr>
        <w:t xml:space="preserve"> </w:t>
      </w:r>
      <w:r w:rsidR="00E11D95" w:rsidRPr="00D11BBF">
        <w:rPr>
          <w:rFonts w:ascii="Cambria" w:hAnsi="Cambria" w:cs="Calibri"/>
          <w:sz w:val="20"/>
          <w:szCs w:val="20"/>
          <w:lang w:val="es-PE"/>
        </w:rPr>
        <w:t>y el</w:t>
      </w:r>
      <w:r w:rsidRPr="00D11BBF">
        <w:rPr>
          <w:rFonts w:ascii="Cambria" w:hAnsi="Cambria" w:cs="Calibri"/>
          <w:sz w:val="20"/>
          <w:szCs w:val="20"/>
          <w:lang w:val="es-PE"/>
        </w:rPr>
        <w:t xml:space="preserve"> Fiscal Policial habría emiti</w:t>
      </w:r>
      <w:r w:rsidR="00912B47" w:rsidRPr="00D11BBF">
        <w:rPr>
          <w:rFonts w:ascii="Cambria" w:hAnsi="Cambria" w:cs="Calibri"/>
          <w:sz w:val="20"/>
          <w:szCs w:val="20"/>
          <w:lang w:val="es-PE"/>
        </w:rPr>
        <w:t>ó</w:t>
      </w:r>
      <w:r w:rsidRPr="00D11BBF">
        <w:rPr>
          <w:rFonts w:ascii="Cambria" w:hAnsi="Cambria" w:cs="Calibri"/>
          <w:sz w:val="20"/>
          <w:szCs w:val="20"/>
          <w:lang w:val="es-PE"/>
        </w:rPr>
        <w:t xml:space="preserve"> su dictamen el 9 de abril de 2003</w:t>
      </w:r>
      <w:r w:rsidR="00E11D95" w:rsidRPr="00D11BBF">
        <w:rPr>
          <w:rFonts w:ascii="Cambria" w:hAnsi="Cambria" w:cs="Calibri"/>
          <w:sz w:val="20"/>
          <w:szCs w:val="20"/>
          <w:lang w:val="es-PE"/>
        </w:rPr>
        <w:t>.  En él, el Fiscal se</w:t>
      </w:r>
      <w:r w:rsidR="00424B14" w:rsidRPr="00D11BBF">
        <w:rPr>
          <w:rFonts w:ascii="Cambria" w:hAnsi="Cambria" w:cs="Calibri"/>
          <w:sz w:val="20"/>
          <w:szCs w:val="20"/>
          <w:lang w:val="es-PE"/>
        </w:rPr>
        <w:t xml:space="preserve"> abstuvo </w:t>
      </w:r>
      <w:r w:rsidRPr="00D11BBF">
        <w:rPr>
          <w:rFonts w:ascii="Cambria" w:hAnsi="Cambria" w:cs="Calibri"/>
          <w:sz w:val="20"/>
          <w:szCs w:val="20"/>
          <w:lang w:val="es-PE"/>
        </w:rPr>
        <w:t xml:space="preserve">de acusar </w:t>
      </w:r>
      <w:r w:rsidR="00056374" w:rsidRPr="00D11BBF">
        <w:rPr>
          <w:rFonts w:ascii="Cambria" w:hAnsi="Cambria" w:cs="Calibri"/>
          <w:sz w:val="20"/>
          <w:szCs w:val="20"/>
          <w:lang w:val="es-PE"/>
        </w:rPr>
        <w:t xml:space="preserve">con la excepción de </w:t>
      </w:r>
      <w:r w:rsidRPr="00D11BBF">
        <w:rPr>
          <w:rFonts w:ascii="Cambria" w:hAnsi="Cambria" w:cs="Calibri"/>
          <w:sz w:val="20"/>
          <w:szCs w:val="20"/>
          <w:lang w:val="es-PE"/>
        </w:rPr>
        <w:t xml:space="preserve">dos personas, entre ellas el señor Patricio Vinueza. </w:t>
      </w:r>
    </w:p>
    <w:p w:rsidR="007B1702" w:rsidRPr="00D11BBF" w:rsidRDefault="007B1702" w:rsidP="007B1702">
      <w:pPr>
        <w:pStyle w:val="ListParagraph"/>
        <w:rPr>
          <w:rFonts w:cs="Calibri"/>
          <w:color w:val="auto"/>
          <w:sz w:val="20"/>
          <w:szCs w:val="20"/>
          <w:lang w:val="es-PE"/>
        </w:rPr>
      </w:pPr>
    </w:p>
    <w:p w:rsidR="0039191D" w:rsidRPr="00D11BBF" w:rsidRDefault="007B1702" w:rsidP="00092443">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jc w:val="both"/>
        <w:rPr>
          <w:rFonts w:ascii="Cambria" w:hAnsi="Cambria" w:cs="Calibri"/>
          <w:sz w:val="20"/>
          <w:szCs w:val="20"/>
          <w:lang w:val="es-PE"/>
        </w:rPr>
      </w:pPr>
      <w:r w:rsidRPr="00D11BBF">
        <w:rPr>
          <w:rFonts w:ascii="Cambria" w:hAnsi="Cambria" w:cs="Calibri"/>
          <w:sz w:val="20"/>
          <w:szCs w:val="20"/>
          <w:lang w:val="es-PE"/>
        </w:rPr>
        <w:t xml:space="preserve">El peticionario añade </w:t>
      </w:r>
      <w:r w:rsidR="00F507C2" w:rsidRPr="00D11BBF">
        <w:rPr>
          <w:rFonts w:ascii="Cambria" w:hAnsi="Cambria" w:cs="Calibri"/>
          <w:sz w:val="20"/>
          <w:szCs w:val="20"/>
          <w:lang w:val="es-PE"/>
        </w:rPr>
        <w:t xml:space="preserve">que </w:t>
      </w:r>
      <w:r w:rsidR="004B5CDD" w:rsidRPr="00D11BBF">
        <w:rPr>
          <w:rFonts w:ascii="Cambria" w:hAnsi="Cambria" w:cs="Calibri"/>
          <w:sz w:val="20"/>
          <w:szCs w:val="20"/>
          <w:lang w:val="es-PE"/>
        </w:rPr>
        <w:t>hubo cambio</w:t>
      </w:r>
      <w:r w:rsidRPr="00D11BBF">
        <w:rPr>
          <w:rFonts w:ascii="Cambria" w:hAnsi="Cambria" w:cs="Calibri"/>
          <w:sz w:val="20"/>
          <w:szCs w:val="20"/>
          <w:lang w:val="es-PE"/>
        </w:rPr>
        <w:t xml:space="preserve"> de ministros en la CNJP</w:t>
      </w:r>
      <w:r w:rsidR="00F507C2" w:rsidRPr="00D11BBF">
        <w:rPr>
          <w:rFonts w:ascii="Cambria" w:hAnsi="Cambria" w:cs="Calibri"/>
          <w:sz w:val="20"/>
          <w:szCs w:val="20"/>
          <w:lang w:val="es-PE"/>
        </w:rPr>
        <w:t xml:space="preserve"> y el 26 de mayo de 2003 su</w:t>
      </w:r>
      <w:r w:rsidR="00E11D95" w:rsidRPr="00D11BBF">
        <w:rPr>
          <w:rFonts w:ascii="Cambria" w:hAnsi="Cambria" w:cs="Calibri"/>
          <w:sz w:val="20"/>
          <w:szCs w:val="20"/>
          <w:lang w:val="es-PE"/>
        </w:rPr>
        <w:t xml:space="preserve"> nuevo</w:t>
      </w:r>
      <w:r w:rsidRPr="00D11BBF">
        <w:rPr>
          <w:rFonts w:ascii="Cambria" w:hAnsi="Cambria" w:cs="Calibri"/>
          <w:sz w:val="20"/>
          <w:szCs w:val="20"/>
          <w:lang w:val="es-PE"/>
        </w:rPr>
        <w:t xml:space="preserve"> Presiden</w:t>
      </w:r>
      <w:r w:rsidR="00E11D95" w:rsidRPr="00D11BBF">
        <w:rPr>
          <w:rFonts w:ascii="Cambria" w:hAnsi="Cambria" w:cs="Calibri"/>
          <w:sz w:val="20"/>
          <w:szCs w:val="20"/>
          <w:lang w:val="es-PE"/>
        </w:rPr>
        <w:t xml:space="preserve">te </w:t>
      </w:r>
      <w:r w:rsidRPr="00D11BBF">
        <w:rPr>
          <w:rFonts w:ascii="Cambria" w:hAnsi="Cambria" w:cs="Calibri"/>
          <w:sz w:val="20"/>
          <w:szCs w:val="20"/>
          <w:lang w:val="es-PE"/>
        </w:rPr>
        <w:t xml:space="preserve">dictó </w:t>
      </w:r>
      <w:r w:rsidR="00E11D95" w:rsidRPr="00D11BBF">
        <w:rPr>
          <w:rFonts w:ascii="Cambria" w:hAnsi="Cambria" w:cs="Calibri"/>
          <w:sz w:val="20"/>
          <w:szCs w:val="20"/>
          <w:lang w:val="es-PE"/>
        </w:rPr>
        <w:t>un</w:t>
      </w:r>
      <w:r w:rsidR="00713248" w:rsidRPr="00D11BBF">
        <w:rPr>
          <w:rFonts w:ascii="Cambria" w:hAnsi="Cambria" w:cs="Calibri"/>
          <w:sz w:val="20"/>
          <w:szCs w:val="20"/>
          <w:lang w:val="es-PE"/>
        </w:rPr>
        <w:t xml:space="preserve"> “</w:t>
      </w:r>
      <w:r w:rsidR="00E11D95" w:rsidRPr="00D11BBF">
        <w:rPr>
          <w:rFonts w:ascii="Cambria" w:hAnsi="Cambria" w:cs="Calibri"/>
          <w:sz w:val="20"/>
          <w:szCs w:val="20"/>
          <w:lang w:val="es-PE"/>
        </w:rPr>
        <w:t>auto</w:t>
      </w:r>
      <w:r w:rsidR="00713248" w:rsidRPr="00D11BBF">
        <w:rPr>
          <w:rFonts w:ascii="Cambria" w:hAnsi="Cambria" w:cs="Calibri"/>
          <w:sz w:val="20"/>
          <w:szCs w:val="20"/>
          <w:lang w:val="es-PE"/>
        </w:rPr>
        <w:t xml:space="preserve"> motivado”</w:t>
      </w:r>
      <w:r w:rsidR="00E11D95" w:rsidRPr="00D11BBF">
        <w:rPr>
          <w:rFonts w:ascii="Cambria" w:hAnsi="Cambria" w:cs="Calibri"/>
          <w:sz w:val="20"/>
          <w:szCs w:val="20"/>
          <w:lang w:val="es-PE"/>
        </w:rPr>
        <w:t xml:space="preserve"> mediante el cual</w:t>
      </w:r>
      <w:r w:rsidRPr="00D11BBF">
        <w:rPr>
          <w:rFonts w:ascii="Cambria" w:hAnsi="Cambria" w:cs="Calibri"/>
          <w:sz w:val="20"/>
          <w:szCs w:val="20"/>
          <w:lang w:val="es-PE"/>
        </w:rPr>
        <w:t xml:space="preserve"> ordenó la “detención en firme” </w:t>
      </w:r>
      <w:r w:rsidR="00E11D95" w:rsidRPr="00D11BBF">
        <w:rPr>
          <w:rFonts w:ascii="Cambria" w:hAnsi="Cambria" w:cs="Calibri"/>
          <w:sz w:val="20"/>
          <w:szCs w:val="20"/>
          <w:lang w:val="es-PE"/>
        </w:rPr>
        <w:t xml:space="preserve">y el embargo de bienes </w:t>
      </w:r>
      <w:r w:rsidRPr="00D11BBF">
        <w:rPr>
          <w:rFonts w:ascii="Cambria" w:hAnsi="Cambria" w:cs="Calibri"/>
          <w:sz w:val="20"/>
          <w:szCs w:val="20"/>
          <w:lang w:val="es-PE"/>
        </w:rPr>
        <w:t xml:space="preserve">contra </w:t>
      </w:r>
      <w:r w:rsidR="00713248" w:rsidRPr="00D11BBF">
        <w:rPr>
          <w:rFonts w:ascii="Cambria" w:hAnsi="Cambria" w:cs="Calibri"/>
          <w:sz w:val="20"/>
          <w:szCs w:val="20"/>
          <w:lang w:val="es-PE"/>
        </w:rPr>
        <w:t>ocho</w:t>
      </w:r>
      <w:r w:rsidRPr="00D11BBF">
        <w:rPr>
          <w:rFonts w:ascii="Cambria" w:hAnsi="Cambria" w:cs="Calibri"/>
          <w:sz w:val="20"/>
          <w:szCs w:val="20"/>
          <w:lang w:val="es-PE"/>
        </w:rPr>
        <w:t xml:space="preserve"> sindicados, entr</w:t>
      </w:r>
      <w:r w:rsidR="00E11D95" w:rsidRPr="00D11BBF">
        <w:rPr>
          <w:rFonts w:ascii="Cambria" w:hAnsi="Cambria" w:cs="Calibri"/>
          <w:sz w:val="20"/>
          <w:szCs w:val="20"/>
          <w:lang w:val="es-PE"/>
        </w:rPr>
        <w:t xml:space="preserve">e ellos, las presuntas víctimas.  </w:t>
      </w:r>
      <w:r w:rsidR="004921EA" w:rsidRPr="00D11BBF">
        <w:rPr>
          <w:rFonts w:ascii="Cambria" w:hAnsi="Cambria" w:cs="Calibri"/>
          <w:sz w:val="20"/>
          <w:szCs w:val="20"/>
          <w:lang w:val="es-PE"/>
        </w:rPr>
        <w:t>A</w:t>
      </w:r>
      <w:r w:rsidR="00F507C2" w:rsidRPr="00D11BBF">
        <w:rPr>
          <w:rFonts w:ascii="Cambria" w:hAnsi="Cambria" w:cs="Calibri"/>
          <w:sz w:val="20"/>
          <w:szCs w:val="20"/>
          <w:lang w:val="es-PE"/>
        </w:rPr>
        <w:t xml:space="preserve">rgumenta que </w:t>
      </w:r>
      <w:r w:rsidRPr="00D11BBF">
        <w:rPr>
          <w:rFonts w:ascii="Cambria" w:hAnsi="Cambria" w:cs="Calibri"/>
          <w:sz w:val="20"/>
          <w:szCs w:val="20"/>
          <w:lang w:val="es-PE"/>
        </w:rPr>
        <w:t xml:space="preserve">el Presidente </w:t>
      </w:r>
      <w:r w:rsidR="002A6090" w:rsidRPr="00D11BBF">
        <w:rPr>
          <w:rFonts w:ascii="Cambria" w:hAnsi="Cambria" w:cs="Calibri"/>
          <w:sz w:val="20"/>
          <w:szCs w:val="20"/>
          <w:lang w:val="es-PE"/>
        </w:rPr>
        <w:t>se bas</w:t>
      </w:r>
      <w:r w:rsidR="00912B47" w:rsidRPr="00D11BBF">
        <w:rPr>
          <w:rFonts w:ascii="Cambria" w:hAnsi="Cambria" w:cs="Calibri"/>
          <w:sz w:val="20"/>
          <w:szCs w:val="20"/>
          <w:lang w:val="es-PE"/>
        </w:rPr>
        <w:t>ó</w:t>
      </w:r>
      <w:r w:rsidRPr="00D11BBF">
        <w:rPr>
          <w:rFonts w:ascii="Cambria" w:hAnsi="Cambria" w:cs="Calibri"/>
          <w:sz w:val="20"/>
          <w:szCs w:val="20"/>
          <w:lang w:val="es-PE"/>
        </w:rPr>
        <w:t xml:space="preserve"> en una </w:t>
      </w:r>
      <w:r w:rsidR="00713248" w:rsidRPr="00D11BBF">
        <w:rPr>
          <w:rFonts w:ascii="Cambria" w:hAnsi="Cambria" w:cs="Calibri"/>
          <w:sz w:val="20"/>
          <w:szCs w:val="20"/>
          <w:lang w:val="es-PE"/>
        </w:rPr>
        <w:t xml:space="preserve">mezcla de </w:t>
      </w:r>
      <w:r w:rsidRPr="00D11BBF">
        <w:rPr>
          <w:rFonts w:ascii="Cambria" w:hAnsi="Cambria" w:cs="Calibri"/>
          <w:sz w:val="20"/>
          <w:szCs w:val="20"/>
          <w:lang w:val="es-PE"/>
        </w:rPr>
        <w:t xml:space="preserve">artículos </w:t>
      </w:r>
      <w:r w:rsidR="00713248" w:rsidRPr="00D11BBF">
        <w:rPr>
          <w:rFonts w:ascii="Cambria" w:hAnsi="Cambria" w:cs="Calibri"/>
          <w:sz w:val="20"/>
          <w:szCs w:val="20"/>
          <w:lang w:val="es-PE"/>
        </w:rPr>
        <w:t>d</w:t>
      </w:r>
      <w:r w:rsidR="004B5CDD" w:rsidRPr="00D11BBF">
        <w:rPr>
          <w:rFonts w:ascii="Cambria" w:hAnsi="Cambria" w:cs="Calibri"/>
          <w:sz w:val="20"/>
          <w:szCs w:val="20"/>
          <w:lang w:val="es-PE"/>
        </w:rPr>
        <w:t>e</w:t>
      </w:r>
      <w:r w:rsidR="002A6090" w:rsidRPr="00D11BBF">
        <w:rPr>
          <w:rFonts w:ascii="Cambria" w:hAnsi="Cambria" w:cs="Calibri"/>
          <w:sz w:val="20"/>
          <w:szCs w:val="20"/>
          <w:lang w:val="es-PE"/>
        </w:rPr>
        <w:t xml:space="preserve"> códigos policiales y penal común</w:t>
      </w:r>
      <w:r w:rsidRPr="00D11BBF">
        <w:rPr>
          <w:rFonts w:ascii="Cambria" w:hAnsi="Cambria" w:cs="Calibri"/>
          <w:sz w:val="20"/>
          <w:szCs w:val="20"/>
          <w:lang w:val="es-PE"/>
        </w:rPr>
        <w:t>.</w:t>
      </w:r>
      <w:r w:rsidR="003A17B4" w:rsidRPr="00D11BBF">
        <w:rPr>
          <w:rFonts w:ascii="Cambria" w:hAnsi="Cambria" w:cs="Calibri"/>
          <w:sz w:val="20"/>
          <w:szCs w:val="20"/>
          <w:lang w:val="es-PE"/>
        </w:rPr>
        <w:t xml:space="preserve"> </w:t>
      </w:r>
    </w:p>
    <w:p w:rsidR="0039191D" w:rsidRPr="00D11BBF" w:rsidRDefault="0039191D" w:rsidP="0039191D">
      <w:pPr>
        <w:pStyle w:val="ListParagraph"/>
        <w:rPr>
          <w:rFonts w:cs="Calibri"/>
          <w:color w:val="auto"/>
          <w:sz w:val="20"/>
          <w:szCs w:val="20"/>
          <w:lang w:val="es-PE"/>
        </w:rPr>
      </w:pPr>
    </w:p>
    <w:p w:rsidR="007750DA" w:rsidRPr="00D11BBF" w:rsidRDefault="004B5CDD"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ind w:left="90" w:firstLine="630"/>
        <w:jc w:val="both"/>
        <w:rPr>
          <w:rFonts w:ascii="Cambria" w:hAnsi="Cambria" w:cs="Calibri"/>
          <w:sz w:val="20"/>
          <w:szCs w:val="20"/>
          <w:lang w:val="es-PE"/>
        </w:rPr>
      </w:pPr>
      <w:r w:rsidRPr="00D11BBF">
        <w:rPr>
          <w:rFonts w:ascii="Cambria" w:hAnsi="Cambria" w:cs="Calibri"/>
          <w:sz w:val="20"/>
          <w:szCs w:val="20"/>
          <w:lang w:val="es-PE"/>
        </w:rPr>
        <w:t xml:space="preserve">El peticionario señala </w:t>
      </w:r>
      <w:r w:rsidR="00F7018E" w:rsidRPr="00D11BBF">
        <w:rPr>
          <w:rFonts w:ascii="Cambria" w:hAnsi="Cambria" w:cs="Calibri"/>
          <w:sz w:val="20"/>
          <w:szCs w:val="20"/>
          <w:lang w:val="es-PE"/>
        </w:rPr>
        <w:t xml:space="preserve">que, ante la detención de </w:t>
      </w:r>
      <w:r w:rsidRPr="00D11BBF">
        <w:rPr>
          <w:rFonts w:ascii="Cambria" w:hAnsi="Cambria" w:cs="Calibri"/>
          <w:sz w:val="20"/>
          <w:szCs w:val="20"/>
          <w:lang w:val="es-PE"/>
        </w:rPr>
        <w:t>las presuntas víctimas</w:t>
      </w:r>
      <w:r w:rsidRPr="00D11BBF">
        <w:rPr>
          <w:rStyle w:val="FootnoteReference"/>
          <w:rFonts w:ascii="Cambria" w:hAnsi="Cambria" w:cs="Calibri"/>
          <w:sz w:val="20"/>
          <w:szCs w:val="20"/>
          <w:lang w:val="es-AR"/>
        </w:rPr>
        <w:footnoteReference w:id="5"/>
      </w:r>
      <w:r w:rsidR="00F7018E" w:rsidRPr="00D11BBF">
        <w:rPr>
          <w:rFonts w:ascii="Cambria" w:hAnsi="Cambria" w:cs="Calibri"/>
          <w:sz w:val="20"/>
          <w:szCs w:val="20"/>
          <w:lang w:val="es-AR"/>
        </w:rPr>
        <w:t>,</w:t>
      </w:r>
      <w:r w:rsidR="00F7018E" w:rsidRPr="00D11BBF">
        <w:rPr>
          <w:rFonts w:ascii="Cambria" w:hAnsi="Cambria" w:cs="Calibri"/>
          <w:sz w:val="20"/>
          <w:szCs w:val="20"/>
          <w:lang w:val="es-PE"/>
        </w:rPr>
        <w:t xml:space="preserve"> se </w:t>
      </w:r>
      <w:r w:rsidR="00CE09C1" w:rsidRPr="00D11BBF">
        <w:rPr>
          <w:rFonts w:ascii="Cambria" w:hAnsi="Cambria" w:cs="Calibri"/>
          <w:sz w:val="20"/>
          <w:szCs w:val="20"/>
          <w:lang w:val="es-PE"/>
        </w:rPr>
        <w:t>interpuso</w:t>
      </w:r>
      <w:r w:rsidRPr="00D11BBF">
        <w:rPr>
          <w:rFonts w:ascii="Cambria" w:hAnsi="Cambria" w:cs="Calibri"/>
          <w:sz w:val="20"/>
          <w:szCs w:val="20"/>
          <w:lang w:val="es-PE"/>
        </w:rPr>
        <w:t xml:space="preserve"> un amparo de libertad alegando </w:t>
      </w:r>
      <w:r w:rsidR="002C41BD" w:rsidRPr="00D11BBF">
        <w:rPr>
          <w:rFonts w:ascii="Cambria" w:hAnsi="Cambria" w:cs="Calibri"/>
          <w:sz w:val="20"/>
          <w:szCs w:val="20"/>
          <w:lang w:val="es-PE"/>
        </w:rPr>
        <w:t xml:space="preserve">la inexistencia de la figura de “detención en firme” en la normativa policial, indicando que el Presidente de la CNJP habría aplicado </w:t>
      </w:r>
      <w:r w:rsidR="00F507C2" w:rsidRPr="00D11BBF">
        <w:rPr>
          <w:rFonts w:ascii="Cambria" w:hAnsi="Cambria" w:cs="Calibri"/>
          <w:sz w:val="20"/>
          <w:szCs w:val="20"/>
          <w:lang w:val="es-PE"/>
        </w:rPr>
        <w:t xml:space="preserve">un artículo que </w:t>
      </w:r>
      <w:r w:rsidR="002C41BD" w:rsidRPr="00D11BBF">
        <w:rPr>
          <w:rFonts w:ascii="Cambria" w:hAnsi="Cambria" w:cs="Calibri"/>
          <w:sz w:val="20"/>
          <w:szCs w:val="20"/>
          <w:lang w:val="es-PE"/>
        </w:rPr>
        <w:t xml:space="preserve">entró en vigencia </w:t>
      </w:r>
      <w:r w:rsidR="00F507C2" w:rsidRPr="00D11BBF">
        <w:rPr>
          <w:rFonts w:ascii="Cambria" w:hAnsi="Cambria" w:cs="Calibri"/>
          <w:sz w:val="20"/>
          <w:szCs w:val="20"/>
          <w:lang w:val="es-PE"/>
        </w:rPr>
        <w:t xml:space="preserve">con </w:t>
      </w:r>
      <w:r w:rsidR="002C41BD" w:rsidRPr="00D11BBF">
        <w:rPr>
          <w:rFonts w:ascii="Cambria" w:hAnsi="Cambria" w:cs="Calibri"/>
          <w:sz w:val="20"/>
          <w:szCs w:val="20"/>
          <w:lang w:val="es-PE"/>
        </w:rPr>
        <w:t>posterior</w:t>
      </w:r>
      <w:r w:rsidR="00F507C2" w:rsidRPr="00D11BBF">
        <w:rPr>
          <w:rFonts w:ascii="Cambria" w:hAnsi="Cambria" w:cs="Calibri"/>
          <w:sz w:val="20"/>
          <w:szCs w:val="20"/>
          <w:lang w:val="es-PE"/>
        </w:rPr>
        <w:t>idad</w:t>
      </w:r>
      <w:r w:rsidR="002C41BD" w:rsidRPr="00D11BBF">
        <w:rPr>
          <w:rFonts w:ascii="Cambria" w:hAnsi="Cambria" w:cs="Calibri"/>
          <w:sz w:val="20"/>
          <w:szCs w:val="20"/>
          <w:lang w:val="es-PE"/>
        </w:rPr>
        <w:t xml:space="preserve"> al inicio de</w:t>
      </w:r>
      <w:r w:rsidR="00F507C2" w:rsidRPr="00D11BBF">
        <w:rPr>
          <w:rFonts w:ascii="Cambria" w:hAnsi="Cambria" w:cs="Calibri"/>
          <w:sz w:val="20"/>
          <w:szCs w:val="20"/>
          <w:lang w:val="es-PE"/>
        </w:rPr>
        <w:t xml:space="preserve"> su</w:t>
      </w:r>
      <w:r w:rsidR="002C41BD" w:rsidRPr="00D11BBF">
        <w:rPr>
          <w:rFonts w:ascii="Cambria" w:hAnsi="Cambria" w:cs="Calibri"/>
          <w:sz w:val="20"/>
          <w:szCs w:val="20"/>
          <w:lang w:val="es-PE"/>
        </w:rPr>
        <w:t xml:space="preserve"> proceso</w:t>
      </w:r>
      <w:r w:rsidRPr="00D11BBF">
        <w:rPr>
          <w:rStyle w:val="FootnoteReference"/>
          <w:rFonts w:ascii="Cambria" w:hAnsi="Cambria" w:cs="Calibri"/>
          <w:sz w:val="20"/>
          <w:szCs w:val="20"/>
          <w:lang w:val="es-AR"/>
        </w:rPr>
        <w:footnoteReference w:id="6"/>
      </w:r>
      <w:r w:rsidRPr="00D11BBF">
        <w:rPr>
          <w:rFonts w:ascii="Cambria" w:hAnsi="Cambria" w:cs="Calibri"/>
          <w:sz w:val="20"/>
          <w:szCs w:val="20"/>
          <w:lang w:val="es-PE"/>
        </w:rPr>
        <w:t>.</w:t>
      </w:r>
      <w:r w:rsidR="00CE09C1" w:rsidRPr="00D11BBF">
        <w:rPr>
          <w:rFonts w:ascii="Cambria" w:hAnsi="Cambria" w:cs="Calibri"/>
          <w:sz w:val="20"/>
          <w:szCs w:val="20"/>
          <w:lang w:val="es-PE"/>
        </w:rPr>
        <w:t xml:space="preserve">  A</w:t>
      </w:r>
      <w:r w:rsidR="007B1702" w:rsidRPr="00D11BBF">
        <w:rPr>
          <w:rFonts w:ascii="Cambria" w:hAnsi="Cambria" w:cs="Calibri"/>
          <w:sz w:val="20"/>
          <w:szCs w:val="20"/>
          <w:lang w:val="es-PE"/>
        </w:rPr>
        <w:t xml:space="preserve">grega que el 3 de julio de 2003 el amparo de libertad </w:t>
      </w:r>
      <w:r w:rsidR="00912B47" w:rsidRPr="00D11BBF">
        <w:rPr>
          <w:rFonts w:ascii="Cambria" w:hAnsi="Cambria" w:cs="Calibri"/>
          <w:sz w:val="20"/>
          <w:szCs w:val="20"/>
          <w:lang w:val="es-PE"/>
        </w:rPr>
        <w:t>fue</w:t>
      </w:r>
      <w:r w:rsidR="007B1702" w:rsidRPr="00D11BBF">
        <w:rPr>
          <w:rFonts w:ascii="Cambria" w:hAnsi="Cambria" w:cs="Calibri"/>
          <w:sz w:val="20"/>
          <w:szCs w:val="20"/>
          <w:lang w:val="es-PE"/>
        </w:rPr>
        <w:t xml:space="preserve"> denegado  </w:t>
      </w:r>
      <w:r w:rsidR="00005446" w:rsidRPr="00D11BBF">
        <w:rPr>
          <w:rFonts w:ascii="Cambria" w:hAnsi="Cambria" w:cs="Calibri"/>
          <w:sz w:val="20"/>
          <w:szCs w:val="20"/>
          <w:lang w:val="es-PE"/>
        </w:rPr>
        <w:t xml:space="preserve">y que las presuntas víctimas </w:t>
      </w:r>
      <w:r w:rsidR="00CE09C1" w:rsidRPr="00D11BBF">
        <w:rPr>
          <w:rFonts w:ascii="Cambria" w:hAnsi="Cambria" w:cs="Calibri"/>
          <w:sz w:val="20"/>
          <w:szCs w:val="20"/>
          <w:lang w:val="es-PE"/>
        </w:rPr>
        <w:t>fueron</w:t>
      </w:r>
      <w:r w:rsidR="007B1702" w:rsidRPr="00D11BBF">
        <w:rPr>
          <w:rFonts w:ascii="Cambria" w:hAnsi="Cambria" w:cs="Calibri"/>
          <w:sz w:val="20"/>
          <w:szCs w:val="20"/>
          <w:lang w:val="es-PE"/>
        </w:rPr>
        <w:t xml:space="preserve"> mantenid</w:t>
      </w:r>
      <w:r w:rsidR="00005446" w:rsidRPr="00D11BBF">
        <w:rPr>
          <w:rFonts w:ascii="Cambria" w:hAnsi="Cambria" w:cs="Calibri"/>
          <w:sz w:val="20"/>
          <w:szCs w:val="20"/>
          <w:lang w:val="es-PE"/>
        </w:rPr>
        <w:t>a</w:t>
      </w:r>
      <w:r w:rsidR="007B1702" w:rsidRPr="00D11BBF">
        <w:rPr>
          <w:rFonts w:ascii="Cambria" w:hAnsi="Cambria" w:cs="Calibri"/>
          <w:sz w:val="20"/>
          <w:szCs w:val="20"/>
          <w:lang w:val="es-PE"/>
        </w:rPr>
        <w:t xml:space="preserve">s </w:t>
      </w:r>
      <w:r w:rsidR="00683AB1" w:rsidRPr="00D11BBF">
        <w:rPr>
          <w:rFonts w:ascii="Cambria" w:hAnsi="Cambria" w:cs="Calibri"/>
          <w:sz w:val="20"/>
          <w:szCs w:val="20"/>
          <w:lang w:val="es-PE"/>
        </w:rPr>
        <w:t>en detención</w:t>
      </w:r>
      <w:r w:rsidR="007B1702" w:rsidRPr="00D11BBF">
        <w:rPr>
          <w:rFonts w:ascii="Cambria" w:hAnsi="Cambria" w:cs="Calibri"/>
          <w:sz w:val="20"/>
          <w:szCs w:val="20"/>
          <w:lang w:val="es-PE"/>
        </w:rPr>
        <w:t xml:space="preserve"> a pesar de una resolución de </w:t>
      </w:r>
      <w:r w:rsidR="00005446" w:rsidRPr="00D11BBF">
        <w:rPr>
          <w:rFonts w:ascii="Cambria" w:hAnsi="Cambria" w:cs="Calibri"/>
          <w:sz w:val="20"/>
          <w:szCs w:val="20"/>
          <w:lang w:val="es-PE"/>
        </w:rPr>
        <w:t>la Corte Suprema de Justicia de</w:t>
      </w:r>
      <w:r w:rsidR="007B1702" w:rsidRPr="00D11BBF">
        <w:rPr>
          <w:rFonts w:ascii="Cambria" w:hAnsi="Cambria" w:cs="Calibri"/>
          <w:sz w:val="20"/>
          <w:szCs w:val="20"/>
          <w:lang w:val="es-PE"/>
        </w:rPr>
        <w:t xml:space="preserve"> 23 de enero de 2004 en la que </w:t>
      </w:r>
      <w:r w:rsidR="00CE09C1" w:rsidRPr="00D11BBF">
        <w:rPr>
          <w:rFonts w:ascii="Cambria" w:hAnsi="Cambria" w:cs="Calibri"/>
          <w:sz w:val="20"/>
          <w:szCs w:val="20"/>
          <w:lang w:val="es-PE"/>
        </w:rPr>
        <w:t>establec</w:t>
      </w:r>
      <w:r w:rsidR="00005446" w:rsidRPr="00D11BBF">
        <w:rPr>
          <w:rFonts w:ascii="Cambria" w:hAnsi="Cambria" w:cs="Calibri"/>
          <w:sz w:val="20"/>
          <w:szCs w:val="20"/>
          <w:lang w:val="es-PE"/>
        </w:rPr>
        <w:t>ía</w:t>
      </w:r>
      <w:r w:rsidR="007B1702" w:rsidRPr="00D11BBF">
        <w:rPr>
          <w:rFonts w:ascii="Cambria" w:hAnsi="Cambria" w:cs="Calibri"/>
          <w:sz w:val="20"/>
          <w:szCs w:val="20"/>
          <w:lang w:val="es-PE"/>
        </w:rPr>
        <w:t xml:space="preserve"> la no aplicabilidad de la “detención en firme” para </w:t>
      </w:r>
      <w:r w:rsidR="00CE09C1" w:rsidRPr="00D11BBF">
        <w:rPr>
          <w:rFonts w:ascii="Cambria" w:hAnsi="Cambria" w:cs="Calibri"/>
          <w:sz w:val="20"/>
          <w:szCs w:val="20"/>
          <w:lang w:val="es-PE"/>
        </w:rPr>
        <w:t>las</w:t>
      </w:r>
      <w:r w:rsidR="007B1702" w:rsidRPr="00D11BBF">
        <w:rPr>
          <w:rFonts w:ascii="Cambria" w:hAnsi="Cambria" w:cs="Calibri"/>
          <w:sz w:val="20"/>
          <w:szCs w:val="20"/>
          <w:lang w:val="es-PE"/>
        </w:rPr>
        <w:t xml:space="preserve"> personas cuyos procesos iniciaron antes de la entrada en vigor del nuevo código. </w:t>
      </w:r>
    </w:p>
    <w:p w:rsidR="007750DA" w:rsidRPr="00D11BBF" w:rsidRDefault="007750DA" w:rsidP="007750DA">
      <w:pPr>
        <w:pStyle w:val="ListParagraph"/>
        <w:rPr>
          <w:rFonts w:cs="Calibri"/>
          <w:color w:val="auto"/>
          <w:sz w:val="20"/>
          <w:szCs w:val="20"/>
          <w:lang w:val="es-PE"/>
        </w:rPr>
      </w:pPr>
    </w:p>
    <w:p w:rsidR="007B1702" w:rsidRPr="00D11BBF" w:rsidRDefault="007750DA" w:rsidP="007B1702">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jc w:val="both"/>
        <w:rPr>
          <w:rFonts w:ascii="Cambria" w:hAnsi="Cambria" w:cs="Calibri"/>
          <w:sz w:val="20"/>
          <w:szCs w:val="20"/>
          <w:lang w:val="es-PE"/>
        </w:rPr>
      </w:pPr>
      <w:r w:rsidRPr="00D11BBF">
        <w:rPr>
          <w:rFonts w:ascii="Cambria" w:hAnsi="Cambria" w:cs="Calibri"/>
          <w:sz w:val="20"/>
          <w:szCs w:val="20"/>
          <w:lang w:val="es-PE"/>
        </w:rPr>
        <w:t>El peticionario s</w:t>
      </w:r>
      <w:r w:rsidR="00005446" w:rsidRPr="00D11BBF">
        <w:rPr>
          <w:rFonts w:ascii="Cambria" w:hAnsi="Cambria" w:cs="Calibri"/>
          <w:sz w:val="20"/>
          <w:szCs w:val="20"/>
          <w:lang w:val="es-PE"/>
        </w:rPr>
        <w:t xml:space="preserve">ostiene que el </w:t>
      </w:r>
      <w:r w:rsidR="007B1702" w:rsidRPr="00D11BBF">
        <w:rPr>
          <w:rFonts w:ascii="Cambria" w:hAnsi="Cambria" w:cs="Calibri"/>
          <w:sz w:val="20"/>
          <w:szCs w:val="20"/>
          <w:lang w:val="es-PE"/>
        </w:rPr>
        <w:t>27 de enero de 2004 el Presidente de la CNJP avoc</w:t>
      </w:r>
      <w:r w:rsidR="00005446" w:rsidRPr="00D11BBF">
        <w:rPr>
          <w:rFonts w:ascii="Cambria" w:hAnsi="Cambria" w:cs="Calibri"/>
          <w:sz w:val="20"/>
          <w:szCs w:val="20"/>
          <w:lang w:val="es-PE"/>
        </w:rPr>
        <w:t>ó</w:t>
      </w:r>
      <w:r w:rsidR="007B1702" w:rsidRPr="00D11BBF">
        <w:rPr>
          <w:rFonts w:ascii="Cambria" w:hAnsi="Cambria" w:cs="Calibri"/>
          <w:sz w:val="20"/>
          <w:szCs w:val="20"/>
          <w:lang w:val="es-PE"/>
        </w:rPr>
        <w:t xml:space="preserve"> conocimiento de la causa y dej</w:t>
      </w:r>
      <w:r w:rsidR="00005446" w:rsidRPr="00D11BBF">
        <w:rPr>
          <w:rFonts w:ascii="Cambria" w:hAnsi="Cambria" w:cs="Calibri"/>
          <w:sz w:val="20"/>
          <w:szCs w:val="20"/>
          <w:lang w:val="es-PE"/>
        </w:rPr>
        <w:t>ó</w:t>
      </w:r>
      <w:r w:rsidR="007B1702" w:rsidRPr="00D11BBF">
        <w:rPr>
          <w:rFonts w:ascii="Cambria" w:hAnsi="Cambria" w:cs="Calibri"/>
          <w:sz w:val="20"/>
          <w:szCs w:val="20"/>
          <w:lang w:val="es-PE"/>
        </w:rPr>
        <w:t xml:space="preserve"> sin efecto la </w:t>
      </w:r>
      <w:r w:rsidR="00005446" w:rsidRPr="00D11BBF">
        <w:rPr>
          <w:rFonts w:ascii="Cambria" w:hAnsi="Cambria" w:cs="Calibri"/>
          <w:sz w:val="20"/>
          <w:szCs w:val="20"/>
          <w:lang w:val="es-PE"/>
        </w:rPr>
        <w:t>“</w:t>
      </w:r>
      <w:r w:rsidR="007B1702" w:rsidRPr="00D11BBF">
        <w:rPr>
          <w:rFonts w:ascii="Cambria" w:hAnsi="Cambria" w:cs="Calibri"/>
          <w:sz w:val="20"/>
          <w:szCs w:val="20"/>
          <w:lang w:val="es-PE"/>
        </w:rPr>
        <w:t>detención en firme</w:t>
      </w:r>
      <w:r w:rsidR="00005446" w:rsidRPr="00D11BBF">
        <w:rPr>
          <w:rFonts w:ascii="Cambria" w:hAnsi="Cambria" w:cs="Calibri"/>
          <w:sz w:val="20"/>
          <w:szCs w:val="20"/>
          <w:lang w:val="es-PE"/>
        </w:rPr>
        <w:t>”</w:t>
      </w:r>
      <w:r w:rsidR="007B1702" w:rsidRPr="00D11BBF">
        <w:rPr>
          <w:rFonts w:ascii="Cambria" w:hAnsi="Cambria" w:cs="Calibri"/>
          <w:sz w:val="20"/>
          <w:szCs w:val="20"/>
          <w:lang w:val="es-PE"/>
        </w:rPr>
        <w:t xml:space="preserve">. </w:t>
      </w:r>
      <w:r w:rsidRPr="00D11BBF">
        <w:rPr>
          <w:rFonts w:ascii="Cambria" w:hAnsi="Cambria" w:cs="Calibri"/>
          <w:sz w:val="20"/>
          <w:szCs w:val="20"/>
          <w:lang w:val="es-PE"/>
        </w:rPr>
        <w:t xml:space="preserve">Además, indica que </w:t>
      </w:r>
      <w:r w:rsidR="007B1702" w:rsidRPr="00D11BBF">
        <w:rPr>
          <w:rFonts w:ascii="Cambria" w:hAnsi="Cambria" w:cs="Calibri"/>
          <w:sz w:val="20"/>
          <w:szCs w:val="20"/>
          <w:lang w:val="es-PE"/>
        </w:rPr>
        <w:t>de manera paralela a la interposición</w:t>
      </w:r>
      <w:r w:rsidR="0067510F" w:rsidRPr="00D11BBF">
        <w:rPr>
          <w:rFonts w:ascii="Cambria" w:hAnsi="Cambria" w:cs="Calibri"/>
          <w:sz w:val="20"/>
          <w:szCs w:val="20"/>
          <w:lang w:val="es-PE"/>
        </w:rPr>
        <w:t xml:space="preserve"> del amparo de libertad, las presuntas víctimas </w:t>
      </w:r>
      <w:r w:rsidR="00912B47" w:rsidRPr="00D11BBF">
        <w:rPr>
          <w:rFonts w:ascii="Cambria" w:hAnsi="Cambria" w:cs="Calibri"/>
          <w:sz w:val="20"/>
          <w:szCs w:val="20"/>
          <w:lang w:val="es-PE"/>
        </w:rPr>
        <w:t>interpusieron</w:t>
      </w:r>
      <w:r w:rsidR="007B1702" w:rsidRPr="00D11BBF">
        <w:rPr>
          <w:rFonts w:ascii="Cambria" w:hAnsi="Cambria" w:cs="Calibri"/>
          <w:sz w:val="20"/>
          <w:szCs w:val="20"/>
          <w:lang w:val="es-PE"/>
        </w:rPr>
        <w:t xml:space="preserve"> un recurso de nulidad y un recurso de apelación</w:t>
      </w:r>
      <w:r w:rsidR="003303CD" w:rsidRPr="00D11BBF">
        <w:rPr>
          <w:rStyle w:val="FootnoteReference"/>
          <w:rFonts w:ascii="Cambria" w:hAnsi="Cambria" w:cs="Calibri"/>
          <w:sz w:val="20"/>
          <w:szCs w:val="20"/>
          <w:lang w:val="es-PE"/>
        </w:rPr>
        <w:footnoteReference w:id="7"/>
      </w:r>
      <w:r w:rsidR="007B1702" w:rsidRPr="00D11BBF">
        <w:rPr>
          <w:rFonts w:ascii="Cambria" w:hAnsi="Cambria" w:cs="Calibri"/>
          <w:sz w:val="20"/>
          <w:szCs w:val="20"/>
          <w:lang w:val="es-PE"/>
        </w:rPr>
        <w:t xml:space="preserve"> ante la mi</w:t>
      </w:r>
      <w:r w:rsidR="0067510F" w:rsidRPr="00D11BBF">
        <w:rPr>
          <w:rFonts w:ascii="Cambria" w:hAnsi="Cambria" w:cs="Calibri"/>
          <w:sz w:val="20"/>
          <w:szCs w:val="20"/>
          <w:lang w:val="es-PE"/>
        </w:rPr>
        <w:t>sma CNJP el 13 de junio de 2003</w:t>
      </w:r>
      <w:r w:rsidR="007B1702" w:rsidRPr="00D11BBF">
        <w:rPr>
          <w:rFonts w:ascii="Cambria" w:hAnsi="Cambria" w:cs="Calibri"/>
          <w:sz w:val="20"/>
          <w:szCs w:val="20"/>
          <w:lang w:val="es-PE"/>
        </w:rPr>
        <w:t xml:space="preserve">. </w:t>
      </w:r>
      <w:r w:rsidR="001A2122" w:rsidRPr="00D11BBF">
        <w:rPr>
          <w:rFonts w:ascii="Cambria" w:hAnsi="Cambria" w:cs="Calibri"/>
          <w:sz w:val="20"/>
          <w:szCs w:val="20"/>
          <w:lang w:val="es-PE"/>
        </w:rPr>
        <w:t xml:space="preserve"> </w:t>
      </w:r>
      <w:r w:rsidR="007B1702" w:rsidRPr="00D11BBF">
        <w:rPr>
          <w:rFonts w:ascii="Cambria" w:hAnsi="Cambria" w:cs="Calibri"/>
          <w:sz w:val="20"/>
          <w:szCs w:val="20"/>
          <w:lang w:val="es-PE"/>
        </w:rPr>
        <w:t xml:space="preserve">El recurso de nulidad </w:t>
      </w:r>
      <w:r w:rsidR="00912B47" w:rsidRPr="00D11BBF">
        <w:rPr>
          <w:rFonts w:ascii="Cambria" w:hAnsi="Cambria" w:cs="Calibri"/>
          <w:sz w:val="20"/>
          <w:szCs w:val="20"/>
          <w:lang w:val="es-PE"/>
        </w:rPr>
        <w:t>fue</w:t>
      </w:r>
      <w:r w:rsidR="007B1702" w:rsidRPr="00D11BBF">
        <w:rPr>
          <w:rFonts w:ascii="Cambria" w:hAnsi="Cambria" w:cs="Calibri"/>
          <w:sz w:val="20"/>
          <w:szCs w:val="20"/>
          <w:lang w:val="es-PE"/>
        </w:rPr>
        <w:t xml:space="preserve"> rechazado el 31 de julio de 2003</w:t>
      </w:r>
      <w:r w:rsidR="008C2834" w:rsidRPr="00D11BBF">
        <w:rPr>
          <w:rFonts w:ascii="Cambria" w:hAnsi="Cambria" w:cs="Calibri"/>
          <w:sz w:val="20"/>
          <w:szCs w:val="20"/>
          <w:lang w:val="es-PE"/>
        </w:rPr>
        <w:t xml:space="preserve"> y el recurso de apelación</w:t>
      </w:r>
      <w:r w:rsidR="00912B47" w:rsidRPr="00D11BBF">
        <w:rPr>
          <w:rFonts w:ascii="Cambria" w:hAnsi="Cambria" w:cs="Calibri"/>
          <w:sz w:val="20"/>
          <w:szCs w:val="20"/>
          <w:lang w:val="es-PE"/>
        </w:rPr>
        <w:t>,</w:t>
      </w:r>
      <w:r w:rsidR="008C2834" w:rsidRPr="00D11BBF">
        <w:rPr>
          <w:rFonts w:ascii="Cambria" w:hAnsi="Cambria" w:cs="Calibri"/>
          <w:sz w:val="20"/>
          <w:szCs w:val="20"/>
          <w:lang w:val="es-PE"/>
        </w:rPr>
        <w:t xml:space="preserve"> el 11 de noviembre siguiente.</w:t>
      </w:r>
      <w:r w:rsidR="007B1702" w:rsidRPr="00D11BBF">
        <w:rPr>
          <w:rFonts w:ascii="Cambria" w:hAnsi="Cambria" w:cs="Calibri"/>
          <w:sz w:val="20"/>
          <w:szCs w:val="20"/>
          <w:lang w:val="es-PE"/>
        </w:rPr>
        <w:t xml:space="preserve"> </w:t>
      </w:r>
    </w:p>
    <w:p w:rsidR="00A22CF8" w:rsidRPr="00D11BBF" w:rsidRDefault="00A22CF8" w:rsidP="00A22CF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PE"/>
        </w:rPr>
      </w:pPr>
    </w:p>
    <w:p w:rsidR="007C47F9" w:rsidRPr="00D11BBF" w:rsidRDefault="00683AB1"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PE"/>
        </w:rPr>
      </w:pPr>
      <w:r w:rsidRPr="00D11BBF">
        <w:rPr>
          <w:rFonts w:ascii="Cambria" w:hAnsi="Cambria" w:cs="Arial"/>
          <w:sz w:val="20"/>
          <w:szCs w:val="20"/>
          <w:lang w:val="es-ES"/>
        </w:rPr>
        <w:t>S</w:t>
      </w:r>
      <w:r w:rsidR="0039191D" w:rsidRPr="00D11BBF">
        <w:rPr>
          <w:rFonts w:ascii="Cambria" w:hAnsi="Cambria" w:cs="Arial"/>
          <w:sz w:val="20"/>
          <w:szCs w:val="20"/>
          <w:lang w:val="es-ES"/>
        </w:rPr>
        <w:t>eñala que, t</w:t>
      </w:r>
      <w:r w:rsidR="0039191D" w:rsidRPr="00D11BBF">
        <w:rPr>
          <w:rFonts w:ascii="Cambria" w:hAnsi="Cambria" w:cs="Calibri"/>
          <w:sz w:val="20"/>
          <w:szCs w:val="20"/>
          <w:lang w:val="es-PE"/>
        </w:rPr>
        <w:t xml:space="preserve">ras haberse confirmado el auto cabeza de proceso, </w:t>
      </w:r>
      <w:r w:rsidR="007C47F9" w:rsidRPr="00D11BBF">
        <w:rPr>
          <w:rFonts w:ascii="Cambria" w:hAnsi="Cambria" w:cs="Calibri"/>
          <w:sz w:val="20"/>
          <w:szCs w:val="20"/>
          <w:lang w:val="es-PE"/>
        </w:rPr>
        <w:t xml:space="preserve">solicitaron </w:t>
      </w:r>
      <w:r w:rsidR="0039191D" w:rsidRPr="00D11BBF">
        <w:rPr>
          <w:rFonts w:ascii="Cambria" w:hAnsi="Cambria" w:cs="Calibri"/>
          <w:sz w:val="20"/>
          <w:szCs w:val="20"/>
          <w:lang w:val="es-PE"/>
        </w:rPr>
        <w:t xml:space="preserve">la recusación del Presidente de la CNJP.  Esta solicitud </w:t>
      </w:r>
      <w:r w:rsidR="007750DA" w:rsidRPr="00D11BBF">
        <w:rPr>
          <w:rFonts w:ascii="Cambria" w:hAnsi="Cambria" w:cs="Calibri"/>
          <w:sz w:val="20"/>
          <w:szCs w:val="20"/>
          <w:lang w:val="es-PE"/>
        </w:rPr>
        <w:t>fue</w:t>
      </w:r>
      <w:r w:rsidR="0039191D" w:rsidRPr="00D11BBF">
        <w:rPr>
          <w:rFonts w:ascii="Cambria" w:hAnsi="Cambria" w:cs="Calibri"/>
          <w:sz w:val="20"/>
          <w:szCs w:val="20"/>
          <w:lang w:val="es-PE"/>
        </w:rPr>
        <w:t xml:space="preserve"> rechazada bajo el fundamento de la imposibilidad de recusarlo.  También les </w:t>
      </w:r>
      <w:r w:rsidR="00912B47" w:rsidRPr="00D11BBF">
        <w:rPr>
          <w:rFonts w:ascii="Cambria" w:hAnsi="Cambria" w:cs="Calibri"/>
          <w:sz w:val="20"/>
          <w:szCs w:val="20"/>
          <w:lang w:val="es-PE"/>
        </w:rPr>
        <w:t>fueron</w:t>
      </w:r>
      <w:r w:rsidR="0039191D" w:rsidRPr="00D11BBF">
        <w:rPr>
          <w:rFonts w:ascii="Cambria" w:hAnsi="Cambria" w:cs="Calibri"/>
          <w:sz w:val="20"/>
          <w:szCs w:val="20"/>
          <w:lang w:val="es-PE"/>
        </w:rPr>
        <w:t xml:space="preserve"> rechazadas una solicitud de revocatoria y una demanda de declinatoria de competencia </w:t>
      </w:r>
      <w:r w:rsidR="0039191D" w:rsidRPr="00D11BBF">
        <w:rPr>
          <w:rFonts w:ascii="Cambria" w:hAnsi="Cambria"/>
          <w:sz w:val="20"/>
          <w:szCs w:val="20"/>
          <w:lang w:val="es-PE"/>
        </w:rPr>
        <w:t>contra</w:t>
      </w:r>
      <w:r w:rsidR="0039191D" w:rsidRPr="00D11BBF">
        <w:rPr>
          <w:rFonts w:ascii="Cambria" w:hAnsi="Cambria" w:cs="Calibri"/>
          <w:sz w:val="20"/>
          <w:szCs w:val="20"/>
          <w:lang w:val="es-PE"/>
        </w:rPr>
        <w:t xml:space="preserve"> el Presidente de la CNJP.  </w:t>
      </w:r>
      <w:r w:rsidR="00FF04D3" w:rsidRPr="00D11BBF">
        <w:rPr>
          <w:rFonts w:ascii="Cambria" w:hAnsi="Cambria" w:cs="Calibri"/>
          <w:sz w:val="20"/>
          <w:szCs w:val="20"/>
          <w:lang w:val="es-PE"/>
        </w:rPr>
        <w:t xml:space="preserve">Asimismo, presentaron el 7 de enero de 2004 una solicitud al Ministerio de Gobierno para que supervisara la causa, refiriendo </w:t>
      </w:r>
      <w:r w:rsidR="007C47F9" w:rsidRPr="00D11BBF">
        <w:rPr>
          <w:rFonts w:ascii="Cambria" w:hAnsi="Cambria" w:cs="Calibri"/>
          <w:sz w:val="20"/>
          <w:szCs w:val="20"/>
          <w:lang w:val="es-PE"/>
        </w:rPr>
        <w:t xml:space="preserve">a </w:t>
      </w:r>
      <w:r w:rsidR="00FF04D3" w:rsidRPr="00D11BBF">
        <w:rPr>
          <w:rFonts w:ascii="Cambria" w:hAnsi="Cambria" w:cs="Calibri"/>
          <w:sz w:val="20"/>
          <w:szCs w:val="20"/>
          <w:lang w:val="es-PE"/>
        </w:rPr>
        <w:t xml:space="preserve">las alegadas violaciones en su contra. </w:t>
      </w:r>
    </w:p>
    <w:p w:rsidR="007C47F9" w:rsidRPr="00D11BBF" w:rsidRDefault="007C47F9" w:rsidP="007C47F9">
      <w:pPr>
        <w:pStyle w:val="ListParagraph"/>
        <w:rPr>
          <w:rFonts w:cs="Calibri"/>
          <w:color w:val="auto"/>
          <w:sz w:val="20"/>
          <w:szCs w:val="20"/>
          <w:lang w:val="es-PE"/>
        </w:rPr>
      </w:pPr>
    </w:p>
    <w:p w:rsidR="0039191D" w:rsidRPr="00D11BBF" w:rsidRDefault="0039191D"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PE"/>
        </w:rPr>
      </w:pPr>
      <w:r w:rsidRPr="00D11BBF">
        <w:rPr>
          <w:rFonts w:ascii="Cambria" w:hAnsi="Cambria" w:cs="Calibri"/>
          <w:sz w:val="20"/>
          <w:szCs w:val="20"/>
          <w:lang w:val="es-PE"/>
        </w:rPr>
        <w:t xml:space="preserve">Paralelamente, señala el peticionario que el 3 de julio de 2003 presentó una demanda por prevaricato contra el Presidente de la CNJP.  Indica que la instrucción fiscal se </w:t>
      </w:r>
      <w:r w:rsidR="007750DA" w:rsidRPr="00D11BBF">
        <w:rPr>
          <w:rFonts w:ascii="Cambria" w:hAnsi="Cambria" w:cs="Calibri"/>
          <w:sz w:val="20"/>
          <w:szCs w:val="20"/>
          <w:lang w:val="es-PE"/>
        </w:rPr>
        <w:t>abrió</w:t>
      </w:r>
      <w:r w:rsidRPr="00D11BBF">
        <w:rPr>
          <w:rFonts w:ascii="Cambria" w:hAnsi="Cambria" w:cs="Calibri"/>
          <w:sz w:val="20"/>
          <w:szCs w:val="20"/>
          <w:lang w:val="es-PE"/>
        </w:rPr>
        <w:t xml:space="preserve">, el proceso se </w:t>
      </w:r>
      <w:r w:rsidR="007750DA" w:rsidRPr="00D11BBF">
        <w:rPr>
          <w:rFonts w:ascii="Cambria" w:hAnsi="Cambria" w:cs="Calibri"/>
          <w:sz w:val="20"/>
          <w:szCs w:val="20"/>
          <w:lang w:val="es-PE"/>
        </w:rPr>
        <w:t>remitió</w:t>
      </w:r>
      <w:r w:rsidRPr="00D11BBF">
        <w:rPr>
          <w:rFonts w:ascii="Cambria" w:hAnsi="Cambria" w:cs="Calibri"/>
          <w:sz w:val="20"/>
          <w:szCs w:val="20"/>
          <w:lang w:val="es-PE"/>
        </w:rPr>
        <w:t xml:space="preserve"> al Presidente de la Corte Superior de Quito, se llam</w:t>
      </w:r>
      <w:r w:rsidR="007750DA" w:rsidRPr="00D11BBF">
        <w:rPr>
          <w:rFonts w:ascii="Cambria" w:hAnsi="Cambria" w:cs="Calibri"/>
          <w:sz w:val="20"/>
          <w:szCs w:val="20"/>
          <w:lang w:val="es-PE"/>
        </w:rPr>
        <w:t>ó</w:t>
      </w:r>
      <w:r w:rsidRPr="00D11BBF">
        <w:rPr>
          <w:rFonts w:ascii="Cambria" w:hAnsi="Cambria" w:cs="Calibri"/>
          <w:sz w:val="20"/>
          <w:szCs w:val="20"/>
          <w:lang w:val="es-PE"/>
        </w:rPr>
        <w:t xml:space="preserve"> a juicio y orden</w:t>
      </w:r>
      <w:r w:rsidR="007750DA" w:rsidRPr="00D11BBF">
        <w:rPr>
          <w:rFonts w:ascii="Cambria" w:hAnsi="Cambria" w:cs="Calibri"/>
          <w:sz w:val="20"/>
          <w:szCs w:val="20"/>
          <w:lang w:val="es-PE"/>
        </w:rPr>
        <w:t>ó</w:t>
      </w:r>
      <w:r w:rsidRPr="00D11BBF">
        <w:rPr>
          <w:rFonts w:ascii="Cambria" w:hAnsi="Cambria" w:cs="Calibri"/>
          <w:sz w:val="20"/>
          <w:szCs w:val="20"/>
          <w:lang w:val="es-PE"/>
        </w:rPr>
        <w:t xml:space="preserve"> la prisión preventiva contra el ex Presidente de la CNJP; sin embargo, éste se habría fugado esperando la prescripción de la causa en su contra.</w:t>
      </w:r>
    </w:p>
    <w:p w:rsidR="0039191D" w:rsidRPr="00D11BBF" w:rsidRDefault="0039191D" w:rsidP="0039191D">
      <w:pPr>
        <w:pStyle w:val="ListParagraph"/>
        <w:rPr>
          <w:rFonts w:cs="Calibri"/>
          <w:color w:val="auto"/>
          <w:sz w:val="20"/>
          <w:szCs w:val="20"/>
          <w:lang w:val="es-PE"/>
        </w:rPr>
      </w:pPr>
    </w:p>
    <w:p w:rsidR="007B1702" w:rsidRPr="00D11BBF" w:rsidRDefault="008C2834"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PE"/>
        </w:rPr>
      </w:pPr>
      <w:r w:rsidRPr="00D11BBF">
        <w:rPr>
          <w:rFonts w:ascii="Cambria" w:hAnsi="Cambria" w:cs="Calibri"/>
          <w:sz w:val="20"/>
          <w:szCs w:val="20"/>
          <w:lang w:val="es-PE"/>
        </w:rPr>
        <w:t>Según el</w:t>
      </w:r>
      <w:r w:rsidR="007B1702" w:rsidRPr="00D11BBF">
        <w:rPr>
          <w:rFonts w:ascii="Cambria" w:hAnsi="Cambria" w:cs="Calibri"/>
          <w:sz w:val="20"/>
          <w:szCs w:val="20"/>
          <w:lang w:val="es-PE"/>
        </w:rPr>
        <w:t xml:space="preserve"> peticionario</w:t>
      </w:r>
      <w:r w:rsidRPr="00D11BBF">
        <w:rPr>
          <w:rFonts w:ascii="Cambria" w:hAnsi="Cambria" w:cs="Calibri"/>
          <w:sz w:val="20"/>
          <w:szCs w:val="20"/>
          <w:lang w:val="es-PE"/>
        </w:rPr>
        <w:t>, con</w:t>
      </w:r>
      <w:r w:rsidR="007B1702" w:rsidRPr="00D11BBF">
        <w:rPr>
          <w:rFonts w:ascii="Cambria" w:hAnsi="Cambria" w:cs="Calibri"/>
          <w:sz w:val="20"/>
          <w:szCs w:val="20"/>
          <w:lang w:val="es-PE"/>
        </w:rPr>
        <w:t xml:space="preserve"> la</w:t>
      </w:r>
      <w:r w:rsidRPr="00D11BBF">
        <w:rPr>
          <w:rFonts w:ascii="Cambria" w:hAnsi="Cambria" w:cs="Calibri"/>
          <w:sz w:val="20"/>
          <w:szCs w:val="20"/>
          <w:lang w:val="es-PE"/>
        </w:rPr>
        <w:t xml:space="preserve"> confirmación del auto motivado</w:t>
      </w:r>
      <w:r w:rsidR="007B1702" w:rsidRPr="00D11BBF">
        <w:rPr>
          <w:rFonts w:ascii="Cambria" w:hAnsi="Cambria" w:cs="Calibri"/>
          <w:sz w:val="20"/>
          <w:szCs w:val="20"/>
          <w:lang w:val="es-PE"/>
        </w:rPr>
        <w:t xml:space="preserve"> se </w:t>
      </w:r>
      <w:r w:rsidR="00CE09C1" w:rsidRPr="00D11BBF">
        <w:rPr>
          <w:rFonts w:ascii="Cambria" w:hAnsi="Cambria" w:cs="Calibri"/>
          <w:sz w:val="20"/>
          <w:szCs w:val="20"/>
          <w:lang w:val="es-PE"/>
        </w:rPr>
        <w:t>sobreseyó</w:t>
      </w:r>
      <w:r w:rsidR="007B1702" w:rsidRPr="00D11BBF">
        <w:rPr>
          <w:rFonts w:ascii="Cambria" w:hAnsi="Cambria" w:cs="Calibri"/>
          <w:sz w:val="20"/>
          <w:szCs w:val="20"/>
          <w:lang w:val="es-PE"/>
        </w:rPr>
        <w:t xml:space="preserve"> </w:t>
      </w:r>
      <w:r w:rsidRPr="00D11BBF">
        <w:rPr>
          <w:rFonts w:ascii="Cambria" w:hAnsi="Cambria" w:cs="Calibri"/>
          <w:sz w:val="20"/>
          <w:szCs w:val="20"/>
          <w:lang w:val="es-PE"/>
        </w:rPr>
        <w:t>provisionalmente</w:t>
      </w:r>
      <w:r w:rsidR="007B1702" w:rsidRPr="00D11BBF">
        <w:rPr>
          <w:rFonts w:ascii="Cambria" w:hAnsi="Cambria" w:cs="Calibri"/>
          <w:sz w:val="20"/>
          <w:szCs w:val="20"/>
          <w:lang w:val="es-PE"/>
        </w:rPr>
        <w:t xml:space="preserve"> a</w:t>
      </w:r>
      <w:r w:rsidRPr="00D11BBF">
        <w:rPr>
          <w:rFonts w:ascii="Cambria" w:hAnsi="Cambria" w:cs="Calibri"/>
          <w:sz w:val="20"/>
          <w:szCs w:val="20"/>
          <w:lang w:val="es-PE"/>
        </w:rPr>
        <w:t>l</w:t>
      </w:r>
      <w:r w:rsidR="007B1702" w:rsidRPr="00D11BBF">
        <w:rPr>
          <w:rFonts w:ascii="Cambria" w:hAnsi="Cambria" w:cs="Calibri"/>
          <w:sz w:val="20"/>
          <w:szCs w:val="20"/>
          <w:lang w:val="es-PE"/>
        </w:rPr>
        <w:t xml:space="preserve"> señor Cevallos y </w:t>
      </w:r>
      <w:r w:rsidRPr="00D11BBF">
        <w:rPr>
          <w:rFonts w:ascii="Cambria" w:hAnsi="Cambria" w:cs="Calibri"/>
          <w:sz w:val="20"/>
          <w:szCs w:val="20"/>
          <w:lang w:val="es-PE"/>
        </w:rPr>
        <w:t xml:space="preserve">se </w:t>
      </w:r>
      <w:r w:rsidR="00CE09C1" w:rsidRPr="00D11BBF">
        <w:rPr>
          <w:rFonts w:ascii="Cambria" w:hAnsi="Cambria" w:cs="Calibri"/>
          <w:sz w:val="20"/>
          <w:szCs w:val="20"/>
          <w:lang w:val="es-PE"/>
        </w:rPr>
        <w:t>reformó</w:t>
      </w:r>
      <w:r w:rsidR="007B1702" w:rsidRPr="00D11BBF">
        <w:rPr>
          <w:rFonts w:ascii="Cambria" w:hAnsi="Cambria" w:cs="Calibri"/>
          <w:sz w:val="20"/>
          <w:szCs w:val="20"/>
          <w:lang w:val="es-PE"/>
        </w:rPr>
        <w:t xml:space="preserve"> la imputación respecto </w:t>
      </w:r>
      <w:r w:rsidRPr="00D11BBF">
        <w:rPr>
          <w:rFonts w:ascii="Cambria" w:hAnsi="Cambria" w:cs="Calibri"/>
          <w:sz w:val="20"/>
          <w:szCs w:val="20"/>
          <w:lang w:val="es-PE"/>
        </w:rPr>
        <w:t>del</w:t>
      </w:r>
      <w:r w:rsidR="007B1702" w:rsidRPr="00D11BBF">
        <w:rPr>
          <w:rFonts w:ascii="Cambria" w:hAnsi="Cambria" w:cs="Calibri"/>
          <w:sz w:val="20"/>
          <w:szCs w:val="20"/>
          <w:lang w:val="es-PE"/>
        </w:rPr>
        <w:t xml:space="preserve"> señor Villarroel, de presunto autor a presunto cómplic</w:t>
      </w:r>
      <w:r w:rsidR="005C74CD" w:rsidRPr="00D11BBF">
        <w:rPr>
          <w:rFonts w:ascii="Cambria" w:hAnsi="Cambria" w:cs="Calibri"/>
          <w:sz w:val="20"/>
          <w:szCs w:val="20"/>
          <w:lang w:val="es-PE"/>
        </w:rPr>
        <w:t xml:space="preserve">e.  </w:t>
      </w:r>
      <w:r w:rsidR="00EB289A" w:rsidRPr="00D11BBF">
        <w:rPr>
          <w:rFonts w:ascii="Cambria" w:hAnsi="Cambria" w:cs="Calibri"/>
          <w:sz w:val="20"/>
          <w:szCs w:val="20"/>
          <w:lang w:val="es-PE"/>
        </w:rPr>
        <w:t>Posteriormente</w:t>
      </w:r>
      <w:r w:rsidR="005C74CD" w:rsidRPr="00D11BBF">
        <w:rPr>
          <w:rFonts w:ascii="Cambria" w:hAnsi="Cambria" w:cs="Calibri"/>
          <w:sz w:val="20"/>
          <w:szCs w:val="20"/>
          <w:lang w:val="es-PE"/>
        </w:rPr>
        <w:t xml:space="preserve">, </w:t>
      </w:r>
      <w:r w:rsidR="007C47F9" w:rsidRPr="00D11BBF">
        <w:rPr>
          <w:rFonts w:ascii="Cambria" w:hAnsi="Cambria" w:cs="Calibri"/>
          <w:sz w:val="20"/>
          <w:szCs w:val="20"/>
          <w:lang w:val="es-PE"/>
        </w:rPr>
        <w:t xml:space="preserve">el </w:t>
      </w:r>
      <w:r w:rsidR="00551819" w:rsidRPr="00D11BBF">
        <w:rPr>
          <w:rFonts w:ascii="Cambria" w:hAnsi="Cambria" w:cs="Calibri"/>
          <w:sz w:val="20"/>
          <w:szCs w:val="20"/>
          <w:lang w:val="es-PE"/>
        </w:rPr>
        <w:t xml:space="preserve">6 de septiembre de 2004 la CJNP </w:t>
      </w:r>
      <w:r w:rsidR="00CE09C1" w:rsidRPr="00D11BBF">
        <w:rPr>
          <w:rFonts w:ascii="Cambria" w:hAnsi="Cambria" w:cs="Calibri"/>
          <w:sz w:val="20"/>
          <w:szCs w:val="20"/>
          <w:lang w:val="es-PE"/>
        </w:rPr>
        <w:t>solicitó</w:t>
      </w:r>
      <w:r w:rsidR="00551819" w:rsidRPr="00D11BBF">
        <w:rPr>
          <w:rFonts w:ascii="Cambria" w:hAnsi="Cambria" w:cs="Calibri"/>
          <w:sz w:val="20"/>
          <w:szCs w:val="20"/>
          <w:lang w:val="es-PE"/>
        </w:rPr>
        <w:t xml:space="preserve"> al Fiscal Policial que present</w:t>
      </w:r>
      <w:r w:rsidR="007C47F9" w:rsidRPr="00D11BBF">
        <w:rPr>
          <w:rFonts w:ascii="Cambria" w:hAnsi="Cambria" w:cs="Calibri"/>
          <w:sz w:val="20"/>
          <w:szCs w:val="20"/>
          <w:lang w:val="es-PE"/>
        </w:rPr>
        <w:t>ara</w:t>
      </w:r>
      <w:r w:rsidR="00551819" w:rsidRPr="00D11BBF">
        <w:rPr>
          <w:rFonts w:ascii="Cambria" w:hAnsi="Cambria" w:cs="Calibri"/>
          <w:sz w:val="20"/>
          <w:szCs w:val="20"/>
          <w:lang w:val="es-PE"/>
        </w:rPr>
        <w:t xml:space="preserve"> su dictamen definitivo</w:t>
      </w:r>
      <w:r w:rsidR="001464EA" w:rsidRPr="00D11BBF">
        <w:rPr>
          <w:rFonts w:ascii="Cambria" w:hAnsi="Cambria" w:cs="Calibri"/>
          <w:sz w:val="20"/>
          <w:szCs w:val="20"/>
          <w:lang w:val="es-PE"/>
        </w:rPr>
        <w:t xml:space="preserve">, quien contestó el </w:t>
      </w:r>
      <w:r w:rsidR="007B1702" w:rsidRPr="00D11BBF">
        <w:rPr>
          <w:rFonts w:ascii="Cambria" w:hAnsi="Cambria" w:cs="Calibri"/>
          <w:sz w:val="20"/>
          <w:szCs w:val="20"/>
          <w:lang w:val="es-PE"/>
        </w:rPr>
        <w:t xml:space="preserve">8 de octubre </w:t>
      </w:r>
      <w:r w:rsidR="00551819" w:rsidRPr="00D11BBF">
        <w:rPr>
          <w:rFonts w:ascii="Cambria" w:hAnsi="Cambria" w:cs="Calibri"/>
          <w:sz w:val="20"/>
          <w:szCs w:val="20"/>
          <w:lang w:val="es-PE"/>
        </w:rPr>
        <w:t xml:space="preserve">indicando que </w:t>
      </w:r>
      <w:r w:rsidR="007B1702" w:rsidRPr="00D11BBF">
        <w:rPr>
          <w:rFonts w:ascii="Cambria" w:hAnsi="Cambria" w:cs="Calibri"/>
          <w:sz w:val="20"/>
          <w:szCs w:val="20"/>
          <w:lang w:val="es-PE"/>
        </w:rPr>
        <w:t>no</w:t>
      </w:r>
      <w:r w:rsidR="00CE09C1" w:rsidRPr="00D11BBF">
        <w:rPr>
          <w:rFonts w:ascii="Cambria" w:hAnsi="Cambria" w:cs="Calibri"/>
          <w:sz w:val="20"/>
          <w:szCs w:val="20"/>
          <w:lang w:val="es-PE"/>
        </w:rPr>
        <w:t xml:space="preserve"> hab</w:t>
      </w:r>
      <w:r w:rsidR="007B1702" w:rsidRPr="00D11BBF">
        <w:rPr>
          <w:rFonts w:ascii="Cambria" w:hAnsi="Cambria" w:cs="Calibri"/>
          <w:sz w:val="20"/>
          <w:szCs w:val="20"/>
          <w:lang w:val="es-PE"/>
        </w:rPr>
        <w:t>ía elementos suficientes para acusar.</w:t>
      </w:r>
    </w:p>
    <w:p w:rsidR="007B1702" w:rsidRPr="00D11BBF" w:rsidRDefault="0059553B" w:rsidP="008365BE">
      <w:pPr>
        <w:rPr>
          <w:rFonts w:ascii="Cambria" w:hAnsi="Cambria" w:cs="Calibri"/>
          <w:sz w:val="20"/>
          <w:szCs w:val="20"/>
          <w:lang w:val="es-PE"/>
        </w:rPr>
      </w:pPr>
      <w:r w:rsidRPr="00D11BBF">
        <w:rPr>
          <w:rFonts w:ascii="Cambria" w:hAnsi="Cambria" w:cs="Calibri"/>
          <w:sz w:val="20"/>
          <w:szCs w:val="20"/>
          <w:lang w:val="es-PE"/>
        </w:rPr>
        <w:br w:type="page"/>
      </w:r>
    </w:p>
    <w:p w:rsidR="00131F33"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jc w:val="both"/>
        <w:rPr>
          <w:rFonts w:ascii="Cambria" w:hAnsi="Cambria" w:cs="Calibri"/>
          <w:sz w:val="20"/>
          <w:szCs w:val="20"/>
          <w:lang w:val="es-PE"/>
        </w:rPr>
      </w:pPr>
      <w:r w:rsidRPr="00D11BBF">
        <w:rPr>
          <w:rFonts w:ascii="Cambria" w:hAnsi="Cambria" w:cs="Calibri"/>
          <w:sz w:val="20"/>
          <w:szCs w:val="20"/>
          <w:lang w:val="es-PE"/>
        </w:rPr>
        <w:t>El</w:t>
      </w:r>
      <w:r w:rsidR="007C47F9" w:rsidRPr="00D11BBF">
        <w:rPr>
          <w:rFonts w:ascii="Cambria" w:hAnsi="Cambria" w:cs="Calibri"/>
          <w:sz w:val="20"/>
          <w:szCs w:val="20"/>
          <w:lang w:val="es-PE"/>
        </w:rPr>
        <w:t xml:space="preserve"> peticionario sostiene que aun así, el</w:t>
      </w:r>
      <w:r w:rsidRPr="00D11BBF">
        <w:rPr>
          <w:rFonts w:ascii="Cambria" w:hAnsi="Cambria" w:cs="Calibri"/>
          <w:sz w:val="20"/>
          <w:szCs w:val="20"/>
          <w:lang w:val="es-PE"/>
        </w:rPr>
        <w:t xml:space="preserve"> 10 de enero de 2005 fue dictada la sentencia condenatoria. Los señores Vinueza, Coloma </w:t>
      </w:r>
      <w:r w:rsidR="005C74CD" w:rsidRPr="00D11BBF">
        <w:rPr>
          <w:rFonts w:ascii="Cambria" w:hAnsi="Cambria" w:cs="Calibri"/>
          <w:sz w:val="20"/>
          <w:szCs w:val="20"/>
          <w:lang w:val="es-PE"/>
        </w:rPr>
        <w:t xml:space="preserve">y Villarroel </w:t>
      </w:r>
      <w:r w:rsidR="003F5B21" w:rsidRPr="00D11BBF">
        <w:rPr>
          <w:rFonts w:ascii="Cambria" w:hAnsi="Cambria" w:cs="Calibri"/>
          <w:sz w:val="20"/>
          <w:szCs w:val="20"/>
          <w:lang w:val="es-PE"/>
        </w:rPr>
        <w:t>fueron</w:t>
      </w:r>
      <w:r w:rsidRPr="00D11BBF">
        <w:rPr>
          <w:rFonts w:ascii="Cambria" w:hAnsi="Cambria" w:cs="Calibri"/>
          <w:sz w:val="20"/>
          <w:szCs w:val="20"/>
          <w:lang w:val="es-PE"/>
        </w:rPr>
        <w:t xml:space="preserve"> condenados por el delito tipificado en el artículo 222 incisos 1, 3, 4 y 10 del Código Penal Policial. </w:t>
      </w:r>
      <w:r w:rsidR="005C74CD" w:rsidRPr="00D11BBF">
        <w:rPr>
          <w:rFonts w:ascii="Cambria" w:hAnsi="Cambria" w:cs="Calibri"/>
          <w:sz w:val="20"/>
          <w:szCs w:val="20"/>
          <w:lang w:val="es-PE"/>
        </w:rPr>
        <w:t>El señor</w:t>
      </w:r>
      <w:r w:rsidRPr="00D11BBF">
        <w:rPr>
          <w:rFonts w:ascii="Cambria" w:hAnsi="Cambria" w:cs="Calibri"/>
          <w:sz w:val="20"/>
          <w:szCs w:val="20"/>
          <w:lang w:val="es-PE"/>
        </w:rPr>
        <w:t xml:space="preserve"> Amílcar Ascazubi Albán </w:t>
      </w:r>
      <w:r w:rsidR="003F5B21" w:rsidRPr="00D11BBF">
        <w:rPr>
          <w:rFonts w:ascii="Cambria" w:hAnsi="Cambria" w:cs="Calibri"/>
          <w:sz w:val="20"/>
          <w:szCs w:val="20"/>
          <w:lang w:val="es-PE"/>
        </w:rPr>
        <w:t>fue</w:t>
      </w:r>
      <w:r w:rsidRPr="00D11BBF">
        <w:rPr>
          <w:rFonts w:ascii="Cambria" w:hAnsi="Cambria" w:cs="Calibri"/>
          <w:sz w:val="20"/>
          <w:szCs w:val="20"/>
          <w:lang w:val="es-PE"/>
        </w:rPr>
        <w:t xml:space="preserve"> absuelto. </w:t>
      </w:r>
      <w:r w:rsidR="00EE6D72" w:rsidRPr="00D11BBF">
        <w:rPr>
          <w:rFonts w:ascii="Cambria" w:hAnsi="Cambria" w:cs="Calibri"/>
          <w:sz w:val="20"/>
          <w:szCs w:val="20"/>
          <w:lang w:val="es-PE"/>
        </w:rPr>
        <w:t xml:space="preserve">La sentencia </w:t>
      </w:r>
      <w:r w:rsidR="003F5B21" w:rsidRPr="00D11BBF">
        <w:rPr>
          <w:rFonts w:ascii="Cambria" w:hAnsi="Cambria" w:cs="Calibri"/>
          <w:sz w:val="20"/>
          <w:szCs w:val="20"/>
          <w:lang w:val="es-PE"/>
        </w:rPr>
        <w:t>fue</w:t>
      </w:r>
      <w:r w:rsidR="00EE6D72" w:rsidRPr="00D11BBF">
        <w:rPr>
          <w:rFonts w:ascii="Cambria" w:hAnsi="Cambria" w:cs="Calibri"/>
          <w:sz w:val="20"/>
          <w:szCs w:val="20"/>
          <w:lang w:val="es-PE"/>
        </w:rPr>
        <w:t xml:space="preserve"> apelada </w:t>
      </w:r>
      <w:r w:rsidRPr="00D11BBF">
        <w:rPr>
          <w:rFonts w:ascii="Cambria" w:hAnsi="Cambria" w:cs="Calibri"/>
          <w:sz w:val="20"/>
          <w:szCs w:val="20"/>
          <w:lang w:val="es-PE"/>
        </w:rPr>
        <w:t xml:space="preserve">ante la misma CNJP. </w:t>
      </w:r>
      <w:r w:rsidR="003F5B21" w:rsidRPr="00D11BBF">
        <w:rPr>
          <w:rFonts w:ascii="Cambria" w:hAnsi="Cambria" w:cs="Calibri"/>
          <w:sz w:val="20"/>
          <w:szCs w:val="20"/>
          <w:lang w:val="es-PE"/>
        </w:rPr>
        <w:t>E</w:t>
      </w:r>
      <w:r w:rsidR="00812E26" w:rsidRPr="00D11BBF">
        <w:rPr>
          <w:rFonts w:ascii="Cambria" w:hAnsi="Cambria" w:cs="Calibri"/>
          <w:sz w:val="20"/>
          <w:szCs w:val="20"/>
          <w:lang w:val="es-PE"/>
        </w:rPr>
        <w:t>l 4 de mayo de 2005</w:t>
      </w:r>
      <w:r w:rsidR="003F5B21" w:rsidRPr="00D11BBF">
        <w:rPr>
          <w:rFonts w:ascii="Cambria" w:hAnsi="Cambria" w:cs="Calibri"/>
          <w:sz w:val="20"/>
          <w:szCs w:val="20"/>
          <w:lang w:val="es-PE"/>
        </w:rPr>
        <w:t xml:space="preserve"> la Corte</w:t>
      </w:r>
      <w:r w:rsidR="00812E26" w:rsidRPr="00D11BBF">
        <w:rPr>
          <w:rFonts w:ascii="Cambria" w:hAnsi="Cambria" w:cs="Calibri"/>
          <w:sz w:val="20"/>
          <w:szCs w:val="20"/>
          <w:lang w:val="es-PE"/>
        </w:rPr>
        <w:t xml:space="preserve"> corr</w:t>
      </w:r>
      <w:r w:rsidR="003F5B21" w:rsidRPr="00D11BBF">
        <w:rPr>
          <w:rFonts w:ascii="Cambria" w:hAnsi="Cambria" w:cs="Calibri"/>
          <w:sz w:val="20"/>
          <w:szCs w:val="20"/>
          <w:lang w:val="es-PE"/>
        </w:rPr>
        <w:t>ió</w:t>
      </w:r>
      <w:r w:rsidR="00812E26" w:rsidRPr="00D11BBF">
        <w:rPr>
          <w:rFonts w:ascii="Cambria" w:hAnsi="Cambria" w:cs="Calibri"/>
          <w:sz w:val="20"/>
          <w:szCs w:val="20"/>
          <w:lang w:val="es-PE"/>
        </w:rPr>
        <w:t xml:space="preserve"> traslado de la apelación al </w:t>
      </w:r>
      <w:r w:rsidRPr="00D11BBF">
        <w:rPr>
          <w:rFonts w:ascii="Cambria" w:hAnsi="Cambria" w:cs="Calibri"/>
          <w:sz w:val="20"/>
          <w:szCs w:val="20"/>
          <w:lang w:val="es-PE"/>
        </w:rPr>
        <w:t xml:space="preserve">Ministro Fiscal Policial </w:t>
      </w:r>
      <w:r w:rsidR="00812E26" w:rsidRPr="00D11BBF">
        <w:rPr>
          <w:rFonts w:ascii="Cambria" w:hAnsi="Cambria" w:cs="Calibri"/>
          <w:sz w:val="20"/>
          <w:szCs w:val="20"/>
          <w:lang w:val="es-PE"/>
        </w:rPr>
        <w:t xml:space="preserve">para que conteste </w:t>
      </w:r>
      <w:r w:rsidRPr="00D11BBF">
        <w:rPr>
          <w:rFonts w:ascii="Cambria" w:hAnsi="Cambria" w:cs="Calibri"/>
          <w:sz w:val="20"/>
          <w:szCs w:val="20"/>
          <w:lang w:val="es-PE"/>
        </w:rPr>
        <w:t xml:space="preserve">y el </w:t>
      </w:r>
      <w:r w:rsidR="003F5B21" w:rsidRPr="00D11BBF">
        <w:rPr>
          <w:rFonts w:ascii="Cambria" w:hAnsi="Cambria" w:cs="Calibri"/>
          <w:sz w:val="20"/>
          <w:szCs w:val="20"/>
          <w:lang w:val="es-PE"/>
        </w:rPr>
        <w:t xml:space="preserve">6 de mayo sostuvo que reiteraba </w:t>
      </w:r>
      <w:r w:rsidRPr="00D11BBF">
        <w:rPr>
          <w:rFonts w:ascii="Cambria" w:hAnsi="Cambria" w:cs="Calibri"/>
          <w:sz w:val="20"/>
          <w:szCs w:val="20"/>
          <w:lang w:val="es-PE"/>
        </w:rPr>
        <w:t xml:space="preserve">su dictamen de no acusar. </w:t>
      </w:r>
    </w:p>
    <w:p w:rsidR="00131F33" w:rsidRPr="00D11BBF" w:rsidRDefault="00131F33" w:rsidP="00131F33">
      <w:pPr>
        <w:pStyle w:val="ListParagraph"/>
        <w:rPr>
          <w:rFonts w:cs="Calibri"/>
          <w:color w:val="auto"/>
          <w:sz w:val="20"/>
          <w:szCs w:val="20"/>
          <w:lang w:val="es-PE"/>
        </w:rPr>
      </w:pPr>
    </w:p>
    <w:p w:rsidR="007B1702" w:rsidRPr="00D11BBF" w:rsidRDefault="00131F33"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jc w:val="both"/>
        <w:rPr>
          <w:rFonts w:ascii="Cambria" w:hAnsi="Cambria" w:cs="Calibri"/>
          <w:sz w:val="20"/>
          <w:szCs w:val="20"/>
          <w:lang w:val="es-PE"/>
        </w:rPr>
      </w:pPr>
      <w:r w:rsidRPr="00D11BBF">
        <w:rPr>
          <w:rFonts w:ascii="Cambria" w:hAnsi="Cambria" w:cs="Calibri"/>
          <w:sz w:val="20"/>
          <w:szCs w:val="20"/>
          <w:lang w:val="es-PE"/>
        </w:rPr>
        <w:t>Agrega que, a</w:t>
      </w:r>
      <w:r w:rsidR="007B1702" w:rsidRPr="00D11BBF">
        <w:rPr>
          <w:rFonts w:ascii="Cambria" w:hAnsi="Cambria" w:cs="Calibri"/>
          <w:sz w:val="20"/>
          <w:szCs w:val="20"/>
          <w:lang w:val="es-PE"/>
        </w:rPr>
        <w:t xml:space="preserve">ntes de resolverse </w:t>
      </w:r>
      <w:r w:rsidR="003C177F" w:rsidRPr="00D11BBF">
        <w:rPr>
          <w:rFonts w:ascii="Cambria" w:hAnsi="Cambria" w:cs="Calibri"/>
          <w:sz w:val="20"/>
          <w:szCs w:val="20"/>
          <w:lang w:val="es-PE"/>
        </w:rPr>
        <w:t>la</w:t>
      </w:r>
      <w:r w:rsidR="007B1702" w:rsidRPr="00D11BBF">
        <w:rPr>
          <w:rFonts w:ascii="Cambria" w:hAnsi="Cambria" w:cs="Calibri"/>
          <w:sz w:val="20"/>
          <w:szCs w:val="20"/>
          <w:lang w:val="es-PE"/>
        </w:rPr>
        <w:t xml:space="preserve"> apelación, </w:t>
      </w:r>
      <w:r w:rsidR="003F5B21" w:rsidRPr="00D11BBF">
        <w:rPr>
          <w:rFonts w:ascii="Cambria" w:hAnsi="Cambria" w:cs="Calibri"/>
          <w:sz w:val="20"/>
          <w:szCs w:val="20"/>
          <w:lang w:val="es-PE"/>
        </w:rPr>
        <w:t>hubo</w:t>
      </w:r>
      <w:r w:rsidR="007B1702" w:rsidRPr="00D11BBF">
        <w:rPr>
          <w:rFonts w:ascii="Cambria" w:hAnsi="Cambria" w:cs="Calibri"/>
          <w:sz w:val="20"/>
          <w:szCs w:val="20"/>
          <w:lang w:val="es-PE"/>
        </w:rPr>
        <w:t xml:space="preserve"> nombramiento de nuevos ministros en la CNJP.  En apelación, con una nueva integración de ministros, la CNJP </w:t>
      </w:r>
      <w:r w:rsidR="003F5B21" w:rsidRPr="00D11BBF">
        <w:rPr>
          <w:rFonts w:ascii="Cambria" w:hAnsi="Cambria" w:cs="Calibri"/>
          <w:sz w:val="20"/>
          <w:szCs w:val="20"/>
          <w:lang w:val="es-PE"/>
        </w:rPr>
        <w:t>determinó</w:t>
      </w:r>
      <w:r w:rsidR="007B1702" w:rsidRPr="00D11BBF">
        <w:rPr>
          <w:rFonts w:ascii="Cambria" w:hAnsi="Cambria" w:cs="Calibri"/>
          <w:sz w:val="20"/>
          <w:szCs w:val="20"/>
          <w:lang w:val="es-PE"/>
        </w:rPr>
        <w:t xml:space="preserve"> que no habría prueba plena sobre la culpabilidad de los sentenciados y determinó el sobreseimiento definitivo </w:t>
      </w:r>
      <w:r w:rsidR="00EE6D72" w:rsidRPr="00D11BBF">
        <w:rPr>
          <w:rFonts w:ascii="Cambria" w:hAnsi="Cambria" w:cs="Calibri"/>
          <w:sz w:val="20"/>
          <w:szCs w:val="20"/>
          <w:lang w:val="es-PE"/>
        </w:rPr>
        <w:t>de los señores Villarroel y</w:t>
      </w:r>
      <w:r w:rsidR="007B1702" w:rsidRPr="00D11BBF">
        <w:rPr>
          <w:rFonts w:ascii="Cambria" w:hAnsi="Cambria" w:cs="Calibri"/>
          <w:sz w:val="20"/>
          <w:szCs w:val="20"/>
          <w:lang w:val="es-PE"/>
        </w:rPr>
        <w:t xml:space="preserve"> Coloma y la absolución de la instancia al señor Vinueza</w:t>
      </w:r>
      <w:r w:rsidR="00683AB1" w:rsidRPr="00D11BBF">
        <w:rPr>
          <w:rFonts w:ascii="Cambria" w:hAnsi="Cambria" w:cs="Calibri"/>
          <w:sz w:val="20"/>
          <w:szCs w:val="20"/>
          <w:lang w:val="es-PE"/>
        </w:rPr>
        <w:t xml:space="preserve"> en septiembre de 2005</w:t>
      </w:r>
      <w:r w:rsidR="007B1702" w:rsidRPr="00D11BBF">
        <w:rPr>
          <w:rFonts w:ascii="Cambria" w:hAnsi="Cambria" w:cs="Calibri"/>
          <w:sz w:val="20"/>
          <w:szCs w:val="20"/>
          <w:lang w:val="es-PE"/>
        </w:rPr>
        <w:t xml:space="preserve">. </w:t>
      </w:r>
    </w:p>
    <w:p w:rsidR="007B1702" w:rsidRPr="00D11BBF" w:rsidRDefault="007B1702" w:rsidP="007B1702">
      <w:pPr>
        <w:pStyle w:val="BodyText"/>
        <w:spacing w:after="0"/>
        <w:jc w:val="both"/>
        <w:rPr>
          <w:rFonts w:ascii="Cambria" w:hAnsi="Cambria" w:cs="Calibri"/>
          <w:sz w:val="20"/>
          <w:szCs w:val="20"/>
          <w:lang w:val="es-PE"/>
        </w:rPr>
      </w:pPr>
    </w:p>
    <w:p w:rsidR="007B1702"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PE"/>
        </w:rPr>
      </w:pPr>
      <w:r w:rsidRPr="00D11BBF">
        <w:rPr>
          <w:rFonts w:ascii="Cambria" w:hAnsi="Cambria" w:cs="Calibri"/>
          <w:sz w:val="20"/>
          <w:szCs w:val="20"/>
          <w:lang w:val="es-PE"/>
        </w:rPr>
        <w:t xml:space="preserve">El peticionario añade que, tras haber sido sobreseído definitivamente, el señor Villarroel </w:t>
      </w:r>
      <w:r w:rsidR="00912B47" w:rsidRPr="00D11BBF">
        <w:rPr>
          <w:rFonts w:ascii="Cambria" w:hAnsi="Cambria" w:cs="Calibri"/>
          <w:sz w:val="20"/>
          <w:szCs w:val="20"/>
          <w:lang w:val="es-PE"/>
        </w:rPr>
        <w:t>intentó</w:t>
      </w:r>
      <w:r w:rsidRPr="00D11BBF">
        <w:rPr>
          <w:rFonts w:ascii="Cambria" w:hAnsi="Cambria" w:cs="Calibri"/>
          <w:sz w:val="20"/>
          <w:szCs w:val="20"/>
          <w:lang w:val="es-PE"/>
        </w:rPr>
        <w:t xml:space="preserve"> solicitar reparación por la “detención en firme” y el proceso que</w:t>
      </w:r>
      <w:r w:rsidR="00431292" w:rsidRPr="00D11BBF">
        <w:rPr>
          <w:rFonts w:ascii="Cambria" w:hAnsi="Cambria" w:cs="Calibri"/>
          <w:sz w:val="20"/>
          <w:szCs w:val="20"/>
          <w:lang w:val="es-PE"/>
        </w:rPr>
        <w:t xml:space="preserve"> se le siguió</w:t>
      </w:r>
      <w:r w:rsidRPr="00D11BBF">
        <w:rPr>
          <w:rFonts w:ascii="Cambria" w:hAnsi="Cambria" w:cs="Calibri"/>
          <w:sz w:val="20"/>
          <w:szCs w:val="20"/>
          <w:lang w:val="es-PE"/>
        </w:rPr>
        <w:t xml:space="preserve">. </w:t>
      </w:r>
      <w:r w:rsidR="00D279CF" w:rsidRPr="00D11BBF">
        <w:rPr>
          <w:rFonts w:ascii="Cambria" w:hAnsi="Cambria" w:cs="Calibri"/>
          <w:sz w:val="20"/>
          <w:szCs w:val="20"/>
          <w:lang w:val="es-PE"/>
        </w:rPr>
        <w:t>Así</w:t>
      </w:r>
      <w:r w:rsidRPr="00D11BBF">
        <w:rPr>
          <w:rFonts w:ascii="Cambria" w:hAnsi="Cambria" w:cs="Calibri"/>
          <w:sz w:val="20"/>
          <w:szCs w:val="20"/>
          <w:lang w:val="es-PE"/>
        </w:rPr>
        <w:t>, interpu</w:t>
      </w:r>
      <w:r w:rsidR="00912B47" w:rsidRPr="00D11BBF">
        <w:rPr>
          <w:rFonts w:ascii="Cambria" w:hAnsi="Cambria" w:cs="Calibri"/>
          <w:sz w:val="20"/>
          <w:szCs w:val="20"/>
          <w:lang w:val="es-PE"/>
        </w:rPr>
        <w:t>so</w:t>
      </w:r>
      <w:r w:rsidRPr="00D11BBF">
        <w:rPr>
          <w:rFonts w:ascii="Cambria" w:hAnsi="Cambria" w:cs="Calibri"/>
          <w:sz w:val="20"/>
          <w:szCs w:val="20"/>
          <w:lang w:val="es-PE"/>
        </w:rPr>
        <w:t xml:space="preserve"> una demanda de indemnización el 24 de marzo de 2006 ante el Presidente de la CNJP</w:t>
      </w:r>
      <w:r w:rsidR="003C177F" w:rsidRPr="00D11BBF">
        <w:rPr>
          <w:rFonts w:ascii="Cambria" w:hAnsi="Cambria" w:cs="Calibri"/>
          <w:sz w:val="20"/>
          <w:szCs w:val="20"/>
          <w:lang w:val="es-PE"/>
        </w:rPr>
        <w:t xml:space="preserve">, </w:t>
      </w:r>
      <w:r w:rsidR="00D279CF" w:rsidRPr="00D11BBF">
        <w:rPr>
          <w:rFonts w:ascii="Cambria" w:hAnsi="Cambria" w:cs="Calibri"/>
          <w:sz w:val="20"/>
          <w:szCs w:val="20"/>
          <w:lang w:val="es-PE"/>
        </w:rPr>
        <w:t xml:space="preserve">la cual </w:t>
      </w:r>
      <w:r w:rsidR="00912B47" w:rsidRPr="00D11BBF">
        <w:rPr>
          <w:rFonts w:ascii="Cambria" w:hAnsi="Cambria" w:cs="Calibri"/>
          <w:sz w:val="20"/>
          <w:szCs w:val="20"/>
          <w:lang w:val="es-PE"/>
        </w:rPr>
        <w:t>fue</w:t>
      </w:r>
      <w:r w:rsidR="00D279CF" w:rsidRPr="00D11BBF">
        <w:rPr>
          <w:rFonts w:ascii="Cambria" w:hAnsi="Cambria" w:cs="Calibri"/>
          <w:sz w:val="20"/>
          <w:szCs w:val="20"/>
          <w:lang w:val="es-PE"/>
        </w:rPr>
        <w:t xml:space="preserve"> rechazada el </w:t>
      </w:r>
      <w:r w:rsidRPr="00D11BBF">
        <w:rPr>
          <w:rFonts w:ascii="Cambria" w:hAnsi="Cambria" w:cs="Calibri"/>
          <w:sz w:val="20"/>
          <w:szCs w:val="20"/>
          <w:lang w:val="es-PE"/>
        </w:rPr>
        <w:t xml:space="preserve">5 de abril </w:t>
      </w:r>
      <w:r w:rsidR="00D279CF" w:rsidRPr="00D11BBF">
        <w:rPr>
          <w:rFonts w:ascii="Cambria" w:hAnsi="Cambria" w:cs="Calibri"/>
          <w:sz w:val="20"/>
          <w:szCs w:val="20"/>
          <w:lang w:val="es-PE"/>
        </w:rPr>
        <w:t xml:space="preserve">al considerar que el asunto </w:t>
      </w:r>
      <w:r w:rsidRPr="00D11BBF">
        <w:rPr>
          <w:rFonts w:ascii="Cambria" w:hAnsi="Cambria" w:cs="Calibri"/>
          <w:sz w:val="20"/>
          <w:szCs w:val="20"/>
          <w:lang w:val="es-PE"/>
        </w:rPr>
        <w:t>debía ser ventilado ante el fuero civil ordinario</w:t>
      </w:r>
      <w:r w:rsidR="00092443" w:rsidRPr="00D11BBF">
        <w:rPr>
          <w:rFonts w:ascii="Cambria" w:hAnsi="Cambria" w:cs="Calibri"/>
          <w:sz w:val="20"/>
          <w:szCs w:val="20"/>
          <w:lang w:val="es-PE"/>
        </w:rPr>
        <w:t xml:space="preserve">. </w:t>
      </w:r>
      <w:r w:rsidRPr="00D11BBF">
        <w:rPr>
          <w:rFonts w:ascii="Cambria" w:hAnsi="Cambria" w:cs="Calibri"/>
          <w:sz w:val="20"/>
          <w:szCs w:val="20"/>
          <w:lang w:val="es-PE"/>
        </w:rPr>
        <w:t xml:space="preserve">Seguidamente, señala que presentó </w:t>
      </w:r>
      <w:r w:rsidR="003C177F" w:rsidRPr="00D11BBF">
        <w:rPr>
          <w:rFonts w:ascii="Cambria" w:hAnsi="Cambria" w:cs="Calibri"/>
          <w:sz w:val="20"/>
          <w:szCs w:val="20"/>
          <w:lang w:val="es-PE"/>
        </w:rPr>
        <w:t>una</w:t>
      </w:r>
      <w:r w:rsidRPr="00D11BBF">
        <w:rPr>
          <w:rFonts w:ascii="Cambria" w:hAnsi="Cambria" w:cs="Calibri"/>
          <w:sz w:val="20"/>
          <w:szCs w:val="20"/>
          <w:lang w:val="es-PE"/>
        </w:rPr>
        <w:t xml:space="preserve"> demanda ante el Presidente de la República, la cual también fue rechazada por incompetencia. Posteriormente, presentó una demanda ante el Juez de lo Civil de Pichincha y después ante la Corte Suprema de Justicia, las cuales </w:t>
      </w:r>
      <w:r w:rsidR="00912B47" w:rsidRPr="00D11BBF">
        <w:rPr>
          <w:rFonts w:ascii="Cambria" w:hAnsi="Cambria" w:cs="Calibri"/>
          <w:sz w:val="20"/>
          <w:szCs w:val="20"/>
          <w:lang w:val="es-PE"/>
        </w:rPr>
        <w:t>fueron</w:t>
      </w:r>
      <w:r w:rsidRPr="00D11BBF">
        <w:rPr>
          <w:rFonts w:ascii="Cambria" w:hAnsi="Cambria" w:cs="Calibri"/>
          <w:sz w:val="20"/>
          <w:szCs w:val="20"/>
          <w:lang w:val="es-PE"/>
        </w:rPr>
        <w:t xml:space="preserve"> rechazadas. </w:t>
      </w:r>
      <w:r w:rsidR="00D279CF" w:rsidRPr="00D11BBF">
        <w:rPr>
          <w:rFonts w:ascii="Cambria" w:hAnsi="Cambria" w:cs="Calibri"/>
          <w:sz w:val="20"/>
          <w:szCs w:val="20"/>
          <w:lang w:val="es-PE"/>
        </w:rPr>
        <w:t xml:space="preserve"> El peticionario no presenta información sobre la interposición de algún recurso en este sentido por parte de las demás presuntas víctimas.</w:t>
      </w:r>
    </w:p>
    <w:p w:rsidR="007B1702" w:rsidRPr="00D11BBF" w:rsidRDefault="007B1702" w:rsidP="007B1702">
      <w:pPr>
        <w:pStyle w:val="BodyText"/>
        <w:spacing w:after="0"/>
        <w:jc w:val="both"/>
        <w:rPr>
          <w:rFonts w:ascii="Cambria" w:hAnsi="Cambria" w:cs="Calibri"/>
          <w:sz w:val="20"/>
          <w:szCs w:val="20"/>
          <w:lang w:val="es-PE"/>
        </w:rPr>
      </w:pPr>
    </w:p>
    <w:p w:rsidR="0039191D" w:rsidRPr="00D11BBF" w:rsidRDefault="007B1702" w:rsidP="0039191D">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PE"/>
        </w:rPr>
      </w:pPr>
      <w:r w:rsidRPr="00D11BBF">
        <w:rPr>
          <w:rFonts w:ascii="Cambria" w:hAnsi="Cambria" w:cs="Calibri"/>
          <w:sz w:val="20"/>
          <w:szCs w:val="20"/>
          <w:lang w:val="es-PE"/>
        </w:rPr>
        <w:t xml:space="preserve">Por otra parte, el peticionario </w:t>
      </w:r>
      <w:r w:rsidR="00912B47" w:rsidRPr="00D11BBF">
        <w:rPr>
          <w:rFonts w:ascii="Cambria" w:hAnsi="Cambria" w:cs="Calibri"/>
          <w:sz w:val="20"/>
          <w:szCs w:val="20"/>
          <w:lang w:val="es-PE"/>
        </w:rPr>
        <w:t>alega</w:t>
      </w:r>
      <w:r w:rsidRPr="00D11BBF">
        <w:rPr>
          <w:rFonts w:ascii="Cambria" w:hAnsi="Cambria" w:cs="Calibri"/>
          <w:sz w:val="20"/>
          <w:szCs w:val="20"/>
          <w:lang w:val="es-PE"/>
        </w:rPr>
        <w:t xml:space="preserve"> que la sentencia en la que fueron absue</w:t>
      </w:r>
      <w:r w:rsidR="00912B47" w:rsidRPr="00D11BBF">
        <w:rPr>
          <w:rFonts w:ascii="Cambria" w:hAnsi="Cambria" w:cs="Calibri"/>
          <w:sz w:val="20"/>
          <w:szCs w:val="20"/>
          <w:lang w:val="es-PE"/>
        </w:rPr>
        <w:t>ltas las presuntas víctimas es</w:t>
      </w:r>
      <w:r w:rsidRPr="00D11BBF">
        <w:rPr>
          <w:rFonts w:ascii="Cambria" w:hAnsi="Cambria" w:cs="Calibri"/>
          <w:sz w:val="20"/>
          <w:szCs w:val="20"/>
          <w:lang w:val="es-PE"/>
        </w:rPr>
        <w:t xml:space="preserve"> una “prueba irrefutable de la violación sistemática de los derechos constitucionales y legales” y que </w:t>
      </w:r>
      <w:r w:rsidR="00912B47" w:rsidRPr="00D11BBF">
        <w:rPr>
          <w:rFonts w:ascii="Cambria" w:hAnsi="Cambria" w:cs="Calibri"/>
          <w:sz w:val="20"/>
          <w:szCs w:val="20"/>
          <w:lang w:val="es-PE"/>
        </w:rPr>
        <w:t>estos fueron</w:t>
      </w:r>
      <w:r w:rsidRPr="00D11BBF">
        <w:rPr>
          <w:rFonts w:ascii="Cambria" w:hAnsi="Cambria" w:cs="Calibri"/>
          <w:sz w:val="20"/>
          <w:szCs w:val="20"/>
          <w:lang w:val="es-PE"/>
        </w:rPr>
        <w:t xml:space="preserve"> absueltos por haber una nueva conformación de jueces en la CNJP. </w:t>
      </w:r>
      <w:r w:rsidR="00912B47" w:rsidRPr="00D11BBF">
        <w:rPr>
          <w:rFonts w:ascii="Cambria" w:hAnsi="Cambria" w:cs="Calibri"/>
          <w:sz w:val="20"/>
          <w:szCs w:val="20"/>
          <w:lang w:val="es-PE"/>
        </w:rPr>
        <w:t>A</w:t>
      </w:r>
      <w:r w:rsidRPr="00D11BBF">
        <w:rPr>
          <w:rFonts w:ascii="Cambria" w:hAnsi="Cambria" w:cs="Calibri"/>
          <w:sz w:val="20"/>
          <w:szCs w:val="20"/>
          <w:lang w:val="es-PE"/>
        </w:rPr>
        <w:t xml:space="preserve">rgumenta que el proceso en contra de las presuntas víctimas </w:t>
      </w:r>
      <w:r w:rsidR="00912B47" w:rsidRPr="00D11BBF">
        <w:rPr>
          <w:rFonts w:ascii="Cambria" w:hAnsi="Cambria" w:cs="Calibri"/>
          <w:sz w:val="20"/>
          <w:szCs w:val="20"/>
          <w:lang w:val="es-PE"/>
        </w:rPr>
        <w:t>fue</w:t>
      </w:r>
      <w:r w:rsidRPr="00D11BBF">
        <w:rPr>
          <w:rFonts w:ascii="Cambria" w:hAnsi="Cambria" w:cs="Calibri"/>
          <w:sz w:val="20"/>
          <w:szCs w:val="20"/>
          <w:lang w:val="es-PE"/>
        </w:rPr>
        <w:t xml:space="preserve"> por “venganzas personales”</w:t>
      </w:r>
      <w:r w:rsidRPr="00D11BBF">
        <w:rPr>
          <w:rStyle w:val="FootnoteReference"/>
          <w:rFonts w:ascii="Cambria" w:hAnsi="Cambria" w:cs="Calibri"/>
          <w:sz w:val="20"/>
          <w:szCs w:val="20"/>
          <w:lang w:val="es-AR"/>
        </w:rPr>
        <w:t xml:space="preserve"> </w:t>
      </w:r>
      <w:r w:rsidRPr="00D11BBF">
        <w:rPr>
          <w:rFonts w:ascii="Cambria" w:hAnsi="Cambria" w:cs="Calibri"/>
          <w:sz w:val="20"/>
          <w:szCs w:val="20"/>
          <w:lang w:val="es-PE"/>
        </w:rPr>
        <w:t xml:space="preserve">en contra del General Villarroel que involucraba al Presidente Lucio Gutiérrez,  miembros de la CNJP y otras altas autoridades policiales. Alega que el ex Presidente de la CNJP se habría abrogado funciones que no le competía, por ejemplo, para la fecha de la emisión del auto motivado no habría tomado posesión de su cargo como Presidente. </w:t>
      </w:r>
    </w:p>
    <w:p w:rsidR="0039191D" w:rsidRPr="00D11BBF" w:rsidRDefault="0039191D" w:rsidP="0039191D">
      <w:pPr>
        <w:pStyle w:val="ListParagraph"/>
        <w:rPr>
          <w:rFonts w:cs="Calibri"/>
          <w:color w:val="auto"/>
          <w:sz w:val="20"/>
          <w:szCs w:val="20"/>
          <w:lang w:val="es-PE"/>
        </w:rPr>
      </w:pPr>
    </w:p>
    <w:p w:rsidR="007B1702"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PE"/>
        </w:rPr>
      </w:pPr>
      <w:r w:rsidRPr="00D11BBF">
        <w:rPr>
          <w:rFonts w:ascii="Cambria" w:hAnsi="Cambria" w:cs="Calibri"/>
          <w:sz w:val="20"/>
          <w:szCs w:val="20"/>
          <w:lang w:val="es-PE"/>
        </w:rPr>
        <w:t>Adicionalmente, el peticionario arguye la imputación de un delito que sería más grave en el fuero policial, y a su vez, que existía jurisprudencia de la ex Corte Suprema de Justicia en la que referiría que el delito de peculado no era un delito por la función policial, razón por la cual debía ventilarse ante el fuero común. Por último, alega la falta de imparcialidad e independencia de la CNJP ya que, por la misma normativa aplicable, no existían otras instancias o salas para conocer y resolver los recursos interpuestos. En este sentido, argumenta</w:t>
      </w:r>
      <w:r w:rsidR="000A344F" w:rsidRPr="00D11BBF">
        <w:rPr>
          <w:rFonts w:ascii="Cambria" w:hAnsi="Cambria" w:cs="Calibri"/>
          <w:sz w:val="20"/>
          <w:szCs w:val="20"/>
          <w:lang w:val="es-PE"/>
        </w:rPr>
        <w:t xml:space="preserve"> que todos los recursos que hab</w:t>
      </w:r>
      <w:r w:rsidRPr="00D11BBF">
        <w:rPr>
          <w:rFonts w:ascii="Cambria" w:hAnsi="Cambria" w:cs="Calibri"/>
          <w:sz w:val="20"/>
          <w:szCs w:val="20"/>
          <w:lang w:val="es-PE"/>
        </w:rPr>
        <w:t>ían interpuesto a lo largo del proceso penal en contra de las presuntas víctimas, habían sido resueltos por los mismos jueces de la CNJP. Por último, el peticionario agrega que el 20 de octubre de 2008 entró en vigor la nueva Constitución de la República del Ecuador, la cual derogó la legislación penal militar y la policial, pasando estos al fuero ordinario.</w:t>
      </w:r>
    </w:p>
    <w:p w:rsidR="007B1702" w:rsidRPr="00D11BBF" w:rsidRDefault="007B1702" w:rsidP="007B1702">
      <w:pPr>
        <w:pStyle w:val="ListParagraph"/>
        <w:rPr>
          <w:rFonts w:cs="Calibri"/>
          <w:color w:val="auto"/>
          <w:sz w:val="20"/>
          <w:szCs w:val="20"/>
          <w:lang w:val="es-PE"/>
        </w:rPr>
      </w:pPr>
    </w:p>
    <w:p w:rsidR="007B1702"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PE"/>
        </w:rPr>
      </w:pPr>
      <w:r w:rsidRPr="00D11BBF">
        <w:rPr>
          <w:rFonts w:ascii="Cambria" w:hAnsi="Cambria" w:cs="Calibri"/>
          <w:sz w:val="20"/>
          <w:szCs w:val="20"/>
          <w:lang w:val="es-PE"/>
        </w:rPr>
        <w:t xml:space="preserve">El peticionario alega la violación a los artículos </w:t>
      </w:r>
      <w:r w:rsidRPr="00D11BBF">
        <w:rPr>
          <w:rFonts w:ascii="Cambria" w:hAnsi="Cambria" w:cs="Calibri"/>
          <w:sz w:val="20"/>
          <w:szCs w:val="20"/>
          <w:lang w:val="es-ES_tradnl"/>
        </w:rPr>
        <w:t>1.1 (obligación de respetar los derechos), 7 (libertad personal), 8 (garantías judiciales), 9 (principio de legalidad y de retroactividad), 10 (indemnización), 11 (protección de la honra y dignidad), 21 (propiedad privada), 24 (igualdad ante la ley), y 25 (protección judicial) de la Convención Americana sobre Derechos Humanos (en adelante la “Convención Americana” o “CADH”), y a los artículos I (vida, libertad, seguridad e integridad), artículo II (igualdad ante la ley), artículo XVIII (derecho de justicia), artículo XXV (protección contra detención arbitraria), artículo XXVI (derecho a un proceso regular), todos de la Declaración Americana de Derechos y Deberes del Hombre</w:t>
      </w:r>
      <w:r w:rsidRPr="00D11BBF">
        <w:rPr>
          <w:rFonts w:ascii="Cambria" w:hAnsi="Cambria" w:cs="Calibri"/>
          <w:sz w:val="20"/>
          <w:szCs w:val="20"/>
          <w:lang w:val="es-PE"/>
        </w:rPr>
        <w:t xml:space="preserve">. </w:t>
      </w:r>
    </w:p>
    <w:p w:rsidR="007B1702" w:rsidRPr="00D11BBF" w:rsidRDefault="007B1702" w:rsidP="007B1702">
      <w:pPr>
        <w:pStyle w:val="BodyText"/>
        <w:spacing w:after="0"/>
        <w:ind w:left="720"/>
        <w:jc w:val="both"/>
        <w:rPr>
          <w:rFonts w:ascii="Cambria" w:hAnsi="Cambria" w:cs="Calibri"/>
          <w:sz w:val="20"/>
          <w:szCs w:val="20"/>
          <w:lang w:val="es-PE"/>
        </w:rPr>
      </w:pPr>
    </w:p>
    <w:p w:rsidR="007B1702" w:rsidRPr="00D11BBF" w:rsidRDefault="007B1702" w:rsidP="00674EC3">
      <w:pPr>
        <w:pStyle w:val="Heading2"/>
      </w:pPr>
      <w:r w:rsidRPr="00D11BBF">
        <w:t>Posición del Estado</w:t>
      </w:r>
    </w:p>
    <w:p w:rsidR="007B1702" w:rsidRPr="00D11BBF" w:rsidRDefault="007B1702" w:rsidP="007B1702">
      <w:pPr>
        <w:rPr>
          <w:rFonts w:ascii="Cambria" w:hAnsi="Cambria" w:cs="Calibri"/>
          <w:sz w:val="20"/>
          <w:szCs w:val="20"/>
          <w:lang w:val="es-ES_tradnl"/>
        </w:rPr>
      </w:pPr>
    </w:p>
    <w:p w:rsidR="007B1702"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ES_tradnl"/>
        </w:rPr>
      </w:pPr>
      <w:r w:rsidRPr="00D11BBF">
        <w:rPr>
          <w:rFonts w:ascii="Cambria" w:hAnsi="Cambria" w:cs="Calibri"/>
          <w:sz w:val="20"/>
          <w:szCs w:val="20"/>
          <w:lang w:val="es-ES_tradnl"/>
        </w:rPr>
        <w:t xml:space="preserve">El Estado alega que los hechos descritos en la petición no caracterizan violaciones a los derechos consagrados en la Convención, y que el peticionario no ha agotado los recursos disponibles en la jurisdicción interna.  Asimismo considera que bajo la fórmula de la cuarta instancia, resulta infundado cualquier reclamo que pretenda cuestionar, como en el presente caso, decisiones adoptadas a nivel interno que hayan cumplido con lo establecido en la Convención. </w:t>
      </w:r>
    </w:p>
    <w:p w:rsidR="007B1702" w:rsidRPr="00D11BBF" w:rsidRDefault="007B1702" w:rsidP="007B1702">
      <w:pPr>
        <w:pStyle w:val="BodyText"/>
        <w:spacing w:after="0"/>
        <w:jc w:val="both"/>
        <w:rPr>
          <w:rFonts w:ascii="Cambria" w:hAnsi="Cambria" w:cs="Calibri"/>
          <w:sz w:val="20"/>
          <w:szCs w:val="20"/>
          <w:lang w:val="es-ES_tradnl"/>
        </w:rPr>
      </w:pPr>
    </w:p>
    <w:p w:rsidR="007B1702"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ES_tradnl"/>
        </w:rPr>
      </w:pPr>
      <w:r w:rsidRPr="00D11BBF">
        <w:rPr>
          <w:rFonts w:ascii="Cambria" w:hAnsi="Cambria" w:cs="Calibri"/>
          <w:sz w:val="20"/>
          <w:szCs w:val="20"/>
          <w:lang w:val="es-ES_tradnl"/>
        </w:rPr>
        <w:lastRenderedPageBreak/>
        <w:t xml:space="preserve">En respuesta al reclamo inicial del peticionario respecto al inicio del proceso penal policial sin las debidas garantías, en primer término, argumenta que cuando el peticionario interpuso la petición ante la CIDH no se habrían agotado los recursos internos. En segundo término, alega que, </w:t>
      </w:r>
      <w:r w:rsidR="003B2A41" w:rsidRPr="00D11BBF">
        <w:rPr>
          <w:rFonts w:ascii="Cambria" w:hAnsi="Cambria" w:cs="Calibri"/>
          <w:sz w:val="20"/>
          <w:szCs w:val="20"/>
          <w:lang w:val="es-ES_tradnl"/>
        </w:rPr>
        <w:t>el recurso</w:t>
      </w:r>
      <w:r w:rsidRPr="00D11BBF">
        <w:rPr>
          <w:rFonts w:ascii="Cambria" w:hAnsi="Cambria" w:cs="Calibri"/>
          <w:sz w:val="20"/>
          <w:szCs w:val="20"/>
          <w:lang w:val="es-ES_tradnl"/>
        </w:rPr>
        <w:t xml:space="preserve"> de apelación que interpusieron las presuntas víctimas contra la sentencia condenatoria, “fue efectivo, cumplió con la finalidad de doble conforme, fue llevado a cabo en un plazo adecuado e inclusive obtuvo el resultado que los peticionarios deseaban”. Los recursos fueron eficaces para resolver la situación jurídica de las presuntas víctimas, razón por la cual, no habría una violación a la C</w:t>
      </w:r>
      <w:r w:rsidR="00131F33" w:rsidRPr="00D11BBF">
        <w:rPr>
          <w:rFonts w:ascii="Cambria" w:hAnsi="Cambria" w:cs="Calibri"/>
          <w:sz w:val="20"/>
          <w:szCs w:val="20"/>
          <w:lang w:val="es-ES_tradnl"/>
        </w:rPr>
        <w:t>onvención Americana</w:t>
      </w:r>
      <w:r w:rsidRPr="00D11BBF">
        <w:rPr>
          <w:rFonts w:ascii="Cambria" w:hAnsi="Cambria" w:cs="Calibri"/>
          <w:sz w:val="20"/>
          <w:szCs w:val="20"/>
          <w:lang w:val="es-ES_tradnl"/>
        </w:rPr>
        <w:t>. Asimismo, el Estado señala que la CIDH no es un tribunal de alzada para revisar los procesos internos.</w:t>
      </w:r>
    </w:p>
    <w:p w:rsidR="00A22CF8" w:rsidRPr="00D11BBF" w:rsidRDefault="00A22CF8" w:rsidP="00A22CF8">
      <w:pPr>
        <w:pStyle w:val="ListParagraph"/>
        <w:rPr>
          <w:rFonts w:cs="Calibri"/>
          <w:color w:val="auto"/>
          <w:sz w:val="20"/>
          <w:szCs w:val="20"/>
          <w:lang w:val="es-ES_tradnl"/>
        </w:rPr>
      </w:pPr>
    </w:p>
    <w:p w:rsidR="00A22CF8" w:rsidRPr="00D11BBF" w:rsidRDefault="00C33D25" w:rsidP="00BF6799">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PE"/>
        </w:rPr>
      </w:pPr>
      <w:r w:rsidRPr="00D11BBF">
        <w:rPr>
          <w:rFonts w:ascii="Cambria" w:hAnsi="Cambria" w:cs="Calibri"/>
          <w:sz w:val="20"/>
          <w:szCs w:val="20"/>
          <w:lang w:val="es-PE"/>
        </w:rPr>
        <w:t xml:space="preserve">El Estado agrega que, tras el rechazo de los recursos de nulidad y de apelación que presentó el peticionario en relación al amparo </w:t>
      </w:r>
      <w:r w:rsidR="003B2A41" w:rsidRPr="00D11BBF">
        <w:rPr>
          <w:rFonts w:ascii="Cambria" w:hAnsi="Cambria" w:cs="Calibri"/>
          <w:sz w:val="20"/>
          <w:szCs w:val="20"/>
          <w:lang w:val="es-PE"/>
        </w:rPr>
        <w:t xml:space="preserve">de </w:t>
      </w:r>
      <w:r w:rsidRPr="00D11BBF">
        <w:rPr>
          <w:rFonts w:ascii="Cambria" w:hAnsi="Cambria" w:cs="Calibri"/>
          <w:sz w:val="20"/>
          <w:szCs w:val="20"/>
          <w:lang w:val="es-PE"/>
        </w:rPr>
        <w:t xml:space="preserve">libertad, </w:t>
      </w:r>
      <w:r w:rsidR="00A22CF8" w:rsidRPr="00D11BBF">
        <w:rPr>
          <w:rFonts w:ascii="Cambria" w:hAnsi="Cambria" w:cs="Calibri"/>
          <w:sz w:val="20"/>
          <w:szCs w:val="20"/>
          <w:lang w:val="es-PE"/>
        </w:rPr>
        <w:t xml:space="preserve">presentaron una solicitud de ampliación y de aclaración, los cuales fueron ambos denegados. El recurso de ampliación habría sido denegado ya que, según el tribunal, el rechazo del recurso de nulidad no adolecía de obscuridad. Por su parte, el recurso de aclaración habría sido rechazado por considerarse improcedente. </w:t>
      </w:r>
    </w:p>
    <w:p w:rsidR="007B1702" w:rsidRPr="00D11BBF" w:rsidRDefault="007B1702" w:rsidP="007B1702">
      <w:pPr>
        <w:pStyle w:val="ListParagraph"/>
        <w:rPr>
          <w:rFonts w:cs="Calibri"/>
          <w:color w:val="auto"/>
          <w:sz w:val="20"/>
          <w:szCs w:val="20"/>
          <w:lang w:val="es-ES_tradnl"/>
        </w:rPr>
      </w:pPr>
    </w:p>
    <w:p w:rsidR="006A35C6" w:rsidRPr="00D11BBF" w:rsidRDefault="006A35C6"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ES_tradnl"/>
        </w:rPr>
      </w:pPr>
      <w:r w:rsidRPr="00D11BBF">
        <w:rPr>
          <w:rFonts w:ascii="Cambria" w:hAnsi="Cambria" w:cs="Calibri"/>
          <w:sz w:val="20"/>
          <w:szCs w:val="20"/>
          <w:lang w:val="es-ES_tradnl"/>
        </w:rPr>
        <w:t>El Estado señala que</w:t>
      </w:r>
      <w:r w:rsidR="0052778A" w:rsidRPr="00D11BBF">
        <w:rPr>
          <w:rFonts w:ascii="Cambria" w:hAnsi="Cambria" w:cs="Calibri"/>
          <w:sz w:val="20"/>
          <w:szCs w:val="20"/>
          <w:lang w:val="es-ES_tradnl"/>
        </w:rPr>
        <w:t xml:space="preserve"> las presuntas víctimas habrían sido juzgadas en el fuero correcto y que</w:t>
      </w:r>
      <w:r w:rsidRPr="00D11BBF">
        <w:rPr>
          <w:rFonts w:ascii="Cambria" w:hAnsi="Cambria" w:cs="Calibri"/>
          <w:sz w:val="20"/>
          <w:szCs w:val="20"/>
          <w:lang w:val="es-ES_tradnl"/>
        </w:rPr>
        <w:t xml:space="preserve"> de haber tenido una inconformidad con el ex Presidente Pinto, tenían disponible la Ley de la Función Judicial de la Policía Nacional para impugnar su presidencia.  Refiere que no habría prueba de que el peticionario hubiera presentado </w:t>
      </w:r>
      <w:r w:rsidR="00F44958" w:rsidRPr="00D11BBF">
        <w:rPr>
          <w:rFonts w:ascii="Cambria" w:hAnsi="Cambria" w:cs="Calibri"/>
          <w:sz w:val="20"/>
          <w:szCs w:val="20"/>
          <w:lang w:val="es-ES_tradnl"/>
        </w:rPr>
        <w:t xml:space="preserve">una </w:t>
      </w:r>
      <w:r w:rsidRPr="00D11BBF">
        <w:rPr>
          <w:rFonts w:ascii="Cambria" w:hAnsi="Cambria" w:cs="Calibri"/>
          <w:sz w:val="20"/>
          <w:szCs w:val="20"/>
          <w:lang w:val="es-ES_tradnl"/>
        </w:rPr>
        <w:t>acción administrativa ante la autoridad competente</w:t>
      </w:r>
      <w:r w:rsidR="00FF04D3" w:rsidRPr="00D11BBF">
        <w:rPr>
          <w:rFonts w:ascii="Cambria" w:hAnsi="Cambria" w:cs="Calibri"/>
          <w:sz w:val="20"/>
          <w:szCs w:val="20"/>
          <w:lang w:val="es-ES_tradnl"/>
        </w:rPr>
        <w:t xml:space="preserve"> a este respecto</w:t>
      </w:r>
      <w:r w:rsidRPr="00D11BBF">
        <w:rPr>
          <w:rFonts w:ascii="Cambria" w:hAnsi="Cambria" w:cs="Calibri"/>
          <w:sz w:val="20"/>
          <w:szCs w:val="20"/>
          <w:lang w:val="es-ES_tradnl"/>
        </w:rPr>
        <w:t>. A su vez, señala que, con respecto a la falta de intervención del Ministro de Gobierno y Policía, éste no tendría competencia para participar directamente en el proceso penal de las presuntas víctimas ya que si lo hubiera hecho, se habría abrogado funciones ajenas al cargo</w:t>
      </w:r>
      <w:r w:rsidR="00FF04D3" w:rsidRPr="00D11BBF">
        <w:rPr>
          <w:rFonts w:ascii="Cambria" w:hAnsi="Cambria" w:cs="Calibri"/>
          <w:sz w:val="20"/>
          <w:szCs w:val="20"/>
          <w:lang w:val="es-ES_tradnl"/>
        </w:rPr>
        <w:t xml:space="preserve"> traduciéndose en una violación al artículo 8 de la Convención</w:t>
      </w:r>
      <w:r w:rsidRPr="00D11BBF">
        <w:rPr>
          <w:rFonts w:ascii="Cambria" w:hAnsi="Cambria" w:cs="Calibri"/>
          <w:sz w:val="20"/>
          <w:szCs w:val="20"/>
          <w:lang w:val="es-ES_tradnl"/>
        </w:rPr>
        <w:t xml:space="preserve">. Aunado a lo anterior, manifiesta que los jueces actuaron con plena independencia e imparcialidad en el proceso legal y en todo momento se respetó el debido proceso. </w:t>
      </w:r>
    </w:p>
    <w:p w:rsidR="006A35C6" w:rsidRPr="00D11BBF" w:rsidRDefault="006A35C6" w:rsidP="006A35C6">
      <w:pPr>
        <w:pStyle w:val="ListParagraph"/>
        <w:rPr>
          <w:rFonts w:cs="Calibri"/>
          <w:color w:val="auto"/>
          <w:sz w:val="20"/>
          <w:szCs w:val="20"/>
          <w:lang w:val="es-ES_tradnl"/>
        </w:rPr>
      </w:pPr>
    </w:p>
    <w:p w:rsidR="007B1702"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ES_tradnl"/>
        </w:rPr>
      </w:pPr>
      <w:r w:rsidRPr="00D11BBF">
        <w:rPr>
          <w:rFonts w:ascii="Cambria" w:hAnsi="Cambria" w:cs="Calibri"/>
          <w:sz w:val="20"/>
          <w:szCs w:val="20"/>
          <w:lang w:val="es-ES_tradnl"/>
        </w:rPr>
        <w:t xml:space="preserve">Por otro lado, en cuanto a la demanda de indemnización, expone que el peticionario no habría acudido al fuero civil, que sería la instancia adecuada. </w:t>
      </w:r>
      <w:r w:rsidR="004C3779" w:rsidRPr="00D11BBF">
        <w:rPr>
          <w:rFonts w:ascii="Cambria" w:hAnsi="Cambria" w:cs="Calibri"/>
          <w:sz w:val="20"/>
          <w:szCs w:val="20"/>
          <w:lang w:val="es-ES_tradnl"/>
        </w:rPr>
        <w:t>Asimismo, sostiene que, tras haber hecho una búsqueda en el archivo judicial por causas presentadas ante la Corte Suprema</w:t>
      </w:r>
      <w:r w:rsidR="0052778A" w:rsidRPr="00D11BBF">
        <w:rPr>
          <w:rFonts w:ascii="Cambria" w:hAnsi="Cambria" w:cs="Calibri"/>
          <w:sz w:val="20"/>
          <w:szCs w:val="20"/>
          <w:lang w:val="es-ES_tradnl"/>
        </w:rPr>
        <w:t xml:space="preserve"> de Justicia</w:t>
      </w:r>
      <w:r w:rsidR="004C3779" w:rsidRPr="00D11BBF">
        <w:rPr>
          <w:rFonts w:ascii="Cambria" w:hAnsi="Cambria" w:cs="Calibri"/>
          <w:sz w:val="20"/>
          <w:szCs w:val="20"/>
          <w:lang w:val="es-ES_tradnl"/>
        </w:rPr>
        <w:t xml:space="preserve">, no habría encontrado </w:t>
      </w:r>
      <w:r w:rsidR="00C81799" w:rsidRPr="00D11BBF">
        <w:rPr>
          <w:rFonts w:ascii="Cambria" w:hAnsi="Cambria" w:cs="Calibri"/>
          <w:sz w:val="20"/>
          <w:szCs w:val="20"/>
          <w:lang w:val="es-ES_tradnl"/>
        </w:rPr>
        <w:t>un</w:t>
      </w:r>
      <w:r w:rsidR="004C3779" w:rsidRPr="00D11BBF">
        <w:rPr>
          <w:rFonts w:ascii="Cambria" w:hAnsi="Cambria" w:cs="Calibri"/>
          <w:sz w:val="20"/>
          <w:szCs w:val="20"/>
          <w:lang w:val="es-ES_tradnl"/>
        </w:rPr>
        <w:t xml:space="preserve"> caso relacionado a las presuntas víctimas. </w:t>
      </w:r>
      <w:r w:rsidRPr="00D11BBF">
        <w:rPr>
          <w:rFonts w:ascii="Cambria" w:hAnsi="Cambria" w:cs="Calibri"/>
          <w:sz w:val="20"/>
          <w:szCs w:val="20"/>
          <w:lang w:val="es-ES_tradnl"/>
        </w:rPr>
        <w:t>Por tal motivo, no habría agotado recursos internos a este respecto. El Estado incluye tres formas en la que las presuntas víctimas pudieron haber instaurado la demanda por daños y perjuicios:</w:t>
      </w:r>
    </w:p>
    <w:p w:rsidR="007B1702" w:rsidRPr="00D11BBF" w:rsidRDefault="007B1702" w:rsidP="007B1702">
      <w:pPr>
        <w:pStyle w:val="ListParagraph"/>
        <w:rPr>
          <w:rFonts w:cs="Calibri"/>
          <w:color w:val="auto"/>
          <w:sz w:val="20"/>
          <w:szCs w:val="20"/>
          <w:lang w:val="es-ES_tradnl"/>
        </w:rPr>
      </w:pPr>
    </w:p>
    <w:p w:rsidR="007B1702" w:rsidRPr="00D11BBF" w:rsidRDefault="007B1702" w:rsidP="00674EC3">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ind w:left="1440" w:hanging="720"/>
        <w:jc w:val="both"/>
        <w:rPr>
          <w:rFonts w:ascii="Cambria" w:hAnsi="Cambria" w:cs="Calibri"/>
          <w:sz w:val="20"/>
          <w:szCs w:val="20"/>
          <w:lang w:val="es-ES_tradnl"/>
        </w:rPr>
      </w:pPr>
      <w:r w:rsidRPr="00D11BBF">
        <w:rPr>
          <w:rFonts w:ascii="Cambria" w:hAnsi="Cambria" w:cs="Calibri"/>
          <w:sz w:val="20"/>
          <w:szCs w:val="20"/>
          <w:lang w:val="es-ES_tradnl"/>
        </w:rPr>
        <w:t xml:space="preserve">Contra el ex Presidente Pinto en fuero policial, basándose en los artículos 20, 21 y 22 de la Constitución. En este proceso, según el Estado, el peticionario </w:t>
      </w:r>
      <w:r w:rsidR="003B2A41" w:rsidRPr="00D11BBF">
        <w:rPr>
          <w:rFonts w:ascii="Cambria" w:hAnsi="Cambria" w:cs="Calibri"/>
          <w:sz w:val="20"/>
          <w:szCs w:val="20"/>
          <w:lang w:val="es-ES_tradnl"/>
        </w:rPr>
        <w:t>pudiera haber</w:t>
      </w:r>
      <w:r w:rsidRPr="00D11BBF">
        <w:rPr>
          <w:rFonts w:ascii="Cambria" w:hAnsi="Cambria" w:cs="Calibri"/>
          <w:sz w:val="20"/>
          <w:szCs w:val="20"/>
          <w:lang w:val="es-ES_tradnl"/>
        </w:rPr>
        <w:t xml:space="preserve"> invocado en su juicio contra el ex Presidente Pinto los artículos 2232, 2233 y 2234 de la Codificación al Código Civil, los cuales refieren al fuero civil y basados en una reparación por daño moral, razón por la cual no era competente el fuero policial;</w:t>
      </w:r>
    </w:p>
    <w:p w:rsidR="007B1702" w:rsidRPr="00D11BBF" w:rsidRDefault="007B1702" w:rsidP="00674EC3">
      <w:pPr>
        <w:pStyle w:val="BodyText"/>
        <w:spacing w:after="0"/>
        <w:ind w:left="1440" w:hanging="720"/>
        <w:jc w:val="both"/>
        <w:rPr>
          <w:rFonts w:ascii="Cambria" w:hAnsi="Cambria" w:cs="Calibri"/>
          <w:sz w:val="20"/>
          <w:szCs w:val="20"/>
          <w:lang w:val="es-ES_tradnl"/>
        </w:rPr>
      </w:pPr>
    </w:p>
    <w:p w:rsidR="007B1702" w:rsidRPr="00D11BBF" w:rsidRDefault="007B1702" w:rsidP="00674EC3">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ind w:left="1440" w:hanging="720"/>
        <w:jc w:val="both"/>
        <w:rPr>
          <w:rFonts w:ascii="Cambria" w:hAnsi="Cambria" w:cs="Calibri"/>
          <w:sz w:val="20"/>
          <w:szCs w:val="20"/>
          <w:lang w:val="es-ES_tradnl"/>
        </w:rPr>
      </w:pPr>
      <w:r w:rsidRPr="00D11BBF">
        <w:rPr>
          <w:rFonts w:ascii="Cambria" w:hAnsi="Cambria" w:cs="Calibri"/>
          <w:sz w:val="20"/>
          <w:szCs w:val="20"/>
          <w:lang w:val="es-ES_tradnl"/>
        </w:rPr>
        <w:t>Contra el ex Presidente Pinto ante la ahora ex Corte Suprema de Justicia. Este proceso estaría reglamentado en el artículo 979 del Código de Procedimiento Civil. Al recibir la demanda, la Corte Suprema solicitaría un informe a los magistrados de la CNJP. De comprobarse el daño, la sentencia contendría un</w:t>
      </w:r>
      <w:r w:rsidR="00C81799" w:rsidRPr="00D11BBF">
        <w:rPr>
          <w:rFonts w:ascii="Cambria" w:hAnsi="Cambria" w:cs="Calibri"/>
          <w:sz w:val="20"/>
          <w:szCs w:val="20"/>
          <w:lang w:val="es-ES_tradnl"/>
        </w:rPr>
        <w:t>a</w:t>
      </w:r>
      <w:r w:rsidRPr="00D11BBF">
        <w:rPr>
          <w:rFonts w:ascii="Cambria" w:hAnsi="Cambria" w:cs="Calibri"/>
          <w:sz w:val="20"/>
          <w:szCs w:val="20"/>
          <w:lang w:val="es-ES_tradnl"/>
        </w:rPr>
        <w:t xml:space="preserve"> reparación económica;</w:t>
      </w:r>
    </w:p>
    <w:p w:rsidR="007B1702" w:rsidRPr="00D11BBF" w:rsidRDefault="007B1702" w:rsidP="00674EC3">
      <w:pPr>
        <w:pStyle w:val="ListParagraph"/>
        <w:ind w:left="1440" w:hanging="720"/>
        <w:rPr>
          <w:rFonts w:cs="Calibri"/>
          <w:color w:val="auto"/>
          <w:sz w:val="20"/>
          <w:szCs w:val="20"/>
          <w:lang w:val="es-ES_tradnl"/>
        </w:rPr>
      </w:pPr>
    </w:p>
    <w:p w:rsidR="007B1702" w:rsidRPr="00D11BBF" w:rsidRDefault="007B1702" w:rsidP="00674EC3">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ind w:left="1440" w:hanging="720"/>
        <w:jc w:val="both"/>
        <w:rPr>
          <w:rFonts w:ascii="Cambria" w:hAnsi="Cambria" w:cs="Calibri"/>
          <w:sz w:val="20"/>
          <w:szCs w:val="20"/>
          <w:lang w:val="es-ES_tradnl"/>
        </w:rPr>
      </w:pPr>
      <w:r w:rsidRPr="00D11BBF">
        <w:rPr>
          <w:rFonts w:ascii="Cambria" w:hAnsi="Cambria" w:cs="Calibri"/>
          <w:sz w:val="20"/>
          <w:szCs w:val="20"/>
          <w:lang w:val="es-ES_tradnl"/>
        </w:rPr>
        <w:t>Contra el ex Presidente Pinto ante el fuero civil, basándose en el artículo 22 de la Constitución.</w:t>
      </w:r>
    </w:p>
    <w:p w:rsidR="007B1702" w:rsidRPr="00D11BBF" w:rsidRDefault="007B1702" w:rsidP="007B1702">
      <w:pPr>
        <w:pStyle w:val="ListParagraph"/>
        <w:rPr>
          <w:rFonts w:cs="Calibri"/>
          <w:color w:val="auto"/>
          <w:sz w:val="20"/>
          <w:szCs w:val="20"/>
          <w:lang w:val="es-ES_tradnl"/>
        </w:rPr>
      </w:pPr>
    </w:p>
    <w:p w:rsidR="007B1702"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ES_tradnl"/>
        </w:rPr>
      </w:pPr>
      <w:r w:rsidRPr="00D11BBF">
        <w:rPr>
          <w:rFonts w:ascii="Cambria" w:hAnsi="Cambria" w:cs="Calibri"/>
          <w:sz w:val="20"/>
          <w:szCs w:val="20"/>
          <w:lang w:val="es-ES_tradnl"/>
        </w:rPr>
        <w:t>Asimismo, el Estado señal</w:t>
      </w:r>
      <w:r w:rsidR="00C81799" w:rsidRPr="00D11BBF">
        <w:rPr>
          <w:rFonts w:ascii="Cambria" w:hAnsi="Cambria" w:cs="Calibri"/>
          <w:sz w:val="20"/>
          <w:szCs w:val="20"/>
          <w:lang w:val="es-ES_tradnl"/>
        </w:rPr>
        <w:t xml:space="preserve">a que habría incongruencia y </w:t>
      </w:r>
      <w:r w:rsidRPr="00D11BBF">
        <w:rPr>
          <w:rFonts w:ascii="Cambria" w:hAnsi="Cambria" w:cs="Calibri"/>
          <w:sz w:val="20"/>
          <w:szCs w:val="20"/>
          <w:lang w:val="es-ES_tradnl"/>
        </w:rPr>
        <w:t xml:space="preserve">“mala intención” del peticionario al argumentar que habrían sido juzgados en un sistema inquisitorio con falencias, mientras que en agosto del 2007 el señor Villarroel asumió la Presidencia de la CNJP. </w:t>
      </w:r>
      <w:r w:rsidR="002E6588" w:rsidRPr="00D11BBF">
        <w:rPr>
          <w:rFonts w:ascii="Cambria" w:hAnsi="Cambria" w:cs="Calibri"/>
          <w:sz w:val="20"/>
          <w:szCs w:val="20"/>
          <w:lang w:val="es-ES_tradnl"/>
        </w:rPr>
        <w:t xml:space="preserve"> Finalmente, e</w:t>
      </w:r>
      <w:r w:rsidRPr="00D11BBF">
        <w:rPr>
          <w:rFonts w:ascii="Cambria" w:hAnsi="Cambria" w:cs="Calibri"/>
          <w:sz w:val="20"/>
          <w:szCs w:val="20"/>
          <w:lang w:val="es-MX"/>
        </w:rPr>
        <w:t xml:space="preserve">l Estado solicita que la Comisión declare la inadmisibilidad de la petición </w:t>
      </w:r>
      <w:r w:rsidRPr="00D11BBF">
        <w:rPr>
          <w:rFonts w:ascii="Cambria" w:hAnsi="Cambria" w:cs="Calibri"/>
          <w:sz w:val="20"/>
          <w:szCs w:val="20"/>
          <w:lang w:val="es-ES_tradnl"/>
        </w:rPr>
        <w:t xml:space="preserve">por no cumplir con los requisitos establecidos en los artículos 46 y 47 de la Convención y por no comprobarse una mala actuación de los órganos de justicia. </w:t>
      </w:r>
    </w:p>
    <w:p w:rsidR="007B1702" w:rsidRPr="00D11BBF" w:rsidRDefault="001229C1" w:rsidP="007B1702">
      <w:pPr>
        <w:rPr>
          <w:rFonts w:ascii="Cambria" w:hAnsi="Cambria" w:cs="Calibri"/>
          <w:sz w:val="16"/>
          <w:szCs w:val="16"/>
          <w:lang w:val="es-ES"/>
        </w:rPr>
      </w:pPr>
      <w:r w:rsidRPr="00D11BBF">
        <w:rPr>
          <w:rFonts w:ascii="Cambria" w:hAnsi="Cambria" w:cs="Calibri"/>
          <w:sz w:val="20"/>
          <w:szCs w:val="20"/>
          <w:lang w:val="es-ES"/>
        </w:rPr>
        <w:br w:type="page"/>
      </w:r>
    </w:p>
    <w:p w:rsidR="00674EC3" w:rsidRPr="00D11BBF" w:rsidRDefault="007B1702" w:rsidP="00674EC3">
      <w:pPr>
        <w:pStyle w:val="Heading1"/>
        <w:rPr>
          <w:color w:val="auto"/>
        </w:rPr>
      </w:pPr>
      <w:r w:rsidRPr="00D11BBF">
        <w:rPr>
          <w:color w:val="auto"/>
        </w:rPr>
        <w:t>IV.</w:t>
      </w:r>
      <w:r w:rsidRPr="00D11BBF">
        <w:rPr>
          <w:color w:val="auto"/>
        </w:rPr>
        <w:tab/>
      </w:r>
      <w:r w:rsidRPr="00D11BBF">
        <w:rPr>
          <w:color w:val="auto"/>
          <w:lang w:val="es-AR"/>
        </w:rPr>
        <w:t>ANÁLISIS</w:t>
      </w:r>
      <w:r w:rsidRPr="00D11BBF">
        <w:rPr>
          <w:color w:val="auto"/>
        </w:rPr>
        <w:t xml:space="preserve"> SOBRE COMPETENCIA Y ADMISIBILIDAD</w:t>
      </w:r>
    </w:p>
    <w:p w:rsidR="00674EC3" w:rsidRPr="00D11BBF" w:rsidRDefault="00674EC3" w:rsidP="00674EC3">
      <w:pPr>
        <w:rPr>
          <w:rFonts w:ascii="Cambria" w:hAnsi="Cambria"/>
          <w:lang w:val="es-ES_tradnl"/>
        </w:rPr>
      </w:pPr>
    </w:p>
    <w:p w:rsidR="007B1702" w:rsidRPr="000C4635" w:rsidRDefault="007B1702" w:rsidP="00674EC3">
      <w:pPr>
        <w:pStyle w:val="Heading2"/>
        <w:numPr>
          <w:ilvl w:val="0"/>
          <w:numId w:val="62"/>
        </w:numPr>
        <w:ind w:left="1440"/>
        <w:rPr>
          <w:lang w:val="es-ES"/>
        </w:rPr>
      </w:pPr>
      <w:r w:rsidRPr="000C4635">
        <w:t>Competencia</w:t>
      </w:r>
      <w:r w:rsidRPr="00D11BBF">
        <w:t xml:space="preserve"> </w:t>
      </w:r>
      <w:r w:rsidRPr="000C4635">
        <w:rPr>
          <w:i/>
        </w:rPr>
        <w:t xml:space="preserve">ratione materiae, ratione personae, ratione temporis y ratione loci </w:t>
      </w:r>
      <w:r w:rsidRPr="000C4635">
        <w:t>de la Comisión</w:t>
      </w:r>
    </w:p>
    <w:p w:rsidR="007B1702" w:rsidRPr="00D11BBF" w:rsidRDefault="007B1702" w:rsidP="007B1702">
      <w:pPr>
        <w:pStyle w:val="BodyText"/>
        <w:spacing w:after="0"/>
        <w:jc w:val="both"/>
        <w:rPr>
          <w:rFonts w:ascii="Cambria" w:hAnsi="Cambria" w:cs="Calibri"/>
          <w:sz w:val="20"/>
          <w:szCs w:val="20"/>
          <w:lang w:val="es-ES_tradnl"/>
        </w:rPr>
      </w:pPr>
    </w:p>
    <w:p w:rsidR="007B1702"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ES_tradnl"/>
        </w:rPr>
      </w:pPr>
      <w:r w:rsidRPr="00D11BBF">
        <w:rPr>
          <w:rFonts w:ascii="Cambria" w:hAnsi="Cambria" w:cs="Calibri"/>
          <w:sz w:val="20"/>
          <w:szCs w:val="20"/>
          <w:lang w:val="es-ES_tradnl"/>
        </w:rPr>
        <w:t>El peticionario se encuentra facultado, en principio, por el artículo 44 de la Convención Americana para presentar peticiones ante la Comisión. La petición señala como presunta víctima a persona</w:t>
      </w:r>
      <w:r w:rsidR="002E6588" w:rsidRPr="00D11BBF">
        <w:rPr>
          <w:rFonts w:ascii="Cambria" w:hAnsi="Cambria" w:cs="Calibri"/>
          <w:sz w:val="20"/>
          <w:szCs w:val="20"/>
          <w:lang w:val="es-ES_tradnl"/>
        </w:rPr>
        <w:t>s</w:t>
      </w:r>
      <w:r w:rsidRPr="00D11BBF">
        <w:rPr>
          <w:rFonts w:ascii="Cambria" w:hAnsi="Cambria" w:cs="Calibri"/>
          <w:sz w:val="20"/>
          <w:szCs w:val="20"/>
          <w:lang w:val="es-ES_tradnl"/>
        </w:rPr>
        <w:t xml:space="preserve"> individual</w:t>
      </w:r>
      <w:r w:rsidR="002E6588" w:rsidRPr="00D11BBF">
        <w:rPr>
          <w:rFonts w:ascii="Cambria" w:hAnsi="Cambria" w:cs="Calibri"/>
          <w:sz w:val="20"/>
          <w:szCs w:val="20"/>
          <w:lang w:val="es-ES_tradnl"/>
        </w:rPr>
        <w:t>es</w:t>
      </w:r>
      <w:r w:rsidRPr="00D11BBF">
        <w:rPr>
          <w:rFonts w:ascii="Cambria" w:hAnsi="Cambria" w:cs="Calibri"/>
          <w:sz w:val="20"/>
          <w:szCs w:val="20"/>
          <w:lang w:val="es-ES_tradnl"/>
        </w:rPr>
        <w:t>, respecto de quien</w:t>
      </w:r>
      <w:r w:rsidR="002E6588" w:rsidRPr="00D11BBF">
        <w:rPr>
          <w:rFonts w:ascii="Cambria" w:hAnsi="Cambria" w:cs="Calibri"/>
          <w:sz w:val="20"/>
          <w:szCs w:val="20"/>
          <w:lang w:val="es-ES_tradnl"/>
        </w:rPr>
        <w:t>es</w:t>
      </w:r>
      <w:r w:rsidRPr="00D11BBF">
        <w:rPr>
          <w:rFonts w:ascii="Cambria" w:hAnsi="Cambria" w:cs="Calibri"/>
          <w:sz w:val="20"/>
          <w:szCs w:val="20"/>
          <w:lang w:val="es-ES_tradnl"/>
        </w:rPr>
        <w:t xml:space="preserve"> el Estado se comprometió a respetar y garantizar los derechos consagrados en la Convención.  En lo concerniente al Estado, </w:t>
      </w:r>
      <w:r w:rsidRPr="00D11BBF">
        <w:rPr>
          <w:rFonts w:ascii="Cambria" w:hAnsi="Cambria" w:cs="Calibri"/>
          <w:sz w:val="20"/>
          <w:szCs w:val="20"/>
          <w:lang w:val="es-PE"/>
        </w:rPr>
        <w:t>Ecuador es un Estado parte en la Convención Americana desde el 8 de diciembre de 1977</w:t>
      </w:r>
      <w:r w:rsidRPr="00D11BBF">
        <w:rPr>
          <w:rFonts w:ascii="Cambria" w:hAnsi="Cambria" w:cs="Calibri"/>
          <w:sz w:val="20"/>
          <w:szCs w:val="20"/>
          <w:lang w:val="es-ES_tradnl"/>
        </w:rPr>
        <w:t xml:space="preserve">, </w:t>
      </w:r>
      <w:r w:rsidRPr="00D11BBF">
        <w:rPr>
          <w:rFonts w:ascii="Cambria" w:hAnsi="Cambria" w:cs="Calibri"/>
          <w:sz w:val="20"/>
          <w:szCs w:val="20"/>
          <w:lang w:val="es-PE"/>
        </w:rPr>
        <w:t>fecha en la que depositó su instrumento de ratificación</w:t>
      </w:r>
      <w:r w:rsidRPr="00D11BBF">
        <w:rPr>
          <w:rFonts w:ascii="Cambria" w:hAnsi="Cambria" w:cs="Calibri"/>
          <w:sz w:val="20"/>
          <w:szCs w:val="20"/>
          <w:lang w:val="es-ES_tradnl"/>
        </w:rPr>
        <w:t>.  Por lo tanto, la C</w:t>
      </w:r>
      <w:r w:rsidR="002E6588" w:rsidRPr="00D11BBF">
        <w:rPr>
          <w:rFonts w:ascii="Cambria" w:hAnsi="Cambria" w:cs="Calibri"/>
          <w:sz w:val="20"/>
          <w:szCs w:val="20"/>
          <w:lang w:val="es-ES_tradnl"/>
        </w:rPr>
        <w:t>IDH</w:t>
      </w:r>
      <w:r w:rsidRPr="00D11BBF">
        <w:rPr>
          <w:rFonts w:ascii="Cambria" w:hAnsi="Cambria" w:cs="Calibri"/>
          <w:sz w:val="20"/>
          <w:szCs w:val="20"/>
          <w:lang w:val="es-ES_tradnl"/>
        </w:rPr>
        <w:t xml:space="preserve"> tiene competente </w:t>
      </w:r>
      <w:r w:rsidRPr="00D11BBF">
        <w:rPr>
          <w:rFonts w:ascii="Cambria" w:hAnsi="Cambria" w:cs="Calibri"/>
          <w:i/>
          <w:sz w:val="20"/>
          <w:szCs w:val="20"/>
          <w:lang w:val="es-ES_tradnl"/>
        </w:rPr>
        <w:t>ratione personae</w:t>
      </w:r>
      <w:r w:rsidRPr="00D11BBF">
        <w:rPr>
          <w:rFonts w:ascii="Cambria" w:hAnsi="Cambria" w:cs="Calibri"/>
          <w:sz w:val="20"/>
          <w:szCs w:val="20"/>
          <w:lang w:val="es-ES_tradnl"/>
        </w:rPr>
        <w:t xml:space="preserve"> para examinar la petición.  Asimismo, la Comisión tiene competencia </w:t>
      </w:r>
      <w:r w:rsidRPr="00D11BBF">
        <w:rPr>
          <w:rFonts w:ascii="Cambria" w:hAnsi="Cambria" w:cs="Calibri"/>
          <w:i/>
          <w:sz w:val="20"/>
          <w:szCs w:val="20"/>
          <w:lang w:val="es-ES_tradnl"/>
        </w:rPr>
        <w:t>ratione loci</w:t>
      </w:r>
      <w:r w:rsidRPr="00D11BBF">
        <w:rPr>
          <w:rFonts w:ascii="Cambria" w:hAnsi="Cambria" w:cs="Calibri"/>
          <w:sz w:val="20"/>
          <w:szCs w:val="20"/>
          <w:lang w:val="es-ES_tradnl"/>
        </w:rPr>
        <w:t xml:space="preserve"> para conocer la petición por cuanto en ella se alegan violaciones de derechos protegidos en dicho instrumento, que habrían tenido lugar dentro del territorio de Ecuador, Estado Parte en </w:t>
      </w:r>
      <w:r w:rsidR="002E6588" w:rsidRPr="00D11BBF">
        <w:rPr>
          <w:rFonts w:ascii="Cambria" w:hAnsi="Cambria" w:cs="Calibri"/>
          <w:sz w:val="20"/>
          <w:szCs w:val="20"/>
          <w:lang w:val="es-ES_tradnl"/>
        </w:rPr>
        <w:t>el</w:t>
      </w:r>
      <w:r w:rsidRPr="00D11BBF">
        <w:rPr>
          <w:rFonts w:ascii="Cambria" w:hAnsi="Cambria" w:cs="Calibri"/>
          <w:sz w:val="20"/>
          <w:szCs w:val="20"/>
          <w:lang w:val="es-ES_tradnl"/>
        </w:rPr>
        <w:t xml:space="preserve"> tratado. </w:t>
      </w:r>
    </w:p>
    <w:p w:rsidR="007B1702" w:rsidRPr="00D11BBF" w:rsidRDefault="007B1702" w:rsidP="007B1702">
      <w:pPr>
        <w:pStyle w:val="BodyText"/>
        <w:spacing w:after="0"/>
        <w:jc w:val="both"/>
        <w:rPr>
          <w:rFonts w:ascii="Cambria" w:hAnsi="Cambria" w:cs="Calibri"/>
          <w:sz w:val="20"/>
          <w:szCs w:val="20"/>
          <w:lang w:val="es-ES_tradnl"/>
        </w:rPr>
      </w:pPr>
    </w:p>
    <w:p w:rsidR="007B1702"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ES_tradnl"/>
        </w:rPr>
      </w:pPr>
      <w:r w:rsidRPr="00D11BBF">
        <w:rPr>
          <w:rFonts w:ascii="Cambria" w:hAnsi="Cambria" w:cs="Calibri"/>
          <w:sz w:val="20"/>
          <w:szCs w:val="20"/>
          <w:lang w:val="es-ES_tradnl"/>
        </w:rPr>
        <w:t xml:space="preserve">La Comisión tiene competencia </w:t>
      </w:r>
      <w:r w:rsidRPr="00D11BBF">
        <w:rPr>
          <w:rFonts w:ascii="Cambria" w:hAnsi="Cambria" w:cs="Calibri"/>
          <w:i/>
          <w:sz w:val="20"/>
          <w:szCs w:val="20"/>
          <w:lang w:val="es-ES_tradnl"/>
        </w:rPr>
        <w:t>ratione temporis</w:t>
      </w:r>
      <w:r w:rsidRPr="00D11BBF">
        <w:rPr>
          <w:rFonts w:ascii="Cambria" w:hAnsi="Cambria" w:cs="Calibri"/>
          <w:sz w:val="20"/>
          <w:szCs w:val="20"/>
          <w:lang w:val="es-ES_tradnl"/>
        </w:rPr>
        <w:t xml:space="preserve"> por cuanto la obligación de respetar y garantizar los derechos protegidos en la Convención ya se encontraba en vigor para el Estado en la fecha en que habrían ocurrido los hechos alegados en la petición.  Finalmente, la Comisión tiene competencia </w:t>
      </w:r>
      <w:r w:rsidRPr="00D11BBF">
        <w:rPr>
          <w:rFonts w:ascii="Cambria" w:hAnsi="Cambria" w:cs="Calibri"/>
          <w:i/>
          <w:sz w:val="20"/>
          <w:szCs w:val="20"/>
          <w:lang w:val="es-ES_tradnl"/>
        </w:rPr>
        <w:t>ratione materiae</w:t>
      </w:r>
      <w:r w:rsidRPr="00D11BBF">
        <w:rPr>
          <w:rFonts w:ascii="Cambria" w:hAnsi="Cambria" w:cs="Calibri"/>
          <w:sz w:val="20"/>
          <w:szCs w:val="20"/>
          <w:lang w:val="es-ES_tradnl"/>
        </w:rPr>
        <w:t xml:space="preserve">, porque en la petición se denuncian posibles violaciones a derechos humanos protegidos por la Convención Americana. </w:t>
      </w:r>
      <w:r w:rsidRPr="00D11BBF">
        <w:rPr>
          <w:rFonts w:ascii="Cambria" w:hAnsi="Cambria"/>
          <w:sz w:val="20"/>
          <w:szCs w:val="20"/>
          <w:lang w:val="es-UY"/>
        </w:rPr>
        <w:t xml:space="preserve">Con respecto a los alegatos sobre violaciones de la Declaración Americana, en atención a lo dispuesto en los artículos  23 y 49 de su Reglamento, la Comisión goza, en principio, de competencia </w:t>
      </w:r>
      <w:r w:rsidRPr="00D11BBF">
        <w:rPr>
          <w:rFonts w:ascii="Cambria" w:hAnsi="Cambria"/>
          <w:i/>
          <w:iCs/>
          <w:sz w:val="20"/>
          <w:szCs w:val="20"/>
          <w:lang w:val="es-UY"/>
        </w:rPr>
        <w:t>ratione materiae</w:t>
      </w:r>
      <w:r w:rsidRPr="00D11BBF">
        <w:rPr>
          <w:rFonts w:ascii="Cambria" w:hAnsi="Cambria"/>
          <w:sz w:val="20"/>
          <w:szCs w:val="20"/>
          <w:lang w:val="es-UY"/>
        </w:rPr>
        <w:t xml:space="preserve"> para examinar violaciones de los derechos consagrados por dicha Declaración. Sin embargo, la CIDH ha establecido previament</w:t>
      </w:r>
      <w:bookmarkStart w:id="2" w:name="_ftnref3"/>
      <w:r w:rsidRPr="00D11BBF">
        <w:rPr>
          <w:rFonts w:ascii="Cambria" w:hAnsi="Cambria"/>
          <w:sz w:val="20"/>
          <w:szCs w:val="20"/>
          <w:lang w:val="es-UY"/>
        </w:rPr>
        <w:t>e</w:t>
      </w:r>
      <w:bookmarkEnd w:id="2"/>
      <w:r w:rsidRPr="00D11BBF">
        <w:rPr>
          <w:rFonts w:ascii="Cambria" w:hAnsi="Cambria"/>
          <w:sz w:val="20"/>
          <w:szCs w:val="20"/>
          <w:lang w:val="es-UY"/>
        </w:rPr>
        <w:t xml:space="preserve"> que una vez que la Convención Americana entra en vigor en relación con un Estado, es dicho instrumento --no la Declaración-- el que pasa a ser la fuente específica del derecho que aplicará la </w:t>
      </w:r>
      <w:r w:rsidR="000A344F" w:rsidRPr="00D11BBF">
        <w:rPr>
          <w:rFonts w:ascii="Cambria" w:hAnsi="Cambria"/>
          <w:sz w:val="20"/>
          <w:szCs w:val="20"/>
          <w:lang w:val="es-UY"/>
        </w:rPr>
        <w:t>CIDH</w:t>
      </w:r>
      <w:r w:rsidRPr="00D11BBF">
        <w:rPr>
          <w:rFonts w:ascii="Cambria" w:hAnsi="Cambria"/>
          <w:sz w:val="20"/>
          <w:szCs w:val="20"/>
          <w:lang w:val="es-UY"/>
        </w:rPr>
        <w:t>, siempre que en la petición se aleguen violaciones de derechos sustancialmente idénticos consagrados en los dos instrumentos y que no medie una situación de continuidad</w:t>
      </w:r>
      <w:r w:rsidRPr="00D11BBF">
        <w:rPr>
          <w:rStyle w:val="FootnoteReference"/>
          <w:rFonts w:ascii="Cambria" w:hAnsi="Cambria" w:cs="Calibri"/>
          <w:sz w:val="20"/>
          <w:szCs w:val="20"/>
          <w:lang w:val="es-AR"/>
        </w:rPr>
        <w:footnoteReference w:id="8"/>
      </w:r>
      <w:r w:rsidRPr="00D11BBF">
        <w:rPr>
          <w:rFonts w:ascii="Cambria" w:hAnsi="Cambria"/>
          <w:sz w:val="20"/>
          <w:szCs w:val="20"/>
          <w:lang w:val="es-UY"/>
        </w:rPr>
        <w:t>.</w:t>
      </w:r>
    </w:p>
    <w:p w:rsidR="007B1702" w:rsidRPr="00D11BBF" w:rsidRDefault="007B1702" w:rsidP="007B1702">
      <w:pPr>
        <w:rPr>
          <w:rFonts w:ascii="Cambria" w:hAnsi="Cambria" w:cs="Calibri"/>
          <w:sz w:val="20"/>
          <w:szCs w:val="20"/>
          <w:lang w:val="es-ES_tradnl"/>
        </w:rPr>
      </w:pPr>
    </w:p>
    <w:p w:rsidR="007B1702" w:rsidRPr="00D11BBF" w:rsidRDefault="007B1702" w:rsidP="00674EC3">
      <w:pPr>
        <w:pStyle w:val="Heading2"/>
      </w:pPr>
      <w:r w:rsidRPr="00D11BBF">
        <w:t>Requisitos de admisibilidad</w:t>
      </w:r>
    </w:p>
    <w:p w:rsidR="007B1702" w:rsidRPr="00D11BBF" w:rsidRDefault="007B1702" w:rsidP="007B1702">
      <w:pPr>
        <w:pStyle w:val="Heading3"/>
        <w:spacing w:before="0" w:after="0"/>
        <w:ind w:left="1440" w:hanging="720"/>
        <w:rPr>
          <w:rFonts w:ascii="Cambria" w:hAnsi="Cambria" w:cs="Calibri"/>
          <w:sz w:val="20"/>
          <w:szCs w:val="20"/>
          <w:lang w:val="es-ES_tradnl"/>
        </w:rPr>
      </w:pPr>
    </w:p>
    <w:p w:rsidR="007B1702" w:rsidRPr="00D11BBF" w:rsidRDefault="007B1702" w:rsidP="00674EC3">
      <w:pPr>
        <w:pStyle w:val="Heading3"/>
        <w:keepNext w:val="0"/>
        <w:numPr>
          <w:ilvl w:val="0"/>
          <w:numId w:val="57"/>
        </w:numPr>
        <w:tabs>
          <w:tab w:val="clear" w:pos="3600"/>
          <w:tab w:val="num" w:pos="1440"/>
        </w:tabs>
        <w:spacing w:before="0" w:after="0"/>
        <w:ind w:hanging="2880"/>
        <w:rPr>
          <w:rFonts w:ascii="Cambria" w:hAnsi="Cambria" w:cs="Calibri"/>
          <w:sz w:val="20"/>
          <w:szCs w:val="20"/>
          <w:lang w:val="es-ES_tradnl"/>
        </w:rPr>
      </w:pPr>
      <w:r w:rsidRPr="00D11BBF">
        <w:rPr>
          <w:rFonts w:ascii="Cambria" w:hAnsi="Cambria" w:cs="Calibri"/>
          <w:sz w:val="20"/>
          <w:szCs w:val="20"/>
          <w:lang w:val="es-ES_tradnl"/>
        </w:rPr>
        <w:t>Agotamiento de los recursos internos</w:t>
      </w:r>
    </w:p>
    <w:p w:rsidR="007B1702" w:rsidRPr="00D11BBF" w:rsidRDefault="007B1702" w:rsidP="007B1702">
      <w:pPr>
        <w:rPr>
          <w:rFonts w:ascii="Cambria" w:hAnsi="Cambria" w:cs="Calibri"/>
          <w:sz w:val="20"/>
          <w:szCs w:val="20"/>
          <w:lang w:val="es-ES_tradnl"/>
        </w:rPr>
      </w:pPr>
    </w:p>
    <w:p w:rsidR="007B1702"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AR"/>
        </w:rPr>
      </w:pPr>
      <w:r w:rsidRPr="00D11BBF">
        <w:rPr>
          <w:rFonts w:ascii="Cambria" w:hAnsi="Cambria" w:cs="Calibri"/>
          <w:sz w:val="20"/>
          <w:szCs w:val="20"/>
          <w:lang w:val="es-AR"/>
        </w:rPr>
        <w:t xml:space="preserve">El artículo 46.1.a)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Por su parte, el artículo 46.2 de la Convención Americana prevé que el requisito de previo agotamiento de los recursos internos no resulta aplicable cuando (i) no existe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 </w:t>
      </w:r>
    </w:p>
    <w:p w:rsidR="007B1702" w:rsidRPr="00D11BBF" w:rsidRDefault="007B1702" w:rsidP="007B1702">
      <w:pPr>
        <w:jc w:val="both"/>
        <w:rPr>
          <w:rFonts w:ascii="Cambria" w:hAnsi="Cambria" w:cs="Calibri"/>
          <w:sz w:val="20"/>
          <w:szCs w:val="20"/>
          <w:lang w:val="es-ES_tradnl"/>
        </w:rPr>
      </w:pPr>
    </w:p>
    <w:p w:rsidR="007B1702"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ES_tradnl"/>
        </w:rPr>
      </w:pPr>
      <w:r w:rsidRPr="00D11BBF">
        <w:rPr>
          <w:rFonts w:ascii="Cambria" w:hAnsi="Cambria" w:cs="Calibri"/>
          <w:sz w:val="20"/>
          <w:szCs w:val="20"/>
          <w:lang w:val="es-ES_tradnl"/>
        </w:rPr>
        <w:t>Según lo establece el Reglamento de la Comisión, y lo expresado por la Corte Interamericana, toda vez que un Estado alega la falta de agotamiento de los recursos internos por parte de los peticionarios, tiene la carga de identificar cuáles serían los recursos a agotarse y demostrar que los recursos que no han sido agotados resultan “adecuados” para subsanar la violación alegada, vale decir que la función de esos recursos dentro del sistema del derecho interno es idónea para proteger la situación jurídica infringida</w:t>
      </w:r>
      <w:r w:rsidRPr="00D11BBF">
        <w:rPr>
          <w:rFonts w:ascii="Cambria" w:hAnsi="Cambria" w:cs="Calibri"/>
          <w:sz w:val="20"/>
          <w:szCs w:val="20"/>
          <w:vertAlign w:val="superscript"/>
          <w:lang w:val="es-ES_tradnl"/>
        </w:rPr>
        <w:footnoteReference w:id="9"/>
      </w:r>
      <w:r w:rsidRPr="00D11BBF">
        <w:rPr>
          <w:rFonts w:ascii="Cambria" w:hAnsi="Cambria" w:cs="Calibri"/>
          <w:sz w:val="20"/>
          <w:szCs w:val="20"/>
          <w:lang w:val="es-ES_tradnl"/>
        </w:rPr>
        <w:t xml:space="preserve">. </w:t>
      </w:r>
    </w:p>
    <w:p w:rsidR="007B1702" w:rsidRPr="00D11BBF" w:rsidRDefault="001229C1" w:rsidP="007B1702">
      <w:pPr>
        <w:pStyle w:val="BodyText"/>
        <w:spacing w:after="0"/>
        <w:jc w:val="both"/>
        <w:rPr>
          <w:rFonts w:ascii="Cambria" w:hAnsi="Cambria" w:cs="Calibri"/>
          <w:sz w:val="16"/>
          <w:szCs w:val="16"/>
          <w:lang w:val="es-ES_tradnl"/>
        </w:rPr>
      </w:pPr>
      <w:r w:rsidRPr="00D11BBF">
        <w:rPr>
          <w:rFonts w:ascii="Cambria" w:hAnsi="Cambria" w:cs="Calibri"/>
          <w:sz w:val="20"/>
          <w:szCs w:val="20"/>
          <w:lang w:val="es-ES_tradnl"/>
        </w:rPr>
        <w:br w:type="page"/>
      </w:r>
    </w:p>
    <w:p w:rsidR="007B1702" w:rsidRPr="00D11BBF" w:rsidRDefault="002E6588"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ES_tradnl"/>
        </w:rPr>
      </w:pPr>
      <w:r w:rsidRPr="00D11BBF">
        <w:rPr>
          <w:rFonts w:ascii="Cambria" w:hAnsi="Cambria" w:cs="Calibri"/>
          <w:sz w:val="20"/>
          <w:szCs w:val="20"/>
          <w:lang w:val="es-AR"/>
        </w:rPr>
        <w:t>E</w:t>
      </w:r>
      <w:r w:rsidR="007B1702" w:rsidRPr="00D11BBF">
        <w:rPr>
          <w:rFonts w:ascii="Cambria" w:hAnsi="Cambria" w:cs="Calibri"/>
          <w:sz w:val="20"/>
          <w:szCs w:val="20"/>
          <w:lang w:val="es-ES_tradnl"/>
        </w:rPr>
        <w:t xml:space="preserve">l Estado sostuvo inicialmente que la petición no cumplía con el requisito del previo agotamiento de los recursos de la jurisdicción interna, dado que al momento de presentarse la petición no habría habido una sentencia firme en el proceso penal en contra de las presuntas víctimas. </w:t>
      </w:r>
      <w:r w:rsidR="003B2A41" w:rsidRPr="00D11BBF">
        <w:rPr>
          <w:rFonts w:ascii="Cambria" w:hAnsi="Cambria" w:cs="Calibri"/>
          <w:sz w:val="20"/>
          <w:szCs w:val="20"/>
          <w:lang w:val="es-ES_tradnl"/>
        </w:rPr>
        <w:t xml:space="preserve">Al respecto, la CIDH reitera que </w:t>
      </w:r>
      <w:r w:rsidR="007B1702" w:rsidRPr="00D11BBF">
        <w:rPr>
          <w:rFonts w:ascii="Cambria" w:hAnsi="Cambria" w:cs="Calibri"/>
          <w:sz w:val="20"/>
          <w:szCs w:val="20"/>
          <w:lang w:val="es-ES"/>
        </w:rPr>
        <w:t xml:space="preserve">la situación que debe tenerse en cuenta para establecer si se han agotado los recursos de la jurisdicción interna es aquella existente al decidir sobre la admisibilidad, puesto que </w:t>
      </w:r>
      <w:r w:rsidR="007B1702" w:rsidRPr="00D11BBF">
        <w:rPr>
          <w:rFonts w:ascii="Cambria" w:hAnsi="Cambria" w:cs="Calibri"/>
          <w:sz w:val="20"/>
          <w:szCs w:val="20"/>
          <w:lang w:val="es-AR"/>
        </w:rPr>
        <w:t>el momento de la presentación de la denuncia y el del pronunciamiento sobre admisibilidad son distintos</w:t>
      </w:r>
      <w:r w:rsidR="007B1702" w:rsidRPr="00D11BBF">
        <w:rPr>
          <w:rStyle w:val="FootnoteReference"/>
          <w:rFonts w:ascii="Cambria" w:hAnsi="Cambria" w:cs="Calibri"/>
          <w:sz w:val="20"/>
          <w:szCs w:val="20"/>
          <w:lang w:val="es-AR"/>
        </w:rPr>
        <w:footnoteReference w:id="10"/>
      </w:r>
      <w:r w:rsidR="007B1702" w:rsidRPr="00D11BBF">
        <w:rPr>
          <w:rFonts w:ascii="Cambria" w:hAnsi="Cambria" w:cs="Calibri"/>
          <w:sz w:val="20"/>
          <w:szCs w:val="20"/>
          <w:lang w:val="es-AR"/>
        </w:rPr>
        <w:t>.</w:t>
      </w:r>
      <w:r w:rsidR="007B1702" w:rsidRPr="00D11BBF">
        <w:rPr>
          <w:rFonts w:ascii="Cambria" w:hAnsi="Cambria" w:cs="Calibri"/>
          <w:sz w:val="20"/>
          <w:szCs w:val="20"/>
          <w:lang w:val="es-ES"/>
        </w:rPr>
        <w:t xml:space="preserve">  </w:t>
      </w:r>
      <w:r w:rsidR="007B1702" w:rsidRPr="00D11BBF">
        <w:rPr>
          <w:rFonts w:ascii="Cambria" w:hAnsi="Cambria" w:cs="Calibri"/>
          <w:sz w:val="20"/>
          <w:szCs w:val="20"/>
          <w:lang w:val="es-ES_tradnl"/>
        </w:rPr>
        <w:t xml:space="preserve">Al respecto, la </w:t>
      </w:r>
      <w:r w:rsidR="007B7A7A" w:rsidRPr="00D11BBF">
        <w:rPr>
          <w:rFonts w:ascii="Cambria" w:hAnsi="Cambria" w:cs="Calibri"/>
          <w:sz w:val="20"/>
          <w:szCs w:val="20"/>
          <w:lang w:val="es-ES_tradnl"/>
        </w:rPr>
        <w:t>CIDH</w:t>
      </w:r>
      <w:r w:rsidR="007B1702" w:rsidRPr="00D11BBF">
        <w:rPr>
          <w:rFonts w:ascii="Cambria" w:hAnsi="Cambria" w:cs="Calibri"/>
          <w:sz w:val="20"/>
          <w:szCs w:val="20"/>
          <w:lang w:val="es-ES_tradnl"/>
        </w:rPr>
        <w:t xml:space="preserve"> nota que, sobre el proceso penal, los recursos internos habrían sido agotados mediante la decisión de la CNJP de fecha 19 de septiembre de 2005, en la que habrían sido absueltas las presuntas víctimas. En ese sentido y con base en la información disponible, la CIDH considera que sin perjuicio del análisis que correspondía realizar sobre la aplicación de las excepciones a la regla del previo agotamiento de los recursos internos, la excepción planteada por el Estado no subsistiría al momento de realizar el presente informe ya que dicho recurso habría sido agotado mediante la referida decisión de la CNJP. Por tal motivo, se considera que, frente a este argumento, la petición cumple con el requisito establecido en el artículo 46.1.a) de la Convención. </w:t>
      </w:r>
    </w:p>
    <w:p w:rsidR="007B1702" w:rsidRPr="00D11BBF" w:rsidRDefault="007B1702" w:rsidP="007B1702">
      <w:pPr>
        <w:ind w:firstLine="720"/>
        <w:jc w:val="both"/>
        <w:rPr>
          <w:rFonts w:ascii="Cambria" w:hAnsi="Cambria" w:cs="Calibri"/>
          <w:sz w:val="20"/>
          <w:szCs w:val="20"/>
          <w:lang w:val="es-ES_tradnl"/>
        </w:rPr>
      </w:pPr>
    </w:p>
    <w:p w:rsidR="007B1702"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ES_tradnl"/>
        </w:rPr>
      </w:pPr>
      <w:r w:rsidRPr="00D11BBF">
        <w:rPr>
          <w:rFonts w:ascii="Cambria" w:hAnsi="Cambria" w:cs="Calibri"/>
          <w:sz w:val="20"/>
          <w:szCs w:val="20"/>
          <w:lang w:val="es-ES_tradnl"/>
        </w:rPr>
        <w:t>En segundo lugar, respecto al auto motivado que ordenó la “detención</w:t>
      </w:r>
      <w:r w:rsidR="003B2A41" w:rsidRPr="00D11BBF">
        <w:rPr>
          <w:rFonts w:ascii="Cambria" w:hAnsi="Cambria" w:cs="Calibri"/>
          <w:sz w:val="20"/>
          <w:szCs w:val="20"/>
          <w:lang w:val="es-ES_tradnl"/>
        </w:rPr>
        <w:t xml:space="preserve"> en firme”, el peticionario hab</w:t>
      </w:r>
      <w:r w:rsidRPr="00D11BBF">
        <w:rPr>
          <w:rFonts w:ascii="Cambria" w:hAnsi="Cambria" w:cs="Calibri"/>
          <w:sz w:val="20"/>
          <w:szCs w:val="20"/>
          <w:lang w:val="es-ES_tradnl"/>
        </w:rPr>
        <w:t xml:space="preserve">ía interpuesto un recurso de amparo de libertad, un recurso de nulidad y uno de apelación en su contra, en los cuales había alegado la aplicación retroactiva de una ley en su perjuicio, entre otros aspectos. Estos recursos fueron rechazados. Al no existir un pronunciamiento del Estado frente a una posible falta de agotamiento de recursos internos, se considera que, a este respecto, los mismos estarían agotados. </w:t>
      </w:r>
    </w:p>
    <w:p w:rsidR="007B1702" w:rsidRPr="00D11BBF" w:rsidRDefault="007B1702" w:rsidP="007B1702">
      <w:pPr>
        <w:pStyle w:val="ListParagraph"/>
        <w:rPr>
          <w:rFonts w:cs="Calibri"/>
          <w:color w:val="auto"/>
          <w:sz w:val="20"/>
          <w:szCs w:val="20"/>
          <w:lang w:val="es-ES_tradnl"/>
        </w:rPr>
      </w:pPr>
    </w:p>
    <w:p w:rsidR="007B1702"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ES_tradnl"/>
        </w:rPr>
      </w:pPr>
      <w:r w:rsidRPr="00D11BBF">
        <w:rPr>
          <w:rFonts w:ascii="Cambria" w:hAnsi="Cambria" w:cs="Calibri"/>
          <w:sz w:val="20"/>
          <w:szCs w:val="20"/>
          <w:lang w:val="es-ES_tradnl"/>
        </w:rPr>
        <w:t xml:space="preserve">Por otro lado, el Estado alega la falta de agotamiento de recursos internos respecto a la demanda por indemnización, ya que el peticionario habría interpuesto la demanda ante el fuero policial basándose en una normativa que regularía el proceso en vía civil. El Estado señala tres vías que el peticionario pudo haber agotado, al ser éstas vías adecuadas, idóneas y disponibles para su demanda. Frente a este alegato, el peticionario sostiene que </w:t>
      </w:r>
      <w:r w:rsidR="00D41F4D" w:rsidRPr="00D11BBF">
        <w:rPr>
          <w:rFonts w:ascii="Cambria" w:hAnsi="Cambria" w:cs="Calibri"/>
          <w:sz w:val="20"/>
          <w:szCs w:val="20"/>
          <w:lang w:val="es-ES_tradnl"/>
        </w:rPr>
        <w:t xml:space="preserve">–al menos una de las presuntas víctimas- </w:t>
      </w:r>
      <w:r w:rsidRPr="00D11BBF">
        <w:rPr>
          <w:rFonts w:ascii="Cambria" w:hAnsi="Cambria" w:cs="Calibri"/>
          <w:sz w:val="20"/>
          <w:szCs w:val="20"/>
          <w:lang w:val="es-ES_tradnl"/>
        </w:rPr>
        <w:t xml:space="preserve">habría acudido al fuero policial, luego ante la Presidencia de la República, ante el fuero civil y, finalmente, a la Corte Suprema de Justicia. El peticionario argumenta que no habría sido exitoso en su demanda. </w:t>
      </w:r>
    </w:p>
    <w:p w:rsidR="007B1702" w:rsidRPr="00D11BBF" w:rsidRDefault="007B1702" w:rsidP="007B1702">
      <w:pPr>
        <w:rPr>
          <w:rFonts w:ascii="Cambria" w:hAnsi="Cambria" w:cs="Calibri"/>
          <w:sz w:val="20"/>
          <w:szCs w:val="20"/>
          <w:lang w:val="es-ES_tradnl"/>
        </w:rPr>
      </w:pPr>
    </w:p>
    <w:p w:rsidR="007B1702" w:rsidRPr="00D11BBF" w:rsidRDefault="004C4CCA"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ES_tradnl"/>
        </w:rPr>
      </w:pPr>
      <w:r w:rsidRPr="00D11BBF">
        <w:rPr>
          <w:rFonts w:ascii="Cambria" w:hAnsi="Cambria" w:cs="Calibri"/>
          <w:sz w:val="20"/>
          <w:szCs w:val="20"/>
          <w:lang w:val="es-CO"/>
        </w:rPr>
        <w:t>L</w:t>
      </w:r>
      <w:r w:rsidR="007B1702" w:rsidRPr="00D11BBF">
        <w:rPr>
          <w:rFonts w:ascii="Cambria" w:hAnsi="Cambria" w:cs="Calibri"/>
          <w:sz w:val="20"/>
          <w:szCs w:val="20"/>
          <w:lang w:val="es-ES_tradnl"/>
        </w:rPr>
        <w:t xml:space="preserve">a Comisión </w:t>
      </w:r>
      <w:r w:rsidR="00BC51D2" w:rsidRPr="00D11BBF">
        <w:rPr>
          <w:rFonts w:ascii="Cambria" w:hAnsi="Cambria" w:cs="Calibri"/>
          <w:sz w:val="20"/>
          <w:szCs w:val="20"/>
          <w:lang w:val="es-ES_tradnl"/>
        </w:rPr>
        <w:t>nota</w:t>
      </w:r>
      <w:r w:rsidR="007B1702" w:rsidRPr="00D11BBF">
        <w:rPr>
          <w:rFonts w:ascii="Cambria" w:hAnsi="Cambria" w:cs="Calibri"/>
          <w:sz w:val="20"/>
          <w:szCs w:val="20"/>
          <w:lang w:val="es-ES_tradnl"/>
        </w:rPr>
        <w:t xml:space="preserve"> </w:t>
      </w:r>
      <w:r w:rsidR="00486C70" w:rsidRPr="00D11BBF">
        <w:rPr>
          <w:rFonts w:ascii="Cambria" w:hAnsi="Cambria" w:cs="Calibri"/>
          <w:sz w:val="20"/>
          <w:szCs w:val="20"/>
          <w:lang w:val="es-ES_tradnl"/>
        </w:rPr>
        <w:t xml:space="preserve">que el presente caso trata sobre la posible </w:t>
      </w:r>
      <w:r w:rsidR="00486C70" w:rsidRPr="00D11BBF">
        <w:rPr>
          <w:rFonts w:ascii="Cambria" w:hAnsi="Cambria"/>
          <w:sz w:val="20"/>
          <w:szCs w:val="20"/>
          <w:lang w:val="es-ES_tradnl"/>
        </w:rPr>
        <w:t xml:space="preserve">violación del derecho a las garantías y la protección judicial en perjuicio de las presuntas víctimas por el proceso penal policial.  En ese sentido, respecto de los recursos adecuados y efectivos, observa que </w:t>
      </w:r>
      <w:r w:rsidR="007B1702" w:rsidRPr="00D11BBF">
        <w:rPr>
          <w:rFonts w:ascii="Cambria" w:hAnsi="Cambria" w:cs="Calibri"/>
          <w:sz w:val="20"/>
          <w:szCs w:val="20"/>
          <w:lang w:val="es-ES_tradnl"/>
        </w:rPr>
        <w:t xml:space="preserve">el peticionario habría intentado las vías nombradas por el Estado, sin haber tenido una respuesta a su favor. Específicamente, habría presentado el reclamo primeramente ante el Presidente de la CNJP bajo los fundamentos de los artículos </w:t>
      </w:r>
      <w:r w:rsidR="007B1702" w:rsidRPr="00D11BBF">
        <w:rPr>
          <w:rFonts w:ascii="Cambria" w:hAnsi="Cambria" w:cs="Calibri"/>
          <w:sz w:val="20"/>
          <w:szCs w:val="20"/>
          <w:lang w:val="es-PE"/>
        </w:rPr>
        <w:t xml:space="preserve">20, 21 y 22 de la Constitución (buen nombre, honra y reputación) en conjunto con los artículos 2232 al 2234 de la Codificación del Código Civil, junto con el artículo 71 de la Ley Orgánica de la Función Judicial. A este respecto, contrariamente a lo que sostiene el Estado, el peticionario habría fundado su demanda en los artículos de la Constitución, no sólo de la Codificación del Código Civil. Asimismo, frente al argumento del Estado de falta de agotamiento de la vía civil, </w:t>
      </w:r>
      <w:r w:rsidR="00D41F4D" w:rsidRPr="00D11BBF">
        <w:rPr>
          <w:rFonts w:ascii="Cambria" w:hAnsi="Cambria" w:cs="Calibri"/>
          <w:sz w:val="20"/>
          <w:szCs w:val="20"/>
          <w:lang w:val="es-PE"/>
        </w:rPr>
        <w:t xml:space="preserve">al menos una de las presuntas víctimas habría acudido a esta vía, con el objeto de obtener una indemnización, </w:t>
      </w:r>
      <w:r w:rsidR="007B1702" w:rsidRPr="00D11BBF">
        <w:rPr>
          <w:rFonts w:ascii="Cambria" w:hAnsi="Cambria" w:cs="Calibri"/>
          <w:sz w:val="20"/>
          <w:szCs w:val="20"/>
          <w:lang w:val="es-PE"/>
        </w:rPr>
        <w:t xml:space="preserve">sin haber tenido una respuesta favorable. </w:t>
      </w:r>
      <w:r w:rsidR="00486C70" w:rsidRPr="00D11BBF">
        <w:rPr>
          <w:rFonts w:ascii="Cambria" w:hAnsi="Cambria" w:cs="Calibri"/>
          <w:sz w:val="20"/>
          <w:szCs w:val="20"/>
          <w:lang w:val="es-PE"/>
        </w:rPr>
        <w:t xml:space="preserve">De todas formas, la CIDH no considera que este recurso debiese agotarse para efectos de la tramitación del presente caso, toda vez que no refiere al tema sustantivo de la petición. </w:t>
      </w:r>
      <w:r w:rsidR="007B1702" w:rsidRPr="00D11BBF">
        <w:rPr>
          <w:rFonts w:ascii="Cambria" w:hAnsi="Cambria" w:cs="Calibri"/>
          <w:sz w:val="20"/>
          <w:szCs w:val="20"/>
          <w:lang w:val="es-ES_tradnl"/>
        </w:rPr>
        <w:t xml:space="preserve">Por lo tanto, la Comisión considera que este extremo de la petición cumple con el requisito establecido en el artículo 46.1.a) de la Convención. </w:t>
      </w:r>
    </w:p>
    <w:p w:rsidR="007B1702" w:rsidRPr="00D11BBF" w:rsidRDefault="007B1702" w:rsidP="007B1702">
      <w:pPr>
        <w:pStyle w:val="BodyText"/>
        <w:spacing w:after="0"/>
        <w:ind w:left="720"/>
        <w:jc w:val="both"/>
        <w:rPr>
          <w:rFonts w:ascii="Cambria" w:hAnsi="Cambria" w:cs="Calibri"/>
          <w:sz w:val="20"/>
          <w:szCs w:val="20"/>
          <w:lang w:val="es-ES_tradnl"/>
        </w:rPr>
      </w:pPr>
    </w:p>
    <w:p w:rsidR="007B1702" w:rsidRPr="00D11BBF" w:rsidRDefault="007B1702" w:rsidP="00674EC3">
      <w:pPr>
        <w:pStyle w:val="Heading3"/>
        <w:keepNext w:val="0"/>
        <w:numPr>
          <w:ilvl w:val="0"/>
          <w:numId w:val="57"/>
        </w:numPr>
        <w:tabs>
          <w:tab w:val="clear" w:pos="3600"/>
          <w:tab w:val="num" w:pos="1440"/>
        </w:tabs>
        <w:spacing w:before="0" w:after="0"/>
        <w:ind w:hanging="2880"/>
        <w:rPr>
          <w:rFonts w:ascii="Cambria" w:hAnsi="Cambria" w:cs="Calibri"/>
          <w:sz w:val="20"/>
          <w:szCs w:val="20"/>
          <w:lang w:val="es-ES_tradnl"/>
        </w:rPr>
      </w:pPr>
      <w:r w:rsidRPr="00D11BBF">
        <w:rPr>
          <w:rFonts w:ascii="Cambria" w:hAnsi="Cambria" w:cs="Calibri"/>
          <w:sz w:val="20"/>
          <w:szCs w:val="20"/>
          <w:lang w:val="es-ES_tradnl"/>
        </w:rPr>
        <w:t>Plazo de presentación de la petición</w:t>
      </w:r>
    </w:p>
    <w:p w:rsidR="007B1702" w:rsidRPr="00D11BBF" w:rsidRDefault="007B1702" w:rsidP="007B1702">
      <w:pPr>
        <w:rPr>
          <w:rFonts w:ascii="Cambria" w:hAnsi="Cambria" w:cs="Calibri"/>
          <w:sz w:val="20"/>
          <w:szCs w:val="20"/>
          <w:lang w:val="es-ES_tradnl"/>
        </w:rPr>
      </w:pPr>
    </w:p>
    <w:p w:rsidR="007B1702" w:rsidRPr="00D11BBF" w:rsidRDefault="007B1702" w:rsidP="009B28A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cs="Calibri"/>
          <w:sz w:val="20"/>
          <w:szCs w:val="20"/>
          <w:lang w:val="es-AR"/>
        </w:rPr>
      </w:pPr>
      <w:r w:rsidRPr="00D11BBF">
        <w:rPr>
          <w:rFonts w:ascii="Cambria" w:hAnsi="Cambria" w:cs="Calibri"/>
          <w:sz w:val="20"/>
          <w:szCs w:val="20"/>
          <w:lang w:val="es-AR"/>
        </w:rPr>
        <w:t>La Convención establece que para que una petición resulte admisible debe ser presentada dentro del plazo de seis meses contados a partir de la fecha en que el presunto lesionado haya sido notificado de la decisión definitiva adoptada por los tribunales internos.  Asimismo, el artículo 32 del Reglamento de la Comisión establece que en los casos en los cuales resulten aplicables las excepciones al previo agotamiento de los recursos internos, la petición deberá presentarse dentro de un plazo razonable, a criterio de la Comisión.</w:t>
      </w:r>
    </w:p>
    <w:p w:rsidR="007B1702" w:rsidRPr="00D11BBF" w:rsidRDefault="007B1702" w:rsidP="007B1702">
      <w:pPr>
        <w:jc w:val="both"/>
        <w:rPr>
          <w:rFonts w:ascii="Cambria" w:hAnsi="Cambria" w:cs="Calibri"/>
          <w:sz w:val="16"/>
          <w:szCs w:val="16"/>
          <w:lang w:val="es-AR"/>
        </w:rPr>
      </w:pPr>
    </w:p>
    <w:p w:rsidR="007B1702" w:rsidRPr="00D11BBF" w:rsidRDefault="007B1702" w:rsidP="009B28A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cs="Calibri"/>
          <w:sz w:val="20"/>
          <w:szCs w:val="20"/>
          <w:lang w:val="es-AR"/>
        </w:rPr>
      </w:pPr>
      <w:r w:rsidRPr="00D11BBF">
        <w:rPr>
          <w:rFonts w:ascii="Cambria" w:hAnsi="Cambria" w:cs="Calibri"/>
          <w:sz w:val="20"/>
          <w:szCs w:val="20"/>
          <w:lang w:val="es-AR"/>
        </w:rPr>
        <w:t>La petición fue recibida el 15 de julio de 2003 y en este caso, la Comisión ha determinado que la situación jurídica de las presuntas víctimas fue resuelta de forma definitiva mediante la decisión de la CNJP del 19 de septiembre de 2005.</w:t>
      </w:r>
      <w:r w:rsidRPr="00D11BBF">
        <w:rPr>
          <w:rFonts w:ascii="Cambria" w:hAnsi="Cambria" w:cs="Calibri"/>
          <w:sz w:val="20"/>
          <w:szCs w:val="20"/>
          <w:lang w:val="es-ES"/>
        </w:rPr>
        <w:t xml:space="preserve"> Por lo tanto, en vista del contexto y las características del presente caso, la Comisión considera que la petición fue presentada oportunamente por lo que debe darse por satisfecho el requisito de admisibilidad referente al plazo de presentación.  </w:t>
      </w:r>
    </w:p>
    <w:p w:rsidR="007B1702" w:rsidRPr="00D11BBF" w:rsidRDefault="007B1702" w:rsidP="007B1702">
      <w:pPr>
        <w:rPr>
          <w:rFonts w:ascii="Cambria" w:hAnsi="Cambria" w:cs="Calibri"/>
          <w:sz w:val="20"/>
          <w:szCs w:val="20"/>
          <w:lang w:val="es-AR"/>
        </w:rPr>
      </w:pPr>
    </w:p>
    <w:p w:rsidR="007B1702" w:rsidRPr="00D11BBF" w:rsidRDefault="007B1702" w:rsidP="00674EC3">
      <w:pPr>
        <w:pStyle w:val="Heading3"/>
        <w:keepNext w:val="0"/>
        <w:numPr>
          <w:ilvl w:val="0"/>
          <w:numId w:val="57"/>
        </w:numPr>
        <w:tabs>
          <w:tab w:val="clear" w:pos="3600"/>
          <w:tab w:val="num" w:pos="1440"/>
        </w:tabs>
        <w:spacing w:before="0" w:after="0"/>
        <w:ind w:hanging="2880"/>
        <w:jc w:val="both"/>
        <w:rPr>
          <w:rFonts w:ascii="Cambria" w:hAnsi="Cambria" w:cs="Calibri"/>
          <w:sz w:val="20"/>
          <w:szCs w:val="20"/>
          <w:lang w:val="es-ES_tradnl"/>
        </w:rPr>
      </w:pPr>
      <w:r w:rsidRPr="00D11BBF">
        <w:rPr>
          <w:rFonts w:ascii="Cambria" w:hAnsi="Cambria" w:cs="Calibri"/>
          <w:sz w:val="20"/>
          <w:szCs w:val="20"/>
          <w:lang w:val="es-ES_tradnl"/>
        </w:rPr>
        <w:t>Duplicación de procedimiento internacional</w:t>
      </w:r>
    </w:p>
    <w:p w:rsidR="007B1702" w:rsidRPr="00D11BBF" w:rsidRDefault="007B1702" w:rsidP="007B1702">
      <w:pPr>
        <w:rPr>
          <w:rFonts w:ascii="Cambria" w:hAnsi="Cambria" w:cs="Calibri"/>
          <w:sz w:val="18"/>
          <w:szCs w:val="18"/>
          <w:lang w:val="es-ES_tradnl"/>
        </w:rPr>
      </w:pPr>
    </w:p>
    <w:p w:rsidR="007B1702"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PE"/>
        </w:rPr>
      </w:pPr>
      <w:r w:rsidRPr="00D11BBF">
        <w:rPr>
          <w:rFonts w:ascii="Cambria" w:hAnsi="Cambria" w:cs="Calibri"/>
          <w:sz w:val="20"/>
          <w:szCs w:val="20"/>
          <w:lang w:val="es-AR"/>
        </w:rPr>
        <w:t xml:space="preserve">El expediente de la petición no contiene información alguna que pudiera llevar a determinar que el presente asunto se hallase pendiente de otro procedimiento de arreglo internacional o que haya sido previamente decidido por la </w:t>
      </w:r>
      <w:r w:rsidR="00BD5449" w:rsidRPr="00D11BBF">
        <w:rPr>
          <w:rFonts w:ascii="Cambria" w:hAnsi="Cambria" w:cs="Calibri"/>
          <w:sz w:val="20"/>
          <w:szCs w:val="20"/>
          <w:lang w:val="es-AR"/>
        </w:rPr>
        <w:t>CIDH</w:t>
      </w:r>
      <w:r w:rsidRPr="00D11BBF">
        <w:rPr>
          <w:rFonts w:ascii="Cambria" w:hAnsi="Cambria" w:cs="Calibri"/>
          <w:sz w:val="20"/>
          <w:szCs w:val="20"/>
          <w:lang w:val="es-AR"/>
        </w:rPr>
        <w:t xml:space="preserve">.  </w:t>
      </w:r>
      <w:r w:rsidRPr="00D11BBF">
        <w:rPr>
          <w:rFonts w:ascii="Cambria" w:hAnsi="Cambria" w:cs="Calibri"/>
          <w:sz w:val="20"/>
          <w:szCs w:val="20"/>
          <w:lang w:val="es-ES_tradnl"/>
        </w:rPr>
        <w:t>Por lo tanto, corresponde dar por cumplidos los requisitos establecidos en los artículos 46.1.c) y 47.d) de la Convención.</w:t>
      </w:r>
    </w:p>
    <w:p w:rsidR="007B1702" w:rsidRPr="00D11BBF" w:rsidRDefault="007B1702" w:rsidP="007B1702">
      <w:pPr>
        <w:rPr>
          <w:rFonts w:ascii="Cambria" w:hAnsi="Cambria" w:cs="Calibri"/>
          <w:sz w:val="18"/>
          <w:szCs w:val="18"/>
          <w:lang w:val="es-PE"/>
        </w:rPr>
      </w:pPr>
    </w:p>
    <w:p w:rsidR="007B1702" w:rsidRPr="00D11BBF" w:rsidRDefault="007B1702" w:rsidP="00674EC3">
      <w:pPr>
        <w:pStyle w:val="Heading3"/>
        <w:keepNext w:val="0"/>
        <w:numPr>
          <w:ilvl w:val="0"/>
          <w:numId w:val="57"/>
        </w:numPr>
        <w:tabs>
          <w:tab w:val="clear" w:pos="3600"/>
          <w:tab w:val="num" w:pos="1440"/>
        </w:tabs>
        <w:spacing w:before="0" w:after="0"/>
        <w:ind w:hanging="2880"/>
        <w:jc w:val="both"/>
        <w:rPr>
          <w:rFonts w:ascii="Cambria" w:hAnsi="Cambria" w:cs="Calibri"/>
          <w:bCs w:val="0"/>
          <w:sz w:val="20"/>
          <w:szCs w:val="20"/>
          <w:lang w:val="es-ES_tradnl"/>
        </w:rPr>
      </w:pPr>
      <w:r w:rsidRPr="00D11BBF">
        <w:rPr>
          <w:rFonts w:ascii="Cambria" w:hAnsi="Cambria" w:cs="Calibri"/>
          <w:bCs w:val="0"/>
          <w:sz w:val="20"/>
          <w:szCs w:val="20"/>
          <w:lang w:val="es-ES_tradnl"/>
        </w:rPr>
        <w:t>Caracterización de los hechos alegados</w:t>
      </w:r>
    </w:p>
    <w:p w:rsidR="007B1702" w:rsidRPr="00D11BBF" w:rsidRDefault="007B1702" w:rsidP="007B1702">
      <w:pPr>
        <w:pStyle w:val="BodyText"/>
        <w:spacing w:after="0"/>
        <w:jc w:val="both"/>
        <w:rPr>
          <w:rFonts w:ascii="Cambria" w:hAnsi="Cambria" w:cs="Calibri"/>
          <w:sz w:val="18"/>
          <w:szCs w:val="18"/>
          <w:lang w:val="es-ES_tradnl"/>
        </w:rPr>
      </w:pPr>
    </w:p>
    <w:p w:rsidR="007B1702" w:rsidRPr="00D11BBF" w:rsidRDefault="007B1702" w:rsidP="009B28A5">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sz w:val="20"/>
          <w:szCs w:val="20"/>
          <w:lang w:val="es-ES"/>
        </w:rPr>
      </w:pPr>
      <w:r w:rsidRPr="00D11BBF">
        <w:rPr>
          <w:color w:val="auto"/>
          <w:sz w:val="20"/>
          <w:szCs w:val="20"/>
          <w:lang w:val="es-ES"/>
        </w:rPr>
        <w:t xml:space="preserve">A los efectos de la admisibilidad, la Comisión debe decidir si los hechos alegados pueden caracterizar una violación de derechos, según lo estipulado en el artículo 47(b) de la Convención Americana, o si la petición es </w:t>
      </w:r>
      <w:r w:rsidRPr="00D11BBF">
        <w:rPr>
          <w:b/>
          <w:bCs/>
          <w:color w:val="auto"/>
          <w:sz w:val="20"/>
          <w:szCs w:val="20"/>
          <w:lang w:val="es-ES"/>
        </w:rPr>
        <w:t>"</w:t>
      </w:r>
      <w:r w:rsidRPr="00D11BBF">
        <w:rPr>
          <w:color w:val="auto"/>
          <w:sz w:val="20"/>
          <w:szCs w:val="20"/>
          <w:lang w:val="es-ES"/>
        </w:rPr>
        <w:t>manifiestamente infundada</w:t>
      </w:r>
      <w:r w:rsidRPr="00D11BBF">
        <w:rPr>
          <w:b/>
          <w:bCs/>
          <w:color w:val="auto"/>
          <w:sz w:val="20"/>
          <w:szCs w:val="20"/>
          <w:lang w:val="es-ES"/>
        </w:rPr>
        <w:t>"</w:t>
      </w:r>
      <w:r w:rsidRPr="00D11BBF">
        <w:rPr>
          <w:color w:val="auto"/>
          <w:sz w:val="20"/>
          <w:szCs w:val="20"/>
          <w:lang w:val="es-ES"/>
        </w:rPr>
        <w:t xml:space="preserve"> o es </w:t>
      </w:r>
      <w:r w:rsidRPr="00D11BBF">
        <w:rPr>
          <w:b/>
          <w:bCs/>
          <w:color w:val="auto"/>
          <w:sz w:val="20"/>
          <w:szCs w:val="20"/>
          <w:lang w:val="es-ES"/>
        </w:rPr>
        <w:t>"</w:t>
      </w:r>
      <w:r w:rsidRPr="00D11BBF">
        <w:rPr>
          <w:color w:val="auto"/>
          <w:sz w:val="20"/>
          <w:szCs w:val="20"/>
          <w:lang w:val="es-ES"/>
        </w:rPr>
        <w:t>evidente su total improcedencia</w:t>
      </w:r>
      <w:r w:rsidRPr="00D11BBF">
        <w:rPr>
          <w:b/>
          <w:bCs/>
          <w:color w:val="auto"/>
          <w:sz w:val="20"/>
          <w:szCs w:val="20"/>
          <w:lang w:val="es-ES"/>
        </w:rPr>
        <w:t>"</w:t>
      </w:r>
      <w:r w:rsidRPr="00D11BBF">
        <w:rPr>
          <w:color w:val="auto"/>
          <w:sz w:val="20"/>
          <w:szCs w:val="20"/>
          <w:lang w:val="es-ES"/>
        </w:rPr>
        <w:t xml:space="preserve">, conforme al inciso (c) de dicho artículo.  El criterio de evaluación de esos requisitos difiere del que se utiliza para pronunciarse sobre el fondo de una petición; la Comisión debe realizar una evaluación </w:t>
      </w:r>
      <w:r w:rsidRPr="00D11BBF">
        <w:rPr>
          <w:i/>
          <w:iCs/>
          <w:color w:val="auto"/>
          <w:sz w:val="20"/>
          <w:szCs w:val="20"/>
          <w:lang w:val="es-ES"/>
        </w:rPr>
        <w:t>prima facie</w:t>
      </w:r>
      <w:r w:rsidRPr="00D11BBF">
        <w:rPr>
          <w:color w:val="auto"/>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constituye un análisis primario, que no implica prejuzgar sobre el fundamento del asunto</w:t>
      </w:r>
      <w:r w:rsidRPr="00D11BBF">
        <w:rPr>
          <w:rStyle w:val="FootnoteReference"/>
          <w:color w:val="auto"/>
          <w:sz w:val="20"/>
          <w:szCs w:val="20"/>
          <w:lang w:val="es-ES"/>
        </w:rPr>
        <w:footnoteReference w:id="11"/>
      </w:r>
      <w:r w:rsidRPr="00D11BBF">
        <w:rPr>
          <w:color w:val="auto"/>
          <w:sz w:val="20"/>
          <w:szCs w:val="20"/>
          <w:lang w:val="es-ES"/>
        </w:rPr>
        <w:t>.</w:t>
      </w:r>
    </w:p>
    <w:p w:rsidR="007B1702" w:rsidRPr="00D11BBF" w:rsidRDefault="007B1702" w:rsidP="007B1702">
      <w:pPr>
        <w:pStyle w:val="BodyText"/>
        <w:spacing w:after="0"/>
        <w:jc w:val="both"/>
        <w:rPr>
          <w:rFonts w:ascii="Cambria" w:hAnsi="Cambria"/>
          <w:snapToGrid w:val="0"/>
          <w:sz w:val="18"/>
          <w:szCs w:val="18"/>
          <w:lang w:val="es-ES_tradnl"/>
        </w:rPr>
      </w:pPr>
    </w:p>
    <w:p w:rsidR="007B1702"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D11BBF">
        <w:rPr>
          <w:rFonts w:ascii="Cambria" w:hAnsi="Cambria"/>
          <w:iCs/>
          <w:sz w:val="20"/>
          <w:szCs w:val="20"/>
          <w:lang w:val="es-ES_tradnl"/>
        </w:rPr>
        <w:t xml:space="preserve">Ni la Convención </w:t>
      </w:r>
      <w:r w:rsidR="007B7A7A" w:rsidRPr="00D11BBF">
        <w:rPr>
          <w:rFonts w:ascii="Cambria" w:hAnsi="Cambria"/>
          <w:iCs/>
          <w:sz w:val="20"/>
          <w:szCs w:val="20"/>
          <w:lang w:val="es-ES_tradnl"/>
        </w:rPr>
        <w:t xml:space="preserve">Americana </w:t>
      </w:r>
      <w:r w:rsidRPr="00D11BBF">
        <w:rPr>
          <w:rFonts w:ascii="Cambria" w:hAnsi="Cambria"/>
          <w:iCs/>
          <w:sz w:val="20"/>
          <w:szCs w:val="20"/>
          <w:lang w:val="es-ES_tradnl"/>
        </w:rPr>
        <w:t xml:space="preserve">ni el Reglamento de la CIDH exigen al peticionario identificar los derechos específicos que se alegan violados por parte del Estado en el asunto sometido a la Comisión, aunque los peticionarios pueden hacerlo. Corresponde a la </w:t>
      </w:r>
      <w:r w:rsidR="007B7A7A" w:rsidRPr="00D11BBF">
        <w:rPr>
          <w:rFonts w:ascii="Cambria" w:hAnsi="Cambria"/>
          <w:iCs/>
          <w:sz w:val="20"/>
          <w:szCs w:val="20"/>
          <w:lang w:val="es-ES_tradnl"/>
        </w:rPr>
        <w:t>CIDH</w:t>
      </w:r>
      <w:r w:rsidRPr="00D11BBF">
        <w:rPr>
          <w:rFonts w:ascii="Cambria" w:hAnsi="Cambria"/>
          <w:iCs/>
          <w:sz w:val="20"/>
          <w:szCs w:val="20"/>
          <w:lang w:val="es-ES_tradnl"/>
        </w:rPr>
        <w:t xml:space="preserve">, con base en la jurisprudencia del sistema, determinar en sus informes de admisibilidad, qué disposición de los instrumentos interamericanos relevantes es aplicable y podría establecerse su violación si los hechos alegados son probados mediante elementos suficientes. </w:t>
      </w:r>
    </w:p>
    <w:p w:rsidR="007B1702" w:rsidRPr="00D11BBF" w:rsidRDefault="007B1702" w:rsidP="007B1702">
      <w:pPr>
        <w:pStyle w:val="BodyText"/>
        <w:spacing w:after="0"/>
        <w:jc w:val="both"/>
        <w:rPr>
          <w:rFonts w:ascii="Cambria" w:hAnsi="Cambria"/>
          <w:sz w:val="18"/>
          <w:szCs w:val="18"/>
          <w:lang w:val="es-ES_tradnl"/>
        </w:rPr>
      </w:pPr>
    </w:p>
    <w:p w:rsidR="007B1702" w:rsidRPr="00D11BBF" w:rsidRDefault="007B1702" w:rsidP="009B28A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r w:rsidRPr="00D11BBF">
        <w:rPr>
          <w:rFonts w:ascii="Cambria" w:hAnsi="Cambria"/>
          <w:iCs/>
          <w:sz w:val="20"/>
          <w:szCs w:val="20"/>
          <w:lang w:val="es-ES_tradnl"/>
        </w:rPr>
        <w:t>La C</w:t>
      </w:r>
      <w:r w:rsidR="00BC51D2" w:rsidRPr="00D11BBF">
        <w:rPr>
          <w:rFonts w:ascii="Cambria" w:hAnsi="Cambria"/>
          <w:iCs/>
          <w:sz w:val="20"/>
          <w:szCs w:val="20"/>
          <w:lang w:val="es-ES_tradnl"/>
        </w:rPr>
        <w:t>IDH</w:t>
      </w:r>
      <w:r w:rsidRPr="00D11BBF">
        <w:rPr>
          <w:rFonts w:ascii="Cambria" w:hAnsi="Cambria"/>
          <w:iCs/>
          <w:sz w:val="20"/>
          <w:szCs w:val="20"/>
          <w:lang w:val="es-ES_tradnl"/>
        </w:rPr>
        <w:t xml:space="preserve"> nota que existe una controversia respecto a la caracterización de los hechos alegados sobre el proceso penal. El Estado sostiene que en el presente caso es aplicable la fórmula de la “cuarta instancia” y que </w:t>
      </w:r>
      <w:r w:rsidRPr="00D11BBF">
        <w:rPr>
          <w:rFonts w:ascii="Cambria" w:hAnsi="Cambria"/>
          <w:sz w:val="20"/>
          <w:szCs w:val="20"/>
          <w:lang w:val="es-ES_tradnl"/>
        </w:rPr>
        <w:t xml:space="preserve">la petición no expone hechos que caractericen </w:t>
      </w:r>
      <w:r w:rsidR="00F370F2" w:rsidRPr="00D11BBF">
        <w:rPr>
          <w:rFonts w:ascii="Cambria" w:hAnsi="Cambria"/>
          <w:sz w:val="20"/>
          <w:szCs w:val="20"/>
          <w:lang w:val="es-ES_tradnl"/>
        </w:rPr>
        <w:t>una</w:t>
      </w:r>
      <w:r w:rsidRPr="00D11BBF">
        <w:rPr>
          <w:rFonts w:ascii="Cambria" w:hAnsi="Cambria"/>
          <w:sz w:val="20"/>
          <w:szCs w:val="20"/>
          <w:lang w:val="es-ES_tradnl"/>
        </w:rPr>
        <w:t xml:space="preserve"> violación a un derecho garantizado por la Convención al haber tenido éxito las presuntas víctimas en los recursos internos interpuestos. Por su parte, el peticionario sostiene que las presuntas víctimas habrían sido sometidas a un proceso con notorias irregularidades en la que sus derechos habrían sido violados. </w:t>
      </w:r>
    </w:p>
    <w:p w:rsidR="007B1702" w:rsidRPr="00D11BBF" w:rsidRDefault="007B1702" w:rsidP="007B1702">
      <w:pPr>
        <w:jc w:val="both"/>
        <w:rPr>
          <w:rFonts w:ascii="Cambria" w:hAnsi="Cambria"/>
          <w:sz w:val="18"/>
          <w:szCs w:val="18"/>
          <w:lang w:val="es-ES_tradnl"/>
        </w:rPr>
      </w:pPr>
    </w:p>
    <w:p w:rsidR="007B1702" w:rsidRPr="00D11BBF" w:rsidRDefault="007B1702" w:rsidP="009B28A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r w:rsidRPr="00D11BBF">
        <w:rPr>
          <w:rFonts w:ascii="Cambria" w:hAnsi="Cambria"/>
          <w:sz w:val="20"/>
          <w:szCs w:val="20"/>
          <w:lang w:val="es-ES_tradnl"/>
        </w:rPr>
        <w:t>La premisa básica de la “fórmula de la cuarta instancia” es que “</w:t>
      </w:r>
      <w:r w:rsidRPr="00D11BBF">
        <w:rPr>
          <w:rFonts w:ascii="Cambria" w:hAnsi="Cambria"/>
          <w:spacing w:val="-2"/>
          <w:sz w:val="20"/>
          <w:szCs w:val="20"/>
          <w:lang w:val="es-ES_tradnl"/>
        </w:rPr>
        <w:t>la Comisión no puede revisar las sentencias dictadas por los tribunales nacionales que actúen en la esfera de su competencia y aplicando las debidas garantías judiciales, a menos que encuentre que se ha cometido una violación de alguno de los derechos amparados por la Convención Americana”</w:t>
      </w:r>
      <w:r w:rsidRPr="00D11BBF">
        <w:rPr>
          <w:rStyle w:val="FootnoteReference"/>
          <w:rFonts w:ascii="Cambria" w:hAnsi="Cambria"/>
          <w:spacing w:val="-2"/>
          <w:sz w:val="20"/>
          <w:szCs w:val="20"/>
          <w:lang w:val="es-ES_tradnl"/>
        </w:rPr>
        <w:footnoteReference w:id="12"/>
      </w:r>
      <w:r w:rsidRPr="00D11BBF">
        <w:rPr>
          <w:rFonts w:ascii="Cambria" w:hAnsi="Cambria"/>
          <w:spacing w:val="-2"/>
          <w:sz w:val="20"/>
          <w:szCs w:val="20"/>
          <w:lang w:val="es-ES_tradnl"/>
        </w:rPr>
        <w:t>. En este sentido, la CIDH ha establecido que es competente “</w:t>
      </w:r>
      <w:r w:rsidRPr="00D11BBF">
        <w:rPr>
          <w:rFonts w:ascii="Cambria" w:hAnsi="Cambria"/>
          <w:sz w:val="20"/>
          <w:szCs w:val="20"/>
          <w:lang w:val="es-MX"/>
        </w:rPr>
        <w:t>para declarar admisible una petición y fallar sobre su fundamento cuando ésta se refiere a una sentencia judicial nacional que ha sido dictada al margen del debido proceso o que aparentemente viola cualquier otro derecho garantizado por la Convención”</w:t>
      </w:r>
      <w:r w:rsidRPr="00D11BBF">
        <w:rPr>
          <w:rStyle w:val="FootnoteReference"/>
          <w:rFonts w:ascii="Cambria" w:hAnsi="Cambria"/>
          <w:sz w:val="20"/>
          <w:szCs w:val="20"/>
          <w:lang w:val="es-MX"/>
        </w:rPr>
        <w:footnoteReference w:id="13"/>
      </w:r>
      <w:r w:rsidRPr="00D11BBF">
        <w:rPr>
          <w:rFonts w:ascii="Cambria" w:hAnsi="Cambria"/>
          <w:sz w:val="20"/>
          <w:szCs w:val="20"/>
          <w:lang w:val="es-MX"/>
        </w:rPr>
        <w:t>.</w:t>
      </w:r>
      <w:r w:rsidRPr="00D11BBF">
        <w:rPr>
          <w:rFonts w:ascii="Cambria" w:hAnsi="Cambria"/>
          <w:sz w:val="20"/>
          <w:szCs w:val="20"/>
          <w:lang w:val="es-ES_tradnl"/>
        </w:rPr>
        <w:t xml:space="preserve"> </w:t>
      </w:r>
    </w:p>
    <w:p w:rsidR="007B1702" w:rsidRPr="00D11BBF" w:rsidRDefault="007B1702" w:rsidP="007B1702">
      <w:pPr>
        <w:jc w:val="both"/>
        <w:rPr>
          <w:rFonts w:ascii="Cambria" w:hAnsi="Cambria"/>
          <w:sz w:val="18"/>
          <w:szCs w:val="18"/>
          <w:lang w:val="es-ES_tradnl"/>
        </w:rPr>
      </w:pPr>
    </w:p>
    <w:p w:rsidR="007B1702" w:rsidRPr="00D11BBF" w:rsidRDefault="007B1702" w:rsidP="009B28A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
          <w:tab w:val="left" w:pos="0"/>
        </w:tabs>
        <w:jc w:val="both"/>
        <w:rPr>
          <w:rFonts w:ascii="Cambria" w:hAnsi="Cambria" w:cs="Calibri"/>
          <w:sz w:val="20"/>
          <w:szCs w:val="20"/>
          <w:lang w:val="es-ES_tradnl"/>
        </w:rPr>
      </w:pPr>
      <w:r w:rsidRPr="00D11BBF">
        <w:rPr>
          <w:rFonts w:ascii="Cambria" w:hAnsi="Cambria"/>
          <w:sz w:val="20"/>
          <w:szCs w:val="20"/>
          <w:lang w:val="es-ES_tradnl"/>
        </w:rPr>
        <w:t xml:space="preserve">Considerando lo anterior, la CIDH encuentra que en el presente caso corresponde establecer que los alegatos del peticionario relativos a la presunta violación del derecho a las garantías y la protección judicial en perjuicio de las presuntas víctimas por el proceso penal policial, podrían caracterizar violaciones a los derechos protegidos en los artículos 8 y 25 en concordancia con el artículo 1.1 de la Convención. </w:t>
      </w:r>
    </w:p>
    <w:p w:rsidR="007B1702" w:rsidRPr="00D11BBF" w:rsidRDefault="007B1702" w:rsidP="007B1702">
      <w:pPr>
        <w:pStyle w:val="ListParagraph"/>
        <w:rPr>
          <w:rFonts w:cs="Calibri"/>
          <w:color w:val="auto"/>
          <w:sz w:val="20"/>
          <w:szCs w:val="20"/>
          <w:lang w:val="es-ES_tradnl"/>
        </w:rPr>
      </w:pPr>
    </w:p>
    <w:p w:rsidR="007B1702"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ES_tradnl"/>
        </w:rPr>
      </w:pPr>
      <w:r w:rsidRPr="00D11BBF">
        <w:rPr>
          <w:rFonts w:ascii="Cambria" w:hAnsi="Cambria" w:cs="Calibri"/>
          <w:sz w:val="20"/>
          <w:szCs w:val="20"/>
          <w:lang w:val="es-ES_tradnl"/>
        </w:rPr>
        <w:t xml:space="preserve">Por su parte, la Comisión encuentra que en el presente caso corresponde establecer que los argumentos del peticionario, los cuales no fueron controvertidos por el Estado, respecto a la alegada aplicación de la figura de “detención en firme” de manera </w:t>
      </w:r>
      <w:r w:rsidR="00F370F2" w:rsidRPr="00D11BBF">
        <w:rPr>
          <w:rFonts w:ascii="Cambria" w:hAnsi="Cambria" w:cs="Calibri"/>
          <w:sz w:val="20"/>
          <w:szCs w:val="20"/>
          <w:lang w:val="es-ES_tradnl"/>
        </w:rPr>
        <w:t xml:space="preserve">supuestamente </w:t>
      </w:r>
      <w:r w:rsidRPr="00D11BBF">
        <w:rPr>
          <w:rFonts w:ascii="Cambria" w:hAnsi="Cambria" w:cs="Calibri"/>
          <w:sz w:val="20"/>
          <w:szCs w:val="20"/>
          <w:lang w:val="es-ES_tradnl"/>
        </w:rPr>
        <w:t xml:space="preserve">retroactiva en perjuicio de las presuntas víctimas, podrían caracterizar violaciones a los derechos protegidos en los artículos 7, 9, 8 y 25 </w:t>
      </w:r>
      <w:r w:rsidRPr="00D11BBF">
        <w:rPr>
          <w:rFonts w:ascii="Cambria" w:hAnsi="Cambria" w:cs="Calibri"/>
          <w:sz w:val="20"/>
          <w:szCs w:val="20"/>
          <w:lang w:val="es-MX"/>
        </w:rPr>
        <w:t xml:space="preserve">en concordancia con el artículo 1.1 de la Convención. </w:t>
      </w:r>
      <w:r w:rsidRPr="00D11BBF">
        <w:rPr>
          <w:rFonts w:ascii="Cambria" w:hAnsi="Cambria" w:cs="Calibri"/>
          <w:sz w:val="20"/>
          <w:szCs w:val="20"/>
          <w:lang w:val="es-ES_tradnl"/>
        </w:rPr>
        <w:t xml:space="preserve"> Adicionalmente, el alegato del peticionario, el cual no fue controvertido por el Estado, en referencia a la denuncia presentada por prevaricato contra el ex Presidente Pinto, podría caracterizar una violación a los artículos 8 y 25 en relación con el artículo 1.1 por la posible falta de esclarecimiento judicial.</w:t>
      </w:r>
    </w:p>
    <w:p w:rsidR="007B1702" w:rsidRPr="00D11BBF" w:rsidRDefault="007B1702" w:rsidP="007B1702">
      <w:pPr>
        <w:pStyle w:val="ListParagraph"/>
        <w:rPr>
          <w:rFonts w:cs="Calibri"/>
          <w:color w:val="auto"/>
          <w:sz w:val="20"/>
          <w:szCs w:val="20"/>
          <w:lang w:val="es-ES_tradnl"/>
        </w:rPr>
      </w:pPr>
    </w:p>
    <w:p w:rsidR="007B1702" w:rsidRPr="00D11BBF" w:rsidRDefault="007B1702" w:rsidP="009B28A5">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Calibri"/>
          <w:sz w:val="20"/>
          <w:szCs w:val="20"/>
          <w:lang w:val="es-ES_tradnl"/>
        </w:rPr>
      </w:pPr>
      <w:r w:rsidRPr="00D11BBF">
        <w:rPr>
          <w:rFonts w:ascii="Cambria" w:hAnsi="Cambria" w:cs="Calibri"/>
          <w:sz w:val="20"/>
          <w:szCs w:val="20"/>
          <w:lang w:val="es-ES_tradnl"/>
        </w:rPr>
        <w:t xml:space="preserve">Por otra parte, respecto a la alegada violación al artículo 11, el peticionario expresa que la detención de las presuntas víctimas como miembros de la Policía Nacional, habría atentado contra su dignidad y reputación. Respecto a la alegada violación del artículo 24, </w:t>
      </w:r>
      <w:proofErr w:type="gramStart"/>
      <w:r w:rsidRPr="00D11BBF">
        <w:rPr>
          <w:rFonts w:ascii="Cambria" w:hAnsi="Cambria" w:cs="Calibri"/>
          <w:sz w:val="20"/>
          <w:szCs w:val="20"/>
          <w:lang w:val="es-ES_tradnl"/>
        </w:rPr>
        <w:t>el peticionario</w:t>
      </w:r>
      <w:proofErr w:type="gramEnd"/>
      <w:r w:rsidRPr="00D11BBF">
        <w:rPr>
          <w:rFonts w:ascii="Cambria" w:hAnsi="Cambria" w:cs="Calibri"/>
          <w:sz w:val="20"/>
          <w:szCs w:val="20"/>
          <w:lang w:val="es-ES_tradnl"/>
        </w:rPr>
        <w:t xml:space="preserve"> señala que varios sindicados en el proceso penal habrían sido beneficiados con el sobreseimiento antes de la sentencia absolutoria a pesar de estar en la misma situación jurídica y fáctica que el resto de los imputados, lo cual implicaría un trato diferenciado injustificado entre ellos y las presuntas víctimas. La CIDH observa que con respecto a la alegada violación de los artículos 11 y 24, el peticionario no ha brindado elementos suficientes que podrían caracterizar una posible violación a estos artículos. Por ello, la CIDH declara inadmisibles los artículos 11 y 24. Por otro lado, el peticionario no brindó información relativa a la supuesta violación al artículo 21, por lo que la CIDH declara inadmisible este artículo. Por último, respecto </w:t>
      </w:r>
      <w:r w:rsidRPr="00D11BBF">
        <w:rPr>
          <w:rFonts w:ascii="Cambria" w:hAnsi="Cambria" w:cs="Calibri"/>
          <w:sz w:val="20"/>
          <w:szCs w:val="20"/>
          <w:lang w:val="es-AR"/>
        </w:rPr>
        <w:t xml:space="preserve">a la presunta violación del artículo 10 de la Convención que consagra el derecho a indemnización por </w:t>
      </w:r>
      <w:r w:rsidR="00F370F2" w:rsidRPr="00D11BBF">
        <w:rPr>
          <w:rFonts w:ascii="Cambria" w:hAnsi="Cambria" w:cs="Calibri"/>
          <w:sz w:val="20"/>
          <w:szCs w:val="20"/>
          <w:lang w:val="es-AR"/>
        </w:rPr>
        <w:t xml:space="preserve">haber sido condenado con sentencia firme por </w:t>
      </w:r>
      <w:r w:rsidRPr="00D11BBF">
        <w:rPr>
          <w:rFonts w:ascii="Cambria" w:hAnsi="Cambria" w:cs="Calibri"/>
          <w:sz w:val="20"/>
          <w:szCs w:val="20"/>
          <w:lang w:val="es-AR"/>
        </w:rPr>
        <w:t>error judicial, la Comisión considera que en la especie los presupuestos para la caracterización de una violación bajo dicha norma no se encuentran reunidos toda vez que las presuntas víctimas no recibieron una sentencia condenatoria firme</w:t>
      </w:r>
      <w:r w:rsidRPr="00D11BBF">
        <w:rPr>
          <w:rStyle w:val="FootnoteReference"/>
          <w:rFonts w:ascii="Cambria" w:hAnsi="Cambria" w:cs="Calibri"/>
          <w:sz w:val="20"/>
          <w:szCs w:val="20"/>
          <w:lang w:val="es-AR"/>
        </w:rPr>
        <w:footnoteReference w:id="14"/>
      </w:r>
      <w:r w:rsidRPr="00D11BBF">
        <w:rPr>
          <w:rFonts w:ascii="Cambria" w:hAnsi="Cambria" w:cs="Calibri"/>
          <w:sz w:val="20"/>
          <w:szCs w:val="20"/>
          <w:lang w:val="es-AR"/>
        </w:rPr>
        <w:t xml:space="preserve">. </w:t>
      </w:r>
    </w:p>
    <w:p w:rsidR="007B1702" w:rsidRPr="00D11BBF" w:rsidRDefault="007B1702" w:rsidP="007B1702">
      <w:pPr>
        <w:pStyle w:val="BodyText"/>
        <w:spacing w:after="0"/>
        <w:jc w:val="both"/>
        <w:rPr>
          <w:rFonts w:ascii="Cambria" w:hAnsi="Cambria" w:cs="Calibri"/>
          <w:sz w:val="20"/>
          <w:szCs w:val="20"/>
          <w:lang w:val="es-ES_tradnl"/>
        </w:rPr>
      </w:pPr>
    </w:p>
    <w:p w:rsidR="007B1702" w:rsidRPr="00D11BBF" w:rsidRDefault="007B1702" w:rsidP="00674EC3">
      <w:pPr>
        <w:pStyle w:val="Heading1"/>
        <w:rPr>
          <w:color w:val="auto"/>
        </w:rPr>
      </w:pPr>
      <w:r w:rsidRPr="00D11BBF">
        <w:rPr>
          <w:color w:val="auto"/>
        </w:rPr>
        <w:t>V</w:t>
      </w:r>
      <w:r w:rsidRPr="00D11BBF">
        <w:rPr>
          <w:snapToGrid w:val="0"/>
          <w:color w:val="auto"/>
        </w:rPr>
        <w:t>.</w:t>
      </w:r>
      <w:r w:rsidRPr="00D11BBF">
        <w:rPr>
          <w:snapToGrid w:val="0"/>
          <w:color w:val="auto"/>
        </w:rPr>
        <w:tab/>
        <w:t>CONCLUSIONES</w:t>
      </w:r>
    </w:p>
    <w:p w:rsidR="007B1702" w:rsidRPr="00D11BBF" w:rsidRDefault="007B1702" w:rsidP="007B1702">
      <w:pPr>
        <w:rPr>
          <w:rFonts w:ascii="Cambria" w:hAnsi="Cambria" w:cs="Calibri"/>
          <w:sz w:val="20"/>
          <w:szCs w:val="20"/>
          <w:lang w:val="es-ES_tradnl"/>
        </w:rPr>
      </w:pPr>
    </w:p>
    <w:p w:rsidR="007B1702" w:rsidRPr="00D11BBF" w:rsidRDefault="007B1702" w:rsidP="009B28A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libri"/>
          <w:sz w:val="20"/>
          <w:szCs w:val="20"/>
          <w:lang w:val="es-AR"/>
        </w:rPr>
      </w:pPr>
      <w:r w:rsidRPr="00D11BBF">
        <w:rPr>
          <w:rFonts w:ascii="Cambria" w:hAnsi="Cambria" w:cs="Calibri"/>
          <w:sz w:val="20"/>
          <w:szCs w:val="20"/>
          <w:lang w:val="es-AR"/>
        </w:rPr>
        <w:t>La Comisión concluye que es competente para examinar los reclamos presentados por el peticionario sobre la presunta violación de los artículos 7, 8, 9 y 25 en concordancia con el artículo 1.1 de la Convención Americana, conforme a los requisitos establecidos en los artículos 46 y 47 del mismo instrumento</w:t>
      </w:r>
      <w:r w:rsidRPr="00D11BBF">
        <w:rPr>
          <w:rFonts w:ascii="Cambria" w:hAnsi="Cambria" w:cs="Calibri"/>
          <w:sz w:val="20"/>
          <w:szCs w:val="20"/>
          <w:lang w:val="es-ES_tradnl"/>
        </w:rPr>
        <w:t>.</w:t>
      </w:r>
    </w:p>
    <w:p w:rsidR="007B1702" w:rsidRPr="00D11BBF" w:rsidRDefault="007B1702" w:rsidP="007B1702">
      <w:pPr>
        <w:ind w:left="720"/>
        <w:jc w:val="both"/>
        <w:rPr>
          <w:rFonts w:ascii="Cambria" w:hAnsi="Cambria" w:cs="Calibri"/>
          <w:sz w:val="20"/>
          <w:szCs w:val="20"/>
          <w:lang w:val="es-AR"/>
        </w:rPr>
      </w:pPr>
    </w:p>
    <w:p w:rsidR="007B1702" w:rsidRPr="00D11BBF" w:rsidRDefault="007B1702" w:rsidP="009B28A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libri"/>
          <w:sz w:val="20"/>
          <w:szCs w:val="20"/>
          <w:lang w:val="es-AR"/>
        </w:rPr>
      </w:pPr>
      <w:r w:rsidRPr="00D11BBF">
        <w:rPr>
          <w:rFonts w:ascii="Cambria" w:hAnsi="Cambria" w:cs="Calibri"/>
          <w:sz w:val="20"/>
          <w:szCs w:val="20"/>
          <w:lang w:val="es-ES_tradnl"/>
        </w:rPr>
        <w:t>Asimismo, la Comisión concluye declarar inadmisible la presente petición con relación a los artículos 10, 11, 21 y 24 de la Convención Americana sobre Derechos Humanos y los artículos I, II, XVIII, XXV y XXVI de la Declaración Americana de Derechos y Deberes del Hombre.</w:t>
      </w:r>
    </w:p>
    <w:p w:rsidR="007B1702" w:rsidRPr="00D11BBF" w:rsidRDefault="007B1702" w:rsidP="007B1702">
      <w:pPr>
        <w:pStyle w:val="BodyText"/>
        <w:spacing w:after="0"/>
        <w:jc w:val="both"/>
        <w:rPr>
          <w:rFonts w:ascii="Cambria" w:hAnsi="Cambria" w:cs="Calibri"/>
          <w:sz w:val="20"/>
          <w:szCs w:val="20"/>
          <w:lang w:val="es-ES_tradnl"/>
        </w:rPr>
      </w:pPr>
    </w:p>
    <w:p w:rsidR="007B1702" w:rsidRPr="00D11BBF" w:rsidRDefault="007B1702" w:rsidP="009B28A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libri"/>
          <w:sz w:val="20"/>
          <w:szCs w:val="20"/>
          <w:lang w:val="es-AR"/>
        </w:rPr>
      </w:pPr>
      <w:r w:rsidRPr="00D11BBF">
        <w:rPr>
          <w:rFonts w:ascii="Cambria" w:hAnsi="Cambria" w:cs="Calibri"/>
          <w:sz w:val="20"/>
          <w:szCs w:val="20"/>
          <w:lang w:val="es-AR"/>
        </w:rPr>
        <w:t xml:space="preserve">Con fundamento en los argumentos de hecho y de derecho antes expuestos. </w:t>
      </w:r>
    </w:p>
    <w:p w:rsidR="007B1702" w:rsidRPr="00D11BBF" w:rsidRDefault="007B1702" w:rsidP="007B1702">
      <w:pPr>
        <w:pStyle w:val="ListParagraph"/>
        <w:rPr>
          <w:rFonts w:cs="Calibri"/>
          <w:color w:val="auto"/>
          <w:sz w:val="20"/>
          <w:szCs w:val="20"/>
          <w:lang w:val="es-AR"/>
        </w:rPr>
      </w:pPr>
    </w:p>
    <w:p w:rsidR="007B1702" w:rsidRPr="00D11BBF" w:rsidRDefault="007B1702" w:rsidP="007B1702">
      <w:pPr>
        <w:ind w:left="720" w:firstLine="720"/>
        <w:rPr>
          <w:rFonts w:ascii="Cambria" w:hAnsi="Cambria" w:cs="Calibri"/>
          <w:sz w:val="20"/>
          <w:szCs w:val="20"/>
          <w:lang w:val="es-ES_tradnl"/>
        </w:rPr>
      </w:pPr>
      <w:r w:rsidRPr="00D11BBF">
        <w:rPr>
          <w:rFonts w:ascii="Cambria" w:hAnsi="Cambria" w:cs="Calibri"/>
          <w:b/>
          <w:sz w:val="20"/>
          <w:szCs w:val="20"/>
          <w:lang w:val="es-ES"/>
        </w:rPr>
        <w:t xml:space="preserve">LA COMISIÓN INTERAMERICANA DE DERECHOS HUMANOS, </w:t>
      </w:r>
    </w:p>
    <w:p w:rsidR="007B1702" w:rsidRPr="00D11BBF" w:rsidRDefault="007B1702" w:rsidP="007B1702">
      <w:pPr>
        <w:rPr>
          <w:rFonts w:ascii="Cambria" w:hAnsi="Cambria" w:cs="Calibri"/>
          <w:sz w:val="20"/>
          <w:szCs w:val="20"/>
          <w:lang w:val="es-ES_tradnl"/>
        </w:rPr>
      </w:pPr>
    </w:p>
    <w:p w:rsidR="007B1702" w:rsidRPr="00D11BBF" w:rsidRDefault="007B1702" w:rsidP="007B1702">
      <w:pPr>
        <w:rPr>
          <w:rFonts w:ascii="Cambria" w:hAnsi="Cambria" w:cs="Calibri"/>
          <w:b/>
          <w:sz w:val="20"/>
          <w:szCs w:val="20"/>
          <w:lang w:val="es-ES"/>
        </w:rPr>
      </w:pPr>
      <w:r w:rsidRPr="00D11BBF">
        <w:rPr>
          <w:rFonts w:ascii="Cambria" w:hAnsi="Cambria" w:cs="Calibri"/>
          <w:b/>
          <w:sz w:val="20"/>
          <w:szCs w:val="20"/>
          <w:lang w:val="es-ES"/>
        </w:rPr>
        <w:t xml:space="preserve">DECIDE: </w:t>
      </w:r>
    </w:p>
    <w:p w:rsidR="007B1702" w:rsidRPr="00D11BBF" w:rsidRDefault="007B1702" w:rsidP="007B1702">
      <w:pPr>
        <w:rPr>
          <w:rFonts w:ascii="Cambria" w:hAnsi="Cambria" w:cs="Calibri"/>
          <w:sz w:val="20"/>
          <w:szCs w:val="20"/>
          <w:lang w:val="es-ES_tradnl"/>
        </w:rPr>
      </w:pPr>
    </w:p>
    <w:p w:rsidR="007B1702" w:rsidRPr="00D11BBF" w:rsidRDefault="007B1702" w:rsidP="009B28A5">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Calibri"/>
          <w:sz w:val="20"/>
          <w:szCs w:val="20"/>
          <w:lang w:val="es-ES_tradnl"/>
        </w:rPr>
      </w:pPr>
      <w:r w:rsidRPr="00D11BBF">
        <w:rPr>
          <w:rFonts w:ascii="Cambria" w:hAnsi="Cambria" w:cs="Calibri"/>
          <w:sz w:val="20"/>
          <w:szCs w:val="20"/>
          <w:lang w:val="es-ES"/>
        </w:rPr>
        <w:t xml:space="preserve">Declarar admisible la presente petición con relación a los artículos 7, </w:t>
      </w:r>
      <w:r w:rsidRPr="00D11BBF">
        <w:rPr>
          <w:rFonts w:ascii="Cambria" w:hAnsi="Cambria" w:cs="Calibri"/>
          <w:sz w:val="20"/>
          <w:szCs w:val="20"/>
          <w:lang w:val="es-AR"/>
        </w:rPr>
        <w:t xml:space="preserve">8, 9 y 25 </w:t>
      </w:r>
      <w:r w:rsidRPr="00D11BBF">
        <w:rPr>
          <w:rFonts w:ascii="Cambria" w:hAnsi="Cambria" w:cs="Calibri"/>
          <w:sz w:val="20"/>
          <w:szCs w:val="20"/>
          <w:lang w:val="es-ES"/>
        </w:rPr>
        <w:t>en conexión con el artículo 1.1 de la Convención Americana sobre Derechos Humanos, en perjuicio de</w:t>
      </w:r>
      <w:r w:rsidRPr="00D11BBF">
        <w:rPr>
          <w:rFonts w:ascii="Cambria" w:hAnsi="Cambria" w:cs="Calibri"/>
          <w:sz w:val="20"/>
          <w:szCs w:val="20"/>
          <w:lang w:val="es-ES_tradnl"/>
        </w:rPr>
        <w:t xml:space="preserve"> los señores Jorge Villarroel Merino, Mario Rommel Cevallos Moreno, Jorge Coloma Gaybor, Fernando López Ortiz, Amílcar Ascazubi Albán y Patricio Vinuesa Pánchez.</w:t>
      </w:r>
    </w:p>
    <w:p w:rsidR="007B1702" w:rsidRPr="00D11BBF" w:rsidRDefault="007B1702" w:rsidP="007B1702">
      <w:pPr>
        <w:pStyle w:val="BodyText"/>
        <w:spacing w:after="0"/>
        <w:jc w:val="both"/>
        <w:rPr>
          <w:rFonts w:ascii="Cambria" w:hAnsi="Cambria" w:cs="Calibri"/>
          <w:sz w:val="20"/>
          <w:szCs w:val="20"/>
          <w:lang w:val="es-ES_tradnl"/>
        </w:rPr>
      </w:pPr>
    </w:p>
    <w:p w:rsidR="007B1702" w:rsidRPr="00D11BBF" w:rsidRDefault="007B1702" w:rsidP="009B28A5">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Calibri"/>
          <w:sz w:val="20"/>
          <w:szCs w:val="20"/>
          <w:lang w:val="es-ES_tradnl"/>
        </w:rPr>
      </w:pPr>
      <w:r w:rsidRPr="00D11BBF">
        <w:rPr>
          <w:rFonts w:ascii="Cambria" w:hAnsi="Cambria" w:cs="Calibri"/>
          <w:sz w:val="20"/>
          <w:szCs w:val="20"/>
          <w:lang w:val="es-ES_tradnl"/>
        </w:rPr>
        <w:lastRenderedPageBreak/>
        <w:t>Declarar inadmisible la presente petición con relación a los artículos 10, 11, 21 y 24 de la Convención Americana sobre Derechos Humanos y los artículos I, II, XVIII, XXV y XXVI de la Declaración Americana de Derechos y Deberes del Hombre.</w:t>
      </w:r>
    </w:p>
    <w:p w:rsidR="007B1702" w:rsidRPr="00D11BBF" w:rsidRDefault="007B1702" w:rsidP="007B1702">
      <w:pPr>
        <w:pStyle w:val="ListParagraph"/>
        <w:rPr>
          <w:rFonts w:cs="Calibri"/>
          <w:color w:val="auto"/>
          <w:sz w:val="20"/>
          <w:szCs w:val="20"/>
          <w:lang w:val="es-ES_tradnl"/>
        </w:rPr>
      </w:pPr>
    </w:p>
    <w:p w:rsidR="007B1702" w:rsidRPr="00D11BBF" w:rsidRDefault="007B1702" w:rsidP="009B28A5">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Calibri"/>
          <w:sz w:val="20"/>
          <w:szCs w:val="20"/>
          <w:lang w:val="es-ES_tradnl"/>
        </w:rPr>
      </w:pPr>
      <w:r w:rsidRPr="00D11BBF">
        <w:rPr>
          <w:rFonts w:ascii="Cambria" w:hAnsi="Cambria" w:cs="Calibri"/>
          <w:sz w:val="20"/>
          <w:szCs w:val="20"/>
          <w:lang w:val="es-ES_tradnl"/>
        </w:rPr>
        <w:t>Notificar esta decisión al Estado ecuatoriano y al peticionario.</w:t>
      </w:r>
    </w:p>
    <w:p w:rsidR="007B1702" w:rsidRPr="00D11BBF" w:rsidRDefault="007B1702" w:rsidP="007B1702">
      <w:pPr>
        <w:pStyle w:val="BodyText"/>
        <w:spacing w:after="0"/>
        <w:ind w:firstLine="720"/>
        <w:jc w:val="both"/>
        <w:rPr>
          <w:rFonts w:ascii="Cambria" w:hAnsi="Cambria" w:cs="Calibri"/>
          <w:sz w:val="20"/>
          <w:szCs w:val="20"/>
          <w:lang w:val="es-ES_tradnl"/>
        </w:rPr>
      </w:pPr>
    </w:p>
    <w:p w:rsidR="007B1702" w:rsidRPr="00D11BBF" w:rsidRDefault="007B1702" w:rsidP="009B28A5">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Calibri"/>
          <w:sz w:val="20"/>
          <w:szCs w:val="20"/>
          <w:lang w:val="es-ES_tradnl"/>
        </w:rPr>
      </w:pPr>
      <w:r w:rsidRPr="00D11BBF">
        <w:rPr>
          <w:rFonts w:ascii="Cambria" w:hAnsi="Cambria" w:cs="Calibri"/>
          <w:sz w:val="20"/>
          <w:szCs w:val="20"/>
          <w:lang w:val="es-ES_tradnl"/>
        </w:rPr>
        <w:t>Continuar con el análisis del fondo de la cuestión.</w:t>
      </w:r>
    </w:p>
    <w:p w:rsidR="007B1702" w:rsidRPr="00D11BBF" w:rsidRDefault="007B1702" w:rsidP="007B1702">
      <w:pPr>
        <w:pStyle w:val="BodyText"/>
        <w:spacing w:after="0"/>
        <w:ind w:firstLine="720"/>
        <w:jc w:val="both"/>
        <w:rPr>
          <w:rFonts w:ascii="Cambria" w:hAnsi="Cambria" w:cs="Calibri"/>
          <w:sz w:val="20"/>
          <w:szCs w:val="20"/>
          <w:lang w:val="es-ES_tradnl"/>
        </w:rPr>
      </w:pPr>
    </w:p>
    <w:p w:rsidR="007B1702" w:rsidRPr="00D11BBF" w:rsidRDefault="007B1702" w:rsidP="009B28A5">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Calibri"/>
          <w:sz w:val="20"/>
          <w:szCs w:val="20"/>
          <w:lang w:val="es-ES_tradnl"/>
        </w:rPr>
      </w:pPr>
      <w:r w:rsidRPr="00D11BBF">
        <w:rPr>
          <w:rFonts w:ascii="Cambria" w:hAnsi="Cambria" w:cs="Calibri"/>
          <w:sz w:val="20"/>
          <w:szCs w:val="20"/>
          <w:lang w:val="es-ES_tradnl"/>
        </w:rPr>
        <w:t>Publicar esta decisión e incluirla en su Informe Anual a la Asamblea General de la OEA.</w:t>
      </w:r>
    </w:p>
    <w:p w:rsidR="007B1702" w:rsidRPr="00D11BBF" w:rsidRDefault="007B1702" w:rsidP="007B1702">
      <w:pPr>
        <w:ind w:left="1440" w:hanging="720"/>
        <w:rPr>
          <w:rFonts w:ascii="Cambria" w:hAnsi="Cambria" w:cs="Calibri"/>
          <w:sz w:val="20"/>
          <w:szCs w:val="20"/>
          <w:lang w:val="es-ES_tradnl"/>
        </w:rPr>
      </w:pPr>
    </w:p>
    <w:p w:rsidR="00203F81" w:rsidRPr="00804A84" w:rsidRDefault="00203F81" w:rsidP="00203F81">
      <w:pPr>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29</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enero</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5</w:t>
      </w:r>
      <w:r w:rsidRPr="00804A84">
        <w:rPr>
          <w:rFonts w:ascii="Cambria" w:hAnsi="Cambria" w:cs="Arial"/>
          <w:noProof/>
          <w:spacing w:val="-2"/>
          <w:sz w:val="20"/>
          <w:szCs w:val="20"/>
          <w:lang w:val="es-CL"/>
        </w:rPr>
        <w:t>.  (Firmado): Tracy Robinson, Presidenta;</w:t>
      </w:r>
      <w:r>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Felipe González, Segundo Vicepresidente; José de Jesús Orozco Henríquez, Rosa María Ortiz, Paulo Vannuchi y James L. Cavallaro, Miembros de la Comisión.</w:t>
      </w:r>
    </w:p>
    <w:p w:rsidR="00203F81" w:rsidRPr="00804A84" w:rsidRDefault="00203F81" w:rsidP="00203F81">
      <w:pPr>
        <w:suppressAutoHyphens/>
        <w:ind w:firstLine="720"/>
        <w:jc w:val="both"/>
        <w:rPr>
          <w:rFonts w:ascii="Cambria" w:hAnsi="Cambria" w:cs="Arial"/>
          <w:noProof/>
          <w:spacing w:val="-2"/>
          <w:sz w:val="20"/>
          <w:szCs w:val="20"/>
          <w:lang w:val="es-CL"/>
        </w:rPr>
      </w:pPr>
    </w:p>
    <w:sectPr w:rsidR="00203F81" w:rsidRPr="00804A8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33B" w:rsidRDefault="00D4733B">
      <w:r>
        <w:separator/>
      </w:r>
    </w:p>
  </w:endnote>
  <w:endnote w:type="continuationSeparator" w:id="0">
    <w:p w:rsidR="00D4733B" w:rsidRDefault="00D4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02" w:rsidRDefault="00534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94" w:rsidRPr="00934A2C" w:rsidRDefault="00752F9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60451">
      <w:rPr>
        <w:noProof/>
        <w:sz w:val="16"/>
        <w:szCs w:val="22"/>
      </w:rPr>
      <w:t>10</w:t>
    </w:r>
    <w:r w:rsidRPr="00934A2C">
      <w:rPr>
        <w:noProof/>
        <w:sz w:val="16"/>
        <w:szCs w:val="22"/>
      </w:rPr>
      <w:fldChar w:fldCharType="end"/>
    </w:r>
  </w:p>
  <w:p w:rsidR="00752F94" w:rsidRDefault="00752F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94" w:rsidRPr="00934A2C" w:rsidRDefault="00752F94">
    <w:pPr>
      <w:pStyle w:val="Footer"/>
      <w:jc w:val="center"/>
      <w:rPr>
        <w:sz w:val="16"/>
        <w:szCs w:val="22"/>
      </w:rPr>
    </w:pPr>
  </w:p>
  <w:p w:rsidR="00752F94" w:rsidRDefault="00752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33B" w:rsidRPr="009D65C5" w:rsidRDefault="00D4733B">
      <w:pPr>
        <w:rPr>
          <w:rFonts w:ascii="Cambria" w:hAnsi="Cambria"/>
          <w:sz w:val="16"/>
          <w:szCs w:val="16"/>
        </w:rPr>
      </w:pPr>
      <w:r w:rsidRPr="009D65C5">
        <w:rPr>
          <w:rFonts w:ascii="Cambria" w:hAnsi="Cambria"/>
          <w:sz w:val="16"/>
          <w:szCs w:val="16"/>
        </w:rPr>
        <w:separator/>
      </w:r>
    </w:p>
  </w:footnote>
  <w:footnote w:type="continuationSeparator" w:id="0">
    <w:p w:rsidR="00D4733B" w:rsidRPr="009D65C5" w:rsidRDefault="00D4733B" w:rsidP="000F35ED">
      <w:pPr>
        <w:rPr>
          <w:rFonts w:ascii="Cambria" w:hAnsi="Cambria"/>
          <w:sz w:val="16"/>
          <w:szCs w:val="16"/>
        </w:rPr>
      </w:pPr>
      <w:r w:rsidRPr="009D65C5">
        <w:rPr>
          <w:rFonts w:ascii="Cambria" w:hAnsi="Cambria"/>
          <w:sz w:val="16"/>
          <w:szCs w:val="16"/>
        </w:rPr>
        <w:separator/>
      </w:r>
    </w:p>
    <w:p w:rsidR="00D4733B" w:rsidRPr="009D65C5" w:rsidRDefault="00D4733B" w:rsidP="000F35ED">
      <w:pPr>
        <w:pStyle w:val="Footer"/>
        <w:rPr>
          <w:sz w:val="16"/>
          <w:szCs w:val="16"/>
        </w:rPr>
      </w:pPr>
      <w:r w:rsidRPr="009D65C5">
        <w:rPr>
          <w:sz w:val="16"/>
          <w:szCs w:val="16"/>
        </w:rPr>
        <w:t xml:space="preserve">[… </w:t>
      </w:r>
      <w:proofErr w:type="gramStart"/>
      <w:r w:rsidRPr="009D65C5">
        <w:rPr>
          <w:sz w:val="16"/>
          <w:szCs w:val="16"/>
        </w:rPr>
        <w:t>continuación</w:t>
      </w:r>
      <w:proofErr w:type="gramEnd"/>
      <w:r w:rsidRPr="009D65C5">
        <w:rPr>
          <w:sz w:val="16"/>
          <w:szCs w:val="16"/>
        </w:rPr>
        <w:t>]</w:t>
      </w:r>
    </w:p>
  </w:footnote>
  <w:footnote w:type="continuationNotice" w:id="1">
    <w:p w:rsidR="00D4733B" w:rsidRPr="009D65C5" w:rsidRDefault="00D4733B" w:rsidP="000F35ED">
      <w:pPr>
        <w:jc w:val="right"/>
        <w:rPr>
          <w:rFonts w:ascii="Cambria" w:hAnsi="Cambria"/>
          <w:sz w:val="16"/>
          <w:szCs w:val="16"/>
          <w:lang w:val="es-ES"/>
        </w:rPr>
      </w:pPr>
      <w:r w:rsidRPr="009D65C5">
        <w:rPr>
          <w:rFonts w:ascii="Cambria" w:hAnsi="Cambria"/>
          <w:sz w:val="16"/>
          <w:szCs w:val="16"/>
          <w:lang w:val="es-ES"/>
        </w:rPr>
        <w:t>[</w:t>
      </w:r>
      <w:proofErr w:type="gramStart"/>
      <w:r w:rsidRPr="009D65C5">
        <w:rPr>
          <w:rFonts w:ascii="Cambria" w:hAnsi="Cambria"/>
          <w:sz w:val="16"/>
          <w:szCs w:val="16"/>
          <w:lang w:val="es-ES"/>
        </w:rPr>
        <w:t>continúa</w:t>
      </w:r>
      <w:proofErr w:type="gramEnd"/>
      <w:r w:rsidRPr="009D65C5">
        <w:rPr>
          <w:rFonts w:ascii="Cambria" w:hAnsi="Cambria"/>
          <w:sz w:val="16"/>
          <w:szCs w:val="16"/>
          <w:lang w:val="es-ES"/>
        </w:rPr>
        <w:t>…]</w:t>
      </w:r>
    </w:p>
  </w:footnote>
  <w:footnote w:id="2">
    <w:p w:rsidR="00752F94" w:rsidRPr="00A50D57" w:rsidRDefault="00752F94" w:rsidP="00674EC3">
      <w:pPr>
        <w:pStyle w:val="FootnoteText"/>
        <w:spacing w:after="120"/>
        <w:ind w:firstLine="720"/>
        <w:jc w:val="both"/>
        <w:rPr>
          <w:rFonts w:ascii="Cambria" w:hAnsi="Cambria"/>
          <w:sz w:val="16"/>
          <w:szCs w:val="16"/>
          <w:lang w:val="es-CR"/>
        </w:rPr>
      </w:pPr>
      <w:r w:rsidRPr="00A50D57">
        <w:rPr>
          <w:rStyle w:val="FootnoteReference"/>
          <w:rFonts w:ascii="Cambria" w:hAnsi="Cambria"/>
          <w:sz w:val="16"/>
          <w:szCs w:val="16"/>
        </w:rPr>
        <w:footnoteRef/>
      </w:r>
      <w:r w:rsidRPr="00A50D57">
        <w:rPr>
          <w:rFonts w:ascii="Cambria" w:hAnsi="Cambria"/>
          <w:sz w:val="16"/>
          <w:szCs w:val="16"/>
          <w:lang w:val="es-CR"/>
        </w:rPr>
        <w:t xml:space="preserve"> </w:t>
      </w:r>
      <w:r w:rsidRPr="00A50D57">
        <w:rPr>
          <w:rFonts w:ascii="Cambria" w:hAnsi="Cambria"/>
          <w:sz w:val="16"/>
          <w:szCs w:val="16"/>
          <w:lang w:val="es-ES_tradnl"/>
        </w:rPr>
        <w:t>La peti</w:t>
      </w:r>
      <w:r w:rsidR="00BA5AAD" w:rsidRPr="00A50D57">
        <w:rPr>
          <w:rFonts w:ascii="Cambria" w:hAnsi="Cambria"/>
          <w:sz w:val="16"/>
          <w:szCs w:val="16"/>
          <w:lang w:val="es-ES_tradnl"/>
        </w:rPr>
        <w:t>ción fue presentada por la señora María Paula Romo, quien posteriormente fue</w:t>
      </w:r>
      <w:r w:rsidRPr="00A50D57">
        <w:rPr>
          <w:rFonts w:ascii="Cambria" w:hAnsi="Cambria"/>
          <w:sz w:val="16"/>
          <w:szCs w:val="16"/>
          <w:lang w:val="es-ES_tradnl"/>
        </w:rPr>
        <w:t xml:space="preserve"> reemplazada por el señor Marcelo Dueñas.  Ver </w:t>
      </w:r>
      <w:r w:rsidRPr="00A50D57">
        <w:rPr>
          <w:rFonts w:ascii="Cambria" w:hAnsi="Cambria"/>
          <w:i/>
          <w:sz w:val="16"/>
          <w:szCs w:val="16"/>
          <w:lang w:val="es-ES_tradnl"/>
        </w:rPr>
        <w:t>infra</w:t>
      </w:r>
      <w:r w:rsidR="00253591" w:rsidRPr="00A50D57">
        <w:rPr>
          <w:rFonts w:ascii="Cambria" w:hAnsi="Cambria"/>
          <w:sz w:val="16"/>
          <w:szCs w:val="16"/>
          <w:lang w:val="es-ES_tradnl"/>
        </w:rPr>
        <w:t xml:space="preserve"> párr. 7</w:t>
      </w:r>
      <w:r w:rsidRPr="00A50D57">
        <w:rPr>
          <w:rFonts w:ascii="Cambria" w:hAnsi="Cambria"/>
          <w:sz w:val="16"/>
          <w:szCs w:val="16"/>
          <w:lang w:val="es-ES_tradnl"/>
        </w:rPr>
        <w:t>, Trámite ante la CIDH.</w:t>
      </w:r>
    </w:p>
  </w:footnote>
  <w:footnote w:id="3">
    <w:p w:rsidR="00752F94" w:rsidRPr="00A50D57" w:rsidRDefault="00752F94" w:rsidP="00674EC3">
      <w:pPr>
        <w:spacing w:after="120"/>
        <w:ind w:firstLine="720"/>
        <w:jc w:val="both"/>
        <w:rPr>
          <w:rFonts w:ascii="Cambria" w:hAnsi="Cambria"/>
          <w:sz w:val="16"/>
          <w:szCs w:val="16"/>
          <w:lang w:val="es-CR"/>
        </w:rPr>
      </w:pPr>
      <w:r w:rsidRPr="00A50D57">
        <w:rPr>
          <w:rStyle w:val="FootnoteReference"/>
          <w:rFonts w:ascii="Cambria" w:hAnsi="Cambria" w:cs="Calibri"/>
          <w:sz w:val="16"/>
          <w:szCs w:val="16"/>
        </w:rPr>
        <w:footnoteRef/>
      </w:r>
      <w:r w:rsidRPr="00A50D57">
        <w:rPr>
          <w:rFonts w:ascii="Cambria" w:hAnsi="Cambria"/>
          <w:sz w:val="16"/>
          <w:szCs w:val="16"/>
          <w:lang w:val="es-ES_tradnl"/>
        </w:rPr>
        <w:t xml:space="preserve"> </w:t>
      </w:r>
      <w:r w:rsidRPr="00A50D57">
        <w:rPr>
          <w:rFonts w:ascii="Cambria" w:hAnsi="Cambria" w:cs="Calibri"/>
          <w:sz w:val="16"/>
          <w:szCs w:val="16"/>
          <w:lang w:val="es-PE"/>
        </w:rPr>
        <w:t>El objeto del informe habría sido estudiar las adquisiciones y operaciones financieras de la Comandancia General de la Policía Nacional del per</w:t>
      </w:r>
      <w:r w:rsidR="00DF4911">
        <w:rPr>
          <w:rFonts w:ascii="Cambria" w:hAnsi="Cambria" w:cs="Calibri"/>
          <w:sz w:val="16"/>
          <w:szCs w:val="16"/>
          <w:lang w:val="es-PE"/>
        </w:rPr>
        <w:t>í</w:t>
      </w:r>
      <w:r w:rsidRPr="00A50D57">
        <w:rPr>
          <w:rFonts w:ascii="Cambria" w:hAnsi="Cambria" w:cs="Calibri"/>
          <w:sz w:val="16"/>
          <w:szCs w:val="16"/>
          <w:lang w:val="es-PE"/>
        </w:rPr>
        <w:t>odo del 1 de enero de 1998 al 30 de junio de 2000</w:t>
      </w:r>
      <w:r w:rsidRPr="00A50D57">
        <w:rPr>
          <w:rFonts w:ascii="Cambria" w:hAnsi="Cambria"/>
          <w:sz w:val="16"/>
          <w:szCs w:val="16"/>
          <w:lang w:val="es-PE"/>
        </w:rPr>
        <w:t>.</w:t>
      </w:r>
      <w:r w:rsidR="004921EA" w:rsidRPr="00A50D57">
        <w:rPr>
          <w:rFonts w:ascii="Cambria" w:hAnsi="Cambria"/>
          <w:sz w:val="16"/>
          <w:szCs w:val="16"/>
          <w:lang w:val="es-PE"/>
        </w:rPr>
        <w:t xml:space="preserve"> </w:t>
      </w:r>
    </w:p>
  </w:footnote>
  <w:footnote w:id="4">
    <w:p w:rsidR="00752F94" w:rsidRPr="00A50D57" w:rsidRDefault="00752F94" w:rsidP="00674EC3">
      <w:pPr>
        <w:autoSpaceDE w:val="0"/>
        <w:autoSpaceDN w:val="0"/>
        <w:adjustRightInd w:val="0"/>
        <w:spacing w:after="120"/>
        <w:ind w:firstLine="720"/>
        <w:jc w:val="both"/>
        <w:rPr>
          <w:rFonts w:ascii="Cambria" w:hAnsi="Cambria"/>
          <w:sz w:val="16"/>
          <w:szCs w:val="16"/>
          <w:lang w:val="es-ES"/>
        </w:rPr>
      </w:pPr>
      <w:r w:rsidRPr="00A50D57">
        <w:rPr>
          <w:rStyle w:val="FootnoteReference"/>
          <w:rFonts w:ascii="Cambria" w:hAnsi="Cambria" w:cs="Calibri"/>
          <w:sz w:val="16"/>
          <w:szCs w:val="16"/>
        </w:rPr>
        <w:footnoteRef/>
      </w:r>
      <w:r w:rsidRPr="00A50D57">
        <w:rPr>
          <w:rFonts w:ascii="Cambria" w:hAnsi="Cambria"/>
          <w:sz w:val="16"/>
          <w:szCs w:val="16"/>
          <w:lang w:val="es-ES_tradnl"/>
        </w:rPr>
        <w:t xml:space="preserve"> Delito tipificado </w:t>
      </w:r>
      <w:r w:rsidRPr="00A50D57">
        <w:rPr>
          <w:rFonts w:ascii="Cambria" w:hAnsi="Cambria" w:cs="Calibri"/>
          <w:sz w:val="16"/>
          <w:szCs w:val="16"/>
          <w:lang w:val="es-PE"/>
        </w:rPr>
        <w:t>en los artículos 257 inciso 3 y artículo 340, ambos del Código Penal (común)</w:t>
      </w:r>
      <w:r w:rsidR="00AE7370" w:rsidRPr="00A50D57">
        <w:rPr>
          <w:rFonts w:ascii="Cambria" w:hAnsi="Cambria"/>
          <w:sz w:val="16"/>
          <w:szCs w:val="16"/>
          <w:lang w:val="es-ES_tradnl"/>
        </w:rPr>
        <w:t>.</w:t>
      </w:r>
      <w:r w:rsidRPr="00A50D57">
        <w:rPr>
          <w:rFonts w:ascii="Cambria" w:hAnsi="Cambria"/>
          <w:sz w:val="16"/>
          <w:szCs w:val="16"/>
          <w:lang w:val="es-ES_tradnl"/>
        </w:rPr>
        <w:t xml:space="preserve"> </w:t>
      </w:r>
    </w:p>
  </w:footnote>
  <w:footnote w:id="5">
    <w:p w:rsidR="004B5CDD" w:rsidRPr="00A50D57" w:rsidRDefault="004B5CDD" w:rsidP="00674EC3">
      <w:pPr>
        <w:spacing w:after="120"/>
        <w:ind w:firstLine="720"/>
        <w:jc w:val="both"/>
        <w:rPr>
          <w:rFonts w:ascii="Cambria" w:hAnsi="Cambria"/>
          <w:sz w:val="16"/>
          <w:szCs w:val="16"/>
          <w:lang w:val="es-ES_tradnl"/>
        </w:rPr>
      </w:pPr>
      <w:r w:rsidRPr="00A50D57">
        <w:rPr>
          <w:rStyle w:val="FootnoteReference"/>
          <w:rFonts w:ascii="Cambria" w:hAnsi="Cambria" w:cs="Calibri"/>
          <w:sz w:val="16"/>
          <w:szCs w:val="16"/>
        </w:rPr>
        <w:footnoteRef/>
      </w:r>
      <w:r w:rsidRPr="00A50D57">
        <w:rPr>
          <w:rFonts w:ascii="Cambria" w:hAnsi="Cambria"/>
          <w:sz w:val="16"/>
          <w:szCs w:val="16"/>
          <w:lang w:val="es-ES_tradnl"/>
        </w:rPr>
        <w:t xml:space="preserve"> </w:t>
      </w:r>
      <w:r w:rsidRPr="00A50D57">
        <w:rPr>
          <w:rFonts w:ascii="Cambria" w:hAnsi="Cambria"/>
          <w:sz w:val="16"/>
          <w:szCs w:val="16"/>
          <w:lang w:val="es-PE"/>
        </w:rPr>
        <w:t xml:space="preserve">El auto motivado habría ordenado la detención en firme como “autores” de los señores Villarroel, Cevallos Moreno, Coloma Gaibor, Trujillo Soto y Vinueza Panchez; y como “cómplices” a los señores López Ortiz, Azcásubi Albán y Estrella Borja. </w:t>
      </w:r>
      <w:r w:rsidR="00B1460D" w:rsidRPr="00A50D57">
        <w:rPr>
          <w:rFonts w:ascii="Cambria" w:hAnsi="Cambria"/>
          <w:sz w:val="16"/>
          <w:szCs w:val="16"/>
          <w:lang w:val="es-PE"/>
        </w:rPr>
        <w:t xml:space="preserve"> </w:t>
      </w:r>
    </w:p>
  </w:footnote>
  <w:footnote w:id="6">
    <w:p w:rsidR="004B5CDD" w:rsidRPr="00A50D57" w:rsidRDefault="004B5CDD" w:rsidP="00674EC3">
      <w:pPr>
        <w:spacing w:after="120"/>
        <w:ind w:firstLine="720"/>
        <w:jc w:val="both"/>
        <w:rPr>
          <w:rFonts w:ascii="Cambria" w:hAnsi="Cambria" w:cs="Arial"/>
          <w:sz w:val="16"/>
          <w:szCs w:val="16"/>
          <w:lang w:val="es-PE"/>
        </w:rPr>
      </w:pPr>
      <w:r w:rsidRPr="00A50D57">
        <w:rPr>
          <w:rStyle w:val="FootnoteReference"/>
          <w:rFonts w:ascii="Cambria" w:hAnsi="Cambria" w:cs="Calibri"/>
          <w:sz w:val="16"/>
          <w:szCs w:val="16"/>
        </w:rPr>
        <w:footnoteRef/>
      </w:r>
      <w:r w:rsidRPr="00A50D57">
        <w:rPr>
          <w:rFonts w:ascii="Cambria" w:hAnsi="Cambria"/>
          <w:sz w:val="16"/>
          <w:szCs w:val="16"/>
          <w:lang w:val="es-ES_tradnl"/>
        </w:rPr>
        <w:t xml:space="preserve"> </w:t>
      </w:r>
      <w:r w:rsidR="00F7018E" w:rsidRPr="00A50D57">
        <w:rPr>
          <w:rFonts w:ascii="Cambria" w:hAnsi="Cambria" w:cs="Calibri"/>
          <w:sz w:val="16"/>
          <w:szCs w:val="16"/>
          <w:lang w:val="es-PE"/>
        </w:rPr>
        <w:t xml:space="preserve">Señala el peticionario que en el primer transitorio del Código de Procedimiento Penal común reformado, aclara que los procesos iniciados con anterioridad a la fecha de entrada en vigencia, debían continuar con la norma anterior, salvo que le beneficiara a la persona. </w:t>
      </w:r>
    </w:p>
  </w:footnote>
  <w:footnote w:id="7">
    <w:p w:rsidR="003303CD" w:rsidRPr="00A50D57" w:rsidRDefault="003303CD" w:rsidP="00674EC3">
      <w:pPr>
        <w:pStyle w:val="FootnoteText"/>
        <w:spacing w:after="120"/>
        <w:ind w:firstLine="720"/>
        <w:jc w:val="both"/>
        <w:rPr>
          <w:rFonts w:ascii="Cambria" w:hAnsi="Cambria"/>
          <w:sz w:val="16"/>
          <w:szCs w:val="16"/>
          <w:lang w:val="es-AR"/>
        </w:rPr>
      </w:pPr>
      <w:r w:rsidRPr="00A50D57">
        <w:rPr>
          <w:rStyle w:val="FootnoteReference"/>
          <w:rFonts w:ascii="Cambria" w:hAnsi="Cambria"/>
          <w:sz w:val="16"/>
          <w:szCs w:val="16"/>
        </w:rPr>
        <w:footnoteRef/>
      </w:r>
      <w:r w:rsidRPr="00A50D57">
        <w:rPr>
          <w:rFonts w:ascii="Cambria" w:hAnsi="Cambria"/>
          <w:sz w:val="16"/>
          <w:szCs w:val="16"/>
          <w:lang w:val="es-AR"/>
        </w:rPr>
        <w:t xml:space="preserve"> En el recurso de apelación que presentó el peticionario, solicita a la CNJP, asimismo, la aplicación del artículo </w:t>
      </w:r>
      <w:r w:rsidR="00A23AA6" w:rsidRPr="00A50D57">
        <w:rPr>
          <w:rFonts w:ascii="Cambria" w:hAnsi="Cambria"/>
          <w:sz w:val="16"/>
          <w:szCs w:val="16"/>
          <w:lang w:val="es-AR"/>
        </w:rPr>
        <w:t xml:space="preserve">160 </w:t>
      </w:r>
      <w:r w:rsidRPr="00A50D57">
        <w:rPr>
          <w:rFonts w:ascii="Cambria" w:hAnsi="Cambria"/>
          <w:sz w:val="16"/>
          <w:szCs w:val="16"/>
          <w:lang w:val="es-AR"/>
        </w:rPr>
        <w:t>del Código</w:t>
      </w:r>
      <w:r w:rsidR="00A23AA6" w:rsidRPr="00A50D57">
        <w:rPr>
          <w:rFonts w:ascii="Cambria" w:hAnsi="Cambria"/>
          <w:sz w:val="16"/>
          <w:szCs w:val="16"/>
          <w:lang w:val="es-AR"/>
        </w:rPr>
        <w:t xml:space="preserve"> de Procedimiento Penal de la Policía Nacional </w:t>
      </w:r>
      <w:r w:rsidRPr="00A50D57">
        <w:rPr>
          <w:rFonts w:ascii="Cambria" w:hAnsi="Cambria"/>
          <w:sz w:val="16"/>
          <w:szCs w:val="16"/>
          <w:lang w:val="es-AR"/>
        </w:rPr>
        <w:t xml:space="preserve"> que establece el sobreseimiento </w:t>
      </w:r>
      <w:r w:rsidR="00A23AA6" w:rsidRPr="00A50D57">
        <w:rPr>
          <w:rFonts w:ascii="Cambria" w:hAnsi="Cambria"/>
          <w:sz w:val="16"/>
          <w:szCs w:val="16"/>
          <w:lang w:val="es-AR"/>
        </w:rPr>
        <w:t>definitivo</w:t>
      </w:r>
      <w:r w:rsidRPr="00A50D57">
        <w:rPr>
          <w:rFonts w:ascii="Cambria" w:hAnsi="Cambria"/>
          <w:sz w:val="16"/>
          <w:szCs w:val="16"/>
          <w:lang w:val="es-AR"/>
        </w:rPr>
        <w:t xml:space="preserve"> ante el dictamen fiscal definitivo abstentivo.  </w:t>
      </w:r>
    </w:p>
  </w:footnote>
  <w:footnote w:id="8">
    <w:p w:rsidR="00752F94" w:rsidRPr="00A50D57" w:rsidRDefault="00752F94" w:rsidP="001229C1">
      <w:pPr>
        <w:spacing w:after="120"/>
        <w:ind w:firstLine="720"/>
        <w:jc w:val="both"/>
        <w:rPr>
          <w:rFonts w:ascii="Cambria" w:hAnsi="Cambria" w:cs="Arial"/>
          <w:sz w:val="16"/>
          <w:szCs w:val="16"/>
          <w:lang w:val="es-EC"/>
        </w:rPr>
      </w:pPr>
      <w:r w:rsidRPr="00A50D57">
        <w:rPr>
          <w:rStyle w:val="FootnoteReference"/>
          <w:rFonts w:ascii="Cambria" w:hAnsi="Cambria" w:cs="Calibri"/>
          <w:sz w:val="16"/>
          <w:szCs w:val="16"/>
        </w:rPr>
        <w:footnoteRef/>
      </w:r>
      <w:r w:rsidRPr="00A50D57">
        <w:rPr>
          <w:rFonts w:ascii="Cambria" w:hAnsi="Cambria"/>
          <w:sz w:val="16"/>
          <w:szCs w:val="16"/>
          <w:lang w:val="es-ES_tradnl"/>
        </w:rPr>
        <w:t xml:space="preserve"> </w:t>
      </w:r>
      <w:r w:rsidRPr="00A50D57">
        <w:rPr>
          <w:rFonts w:ascii="Cambria" w:hAnsi="Cambria" w:cs="Arial"/>
          <w:sz w:val="16"/>
          <w:szCs w:val="16"/>
          <w:lang w:val="es-EC"/>
        </w:rPr>
        <w:t xml:space="preserve">CIDH, Informe No.  44/04 Inadmisibilidad Petición 2584-02, </w:t>
      </w:r>
      <w:r w:rsidRPr="00A50D57">
        <w:rPr>
          <w:rFonts w:ascii="Cambria" w:hAnsi="Cambria" w:cs="Arial"/>
          <w:i/>
          <w:sz w:val="16"/>
          <w:szCs w:val="16"/>
          <w:lang w:val="es-EC"/>
        </w:rPr>
        <w:t>Laura Tena Colunga y otros</w:t>
      </w:r>
      <w:r w:rsidRPr="00A50D57">
        <w:rPr>
          <w:rFonts w:ascii="Cambria" w:hAnsi="Cambria" w:cs="Arial"/>
          <w:sz w:val="16"/>
          <w:szCs w:val="16"/>
          <w:lang w:val="es-EC"/>
        </w:rPr>
        <w:t xml:space="preserve"> v. México; 13 de octubre de 2004, párr. 37.</w:t>
      </w:r>
    </w:p>
  </w:footnote>
  <w:footnote w:id="9">
    <w:p w:rsidR="00752F94" w:rsidRPr="00A50D57" w:rsidRDefault="00752F94" w:rsidP="001229C1">
      <w:pPr>
        <w:spacing w:after="120"/>
        <w:ind w:firstLine="720"/>
        <w:jc w:val="both"/>
        <w:rPr>
          <w:rFonts w:ascii="Cambria" w:hAnsi="Cambria"/>
          <w:sz w:val="16"/>
          <w:szCs w:val="16"/>
          <w:lang w:val="es-AR"/>
        </w:rPr>
      </w:pPr>
      <w:r w:rsidRPr="00A50D57">
        <w:rPr>
          <w:rStyle w:val="FootnoteReference"/>
          <w:rFonts w:ascii="Cambria" w:hAnsi="Cambria" w:cs="Calibri"/>
          <w:sz w:val="16"/>
          <w:szCs w:val="16"/>
        </w:rPr>
        <w:footnoteRef/>
      </w:r>
      <w:r w:rsidRPr="00A50D57">
        <w:rPr>
          <w:rFonts w:ascii="Cambria" w:hAnsi="Cambria"/>
          <w:sz w:val="16"/>
          <w:szCs w:val="16"/>
          <w:lang w:val="es-AR"/>
        </w:rPr>
        <w:t xml:space="preserve"> Artículo 31(3) del Reglamento de la Comisión. Ver también </w:t>
      </w:r>
      <w:r w:rsidRPr="00A50D57">
        <w:rPr>
          <w:rFonts w:ascii="Cambria" w:hAnsi="Cambria"/>
          <w:sz w:val="16"/>
          <w:szCs w:val="16"/>
          <w:lang w:val="es-ES"/>
        </w:rPr>
        <w:t xml:space="preserve">Corte IDH. </w:t>
      </w:r>
      <w:r w:rsidRPr="00A50D57">
        <w:rPr>
          <w:rFonts w:ascii="Cambria" w:hAnsi="Cambria"/>
          <w:i/>
          <w:sz w:val="16"/>
          <w:szCs w:val="16"/>
          <w:lang w:val="es-ES"/>
        </w:rPr>
        <w:t>Caso Velásquez Rodríguez Vs. Honduras</w:t>
      </w:r>
      <w:r w:rsidRPr="00A50D57">
        <w:rPr>
          <w:rFonts w:ascii="Cambria" w:hAnsi="Cambria"/>
          <w:sz w:val="16"/>
          <w:szCs w:val="16"/>
          <w:lang w:val="es-ES"/>
        </w:rPr>
        <w:t>. Sentencia de 29 de julio de 1988. Serie C No. 4, párrafo 64.</w:t>
      </w:r>
    </w:p>
  </w:footnote>
  <w:footnote w:id="10">
    <w:p w:rsidR="00752F94" w:rsidRPr="00A50D57" w:rsidRDefault="00752F94" w:rsidP="00674EC3">
      <w:pPr>
        <w:spacing w:after="120"/>
        <w:ind w:firstLine="720"/>
        <w:jc w:val="both"/>
        <w:rPr>
          <w:rFonts w:ascii="Cambria" w:hAnsi="Cambria"/>
          <w:sz w:val="16"/>
          <w:szCs w:val="16"/>
          <w:lang w:val="es-ES_tradnl"/>
        </w:rPr>
      </w:pPr>
      <w:r w:rsidRPr="00A50D57">
        <w:rPr>
          <w:rStyle w:val="FootnoteReference"/>
          <w:rFonts w:ascii="Cambria" w:hAnsi="Cambria" w:cs="Calibri"/>
          <w:sz w:val="16"/>
          <w:szCs w:val="16"/>
        </w:rPr>
        <w:footnoteRef/>
      </w:r>
      <w:r w:rsidRPr="00A50D57">
        <w:rPr>
          <w:rFonts w:ascii="Cambria" w:hAnsi="Cambria"/>
          <w:sz w:val="16"/>
          <w:szCs w:val="16"/>
          <w:lang w:val="es-ES_tradnl"/>
        </w:rPr>
        <w:t xml:space="preserve"> CIDH, Informe No. 45-13, Admisibilidad, </w:t>
      </w:r>
      <w:r w:rsidRPr="00A50D57">
        <w:rPr>
          <w:rFonts w:ascii="Cambria" w:hAnsi="Cambria"/>
          <w:i/>
          <w:sz w:val="16"/>
          <w:szCs w:val="16"/>
          <w:lang w:val="es-ES_tradnl"/>
        </w:rPr>
        <w:t>Eduardo Julián Parrilla Ortiz</w:t>
      </w:r>
      <w:r w:rsidRPr="00A50D57">
        <w:rPr>
          <w:rFonts w:ascii="Cambria" w:hAnsi="Cambria"/>
          <w:sz w:val="16"/>
          <w:szCs w:val="16"/>
          <w:lang w:val="es-ES_tradnl"/>
        </w:rPr>
        <w:t xml:space="preserve">, 11 de julio de 2013 vs Ecuador, párr. 23;  CIDH, Informe No. 52/00, </w:t>
      </w:r>
      <w:r w:rsidRPr="00A50D57">
        <w:rPr>
          <w:rFonts w:ascii="Cambria" w:hAnsi="Cambria"/>
          <w:i/>
          <w:sz w:val="16"/>
          <w:szCs w:val="16"/>
          <w:lang w:val="es-ES_tradnl"/>
        </w:rPr>
        <w:t>Trabajadores cesados del Congreso</w:t>
      </w:r>
      <w:r w:rsidRPr="00A50D57">
        <w:rPr>
          <w:rFonts w:ascii="Cambria" w:hAnsi="Cambria"/>
          <w:sz w:val="16"/>
          <w:szCs w:val="16"/>
          <w:lang w:val="es-ES_tradnl"/>
        </w:rPr>
        <w:t>, 15 de junio de 2000, párr. 21.</w:t>
      </w:r>
    </w:p>
  </w:footnote>
  <w:footnote w:id="11">
    <w:p w:rsidR="00752F94" w:rsidRPr="00A50D57" w:rsidRDefault="00752F94" w:rsidP="00674EC3">
      <w:pPr>
        <w:pStyle w:val="FootnoteText"/>
        <w:spacing w:after="120"/>
        <w:ind w:firstLine="720"/>
        <w:jc w:val="both"/>
        <w:rPr>
          <w:rFonts w:ascii="Cambria" w:hAnsi="Cambria"/>
          <w:sz w:val="16"/>
          <w:szCs w:val="16"/>
          <w:lang w:val="es-ES_tradnl"/>
        </w:rPr>
      </w:pPr>
      <w:r w:rsidRPr="00A50D57">
        <w:rPr>
          <w:rStyle w:val="FootnoteReference"/>
          <w:rFonts w:ascii="Cambria" w:hAnsi="Cambria"/>
          <w:sz w:val="16"/>
          <w:szCs w:val="16"/>
        </w:rPr>
        <w:footnoteRef/>
      </w:r>
      <w:r w:rsidRPr="00A50D57">
        <w:rPr>
          <w:rFonts w:ascii="Cambria" w:hAnsi="Cambria"/>
          <w:sz w:val="16"/>
          <w:szCs w:val="16"/>
          <w:lang w:val="es-ES_tradnl"/>
        </w:rPr>
        <w:t xml:space="preserve"> Véase entre otros: CIDH, Informe No, 173/11, Petición 897-04, </w:t>
      </w:r>
      <w:r w:rsidRPr="00A50D57">
        <w:rPr>
          <w:rFonts w:ascii="Cambria" w:hAnsi="Cambria"/>
          <w:i/>
          <w:sz w:val="16"/>
          <w:szCs w:val="16"/>
          <w:lang w:val="es-ES_tradnl"/>
        </w:rPr>
        <w:t>Alejandro Daniel Esteve e hijos</w:t>
      </w:r>
      <w:r w:rsidRPr="00A50D57">
        <w:rPr>
          <w:rFonts w:ascii="Cambria" w:hAnsi="Cambria"/>
          <w:sz w:val="16"/>
          <w:szCs w:val="16"/>
          <w:lang w:val="es-ES_tradnl"/>
        </w:rPr>
        <w:t xml:space="preserve">, Brasil, 2 de noviembre de 2011, párr. 43; CIDH, Informe No. 3/11, P-491-98, Admisibilidad, </w:t>
      </w:r>
      <w:r w:rsidRPr="00A50D57">
        <w:rPr>
          <w:rFonts w:ascii="Cambria" w:hAnsi="Cambria"/>
          <w:i/>
          <w:sz w:val="16"/>
          <w:szCs w:val="16"/>
          <w:lang w:val="es-ES_tradnl"/>
        </w:rPr>
        <w:t>Néstor Rolando López y otros</w:t>
      </w:r>
      <w:r w:rsidRPr="00A50D57">
        <w:rPr>
          <w:rFonts w:ascii="Cambria" w:hAnsi="Cambria"/>
          <w:sz w:val="16"/>
          <w:szCs w:val="16"/>
          <w:lang w:val="es-ES_tradnl"/>
        </w:rPr>
        <w:t xml:space="preserve">, 5 de enero de 2011, párr. 37; CIDH, Informe No. 12/10, Caso 12.106, Admisibilidad, </w:t>
      </w:r>
      <w:r w:rsidRPr="00A50D57">
        <w:rPr>
          <w:rFonts w:ascii="Cambria" w:hAnsi="Cambria"/>
          <w:i/>
          <w:sz w:val="16"/>
          <w:szCs w:val="16"/>
          <w:lang w:val="es-ES_tradnl"/>
        </w:rPr>
        <w:t>Enrique Hermann Pfister Frías y Lucrecia Pfister Frías</w:t>
      </w:r>
      <w:r w:rsidRPr="00A50D57">
        <w:rPr>
          <w:rFonts w:ascii="Cambria" w:hAnsi="Cambria"/>
          <w:sz w:val="16"/>
          <w:szCs w:val="16"/>
          <w:lang w:val="es-ES_tradnl"/>
        </w:rPr>
        <w:t xml:space="preserve">, Argentina, 16 de marzo de 2010. Párr. 46; CIDH, Informe No. 10/10, Petición No. 214-08, Admisibilidad, </w:t>
      </w:r>
      <w:r w:rsidRPr="00A50D57">
        <w:rPr>
          <w:rFonts w:ascii="Cambria" w:hAnsi="Cambria"/>
          <w:i/>
          <w:sz w:val="16"/>
          <w:szCs w:val="16"/>
          <w:lang w:val="es-ES_tradnl"/>
        </w:rPr>
        <w:t>Koempai y otros</w:t>
      </w:r>
      <w:r w:rsidRPr="00A50D57">
        <w:rPr>
          <w:rFonts w:ascii="Cambria" w:hAnsi="Cambria"/>
          <w:sz w:val="16"/>
          <w:szCs w:val="16"/>
          <w:lang w:val="es-ES_tradnl"/>
        </w:rPr>
        <w:t>, Suriname, 16 de marzo de 2010. Párr. 43.</w:t>
      </w:r>
    </w:p>
  </w:footnote>
  <w:footnote w:id="12">
    <w:p w:rsidR="00752F94" w:rsidRPr="00A50D57" w:rsidRDefault="00752F94" w:rsidP="00674EC3">
      <w:pPr>
        <w:spacing w:after="120"/>
        <w:ind w:firstLine="720"/>
        <w:jc w:val="both"/>
        <w:rPr>
          <w:rFonts w:ascii="Cambria" w:hAnsi="Cambria"/>
          <w:sz w:val="16"/>
          <w:szCs w:val="16"/>
          <w:lang w:val="es-ES_tradnl"/>
        </w:rPr>
      </w:pPr>
      <w:r w:rsidRPr="00A50D57">
        <w:rPr>
          <w:rStyle w:val="FootnoteReference"/>
          <w:rFonts w:ascii="Cambria" w:hAnsi="Cambria"/>
          <w:sz w:val="16"/>
          <w:szCs w:val="16"/>
        </w:rPr>
        <w:footnoteRef/>
      </w:r>
      <w:r w:rsidRPr="00A50D57">
        <w:rPr>
          <w:rFonts w:ascii="Cambria" w:hAnsi="Cambria"/>
          <w:sz w:val="16"/>
          <w:szCs w:val="16"/>
          <w:lang w:val="es-ES_tradnl"/>
        </w:rPr>
        <w:t xml:space="preserve"> CIDH, Informe No. 8/98, Caso 11.671, Inadmisibilidad, </w:t>
      </w:r>
      <w:r w:rsidRPr="00A50D57">
        <w:rPr>
          <w:rFonts w:ascii="Cambria" w:hAnsi="Cambria"/>
          <w:i/>
          <w:sz w:val="16"/>
          <w:szCs w:val="16"/>
          <w:lang w:val="es-ES_tradnl"/>
        </w:rPr>
        <w:t>Carlos García Saccone</w:t>
      </w:r>
      <w:r w:rsidRPr="00A50D57">
        <w:rPr>
          <w:rFonts w:ascii="Cambria" w:hAnsi="Cambria"/>
          <w:sz w:val="16"/>
          <w:szCs w:val="16"/>
          <w:lang w:val="es-ES_tradnl"/>
        </w:rPr>
        <w:t xml:space="preserve">, Argentina, 2 de marzo de 1998, párr. 53 e Informe No. 2/05, Petición 11.618, Admisibilidad, </w:t>
      </w:r>
      <w:r w:rsidRPr="00A50D57">
        <w:rPr>
          <w:rFonts w:ascii="Cambria" w:hAnsi="Cambria"/>
          <w:i/>
          <w:sz w:val="16"/>
          <w:szCs w:val="16"/>
          <w:lang w:val="es-ES_tradnl"/>
        </w:rPr>
        <w:t>Carlos Alberto Mohamed</w:t>
      </w:r>
      <w:r w:rsidRPr="00A50D57">
        <w:rPr>
          <w:rFonts w:ascii="Cambria" w:hAnsi="Cambria"/>
          <w:sz w:val="16"/>
          <w:szCs w:val="16"/>
          <w:lang w:val="es-ES_tradnl"/>
        </w:rPr>
        <w:t>, Argentina, 22 de febrero de 2005, párr. 32.</w:t>
      </w:r>
    </w:p>
  </w:footnote>
  <w:footnote w:id="13">
    <w:p w:rsidR="00752F94" w:rsidRPr="00A50D57" w:rsidRDefault="00752F94" w:rsidP="00674EC3">
      <w:pPr>
        <w:spacing w:after="120"/>
        <w:ind w:firstLine="720"/>
        <w:jc w:val="both"/>
        <w:rPr>
          <w:rFonts w:ascii="Cambria" w:hAnsi="Cambria"/>
          <w:sz w:val="16"/>
          <w:szCs w:val="16"/>
          <w:lang w:val="es-MX"/>
        </w:rPr>
      </w:pPr>
      <w:r w:rsidRPr="00A50D57">
        <w:rPr>
          <w:rStyle w:val="FootnoteReference"/>
          <w:rFonts w:ascii="Cambria" w:hAnsi="Cambria"/>
          <w:sz w:val="16"/>
          <w:szCs w:val="16"/>
        </w:rPr>
        <w:footnoteRef/>
      </w:r>
      <w:r w:rsidRPr="00A50D57">
        <w:rPr>
          <w:rFonts w:ascii="Cambria" w:hAnsi="Cambria"/>
          <w:sz w:val="16"/>
          <w:szCs w:val="16"/>
          <w:lang w:val="es-MX"/>
        </w:rPr>
        <w:t xml:space="preserve"> </w:t>
      </w:r>
      <w:r w:rsidRPr="00A50D57">
        <w:rPr>
          <w:rFonts w:ascii="Cambria" w:hAnsi="Cambria"/>
          <w:sz w:val="16"/>
          <w:szCs w:val="16"/>
          <w:lang w:val="es-ES_tradnl"/>
        </w:rPr>
        <w:t xml:space="preserve">CIDH, Informe No. 36/13, Petición 403-02, Admisibilidad, </w:t>
      </w:r>
      <w:r w:rsidRPr="00A50D57">
        <w:rPr>
          <w:rFonts w:ascii="Cambria" w:hAnsi="Cambria"/>
          <w:i/>
          <w:sz w:val="16"/>
          <w:szCs w:val="16"/>
          <w:lang w:val="es-ES_tradnl"/>
        </w:rPr>
        <w:t>José Delfin Acosta Martínez y familia</w:t>
      </w:r>
      <w:r w:rsidRPr="00A50D57">
        <w:rPr>
          <w:rFonts w:ascii="Cambria" w:hAnsi="Cambria"/>
          <w:sz w:val="16"/>
          <w:szCs w:val="16"/>
          <w:lang w:val="es-ES_tradnl"/>
        </w:rPr>
        <w:t xml:space="preserve">, Argentina, 11 de julio de 2013, párr. 43; </w:t>
      </w:r>
      <w:r w:rsidRPr="00A50D57">
        <w:rPr>
          <w:rFonts w:ascii="Cambria" w:hAnsi="Cambria"/>
          <w:sz w:val="16"/>
          <w:szCs w:val="16"/>
          <w:lang w:val="es-MX"/>
        </w:rPr>
        <w:t xml:space="preserve">CIDH, Informe No. 105, 99, Caso 10.194, Admisibilidad y Fondo, </w:t>
      </w:r>
      <w:r w:rsidRPr="00A50D57">
        <w:rPr>
          <w:rFonts w:ascii="Cambria" w:hAnsi="Cambria"/>
          <w:i/>
          <w:sz w:val="16"/>
          <w:szCs w:val="16"/>
          <w:lang w:val="es-MX"/>
        </w:rPr>
        <w:t>Narciso Palacios</w:t>
      </w:r>
      <w:r w:rsidRPr="00A50D57">
        <w:rPr>
          <w:rFonts w:ascii="Cambria" w:hAnsi="Cambria"/>
          <w:sz w:val="16"/>
          <w:szCs w:val="16"/>
          <w:lang w:val="es-MX"/>
        </w:rPr>
        <w:t>, Argentina, 29 de septiembre de 1999, párr. 45.</w:t>
      </w:r>
    </w:p>
  </w:footnote>
  <w:footnote w:id="14">
    <w:p w:rsidR="00752F94" w:rsidRPr="00A50D57" w:rsidRDefault="00752F94" w:rsidP="00674EC3">
      <w:pPr>
        <w:pStyle w:val="FootnoteText"/>
        <w:spacing w:after="120"/>
        <w:ind w:firstLine="720"/>
        <w:jc w:val="both"/>
        <w:rPr>
          <w:rFonts w:ascii="Cambria" w:hAnsi="Cambria" w:cs="Calibri"/>
          <w:sz w:val="16"/>
          <w:szCs w:val="16"/>
          <w:lang w:val="es-AR"/>
        </w:rPr>
      </w:pPr>
      <w:r w:rsidRPr="00A50D57">
        <w:rPr>
          <w:rStyle w:val="FootnoteReference"/>
          <w:rFonts w:ascii="Cambria" w:hAnsi="Cambria" w:cs="Calibri"/>
          <w:sz w:val="16"/>
          <w:szCs w:val="16"/>
        </w:rPr>
        <w:footnoteRef/>
      </w:r>
      <w:r w:rsidRPr="00A50D57">
        <w:rPr>
          <w:rFonts w:ascii="Cambria" w:hAnsi="Cambria" w:cs="Calibri"/>
          <w:sz w:val="16"/>
          <w:szCs w:val="16"/>
          <w:lang w:val="es-AR"/>
        </w:rPr>
        <w:t xml:space="preserve"> CIDH, Informe No. </w:t>
      </w:r>
      <w:r w:rsidRPr="00A50D57">
        <w:rPr>
          <w:rFonts w:ascii="Cambria" w:hAnsi="Cambria" w:cs="Calibri"/>
          <w:sz w:val="16"/>
          <w:szCs w:val="16"/>
          <w:lang w:val="es-EC"/>
        </w:rPr>
        <w:t xml:space="preserve">50/04, Admisibilidad, Petición 12.056, </w:t>
      </w:r>
      <w:r w:rsidRPr="00A50D57">
        <w:rPr>
          <w:rFonts w:ascii="Cambria" w:hAnsi="Cambria" w:cs="Calibri"/>
          <w:i/>
          <w:sz w:val="16"/>
          <w:szCs w:val="16"/>
          <w:lang w:val="es-EC"/>
        </w:rPr>
        <w:t>Gabriel Oscar Jenkins,</w:t>
      </w:r>
      <w:r w:rsidRPr="00A50D57">
        <w:rPr>
          <w:rFonts w:ascii="Cambria" w:hAnsi="Cambria" w:cs="Calibri"/>
          <w:sz w:val="16"/>
          <w:szCs w:val="16"/>
          <w:lang w:val="es-EC"/>
        </w:rPr>
        <w:t xml:space="preserve"> 13 de octubre de 2004, párr.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94" w:rsidRDefault="00752F94" w:rsidP="00752F9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52F94" w:rsidRDefault="00752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94" w:rsidRDefault="009D65C5" w:rsidP="00A50FCF">
    <w:pPr>
      <w:pStyle w:val="Header"/>
      <w:tabs>
        <w:tab w:val="clear" w:pos="4320"/>
        <w:tab w:val="clear" w:pos="8640"/>
      </w:tabs>
      <w:jc w:val="center"/>
      <w:rPr>
        <w:sz w:val="22"/>
        <w:szCs w:val="22"/>
      </w:rPr>
    </w:pPr>
    <w:r w:rsidRPr="009D65C5">
      <w:rPr>
        <w:noProof/>
        <w:sz w:val="22"/>
        <w:szCs w:val="22"/>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155.55pt;height:8.15pt;visibility:visible">
          <v:imagedata r:id="rId1" o:title="cidh-peq"/>
        </v:shape>
      </w:pict>
    </w:r>
  </w:p>
  <w:p w:rsidR="00752F94" w:rsidRPr="00EC7D62" w:rsidRDefault="00F47167" w:rsidP="00A50FCF">
    <w:pPr>
      <w:pStyle w:val="Header"/>
      <w:tabs>
        <w:tab w:val="clear" w:pos="4320"/>
        <w:tab w:val="clear" w:pos="8640"/>
      </w:tabs>
      <w:jc w:val="center"/>
      <w:rPr>
        <w:sz w:val="22"/>
        <w:szCs w:val="22"/>
      </w:rPr>
    </w:pPr>
    <w:r>
      <w:rPr>
        <w:sz w:val="22"/>
        <w:szCs w:val="22"/>
      </w:rPr>
      <w:pict>
        <v:rect id="_x0000_i1027"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02" w:rsidRDefault="00534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37E6ED1"/>
    <w:multiLevelType w:val="hybridMultilevel"/>
    <w:tmpl w:val="0CB874CA"/>
    <w:lvl w:ilvl="0" w:tplc="CA8630EC">
      <w:start w:val="1"/>
      <w:numFmt w:val="decimal"/>
      <w:lvlText w:val="%1."/>
      <w:lvlJc w:val="left"/>
      <w:pPr>
        <w:tabs>
          <w:tab w:val="num" w:pos="720"/>
        </w:tabs>
        <w:ind w:left="0" w:firstLine="720"/>
      </w:pPr>
      <w:rPr>
        <w:rFonts w:ascii="Cambria" w:hAnsi="Cambria" w:cs="Calibri" w:hint="default"/>
        <w:b w:val="0"/>
        <w:color w:val="auto"/>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C53E12"/>
    <w:multiLevelType w:val="hybridMultilevel"/>
    <w:tmpl w:val="BB7E87D4"/>
    <w:lvl w:ilvl="0" w:tplc="919C9BA6">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E4161E8"/>
    <w:multiLevelType w:val="hybridMultilevel"/>
    <w:tmpl w:val="BEB83510"/>
    <w:lvl w:ilvl="0" w:tplc="1F88EE06">
      <w:start w:val="1"/>
      <w:numFmt w:val="upperLetter"/>
      <w:pStyle w:val="Heading2"/>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31A35F7"/>
    <w:multiLevelType w:val="hybridMultilevel"/>
    <w:tmpl w:val="A3D81F1C"/>
    <w:lvl w:ilvl="0" w:tplc="EAB489B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65D739ED"/>
    <w:multiLevelType w:val="hybridMultilevel"/>
    <w:tmpl w:val="C7DAA4C8"/>
    <w:lvl w:ilvl="0" w:tplc="8EAE1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0004DB54"/>
    <w:lvl w:ilvl="0" w:tplc="69020C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2"/>
  </w:num>
  <w:num w:numId="5">
    <w:abstractNumId w:val="48"/>
  </w:num>
  <w:num w:numId="6">
    <w:abstractNumId w:val="27"/>
  </w:num>
  <w:num w:numId="7">
    <w:abstractNumId w:val="6"/>
  </w:num>
  <w:num w:numId="8">
    <w:abstractNumId w:val="18"/>
  </w:num>
  <w:num w:numId="9">
    <w:abstractNumId w:val="42"/>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7"/>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5"/>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1"/>
  </w:num>
  <w:num w:numId="52">
    <w:abstractNumId w:val="41"/>
  </w:num>
  <w:num w:numId="53">
    <w:abstractNumId w:val="51"/>
  </w:num>
  <w:num w:numId="54">
    <w:abstractNumId w:val="44"/>
  </w:num>
  <w:num w:numId="55">
    <w:abstractNumId w:val="13"/>
  </w:num>
  <w:num w:numId="56">
    <w:abstractNumId w:val="46"/>
  </w:num>
  <w:num w:numId="57">
    <w:abstractNumId w:val="8"/>
  </w:num>
  <w:num w:numId="58">
    <w:abstractNumId w:val="5"/>
  </w:num>
  <w:num w:numId="59">
    <w:abstractNumId w:val="47"/>
  </w:num>
  <w:num w:numId="60">
    <w:abstractNumId w:val="38"/>
  </w:num>
  <w:num w:numId="61">
    <w:abstractNumId w:val="51"/>
  </w:num>
  <w:num w:numId="62">
    <w:abstractNumId w:val="38"/>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grammar="clean"/>
  <w:revisionView w:markup="0"/>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036F"/>
    <w:rsid w:val="00000CDA"/>
    <w:rsid w:val="00005446"/>
    <w:rsid w:val="00006E1F"/>
    <w:rsid w:val="000070D7"/>
    <w:rsid w:val="00014AE0"/>
    <w:rsid w:val="000155B4"/>
    <w:rsid w:val="0001788C"/>
    <w:rsid w:val="00040C3A"/>
    <w:rsid w:val="00056374"/>
    <w:rsid w:val="00060451"/>
    <w:rsid w:val="000716C5"/>
    <w:rsid w:val="00074AE1"/>
    <w:rsid w:val="0007516D"/>
    <w:rsid w:val="00075E23"/>
    <w:rsid w:val="00081F2E"/>
    <w:rsid w:val="00092443"/>
    <w:rsid w:val="0009344A"/>
    <w:rsid w:val="000A344F"/>
    <w:rsid w:val="000A392E"/>
    <w:rsid w:val="000A575F"/>
    <w:rsid w:val="000C4635"/>
    <w:rsid w:val="000D10DB"/>
    <w:rsid w:val="000E5EB5"/>
    <w:rsid w:val="000F35ED"/>
    <w:rsid w:val="000F5D86"/>
    <w:rsid w:val="00107131"/>
    <w:rsid w:val="0010736F"/>
    <w:rsid w:val="00107E4D"/>
    <w:rsid w:val="00113F73"/>
    <w:rsid w:val="00116F9E"/>
    <w:rsid w:val="00121CC2"/>
    <w:rsid w:val="001229C1"/>
    <w:rsid w:val="00131F33"/>
    <w:rsid w:val="00133EE5"/>
    <w:rsid w:val="001464EA"/>
    <w:rsid w:val="00151C8D"/>
    <w:rsid w:val="00167A34"/>
    <w:rsid w:val="001817CF"/>
    <w:rsid w:val="00193D65"/>
    <w:rsid w:val="00197C2B"/>
    <w:rsid w:val="001A2122"/>
    <w:rsid w:val="001A7870"/>
    <w:rsid w:val="001C1B41"/>
    <w:rsid w:val="001D65EF"/>
    <w:rsid w:val="001F51C3"/>
    <w:rsid w:val="00203F81"/>
    <w:rsid w:val="002250A3"/>
    <w:rsid w:val="00235217"/>
    <w:rsid w:val="00235311"/>
    <w:rsid w:val="00246D1F"/>
    <w:rsid w:val="00247403"/>
    <w:rsid w:val="00247542"/>
    <w:rsid w:val="00253591"/>
    <w:rsid w:val="00266B61"/>
    <w:rsid w:val="0026712A"/>
    <w:rsid w:val="002704DB"/>
    <w:rsid w:val="00281C98"/>
    <w:rsid w:val="002865C2"/>
    <w:rsid w:val="002A0AAE"/>
    <w:rsid w:val="002A5820"/>
    <w:rsid w:val="002A6090"/>
    <w:rsid w:val="002B1B6C"/>
    <w:rsid w:val="002C41BD"/>
    <w:rsid w:val="002D2B26"/>
    <w:rsid w:val="002D7B4B"/>
    <w:rsid w:val="002D7EA2"/>
    <w:rsid w:val="002E187C"/>
    <w:rsid w:val="002E6588"/>
    <w:rsid w:val="002F48F9"/>
    <w:rsid w:val="002F71AC"/>
    <w:rsid w:val="00302733"/>
    <w:rsid w:val="00313C1B"/>
    <w:rsid w:val="00314078"/>
    <w:rsid w:val="0031535D"/>
    <w:rsid w:val="003303CD"/>
    <w:rsid w:val="0033169F"/>
    <w:rsid w:val="003340E5"/>
    <w:rsid w:val="00346C95"/>
    <w:rsid w:val="00347E32"/>
    <w:rsid w:val="00356185"/>
    <w:rsid w:val="00360380"/>
    <w:rsid w:val="00374B68"/>
    <w:rsid w:val="0037519E"/>
    <w:rsid w:val="00377AC3"/>
    <w:rsid w:val="00386CF0"/>
    <w:rsid w:val="0039191D"/>
    <w:rsid w:val="003A17B4"/>
    <w:rsid w:val="003A1E32"/>
    <w:rsid w:val="003A5882"/>
    <w:rsid w:val="003B2A41"/>
    <w:rsid w:val="003C177F"/>
    <w:rsid w:val="003C676B"/>
    <w:rsid w:val="003D0AC5"/>
    <w:rsid w:val="003D3BC2"/>
    <w:rsid w:val="003D46A7"/>
    <w:rsid w:val="003D5789"/>
    <w:rsid w:val="003E6CA1"/>
    <w:rsid w:val="003F5B21"/>
    <w:rsid w:val="00413F13"/>
    <w:rsid w:val="004165C2"/>
    <w:rsid w:val="00422B31"/>
    <w:rsid w:val="00424B14"/>
    <w:rsid w:val="00431292"/>
    <w:rsid w:val="00441ECB"/>
    <w:rsid w:val="00445F4E"/>
    <w:rsid w:val="00467B7E"/>
    <w:rsid w:val="00477592"/>
    <w:rsid w:val="00486C70"/>
    <w:rsid w:val="00486F1C"/>
    <w:rsid w:val="00490FDC"/>
    <w:rsid w:val="004921EA"/>
    <w:rsid w:val="0049419D"/>
    <w:rsid w:val="0049745E"/>
    <w:rsid w:val="004B5CDD"/>
    <w:rsid w:val="004C20D2"/>
    <w:rsid w:val="004C3779"/>
    <w:rsid w:val="004C3A6A"/>
    <w:rsid w:val="004C4B62"/>
    <w:rsid w:val="004C4CCA"/>
    <w:rsid w:val="004C54C9"/>
    <w:rsid w:val="004D6025"/>
    <w:rsid w:val="004E2649"/>
    <w:rsid w:val="00501399"/>
    <w:rsid w:val="0050633D"/>
    <w:rsid w:val="00506CAF"/>
    <w:rsid w:val="00507BC4"/>
    <w:rsid w:val="005128E4"/>
    <w:rsid w:val="005133DB"/>
    <w:rsid w:val="00525560"/>
    <w:rsid w:val="0052778A"/>
    <w:rsid w:val="00534002"/>
    <w:rsid w:val="00544C49"/>
    <w:rsid w:val="005516A1"/>
    <w:rsid w:val="00551819"/>
    <w:rsid w:val="00564A10"/>
    <w:rsid w:val="005661F0"/>
    <w:rsid w:val="0057402A"/>
    <w:rsid w:val="005771D0"/>
    <w:rsid w:val="0057753D"/>
    <w:rsid w:val="0059191A"/>
    <w:rsid w:val="005921FF"/>
    <w:rsid w:val="0059553B"/>
    <w:rsid w:val="005A6D0E"/>
    <w:rsid w:val="005B52B0"/>
    <w:rsid w:val="005B6806"/>
    <w:rsid w:val="005C2FEB"/>
    <w:rsid w:val="005C4225"/>
    <w:rsid w:val="005C6FCD"/>
    <w:rsid w:val="005C74CD"/>
    <w:rsid w:val="005F0DAD"/>
    <w:rsid w:val="005F0F33"/>
    <w:rsid w:val="00600DEB"/>
    <w:rsid w:val="00615498"/>
    <w:rsid w:val="00626F0E"/>
    <w:rsid w:val="00627C9F"/>
    <w:rsid w:val="006311E9"/>
    <w:rsid w:val="0063165E"/>
    <w:rsid w:val="00632354"/>
    <w:rsid w:val="006415FC"/>
    <w:rsid w:val="00642810"/>
    <w:rsid w:val="00643F8F"/>
    <w:rsid w:val="00645FCA"/>
    <w:rsid w:val="00652333"/>
    <w:rsid w:val="00674EC3"/>
    <w:rsid w:val="0067510F"/>
    <w:rsid w:val="0068009E"/>
    <w:rsid w:val="006815EF"/>
    <w:rsid w:val="00683AB1"/>
    <w:rsid w:val="00692219"/>
    <w:rsid w:val="006A17D2"/>
    <w:rsid w:val="006A35C6"/>
    <w:rsid w:val="006A73E6"/>
    <w:rsid w:val="006B2D5C"/>
    <w:rsid w:val="006C4EB1"/>
    <w:rsid w:val="006D3D07"/>
    <w:rsid w:val="006E0166"/>
    <w:rsid w:val="006E7B34"/>
    <w:rsid w:val="006F26F4"/>
    <w:rsid w:val="007016F5"/>
    <w:rsid w:val="00703B88"/>
    <w:rsid w:val="0070697F"/>
    <w:rsid w:val="00713248"/>
    <w:rsid w:val="00721289"/>
    <w:rsid w:val="0072199C"/>
    <w:rsid w:val="00722C9F"/>
    <w:rsid w:val="007253B8"/>
    <w:rsid w:val="00735754"/>
    <w:rsid w:val="0073741F"/>
    <w:rsid w:val="00752F94"/>
    <w:rsid w:val="00762DB1"/>
    <w:rsid w:val="0076643F"/>
    <w:rsid w:val="007707D0"/>
    <w:rsid w:val="007750DA"/>
    <w:rsid w:val="00777F63"/>
    <w:rsid w:val="00781F0F"/>
    <w:rsid w:val="007901C3"/>
    <w:rsid w:val="00797726"/>
    <w:rsid w:val="007A100E"/>
    <w:rsid w:val="007A165D"/>
    <w:rsid w:val="007A5817"/>
    <w:rsid w:val="007B0134"/>
    <w:rsid w:val="007B1702"/>
    <w:rsid w:val="007B60E9"/>
    <w:rsid w:val="007B6CC3"/>
    <w:rsid w:val="007B7A7A"/>
    <w:rsid w:val="007C0317"/>
    <w:rsid w:val="007C3334"/>
    <w:rsid w:val="007C47F9"/>
    <w:rsid w:val="007C7F1A"/>
    <w:rsid w:val="007D2B98"/>
    <w:rsid w:val="007E0228"/>
    <w:rsid w:val="007E21BC"/>
    <w:rsid w:val="007E3A64"/>
    <w:rsid w:val="007E5788"/>
    <w:rsid w:val="007E7C11"/>
    <w:rsid w:val="00803F1C"/>
    <w:rsid w:val="0080600E"/>
    <w:rsid w:val="00812E26"/>
    <w:rsid w:val="00817612"/>
    <w:rsid w:val="008338A4"/>
    <w:rsid w:val="008365BE"/>
    <w:rsid w:val="00837C45"/>
    <w:rsid w:val="0084095D"/>
    <w:rsid w:val="00843A07"/>
    <w:rsid w:val="00844730"/>
    <w:rsid w:val="008457C2"/>
    <w:rsid w:val="00857A82"/>
    <w:rsid w:val="00867BE8"/>
    <w:rsid w:val="00873836"/>
    <w:rsid w:val="00885737"/>
    <w:rsid w:val="00890650"/>
    <w:rsid w:val="00897E12"/>
    <w:rsid w:val="008A1E92"/>
    <w:rsid w:val="008A7E0F"/>
    <w:rsid w:val="008B12F5"/>
    <w:rsid w:val="008B34B7"/>
    <w:rsid w:val="008B774F"/>
    <w:rsid w:val="008C2834"/>
    <w:rsid w:val="008D239F"/>
    <w:rsid w:val="008D34F0"/>
    <w:rsid w:val="008D528B"/>
    <w:rsid w:val="008D5C95"/>
    <w:rsid w:val="008D768D"/>
    <w:rsid w:val="008E3759"/>
    <w:rsid w:val="008E4E69"/>
    <w:rsid w:val="008F1912"/>
    <w:rsid w:val="0090270B"/>
    <w:rsid w:val="009041DC"/>
    <w:rsid w:val="00905A0B"/>
    <w:rsid w:val="00912B47"/>
    <w:rsid w:val="00917B5A"/>
    <w:rsid w:val="00920A58"/>
    <w:rsid w:val="00920A8C"/>
    <w:rsid w:val="00921E64"/>
    <w:rsid w:val="009257B3"/>
    <w:rsid w:val="009307DA"/>
    <w:rsid w:val="00934A2C"/>
    <w:rsid w:val="00935E36"/>
    <w:rsid w:val="00942D85"/>
    <w:rsid w:val="0094423A"/>
    <w:rsid w:val="00946228"/>
    <w:rsid w:val="009526B4"/>
    <w:rsid w:val="00961F44"/>
    <w:rsid w:val="0096706E"/>
    <w:rsid w:val="00975C4E"/>
    <w:rsid w:val="00980526"/>
    <w:rsid w:val="00981FBA"/>
    <w:rsid w:val="00997BC5"/>
    <w:rsid w:val="00997EE7"/>
    <w:rsid w:val="009A0632"/>
    <w:rsid w:val="009A4F41"/>
    <w:rsid w:val="009B28A5"/>
    <w:rsid w:val="009B381B"/>
    <w:rsid w:val="009C38D7"/>
    <w:rsid w:val="009D1753"/>
    <w:rsid w:val="009D5042"/>
    <w:rsid w:val="009D65C5"/>
    <w:rsid w:val="009D7611"/>
    <w:rsid w:val="009E0B61"/>
    <w:rsid w:val="009E53DE"/>
    <w:rsid w:val="00A22CF8"/>
    <w:rsid w:val="00A23012"/>
    <w:rsid w:val="00A23AA6"/>
    <w:rsid w:val="00A328B3"/>
    <w:rsid w:val="00A503C4"/>
    <w:rsid w:val="00A50D57"/>
    <w:rsid w:val="00A50FCF"/>
    <w:rsid w:val="00A528D1"/>
    <w:rsid w:val="00A56264"/>
    <w:rsid w:val="00A610CD"/>
    <w:rsid w:val="00A6304B"/>
    <w:rsid w:val="00A63756"/>
    <w:rsid w:val="00A84C7E"/>
    <w:rsid w:val="00A95648"/>
    <w:rsid w:val="00AA09A2"/>
    <w:rsid w:val="00AA7996"/>
    <w:rsid w:val="00AB32E7"/>
    <w:rsid w:val="00AC19CB"/>
    <w:rsid w:val="00AE0B43"/>
    <w:rsid w:val="00AE5488"/>
    <w:rsid w:val="00AE656A"/>
    <w:rsid w:val="00AE6F91"/>
    <w:rsid w:val="00AE7370"/>
    <w:rsid w:val="00AF5571"/>
    <w:rsid w:val="00B062A0"/>
    <w:rsid w:val="00B07341"/>
    <w:rsid w:val="00B1460D"/>
    <w:rsid w:val="00B30539"/>
    <w:rsid w:val="00B314DB"/>
    <w:rsid w:val="00B361F2"/>
    <w:rsid w:val="00B3718B"/>
    <w:rsid w:val="00B4632A"/>
    <w:rsid w:val="00B530F1"/>
    <w:rsid w:val="00B55CE6"/>
    <w:rsid w:val="00B97B98"/>
    <w:rsid w:val="00BA276C"/>
    <w:rsid w:val="00BA5AAD"/>
    <w:rsid w:val="00BB306F"/>
    <w:rsid w:val="00BB4B56"/>
    <w:rsid w:val="00BC0E9D"/>
    <w:rsid w:val="00BC51D2"/>
    <w:rsid w:val="00BD4B89"/>
    <w:rsid w:val="00BD5449"/>
    <w:rsid w:val="00BE7299"/>
    <w:rsid w:val="00BF127B"/>
    <w:rsid w:val="00BF6799"/>
    <w:rsid w:val="00BF6FD8"/>
    <w:rsid w:val="00C03680"/>
    <w:rsid w:val="00C054DF"/>
    <w:rsid w:val="00C11231"/>
    <w:rsid w:val="00C1303A"/>
    <w:rsid w:val="00C161FC"/>
    <w:rsid w:val="00C21762"/>
    <w:rsid w:val="00C24543"/>
    <w:rsid w:val="00C256A2"/>
    <w:rsid w:val="00C33D25"/>
    <w:rsid w:val="00C42532"/>
    <w:rsid w:val="00C51515"/>
    <w:rsid w:val="00C5660B"/>
    <w:rsid w:val="00C634AE"/>
    <w:rsid w:val="00C656B0"/>
    <w:rsid w:val="00C66B72"/>
    <w:rsid w:val="00C77FCA"/>
    <w:rsid w:val="00C80712"/>
    <w:rsid w:val="00C81799"/>
    <w:rsid w:val="00C85627"/>
    <w:rsid w:val="00C90E5A"/>
    <w:rsid w:val="00C9567A"/>
    <w:rsid w:val="00CB212D"/>
    <w:rsid w:val="00CB2660"/>
    <w:rsid w:val="00CC5E90"/>
    <w:rsid w:val="00CD046C"/>
    <w:rsid w:val="00CE076C"/>
    <w:rsid w:val="00CE09C1"/>
    <w:rsid w:val="00CE5199"/>
    <w:rsid w:val="00CE66D5"/>
    <w:rsid w:val="00CF637A"/>
    <w:rsid w:val="00D059DE"/>
    <w:rsid w:val="00D065EA"/>
    <w:rsid w:val="00D11BBF"/>
    <w:rsid w:val="00D13FCE"/>
    <w:rsid w:val="00D22244"/>
    <w:rsid w:val="00D279CF"/>
    <w:rsid w:val="00D306D1"/>
    <w:rsid w:val="00D31054"/>
    <w:rsid w:val="00D34786"/>
    <w:rsid w:val="00D37BFC"/>
    <w:rsid w:val="00D41F4D"/>
    <w:rsid w:val="00D4733B"/>
    <w:rsid w:val="00D47A8E"/>
    <w:rsid w:val="00D52D14"/>
    <w:rsid w:val="00D67820"/>
    <w:rsid w:val="00D712D3"/>
    <w:rsid w:val="00D71422"/>
    <w:rsid w:val="00D72DC6"/>
    <w:rsid w:val="00D7558D"/>
    <w:rsid w:val="00D81D92"/>
    <w:rsid w:val="00D910A3"/>
    <w:rsid w:val="00DA4072"/>
    <w:rsid w:val="00DA7B5F"/>
    <w:rsid w:val="00DB0420"/>
    <w:rsid w:val="00DB5E7B"/>
    <w:rsid w:val="00DC11E7"/>
    <w:rsid w:val="00DC7023"/>
    <w:rsid w:val="00DC769A"/>
    <w:rsid w:val="00DD3D86"/>
    <w:rsid w:val="00DD5D25"/>
    <w:rsid w:val="00DE6093"/>
    <w:rsid w:val="00DF1EC4"/>
    <w:rsid w:val="00DF3F7C"/>
    <w:rsid w:val="00DF4911"/>
    <w:rsid w:val="00E0340B"/>
    <w:rsid w:val="00E04A90"/>
    <w:rsid w:val="00E11D95"/>
    <w:rsid w:val="00E135C7"/>
    <w:rsid w:val="00E1614E"/>
    <w:rsid w:val="00E21212"/>
    <w:rsid w:val="00E219C7"/>
    <w:rsid w:val="00E43157"/>
    <w:rsid w:val="00E461CE"/>
    <w:rsid w:val="00E46A3E"/>
    <w:rsid w:val="00E55898"/>
    <w:rsid w:val="00E720CA"/>
    <w:rsid w:val="00E84EB5"/>
    <w:rsid w:val="00E85662"/>
    <w:rsid w:val="00E8789F"/>
    <w:rsid w:val="00E94259"/>
    <w:rsid w:val="00E97B71"/>
    <w:rsid w:val="00EA3D34"/>
    <w:rsid w:val="00EB289A"/>
    <w:rsid w:val="00EB454D"/>
    <w:rsid w:val="00EC5D0C"/>
    <w:rsid w:val="00ED76BE"/>
    <w:rsid w:val="00EE6D72"/>
    <w:rsid w:val="00EF619B"/>
    <w:rsid w:val="00F00B55"/>
    <w:rsid w:val="00F02AD1"/>
    <w:rsid w:val="00F162D1"/>
    <w:rsid w:val="00F253CC"/>
    <w:rsid w:val="00F277C6"/>
    <w:rsid w:val="00F370F2"/>
    <w:rsid w:val="00F37106"/>
    <w:rsid w:val="00F426DD"/>
    <w:rsid w:val="00F44958"/>
    <w:rsid w:val="00F4586E"/>
    <w:rsid w:val="00F47167"/>
    <w:rsid w:val="00F507C2"/>
    <w:rsid w:val="00F519CF"/>
    <w:rsid w:val="00F53D08"/>
    <w:rsid w:val="00F55F38"/>
    <w:rsid w:val="00F56BA5"/>
    <w:rsid w:val="00F60E22"/>
    <w:rsid w:val="00F624DA"/>
    <w:rsid w:val="00F6265D"/>
    <w:rsid w:val="00F7018E"/>
    <w:rsid w:val="00F728D1"/>
    <w:rsid w:val="00F81395"/>
    <w:rsid w:val="00F83D3A"/>
    <w:rsid w:val="00F917D1"/>
    <w:rsid w:val="00F9653B"/>
    <w:rsid w:val="00FB62CF"/>
    <w:rsid w:val="00FC3245"/>
    <w:rsid w:val="00FD3C3B"/>
    <w:rsid w:val="00FE234E"/>
    <w:rsid w:val="00FE6B45"/>
    <w:rsid w:val="00FF04D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674EC3"/>
    <w:pPr>
      <w:keepNext/>
      <w:keepLines/>
      <w:ind w:left="1440" w:hanging="720"/>
      <w:outlineLvl w:val="0"/>
    </w:pPr>
    <w:rPr>
      <w:rFonts w:ascii="Cambria" w:eastAsia="Times New Roman" w:hAnsi="Cambria" w:cs="Calibri"/>
      <w:b/>
      <w:bCs/>
      <w:color w:val="365F91"/>
      <w:sz w:val="20"/>
      <w:szCs w:val="20"/>
      <w:bdr w:val="none" w:sz="0" w:space="0" w:color="auto"/>
      <w:lang w:val="es-CR"/>
    </w:rPr>
  </w:style>
  <w:style w:type="paragraph" w:styleId="Heading2">
    <w:name w:val="heading 2"/>
    <w:basedOn w:val="Normal"/>
    <w:next w:val="Normal"/>
    <w:link w:val="Heading2Char"/>
    <w:qFormat/>
    <w:rsid w:val="00674EC3"/>
    <w:pPr>
      <w:keepNext/>
      <w:widowControl w:val="0"/>
      <w:numPr>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outlineLvl w:val="1"/>
    </w:pPr>
    <w:rPr>
      <w:rFonts w:ascii="Cambria" w:eastAsia="Times New Roman" w:hAnsi="Cambria" w:cs="Calibri"/>
      <w:b/>
      <w:bCs/>
      <w:iCs/>
      <w:sz w:val="20"/>
      <w:szCs w:val="20"/>
      <w:bdr w:val="none" w:sz="0" w:space="0" w:color="auto"/>
      <w:lang w:val="es-ES_tradnl"/>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olor w:val="000000"/>
      <w:sz w:val="24"/>
      <w:szCs w:val="24"/>
      <w:u w:color="000000"/>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sz w:val="16"/>
      <w:szCs w:val="16"/>
      <w:bdr w:val="none" w:sz="0" w:space="0" w:color="auto"/>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674EC3"/>
    <w:rPr>
      <w:rFonts w:ascii="Cambria" w:eastAsia="Times New Roman" w:hAnsi="Cambria" w:cs="Calibri"/>
      <w:b/>
      <w:bCs/>
      <w:color w:val="365F91"/>
      <w:lang w:val="es-CR"/>
    </w:rPr>
  </w:style>
  <w:style w:type="table" w:customStyle="1" w:styleId="Sombreadomedio1-nfasis1">
    <w:name w:val="Sombreado medio 1 - Énfasis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olor w:val="000000"/>
      <w:sz w:val="24"/>
      <w:szCs w:val="24"/>
      <w:u w:color="000000"/>
      <w:lang w:val="en-US" w:bidi="ar-SA"/>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f1,Ref,de nota al pie"/>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rPr>
      <w:bdr w:val="none" w:sz="0" w:space="0" w:color="auto"/>
    </w:r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nhideWhenUsed/>
    <w:rsid w:val="0031535D"/>
    <w:pPr>
      <w:spacing w:after="120"/>
    </w:pPr>
    <w:rPr>
      <w:bdr w:val="none" w:sz="0" w:space="0" w:color="auto"/>
    </w:rPr>
  </w:style>
  <w:style w:type="character" w:customStyle="1" w:styleId="BodyTextChar">
    <w:name w:val="Body Text Char"/>
    <w:link w:val="BodyText"/>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olor w:val="000000"/>
      <w:u w:color="000000"/>
      <w:lang w:val="en-US" w:bidi="ar-SA"/>
    </w:rPr>
  </w:style>
  <w:style w:type="character" w:customStyle="1" w:styleId="Heading2Char">
    <w:name w:val="Heading 2 Char"/>
    <w:link w:val="Heading2"/>
    <w:rsid w:val="00674EC3"/>
    <w:rPr>
      <w:rFonts w:ascii="Cambria" w:eastAsia="Times New Roman" w:hAnsi="Cambria" w:cs="Calibri"/>
      <w:b/>
      <w:bCs/>
      <w:iCs/>
      <w:lang w:val="es-ES_tradnl"/>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lang w:val="en-US" w:eastAsia="en-US" w:bidi="ar-SA"/>
    </w:rPr>
  </w:style>
  <w:style w:type="character" w:styleId="CommentReference">
    <w:name w:val="annotation reference"/>
    <w:semiHidden/>
    <w:rsid w:val="007B1702"/>
    <w:rPr>
      <w:sz w:val="16"/>
      <w:szCs w:val="16"/>
    </w:rPr>
  </w:style>
  <w:style w:type="table" w:styleId="TableGrid">
    <w:name w:val="Table Grid"/>
    <w:basedOn w:val="TableNormal"/>
    <w:rsid w:val="007B170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17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CommentText">
    <w:name w:val="annotation text"/>
    <w:basedOn w:val="Normal"/>
    <w:link w:val="CommentTextChar"/>
    <w:uiPriority w:val="99"/>
    <w:unhideWhenUsed/>
    <w:rsid w:val="00867BE8"/>
    <w:rPr>
      <w:sz w:val="20"/>
      <w:szCs w:val="20"/>
      <w:bdr w:val="none" w:sz="0" w:space="0" w:color="auto"/>
    </w:rPr>
  </w:style>
  <w:style w:type="character" w:customStyle="1" w:styleId="CommentTextChar">
    <w:name w:val="Comment Text Char"/>
    <w:link w:val="CommentText"/>
    <w:uiPriority w:val="99"/>
    <w:rsid w:val="00867BE8"/>
    <w:rPr>
      <w:lang w:val="en-US" w:eastAsia="en-US"/>
    </w:rPr>
  </w:style>
  <w:style w:type="paragraph" w:styleId="CommentSubject">
    <w:name w:val="annotation subject"/>
    <w:basedOn w:val="CommentText"/>
    <w:next w:val="CommentText"/>
    <w:link w:val="CommentSubjectChar"/>
    <w:uiPriority w:val="99"/>
    <w:semiHidden/>
    <w:unhideWhenUsed/>
    <w:rsid w:val="00867BE8"/>
    <w:rPr>
      <w:b/>
      <w:bCs/>
    </w:rPr>
  </w:style>
  <w:style w:type="character" w:customStyle="1" w:styleId="CommentSubjectChar">
    <w:name w:val="Comment Subject Char"/>
    <w:link w:val="CommentSubject"/>
    <w:uiPriority w:val="99"/>
    <w:semiHidden/>
    <w:rsid w:val="00867BE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6D06-DD95-41FB-AD94-520951C4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5887</Words>
  <Characters>30321</Characters>
  <Application>Microsoft Office Word</Application>
  <DocSecurity>0</DocSecurity>
  <Lines>513</Lines>
  <Paragraphs>96</Paragraphs>
  <ScaleCrop>false</ScaleCrop>
  <HeadingPairs>
    <vt:vector size="2" baseType="variant">
      <vt:variant>
        <vt:lpstr>Title</vt:lpstr>
      </vt:variant>
      <vt:variant>
        <vt:i4>1</vt:i4>
      </vt:variant>
    </vt:vector>
  </HeadingPairs>
  <TitlesOfParts>
    <vt:vector size="1" baseType="lpstr">
      <vt:lpstr>Informe No. 6/15</vt:lpstr>
    </vt:vector>
  </TitlesOfParts>
  <LinksUpToDate>false</LinksUpToDate>
  <CharactersWithSpaces>36112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6/15</dc:title>
  <dc:creator/>
  <cp:lastModifiedBy/>
  <cp:revision>1</cp:revision>
  <dcterms:created xsi:type="dcterms:W3CDTF">2015-04-28T17:43:00Z</dcterms:created>
  <dcterms:modified xsi:type="dcterms:W3CDTF">2015-04-28T17:43:00Z</dcterms:modified>
</cp:coreProperties>
</file>