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FF" w:rsidRPr="001476A2" w:rsidRDefault="008E7FD8" w:rsidP="00CD5888">
      <w:pPr>
        <w:jc w:val="both"/>
        <w:rPr>
          <w:rFonts w:ascii="Cambria" w:hAnsi="Cambria" w:cs="Univers"/>
          <w:b/>
          <w:bCs/>
          <w:sz w:val="22"/>
          <w:szCs w:val="22"/>
          <w:lang w:val="es-ES_tradnl"/>
        </w:rPr>
      </w:pPr>
      <w:r w:rsidRPr="001476A2">
        <w:rPr>
          <w:noProof/>
        </w:rPr>
        <mc:AlternateContent>
          <mc:Choice Requires="wps">
            <w:drawing>
              <wp:anchor distT="0" distB="0" distL="114300" distR="114300" simplePos="0" relativeHeight="251653632" behindDoc="0" locked="0" layoutInCell="1" allowOverlap="1" wp14:anchorId="5517F2D5" wp14:editId="12CBAA6D">
                <wp:simplePos x="0" y="0"/>
                <wp:positionH relativeFrom="column">
                  <wp:posOffset>-415925</wp:posOffset>
                </wp:positionH>
                <wp:positionV relativeFrom="paragraph">
                  <wp:posOffset>-439420</wp:posOffset>
                </wp:positionV>
                <wp:extent cx="1543050" cy="9096375"/>
                <wp:effectExtent l="0" t="0" r="0" b="952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34.6pt;width:121.5pt;height:7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NFowIAAKA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YT&#10;ShRr8Y0esWpMbaUgma9Pp22OsCe9Nj5Dq1fAv1tUJL9pvGB7zKEyrcdifuQQin0ciy0OjnC8zGbT&#10;83SGb8JRN0/nF+eXM+8uYflgro11XwS0xP8U1GBcochsv7IuQgdIiAxkU941UgbBbDc30pA9w5ef&#10;Li+z+bRnt6cwqTxYgTeLjP4mZBaTCWm5oxQeJ9WjqLBaGP4kRBL6VIx+GOdCuSyqalaK6H6W4jd4&#10;953tLUKmgdAzV+h/5O4JBmQkGbhjlD3em4rQ5qNx+rfAovFoETyDcqNx2ygw7xFIzKr3HPFDkWJp&#10;fJU2UB6xlwzEIbOa3zX4bitm3ZoZnCp8a9wU7gGPSkJXUOj/KKnB/Hzv3uOx2VFLSYdTWlD7Y8eM&#10;oER+VTgG82w69WMdhOnscoKCOdVsTjVq194AtkOGO0nz8OvxTg6/lYH2BRfK0ntFFVMcfReUOzMI&#10;Ny5uD1xJXCyXAYajrJlbqSfNPbmvqu/L58MLM7pvXod9fw/DRLP8TQ9HrLdUsNw5qJrQ4K917euN&#10;ayA0Tr+y/J45lQPqdbEufgEAAP//AwBQSwMEFAAGAAgAAAAhAPOaD1HiAAAADAEAAA8AAABkcnMv&#10;ZG93bnJldi54bWxMj81OwzAQhO9IvIO1SNxam0ZNaYhTISR+pB4qSg/tzY2XJCJeh9htw9uzOcFt&#10;dmc0+22+GlwrztiHxpOGu6kCgVR621ClYffxPLkHEaIha1pPqOEHA6yK66vcZNZf6B3P21gJLqGQ&#10;GQ11jF0mZShrdCZMfYfE3qfvnYk89pW0vblwuWvlTKlUOtMQX6hNh081ll/bk9OQ7HcuLNXLel2+&#10;frtDlW7eaiW1vr0ZHh9ARBziXxhGfEaHgpmO/kQ2iFbDJJ3POTqK5QzEmFgseHNkkaRJArLI5f8n&#10;il8AAAD//wMAUEsBAi0AFAAGAAgAAAAhALaDOJL+AAAA4QEAABMAAAAAAAAAAAAAAAAAAAAAAFtD&#10;b250ZW50X1R5cGVzXS54bWxQSwECLQAUAAYACAAAACEAOP0h/9YAAACUAQAACwAAAAAAAAAAAAAA&#10;AAAvAQAAX3JlbHMvLnJlbHNQSwECLQAUAAYACAAAACEAaOQTRaMCAACgBQAADgAAAAAAAAAAAAAA&#10;AAAuAgAAZHJzL2Uyb0RvYy54bWxQSwECLQAUAAYACAAAACEA85oPUeIAAAAMAQAADwAAAAAAAAAA&#10;AAAAAAD9BAAAZHJzL2Rvd25yZXYueG1sUEsFBgAAAAAEAAQA8wAAAAwGAAAAAA==&#10;" fillcolor="#4a7194" stroked="f" strokeweight="2pt">
                <v:path arrowok="t"/>
              </v:rect>
            </w:pict>
          </mc:Fallback>
        </mc:AlternateContent>
      </w:r>
      <w:r w:rsidRPr="001476A2">
        <w:rPr>
          <w:noProof/>
        </w:rPr>
        <mc:AlternateContent>
          <mc:Choice Requires="wps">
            <w:drawing>
              <wp:anchor distT="0" distB="0" distL="114300" distR="114300" simplePos="0" relativeHeight="251657728" behindDoc="0" locked="0" layoutInCell="1" allowOverlap="1" wp14:anchorId="2A55D14B" wp14:editId="394AFED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79E" w:rsidRDefault="008E7FD8" w:rsidP="00B838FF">
                            <w:r>
                              <w:rPr>
                                <w:noProof/>
                              </w:rPr>
                              <w:drawing>
                                <wp:inline distT="0" distB="0" distL="0" distR="0" wp14:anchorId="779682A4" wp14:editId="641EC264">
                                  <wp:extent cx="2630170" cy="493395"/>
                                  <wp:effectExtent l="0" t="0" r="0" b="190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170" cy="493395"/>
                                          </a:xfrm>
                                          <a:prstGeom prst="rect">
                                            <a:avLst/>
                                          </a:prstGeom>
                                          <a:noFill/>
                                          <a:ln>
                                            <a:noFill/>
                                          </a:ln>
                                        </pic:spPr>
                                      </pic:pic>
                                    </a:graphicData>
                                  </a:graphic>
                                </wp:inline>
                              </w:drawing>
                            </w:r>
                            <w:r w:rsidR="0063179E">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63179E" w:rsidRDefault="008E7FD8" w:rsidP="00B838FF">
                      <w:r>
                        <w:rPr>
                          <w:noProof/>
                        </w:rPr>
                        <w:drawing>
                          <wp:inline distT="0" distB="0" distL="0" distR="0" wp14:anchorId="779682A4" wp14:editId="641EC264">
                            <wp:extent cx="2630170" cy="493395"/>
                            <wp:effectExtent l="0" t="0" r="0" b="190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0170" cy="493395"/>
                                    </a:xfrm>
                                    <a:prstGeom prst="rect">
                                      <a:avLst/>
                                    </a:prstGeom>
                                    <a:noFill/>
                                    <a:ln>
                                      <a:noFill/>
                                    </a:ln>
                                  </pic:spPr>
                                </pic:pic>
                              </a:graphicData>
                            </a:graphic>
                          </wp:inline>
                        </w:drawing>
                      </w:r>
                      <w:r w:rsidR="0063179E">
                        <w:tab/>
                        <w:t xml:space="preserve">                              </w:t>
                      </w:r>
                    </w:p>
                  </w:txbxContent>
                </v:textbox>
              </v:shape>
            </w:pict>
          </mc:Fallback>
        </mc:AlternateContent>
      </w:r>
    </w:p>
    <w:p w:rsidR="00B838FF" w:rsidRPr="001476A2" w:rsidRDefault="00B838FF" w:rsidP="00CD5888">
      <w:pPr>
        <w:tabs>
          <w:tab w:val="center" w:pos="5400"/>
        </w:tabs>
        <w:suppressAutoHyphens/>
        <w:jc w:val="both"/>
        <w:rPr>
          <w:rFonts w:ascii="Cambria" w:hAnsi="Cambria"/>
          <w:sz w:val="22"/>
          <w:szCs w:val="22"/>
          <w:lang w:val="es-ES"/>
        </w:rPr>
      </w:pPr>
    </w:p>
    <w:p w:rsidR="00B838FF" w:rsidRPr="001476A2" w:rsidRDefault="00B838FF" w:rsidP="00CD5888">
      <w:pPr>
        <w:tabs>
          <w:tab w:val="center" w:pos="5400"/>
        </w:tabs>
        <w:suppressAutoHyphens/>
        <w:jc w:val="both"/>
        <w:rPr>
          <w:rFonts w:ascii="Cambria" w:hAnsi="Cambria"/>
          <w:sz w:val="22"/>
          <w:szCs w:val="22"/>
          <w:lang w:val="es-ES"/>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8E7FD8" w:rsidP="00CD5888">
      <w:pPr>
        <w:tabs>
          <w:tab w:val="center" w:pos="5400"/>
        </w:tabs>
        <w:suppressAutoHyphens/>
        <w:jc w:val="both"/>
        <w:rPr>
          <w:rFonts w:ascii="Cambria" w:hAnsi="Cambria"/>
          <w:sz w:val="22"/>
          <w:szCs w:val="22"/>
          <w:lang w:val="es-ES_tradnl"/>
        </w:rPr>
      </w:pPr>
      <w:r w:rsidRPr="001476A2">
        <w:rPr>
          <w:noProof/>
        </w:rPr>
        <mc:AlternateContent>
          <mc:Choice Requires="wps">
            <w:drawing>
              <wp:anchor distT="0" distB="0" distL="114300" distR="114300" simplePos="0" relativeHeight="251654656" behindDoc="0" locked="0" layoutInCell="1" allowOverlap="1" wp14:anchorId="0F1991D7" wp14:editId="62FC9AD4">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79E" w:rsidRPr="0085585E" w:rsidRDefault="0063179E" w:rsidP="00B838FF">
                            <w:pPr>
                              <w:spacing w:line="276" w:lineRule="auto"/>
                              <w:rPr>
                                <w:rFonts w:ascii="Cambria" w:hAnsi="Cambria" w:cs="Arial"/>
                                <w:b/>
                                <w:bCs/>
                                <w:color w:val="0D0D0D"/>
                                <w:sz w:val="36"/>
                                <w:szCs w:val="22"/>
                                <w:lang w:val="es-ES_tradnl"/>
                              </w:rPr>
                            </w:pPr>
                            <w:r w:rsidRPr="0085585E">
                              <w:rPr>
                                <w:rFonts w:ascii="Cambria" w:hAnsi="Cambria" w:cs="Arial"/>
                                <w:b/>
                                <w:bCs/>
                                <w:color w:val="0D0D0D"/>
                                <w:sz w:val="36"/>
                                <w:szCs w:val="22"/>
                                <w:lang w:val="es-ES_tradnl"/>
                              </w:rPr>
                              <w:t xml:space="preserve">INFORME </w:t>
                            </w:r>
                            <w:r w:rsidRPr="0005546B">
                              <w:rPr>
                                <w:rFonts w:ascii="Cambria" w:hAnsi="Cambria" w:cs="Arial"/>
                                <w:b/>
                                <w:bCs/>
                                <w:color w:val="0D0D0D"/>
                                <w:sz w:val="36"/>
                                <w:szCs w:val="40"/>
                                <w:lang w:val="es-ES"/>
                              </w:rPr>
                              <w:t>No.</w:t>
                            </w:r>
                            <w:r w:rsidR="00C9112A">
                              <w:rPr>
                                <w:rFonts w:ascii="Cambria" w:hAnsi="Cambria" w:cs="Arial"/>
                                <w:b/>
                                <w:bCs/>
                                <w:color w:val="0D0D0D"/>
                                <w:sz w:val="36"/>
                                <w:szCs w:val="22"/>
                                <w:lang w:val="es-ES_tradnl"/>
                              </w:rPr>
                              <w:t xml:space="preserve"> 28</w:t>
                            </w:r>
                            <w:r w:rsidR="00A254BD">
                              <w:rPr>
                                <w:rFonts w:ascii="Cambria" w:hAnsi="Cambria" w:cs="Arial"/>
                                <w:b/>
                                <w:bCs/>
                                <w:color w:val="0D0D0D"/>
                                <w:sz w:val="36"/>
                                <w:szCs w:val="22"/>
                                <w:lang w:val="es-ES_tradnl"/>
                              </w:rPr>
                              <w:t>/15</w:t>
                            </w:r>
                          </w:p>
                          <w:p w:rsidR="0063179E" w:rsidRPr="0085585E" w:rsidRDefault="0063179E" w:rsidP="00B838FF">
                            <w:pP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PETICIÓN 706-01</w:t>
                            </w:r>
                          </w:p>
                          <w:p w:rsidR="0063179E" w:rsidRPr="0085585E" w:rsidRDefault="0063179E" w:rsidP="00B838FF">
                            <w:pPr>
                              <w:spacing w:line="276" w:lineRule="auto"/>
                              <w:rPr>
                                <w:rFonts w:ascii="Cambria" w:hAnsi="Cambria" w:cs="Arial"/>
                                <w:color w:val="0D0D0D"/>
                                <w:szCs w:val="22"/>
                                <w:lang w:val="es-ES_tradnl"/>
                              </w:rPr>
                            </w:pPr>
                            <w:r>
                              <w:rPr>
                                <w:rFonts w:ascii="Cambria" w:hAnsi="Cambria" w:cs="Arial"/>
                                <w:color w:val="0D0D0D"/>
                                <w:szCs w:val="22"/>
                                <w:lang w:val="es-ES_tradnl"/>
                              </w:rPr>
                              <w:t>INFORME DE ADMISIBLIDAD</w:t>
                            </w:r>
                          </w:p>
                          <w:p w:rsidR="007B6577" w:rsidRDefault="007B6577" w:rsidP="00B838FF">
                            <w:pPr>
                              <w:spacing w:line="276" w:lineRule="auto"/>
                              <w:rPr>
                                <w:rFonts w:ascii="Cambria" w:hAnsi="Cambria" w:cs="Arial"/>
                                <w:color w:val="0D0D0D"/>
                                <w:szCs w:val="22"/>
                                <w:lang w:val="es-ES_tradnl"/>
                              </w:rPr>
                            </w:pPr>
                          </w:p>
                          <w:p w:rsidR="0063179E" w:rsidRDefault="0063179E" w:rsidP="00B838FF">
                            <w:pPr>
                              <w:spacing w:line="276" w:lineRule="auto"/>
                              <w:rPr>
                                <w:rFonts w:ascii="Cambria" w:hAnsi="Cambria" w:cs="Arial"/>
                                <w:color w:val="0D0D0D"/>
                                <w:szCs w:val="22"/>
                                <w:lang w:val="es-ES_tradnl"/>
                              </w:rPr>
                            </w:pPr>
                            <w:r>
                              <w:rPr>
                                <w:rFonts w:ascii="Cambria" w:hAnsi="Cambria" w:cs="Arial"/>
                                <w:color w:val="0D0D0D"/>
                                <w:szCs w:val="22"/>
                                <w:lang w:val="es-ES_tradnl"/>
                              </w:rPr>
                              <w:t>OSCAR EMILIO DADEA</w:t>
                            </w:r>
                          </w:p>
                          <w:p w:rsidR="0063179E" w:rsidRPr="0085585E" w:rsidRDefault="0063179E" w:rsidP="00B838FF">
                            <w:pPr>
                              <w:spacing w:line="276" w:lineRule="auto"/>
                              <w:rPr>
                                <w:rFonts w:ascii="Cambria" w:hAnsi="Cambria" w:cs="Arial"/>
                                <w:color w:val="0D0D0D"/>
                                <w:szCs w:val="22"/>
                                <w:lang w:val="es-ES"/>
                              </w:rPr>
                            </w:pPr>
                            <w:r>
                              <w:rPr>
                                <w:rFonts w:ascii="Cambria" w:hAnsi="Cambria" w:cs="Arial"/>
                                <w:color w:val="0D0D0D"/>
                                <w:szCs w:val="22"/>
                                <w:lang w:val="es-ES_tradnl"/>
                              </w:rPr>
                              <w:t>ARGENTINA</w:t>
                            </w:r>
                          </w:p>
                          <w:p w:rsidR="0063179E" w:rsidRPr="0085585E" w:rsidRDefault="0063179E" w:rsidP="00B838FF">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63179E" w:rsidRPr="0085585E" w:rsidRDefault="0063179E" w:rsidP="00B838FF">
                      <w:pPr>
                        <w:spacing w:line="276" w:lineRule="auto"/>
                        <w:rPr>
                          <w:rFonts w:ascii="Cambria" w:hAnsi="Cambria" w:cs="Arial"/>
                          <w:b/>
                          <w:bCs/>
                          <w:color w:val="0D0D0D"/>
                          <w:sz w:val="36"/>
                          <w:szCs w:val="22"/>
                          <w:lang w:val="es-ES_tradnl"/>
                        </w:rPr>
                      </w:pPr>
                      <w:r w:rsidRPr="0085585E">
                        <w:rPr>
                          <w:rFonts w:ascii="Cambria" w:hAnsi="Cambria" w:cs="Arial"/>
                          <w:b/>
                          <w:bCs/>
                          <w:color w:val="0D0D0D"/>
                          <w:sz w:val="36"/>
                          <w:szCs w:val="22"/>
                          <w:lang w:val="es-ES_tradnl"/>
                        </w:rPr>
                        <w:t xml:space="preserve">INFORME </w:t>
                      </w:r>
                      <w:r w:rsidRPr="0005546B">
                        <w:rPr>
                          <w:rFonts w:ascii="Cambria" w:hAnsi="Cambria" w:cs="Arial"/>
                          <w:b/>
                          <w:bCs/>
                          <w:color w:val="0D0D0D"/>
                          <w:sz w:val="36"/>
                          <w:szCs w:val="40"/>
                          <w:lang w:val="es-ES"/>
                        </w:rPr>
                        <w:t>No.</w:t>
                      </w:r>
                      <w:r w:rsidR="00C9112A">
                        <w:rPr>
                          <w:rFonts w:ascii="Cambria" w:hAnsi="Cambria" w:cs="Arial"/>
                          <w:b/>
                          <w:bCs/>
                          <w:color w:val="0D0D0D"/>
                          <w:sz w:val="36"/>
                          <w:szCs w:val="22"/>
                          <w:lang w:val="es-ES_tradnl"/>
                        </w:rPr>
                        <w:t xml:space="preserve"> 28</w:t>
                      </w:r>
                      <w:r w:rsidR="00A254BD">
                        <w:rPr>
                          <w:rFonts w:ascii="Cambria" w:hAnsi="Cambria" w:cs="Arial"/>
                          <w:b/>
                          <w:bCs/>
                          <w:color w:val="0D0D0D"/>
                          <w:sz w:val="36"/>
                          <w:szCs w:val="22"/>
                          <w:lang w:val="es-ES_tradnl"/>
                        </w:rPr>
                        <w:t>/15</w:t>
                      </w:r>
                    </w:p>
                    <w:p w:rsidR="0063179E" w:rsidRPr="0085585E" w:rsidRDefault="0063179E" w:rsidP="00B838FF">
                      <w:pP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PETICIÓN 706-01</w:t>
                      </w:r>
                    </w:p>
                    <w:p w:rsidR="0063179E" w:rsidRPr="0085585E" w:rsidRDefault="0063179E" w:rsidP="00B838FF">
                      <w:pPr>
                        <w:spacing w:line="276" w:lineRule="auto"/>
                        <w:rPr>
                          <w:rFonts w:ascii="Cambria" w:hAnsi="Cambria" w:cs="Arial"/>
                          <w:color w:val="0D0D0D"/>
                          <w:szCs w:val="22"/>
                          <w:lang w:val="es-ES_tradnl"/>
                        </w:rPr>
                      </w:pPr>
                      <w:r>
                        <w:rPr>
                          <w:rFonts w:ascii="Cambria" w:hAnsi="Cambria" w:cs="Arial"/>
                          <w:color w:val="0D0D0D"/>
                          <w:szCs w:val="22"/>
                          <w:lang w:val="es-ES_tradnl"/>
                        </w:rPr>
                        <w:t>INFORME DE ADMISIBLIDAD</w:t>
                      </w:r>
                    </w:p>
                    <w:p w:rsidR="007B6577" w:rsidRDefault="007B6577" w:rsidP="00B838FF">
                      <w:pPr>
                        <w:spacing w:line="276" w:lineRule="auto"/>
                        <w:rPr>
                          <w:rFonts w:ascii="Cambria" w:hAnsi="Cambria" w:cs="Arial"/>
                          <w:color w:val="0D0D0D"/>
                          <w:szCs w:val="22"/>
                          <w:lang w:val="es-ES_tradnl"/>
                        </w:rPr>
                      </w:pPr>
                    </w:p>
                    <w:p w:rsidR="0063179E" w:rsidRDefault="0063179E" w:rsidP="00B838FF">
                      <w:pPr>
                        <w:spacing w:line="276" w:lineRule="auto"/>
                        <w:rPr>
                          <w:rFonts w:ascii="Cambria" w:hAnsi="Cambria" w:cs="Arial"/>
                          <w:color w:val="0D0D0D"/>
                          <w:szCs w:val="22"/>
                          <w:lang w:val="es-ES_tradnl"/>
                        </w:rPr>
                      </w:pPr>
                      <w:r>
                        <w:rPr>
                          <w:rFonts w:ascii="Cambria" w:hAnsi="Cambria" w:cs="Arial"/>
                          <w:color w:val="0D0D0D"/>
                          <w:szCs w:val="22"/>
                          <w:lang w:val="es-ES_tradnl"/>
                        </w:rPr>
                        <w:t>OSCAR EMILIO DADEA</w:t>
                      </w:r>
                    </w:p>
                    <w:p w:rsidR="0063179E" w:rsidRPr="0085585E" w:rsidRDefault="0063179E" w:rsidP="00B838FF">
                      <w:pPr>
                        <w:spacing w:line="276" w:lineRule="auto"/>
                        <w:rPr>
                          <w:rFonts w:ascii="Cambria" w:hAnsi="Cambria" w:cs="Arial"/>
                          <w:color w:val="0D0D0D"/>
                          <w:szCs w:val="22"/>
                          <w:lang w:val="es-ES"/>
                        </w:rPr>
                      </w:pPr>
                      <w:r>
                        <w:rPr>
                          <w:rFonts w:ascii="Cambria" w:hAnsi="Cambria" w:cs="Arial"/>
                          <w:color w:val="0D0D0D"/>
                          <w:szCs w:val="22"/>
                          <w:lang w:val="es-ES_tradnl"/>
                        </w:rPr>
                        <w:t>ARGENTINA</w:t>
                      </w:r>
                    </w:p>
                    <w:p w:rsidR="0063179E" w:rsidRPr="0085585E" w:rsidRDefault="0063179E" w:rsidP="00B838FF">
                      <w:pPr>
                        <w:rPr>
                          <w:color w:val="0D0D0D"/>
                          <w:lang w:val="es-ES_tradnl"/>
                        </w:rPr>
                      </w:pPr>
                    </w:p>
                  </w:txbxContent>
                </v:textbox>
              </v:shape>
            </w:pict>
          </mc:Fallback>
        </mc:AlternateContent>
      </w:r>
      <w:r w:rsidRPr="001476A2">
        <w:rPr>
          <w:noProof/>
        </w:rPr>
        <mc:AlternateContent>
          <mc:Choice Requires="wps">
            <w:drawing>
              <wp:anchor distT="0" distB="0" distL="114300" distR="114300" simplePos="0" relativeHeight="251656704" behindDoc="0" locked="0" layoutInCell="1" allowOverlap="1" wp14:anchorId="0FCC99ED" wp14:editId="3739C39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79E" w:rsidRPr="007B6577" w:rsidRDefault="0063179E" w:rsidP="00B838FF">
                            <w:pPr>
                              <w:spacing w:line="276" w:lineRule="auto"/>
                              <w:jc w:val="right"/>
                              <w:rPr>
                                <w:rFonts w:ascii="Calibri" w:hAnsi="Calibri"/>
                                <w:color w:val="FFFFFF"/>
                                <w:sz w:val="22"/>
                                <w:lang w:val="es-ES"/>
                              </w:rPr>
                            </w:pPr>
                            <w:r w:rsidRPr="007B6577">
                              <w:rPr>
                                <w:rFonts w:ascii="Calibri" w:hAnsi="Calibri"/>
                                <w:color w:val="FFFFFF"/>
                                <w:sz w:val="22"/>
                                <w:lang w:val="es-ES"/>
                              </w:rPr>
                              <w:t>O</w:t>
                            </w:r>
                            <w:r w:rsidR="00D13F09">
                              <w:rPr>
                                <w:rFonts w:ascii="Calibri" w:hAnsi="Calibri"/>
                                <w:color w:val="FFFFFF"/>
                                <w:sz w:val="22"/>
                                <w:lang w:val="es-ES"/>
                              </w:rPr>
                              <w:t>EA/Ser.L/V/L.II.155</w:t>
                            </w:r>
                          </w:p>
                          <w:p w:rsidR="0063179E" w:rsidRPr="0085585E" w:rsidRDefault="00C9112A" w:rsidP="00B838FF">
                            <w:pPr>
                              <w:spacing w:line="276" w:lineRule="auto"/>
                              <w:jc w:val="right"/>
                              <w:rPr>
                                <w:rFonts w:ascii="Calibri" w:hAnsi="Calibri"/>
                                <w:color w:val="FFFFFF"/>
                                <w:sz w:val="22"/>
                                <w:lang w:val="pt-BR"/>
                              </w:rPr>
                            </w:pPr>
                            <w:r>
                              <w:rPr>
                                <w:rFonts w:ascii="Calibri" w:hAnsi="Calibri"/>
                                <w:color w:val="FFFFFF"/>
                                <w:sz w:val="22"/>
                                <w:lang w:val="pt-BR"/>
                              </w:rPr>
                              <w:t>Doc. 7</w:t>
                            </w:r>
                          </w:p>
                          <w:p w:rsidR="0063179E" w:rsidRPr="00DB1D9B" w:rsidRDefault="0063179E" w:rsidP="00B838FF">
                            <w:pPr>
                              <w:spacing w:line="276" w:lineRule="auto"/>
                              <w:jc w:val="right"/>
                              <w:rPr>
                                <w:rFonts w:ascii="Calibri" w:hAnsi="Calibri"/>
                                <w:color w:val="FFFFFF"/>
                                <w:sz w:val="22"/>
                                <w:lang w:val="es-ES"/>
                              </w:rPr>
                            </w:pPr>
                            <w:r>
                              <w:rPr>
                                <w:rFonts w:ascii="Calibri" w:hAnsi="Calibri"/>
                                <w:color w:val="FFFFFF"/>
                                <w:sz w:val="22"/>
                                <w:lang w:val="es-ES"/>
                              </w:rPr>
                              <w:t xml:space="preserve"> </w:t>
                            </w:r>
                            <w:r w:rsidR="006A3A62">
                              <w:rPr>
                                <w:rFonts w:ascii="Calibri" w:hAnsi="Calibri"/>
                                <w:color w:val="FFFFFF"/>
                                <w:sz w:val="22"/>
                                <w:lang w:val="es-ES"/>
                              </w:rPr>
                              <w:t xml:space="preserve">21 julio </w:t>
                            </w:r>
                            <w:r w:rsidR="00A254BD">
                              <w:rPr>
                                <w:rFonts w:ascii="Calibri" w:hAnsi="Calibri"/>
                                <w:color w:val="FFFFFF"/>
                                <w:sz w:val="22"/>
                                <w:lang w:val="es-ES"/>
                              </w:rPr>
                              <w:t>2015</w:t>
                            </w:r>
                          </w:p>
                          <w:p w:rsidR="0063179E" w:rsidRPr="00DB1D9B" w:rsidRDefault="0063179E" w:rsidP="00B838FF">
                            <w:pPr>
                              <w:spacing w:line="276" w:lineRule="auto"/>
                              <w:jc w:val="right"/>
                              <w:rPr>
                                <w:rFonts w:ascii="Calibri" w:hAnsi="Calibri"/>
                                <w:color w:val="FFFFFF"/>
                                <w:sz w:val="22"/>
                                <w:lang w:val="es-ES"/>
                              </w:rPr>
                            </w:pPr>
                            <w:r w:rsidRPr="00DB1D9B">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63179E" w:rsidRPr="007B6577" w:rsidRDefault="0063179E" w:rsidP="00B838FF">
                      <w:pPr>
                        <w:spacing w:line="276" w:lineRule="auto"/>
                        <w:jc w:val="right"/>
                        <w:rPr>
                          <w:rFonts w:ascii="Calibri" w:hAnsi="Calibri"/>
                          <w:color w:val="FFFFFF"/>
                          <w:sz w:val="22"/>
                          <w:lang w:val="es-ES"/>
                        </w:rPr>
                      </w:pPr>
                      <w:r w:rsidRPr="007B6577">
                        <w:rPr>
                          <w:rFonts w:ascii="Calibri" w:hAnsi="Calibri"/>
                          <w:color w:val="FFFFFF"/>
                          <w:sz w:val="22"/>
                          <w:lang w:val="es-ES"/>
                        </w:rPr>
                        <w:t>O</w:t>
                      </w:r>
                      <w:r w:rsidR="00D13F09">
                        <w:rPr>
                          <w:rFonts w:ascii="Calibri" w:hAnsi="Calibri"/>
                          <w:color w:val="FFFFFF"/>
                          <w:sz w:val="22"/>
                          <w:lang w:val="es-ES"/>
                        </w:rPr>
                        <w:t>EA/</w:t>
                      </w:r>
                      <w:proofErr w:type="spellStart"/>
                      <w:r w:rsidR="00D13F09">
                        <w:rPr>
                          <w:rFonts w:ascii="Calibri" w:hAnsi="Calibri"/>
                          <w:color w:val="FFFFFF"/>
                          <w:sz w:val="22"/>
                          <w:lang w:val="es-ES"/>
                        </w:rPr>
                        <w:t>Ser.L</w:t>
                      </w:r>
                      <w:proofErr w:type="spellEnd"/>
                      <w:r w:rsidR="00D13F09">
                        <w:rPr>
                          <w:rFonts w:ascii="Calibri" w:hAnsi="Calibri"/>
                          <w:color w:val="FFFFFF"/>
                          <w:sz w:val="22"/>
                          <w:lang w:val="es-ES"/>
                        </w:rPr>
                        <w:t>/V/L.II.155</w:t>
                      </w:r>
                    </w:p>
                    <w:p w:rsidR="0063179E" w:rsidRPr="0085585E" w:rsidRDefault="00C9112A" w:rsidP="00B838FF">
                      <w:pPr>
                        <w:spacing w:line="276" w:lineRule="auto"/>
                        <w:jc w:val="right"/>
                        <w:rPr>
                          <w:rFonts w:ascii="Calibri" w:hAnsi="Calibri"/>
                          <w:color w:val="FFFFFF"/>
                          <w:sz w:val="22"/>
                          <w:lang w:val="pt-BR"/>
                        </w:rPr>
                      </w:pPr>
                      <w:r>
                        <w:rPr>
                          <w:rFonts w:ascii="Calibri" w:hAnsi="Calibri"/>
                          <w:color w:val="FFFFFF"/>
                          <w:sz w:val="22"/>
                          <w:lang w:val="pt-BR"/>
                        </w:rPr>
                        <w:t>Doc. 7</w:t>
                      </w:r>
                    </w:p>
                    <w:p w:rsidR="0063179E" w:rsidRPr="00DB1D9B" w:rsidRDefault="0063179E" w:rsidP="00B838FF">
                      <w:pPr>
                        <w:spacing w:line="276" w:lineRule="auto"/>
                        <w:jc w:val="right"/>
                        <w:rPr>
                          <w:rFonts w:ascii="Calibri" w:hAnsi="Calibri"/>
                          <w:color w:val="FFFFFF"/>
                          <w:sz w:val="22"/>
                          <w:lang w:val="es-ES"/>
                        </w:rPr>
                      </w:pPr>
                      <w:r>
                        <w:rPr>
                          <w:rFonts w:ascii="Calibri" w:hAnsi="Calibri"/>
                          <w:color w:val="FFFFFF"/>
                          <w:sz w:val="22"/>
                          <w:lang w:val="es-ES"/>
                        </w:rPr>
                        <w:t xml:space="preserve"> </w:t>
                      </w:r>
                      <w:r w:rsidR="006A3A62">
                        <w:rPr>
                          <w:rFonts w:ascii="Calibri" w:hAnsi="Calibri"/>
                          <w:color w:val="FFFFFF"/>
                          <w:sz w:val="22"/>
                          <w:lang w:val="es-ES"/>
                        </w:rPr>
                        <w:t xml:space="preserve">21 julio </w:t>
                      </w:r>
                      <w:r w:rsidR="00A254BD">
                        <w:rPr>
                          <w:rFonts w:ascii="Calibri" w:hAnsi="Calibri"/>
                          <w:color w:val="FFFFFF"/>
                          <w:sz w:val="22"/>
                          <w:lang w:val="es-ES"/>
                        </w:rPr>
                        <w:t>2015</w:t>
                      </w:r>
                    </w:p>
                    <w:p w:rsidR="0063179E" w:rsidRPr="00DB1D9B" w:rsidRDefault="0063179E" w:rsidP="00B838FF">
                      <w:pPr>
                        <w:spacing w:line="276" w:lineRule="auto"/>
                        <w:jc w:val="right"/>
                        <w:rPr>
                          <w:rFonts w:ascii="Calibri" w:hAnsi="Calibri"/>
                          <w:color w:val="FFFFFF"/>
                          <w:sz w:val="22"/>
                          <w:lang w:val="es-ES"/>
                        </w:rPr>
                      </w:pPr>
                      <w:r w:rsidRPr="00DB1D9B">
                        <w:rPr>
                          <w:rFonts w:ascii="Calibri" w:hAnsi="Calibri"/>
                          <w:color w:val="FFFFFF"/>
                          <w:sz w:val="22"/>
                          <w:lang w:val="es-ES"/>
                        </w:rPr>
                        <w:t>Original: español</w:t>
                      </w:r>
                    </w:p>
                  </w:txbxContent>
                </v:textbox>
              </v:shape>
            </w:pict>
          </mc:Fallback>
        </mc:AlternateContent>
      </w: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cs="Arial"/>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22"/>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8E7FD8" w:rsidP="00CD5888">
      <w:pPr>
        <w:tabs>
          <w:tab w:val="center" w:pos="5400"/>
        </w:tabs>
        <w:suppressAutoHyphens/>
        <w:jc w:val="both"/>
        <w:rPr>
          <w:rFonts w:ascii="Cambria" w:hAnsi="Cambria"/>
          <w:sz w:val="18"/>
          <w:szCs w:val="22"/>
          <w:lang w:val="es-ES_tradnl"/>
        </w:rPr>
      </w:pPr>
      <w:r w:rsidRPr="001476A2">
        <w:rPr>
          <w:noProof/>
        </w:rPr>
        <mc:AlternateContent>
          <mc:Choice Requires="wps">
            <w:drawing>
              <wp:anchor distT="0" distB="0" distL="114300" distR="114300" simplePos="0" relativeHeight="251655680" behindDoc="0" locked="0" layoutInCell="1" allowOverlap="1" wp14:anchorId="3E110498" wp14:editId="2DEA106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79E" w:rsidRPr="0085585E" w:rsidRDefault="0063179E" w:rsidP="00B838FF">
                            <w:pPr>
                              <w:tabs>
                                <w:tab w:val="center" w:pos="5400"/>
                              </w:tabs>
                              <w:suppressAutoHyphens/>
                              <w:spacing w:before="60"/>
                              <w:rPr>
                                <w:rFonts w:ascii="Cambria" w:hAnsi="Cambria" w:cs="Univers"/>
                                <w:color w:val="0D0D0D"/>
                                <w:sz w:val="18"/>
                                <w:szCs w:val="20"/>
                                <w:lang w:val="es-ES_tradnl"/>
                              </w:rPr>
                            </w:pPr>
                            <w:r w:rsidRPr="0085585E">
                              <w:rPr>
                                <w:rFonts w:ascii="Cambria" w:hAnsi="Cambria"/>
                                <w:color w:val="0D0D0D"/>
                                <w:sz w:val="18"/>
                                <w:szCs w:val="20"/>
                                <w:lang w:val="es-ES"/>
                              </w:rPr>
                              <w:t>Aprobado por la Comisión en su sesión</w:t>
                            </w:r>
                            <w:r w:rsidR="00C9112A">
                              <w:rPr>
                                <w:rFonts w:ascii="Cambria" w:hAnsi="Cambria"/>
                                <w:color w:val="0D0D0D"/>
                                <w:sz w:val="18"/>
                                <w:szCs w:val="20"/>
                                <w:lang w:val="es-ES"/>
                              </w:rPr>
                              <w:t xml:space="preserve"> No. 2034</w:t>
                            </w:r>
                            <w:r>
                              <w:rPr>
                                <w:rFonts w:ascii="Cambria" w:hAnsi="Cambria"/>
                                <w:color w:val="0D0D0D"/>
                                <w:sz w:val="18"/>
                                <w:szCs w:val="20"/>
                                <w:lang w:val="es-ES"/>
                              </w:rPr>
                              <w:t xml:space="preserve"> celebrada el </w:t>
                            </w:r>
                            <w:r w:rsidR="006A3A62">
                              <w:rPr>
                                <w:rFonts w:ascii="Cambria" w:hAnsi="Cambria"/>
                                <w:color w:val="0D0D0D"/>
                                <w:sz w:val="18"/>
                                <w:szCs w:val="20"/>
                                <w:lang w:val="es-ES"/>
                              </w:rPr>
                              <w:t xml:space="preserve">21 </w:t>
                            </w:r>
                            <w:r>
                              <w:rPr>
                                <w:rFonts w:ascii="Cambria" w:hAnsi="Cambria"/>
                                <w:color w:val="0D0D0D"/>
                                <w:sz w:val="18"/>
                                <w:szCs w:val="20"/>
                                <w:lang w:val="es-ES"/>
                              </w:rPr>
                              <w:t xml:space="preserve">de </w:t>
                            </w:r>
                            <w:r w:rsidR="006A3A62">
                              <w:rPr>
                                <w:rFonts w:ascii="Cambria" w:hAnsi="Cambria"/>
                                <w:color w:val="0D0D0D"/>
                                <w:sz w:val="18"/>
                                <w:szCs w:val="20"/>
                                <w:lang w:val="es-ES"/>
                              </w:rPr>
                              <w:t>julio</w:t>
                            </w:r>
                            <w:r w:rsidR="00A254BD">
                              <w:rPr>
                                <w:rFonts w:ascii="Cambria" w:hAnsi="Cambria"/>
                                <w:color w:val="0D0D0D"/>
                                <w:sz w:val="18"/>
                                <w:szCs w:val="20"/>
                                <w:lang w:val="es-ES"/>
                              </w:rPr>
                              <w:t xml:space="preserve"> de 2015</w:t>
                            </w:r>
                            <w:r w:rsidRPr="0085585E">
                              <w:rPr>
                                <w:rFonts w:ascii="Cambria" w:hAnsi="Cambria"/>
                                <w:color w:val="0D0D0D"/>
                                <w:sz w:val="18"/>
                                <w:szCs w:val="20"/>
                                <w:lang w:val="es-ES"/>
                              </w:rPr>
                              <w:br/>
                            </w:r>
                            <w:r w:rsidR="00C9112A">
                              <w:rPr>
                                <w:rFonts w:ascii="Cambria" w:hAnsi="Cambria" w:cs="Univers"/>
                                <w:color w:val="0D0D0D"/>
                                <w:sz w:val="18"/>
                                <w:szCs w:val="20"/>
                                <w:lang w:val="es-ES_tradnl"/>
                              </w:rPr>
                              <w:t>155</w:t>
                            </w:r>
                            <w:r w:rsidRPr="0085585E">
                              <w:rPr>
                                <w:rFonts w:ascii="Cambria" w:hAnsi="Cambria" w:cs="Univers"/>
                                <w:color w:val="0D0D0D"/>
                                <w:sz w:val="18"/>
                                <w:szCs w:val="20"/>
                                <w:lang w:val="es-ES_tradnl"/>
                              </w:rPr>
                              <w:t xml:space="preserve"> período ordinario de sesiones</w:t>
                            </w:r>
                            <w:r w:rsidR="00CD430A">
                              <w:rPr>
                                <w:rFonts w:ascii="Cambria" w:hAnsi="Cambria" w:cs="Univers"/>
                                <w:color w:val="0D0D0D"/>
                                <w:sz w:val="18"/>
                                <w:szCs w:val="20"/>
                                <w:lang w:val="es-ES_tradnl"/>
                              </w:rPr>
                              <w:t>.</w:t>
                            </w:r>
                          </w:p>
                          <w:p w:rsidR="0063179E" w:rsidRPr="0085585E" w:rsidRDefault="0063179E" w:rsidP="00B838FF">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63179E" w:rsidRPr="0085585E" w:rsidRDefault="0063179E" w:rsidP="00B838FF">
                      <w:pPr>
                        <w:tabs>
                          <w:tab w:val="center" w:pos="5400"/>
                        </w:tabs>
                        <w:suppressAutoHyphens/>
                        <w:spacing w:before="60"/>
                        <w:rPr>
                          <w:rFonts w:ascii="Cambria" w:hAnsi="Cambria" w:cs="Univers"/>
                          <w:color w:val="0D0D0D"/>
                          <w:sz w:val="18"/>
                          <w:szCs w:val="20"/>
                          <w:lang w:val="es-ES_tradnl"/>
                        </w:rPr>
                      </w:pPr>
                      <w:r w:rsidRPr="0085585E">
                        <w:rPr>
                          <w:rFonts w:ascii="Cambria" w:hAnsi="Cambria"/>
                          <w:color w:val="0D0D0D"/>
                          <w:sz w:val="18"/>
                          <w:szCs w:val="20"/>
                          <w:lang w:val="es-ES"/>
                        </w:rPr>
                        <w:t>Aprobado por la Comisión en su sesión</w:t>
                      </w:r>
                      <w:r w:rsidR="00C9112A">
                        <w:rPr>
                          <w:rFonts w:ascii="Cambria" w:hAnsi="Cambria"/>
                          <w:color w:val="0D0D0D"/>
                          <w:sz w:val="18"/>
                          <w:szCs w:val="20"/>
                          <w:lang w:val="es-ES"/>
                        </w:rPr>
                        <w:t xml:space="preserve"> No. 2034</w:t>
                      </w:r>
                      <w:r>
                        <w:rPr>
                          <w:rFonts w:ascii="Cambria" w:hAnsi="Cambria"/>
                          <w:color w:val="0D0D0D"/>
                          <w:sz w:val="18"/>
                          <w:szCs w:val="20"/>
                          <w:lang w:val="es-ES"/>
                        </w:rPr>
                        <w:t xml:space="preserve"> celebrada el </w:t>
                      </w:r>
                      <w:r w:rsidR="006A3A62">
                        <w:rPr>
                          <w:rFonts w:ascii="Cambria" w:hAnsi="Cambria"/>
                          <w:color w:val="0D0D0D"/>
                          <w:sz w:val="18"/>
                          <w:szCs w:val="20"/>
                          <w:lang w:val="es-ES"/>
                        </w:rPr>
                        <w:t xml:space="preserve">21 </w:t>
                      </w:r>
                      <w:r>
                        <w:rPr>
                          <w:rFonts w:ascii="Cambria" w:hAnsi="Cambria"/>
                          <w:color w:val="0D0D0D"/>
                          <w:sz w:val="18"/>
                          <w:szCs w:val="20"/>
                          <w:lang w:val="es-ES"/>
                        </w:rPr>
                        <w:t xml:space="preserve">de </w:t>
                      </w:r>
                      <w:r w:rsidR="006A3A62">
                        <w:rPr>
                          <w:rFonts w:ascii="Cambria" w:hAnsi="Cambria"/>
                          <w:color w:val="0D0D0D"/>
                          <w:sz w:val="18"/>
                          <w:szCs w:val="20"/>
                          <w:lang w:val="es-ES"/>
                        </w:rPr>
                        <w:t>julio</w:t>
                      </w:r>
                      <w:r w:rsidR="00A254BD">
                        <w:rPr>
                          <w:rFonts w:ascii="Cambria" w:hAnsi="Cambria"/>
                          <w:color w:val="0D0D0D"/>
                          <w:sz w:val="18"/>
                          <w:szCs w:val="20"/>
                          <w:lang w:val="es-ES"/>
                        </w:rPr>
                        <w:t xml:space="preserve"> de 2015</w:t>
                      </w:r>
                      <w:r w:rsidRPr="0085585E">
                        <w:rPr>
                          <w:rFonts w:ascii="Cambria" w:hAnsi="Cambria"/>
                          <w:color w:val="0D0D0D"/>
                          <w:sz w:val="18"/>
                          <w:szCs w:val="20"/>
                          <w:lang w:val="es-ES"/>
                        </w:rPr>
                        <w:br/>
                      </w:r>
                      <w:r w:rsidR="00C9112A">
                        <w:rPr>
                          <w:rFonts w:ascii="Cambria" w:hAnsi="Cambria" w:cs="Univers"/>
                          <w:color w:val="0D0D0D"/>
                          <w:sz w:val="18"/>
                          <w:szCs w:val="20"/>
                          <w:lang w:val="es-ES_tradnl"/>
                        </w:rPr>
                        <w:t>155</w:t>
                      </w:r>
                      <w:r w:rsidRPr="0085585E">
                        <w:rPr>
                          <w:rFonts w:ascii="Cambria" w:hAnsi="Cambria" w:cs="Univers"/>
                          <w:color w:val="0D0D0D"/>
                          <w:sz w:val="18"/>
                          <w:szCs w:val="20"/>
                          <w:lang w:val="es-ES_tradnl"/>
                        </w:rPr>
                        <w:t xml:space="preserve"> período ordinario de sesiones</w:t>
                      </w:r>
                      <w:r w:rsidR="00CD430A">
                        <w:rPr>
                          <w:rFonts w:ascii="Cambria" w:hAnsi="Cambria" w:cs="Univers"/>
                          <w:color w:val="0D0D0D"/>
                          <w:sz w:val="18"/>
                          <w:szCs w:val="20"/>
                          <w:lang w:val="es-ES_tradnl"/>
                        </w:rPr>
                        <w:t>.</w:t>
                      </w:r>
                    </w:p>
                    <w:p w:rsidR="0063179E" w:rsidRPr="0085585E" w:rsidRDefault="0063179E" w:rsidP="00B838FF">
                      <w:pPr>
                        <w:tabs>
                          <w:tab w:val="center" w:pos="5400"/>
                        </w:tabs>
                        <w:suppressAutoHyphens/>
                        <w:spacing w:before="60"/>
                        <w:rPr>
                          <w:rFonts w:ascii="Calibri" w:hAnsi="Calibri"/>
                          <w:color w:val="FFFFFF"/>
                          <w:spacing w:val="-2"/>
                          <w:sz w:val="16"/>
                          <w:lang w:val="es-ES"/>
                        </w:rPr>
                      </w:pPr>
                    </w:p>
                  </w:txbxContent>
                </v:textbox>
              </v:shape>
            </w:pict>
          </mc:Fallback>
        </mc:AlternateContent>
      </w: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8E7FD8" w:rsidP="00CD5888">
      <w:pPr>
        <w:tabs>
          <w:tab w:val="center" w:pos="5400"/>
        </w:tabs>
        <w:suppressAutoHyphens/>
        <w:jc w:val="both"/>
        <w:rPr>
          <w:rFonts w:ascii="Cambria" w:hAnsi="Cambria"/>
          <w:sz w:val="18"/>
          <w:szCs w:val="22"/>
          <w:lang w:val="es-ES_tradnl"/>
        </w:rPr>
      </w:pPr>
      <w:r w:rsidRPr="001476A2">
        <w:rPr>
          <w:noProof/>
        </w:rPr>
        <mc:AlternateContent>
          <mc:Choice Requires="wps">
            <w:drawing>
              <wp:anchor distT="0" distB="0" distL="114300" distR="114300" simplePos="0" relativeHeight="251658752" behindDoc="0" locked="0" layoutInCell="1" allowOverlap="1" wp14:anchorId="07847A25" wp14:editId="004E836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79E" w:rsidRPr="00DB1D9B" w:rsidRDefault="0063179E" w:rsidP="00B838FF">
                            <w:pPr>
                              <w:spacing w:line="276" w:lineRule="auto"/>
                              <w:rPr>
                                <w:rFonts w:ascii="Cambria" w:hAnsi="Cambria"/>
                                <w:color w:val="595959"/>
                                <w:sz w:val="18"/>
                                <w:szCs w:val="18"/>
                                <w:lang w:val="es-ES"/>
                              </w:rPr>
                            </w:pPr>
                            <w:r w:rsidRPr="00223823">
                              <w:rPr>
                                <w:rFonts w:ascii="Cambria" w:hAnsi="Cambria"/>
                                <w:b/>
                                <w:color w:val="595959"/>
                                <w:sz w:val="18"/>
                                <w:szCs w:val="18"/>
                                <w:lang w:val="es-ES"/>
                              </w:rPr>
                              <w:t>Citar como:</w:t>
                            </w:r>
                            <w:r w:rsidRPr="00223823">
                              <w:rPr>
                                <w:rFonts w:ascii="Cambria" w:hAnsi="Cambria"/>
                                <w:color w:val="595959"/>
                                <w:sz w:val="18"/>
                                <w:szCs w:val="18"/>
                                <w:lang w:val="es-ES"/>
                              </w:rPr>
                              <w:t xml:space="preserve"> CIDH, Informe No. </w:t>
                            </w:r>
                            <w:r w:rsidR="00C9112A">
                              <w:rPr>
                                <w:rFonts w:ascii="Cambria" w:hAnsi="Cambria"/>
                                <w:color w:val="595959"/>
                                <w:sz w:val="18"/>
                                <w:szCs w:val="18"/>
                                <w:lang w:val="es-ES_tradnl"/>
                              </w:rPr>
                              <w:t>28</w:t>
                            </w:r>
                            <w:r w:rsidR="00E200BF">
                              <w:rPr>
                                <w:rFonts w:ascii="Cambria" w:hAnsi="Cambria"/>
                                <w:color w:val="595959"/>
                                <w:sz w:val="18"/>
                                <w:szCs w:val="18"/>
                                <w:lang w:val="es-ES_tradnl"/>
                              </w:rPr>
                              <w:t>/15</w:t>
                            </w:r>
                            <w:r>
                              <w:rPr>
                                <w:rFonts w:ascii="Cambria" w:hAnsi="Cambria"/>
                                <w:color w:val="595959"/>
                                <w:sz w:val="18"/>
                                <w:szCs w:val="18"/>
                                <w:lang w:val="es-ES_tradnl"/>
                              </w:rPr>
                              <w:t>,</w:t>
                            </w:r>
                            <w:r w:rsidR="00CD46BC">
                              <w:rPr>
                                <w:rFonts w:ascii="Cambria" w:hAnsi="Cambria"/>
                                <w:color w:val="595959"/>
                                <w:sz w:val="18"/>
                                <w:szCs w:val="18"/>
                                <w:lang w:val="es-ES_tradnl"/>
                              </w:rPr>
                              <w:t xml:space="preserve"> </w:t>
                            </w:r>
                            <w:r>
                              <w:rPr>
                                <w:rFonts w:ascii="Cambria" w:hAnsi="Cambria"/>
                                <w:color w:val="595959"/>
                                <w:sz w:val="18"/>
                                <w:szCs w:val="18"/>
                                <w:lang w:val="es-ES_tradnl"/>
                              </w:rPr>
                              <w:t>Petición 706-01</w:t>
                            </w:r>
                            <w:r w:rsidRPr="0085585E">
                              <w:rPr>
                                <w:rFonts w:ascii="Cambria" w:hAnsi="Cambria"/>
                                <w:color w:val="595959"/>
                                <w:sz w:val="18"/>
                                <w:szCs w:val="18"/>
                                <w:lang w:val="es-ES_tradnl"/>
                              </w:rPr>
                              <w:t xml:space="preserve">. </w:t>
                            </w:r>
                            <w:r>
                              <w:rPr>
                                <w:rFonts w:ascii="Cambria" w:hAnsi="Cambria"/>
                                <w:color w:val="595959"/>
                                <w:sz w:val="18"/>
                                <w:szCs w:val="18"/>
                                <w:lang w:val="es-ES_tradnl"/>
                              </w:rPr>
                              <w:t>Admisibilidad, Oscar Emilio Dadea. Argentina</w:t>
                            </w:r>
                            <w:r w:rsidRPr="0085585E">
                              <w:rPr>
                                <w:rFonts w:ascii="Cambria" w:hAnsi="Cambria"/>
                                <w:color w:val="595959"/>
                                <w:sz w:val="18"/>
                                <w:szCs w:val="18"/>
                                <w:lang w:val="es-ES_tradnl"/>
                              </w:rPr>
                              <w:t xml:space="preserve">. </w:t>
                            </w:r>
                            <w:r w:rsidR="006A3A62">
                              <w:rPr>
                                <w:rFonts w:ascii="Cambria" w:hAnsi="Cambria"/>
                                <w:color w:val="595959"/>
                                <w:sz w:val="18"/>
                                <w:szCs w:val="18"/>
                                <w:lang w:val="es-ES_tradnl"/>
                              </w:rPr>
                              <w:t>21</w:t>
                            </w:r>
                            <w:r>
                              <w:rPr>
                                <w:rFonts w:ascii="Cambria" w:hAnsi="Cambria"/>
                                <w:color w:val="595959"/>
                                <w:sz w:val="18"/>
                                <w:szCs w:val="18"/>
                                <w:lang w:val="es-ES_tradnl"/>
                              </w:rPr>
                              <w:t xml:space="preserve"> de </w:t>
                            </w:r>
                            <w:r w:rsidR="00D13F09">
                              <w:rPr>
                                <w:rFonts w:ascii="Cambria" w:hAnsi="Cambria"/>
                                <w:color w:val="595959"/>
                                <w:sz w:val="18"/>
                                <w:szCs w:val="18"/>
                                <w:lang w:val="es-ES_tradnl"/>
                              </w:rPr>
                              <w:t>julio 2015</w:t>
                            </w:r>
                            <w:r>
                              <w:rPr>
                                <w:rFonts w:ascii="Cambria" w:hAnsi="Cambria"/>
                                <w:color w:val="595959"/>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63179E" w:rsidRPr="00DB1D9B" w:rsidRDefault="0063179E" w:rsidP="00B838FF">
                      <w:pPr>
                        <w:spacing w:line="276" w:lineRule="auto"/>
                        <w:rPr>
                          <w:rFonts w:ascii="Cambria" w:hAnsi="Cambria"/>
                          <w:color w:val="595959"/>
                          <w:sz w:val="18"/>
                          <w:szCs w:val="18"/>
                          <w:lang w:val="es-ES"/>
                        </w:rPr>
                      </w:pPr>
                      <w:r w:rsidRPr="0085585E">
                        <w:rPr>
                          <w:rFonts w:ascii="Cambria" w:hAnsi="Cambria"/>
                          <w:b/>
                          <w:color w:val="595959"/>
                          <w:sz w:val="18"/>
                          <w:szCs w:val="18"/>
                          <w:lang w:val="pt-BR"/>
                        </w:rPr>
                        <w:t>Citar como:</w:t>
                      </w:r>
                      <w:r w:rsidRPr="0085585E">
                        <w:rPr>
                          <w:rFonts w:ascii="Cambria" w:hAnsi="Cambria"/>
                          <w:color w:val="595959"/>
                          <w:sz w:val="18"/>
                          <w:szCs w:val="18"/>
                          <w:lang w:val="pt-BR"/>
                        </w:rPr>
                        <w:t xml:space="preserve"> CIDH, Informe No. </w:t>
                      </w:r>
                      <w:r w:rsidR="00C9112A">
                        <w:rPr>
                          <w:rFonts w:ascii="Cambria" w:hAnsi="Cambria"/>
                          <w:color w:val="595959"/>
                          <w:sz w:val="18"/>
                          <w:szCs w:val="18"/>
                          <w:lang w:val="es-ES_tradnl"/>
                        </w:rPr>
                        <w:t>28</w:t>
                      </w:r>
                      <w:r w:rsidR="00E200BF">
                        <w:rPr>
                          <w:rFonts w:ascii="Cambria" w:hAnsi="Cambria"/>
                          <w:color w:val="595959"/>
                          <w:sz w:val="18"/>
                          <w:szCs w:val="18"/>
                          <w:lang w:val="es-ES_tradnl"/>
                        </w:rPr>
                        <w:t>/15</w:t>
                      </w:r>
                      <w:r>
                        <w:rPr>
                          <w:rFonts w:ascii="Cambria" w:hAnsi="Cambria"/>
                          <w:color w:val="595959"/>
                          <w:sz w:val="18"/>
                          <w:szCs w:val="18"/>
                          <w:lang w:val="es-ES_tradnl"/>
                        </w:rPr>
                        <w:t>,</w:t>
                      </w:r>
                      <w:r w:rsidR="00CD46BC">
                        <w:rPr>
                          <w:rFonts w:ascii="Cambria" w:hAnsi="Cambria"/>
                          <w:color w:val="595959"/>
                          <w:sz w:val="18"/>
                          <w:szCs w:val="18"/>
                          <w:lang w:val="es-ES_tradnl"/>
                        </w:rPr>
                        <w:t xml:space="preserve"> </w:t>
                      </w:r>
                      <w:r>
                        <w:rPr>
                          <w:rFonts w:ascii="Cambria" w:hAnsi="Cambria"/>
                          <w:color w:val="595959"/>
                          <w:sz w:val="18"/>
                          <w:szCs w:val="18"/>
                          <w:lang w:val="es-ES_tradnl"/>
                        </w:rPr>
                        <w:t>Petición 706-01</w:t>
                      </w:r>
                      <w:r w:rsidRPr="0085585E">
                        <w:rPr>
                          <w:rFonts w:ascii="Cambria" w:hAnsi="Cambria"/>
                          <w:color w:val="595959"/>
                          <w:sz w:val="18"/>
                          <w:szCs w:val="18"/>
                          <w:lang w:val="es-ES_tradnl"/>
                        </w:rPr>
                        <w:t xml:space="preserve">. </w:t>
                      </w:r>
                      <w:r>
                        <w:rPr>
                          <w:rFonts w:ascii="Cambria" w:hAnsi="Cambria"/>
                          <w:color w:val="595959"/>
                          <w:sz w:val="18"/>
                          <w:szCs w:val="18"/>
                          <w:lang w:val="es-ES_tradnl"/>
                        </w:rPr>
                        <w:t xml:space="preserve">Admisibilidad, Oscar Emilio </w:t>
                      </w:r>
                      <w:proofErr w:type="spellStart"/>
                      <w:r>
                        <w:rPr>
                          <w:rFonts w:ascii="Cambria" w:hAnsi="Cambria"/>
                          <w:color w:val="595959"/>
                          <w:sz w:val="18"/>
                          <w:szCs w:val="18"/>
                          <w:lang w:val="es-ES_tradnl"/>
                        </w:rPr>
                        <w:t>Dadea</w:t>
                      </w:r>
                      <w:proofErr w:type="spellEnd"/>
                      <w:r>
                        <w:rPr>
                          <w:rFonts w:ascii="Cambria" w:hAnsi="Cambria"/>
                          <w:color w:val="595959"/>
                          <w:sz w:val="18"/>
                          <w:szCs w:val="18"/>
                          <w:lang w:val="es-ES_tradnl"/>
                        </w:rPr>
                        <w:t>. Argentina</w:t>
                      </w:r>
                      <w:r w:rsidRPr="0085585E">
                        <w:rPr>
                          <w:rFonts w:ascii="Cambria" w:hAnsi="Cambria"/>
                          <w:color w:val="595959"/>
                          <w:sz w:val="18"/>
                          <w:szCs w:val="18"/>
                          <w:lang w:val="es-ES_tradnl"/>
                        </w:rPr>
                        <w:t xml:space="preserve">. </w:t>
                      </w:r>
                      <w:r w:rsidR="006A3A62">
                        <w:rPr>
                          <w:rFonts w:ascii="Cambria" w:hAnsi="Cambria"/>
                          <w:color w:val="595959"/>
                          <w:sz w:val="18"/>
                          <w:szCs w:val="18"/>
                          <w:lang w:val="es-ES_tradnl"/>
                        </w:rPr>
                        <w:t>21</w:t>
                      </w:r>
                      <w:r>
                        <w:rPr>
                          <w:rFonts w:ascii="Cambria" w:hAnsi="Cambria"/>
                          <w:color w:val="595959"/>
                          <w:sz w:val="18"/>
                          <w:szCs w:val="18"/>
                          <w:lang w:val="es-ES_tradnl"/>
                        </w:rPr>
                        <w:t xml:space="preserve"> de </w:t>
                      </w:r>
                      <w:r w:rsidR="00D13F09">
                        <w:rPr>
                          <w:rFonts w:ascii="Cambria" w:hAnsi="Cambria"/>
                          <w:color w:val="595959"/>
                          <w:sz w:val="18"/>
                          <w:szCs w:val="18"/>
                          <w:lang w:val="es-ES_tradnl"/>
                        </w:rPr>
                        <w:t>julio 2015</w:t>
                      </w:r>
                      <w:r>
                        <w:rPr>
                          <w:rFonts w:ascii="Cambria" w:hAnsi="Cambria"/>
                          <w:color w:val="595959"/>
                          <w:sz w:val="18"/>
                          <w:szCs w:val="18"/>
                          <w:lang w:val="es-ES_tradnl"/>
                        </w:rPr>
                        <w:t>.</w:t>
                      </w:r>
                    </w:p>
                  </w:txbxContent>
                </v:textbox>
              </v:shape>
            </w:pict>
          </mc:Fallback>
        </mc:AlternateContent>
      </w:r>
    </w:p>
    <w:p w:rsidR="00B838FF" w:rsidRPr="001476A2" w:rsidRDefault="00B838FF" w:rsidP="00CD5888">
      <w:pPr>
        <w:tabs>
          <w:tab w:val="center" w:pos="5400"/>
        </w:tabs>
        <w:suppressAutoHyphens/>
        <w:jc w:val="both"/>
        <w:rPr>
          <w:rFonts w:ascii="Cambria" w:hAnsi="Cambria"/>
          <w:sz w:val="18"/>
          <w:szCs w:val="22"/>
          <w:lang w:val="es-ES_tradnl"/>
        </w:rPr>
      </w:pPr>
    </w:p>
    <w:p w:rsidR="00B838FF" w:rsidRPr="001476A2" w:rsidRDefault="008E7FD8" w:rsidP="00CD5888">
      <w:pPr>
        <w:tabs>
          <w:tab w:val="center" w:pos="5400"/>
        </w:tabs>
        <w:suppressAutoHyphens/>
        <w:jc w:val="both"/>
        <w:rPr>
          <w:rFonts w:ascii="Cambria" w:hAnsi="Cambria"/>
          <w:b/>
          <w:sz w:val="20"/>
          <w:lang w:val="es-ES_tradnl"/>
        </w:rPr>
      </w:pPr>
      <w:r w:rsidRPr="001476A2">
        <w:rPr>
          <w:noProof/>
        </w:rPr>
        <mc:AlternateContent>
          <mc:Choice Requires="wps">
            <w:drawing>
              <wp:anchor distT="0" distB="0" distL="114300" distR="114300" simplePos="0" relativeHeight="251659776" behindDoc="0" locked="0" layoutInCell="1" allowOverlap="1" wp14:anchorId="5F14F052" wp14:editId="41546011">
                <wp:simplePos x="0" y="0"/>
                <wp:positionH relativeFrom="column">
                  <wp:posOffset>1329690</wp:posOffset>
                </wp:positionH>
                <wp:positionV relativeFrom="paragraph">
                  <wp:posOffset>638810</wp:posOffset>
                </wp:positionV>
                <wp:extent cx="4096385" cy="567055"/>
                <wp:effectExtent l="0" t="635" r="3175"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3179E" w:rsidRPr="0085585E" w:rsidRDefault="008E7FD8" w:rsidP="00B838FF">
                            <w:pPr>
                              <w:rPr>
                                <w:color w:val="FFFFFF"/>
                              </w:rPr>
                            </w:pPr>
                            <w:r>
                              <w:rPr>
                                <w:noProof/>
                                <w:color w:val="FFFFFF"/>
                              </w:rPr>
                              <w:drawing>
                                <wp:inline distT="0" distB="0" distL="0" distR="0" wp14:anchorId="352FB034" wp14:editId="018787FF">
                                  <wp:extent cx="1320165" cy="354330"/>
                                  <wp:effectExtent l="0" t="0" r="0" b="762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165" cy="354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63179E" w:rsidRPr="0085585E" w:rsidRDefault="008E7FD8" w:rsidP="00B838FF">
                      <w:pPr>
                        <w:rPr>
                          <w:color w:val="FFFFFF"/>
                        </w:rPr>
                      </w:pPr>
                      <w:r>
                        <w:rPr>
                          <w:noProof/>
                          <w:color w:val="FFFFFF"/>
                        </w:rPr>
                        <w:drawing>
                          <wp:inline distT="0" distB="0" distL="0" distR="0" wp14:anchorId="352FB034" wp14:editId="018787FF">
                            <wp:extent cx="1320165" cy="354330"/>
                            <wp:effectExtent l="0" t="0" r="0" b="762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0165" cy="354330"/>
                                    </a:xfrm>
                                    <a:prstGeom prst="rect">
                                      <a:avLst/>
                                    </a:prstGeom>
                                    <a:noFill/>
                                    <a:ln>
                                      <a:noFill/>
                                    </a:ln>
                                  </pic:spPr>
                                </pic:pic>
                              </a:graphicData>
                            </a:graphic>
                          </wp:inline>
                        </w:drawing>
                      </w:r>
                    </w:p>
                  </w:txbxContent>
                </v:textbox>
              </v:shape>
            </w:pict>
          </mc:Fallback>
        </mc:AlternateContent>
      </w:r>
      <w:r w:rsidRPr="001476A2">
        <w:rPr>
          <w:noProof/>
        </w:rPr>
        <mc:AlternateContent>
          <mc:Choice Requires="wps">
            <w:drawing>
              <wp:anchor distT="0" distB="0" distL="114300" distR="114300" simplePos="0" relativeHeight="251660800" behindDoc="0" locked="0" layoutInCell="1" allowOverlap="1" wp14:anchorId="5CF65214" wp14:editId="70B7A44D">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79E" w:rsidRPr="0085585E" w:rsidRDefault="0063179E" w:rsidP="00B838FF">
                            <w:pPr>
                              <w:jc w:val="center"/>
                              <w:rPr>
                                <w:rFonts w:ascii="Calibri" w:hAnsi="Calibri"/>
                                <w:b/>
                                <w:color w:val="FFFFFF"/>
                              </w:rPr>
                            </w:pPr>
                            <w:r w:rsidRPr="0085585E">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63179E" w:rsidRPr="0085585E" w:rsidRDefault="0063179E" w:rsidP="00B838FF">
                      <w:pPr>
                        <w:jc w:val="center"/>
                        <w:rPr>
                          <w:rFonts w:ascii="Calibri" w:hAnsi="Calibri"/>
                          <w:b/>
                          <w:color w:val="FFFFFF"/>
                        </w:rPr>
                      </w:pPr>
                      <w:r w:rsidRPr="0085585E">
                        <w:rPr>
                          <w:rFonts w:ascii="Calibri" w:hAnsi="Calibri"/>
                          <w:b/>
                          <w:color w:val="FFFFFF"/>
                          <w:lang w:val="pt-BR"/>
                        </w:rPr>
                        <w:t>www.cidh.org</w:t>
                      </w:r>
                    </w:p>
                  </w:txbxContent>
                </v:textbox>
              </v:shape>
            </w:pict>
          </mc:Fallback>
        </mc:AlternateContent>
      </w:r>
    </w:p>
    <w:p w:rsidR="00B838FF" w:rsidRPr="001476A2" w:rsidRDefault="00B838FF" w:rsidP="00CD5888">
      <w:pPr>
        <w:tabs>
          <w:tab w:val="center" w:pos="5400"/>
        </w:tabs>
        <w:suppressAutoHyphens/>
        <w:jc w:val="both"/>
        <w:rPr>
          <w:rFonts w:ascii="Cambria" w:hAnsi="Cambria"/>
          <w:b/>
          <w:sz w:val="20"/>
          <w:lang w:val="es-ES_tradnl"/>
        </w:rPr>
        <w:sectPr w:rsidR="00B838FF" w:rsidRPr="001476A2" w:rsidSect="00B838FF">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rtlGutter/>
          <w:docGrid w:linePitch="326"/>
        </w:sectPr>
      </w:pPr>
    </w:p>
    <w:p w:rsidR="007B6577" w:rsidRPr="001476A2" w:rsidRDefault="007B6577" w:rsidP="007B6577">
      <w:pPr>
        <w:tabs>
          <w:tab w:val="center" w:pos="5400"/>
        </w:tabs>
        <w:suppressAutoHyphens/>
        <w:jc w:val="center"/>
        <w:rPr>
          <w:rFonts w:ascii="Cambria" w:hAnsi="Cambria"/>
          <w:b/>
          <w:sz w:val="18"/>
          <w:szCs w:val="20"/>
          <w:lang w:val="es-ES_tradnl"/>
        </w:rPr>
      </w:pPr>
      <w:r w:rsidRPr="001476A2">
        <w:rPr>
          <w:rFonts w:ascii="Cambria" w:hAnsi="Cambria"/>
          <w:b/>
          <w:sz w:val="18"/>
          <w:szCs w:val="20"/>
          <w:lang w:val="es-ES_tradnl"/>
        </w:rPr>
        <w:lastRenderedPageBreak/>
        <w:t>INFORME No</w:t>
      </w:r>
      <w:r w:rsidR="00036F53" w:rsidRPr="001476A2">
        <w:rPr>
          <w:rFonts w:ascii="Cambria" w:hAnsi="Cambria"/>
          <w:b/>
          <w:sz w:val="18"/>
          <w:szCs w:val="20"/>
          <w:lang w:val="es-ES_tradnl"/>
        </w:rPr>
        <w:t>.</w:t>
      </w:r>
      <w:r w:rsidR="00C9112A">
        <w:rPr>
          <w:rFonts w:ascii="Cambria" w:hAnsi="Cambria"/>
          <w:b/>
          <w:sz w:val="18"/>
          <w:szCs w:val="20"/>
          <w:lang w:val="es-ES_tradnl"/>
        </w:rPr>
        <w:t xml:space="preserve"> 28</w:t>
      </w:r>
      <w:r w:rsidRPr="001476A2">
        <w:rPr>
          <w:rFonts w:ascii="Cambria" w:hAnsi="Cambria"/>
          <w:b/>
          <w:sz w:val="18"/>
          <w:szCs w:val="20"/>
          <w:lang w:val="es-ES_tradnl"/>
        </w:rPr>
        <w:t>/15</w:t>
      </w:r>
    </w:p>
    <w:p w:rsidR="006A09FA" w:rsidRPr="001476A2" w:rsidRDefault="006A09FA" w:rsidP="007B6577">
      <w:pPr>
        <w:tabs>
          <w:tab w:val="center" w:pos="5400"/>
        </w:tabs>
        <w:suppressAutoHyphens/>
        <w:jc w:val="center"/>
        <w:rPr>
          <w:rFonts w:ascii="Cambria" w:hAnsi="Cambria"/>
          <w:b/>
          <w:sz w:val="18"/>
          <w:szCs w:val="20"/>
          <w:lang w:val="es-ES_tradnl"/>
        </w:rPr>
      </w:pPr>
      <w:r w:rsidRPr="001476A2">
        <w:rPr>
          <w:rFonts w:ascii="Cambria" w:hAnsi="Cambria"/>
          <w:b/>
          <w:sz w:val="18"/>
          <w:szCs w:val="20"/>
          <w:lang w:val="es-ES_tradnl"/>
        </w:rPr>
        <w:t>PETICIÓN 706/01</w:t>
      </w:r>
    </w:p>
    <w:p w:rsidR="006A09FA" w:rsidRPr="001476A2" w:rsidRDefault="006A09FA" w:rsidP="007B6577">
      <w:pPr>
        <w:tabs>
          <w:tab w:val="center" w:pos="5400"/>
        </w:tabs>
        <w:suppressAutoHyphens/>
        <w:jc w:val="center"/>
        <w:rPr>
          <w:rFonts w:ascii="Cambria" w:hAnsi="Cambria"/>
          <w:sz w:val="18"/>
          <w:szCs w:val="20"/>
          <w:lang w:val="es-ES_tradnl"/>
        </w:rPr>
      </w:pPr>
      <w:r w:rsidRPr="001476A2">
        <w:rPr>
          <w:rFonts w:ascii="Cambria" w:hAnsi="Cambria"/>
          <w:sz w:val="18"/>
          <w:szCs w:val="20"/>
          <w:lang w:val="es-ES_tradnl"/>
        </w:rPr>
        <w:t>OSCAR EMILIO DADEA</w:t>
      </w:r>
    </w:p>
    <w:p w:rsidR="006A09FA" w:rsidRPr="001476A2" w:rsidRDefault="006A09FA" w:rsidP="007B6577">
      <w:pPr>
        <w:tabs>
          <w:tab w:val="center" w:pos="5400"/>
        </w:tabs>
        <w:suppressAutoHyphens/>
        <w:jc w:val="center"/>
        <w:rPr>
          <w:rFonts w:ascii="Cambria" w:hAnsi="Cambria"/>
          <w:sz w:val="18"/>
          <w:szCs w:val="20"/>
          <w:lang w:val="es-ES_tradnl"/>
        </w:rPr>
      </w:pPr>
      <w:r w:rsidRPr="001476A2">
        <w:rPr>
          <w:rFonts w:ascii="Cambria" w:hAnsi="Cambria"/>
          <w:sz w:val="18"/>
          <w:szCs w:val="20"/>
          <w:lang w:val="es-ES_tradnl"/>
        </w:rPr>
        <w:t>ARGENTINA</w:t>
      </w:r>
    </w:p>
    <w:p w:rsidR="006A09FA" w:rsidRPr="001476A2" w:rsidRDefault="00C9112A" w:rsidP="007B6577">
      <w:pPr>
        <w:tabs>
          <w:tab w:val="center" w:pos="5400"/>
        </w:tabs>
        <w:suppressAutoHyphens/>
        <w:jc w:val="center"/>
        <w:rPr>
          <w:rFonts w:ascii="Cambria" w:hAnsi="Cambria"/>
          <w:sz w:val="18"/>
          <w:szCs w:val="20"/>
          <w:lang w:val="es-ES_tradnl"/>
        </w:rPr>
      </w:pPr>
      <w:r>
        <w:rPr>
          <w:rFonts w:ascii="Cambria" w:hAnsi="Cambria"/>
          <w:sz w:val="18"/>
          <w:szCs w:val="20"/>
          <w:lang w:val="es-ES_tradnl"/>
        </w:rPr>
        <w:t>21 DE</w:t>
      </w:r>
      <w:r w:rsidR="006A3A62">
        <w:rPr>
          <w:rFonts w:ascii="Cambria" w:hAnsi="Cambria"/>
          <w:sz w:val="18"/>
          <w:szCs w:val="20"/>
          <w:lang w:val="es-ES_tradnl"/>
        </w:rPr>
        <w:t xml:space="preserve"> JULIO</w:t>
      </w:r>
      <w:r w:rsidR="00874568" w:rsidRPr="001476A2">
        <w:rPr>
          <w:rFonts w:ascii="Cambria" w:hAnsi="Cambria"/>
          <w:sz w:val="18"/>
          <w:szCs w:val="20"/>
          <w:lang w:val="es-ES_tradnl"/>
        </w:rPr>
        <w:t xml:space="preserve"> DE 2015</w:t>
      </w:r>
    </w:p>
    <w:p w:rsidR="006A09FA" w:rsidRPr="001476A2" w:rsidRDefault="006A09FA" w:rsidP="007B6577">
      <w:pPr>
        <w:jc w:val="both"/>
        <w:rPr>
          <w:rFonts w:ascii="Cambria" w:hAnsi="Cambria"/>
          <w:b/>
          <w:sz w:val="20"/>
          <w:szCs w:val="20"/>
          <w:lang w:val="es-ES" w:eastAsia="es-ES"/>
        </w:rPr>
      </w:pPr>
    </w:p>
    <w:p w:rsidR="007B6577" w:rsidRPr="001476A2" w:rsidRDefault="007B6577" w:rsidP="007B6577">
      <w:pPr>
        <w:jc w:val="both"/>
        <w:rPr>
          <w:rFonts w:ascii="Cambria" w:hAnsi="Cambria"/>
          <w:b/>
          <w:sz w:val="20"/>
          <w:szCs w:val="20"/>
          <w:lang w:val="es-ES" w:eastAsia="es-ES"/>
        </w:rPr>
      </w:pPr>
    </w:p>
    <w:p w:rsidR="006A09FA" w:rsidRPr="000F014A" w:rsidRDefault="006A09FA" w:rsidP="000F014A">
      <w:pPr>
        <w:pStyle w:val="ListParagraph"/>
        <w:numPr>
          <w:ilvl w:val="0"/>
          <w:numId w:val="40"/>
        </w:numPr>
        <w:tabs>
          <w:tab w:val="left" w:pos="1440"/>
        </w:tabs>
        <w:rPr>
          <w:rFonts w:ascii="Cambria" w:hAnsi="Cambria"/>
          <w:b/>
          <w:sz w:val="20"/>
          <w:szCs w:val="20"/>
          <w:lang w:val="es-ES" w:eastAsia="es-ES"/>
        </w:rPr>
      </w:pPr>
      <w:r w:rsidRPr="000F014A">
        <w:rPr>
          <w:rFonts w:ascii="Cambria" w:hAnsi="Cambria"/>
          <w:b/>
          <w:sz w:val="20"/>
          <w:szCs w:val="20"/>
          <w:lang w:val="es-ES" w:eastAsia="es-ES"/>
        </w:rPr>
        <w:t>RESUMEN</w:t>
      </w:r>
    </w:p>
    <w:p w:rsidR="006A09FA" w:rsidRPr="001476A2" w:rsidRDefault="006A09FA" w:rsidP="007B6577">
      <w:pPr>
        <w:rPr>
          <w:rFonts w:ascii="Cambria" w:hAnsi="Cambria"/>
          <w:b/>
          <w:sz w:val="20"/>
          <w:szCs w:val="20"/>
          <w:lang w:val="es-ES" w:eastAsia="es-ES"/>
        </w:rPr>
      </w:pPr>
    </w:p>
    <w:p w:rsidR="00DC669C" w:rsidRPr="001476A2" w:rsidRDefault="009D762B"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olor w:val="000000"/>
          <w:sz w:val="20"/>
          <w:szCs w:val="20"/>
          <w:lang w:val="es-ES" w:eastAsia="es-ES"/>
        </w:rPr>
        <w:t>El 6 de septiembre de 2001</w:t>
      </w:r>
      <w:r w:rsidR="00E45F2D" w:rsidRPr="001476A2">
        <w:rPr>
          <w:rFonts w:ascii="Cambria" w:hAnsi="Cambria"/>
          <w:color w:val="000000"/>
          <w:sz w:val="20"/>
          <w:szCs w:val="20"/>
          <w:lang w:val="es-ES" w:eastAsia="es-ES"/>
        </w:rPr>
        <w:t>,</w:t>
      </w:r>
      <w:r w:rsidRPr="001476A2">
        <w:rPr>
          <w:rFonts w:ascii="Cambria" w:hAnsi="Cambria"/>
          <w:color w:val="000000"/>
          <w:sz w:val="20"/>
          <w:szCs w:val="20"/>
          <w:lang w:val="es-ES" w:eastAsia="es-ES"/>
        </w:rPr>
        <w:t xml:space="preserve"> fue recibida en la oficina de la OEA en Argentina una petición que fue trasladada a la Comisión Interamericana de Derech</w:t>
      </w:r>
      <w:r w:rsidR="00E45F2D" w:rsidRPr="001476A2">
        <w:rPr>
          <w:rFonts w:ascii="Cambria" w:hAnsi="Cambria"/>
          <w:color w:val="000000"/>
          <w:sz w:val="20"/>
          <w:szCs w:val="20"/>
          <w:lang w:val="es-ES" w:eastAsia="es-ES"/>
        </w:rPr>
        <w:t xml:space="preserve">os Humanos (en adelante “CIDH”) </w:t>
      </w:r>
      <w:r w:rsidRPr="001476A2">
        <w:rPr>
          <w:rFonts w:ascii="Cambria" w:hAnsi="Cambria"/>
          <w:color w:val="000000"/>
          <w:sz w:val="20"/>
          <w:szCs w:val="20"/>
          <w:lang w:val="es-ES" w:eastAsia="es-ES"/>
        </w:rPr>
        <w:t xml:space="preserve">el 9 de octubre de 2001.  En la petición </w:t>
      </w:r>
      <w:r w:rsidR="00DC669C" w:rsidRPr="001476A2">
        <w:rPr>
          <w:rFonts w:ascii="Cambria" w:hAnsi="Cambria"/>
          <w:color w:val="000000"/>
          <w:sz w:val="20"/>
          <w:szCs w:val="20"/>
          <w:lang w:val="es-ES" w:eastAsia="es-ES"/>
        </w:rPr>
        <w:t xml:space="preserve">presentada por Oscar Emilio Dadea, (en adelante “la presunta </w:t>
      </w:r>
      <w:r w:rsidR="00DC669C" w:rsidRPr="002D25B2">
        <w:rPr>
          <w:rFonts w:ascii="Cambria" w:hAnsi="Cambria" w:cs="Tahoma"/>
          <w:color w:val="000000"/>
          <w:sz w:val="20"/>
          <w:szCs w:val="20"/>
          <w:lang w:val="es-ES" w:eastAsia="es-ES"/>
        </w:rPr>
        <w:t>víctima</w:t>
      </w:r>
      <w:r w:rsidR="00DC669C" w:rsidRPr="002D25B2">
        <w:rPr>
          <w:rFonts w:ascii="Cambria" w:hAnsi="Cambria"/>
          <w:color w:val="000000"/>
          <w:sz w:val="20"/>
          <w:szCs w:val="20"/>
          <w:lang w:val="es-ES" w:eastAsia="es-ES"/>
        </w:rPr>
        <w:t>”</w:t>
      </w:r>
      <w:r w:rsidR="00681C5A" w:rsidRPr="002D25B2">
        <w:rPr>
          <w:rFonts w:ascii="Cambria" w:hAnsi="Cambria"/>
          <w:color w:val="000000"/>
          <w:sz w:val="20"/>
          <w:szCs w:val="20"/>
          <w:lang w:val="es-ES" w:eastAsia="es-ES"/>
        </w:rPr>
        <w:t xml:space="preserve"> y “el </w:t>
      </w:r>
      <w:r w:rsidR="001F075B" w:rsidRPr="002D25B2">
        <w:rPr>
          <w:rFonts w:ascii="Cambria" w:hAnsi="Cambria"/>
          <w:color w:val="000000"/>
          <w:sz w:val="20"/>
          <w:szCs w:val="20"/>
          <w:lang w:val="es-ES" w:eastAsia="es-ES"/>
        </w:rPr>
        <w:t>señor Dadea</w:t>
      </w:r>
      <w:r w:rsidR="00681C5A" w:rsidRPr="002D25B2">
        <w:rPr>
          <w:rFonts w:ascii="Cambria" w:hAnsi="Cambria"/>
          <w:color w:val="000000"/>
          <w:sz w:val="20"/>
          <w:szCs w:val="20"/>
          <w:lang w:val="es-ES" w:eastAsia="es-ES"/>
        </w:rPr>
        <w:t>”</w:t>
      </w:r>
      <w:r w:rsidR="00DC669C" w:rsidRPr="002D25B2">
        <w:rPr>
          <w:rFonts w:ascii="Cambria" w:hAnsi="Cambria"/>
          <w:color w:val="000000"/>
          <w:sz w:val="20"/>
          <w:szCs w:val="20"/>
          <w:lang w:val="es-ES" w:eastAsia="es-ES"/>
        </w:rPr>
        <w:t xml:space="preserve">) representado por </w:t>
      </w:r>
      <w:r w:rsidR="00E45F2D" w:rsidRPr="002D25B2">
        <w:rPr>
          <w:rFonts w:ascii="Cambria" w:hAnsi="Cambria"/>
          <w:color w:val="000000"/>
          <w:sz w:val="20"/>
          <w:szCs w:val="20"/>
          <w:lang w:val="es-ES" w:eastAsia="es-ES"/>
        </w:rPr>
        <w:t xml:space="preserve">Carlos Mariano Zamorano y </w:t>
      </w:r>
      <w:r w:rsidR="00DC669C" w:rsidRPr="002D25B2">
        <w:rPr>
          <w:rFonts w:ascii="Cambria" w:hAnsi="Cambria"/>
          <w:color w:val="000000"/>
          <w:sz w:val="20"/>
          <w:szCs w:val="20"/>
          <w:lang w:val="es-ES" w:eastAsia="es-ES"/>
        </w:rPr>
        <w:t>Héctor A. Noli (en adelante “los peticionarios”), se alega la responsabilidad del Estado de Argentina (en adelante “el Estado”), por</w:t>
      </w:r>
      <w:r w:rsidR="00DC669C" w:rsidRPr="002D25B2">
        <w:rPr>
          <w:rFonts w:ascii="Cambria" w:hAnsi="Cambria" w:cs="Tahoma"/>
          <w:color w:val="000000"/>
          <w:sz w:val="20"/>
          <w:szCs w:val="20"/>
          <w:lang w:val="es-ES" w:eastAsia="es-ES"/>
        </w:rPr>
        <w:t xml:space="preserve"> actos de privación</w:t>
      </w:r>
      <w:r w:rsidR="00DC669C" w:rsidRPr="001476A2">
        <w:rPr>
          <w:rFonts w:ascii="Cambria" w:hAnsi="Cambria" w:cs="Tahoma"/>
          <w:color w:val="000000"/>
          <w:sz w:val="20"/>
          <w:szCs w:val="20"/>
          <w:lang w:val="es-ES" w:eastAsia="es-ES"/>
        </w:rPr>
        <w:t xml:space="preserve"> ilegítima de libertad y torturas por parte de agentes estatales, en su contra, así como la falta de una indemnización adecuada.</w:t>
      </w:r>
    </w:p>
    <w:p w:rsidR="00DC669C" w:rsidRPr="001476A2" w:rsidRDefault="00DC669C" w:rsidP="007B6577">
      <w:pPr>
        <w:jc w:val="both"/>
        <w:rPr>
          <w:rFonts w:ascii="Cambria" w:hAnsi="Cambria" w:cs="Tahoma"/>
          <w:color w:val="000000"/>
          <w:sz w:val="20"/>
          <w:szCs w:val="20"/>
          <w:lang w:val="es-ES" w:eastAsia="es-ES"/>
        </w:rPr>
      </w:pPr>
    </w:p>
    <w:p w:rsidR="006A09FA" w:rsidRPr="001476A2" w:rsidRDefault="006A09FA" w:rsidP="007B6577">
      <w:pPr>
        <w:numPr>
          <w:ilvl w:val="0"/>
          <w:numId w:val="31"/>
        </w:numPr>
        <w:ind w:left="0"/>
        <w:jc w:val="both"/>
        <w:rPr>
          <w:rFonts w:ascii="Cambria" w:hAnsi="Cambria"/>
          <w:color w:val="000000"/>
          <w:sz w:val="20"/>
          <w:szCs w:val="20"/>
          <w:lang w:val="es-CO" w:eastAsia="es-ES"/>
        </w:rPr>
      </w:pPr>
      <w:r w:rsidRPr="001476A2">
        <w:rPr>
          <w:rFonts w:ascii="Cambria" w:hAnsi="Cambria" w:cs="Tahoma"/>
          <w:color w:val="000000"/>
          <w:sz w:val="20"/>
          <w:szCs w:val="20"/>
          <w:lang w:val="es-ES" w:eastAsia="es-ES"/>
        </w:rPr>
        <w:t>Los peticionarios alegan que durante la dictadura, el 21 de marzo de 1977</w:t>
      </w:r>
      <w:r w:rsidR="00A91425" w:rsidRPr="001476A2">
        <w:rPr>
          <w:rFonts w:ascii="Cambria" w:hAnsi="Cambria" w:cs="Tahoma"/>
          <w:color w:val="000000"/>
          <w:sz w:val="20"/>
          <w:szCs w:val="20"/>
          <w:lang w:val="es-ES" w:eastAsia="es-ES"/>
        </w:rPr>
        <w:t>, la presunta víctima fue arbitrariamente detenida</w:t>
      </w:r>
      <w:r w:rsidRPr="001476A2">
        <w:rPr>
          <w:rFonts w:ascii="Cambria" w:hAnsi="Cambria" w:cs="Tahoma"/>
          <w:color w:val="000000"/>
          <w:sz w:val="20"/>
          <w:szCs w:val="20"/>
          <w:lang w:val="es-ES" w:eastAsia="es-ES"/>
        </w:rPr>
        <w:t xml:space="preserve"> por oficiales de policía que lo llevaron a un centro clandestino </w:t>
      </w:r>
      <w:r w:rsidR="00A21512" w:rsidRPr="001476A2">
        <w:rPr>
          <w:rFonts w:ascii="Cambria" w:hAnsi="Cambria" w:cs="Tahoma"/>
          <w:color w:val="000000"/>
          <w:sz w:val="20"/>
          <w:szCs w:val="20"/>
          <w:lang w:val="es-ES" w:eastAsia="es-ES"/>
        </w:rPr>
        <w:t xml:space="preserve">en la ciudad de Buenos Aires </w:t>
      </w:r>
      <w:r w:rsidRPr="001476A2">
        <w:rPr>
          <w:rFonts w:ascii="Cambria" w:hAnsi="Cambria" w:cs="Tahoma"/>
          <w:color w:val="000000"/>
          <w:sz w:val="20"/>
          <w:szCs w:val="20"/>
          <w:lang w:val="es-ES" w:eastAsia="es-ES"/>
        </w:rPr>
        <w:t>donde fue torturado.  Asimismo, alega</w:t>
      </w:r>
      <w:r w:rsidR="00A91425" w:rsidRPr="001476A2">
        <w:rPr>
          <w:rFonts w:ascii="Cambria" w:hAnsi="Cambria" w:cs="Tahoma"/>
          <w:color w:val="000000"/>
          <w:sz w:val="20"/>
          <w:szCs w:val="20"/>
          <w:lang w:val="es-ES" w:eastAsia="es-ES"/>
        </w:rPr>
        <w:t>n</w:t>
      </w:r>
      <w:r w:rsidRPr="001476A2">
        <w:rPr>
          <w:rFonts w:ascii="Cambria" w:hAnsi="Cambria" w:cs="Tahoma"/>
          <w:color w:val="000000"/>
          <w:sz w:val="20"/>
          <w:szCs w:val="20"/>
          <w:lang w:val="es-ES" w:eastAsia="es-ES"/>
        </w:rPr>
        <w:t xml:space="preserve"> que el Estado violó los artículos </w:t>
      </w:r>
      <w:r w:rsidRPr="001476A2">
        <w:rPr>
          <w:rFonts w:ascii="Cambria" w:hAnsi="Cambria"/>
          <w:color w:val="000000"/>
          <w:sz w:val="20"/>
          <w:szCs w:val="20"/>
          <w:lang w:val="es-ES" w:eastAsia="es-ES"/>
        </w:rPr>
        <w:t>5</w:t>
      </w:r>
      <w:r w:rsidR="00FB5AD5" w:rsidRPr="001476A2">
        <w:rPr>
          <w:rFonts w:ascii="Cambria" w:hAnsi="Cambria"/>
          <w:color w:val="000000"/>
          <w:sz w:val="20"/>
          <w:szCs w:val="20"/>
          <w:lang w:val="es-ES" w:eastAsia="es-ES"/>
        </w:rPr>
        <w:t xml:space="preserve"> (integridad personal)</w:t>
      </w:r>
      <w:r w:rsidRPr="001476A2">
        <w:rPr>
          <w:rFonts w:ascii="Cambria" w:hAnsi="Cambria"/>
          <w:color w:val="000000"/>
          <w:sz w:val="20"/>
          <w:szCs w:val="20"/>
          <w:lang w:val="es-ES" w:eastAsia="es-ES"/>
        </w:rPr>
        <w:t xml:space="preserve">, 7 </w:t>
      </w:r>
      <w:r w:rsidR="00FB5AD5" w:rsidRPr="001476A2">
        <w:rPr>
          <w:rFonts w:ascii="Cambria" w:hAnsi="Cambria"/>
          <w:color w:val="000000"/>
          <w:sz w:val="20"/>
          <w:szCs w:val="20"/>
          <w:lang w:val="es-ES" w:eastAsia="es-ES"/>
        </w:rPr>
        <w:t xml:space="preserve">(libertad personal) </w:t>
      </w:r>
      <w:r w:rsidRPr="001476A2">
        <w:rPr>
          <w:rFonts w:ascii="Cambria" w:hAnsi="Cambria"/>
          <w:color w:val="000000"/>
          <w:sz w:val="20"/>
          <w:szCs w:val="20"/>
          <w:lang w:val="es-ES" w:eastAsia="es-ES"/>
        </w:rPr>
        <w:t xml:space="preserve">y 25 </w:t>
      </w:r>
      <w:r w:rsidR="00FB5AD5" w:rsidRPr="001476A2">
        <w:rPr>
          <w:rFonts w:ascii="Cambria" w:hAnsi="Cambria"/>
          <w:color w:val="000000"/>
          <w:sz w:val="20"/>
          <w:szCs w:val="20"/>
          <w:lang w:val="es-ES" w:eastAsia="es-ES"/>
        </w:rPr>
        <w:t xml:space="preserve">(derecho a la protección judicial) </w:t>
      </w:r>
      <w:r w:rsidRPr="001476A2">
        <w:rPr>
          <w:rFonts w:ascii="Cambria" w:hAnsi="Cambria"/>
          <w:color w:val="000000"/>
          <w:sz w:val="20"/>
          <w:szCs w:val="20"/>
          <w:lang w:val="es-ES" w:eastAsia="es-ES"/>
        </w:rPr>
        <w:t xml:space="preserve">de la Convención Americana sobre Derechos Humanos (en adelante “la Convención Americana”) y la Convención Interamericana para Prevenir y Sancionar la Tortura (en adelante “Convención contra la Tortura”).  </w:t>
      </w:r>
      <w:r w:rsidRPr="001476A2">
        <w:rPr>
          <w:rFonts w:ascii="Cambria" w:hAnsi="Cambria"/>
          <w:color w:val="000000"/>
          <w:sz w:val="20"/>
          <w:szCs w:val="20"/>
          <w:lang w:val="es-CO" w:eastAsia="es-ES"/>
        </w:rPr>
        <w:t xml:space="preserve">El Estado, por su parte,  alega que los reclamos </w:t>
      </w:r>
      <w:r w:rsidR="00463564" w:rsidRPr="001476A2">
        <w:rPr>
          <w:rFonts w:ascii="Cambria" w:hAnsi="Cambria"/>
          <w:color w:val="000000"/>
          <w:sz w:val="20"/>
          <w:szCs w:val="20"/>
          <w:lang w:val="es-CO" w:eastAsia="es-ES"/>
        </w:rPr>
        <w:t>son inadmisibles dado que la presunta víctima ya ha sido indemnizada a nivel interno</w:t>
      </w:r>
      <w:r w:rsidRPr="001476A2">
        <w:rPr>
          <w:rFonts w:ascii="Cambria" w:hAnsi="Cambria"/>
          <w:color w:val="000000"/>
          <w:sz w:val="20"/>
          <w:szCs w:val="20"/>
          <w:lang w:val="es-CO" w:eastAsia="es-ES"/>
        </w:rPr>
        <w:t xml:space="preserve">.  </w:t>
      </w:r>
    </w:p>
    <w:p w:rsidR="006A09FA" w:rsidRPr="001476A2" w:rsidRDefault="006A09FA" w:rsidP="007B6577">
      <w:pPr>
        <w:ind w:left="720"/>
        <w:rPr>
          <w:rFonts w:ascii="Cambria" w:hAnsi="Cambria"/>
          <w:color w:val="000000"/>
          <w:sz w:val="20"/>
          <w:szCs w:val="20"/>
          <w:lang w:val="es-CO" w:eastAsia="es-ES"/>
        </w:rPr>
      </w:pPr>
    </w:p>
    <w:p w:rsidR="006A09FA" w:rsidRPr="001476A2" w:rsidRDefault="006A09FA" w:rsidP="007B6577">
      <w:pPr>
        <w:numPr>
          <w:ilvl w:val="0"/>
          <w:numId w:val="31"/>
        </w:numPr>
        <w:ind w:left="0"/>
        <w:jc w:val="both"/>
        <w:rPr>
          <w:rFonts w:ascii="Cambria" w:hAnsi="Cambria"/>
          <w:color w:val="000000"/>
          <w:sz w:val="20"/>
          <w:szCs w:val="20"/>
          <w:lang w:val="es-CO" w:eastAsia="es-ES"/>
        </w:rPr>
      </w:pPr>
      <w:r w:rsidRPr="001476A2">
        <w:rPr>
          <w:rFonts w:ascii="Cambria" w:hAnsi="Cambria"/>
          <w:color w:val="000000"/>
          <w:sz w:val="20"/>
          <w:szCs w:val="20"/>
          <w:lang w:val="es-CO" w:eastAsia="es-ES"/>
        </w:rPr>
        <w:t xml:space="preserve">Tras analizar las posiciones de las partes y el cumplimiento con los requisitos previstos en los artículos 46 y 47 de la Convención Americana, la Comisión decide declarar la petición admisible a efecto del examen sobre la presunta violación de los </w:t>
      </w:r>
      <w:r w:rsidR="00B9646B" w:rsidRPr="001476A2">
        <w:rPr>
          <w:rFonts w:ascii="Cambria" w:hAnsi="Cambria"/>
          <w:color w:val="000000"/>
          <w:sz w:val="20"/>
          <w:szCs w:val="20"/>
          <w:lang w:val="es-CO" w:eastAsia="es-ES"/>
        </w:rPr>
        <w:t xml:space="preserve">artículos </w:t>
      </w:r>
      <w:r w:rsidRPr="001476A2">
        <w:rPr>
          <w:rFonts w:ascii="Cambria" w:hAnsi="Cambria"/>
          <w:color w:val="000000"/>
          <w:sz w:val="20"/>
          <w:szCs w:val="20"/>
          <w:lang w:val="es-CO" w:eastAsia="es-ES"/>
        </w:rPr>
        <w:t xml:space="preserve">8 </w:t>
      </w:r>
      <w:r w:rsidR="00FB5AD5" w:rsidRPr="001476A2">
        <w:rPr>
          <w:rFonts w:ascii="Cambria" w:hAnsi="Cambria"/>
          <w:color w:val="000000"/>
          <w:sz w:val="20"/>
          <w:szCs w:val="20"/>
          <w:lang w:val="es-CO" w:eastAsia="es-ES"/>
        </w:rPr>
        <w:t xml:space="preserve">(garantías judiciales) </w:t>
      </w:r>
      <w:r w:rsidRPr="001476A2">
        <w:rPr>
          <w:rFonts w:ascii="Cambria" w:hAnsi="Cambria"/>
          <w:color w:val="000000"/>
          <w:sz w:val="20"/>
          <w:szCs w:val="20"/>
          <w:lang w:val="es-CO" w:eastAsia="es-ES"/>
        </w:rPr>
        <w:t>y 25</w:t>
      </w:r>
      <w:r w:rsidR="00E846E6" w:rsidRPr="001476A2">
        <w:rPr>
          <w:rFonts w:ascii="Cambria" w:hAnsi="Cambria"/>
          <w:color w:val="000000"/>
          <w:sz w:val="20"/>
          <w:szCs w:val="20"/>
          <w:lang w:val="es-CO" w:eastAsia="es-ES"/>
        </w:rPr>
        <w:t xml:space="preserve"> (derecho a la protección judicial)</w:t>
      </w:r>
      <w:r w:rsidRPr="001476A2">
        <w:rPr>
          <w:rFonts w:ascii="Cambria" w:hAnsi="Cambria"/>
          <w:color w:val="000000"/>
          <w:sz w:val="20"/>
          <w:szCs w:val="20"/>
          <w:lang w:val="es-CO" w:eastAsia="es-ES"/>
        </w:rPr>
        <w:t xml:space="preserve"> de la Convención Americana</w:t>
      </w:r>
      <w:r w:rsidR="00A21512" w:rsidRPr="001476A2">
        <w:rPr>
          <w:rFonts w:ascii="Cambria" w:hAnsi="Cambria"/>
          <w:color w:val="000000"/>
          <w:sz w:val="20"/>
          <w:szCs w:val="20"/>
          <w:lang w:val="es-CO" w:eastAsia="es-ES"/>
        </w:rPr>
        <w:t xml:space="preserve">, en </w:t>
      </w:r>
      <w:r w:rsidR="00E11BE3" w:rsidRPr="001476A2">
        <w:rPr>
          <w:rFonts w:ascii="Cambria" w:hAnsi="Cambria"/>
          <w:color w:val="000000"/>
          <w:sz w:val="20"/>
          <w:szCs w:val="20"/>
          <w:lang w:val="es-CO" w:eastAsia="es-ES"/>
        </w:rPr>
        <w:t xml:space="preserve">conexión con los artículos 1.1 </w:t>
      </w:r>
      <w:r w:rsidR="00FB5AD5" w:rsidRPr="001476A2">
        <w:rPr>
          <w:rFonts w:ascii="Cambria" w:hAnsi="Cambria"/>
          <w:color w:val="000000"/>
          <w:sz w:val="20"/>
          <w:szCs w:val="20"/>
          <w:lang w:val="es-CO" w:eastAsia="es-ES"/>
        </w:rPr>
        <w:t xml:space="preserve">(obligación de respetar los derechos) </w:t>
      </w:r>
      <w:r w:rsidR="00E11BE3" w:rsidRPr="001476A2">
        <w:rPr>
          <w:rFonts w:ascii="Cambria" w:hAnsi="Cambria"/>
          <w:color w:val="000000"/>
          <w:sz w:val="20"/>
          <w:szCs w:val="20"/>
          <w:lang w:val="es-CO" w:eastAsia="es-ES"/>
        </w:rPr>
        <w:t xml:space="preserve">y 2 </w:t>
      </w:r>
      <w:r w:rsidR="00FB5AD5" w:rsidRPr="001476A2">
        <w:rPr>
          <w:rFonts w:ascii="Cambria" w:hAnsi="Cambria"/>
          <w:color w:val="000000"/>
          <w:sz w:val="20"/>
          <w:szCs w:val="20"/>
          <w:lang w:val="es-CO" w:eastAsia="es-ES"/>
        </w:rPr>
        <w:t xml:space="preserve">(deber de adoptar disposiciones de derecho interno) </w:t>
      </w:r>
      <w:r w:rsidR="00E11BE3" w:rsidRPr="001476A2">
        <w:rPr>
          <w:rFonts w:ascii="Cambria" w:hAnsi="Cambria"/>
          <w:color w:val="000000"/>
          <w:sz w:val="20"/>
          <w:szCs w:val="20"/>
          <w:lang w:val="es-CO" w:eastAsia="es-ES"/>
        </w:rPr>
        <w:t xml:space="preserve">del mismo instrumento; así como </w:t>
      </w:r>
      <w:r w:rsidR="009F68F6" w:rsidRPr="001476A2">
        <w:rPr>
          <w:rFonts w:ascii="Cambria" w:hAnsi="Cambria"/>
          <w:color w:val="000000"/>
          <w:sz w:val="20"/>
          <w:szCs w:val="20"/>
          <w:lang w:val="es-CO" w:eastAsia="es-ES"/>
        </w:rPr>
        <w:t xml:space="preserve">de </w:t>
      </w:r>
      <w:r w:rsidRPr="001476A2">
        <w:rPr>
          <w:rFonts w:ascii="Cambria" w:hAnsi="Cambria"/>
          <w:color w:val="000000"/>
          <w:sz w:val="20"/>
          <w:szCs w:val="20"/>
          <w:lang w:val="es-CO" w:eastAsia="es-ES"/>
        </w:rPr>
        <w:t xml:space="preserve">los artículos </w:t>
      </w:r>
      <w:r w:rsidR="00B9646B" w:rsidRPr="001476A2">
        <w:rPr>
          <w:rFonts w:ascii="Cambria" w:hAnsi="Cambria"/>
          <w:color w:val="000000"/>
          <w:sz w:val="20"/>
          <w:szCs w:val="20"/>
          <w:lang w:val="es-ES" w:eastAsia="es-ES"/>
        </w:rPr>
        <w:t>I</w:t>
      </w:r>
      <w:r w:rsidR="00FB5AD5" w:rsidRPr="001476A2">
        <w:rPr>
          <w:rFonts w:ascii="Cambria" w:hAnsi="Cambria"/>
          <w:color w:val="000000"/>
          <w:sz w:val="20"/>
          <w:szCs w:val="20"/>
          <w:lang w:val="es-ES" w:eastAsia="es-ES"/>
        </w:rPr>
        <w:t xml:space="preserve"> (derechos a libertad e integridad de la persona)</w:t>
      </w:r>
      <w:r w:rsidR="00B9646B" w:rsidRPr="001476A2">
        <w:rPr>
          <w:rFonts w:ascii="Cambria" w:hAnsi="Cambria"/>
          <w:color w:val="000000"/>
          <w:sz w:val="20"/>
          <w:szCs w:val="20"/>
          <w:lang w:val="es-ES" w:eastAsia="es-ES"/>
        </w:rPr>
        <w:t xml:space="preserve">, </w:t>
      </w:r>
      <w:r w:rsidR="006F1569" w:rsidRPr="001476A2">
        <w:rPr>
          <w:rFonts w:ascii="Cambria" w:hAnsi="Cambria"/>
          <w:color w:val="000000"/>
          <w:sz w:val="20"/>
          <w:szCs w:val="20"/>
          <w:lang w:val="es-ES" w:eastAsia="es-ES"/>
        </w:rPr>
        <w:t xml:space="preserve">IX (derecho a la inviolabilidad del domicilio), </w:t>
      </w:r>
      <w:r w:rsidR="00B9646B" w:rsidRPr="001476A2">
        <w:rPr>
          <w:rFonts w:ascii="Cambria" w:hAnsi="Cambria"/>
          <w:color w:val="000000"/>
          <w:sz w:val="20"/>
          <w:szCs w:val="20"/>
          <w:lang w:val="es-ES" w:eastAsia="es-ES"/>
        </w:rPr>
        <w:t>XVIII</w:t>
      </w:r>
      <w:r w:rsidR="00FB5AD5" w:rsidRPr="001476A2">
        <w:rPr>
          <w:rFonts w:ascii="Cambria" w:hAnsi="Cambria"/>
          <w:color w:val="000000"/>
          <w:sz w:val="20"/>
          <w:szCs w:val="20"/>
          <w:lang w:val="es-ES" w:eastAsia="es-ES"/>
        </w:rPr>
        <w:t xml:space="preserve"> (</w:t>
      </w:r>
      <w:r w:rsidR="006F1569" w:rsidRPr="001476A2">
        <w:rPr>
          <w:rFonts w:ascii="Cambria" w:hAnsi="Cambria"/>
          <w:color w:val="000000"/>
          <w:sz w:val="20"/>
          <w:szCs w:val="20"/>
          <w:lang w:val="es-ES" w:eastAsia="es-ES"/>
        </w:rPr>
        <w:t>derecho de justicia)</w:t>
      </w:r>
      <w:r w:rsidR="00B9646B" w:rsidRPr="001476A2">
        <w:rPr>
          <w:rFonts w:ascii="Cambria" w:hAnsi="Cambria"/>
          <w:color w:val="000000"/>
          <w:sz w:val="20"/>
          <w:szCs w:val="20"/>
          <w:lang w:val="es-ES" w:eastAsia="es-ES"/>
        </w:rPr>
        <w:t xml:space="preserve">, </w:t>
      </w:r>
      <w:r w:rsidR="006F1569" w:rsidRPr="001476A2">
        <w:rPr>
          <w:rFonts w:ascii="Cambria" w:hAnsi="Cambria"/>
          <w:color w:val="000000"/>
          <w:sz w:val="20"/>
          <w:szCs w:val="20"/>
          <w:lang w:val="es-ES" w:eastAsia="es-ES"/>
        </w:rPr>
        <w:t xml:space="preserve">y </w:t>
      </w:r>
      <w:r w:rsidR="00B9646B" w:rsidRPr="001476A2">
        <w:rPr>
          <w:rFonts w:ascii="Cambria" w:hAnsi="Cambria"/>
          <w:color w:val="000000"/>
          <w:sz w:val="20"/>
          <w:szCs w:val="20"/>
          <w:lang w:val="es-ES" w:eastAsia="es-ES"/>
        </w:rPr>
        <w:t xml:space="preserve">XXV </w:t>
      </w:r>
      <w:r w:rsidR="006F1569" w:rsidRPr="001476A2">
        <w:rPr>
          <w:rFonts w:ascii="Cambria" w:hAnsi="Cambria"/>
          <w:color w:val="000000"/>
          <w:sz w:val="20"/>
          <w:szCs w:val="20"/>
          <w:lang w:val="es-ES" w:eastAsia="es-ES"/>
        </w:rPr>
        <w:t>(derecho de protección contra la detención arbitraria)</w:t>
      </w:r>
      <w:r w:rsidR="00B9646B" w:rsidRPr="001476A2">
        <w:rPr>
          <w:rFonts w:ascii="Cambria" w:hAnsi="Cambria"/>
          <w:color w:val="000000"/>
          <w:sz w:val="20"/>
          <w:szCs w:val="20"/>
          <w:lang w:val="es-ES" w:eastAsia="es-ES"/>
        </w:rPr>
        <w:t xml:space="preserve"> de la Declaración Americana</w:t>
      </w:r>
      <w:r w:rsidR="00E846E6" w:rsidRPr="001476A2">
        <w:rPr>
          <w:rFonts w:ascii="Cambria" w:hAnsi="Cambria"/>
          <w:color w:val="000000"/>
          <w:sz w:val="20"/>
          <w:szCs w:val="20"/>
          <w:lang w:val="es-ES" w:eastAsia="es-ES"/>
        </w:rPr>
        <w:t>;</w:t>
      </w:r>
      <w:r w:rsidR="00B9646B" w:rsidRPr="001476A2">
        <w:rPr>
          <w:rFonts w:ascii="Cambria" w:hAnsi="Cambria"/>
          <w:color w:val="000000"/>
          <w:sz w:val="20"/>
          <w:szCs w:val="20"/>
          <w:lang w:val="es-CO" w:eastAsia="es-ES"/>
        </w:rPr>
        <w:t xml:space="preserve"> y </w:t>
      </w:r>
      <w:r w:rsidRPr="001476A2">
        <w:rPr>
          <w:rFonts w:ascii="Cambria" w:hAnsi="Cambria"/>
          <w:color w:val="000000"/>
          <w:sz w:val="20"/>
          <w:szCs w:val="20"/>
          <w:lang w:val="es-CO" w:eastAsia="es-ES"/>
        </w:rPr>
        <w:t xml:space="preserve">1, 6 y 8 de la Convención contra la Tortura.  </w:t>
      </w:r>
      <w:r w:rsidR="009F68F6" w:rsidRPr="001476A2">
        <w:rPr>
          <w:rFonts w:ascii="Cambria" w:eastAsia="Times New Roman" w:hAnsi="Cambria"/>
          <w:sz w:val="20"/>
          <w:szCs w:val="20"/>
          <w:lang w:val="es-CO"/>
        </w:rPr>
        <w:t xml:space="preserve">La Comisión también decide declarar inadmisible la petición con relación a los artículos 5 y 7 de la Convención Americana y </w:t>
      </w:r>
      <w:r w:rsidR="009F68F6" w:rsidRPr="001476A2">
        <w:rPr>
          <w:rFonts w:ascii="Cambria" w:hAnsi="Cambria"/>
          <w:color w:val="000000"/>
          <w:sz w:val="20"/>
          <w:szCs w:val="20"/>
          <w:lang w:val="es-CO" w:eastAsia="es-ES"/>
        </w:rPr>
        <w:t>decide</w:t>
      </w:r>
      <w:r w:rsidRPr="001476A2">
        <w:rPr>
          <w:rFonts w:ascii="Cambria" w:hAnsi="Cambria"/>
          <w:color w:val="000000"/>
          <w:sz w:val="20"/>
          <w:szCs w:val="20"/>
          <w:lang w:val="es-CO" w:eastAsia="es-ES"/>
        </w:rPr>
        <w:t xml:space="preserve"> notificar esta decisión a las partes, y publicarla e incluirla en su Informe Anual para la Asamblea General de la OEA.</w:t>
      </w:r>
    </w:p>
    <w:p w:rsidR="006A09FA" w:rsidRPr="001476A2" w:rsidRDefault="006A09FA" w:rsidP="007B6577">
      <w:pPr>
        <w:jc w:val="both"/>
        <w:rPr>
          <w:rFonts w:ascii="Cambria" w:hAnsi="Cambria" w:cs="Tahoma"/>
          <w:color w:val="000000"/>
          <w:sz w:val="20"/>
          <w:szCs w:val="20"/>
          <w:lang w:val="es-ES" w:eastAsia="es-ES"/>
        </w:rPr>
      </w:pPr>
    </w:p>
    <w:p w:rsidR="006A09FA" w:rsidRPr="000F014A" w:rsidRDefault="006A09FA" w:rsidP="000F014A">
      <w:pPr>
        <w:pStyle w:val="ListParagraph"/>
        <w:numPr>
          <w:ilvl w:val="0"/>
          <w:numId w:val="40"/>
        </w:numPr>
        <w:rPr>
          <w:rFonts w:ascii="Cambria" w:hAnsi="Cambria"/>
          <w:b/>
          <w:color w:val="000000"/>
          <w:sz w:val="20"/>
          <w:szCs w:val="20"/>
          <w:lang w:val="es-ES" w:eastAsia="es-ES"/>
        </w:rPr>
      </w:pPr>
      <w:r w:rsidRPr="000F014A">
        <w:rPr>
          <w:rFonts w:ascii="Cambria" w:hAnsi="Cambria"/>
          <w:b/>
          <w:color w:val="000000"/>
          <w:sz w:val="20"/>
          <w:szCs w:val="20"/>
          <w:lang w:val="es-ES" w:eastAsia="es-ES"/>
        </w:rPr>
        <w:t>TRÁMITE ANTE LA CIDH</w:t>
      </w:r>
    </w:p>
    <w:p w:rsidR="006A09FA" w:rsidRPr="001476A2" w:rsidRDefault="006A09FA" w:rsidP="007B6577">
      <w:pPr>
        <w:ind w:firstLine="720"/>
        <w:jc w:val="both"/>
        <w:rPr>
          <w:rFonts w:ascii="Cambria" w:hAnsi="Cambria"/>
          <w:color w:val="000000"/>
          <w:sz w:val="20"/>
          <w:szCs w:val="20"/>
          <w:lang w:val="es-ES" w:eastAsia="es-ES"/>
        </w:rPr>
      </w:pPr>
    </w:p>
    <w:p w:rsidR="006A09FA" w:rsidRPr="001476A2" w:rsidRDefault="006A09FA" w:rsidP="007B6577">
      <w:pPr>
        <w:numPr>
          <w:ilvl w:val="0"/>
          <w:numId w:val="31"/>
        </w:numPr>
        <w:ind w:left="0"/>
        <w:jc w:val="both"/>
        <w:rPr>
          <w:rFonts w:ascii="Cambria" w:hAnsi="Cambria"/>
          <w:color w:val="000000"/>
          <w:sz w:val="20"/>
          <w:szCs w:val="20"/>
          <w:lang w:val="es-ES"/>
        </w:rPr>
      </w:pPr>
      <w:r w:rsidRPr="001476A2">
        <w:rPr>
          <w:rFonts w:ascii="Cambria" w:hAnsi="Cambria"/>
          <w:color w:val="000000"/>
          <w:sz w:val="20"/>
          <w:szCs w:val="20"/>
          <w:lang w:val="es-ES"/>
        </w:rPr>
        <w:t xml:space="preserve">La petición fue registrada bajo el número </w:t>
      </w:r>
      <w:r w:rsidRPr="001476A2">
        <w:rPr>
          <w:rFonts w:ascii="Cambria" w:hAnsi="Cambria"/>
          <w:color w:val="000000"/>
          <w:sz w:val="20"/>
          <w:szCs w:val="20"/>
          <w:lang w:val="es-ES" w:eastAsia="es-ES"/>
        </w:rPr>
        <w:t>706-01</w:t>
      </w:r>
      <w:r w:rsidRPr="001476A2">
        <w:rPr>
          <w:rFonts w:ascii="Cambria" w:hAnsi="Cambria"/>
          <w:color w:val="000000"/>
          <w:sz w:val="20"/>
          <w:szCs w:val="20"/>
          <w:lang w:val="es-ES"/>
        </w:rPr>
        <w:t>.  El 10 de septiembre de 2003</w:t>
      </w:r>
      <w:r w:rsidR="00E45F2D" w:rsidRPr="001476A2">
        <w:rPr>
          <w:rFonts w:ascii="Cambria" w:hAnsi="Cambria"/>
          <w:color w:val="000000"/>
          <w:sz w:val="20"/>
          <w:szCs w:val="20"/>
          <w:lang w:val="es-ES"/>
        </w:rPr>
        <w:t>,</w:t>
      </w:r>
      <w:r w:rsidRPr="001476A2">
        <w:rPr>
          <w:rFonts w:ascii="Cambria" w:hAnsi="Cambria"/>
          <w:color w:val="000000"/>
          <w:sz w:val="20"/>
          <w:szCs w:val="20"/>
          <w:lang w:val="es-ES"/>
        </w:rPr>
        <w:t xml:space="preserve"> la petición fue trasladada al Estado para sus observaciones.  El Estado envió sus respues</w:t>
      </w:r>
      <w:r w:rsidR="00D9017D" w:rsidRPr="001476A2">
        <w:rPr>
          <w:rFonts w:ascii="Cambria" w:hAnsi="Cambria"/>
          <w:color w:val="000000"/>
          <w:sz w:val="20"/>
          <w:szCs w:val="20"/>
          <w:lang w:val="es-ES"/>
        </w:rPr>
        <w:t>tas el 26 de septiembre de 2003;</w:t>
      </w:r>
      <w:r w:rsidRPr="001476A2">
        <w:rPr>
          <w:rFonts w:ascii="Cambria" w:hAnsi="Cambria"/>
          <w:color w:val="000000"/>
          <w:sz w:val="20"/>
          <w:szCs w:val="20"/>
          <w:lang w:val="es-ES"/>
        </w:rPr>
        <w:t xml:space="preserve"> el 22 de noviembre de 2004</w:t>
      </w:r>
      <w:r w:rsidR="00D9017D" w:rsidRPr="001476A2">
        <w:rPr>
          <w:rFonts w:ascii="Cambria" w:hAnsi="Cambria"/>
          <w:color w:val="000000"/>
          <w:sz w:val="20"/>
          <w:szCs w:val="20"/>
          <w:lang w:val="es-ES"/>
        </w:rPr>
        <w:t xml:space="preserve">, </w:t>
      </w:r>
      <w:r w:rsidR="00221ECB" w:rsidRPr="001476A2">
        <w:rPr>
          <w:rFonts w:ascii="Cambria" w:hAnsi="Cambria"/>
          <w:color w:val="000000"/>
          <w:sz w:val="20"/>
          <w:szCs w:val="20"/>
          <w:lang w:val="es-ES"/>
        </w:rPr>
        <w:t xml:space="preserve">en la que invita a los peticionarios </w:t>
      </w:r>
      <w:r w:rsidR="00D9017D" w:rsidRPr="001476A2">
        <w:rPr>
          <w:rFonts w:ascii="Cambria" w:hAnsi="Cambria"/>
          <w:color w:val="000000"/>
          <w:sz w:val="20"/>
          <w:szCs w:val="20"/>
          <w:lang w:val="es-ES"/>
        </w:rPr>
        <w:t>a iniciar una solución amistosa; 9 de noviembre de 2005;</w:t>
      </w:r>
      <w:r w:rsidRPr="001476A2">
        <w:rPr>
          <w:rFonts w:ascii="Cambria" w:hAnsi="Cambria"/>
          <w:color w:val="000000"/>
          <w:sz w:val="20"/>
          <w:szCs w:val="20"/>
          <w:lang w:val="es-ES"/>
        </w:rPr>
        <w:t xml:space="preserve"> </w:t>
      </w:r>
      <w:r w:rsidRPr="001476A2">
        <w:rPr>
          <w:rFonts w:ascii="Cambria" w:hAnsi="Cambria" w:cs="Tahoma"/>
          <w:color w:val="000000"/>
          <w:sz w:val="20"/>
          <w:szCs w:val="20"/>
          <w:lang w:val="es-ES" w:eastAsia="es-ES"/>
        </w:rPr>
        <w:t>17 de noviembre de 2008</w:t>
      </w:r>
      <w:r w:rsidR="00D9017D" w:rsidRPr="001476A2">
        <w:rPr>
          <w:rFonts w:ascii="Cambria" w:hAnsi="Cambria" w:cs="Tahoma"/>
          <w:color w:val="000000"/>
          <w:sz w:val="20"/>
          <w:szCs w:val="20"/>
          <w:lang w:val="es-ES" w:eastAsia="es-ES"/>
        </w:rPr>
        <w:t>;</w:t>
      </w:r>
      <w:r w:rsidRPr="001476A2">
        <w:rPr>
          <w:rFonts w:ascii="Cambria" w:hAnsi="Cambria"/>
          <w:color w:val="000000"/>
          <w:sz w:val="20"/>
          <w:szCs w:val="20"/>
          <w:lang w:val="es-ES"/>
        </w:rPr>
        <w:t xml:space="preserve"> y el </w:t>
      </w:r>
      <w:r w:rsidR="00D9017D" w:rsidRPr="001476A2">
        <w:rPr>
          <w:rFonts w:ascii="Cambria" w:hAnsi="Cambria" w:cs="Tahoma"/>
          <w:color w:val="000000"/>
          <w:sz w:val="20"/>
          <w:szCs w:val="20"/>
          <w:lang w:val="es-ES" w:eastAsia="es-ES"/>
        </w:rPr>
        <w:t xml:space="preserve">28 de septiembre de 2010. Dichas comunicaciones </w:t>
      </w:r>
      <w:r w:rsidRPr="001476A2">
        <w:rPr>
          <w:rFonts w:ascii="Cambria" w:hAnsi="Cambria" w:cs="Tahoma"/>
          <w:color w:val="000000"/>
          <w:sz w:val="20"/>
          <w:szCs w:val="20"/>
          <w:lang w:val="es-ES" w:eastAsia="es-ES"/>
        </w:rPr>
        <w:t>fueron trasladadas al peticionario para sus observaciones y la última</w:t>
      </w:r>
      <w:r w:rsidR="00E45F2D" w:rsidRPr="001476A2">
        <w:rPr>
          <w:rFonts w:ascii="Cambria" w:hAnsi="Cambria" w:cs="Tahoma"/>
          <w:color w:val="000000"/>
          <w:sz w:val="20"/>
          <w:szCs w:val="20"/>
          <w:lang w:val="es-ES" w:eastAsia="es-ES"/>
        </w:rPr>
        <w:t>,</w:t>
      </w:r>
      <w:r w:rsidRPr="001476A2">
        <w:rPr>
          <w:rFonts w:ascii="Cambria" w:hAnsi="Cambria" w:cs="Tahoma"/>
          <w:color w:val="000000"/>
          <w:sz w:val="20"/>
          <w:szCs w:val="20"/>
          <w:lang w:val="es-ES" w:eastAsia="es-ES"/>
        </w:rPr>
        <w:t xml:space="preserve"> para su conocimiento, el 30 de noviembre de 2010.</w:t>
      </w:r>
    </w:p>
    <w:p w:rsidR="006A09FA" w:rsidRPr="001476A2" w:rsidRDefault="006A09FA" w:rsidP="00C9112A">
      <w:pPr>
        <w:jc w:val="both"/>
        <w:rPr>
          <w:rFonts w:ascii="Cambria" w:hAnsi="Cambria"/>
          <w:color w:val="000000"/>
          <w:sz w:val="20"/>
          <w:szCs w:val="20"/>
          <w:lang w:val="es-ES"/>
        </w:rPr>
      </w:pPr>
    </w:p>
    <w:p w:rsidR="006A09FA" w:rsidRPr="001476A2" w:rsidRDefault="009F6F6B"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s="Tahoma"/>
          <w:color w:val="000000"/>
          <w:sz w:val="20"/>
          <w:szCs w:val="20"/>
          <w:lang w:val="es-ES" w:eastAsia="es-ES"/>
        </w:rPr>
        <w:t>Los</w:t>
      </w:r>
      <w:r w:rsidR="006A09FA" w:rsidRPr="001476A2">
        <w:rPr>
          <w:rFonts w:ascii="Cambria" w:hAnsi="Cambria" w:cs="Tahoma"/>
          <w:color w:val="000000"/>
          <w:sz w:val="20"/>
          <w:szCs w:val="20"/>
          <w:lang w:val="es-ES" w:eastAsia="es-ES"/>
        </w:rPr>
        <w:t xml:space="preserve"> peticionario</w:t>
      </w:r>
      <w:r w:rsidRPr="001476A2">
        <w:rPr>
          <w:rFonts w:ascii="Cambria" w:hAnsi="Cambria" w:cs="Tahoma"/>
          <w:color w:val="000000"/>
          <w:sz w:val="20"/>
          <w:szCs w:val="20"/>
          <w:lang w:val="es-ES" w:eastAsia="es-ES"/>
        </w:rPr>
        <w:t>s remitieron</w:t>
      </w:r>
      <w:r w:rsidR="006A09FA" w:rsidRPr="001476A2">
        <w:rPr>
          <w:rFonts w:ascii="Cambria" w:hAnsi="Cambria" w:cs="Tahoma"/>
          <w:color w:val="000000"/>
          <w:sz w:val="20"/>
          <w:szCs w:val="20"/>
          <w:lang w:val="es-ES" w:eastAsia="es-ES"/>
        </w:rPr>
        <w:t xml:space="preserve"> sus observaciones e información adicional e</w:t>
      </w:r>
      <w:r w:rsidR="00D9017D" w:rsidRPr="001476A2">
        <w:rPr>
          <w:rFonts w:ascii="Cambria" w:hAnsi="Cambria"/>
          <w:color w:val="000000"/>
          <w:sz w:val="20"/>
          <w:szCs w:val="20"/>
          <w:lang w:val="es-ES"/>
        </w:rPr>
        <w:t>l 8 de diciembre de 2003; el 2 de septiembre de 2005;</w:t>
      </w:r>
      <w:r w:rsidR="006A09FA" w:rsidRPr="001476A2">
        <w:rPr>
          <w:rFonts w:ascii="Cambria" w:hAnsi="Cambria"/>
          <w:color w:val="000000"/>
          <w:sz w:val="20"/>
          <w:szCs w:val="20"/>
          <w:lang w:val="es-ES"/>
        </w:rPr>
        <w:t xml:space="preserve"> el 3 de marzo de 2006</w:t>
      </w:r>
      <w:r w:rsidR="00D9017D" w:rsidRPr="001476A2">
        <w:rPr>
          <w:rFonts w:ascii="Cambria" w:hAnsi="Cambria"/>
          <w:color w:val="000000"/>
          <w:sz w:val="20"/>
          <w:szCs w:val="20"/>
          <w:lang w:val="es-ES"/>
        </w:rPr>
        <w:t xml:space="preserve">, en la que </w:t>
      </w:r>
      <w:r w:rsidR="00221ECB" w:rsidRPr="001476A2">
        <w:rPr>
          <w:rFonts w:ascii="Cambria" w:hAnsi="Cambria"/>
          <w:color w:val="000000"/>
          <w:sz w:val="20"/>
          <w:szCs w:val="20"/>
          <w:lang w:val="es-ES"/>
        </w:rPr>
        <w:t xml:space="preserve">manifiestan que </w:t>
      </w:r>
      <w:r w:rsidR="00D9017D" w:rsidRPr="001476A2">
        <w:rPr>
          <w:rFonts w:ascii="Cambria" w:hAnsi="Cambria"/>
          <w:color w:val="000000"/>
          <w:sz w:val="20"/>
          <w:szCs w:val="20"/>
          <w:lang w:val="es-ES"/>
        </w:rPr>
        <w:t xml:space="preserve">ante la ausencia de una propuesta </w:t>
      </w:r>
      <w:r w:rsidR="00221ECB" w:rsidRPr="001476A2">
        <w:rPr>
          <w:rFonts w:ascii="Cambria" w:hAnsi="Cambria"/>
          <w:color w:val="000000"/>
          <w:sz w:val="20"/>
          <w:szCs w:val="20"/>
          <w:lang w:val="es-ES"/>
        </w:rPr>
        <w:t>de solución amistosa</w:t>
      </w:r>
      <w:r w:rsidR="00D9017D" w:rsidRPr="001476A2">
        <w:rPr>
          <w:rFonts w:ascii="Cambria" w:hAnsi="Cambria"/>
          <w:color w:val="000000"/>
          <w:sz w:val="20"/>
          <w:szCs w:val="20"/>
          <w:lang w:val="es-ES"/>
        </w:rPr>
        <w:t xml:space="preserve"> por parte del Estado</w:t>
      </w:r>
      <w:r w:rsidR="00221ECB" w:rsidRPr="001476A2">
        <w:rPr>
          <w:rFonts w:ascii="Cambria" w:hAnsi="Cambria"/>
          <w:color w:val="000000"/>
          <w:sz w:val="20"/>
          <w:szCs w:val="20"/>
          <w:lang w:val="es-ES"/>
        </w:rPr>
        <w:t>,</w:t>
      </w:r>
      <w:r w:rsidR="008B49BF" w:rsidRPr="001476A2">
        <w:rPr>
          <w:rFonts w:ascii="Cambria" w:hAnsi="Cambria"/>
          <w:color w:val="000000"/>
          <w:sz w:val="20"/>
          <w:szCs w:val="20"/>
          <w:lang w:val="es-ES"/>
        </w:rPr>
        <w:t xml:space="preserve"> no desean seguir buscando un acuerdo</w:t>
      </w:r>
      <w:r w:rsidR="00D9017D" w:rsidRPr="001476A2">
        <w:rPr>
          <w:rFonts w:ascii="Cambria" w:hAnsi="Cambria"/>
          <w:color w:val="000000"/>
          <w:sz w:val="20"/>
          <w:szCs w:val="20"/>
          <w:lang w:val="es-ES"/>
        </w:rPr>
        <w:t>; el 24 de abril de 2007; el 21 de mayo de 2008;</w:t>
      </w:r>
      <w:r w:rsidR="006A09FA" w:rsidRPr="001476A2">
        <w:rPr>
          <w:rFonts w:ascii="Cambria" w:hAnsi="Cambria"/>
          <w:color w:val="000000"/>
          <w:sz w:val="20"/>
          <w:szCs w:val="20"/>
          <w:lang w:val="es-ES"/>
        </w:rPr>
        <w:t xml:space="preserve"> el 1˚ de octubre de 2009</w:t>
      </w:r>
      <w:r w:rsidR="00D9017D" w:rsidRPr="001476A2">
        <w:rPr>
          <w:rFonts w:ascii="Cambria" w:hAnsi="Cambria"/>
          <w:color w:val="000000"/>
          <w:sz w:val="20"/>
          <w:szCs w:val="20"/>
          <w:lang w:val="es-ES"/>
        </w:rPr>
        <w:t>;</w:t>
      </w:r>
      <w:r w:rsidR="006A09FA" w:rsidRPr="001476A2">
        <w:rPr>
          <w:rFonts w:ascii="Cambria" w:hAnsi="Cambria"/>
          <w:color w:val="000000"/>
          <w:sz w:val="20"/>
          <w:szCs w:val="20"/>
          <w:lang w:val="es-ES"/>
        </w:rPr>
        <w:t xml:space="preserve"> y el 30 de julio de 2010.  Las que fueron remitidas al Estado para sus observaciones.</w:t>
      </w:r>
    </w:p>
    <w:p w:rsidR="00D9017D" w:rsidRPr="001476A2" w:rsidRDefault="00D9017D" w:rsidP="007B6577">
      <w:pPr>
        <w:jc w:val="both"/>
        <w:rPr>
          <w:rFonts w:ascii="Cambria" w:hAnsi="Cambria" w:cs="Tahoma"/>
          <w:color w:val="000000"/>
          <w:sz w:val="20"/>
          <w:szCs w:val="20"/>
          <w:lang w:val="es-ES" w:eastAsia="es-ES"/>
        </w:rPr>
      </w:pPr>
    </w:p>
    <w:p w:rsidR="006A09FA" w:rsidRPr="001476A2" w:rsidRDefault="006A09FA" w:rsidP="007B6577">
      <w:pPr>
        <w:jc w:val="center"/>
        <w:rPr>
          <w:rFonts w:ascii="Cambria" w:hAnsi="Cambria" w:cs="Tahoma"/>
          <w:color w:val="000000"/>
          <w:sz w:val="20"/>
          <w:szCs w:val="20"/>
          <w:lang w:val="es-ES" w:eastAsia="es-ES"/>
        </w:rPr>
      </w:pPr>
    </w:p>
    <w:p w:rsidR="006A09FA" w:rsidRPr="000F014A" w:rsidRDefault="007B6577" w:rsidP="00F526F1">
      <w:pPr>
        <w:pStyle w:val="ListParagraph"/>
        <w:numPr>
          <w:ilvl w:val="0"/>
          <w:numId w:val="40"/>
        </w:numPr>
        <w:tabs>
          <w:tab w:val="left" w:pos="1440"/>
        </w:tabs>
        <w:rPr>
          <w:rFonts w:ascii="Cambria" w:hAnsi="Cambria"/>
          <w:b/>
          <w:color w:val="000000"/>
          <w:sz w:val="20"/>
          <w:szCs w:val="20"/>
          <w:lang w:val="es-ES" w:eastAsia="es-ES"/>
        </w:rPr>
      </w:pPr>
      <w:r w:rsidRPr="000F014A">
        <w:rPr>
          <w:rFonts w:ascii="Cambria" w:hAnsi="Cambria"/>
          <w:b/>
          <w:color w:val="000000"/>
          <w:sz w:val="20"/>
          <w:szCs w:val="20"/>
          <w:lang w:val="es-ES" w:eastAsia="es-ES"/>
        </w:rPr>
        <w:br w:type="page"/>
      </w:r>
      <w:r w:rsidR="006A09FA" w:rsidRPr="000F014A">
        <w:rPr>
          <w:rFonts w:ascii="Cambria" w:hAnsi="Cambria"/>
          <w:b/>
          <w:color w:val="000000"/>
          <w:sz w:val="20"/>
          <w:szCs w:val="20"/>
          <w:lang w:val="es-ES" w:eastAsia="es-ES"/>
        </w:rPr>
        <w:lastRenderedPageBreak/>
        <w:t>POSICIÓN DE LAS PARTES</w:t>
      </w:r>
    </w:p>
    <w:p w:rsidR="006A09FA" w:rsidRPr="001476A2" w:rsidRDefault="006A09FA" w:rsidP="007B6577">
      <w:pPr>
        <w:rPr>
          <w:rFonts w:ascii="Cambria" w:hAnsi="Cambria"/>
          <w:b/>
          <w:color w:val="000000"/>
          <w:sz w:val="20"/>
          <w:szCs w:val="20"/>
          <w:lang w:val="es-ES" w:eastAsia="es-ES"/>
        </w:rPr>
      </w:pPr>
    </w:p>
    <w:p w:rsidR="006A09FA" w:rsidRPr="001476A2" w:rsidRDefault="006A09FA" w:rsidP="007B6577">
      <w:pPr>
        <w:numPr>
          <w:ilvl w:val="0"/>
          <w:numId w:val="30"/>
        </w:numPr>
        <w:ind w:left="1440" w:hanging="720"/>
        <w:jc w:val="both"/>
        <w:rPr>
          <w:rFonts w:ascii="Cambria" w:hAnsi="Cambria"/>
          <w:b/>
          <w:color w:val="000000"/>
          <w:sz w:val="20"/>
          <w:szCs w:val="20"/>
          <w:lang w:val="es-ES" w:eastAsia="es-ES"/>
        </w:rPr>
      </w:pPr>
      <w:r w:rsidRPr="001476A2">
        <w:rPr>
          <w:rFonts w:ascii="Cambria" w:hAnsi="Cambria"/>
          <w:b/>
          <w:color w:val="000000"/>
          <w:sz w:val="20"/>
          <w:szCs w:val="20"/>
          <w:lang w:val="es-ES" w:eastAsia="es-ES"/>
        </w:rPr>
        <w:t>POSICIÓN DE</w:t>
      </w:r>
      <w:r w:rsidR="00AD7A1C" w:rsidRPr="001476A2">
        <w:rPr>
          <w:rFonts w:ascii="Cambria" w:hAnsi="Cambria"/>
          <w:b/>
          <w:color w:val="000000"/>
          <w:sz w:val="20"/>
          <w:szCs w:val="20"/>
          <w:lang w:val="es-ES" w:eastAsia="es-ES"/>
        </w:rPr>
        <w:t xml:space="preserve"> </w:t>
      </w:r>
      <w:r w:rsidRPr="001476A2">
        <w:rPr>
          <w:rFonts w:ascii="Cambria" w:hAnsi="Cambria"/>
          <w:b/>
          <w:color w:val="000000"/>
          <w:sz w:val="20"/>
          <w:szCs w:val="20"/>
          <w:lang w:val="es-ES" w:eastAsia="es-ES"/>
        </w:rPr>
        <w:t>L</w:t>
      </w:r>
      <w:r w:rsidR="00AD7A1C" w:rsidRPr="001476A2">
        <w:rPr>
          <w:rFonts w:ascii="Cambria" w:hAnsi="Cambria"/>
          <w:b/>
          <w:color w:val="000000"/>
          <w:sz w:val="20"/>
          <w:szCs w:val="20"/>
          <w:lang w:val="es-ES" w:eastAsia="es-ES"/>
        </w:rPr>
        <w:t>OS</w:t>
      </w:r>
      <w:r w:rsidRPr="001476A2">
        <w:rPr>
          <w:rFonts w:ascii="Cambria" w:hAnsi="Cambria"/>
          <w:b/>
          <w:color w:val="000000"/>
          <w:sz w:val="20"/>
          <w:szCs w:val="20"/>
          <w:lang w:val="es-ES" w:eastAsia="es-ES"/>
        </w:rPr>
        <w:t xml:space="preserve"> PETICIONARIO</w:t>
      </w:r>
      <w:r w:rsidR="00AD7A1C" w:rsidRPr="001476A2">
        <w:rPr>
          <w:rFonts w:ascii="Cambria" w:hAnsi="Cambria"/>
          <w:b/>
          <w:color w:val="000000"/>
          <w:sz w:val="20"/>
          <w:szCs w:val="20"/>
          <w:lang w:val="es-ES" w:eastAsia="es-ES"/>
        </w:rPr>
        <w:t>S</w:t>
      </w:r>
    </w:p>
    <w:p w:rsidR="006A09FA" w:rsidRPr="001476A2" w:rsidRDefault="006A09FA" w:rsidP="007B6577">
      <w:pPr>
        <w:ind w:left="360"/>
        <w:jc w:val="both"/>
        <w:rPr>
          <w:rFonts w:ascii="Cambria" w:hAnsi="Cambria"/>
          <w:b/>
          <w:color w:val="000000"/>
          <w:sz w:val="20"/>
          <w:szCs w:val="20"/>
          <w:lang w:val="es-ES" w:eastAsia="es-ES"/>
        </w:rPr>
      </w:pPr>
    </w:p>
    <w:p w:rsidR="006A09FA" w:rsidRPr="006A3A62" w:rsidRDefault="00AD7A1C" w:rsidP="007B6577">
      <w:pPr>
        <w:numPr>
          <w:ilvl w:val="0"/>
          <w:numId w:val="31"/>
        </w:numPr>
        <w:ind w:left="0"/>
        <w:jc w:val="both"/>
        <w:rPr>
          <w:rFonts w:ascii="Cambria" w:hAnsi="Cambria"/>
          <w:color w:val="000000"/>
          <w:sz w:val="20"/>
          <w:szCs w:val="20"/>
          <w:lang w:val="es-ES" w:eastAsia="es-ES"/>
        </w:rPr>
      </w:pPr>
      <w:r w:rsidRPr="006A3A62">
        <w:rPr>
          <w:rFonts w:ascii="Cambria" w:hAnsi="Cambria" w:cs="Tahoma"/>
          <w:color w:val="000000"/>
          <w:sz w:val="20"/>
          <w:szCs w:val="20"/>
          <w:lang w:val="es-ES" w:eastAsia="es-ES"/>
        </w:rPr>
        <w:t>Los</w:t>
      </w:r>
      <w:r w:rsidR="006A09FA" w:rsidRPr="006A3A62">
        <w:rPr>
          <w:rFonts w:ascii="Cambria" w:hAnsi="Cambria" w:cs="Tahoma"/>
          <w:color w:val="000000"/>
          <w:sz w:val="20"/>
          <w:szCs w:val="20"/>
          <w:lang w:val="es-ES" w:eastAsia="es-ES"/>
        </w:rPr>
        <w:t xml:space="preserve"> peticionario</w:t>
      </w:r>
      <w:r w:rsidRPr="006A3A62">
        <w:rPr>
          <w:rFonts w:ascii="Cambria" w:hAnsi="Cambria" w:cs="Tahoma"/>
          <w:color w:val="000000"/>
          <w:sz w:val="20"/>
          <w:szCs w:val="20"/>
          <w:lang w:val="es-ES" w:eastAsia="es-ES"/>
        </w:rPr>
        <w:t>s</w:t>
      </w:r>
      <w:r w:rsidR="006A09FA" w:rsidRPr="006A3A62">
        <w:rPr>
          <w:rFonts w:ascii="Cambria" w:hAnsi="Cambria" w:cs="Tahoma"/>
          <w:color w:val="000000"/>
          <w:sz w:val="20"/>
          <w:szCs w:val="20"/>
          <w:lang w:val="es-ES" w:eastAsia="es-ES"/>
        </w:rPr>
        <w:t xml:space="preserve"> alega</w:t>
      </w:r>
      <w:r w:rsidR="002850F9" w:rsidRPr="006A3A62">
        <w:rPr>
          <w:rFonts w:ascii="Cambria" w:hAnsi="Cambria" w:cs="Tahoma"/>
          <w:color w:val="000000"/>
          <w:sz w:val="20"/>
          <w:szCs w:val="20"/>
          <w:lang w:val="es-ES" w:eastAsia="es-ES"/>
        </w:rPr>
        <w:t>ron inicialmente</w:t>
      </w:r>
      <w:r w:rsidR="006A09FA" w:rsidRPr="006A3A62">
        <w:rPr>
          <w:rFonts w:ascii="Cambria" w:hAnsi="Cambria" w:cs="Tahoma"/>
          <w:color w:val="000000"/>
          <w:sz w:val="20"/>
          <w:szCs w:val="20"/>
          <w:lang w:val="es-ES" w:eastAsia="es-ES"/>
        </w:rPr>
        <w:t xml:space="preserve"> que</w:t>
      </w:r>
      <w:r w:rsidR="00D73A3B" w:rsidRPr="006A3A62">
        <w:rPr>
          <w:rFonts w:ascii="Cambria" w:hAnsi="Cambria" w:cs="Tahoma"/>
          <w:color w:val="000000"/>
          <w:sz w:val="20"/>
          <w:szCs w:val="20"/>
          <w:lang w:val="es-ES" w:eastAsia="es-ES"/>
        </w:rPr>
        <w:t xml:space="preserve"> el Estado es responsable por la</w:t>
      </w:r>
      <w:r w:rsidR="006A09FA" w:rsidRPr="006A3A62">
        <w:rPr>
          <w:rFonts w:ascii="Cambria" w:hAnsi="Cambria" w:cs="Tahoma"/>
          <w:color w:val="000000"/>
          <w:sz w:val="20"/>
          <w:szCs w:val="20"/>
          <w:lang w:val="es-ES" w:eastAsia="es-ES"/>
        </w:rPr>
        <w:t xml:space="preserve"> privación ilegítima de la libertad, lesiones, violación de domicilio, adult</w:t>
      </w:r>
      <w:r w:rsidR="00D73A3B" w:rsidRPr="006A3A62">
        <w:rPr>
          <w:rFonts w:ascii="Cambria" w:hAnsi="Cambria" w:cs="Tahoma"/>
          <w:color w:val="000000"/>
          <w:sz w:val="20"/>
          <w:szCs w:val="20"/>
          <w:lang w:val="es-ES" w:eastAsia="es-ES"/>
        </w:rPr>
        <w:t>eración de instrumento público,</w:t>
      </w:r>
      <w:r w:rsidR="006A09FA" w:rsidRPr="006A3A62">
        <w:rPr>
          <w:rFonts w:ascii="Cambria" w:hAnsi="Cambria"/>
          <w:color w:val="000000"/>
          <w:sz w:val="20"/>
          <w:szCs w:val="20"/>
          <w:lang w:val="es-ES" w:eastAsia="es-ES"/>
        </w:rPr>
        <w:t xml:space="preserve"> torturas y desaparición forzada</w:t>
      </w:r>
      <w:r w:rsidR="00D73A3B" w:rsidRPr="006A3A62">
        <w:rPr>
          <w:rFonts w:ascii="Cambria" w:hAnsi="Cambria"/>
          <w:color w:val="000000"/>
          <w:sz w:val="20"/>
          <w:szCs w:val="20"/>
          <w:lang w:val="es-ES" w:eastAsia="es-ES"/>
        </w:rPr>
        <w:t>, en prejuicio de la presunta víctima</w:t>
      </w:r>
      <w:r w:rsidR="006A09FA" w:rsidRPr="006A3A62">
        <w:rPr>
          <w:rFonts w:ascii="Cambria" w:hAnsi="Cambria"/>
          <w:color w:val="000000"/>
          <w:sz w:val="20"/>
          <w:szCs w:val="20"/>
          <w:lang w:val="es-ES" w:eastAsia="es-ES"/>
        </w:rPr>
        <w:t xml:space="preserve">.  </w:t>
      </w:r>
      <w:r w:rsidR="002850F9" w:rsidRPr="006A3A62">
        <w:rPr>
          <w:rFonts w:ascii="Cambria" w:hAnsi="Cambria"/>
          <w:color w:val="000000"/>
          <w:sz w:val="20"/>
          <w:szCs w:val="20"/>
          <w:lang w:val="es-ES" w:eastAsia="es-ES"/>
        </w:rPr>
        <w:t xml:space="preserve">Durante la tramitación de la petición los peticionarios informaron sobre los resultados de recursos judiciales civiles que consideran insuficientes, en relación a la indemnización solicitada desde 1980.  </w:t>
      </w:r>
      <w:r w:rsidR="00DC0FFC" w:rsidRPr="006A3A62">
        <w:rPr>
          <w:rFonts w:ascii="Cambria" w:hAnsi="Cambria" w:cs="Tahoma"/>
          <w:color w:val="000000"/>
          <w:sz w:val="20"/>
          <w:szCs w:val="20"/>
          <w:lang w:val="es-ES" w:eastAsia="es-ES"/>
        </w:rPr>
        <w:t>Al respecto, sostiene</w:t>
      </w:r>
      <w:r w:rsidR="00DC7202" w:rsidRPr="006A3A62">
        <w:rPr>
          <w:rFonts w:ascii="Cambria" w:hAnsi="Cambria" w:cs="Tahoma"/>
          <w:color w:val="000000"/>
          <w:sz w:val="20"/>
          <w:szCs w:val="20"/>
          <w:lang w:val="es-ES" w:eastAsia="es-ES"/>
        </w:rPr>
        <w:t>n</w:t>
      </w:r>
      <w:r w:rsidR="00DC0FFC" w:rsidRPr="006A3A62">
        <w:rPr>
          <w:rFonts w:ascii="Cambria" w:hAnsi="Cambria" w:cs="Tahoma"/>
          <w:color w:val="000000"/>
          <w:sz w:val="20"/>
          <w:szCs w:val="20"/>
          <w:lang w:val="es-ES" w:eastAsia="es-ES"/>
        </w:rPr>
        <w:t xml:space="preserve"> que la indemnización declarada</w:t>
      </w:r>
      <w:r w:rsidR="002D1D57" w:rsidRPr="006A3A62">
        <w:rPr>
          <w:rFonts w:ascii="Cambria" w:hAnsi="Cambria" w:cs="Tahoma"/>
          <w:color w:val="000000"/>
          <w:sz w:val="20"/>
          <w:szCs w:val="20"/>
          <w:lang w:val="es-ES" w:eastAsia="es-ES"/>
        </w:rPr>
        <w:t xml:space="preserve"> judicialmente</w:t>
      </w:r>
      <w:r w:rsidR="000046C2" w:rsidRPr="006A3A62">
        <w:rPr>
          <w:rFonts w:ascii="Cambria" w:hAnsi="Cambria" w:cs="Tahoma"/>
          <w:color w:val="000000"/>
          <w:sz w:val="20"/>
          <w:szCs w:val="20"/>
          <w:lang w:val="es-ES" w:eastAsia="es-ES"/>
        </w:rPr>
        <w:t xml:space="preserve"> </w:t>
      </w:r>
      <w:r w:rsidR="00622BE1" w:rsidRPr="006A3A62">
        <w:rPr>
          <w:rFonts w:ascii="Cambria" w:hAnsi="Cambria" w:cs="Tahoma"/>
          <w:color w:val="000000"/>
          <w:sz w:val="20"/>
          <w:szCs w:val="20"/>
          <w:lang w:val="es-ES" w:eastAsia="es-ES"/>
        </w:rPr>
        <w:t xml:space="preserve">a su favor, </w:t>
      </w:r>
      <w:r w:rsidR="006B53A3" w:rsidRPr="006A3A62">
        <w:rPr>
          <w:rFonts w:ascii="Cambria" w:hAnsi="Cambria" w:cs="Tahoma"/>
          <w:color w:val="000000"/>
          <w:sz w:val="20"/>
          <w:szCs w:val="20"/>
          <w:lang w:val="es-ES" w:eastAsia="es-ES"/>
        </w:rPr>
        <w:t>fue abonada</w:t>
      </w:r>
      <w:r w:rsidR="00622BE1" w:rsidRPr="006A3A62">
        <w:rPr>
          <w:rFonts w:ascii="Cambria" w:hAnsi="Cambria" w:cs="Tahoma"/>
          <w:color w:val="000000"/>
          <w:sz w:val="20"/>
          <w:szCs w:val="20"/>
          <w:lang w:val="es-ES" w:eastAsia="es-ES"/>
        </w:rPr>
        <w:t xml:space="preserve"> </w:t>
      </w:r>
      <w:r w:rsidR="00DC7202" w:rsidRPr="006A3A62">
        <w:rPr>
          <w:rFonts w:ascii="Cambria" w:hAnsi="Cambria" w:cs="Tahoma"/>
          <w:color w:val="000000"/>
          <w:sz w:val="20"/>
          <w:szCs w:val="20"/>
          <w:lang w:val="es-ES" w:eastAsia="es-ES"/>
        </w:rPr>
        <w:t xml:space="preserve">finalmente </w:t>
      </w:r>
      <w:r w:rsidR="00955B4A" w:rsidRPr="006A3A62">
        <w:rPr>
          <w:rFonts w:ascii="Cambria" w:hAnsi="Cambria" w:cs="Tahoma"/>
          <w:color w:val="000000"/>
          <w:sz w:val="20"/>
          <w:szCs w:val="20"/>
          <w:lang w:val="es-ES" w:eastAsia="es-ES"/>
        </w:rPr>
        <w:t>23 años</w:t>
      </w:r>
      <w:r w:rsidR="00DC7202" w:rsidRPr="006A3A62">
        <w:rPr>
          <w:rFonts w:ascii="Cambria" w:hAnsi="Cambria" w:cs="Tahoma"/>
          <w:color w:val="000000"/>
          <w:sz w:val="20"/>
          <w:szCs w:val="20"/>
          <w:lang w:val="es-ES" w:eastAsia="es-ES"/>
        </w:rPr>
        <w:t xml:space="preserve"> después de haber</w:t>
      </w:r>
      <w:r w:rsidR="00BA5E57" w:rsidRPr="006A3A62">
        <w:rPr>
          <w:rFonts w:ascii="Cambria" w:hAnsi="Cambria" w:cs="Tahoma"/>
          <w:color w:val="000000"/>
          <w:sz w:val="20"/>
          <w:szCs w:val="20"/>
          <w:lang w:val="es-ES" w:eastAsia="es-ES"/>
        </w:rPr>
        <w:t xml:space="preserve">se iniciado el proceso civil; </w:t>
      </w:r>
      <w:r w:rsidR="00DC7202" w:rsidRPr="006A3A62">
        <w:rPr>
          <w:rFonts w:ascii="Cambria" w:hAnsi="Cambria" w:cs="Tahoma"/>
          <w:color w:val="000000"/>
          <w:sz w:val="20"/>
          <w:szCs w:val="20"/>
          <w:lang w:val="es-ES" w:eastAsia="es-ES"/>
        </w:rPr>
        <w:t>y con una serie de obstáculos en</w:t>
      </w:r>
      <w:r w:rsidR="00BA5E57" w:rsidRPr="006A3A62">
        <w:rPr>
          <w:rFonts w:ascii="Cambria" w:hAnsi="Cambria" w:cs="Tahoma"/>
          <w:color w:val="000000"/>
          <w:sz w:val="20"/>
          <w:szCs w:val="20"/>
          <w:lang w:val="es-ES" w:eastAsia="es-ES"/>
        </w:rPr>
        <w:t xml:space="preserve"> el proceso de </w:t>
      </w:r>
      <w:r w:rsidR="00DC7202" w:rsidRPr="006A3A62">
        <w:rPr>
          <w:rFonts w:ascii="Cambria" w:hAnsi="Cambria" w:cs="Tahoma"/>
          <w:color w:val="000000"/>
          <w:sz w:val="20"/>
          <w:szCs w:val="20"/>
          <w:lang w:val="es-ES" w:eastAsia="es-ES"/>
        </w:rPr>
        <w:t>cumplimiento que le causaron una pérdida de</w:t>
      </w:r>
      <w:r w:rsidR="00591E25" w:rsidRPr="006A3A62">
        <w:rPr>
          <w:rFonts w:ascii="Cambria" w:hAnsi="Cambria" w:cs="Tahoma"/>
          <w:color w:val="000000"/>
          <w:sz w:val="20"/>
          <w:szCs w:val="20"/>
          <w:lang w:val="es-ES" w:eastAsia="es-ES"/>
        </w:rPr>
        <w:t xml:space="preserve"> más del </w:t>
      </w:r>
      <w:r w:rsidR="00DC7202" w:rsidRPr="006A3A62">
        <w:rPr>
          <w:rFonts w:ascii="Cambria" w:hAnsi="Cambria" w:cs="Tahoma"/>
          <w:color w:val="000000"/>
          <w:sz w:val="20"/>
          <w:szCs w:val="20"/>
          <w:lang w:val="es-ES" w:eastAsia="es-ES"/>
        </w:rPr>
        <w:t>40% d</w:t>
      </w:r>
      <w:r w:rsidR="00BA5E57" w:rsidRPr="006A3A62">
        <w:rPr>
          <w:rFonts w:ascii="Cambria" w:hAnsi="Cambria" w:cs="Tahoma"/>
          <w:color w:val="000000"/>
          <w:sz w:val="20"/>
          <w:szCs w:val="20"/>
          <w:lang w:val="es-ES" w:eastAsia="es-ES"/>
        </w:rPr>
        <w:t>e su</w:t>
      </w:r>
      <w:r w:rsidR="00DC7202" w:rsidRPr="006A3A62">
        <w:rPr>
          <w:rFonts w:ascii="Cambria" w:hAnsi="Cambria" w:cs="Tahoma"/>
          <w:color w:val="000000"/>
          <w:sz w:val="20"/>
          <w:szCs w:val="20"/>
          <w:lang w:val="es-ES" w:eastAsia="es-ES"/>
        </w:rPr>
        <w:t xml:space="preserve"> valor. </w:t>
      </w:r>
    </w:p>
    <w:p w:rsidR="0078060F" w:rsidRPr="006A3A62" w:rsidRDefault="0078060F" w:rsidP="0078060F">
      <w:pPr>
        <w:jc w:val="both"/>
        <w:rPr>
          <w:rFonts w:ascii="Cambria" w:hAnsi="Cambria" w:cs="Tahoma"/>
          <w:color w:val="000000"/>
          <w:sz w:val="20"/>
          <w:szCs w:val="20"/>
          <w:lang w:val="es-ES" w:eastAsia="es-ES"/>
        </w:rPr>
      </w:pPr>
    </w:p>
    <w:p w:rsidR="006A09FA" w:rsidRPr="006A3A62" w:rsidRDefault="006A09FA" w:rsidP="007B6577">
      <w:pPr>
        <w:numPr>
          <w:ilvl w:val="0"/>
          <w:numId w:val="31"/>
        </w:numPr>
        <w:ind w:left="0"/>
        <w:jc w:val="both"/>
        <w:rPr>
          <w:rFonts w:ascii="Cambria" w:hAnsi="Cambria" w:cs="Tahoma"/>
          <w:color w:val="000000"/>
          <w:sz w:val="20"/>
          <w:szCs w:val="20"/>
          <w:lang w:val="es-ES" w:eastAsia="es-ES"/>
        </w:rPr>
      </w:pPr>
      <w:r w:rsidRPr="006A3A62">
        <w:rPr>
          <w:rFonts w:ascii="Cambria" w:hAnsi="Cambria" w:cs="Tahoma"/>
          <w:color w:val="000000"/>
          <w:sz w:val="20"/>
          <w:szCs w:val="20"/>
          <w:lang w:val="es-ES" w:eastAsia="es-ES"/>
        </w:rPr>
        <w:t>Alega</w:t>
      </w:r>
      <w:r w:rsidR="00AD7A1C" w:rsidRPr="006A3A62">
        <w:rPr>
          <w:rFonts w:ascii="Cambria" w:hAnsi="Cambria" w:cs="Tahoma"/>
          <w:color w:val="000000"/>
          <w:sz w:val="20"/>
          <w:szCs w:val="20"/>
          <w:lang w:val="es-ES" w:eastAsia="es-ES"/>
        </w:rPr>
        <w:t>n</w:t>
      </w:r>
      <w:r w:rsidRPr="006A3A62">
        <w:rPr>
          <w:rFonts w:ascii="Cambria" w:hAnsi="Cambria" w:cs="Tahoma"/>
          <w:color w:val="000000"/>
          <w:sz w:val="20"/>
          <w:szCs w:val="20"/>
          <w:lang w:val="es-ES" w:eastAsia="es-ES"/>
        </w:rPr>
        <w:t xml:space="preserve"> que el </w:t>
      </w:r>
      <w:r w:rsidRPr="006A3A62">
        <w:rPr>
          <w:rFonts w:ascii="Cambria" w:hAnsi="Cambria" w:cs="Tahoma"/>
          <w:sz w:val="20"/>
          <w:szCs w:val="20"/>
          <w:lang w:val="es-ES" w:eastAsia="es-ES"/>
        </w:rPr>
        <w:t>21 de marzo de 1977, durante la dictadura,</w:t>
      </w:r>
      <w:r w:rsidR="00FB5E23" w:rsidRPr="006A3A62">
        <w:rPr>
          <w:rFonts w:ascii="Cambria" w:hAnsi="Cambria" w:cs="Tahoma"/>
          <w:color w:val="000000"/>
          <w:sz w:val="20"/>
          <w:szCs w:val="20"/>
          <w:lang w:val="es-ES" w:eastAsia="es-ES"/>
        </w:rPr>
        <w:t xml:space="preserve"> dos oficiales de policía</w:t>
      </w:r>
      <w:r w:rsidRPr="006A3A62">
        <w:rPr>
          <w:rFonts w:ascii="Cambria" w:hAnsi="Cambria" w:cs="Tahoma"/>
          <w:color w:val="000000"/>
          <w:sz w:val="20"/>
          <w:szCs w:val="20"/>
          <w:lang w:val="es-ES" w:eastAsia="es-ES"/>
        </w:rPr>
        <w:t xml:space="preserve"> </w:t>
      </w:r>
      <w:r w:rsidR="00256E53" w:rsidRPr="006A3A62">
        <w:rPr>
          <w:rFonts w:ascii="Cambria" w:hAnsi="Cambria" w:cs="Tahoma"/>
          <w:color w:val="000000"/>
          <w:sz w:val="20"/>
          <w:szCs w:val="20"/>
          <w:lang w:val="es-ES" w:eastAsia="es-ES"/>
        </w:rPr>
        <w:t xml:space="preserve">saquearon la casa de la presunta víctima, lo </w:t>
      </w:r>
      <w:r w:rsidRPr="006A3A62">
        <w:rPr>
          <w:rFonts w:ascii="Cambria" w:hAnsi="Cambria" w:cs="Tahoma"/>
          <w:color w:val="000000"/>
          <w:sz w:val="20"/>
          <w:szCs w:val="20"/>
          <w:lang w:val="es-ES" w:eastAsia="es-ES"/>
        </w:rPr>
        <w:t>secuestraron</w:t>
      </w:r>
      <w:r w:rsidR="00EF4880" w:rsidRPr="006A3A62">
        <w:rPr>
          <w:rFonts w:ascii="Cambria" w:hAnsi="Cambria" w:cs="Tahoma"/>
          <w:color w:val="000000"/>
          <w:sz w:val="20"/>
          <w:szCs w:val="20"/>
          <w:lang w:val="es-ES" w:eastAsia="es-ES"/>
        </w:rPr>
        <w:t xml:space="preserve">, </w:t>
      </w:r>
      <w:r w:rsidR="00A91425" w:rsidRPr="006A3A62">
        <w:rPr>
          <w:rFonts w:ascii="Cambria" w:hAnsi="Cambria" w:cs="Tahoma"/>
          <w:color w:val="000000"/>
          <w:sz w:val="20"/>
          <w:szCs w:val="20"/>
          <w:lang w:val="es-ES" w:eastAsia="es-ES"/>
        </w:rPr>
        <w:t>y lo</w:t>
      </w:r>
      <w:r w:rsidRPr="006A3A62">
        <w:rPr>
          <w:rFonts w:ascii="Cambria" w:hAnsi="Cambria" w:cs="Tahoma"/>
          <w:color w:val="000000"/>
          <w:sz w:val="20"/>
          <w:szCs w:val="20"/>
          <w:lang w:val="es-ES" w:eastAsia="es-ES"/>
        </w:rPr>
        <w:t xml:space="preserve"> condujeron hasta un centro clandestino de </w:t>
      </w:r>
      <w:r w:rsidR="00052A57" w:rsidRPr="006A3A62">
        <w:rPr>
          <w:rFonts w:ascii="Cambria" w:hAnsi="Cambria" w:cs="Tahoma"/>
          <w:color w:val="000000"/>
          <w:sz w:val="20"/>
          <w:szCs w:val="20"/>
          <w:lang w:val="es-ES" w:eastAsia="es-ES"/>
        </w:rPr>
        <w:t xml:space="preserve">detención </w:t>
      </w:r>
      <w:r w:rsidR="00E11BE3" w:rsidRPr="006A3A62">
        <w:rPr>
          <w:rFonts w:ascii="Cambria" w:hAnsi="Cambria" w:cs="Tahoma"/>
          <w:color w:val="000000"/>
          <w:sz w:val="20"/>
          <w:szCs w:val="20"/>
          <w:lang w:val="es-ES" w:eastAsia="es-ES"/>
        </w:rPr>
        <w:t>ubicado en Buenos Aires</w:t>
      </w:r>
      <w:r w:rsidR="00A91425" w:rsidRPr="006A3A62">
        <w:rPr>
          <w:rFonts w:ascii="Cambria" w:hAnsi="Cambria" w:cs="Tahoma"/>
          <w:color w:val="000000"/>
          <w:sz w:val="20"/>
          <w:szCs w:val="20"/>
          <w:lang w:val="es-ES" w:eastAsia="es-ES"/>
        </w:rPr>
        <w:t>, donde fue atormentado</w:t>
      </w:r>
      <w:r w:rsidRPr="006A3A62">
        <w:rPr>
          <w:rFonts w:ascii="Cambria" w:hAnsi="Cambria" w:cs="Tahoma"/>
          <w:color w:val="000000"/>
          <w:sz w:val="20"/>
          <w:szCs w:val="20"/>
          <w:lang w:val="es-ES" w:eastAsia="es-ES"/>
        </w:rPr>
        <w:t xml:space="preserve"> para obtener confesiones acerca de la </w:t>
      </w:r>
      <w:r w:rsidR="00FB5E23" w:rsidRPr="006A3A62">
        <w:rPr>
          <w:rFonts w:ascii="Cambria" w:hAnsi="Cambria" w:cs="Tahoma"/>
          <w:color w:val="000000"/>
          <w:sz w:val="20"/>
          <w:szCs w:val="20"/>
          <w:lang w:val="es-ES" w:eastAsia="es-ES"/>
        </w:rPr>
        <w:t>autoría</w:t>
      </w:r>
      <w:r w:rsidRPr="006A3A62">
        <w:rPr>
          <w:rFonts w:ascii="Cambria" w:hAnsi="Cambria" w:cs="Tahoma"/>
          <w:color w:val="000000"/>
          <w:sz w:val="20"/>
          <w:szCs w:val="20"/>
          <w:lang w:val="es-ES" w:eastAsia="es-ES"/>
        </w:rPr>
        <w:t xml:space="preserve"> en un pres</w:t>
      </w:r>
      <w:r w:rsidR="00A91425" w:rsidRPr="006A3A62">
        <w:rPr>
          <w:rFonts w:ascii="Cambria" w:hAnsi="Cambria" w:cs="Tahoma"/>
          <w:color w:val="000000"/>
          <w:sz w:val="20"/>
          <w:szCs w:val="20"/>
          <w:lang w:val="es-ES" w:eastAsia="es-ES"/>
        </w:rPr>
        <w:t>unto delito común; y que pasó</w:t>
      </w:r>
      <w:r w:rsidRPr="006A3A62">
        <w:rPr>
          <w:rFonts w:ascii="Cambria" w:hAnsi="Cambria" w:cs="Tahoma"/>
          <w:color w:val="000000"/>
          <w:sz w:val="20"/>
          <w:szCs w:val="20"/>
          <w:lang w:val="es-ES" w:eastAsia="es-ES"/>
        </w:rPr>
        <w:t xml:space="preserve"> siete años en la cárcel, hasta que el asunto fue sobreseído.  </w:t>
      </w:r>
    </w:p>
    <w:p w:rsidR="006A09FA" w:rsidRPr="006A3A62" w:rsidRDefault="006A09FA" w:rsidP="007B6577">
      <w:pPr>
        <w:ind w:left="720"/>
        <w:rPr>
          <w:rFonts w:ascii="Cambria" w:hAnsi="Cambria" w:cs="Tahoma"/>
          <w:color w:val="000000"/>
          <w:sz w:val="20"/>
          <w:szCs w:val="20"/>
          <w:lang w:val="es-ES" w:eastAsia="es-ES"/>
        </w:rPr>
      </w:pPr>
    </w:p>
    <w:p w:rsidR="006A09FA" w:rsidRPr="006A3A62" w:rsidRDefault="006A09FA" w:rsidP="007B6577">
      <w:pPr>
        <w:numPr>
          <w:ilvl w:val="0"/>
          <w:numId w:val="31"/>
        </w:numPr>
        <w:ind w:left="0"/>
        <w:jc w:val="both"/>
        <w:rPr>
          <w:rFonts w:ascii="Cambria" w:hAnsi="Cambria" w:cs="Tahoma"/>
          <w:color w:val="000000"/>
          <w:sz w:val="20"/>
          <w:szCs w:val="20"/>
          <w:lang w:val="es-ES" w:eastAsia="es-ES"/>
        </w:rPr>
      </w:pPr>
      <w:r w:rsidRPr="006A3A62">
        <w:rPr>
          <w:rFonts w:ascii="Cambria" w:hAnsi="Cambria" w:cs="Tahoma"/>
          <w:color w:val="000000"/>
          <w:sz w:val="20"/>
          <w:szCs w:val="20"/>
          <w:lang w:val="es-ES" w:eastAsia="es-ES"/>
        </w:rPr>
        <w:t>En rela</w:t>
      </w:r>
      <w:r w:rsidR="00FB5E23" w:rsidRPr="006A3A62">
        <w:rPr>
          <w:rFonts w:ascii="Cambria" w:hAnsi="Cambria" w:cs="Tahoma"/>
          <w:color w:val="000000"/>
          <w:sz w:val="20"/>
          <w:szCs w:val="20"/>
          <w:lang w:val="es-ES" w:eastAsia="es-ES"/>
        </w:rPr>
        <w:t>ción a las torturas sufridas, la</w:t>
      </w:r>
      <w:r w:rsidRPr="006A3A62">
        <w:rPr>
          <w:rFonts w:ascii="Cambria" w:hAnsi="Cambria" w:cs="Tahoma"/>
          <w:color w:val="000000"/>
          <w:sz w:val="20"/>
          <w:szCs w:val="20"/>
          <w:lang w:val="es-ES" w:eastAsia="es-ES"/>
        </w:rPr>
        <w:t xml:space="preserve"> </w:t>
      </w:r>
      <w:r w:rsidR="00FB5E23" w:rsidRPr="006A3A62">
        <w:rPr>
          <w:rFonts w:ascii="Cambria" w:hAnsi="Cambria" w:cs="Tahoma"/>
          <w:color w:val="000000"/>
          <w:sz w:val="20"/>
          <w:szCs w:val="20"/>
          <w:lang w:val="es-ES" w:eastAsia="es-ES"/>
        </w:rPr>
        <w:t>presunta víctima alega</w:t>
      </w:r>
      <w:r w:rsidRPr="006A3A62">
        <w:rPr>
          <w:rFonts w:ascii="Cambria" w:hAnsi="Cambria" w:cs="Tahoma"/>
          <w:color w:val="000000"/>
          <w:sz w:val="20"/>
          <w:szCs w:val="20"/>
          <w:lang w:val="es-ES" w:eastAsia="es-ES"/>
        </w:rPr>
        <w:t xml:space="preserve"> que “lo desnudaron, le colocaron guantes y botas de goma, lo recostaron sobre un colchón de una cuarta de gomapluma mojada y le aplicaron durante aproximadamente una hora y media golpes de electricidad o “picana”, en diversas partes de su cuerpo, siendo apagados sus gritos con la aceleración del motor de un camión”</w:t>
      </w:r>
      <w:r w:rsidR="00A91425" w:rsidRPr="006A3A62">
        <w:rPr>
          <w:rFonts w:ascii="Cambria" w:hAnsi="Cambria" w:cs="Tahoma"/>
          <w:color w:val="000000"/>
          <w:sz w:val="20"/>
          <w:szCs w:val="20"/>
          <w:lang w:val="es-ES" w:eastAsia="es-ES"/>
        </w:rPr>
        <w:t>.</w:t>
      </w:r>
      <w:r w:rsidRPr="006A3A62">
        <w:rPr>
          <w:rFonts w:ascii="Cambria" w:hAnsi="Cambria" w:cs="Tahoma"/>
          <w:color w:val="000000"/>
          <w:sz w:val="20"/>
          <w:szCs w:val="20"/>
          <w:lang w:val="es-ES" w:eastAsia="es-ES"/>
        </w:rPr>
        <w:t xml:space="preserve">  Asimismo, alega</w:t>
      </w:r>
      <w:r w:rsidR="00A24FAA" w:rsidRPr="006A3A62">
        <w:rPr>
          <w:rFonts w:ascii="Cambria" w:hAnsi="Cambria" w:cs="Tahoma"/>
          <w:color w:val="000000"/>
          <w:sz w:val="20"/>
          <w:szCs w:val="20"/>
          <w:lang w:val="es-ES" w:eastAsia="es-ES"/>
        </w:rPr>
        <w:t>n</w:t>
      </w:r>
      <w:r w:rsidRPr="006A3A62">
        <w:rPr>
          <w:rFonts w:ascii="Cambria" w:hAnsi="Cambria" w:cs="Tahoma"/>
          <w:color w:val="000000"/>
          <w:sz w:val="20"/>
          <w:szCs w:val="20"/>
          <w:lang w:val="es-ES" w:eastAsia="es-ES"/>
        </w:rPr>
        <w:t xml:space="preserve"> que “[le] arrancaron todos [sus] dientes”.  Alega</w:t>
      </w:r>
      <w:r w:rsidR="00A24FAA" w:rsidRPr="006A3A62">
        <w:rPr>
          <w:rFonts w:ascii="Cambria" w:hAnsi="Cambria" w:cs="Tahoma"/>
          <w:color w:val="000000"/>
          <w:sz w:val="20"/>
          <w:szCs w:val="20"/>
          <w:lang w:val="es-ES" w:eastAsia="es-ES"/>
        </w:rPr>
        <w:t>n</w:t>
      </w:r>
      <w:r w:rsidRPr="006A3A62">
        <w:rPr>
          <w:rFonts w:ascii="Cambria" w:hAnsi="Cambria" w:cs="Tahoma"/>
          <w:color w:val="000000"/>
          <w:sz w:val="20"/>
          <w:szCs w:val="20"/>
          <w:lang w:val="es-ES" w:eastAsia="es-ES"/>
        </w:rPr>
        <w:t xml:space="preserve"> que fue</w:t>
      </w:r>
      <w:r w:rsidR="00A91425" w:rsidRPr="006A3A62">
        <w:rPr>
          <w:rFonts w:ascii="Cambria" w:hAnsi="Cambria" w:cs="Tahoma"/>
          <w:color w:val="000000"/>
          <w:sz w:val="20"/>
          <w:szCs w:val="20"/>
          <w:lang w:val="es-ES" w:eastAsia="es-ES"/>
        </w:rPr>
        <w:t xml:space="preserve"> afectado</w:t>
      </w:r>
      <w:r w:rsidRPr="006A3A62">
        <w:rPr>
          <w:rFonts w:ascii="Cambria" w:hAnsi="Cambria" w:cs="Tahoma"/>
          <w:color w:val="000000"/>
          <w:sz w:val="20"/>
          <w:szCs w:val="20"/>
          <w:lang w:val="es-ES" w:eastAsia="es-ES"/>
        </w:rPr>
        <w:t xml:space="preserve"> permanentemente por la tortura, a tal grado de no poder ejercer su vida laboral</w:t>
      </w:r>
      <w:r w:rsidR="00256E53" w:rsidRPr="006A3A62">
        <w:rPr>
          <w:rFonts w:ascii="Cambria" w:hAnsi="Cambria" w:cs="Tahoma"/>
          <w:color w:val="000000"/>
          <w:sz w:val="20"/>
          <w:szCs w:val="20"/>
          <w:lang w:val="es-ES" w:eastAsia="es-ES"/>
        </w:rPr>
        <w:t>, afectando su capacidad laboral permanente en un 80%</w:t>
      </w:r>
      <w:r w:rsidRPr="006A3A62">
        <w:rPr>
          <w:rFonts w:ascii="Cambria" w:hAnsi="Cambria" w:cs="Tahoma"/>
          <w:color w:val="000000"/>
          <w:sz w:val="20"/>
          <w:szCs w:val="20"/>
          <w:lang w:val="es-ES" w:eastAsia="es-ES"/>
        </w:rPr>
        <w:t>.  Alega</w:t>
      </w:r>
      <w:r w:rsidR="00A24FAA" w:rsidRPr="006A3A62">
        <w:rPr>
          <w:rFonts w:ascii="Cambria" w:hAnsi="Cambria" w:cs="Tahoma"/>
          <w:color w:val="000000"/>
          <w:sz w:val="20"/>
          <w:szCs w:val="20"/>
          <w:lang w:val="es-ES" w:eastAsia="es-ES"/>
        </w:rPr>
        <w:t>n</w:t>
      </w:r>
      <w:r w:rsidRPr="006A3A62">
        <w:rPr>
          <w:rFonts w:ascii="Cambria" w:hAnsi="Cambria" w:cs="Tahoma"/>
          <w:color w:val="000000"/>
          <w:sz w:val="20"/>
          <w:szCs w:val="20"/>
          <w:lang w:val="es-ES" w:eastAsia="es-ES"/>
        </w:rPr>
        <w:t xml:space="preserve"> que a pesar de su estado “muy delicado de salud”, ha interpuesto distintos procedimientos judiciales dentro del Estado, sin obtener justicia alguna.</w:t>
      </w:r>
    </w:p>
    <w:p w:rsidR="006A09FA" w:rsidRPr="006A3A62" w:rsidRDefault="006A09FA" w:rsidP="007B6577">
      <w:pPr>
        <w:ind w:left="720"/>
        <w:rPr>
          <w:rFonts w:ascii="Cambria" w:hAnsi="Cambria" w:cs="Tahoma"/>
          <w:color w:val="000000"/>
          <w:sz w:val="20"/>
          <w:szCs w:val="20"/>
          <w:lang w:val="es-ES" w:eastAsia="es-ES"/>
        </w:rPr>
      </w:pPr>
    </w:p>
    <w:p w:rsidR="005A2810" w:rsidRPr="006A3A62" w:rsidRDefault="005A2810" w:rsidP="007B6577">
      <w:pPr>
        <w:numPr>
          <w:ilvl w:val="0"/>
          <w:numId w:val="31"/>
        </w:numPr>
        <w:ind w:left="0"/>
        <w:jc w:val="both"/>
        <w:rPr>
          <w:rFonts w:ascii="Cambria" w:hAnsi="Cambria"/>
          <w:color w:val="000000"/>
          <w:sz w:val="20"/>
          <w:szCs w:val="20"/>
          <w:lang w:val="es-ES" w:eastAsia="es-ES"/>
        </w:rPr>
      </w:pPr>
      <w:r w:rsidRPr="006A3A62">
        <w:rPr>
          <w:rFonts w:ascii="Cambria" w:hAnsi="Cambria"/>
          <w:color w:val="000000"/>
          <w:sz w:val="20"/>
          <w:szCs w:val="20"/>
          <w:lang w:val="es-ES" w:eastAsia="es-ES"/>
        </w:rPr>
        <w:t>Los peticionarios alegan que e</w:t>
      </w:r>
      <w:r w:rsidR="00780BFD" w:rsidRPr="006A3A62">
        <w:rPr>
          <w:rFonts w:ascii="Cambria" w:hAnsi="Cambria"/>
          <w:color w:val="000000"/>
          <w:sz w:val="20"/>
          <w:szCs w:val="20"/>
          <w:lang w:val="es-ES" w:eastAsia="es-ES"/>
        </w:rPr>
        <w:t xml:space="preserve">stos hechos fueron denunciados en sede judicial y el 21 de diciembre de 1977 se iniciaron acciones penales contra los oficiales de policía que participaron en la detención. </w:t>
      </w:r>
      <w:r w:rsidRPr="006A3A62">
        <w:rPr>
          <w:rFonts w:ascii="Cambria" w:hAnsi="Cambria"/>
          <w:color w:val="000000"/>
          <w:sz w:val="20"/>
          <w:szCs w:val="20"/>
          <w:lang w:val="es-ES" w:eastAsia="es-ES"/>
        </w:rPr>
        <w:t xml:space="preserve"> L</w:t>
      </w:r>
      <w:r w:rsidR="00780BFD" w:rsidRPr="006A3A62">
        <w:rPr>
          <w:rFonts w:ascii="Cambria" w:hAnsi="Cambria"/>
          <w:color w:val="000000"/>
          <w:sz w:val="20"/>
          <w:szCs w:val="20"/>
          <w:lang w:val="es-ES" w:eastAsia="es-ES"/>
        </w:rPr>
        <w:t xml:space="preserve">os oficiales Tribo y Castro fueron acusados por el delito de privación ilegítima de la libertad y </w:t>
      </w:r>
      <w:r w:rsidRPr="006A3A62">
        <w:rPr>
          <w:rFonts w:ascii="Cambria" w:hAnsi="Cambria"/>
          <w:color w:val="000000"/>
          <w:sz w:val="20"/>
          <w:szCs w:val="20"/>
          <w:lang w:val="es-ES" w:eastAsia="es-ES"/>
        </w:rPr>
        <w:t xml:space="preserve">el oficial </w:t>
      </w:r>
      <w:r w:rsidR="00780BFD" w:rsidRPr="006A3A62">
        <w:rPr>
          <w:rFonts w:ascii="Cambria" w:hAnsi="Cambria"/>
          <w:color w:val="000000"/>
          <w:sz w:val="20"/>
          <w:szCs w:val="20"/>
          <w:lang w:val="es-ES" w:eastAsia="es-ES"/>
        </w:rPr>
        <w:t xml:space="preserve">Tribo fue, además, acusado por el delito de tormentos. </w:t>
      </w:r>
    </w:p>
    <w:p w:rsidR="00A574DB" w:rsidRPr="006A3A62" w:rsidRDefault="00A574DB" w:rsidP="007B6577">
      <w:pPr>
        <w:ind w:left="720"/>
        <w:jc w:val="both"/>
        <w:rPr>
          <w:rFonts w:ascii="Cambria" w:hAnsi="Cambria"/>
          <w:color w:val="000000"/>
          <w:sz w:val="20"/>
          <w:szCs w:val="20"/>
          <w:lang w:val="es-ES" w:eastAsia="es-ES"/>
        </w:rPr>
      </w:pPr>
    </w:p>
    <w:p w:rsidR="00A574DB" w:rsidRPr="006A3A62" w:rsidRDefault="00052A57" w:rsidP="007B6577">
      <w:pPr>
        <w:numPr>
          <w:ilvl w:val="0"/>
          <w:numId w:val="31"/>
        </w:numPr>
        <w:ind w:left="0"/>
        <w:jc w:val="both"/>
        <w:rPr>
          <w:rFonts w:ascii="Cambria" w:hAnsi="Cambria"/>
          <w:color w:val="000000"/>
          <w:sz w:val="20"/>
          <w:szCs w:val="20"/>
          <w:lang w:val="es-ES" w:eastAsia="es-ES"/>
        </w:rPr>
      </w:pPr>
      <w:r w:rsidRPr="006A3A62">
        <w:rPr>
          <w:rFonts w:ascii="Cambria" w:hAnsi="Cambria"/>
          <w:color w:val="000000"/>
          <w:sz w:val="20"/>
          <w:szCs w:val="20"/>
          <w:lang w:val="es-ES" w:eastAsia="es-ES"/>
        </w:rPr>
        <w:t>Por otra parte, i</w:t>
      </w:r>
      <w:r w:rsidR="00A574DB" w:rsidRPr="006A3A62">
        <w:rPr>
          <w:rFonts w:ascii="Cambria" w:hAnsi="Cambria"/>
          <w:color w:val="000000"/>
          <w:sz w:val="20"/>
          <w:szCs w:val="20"/>
          <w:lang w:val="es-ES" w:eastAsia="es-ES"/>
        </w:rPr>
        <w:t xml:space="preserve">ndican que en 1980, estando bajo detención, </w:t>
      </w:r>
      <w:r w:rsidR="00A91425" w:rsidRPr="006A3A62">
        <w:rPr>
          <w:rFonts w:ascii="Cambria" w:hAnsi="Cambria"/>
          <w:color w:val="000000"/>
          <w:sz w:val="20"/>
          <w:szCs w:val="20"/>
          <w:lang w:val="es-ES" w:eastAsia="es-ES"/>
        </w:rPr>
        <w:t xml:space="preserve">la presunta víctima </w:t>
      </w:r>
      <w:r w:rsidR="00A574DB" w:rsidRPr="006A3A62">
        <w:rPr>
          <w:rFonts w:ascii="Cambria" w:hAnsi="Cambria"/>
          <w:color w:val="000000"/>
          <w:sz w:val="20"/>
          <w:szCs w:val="20"/>
          <w:lang w:val="es-ES" w:eastAsia="es-ES"/>
        </w:rPr>
        <w:t xml:space="preserve">interpuso una demanda por daños y perjuicios contra el Ministerio del Interior.  </w:t>
      </w:r>
      <w:r w:rsidR="006B44CC" w:rsidRPr="006A3A62">
        <w:rPr>
          <w:rFonts w:ascii="Cambria" w:hAnsi="Cambria"/>
          <w:color w:val="000000"/>
          <w:sz w:val="20"/>
          <w:szCs w:val="20"/>
          <w:lang w:val="es-ES" w:eastAsia="es-ES"/>
        </w:rPr>
        <w:t>Señalan que la presunta víctima estuvo privada de libertad ilegítimamente durante 7 años.</w:t>
      </w:r>
      <w:r w:rsidR="003C1AD0" w:rsidRPr="006A3A62">
        <w:rPr>
          <w:rFonts w:ascii="Cambria" w:hAnsi="Cambria"/>
          <w:color w:val="000000"/>
          <w:sz w:val="20"/>
          <w:szCs w:val="20"/>
          <w:lang w:val="es-ES" w:eastAsia="es-ES"/>
        </w:rPr>
        <w:t xml:space="preserve"> </w:t>
      </w:r>
    </w:p>
    <w:p w:rsidR="005A2810" w:rsidRPr="006A3A62" w:rsidRDefault="005A2810" w:rsidP="007B6577">
      <w:pPr>
        <w:ind w:left="720"/>
        <w:jc w:val="both"/>
        <w:rPr>
          <w:rFonts w:ascii="Cambria" w:hAnsi="Cambria"/>
          <w:color w:val="000000"/>
          <w:sz w:val="20"/>
          <w:szCs w:val="20"/>
          <w:lang w:val="es-ES" w:eastAsia="es-ES"/>
        </w:rPr>
      </w:pPr>
    </w:p>
    <w:p w:rsidR="00780BFD" w:rsidRPr="006A3A62" w:rsidRDefault="005A2810" w:rsidP="007B6577">
      <w:pPr>
        <w:numPr>
          <w:ilvl w:val="0"/>
          <w:numId w:val="31"/>
        </w:numPr>
        <w:ind w:left="0"/>
        <w:jc w:val="both"/>
        <w:rPr>
          <w:rFonts w:ascii="Cambria" w:hAnsi="Cambria"/>
          <w:color w:val="000000"/>
          <w:sz w:val="20"/>
          <w:szCs w:val="20"/>
          <w:lang w:val="es-ES" w:eastAsia="es-ES"/>
        </w:rPr>
      </w:pPr>
      <w:r w:rsidRPr="006A3A62">
        <w:rPr>
          <w:rFonts w:ascii="Cambria" w:hAnsi="Cambria"/>
          <w:color w:val="000000"/>
          <w:sz w:val="20"/>
          <w:szCs w:val="20"/>
          <w:lang w:val="es-ES" w:eastAsia="es-ES"/>
        </w:rPr>
        <w:t>Alegan que l</w:t>
      </w:r>
      <w:r w:rsidR="00780BFD" w:rsidRPr="006A3A62">
        <w:rPr>
          <w:rFonts w:ascii="Cambria" w:hAnsi="Cambria"/>
          <w:color w:val="000000"/>
          <w:sz w:val="20"/>
          <w:szCs w:val="20"/>
          <w:lang w:val="es-ES" w:eastAsia="es-ES"/>
        </w:rPr>
        <w:t xml:space="preserve">a sentencia </w:t>
      </w:r>
      <w:r w:rsidR="00A91425" w:rsidRPr="006A3A62">
        <w:rPr>
          <w:rFonts w:ascii="Cambria" w:hAnsi="Cambria"/>
          <w:color w:val="000000"/>
          <w:sz w:val="20"/>
          <w:szCs w:val="20"/>
          <w:lang w:val="es-ES" w:eastAsia="es-ES"/>
        </w:rPr>
        <w:t xml:space="preserve">penal </w:t>
      </w:r>
      <w:r w:rsidR="00780BFD" w:rsidRPr="006A3A62">
        <w:rPr>
          <w:rFonts w:ascii="Cambria" w:hAnsi="Cambria"/>
          <w:color w:val="000000"/>
          <w:sz w:val="20"/>
          <w:szCs w:val="20"/>
          <w:lang w:val="es-ES" w:eastAsia="es-ES"/>
        </w:rPr>
        <w:t>de primera instancia</w:t>
      </w:r>
      <w:r w:rsidR="00EC6E27" w:rsidRPr="006A3A62">
        <w:rPr>
          <w:rFonts w:ascii="Cambria" w:hAnsi="Cambria"/>
          <w:color w:val="000000"/>
          <w:sz w:val="20"/>
          <w:szCs w:val="20"/>
          <w:lang w:val="es-ES" w:eastAsia="es-ES"/>
        </w:rPr>
        <w:t xml:space="preserve">, de </w:t>
      </w:r>
      <w:r w:rsidR="00EC6E27" w:rsidRPr="006A3A62">
        <w:rPr>
          <w:rFonts w:ascii="Cambria" w:hAnsi="Cambria" w:cs="Tahoma"/>
          <w:color w:val="000000"/>
          <w:sz w:val="20"/>
          <w:szCs w:val="20"/>
          <w:lang w:val="es-ES" w:eastAsia="es-ES"/>
        </w:rPr>
        <w:t>9 de octubre de 1991,</w:t>
      </w:r>
      <w:r w:rsidR="00780BFD" w:rsidRPr="006A3A62">
        <w:rPr>
          <w:rFonts w:ascii="Cambria" w:hAnsi="Cambria"/>
          <w:color w:val="000000"/>
          <w:sz w:val="20"/>
          <w:szCs w:val="20"/>
          <w:lang w:val="es-ES" w:eastAsia="es-ES"/>
        </w:rPr>
        <w:t xml:space="preserve"> declaró prescripta la acción penal respecto</w:t>
      </w:r>
      <w:r w:rsidR="007F217D" w:rsidRPr="006A3A62">
        <w:rPr>
          <w:rFonts w:ascii="Cambria" w:hAnsi="Cambria"/>
          <w:color w:val="000000"/>
          <w:sz w:val="20"/>
          <w:szCs w:val="20"/>
          <w:lang w:val="es-ES" w:eastAsia="es-ES"/>
        </w:rPr>
        <w:t xml:space="preserve"> de</w:t>
      </w:r>
      <w:r w:rsidR="00780BFD" w:rsidRPr="006A3A62">
        <w:rPr>
          <w:rFonts w:ascii="Cambria" w:hAnsi="Cambria"/>
          <w:color w:val="000000"/>
          <w:sz w:val="20"/>
          <w:szCs w:val="20"/>
          <w:lang w:val="es-ES" w:eastAsia="es-ES"/>
        </w:rPr>
        <w:t xml:space="preserve"> </w:t>
      </w:r>
      <w:r w:rsidR="00896C6C" w:rsidRPr="006A3A62">
        <w:rPr>
          <w:rFonts w:ascii="Cambria" w:hAnsi="Cambria"/>
          <w:color w:val="000000"/>
          <w:sz w:val="20"/>
          <w:szCs w:val="20"/>
          <w:lang w:val="es-ES" w:eastAsia="es-ES"/>
        </w:rPr>
        <w:t xml:space="preserve">los delitos de </w:t>
      </w:r>
      <w:r w:rsidR="00351E8F" w:rsidRPr="006A3A62">
        <w:rPr>
          <w:rFonts w:ascii="Cambria" w:hAnsi="Cambria"/>
          <w:color w:val="000000"/>
          <w:sz w:val="20"/>
          <w:szCs w:val="20"/>
          <w:lang w:val="es-ES" w:eastAsia="es-ES"/>
        </w:rPr>
        <w:t xml:space="preserve">violación de domicilio, </w:t>
      </w:r>
      <w:r w:rsidR="00780BFD" w:rsidRPr="006A3A62">
        <w:rPr>
          <w:rFonts w:ascii="Cambria" w:hAnsi="Cambria"/>
          <w:color w:val="000000"/>
          <w:sz w:val="20"/>
          <w:szCs w:val="20"/>
          <w:lang w:val="es-ES" w:eastAsia="es-ES"/>
        </w:rPr>
        <w:t>privación ile</w:t>
      </w:r>
      <w:r w:rsidR="00351E8F" w:rsidRPr="006A3A62">
        <w:rPr>
          <w:rFonts w:ascii="Cambria" w:hAnsi="Cambria"/>
          <w:color w:val="000000"/>
          <w:sz w:val="20"/>
          <w:szCs w:val="20"/>
          <w:lang w:val="es-ES" w:eastAsia="es-ES"/>
        </w:rPr>
        <w:t xml:space="preserve">gal </w:t>
      </w:r>
      <w:r w:rsidR="00780BFD" w:rsidRPr="006A3A62">
        <w:rPr>
          <w:rFonts w:ascii="Cambria" w:hAnsi="Cambria"/>
          <w:color w:val="000000"/>
          <w:sz w:val="20"/>
          <w:szCs w:val="20"/>
          <w:lang w:val="es-ES" w:eastAsia="es-ES"/>
        </w:rPr>
        <w:t>de la libertad</w:t>
      </w:r>
      <w:r w:rsidR="00351E8F" w:rsidRPr="006A3A62">
        <w:rPr>
          <w:rFonts w:ascii="Cambria" w:hAnsi="Cambria"/>
          <w:color w:val="000000"/>
          <w:sz w:val="20"/>
          <w:szCs w:val="20"/>
          <w:lang w:val="es-ES" w:eastAsia="es-ES"/>
        </w:rPr>
        <w:t xml:space="preserve"> y adulteración de instrumento público</w:t>
      </w:r>
      <w:r w:rsidR="00316360" w:rsidRPr="006A3A62">
        <w:rPr>
          <w:rFonts w:ascii="Cambria" w:hAnsi="Cambria"/>
          <w:color w:val="000000"/>
          <w:sz w:val="20"/>
          <w:szCs w:val="20"/>
          <w:lang w:val="es-ES" w:eastAsia="es-ES"/>
        </w:rPr>
        <w:t xml:space="preserve">. </w:t>
      </w:r>
      <w:r w:rsidR="00780BFD" w:rsidRPr="006A3A62">
        <w:rPr>
          <w:rFonts w:ascii="Cambria" w:hAnsi="Cambria"/>
          <w:color w:val="000000"/>
          <w:sz w:val="20"/>
          <w:szCs w:val="20"/>
          <w:lang w:val="es-ES" w:eastAsia="es-ES"/>
        </w:rPr>
        <w:t xml:space="preserve">En cuanto al delito de tormentos, </w:t>
      </w:r>
      <w:r w:rsidR="001009C6" w:rsidRPr="006A3A62">
        <w:rPr>
          <w:rFonts w:ascii="Cambria" w:hAnsi="Cambria"/>
          <w:color w:val="000000"/>
          <w:sz w:val="20"/>
          <w:szCs w:val="20"/>
          <w:lang w:val="es-ES" w:eastAsia="es-ES"/>
        </w:rPr>
        <w:t xml:space="preserve">sostienen que se </w:t>
      </w:r>
      <w:r w:rsidR="00780BFD" w:rsidRPr="006A3A62">
        <w:rPr>
          <w:rFonts w:ascii="Cambria" w:hAnsi="Cambria"/>
          <w:color w:val="000000"/>
          <w:sz w:val="20"/>
          <w:szCs w:val="20"/>
          <w:lang w:val="es-ES" w:eastAsia="es-ES"/>
        </w:rPr>
        <w:t>aplicó el principio de</w:t>
      </w:r>
      <w:r w:rsidR="00780BFD" w:rsidRPr="006A3A62">
        <w:rPr>
          <w:rFonts w:ascii="Cambria" w:hAnsi="Cambria"/>
          <w:i/>
          <w:color w:val="000000"/>
          <w:sz w:val="20"/>
          <w:szCs w:val="20"/>
          <w:lang w:val="es-ES" w:eastAsia="es-ES"/>
        </w:rPr>
        <w:t xml:space="preserve"> in dubio pro reo</w:t>
      </w:r>
      <w:r w:rsidR="00780BFD" w:rsidRPr="006A3A62">
        <w:rPr>
          <w:rFonts w:ascii="Cambria" w:hAnsi="Cambria"/>
          <w:color w:val="000000"/>
          <w:sz w:val="20"/>
          <w:szCs w:val="20"/>
          <w:lang w:val="es-ES" w:eastAsia="es-ES"/>
        </w:rPr>
        <w:t xml:space="preserve">, y </w:t>
      </w:r>
      <w:r w:rsidR="00A91425" w:rsidRPr="006A3A62">
        <w:rPr>
          <w:rFonts w:ascii="Cambria" w:hAnsi="Cambria"/>
          <w:color w:val="000000"/>
          <w:sz w:val="20"/>
          <w:szCs w:val="20"/>
          <w:lang w:val="es-ES" w:eastAsia="es-ES"/>
        </w:rPr>
        <w:t xml:space="preserve">se </w:t>
      </w:r>
      <w:r w:rsidR="00780BFD" w:rsidRPr="006A3A62">
        <w:rPr>
          <w:rFonts w:ascii="Cambria" w:hAnsi="Cambria"/>
          <w:color w:val="000000"/>
          <w:sz w:val="20"/>
          <w:szCs w:val="20"/>
          <w:lang w:val="es-ES" w:eastAsia="es-ES"/>
        </w:rPr>
        <w:t>sobreseyó a</w:t>
      </w:r>
      <w:r w:rsidR="001009C6" w:rsidRPr="006A3A62">
        <w:rPr>
          <w:rFonts w:ascii="Cambria" w:hAnsi="Cambria"/>
          <w:color w:val="000000"/>
          <w:sz w:val="20"/>
          <w:szCs w:val="20"/>
          <w:lang w:val="es-ES" w:eastAsia="es-ES"/>
        </w:rPr>
        <w:t>l oficial</w:t>
      </w:r>
      <w:r w:rsidR="00780BFD" w:rsidRPr="006A3A62">
        <w:rPr>
          <w:rFonts w:ascii="Cambria" w:hAnsi="Cambria"/>
          <w:color w:val="000000"/>
          <w:sz w:val="20"/>
          <w:szCs w:val="20"/>
          <w:lang w:val="es-ES" w:eastAsia="es-ES"/>
        </w:rPr>
        <w:t xml:space="preserve"> Tribo</w:t>
      </w:r>
      <w:r w:rsidR="001009C6" w:rsidRPr="006A3A62">
        <w:rPr>
          <w:rFonts w:ascii="Cambria" w:hAnsi="Cambria"/>
          <w:color w:val="000000"/>
          <w:sz w:val="20"/>
          <w:szCs w:val="20"/>
          <w:lang w:val="es-ES" w:eastAsia="es-ES"/>
        </w:rPr>
        <w:t>, al</w:t>
      </w:r>
      <w:r w:rsidR="00780BFD" w:rsidRPr="006A3A62">
        <w:rPr>
          <w:rFonts w:ascii="Cambria" w:hAnsi="Cambria"/>
          <w:color w:val="000000"/>
          <w:sz w:val="20"/>
          <w:szCs w:val="20"/>
          <w:lang w:val="es-ES" w:eastAsia="es-ES"/>
        </w:rPr>
        <w:t xml:space="preserve"> considerar que no se había probado su autoría. </w:t>
      </w:r>
    </w:p>
    <w:p w:rsidR="00780BFD" w:rsidRPr="006A3A62" w:rsidRDefault="00780BFD" w:rsidP="007B6577">
      <w:pPr>
        <w:jc w:val="both"/>
        <w:rPr>
          <w:rFonts w:ascii="Cambria" w:hAnsi="Cambria"/>
          <w:color w:val="000000"/>
          <w:sz w:val="20"/>
          <w:szCs w:val="20"/>
          <w:lang w:val="es-ES" w:eastAsia="es-ES"/>
        </w:rPr>
      </w:pPr>
    </w:p>
    <w:p w:rsidR="00733C9A" w:rsidRPr="006A3A62" w:rsidRDefault="00EC6E27" w:rsidP="007B6577">
      <w:pPr>
        <w:numPr>
          <w:ilvl w:val="0"/>
          <w:numId w:val="31"/>
        </w:numPr>
        <w:ind w:left="0"/>
        <w:jc w:val="both"/>
        <w:rPr>
          <w:rFonts w:ascii="Cambria" w:hAnsi="Cambria" w:cs="Tahoma"/>
          <w:color w:val="000000"/>
          <w:sz w:val="20"/>
          <w:szCs w:val="20"/>
          <w:lang w:val="es-ES" w:eastAsia="es-ES"/>
        </w:rPr>
      </w:pPr>
      <w:r w:rsidRPr="006A3A62">
        <w:rPr>
          <w:rFonts w:ascii="Cambria" w:hAnsi="Cambria" w:cs="Tahoma"/>
          <w:color w:val="000000"/>
          <w:sz w:val="20"/>
          <w:szCs w:val="20"/>
          <w:lang w:val="es-ES" w:eastAsia="es-ES"/>
        </w:rPr>
        <w:t xml:space="preserve">Alegan que dicha sentencia fue apelada por el Fiscal y por la presunta víctima, como querellante.  Indican que la </w:t>
      </w:r>
      <w:r w:rsidR="00177F7C" w:rsidRPr="006A3A62">
        <w:rPr>
          <w:rFonts w:ascii="Cambria" w:hAnsi="Cambria"/>
          <w:color w:val="000000"/>
          <w:sz w:val="20"/>
          <w:szCs w:val="20"/>
          <w:lang w:val="es-ES" w:eastAsia="es-ES"/>
        </w:rPr>
        <w:t>II Sala de la Cámara Nacional de Apelaciones (en adelante “Cámara de Apelaciones”)</w:t>
      </w:r>
      <w:r w:rsidRPr="006A3A62">
        <w:rPr>
          <w:rFonts w:ascii="Cambria" w:hAnsi="Cambria" w:cs="Tahoma"/>
          <w:color w:val="000000"/>
          <w:sz w:val="20"/>
          <w:szCs w:val="20"/>
          <w:lang w:val="es-ES" w:eastAsia="es-ES"/>
        </w:rPr>
        <w:t xml:space="preserve"> hizo lugar parcialmente a sus recursos</w:t>
      </w:r>
      <w:r w:rsidR="00177F7C" w:rsidRPr="006A3A62">
        <w:rPr>
          <w:rFonts w:ascii="Cambria" w:hAnsi="Cambria" w:cs="Tahoma"/>
          <w:color w:val="000000"/>
          <w:sz w:val="20"/>
          <w:szCs w:val="20"/>
          <w:lang w:val="es-ES" w:eastAsia="es-ES"/>
        </w:rPr>
        <w:t xml:space="preserve">, el </w:t>
      </w:r>
      <w:r w:rsidR="00177F7C" w:rsidRPr="006A3A62">
        <w:rPr>
          <w:rFonts w:ascii="Cambria" w:hAnsi="Cambria"/>
          <w:color w:val="000000"/>
          <w:sz w:val="20"/>
          <w:szCs w:val="20"/>
          <w:lang w:val="es-ES" w:eastAsia="es-ES"/>
        </w:rPr>
        <w:t>15 de julio de 1992</w:t>
      </w:r>
      <w:r w:rsidRPr="006A3A62">
        <w:rPr>
          <w:rFonts w:ascii="Cambria" w:hAnsi="Cambria" w:cs="Tahoma"/>
          <w:color w:val="000000"/>
          <w:sz w:val="20"/>
          <w:szCs w:val="20"/>
          <w:lang w:val="es-ES" w:eastAsia="es-ES"/>
        </w:rPr>
        <w:t>.  En cuanto a la detención arbitraria ésta consideró que correspondía encuad</w:t>
      </w:r>
      <w:r w:rsidR="007F27A3" w:rsidRPr="006A3A62">
        <w:rPr>
          <w:rFonts w:ascii="Cambria" w:hAnsi="Cambria" w:cs="Tahoma"/>
          <w:color w:val="000000"/>
          <w:sz w:val="20"/>
          <w:szCs w:val="20"/>
          <w:lang w:val="es-ES" w:eastAsia="es-ES"/>
        </w:rPr>
        <w:t>rar los hechos en la figura de “</w:t>
      </w:r>
      <w:r w:rsidRPr="006A3A62">
        <w:rPr>
          <w:rFonts w:ascii="Cambria" w:hAnsi="Cambria" w:cs="Tahoma"/>
          <w:color w:val="000000"/>
          <w:sz w:val="20"/>
          <w:szCs w:val="20"/>
          <w:lang w:val="es-ES" w:eastAsia="es-ES"/>
        </w:rPr>
        <w:t>privación il</w:t>
      </w:r>
      <w:r w:rsidR="007F27A3" w:rsidRPr="006A3A62">
        <w:rPr>
          <w:rFonts w:ascii="Cambria" w:hAnsi="Cambria" w:cs="Tahoma"/>
          <w:color w:val="000000"/>
          <w:sz w:val="20"/>
          <w:szCs w:val="20"/>
          <w:lang w:val="es-ES" w:eastAsia="es-ES"/>
        </w:rPr>
        <w:t>egítima de la libertad agravada” y no simplemente como “</w:t>
      </w:r>
      <w:r w:rsidRPr="006A3A62">
        <w:rPr>
          <w:rFonts w:ascii="Cambria" w:hAnsi="Cambria" w:cs="Tahoma"/>
          <w:color w:val="000000"/>
          <w:sz w:val="20"/>
          <w:szCs w:val="20"/>
          <w:lang w:val="es-ES" w:eastAsia="es-ES"/>
        </w:rPr>
        <w:t>pri</w:t>
      </w:r>
      <w:r w:rsidR="007F27A3" w:rsidRPr="006A3A62">
        <w:rPr>
          <w:rFonts w:ascii="Cambria" w:hAnsi="Cambria" w:cs="Tahoma"/>
          <w:color w:val="000000"/>
          <w:sz w:val="20"/>
          <w:szCs w:val="20"/>
          <w:lang w:val="es-ES" w:eastAsia="es-ES"/>
        </w:rPr>
        <w:t>vación ilegítima de la libertad”</w:t>
      </w:r>
      <w:r w:rsidRPr="006A3A62">
        <w:rPr>
          <w:rFonts w:ascii="Cambria" w:hAnsi="Cambria" w:cs="Tahoma"/>
          <w:color w:val="000000"/>
          <w:sz w:val="20"/>
          <w:szCs w:val="20"/>
          <w:lang w:val="es-ES" w:eastAsia="es-ES"/>
        </w:rPr>
        <w:t xml:space="preserve">, por lo que la acción penal no estaba prescripta y correspondía condenar a los acusados.  </w:t>
      </w:r>
      <w:r w:rsidR="00795060" w:rsidRPr="006A3A62">
        <w:rPr>
          <w:rFonts w:ascii="Cambria" w:hAnsi="Cambria" w:cs="Tahoma"/>
          <w:color w:val="000000"/>
          <w:sz w:val="20"/>
          <w:szCs w:val="20"/>
          <w:lang w:val="es-ES" w:eastAsia="es-ES"/>
        </w:rPr>
        <w:t xml:space="preserve">En tal sentido, condenó al oficial Castró a 3 años y 6 meses de prisión como co-autor. </w:t>
      </w:r>
      <w:r w:rsidRPr="006A3A62">
        <w:rPr>
          <w:rFonts w:ascii="Cambria" w:hAnsi="Cambria" w:cs="Tahoma"/>
          <w:color w:val="000000"/>
          <w:sz w:val="20"/>
          <w:szCs w:val="20"/>
          <w:lang w:val="es-ES" w:eastAsia="es-ES"/>
        </w:rPr>
        <w:t>En cuanto a los tormentos, consideró que, si bien no se había probado que Tribo fuera su autor material, correspondía condenarlo como partícipe necesario</w:t>
      </w:r>
      <w:r w:rsidR="00C45A4B" w:rsidRPr="006A3A62">
        <w:rPr>
          <w:rFonts w:ascii="Cambria" w:hAnsi="Cambria" w:cs="Tahoma"/>
          <w:color w:val="000000"/>
          <w:sz w:val="20"/>
          <w:szCs w:val="20"/>
          <w:lang w:val="es-ES" w:eastAsia="es-ES"/>
        </w:rPr>
        <w:t xml:space="preserve"> a 4 años y 6 meses de prisión</w:t>
      </w:r>
      <w:r w:rsidRPr="006A3A62">
        <w:rPr>
          <w:rFonts w:ascii="Cambria" w:hAnsi="Cambria" w:cs="Tahoma"/>
          <w:color w:val="000000"/>
          <w:sz w:val="20"/>
          <w:szCs w:val="20"/>
          <w:lang w:val="es-ES" w:eastAsia="es-ES"/>
        </w:rPr>
        <w:t xml:space="preserve">. </w:t>
      </w:r>
      <w:r w:rsidR="00733C9A" w:rsidRPr="006A3A62">
        <w:rPr>
          <w:rFonts w:ascii="Cambria" w:hAnsi="Cambria" w:cs="Tahoma"/>
          <w:color w:val="000000"/>
          <w:sz w:val="20"/>
          <w:szCs w:val="20"/>
          <w:lang w:val="es-ES" w:eastAsia="es-ES"/>
        </w:rPr>
        <w:t xml:space="preserve"> </w:t>
      </w:r>
    </w:p>
    <w:p w:rsidR="00733C9A" w:rsidRPr="006A3A62" w:rsidRDefault="00733C9A" w:rsidP="007B6577">
      <w:pPr>
        <w:jc w:val="both"/>
        <w:rPr>
          <w:rFonts w:ascii="Cambria" w:hAnsi="Cambria" w:cs="Tahoma"/>
          <w:color w:val="000000"/>
          <w:sz w:val="20"/>
          <w:szCs w:val="20"/>
          <w:lang w:val="es-ES" w:eastAsia="es-ES"/>
        </w:rPr>
      </w:pPr>
    </w:p>
    <w:p w:rsidR="00177F7C" w:rsidRPr="006A3A62" w:rsidRDefault="00177F7C" w:rsidP="00555DE9">
      <w:pPr>
        <w:numPr>
          <w:ilvl w:val="0"/>
          <w:numId w:val="31"/>
        </w:numPr>
        <w:ind w:left="0"/>
        <w:jc w:val="both"/>
        <w:rPr>
          <w:rFonts w:ascii="Cambria" w:hAnsi="Cambria" w:cs="Tahoma"/>
          <w:color w:val="000000"/>
          <w:sz w:val="20"/>
          <w:szCs w:val="20"/>
          <w:lang w:val="es-ES" w:eastAsia="es-ES"/>
        </w:rPr>
      </w:pPr>
      <w:r w:rsidRPr="006A3A62">
        <w:rPr>
          <w:rFonts w:ascii="Cambria" w:hAnsi="Cambria" w:cs="Tahoma"/>
          <w:color w:val="000000"/>
          <w:sz w:val="20"/>
          <w:szCs w:val="20"/>
          <w:lang w:val="es-ES" w:eastAsia="es-ES"/>
        </w:rPr>
        <w:t>Sostiene</w:t>
      </w:r>
      <w:r w:rsidR="00733C9A" w:rsidRPr="006A3A62">
        <w:rPr>
          <w:rFonts w:ascii="Cambria" w:hAnsi="Cambria" w:cs="Tahoma"/>
          <w:color w:val="000000"/>
          <w:sz w:val="20"/>
          <w:szCs w:val="20"/>
          <w:lang w:val="es-ES" w:eastAsia="es-ES"/>
        </w:rPr>
        <w:t>n</w:t>
      </w:r>
      <w:r w:rsidRPr="006A3A62">
        <w:rPr>
          <w:rFonts w:ascii="Cambria" w:hAnsi="Cambria"/>
          <w:color w:val="000000"/>
          <w:sz w:val="20"/>
          <w:szCs w:val="20"/>
          <w:lang w:val="es-ES" w:eastAsia="es-ES"/>
        </w:rPr>
        <w:t xml:space="preserve"> que este fallo fue anulado por motivos procesales y que se produjo una nueva sentencia</w:t>
      </w:r>
      <w:r w:rsidR="00555DE9" w:rsidRPr="006A3A62">
        <w:rPr>
          <w:rFonts w:ascii="Cambria" w:hAnsi="Cambria"/>
          <w:color w:val="000000"/>
          <w:sz w:val="20"/>
          <w:szCs w:val="20"/>
          <w:lang w:val="es-ES" w:eastAsia="es-ES"/>
        </w:rPr>
        <w:t xml:space="preserve"> por parte de la C</w:t>
      </w:r>
      <w:r w:rsidR="00555DE9" w:rsidRPr="006A3A62">
        <w:rPr>
          <w:rFonts w:ascii="Cambria" w:hAnsi="Cambria" w:cs="Tahoma"/>
          <w:color w:val="000000"/>
          <w:sz w:val="20"/>
          <w:szCs w:val="20"/>
          <w:lang w:val="es-ES" w:eastAsia="es-ES"/>
        </w:rPr>
        <w:t>ámara Nacional de Apelaciones</w:t>
      </w:r>
      <w:r w:rsidRPr="006A3A62">
        <w:rPr>
          <w:rFonts w:ascii="Cambria" w:hAnsi="Cambria"/>
          <w:color w:val="000000"/>
          <w:sz w:val="20"/>
          <w:szCs w:val="20"/>
          <w:lang w:val="es-ES" w:eastAsia="es-ES"/>
        </w:rPr>
        <w:t xml:space="preserve"> el 28 de octubre de </w:t>
      </w:r>
      <w:r w:rsidR="00555DE9" w:rsidRPr="006A3A62">
        <w:rPr>
          <w:rFonts w:ascii="Cambria" w:hAnsi="Cambria"/>
          <w:color w:val="000000"/>
          <w:sz w:val="20"/>
          <w:szCs w:val="20"/>
          <w:lang w:val="es-ES" w:eastAsia="es-ES"/>
        </w:rPr>
        <w:t xml:space="preserve">1996, </w:t>
      </w:r>
      <w:r w:rsidR="0086372E" w:rsidRPr="006A3A62">
        <w:rPr>
          <w:rFonts w:ascii="Cambria" w:hAnsi="Cambria"/>
          <w:color w:val="000000"/>
          <w:sz w:val="20"/>
          <w:szCs w:val="20"/>
          <w:lang w:val="es-ES" w:eastAsia="es-ES"/>
        </w:rPr>
        <w:t>la cual</w:t>
      </w:r>
      <w:r w:rsidRPr="006A3A62">
        <w:rPr>
          <w:rFonts w:ascii="Cambria" w:hAnsi="Cambria"/>
          <w:color w:val="000000"/>
          <w:sz w:val="20"/>
          <w:szCs w:val="20"/>
          <w:lang w:val="es-ES" w:eastAsia="es-ES"/>
        </w:rPr>
        <w:t xml:space="preserve"> </w:t>
      </w:r>
      <w:r w:rsidR="00555DE9" w:rsidRPr="006A3A62">
        <w:rPr>
          <w:rFonts w:ascii="Cambria" w:hAnsi="Cambria"/>
          <w:color w:val="000000"/>
          <w:sz w:val="20"/>
          <w:szCs w:val="20"/>
          <w:lang w:val="es-ES" w:eastAsia="es-ES"/>
        </w:rPr>
        <w:t>redujo</w:t>
      </w:r>
      <w:r w:rsidRPr="006A3A62">
        <w:rPr>
          <w:rFonts w:ascii="Cambria" w:hAnsi="Cambria"/>
          <w:color w:val="000000"/>
          <w:sz w:val="20"/>
          <w:szCs w:val="20"/>
          <w:lang w:val="es-ES" w:eastAsia="es-ES"/>
        </w:rPr>
        <w:t xml:space="preserve"> la condena del oficial Tribo a 4 años de p</w:t>
      </w:r>
      <w:r w:rsidR="00A62B72" w:rsidRPr="006A3A62">
        <w:rPr>
          <w:rFonts w:ascii="Cambria" w:hAnsi="Cambria"/>
          <w:color w:val="000000"/>
          <w:sz w:val="20"/>
          <w:szCs w:val="20"/>
          <w:lang w:val="es-ES" w:eastAsia="es-ES"/>
        </w:rPr>
        <w:t>risión por privación ilegítima y</w:t>
      </w:r>
      <w:r w:rsidRPr="006A3A62">
        <w:rPr>
          <w:rFonts w:ascii="Cambria" w:hAnsi="Cambria"/>
          <w:color w:val="000000"/>
          <w:sz w:val="20"/>
          <w:szCs w:val="20"/>
          <w:lang w:val="es-ES" w:eastAsia="es-ES"/>
        </w:rPr>
        <w:t xml:space="preserve"> tormentos</w:t>
      </w:r>
      <w:r w:rsidR="00A62B72" w:rsidRPr="006A3A62">
        <w:rPr>
          <w:rFonts w:ascii="Cambria" w:hAnsi="Cambria"/>
          <w:color w:val="000000"/>
          <w:sz w:val="20"/>
          <w:szCs w:val="20"/>
          <w:lang w:val="es-ES" w:eastAsia="es-ES"/>
        </w:rPr>
        <w:t>,</w:t>
      </w:r>
      <w:r w:rsidRPr="006A3A62">
        <w:rPr>
          <w:rFonts w:ascii="Cambria" w:hAnsi="Cambria"/>
          <w:color w:val="000000"/>
          <w:sz w:val="20"/>
          <w:szCs w:val="20"/>
          <w:lang w:val="es-ES" w:eastAsia="es-ES"/>
        </w:rPr>
        <w:t xml:space="preserve"> y </w:t>
      </w:r>
      <w:r w:rsidR="00555DE9" w:rsidRPr="006A3A62">
        <w:rPr>
          <w:rFonts w:ascii="Cambria" w:hAnsi="Cambria"/>
          <w:color w:val="000000"/>
          <w:sz w:val="20"/>
          <w:szCs w:val="20"/>
          <w:lang w:val="es-ES" w:eastAsia="es-ES"/>
        </w:rPr>
        <w:t>de</w:t>
      </w:r>
      <w:r w:rsidRPr="006A3A62">
        <w:rPr>
          <w:rFonts w:ascii="Cambria" w:hAnsi="Cambria"/>
          <w:color w:val="000000"/>
          <w:sz w:val="20"/>
          <w:szCs w:val="20"/>
          <w:lang w:val="es-ES" w:eastAsia="es-ES"/>
        </w:rPr>
        <w:t xml:space="preserve">l oficial Castro a </w:t>
      </w:r>
      <w:r w:rsidR="005E6858" w:rsidRPr="006A3A62">
        <w:rPr>
          <w:rFonts w:ascii="Cambria" w:hAnsi="Cambria"/>
          <w:color w:val="000000"/>
          <w:sz w:val="20"/>
          <w:szCs w:val="20"/>
          <w:lang w:val="es-ES" w:eastAsia="es-ES"/>
        </w:rPr>
        <w:t>3 años de prisión, como</w:t>
      </w:r>
      <w:r w:rsidRPr="006A3A62">
        <w:rPr>
          <w:rFonts w:ascii="Cambria" w:hAnsi="Cambria"/>
          <w:color w:val="000000"/>
          <w:sz w:val="20"/>
          <w:szCs w:val="20"/>
          <w:lang w:val="es-ES" w:eastAsia="es-ES"/>
        </w:rPr>
        <w:t xml:space="preserve"> coautor penalmente responsable de privación ilegítima de la libertad agravada.</w:t>
      </w:r>
      <w:r w:rsidR="00E467F6" w:rsidRPr="006A3A62">
        <w:rPr>
          <w:rFonts w:ascii="Cambria" w:hAnsi="Cambria"/>
          <w:color w:val="000000"/>
          <w:sz w:val="20"/>
          <w:szCs w:val="20"/>
          <w:lang w:val="es-ES" w:eastAsia="es-ES"/>
        </w:rPr>
        <w:t xml:space="preserve"> </w:t>
      </w:r>
    </w:p>
    <w:p w:rsidR="00177F7C" w:rsidRPr="001476A2" w:rsidRDefault="00177F7C" w:rsidP="007B6577">
      <w:pPr>
        <w:ind w:left="540"/>
        <w:jc w:val="both"/>
        <w:rPr>
          <w:rFonts w:ascii="Cambria" w:hAnsi="Cambria"/>
          <w:color w:val="000000"/>
          <w:sz w:val="20"/>
          <w:szCs w:val="20"/>
          <w:lang w:val="es-ES" w:eastAsia="es-ES"/>
        </w:rPr>
      </w:pPr>
    </w:p>
    <w:p w:rsidR="00370F35" w:rsidRPr="001476A2" w:rsidRDefault="00370F35"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olor w:val="000000"/>
          <w:sz w:val="20"/>
          <w:szCs w:val="20"/>
          <w:lang w:val="es-ES" w:eastAsia="es-ES"/>
        </w:rPr>
        <w:t xml:space="preserve">Señalan que la Corte Suprema de Justicia Nacional (en adelante “CSJN”) revocó la decisión de la Cámara de Apelaciones y le ordenó dictar una nueva sentencia.  El 14 de octubre de 1999, la Cámara de Apelaciones decidió sobreseer a </w:t>
      </w:r>
      <w:r w:rsidR="007F27A3" w:rsidRPr="001476A2">
        <w:rPr>
          <w:rFonts w:ascii="Cambria" w:hAnsi="Cambria"/>
          <w:color w:val="000000"/>
          <w:sz w:val="20"/>
          <w:szCs w:val="20"/>
          <w:lang w:val="es-ES" w:eastAsia="es-ES"/>
        </w:rPr>
        <w:t>ambos oficiales, al sostener</w:t>
      </w:r>
      <w:r w:rsidRPr="001476A2">
        <w:rPr>
          <w:rFonts w:ascii="Cambria" w:hAnsi="Cambria"/>
          <w:color w:val="000000"/>
          <w:sz w:val="20"/>
          <w:szCs w:val="20"/>
          <w:lang w:val="es-ES" w:eastAsia="es-ES"/>
        </w:rPr>
        <w:t>: (i)</w:t>
      </w:r>
      <w:r w:rsidR="007F27A3" w:rsidRPr="001476A2">
        <w:rPr>
          <w:rFonts w:ascii="Cambria" w:hAnsi="Cambria"/>
          <w:color w:val="000000"/>
          <w:sz w:val="20"/>
          <w:szCs w:val="20"/>
          <w:lang w:val="es-ES" w:eastAsia="es-ES"/>
        </w:rPr>
        <w:t xml:space="preserve"> q</w:t>
      </w:r>
      <w:r w:rsidRPr="001476A2">
        <w:rPr>
          <w:rFonts w:ascii="Cambria" w:hAnsi="Cambria"/>
          <w:color w:val="000000"/>
          <w:sz w:val="20"/>
          <w:szCs w:val="20"/>
          <w:lang w:val="es-ES" w:eastAsia="es-ES"/>
        </w:rPr>
        <w:t xml:space="preserve">ue, tal como lo había señalado la </w:t>
      </w:r>
      <w:r w:rsidR="007F27A3" w:rsidRPr="001476A2">
        <w:rPr>
          <w:rFonts w:ascii="Cambria" w:hAnsi="Cambria"/>
          <w:color w:val="000000"/>
          <w:sz w:val="20"/>
          <w:szCs w:val="20"/>
          <w:lang w:val="es-ES" w:eastAsia="es-ES"/>
        </w:rPr>
        <w:t>CSJN</w:t>
      </w:r>
      <w:r w:rsidRPr="001476A2">
        <w:rPr>
          <w:rFonts w:ascii="Cambria" w:hAnsi="Cambria"/>
          <w:color w:val="000000"/>
          <w:sz w:val="20"/>
          <w:szCs w:val="20"/>
          <w:lang w:val="es-ES" w:eastAsia="es-ES"/>
        </w:rPr>
        <w:t>, no correspondí</w:t>
      </w:r>
      <w:r w:rsidR="007F27A3" w:rsidRPr="001476A2">
        <w:rPr>
          <w:rFonts w:ascii="Cambria" w:hAnsi="Cambria"/>
          <w:color w:val="000000"/>
          <w:sz w:val="20"/>
          <w:szCs w:val="20"/>
          <w:lang w:val="es-ES" w:eastAsia="es-ES"/>
        </w:rPr>
        <w:t>a tipificar sus conductas como “</w:t>
      </w:r>
      <w:r w:rsidRPr="001476A2">
        <w:rPr>
          <w:rFonts w:ascii="Cambria" w:hAnsi="Cambria"/>
          <w:color w:val="000000"/>
          <w:sz w:val="20"/>
          <w:szCs w:val="20"/>
          <w:lang w:val="es-ES" w:eastAsia="es-ES"/>
        </w:rPr>
        <w:t>privación il</w:t>
      </w:r>
      <w:r w:rsidR="007F27A3" w:rsidRPr="001476A2">
        <w:rPr>
          <w:rFonts w:ascii="Cambria" w:hAnsi="Cambria"/>
          <w:color w:val="000000"/>
          <w:sz w:val="20"/>
          <w:szCs w:val="20"/>
          <w:lang w:val="es-ES" w:eastAsia="es-ES"/>
        </w:rPr>
        <w:t>egítima de la libertad agravada” sino como “</w:t>
      </w:r>
      <w:r w:rsidRPr="001476A2">
        <w:rPr>
          <w:rFonts w:ascii="Cambria" w:hAnsi="Cambria"/>
          <w:color w:val="000000"/>
          <w:sz w:val="20"/>
          <w:szCs w:val="20"/>
          <w:lang w:val="es-ES" w:eastAsia="es-ES"/>
        </w:rPr>
        <w:t>pri</w:t>
      </w:r>
      <w:r w:rsidR="007F27A3" w:rsidRPr="001476A2">
        <w:rPr>
          <w:rFonts w:ascii="Cambria" w:hAnsi="Cambria"/>
          <w:color w:val="000000"/>
          <w:sz w:val="20"/>
          <w:szCs w:val="20"/>
          <w:lang w:val="es-ES" w:eastAsia="es-ES"/>
        </w:rPr>
        <w:t>vación ilegítima de la libertad”, por lo que</w:t>
      </w:r>
      <w:r w:rsidRPr="001476A2">
        <w:rPr>
          <w:rFonts w:ascii="Cambria" w:hAnsi="Cambria"/>
          <w:color w:val="000000"/>
          <w:sz w:val="20"/>
          <w:szCs w:val="20"/>
          <w:lang w:val="es-ES" w:eastAsia="es-ES"/>
        </w:rPr>
        <w:t xml:space="preserve"> la acción penal estaba prescri</w:t>
      </w:r>
      <w:r w:rsidR="007F27A3" w:rsidRPr="001476A2">
        <w:rPr>
          <w:rFonts w:ascii="Cambria" w:hAnsi="Cambria"/>
          <w:color w:val="000000"/>
          <w:sz w:val="20"/>
          <w:szCs w:val="20"/>
          <w:lang w:val="es-ES" w:eastAsia="es-ES"/>
        </w:rPr>
        <w:t>pta y correspondía sobreseerlos;</w:t>
      </w:r>
      <w:r w:rsidRPr="001476A2">
        <w:rPr>
          <w:rFonts w:ascii="Cambria" w:hAnsi="Cambria"/>
          <w:color w:val="000000"/>
          <w:sz w:val="20"/>
          <w:szCs w:val="20"/>
          <w:lang w:val="es-ES" w:eastAsia="es-ES"/>
        </w:rPr>
        <w:t xml:space="preserve"> y (ii) que la participación de</w:t>
      </w:r>
      <w:r w:rsidR="007F27A3" w:rsidRPr="001476A2">
        <w:rPr>
          <w:rFonts w:ascii="Cambria" w:hAnsi="Cambria"/>
          <w:color w:val="000000"/>
          <w:sz w:val="20"/>
          <w:szCs w:val="20"/>
          <w:lang w:val="es-ES" w:eastAsia="es-ES"/>
        </w:rPr>
        <w:t>l oficial</w:t>
      </w:r>
      <w:r w:rsidRPr="001476A2">
        <w:rPr>
          <w:rFonts w:ascii="Cambria" w:hAnsi="Cambria"/>
          <w:color w:val="000000"/>
          <w:sz w:val="20"/>
          <w:szCs w:val="20"/>
          <w:lang w:val="es-ES" w:eastAsia="es-ES"/>
        </w:rPr>
        <w:t xml:space="preserve"> Tribo en los tormentos no se encontraba debidamente probada en el expediente y, en virtud del principio</w:t>
      </w:r>
      <w:r w:rsidRPr="001476A2">
        <w:rPr>
          <w:rFonts w:ascii="Cambria" w:hAnsi="Cambria"/>
          <w:i/>
          <w:color w:val="000000"/>
          <w:sz w:val="20"/>
          <w:szCs w:val="20"/>
          <w:lang w:val="es-ES" w:eastAsia="es-ES"/>
        </w:rPr>
        <w:t xml:space="preserve"> in dubio pro reo</w:t>
      </w:r>
      <w:r w:rsidRPr="001476A2">
        <w:rPr>
          <w:rFonts w:ascii="Cambria" w:hAnsi="Cambria"/>
          <w:color w:val="000000"/>
          <w:sz w:val="20"/>
          <w:szCs w:val="20"/>
          <w:lang w:val="es-ES" w:eastAsia="es-ES"/>
        </w:rPr>
        <w:t xml:space="preserve">, correspondía absolverlo. </w:t>
      </w:r>
      <w:r w:rsidR="00817D81" w:rsidRPr="001476A2">
        <w:rPr>
          <w:rFonts w:ascii="Cambria" w:hAnsi="Cambria"/>
          <w:color w:val="000000"/>
          <w:sz w:val="20"/>
          <w:szCs w:val="20"/>
          <w:lang w:val="es-ES" w:eastAsia="es-ES"/>
        </w:rPr>
        <w:t xml:space="preserve"> </w:t>
      </w:r>
      <w:r w:rsidR="00817D81" w:rsidRPr="001476A2">
        <w:rPr>
          <w:rFonts w:ascii="Cambria" w:hAnsi="Cambria" w:cs="Tahoma"/>
          <w:color w:val="000000"/>
          <w:sz w:val="20"/>
          <w:szCs w:val="20"/>
          <w:lang w:val="es-ES" w:eastAsia="es-ES"/>
        </w:rPr>
        <w:t>Alegan que asimismo, se rechazó la indemnización por incapacidad absoluta laboral de la presunta víctima.  Los peticionarios indican que el 11 de noviembre de 1999, presentaron un recurso extraordinario ante l</w:t>
      </w:r>
      <w:r w:rsidR="008F5FE2">
        <w:rPr>
          <w:rFonts w:ascii="Cambria" w:hAnsi="Cambria" w:cs="Tahoma"/>
          <w:color w:val="000000"/>
          <w:sz w:val="20"/>
          <w:szCs w:val="20"/>
          <w:lang w:val="es-ES" w:eastAsia="es-ES"/>
        </w:rPr>
        <w:t>a Cámara Federal de Apelaciones</w:t>
      </w:r>
      <w:r w:rsidR="00817D81" w:rsidRPr="001476A2">
        <w:rPr>
          <w:rFonts w:ascii="Cambria" w:hAnsi="Cambria" w:cs="Tahoma"/>
          <w:color w:val="000000"/>
          <w:sz w:val="20"/>
          <w:szCs w:val="20"/>
          <w:lang w:val="es-ES" w:eastAsia="es-ES"/>
        </w:rPr>
        <w:t xml:space="preserve"> y que dicha Cámara se negó a elevarlo a la CSJN, el 31 de marzo de 2000.</w:t>
      </w:r>
    </w:p>
    <w:p w:rsidR="00370F35" w:rsidRPr="001476A2" w:rsidRDefault="00370F35" w:rsidP="007B6577">
      <w:pPr>
        <w:ind w:left="540"/>
        <w:jc w:val="both"/>
        <w:rPr>
          <w:rFonts w:ascii="Cambria" w:hAnsi="Cambria"/>
          <w:color w:val="000000"/>
          <w:sz w:val="20"/>
          <w:szCs w:val="20"/>
          <w:lang w:val="es-ES" w:eastAsia="es-ES"/>
        </w:rPr>
      </w:pPr>
    </w:p>
    <w:p w:rsidR="006A09FA" w:rsidRPr="006A3A62" w:rsidRDefault="00370F35"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olor w:val="000000"/>
          <w:sz w:val="20"/>
          <w:szCs w:val="20"/>
          <w:lang w:val="es-ES" w:eastAsia="es-ES"/>
        </w:rPr>
        <w:t>Sostienen que el peticionario -como querellante- volvió a apelar a la</w:t>
      </w:r>
      <w:r w:rsidR="004A04F4" w:rsidRPr="001476A2">
        <w:rPr>
          <w:rFonts w:ascii="Cambria" w:hAnsi="Cambria"/>
          <w:color w:val="000000"/>
          <w:sz w:val="20"/>
          <w:szCs w:val="20"/>
          <w:lang w:val="es-ES" w:eastAsia="es-ES"/>
        </w:rPr>
        <w:t xml:space="preserve"> CSJN y que el</w:t>
      </w:r>
      <w:r w:rsidRPr="001476A2">
        <w:rPr>
          <w:rFonts w:ascii="Cambria" w:hAnsi="Cambria"/>
          <w:color w:val="000000"/>
          <w:sz w:val="20"/>
          <w:szCs w:val="20"/>
          <w:lang w:val="es-ES" w:eastAsia="es-ES"/>
        </w:rPr>
        <w:t xml:space="preserve"> 6 de marzo de 2001, el tribunal desestimó su recurso</w:t>
      </w:r>
      <w:r w:rsidR="004A04F4" w:rsidRPr="001476A2">
        <w:rPr>
          <w:rFonts w:ascii="Cambria" w:hAnsi="Cambria"/>
          <w:color w:val="000000"/>
          <w:sz w:val="20"/>
          <w:szCs w:val="20"/>
          <w:lang w:val="es-ES" w:eastAsia="es-ES"/>
        </w:rPr>
        <w:t>,</w:t>
      </w:r>
      <w:r w:rsidRPr="001476A2">
        <w:rPr>
          <w:rFonts w:ascii="Cambria" w:hAnsi="Cambria"/>
          <w:color w:val="000000"/>
          <w:sz w:val="20"/>
          <w:szCs w:val="20"/>
          <w:lang w:val="es-ES" w:eastAsia="es-ES"/>
        </w:rPr>
        <w:t xml:space="preserve"> sin tratar el fondo de la cuestión</w:t>
      </w:r>
      <w:r w:rsidR="00C83FBE" w:rsidRPr="001476A2">
        <w:rPr>
          <w:rFonts w:ascii="Cambria" w:hAnsi="Cambria" w:cs="Tahoma"/>
          <w:color w:val="000000"/>
          <w:sz w:val="20"/>
          <w:szCs w:val="20"/>
          <w:lang w:val="es-ES" w:eastAsia="es-ES"/>
        </w:rPr>
        <w:t xml:space="preserve">, </w:t>
      </w:r>
      <w:r w:rsidR="006A09FA" w:rsidRPr="001476A2">
        <w:rPr>
          <w:rFonts w:ascii="Cambria" w:hAnsi="Cambria" w:cs="Tahoma"/>
          <w:color w:val="000000"/>
          <w:sz w:val="20"/>
          <w:szCs w:val="20"/>
          <w:lang w:val="es-ES" w:eastAsia="es-ES"/>
        </w:rPr>
        <w:t xml:space="preserve">por falta de agravio federal suficiente. </w:t>
      </w:r>
      <w:r w:rsidR="00C83FBE" w:rsidRPr="001476A2">
        <w:rPr>
          <w:rFonts w:ascii="Cambria" w:hAnsi="Cambria" w:cs="Tahoma"/>
          <w:color w:val="000000"/>
          <w:sz w:val="20"/>
          <w:szCs w:val="20"/>
          <w:lang w:val="es-ES" w:eastAsia="es-ES"/>
        </w:rPr>
        <w:t xml:space="preserve"> </w:t>
      </w:r>
      <w:r w:rsidR="00AD7A1C" w:rsidRPr="001476A2">
        <w:rPr>
          <w:rFonts w:ascii="Cambria" w:hAnsi="Cambria" w:cs="Tahoma"/>
          <w:color w:val="000000"/>
          <w:sz w:val="20"/>
          <w:szCs w:val="20"/>
          <w:lang w:val="es-ES" w:eastAsia="es-ES"/>
        </w:rPr>
        <w:t>Los peticionarios</w:t>
      </w:r>
      <w:r w:rsidR="00C83FBE" w:rsidRPr="001476A2">
        <w:rPr>
          <w:rFonts w:ascii="Cambria" w:hAnsi="Cambria" w:cs="Tahoma"/>
          <w:color w:val="000000"/>
          <w:sz w:val="20"/>
          <w:szCs w:val="20"/>
          <w:lang w:val="es-ES" w:eastAsia="es-ES"/>
        </w:rPr>
        <w:t xml:space="preserve"> indican </w:t>
      </w:r>
      <w:r w:rsidR="00A91425" w:rsidRPr="001476A2">
        <w:rPr>
          <w:rFonts w:ascii="Cambria" w:hAnsi="Cambria" w:cs="Tahoma"/>
          <w:color w:val="000000"/>
          <w:sz w:val="20"/>
          <w:szCs w:val="20"/>
          <w:lang w:val="es-ES" w:eastAsia="es-ES"/>
        </w:rPr>
        <w:t xml:space="preserve">que </w:t>
      </w:r>
      <w:r w:rsidR="006A09FA" w:rsidRPr="001476A2">
        <w:rPr>
          <w:rFonts w:ascii="Cambria" w:hAnsi="Cambria" w:cs="Tahoma"/>
          <w:color w:val="000000"/>
          <w:sz w:val="20"/>
          <w:szCs w:val="20"/>
          <w:lang w:val="es-ES" w:eastAsia="es-ES"/>
        </w:rPr>
        <w:t xml:space="preserve">dicha sentencia </w:t>
      </w:r>
      <w:r w:rsidR="00E306B7" w:rsidRPr="001476A2">
        <w:rPr>
          <w:rFonts w:ascii="Cambria" w:hAnsi="Cambria" w:cs="Tahoma"/>
          <w:color w:val="000000"/>
          <w:sz w:val="20"/>
          <w:szCs w:val="20"/>
          <w:lang w:val="es-ES" w:eastAsia="es-ES"/>
        </w:rPr>
        <w:t xml:space="preserve">les fue notificada </w:t>
      </w:r>
      <w:r w:rsidR="00A91425" w:rsidRPr="001476A2">
        <w:rPr>
          <w:rFonts w:ascii="Cambria" w:hAnsi="Cambria" w:cs="Tahoma"/>
          <w:color w:val="000000"/>
          <w:sz w:val="20"/>
          <w:szCs w:val="20"/>
          <w:lang w:val="es-ES" w:eastAsia="es-ES"/>
        </w:rPr>
        <w:t xml:space="preserve">el 8 de marzo de 2001, con la cual </w:t>
      </w:r>
      <w:r w:rsidR="00A91425" w:rsidRPr="006A3A62">
        <w:rPr>
          <w:rFonts w:ascii="Cambria" w:hAnsi="Cambria" w:cs="Tahoma"/>
          <w:color w:val="000000"/>
          <w:sz w:val="20"/>
          <w:szCs w:val="20"/>
          <w:lang w:val="es-ES" w:eastAsia="es-ES"/>
        </w:rPr>
        <w:t>se agotaron los recursos internos.</w:t>
      </w:r>
    </w:p>
    <w:p w:rsidR="00F32540" w:rsidRPr="006A3A62" w:rsidRDefault="00F32540" w:rsidP="007B6577">
      <w:pPr>
        <w:ind w:left="720"/>
        <w:jc w:val="both"/>
        <w:rPr>
          <w:rFonts w:ascii="Cambria" w:hAnsi="Cambria" w:cs="Tahoma"/>
          <w:color w:val="000000"/>
          <w:sz w:val="20"/>
          <w:szCs w:val="20"/>
          <w:lang w:val="es-ES" w:eastAsia="es-ES"/>
        </w:rPr>
      </w:pPr>
    </w:p>
    <w:p w:rsidR="002D25B2" w:rsidRPr="006A3A62" w:rsidRDefault="007D427D" w:rsidP="002D25B2">
      <w:pPr>
        <w:numPr>
          <w:ilvl w:val="0"/>
          <w:numId w:val="31"/>
        </w:numPr>
        <w:ind w:left="0"/>
        <w:jc w:val="both"/>
        <w:rPr>
          <w:rFonts w:ascii="Cambria" w:hAnsi="Cambria" w:cs="Tahoma"/>
          <w:color w:val="000000"/>
          <w:sz w:val="20"/>
          <w:szCs w:val="20"/>
          <w:lang w:val="es-ES" w:eastAsia="es-ES"/>
        </w:rPr>
      </w:pPr>
      <w:r w:rsidRPr="006A3A62">
        <w:rPr>
          <w:rFonts w:ascii="Cambria" w:hAnsi="Cambria" w:cs="Tahoma"/>
          <w:color w:val="000000"/>
          <w:sz w:val="20"/>
          <w:szCs w:val="20"/>
          <w:lang w:val="es-ES" w:eastAsia="es-ES"/>
        </w:rPr>
        <w:t xml:space="preserve">Respecto de la demanda por daños y perjuicios presentada en 1980, </w:t>
      </w:r>
      <w:r w:rsidR="00F32540" w:rsidRPr="006A3A62">
        <w:rPr>
          <w:rFonts w:ascii="Cambria" w:hAnsi="Cambria" w:cs="Tahoma"/>
          <w:color w:val="000000"/>
          <w:sz w:val="20"/>
          <w:szCs w:val="20"/>
          <w:lang w:val="es-ES" w:eastAsia="es-ES"/>
        </w:rPr>
        <w:t xml:space="preserve">los peticionarios informaron </w:t>
      </w:r>
      <w:r w:rsidRPr="006A3A62">
        <w:rPr>
          <w:rFonts w:ascii="Cambria" w:hAnsi="Cambria" w:cs="Tahoma"/>
          <w:color w:val="000000"/>
          <w:sz w:val="20"/>
          <w:szCs w:val="20"/>
          <w:lang w:val="es-ES" w:eastAsia="es-ES"/>
        </w:rPr>
        <w:t>en su petición original</w:t>
      </w:r>
      <w:r w:rsidR="00F32540" w:rsidRPr="006A3A62">
        <w:rPr>
          <w:rFonts w:ascii="Cambria" w:hAnsi="Cambria" w:cs="Tahoma"/>
          <w:color w:val="000000"/>
          <w:sz w:val="20"/>
          <w:szCs w:val="20"/>
          <w:lang w:val="es-ES" w:eastAsia="es-ES"/>
        </w:rPr>
        <w:t xml:space="preserve"> que la justicia civil le había conferido a la presunta víctima una indemnización por daños y perjuicios que era mínima, pero que le posibilitaba atender sus gastos de enfermedad.  Los peticionarios resaltan la obligación del Estado de establecer la verdad de los hechos, sancionar a los responsables y resarcir el daño.</w:t>
      </w:r>
    </w:p>
    <w:p w:rsidR="002D25B2" w:rsidRPr="006A3A62" w:rsidRDefault="002D25B2" w:rsidP="002D25B2">
      <w:pPr>
        <w:ind w:left="720"/>
        <w:jc w:val="both"/>
        <w:rPr>
          <w:rFonts w:ascii="Cambria" w:hAnsi="Cambria" w:cs="Tahoma"/>
          <w:color w:val="000000"/>
          <w:sz w:val="20"/>
          <w:szCs w:val="20"/>
          <w:lang w:val="es-ES" w:eastAsia="es-ES"/>
        </w:rPr>
      </w:pPr>
    </w:p>
    <w:p w:rsidR="00CF0281" w:rsidRPr="006A3A62" w:rsidRDefault="00D01CEF" w:rsidP="002D25B2">
      <w:pPr>
        <w:numPr>
          <w:ilvl w:val="0"/>
          <w:numId w:val="31"/>
        </w:numPr>
        <w:ind w:left="0"/>
        <w:jc w:val="both"/>
        <w:rPr>
          <w:rFonts w:ascii="Cambria" w:hAnsi="Cambria" w:cs="Tahoma"/>
          <w:color w:val="000000"/>
          <w:sz w:val="20"/>
          <w:szCs w:val="20"/>
          <w:lang w:val="es-ES" w:eastAsia="es-ES"/>
        </w:rPr>
      </w:pPr>
      <w:r w:rsidRPr="006A3A62">
        <w:rPr>
          <w:rFonts w:ascii="Cambria" w:hAnsi="Cambria" w:cs="Tahoma"/>
          <w:color w:val="000000"/>
          <w:sz w:val="20"/>
          <w:szCs w:val="20"/>
          <w:lang w:val="es-ES" w:eastAsia="es-ES"/>
        </w:rPr>
        <w:t xml:space="preserve">Mediante escrito de fecha 5 de mayo de 2008 los peticionarios informaron </w:t>
      </w:r>
      <w:r w:rsidR="00BA5E57" w:rsidRPr="006A3A62">
        <w:rPr>
          <w:rFonts w:ascii="Cambria" w:hAnsi="Cambria" w:cs="Tahoma"/>
          <w:color w:val="000000"/>
          <w:sz w:val="20"/>
          <w:szCs w:val="20"/>
          <w:lang w:val="es-ES" w:eastAsia="es-ES"/>
        </w:rPr>
        <w:t xml:space="preserve">que </w:t>
      </w:r>
      <w:r w:rsidR="006A09FA" w:rsidRPr="006A3A62">
        <w:rPr>
          <w:rFonts w:ascii="Cambria" w:hAnsi="Cambria" w:cs="Tahoma"/>
          <w:color w:val="000000"/>
          <w:sz w:val="20"/>
          <w:szCs w:val="20"/>
          <w:lang w:val="es-ES" w:eastAsia="es-ES"/>
        </w:rPr>
        <w:t xml:space="preserve">la cantidad estimada </w:t>
      </w:r>
      <w:r w:rsidR="00EF4880" w:rsidRPr="006A3A62">
        <w:rPr>
          <w:rFonts w:ascii="Cambria" w:hAnsi="Cambria" w:cs="Tahoma"/>
          <w:color w:val="000000"/>
          <w:sz w:val="20"/>
          <w:szCs w:val="20"/>
          <w:lang w:val="es-ES" w:eastAsia="es-ES"/>
        </w:rPr>
        <w:t xml:space="preserve">por daños y perjuicios </w:t>
      </w:r>
      <w:r w:rsidR="006A09FA" w:rsidRPr="006A3A62">
        <w:rPr>
          <w:rFonts w:ascii="Cambria" w:hAnsi="Cambria" w:cs="Tahoma"/>
          <w:color w:val="000000"/>
          <w:sz w:val="20"/>
          <w:szCs w:val="20"/>
          <w:lang w:val="es-ES" w:eastAsia="es-ES"/>
        </w:rPr>
        <w:t xml:space="preserve">se devalúo por la crisis económica y </w:t>
      </w:r>
      <w:r w:rsidR="00BA5E57" w:rsidRPr="006A3A62">
        <w:rPr>
          <w:rFonts w:ascii="Cambria" w:hAnsi="Cambria" w:cs="Tahoma"/>
          <w:color w:val="000000"/>
          <w:sz w:val="20"/>
          <w:szCs w:val="20"/>
          <w:lang w:val="es-ES" w:eastAsia="es-ES"/>
        </w:rPr>
        <w:t xml:space="preserve">que </w:t>
      </w:r>
      <w:r w:rsidR="00A97B58" w:rsidRPr="006A3A62">
        <w:rPr>
          <w:rFonts w:ascii="Cambria" w:hAnsi="Cambria" w:cs="Tahoma"/>
          <w:color w:val="000000"/>
          <w:sz w:val="20"/>
          <w:szCs w:val="20"/>
          <w:lang w:val="es-ES" w:eastAsia="es-ES"/>
        </w:rPr>
        <w:t xml:space="preserve">el Estado </w:t>
      </w:r>
      <w:r w:rsidR="00BA5E57" w:rsidRPr="006A3A62">
        <w:rPr>
          <w:rFonts w:ascii="Cambria" w:hAnsi="Cambria" w:cs="Tahoma"/>
          <w:color w:val="000000"/>
          <w:sz w:val="20"/>
          <w:szCs w:val="20"/>
          <w:lang w:val="es-ES" w:eastAsia="es-ES"/>
        </w:rPr>
        <w:t>le habr</w:t>
      </w:r>
      <w:r w:rsidR="00A97B58" w:rsidRPr="006A3A62">
        <w:rPr>
          <w:rFonts w:ascii="Cambria" w:hAnsi="Cambria" w:cs="Tahoma"/>
          <w:color w:val="000000"/>
          <w:sz w:val="20"/>
          <w:szCs w:val="20"/>
          <w:lang w:val="es-ES" w:eastAsia="es-ES"/>
        </w:rPr>
        <w:t>ía</w:t>
      </w:r>
      <w:r w:rsidR="00BA5E57" w:rsidRPr="006A3A62">
        <w:rPr>
          <w:rFonts w:ascii="Cambria" w:hAnsi="Cambria" w:cs="Tahoma"/>
          <w:color w:val="000000"/>
          <w:sz w:val="20"/>
          <w:szCs w:val="20"/>
          <w:lang w:val="es-ES" w:eastAsia="es-ES"/>
        </w:rPr>
        <w:t xml:space="preserve"> pagado con bonos, los que fueron finalmente abonados, </w:t>
      </w:r>
      <w:r w:rsidR="00A97B58" w:rsidRPr="006A3A62">
        <w:rPr>
          <w:rFonts w:ascii="Cambria" w:hAnsi="Cambria" w:cs="Tahoma"/>
          <w:color w:val="000000"/>
          <w:sz w:val="20"/>
          <w:szCs w:val="20"/>
          <w:lang w:val="es-ES" w:eastAsia="es-ES"/>
        </w:rPr>
        <w:t xml:space="preserve">pero con </w:t>
      </w:r>
      <w:r w:rsidR="00BA5E57" w:rsidRPr="006A3A62">
        <w:rPr>
          <w:rFonts w:ascii="Cambria" w:hAnsi="Cambria" w:cs="Tahoma"/>
          <w:color w:val="000000"/>
          <w:sz w:val="20"/>
          <w:szCs w:val="20"/>
          <w:lang w:val="es-ES" w:eastAsia="es-ES"/>
        </w:rPr>
        <w:t xml:space="preserve">una pérdida </w:t>
      </w:r>
      <w:r w:rsidR="00833727" w:rsidRPr="006A3A62">
        <w:rPr>
          <w:rFonts w:ascii="Cambria" w:hAnsi="Cambria" w:cs="Tahoma"/>
          <w:color w:val="000000"/>
          <w:sz w:val="20"/>
          <w:szCs w:val="20"/>
          <w:lang w:val="es-ES" w:eastAsia="es-ES"/>
        </w:rPr>
        <w:t xml:space="preserve">de más </w:t>
      </w:r>
      <w:r w:rsidR="00BA5E57" w:rsidRPr="006A3A62">
        <w:rPr>
          <w:rFonts w:ascii="Cambria" w:hAnsi="Cambria" w:cs="Tahoma"/>
          <w:color w:val="000000"/>
          <w:sz w:val="20"/>
          <w:szCs w:val="20"/>
          <w:lang w:val="es-ES" w:eastAsia="es-ES"/>
        </w:rPr>
        <w:t>del 40</w:t>
      </w:r>
      <w:r w:rsidR="00FE50F8" w:rsidRPr="006A3A62">
        <w:rPr>
          <w:rFonts w:ascii="Cambria" w:hAnsi="Cambria" w:cs="Tahoma"/>
          <w:color w:val="000000"/>
          <w:sz w:val="20"/>
          <w:szCs w:val="20"/>
          <w:lang w:val="es-ES" w:eastAsia="es-ES"/>
        </w:rPr>
        <w:t>%</w:t>
      </w:r>
      <w:r w:rsidR="00BA5E57" w:rsidRPr="006A3A62">
        <w:rPr>
          <w:rFonts w:ascii="Cambria" w:hAnsi="Cambria" w:cs="Tahoma"/>
          <w:color w:val="000000"/>
          <w:sz w:val="20"/>
          <w:szCs w:val="20"/>
          <w:lang w:val="es-ES" w:eastAsia="es-ES"/>
        </w:rPr>
        <w:t xml:space="preserve"> de</w:t>
      </w:r>
      <w:r w:rsidR="002307D9" w:rsidRPr="006A3A62">
        <w:rPr>
          <w:rFonts w:ascii="Cambria" w:hAnsi="Cambria" w:cs="Tahoma"/>
          <w:color w:val="000000"/>
          <w:sz w:val="20"/>
          <w:szCs w:val="20"/>
          <w:lang w:val="es-ES" w:eastAsia="es-ES"/>
        </w:rPr>
        <w:t xml:space="preserve"> su</w:t>
      </w:r>
      <w:r w:rsidR="00BA5E57" w:rsidRPr="006A3A62">
        <w:rPr>
          <w:rFonts w:ascii="Cambria" w:hAnsi="Cambria" w:cs="Tahoma"/>
          <w:color w:val="000000"/>
          <w:sz w:val="20"/>
          <w:szCs w:val="20"/>
          <w:lang w:val="es-ES" w:eastAsia="es-ES"/>
        </w:rPr>
        <w:t xml:space="preserve"> valor.</w:t>
      </w:r>
      <w:r w:rsidRPr="006A3A62">
        <w:rPr>
          <w:rFonts w:ascii="Cambria" w:hAnsi="Cambria" w:cs="Tahoma"/>
          <w:color w:val="000000"/>
          <w:sz w:val="20"/>
          <w:szCs w:val="20"/>
          <w:lang w:val="es-ES" w:eastAsia="es-ES"/>
        </w:rPr>
        <w:t xml:space="preserve">  Posteriormente, </w:t>
      </w:r>
      <w:r w:rsidR="00F25A84" w:rsidRPr="006A3A62">
        <w:rPr>
          <w:rFonts w:ascii="Cambria" w:hAnsi="Cambria" w:cs="Tahoma"/>
          <w:color w:val="000000"/>
          <w:sz w:val="20"/>
          <w:szCs w:val="20"/>
          <w:lang w:val="es-ES" w:eastAsia="es-ES"/>
        </w:rPr>
        <w:t xml:space="preserve">mediante comunicación de fecha </w:t>
      </w:r>
      <w:r w:rsidR="004B3AD7" w:rsidRPr="006A3A62">
        <w:rPr>
          <w:rFonts w:ascii="Cambria" w:hAnsi="Cambria" w:cs="Tahoma"/>
          <w:color w:val="000000"/>
          <w:sz w:val="20"/>
          <w:szCs w:val="20"/>
          <w:lang w:val="es-ES" w:eastAsia="es-ES"/>
        </w:rPr>
        <w:t>21 de septiembre de 2009</w:t>
      </w:r>
      <w:r w:rsidR="00F25A84" w:rsidRPr="006A3A62">
        <w:rPr>
          <w:rFonts w:ascii="Cambria" w:hAnsi="Cambria" w:cs="Tahoma"/>
          <w:color w:val="000000"/>
          <w:sz w:val="20"/>
          <w:szCs w:val="20"/>
          <w:lang w:val="es-ES" w:eastAsia="es-ES"/>
        </w:rPr>
        <w:t>,</w:t>
      </w:r>
      <w:r w:rsidR="004B3AD7" w:rsidRPr="006A3A62">
        <w:rPr>
          <w:rFonts w:ascii="Cambria" w:hAnsi="Cambria" w:cs="Tahoma"/>
          <w:color w:val="000000"/>
          <w:sz w:val="20"/>
          <w:szCs w:val="20"/>
          <w:lang w:val="es-ES" w:eastAsia="es-ES"/>
        </w:rPr>
        <w:t xml:space="preserve"> </w:t>
      </w:r>
      <w:r w:rsidR="0089190A" w:rsidRPr="006A3A62">
        <w:rPr>
          <w:rFonts w:ascii="Cambria" w:hAnsi="Cambria" w:cs="Tahoma"/>
          <w:color w:val="000000"/>
          <w:sz w:val="20"/>
          <w:szCs w:val="20"/>
          <w:lang w:val="es-ES" w:eastAsia="es-ES"/>
        </w:rPr>
        <w:t>indicaron</w:t>
      </w:r>
      <w:r w:rsidR="00F16777" w:rsidRPr="006A3A62">
        <w:rPr>
          <w:rFonts w:ascii="Cambria" w:hAnsi="Cambria" w:cs="Tahoma"/>
          <w:color w:val="000000"/>
          <w:sz w:val="20"/>
          <w:szCs w:val="20"/>
          <w:lang w:val="es-ES" w:eastAsia="es-ES"/>
        </w:rPr>
        <w:t xml:space="preserve"> que el gobierno argentino</w:t>
      </w:r>
      <w:r w:rsidR="004B3AD7" w:rsidRPr="006A3A62">
        <w:rPr>
          <w:rFonts w:ascii="Cambria" w:hAnsi="Cambria" w:cs="Tahoma"/>
          <w:color w:val="000000"/>
          <w:sz w:val="20"/>
          <w:szCs w:val="20"/>
          <w:lang w:val="es-ES" w:eastAsia="es-ES"/>
        </w:rPr>
        <w:t xml:space="preserve"> </w:t>
      </w:r>
      <w:r w:rsidR="00F16777" w:rsidRPr="006A3A62">
        <w:rPr>
          <w:rFonts w:ascii="Cambria" w:hAnsi="Cambria" w:cs="Tahoma"/>
          <w:color w:val="000000"/>
          <w:sz w:val="20"/>
          <w:szCs w:val="20"/>
          <w:lang w:val="es-ES" w:eastAsia="es-ES"/>
        </w:rPr>
        <w:t xml:space="preserve">pagó la indemnización </w:t>
      </w:r>
      <w:r w:rsidR="004B3AD7" w:rsidRPr="006A3A62">
        <w:rPr>
          <w:rFonts w:ascii="Cambria" w:hAnsi="Cambria" w:cs="Tahoma"/>
          <w:color w:val="000000"/>
          <w:sz w:val="20"/>
          <w:szCs w:val="20"/>
          <w:lang w:val="es-ES" w:eastAsia="es-ES"/>
        </w:rPr>
        <w:t xml:space="preserve">23 años después </w:t>
      </w:r>
      <w:r w:rsidR="00F16777" w:rsidRPr="006A3A62">
        <w:rPr>
          <w:rFonts w:ascii="Cambria" w:hAnsi="Cambria" w:cs="Tahoma"/>
          <w:color w:val="000000"/>
          <w:sz w:val="20"/>
          <w:szCs w:val="20"/>
          <w:lang w:val="es-ES" w:eastAsia="es-ES"/>
        </w:rPr>
        <w:t>de la</w:t>
      </w:r>
      <w:r w:rsidR="004B3AD7" w:rsidRPr="006A3A62">
        <w:rPr>
          <w:rFonts w:ascii="Cambria" w:hAnsi="Cambria" w:cs="Tahoma"/>
          <w:color w:val="000000"/>
          <w:sz w:val="20"/>
          <w:szCs w:val="20"/>
          <w:lang w:val="es-ES" w:eastAsia="es-ES"/>
        </w:rPr>
        <w:t xml:space="preserve"> condena, entregando bonos </w:t>
      </w:r>
      <w:r w:rsidR="00CA426B" w:rsidRPr="006A3A62">
        <w:rPr>
          <w:rFonts w:ascii="Cambria" w:hAnsi="Cambria" w:cs="Tahoma"/>
          <w:color w:val="000000"/>
          <w:sz w:val="20"/>
          <w:szCs w:val="20"/>
          <w:lang w:val="es-ES" w:eastAsia="es-ES"/>
        </w:rPr>
        <w:t xml:space="preserve">que luego </w:t>
      </w:r>
      <w:r w:rsidR="00F16777" w:rsidRPr="006A3A62">
        <w:rPr>
          <w:rFonts w:ascii="Cambria" w:hAnsi="Cambria" w:cs="Tahoma"/>
          <w:color w:val="000000"/>
          <w:sz w:val="20"/>
          <w:szCs w:val="20"/>
          <w:lang w:val="es-ES" w:eastAsia="es-ES"/>
        </w:rPr>
        <w:t>fueron devaluados, perdiendo el</w:t>
      </w:r>
      <w:r w:rsidR="004B3AD7" w:rsidRPr="006A3A62">
        <w:rPr>
          <w:rFonts w:ascii="Cambria" w:hAnsi="Cambria" w:cs="Tahoma"/>
          <w:color w:val="000000"/>
          <w:sz w:val="20"/>
          <w:szCs w:val="20"/>
          <w:lang w:val="es-ES" w:eastAsia="es-ES"/>
        </w:rPr>
        <w:t xml:space="preserve"> 75% de su valor original</w:t>
      </w:r>
      <w:r w:rsidR="00F16777" w:rsidRPr="006A3A62">
        <w:rPr>
          <w:rFonts w:ascii="Cambria" w:hAnsi="Cambria" w:cs="Tahoma"/>
          <w:color w:val="000000"/>
          <w:sz w:val="20"/>
          <w:szCs w:val="20"/>
          <w:lang w:val="es-ES" w:eastAsia="es-ES"/>
        </w:rPr>
        <w:t>.</w:t>
      </w:r>
    </w:p>
    <w:p w:rsidR="006A09FA" w:rsidRPr="006A3A62" w:rsidRDefault="006A09FA" w:rsidP="007B6577">
      <w:pPr>
        <w:jc w:val="both"/>
        <w:rPr>
          <w:rFonts w:ascii="Cambria" w:hAnsi="Cambria" w:cs="Tahoma"/>
          <w:color w:val="000000"/>
          <w:sz w:val="20"/>
          <w:szCs w:val="20"/>
          <w:lang w:val="es-ES" w:eastAsia="es-ES"/>
        </w:rPr>
      </w:pPr>
    </w:p>
    <w:p w:rsidR="006A09FA" w:rsidRPr="006A3A62" w:rsidRDefault="00AD7A1C" w:rsidP="007B6577">
      <w:pPr>
        <w:numPr>
          <w:ilvl w:val="0"/>
          <w:numId w:val="31"/>
        </w:numPr>
        <w:ind w:left="0"/>
        <w:jc w:val="both"/>
        <w:rPr>
          <w:rFonts w:ascii="Cambria" w:hAnsi="Cambria" w:cs="Tahoma"/>
          <w:color w:val="000000"/>
          <w:sz w:val="20"/>
          <w:szCs w:val="20"/>
          <w:lang w:val="es-ES" w:eastAsia="es-ES"/>
        </w:rPr>
      </w:pPr>
      <w:r w:rsidRPr="006A3A62">
        <w:rPr>
          <w:rFonts w:ascii="Cambria" w:hAnsi="Cambria" w:cs="Tahoma"/>
          <w:color w:val="000000"/>
          <w:sz w:val="20"/>
          <w:szCs w:val="20"/>
          <w:lang w:val="es-ES" w:eastAsia="es-ES"/>
        </w:rPr>
        <w:t>Los</w:t>
      </w:r>
      <w:r w:rsidR="006A09FA" w:rsidRPr="006A3A62">
        <w:rPr>
          <w:rFonts w:ascii="Cambria" w:hAnsi="Cambria" w:cs="Tahoma"/>
          <w:color w:val="000000"/>
          <w:sz w:val="20"/>
          <w:szCs w:val="20"/>
          <w:lang w:val="es-ES" w:eastAsia="es-ES"/>
        </w:rPr>
        <w:t xml:space="preserve"> peticionario</w:t>
      </w:r>
      <w:r w:rsidRPr="006A3A62">
        <w:rPr>
          <w:rFonts w:ascii="Cambria" w:hAnsi="Cambria" w:cs="Tahoma"/>
          <w:color w:val="000000"/>
          <w:sz w:val="20"/>
          <w:szCs w:val="20"/>
          <w:lang w:val="es-ES" w:eastAsia="es-ES"/>
        </w:rPr>
        <w:t>s</w:t>
      </w:r>
      <w:r w:rsidR="006A09FA" w:rsidRPr="006A3A62">
        <w:rPr>
          <w:rFonts w:ascii="Cambria" w:hAnsi="Cambria" w:cs="Tahoma"/>
          <w:color w:val="000000"/>
          <w:sz w:val="20"/>
          <w:szCs w:val="20"/>
          <w:lang w:val="es-ES" w:eastAsia="es-ES"/>
        </w:rPr>
        <w:t xml:space="preserve"> señala</w:t>
      </w:r>
      <w:r w:rsidRPr="006A3A62">
        <w:rPr>
          <w:rFonts w:ascii="Cambria" w:hAnsi="Cambria" w:cs="Tahoma"/>
          <w:color w:val="000000"/>
          <w:sz w:val="20"/>
          <w:szCs w:val="20"/>
          <w:lang w:val="es-ES" w:eastAsia="es-ES"/>
        </w:rPr>
        <w:t>n</w:t>
      </w:r>
      <w:r w:rsidR="006A09FA" w:rsidRPr="006A3A62">
        <w:rPr>
          <w:rFonts w:ascii="Cambria" w:hAnsi="Cambria" w:cs="Tahoma"/>
          <w:color w:val="000000"/>
          <w:sz w:val="20"/>
          <w:szCs w:val="20"/>
          <w:lang w:val="es-ES" w:eastAsia="es-ES"/>
        </w:rPr>
        <w:t xml:space="preserve"> que </w:t>
      </w:r>
      <w:r w:rsidRPr="006A3A62">
        <w:rPr>
          <w:rFonts w:ascii="Cambria" w:hAnsi="Cambria" w:cs="Tahoma"/>
          <w:color w:val="000000"/>
          <w:sz w:val="20"/>
          <w:szCs w:val="20"/>
          <w:lang w:val="es-ES" w:eastAsia="es-ES"/>
        </w:rPr>
        <w:t xml:space="preserve">la presunta víctima </w:t>
      </w:r>
      <w:r w:rsidR="006A09FA" w:rsidRPr="006A3A62">
        <w:rPr>
          <w:rFonts w:ascii="Cambria" w:hAnsi="Cambria" w:cs="Tahoma"/>
          <w:color w:val="000000"/>
          <w:sz w:val="20"/>
          <w:szCs w:val="20"/>
          <w:lang w:val="es-ES" w:eastAsia="es-ES"/>
        </w:rPr>
        <w:t>sufre de sordera, h</w:t>
      </w:r>
      <w:r w:rsidRPr="006A3A62">
        <w:rPr>
          <w:rFonts w:ascii="Cambria" w:hAnsi="Cambria" w:cs="Tahoma"/>
          <w:color w:val="000000"/>
          <w:sz w:val="20"/>
          <w:szCs w:val="20"/>
          <w:lang w:val="es-ES" w:eastAsia="es-ES"/>
        </w:rPr>
        <w:t>epa</w:t>
      </w:r>
      <w:r w:rsidR="00500327" w:rsidRPr="006A3A62">
        <w:rPr>
          <w:rFonts w:ascii="Cambria" w:hAnsi="Cambria" w:cs="Tahoma"/>
          <w:color w:val="000000"/>
          <w:sz w:val="20"/>
          <w:szCs w:val="20"/>
          <w:lang w:val="es-ES" w:eastAsia="es-ES"/>
        </w:rPr>
        <w:t>t</w:t>
      </w:r>
      <w:r w:rsidR="006650F7" w:rsidRPr="006A3A62">
        <w:rPr>
          <w:rFonts w:ascii="Cambria" w:hAnsi="Cambria" w:cs="Tahoma"/>
          <w:color w:val="000000"/>
          <w:sz w:val="20"/>
          <w:szCs w:val="20"/>
          <w:lang w:val="es-ES" w:eastAsia="es-ES"/>
        </w:rPr>
        <w:t xml:space="preserve">itis C </w:t>
      </w:r>
      <w:r w:rsidR="0094381B" w:rsidRPr="006A3A62">
        <w:rPr>
          <w:rFonts w:ascii="Cambria" w:hAnsi="Cambria" w:cs="Tahoma"/>
          <w:color w:val="000000"/>
          <w:sz w:val="20"/>
          <w:szCs w:val="20"/>
          <w:lang w:val="es-ES" w:eastAsia="es-ES"/>
        </w:rPr>
        <w:t xml:space="preserve">terminal </w:t>
      </w:r>
      <w:r w:rsidR="006650F7" w:rsidRPr="006A3A62">
        <w:rPr>
          <w:rFonts w:ascii="Cambria" w:hAnsi="Cambria" w:cs="Tahoma"/>
          <w:color w:val="000000"/>
          <w:sz w:val="20"/>
          <w:szCs w:val="20"/>
          <w:lang w:val="es-ES" w:eastAsia="es-ES"/>
        </w:rPr>
        <w:t>y advierten que acudió ante la Cancillería</w:t>
      </w:r>
      <w:r w:rsidR="006A09FA" w:rsidRPr="006A3A62">
        <w:rPr>
          <w:rFonts w:ascii="Cambria" w:hAnsi="Cambria" w:cs="Tahoma"/>
          <w:color w:val="000000"/>
          <w:sz w:val="20"/>
          <w:szCs w:val="20"/>
          <w:lang w:val="es-ES" w:eastAsia="es-ES"/>
        </w:rPr>
        <w:t xml:space="preserve">, </w:t>
      </w:r>
      <w:r w:rsidR="006650F7" w:rsidRPr="006A3A62">
        <w:rPr>
          <w:rFonts w:ascii="Cambria" w:hAnsi="Cambria" w:cs="Tahoma"/>
          <w:color w:val="000000"/>
          <w:sz w:val="20"/>
          <w:szCs w:val="20"/>
          <w:lang w:val="es-ES" w:eastAsia="es-ES"/>
        </w:rPr>
        <w:t xml:space="preserve">la </w:t>
      </w:r>
      <w:r w:rsidR="006A09FA" w:rsidRPr="006A3A62">
        <w:rPr>
          <w:rFonts w:ascii="Cambria" w:hAnsi="Cambria" w:cs="Tahoma"/>
          <w:color w:val="000000"/>
          <w:sz w:val="20"/>
          <w:szCs w:val="20"/>
          <w:lang w:val="es-ES" w:eastAsia="es-ES"/>
        </w:rPr>
        <w:t xml:space="preserve">Subsecretaria de Derechos Humanos del Ministerio de Justicia de la Nación </w:t>
      </w:r>
      <w:r w:rsidR="007E0103" w:rsidRPr="006A3A62">
        <w:rPr>
          <w:rFonts w:ascii="Cambria" w:hAnsi="Cambria" w:cs="Tahoma"/>
          <w:color w:val="000000"/>
          <w:sz w:val="20"/>
          <w:szCs w:val="20"/>
          <w:lang w:val="es-ES" w:eastAsia="es-ES"/>
        </w:rPr>
        <w:t xml:space="preserve">y que </w:t>
      </w:r>
      <w:r w:rsidR="006A09FA" w:rsidRPr="006A3A62">
        <w:rPr>
          <w:rFonts w:ascii="Cambria" w:hAnsi="Cambria" w:cs="Tahoma"/>
          <w:color w:val="000000"/>
          <w:sz w:val="20"/>
          <w:szCs w:val="20"/>
          <w:lang w:val="es-ES" w:eastAsia="es-ES"/>
        </w:rPr>
        <w:t xml:space="preserve">estas instituciones </w:t>
      </w:r>
      <w:r w:rsidR="007E0103" w:rsidRPr="006A3A62">
        <w:rPr>
          <w:rFonts w:ascii="Cambria" w:hAnsi="Cambria" w:cs="Tahoma"/>
          <w:color w:val="000000"/>
          <w:sz w:val="20"/>
          <w:szCs w:val="20"/>
          <w:lang w:val="es-ES" w:eastAsia="es-ES"/>
        </w:rPr>
        <w:t xml:space="preserve">no </w:t>
      </w:r>
      <w:r w:rsidR="006650F7" w:rsidRPr="006A3A62">
        <w:rPr>
          <w:rFonts w:ascii="Cambria" w:hAnsi="Cambria" w:cs="Tahoma"/>
          <w:color w:val="000000"/>
          <w:sz w:val="20"/>
          <w:szCs w:val="20"/>
          <w:lang w:val="es-ES" w:eastAsia="es-ES"/>
        </w:rPr>
        <w:t xml:space="preserve">le </w:t>
      </w:r>
      <w:r w:rsidR="006A09FA" w:rsidRPr="006A3A62">
        <w:rPr>
          <w:rFonts w:ascii="Cambria" w:hAnsi="Cambria" w:cs="Tahoma"/>
          <w:color w:val="000000"/>
          <w:sz w:val="20"/>
          <w:szCs w:val="20"/>
          <w:lang w:val="es-ES" w:eastAsia="es-ES"/>
        </w:rPr>
        <w:t>ofrecieron ayuda alguna para resolver su situación procesal.</w:t>
      </w:r>
    </w:p>
    <w:p w:rsidR="009B5995" w:rsidRPr="006A3A62" w:rsidRDefault="009B5995" w:rsidP="007B6577">
      <w:pPr>
        <w:jc w:val="both"/>
        <w:rPr>
          <w:rFonts w:ascii="Cambria" w:hAnsi="Cambria" w:cs="Tahoma"/>
          <w:color w:val="000000"/>
          <w:sz w:val="20"/>
          <w:szCs w:val="20"/>
          <w:lang w:val="es-ES" w:eastAsia="es-ES"/>
        </w:rPr>
      </w:pPr>
    </w:p>
    <w:p w:rsidR="00CA6B84" w:rsidRPr="001476A2" w:rsidRDefault="00CA6B84" w:rsidP="007B6577">
      <w:pPr>
        <w:numPr>
          <w:ilvl w:val="0"/>
          <w:numId w:val="31"/>
        </w:numPr>
        <w:ind w:left="0"/>
        <w:jc w:val="both"/>
        <w:rPr>
          <w:rFonts w:ascii="Cambria" w:hAnsi="Cambria" w:cs="Tahoma"/>
          <w:color w:val="000000"/>
          <w:sz w:val="20"/>
          <w:szCs w:val="20"/>
          <w:lang w:val="es-ES" w:eastAsia="es-ES"/>
        </w:rPr>
      </w:pPr>
      <w:r w:rsidRPr="006A3A62">
        <w:rPr>
          <w:rFonts w:ascii="Cambria" w:hAnsi="Cambria" w:cs="Tahoma"/>
          <w:color w:val="000000"/>
          <w:sz w:val="20"/>
          <w:szCs w:val="20"/>
          <w:lang w:val="es-ES" w:eastAsia="es-ES"/>
        </w:rPr>
        <w:t>En cuanto al delito de tormentos, considera</w:t>
      </w:r>
      <w:r w:rsidR="000C02A7" w:rsidRPr="006A3A62">
        <w:rPr>
          <w:rFonts w:ascii="Cambria" w:hAnsi="Cambria" w:cs="Tahoma"/>
          <w:color w:val="000000"/>
          <w:sz w:val="20"/>
          <w:szCs w:val="20"/>
          <w:lang w:val="es-ES" w:eastAsia="es-ES"/>
        </w:rPr>
        <w:t>n</w:t>
      </w:r>
      <w:r w:rsidRPr="006A3A62">
        <w:rPr>
          <w:rFonts w:ascii="Cambria" w:hAnsi="Cambria" w:cs="Tahoma"/>
          <w:color w:val="000000"/>
          <w:sz w:val="20"/>
          <w:szCs w:val="20"/>
          <w:lang w:val="es-ES" w:eastAsia="es-ES"/>
        </w:rPr>
        <w:t xml:space="preserve"> que </w:t>
      </w:r>
      <w:r w:rsidR="00125723" w:rsidRPr="006A3A62">
        <w:rPr>
          <w:rFonts w:ascii="Cambria" w:hAnsi="Cambria" w:cs="Tahoma"/>
          <w:color w:val="000000"/>
          <w:sz w:val="20"/>
          <w:szCs w:val="20"/>
          <w:lang w:val="es-ES" w:eastAsia="es-ES"/>
        </w:rPr>
        <w:t xml:space="preserve">el oficial </w:t>
      </w:r>
      <w:r w:rsidRPr="006A3A62">
        <w:rPr>
          <w:rFonts w:ascii="Cambria" w:hAnsi="Cambria" w:cs="Tahoma"/>
          <w:color w:val="000000"/>
          <w:sz w:val="20"/>
          <w:szCs w:val="20"/>
          <w:lang w:val="es-ES" w:eastAsia="es-ES"/>
        </w:rPr>
        <w:t xml:space="preserve">Tribo debió haber sido condenado, al menos como cómplice, y no sobreseído. </w:t>
      </w:r>
      <w:r w:rsidR="002F0964" w:rsidRPr="006A3A62">
        <w:rPr>
          <w:rFonts w:ascii="Cambria" w:hAnsi="Cambria" w:cs="Tahoma"/>
          <w:color w:val="000000"/>
          <w:sz w:val="20"/>
          <w:szCs w:val="20"/>
          <w:lang w:val="es-ES" w:eastAsia="es-ES"/>
        </w:rPr>
        <w:t xml:space="preserve"> </w:t>
      </w:r>
      <w:r w:rsidRPr="006A3A62">
        <w:rPr>
          <w:rFonts w:ascii="Cambria" w:hAnsi="Cambria" w:cs="Tahoma"/>
          <w:color w:val="000000"/>
          <w:sz w:val="20"/>
          <w:szCs w:val="20"/>
          <w:lang w:val="es-ES" w:eastAsia="es-ES"/>
        </w:rPr>
        <w:t>Explica</w:t>
      </w:r>
      <w:r w:rsidR="00125723" w:rsidRPr="006A3A62">
        <w:rPr>
          <w:rFonts w:ascii="Cambria" w:hAnsi="Cambria" w:cs="Tahoma"/>
          <w:color w:val="000000"/>
          <w:sz w:val="20"/>
          <w:szCs w:val="20"/>
          <w:lang w:val="es-ES" w:eastAsia="es-ES"/>
        </w:rPr>
        <w:t>n</w:t>
      </w:r>
      <w:r w:rsidRPr="006A3A62">
        <w:rPr>
          <w:rFonts w:ascii="Cambria" w:hAnsi="Cambria" w:cs="Tahoma"/>
          <w:color w:val="000000"/>
          <w:sz w:val="20"/>
          <w:szCs w:val="20"/>
          <w:lang w:val="es-ES" w:eastAsia="es-ES"/>
        </w:rPr>
        <w:t xml:space="preserve"> que, </w:t>
      </w:r>
      <w:r w:rsidR="002F0964" w:rsidRPr="006A3A62">
        <w:rPr>
          <w:rFonts w:ascii="Cambria" w:hAnsi="Cambria" w:cs="Tahoma"/>
          <w:color w:val="000000"/>
          <w:sz w:val="20"/>
          <w:szCs w:val="20"/>
          <w:lang w:val="es-ES" w:eastAsia="es-ES"/>
        </w:rPr>
        <w:t>aun</w:t>
      </w:r>
      <w:r w:rsidRPr="006A3A62">
        <w:rPr>
          <w:rFonts w:ascii="Cambria" w:hAnsi="Cambria" w:cs="Tahoma"/>
          <w:color w:val="000000"/>
          <w:sz w:val="20"/>
          <w:szCs w:val="20"/>
          <w:lang w:val="es-ES" w:eastAsia="es-ES"/>
        </w:rPr>
        <w:t xml:space="preserve"> cuando no se hubiera probado que </w:t>
      </w:r>
      <w:r w:rsidR="00125723" w:rsidRPr="006A3A62">
        <w:rPr>
          <w:rFonts w:ascii="Cambria" w:hAnsi="Cambria" w:cs="Tahoma"/>
          <w:color w:val="000000"/>
          <w:sz w:val="20"/>
          <w:szCs w:val="20"/>
          <w:lang w:val="es-ES" w:eastAsia="es-ES"/>
        </w:rPr>
        <w:t>éste fue autor de las torturas, “</w:t>
      </w:r>
      <w:r w:rsidRPr="006A3A62">
        <w:rPr>
          <w:rFonts w:ascii="Cambria" w:hAnsi="Cambria" w:cs="Tahoma"/>
          <w:color w:val="000000"/>
          <w:sz w:val="20"/>
          <w:szCs w:val="20"/>
          <w:lang w:val="es-ES" w:eastAsia="es-ES"/>
        </w:rPr>
        <w:t xml:space="preserve">jamás podría dudarse de la 'participación' ya que secuestró y llevó a los secuestrados a un campo clandestino para que los torturen y no para otra cosa </w:t>
      </w:r>
      <w:r w:rsidR="00125723" w:rsidRPr="006A3A62">
        <w:rPr>
          <w:rFonts w:ascii="Cambria" w:hAnsi="Cambria" w:cs="Tahoma"/>
          <w:color w:val="000000"/>
          <w:sz w:val="20"/>
          <w:szCs w:val="20"/>
          <w:lang w:val="es-ES" w:eastAsia="es-ES"/>
        </w:rPr>
        <w:t>[</w:t>
      </w:r>
      <w:r w:rsidRPr="006A3A62">
        <w:rPr>
          <w:rFonts w:ascii="Cambria" w:hAnsi="Cambria" w:cs="Tahoma"/>
          <w:color w:val="000000"/>
          <w:sz w:val="20"/>
          <w:szCs w:val="20"/>
          <w:lang w:val="es-ES" w:eastAsia="es-ES"/>
        </w:rPr>
        <w:t>...</w:t>
      </w:r>
      <w:r w:rsidR="00125723" w:rsidRPr="006A3A62">
        <w:rPr>
          <w:rFonts w:ascii="Cambria" w:hAnsi="Cambria" w:cs="Tahoma"/>
          <w:color w:val="000000"/>
          <w:sz w:val="20"/>
          <w:szCs w:val="20"/>
          <w:lang w:val="es-ES" w:eastAsia="es-ES"/>
        </w:rPr>
        <w:t>]</w:t>
      </w:r>
      <w:r w:rsidRPr="006A3A62">
        <w:rPr>
          <w:rFonts w:ascii="Cambria" w:hAnsi="Cambria" w:cs="Tahoma"/>
          <w:color w:val="000000"/>
          <w:sz w:val="20"/>
          <w:szCs w:val="20"/>
          <w:lang w:val="es-ES" w:eastAsia="es-ES"/>
        </w:rPr>
        <w:t xml:space="preserve"> de cualquier forma correspondía condenarlo</w:t>
      </w:r>
      <w:r w:rsidRPr="001476A2">
        <w:rPr>
          <w:rFonts w:ascii="Cambria" w:hAnsi="Cambria" w:cs="Tahoma"/>
          <w:color w:val="000000"/>
          <w:sz w:val="20"/>
          <w:szCs w:val="20"/>
          <w:lang w:val="es-ES" w:eastAsia="es-ES"/>
        </w:rPr>
        <w:t xml:space="preserve"> por 'complicidad</w:t>
      </w:r>
      <w:r w:rsidR="00125723" w:rsidRPr="001476A2">
        <w:rPr>
          <w:rFonts w:ascii="Cambria" w:hAnsi="Cambria" w:cs="Tahoma"/>
          <w:color w:val="000000"/>
          <w:sz w:val="20"/>
          <w:szCs w:val="20"/>
          <w:lang w:val="es-ES" w:eastAsia="es-ES"/>
        </w:rPr>
        <w:t>’”</w:t>
      </w:r>
      <w:r w:rsidRPr="001476A2">
        <w:rPr>
          <w:rFonts w:ascii="Cambria" w:hAnsi="Cambria" w:cs="Tahoma"/>
          <w:color w:val="000000"/>
          <w:sz w:val="20"/>
          <w:szCs w:val="20"/>
          <w:lang w:val="es-ES" w:eastAsia="es-ES"/>
        </w:rPr>
        <w:t xml:space="preserve">. </w:t>
      </w:r>
      <w:r w:rsidR="00125723" w:rsidRPr="001476A2">
        <w:rPr>
          <w:rFonts w:ascii="Cambria" w:hAnsi="Cambria" w:cs="Tahoma"/>
          <w:color w:val="000000"/>
          <w:sz w:val="20"/>
          <w:szCs w:val="20"/>
          <w:lang w:val="es-ES" w:eastAsia="es-ES"/>
        </w:rPr>
        <w:t xml:space="preserve"> </w:t>
      </w:r>
      <w:r w:rsidRPr="001476A2">
        <w:rPr>
          <w:rFonts w:ascii="Cambria" w:hAnsi="Cambria" w:cs="Tahoma"/>
          <w:color w:val="000000"/>
          <w:sz w:val="20"/>
          <w:szCs w:val="20"/>
          <w:lang w:val="es-ES" w:eastAsia="es-ES"/>
        </w:rPr>
        <w:t xml:space="preserve">Considera que estos hechos caracterizan violaciones a la Convención Interamericana para Prevenir y Sancionar la Tortura en cuanto impone al Estado la obligación de sancionar tanto a los autores como a los cómplices de este tipo de actos con 'sanciones severas'. </w:t>
      </w:r>
      <w:r w:rsidR="009B5995" w:rsidRPr="001476A2">
        <w:rPr>
          <w:rFonts w:ascii="Cambria" w:hAnsi="Cambria" w:cs="Tahoma"/>
          <w:color w:val="000000"/>
          <w:sz w:val="20"/>
          <w:szCs w:val="20"/>
          <w:lang w:val="es-ES" w:eastAsia="es-ES"/>
        </w:rPr>
        <w:t xml:space="preserve"> </w:t>
      </w:r>
      <w:r w:rsidRPr="001476A2">
        <w:rPr>
          <w:rFonts w:ascii="Cambria" w:hAnsi="Cambria" w:cs="Tahoma"/>
          <w:color w:val="000000"/>
          <w:sz w:val="20"/>
          <w:szCs w:val="20"/>
          <w:lang w:val="es-ES" w:eastAsia="es-ES"/>
        </w:rPr>
        <w:t>Finalmente, considera que el delito de tort</w:t>
      </w:r>
      <w:r w:rsidR="009B5995" w:rsidRPr="001476A2">
        <w:rPr>
          <w:rFonts w:ascii="Cambria" w:hAnsi="Cambria" w:cs="Tahoma"/>
          <w:color w:val="000000"/>
          <w:sz w:val="20"/>
          <w:szCs w:val="20"/>
          <w:lang w:val="es-ES" w:eastAsia="es-ES"/>
        </w:rPr>
        <w:t>ura, “</w:t>
      </w:r>
      <w:r w:rsidRPr="001476A2">
        <w:rPr>
          <w:rFonts w:ascii="Cambria" w:hAnsi="Cambria" w:cs="Tahoma"/>
          <w:color w:val="000000"/>
          <w:sz w:val="20"/>
          <w:szCs w:val="20"/>
          <w:lang w:val="es-ES" w:eastAsia="es-ES"/>
        </w:rPr>
        <w:t>sea o no calificable técnicamente co</w:t>
      </w:r>
      <w:r w:rsidR="009B5995" w:rsidRPr="001476A2">
        <w:rPr>
          <w:rFonts w:ascii="Cambria" w:hAnsi="Cambria" w:cs="Tahoma"/>
          <w:color w:val="000000"/>
          <w:sz w:val="20"/>
          <w:szCs w:val="20"/>
          <w:lang w:val="es-ES" w:eastAsia="es-ES"/>
        </w:rPr>
        <w:t>mo 'crimen contra la humanidad' [</w:t>
      </w:r>
      <w:r w:rsidRPr="001476A2">
        <w:rPr>
          <w:rFonts w:ascii="Cambria" w:hAnsi="Cambria" w:cs="Tahoma"/>
          <w:color w:val="000000"/>
          <w:sz w:val="20"/>
          <w:szCs w:val="20"/>
          <w:lang w:val="es-ES" w:eastAsia="es-ES"/>
        </w:rPr>
        <w:t>...</w:t>
      </w:r>
      <w:r w:rsidR="009B5995" w:rsidRPr="001476A2">
        <w:rPr>
          <w:rFonts w:ascii="Cambria" w:hAnsi="Cambria" w:cs="Tahoma"/>
          <w:color w:val="000000"/>
          <w:sz w:val="20"/>
          <w:szCs w:val="20"/>
          <w:lang w:val="es-ES" w:eastAsia="es-ES"/>
        </w:rPr>
        <w:t>]</w:t>
      </w:r>
      <w:r w:rsidRPr="001476A2">
        <w:rPr>
          <w:rFonts w:ascii="Cambria" w:hAnsi="Cambria" w:cs="Tahoma"/>
          <w:color w:val="000000"/>
          <w:sz w:val="20"/>
          <w:szCs w:val="20"/>
          <w:lang w:val="es-ES" w:eastAsia="es-ES"/>
        </w:rPr>
        <w:t xml:space="preserve"> por su especial naturaleza </w:t>
      </w:r>
      <w:r w:rsidR="009B5995" w:rsidRPr="001476A2">
        <w:rPr>
          <w:rFonts w:ascii="Cambria" w:hAnsi="Cambria" w:cs="Tahoma"/>
          <w:color w:val="000000"/>
          <w:sz w:val="20"/>
          <w:szCs w:val="20"/>
          <w:lang w:val="es-ES" w:eastAsia="es-ES"/>
        </w:rPr>
        <w:t>[</w:t>
      </w:r>
      <w:r w:rsidRPr="001476A2">
        <w:rPr>
          <w:rFonts w:ascii="Cambria" w:hAnsi="Cambria" w:cs="Tahoma"/>
          <w:color w:val="000000"/>
          <w:sz w:val="20"/>
          <w:szCs w:val="20"/>
          <w:lang w:val="es-ES" w:eastAsia="es-ES"/>
        </w:rPr>
        <w:t>...</w:t>
      </w:r>
      <w:r w:rsidR="009B5995" w:rsidRPr="001476A2">
        <w:rPr>
          <w:rFonts w:ascii="Cambria" w:hAnsi="Cambria" w:cs="Tahoma"/>
          <w:color w:val="000000"/>
          <w:sz w:val="20"/>
          <w:szCs w:val="20"/>
          <w:lang w:val="es-ES" w:eastAsia="es-ES"/>
        </w:rPr>
        <w:t>]</w:t>
      </w:r>
      <w:r w:rsidRPr="001476A2">
        <w:rPr>
          <w:rFonts w:ascii="Cambria" w:hAnsi="Cambria" w:cs="Tahoma"/>
          <w:color w:val="000000"/>
          <w:sz w:val="20"/>
          <w:szCs w:val="20"/>
          <w:lang w:val="es-ES" w:eastAsia="es-ES"/>
        </w:rPr>
        <w:t xml:space="preserve"> es </w:t>
      </w:r>
      <w:r w:rsidR="009B5995" w:rsidRPr="001476A2">
        <w:rPr>
          <w:rFonts w:ascii="Cambria" w:hAnsi="Cambria" w:cs="Tahoma"/>
          <w:color w:val="000000"/>
          <w:sz w:val="20"/>
          <w:szCs w:val="20"/>
          <w:lang w:val="es-ES" w:eastAsia="es-ES"/>
        </w:rPr>
        <w:t>específicamente imprescriptible”</w:t>
      </w:r>
      <w:r w:rsidRPr="001476A2">
        <w:rPr>
          <w:rFonts w:ascii="Cambria" w:hAnsi="Cambria" w:cs="Tahoma"/>
          <w:color w:val="000000"/>
          <w:sz w:val="20"/>
          <w:szCs w:val="20"/>
          <w:lang w:val="es-ES" w:eastAsia="es-ES"/>
        </w:rPr>
        <w:t>.</w:t>
      </w:r>
    </w:p>
    <w:p w:rsidR="00D8401D" w:rsidRPr="001476A2" w:rsidRDefault="00D8401D" w:rsidP="007B6577">
      <w:pPr>
        <w:jc w:val="both"/>
        <w:rPr>
          <w:rFonts w:ascii="Cambria" w:hAnsi="Cambria" w:cs="Tahoma"/>
          <w:color w:val="000000"/>
          <w:sz w:val="20"/>
          <w:szCs w:val="20"/>
          <w:lang w:val="es-ES" w:eastAsia="es-ES"/>
        </w:rPr>
      </w:pPr>
    </w:p>
    <w:p w:rsidR="002A122C" w:rsidRPr="001476A2" w:rsidRDefault="00B9379E"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s="Tahoma"/>
          <w:color w:val="000000"/>
          <w:sz w:val="20"/>
          <w:szCs w:val="20"/>
          <w:lang w:val="es-ES" w:eastAsia="es-ES"/>
        </w:rPr>
        <w:t>Alegan que en enero de 2006, la presunta víctima acudió ante el Representante de Derechos Humanos en el Ámbito Internacional del Ministerio de Relaciones Exteriores, Comercio Internacional y Culto, solicitando que el Estado abone en efectivo el reclamo por daños y perjuicios, sin tener respuesta favorable alguna.  Alegan que el señor Dadea se encuentra en una grave situación económica por no poder cobrar la indemnización contemplada en la sentencia</w:t>
      </w:r>
      <w:r w:rsidR="001C2FAD" w:rsidRPr="001476A2">
        <w:rPr>
          <w:rFonts w:ascii="Cambria" w:hAnsi="Cambria" w:cs="Tahoma"/>
          <w:color w:val="000000"/>
          <w:sz w:val="20"/>
          <w:szCs w:val="20"/>
          <w:lang w:val="es-ES" w:eastAsia="es-ES"/>
        </w:rPr>
        <w:t xml:space="preserve"> civil</w:t>
      </w:r>
      <w:r w:rsidRPr="001476A2">
        <w:rPr>
          <w:rFonts w:ascii="Cambria" w:hAnsi="Cambria" w:cs="Tahoma"/>
          <w:color w:val="000000"/>
          <w:sz w:val="20"/>
          <w:szCs w:val="20"/>
          <w:lang w:val="es-ES" w:eastAsia="es-ES"/>
        </w:rPr>
        <w:t xml:space="preserve">.  </w:t>
      </w:r>
    </w:p>
    <w:p w:rsidR="002F5E6B" w:rsidRPr="001476A2" w:rsidRDefault="002F5E6B" w:rsidP="007B6577">
      <w:pPr>
        <w:jc w:val="both"/>
        <w:rPr>
          <w:rFonts w:ascii="Cambria" w:hAnsi="Cambria" w:cs="Tahoma"/>
          <w:color w:val="000000"/>
          <w:sz w:val="20"/>
          <w:szCs w:val="20"/>
          <w:lang w:val="es-ES" w:eastAsia="es-ES"/>
        </w:rPr>
      </w:pPr>
    </w:p>
    <w:p w:rsidR="006A09FA" w:rsidRPr="001476A2" w:rsidRDefault="006A09FA" w:rsidP="007B6577">
      <w:pPr>
        <w:numPr>
          <w:ilvl w:val="0"/>
          <w:numId w:val="30"/>
        </w:numPr>
        <w:ind w:left="1440" w:hanging="720"/>
        <w:jc w:val="both"/>
        <w:rPr>
          <w:rFonts w:ascii="Cambria" w:hAnsi="Cambria"/>
          <w:b/>
          <w:color w:val="000000"/>
          <w:sz w:val="20"/>
          <w:szCs w:val="20"/>
          <w:lang w:val="es-ES" w:eastAsia="es-ES"/>
        </w:rPr>
      </w:pPr>
      <w:r w:rsidRPr="001476A2">
        <w:rPr>
          <w:rFonts w:ascii="Cambria" w:hAnsi="Cambria"/>
          <w:b/>
          <w:color w:val="000000"/>
          <w:sz w:val="20"/>
          <w:szCs w:val="20"/>
          <w:lang w:val="es-ES" w:eastAsia="es-ES"/>
        </w:rPr>
        <w:t>Posición del Estado</w:t>
      </w:r>
    </w:p>
    <w:p w:rsidR="006A09FA" w:rsidRPr="001476A2" w:rsidRDefault="006A09FA" w:rsidP="007B6577">
      <w:pPr>
        <w:jc w:val="both"/>
        <w:rPr>
          <w:rFonts w:ascii="Cambria" w:hAnsi="Cambria"/>
          <w:b/>
          <w:color w:val="000000"/>
          <w:sz w:val="20"/>
          <w:szCs w:val="20"/>
          <w:lang w:val="es-ES" w:eastAsia="es-ES"/>
        </w:rPr>
      </w:pPr>
    </w:p>
    <w:p w:rsidR="006A09FA" w:rsidRPr="00C9112A" w:rsidRDefault="00A62B72"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s="Tahoma"/>
          <w:color w:val="000000"/>
          <w:sz w:val="20"/>
          <w:szCs w:val="20"/>
          <w:lang w:val="es-ES" w:eastAsia="es-ES"/>
        </w:rPr>
        <w:t xml:space="preserve">El Estado indica </w:t>
      </w:r>
      <w:r w:rsidR="006A09FA" w:rsidRPr="001476A2">
        <w:rPr>
          <w:rFonts w:ascii="Cambria" w:hAnsi="Cambria" w:cs="Tahoma"/>
          <w:color w:val="000000"/>
          <w:sz w:val="20"/>
          <w:szCs w:val="20"/>
          <w:lang w:val="es-ES" w:eastAsia="es-ES"/>
        </w:rPr>
        <w:t xml:space="preserve">que el peticionario inició un proceso contra el Estado Nacional con el objeto de obtener una reparación pecuniaria por los daños físicos y morales padecidos </w:t>
      </w:r>
      <w:r w:rsidR="002A3E8D" w:rsidRPr="001476A2">
        <w:rPr>
          <w:rFonts w:ascii="Cambria" w:hAnsi="Cambria" w:cs="Tahoma"/>
          <w:color w:val="000000"/>
          <w:sz w:val="20"/>
          <w:szCs w:val="20"/>
          <w:lang w:val="es-ES" w:eastAsia="es-ES"/>
        </w:rPr>
        <w:t xml:space="preserve">por el accionar </w:t>
      </w:r>
      <w:r w:rsidR="00921327" w:rsidRPr="001476A2">
        <w:rPr>
          <w:rFonts w:ascii="Cambria" w:hAnsi="Cambria" w:cs="Tahoma"/>
          <w:color w:val="000000"/>
          <w:sz w:val="20"/>
          <w:szCs w:val="20"/>
          <w:lang w:val="es-ES" w:eastAsia="es-ES"/>
        </w:rPr>
        <w:t>de</w:t>
      </w:r>
      <w:r w:rsidR="006A09FA" w:rsidRPr="001476A2">
        <w:rPr>
          <w:rFonts w:ascii="Cambria" w:hAnsi="Cambria" w:cs="Tahoma"/>
          <w:color w:val="000000"/>
          <w:sz w:val="20"/>
          <w:szCs w:val="20"/>
          <w:lang w:val="es-ES" w:eastAsia="es-ES"/>
        </w:rPr>
        <w:t xml:space="preserve"> </w:t>
      </w:r>
      <w:r w:rsidR="00485140" w:rsidRPr="001476A2">
        <w:rPr>
          <w:rFonts w:ascii="Cambria" w:hAnsi="Cambria" w:cs="Tahoma"/>
          <w:color w:val="000000"/>
          <w:sz w:val="20"/>
          <w:szCs w:val="20"/>
          <w:lang w:val="es-ES" w:eastAsia="es-ES"/>
        </w:rPr>
        <w:t>la Policía Federal Argentina, entre</w:t>
      </w:r>
      <w:r w:rsidR="006A09FA" w:rsidRPr="001476A2">
        <w:rPr>
          <w:rFonts w:ascii="Cambria" w:hAnsi="Cambria" w:cs="Tahoma"/>
          <w:color w:val="000000"/>
          <w:sz w:val="20"/>
          <w:szCs w:val="20"/>
          <w:lang w:val="es-ES" w:eastAsia="es-ES"/>
        </w:rPr>
        <w:t xml:space="preserve"> marzo de 1977 a 1984.</w:t>
      </w:r>
    </w:p>
    <w:p w:rsidR="006A09FA" w:rsidRPr="001476A2" w:rsidRDefault="00485140"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s="Tahoma"/>
          <w:color w:val="000000"/>
          <w:sz w:val="20"/>
          <w:szCs w:val="20"/>
          <w:lang w:val="es-ES" w:eastAsia="es-ES"/>
        </w:rPr>
        <w:lastRenderedPageBreak/>
        <w:t>Señala que e</w:t>
      </w:r>
      <w:r w:rsidR="006A09FA" w:rsidRPr="001476A2">
        <w:rPr>
          <w:rFonts w:ascii="Cambria" w:hAnsi="Cambria" w:cs="Tahoma"/>
          <w:color w:val="000000"/>
          <w:sz w:val="20"/>
          <w:szCs w:val="20"/>
          <w:lang w:val="es-ES" w:eastAsia="es-ES"/>
        </w:rPr>
        <w:t xml:space="preserve">l 10 de julio de 1997 el Juzgado Nacional Civil y Comercial Federal, condenó al Estado </w:t>
      </w:r>
      <w:r w:rsidRPr="001476A2">
        <w:rPr>
          <w:rFonts w:ascii="Cambria" w:hAnsi="Cambria" w:cs="Tahoma"/>
          <w:color w:val="000000"/>
          <w:sz w:val="20"/>
          <w:szCs w:val="20"/>
          <w:lang w:val="es-ES" w:eastAsia="es-ES"/>
        </w:rPr>
        <w:t>Naci</w:t>
      </w:r>
      <w:r w:rsidR="006A09FA" w:rsidRPr="001476A2">
        <w:rPr>
          <w:rFonts w:ascii="Cambria" w:hAnsi="Cambria" w:cs="Tahoma"/>
          <w:color w:val="000000"/>
          <w:sz w:val="20"/>
          <w:szCs w:val="20"/>
          <w:lang w:val="es-ES" w:eastAsia="es-ES"/>
        </w:rPr>
        <w:t>onal al pago de la indemnización solicitada, en tanto que el 19 de febrero de 1998 la Sala I de la Cámara Nacional en lo Civil y Comercial d</w:t>
      </w:r>
      <w:r w:rsidR="002A3E8D" w:rsidRPr="001476A2">
        <w:rPr>
          <w:rFonts w:ascii="Cambria" w:hAnsi="Cambria" w:cs="Tahoma"/>
          <w:color w:val="000000"/>
          <w:sz w:val="20"/>
          <w:szCs w:val="20"/>
          <w:lang w:val="es-ES" w:eastAsia="es-ES"/>
        </w:rPr>
        <w:t>e la Capital Federal confirmó dicha</w:t>
      </w:r>
      <w:r w:rsidR="006A09FA" w:rsidRPr="001476A2">
        <w:rPr>
          <w:rFonts w:ascii="Cambria" w:hAnsi="Cambria" w:cs="Tahoma"/>
          <w:color w:val="000000"/>
          <w:sz w:val="20"/>
          <w:szCs w:val="20"/>
          <w:lang w:val="es-ES" w:eastAsia="es-ES"/>
        </w:rPr>
        <w:t xml:space="preserve"> sente</w:t>
      </w:r>
      <w:r w:rsidRPr="001476A2">
        <w:rPr>
          <w:rFonts w:ascii="Cambria" w:hAnsi="Cambria" w:cs="Tahoma"/>
          <w:color w:val="000000"/>
          <w:sz w:val="20"/>
          <w:szCs w:val="20"/>
          <w:lang w:val="es-ES" w:eastAsia="es-ES"/>
        </w:rPr>
        <w:t xml:space="preserve">ncia y ordenó al Estado a </w:t>
      </w:r>
      <w:r w:rsidR="006A09FA" w:rsidRPr="001476A2">
        <w:rPr>
          <w:rFonts w:ascii="Cambria" w:hAnsi="Cambria" w:cs="Tahoma"/>
          <w:color w:val="000000"/>
          <w:sz w:val="20"/>
          <w:szCs w:val="20"/>
          <w:lang w:val="es-ES" w:eastAsia="es-ES"/>
        </w:rPr>
        <w:t>pagar</w:t>
      </w:r>
      <w:r w:rsidRPr="001476A2">
        <w:rPr>
          <w:rFonts w:ascii="Cambria" w:hAnsi="Cambria" w:cs="Tahoma"/>
          <w:color w:val="000000"/>
          <w:sz w:val="20"/>
          <w:szCs w:val="20"/>
          <w:lang w:val="es-ES" w:eastAsia="es-ES"/>
        </w:rPr>
        <w:t xml:space="preserve"> a la presunta </w:t>
      </w:r>
      <w:r w:rsidRPr="002D25B2">
        <w:rPr>
          <w:rFonts w:ascii="Cambria" w:hAnsi="Cambria" w:cs="Tahoma"/>
          <w:color w:val="000000"/>
          <w:sz w:val="20"/>
          <w:szCs w:val="20"/>
          <w:lang w:val="es-ES" w:eastAsia="es-ES"/>
        </w:rPr>
        <w:t>víctima</w:t>
      </w:r>
      <w:r w:rsidR="006A09FA" w:rsidRPr="002D25B2">
        <w:rPr>
          <w:rFonts w:ascii="Cambria" w:hAnsi="Cambria" w:cs="Tahoma"/>
          <w:color w:val="000000"/>
          <w:sz w:val="20"/>
          <w:szCs w:val="20"/>
          <w:lang w:val="es-ES" w:eastAsia="es-ES"/>
        </w:rPr>
        <w:t xml:space="preserve"> </w:t>
      </w:r>
      <w:r w:rsidR="00C00184" w:rsidRPr="002D25B2">
        <w:rPr>
          <w:rFonts w:ascii="Cambria" w:hAnsi="Cambria" w:cs="Tahoma"/>
          <w:color w:val="000000"/>
          <w:sz w:val="20"/>
          <w:szCs w:val="20"/>
          <w:lang w:val="es-ES" w:eastAsia="es-ES"/>
        </w:rPr>
        <w:t>$</w:t>
      </w:r>
      <w:r w:rsidR="00AF1111" w:rsidRPr="002D25B2">
        <w:rPr>
          <w:rFonts w:ascii="Cambria" w:hAnsi="Cambria" w:cs="Tahoma"/>
          <w:color w:val="000000"/>
          <w:sz w:val="20"/>
          <w:szCs w:val="20"/>
          <w:lang w:val="es-ES" w:eastAsia="es-ES"/>
        </w:rPr>
        <w:t>80.</w:t>
      </w:r>
      <w:r w:rsidR="00AF1111" w:rsidRPr="001476A2">
        <w:rPr>
          <w:rFonts w:ascii="Cambria" w:hAnsi="Cambria" w:cs="Tahoma"/>
          <w:color w:val="000000"/>
          <w:sz w:val="20"/>
          <w:szCs w:val="20"/>
          <w:lang w:val="es-ES" w:eastAsia="es-ES"/>
        </w:rPr>
        <w:t>000</w:t>
      </w:r>
      <w:r w:rsidRPr="001476A2">
        <w:rPr>
          <w:rFonts w:ascii="Cambria" w:hAnsi="Cambria" w:cs="Tahoma"/>
          <w:color w:val="000000"/>
          <w:sz w:val="20"/>
          <w:szCs w:val="20"/>
          <w:lang w:val="es-ES" w:eastAsia="es-ES"/>
        </w:rPr>
        <w:t xml:space="preserve"> P</w:t>
      </w:r>
      <w:r w:rsidR="006A09FA" w:rsidRPr="001476A2">
        <w:rPr>
          <w:rFonts w:ascii="Cambria" w:hAnsi="Cambria" w:cs="Tahoma"/>
          <w:color w:val="000000"/>
          <w:sz w:val="20"/>
          <w:szCs w:val="20"/>
          <w:lang w:val="es-ES" w:eastAsia="es-ES"/>
        </w:rPr>
        <w:t>esos</w:t>
      </w:r>
      <w:r w:rsidR="00AF1111" w:rsidRPr="001476A2">
        <w:rPr>
          <w:rFonts w:ascii="Cambria" w:hAnsi="Cambria" w:cs="Tahoma"/>
          <w:color w:val="000000"/>
          <w:sz w:val="20"/>
          <w:szCs w:val="20"/>
          <w:lang w:val="es-ES" w:eastAsia="es-ES"/>
        </w:rPr>
        <w:t xml:space="preserve"> Argentinos</w:t>
      </w:r>
      <w:r w:rsidR="006A09FA" w:rsidRPr="001476A2">
        <w:rPr>
          <w:rFonts w:ascii="Cambria" w:hAnsi="Cambria" w:cs="Tahoma"/>
          <w:color w:val="000000"/>
          <w:sz w:val="20"/>
          <w:szCs w:val="20"/>
          <w:lang w:val="es-ES" w:eastAsia="es-ES"/>
        </w:rPr>
        <w:t xml:space="preserve">, </w:t>
      </w:r>
      <w:r w:rsidR="00AE69C5" w:rsidRPr="001476A2">
        <w:rPr>
          <w:rFonts w:ascii="Cambria" w:hAnsi="Cambria" w:cs="Tahoma"/>
          <w:color w:val="000000"/>
          <w:sz w:val="20"/>
          <w:szCs w:val="20"/>
          <w:lang w:val="es-ES" w:eastAsia="es-ES"/>
        </w:rPr>
        <w:t>más</w:t>
      </w:r>
      <w:r w:rsidR="006A09FA" w:rsidRPr="001476A2">
        <w:rPr>
          <w:rFonts w:ascii="Cambria" w:hAnsi="Cambria" w:cs="Tahoma"/>
          <w:color w:val="000000"/>
          <w:sz w:val="20"/>
          <w:szCs w:val="20"/>
          <w:lang w:val="es-ES" w:eastAsia="es-ES"/>
        </w:rPr>
        <w:t xml:space="preserve"> los intereses.  </w:t>
      </w:r>
      <w:r w:rsidRPr="001476A2">
        <w:rPr>
          <w:rFonts w:ascii="Cambria" w:hAnsi="Cambria" w:cs="Tahoma"/>
          <w:color w:val="000000"/>
          <w:sz w:val="20"/>
          <w:szCs w:val="20"/>
          <w:lang w:val="es-ES" w:eastAsia="es-ES"/>
        </w:rPr>
        <w:t>Sostiene que, e</w:t>
      </w:r>
      <w:r w:rsidR="006A09FA" w:rsidRPr="001476A2">
        <w:rPr>
          <w:rFonts w:ascii="Cambria" w:hAnsi="Cambria" w:cs="Tahoma"/>
          <w:color w:val="000000"/>
          <w:sz w:val="20"/>
          <w:szCs w:val="20"/>
          <w:lang w:val="es-ES" w:eastAsia="es-ES"/>
        </w:rPr>
        <w:t>n cumplimien</w:t>
      </w:r>
      <w:r w:rsidR="00921327" w:rsidRPr="001476A2">
        <w:rPr>
          <w:rFonts w:ascii="Cambria" w:hAnsi="Cambria" w:cs="Tahoma"/>
          <w:color w:val="000000"/>
          <w:sz w:val="20"/>
          <w:szCs w:val="20"/>
          <w:lang w:val="es-ES" w:eastAsia="es-ES"/>
        </w:rPr>
        <w:t>to de dicha condena</w:t>
      </w:r>
      <w:r w:rsidR="006A09FA" w:rsidRPr="001476A2">
        <w:rPr>
          <w:rFonts w:ascii="Cambria" w:hAnsi="Cambria" w:cs="Tahoma"/>
          <w:color w:val="000000"/>
          <w:sz w:val="20"/>
          <w:szCs w:val="20"/>
          <w:lang w:val="es-ES" w:eastAsia="es-ES"/>
        </w:rPr>
        <w:t>, el Estado Nacional</w:t>
      </w:r>
      <w:r w:rsidR="00921327" w:rsidRPr="001476A2">
        <w:rPr>
          <w:rFonts w:ascii="Cambria" w:hAnsi="Cambria" w:cs="Tahoma"/>
          <w:color w:val="000000"/>
          <w:sz w:val="20"/>
          <w:szCs w:val="20"/>
          <w:lang w:val="es-ES" w:eastAsia="es-ES"/>
        </w:rPr>
        <w:t xml:space="preserve"> depositó,</w:t>
      </w:r>
      <w:r w:rsidR="006A09FA" w:rsidRPr="001476A2">
        <w:rPr>
          <w:rFonts w:ascii="Cambria" w:hAnsi="Cambria" w:cs="Tahoma"/>
          <w:color w:val="000000"/>
          <w:sz w:val="20"/>
          <w:szCs w:val="20"/>
          <w:lang w:val="es-ES" w:eastAsia="es-ES"/>
        </w:rPr>
        <w:t xml:space="preserve"> a nombre de la presunta víctima</w:t>
      </w:r>
      <w:r w:rsidR="00921327" w:rsidRPr="001476A2">
        <w:rPr>
          <w:rFonts w:ascii="Cambria" w:hAnsi="Cambria" w:cs="Tahoma"/>
          <w:color w:val="000000"/>
          <w:sz w:val="20"/>
          <w:szCs w:val="20"/>
          <w:lang w:val="es-ES" w:eastAsia="es-ES"/>
        </w:rPr>
        <w:t>,</w:t>
      </w:r>
      <w:r w:rsidR="006A09FA" w:rsidRPr="001476A2">
        <w:rPr>
          <w:rFonts w:ascii="Cambria" w:hAnsi="Cambria" w:cs="Tahoma"/>
          <w:color w:val="000000"/>
          <w:sz w:val="20"/>
          <w:szCs w:val="20"/>
          <w:lang w:val="es-ES" w:eastAsia="es-ES"/>
        </w:rPr>
        <w:t xml:space="preserve"> la cantidad de </w:t>
      </w:r>
      <w:r w:rsidR="00AF1111" w:rsidRPr="00840698">
        <w:rPr>
          <w:rFonts w:ascii="Cambria" w:hAnsi="Cambria" w:cs="Tahoma"/>
          <w:color w:val="000000"/>
          <w:sz w:val="20"/>
          <w:szCs w:val="20"/>
          <w:lang w:val="es-ES" w:eastAsia="es-ES"/>
        </w:rPr>
        <w:t>US$</w:t>
      </w:r>
      <w:r w:rsidR="006A09FA" w:rsidRPr="001476A2">
        <w:rPr>
          <w:rFonts w:ascii="Cambria" w:hAnsi="Cambria" w:cs="Tahoma"/>
          <w:color w:val="000000"/>
          <w:sz w:val="20"/>
          <w:szCs w:val="20"/>
          <w:lang w:val="es-ES" w:eastAsia="es-ES"/>
        </w:rPr>
        <w:t xml:space="preserve">247.600 </w:t>
      </w:r>
      <w:r w:rsidR="007D427D">
        <w:rPr>
          <w:rFonts w:ascii="Cambria" w:hAnsi="Cambria" w:cs="Tahoma"/>
          <w:color w:val="000000"/>
          <w:sz w:val="20"/>
          <w:szCs w:val="20"/>
          <w:lang w:val="es-ES" w:eastAsia="es-ES"/>
        </w:rPr>
        <w:t xml:space="preserve">dólares estadounidenses </w:t>
      </w:r>
      <w:r w:rsidR="006A09FA" w:rsidRPr="001476A2">
        <w:rPr>
          <w:rFonts w:ascii="Cambria" w:hAnsi="Cambria" w:cs="Tahoma"/>
          <w:color w:val="000000"/>
          <w:sz w:val="20"/>
          <w:szCs w:val="20"/>
          <w:lang w:val="es-ES" w:eastAsia="es-ES"/>
        </w:rPr>
        <w:t>en bonos Pro 2.</w:t>
      </w:r>
    </w:p>
    <w:p w:rsidR="006A09FA" w:rsidRPr="001476A2" w:rsidRDefault="006A09FA" w:rsidP="007B6577">
      <w:pPr>
        <w:jc w:val="both"/>
        <w:rPr>
          <w:rFonts w:ascii="Cambria" w:hAnsi="Cambria" w:cs="Tahoma"/>
          <w:color w:val="000000"/>
          <w:sz w:val="20"/>
          <w:szCs w:val="20"/>
          <w:lang w:val="es-ES" w:eastAsia="es-ES"/>
        </w:rPr>
      </w:pPr>
    </w:p>
    <w:p w:rsidR="006A09FA" w:rsidRPr="001476A2" w:rsidRDefault="00702847"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s="Tahoma"/>
          <w:color w:val="000000"/>
          <w:sz w:val="20"/>
          <w:szCs w:val="20"/>
          <w:lang w:val="es-ES" w:eastAsia="es-ES"/>
        </w:rPr>
        <w:t>Sostiene</w:t>
      </w:r>
      <w:r w:rsidR="00921327" w:rsidRPr="001476A2">
        <w:rPr>
          <w:rFonts w:ascii="Cambria" w:hAnsi="Cambria" w:cs="Tahoma"/>
          <w:color w:val="000000"/>
          <w:sz w:val="20"/>
          <w:szCs w:val="20"/>
          <w:lang w:val="es-ES" w:eastAsia="es-ES"/>
        </w:rPr>
        <w:t xml:space="preserve"> que la presunta víctima canjeó,</w:t>
      </w:r>
      <w:r w:rsidR="006A09FA" w:rsidRPr="001476A2">
        <w:rPr>
          <w:rFonts w:ascii="Cambria" w:hAnsi="Cambria" w:cs="Tahoma"/>
          <w:color w:val="000000"/>
          <w:sz w:val="20"/>
          <w:szCs w:val="20"/>
          <w:lang w:val="es-ES" w:eastAsia="es-ES"/>
        </w:rPr>
        <w:t xml:space="preserve"> a través de la Banca Nazionale d</w:t>
      </w:r>
      <w:r w:rsidR="0033606E">
        <w:rPr>
          <w:rFonts w:ascii="Cambria" w:hAnsi="Cambria" w:cs="Tahoma"/>
          <w:color w:val="000000"/>
          <w:sz w:val="20"/>
          <w:szCs w:val="20"/>
          <w:lang w:val="es-ES" w:eastAsia="es-ES"/>
        </w:rPr>
        <w:t>i</w:t>
      </w:r>
      <w:r w:rsidR="006A09FA" w:rsidRPr="001476A2">
        <w:rPr>
          <w:rFonts w:ascii="Cambria" w:hAnsi="Cambria" w:cs="Tahoma"/>
          <w:color w:val="000000"/>
          <w:sz w:val="20"/>
          <w:szCs w:val="20"/>
          <w:lang w:val="es-ES" w:eastAsia="es-ES"/>
        </w:rPr>
        <w:t xml:space="preserve"> Lavoro, los mencionados bonos por otra especie (BONTES 2006).</w:t>
      </w:r>
      <w:r w:rsidR="00B97EF2" w:rsidRPr="001476A2">
        <w:rPr>
          <w:rFonts w:ascii="Cambria" w:hAnsi="Cambria" w:cs="Tahoma"/>
          <w:color w:val="000000"/>
          <w:sz w:val="20"/>
          <w:szCs w:val="20"/>
          <w:lang w:val="es-ES" w:eastAsia="es-ES"/>
        </w:rPr>
        <w:t xml:space="preserve">  </w:t>
      </w:r>
      <w:r w:rsidR="00921327" w:rsidRPr="001476A2">
        <w:rPr>
          <w:rFonts w:ascii="Cambria" w:hAnsi="Cambria" w:cs="Tahoma"/>
          <w:color w:val="000000"/>
          <w:sz w:val="20"/>
          <w:szCs w:val="20"/>
          <w:lang w:val="es-ES" w:eastAsia="es-ES"/>
        </w:rPr>
        <w:t xml:space="preserve">En consecuencia al señor Dadea </w:t>
      </w:r>
      <w:r w:rsidR="006A09FA" w:rsidRPr="001476A2">
        <w:rPr>
          <w:rFonts w:ascii="Cambria" w:hAnsi="Cambria" w:cs="Tahoma"/>
          <w:color w:val="000000"/>
          <w:sz w:val="20"/>
          <w:szCs w:val="20"/>
          <w:lang w:val="es-ES" w:eastAsia="es-ES"/>
        </w:rPr>
        <w:t>le depositaron en su cuenta 181.</w:t>
      </w:r>
      <w:r w:rsidR="00AF1111" w:rsidRPr="001476A2">
        <w:rPr>
          <w:rFonts w:ascii="Cambria" w:hAnsi="Cambria" w:cs="Tahoma"/>
          <w:color w:val="000000"/>
          <w:sz w:val="20"/>
          <w:szCs w:val="20"/>
          <w:lang w:val="es-ES" w:eastAsia="es-ES"/>
        </w:rPr>
        <w:t>500 BONTES 2006</w:t>
      </w:r>
      <w:r w:rsidR="002D3FC9" w:rsidRPr="001476A2">
        <w:rPr>
          <w:rFonts w:ascii="Cambria" w:hAnsi="Cambria" w:cs="Tahoma"/>
          <w:color w:val="000000"/>
          <w:sz w:val="20"/>
          <w:szCs w:val="20"/>
          <w:lang w:val="es-ES" w:eastAsia="es-ES"/>
        </w:rPr>
        <w:t>, expresados en Dólares Estadounidenses.</w:t>
      </w:r>
    </w:p>
    <w:p w:rsidR="006A09FA" w:rsidRPr="001476A2" w:rsidRDefault="006A09FA" w:rsidP="007B6577">
      <w:pPr>
        <w:jc w:val="both"/>
        <w:rPr>
          <w:rFonts w:ascii="Cambria" w:hAnsi="Cambria" w:cs="Tahoma"/>
          <w:color w:val="000000"/>
          <w:sz w:val="20"/>
          <w:szCs w:val="20"/>
          <w:lang w:val="es-ES" w:eastAsia="es-ES"/>
        </w:rPr>
      </w:pPr>
    </w:p>
    <w:p w:rsidR="004E3A19" w:rsidRPr="001476A2" w:rsidRDefault="006A09FA"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s="Tahoma"/>
          <w:color w:val="000000"/>
          <w:sz w:val="20"/>
          <w:szCs w:val="20"/>
          <w:lang w:val="es-ES" w:eastAsia="es-ES"/>
        </w:rPr>
        <w:t xml:space="preserve">Alega </w:t>
      </w:r>
      <w:r w:rsidR="00921327" w:rsidRPr="001476A2">
        <w:rPr>
          <w:rFonts w:ascii="Cambria" w:hAnsi="Cambria" w:cs="Tahoma"/>
          <w:color w:val="000000"/>
          <w:sz w:val="20"/>
          <w:szCs w:val="20"/>
          <w:lang w:val="es-ES" w:eastAsia="es-ES"/>
        </w:rPr>
        <w:t xml:space="preserve">que ante </w:t>
      </w:r>
      <w:r w:rsidRPr="001476A2">
        <w:rPr>
          <w:rFonts w:ascii="Cambria" w:hAnsi="Cambria" w:cs="Tahoma"/>
          <w:color w:val="000000"/>
          <w:sz w:val="20"/>
          <w:szCs w:val="20"/>
          <w:lang w:val="es-ES" w:eastAsia="es-ES"/>
        </w:rPr>
        <w:t>la situación de emergencia social económica, cambiaria y financiera declarada por la Ley No. 25.561</w:t>
      </w:r>
      <w:r w:rsidR="00921327" w:rsidRPr="001476A2">
        <w:rPr>
          <w:rFonts w:ascii="Cambria" w:hAnsi="Cambria" w:cs="Tahoma"/>
          <w:color w:val="000000"/>
          <w:sz w:val="20"/>
          <w:szCs w:val="20"/>
          <w:lang w:val="es-ES" w:eastAsia="es-ES"/>
        </w:rPr>
        <w:t>,</w:t>
      </w:r>
      <w:r w:rsidRPr="001476A2">
        <w:rPr>
          <w:rFonts w:ascii="Cambria" w:hAnsi="Cambria" w:cs="Tahoma"/>
          <w:color w:val="000000"/>
          <w:sz w:val="20"/>
          <w:szCs w:val="20"/>
          <w:lang w:val="es-ES" w:eastAsia="es-ES"/>
        </w:rPr>
        <w:t xml:space="preserve"> que a su vez produjo la “pesificación” y el “defau</w:t>
      </w:r>
      <w:r w:rsidR="002D3FC9" w:rsidRPr="001476A2">
        <w:rPr>
          <w:rFonts w:ascii="Cambria" w:hAnsi="Cambria" w:cs="Tahoma"/>
          <w:color w:val="000000"/>
          <w:sz w:val="20"/>
          <w:szCs w:val="20"/>
          <w:lang w:val="es-ES" w:eastAsia="es-ES"/>
        </w:rPr>
        <w:t>l</w:t>
      </w:r>
      <w:r w:rsidRPr="001476A2">
        <w:rPr>
          <w:rFonts w:ascii="Cambria" w:hAnsi="Cambria" w:cs="Tahoma"/>
          <w:color w:val="000000"/>
          <w:sz w:val="20"/>
          <w:szCs w:val="20"/>
          <w:lang w:val="es-ES" w:eastAsia="es-ES"/>
        </w:rPr>
        <w:t>t” de los títulos públicos, el peticionario promovió una acción de amparo contra el Estado Nacional, a los fines de que se respeten las condiciones originalmente pactadas en la emisión de los bonos que poseía</w:t>
      </w:r>
      <w:r w:rsidR="00F42230" w:rsidRPr="001476A2">
        <w:rPr>
          <w:rFonts w:ascii="Cambria" w:hAnsi="Cambria" w:cs="Tahoma"/>
          <w:color w:val="000000"/>
          <w:sz w:val="20"/>
          <w:szCs w:val="20"/>
          <w:lang w:val="es-ES" w:eastAsia="es-ES"/>
        </w:rPr>
        <w:t>, considerando la Ley No. 23.982 que estableció el pago de los títulos p</w:t>
      </w:r>
      <w:r w:rsidR="00A53248" w:rsidRPr="001476A2">
        <w:rPr>
          <w:rFonts w:ascii="Cambria" w:hAnsi="Cambria" w:cs="Tahoma"/>
          <w:color w:val="000000"/>
          <w:sz w:val="20"/>
          <w:szCs w:val="20"/>
          <w:lang w:val="es-ES" w:eastAsia="es-ES"/>
        </w:rPr>
        <w:t xml:space="preserve">úblicos </w:t>
      </w:r>
      <w:r w:rsidR="00F42230" w:rsidRPr="001476A2">
        <w:rPr>
          <w:rFonts w:ascii="Cambria" w:hAnsi="Cambria" w:cs="Tahoma"/>
          <w:color w:val="000000"/>
          <w:sz w:val="20"/>
          <w:szCs w:val="20"/>
          <w:lang w:val="es-ES" w:eastAsia="es-ES"/>
        </w:rPr>
        <w:t>durante situación de emergencia</w:t>
      </w:r>
      <w:r w:rsidRPr="001476A2">
        <w:rPr>
          <w:rFonts w:ascii="Cambria" w:hAnsi="Cambria" w:cs="Tahoma"/>
          <w:color w:val="000000"/>
          <w:sz w:val="20"/>
          <w:szCs w:val="20"/>
          <w:lang w:val="es-ES" w:eastAsia="es-ES"/>
        </w:rPr>
        <w:t xml:space="preserve">. </w:t>
      </w:r>
      <w:r w:rsidR="00B43F45" w:rsidRPr="001476A2">
        <w:rPr>
          <w:rFonts w:ascii="Cambria" w:hAnsi="Cambria" w:cs="Tahoma"/>
          <w:color w:val="000000"/>
          <w:sz w:val="20"/>
          <w:szCs w:val="20"/>
          <w:lang w:val="es-ES" w:eastAsia="es-ES"/>
        </w:rPr>
        <w:t xml:space="preserve"> </w:t>
      </w:r>
      <w:r w:rsidR="00921327" w:rsidRPr="001476A2">
        <w:rPr>
          <w:rFonts w:ascii="Cambria" w:hAnsi="Cambria" w:cs="Tahoma"/>
          <w:color w:val="000000"/>
          <w:sz w:val="20"/>
          <w:szCs w:val="20"/>
          <w:lang w:val="es-ES" w:eastAsia="es-ES"/>
        </w:rPr>
        <w:t xml:space="preserve">Indica que dicha pretensión fue </w:t>
      </w:r>
      <w:r w:rsidRPr="001476A2">
        <w:rPr>
          <w:rFonts w:ascii="Cambria" w:hAnsi="Cambria" w:cs="Tahoma"/>
          <w:color w:val="000000"/>
          <w:sz w:val="20"/>
          <w:szCs w:val="20"/>
          <w:lang w:val="es-ES" w:eastAsia="es-ES"/>
        </w:rPr>
        <w:t xml:space="preserve">acogida </w:t>
      </w:r>
      <w:r w:rsidR="00097EBD" w:rsidRPr="001476A2">
        <w:rPr>
          <w:rFonts w:ascii="Cambria" w:hAnsi="Cambria" w:cs="Tahoma"/>
          <w:color w:val="000000"/>
          <w:sz w:val="20"/>
          <w:szCs w:val="20"/>
          <w:lang w:val="es-ES" w:eastAsia="es-ES"/>
        </w:rPr>
        <w:t>en primera instancia</w:t>
      </w:r>
      <w:r w:rsidR="00E63AC5" w:rsidRPr="001476A2">
        <w:rPr>
          <w:rFonts w:ascii="Cambria" w:hAnsi="Cambria" w:cs="Tahoma"/>
          <w:color w:val="000000"/>
          <w:sz w:val="20"/>
          <w:szCs w:val="20"/>
          <w:lang w:val="es-ES" w:eastAsia="es-ES"/>
        </w:rPr>
        <w:t xml:space="preserve"> y se decretó la inconstitucionalidad del Decreto 471-02 y de otros.  </w:t>
      </w:r>
    </w:p>
    <w:p w:rsidR="004E3A19" w:rsidRPr="001476A2" w:rsidRDefault="004E3A19" w:rsidP="00C9112A">
      <w:pPr>
        <w:jc w:val="both"/>
        <w:rPr>
          <w:rFonts w:ascii="Cambria" w:hAnsi="Cambria" w:cs="Tahoma"/>
          <w:color w:val="000000"/>
          <w:sz w:val="20"/>
          <w:szCs w:val="20"/>
          <w:lang w:val="es-ES" w:eastAsia="es-ES"/>
        </w:rPr>
      </w:pPr>
    </w:p>
    <w:p w:rsidR="00B36BD3" w:rsidRPr="001476A2" w:rsidRDefault="00E63AC5"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s="Tahoma"/>
          <w:color w:val="000000"/>
          <w:sz w:val="20"/>
          <w:szCs w:val="20"/>
          <w:lang w:val="es-ES" w:eastAsia="es-ES"/>
        </w:rPr>
        <w:t>El Estado señala que apeló dicha sentencia, por lo cual la Cámara Federal la revocó parcialmente</w:t>
      </w:r>
      <w:r w:rsidR="00735F66" w:rsidRPr="001476A2">
        <w:rPr>
          <w:rFonts w:ascii="Cambria" w:hAnsi="Cambria" w:cs="Tahoma"/>
          <w:color w:val="000000"/>
          <w:sz w:val="20"/>
          <w:szCs w:val="20"/>
          <w:lang w:val="es-ES" w:eastAsia="es-ES"/>
        </w:rPr>
        <w:t xml:space="preserve"> en octubre de 2004</w:t>
      </w:r>
      <w:r w:rsidR="004E3A19" w:rsidRPr="001476A2">
        <w:rPr>
          <w:rFonts w:ascii="Cambria" w:hAnsi="Cambria" w:cs="Tahoma"/>
          <w:color w:val="000000"/>
          <w:sz w:val="20"/>
          <w:szCs w:val="20"/>
          <w:lang w:val="es-ES" w:eastAsia="es-ES"/>
        </w:rPr>
        <w:t xml:space="preserve"> y sin perjuicio de esto</w:t>
      </w:r>
      <w:r w:rsidR="006A6646" w:rsidRPr="001476A2">
        <w:rPr>
          <w:rFonts w:ascii="Cambria" w:hAnsi="Cambria" w:cs="Tahoma"/>
          <w:color w:val="000000"/>
          <w:sz w:val="20"/>
          <w:szCs w:val="20"/>
          <w:lang w:val="es-ES" w:eastAsia="es-ES"/>
        </w:rPr>
        <w:t>,</w:t>
      </w:r>
      <w:r w:rsidR="004E3A19" w:rsidRPr="001476A2">
        <w:rPr>
          <w:rFonts w:ascii="Cambria" w:hAnsi="Cambria" w:cs="Tahoma"/>
          <w:color w:val="000000"/>
          <w:sz w:val="20"/>
          <w:szCs w:val="20"/>
          <w:lang w:val="es-ES" w:eastAsia="es-ES"/>
        </w:rPr>
        <w:t xml:space="preserve"> establece que resulta aplicable la excepción al diferimiento del pago en raz</w:t>
      </w:r>
      <w:r w:rsidR="006A6646" w:rsidRPr="001476A2">
        <w:rPr>
          <w:rFonts w:ascii="Cambria" w:hAnsi="Cambria" w:cs="Tahoma"/>
          <w:color w:val="000000"/>
          <w:sz w:val="20"/>
          <w:szCs w:val="20"/>
          <w:lang w:val="es-ES" w:eastAsia="es-ES"/>
        </w:rPr>
        <w:t>ón del estado de salud</w:t>
      </w:r>
      <w:r w:rsidR="004E3A19" w:rsidRPr="001476A2">
        <w:rPr>
          <w:rFonts w:ascii="Cambria" w:hAnsi="Cambria" w:cs="Tahoma"/>
          <w:color w:val="000000"/>
          <w:sz w:val="20"/>
          <w:szCs w:val="20"/>
          <w:lang w:val="es-ES" w:eastAsia="es-ES"/>
        </w:rPr>
        <w:t xml:space="preserve"> del amparista</w:t>
      </w:r>
      <w:r w:rsidR="006A6646" w:rsidRPr="001476A2">
        <w:rPr>
          <w:rFonts w:ascii="Cambria" w:hAnsi="Cambria" w:cs="Tahoma"/>
          <w:color w:val="000000"/>
          <w:sz w:val="20"/>
          <w:szCs w:val="20"/>
          <w:lang w:val="es-ES" w:eastAsia="es-ES"/>
        </w:rPr>
        <w:t>;</w:t>
      </w:r>
      <w:r w:rsidR="004E3A19" w:rsidRPr="001476A2">
        <w:rPr>
          <w:rFonts w:ascii="Cambria" w:hAnsi="Cambria" w:cs="Tahoma"/>
          <w:color w:val="000000"/>
          <w:sz w:val="20"/>
          <w:szCs w:val="20"/>
          <w:lang w:val="es-ES" w:eastAsia="es-ES"/>
        </w:rPr>
        <w:t xml:space="preserve"> y que le permiten percibir los servicios de la deuda pú</w:t>
      </w:r>
      <w:r w:rsidR="006A6646" w:rsidRPr="001476A2">
        <w:rPr>
          <w:rFonts w:ascii="Cambria" w:hAnsi="Cambria" w:cs="Tahoma"/>
          <w:color w:val="000000"/>
          <w:sz w:val="20"/>
          <w:szCs w:val="20"/>
          <w:lang w:val="es-ES" w:eastAsia="es-ES"/>
        </w:rPr>
        <w:t>blica conforme el decreto 47/</w:t>
      </w:r>
      <w:r w:rsidR="004E3A19" w:rsidRPr="001476A2">
        <w:rPr>
          <w:rFonts w:ascii="Cambria" w:hAnsi="Cambria" w:cs="Tahoma"/>
          <w:color w:val="000000"/>
          <w:sz w:val="20"/>
          <w:szCs w:val="20"/>
          <w:lang w:val="es-ES" w:eastAsia="es-ES"/>
        </w:rPr>
        <w:t xml:space="preserve">02. </w:t>
      </w:r>
      <w:r w:rsidRPr="001476A2">
        <w:rPr>
          <w:rFonts w:ascii="Cambria" w:hAnsi="Cambria" w:cs="Tahoma"/>
          <w:color w:val="000000"/>
          <w:sz w:val="20"/>
          <w:szCs w:val="20"/>
          <w:lang w:val="es-ES" w:eastAsia="es-ES"/>
        </w:rPr>
        <w:t xml:space="preserve"> </w:t>
      </w:r>
      <w:r w:rsidR="004E3A19" w:rsidRPr="001476A2">
        <w:rPr>
          <w:rFonts w:ascii="Cambria" w:hAnsi="Cambria" w:cs="Tahoma"/>
          <w:color w:val="000000"/>
          <w:sz w:val="20"/>
          <w:szCs w:val="20"/>
          <w:lang w:val="es-ES" w:eastAsia="es-ES"/>
        </w:rPr>
        <w:t xml:space="preserve">Indica que </w:t>
      </w:r>
      <w:r w:rsidRPr="001476A2">
        <w:rPr>
          <w:rFonts w:ascii="Cambria" w:hAnsi="Cambria" w:cs="Tahoma"/>
          <w:color w:val="000000"/>
          <w:sz w:val="20"/>
          <w:szCs w:val="20"/>
          <w:lang w:val="es-ES" w:eastAsia="es-ES"/>
        </w:rPr>
        <w:t>la presunta vícti</w:t>
      </w:r>
      <w:r w:rsidR="00735F66" w:rsidRPr="001476A2">
        <w:rPr>
          <w:rFonts w:ascii="Cambria" w:hAnsi="Cambria" w:cs="Tahoma"/>
          <w:color w:val="000000"/>
          <w:sz w:val="20"/>
          <w:szCs w:val="20"/>
          <w:lang w:val="es-ES" w:eastAsia="es-ES"/>
        </w:rPr>
        <w:t xml:space="preserve">ma opuso recurso extraordinario, </w:t>
      </w:r>
      <w:r w:rsidR="00A60B48" w:rsidRPr="001476A2">
        <w:rPr>
          <w:rFonts w:ascii="Cambria" w:hAnsi="Cambria" w:cs="Tahoma"/>
          <w:color w:val="000000"/>
          <w:sz w:val="20"/>
          <w:szCs w:val="20"/>
          <w:lang w:val="es-ES" w:eastAsia="es-ES"/>
        </w:rPr>
        <w:t xml:space="preserve">el que fue desistido </w:t>
      </w:r>
      <w:r w:rsidR="00735F66" w:rsidRPr="001476A2">
        <w:rPr>
          <w:rFonts w:ascii="Cambria" w:hAnsi="Cambria" w:cs="Tahoma"/>
          <w:color w:val="000000"/>
          <w:sz w:val="20"/>
          <w:szCs w:val="20"/>
          <w:lang w:val="es-ES" w:eastAsia="es-ES"/>
        </w:rPr>
        <w:t xml:space="preserve">por la presunta víctima, al invocar su grave estado de salud, </w:t>
      </w:r>
      <w:r w:rsidR="00A60B48" w:rsidRPr="001476A2">
        <w:rPr>
          <w:rFonts w:ascii="Cambria" w:hAnsi="Cambria" w:cs="Tahoma"/>
          <w:color w:val="000000"/>
          <w:sz w:val="20"/>
          <w:szCs w:val="20"/>
          <w:lang w:val="es-ES" w:eastAsia="es-ES"/>
        </w:rPr>
        <w:t>en febrero de 2006.</w:t>
      </w:r>
    </w:p>
    <w:p w:rsidR="004E3A19" w:rsidRPr="001476A2" w:rsidRDefault="004E3A19" w:rsidP="007B6577">
      <w:pPr>
        <w:jc w:val="both"/>
        <w:rPr>
          <w:rFonts w:ascii="Cambria" w:hAnsi="Cambria" w:cs="Tahoma"/>
          <w:color w:val="000000"/>
          <w:sz w:val="20"/>
          <w:szCs w:val="20"/>
          <w:lang w:val="es-ES" w:eastAsia="es-ES"/>
        </w:rPr>
      </w:pPr>
    </w:p>
    <w:p w:rsidR="007A41A2" w:rsidRPr="001476A2" w:rsidRDefault="00B36BD3"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s="Tahoma"/>
          <w:color w:val="000000"/>
          <w:sz w:val="20"/>
          <w:szCs w:val="20"/>
          <w:lang w:val="es-ES" w:eastAsia="es-ES"/>
        </w:rPr>
        <w:t>Alega que la presunta víctima consintió la aplicación del régimen de la Ley No. 23.982</w:t>
      </w:r>
      <w:r w:rsidR="002044E3" w:rsidRPr="001476A2">
        <w:rPr>
          <w:rFonts w:ascii="Cambria" w:hAnsi="Cambria" w:cs="Tahoma"/>
          <w:color w:val="000000"/>
          <w:sz w:val="20"/>
          <w:szCs w:val="20"/>
          <w:lang w:val="es-ES" w:eastAsia="es-ES"/>
        </w:rPr>
        <w:t xml:space="preserve">, </w:t>
      </w:r>
      <w:r w:rsidRPr="001476A2">
        <w:rPr>
          <w:rFonts w:ascii="Cambria" w:hAnsi="Cambria" w:cs="Tahoma"/>
          <w:color w:val="000000"/>
          <w:sz w:val="20"/>
          <w:szCs w:val="20"/>
          <w:lang w:val="es-ES" w:eastAsia="es-ES"/>
        </w:rPr>
        <w:t>al iniciar los trámites a fin de obtener los títulos públicos, al aceptar el depósito del monto de la sentencia dic</w:t>
      </w:r>
      <w:r w:rsidR="002A3E8D" w:rsidRPr="001476A2">
        <w:rPr>
          <w:rFonts w:ascii="Cambria" w:hAnsi="Cambria" w:cs="Tahoma"/>
          <w:color w:val="000000"/>
          <w:sz w:val="20"/>
          <w:szCs w:val="20"/>
          <w:lang w:val="es-ES" w:eastAsia="es-ES"/>
        </w:rPr>
        <w:t>t</w:t>
      </w:r>
      <w:r w:rsidRPr="001476A2">
        <w:rPr>
          <w:rFonts w:ascii="Cambria" w:hAnsi="Cambria" w:cs="Tahoma"/>
          <w:color w:val="000000"/>
          <w:sz w:val="20"/>
          <w:szCs w:val="20"/>
          <w:lang w:val="es-ES" w:eastAsia="es-ES"/>
        </w:rPr>
        <w:t>ada en títulos públicos y a realizar los sucesivos cambios de los títulos.</w:t>
      </w:r>
      <w:r w:rsidR="00EB35E0" w:rsidRPr="001476A2">
        <w:rPr>
          <w:rFonts w:ascii="Cambria" w:hAnsi="Cambria" w:cs="Tahoma"/>
          <w:color w:val="000000"/>
          <w:sz w:val="20"/>
          <w:szCs w:val="20"/>
          <w:lang w:val="es-ES" w:eastAsia="es-ES"/>
        </w:rPr>
        <w:t xml:space="preserve">  Alega que dado que dicho medio de cancelación fue consentido, ya no es revisable.</w:t>
      </w:r>
      <w:r w:rsidR="007A41A2" w:rsidRPr="001476A2">
        <w:rPr>
          <w:rFonts w:ascii="Cambria" w:hAnsi="Cambria" w:cs="Tahoma"/>
          <w:color w:val="000000"/>
          <w:sz w:val="20"/>
          <w:szCs w:val="20"/>
          <w:lang w:val="es-ES" w:eastAsia="es-ES"/>
        </w:rPr>
        <w:t xml:space="preserve">  </w:t>
      </w:r>
    </w:p>
    <w:p w:rsidR="004D1B7D" w:rsidRPr="001476A2" w:rsidRDefault="004D1B7D" w:rsidP="007B6577">
      <w:pPr>
        <w:jc w:val="both"/>
        <w:rPr>
          <w:rFonts w:ascii="Cambria" w:hAnsi="Cambria" w:cs="Tahoma"/>
          <w:color w:val="000000"/>
          <w:sz w:val="20"/>
          <w:szCs w:val="20"/>
          <w:lang w:val="es-ES" w:eastAsia="es-ES"/>
        </w:rPr>
      </w:pPr>
    </w:p>
    <w:p w:rsidR="007A41A2" w:rsidRPr="001476A2" w:rsidRDefault="007A41A2" w:rsidP="007B6577">
      <w:pPr>
        <w:numPr>
          <w:ilvl w:val="0"/>
          <w:numId w:val="31"/>
        </w:numPr>
        <w:ind w:left="0"/>
        <w:jc w:val="both"/>
        <w:rPr>
          <w:rFonts w:ascii="Cambria" w:hAnsi="Cambria" w:cs="Tahoma"/>
          <w:color w:val="000000"/>
          <w:sz w:val="20"/>
          <w:szCs w:val="20"/>
          <w:lang w:val="es-ES" w:eastAsia="es-ES"/>
        </w:rPr>
      </w:pPr>
      <w:r w:rsidRPr="001476A2">
        <w:rPr>
          <w:rFonts w:ascii="Cambria" w:hAnsi="Cambria" w:cs="Tahoma"/>
          <w:color w:val="000000"/>
          <w:sz w:val="20"/>
          <w:szCs w:val="20"/>
          <w:lang w:val="es-ES" w:eastAsia="es-ES"/>
        </w:rPr>
        <w:t xml:space="preserve">Alega que la presunta víctima tuvo a su alcance algunos medios para evitar o morigerar el perjuicio que se alega, optando por adherirse </w:t>
      </w:r>
      <w:r w:rsidR="00B2094F" w:rsidRPr="001476A2">
        <w:rPr>
          <w:rFonts w:ascii="Cambria" w:hAnsi="Cambria" w:cs="Tahoma"/>
          <w:color w:val="000000"/>
          <w:sz w:val="20"/>
          <w:szCs w:val="20"/>
          <w:lang w:val="es-ES" w:eastAsia="es-ES"/>
        </w:rPr>
        <w:t>a</w:t>
      </w:r>
      <w:r w:rsidRPr="001476A2">
        <w:rPr>
          <w:rFonts w:ascii="Cambria" w:hAnsi="Cambria" w:cs="Tahoma"/>
          <w:color w:val="000000"/>
          <w:sz w:val="20"/>
          <w:szCs w:val="20"/>
          <w:lang w:val="es-ES" w:eastAsia="es-ES"/>
        </w:rPr>
        <w:t xml:space="preserve">l canje realizado en febrero </w:t>
      </w:r>
      <w:r w:rsidR="004D1B7D" w:rsidRPr="001476A2">
        <w:rPr>
          <w:rFonts w:ascii="Cambria" w:hAnsi="Cambria" w:cs="Tahoma"/>
          <w:color w:val="000000"/>
          <w:sz w:val="20"/>
          <w:szCs w:val="20"/>
          <w:lang w:val="es-ES" w:eastAsia="es-ES"/>
        </w:rPr>
        <w:t xml:space="preserve">de 2005 o por acogerse a alguna de las </w:t>
      </w:r>
      <w:r w:rsidR="00B2094F" w:rsidRPr="001476A2">
        <w:rPr>
          <w:rFonts w:ascii="Cambria" w:hAnsi="Cambria" w:cs="Tahoma"/>
          <w:color w:val="000000"/>
          <w:sz w:val="20"/>
          <w:szCs w:val="20"/>
          <w:lang w:val="es-ES" w:eastAsia="es-ES"/>
        </w:rPr>
        <w:t>excepciones</w:t>
      </w:r>
      <w:r w:rsidR="004D1B7D" w:rsidRPr="001476A2">
        <w:rPr>
          <w:rFonts w:ascii="Cambria" w:hAnsi="Cambria" w:cs="Tahoma"/>
          <w:color w:val="000000"/>
          <w:sz w:val="20"/>
          <w:szCs w:val="20"/>
          <w:lang w:val="es-ES" w:eastAsia="es-ES"/>
        </w:rPr>
        <w:t xml:space="preserve"> establecidas por la edad o enfermedad (Decreto 1310/04, Ley No. 25.827) para percibir los servicios de los títulos públicos</w:t>
      </w:r>
      <w:r w:rsidR="00974A2C" w:rsidRPr="001476A2">
        <w:rPr>
          <w:rFonts w:ascii="Cambria" w:hAnsi="Cambria" w:cs="Tahoma"/>
          <w:color w:val="000000"/>
          <w:sz w:val="20"/>
          <w:szCs w:val="20"/>
          <w:lang w:val="es-ES" w:eastAsia="es-ES"/>
        </w:rPr>
        <w:t>.</w:t>
      </w:r>
    </w:p>
    <w:p w:rsidR="00974A2C" w:rsidRPr="001476A2" w:rsidRDefault="00974A2C" w:rsidP="007B6577">
      <w:pPr>
        <w:jc w:val="both"/>
        <w:rPr>
          <w:rFonts w:ascii="Cambria" w:hAnsi="Cambria" w:cs="Tahoma"/>
          <w:color w:val="000000"/>
          <w:sz w:val="20"/>
          <w:szCs w:val="20"/>
          <w:lang w:val="es-ES" w:eastAsia="es-ES"/>
        </w:rPr>
      </w:pPr>
    </w:p>
    <w:p w:rsidR="00BA5A78" w:rsidRPr="006A3A62" w:rsidRDefault="00CF4DB7" w:rsidP="00914EB0">
      <w:pPr>
        <w:numPr>
          <w:ilvl w:val="0"/>
          <w:numId w:val="31"/>
        </w:numPr>
        <w:ind w:left="0"/>
        <w:jc w:val="both"/>
        <w:rPr>
          <w:rFonts w:ascii="Cambria" w:hAnsi="Cambria" w:cs="Tahoma"/>
          <w:color w:val="000000"/>
          <w:sz w:val="20"/>
          <w:szCs w:val="20"/>
          <w:lang w:val="es-ES" w:eastAsia="es-ES"/>
        </w:rPr>
      </w:pPr>
      <w:r w:rsidRPr="001476A2">
        <w:rPr>
          <w:rFonts w:ascii="Cambria" w:hAnsi="Cambria" w:cs="Tahoma"/>
          <w:color w:val="000000"/>
          <w:sz w:val="20"/>
          <w:szCs w:val="20"/>
          <w:lang w:val="es-ES" w:eastAsia="es-ES"/>
        </w:rPr>
        <w:t xml:space="preserve">Alega </w:t>
      </w:r>
      <w:r w:rsidR="006A09FA" w:rsidRPr="001476A2">
        <w:rPr>
          <w:rFonts w:ascii="Cambria" w:hAnsi="Cambria" w:cs="Tahoma"/>
          <w:color w:val="000000"/>
          <w:sz w:val="20"/>
          <w:szCs w:val="20"/>
          <w:lang w:val="es-ES" w:eastAsia="es-ES"/>
        </w:rPr>
        <w:t xml:space="preserve">que la presunta víctima no tiene agravio alguno referente al pago en bonos realizado </w:t>
      </w:r>
      <w:r w:rsidR="006A09FA" w:rsidRPr="006A3A62">
        <w:rPr>
          <w:rFonts w:ascii="Cambria" w:hAnsi="Cambria" w:cs="Tahoma"/>
          <w:color w:val="000000"/>
          <w:sz w:val="20"/>
          <w:szCs w:val="20"/>
          <w:lang w:val="es-ES" w:eastAsia="es-ES"/>
        </w:rPr>
        <w:t xml:space="preserve">por el Estado Nacional.  </w:t>
      </w:r>
      <w:r w:rsidR="00B2094F" w:rsidRPr="006A3A62">
        <w:rPr>
          <w:rFonts w:ascii="Cambria" w:hAnsi="Cambria" w:cs="Tahoma"/>
          <w:color w:val="000000"/>
          <w:sz w:val="20"/>
          <w:szCs w:val="20"/>
          <w:lang w:val="es-ES" w:eastAsia="es-ES"/>
        </w:rPr>
        <w:t>Sostiene que traer la cuestión de la forma de pago en que fue cancelada la obligación sería una forma de desnaturalizar el objeto del reclamo en sede internacional.</w:t>
      </w:r>
    </w:p>
    <w:p w:rsidR="00BA5A78" w:rsidRPr="006A3A62" w:rsidRDefault="00BA5A78" w:rsidP="00BA5A78">
      <w:pPr>
        <w:ind w:left="720"/>
        <w:jc w:val="both"/>
        <w:rPr>
          <w:rFonts w:ascii="Cambria" w:hAnsi="Cambria" w:cs="Tahoma"/>
          <w:color w:val="000000"/>
          <w:sz w:val="20"/>
          <w:szCs w:val="20"/>
          <w:lang w:val="es-ES" w:eastAsia="es-ES"/>
        </w:rPr>
      </w:pPr>
    </w:p>
    <w:p w:rsidR="0067066C" w:rsidRPr="006A3A62" w:rsidRDefault="00DA155F" w:rsidP="00914EB0">
      <w:pPr>
        <w:numPr>
          <w:ilvl w:val="0"/>
          <w:numId w:val="31"/>
        </w:numPr>
        <w:ind w:left="0"/>
        <w:jc w:val="both"/>
        <w:rPr>
          <w:rFonts w:ascii="Cambria" w:hAnsi="Cambria" w:cs="Tahoma"/>
          <w:color w:val="000000"/>
          <w:sz w:val="20"/>
          <w:szCs w:val="20"/>
          <w:lang w:val="es-ES" w:eastAsia="es-ES"/>
        </w:rPr>
      </w:pPr>
      <w:r w:rsidRPr="006A3A62">
        <w:rPr>
          <w:rFonts w:ascii="Cambria" w:hAnsi="Cambria" w:cs="Tahoma"/>
          <w:color w:val="000000"/>
          <w:sz w:val="20"/>
          <w:szCs w:val="20"/>
          <w:lang w:val="es-ES" w:eastAsia="es-ES"/>
        </w:rPr>
        <w:t>Sostiene que la presunta víctima dio por saldada la reparación económica a través del proceso civil.  Sin embargo, el Estado reconoce, respecto del trámite judicial para la obtención de una reparación por daños y perjuicios, que “tomando en cuenta los estándares establecidos por la Corte Interamericana de Derechos Humanos no quedaría en principio satisfecho el requisito de plazo razonable establecido en la Convención</w:t>
      </w:r>
      <w:r w:rsidR="00BA5A78" w:rsidRPr="006A3A62">
        <w:rPr>
          <w:rFonts w:ascii="Cambria" w:hAnsi="Cambria" w:cs="Tahoma"/>
          <w:color w:val="000000"/>
          <w:sz w:val="20"/>
          <w:szCs w:val="20"/>
          <w:lang w:val="es-ES" w:eastAsia="es-ES"/>
        </w:rPr>
        <w:t>”</w:t>
      </w:r>
      <w:r w:rsidR="00257065" w:rsidRPr="006A3A62">
        <w:rPr>
          <w:rFonts w:ascii="Cambria" w:hAnsi="Cambria" w:cs="Tahoma"/>
          <w:color w:val="000000"/>
          <w:sz w:val="20"/>
          <w:szCs w:val="20"/>
          <w:lang w:val="es-ES" w:eastAsia="es-ES"/>
        </w:rPr>
        <w:t xml:space="preserve"> </w:t>
      </w:r>
      <w:r w:rsidRPr="006A3A62">
        <w:rPr>
          <w:rFonts w:ascii="Cambria" w:hAnsi="Cambria" w:cs="Tahoma"/>
          <w:color w:val="000000"/>
          <w:sz w:val="20"/>
          <w:szCs w:val="20"/>
          <w:lang w:val="es-ES" w:eastAsia="es-ES"/>
        </w:rPr>
        <w:t>dado que el proceso tuvo una duración de 16 años.</w:t>
      </w:r>
      <w:r w:rsidR="00257065" w:rsidRPr="006A3A62">
        <w:rPr>
          <w:rFonts w:ascii="Cambria" w:hAnsi="Cambria" w:cs="Tahoma"/>
          <w:color w:val="000000"/>
          <w:sz w:val="20"/>
          <w:szCs w:val="20"/>
          <w:lang w:val="es-ES" w:eastAsia="es-ES"/>
        </w:rPr>
        <w:t xml:space="preserve"> Asimismo, el Estado indica estar dispuesto a encontrar una posibilidad de establecer un procedimiento compensatorio de equidad y que la presunta víctima reciba un aditamento extraordinario por razones humanitarias.</w:t>
      </w:r>
    </w:p>
    <w:p w:rsidR="0067066C" w:rsidRPr="006A3A62" w:rsidRDefault="0067066C" w:rsidP="0067066C">
      <w:pPr>
        <w:ind w:left="720"/>
        <w:jc w:val="both"/>
        <w:rPr>
          <w:rFonts w:ascii="Cambria" w:hAnsi="Cambria" w:cs="Tahoma"/>
          <w:color w:val="000000"/>
          <w:sz w:val="20"/>
          <w:szCs w:val="20"/>
          <w:lang w:val="es-ES" w:eastAsia="es-ES"/>
        </w:rPr>
      </w:pPr>
    </w:p>
    <w:p w:rsidR="0067066C" w:rsidRPr="00C9112A" w:rsidRDefault="00594F4E" w:rsidP="00C9112A">
      <w:pPr>
        <w:numPr>
          <w:ilvl w:val="0"/>
          <w:numId w:val="31"/>
        </w:numPr>
        <w:ind w:left="0"/>
        <w:jc w:val="both"/>
        <w:rPr>
          <w:rFonts w:ascii="Cambria" w:hAnsi="Cambria" w:cs="Tahoma"/>
          <w:color w:val="000000"/>
          <w:sz w:val="20"/>
          <w:szCs w:val="20"/>
          <w:lang w:val="es-ES" w:eastAsia="es-ES"/>
        </w:rPr>
      </w:pPr>
      <w:r w:rsidRPr="006A3A62">
        <w:rPr>
          <w:rFonts w:ascii="Cambria" w:hAnsi="Cambria" w:cs="Tahoma"/>
          <w:color w:val="000000"/>
          <w:sz w:val="20"/>
          <w:szCs w:val="20"/>
          <w:lang w:val="es-ES" w:eastAsia="es-ES"/>
        </w:rPr>
        <w:t xml:space="preserve">Sostiene que la indemnización fijada a favor de la presunta víctima quedó incluida dentro de los supuestos de la Ley No. 23.982, como consecuencia de la extensión </w:t>
      </w:r>
      <w:r w:rsidR="00FE50F8" w:rsidRPr="006A3A62">
        <w:rPr>
          <w:rFonts w:ascii="Cambria" w:hAnsi="Cambria" w:cs="Tahoma"/>
          <w:color w:val="000000"/>
          <w:sz w:val="20"/>
          <w:szCs w:val="20"/>
          <w:lang w:val="es-ES" w:eastAsia="es-ES"/>
        </w:rPr>
        <w:t xml:space="preserve">en el tiempo </w:t>
      </w:r>
      <w:r w:rsidRPr="006A3A62">
        <w:rPr>
          <w:rFonts w:ascii="Cambria" w:hAnsi="Cambria" w:cs="Tahoma"/>
          <w:color w:val="000000"/>
          <w:sz w:val="20"/>
          <w:szCs w:val="20"/>
          <w:lang w:val="es-ES" w:eastAsia="es-ES"/>
        </w:rPr>
        <w:t>de</w:t>
      </w:r>
      <w:r w:rsidR="00FE50F8" w:rsidRPr="006A3A62">
        <w:rPr>
          <w:rFonts w:ascii="Cambria" w:hAnsi="Cambria" w:cs="Tahoma"/>
          <w:color w:val="000000"/>
          <w:sz w:val="20"/>
          <w:szCs w:val="20"/>
          <w:lang w:val="es-ES" w:eastAsia="es-ES"/>
        </w:rPr>
        <w:t>l</w:t>
      </w:r>
      <w:r w:rsidRPr="006A3A62">
        <w:rPr>
          <w:rFonts w:ascii="Cambria" w:hAnsi="Cambria" w:cs="Tahoma"/>
          <w:color w:val="000000"/>
          <w:sz w:val="20"/>
          <w:szCs w:val="20"/>
          <w:lang w:val="es-ES" w:eastAsia="es-ES"/>
        </w:rPr>
        <w:t xml:space="preserve"> trámite judicial</w:t>
      </w:r>
      <w:r w:rsidR="00914EB0" w:rsidRPr="006A3A62">
        <w:rPr>
          <w:rFonts w:ascii="Cambria" w:hAnsi="Cambria" w:cs="Tahoma"/>
          <w:color w:val="000000"/>
          <w:sz w:val="20"/>
          <w:szCs w:val="20"/>
          <w:lang w:val="es-ES" w:eastAsia="es-ES"/>
        </w:rPr>
        <w:t>. I</w:t>
      </w:r>
      <w:r w:rsidRPr="006A3A62">
        <w:rPr>
          <w:rFonts w:ascii="Cambria" w:hAnsi="Cambria" w:cs="Tahoma"/>
          <w:color w:val="000000"/>
          <w:sz w:val="20"/>
          <w:szCs w:val="20"/>
          <w:lang w:val="es-ES" w:eastAsia="es-ES"/>
        </w:rPr>
        <w:t>ndica que</w:t>
      </w:r>
      <w:r w:rsidR="00BB1E30" w:rsidRPr="006A3A62">
        <w:rPr>
          <w:rFonts w:ascii="Cambria" w:hAnsi="Cambria" w:cs="Tahoma"/>
          <w:color w:val="000000"/>
          <w:sz w:val="20"/>
          <w:szCs w:val="20"/>
          <w:lang w:val="es-ES" w:eastAsia="es-ES"/>
        </w:rPr>
        <w:t>,</w:t>
      </w:r>
      <w:r w:rsidRPr="006A3A62">
        <w:rPr>
          <w:rFonts w:ascii="Cambria" w:hAnsi="Cambria" w:cs="Tahoma"/>
          <w:color w:val="000000"/>
          <w:sz w:val="20"/>
          <w:szCs w:val="20"/>
          <w:lang w:val="es-ES" w:eastAsia="es-ES"/>
        </w:rPr>
        <w:t xml:space="preserve"> debido a las situaciones de emergencia</w:t>
      </w:r>
      <w:r w:rsidR="00BB1E30" w:rsidRPr="006A3A62">
        <w:rPr>
          <w:rFonts w:ascii="Cambria" w:hAnsi="Cambria" w:cs="Tahoma"/>
          <w:color w:val="000000"/>
          <w:sz w:val="20"/>
          <w:szCs w:val="20"/>
          <w:lang w:val="es-ES" w:eastAsia="es-ES"/>
        </w:rPr>
        <w:t>,</w:t>
      </w:r>
      <w:r w:rsidRPr="006A3A62">
        <w:rPr>
          <w:rFonts w:ascii="Cambria" w:hAnsi="Cambria" w:cs="Tahoma"/>
          <w:color w:val="000000"/>
          <w:sz w:val="20"/>
          <w:szCs w:val="20"/>
          <w:lang w:val="es-ES" w:eastAsia="es-ES"/>
        </w:rPr>
        <w:t xml:space="preserve"> el Estado ha debido emitir títulos públicos para hacer frente a sus obligaciones, lo que podría haber llevado al señor Dadea a “una sensación de incertidumbre que se reflejaría en la imposibilidad de hacer efectivo el valor nominal de los bonos”.  De allí que haya canjeado </w:t>
      </w:r>
      <w:r w:rsidR="001E6EE9" w:rsidRPr="006A3A62">
        <w:rPr>
          <w:rFonts w:ascii="Cambria" w:hAnsi="Cambria" w:cs="Tahoma"/>
          <w:color w:val="000000"/>
          <w:sz w:val="20"/>
          <w:szCs w:val="20"/>
          <w:lang w:val="es-ES" w:eastAsia="es-ES"/>
        </w:rPr>
        <w:t xml:space="preserve">los bonos originalmente recibidos.  El Estado </w:t>
      </w:r>
      <w:r w:rsidR="00702847" w:rsidRPr="006A3A62">
        <w:rPr>
          <w:rFonts w:ascii="Cambria" w:hAnsi="Cambria" w:cs="Tahoma"/>
          <w:color w:val="000000"/>
          <w:sz w:val="20"/>
          <w:szCs w:val="20"/>
          <w:lang w:val="es-ES" w:eastAsia="es-ES"/>
        </w:rPr>
        <w:t xml:space="preserve">indica que </w:t>
      </w:r>
      <w:r w:rsidR="001E6EE9" w:rsidRPr="006A3A62">
        <w:rPr>
          <w:rFonts w:ascii="Cambria" w:hAnsi="Cambria" w:cs="Tahoma"/>
          <w:color w:val="000000"/>
          <w:sz w:val="20"/>
          <w:szCs w:val="20"/>
          <w:lang w:val="es-ES" w:eastAsia="es-ES"/>
        </w:rPr>
        <w:t>también ha valorado</w:t>
      </w:r>
      <w:r w:rsidR="002A3F39" w:rsidRPr="006A3A62">
        <w:rPr>
          <w:rFonts w:ascii="Cambria" w:hAnsi="Cambria" w:cs="Tahoma"/>
          <w:color w:val="000000"/>
          <w:sz w:val="20"/>
          <w:szCs w:val="20"/>
          <w:lang w:val="es-ES" w:eastAsia="es-ES"/>
        </w:rPr>
        <w:t xml:space="preserve"> la duración del trámite judicial, el origen de la acreencia de</w:t>
      </w:r>
      <w:r w:rsidR="00BB1E30" w:rsidRPr="006A3A62">
        <w:rPr>
          <w:rFonts w:ascii="Cambria" w:hAnsi="Cambria" w:cs="Tahoma"/>
          <w:color w:val="000000"/>
          <w:sz w:val="20"/>
          <w:szCs w:val="20"/>
          <w:lang w:val="es-ES" w:eastAsia="es-ES"/>
        </w:rPr>
        <w:t xml:space="preserve"> </w:t>
      </w:r>
      <w:r w:rsidR="002A3F39" w:rsidRPr="006A3A62">
        <w:rPr>
          <w:rFonts w:ascii="Cambria" w:hAnsi="Cambria" w:cs="Tahoma"/>
          <w:color w:val="000000"/>
          <w:sz w:val="20"/>
          <w:szCs w:val="20"/>
          <w:lang w:val="es-ES" w:eastAsia="es-ES"/>
        </w:rPr>
        <w:t>l</w:t>
      </w:r>
      <w:r w:rsidR="00BB1E30" w:rsidRPr="006A3A62">
        <w:rPr>
          <w:rFonts w:ascii="Cambria" w:hAnsi="Cambria" w:cs="Tahoma"/>
          <w:color w:val="000000"/>
          <w:sz w:val="20"/>
          <w:szCs w:val="20"/>
          <w:lang w:val="es-ES" w:eastAsia="es-ES"/>
        </w:rPr>
        <w:t>a presunta víctima</w:t>
      </w:r>
      <w:r w:rsidR="002A3F39" w:rsidRPr="006A3A62">
        <w:rPr>
          <w:rFonts w:ascii="Cambria" w:hAnsi="Cambria" w:cs="Tahoma"/>
          <w:color w:val="000000"/>
          <w:sz w:val="20"/>
          <w:szCs w:val="20"/>
          <w:lang w:val="es-ES" w:eastAsia="es-ES"/>
        </w:rPr>
        <w:t>,</w:t>
      </w:r>
      <w:r w:rsidR="001E6EE9" w:rsidRPr="006A3A62">
        <w:rPr>
          <w:rFonts w:ascii="Cambria" w:hAnsi="Cambria" w:cs="Tahoma"/>
          <w:color w:val="000000"/>
          <w:sz w:val="20"/>
          <w:szCs w:val="20"/>
          <w:lang w:val="es-ES" w:eastAsia="es-ES"/>
        </w:rPr>
        <w:t xml:space="preserve"> </w:t>
      </w:r>
      <w:r w:rsidR="00BB1E30" w:rsidRPr="006A3A62">
        <w:rPr>
          <w:rFonts w:ascii="Cambria" w:hAnsi="Cambria" w:cs="Tahoma"/>
          <w:color w:val="000000"/>
          <w:sz w:val="20"/>
          <w:szCs w:val="20"/>
          <w:lang w:val="es-ES" w:eastAsia="es-ES"/>
        </w:rPr>
        <w:t xml:space="preserve">su avanzada </w:t>
      </w:r>
      <w:r w:rsidR="00FE50F8" w:rsidRPr="006A3A62">
        <w:rPr>
          <w:rFonts w:ascii="Cambria" w:hAnsi="Cambria" w:cs="Tahoma"/>
          <w:color w:val="000000"/>
          <w:sz w:val="20"/>
          <w:szCs w:val="20"/>
          <w:lang w:val="es-ES" w:eastAsia="es-ES"/>
        </w:rPr>
        <w:t>edad,</w:t>
      </w:r>
      <w:r w:rsidR="001E6EE9" w:rsidRPr="006A3A62">
        <w:rPr>
          <w:rFonts w:ascii="Cambria" w:hAnsi="Cambria" w:cs="Tahoma"/>
          <w:color w:val="000000"/>
          <w:sz w:val="20"/>
          <w:szCs w:val="20"/>
          <w:lang w:val="es-ES" w:eastAsia="es-ES"/>
        </w:rPr>
        <w:t xml:space="preserve"> </w:t>
      </w:r>
      <w:r w:rsidR="002A3F39" w:rsidRPr="006A3A62">
        <w:rPr>
          <w:rFonts w:ascii="Cambria" w:hAnsi="Cambria" w:cs="Tahoma"/>
          <w:color w:val="000000"/>
          <w:sz w:val="20"/>
          <w:szCs w:val="20"/>
          <w:lang w:val="es-ES" w:eastAsia="es-ES"/>
        </w:rPr>
        <w:t xml:space="preserve">y </w:t>
      </w:r>
      <w:r w:rsidR="001E6EE9" w:rsidRPr="006A3A62">
        <w:rPr>
          <w:rFonts w:ascii="Cambria" w:hAnsi="Cambria" w:cs="Tahoma"/>
          <w:color w:val="000000"/>
          <w:sz w:val="20"/>
          <w:szCs w:val="20"/>
          <w:lang w:val="es-ES" w:eastAsia="es-ES"/>
        </w:rPr>
        <w:t>el hecho que sufre de una enfermedad terminal cuyo tratamiento es costoso</w:t>
      </w:r>
      <w:r w:rsidR="00C73796" w:rsidRPr="006A3A62">
        <w:rPr>
          <w:rFonts w:ascii="Cambria" w:hAnsi="Cambria" w:cs="Tahoma"/>
          <w:color w:val="000000"/>
          <w:sz w:val="20"/>
          <w:szCs w:val="20"/>
          <w:lang w:val="es-ES" w:eastAsia="es-ES"/>
        </w:rPr>
        <w:t>.</w:t>
      </w:r>
      <w:r w:rsidR="00FE50F8" w:rsidRPr="006A3A62">
        <w:rPr>
          <w:rFonts w:ascii="Cambria" w:hAnsi="Cambria" w:cs="Tahoma"/>
          <w:color w:val="000000"/>
          <w:sz w:val="20"/>
          <w:szCs w:val="20"/>
          <w:lang w:val="es-ES" w:eastAsia="es-ES"/>
        </w:rPr>
        <w:t xml:space="preserve">  </w:t>
      </w:r>
      <w:r w:rsidR="002A3F39" w:rsidRPr="006A3A62">
        <w:rPr>
          <w:rFonts w:ascii="Cambria" w:hAnsi="Cambria" w:cs="Tahoma"/>
          <w:color w:val="000000"/>
          <w:sz w:val="20"/>
          <w:szCs w:val="20"/>
          <w:lang w:val="es-ES" w:eastAsia="es-ES"/>
        </w:rPr>
        <w:t>Al respecto, señala que estas circunstancias “</w:t>
      </w:r>
      <w:r w:rsidR="00FE50F8" w:rsidRPr="006A3A62">
        <w:rPr>
          <w:rFonts w:ascii="Cambria" w:hAnsi="Cambria" w:cs="Tahoma"/>
          <w:color w:val="000000"/>
          <w:sz w:val="20"/>
          <w:szCs w:val="20"/>
          <w:lang w:val="es-ES" w:eastAsia="es-ES"/>
        </w:rPr>
        <w:t xml:space="preserve">hacen pertinente explorar la posibilidad de establecer parámetros y </w:t>
      </w:r>
      <w:r w:rsidR="002A3F39" w:rsidRPr="006A3A62">
        <w:rPr>
          <w:rFonts w:ascii="Cambria" w:hAnsi="Cambria" w:cs="Tahoma"/>
          <w:color w:val="000000"/>
          <w:sz w:val="20"/>
          <w:szCs w:val="20"/>
          <w:lang w:val="es-ES" w:eastAsia="es-ES"/>
        </w:rPr>
        <w:t>procedimientos</w:t>
      </w:r>
      <w:r w:rsidR="00FE50F8" w:rsidRPr="006A3A62">
        <w:rPr>
          <w:rFonts w:ascii="Cambria" w:hAnsi="Cambria" w:cs="Tahoma"/>
          <w:color w:val="000000"/>
          <w:sz w:val="20"/>
          <w:szCs w:val="20"/>
          <w:lang w:val="es-ES" w:eastAsia="es-ES"/>
        </w:rPr>
        <w:t xml:space="preserve"> de un mecanismo compensatorio de equidad”.</w:t>
      </w:r>
    </w:p>
    <w:p w:rsidR="0067066C" w:rsidRDefault="006A09FA" w:rsidP="0067066C">
      <w:pPr>
        <w:numPr>
          <w:ilvl w:val="0"/>
          <w:numId w:val="31"/>
        </w:numPr>
        <w:ind w:left="0"/>
        <w:jc w:val="both"/>
        <w:rPr>
          <w:rFonts w:ascii="Cambria" w:hAnsi="Cambria" w:cs="Tahoma"/>
          <w:color w:val="000000"/>
          <w:sz w:val="20"/>
          <w:szCs w:val="20"/>
          <w:lang w:val="es-ES" w:eastAsia="es-ES"/>
        </w:rPr>
      </w:pPr>
      <w:r w:rsidRPr="006A3A62">
        <w:rPr>
          <w:rFonts w:ascii="Cambria" w:hAnsi="Cambria"/>
          <w:color w:val="000000"/>
          <w:sz w:val="20"/>
          <w:szCs w:val="20"/>
          <w:lang w:val="es-ES" w:eastAsia="es-ES"/>
        </w:rPr>
        <w:lastRenderedPageBreak/>
        <w:t>Indica que el 16 de mayo de 2006, se remitió una consulta al Ministerio de Economía y</w:t>
      </w:r>
      <w:r w:rsidRPr="0067066C">
        <w:rPr>
          <w:rFonts w:ascii="Cambria" w:hAnsi="Cambria"/>
          <w:color w:val="000000"/>
          <w:sz w:val="20"/>
          <w:szCs w:val="20"/>
          <w:lang w:val="es-ES" w:eastAsia="es-ES"/>
        </w:rPr>
        <w:t xml:space="preserve"> Producción de la Nación, para ver la via</w:t>
      </w:r>
      <w:r w:rsidR="00AF09F0" w:rsidRPr="0067066C">
        <w:rPr>
          <w:rFonts w:ascii="Cambria" w:hAnsi="Cambria"/>
          <w:color w:val="000000"/>
          <w:sz w:val="20"/>
          <w:szCs w:val="20"/>
          <w:lang w:val="es-ES" w:eastAsia="es-ES"/>
        </w:rPr>
        <w:t>bi</w:t>
      </w:r>
      <w:r w:rsidRPr="0067066C">
        <w:rPr>
          <w:rFonts w:ascii="Cambria" w:hAnsi="Cambria"/>
          <w:color w:val="000000"/>
          <w:sz w:val="20"/>
          <w:szCs w:val="20"/>
          <w:lang w:val="es-ES" w:eastAsia="es-ES"/>
        </w:rPr>
        <w:t>lidad de hacer efectiva la indemnización reclamada</w:t>
      </w:r>
      <w:r w:rsidR="00AF09F0" w:rsidRPr="0067066C">
        <w:rPr>
          <w:rFonts w:ascii="Cambria" w:hAnsi="Cambria"/>
          <w:color w:val="000000"/>
          <w:sz w:val="20"/>
          <w:szCs w:val="20"/>
          <w:lang w:val="es-ES" w:eastAsia="es-ES"/>
        </w:rPr>
        <w:t>,</w:t>
      </w:r>
      <w:r w:rsidRPr="0067066C">
        <w:rPr>
          <w:rFonts w:ascii="Cambria" w:hAnsi="Cambria"/>
          <w:color w:val="000000"/>
          <w:sz w:val="20"/>
          <w:szCs w:val="20"/>
          <w:lang w:val="es-ES" w:eastAsia="es-ES"/>
        </w:rPr>
        <w:t xml:space="preserve"> que fuera oportunamente instrumentada mediante bonos, a consideración de que se trata de una reparación otorgada judicialmente por la violación de derechos humanos.  Señala que dicha consulta fue reiterada con fecha 6 de noviembre de 2007.</w:t>
      </w:r>
    </w:p>
    <w:p w:rsidR="0067066C" w:rsidRPr="0067066C" w:rsidRDefault="0067066C" w:rsidP="0067066C">
      <w:pPr>
        <w:ind w:left="720"/>
        <w:jc w:val="both"/>
        <w:rPr>
          <w:rFonts w:ascii="Cambria" w:hAnsi="Cambria" w:cs="Tahoma"/>
          <w:color w:val="000000"/>
          <w:sz w:val="20"/>
          <w:szCs w:val="20"/>
          <w:lang w:val="es-ES" w:eastAsia="es-ES"/>
        </w:rPr>
      </w:pPr>
    </w:p>
    <w:p w:rsidR="0067066C" w:rsidRDefault="00257AA1" w:rsidP="0067066C">
      <w:pPr>
        <w:numPr>
          <w:ilvl w:val="0"/>
          <w:numId w:val="31"/>
        </w:numPr>
        <w:ind w:left="0"/>
        <w:jc w:val="both"/>
        <w:rPr>
          <w:rFonts w:ascii="Cambria" w:hAnsi="Cambria" w:cs="Tahoma"/>
          <w:color w:val="000000"/>
          <w:sz w:val="20"/>
          <w:szCs w:val="20"/>
          <w:lang w:val="es-ES" w:eastAsia="es-ES"/>
        </w:rPr>
      </w:pPr>
      <w:r w:rsidRPr="0067066C">
        <w:rPr>
          <w:rFonts w:ascii="Cambria" w:hAnsi="Cambria"/>
          <w:color w:val="000000"/>
          <w:sz w:val="20"/>
          <w:szCs w:val="20"/>
          <w:lang w:val="es-ES" w:eastAsia="es-ES"/>
        </w:rPr>
        <w:t>El Estado sostiene</w:t>
      </w:r>
      <w:r w:rsidR="00EF30BD" w:rsidRPr="0067066C">
        <w:rPr>
          <w:rFonts w:ascii="Cambria" w:hAnsi="Cambria"/>
          <w:color w:val="000000"/>
          <w:sz w:val="20"/>
          <w:szCs w:val="20"/>
          <w:lang w:val="es-ES" w:eastAsia="es-ES"/>
        </w:rPr>
        <w:t xml:space="preserve"> que en respuesta</w:t>
      </w:r>
      <w:r w:rsidRPr="0067066C">
        <w:rPr>
          <w:rFonts w:ascii="Cambria" w:hAnsi="Cambria"/>
          <w:color w:val="000000"/>
          <w:sz w:val="20"/>
          <w:szCs w:val="20"/>
          <w:lang w:val="es-ES" w:eastAsia="es-ES"/>
        </w:rPr>
        <w:t>,</w:t>
      </w:r>
      <w:r w:rsidR="00EF30BD" w:rsidRPr="0067066C">
        <w:rPr>
          <w:rFonts w:ascii="Cambria" w:hAnsi="Cambria"/>
          <w:color w:val="000000"/>
          <w:sz w:val="20"/>
          <w:szCs w:val="20"/>
          <w:lang w:val="es-ES" w:eastAsia="es-ES"/>
        </w:rPr>
        <w:t xml:space="preserve"> el </w:t>
      </w:r>
      <w:r w:rsidR="006A09FA" w:rsidRPr="0067066C">
        <w:rPr>
          <w:rFonts w:ascii="Cambria" w:hAnsi="Cambria"/>
          <w:color w:val="000000"/>
          <w:sz w:val="20"/>
          <w:szCs w:val="20"/>
          <w:lang w:val="es-ES" w:eastAsia="es-ES"/>
        </w:rPr>
        <w:t xml:space="preserve">Ministerio de Economía y Producción, </w:t>
      </w:r>
      <w:r w:rsidR="00EF30BD" w:rsidRPr="0067066C">
        <w:rPr>
          <w:rFonts w:ascii="Cambria" w:hAnsi="Cambria"/>
          <w:color w:val="000000"/>
          <w:sz w:val="20"/>
          <w:szCs w:val="20"/>
          <w:lang w:val="es-ES" w:eastAsia="es-ES"/>
        </w:rPr>
        <w:t xml:space="preserve">informó que </w:t>
      </w:r>
      <w:r w:rsidR="00F45BFF" w:rsidRPr="0067066C">
        <w:rPr>
          <w:rFonts w:ascii="Cambria" w:hAnsi="Cambria"/>
          <w:color w:val="000000"/>
          <w:sz w:val="20"/>
          <w:szCs w:val="20"/>
          <w:lang w:val="es-ES" w:eastAsia="es-ES"/>
        </w:rPr>
        <w:t xml:space="preserve">el 19 de diciembre de 2002 </w:t>
      </w:r>
      <w:r w:rsidR="006A09FA" w:rsidRPr="0067066C">
        <w:rPr>
          <w:rFonts w:ascii="Cambria" w:hAnsi="Cambria"/>
          <w:color w:val="000000"/>
          <w:sz w:val="20"/>
          <w:szCs w:val="20"/>
          <w:lang w:val="es-ES" w:eastAsia="es-ES"/>
        </w:rPr>
        <w:t xml:space="preserve">se dio cumplimiento a la medida cautelar solicitada por el </w:t>
      </w:r>
      <w:r w:rsidR="00EF30BD" w:rsidRPr="0067066C">
        <w:rPr>
          <w:rFonts w:ascii="Cambria" w:hAnsi="Cambria"/>
          <w:color w:val="000000"/>
          <w:sz w:val="20"/>
          <w:szCs w:val="20"/>
          <w:lang w:val="es-ES" w:eastAsia="es-ES"/>
        </w:rPr>
        <w:t>señor Dadea</w:t>
      </w:r>
      <w:r w:rsidR="006A09FA" w:rsidRPr="0067066C">
        <w:rPr>
          <w:rFonts w:ascii="Cambria" w:hAnsi="Cambria"/>
          <w:color w:val="000000"/>
          <w:sz w:val="20"/>
          <w:szCs w:val="20"/>
          <w:lang w:val="es-ES" w:eastAsia="es-ES"/>
        </w:rPr>
        <w:t xml:space="preserve"> en el marco de </w:t>
      </w:r>
      <w:r w:rsidR="00C73796" w:rsidRPr="0067066C">
        <w:rPr>
          <w:rFonts w:ascii="Cambria" w:hAnsi="Cambria"/>
          <w:color w:val="000000"/>
          <w:sz w:val="20"/>
          <w:szCs w:val="20"/>
          <w:lang w:val="es-ES" w:eastAsia="es-ES"/>
        </w:rPr>
        <w:t>la</w:t>
      </w:r>
      <w:r w:rsidR="00EF30BD" w:rsidRPr="0067066C">
        <w:rPr>
          <w:rFonts w:ascii="Cambria" w:hAnsi="Cambria"/>
          <w:color w:val="000000"/>
          <w:sz w:val="20"/>
          <w:szCs w:val="20"/>
          <w:lang w:val="es-ES" w:eastAsia="es-ES"/>
        </w:rPr>
        <w:t xml:space="preserve"> acción de amparo tramitada ante el Juzgado Federal No. 2 de la Ciudad de Rosario, </w:t>
      </w:r>
      <w:r w:rsidR="006A09FA" w:rsidRPr="0067066C">
        <w:rPr>
          <w:rFonts w:ascii="Cambria" w:hAnsi="Cambria"/>
          <w:color w:val="000000"/>
          <w:sz w:val="20"/>
          <w:szCs w:val="20"/>
          <w:lang w:val="es-ES" w:eastAsia="es-ES"/>
        </w:rPr>
        <w:t>y</w:t>
      </w:r>
      <w:r w:rsidR="00EF30BD" w:rsidRPr="0067066C">
        <w:rPr>
          <w:rFonts w:ascii="Cambria" w:hAnsi="Cambria"/>
          <w:color w:val="000000"/>
          <w:sz w:val="20"/>
          <w:szCs w:val="20"/>
          <w:lang w:val="es-ES" w:eastAsia="es-ES"/>
        </w:rPr>
        <w:t xml:space="preserve"> que</w:t>
      </w:r>
      <w:r w:rsidR="00F45BFF" w:rsidRPr="0067066C">
        <w:rPr>
          <w:rFonts w:ascii="Cambria" w:hAnsi="Cambria"/>
          <w:color w:val="000000"/>
          <w:sz w:val="20"/>
          <w:szCs w:val="20"/>
          <w:lang w:val="es-ES" w:eastAsia="es-ES"/>
        </w:rPr>
        <w:t xml:space="preserve"> basándose en razones de salud</w:t>
      </w:r>
      <w:r w:rsidR="00BA1E45" w:rsidRPr="0067066C">
        <w:rPr>
          <w:rFonts w:ascii="Cambria" w:hAnsi="Cambria"/>
          <w:color w:val="000000"/>
          <w:sz w:val="20"/>
          <w:szCs w:val="20"/>
          <w:lang w:val="es-ES" w:eastAsia="es-ES"/>
        </w:rPr>
        <w:t>,</w:t>
      </w:r>
      <w:r w:rsidR="00F45BFF" w:rsidRPr="0067066C">
        <w:rPr>
          <w:rFonts w:ascii="Cambria" w:hAnsi="Cambria"/>
          <w:color w:val="000000"/>
          <w:sz w:val="20"/>
          <w:szCs w:val="20"/>
          <w:lang w:val="es-ES" w:eastAsia="es-ES"/>
        </w:rPr>
        <w:t xml:space="preserve"> se ordenó el pago de $7.909,77 más la actualización</w:t>
      </w:r>
      <w:r w:rsidR="00BA1E45" w:rsidRPr="0067066C">
        <w:rPr>
          <w:rFonts w:ascii="Cambria" w:hAnsi="Cambria"/>
          <w:color w:val="000000"/>
          <w:sz w:val="20"/>
          <w:szCs w:val="20"/>
          <w:lang w:val="es-ES" w:eastAsia="es-ES"/>
        </w:rPr>
        <w:t>.  Asimismo, alega que se abonaron los restantes servicios de los t</w:t>
      </w:r>
      <w:r w:rsidR="0011514B" w:rsidRPr="0067066C">
        <w:rPr>
          <w:rFonts w:ascii="Cambria" w:hAnsi="Cambria"/>
          <w:color w:val="000000"/>
          <w:sz w:val="20"/>
          <w:szCs w:val="20"/>
          <w:lang w:val="es-ES" w:eastAsia="es-ES"/>
        </w:rPr>
        <w:t>ítulos conforme a lo</w:t>
      </w:r>
      <w:r w:rsidR="00BA1E45" w:rsidRPr="0067066C">
        <w:rPr>
          <w:rFonts w:ascii="Cambria" w:hAnsi="Cambria"/>
          <w:color w:val="000000"/>
          <w:sz w:val="20"/>
          <w:szCs w:val="20"/>
          <w:lang w:val="es-ES" w:eastAsia="es-ES"/>
        </w:rPr>
        <w:t xml:space="preserve"> est</w:t>
      </w:r>
      <w:r w:rsidR="0011514B" w:rsidRPr="0067066C">
        <w:rPr>
          <w:rFonts w:ascii="Cambria" w:hAnsi="Cambria"/>
          <w:color w:val="000000"/>
          <w:sz w:val="20"/>
          <w:szCs w:val="20"/>
          <w:lang w:val="es-ES" w:eastAsia="es-ES"/>
        </w:rPr>
        <w:t>a</w:t>
      </w:r>
      <w:r w:rsidR="00BA1E45" w:rsidRPr="0067066C">
        <w:rPr>
          <w:rFonts w:ascii="Cambria" w:hAnsi="Cambria"/>
          <w:color w:val="000000"/>
          <w:sz w:val="20"/>
          <w:szCs w:val="20"/>
          <w:lang w:val="es-ES" w:eastAsia="es-ES"/>
        </w:rPr>
        <w:t xml:space="preserve">blecido en el Decreto 471-02. </w:t>
      </w:r>
      <w:r w:rsidR="0011514B" w:rsidRPr="0067066C">
        <w:rPr>
          <w:rFonts w:ascii="Cambria" w:hAnsi="Cambria"/>
          <w:color w:val="000000"/>
          <w:sz w:val="20"/>
          <w:szCs w:val="20"/>
          <w:lang w:val="es-ES" w:eastAsia="es-ES"/>
        </w:rPr>
        <w:t xml:space="preserve"> </w:t>
      </w:r>
      <w:r w:rsidR="009362CD" w:rsidRPr="0067066C">
        <w:rPr>
          <w:rFonts w:ascii="Cambria" w:hAnsi="Cambria"/>
          <w:color w:val="000000"/>
          <w:sz w:val="20"/>
          <w:szCs w:val="20"/>
          <w:lang w:val="es-ES" w:eastAsia="es-ES"/>
        </w:rPr>
        <w:t xml:space="preserve">Indica que </w:t>
      </w:r>
      <w:r w:rsidR="00BA1E45" w:rsidRPr="0067066C">
        <w:rPr>
          <w:rFonts w:ascii="Cambria" w:hAnsi="Cambria"/>
          <w:color w:val="000000"/>
          <w:sz w:val="20"/>
          <w:szCs w:val="20"/>
          <w:lang w:val="es-ES" w:eastAsia="es-ES"/>
        </w:rPr>
        <w:t>e</w:t>
      </w:r>
      <w:r w:rsidR="009362CD" w:rsidRPr="0067066C">
        <w:rPr>
          <w:rFonts w:ascii="Cambria" w:hAnsi="Cambria"/>
          <w:color w:val="000000"/>
          <w:sz w:val="20"/>
          <w:szCs w:val="20"/>
          <w:lang w:val="es-ES" w:eastAsia="es-ES"/>
        </w:rPr>
        <w:t>l</w:t>
      </w:r>
      <w:r w:rsidR="00BA1E45" w:rsidRPr="0067066C">
        <w:rPr>
          <w:rFonts w:ascii="Cambria" w:hAnsi="Cambria"/>
          <w:color w:val="000000"/>
          <w:sz w:val="20"/>
          <w:szCs w:val="20"/>
          <w:lang w:val="es-ES" w:eastAsia="es-ES"/>
        </w:rPr>
        <w:t xml:space="preserve"> recurso extraordinario interpuesto por la presunta víctima fue de</w:t>
      </w:r>
      <w:r w:rsidR="002A3E8D" w:rsidRPr="0067066C">
        <w:rPr>
          <w:rFonts w:ascii="Cambria" w:hAnsi="Cambria"/>
          <w:color w:val="000000"/>
          <w:sz w:val="20"/>
          <w:szCs w:val="20"/>
          <w:lang w:val="es-ES" w:eastAsia="es-ES"/>
        </w:rPr>
        <w:t>sistido el 9 de febrero de 2006, por lo que no existen trámites pendientes.</w:t>
      </w:r>
    </w:p>
    <w:p w:rsidR="0067066C" w:rsidRPr="0067066C" w:rsidRDefault="0067066C" w:rsidP="0067066C">
      <w:pPr>
        <w:ind w:left="720"/>
        <w:jc w:val="both"/>
        <w:rPr>
          <w:rFonts w:ascii="Cambria" w:hAnsi="Cambria" w:cs="Tahoma"/>
          <w:color w:val="000000"/>
          <w:sz w:val="20"/>
          <w:szCs w:val="20"/>
          <w:lang w:val="es-ES" w:eastAsia="es-ES"/>
        </w:rPr>
      </w:pPr>
    </w:p>
    <w:p w:rsidR="00BB1E30" w:rsidRPr="006A3A62" w:rsidRDefault="006A09FA" w:rsidP="00BB1E30">
      <w:pPr>
        <w:numPr>
          <w:ilvl w:val="0"/>
          <w:numId w:val="31"/>
        </w:numPr>
        <w:ind w:left="0"/>
        <w:jc w:val="both"/>
        <w:rPr>
          <w:rFonts w:ascii="Cambria" w:hAnsi="Cambria" w:cs="Tahoma"/>
          <w:color w:val="000000"/>
          <w:sz w:val="20"/>
          <w:szCs w:val="20"/>
          <w:lang w:val="es-ES" w:eastAsia="es-ES"/>
        </w:rPr>
      </w:pPr>
      <w:r w:rsidRPr="0067066C">
        <w:rPr>
          <w:rFonts w:ascii="Cambria" w:hAnsi="Cambria"/>
          <w:color w:val="000000"/>
          <w:sz w:val="20"/>
          <w:szCs w:val="20"/>
          <w:lang w:val="es-ES" w:eastAsia="es-ES"/>
        </w:rPr>
        <w:t xml:space="preserve">Por último, </w:t>
      </w:r>
      <w:r w:rsidR="00BA1E45" w:rsidRPr="0067066C">
        <w:rPr>
          <w:rFonts w:ascii="Cambria" w:hAnsi="Cambria"/>
          <w:color w:val="000000"/>
          <w:sz w:val="20"/>
          <w:szCs w:val="20"/>
          <w:lang w:val="es-ES" w:eastAsia="es-ES"/>
        </w:rPr>
        <w:t xml:space="preserve">sostiene que </w:t>
      </w:r>
      <w:r w:rsidR="000C02A7" w:rsidRPr="0067066C">
        <w:rPr>
          <w:rFonts w:ascii="Cambria" w:hAnsi="Cambria"/>
          <w:color w:val="000000"/>
          <w:sz w:val="20"/>
          <w:szCs w:val="20"/>
          <w:lang w:val="es-ES" w:eastAsia="es-ES"/>
        </w:rPr>
        <w:t xml:space="preserve">el 12 de julio de 2006, se </w:t>
      </w:r>
      <w:r w:rsidRPr="0067066C">
        <w:rPr>
          <w:rFonts w:ascii="Cambria" w:hAnsi="Cambria"/>
          <w:color w:val="000000"/>
          <w:sz w:val="20"/>
          <w:szCs w:val="20"/>
          <w:lang w:val="es-ES" w:eastAsia="es-ES"/>
        </w:rPr>
        <w:t xml:space="preserve">ordenó a la Caja de Valores S.A. y BCRA pagar el último cupón de renta y amortización devengado por el BONTE 06 de titularidad de la presunta </w:t>
      </w:r>
      <w:r w:rsidRPr="006A3A62">
        <w:rPr>
          <w:rFonts w:ascii="Cambria" w:hAnsi="Cambria"/>
          <w:color w:val="000000"/>
          <w:sz w:val="20"/>
          <w:szCs w:val="20"/>
          <w:lang w:val="es-ES" w:eastAsia="es-ES"/>
        </w:rPr>
        <w:t xml:space="preserve">víctima.  Alega </w:t>
      </w:r>
      <w:r w:rsidRPr="006A3A62">
        <w:rPr>
          <w:rFonts w:ascii="Cambria" w:hAnsi="Cambria" w:cs="Tahoma"/>
          <w:color w:val="000000"/>
          <w:sz w:val="20"/>
          <w:szCs w:val="20"/>
          <w:lang w:val="es-ES" w:eastAsia="es-ES"/>
        </w:rPr>
        <w:t>que ha cumplido con el pago y que ha satisfecho la necesidad del peticionario</w:t>
      </w:r>
      <w:r w:rsidR="00257AA1" w:rsidRPr="006A3A62">
        <w:rPr>
          <w:rFonts w:ascii="Cambria" w:hAnsi="Cambria" w:cs="Tahoma"/>
          <w:color w:val="000000"/>
          <w:sz w:val="20"/>
          <w:szCs w:val="20"/>
          <w:lang w:val="es-ES" w:eastAsia="es-ES"/>
        </w:rPr>
        <w:t>, en</w:t>
      </w:r>
      <w:r w:rsidR="00702847" w:rsidRPr="006A3A62">
        <w:rPr>
          <w:rFonts w:ascii="Cambria" w:hAnsi="Cambria" w:cs="Tahoma"/>
          <w:color w:val="000000"/>
          <w:sz w:val="20"/>
          <w:szCs w:val="20"/>
          <w:lang w:val="es-ES" w:eastAsia="es-ES"/>
        </w:rPr>
        <w:t xml:space="preserve"> e</w:t>
      </w:r>
      <w:r w:rsidR="00257AA1" w:rsidRPr="006A3A62">
        <w:rPr>
          <w:rFonts w:ascii="Cambria" w:hAnsi="Cambria" w:cs="Tahoma"/>
          <w:color w:val="000000"/>
          <w:sz w:val="20"/>
          <w:szCs w:val="20"/>
          <w:lang w:val="es-ES" w:eastAsia="es-ES"/>
        </w:rPr>
        <w:t>l marco del proceso de solución amistosa iniciado a instancias del Estado</w:t>
      </w:r>
      <w:r w:rsidRPr="006A3A62">
        <w:rPr>
          <w:rFonts w:ascii="Cambria" w:hAnsi="Cambria" w:cs="Tahoma"/>
          <w:color w:val="000000"/>
          <w:sz w:val="20"/>
          <w:szCs w:val="20"/>
          <w:lang w:val="es-ES" w:eastAsia="es-ES"/>
        </w:rPr>
        <w:t>.</w:t>
      </w:r>
      <w:r w:rsidR="002307D9" w:rsidRPr="006A3A62">
        <w:rPr>
          <w:rFonts w:ascii="Cambria" w:hAnsi="Cambria" w:cs="Tahoma"/>
          <w:color w:val="000000"/>
          <w:sz w:val="20"/>
          <w:szCs w:val="20"/>
          <w:lang w:val="es-ES" w:eastAsia="es-ES"/>
        </w:rPr>
        <w:t xml:space="preserve">  El Estado no informó sobre el monto específico</w:t>
      </w:r>
      <w:r w:rsidR="000E4892" w:rsidRPr="006A3A62">
        <w:rPr>
          <w:rFonts w:ascii="Cambria" w:hAnsi="Cambria" w:cs="Tahoma"/>
          <w:color w:val="000000"/>
          <w:sz w:val="20"/>
          <w:szCs w:val="20"/>
          <w:lang w:val="es-ES" w:eastAsia="es-ES"/>
        </w:rPr>
        <w:t xml:space="preserve"> que fue</w:t>
      </w:r>
      <w:r w:rsidR="002307D9" w:rsidRPr="006A3A62">
        <w:rPr>
          <w:rFonts w:ascii="Cambria" w:hAnsi="Cambria" w:cs="Tahoma"/>
          <w:color w:val="000000"/>
          <w:sz w:val="20"/>
          <w:szCs w:val="20"/>
          <w:lang w:val="es-ES" w:eastAsia="es-ES"/>
        </w:rPr>
        <w:t xml:space="preserve"> pagado al peticionario.</w:t>
      </w:r>
    </w:p>
    <w:p w:rsidR="00BB1E30" w:rsidRDefault="00BB1E30" w:rsidP="00BB1E30">
      <w:pPr>
        <w:ind w:firstLine="708"/>
        <w:jc w:val="both"/>
        <w:rPr>
          <w:rFonts w:ascii="Cambria" w:hAnsi="Cambria"/>
          <w:b/>
          <w:color w:val="000000"/>
          <w:sz w:val="20"/>
          <w:szCs w:val="20"/>
          <w:lang w:val="es-ES" w:eastAsia="es-ES"/>
        </w:rPr>
      </w:pPr>
    </w:p>
    <w:p w:rsidR="00BB1E30" w:rsidRPr="00BB1E30" w:rsidRDefault="000F014A" w:rsidP="00BB1E30">
      <w:pPr>
        <w:ind w:firstLine="708"/>
        <w:jc w:val="both"/>
        <w:rPr>
          <w:rFonts w:ascii="Cambria" w:hAnsi="Cambria" w:cs="Tahoma"/>
          <w:color w:val="000000"/>
          <w:sz w:val="20"/>
          <w:szCs w:val="20"/>
          <w:lang w:val="es-ES" w:eastAsia="es-ES"/>
        </w:rPr>
      </w:pPr>
      <w:r>
        <w:rPr>
          <w:rFonts w:ascii="Cambria" w:hAnsi="Cambria"/>
          <w:b/>
          <w:color w:val="000000"/>
          <w:sz w:val="20"/>
          <w:szCs w:val="20"/>
          <w:lang w:val="es-ES" w:eastAsia="es-ES"/>
        </w:rPr>
        <w:t>I</w:t>
      </w:r>
      <w:r w:rsidR="00BB1E30">
        <w:rPr>
          <w:rFonts w:ascii="Cambria" w:hAnsi="Cambria"/>
          <w:b/>
          <w:color w:val="000000"/>
          <w:sz w:val="20"/>
          <w:szCs w:val="20"/>
          <w:lang w:val="es-ES" w:eastAsia="es-ES"/>
        </w:rPr>
        <w:t>V.</w:t>
      </w:r>
      <w:r w:rsidR="00BB1E30">
        <w:rPr>
          <w:rFonts w:ascii="Cambria" w:hAnsi="Cambria"/>
          <w:b/>
          <w:color w:val="000000"/>
          <w:sz w:val="20"/>
          <w:szCs w:val="20"/>
          <w:lang w:val="es-ES" w:eastAsia="es-ES"/>
        </w:rPr>
        <w:tab/>
      </w:r>
      <w:r w:rsidR="006A09FA" w:rsidRPr="00BB1E30">
        <w:rPr>
          <w:rFonts w:ascii="Cambria" w:hAnsi="Cambria"/>
          <w:b/>
          <w:color w:val="000000"/>
          <w:sz w:val="20"/>
          <w:szCs w:val="20"/>
          <w:lang w:val="es-ES" w:eastAsia="es-ES"/>
        </w:rPr>
        <w:t>ANÁLISIS</w:t>
      </w:r>
    </w:p>
    <w:p w:rsidR="00BB1E30" w:rsidRDefault="00BB1E30" w:rsidP="00BB1E30">
      <w:pPr>
        <w:jc w:val="both"/>
        <w:rPr>
          <w:rFonts w:ascii="Cambria" w:hAnsi="Cambria"/>
          <w:b/>
          <w:color w:val="000000"/>
          <w:sz w:val="20"/>
          <w:szCs w:val="20"/>
          <w:lang w:val="es-ES" w:eastAsia="es-ES"/>
        </w:rPr>
      </w:pPr>
    </w:p>
    <w:p w:rsidR="00BB1E30" w:rsidRPr="00BB1E30" w:rsidRDefault="006A09FA" w:rsidP="00874568">
      <w:pPr>
        <w:pStyle w:val="ListParagraph"/>
        <w:numPr>
          <w:ilvl w:val="0"/>
          <w:numId w:val="36"/>
        </w:numPr>
        <w:ind w:left="1440" w:hanging="732"/>
        <w:jc w:val="both"/>
        <w:rPr>
          <w:rFonts w:ascii="Cambria" w:hAnsi="Cambria" w:cs="Tahoma"/>
          <w:color w:val="000000"/>
          <w:sz w:val="20"/>
          <w:szCs w:val="20"/>
          <w:lang w:val="es-ES" w:eastAsia="es-ES"/>
        </w:rPr>
      </w:pPr>
      <w:r w:rsidRPr="00BB1E30">
        <w:rPr>
          <w:rFonts w:ascii="Cambria" w:hAnsi="Cambria"/>
          <w:b/>
          <w:color w:val="000000"/>
          <w:sz w:val="20"/>
          <w:szCs w:val="20"/>
          <w:lang w:val="es-ES" w:eastAsia="es-ES"/>
        </w:rPr>
        <w:t xml:space="preserve">Competencia </w:t>
      </w:r>
      <w:r w:rsidRPr="00BB1E30">
        <w:rPr>
          <w:rFonts w:ascii="Cambria" w:hAnsi="Cambria"/>
          <w:b/>
          <w:i/>
          <w:color w:val="000000"/>
          <w:sz w:val="20"/>
          <w:szCs w:val="20"/>
          <w:lang w:val="es-ES" w:eastAsia="es-ES"/>
        </w:rPr>
        <w:t>ratione personae</w:t>
      </w:r>
      <w:r w:rsidRPr="00BB1E30">
        <w:rPr>
          <w:rFonts w:ascii="Cambria" w:hAnsi="Cambria"/>
          <w:b/>
          <w:color w:val="000000"/>
          <w:sz w:val="20"/>
          <w:szCs w:val="20"/>
          <w:lang w:val="es-ES" w:eastAsia="es-ES"/>
        </w:rPr>
        <w:t xml:space="preserve">, </w:t>
      </w:r>
      <w:r w:rsidRPr="00BB1E30">
        <w:rPr>
          <w:rFonts w:ascii="Cambria" w:hAnsi="Cambria"/>
          <w:b/>
          <w:i/>
          <w:color w:val="000000"/>
          <w:sz w:val="20"/>
          <w:szCs w:val="20"/>
          <w:lang w:val="es-ES" w:eastAsia="es-ES"/>
        </w:rPr>
        <w:t>ratione loci</w:t>
      </w:r>
      <w:r w:rsidRPr="00BB1E30">
        <w:rPr>
          <w:rFonts w:ascii="Cambria" w:hAnsi="Cambria"/>
          <w:b/>
          <w:color w:val="000000"/>
          <w:sz w:val="20"/>
          <w:szCs w:val="20"/>
          <w:lang w:val="es-ES" w:eastAsia="es-ES"/>
        </w:rPr>
        <w:t xml:space="preserve">, </w:t>
      </w:r>
      <w:r w:rsidRPr="00BB1E30">
        <w:rPr>
          <w:rFonts w:ascii="Cambria" w:hAnsi="Cambria"/>
          <w:b/>
          <w:i/>
          <w:color w:val="000000"/>
          <w:sz w:val="20"/>
          <w:szCs w:val="20"/>
          <w:lang w:val="es-ES" w:eastAsia="es-ES"/>
        </w:rPr>
        <w:t>ratione temporis</w:t>
      </w:r>
      <w:r w:rsidRPr="00BB1E30">
        <w:rPr>
          <w:rFonts w:ascii="Cambria" w:hAnsi="Cambria"/>
          <w:b/>
          <w:color w:val="000000"/>
          <w:sz w:val="20"/>
          <w:szCs w:val="20"/>
          <w:lang w:val="es-ES" w:eastAsia="es-ES"/>
        </w:rPr>
        <w:t xml:space="preserve"> y </w:t>
      </w:r>
      <w:r w:rsidRPr="00BB1E30">
        <w:rPr>
          <w:rFonts w:ascii="Cambria" w:hAnsi="Cambria"/>
          <w:b/>
          <w:i/>
          <w:color w:val="000000"/>
          <w:sz w:val="20"/>
          <w:szCs w:val="20"/>
          <w:lang w:val="es-ES" w:eastAsia="es-ES"/>
        </w:rPr>
        <w:t>ratione materiae</w:t>
      </w:r>
      <w:r w:rsidRPr="00BB1E30">
        <w:rPr>
          <w:rFonts w:ascii="Cambria" w:hAnsi="Cambria"/>
          <w:b/>
          <w:color w:val="000000"/>
          <w:sz w:val="20"/>
          <w:szCs w:val="20"/>
          <w:lang w:val="es-ES" w:eastAsia="es-ES"/>
        </w:rPr>
        <w:t xml:space="preserve"> de la Comisión</w:t>
      </w:r>
    </w:p>
    <w:p w:rsidR="00BB1E30" w:rsidRPr="00BB1E30" w:rsidRDefault="00BB1E30" w:rsidP="00C9112A">
      <w:pPr>
        <w:jc w:val="both"/>
        <w:rPr>
          <w:rFonts w:ascii="Cambria" w:hAnsi="Cambria" w:cs="Tahoma"/>
          <w:color w:val="000000"/>
          <w:sz w:val="20"/>
          <w:szCs w:val="20"/>
          <w:lang w:val="es-ES" w:eastAsia="es-ES"/>
        </w:rPr>
      </w:pPr>
    </w:p>
    <w:p w:rsidR="00BB1E30" w:rsidRDefault="000C02A7" w:rsidP="00BB1E30">
      <w:pPr>
        <w:numPr>
          <w:ilvl w:val="0"/>
          <w:numId w:val="31"/>
        </w:numPr>
        <w:ind w:left="0"/>
        <w:jc w:val="both"/>
        <w:rPr>
          <w:rFonts w:ascii="Cambria" w:hAnsi="Cambria" w:cs="Tahoma"/>
          <w:color w:val="000000"/>
          <w:sz w:val="20"/>
          <w:szCs w:val="20"/>
          <w:lang w:val="es-ES" w:eastAsia="es-ES"/>
        </w:rPr>
      </w:pPr>
      <w:r w:rsidRPr="00BB1E30">
        <w:rPr>
          <w:rFonts w:ascii="Cambria" w:hAnsi="Cambria"/>
          <w:color w:val="000000"/>
          <w:sz w:val="20"/>
          <w:szCs w:val="20"/>
          <w:lang w:val="es-ES" w:eastAsia="es-ES"/>
        </w:rPr>
        <w:t>Los</w:t>
      </w:r>
      <w:r w:rsidR="00CE7B53" w:rsidRPr="00BB1E30">
        <w:rPr>
          <w:rFonts w:ascii="Cambria" w:hAnsi="Cambria"/>
          <w:color w:val="000000"/>
          <w:sz w:val="20"/>
          <w:szCs w:val="20"/>
          <w:lang w:val="es-ES" w:eastAsia="es-ES"/>
        </w:rPr>
        <w:t xml:space="preserve"> peticionario</w:t>
      </w:r>
      <w:r w:rsidRPr="00BB1E30">
        <w:rPr>
          <w:rFonts w:ascii="Cambria" w:hAnsi="Cambria"/>
          <w:color w:val="000000"/>
          <w:sz w:val="20"/>
          <w:szCs w:val="20"/>
          <w:lang w:val="es-ES" w:eastAsia="es-ES"/>
        </w:rPr>
        <w:t>s</w:t>
      </w:r>
      <w:r w:rsidR="00CE7B53" w:rsidRPr="00BB1E30">
        <w:rPr>
          <w:rFonts w:ascii="Cambria" w:hAnsi="Cambria"/>
          <w:color w:val="000000"/>
          <w:sz w:val="20"/>
          <w:szCs w:val="20"/>
          <w:lang w:val="es-ES" w:eastAsia="es-ES"/>
        </w:rPr>
        <w:t xml:space="preserve"> está</w:t>
      </w:r>
      <w:r w:rsidRPr="00BB1E30">
        <w:rPr>
          <w:rFonts w:ascii="Cambria" w:hAnsi="Cambria"/>
          <w:color w:val="000000"/>
          <w:sz w:val="20"/>
          <w:szCs w:val="20"/>
          <w:lang w:val="es-ES" w:eastAsia="es-ES"/>
        </w:rPr>
        <w:t>n</w:t>
      </w:r>
      <w:r w:rsidR="00CE7B53" w:rsidRPr="00BB1E30">
        <w:rPr>
          <w:rFonts w:ascii="Cambria" w:hAnsi="Cambria"/>
          <w:color w:val="000000"/>
          <w:sz w:val="20"/>
          <w:szCs w:val="20"/>
          <w:lang w:val="es-ES" w:eastAsia="es-ES"/>
        </w:rPr>
        <w:t xml:space="preserve"> legitimado</w:t>
      </w:r>
      <w:r w:rsidRPr="00BB1E30">
        <w:rPr>
          <w:rFonts w:ascii="Cambria" w:hAnsi="Cambria"/>
          <w:color w:val="000000"/>
          <w:sz w:val="20"/>
          <w:szCs w:val="20"/>
          <w:lang w:val="es-ES" w:eastAsia="es-ES"/>
        </w:rPr>
        <w:t>s</w:t>
      </w:r>
      <w:r w:rsidR="00CE7B53" w:rsidRPr="00BB1E30">
        <w:rPr>
          <w:rFonts w:ascii="Cambria" w:hAnsi="Cambria"/>
          <w:color w:val="000000"/>
          <w:sz w:val="20"/>
          <w:szCs w:val="20"/>
          <w:lang w:val="es-ES" w:eastAsia="es-ES"/>
        </w:rPr>
        <w:t xml:space="preserve"> para presentar una petición ante la Comisión conforme a lo previsto en el artículo 44 de la Convención Americana y 23 de su Reglamento.  La petición señala como presunta víctima a </w:t>
      </w:r>
      <w:r w:rsidR="002A3E8D" w:rsidRPr="00BB1E30">
        <w:rPr>
          <w:rFonts w:ascii="Cambria" w:hAnsi="Cambria"/>
          <w:color w:val="000000"/>
          <w:sz w:val="20"/>
          <w:szCs w:val="20"/>
          <w:lang w:val="es-ES" w:eastAsia="es-ES"/>
        </w:rPr>
        <w:t>un individuo respecto del cual</w:t>
      </w:r>
      <w:r w:rsidR="00CE7B53" w:rsidRPr="00BB1E30">
        <w:rPr>
          <w:rFonts w:ascii="Cambria" w:hAnsi="Cambria"/>
          <w:color w:val="000000"/>
          <w:sz w:val="20"/>
          <w:szCs w:val="20"/>
          <w:lang w:val="es-ES" w:eastAsia="es-ES"/>
        </w:rPr>
        <w:t xml:space="preserve"> el Estado ha asumido el compromiso de respetar y garantizar los derechos reconocidos por la Declaración Americana y la Convención Americana.  En cuanto al Estado, la Comisión toma nota de que Argentina es un Estado parte de la Convención Americana desde el 5 de septiembre de 1984, fecha en que depositó s</w:t>
      </w:r>
      <w:r w:rsidR="00626403" w:rsidRPr="00BB1E30">
        <w:rPr>
          <w:rFonts w:ascii="Cambria" w:hAnsi="Cambria"/>
          <w:color w:val="000000"/>
          <w:sz w:val="20"/>
          <w:szCs w:val="20"/>
          <w:lang w:val="es-ES" w:eastAsia="es-ES"/>
        </w:rPr>
        <w:t xml:space="preserve">u instrumento de ratificación y que es parte de la Convención contra la Tortura desde la fecha del depósito de su instrumento de ratificación el 31 de marzo de 1989.  </w:t>
      </w:r>
      <w:r w:rsidR="00CE7B53" w:rsidRPr="00BB1E30">
        <w:rPr>
          <w:rFonts w:ascii="Cambria" w:hAnsi="Cambria"/>
          <w:color w:val="000000"/>
          <w:sz w:val="20"/>
          <w:szCs w:val="20"/>
          <w:lang w:val="es-ES" w:eastAsia="es-ES"/>
        </w:rPr>
        <w:t xml:space="preserve">Asimismo, el Estado está obligado a respetar las disposiciones de la Declaración Americana y la CIDH es competente para recibir peticiones que aleguen violaciones perpetradas por el Estado contenidas en el mencionado instrumento, al haber ratificado la Carta de la OEA el 19 de enero de 1956 y estar sometido a la </w:t>
      </w:r>
      <w:r w:rsidR="00951179" w:rsidRPr="00BB1E30">
        <w:rPr>
          <w:rFonts w:ascii="Cambria" w:hAnsi="Cambria"/>
          <w:color w:val="000000"/>
          <w:sz w:val="20"/>
          <w:szCs w:val="20"/>
          <w:lang w:val="es-ES" w:eastAsia="es-ES"/>
        </w:rPr>
        <w:t>competencia</w:t>
      </w:r>
      <w:r w:rsidR="00CE7B53" w:rsidRPr="00BB1E30">
        <w:rPr>
          <w:rFonts w:ascii="Cambria" w:hAnsi="Cambria"/>
          <w:color w:val="000000"/>
          <w:sz w:val="20"/>
          <w:szCs w:val="20"/>
          <w:lang w:val="es-ES" w:eastAsia="es-ES"/>
        </w:rPr>
        <w:t xml:space="preserve"> de la Comisión desde 19</w:t>
      </w:r>
      <w:r w:rsidR="00951179" w:rsidRPr="00BB1E30">
        <w:rPr>
          <w:rFonts w:ascii="Cambria" w:hAnsi="Cambria"/>
          <w:color w:val="000000"/>
          <w:sz w:val="20"/>
          <w:szCs w:val="20"/>
          <w:lang w:val="es-ES" w:eastAsia="es-ES"/>
        </w:rPr>
        <w:t>65</w:t>
      </w:r>
      <w:r w:rsidR="00CE7B53" w:rsidRPr="00BB1E30">
        <w:rPr>
          <w:rFonts w:ascii="Cambria" w:hAnsi="Cambria"/>
          <w:color w:val="000000"/>
          <w:sz w:val="20"/>
          <w:szCs w:val="20"/>
          <w:lang w:val="es-ES" w:eastAsia="es-ES"/>
        </w:rPr>
        <w:t xml:space="preserve">.  Por lo tanto, la Comisión posee competencia </w:t>
      </w:r>
      <w:r w:rsidR="00CE7B53" w:rsidRPr="00BB1E30">
        <w:rPr>
          <w:rFonts w:ascii="Cambria" w:hAnsi="Cambria"/>
          <w:i/>
          <w:color w:val="000000"/>
          <w:sz w:val="20"/>
          <w:szCs w:val="20"/>
          <w:lang w:val="es-ES" w:eastAsia="es-ES"/>
        </w:rPr>
        <w:t>ratione personae</w:t>
      </w:r>
      <w:r w:rsidR="002558C7" w:rsidRPr="00BB1E30">
        <w:rPr>
          <w:rFonts w:ascii="Cambria" w:hAnsi="Cambria"/>
          <w:color w:val="000000"/>
          <w:sz w:val="20"/>
          <w:szCs w:val="20"/>
          <w:lang w:val="es-ES" w:eastAsia="es-ES"/>
        </w:rPr>
        <w:t xml:space="preserve"> para examinar la petición respecto de la Declaración Americana, de la Convención Americana y de la Convención contra la Tortura</w:t>
      </w:r>
      <w:r w:rsidR="00951179" w:rsidRPr="00BB1E30">
        <w:rPr>
          <w:rFonts w:ascii="Cambria" w:hAnsi="Cambria"/>
          <w:color w:val="000000"/>
          <w:sz w:val="20"/>
          <w:szCs w:val="20"/>
          <w:lang w:val="es-ES" w:eastAsia="es-ES"/>
        </w:rPr>
        <w:t xml:space="preserve"> desde la entrada en vigencia de las respectivas obligaciones</w:t>
      </w:r>
      <w:r w:rsidR="002558C7" w:rsidRPr="00BB1E30">
        <w:rPr>
          <w:rFonts w:ascii="Cambria" w:hAnsi="Cambria"/>
          <w:color w:val="000000"/>
          <w:sz w:val="20"/>
          <w:szCs w:val="20"/>
          <w:lang w:val="es-ES" w:eastAsia="es-ES"/>
        </w:rPr>
        <w:t>.</w:t>
      </w:r>
    </w:p>
    <w:p w:rsidR="00BB1E30" w:rsidRDefault="00BB1E30" w:rsidP="00BB1E30">
      <w:pPr>
        <w:ind w:left="720"/>
        <w:jc w:val="both"/>
        <w:rPr>
          <w:rFonts w:ascii="Cambria" w:hAnsi="Cambria" w:cs="Tahoma"/>
          <w:color w:val="000000"/>
          <w:sz w:val="20"/>
          <w:szCs w:val="20"/>
          <w:lang w:val="es-ES" w:eastAsia="es-ES"/>
        </w:rPr>
      </w:pPr>
    </w:p>
    <w:p w:rsidR="00BB1E30" w:rsidRDefault="00CE7B53" w:rsidP="00BB1E30">
      <w:pPr>
        <w:numPr>
          <w:ilvl w:val="0"/>
          <w:numId w:val="31"/>
        </w:numPr>
        <w:ind w:left="0"/>
        <w:jc w:val="both"/>
        <w:rPr>
          <w:rFonts w:ascii="Cambria" w:hAnsi="Cambria" w:cs="Tahoma"/>
          <w:color w:val="000000"/>
          <w:sz w:val="20"/>
          <w:szCs w:val="20"/>
          <w:lang w:val="es-ES" w:eastAsia="es-ES"/>
        </w:rPr>
      </w:pPr>
      <w:r w:rsidRPr="00BB1E30">
        <w:rPr>
          <w:rFonts w:ascii="Cambria" w:hAnsi="Cambria"/>
          <w:color w:val="000000"/>
          <w:sz w:val="20"/>
          <w:szCs w:val="20"/>
          <w:lang w:val="es-ES" w:eastAsia="es-ES"/>
        </w:rPr>
        <w:t xml:space="preserve">La Comisión posee competencia </w:t>
      </w:r>
      <w:r w:rsidRPr="00BB1E30">
        <w:rPr>
          <w:rFonts w:ascii="Cambria" w:hAnsi="Cambria"/>
          <w:i/>
          <w:color w:val="000000"/>
          <w:sz w:val="20"/>
          <w:szCs w:val="20"/>
          <w:lang w:val="es-ES" w:eastAsia="es-ES"/>
        </w:rPr>
        <w:t>ratione loci</w:t>
      </w:r>
      <w:r w:rsidRPr="00BB1E30">
        <w:rPr>
          <w:rFonts w:ascii="Cambria" w:hAnsi="Cambria"/>
          <w:color w:val="000000"/>
          <w:sz w:val="20"/>
          <w:szCs w:val="20"/>
          <w:lang w:val="es-ES" w:eastAsia="es-ES"/>
        </w:rPr>
        <w:t xml:space="preserve"> para considerar la petición, ya que en ésta se alegan violaciones de derechos protegidos por la Declaración Americana y la Convención Americana ocurridos dentro del territorio de un Estado parte de la misma.  Asimismo, la Comisión posee competencia </w:t>
      </w:r>
      <w:r w:rsidRPr="00BB1E30">
        <w:rPr>
          <w:rFonts w:ascii="Cambria" w:hAnsi="Cambria"/>
          <w:i/>
          <w:color w:val="000000"/>
          <w:sz w:val="20"/>
          <w:szCs w:val="20"/>
          <w:lang w:val="es-ES" w:eastAsia="es-ES"/>
        </w:rPr>
        <w:t>ratione materiae</w:t>
      </w:r>
      <w:r w:rsidRPr="00BB1E30">
        <w:rPr>
          <w:rFonts w:ascii="Cambria" w:hAnsi="Cambria"/>
          <w:color w:val="000000"/>
          <w:sz w:val="20"/>
          <w:szCs w:val="20"/>
          <w:lang w:val="es-ES" w:eastAsia="es-ES"/>
        </w:rPr>
        <w:t xml:space="preserve"> porque en la petición se aducen violaciones de derechos humanos protegido</w:t>
      </w:r>
      <w:r w:rsidR="00951179" w:rsidRPr="00BB1E30">
        <w:rPr>
          <w:rFonts w:ascii="Cambria" w:hAnsi="Cambria"/>
          <w:color w:val="000000"/>
          <w:sz w:val="20"/>
          <w:szCs w:val="20"/>
          <w:lang w:val="es-ES" w:eastAsia="es-ES"/>
        </w:rPr>
        <w:t>s por la Declaración Americana,</w:t>
      </w:r>
      <w:r w:rsidRPr="00BB1E30">
        <w:rPr>
          <w:rFonts w:ascii="Cambria" w:hAnsi="Cambria"/>
          <w:color w:val="000000"/>
          <w:sz w:val="20"/>
          <w:szCs w:val="20"/>
          <w:lang w:val="es-ES" w:eastAsia="es-ES"/>
        </w:rPr>
        <w:t xml:space="preserve"> la Convención Americana</w:t>
      </w:r>
      <w:r w:rsidR="00951179" w:rsidRPr="00BB1E30">
        <w:rPr>
          <w:rFonts w:ascii="Cambria" w:hAnsi="Cambria"/>
          <w:color w:val="000000"/>
          <w:sz w:val="20"/>
          <w:szCs w:val="20"/>
          <w:lang w:val="es-ES" w:eastAsia="es-ES"/>
        </w:rPr>
        <w:t xml:space="preserve"> y la Convención contra la Tortura</w:t>
      </w:r>
      <w:r w:rsidRPr="00BB1E30">
        <w:rPr>
          <w:rFonts w:ascii="Cambria" w:hAnsi="Cambria"/>
          <w:color w:val="000000"/>
          <w:sz w:val="20"/>
          <w:szCs w:val="20"/>
          <w:lang w:val="es-ES" w:eastAsia="es-ES"/>
        </w:rPr>
        <w:t>.</w:t>
      </w:r>
    </w:p>
    <w:p w:rsidR="00BB1E30" w:rsidRPr="00BB1E30" w:rsidRDefault="00BB1E30" w:rsidP="00BB1E30">
      <w:pPr>
        <w:ind w:left="720"/>
        <w:jc w:val="both"/>
        <w:rPr>
          <w:rFonts w:ascii="Cambria" w:hAnsi="Cambria" w:cs="Tahoma"/>
          <w:color w:val="000000"/>
          <w:sz w:val="20"/>
          <w:szCs w:val="20"/>
          <w:lang w:val="es-ES" w:eastAsia="es-ES"/>
        </w:rPr>
      </w:pPr>
    </w:p>
    <w:p w:rsidR="0029044C" w:rsidRPr="0029044C" w:rsidRDefault="00CE7B53" w:rsidP="0029044C">
      <w:pPr>
        <w:numPr>
          <w:ilvl w:val="0"/>
          <w:numId w:val="31"/>
        </w:numPr>
        <w:ind w:left="0"/>
        <w:jc w:val="both"/>
        <w:rPr>
          <w:rFonts w:ascii="Cambria" w:hAnsi="Cambria" w:cs="Tahoma"/>
          <w:color w:val="000000"/>
          <w:sz w:val="20"/>
          <w:szCs w:val="20"/>
          <w:lang w:val="es-ES" w:eastAsia="es-ES"/>
        </w:rPr>
      </w:pPr>
      <w:r w:rsidRPr="00BB1E30">
        <w:rPr>
          <w:rFonts w:ascii="Cambria" w:hAnsi="Cambria"/>
          <w:color w:val="000000"/>
          <w:sz w:val="20"/>
          <w:szCs w:val="20"/>
          <w:lang w:val="es-ES" w:eastAsia="es-ES"/>
        </w:rPr>
        <w:t xml:space="preserve">Respecto de la competencia </w:t>
      </w:r>
      <w:r w:rsidRPr="00BB1E30">
        <w:rPr>
          <w:rFonts w:ascii="Cambria" w:hAnsi="Cambria"/>
          <w:i/>
          <w:color w:val="000000"/>
          <w:sz w:val="20"/>
          <w:szCs w:val="20"/>
          <w:lang w:val="es-ES" w:eastAsia="es-ES"/>
        </w:rPr>
        <w:t>ratione temporis</w:t>
      </w:r>
      <w:r w:rsidRPr="00BB1E30">
        <w:rPr>
          <w:rFonts w:ascii="Cambria" w:hAnsi="Cambria"/>
          <w:color w:val="000000"/>
          <w:sz w:val="20"/>
          <w:szCs w:val="20"/>
          <w:lang w:val="es-ES" w:eastAsia="es-ES"/>
        </w:rPr>
        <w:t xml:space="preserve">, la Comisión toma nota de que las alegadas violaciones a los derechos de la presunta víctima relacionadas con su </w:t>
      </w:r>
      <w:r w:rsidR="002A3E8D" w:rsidRPr="00BB1E30">
        <w:rPr>
          <w:rFonts w:ascii="Cambria" w:hAnsi="Cambria"/>
          <w:color w:val="000000"/>
          <w:sz w:val="20"/>
          <w:szCs w:val="20"/>
          <w:lang w:val="es-ES" w:eastAsia="es-ES"/>
        </w:rPr>
        <w:t xml:space="preserve">detención y </w:t>
      </w:r>
      <w:r w:rsidR="000C02A7" w:rsidRPr="00BB1E30">
        <w:rPr>
          <w:rFonts w:ascii="Cambria" w:hAnsi="Cambria"/>
          <w:color w:val="000000"/>
          <w:sz w:val="20"/>
          <w:szCs w:val="20"/>
          <w:lang w:val="es-ES" w:eastAsia="es-ES"/>
        </w:rPr>
        <w:t xml:space="preserve">presunta </w:t>
      </w:r>
      <w:r w:rsidR="002A3E8D" w:rsidRPr="00BB1E30">
        <w:rPr>
          <w:rFonts w:ascii="Cambria" w:hAnsi="Cambria"/>
          <w:color w:val="000000"/>
          <w:sz w:val="20"/>
          <w:szCs w:val="20"/>
          <w:lang w:val="es-ES" w:eastAsia="es-ES"/>
        </w:rPr>
        <w:t xml:space="preserve">tortura, </w:t>
      </w:r>
      <w:r w:rsidRPr="00BB1E30">
        <w:rPr>
          <w:rFonts w:ascii="Cambria" w:hAnsi="Cambria"/>
          <w:color w:val="000000"/>
          <w:sz w:val="20"/>
          <w:szCs w:val="20"/>
          <w:lang w:val="es-ES" w:eastAsia="es-ES"/>
        </w:rPr>
        <w:t xml:space="preserve">ocurrieron antes de que Argentina ratificara la Convención Americana el 5 de septiembre de 1984.  En virtud de ello, la fuente de derecho aplicable es la Declaración Americana.  No obstante, la CIDH toma nota que, respecto de los </w:t>
      </w:r>
      <w:r w:rsidR="00C36B02" w:rsidRPr="00BB1E30">
        <w:rPr>
          <w:rFonts w:ascii="Cambria" w:hAnsi="Cambria"/>
          <w:color w:val="000000"/>
          <w:sz w:val="20"/>
          <w:szCs w:val="20"/>
          <w:lang w:val="es-ES" w:eastAsia="es-ES"/>
        </w:rPr>
        <w:t xml:space="preserve">presuntos </w:t>
      </w:r>
      <w:r w:rsidRPr="00BB1E30">
        <w:rPr>
          <w:rFonts w:ascii="Cambria" w:hAnsi="Cambria"/>
          <w:color w:val="000000"/>
          <w:sz w:val="20"/>
          <w:szCs w:val="20"/>
          <w:lang w:val="es-ES" w:eastAsia="es-ES"/>
        </w:rPr>
        <w:t xml:space="preserve">hechos ocurridos a partir del 5 de septiembre de 1984 </w:t>
      </w:r>
      <w:r w:rsidR="002A3E8D" w:rsidRPr="00BB1E30">
        <w:rPr>
          <w:rFonts w:ascii="Cambria" w:hAnsi="Cambria"/>
          <w:color w:val="000000"/>
          <w:sz w:val="20"/>
          <w:szCs w:val="20"/>
          <w:lang w:val="es-ES" w:eastAsia="es-ES"/>
        </w:rPr>
        <w:t xml:space="preserve">y del 31 de marzo de 1989 </w:t>
      </w:r>
      <w:r w:rsidRPr="00BB1E30">
        <w:rPr>
          <w:rFonts w:ascii="Cambria" w:hAnsi="Cambria"/>
          <w:color w:val="000000"/>
          <w:sz w:val="20"/>
          <w:szCs w:val="20"/>
          <w:lang w:val="es-ES" w:eastAsia="es-ES"/>
        </w:rPr>
        <w:t>o aquéllos que pudiera considerar oportunamente como una situación de violación continuada de derechos que siguiera existiendo después de aquella fec</w:t>
      </w:r>
      <w:r w:rsidR="000C02A7" w:rsidRPr="00BB1E30">
        <w:rPr>
          <w:rFonts w:ascii="Cambria" w:hAnsi="Cambria"/>
          <w:color w:val="000000"/>
          <w:sz w:val="20"/>
          <w:szCs w:val="20"/>
          <w:lang w:val="es-ES" w:eastAsia="es-ES"/>
        </w:rPr>
        <w:t>ha, la Comisión</w:t>
      </w:r>
      <w:r w:rsidRPr="00BB1E30">
        <w:rPr>
          <w:rFonts w:ascii="Cambria" w:hAnsi="Cambria"/>
          <w:color w:val="000000"/>
          <w:sz w:val="20"/>
          <w:szCs w:val="20"/>
          <w:lang w:val="es-ES" w:eastAsia="es-ES"/>
        </w:rPr>
        <w:t xml:space="preserve"> tiene competencia </w:t>
      </w:r>
      <w:r w:rsidRPr="00BB1E30">
        <w:rPr>
          <w:rFonts w:ascii="Cambria" w:hAnsi="Cambria"/>
          <w:i/>
          <w:color w:val="000000"/>
          <w:sz w:val="20"/>
          <w:szCs w:val="20"/>
          <w:lang w:val="es-ES" w:eastAsia="es-ES"/>
        </w:rPr>
        <w:t>ratione temporis</w:t>
      </w:r>
      <w:r w:rsidRPr="00BB1E30">
        <w:rPr>
          <w:rFonts w:ascii="Cambria" w:hAnsi="Cambria"/>
          <w:color w:val="000000"/>
          <w:sz w:val="20"/>
          <w:szCs w:val="20"/>
          <w:lang w:val="es-ES" w:eastAsia="es-ES"/>
        </w:rPr>
        <w:t xml:space="preserve"> para examinar esta petición bajo la Convención Americana</w:t>
      </w:r>
      <w:r w:rsidR="002558C7" w:rsidRPr="00BB1E30">
        <w:rPr>
          <w:rFonts w:ascii="Cambria" w:hAnsi="Cambria"/>
          <w:color w:val="000000"/>
          <w:sz w:val="20"/>
          <w:szCs w:val="20"/>
          <w:lang w:val="es-ES" w:eastAsia="es-ES"/>
        </w:rPr>
        <w:t xml:space="preserve"> y la Convención contra la Tortura</w:t>
      </w:r>
      <w:r w:rsidR="005502A1" w:rsidRPr="00BB1E30">
        <w:rPr>
          <w:rFonts w:ascii="Cambria" w:hAnsi="Cambria"/>
          <w:color w:val="000000"/>
          <w:sz w:val="20"/>
          <w:szCs w:val="20"/>
          <w:lang w:val="es-ES" w:eastAsia="es-ES"/>
        </w:rPr>
        <w:t>, en lo que guarda relación con el deber de investigar los alegados hechos de tortura</w:t>
      </w:r>
      <w:r w:rsidRPr="00BB1E30">
        <w:rPr>
          <w:rFonts w:ascii="Cambria" w:hAnsi="Cambria"/>
          <w:color w:val="000000"/>
          <w:sz w:val="20"/>
          <w:szCs w:val="20"/>
          <w:lang w:val="es-ES" w:eastAsia="es-ES"/>
        </w:rPr>
        <w:t>.</w:t>
      </w:r>
      <w:r w:rsidR="005502A1" w:rsidRPr="00BB1E30">
        <w:rPr>
          <w:rFonts w:ascii="Cambria" w:hAnsi="Cambria"/>
          <w:color w:val="000000"/>
          <w:sz w:val="20"/>
          <w:szCs w:val="20"/>
          <w:lang w:val="es-ES" w:eastAsia="es-ES"/>
        </w:rPr>
        <w:t xml:space="preserve"> </w:t>
      </w:r>
    </w:p>
    <w:p w:rsidR="0029044C" w:rsidRPr="0029044C" w:rsidRDefault="0029044C" w:rsidP="0029044C">
      <w:pPr>
        <w:pStyle w:val="ListParagraph"/>
        <w:ind w:left="1068"/>
        <w:jc w:val="both"/>
        <w:rPr>
          <w:rFonts w:ascii="Cambria" w:hAnsi="Cambria" w:cs="Tahoma"/>
          <w:color w:val="000000"/>
          <w:sz w:val="20"/>
          <w:szCs w:val="20"/>
          <w:lang w:val="es-ES" w:eastAsia="es-ES"/>
        </w:rPr>
      </w:pPr>
    </w:p>
    <w:p w:rsidR="0029044C" w:rsidRPr="0029044C" w:rsidRDefault="006A09FA" w:rsidP="0029044C">
      <w:pPr>
        <w:pStyle w:val="ListParagraph"/>
        <w:numPr>
          <w:ilvl w:val="0"/>
          <w:numId w:val="36"/>
        </w:numPr>
        <w:ind w:left="1440" w:hanging="720"/>
        <w:jc w:val="both"/>
        <w:rPr>
          <w:rFonts w:ascii="Cambria" w:hAnsi="Cambria" w:cs="Tahoma"/>
          <w:color w:val="000000"/>
          <w:sz w:val="20"/>
          <w:szCs w:val="20"/>
          <w:lang w:val="es-ES" w:eastAsia="es-ES"/>
        </w:rPr>
      </w:pPr>
      <w:r w:rsidRPr="0029044C">
        <w:rPr>
          <w:rFonts w:ascii="Cambria" w:hAnsi="Cambria"/>
          <w:b/>
          <w:color w:val="000000"/>
          <w:sz w:val="20"/>
          <w:szCs w:val="20"/>
          <w:lang w:val="es-ES" w:eastAsia="es-ES"/>
        </w:rPr>
        <w:lastRenderedPageBreak/>
        <w:t>Requisitos de admisibilidad</w:t>
      </w:r>
    </w:p>
    <w:p w:rsidR="0029044C" w:rsidRDefault="0029044C" w:rsidP="0029044C">
      <w:pPr>
        <w:ind w:left="708"/>
        <w:jc w:val="both"/>
        <w:rPr>
          <w:rFonts w:ascii="Cambria" w:hAnsi="Cambria"/>
          <w:b/>
          <w:color w:val="000000"/>
          <w:sz w:val="20"/>
          <w:szCs w:val="20"/>
          <w:lang w:val="es-ES" w:eastAsia="es-ES"/>
        </w:rPr>
      </w:pPr>
    </w:p>
    <w:p w:rsidR="0029044C" w:rsidRPr="0029044C" w:rsidRDefault="006A09FA" w:rsidP="0029044C">
      <w:pPr>
        <w:pStyle w:val="ListParagraph"/>
        <w:numPr>
          <w:ilvl w:val="0"/>
          <w:numId w:val="37"/>
        </w:numPr>
        <w:ind w:left="1440" w:hanging="720"/>
        <w:jc w:val="both"/>
        <w:rPr>
          <w:rFonts w:ascii="Cambria" w:hAnsi="Cambria" w:cs="Tahoma"/>
          <w:color w:val="000000"/>
          <w:sz w:val="20"/>
          <w:szCs w:val="20"/>
          <w:lang w:val="es-ES" w:eastAsia="es-ES"/>
        </w:rPr>
      </w:pPr>
      <w:r w:rsidRPr="0029044C">
        <w:rPr>
          <w:rFonts w:ascii="Cambria" w:hAnsi="Cambria"/>
          <w:b/>
          <w:color w:val="000000"/>
          <w:sz w:val="20"/>
          <w:szCs w:val="20"/>
          <w:lang w:val="es-ES" w:eastAsia="es-ES"/>
        </w:rPr>
        <w:t>Agotamiento de los recursos internos</w:t>
      </w:r>
    </w:p>
    <w:p w:rsidR="0029044C" w:rsidRPr="0029044C" w:rsidRDefault="0029044C" w:rsidP="0029044C">
      <w:pPr>
        <w:ind w:left="720"/>
        <w:jc w:val="both"/>
        <w:rPr>
          <w:rFonts w:ascii="Cambria" w:hAnsi="Cambria" w:cs="Tahoma"/>
          <w:color w:val="000000"/>
          <w:sz w:val="20"/>
          <w:szCs w:val="20"/>
          <w:lang w:val="es-ES" w:eastAsia="es-ES"/>
        </w:rPr>
      </w:pPr>
    </w:p>
    <w:p w:rsidR="0029044C" w:rsidRDefault="006A09FA" w:rsidP="0029044C">
      <w:pPr>
        <w:numPr>
          <w:ilvl w:val="0"/>
          <w:numId w:val="31"/>
        </w:numPr>
        <w:ind w:left="0"/>
        <w:jc w:val="both"/>
        <w:rPr>
          <w:rFonts w:ascii="Cambria" w:hAnsi="Cambria" w:cs="Tahoma"/>
          <w:color w:val="000000"/>
          <w:sz w:val="20"/>
          <w:szCs w:val="20"/>
          <w:lang w:val="es-ES" w:eastAsia="es-ES"/>
        </w:rPr>
      </w:pPr>
      <w:r w:rsidRPr="0029044C">
        <w:rPr>
          <w:rFonts w:ascii="Cambria" w:hAnsi="Cambria"/>
          <w:color w:val="000000"/>
          <w:sz w:val="20"/>
          <w:szCs w:val="20"/>
          <w:lang w:val="es-ES" w:eastAsia="es-ES"/>
        </w:rPr>
        <w:t xml:space="preserve">El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p>
    <w:p w:rsidR="0029044C" w:rsidRDefault="0029044C" w:rsidP="00C9112A">
      <w:pPr>
        <w:jc w:val="both"/>
        <w:rPr>
          <w:rFonts w:ascii="Cambria" w:hAnsi="Cambria" w:cs="Tahoma"/>
          <w:color w:val="000000"/>
          <w:sz w:val="20"/>
          <w:szCs w:val="20"/>
          <w:lang w:val="es-ES" w:eastAsia="es-ES"/>
        </w:rPr>
      </w:pPr>
    </w:p>
    <w:p w:rsidR="0029044C" w:rsidRPr="0029044C" w:rsidRDefault="0011514B" w:rsidP="0029044C">
      <w:pPr>
        <w:numPr>
          <w:ilvl w:val="0"/>
          <w:numId w:val="31"/>
        </w:numPr>
        <w:ind w:left="0"/>
        <w:jc w:val="both"/>
        <w:rPr>
          <w:rFonts w:ascii="Cambria" w:hAnsi="Cambria"/>
          <w:color w:val="000000"/>
          <w:sz w:val="20"/>
          <w:szCs w:val="20"/>
          <w:lang w:val="es-ES" w:eastAsia="es-ES"/>
        </w:rPr>
      </w:pPr>
      <w:r w:rsidRPr="0029044C">
        <w:rPr>
          <w:rFonts w:ascii="Cambria" w:hAnsi="Cambria"/>
          <w:color w:val="000000"/>
          <w:sz w:val="20"/>
          <w:szCs w:val="20"/>
          <w:lang w:val="es-ES" w:eastAsia="es-ES"/>
        </w:rPr>
        <w:t>Al respecto, los</w:t>
      </w:r>
      <w:r w:rsidR="006A09FA" w:rsidRPr="0029044C">
        <w:rPr>
          <w:rFonts w:ascii="Cambria" w:hAnsi="Cambria"/>
          <w:color w:val="000000"/>
          <w:sz w:val="20"/>
          <w:szCs w:val="20"/>
          <w:lang w:val="es-ES" w:eastAsia="es-ES"/>
        </w:rPr>
        <w:t xml:space="preserve"> peticionario</w:t>
      </w:r>
      <w:r w:rsidRPr="0029044C">
        <w:rPr>
          <w:rFonts w:ascii="Cambria" w:hAnsi="Cambria"/>
          <w:color w:val="000000"/>
          <w:sz w:val="20"/>
          <w:szCs w:val="20"/>
          <w:lang w:val="es-ES" w:eastAsia="es-ES"/>
        </w:rPr>
        <w:t>s</w:t>
      </w:r>
      <w:r w:rsidR="006A09FA" w:rsidRPr="0029044C">
        <w:rPr>
          <w:rFonts w:ascii="Cambria" w:hAnsi="Cambria"/>
          <w:color w:val="000000"/>
          <w:sz w:val="20"/>
          <w:szCs w:val="20"/>
          <w:lang w:val="es-ES" w:eastAsia="es-ES"/>
        </w:rPr>
        <w:t xml:space="preserve"> alega</w:t>
      </w:r>
      <w:r w:rsidRPr="0029044C">
        <w:rPr>
          <w:rFonts w:ascii="Cambria" w:hAnsi="Cambria"/>
          <w:color w:val="000000"/>
          <w:sz w:val="20"/>
          <w:szCs w:val="20"/>
          <w:lang w:val="es-ES" w:eastAsia="es-ES"/>
        </w:rPr>
        <w:t>n</w:t>
      </w:r>
      <w:r w:rsidR="006A09FA" w:rsidRPr="0029044C">
        <w:rPr>
          <w:rFonts w:ascii="Cambria" w:hAnsi="Cambria"/>
          <w:color w:val="000000"/>
          <w:sz w:val="20"/>
          <w:szCs w:val="20"/>
          <w:lang w:val="es-ES" w:eastAsia="es-ES"/>
        </w:rPr>
        <w:t xml:space="preserve"> que los recursos fueron agotados </w:t>
      </w:r>
      <w:r w:rsidRPr="0029044C">
        <w:rPr>
          <w:rFonts w:ascii="Cambria" w:hAnsi="Cambria"/>
          <w:color w:val="000000"/>
          <w:sz w:val="20"/>
          <w:szCs w:val="20"/>
          <w:lang w:val="es-ES" w:eastAsia="es-ES"/>
        </w:rPr>
        <w:t xml:space="preserve">con </w:t>
      </w:r>
      <w:r w:rsidR="002A3E8D" w:rsidRPr="0029044C">
        <w:rPr>
          <w:rFonts w:ascii="Cambria" w:hAnsi="Cambria"/>
          <w:color w:val="000000"/>
          <w:sz w:val="20"/>
          <w:szCs w:val="20"/>
          <w:lang w:val="es-ES" w:eastAsia="es-ES"/>
        </w:rPr>
        <w:t xml:space="preserve">la decisión que desestimó </w:t>
      </w:r>
      <w:r w:rsidRPr="0029044C">
        <w:rPr>
          <w:rFonts w:ascii="Cambria" w:hAnsi="Cambria"/>
          <w:color w:val="000000"/>
          <w:sz w:val="20"/>
          <w:szCs w:val="20"/>
          <w:lang w:val="es-ES" w:eastAsia="es-ES"/>
        </w:rPr>
        <w:t>el recur</w:t>
      </w:r>
      <w:r w:rsidR="00573369" w:rsidRPr="0029044C">
        <w:rPr>
          <w:rFonts w:ascii="Cambria" w:hAnsi="Cambria"/>
          <w:color w:val="000000"/>
          <w:sz w:val="20"/>
          <w:szCs w:val="20"/>
          <w:lang w:val="es-ES" w:eastAsia="es-ES"/>
        </w:rPr>
        <w:t>so</w:t>
      </w:r>
      <w:r w:rsidRPr="0029044C">
        <w:rPr>
          <w:rFonts w:ascii="Cambria" w:hAnsi="Cambria"/>
          <w:color w:val="000000"/>
          <w:sz w:val="20"/>
          <w:szCs w:val="20"/>
          <w:lang w:val="es-ES" w:eastAsia="es-ES"/>
        </w:rPr>
        <w:t xml:space="preserve"> de apelación</w:t>
      </w:r>
      <w:r w:rsidR="00573369" w:rsidRPr="0029044C">
        <w:rPr>
          <w:rFonts w:ascii="Cambria" w:hAnsi="Cambria"/>
          <w:color w:val="000000"/>
          <w:sz w:val="20"/>
          <w:szCs w:val="20"/>
          <w:lang w:val="es-ES" w:eastAsia="es-ES"/>
        </w:rPr>
        <w:t>,</w:t>
      </w:r>
      <w:r w:rsidRPr="0029044C">
        <w:rPr>
          <w:rFonts w:ascii="Cambria" w:hAnsi="Cambria"/>
          <w:color w:val="000000"/>
          <w:sz w:val="20"/>
          <w:szCs w:val="20"/>
          <w:lang w:val="es-ES" w:eastAsia="es-ES"/>
        </w:rPr>
        <w:t xml:space="preserve"> </w:t>
      </w:r>
      <w:r w:rsidR="002A3E8D" w:rsidRPr="0029044C">
        <w:rPr>
          <w:rFonts w:ascii="Cambria" w:hAnsi="Cambria"/>
          <w:color w:val="000000"/>
          <w:sz w:val="20"/>
          <w:szCs w:val="20"/>
          <w:lang w:val="es-ES" w:eastAsia="es-ES"/>
        </w:rPr>
        <w:t>emitida</w:t>
      </w:r>
      <w:r w:rsidRPr="0029044C">
        <w:rPr>
          <w:rFonts w:ascii="Cambria" w:hAnsi="Cambria"/>
          <w:color w:val="000000"/>
          <w:sz w:val="20"/>
          <w:szCs w:val="20"/>
          <w:lang w:val="es-ES" w:eastAsia="es-ES"/>
        </w:rPr>
        <w:t xml:space="preserve"> por la CSJN el</w:t>
      </w:r>
      <w:r w:rsidR="00573369" w:rsidRPr="0029044C">
        <w:rPr>
          <w:rFonts w:ascii="Cambria" w:hAnsi="Cambria"/>
          <w:color w:val="000000"/>
          <w:sz w:val="20"/>
          <w:szCs w:val="20"/>
          <w:lang w:val="es-ES" w:eastAsia="es-ES"/>
        </w:rPr>
        <w:t xml:space="preserve"> 6 de marzo de 2001 y </w:t>
      </w:r>
      <w:r w:rsidR="002A3E8D" w:rsidRPr="0029044C">
        <w:rPr>
          <w:rFonts w:ascii="Cambria" w:hAnsi="Cambria" w:cs="Tahoma"/>
          <w:color w:val="000000"/>
          <w:sz w:val="20"/>
          <w:szCs w:val="20"/>
          <w:lang w:val="es-ES" w:eastAsia="es-ES"/>
        </w:rPr>
        <w:t>notificada</w:t>
      </w:r>
      <w:r w:rsidRPr="0029044C">
        <w:rPr>
          <w:rFonts w:ascii="Cambria" w:hAnsi="Cambria" w:cs="Tahoma"/>
          <w:color w:val="000000"/>
          <w:sz w:val="20"/>
          <w:szCs w:val="20"/>
          <w:lang w:val="es-ES" w:eastAsia="es-ES"/>
        </w:rPr>
        <w:t xml:space="preserve"> el 8 de marzo de 2001.</w:t>
      </w:r>
    </w:p>
    <w:p w:rsidR="0029044C" w:rsidRPr="0029044C" w:rsidRDefault="0029044C" w:rsidP="0029044C">
      <w:pPr>
        <w:jc w:val="both"/>
        <w:rPr>
          <w:rFonts w:ascii="Cambria" w:hAnsi="Cambria"/>
          <w:color w:val="000000"/>
          <w:sz w:val="20"/>
          <w:szCs w:val="20"/>
          <w:lang w:val="es-ES" w:eastAsia="es-ES"/>
        </w:rPr>
      </w:pPr>
    </w:p>
    <w:p w:rsidR="0029044C" w:rsidRDefault="006A09FA" w:rsidP="0029044C">
      <w:pPr>
        <w:numPr>
          <w:ilvl w:val="0"/>
          <w:numId w:val="31"/>
        </w:numPr>
        <w:ind w:left="0"/>
        <w:jc w:val="both"/>
        <w:rPr>
          <w:rFonts w:ascii="Cambria" w:hAnsi="Cambria" w:cs="Tahoma"/>
          <w:color w:val="000000"/>
          <w:sz w:val="20"/>
          <w:szCs w:val="20"/>
          <w:lang w:val="es-ES" w:eastAsia="es-ES"/>
        </w:rPr>
      </w:pPr>
      <w:r w:rsidRPr="0029044C">
        <w:rPr>
          <w:rFonts w:ascii="Cambria" w:hAnsi="Cambria"/>
          <w:color w:val="000000"/>
          <w:sz w:val="20"/>
          <w:szCs w:val="20"/>
          <w:lang w:val="es-ES" w:eastAsia="es-ES"/>
        </w:rPr>
        <w:t xml:space="preserve">La Comisión observa que el objeto </w:t>
      </w:r>
      <w:r w:rsidR="00C36B02" w:rsidRPr="0029044C">
        <w:rPr>
          <w:rFonts w:ascii="Cambria" w:hAnsi="Cambria"/>
          <w:color w:val="000000"/>
          <w:sz w:val="20"/>
          <w:szCs w:val="20"/>
          <w:lang w:val="es-ES" w:eastAsia="es-ES"/>
        </w:rPr>
        <w:t xml:space="preserve">principal </w:t>
      </w:r>
      <w:r w:rsidRPr="0029044C">
        <w:rPr>
          <w:rFonts w:ascii="Cambria" w:hAnsi="Cambria"/>
          <w:color w:val="000000"/>
          <w:sz w:val="20"/>
          <w:szCs w:val="20"/>
          <w:lang w:val="es-ES" w:eastAsia="es-ES"/>
        </w:rPr>
        <w:t>de la presente petición, que es de su competencia, se refiere a</w:t>
      </w:r>
      <w:r w:rsidR="00241B57" w:rsidRPr="0029044C">
        <w:rPr>
          <w:rFonts w:ascii="Cambria" w:hAnsi="Cambria"/>
          <w:color w:val="000000"/>
          <w:sz w:val="20"/>
          <w:szCs w:val="20"/>
          <w:lang w:val="es-ES" w:eastAsia="es-ES"/>
        </w:rPr>
        <w:t xml:space="preserve"> la presunta detención arbitraria y torturas; </w:t>
      </w:r>
      <w:r w:rsidRPr="0029044C">
        <w:rPr>
          <w:rFonts w:ascii="Cambria" w:hAnsi="Cambria"/>
          <w:color w:val="000000"/>
          <w:sz w:val="20"/>
          <w:szCs w:val="20"/>
          <w:lang w:val="es-ES" w:eastAsia="es-ES"/>
        </w:rPr>
        <w:t>la alegada</w:t>
      </w:r>
      <w:r w:rsidR="00240C2C" w:rsidRPr="0029044C">
        <w:rPr>
          <w:rFonts w:ascii="Cambria" w:hAnsi="Cambria"/>
          <w:color w:val="000000"/>
          <w:sz w:val="20"/>
          <w:szCs w:val="20"/>
          <w:lang w:val="es-ES" w:eastAsia="es-ES"/>
        </w:rPr>
        <w:t xml:space="preserve"> falta de protección judicial </w:t>
      </w:r>
      <w:r w:rsidR="00865E7A" w:rsidRPr="0029044C">
        <w:rPr>
          <w:rFonts w:ascii="Cambria" w:hAnsi="Cambria"/>
          <w:color w:val="000000"/>
          <w:sz w:val="20"/>
          <w:szCs w:val="20"/>
          <w:lang w:val="es-ES" w:eastAsia="es-ES"/>
        </w:rPr>
        <w:t>por</w:t>
      </w:r>
      <w:r w:rsidR="00240C2C" w:rsidRPr="0029044C">
        <w:rPr>
          <w:rFonts w:ascii="Cambria" w:hAnsi="Cambria"/>
          <w:color w:val="000000"/>
          <w:sz w:val="20"/>
          <w:szCs w:val="20"/>
          <w:lang w:val="es-ES" w:eastAsia="es-ES"/>
        </w:rPr>
        <w:t xml:space="preserve"> la prescripción de la acción penal por </w:t>
      </w:r>
      <w:r w:rsidR="002F4246" w:rsidRPr="0029044C">
        <w:rPr>
          <w:rFonts w:ascii="Cambria" w:hAnsi="Cambria"/>
          <w:color w:val="000000"/>
          <w:sz w:val="20"/>
          <w:szCs w:val="20"/>
          <w:lang w:val="es-ES" w:eastAsia="es-ES"/>
        </w:rPr>
        <w:t>los</w:t>
      </w:r>
      <w:r w:rsidR="00240C2C" w:rsidRPr="0029044C">
        <w:rPr>
          <w:rFonts w:ascii="Cambria" w:hAnsi="Cambria"/>
          <w:color w:val="000000"/>
          <w:sz w:val="20"/>
          <w:szCs w:val="20"/>
          <w:lang w:val="es-ES" w:eastAsia="es-ES"/>
        </w:rPr>
        <w:t xml:space="preserve"> deli</w:t>
      </w:r>
      <w:r w:rsidR="00865E7A" w:rsidRPr="0029044C">
        <w:rPr>
          <w:rFonts w:ascii="Cambria" w:hAnsi="Cambria"/>
          <w:color w:val="000000"/>
          <w:sz w:val="20"/>
          <w:szCs w:val="20"/>
          <w:lang w:val="es-ES" w:eastAsia="es-ES"/>
        </w:rPr>
        <w:t>to</w:t>
      </w:r>
      <w:r w:rsidR="002F4246" w:rsidRPr="0029044C">
        <w:rPr>
          <w:rFonts w:ascii="Cambria" w:hAnsi="Cambria"/>
          <w:color w:val="000000"/>
          <w:sz w:val="20"/>
          <w:szCs w:val="20"/>
          <w:lang w:val="es-ES" w:eastAsia="es-ES"/>
        </w:rPr>
        <w:t>s de privación ilegítima de la libertad y</w:t>
      </w:r>
      <w:r w:rsidR="00240C2C" w:rsidRPr="0029044C">
        <w:rPr>
          <w:rFonts w:ascii="Cambria" w:hAnsi="Cambria"/>
          <w:color w:val="000000"/>
          <w:sz w:val="20"/>
          <w:szCs w:val="20"/>
          <w:lang w:val="es-ES" w:eastAsia="es-ES"/>
        </w:rPr>
        <w:t xml:space="preserve"> tortura</w:t>
      </w:r>
      <w:r w:rsidR="002F4246" w:rsidRPr="0029044C">
        <w:rPr>
          <w:rFonts w:ascii="Cambria" w:hAnsi="Cambria"/>
          <w:color w:val="000000"/>
          <w:sz w:val="20"/>
          <w:szCs w:val="20"/>
          <w:lang w:val="es-ES" w:eastAsia="es-ES"/>
        </w:rPr>
        <w:t>s;</w:t>
      </w:r>
      <w:r w:rsidR="00240C2C" w:rsidRPr="0029044C">
        <w:rPr>
          <w:rFonts w:ascii="Cambria" w:hAnsi="Cambria"/>
          <w:color w:val="000000"/>
          <w:sz w:val="20"/>
          <w:szCs w:val="20"/>
          <w:lang w:val="es-ES" w:eastAsia="es-ES"/>
        </w:rPr>
        <w:t xml:space="preserve"> y la alegada falta de reparación adecuada</w:t>
      </w:r>
      <w:r w:rsidR="00C36B02" w:rsidRPr="0029044C">
        <w:rPr>
          <w:rFonts w:ascii="Cambria" w:hAnsi="Cambria"/>
          <w:color w:val="000000"/>
          <w:sz w:val="20"/>
          <w:szCs w:val="20"/>
          <w:lang w:val="es-ES" w:eastAsia="es-ES"/>
        </w:rPr>
        <w:t xml:space="preserve">.  En este contexto, los peticionarios también presentaron alegatos sobre </w:t>
      </w:r>
      <w:r w:rsidR="00865E7A" w:rsidRPr="0029044C">
        <w:rPr>
          <w:rFonts w:ascii="Cambria" w:hAnsi="Cambria"/>
          <w:color w:val="000000"/>
          <w:sz w:val="20"/>
          <w:szCs w:val="20"/>
          <w:lang w:val="es-ES" w:eastAsia="es-ES"/>
        </w:rPr>
        <w:t>la aplicación de la “pesificación” y</w:t>
      </w:r>
      <w:r w:rsidR="00436828" w:rsidRPr="0029044C">
        <w:rPr>
          <w:rFonts w:ascii="Cambria" w:hAnsi="Cambria"/>
          <w:color w:val="000000"/>
          <w:sz w:val="20"/>
          <w:szCs w:val="20"/>
          <w:lang w:val="es-ES" w:eastAsia="es-ES"/>
        </w:rPr>
        <w:t xml:space="preserve"> la reducción de la tasa de interés de </w:t>
      </w:r>
      <w:r w:rsidR="00865E7A" w:rsidRPr="0029044C">
        <w:rPr>
          <w:rFonts w:ascii="Cambria" w:hAnsi="Cambria"/>
          <w:color w:val="000000"/>
          <w:sz w:val="20"/>
          <w:szCs w:val="20"/>
          <w:lang w:val="es-ES" w:eastAsia="es-ES"/>
        </w:rPr>
        <w:t>la indemnización debida</w:t>
      </w:r>
      <w:r w:rsidRPr="0029044C">
        <w:rPr>
          <w:rFonts w:ascii="Cambria" w:hAnsi="Cambria"/>
          <w:color w:val="000000"/>
          <w:sz w:val="20"/>
          <w:szCs w:val="20"/>
          <w:lang w:val="es-ES" w:eastAsia="es-ES"/>
        </w:rPr>
        <w:t xml:space="preserve">.  </w:t>
      </w:r>
    </w:p>
    <w:p w:rsidR="0029044C" w:rsidRPr="0029044C" w:rsidRDefault="0029044C" w:rsidP="00C9112A">
      <w:pPr>
        <w:jc w:val="both"/>
        <w:rPr>
          <w:rFonts w:ascii="Cambria" w:hAnsi="Cambria" w:cs="Tahoma"/>
          <w:color w:val="000000"/>
          <w:sz w:val="20"/>
          <w:szCs w:val="20"/>
          <w:lang w:val="es-ES" w:eastAsia="es-ES"/>
        </w:rPr>
      </w:pPr>
    </w:p>
    <w:p w:rsidR="0029044C" w:rsidRDefault="00241B57" w:rsidP="0029044C">
      <w:pPr>
        <w:numPr>
          <w:ilvl w:val="0"/>
          <w:numId w:val="31"/>
        </w:numPr>
        <w:ind w:left="0"/>
        <w:jc w:val="both"/>
        <w:rPr>
          <w:rFonts w:ascii="Cambria" w:hAnsi="Cambria" w:cs="Tahoma"/>
          <w:color w:val="000000"/>
          <w:sz w:val="20"/>
          <w:szCs w:val="20"/>
          <w:lang w:val="es-ES" w:eastAsia="es-ES"/>
        </w:rPr>
      </w:pPr>
      <w:r w:rsidRPr="0029044C">
        <w:rPr>
          <w:rFonts w:ascii="Cambria" w:hAnsi="Cambria"/>
          <w:color w:val="000000"/>
          <w:sz w:val="20"/>
          <w:szCs w:val="20"/>
          <w:lang w:val="es-ES" w:eastAsia="es-ES"/>
        </w:rPr>
        <w:t xml:space="preserve">En ese sentido, es en principio el proceso penal </w:t>
      </w:r>
      <w:r w:rsidR="005D760C" w:rsidRPr="0029044C">
        <w:rPr>
          <w:rFonts w:ascii="Cambria" w:hAnsi="Cambria"/>
          <w:color w:val="000000"/>
          <w:sz w:val="20"/>
          <w:szCs w:val="20"/>
          <w:lang w:val="es-ES" w:eastAsia="es-ES"/>
        </w:rPr>
        <w:t>el recurso idóneo para proteger en la instanc</w:t>
      </w:r>
      <w:r w:rsidR="00C36B02" w:rsidRPr="0029044C">
        <w:rPr>
          <w:rFonts w:ascii="Cambria" w:hAnsi="Cambria"/>
          <w:color w:val="000000"/>
          <w:sz w:val="20"/>
          <w:szCs w:val="20"/>
          <w:lang w:val="es-ES" w:eastAsia="es-ES"/>
        </w:rPr>
        <w:t>ia interna los derechos que se alegan violados por los</w:t>
      </w:r>
      <w:r w:rsidR="005D760C" w:rsidRPr="0029044C">
        <w:rPr>
          <w:rFonts w:ascii="Cambria" w:hAnsi="Cambria"/>
          <w:color w:val="000000"/>
          <w:sz w:val="20"/>
          <w:szCs w:val="20"/>
          <w:lang w:val="es-ES" w:eastAsia="es-ES"/>
        </w:rPr>
        <w:t xml:space="preserve"> peticionario</w:t>
      </w:r>
      <w:r w:rsidR="00C36B02" w:rsidRPr="0029044C">
        <w:rPr>
          <w:rFonts w:ascii="Cambria" w:hAnsi="Cambria"/>
          <w:color w:val="000000"/>
          <w:sz w:val="20"/>
          <w:szCs w:val="20"/>
          <w:lang w:val="es-ES" w:eastAsia="es-ES"/>
        </w:rPr>
        <w:t>s</w:t>
      </w:r>
      <w:r w:rsidR="005D760C" w:rsidRPr="0029044C">
        <w:rPr>
          <w:rFonts w:ascii="Cambria" w:hAnsi="Cambria"/>
          <w:color w:val="000000"/>
          <w:sz w:val="20"/>
          <w:szCs w:val="20"/>
          <w:lang w:val="es-ES" w:eastAsia="es-ES"/>
        </w:rPr>
        <w:t xml:space="preserve"> como son el derecho a la libertad y a la integridad personal, el cual por su naturaleza debe ser llevado a cabo a iniciativa del Estado, y no por impulso de parte. </w:t>
      </w:r>
      <w:r w:rsidR="006A09FA" w:rsidRPr="0029044C">
        <w:rPr>
          <w:rFonts w:ascii="Cambria" w:hAnsi="Cambria"/>
          <w:color w:val="000000"/>
          <w:sz w:val="20"/>
          <w:szCs w:val="20"/>
          <w:lang w:val="es-ES" w:eastAsia="es-ES"/>
        </w:rPr>
        <w:t>De la información presentada por las partes, la Comisión nota que</w:t>
      </w:r>
      <w:r w:rsidR="002F4246" w:rsidRPr="0029044C">
        <w:rPr>
          <w:rFonts w:ascii="Cambria" w:hAnsi="Cambria"/>
          <w:color w:val="000000"/>
          <w:sz w:val="20"/>
          <w:szCs w:val="20"/>
          <w:lang w:val="es-ES" w:eastAsia="es-ES"/>
        </w:rPr>
        <w:t xml:space="preserve"> </w:t>
      </w:r>
      <w:r w:rsidR="004F2F07" w:rsidRPr="0029044C">
        <w:rPr>
          <w:rFonts w:ascii="Cambria" w:hAnsi="Cambria"/>
          <w:color w:val="000000"/>
          <w:sz w:val="20"/>
          <w:szCs w:val="20"/>
          <w:lang w:val="es-ES" w:eastAsia="es-ES"/>
        </w:rPr>
        <w:t xml:space="preserve">la sentencia de primera instancia declaró prescripta la acción penal </w:t>
      </w:r>
      <w:r w:rsidR="00E06D83" w:rsidRPr="0029044C">
        <w:rPr>
          <w:rFonts w:ascii="Cambria" w:hAnsi="Cambria"/>
          <w:color w:val="000000"/>
          <w:sz w:val="20"/>
          <w:szCs w:val="20"/>
          <w:lang w:val="es-ES" w:eastAsia="es-ES"/>
        </w:rPr>
        <w:t xml:space="preserve">a favor de los agentes del Estado, </w:t>
      </w:r>
      <w:r w:rsidR="004F2F07" w:rsidRPr="0029044C">
        <w:rPr>
          <w:rFonts w:ascii="Cambria" w:hAnsi="Cambria"/>
          <w:color w:val="000000"/>
          <w:sz w:val="20"/>
          <w:szCs w:val="20"/>
          <w:lang w:val="es-ES" w:eastAsia="es-ES"/>
        </w:rPr>
        <w:t>por el transcurso del tiempo</w:t>
      </w:r>
      <w:r w:rsidR="002F4246" w:rsidRPr="0029044C">
        <w:rPr>
          <w:rFonts w:ascii="Cambria" w:hAnsi="Cambria"/>
          <w:color w:val="000000"/>
          <w:sz w:val="20"/>
          <w:szCs w:val="20"/>
          <w:lang w:val="es-ES" w:eastAsia="es-ES"/>
        </w:rPr>
        <w:t xml:space="preserve"> y que no se había probado la autoría de las tortu</w:t>
      </w:r>
      <w:r w:rsidR="00E06D83" w:rsidRPr="0029044C">
        <w:rPr>
          <w:rFonts w:ascii="Cambria" w:hAnsi="Cambria"/>
          <w:color w:val="000000"/>
          <w:sz w:val="20"/>
          <w:szCs w:val="20"/>
          <w:lang w:val="es-ES" w:eastAsia="es-ES"/>
        </w:rPr>
        <w:t>ras p</w:t>
      </w:r>
      <w:r w:rsidR="002F4246" w:rsidRPr="0029044C">
        <w:rPr>
          <w:rFonts w:ascii="Cambria" w:hAnsi="Cambria"/>
          <w:color w:val="000000"/>
          <w:sz w:val="20"/>
          <w:szCs w:val="20"/>
          <w:lang w:val="es-ES" w:eastAsia="es-ES"/>
        </w:rPr>
        <w:t>o</w:t>
      </w:r>
      <w:r w:rsidR="00E06D83" w:rsidRPr="0029044C">
        <w:rPr>
          <w:rFonts w:ascii="Cambria" w:hAnsi="Cambria"/>
          <w:color w:val="000000"/>
          <w:sz w:val="20"/>
          <w:szCs w:val="20"/>
          <w:lang w:val="es-ES" w:eastAsia="es-ES"/>
        </w:rPr>
        <w:t>r</w:t>
      </w:r>
      <w:r w:rsidR="002F4246" w:rsidRPr="0029044C">
        <w:rPr>
          <w:rFonts w:ascii="Cambria" w:hAnsi="Cambria"/>
          <w:color w:val="000000"/>
          <w:sz w:val="20"/>
          <w:szCs w:val="20"/>
          <w:lang w:val="es-ES" w:eastAsia="es-ES"/>
        </w:rPr>
        <w:t xml:space="preserve"> el principio de </w:t>
      </w:r>
      <w:r w:rsidR="002F4246" w:rsidRPr="0029044C">
        <w:rPr>
          <w:rFonts w:ascii="Cambria" w:hAnsi="Cambria"/>
          <w:i/>
          <w:color w:val="000000"/>
          <w:sz w:val="20"/>
          <w:szCs w:val="20"/>
          <w:lang w:val="es-ES" w:eastAsia="es-ES"/>
        </w:rPr>
        <w:t>in dubio pro reo</w:t>
      </w:r>
      <w:r w:rsidR="002F4246" w:rsidRPr="0029044C">
        <w:rPr>
          <w:rFonts w:ascii="Cambria" w:hAnsi="Cambria"/>
          <w:color w:val="000000"/>
          <w:sz w:val="20"/>
          <w:szCs w:val="20"/>
          <w:lang w:val="es-ES" w:eastAsia="es-ES"/>
        </w:rPr>
        <w:t>.</w:t>
      </w:r>
      <w:r w:rsidR="004F2F07" w:rsidRPr="0029044C">
        <w:rPr>
          <w:rFonts w:ascii="Cambria" w:hAnsi="Cambria"/>
          <w:color w:val="000000"/>
          <w:sz w:val="20"/>
          <w:szCs w:val="20"/>
          <w:lang w:val="es-ES" w:eastAsia="es-ES"/>
        </w:rPr>
        <w:t xml:space="preserve">  </w:t>
      </w:r>
      <w:r w:rsidR="002F4246" w:rsidRPr="0029044C">
        <w:rPr>
          <w:rFonts w:ascii="Cambria" w:hAnsi="Cambria"/>
          <w:color w:val="000000"/>
          <w:sz w:val="20"/>
          <w:szCs w:val="20"/>
          <w:lang w:val="es-ES" w:eastAsia="es-ES"/>
        </w:rPr>
        <w:t xml:space="preserve">Luego la Cámara de Apelaciones habría dictaminado que el tipo penal correspondía al delito de privación de libertad agravada por lo que no habría prescripto, y </w:t>
      </w:r>
      <w:r w:rsidR="000C4D88" w:rsidRPr="0029044C">
        <w:rPr>
          <w:rFonts w:ascii="Cambria" w:hAnsi="Cambria"/>
          <w:color w:val="000000"/>
          <w:sz w:val="20"/>
          <w:szCs w:val="20"/>
          <w:lang w:val="es-ES" w:eastAsia="es-ES"/>
        </w:rPr>
        <w:t>habría considerado</w:t>
      </w:r>
      <w:r w:rsidR="002F4246" w:rsidRPr="0029044C">
        <w:rPr>
          <w:rFonts w:ascii="Cambria" w:hAnsi="Cambria"/>
          <w:color w:val="000000"/>
          <w:sz w:val="20"/>
          <w:szCs w:val="20"/>
          <w:lang w:val="es-ES" w:eastAsia="es-ES"/>
        </w:rPr>
        <w:t xml:space="preserve"> </w:t>
      </w:r>
      <w:r w:rsidR="00E06D83" w:rsidRPr="0029044C">
        <w:rPr>
          <w:rFonts w:ascii="Cambria" w:hAnsi="Cambria"/>
          <w:color w:val="000000"/>
          <w:sz w:val="20"/>
          <w:szCs w:val="20"/>
          <w:lang w:val="es-ES" w:eastAsia="es-ES"/>
        </w:rPr>
        <w:t>al procesado</w:t>
      </w:r>
      <w:r w:rsidR="000C4D88" w:rsidRPr="0029044C">
        <w:rPr>
          <w:rFonts w:ascii="Cambria" w:hAnsi="Cambria"/>
          <w:color w:val="000000"/>
          <w:sz w:val="20"/>
          <w:szCs w:val="20"/>
          <w:lang w:val="es-ES" w:eastAsia="es-ES"/>
        </w:rPr>
        <w:t xml:space="preserve"> como copartícipe necesario en relación a las torturas</w:t>
      </w:r>
      <w:r w:rsidR="002F4246" w:rsidRPr="0029044C">
        <w:rPr>
          <w:rFonts w:ascii="Cambria" w:hAnsi="Cambria"/>
          <w:color w:val="000000"/>
          <w:sz w:val="20"/>
          <w:szCs w:val="20"/>
          <w:lang w:val="es-ES" w:eastAsia="es-ES"/>
        </w:rPr>
        <w:t xml:space="preserve">.  </w:t>
      </w:r>
      <w:r w:rsidR="006A3A62">
        <w:rPr>
          <w:rFonts w:ascii="Cambria" w:hAnsi="Cambria"/>
          <w:color w:val="000000"/>
          <w:sz w:val="20"/>
          <w:szCs w:val="20"/>
          <w:lang w:val="es-ES" w:eastAsia="es-ES"/>
        </w:rPr>
        <w:t>Finalmente, la Cámara de Apelaciones decidió sobreseer a ambos oficiales con base en la prescripción de la acci</w:t>
      </w:r>
      <w:r w:rsidR="00AF5E7E">
        <w:rPr>
          <w:rFonts w:ascii="Cambria" w:hAnsi="Cambria"/>
          <w:color w:val="000000"/>
          <w:sz w:val="20"/>
          <w:szCs w:val="20"/>
          <w:lang w:val="es-ES" w:eastAsia="es-ES"/>
        </w:rPr>
        <w:t xml:space="preserve">ón penal y concluyó además que la participación del oficial Tribo en la alegada tortura no se encontraba debidamente probada. </w:t>
      </w:r>
      <w:r w:rsidR="000C4D88" w:rsidRPr="0029044C">
        <w:rPr>
          <w:rFonts w:ascii="Cambria" w:hAnsi="Cambria"/>
          <w:color w:val="000000"/>
          <w:sz w:val="20"/>
          <w:szCs w:val="20"/>
          <w:lang w:val="es-ES" w:eastAsia="es-ES"/>
        </w:rPr>
        <w:t xml:space="preserve">Luego de varias apelaciones, </w:t>
      </w:r>
      <w:r w:rsidR="00573369" w:rsidRPr="0029044C">
        <w:rPr>
          <w:rFonts w:ascii="Cambria" w:hAnsi="Cambria" w:cs="Tahoma"/>
          <w:color w:val="000000"/>
          <w:sz w:val="20"/>
          <w:szCs w:val="20"/>
          <w:lang w:val="es-ES" w:eastAsia="es-ES"/>
        </w:rPr>
        <w:t xml:space="preserve">la Cámara Federal de Apelaciones </w:t>
      </w:r>
      <w:r w:rsidR="000C4D88" w:rsidRPr="0029044C">
        <w:rPr>
          <w:rFonts w:ascii="Cambria" w:hAnsi="Cambria" w:cs="Tahoma"/>
          <w:color w:val="000000"/>
          <w:sz w:val="20"/>
          <w:szCs w:val="20"/>
          <w:lang w:val="es-ES" w:eastAsia="es-ES"/>
        </w:rPr>
        <w:t>habría</w:t>
      </w:r>
      <w:r w:rsidR="000C4D88" w:rsidRPr="0029044C">
        <w:rPr>
          <w:rFonts w:ascii="Cambria" w:hAnsi="Cambria"/>
          <w:color w:val="000000"/>
          <w:sz w:val="20"/>
          <w:szCs w:val="20"/>
          <w:lang w:val="es-ES" w:eastAsia="es-ES"/>
        </w:rPr>
        <w:t xml:space="preserve"> declarado</w:t>
      </w:r>
      <w:r w:rsidR="00573369" w:rsidRPr="0029044C">
        <w:rPr>
          <w:rFonts w:ascii="Cambria" w:hAnsi="Cambria"/>
          <w:color w:val="000000"/>
          <w:sz w:val="20"/>
          <w:szCs w:val="20"/>
          <w:lang w:val="es-ES" w:eastAsia="es-ES"/>
        </w:rPr>
        <w:t xml:space="preserve"> inadmisible el recurso extraordinario federal</w:t>
      </w:r>
      <w:r w:rsidR="000C4D88" w:rsidRPr="0029044C">
        <w:rPr>
          <w:rFonts w:ascii="Cambria" w:hAnsi="Cambria" w:cs="Tahoma"/>
          <w:color w:val="000000"/>
          <w:sz w:val="20"/>
          <w:szCs w:val="20"/>
          <w:lang w:val="es-ES" w:eastAsia="es-ES"/>
        </w:rPr>
        <w:t xml:space="preserve"> el 31 de marzo de 2000 y la </w:t>
      </w:r>
      <w:r w:rsidR="00573369" w:rsidRPr="0029044C">
        <w:rPr>
          <w:rFonts w:ascii="Cambria" w:hAnsi="Cambria"/>
          <w:color w:val="000000"/>
          <w:sz w:val="20"/>
          <w:szCs w:val="20"/>
          <w:lang w:val="es-ES" w:eastAsia="es-ES"/>
        </w:rPr>
        <w:t>apelaci</w:t>
      </w:r>
      <w:r w:rsidR="000C4D88" w:rsidRPr="0029044C">
        <w:rPr>
          <w:rFonts w:ascii="Cambria" w:hAnsi="Cambria"/>
          <w:color w:val="000000"/>
          <w:sz w:val="20"/>
          <w:szCs w:val="20"/>
          <w:lang w:val="es-ES" w:eastAsia="es-ES"/>
        </w:rPr>
        <w:t xml:space="preserve">ón </w:t>
      </w:r>
      <w:r w:rsidR="00573369" w:rsidRPr="0029044C">
        <w:rPr>
          <w:rFonts w:ascii="Cambria" w:hAnsi="Cambria"/>
          <w:color w:val="000000"/>
          <w:sz w:val="20"/>
          <w:szCs w:val="20"/>
          <w:lang w:val="es-ES" w:eastAsia="es-ES"/>
        </w:rPr>
        <w:t xml:space="preserve">a dicho recurso habría sido desestimada por la CSJN el 6 de marzo de 2001 y </w:t>
      </w:r>
      <w:r w:rsidR="00573369" w:rsidRPr="0029044C">
        <w:rPr>
          <w:rFonts w:ascii="Cambria" w:hAnsi="Cambria" w:cs="Tahoma"/>
          <w:color w:val="000000"/>
          <w:sz w:val="20"/>
          <w:szCs w:val="20"/>
          <w:lang w:val="es-ES" w:eastAsia="es-ES"/>
        </w:rPr>
        <w:t>notificada el 8 de marzo de 2001.</w:t>
      </w:r>
    </w:p>
    <w:p w:rsidR="0029044C" w:rsidRDefault="0029044C" w:rsidP="00C9112A">
      <w:pPr>
        <w:jc w:val="both"/>
        <w:rPr>
          <w:rFonts w:ascii="Cambria" w:hAnsi="Cambria" w:cs="Tahoma"/>
          <w:color w:val="000000"/>
          <w:sz w:val="20"/>
          <w:szCs w:val="20"/>
          <w:lang w:val="es-ES" w:eastAsia="es-ES"/>
        </w:rPr>
      </w:pPr>
    </w:p>
    <w:p w:rsidR="0029044C" w:rsidRDefault="005C5FBB" w:rsidP="0029044C">
      <w:pPr>
        <w:numPr>
          <w:ilvl w:val="0"/>
          <w:numId w:val="31"/>
        </w:numPr>
        <w:ind w:left="0"/>
        <w:jc w:val="both"/>
        <w:rPr>
          <w:rFonts w:ascii="Cambria" w:hAnsi="Cambria"/>
          <w:color w:val="000000"/>
          <w:sz w:val="20"/>
          <w:szCs w:val="20"/>
          <w:lang w:val="es-ES" w:eastAsia="es-ES"/>
        </w:rPr>
      </w:pPr>
      <w:r w:rsidRPr="0029044C">
        <w:rPr>
          <w:rFonts w:ascii="Cambria" w:hAnsi="Cambria"/>
          <w:color w:val="000000"/>
          <w:sz w:val="20"/>
          <w:szCs w:val="20"/>
          <w:lang w:val="es-ES" w:eastAsia="es-ES"/>
        </w:rPr>
        <w:t>En vista de esto, la Comisión nota que mediante la decisión de la CSJN</w:t>
      </w:r>
      <w:r w:rsidR="00910B1B" w:rsidRPr="0029044C">
        <w:rPr>
          <w:rFonts w:ascii="Cambria" w:hAnsi="Cambria"/>
          <w:color w:val="000000"/>
          <w:sz w:val="20"/>
          <w:szCs w:val="20"/>
          <w:lang w:val="es-ES" w:eastAsia="es-ES"/>
        </w:rPr>
        <w:t>,</w:t>
      </w:r>
      <w:r w:rsidRPr="0029044C">
        <w:rPr>
          <w:rFonts w:ascii="Cambria" w:hAnsi="Cambria"/>
          <w:color w:val="000000"/>
          <w:sz w:val="20"/>
          <w:szCs w:val="20"/>
          <w:lang w:val="es-ES" w:eastAsia="es-ES"/>
        </w:rPr>
        <w:t xml:space="preserve"> de 6 de marzo de 2001</w:t>
      </w:r>
      <w:r w:rsidR="00910B1B" w:rsidRPr="0029044C">
        <w:rPr>
          <w:rFonts w:ascii="Cambria" w:hAnsi="Cambria"/>
          <w:color w:val="000000"/>
          <w:sz w:val="20"/>
          <w:szCs w:val="20"/>
          <w:lang w:val="es-ES" w:eastAsia="es-ES"/>
        </w:rPr>
        <w:t>,</w:t>
      </w:r>
      <w:r w:rsidRPr="0029044C">
        <w:rPr>
          <w:rFonts w:ascii="Cambria" w:hAnsi="Cambria"/>
          <w:color w:val="000000"/>
          <w:sz w:val="20"/>
          <w:szCs w:val="20"/>
          <w:lang w:val="es-ES" w:eastAsia="es-ES"/>
        </w:rPr>
        <w:t xml:space="preserve"> que habría declarado inadmisible el recurso de apelación interpuesto</w:t>
      </w:r>
      <w:r w:rsidR="00736779" w:rsidRPr="0029044C">
        <w:rPr>
          <w:rFonts w:ascii="Cambria" w:hAnsi="Cambria"/>
          <w:color w:val="000000"/>
          <w:sz w:val="20"/>
          <w:szCs w:val="20"/>
          <w:lang w:val="es-ES" w:eastAsia="es-ES"/>
        </w:rPr>
        <w:t>, los recurs</w:t>
      </w:r>
      <w:r w:rsidR="00E16BAF" w:rsidRPr="0029044C">
        <w:rPr>
          <w:rFonts w:ascii="Cambria" w:hAnsi="Cambria"/>
          <w:color w:val="000000"/>
          <w:sz w:val="20"/>
          <w:szCs w:val="20"/>
          <w:lang w:val="es-ES" w:eastAsia="es-ES"/>
        </w:rPr>
        <w:t>os internos del proceso penal fueron agotados</w:t>
      </w:r>
      <w:r w:rsidRPr="0029044C">
        <w:rPr>
          <w:rFonts w:ascii="Cambria" w:hAnsi="Cambria"/>
          <w:color w:val="000000"/>
          <w:sz w:val="20"/>
          <w:szCs w:val="20"/>
          <w:lang w:val="es-ES" w:eastAsia="es-ES"/>
        </w:rPr>
        <w:t xml:space="preserve">.  Por lo tanto, dadas las características de la presente petición, la Comisión considera que este extremo de la petición cumple con el requisito establecido en el artículo 46.1.a) de la Convención Americana.  </w:t>
      </w:r>
    </w:p>
    <w:p w:rsidR="0029044C" w:rsidRDefault="0029044C" w:rsidP="00C9112A">
      <w:pPr>
        <w:jc w:val="both"/>
        <w:rPr>
          <w:rFonts w:ascii="Cambria" w:hAnsi="Cambria"/>
          <w:color w:val="000000"/>
          <w:sz w:val="20"/>
          <w:szCs w:val="20"/>
          <w:lang w:val="es-ES" w:eastAsia="es-ES"/>
        </w:rPr>
      </w:pPr>
    </w:p>
    <w:p w:rsidR="0029044C" w:rsidRDefault="00003E43" w:rsidP="0029044C">
      <w:pPr>
        <w:numPr>
          <w:ilvl w:val="0"/>
          <w:numId w:val="31"/>
        </w:numPr>
        <w:ind w:left="0"/>
        <w:jc w:val="both"/>
        <w:rPr>
          <w:rFonts w:ascii="Cambria" w:hAnsi="Cambria"/>
          <w:color w:val="000000"/>
          <w:sz w:val="20"/>
          <w:szCs w:val="20"/>
          <w:lang w:val="es-ES" w:eastAsia="es-ES"/>
        </w:rPr>
      </w:pPr>
      <w:r w:rsidRPr="0029044C">
        <w:rPr>
          <w:rFonts w:ascii="Cambria" w:hAnsi="Cambria"/>
          <w:color w:val="000000"/>
          <w:sz w:val="20"/>
          <w:szCs w:val="20"/>
          <w:lang w:val="es-ES" w:eastAsia="es-ES"/>
        </w:rPr>
        <w:t xml:space="preserve">Por otro lado, </w:t>
      </w:r>
      <w:r w:rsidR="00573369" w:rsidRPr="0029044C">
        <w:rPr>
          <w:rFonts w:ascii="Cambria" w:hAnsi="Cambria"/>
          <w:color w:val="000000"/>
          <w:sz w:val="20"/>
          <w:szCs w:val="20"/>
          <w:lang w:val="es-ES" w:eastAsia="es-ES"/>
        </w:rPr>
        <w:t xml:space="preserve">la Comisión nota que </w:t>
      </w:r>
      <w:r w:rsidR="00D216FA" w:rsidRPr="0029044C">
        <w:rPr>
          <w:rFonts w:ascii="Cambria" w:hAnsi="Cambria"/>
          <w:color w:val="000000"/>
          <w:sz w:val="20"/>
          <w:szCs w:val="20"/>
          <w:lang w:val="es-ES" w:eastAsia="es-ES"/>
        </w:rPr>
        <w:t xml:space="preserve">mediante la demanda por daños y perjuicios </w:t>
      </w:r>
      <w:r w:rsidRPr="0029044C">
        <w:rPr>
          <w:rFonts w:ascii="Cambria" w:hAnsi="Cambria"/>
          <w:color w:val="000000"/>
          <w:sz w:val="20"/>
          <w:szCs w:val="20"/>
          <w:lang w:val="es-ES" w:eastAsia="es-ES"/>
        </w:rPr>
        <w:t xml:space="preserve">se habría condenado al Estado en </w:t>
      </w:r>
      <w:r w:rsidR="00736779" w:rsidRPr="0029044C">
        <w:rPr>
          <w:rFonts w:ascii="Cambria" w:hAnsi="Cambria"/>
          <w:color w:val="000000"/>
          <w:sz w:val="20"/>
          <w:szCs w:val="20"/>
          <w:lang w:val="es-ES" w:eastAsia="es-ES"/>
        </w:rPr>
        <w:t>primera instancia en</w:t>
      </w:r>
      <w:r w:rsidRPr="0029044C">
        <w:rPr>
          <w:rFonts w:ascii="Cambria" w:hAnsi="Cambria"/>
          <w:color w:val="000000"/>
          <w:sz w:val="20"/>
          <w:szCs w:val="20"/>
          <w:lang w:val="es-ES" w:eastAsia="es-ES"/>
        </w:rPr>
        <w:t xml:space="preserve"> julio de 1997, conde</w:t>
      </w:r>
      <w:r w:rsidR="004254AE" w:rsidRPr="0029044C">
        <w:rPr>
          <w:rFonts w:ascii="Cambria" w:hAnsi="Cambria"/>
          <w:color w:val="000000"/>
          <w:sz w:val="20"/>
          <w:szCs w:val="20"/>
          <w:lang w:val="es-ES" w:eastAsia="es-ES"/>
        </w:rPr>
        <w:t>na que habría sido</w:t>
      </w:r>
      <w:r w:rsidRPr="0029044C">
        <w:rPr>
          <w:rFonts w:ascii="Cambria" w:hAnsi="Cambria"/>
          <w:color w:val="000000"/>
          <w:sz w:val="20"/>
          <w:szCs w:val="20"/>
          <w:lang w:val="es-ES" w:eastAsia="es-ES"/>
        </w:rPr>
        <w:t xml:space="preserve"> confirmada en segunda instancia</w:t>
      </w:r>
      <w:r w:rsidR="004254AE" w:rsidRPr="0029044C">
        <w:rPr>
          <w:rFonts w:ascii="Cambria" w:hAnsi="Cambria"/>
          <w:color w:val="000000"/>
          <w:sz w:val="20"/>
          <w:szCs w:val="20"/>
          <w:lang w:val="es-ES" w:eastAsia="es-ES"/>
        </w:rPr>
        <w:t>,</w:t>
      </w:r>
      <w:r w:rsidRPr="0029044C">
        <w:rPr>
          <w:rFonts w:ascii="Cambria" w:hAnsi="Cambria"/>
          <w:color w:val="000000"/>
          <w:sz w:val="20"/>
          <w:szCs w:val="20"/>
          <w:lang w:val="es-ES" w:eastAsia="es-ES"/>
        </w:rPr>
        <w:t xml:space="preserve"> en febrero de 1998.  E</w:t>
      </w:r>
      <w:r w:rsidR="00E06D83" w:rsidRPr="0029044C">
        <w:rPr>
          <w:rFonts w:ascii="Cambria" w:hAnsi="Cambria"/>
          <w:color w:val="000000"/>
          <w:sz w:val="20"/>
          <w:szCs w:val="20"/>
          <w:lang w:val="es-ES" w:eastAsia="es-ES"/>
        </w:rPr>
        <w:t>n vista de la “pesificación” y la reducción del interés</w:t>
      </w:r>
      <w:r w:rsidRPr="0029044C">
        <w:rPr>
          <w:rFonts w:ascii="Cambria" w:hAnsi="Cambria"/>
          <w:color w:val="000000"/>
          <w:sz w:val="20"/>
          <w:szCs w:val="20"/>
          <w:lang w:val="es-ES" w:eastAsia="es-ES"/>
        </w:rPr>
        <w:t xml:space="preserve"> antes citados, </w:t>
      </w:r>
      <w:r w:rsidR="00E16BAF" w:rsidRPr="0029044C">
        <w:rPr>
          <w:rFonts w:ascii="Cambria" w:hAnsi="Cambria"/>
          <w:color w:val="000000"/>
          <w:sz w:val="20"/>
          <w:szCs w:val="20"/>
          <w:lang w:val="es-ES" w:eastAsia="es-ES"/>
        </w:rPr>
        <w:t>la presunta víctima habrí</w:t>
      </w:r>
      <w:r w:rsidRPr="0029044C">
        <w:rPr>
          <w:rFonts w:ascii="Cambria" w:hAnsi="Cambria"/>
          <w:color w:val="000000"/>
          <w:sz w:val="20"/>
          <w:szCs w:val="20"/>
          <w:lang w:val="es-ES" w:eastAsia="es-ES"/>
        </w:rPr>
        <w:t>a interpuesto un recurso de amparo que le fue declarado favorable</w:t>
      </w:r>
      <w:r w:rsidR="004254AE" w:rsidRPr="0029044C">
        <w:rPr>
          <w:rFonts w:ascii="Cambria" w:hAnsi="Cambria"/>
          <w:color w:val="000000"/>
          <w:sz w:val="20"/>
          <w:szCs w:val="20"/>
          <w:lang w:val="es-ES" w:eastAsia="es-ES"/>
        </w:rPr>
        <w:t>,</w:t>
      </w:r>
      <w:r w:rsidRPr="0029044C">
        <w:rPr>
          <w:rFonts w:ascii="Cambria" w:hAnsi="Cambria"/>
          <w:color w:val="000000"/>
          <w:sz w:val="20"/>
          <w:szCs w:val="20"/>
          <w:lang w:val="es-ES" w:eastAsia="es-ES"/>
        </w:rPr>
        <w:t xml:space="preserve"> en primera instancia y mediante la apelación del Gobierno </w:t>
      </w:r>
      <w:r w:rsidR="004254AE" w:rsidRPr="0029044C">
        <w:rPr>
          <w:rFonts w:ascii="Cambria" w:hAnsi="Cambria"/>
          <w:color w:val="000000"/>
          <w:sz w:val="20"/>
          <w:szCs w:val="20"/>
          <w:lang w:val="es-ES" w:eastAsia="es-ES"/>
        </w:rPr>
        <w:t>se habría revocado parcialmente la sentencia</w:t>
      </w:r>
      <w:r w:rsidR="00966CC0" w:rsidRPr="0029044C">
        <w:rPr>
          <w:rFonts w:ascii="Cambria" w:hAnsi="Cambria"/>
          <w:color w:val="000000"/>
          <w:sz w:val="20"/>
          <w:szCs w:val="20"/>
          <w:lang w:val="es-ES" w:eastAsia="es-ES"/>
        </w:rPr>
        <w:t>.  El peticionario habría interpuesto un recurso extraordinario y en febrero de 2006 habría desistido de dicho recurso</w:t>
      </w:r>
      <w:r w:rsidR="008B49BF" w:rsidRPr="0029044C">
        <w:rPr>
          <w:rFonts w:ascii="Cambria" w:hAnsi="Cambria"/>
          <w:color w:val="000000"/>
          <w:sz w:val="20"/>
          <w:szCs w:val="20"/>
          <w:lang w:val="es-ES" w:eastAsia="es-ES"/>
        </w:rPr>
        <w:t>, por razones de salud</w:t>
      </w:r>
      <w:r w:rsidR="00C9112A">
        <w:rPr>
          <w:rFonts w:ascii="Cambria" w:hAnsi="Cambria"/>
          <w:color w:val="000000"/>
          <w:sz w:val="20"/>
          <w:szCs w:val="20"/>
          <w:lang w:val="es-ES" w:eastAsia="es-ES"/>
        </w:rPr>
        <w:t xml:space="preserve">. </w:t>
      </w:r>
      <w:r w:rsidR="00966CC0" w:rsidRPr="0029044C">
        <w:rPr>
          <w:rFonts w:ascii="Cambria" w:hAnsi="Cambria"/>
          <w:color w:val="000000"/>
          <w:sz w:val="20"/>
          <w:szCs w:val="20"/>
          <w:lang w:val="es-ES" w:eastAsia="es-ES"/>
        </w:rPr>
        <w:t>Finalmente</w:t>
      </w:r>
      <w:r w:rsidR="00E06D83" w:rsidRPr="0029044C">
        <w:rPr>
          <w:rFonts w:ascii="Cambria" w:hAnsi="Cambria"/>
          <w:color w:val="000000"/>
          <w:sz w:val="20"/>
          <w:szCs w:val="20"/>
          <w:lang w:val="es-ES" w:eastAsia="es-ES"/>
        </w:rPr>
        <w:t>,</w:t>
      </w:r>
      <w:r w:rsidR="00966CC0" w:rsidRPr="0029044C">
        <w:rPr>
          <w:rFonts w:ascii="Cambria" w:hAnsi="Cambria"/>
          <w:color w:val="000000"/>
          <w:sz w:val="20"/>
          <w:szCs w:val="20"/>
          <w:lang w:val="es-ES" w:eastAsia="es-ES"/>
        </w:rPr>
        <w:t xml:space="preserve"> el Estado habría </w:t>
      </w:r>
      <w:r w:rsidR="00966CC0" w:rsidRPr="002D25B2">
        <w:rPr>
          <w:rFonts w:ascii="Cambria" w:hAnsi="Cambria"/>
          <w:color w:val="000000"/>
          <w:sz w:val="20"/>
          <w:szCs w:val="20"/>
          <w:lang w:val="es-ES" w:eastAsia="es-ES"/>
        </w:rPr>
        <w:t xml:space="preserve">depositado el </w:t>
      </w:r>
      <w:r w:rsidR="00644DBE" w:rsidRPr="002D25B2">
        <w:rPr>
          <w:rFonts w:ascii="Cambria" w:hAnsi="Cambria"/>
          <w:color w:val="000000"/>
          <w:sz w:val="20"/>
          <w:szCs w:val="20"/>
          <w:lang w:val="es-ES" w:eastAsia="es-ES"/>
        </w:rPr>
        <w:t xml:space="preserve">último </w:t>
      </w:r>
      <w:r w:rsidR="00966CC0" w:rsidRPr="002D25B2">
        <w:rPr>
          <w:rFonts w:ascii="Cambria" w:hAnsi="Cambria"/>
          <w:color w:val="000000"/>
          <w:sz w:val="20"/>
          <w:szCs w:val="20"/>
          <w:lang w:val="es-ES" w:eastAsia="es-ES"/>
        </w:rPr>
        <w:t>pago</w:t>
      </w:r>
      <w:r w:rsidR="00966CC0" w:rsidRPr="0029044C">
        <w:rPr>
          <w:rFonts w:ascii="Cambria" w:hAnsi="Cambria"/>
          <w:color w:val="000000"/>
          <w:sz w:val="20"/>
          <w:szCs w:val="20"/>
          <w:lang w:val="es-ES" w:eastAsia="es-ES"/>
        </w:rPr>
        <w:t xml:space="preserve"> d</w:t>
      </w:r>
      <w:r w:rsidR="003144CD">
        <w:rPr>
          <w:rFonts w:ascii="Cambria" w:hAnsi="Cambria"/>
          <w:color w:val="000000"/>
          <w:sz w:val="20"/>
          <w:szCs w:val="20"/>
          <w:lang w:val="es-ES" w:eastAsia="es-ES"/>
        </w:rPr>
        <w:t>e la indemnización, el 12 de jul</w:t>
      </w:r>
      <w:r w:rsidR="00966CC0" w:rsidRPr="0029044C">
        <w:rPr>
          <w:rFonts w:ascii="Cambria" w:hAnsi="Cambria"/>
          <w:color w:val="000000"/>
          <w:sz w:val="20"/>
          <w:szCs w:val="20"/>
          <w:lang w:val="es-ES" w:eastAsia="es-ES"/>
        </w:rPr>
        <w:t>io de 2006.</w:t>
      </w:r>
    </w:p>
    <w:p w:rsidR="0029044C" w:rsidRDefault="0029044C" w:rsidP="00C9112A">
      <w:pPr>
        <w:jc w:val="both"/>
        <w:rPr>
          <w:rFonts w:ascii="Cambria" w:hAnsi="Cambria"/>
          <w:color w:val="000000"/>
          <w:sz w:val="20"/>
          <w:szCs w:val="20"/>
          <w:lang w:val="es-ES" w:eastAsia="es-ES"/>
        </w:rPr>
      </w:pPr>
    </w:p>
    <w:p w:rsidR="00D21D8B" w:rsidRDefault="001E0785" w:rsidP="00D21D8B">
      <w:pPr>
        <w:numPr>
          <w:ilvl w:val="0"/>
          <w:numId w:val="31"/>
        </w:numPr>
        <w:ind w:left="0"/>
        <w:jc w:val="both"/>
        <w:rPr>
          <w:rFonts w:ascii="Cambria" w:hAnsi="Cambria"/>
          <w:color w:val="000000"/>
          <w:sz w:val="20"/>
          <w:szCs w:val="20"/>
          <w:lang w:val="es-ES" w:eastAsia="es-ES"/>
        </w:rPr>
      </w:pPr>
      <w:r w:rsidRPr="0029044C">
        <w:rPr>
          <w:rFonts w:ascii="Cambria" w:hAnsi="Cambria"/>
          <w:color w:val="000000"/>
          <w:sz w:val="20"/>
          <w:szCs w:val="20"/>
          <w:lang w:val="es-ES" w:eastAsia="es-ES"/>
        </w:rPr>
        <w:t xml:space="preserve">En cuanto a la acción de amparo relacionada con la demanda por daños y perjuicios, la Comisión </w:t>
      </w:r>
      <w:r w:rsidR="008B49BF" w:rsidRPr="0029044C">
        <w:rPr>
          <w:rFonts w:ascii="Cambria" w:hAnsi="Cambria"/>
          <w:color w:val="000000"/>
          <w:sz w:val="20"/>
          <w:szCs w:val="20"/>
          <w:lang w:val="es-ES" w:eastAsia="es-ES"/>
        </w:rPr>
        <w:t>observa que la presunta víctima había presentado sus reclamos a</w:t>
      </w:r>
      <w:r w:rsidR="00E13BF1" w:rsidRPr="0029044C">
        <w:rPr>
          <w:rFonts w:ascii="Cambria" w:hAnsi="Cambria"/>
          <w:color w:val="000000"/>
          <w:sz w:val="20"/>
          <w:szCs w:val="20"/>
          <w:lang w:val="es-ES" w:eastAsia="es-ES"/>
        </w:rPr>
        <w:t>n</w:t>
      </w:r>
      <w:r w:rsidR="008B49BF" w:rsidRPr="0029044C">
        <w:rPr>
          <w:rFonts w:ascii="Cambria" w:hAnsi="Cambria"/>
          <w:color w:val="000000"/>
          <w:sz w:val="20"/>
          <w:szCs w:val="20"/>
          <w:lang w:val="es-ES" w:eastAsia="es-ES"/>
        </w:rPr>
        <w:t xml:space="preserve">te las autoridades competentes, quienes habían tenido la posibilidad de conocerlos.  La Comisión considera que el desistimiento por parte de la presunta víctima en la última etapa de dicho proceso no actúa para limitar la admisibilidad de los reclamos respecto a la presunta detención arbitraria, torturas, denegación de justicia; y de ser probadas ante la CIDH, ésta consideraría necesariamente la cuestión de reparaciones. </w:t>
      </w:r>
      <w:r w:rsidR="00E13BF1" w:rsidRPr="0029044C">
        <w:rPr>
          <w:rFonts w:ascii="Cambria" w:hAnsi="Cambria"/>
          <w:color w:val="000000"/>
          <w:sz w:val="20"/>
          <w:szCs w:val="20"/>
          <w:lang w:val="es-ES" w:eastAsia="es-ES"/>
        </w:rPr>
        <w:t xml:space="preserve"> </w:t>
      </w:r>
      <w:r w:rsidR="008B49BF" w:rsidRPr="0029044C">
        <w:rPr>
          <w:rFonts w:ascii="Cambria" w:hAnsi="Cambria"/>
          <w:color w:val="000000"/>
          <w:sz w:val="20"/>
          <w:szCs w:val="20"/>
          <w:lang w:val="es-ES" w:eastAsia="es-ES"/>
        </w:rPr>
        <w:t xml:space="preserve">Para determinar más específicamente si el desistimiento tendría un efecto en cuanto al análisis de las modalidades de ejecución de la sentencia emitida en su favor en 1998, </w:t>
      </w:r>
      <w:r w:rsidR="00644DBE">
        <w:rPr>
          <w:rFonts w:ascii="Cambria" w:hAnsi="Cambria"/>
          <w:color w:val="000000"/>
          <w:sz w:val="20"/>
          <w:szCs w:val="20"/>
          <w:lang w:val="es-ES" w:eastAsia="es-ES"/>
        </w:rPr>
        <w:t>l</w:t>
      </w:r>
      <w:r w:rsidR="008B49BF" w:rsidRPr="0029044C">
        <w:rPr>
          <w:rFonts w:ascii="Cambria" w:hAnsi="Cambria"/>
          <w:color w:val="000000"/>
          <w:sz w:val="20"/>
          <w:szCs w:val="20"/>
          <w:lang w:val="es-ES" w:eastAsia="es-ES"/>
        </w:rPr>
        <w:t xml:space="preserve">a Comisión estudiará en la etapa de fondo las circunstancias de salud que habrían </w:t>
      </w:r>
      <w:r w:rsidR="008B49BF" w:rsidRPr="0029044C">
        <w:rPr>
          <w:rFonts w:ascii="Cambria" w:hAnsi="Cambria"/>
          <w:color w:val="000000"/>
          <w:sz w:val="20"/>
          <w:szCs w:val="20"/>
          <w:lang w:val="es-ES" w:eastAsia="es-ES"/>
        </w:rPr>
        <w:lastRenderedPageBreak/>
        <w:t>motivado el desistimiento en 2006 y su posible relación con las alegadas violaciones principales en el caso antes de formular conclusiones al respecto.</w:t>
      </w:r>
    </w:p>
    <w:p w:rsidR="00D21D8B" w:rsidRDefault="00D21D8B" w:rsidP="002266E3">
      <w:pPr>
        <w:jc w:val="both"/>
        <w:rPr>
          <w:rFonts w:ascii="Cambria" w:hAnsi="Cambria"/>
          <w:color w:val="000000"/>
          <w:sz w:val="20"/>
          <w:szCs w:val="20"/>
          <w:lang w:val="es-ES" w:eastAsia="es-ES"/>
        </w:rPr>
      </w:pPr>
    </w:p>
    <w:p w:rsidR="00D21D8B" w:rsidRPr="00D21D8B" w:rsidRDefault="006A09FA" w:rsidP="00D21D8B">
      <w:pPr>
        <w:pStyle w:val="ListParagraph"/>
        <w:numPr>
          <w:ilvl w:val="0"/>
          <w:numId w:val="37"/>
        </w:numPr>
        <w:ind w:left="1440" w:hanging="720"/>
        <w:jc w:val="both"/>
        <w:rPr>
          <w:rFonts w:ascii="Cambria" w:hAnsi="Cambria"/>
          <w:color w:val="000000"/>
          <w:sz w:val="20"/>
          <w:szCs w:val="20"/>
          <w:lang w:val="es-ES" w:eastAsia="es-ES"/>
        </w:rPr>
      </w:pPr>
      <w:r w:rsidRPr="00D21D8B">
        <w:rPr>
          <w:rFonts w:ascii="Cambria" w:hAnsi="Cambria"/>
          <w:b/>
          <w:color w:val="000000"/>
          <w:sz w:val="20"/>
          <w:szCs w:val="20"/>
          <w:lang w:val="es-ES" w:eastAsia="es-ES"/>
        </w:rPr>
        <w:t>Plazo de presentación de la petición</w:t>
      </w:r>
    </w:p>
    <w:p w:rsidR="00D21D8B" w:rsidRDefault="00D21D8B" w:rsidP="00D21D8B">
      <w:pPr>
        <w:ind w:left="540"/>
        <w:jc w:val="both"/>
        <w:rPr>
          <w:rFonts w:ascii="Cambria" w:hAnsi="Cambria"/>
          <w:color w:val="000000"/>
          <w:sz w:val="20"/>
          <w:szCs w:val="20"/>
          <w:lang w:val="es-ES" w:eastAsia="es-ES"/>
        </w:rPr>
      </w:pPr>
    </w:p>
    <w:p w:rsidR="00D21D8B" w:rsidRDefault="006A09FA" w:rsidP="00D21D8B">
      <w:pPr>
        <w:numPr>
          <w:ilvl w:val="0"/>
          <w:numId w:val="31"/>
        </w:numPr>
        <w:ind w:left="0"/>
        <w:jc w:val="both"/>
        <w:rPr>
          <w:rFonts w:ascii="Cambria" w:hAnsi="Cambria"/>
          <w:color w:val="000000"/>
          <w:sz w:val="20"/>
          <w:szCs w:val="20"/>
          <w:lang w:val="es-ES" w:eastAsia="es-ES"/>
        </w:rPr>
      </w:pPr>
      <w:r w:rsidRPr="00D21D8B">
        <w:rPr>
          <w:rFonts w:ascii="Cambria" w:hAnsi="Cambria"/>
          <w:color w:val="000000"/>
          <w:sz w:val="20"/>
          <w:szCs w:val="20"/>
          <w:lang w:val="es-ES" w:eastAsia="es-ES"/>
        </w:rPr>
        <w:t xml:space="preserve">El artículo 46.1.b) de la Convención Americana establece que para que una petición resulte admisible por la Comisión se requerirá que sea presentada dentro del plazo de seis meses a partir de la fecha en que el presunto lesionado haya sido notificado de la decisión definitiva.  </w:t>
      </w:r>
    </w:p>
    <w:p w:rsidR="00D21D8B" w:rsidRDefault="00D21D8B" w:rsidP="00D21D8B">
      <w:pPr>
        <w:jc w:val="both"/>
        <w:rPr>
          <w:rFonts w:ascii="Cambria" w:hAnsi="Cambria"/>
          <w:color w:val="000000"/>
          <w:sz w:val="20"/>
          <w:szCs w:val="20"/>
          <w:lang w:val="es-ES" w:eastAsia="es-ES"/>
        </w:rPr>
      </w:pPr>
    </w:p>
    <w:p w:rsidR="00D21D8B" w:rsidRDefault="00DC669C" w:rsidP="00D21D8B">
      <w:pPr>
        <w:numPr>
          <w:ilvl w:val="0"/>
          <w:numId w:val="31"/>
        </w:numPr>
        <w:ind w:left="0"/>
        <w:jc w:val="both"/>
        <w:rPr>
          <w:rFonts w:ascii="Cambria" w:hAnsi="Cambria"/>
          <w:color w:val="000000"/>
          <w:sz w:val="20"/>
          <w:szCs w:val="20"/>
          <w:lang w:val="es-ES" w:eastAsia="es-ES"/>
        </w:rPr>
      </w:pPr>
      <w:r w:rsidRPr="00D21D8B">
        <w:rPr>
          <w:rFonts w:ascii="Cambria" w:hAnsi="Cambria"/>
          <w:color w:val="000000"/>
          <w:sz w:val="20"/>
          <w:szCs w:val="20"/>
          <w:lang w:val="es-ES" w:eastAsia="es-ES"/>
        </w:rPr>
        <w:t>L</w:t>
      </w:r>
      <w:r w:rsidR="0063179E" w:rsidRPr="00D21D8B">
        <w:rPr>
          <w:rFonts w:ascii="Cambria" w:hAnsi="Cambria"/>
          <w:color w:val="000000"/>
          <w:sz w:val="20"/>
          <w:szCs w:val="20"/>
          <w:lang w:val="es-ES" w:eastAsia="es-ES"/>
        </w:rPr>
        <w:t xml:space="preserve">a Comisión </w:t>
      </w:r>
      <w:r w:rsidR="00376640" w:rsidRPr="00D21D8B">
        <w:rPr>
          <w:rFonts w:ascii="Cambria" w:hAnsi="Cambria"/>
          <w:color w:val="000000"/>
          <w:sz w:val="20"/>
          <w:szCs w:val="20"/>
          <w:lang w:val="es-ES" w:eastAsia="es-ES"/>
        </w:rPr>
        <w:t xml:space="preserve">ya </w:t>
      </w:r>
      <w:r w:rsidR="0063179E" w:rsidRPr="00D21D8B">
        <w:rPr>
          <w:rFonts w:ascii="Cambria" w:hAnsi="Cambria"/>
          <w:color w:val="000000"/>
          <w:sz w:val="20"/>
          <w:szCs w:val="20"/>
          <w:lang w:val="es-ES" w:eastAsia="es-ES"/>
        </w:rPr>
        <w:t>ha determinado que los recursos internos</w:t>
      </w:r>
      <w:r w:rsidR="00E06D83" w:rsidRPr="00D21D8B">
        <w:rPr>
          <w:rFonts w:ascii="Cambria" w:hAnsi="Cambria"/>
          <w:color w:val="000000"/>
          <w:sz w:val="20"/>
          <w:szCs w:val="20"/>
          <w:lang w:val="es-ES" w:eastAsia="es-ES"/>
        </w:rPr>
        <w:t>,</w:t>
      </w:r>
      <w:r w:rsidR="0063179E" w:rsidRPr="00D21D8B">
        <w:rPr>
          <w:rFonts w:ascii="Cambria" w:hAnsi="Cambria"/>
          <w:color w:val="000000"/>
          <w:sz w:val="20"/>
          <w:szCs w:val="20"/>
          <w:lang w:val="es-ES" w:eastAsia="es-ES"/>
        </w:rPr>
        <w:t xml:space="preserve"> </w:t>
      </w:r>
      <w:r w:rsidR="00E06D83" w:rsidRPr="00D21D8B">
        <w:rPr>
          <w:rFonts w:ascii="Cambria" w:hAnsi="Cambria"/>
          <w:color w:val="000000"/>
          <w:sz w:val="20"/>
          <w:szCs w:val="20"/>
          <w:lang w:val="es-ES" w:eastAsia="es-ES"/>
        </w:rPr>
        <w:t xml:space="preserve">respecto del proceso penal, </w:t>
      </w:r>
      <w:r w:rsidR="0063179E" w:rsidRPr="00D21D8B">
        <w:rPr>
          <w:rFonts w:ascii="Cambria" w:hAnsi="Cambria"/>
          <w:color w:val="000000"/>
          <w:sz w:val="20"/>
          <w:szCs w:val="20"/>
          <w:lang w:val="es-ES" w:eastAsia="es-ES"/>
        </w:rPr>
        <w:t xml:space="preserve">fueron agotados el </w:t>
      </w:r>
      <w:r w:rsidR="0063179E" w:rsidRPr="00D21D8B">
        <w:rPr>
          <w:rFonts w:ascii="Cambria" w:hAnsi="Cambria" w:cs="Tahoma"/>
          <w:color w:val="000000"/>
          <w:sz w:val="20"/>
          <w:szCs w:val="20"/>
          <w:lang w:val="es-ES" w:eastAsia="es-ES"/>
        </w:rPr>
        <w:t>8 de marzo de 2001</w:t>
      </w:r>
      <w:r w:rsidRPr="00D21D8B">
        <w:rPr>
          <w:rFonts w:ascii="Cambria" w:hAnsi="Cambria" w:cs="Tahoma"/>
          <w:color w:val="000000"/>
          <w:sz w:val="20"/>
          <w:szCs w:val="20"/>
          <w:lang w:val="es-ES" w:eastAsia="es-ES"/>
        </w:rPr>
        <w:t xml:space="preserve"> </w:t>
      </w:r>
      <w:r w:rsidR="006A09FA" w:rsidRPr="00D21D8B">
        <w:rPr>
          <w:rFonts w:ascii="Cambria" w:hAnsi="Cambria"/>
          <w:color w:val="000000"/>
          <w:sz w:val="20"/>
          <w:szCs w:val="20"/>
          <w:lang w:val="es-ES" w:eastAsia="es-ES"/>
        </w:rPr>
        <w:t xml:space="preserve">y </w:t>
      </w:r>
      <w:r w:rsidR="00376640" w:rsidRPr="00D21D8B">
        <w:rPr>
          <w:rFonts w:ascii="Cambria" w:hAnsi="Cambria"/>
          <w:color w:val="000000"/>
          <w:sz w:val="20"/>
          <w:szCs w:val="20"/>
          <w:lang w:val="es-ES" w:eastAsia="es-ES"/>
        </w:rPr>
        <w:t xml:space="preserve">observa que </w:t>
      </w:r>
      <w:r w:rsidR="006A09FA" w:rsidRPr="00D21D8B">
        <w:rPr>
          <w:rFonts w:ascii="Cambria" w:hAnsi="Cambria"/>
          <w:color w:val="000000"/>
          <w:sz w:val="20"/>
          <w:szCs w:val="20"/>
          <w:lang w:val="es-ES" w:eastAsia="es-ES"/>
        </w:rPr>
        <w:t xml:space="preserve">la petición fue recibida el </w:t>
      </w:r>
      <w:r w:rsidRPr="00D21D8B">
        <w:rPr>
          <w:rFonts w:ascii="Cambria" w:hAnsi="Cambria"/>
          <w:color w:val="000000"/>
          <w:sz w:val="20"/>
          <w:szCs w:val="20"/>
          <w:lang w:val="es-ES" w:eastAsia="es-ES"/>
        </w:rPr>
        <w:t>6</w:t>
      </w:r>
      <w:r w:rsidR="00D216FA" w:rsidRPr="00D21D8B">
        <w:rPr>
          <w:rFonts w:ascii="Cambria" w:hAnsi="Cambria"/>
          <w:color w:val="000000"/>
          <w:sz w:val="20"/>
          <w:szCs w:val="20"/>
          <w:lang w:val="es-ES" w:eastAsia="es-ES"/>
        </w:rPr>
        <w:t xml:space="preserve"> de </w:t>
      </w:r>
      <w:r w:rsidRPr="00D21D8B">
        <w:rPr>
          <w:rFonts w:ascii="Cambria" w:hAnsi="Cambria"/>
          <w:color w:val="000000"/>
          <w:sz w:val="20"/>
          <w:szCs w:val="20"/>
          <w:lang w:val="es-ES" w:eastAsia="es-ES"/>
        </w:rPr>
        <w:t>septiembre</w:t>
      </w:r>
      <w:r w:rsidR="00D216FA" w:rsidRPr="00D21D8B">
        <w:rPr>
          <w:rFonts w:ascii="Cambria" w:hAnsi="Cambria"/>
          <w:color w:val="000000"/>
          <w:sz w:val="20"/>
          <w:szCs w:val="20"/>
          <w:lang w:val="es-ES" w:eastAsia="es-ES"/>
        </w:rPr>
        <w:t xml:space="preserve"> de 2001.</w:t>
      </w:r>
      <w:r w:rsidR="006A09FA" w:rsidRPr="00D21D8B">
        <w:rPr>
          <w:rFonts w:ascii="Cambria" w:hAnsi="Cambria"/>
          <w:color w:val="000000"/>
          <w:sz w:val="20"/>
          <w:szCs w:val="20"/>
          <w:lang w:val="es-ES" w:eastAsia="es-ES"/>
        </w:rPr>
        <w:t xml:space="preserve">  Por lo tanto, la Comisión considera que ésta fue presentada dentro de</w:t>
      </w:r>
      <w:r w:rsidR="00D216FA" w:rsidRPr="00D21D8B">
        <w:rPr>
          <w:rFonts w:ascii="Cambria" w:hAnsi="Cambria"/>
          <w:color w:val="000000"/>
          <w:sz w:val="20"/>
          <w:szCs w:val="20"/>
          <w:lang w:val="es-ES" w:eastAsia="es-ES"/>
        </w:rPr>
        <w:t>l plazo estable</w:t>
      </w:r>
      <w:r w:rsidR="00376640" w:rsidRPr="00D21D8B">
        <w:rPr>
          <w:rFonts w:ascii="Cambria" w:hAnsi="Cambria"/>
          <w:color w:val="000000"/>
          <w:sz w:val="20"/>
          <w:szCs w:val="20"/>
          <w:lang w:val="es-ES" w:eastAsia="es-ES"/>
        </w:rPr>
        <w:t>cido en el artículo 46.1.b) de la Convención Americana</w:t>
      </w:r>
      <w:r w:rsidR="006A09FA" w:rsidRPr="00D21D8B">
        <w:rPr>
          <w:rFonts w:ascii="Cambria" w:hAnsi="Cambria"/>
          <w:color w:val="000000"/>
          <w:sz w:val="20"/>
          <w:szCs w:val="20"/>
          <w:lang w:val="es-ES" w:eastAsia="es-ES"/>
        </w:rPr>
        <w:t>.</w:t>
      </w:r>
    </w:p>
    <w:p w:rsidR="00D21D8B" w:rsidRDefault="00D21D8B" w:rsidP="00D21D8B">
      <w:pPr>
        <w:ind w:left="720"/>
        <w:jc w:val="both"/>
        <w:rPr>
          <w:rFonts w:ascii="Cambria" w:hAnsi="Cambria"/>
          <w:color w:val="000000"/>
          <w:sz w:val="20"/>
          <w:szCs w:val="20"/>
          <w:lang w:val="es-ES" w:eastAsia="es-ES"/>
        </w:rPr>
      </w:pPr>
    </w:p>
    <w:p w:rsidR="00D21D8B" w:rsidRPr="00D21D8B" w:rsidRDefault="006A09FA" w:rsidP="00CD1B3B">
      <w:pPr>
        <w:pStyle w:val="ListParagraph"/>
        <w:numPr>
          <w:ilvl w:val="0"/>
          <w:numId w:val="37"/>
        </w:numPr>
        <w:ind w:left="1440" w:hanging="720"/>
        <w:jc w:val="both"/>
        <w:rPr>
          <w:rFonts w:ascii="Cambria" w:hAnsi="Cambria"/>
          <w:color w:val="000000"/>
          <w:sz w:val="20"/>
          <w:szCs w:val="20"/>
          <w:lang w:val="es-ES" w:eastAsia="es-ES"/>
        </w:rPr>
      </w:pPr>
      <w:r w:rsidRPr="00D21D8B">
        <w:rPr>
          <w:rFonts w:ascii="Cambria" w:hAnsi="Cambria"/>
          <w:b/>
          <w:color w:val="000000"/>
          <w:sz w:val="20"/>
          <w:szCs w:val="20"/>
          <w:lang w:val="es-ES" w:eastAsia="es-ES"/>
        </w:rPr>
        <w:t>Duplicación de procedimiento internacional</w:t>
      </w:r>
    </w:p>
    <w:p w:rsidR="00D21D8B" w:rsidRDefault="00D21D8B" w:rsidP="00D21D8B">
      <w:pPr>
        <w:ind w:left="720"/>
        <w:jc w:val="both"/>
        <w:rPr>
          <w:rFonts w:ascii="Cambria" w:hAnsi="Cambria"/>
          <w:color w:val="000000"/>
          <w:sz w:val="20"/>
          <w:szCs w:val="20"/>
          <w:lang w:val="es-ES" w:eastAsia="es-ES"/>
        </w:rPr>
      </w:pPr>
    </w:p>
    <w:p w:rsidR="00CD1B3B" w:rsidRDefault="008E7FD8" w:rsidP="00CD1B3B">
      <w:pPr>
        <w:numPr>
          <w:ilvl w:val="0"/>
          <w:numId w:val="31"/>
        </w:numPr>
        <w:ind w:left="0"/>
        <w:jc w:val="both"/>
        <w:rPr>
          <w:rFonts w:ascii="Cambria" w:hAnsi="Cambria"/>
          <w:color w:val="000000"/>
          <w:sz w:val="20"/>
          <w:szCs w:val="20"/>
          <w:lang w:val="es-ES" w:eastAsia="es-ES"/>
        </w:rPr>
      </w:pPr>
      <w:r w:rsidRPr="00D21D8B">
        <w:rPr>
          <w:rFonts w:ascii="Cambria" w:hAnsi="Cambria"/>
          <w:color w:val="000000"/>
          <w:sz w:val="20"/>
          <w:szCs w:val="20"/>
          <w:lang w:val="es-ES" w:eastAsia="es-ES"/>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46.1.b) y 47.a) de la Convención.</w:t>
      </w:r>
    </w:p>
    <w:p w:rsidR="00CD1B3B" w:rsidRDefault="00CD1B3B" w:rsidP="00CD1B3B">
      <w:pPr>
        <w:ind w:left="720"/>
        <w:jc w:val="both"/>
        <w:rPr>
          <w:rFonts w:ascii="Cambria" w:hAnsi="Cambria"/>
          <w:color w:val="000000"/>
          <w:sz w:val="20"/>
          <w:szCs w:val="20"/>
          <w:lang w:val="es-ES" w:eastAsia="es-ES"/>
        </w:rPr>
      </w:pPr>
    </w:p>
    <w:p w:rsidR="00CD1B3B" w:rsidRPr="00CD1B3B" w:rsidRDefault="006A09FA" w:rsidP="00CD1B3B">
      <w:pPr>
        <w:pStyle w:val="ListParagraph"/>
        <w:numPr>
          <w:ilvl w:val="0"/>
          <w:numId w:val="37"/>
        </w:numPr>
        <w:ind w:left="1440" w:hanging="732"/>
        <w:jc w:val="both"/>
        <w:rPr>
          <w:rFonts w:ascii="Cambria" w:hAnsi="Cambria"/>
          <w:color w:val="000000"/>
          <w:sz w:val="20"/>
          <w:szCs w:val="20"/>
          <w:lang w:val="es-ES" w:eastAsia="es-ES"/>
        </w:rPr>
      </w:pPr>
      <w:r w:rsidRPr="00CD1B3B">
        <w:rPr>
          <w:rFonts w:ascii="Cambria" w:hAnsi="Cambria"/>
          <w:b/>
          <w:color w:val="000000"/>
          <w:sz w:val="20"/>
          <w:szCs w:val="20"/>
          <w:lang w:val="es-ES" w:eastAsia="es-ES"/>
        </w:rPr>
        <w:t>Caracterización de los hechos alegados</w:t>
      </w:r>
    </w:p>
    <w:p w:rsidR="00CD1B3B" w:rsidRDefault="00CD1B3B" w:rsidP="00CD1B3B">
      <w:pPr>
        <w:ind w:left="720"/>
        <w:jc w:val="both"/>
        <w:rPr>
          <w:rFonts w:ascii="Cambria" w:hAnsi="Cambria"/>
          <w:color w:val="000000"/>
          <w:sz w:val="20"/>
          <w:szCs w:val="20"/>
          <w:lang w:val="es-ES" w:eastAsia="es-ES"/>
        </w:rPr>
      </w:pPr>
    </w:p>
    <w:p w:rsidR="00CD1B3B" w:rsidRDefault="006A09FA" w:rsidP="00CD1B3B">
      <w:pPr>
        <w:numPr>
          <w:ilvl w:val="0"/>
          <w:numId w:val="31"/>
        </w:numPr>
        <w:ind w:left="0"/>
        <w:jc w:val="both"/>
        <w:rPr>
          <w:rFonts w:ascii="Cambria" w:hAnsi="Cambria"/>
          <w:color w:val="000000"/>
          <w:sz w:val="20"/>
          <w:szCs w:val="20"/>
          <w:lang w:val="es-ES" w:eastAsia="es-ES"/>
        </w:rPr>
      </w:pPr>
      <w:r w:rsidRPr="00CD1B3B">
        <w:rPr>
          <w:rFonts w:ascii="Cambria" w:hAnsi="Cambria"/>
          <w:color w:val="000000"/>
          <w:sz w:val="20"/>
          <w:szCs w:val="20"/>
          <w:lang w:val="es-ES" w:eastAsia="es-ES"/>
        </w:rPr>
        <w:t xml:space="preserve">En la presente petición, se han presentado una serie de argumentos sobre la presunta violación a los derechos a </w:t>
      </w:r>
      <w:r w:rsidR="00382C83" w:rsidRPr="00CD1B3B">
        <w:rPr>
          <w:rFonts w:ascii="Cambria" w:hAnsi="Cambria"/>
          <w:color w:val="000000"/>
          <w:sz w:val="20"/>
          <w:szCs w:val="20"/>
          <w:lang w:val="es-ES" w:eastAsia="es-ES"/>
        </w:rPr>
        <w:t xml:space="preserve">la integridad personal, la libertad individual y la protección judicial </w:t>
      </w:r>
      <w:r w:rsidRPr="00CD1B3B">
        <w:rPr>
          <w:rFonts w:ascii="Cambria" w:hAnsi="Cambria"/>
          <w:color w:val="000000"/>
          <w:sz w:val="20"/>
          <w:szCs w:val="20"/>
          <w:lang w:val="es-ES" w:eastAsia="es-ES"/>
        </w:rPr>
        <w:t>co</w:t>
      </w:r>
      <w:r w:rsidR="00382C83" w:rsidRPr="00CD1B3B">
        <w:rPr>
          <w:rFonts w:ascii="Cambria" w:hAnsi="Cambria"/>
          <w:color w:val="000000"/>
          <w:sz w:val="20"/>
          <w:szCs w:val="20"/>
          <w:lang w:val="es-ES" w:eastAsia="es-ES"/>
        </w:rPr>
        <w:t>nsagrados en los artículos 5, 7</w:t>
      </w:r>
      <w:r w:rsidRPr="00CD1B3B">
        <w:rPr>
          <w:rFonts w:ascii="Cambria" w:hAnsi="Cambria"/>
          <w:color w:val="000000"/>
          <w:sz w:val="20"/>
          <w:szCs w:val="20"/>
          <w:lang w:val="es-ES" w:eastAsia="es-ES"/>
        </w:rPr>
        <w:t xml:space="preserve"> y 25 de la Convención Americana.  </w:t>
      </w:r>
    </w:p>
    <w:p w:rsidR="00CD1B3B" w:rsidRDefault="00CD1B3B" w:rsidP="00CD1B3B">
      <w:pPr>
        <w:ind w:left="720"/>
        <w:jc w:val="both"/>
        <w:rPr>
          <w:rFonts w:ascii="Cambria" w:hAnsi="Cambria"/>
          <w:color w:val="000000"/>
          <w:sz w:val="20"/>
          <w:szCs w:val="20"/>
          <w:lang w:val="es-ES" w:eastAsia="es-ES"/>
        </w:rPr>
      </w:pPr>
    </w:p>
    <w:p w:rsidR="00CD1B3B" w:rsidRDefault="00E10D48" w:rsidP="00CD1B3B">
      <w:pPr>
        <w:numPr>
          <w:ilvl w:val="0"/>
          <w:numId w:val="31"/>
        </w:numPr>
        <w:ind w:left="0"/>
        <w:jc w:val="both"/>
        <w:rPr>
          <w:rFonts w:ascii="Cambria" w:hAnsi="Cambria"/>
          <w:color w:val="000000"/>
          <w:sz w:val="20"/>
          <w:szCs w:val="20"/>
          <w:lang w:val="es-ES" w:eastAsia="es-ES"/>
        </w:rPr>
      </w:pPr>
      <w:r w:rsidRPr="00CD1B3B">
        <w:rPr>
          <w:rFonts w:ascii="Cambria" w:hAnsi="Cambria"/>
          <w:color w:val="000000"/>
          <w:sz w:val="20"/>
          <w:szCs w:val="20"/>
          <w:lang w:val="es-ES" w:eastAsia="es-ES"/>
        </w:rPr>
        <w:t xml:space="preserve">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  </w:t>
      </w:r>
    </w:p>
    <w:p w:rsidR="00CD1B3B" w:rsidRDefault="00CD1B3B" w:rsidP="00CD1B3B">
      <w:pPr>
        <w:ind w:left="720"/>
        <w:jc w:val="both"/>
        <w:rPr>
          <w:rFonts w:ascii="Cambria" w:hAnsi="Cambria"/>
          <w:color w:val="000000"/>
          <w:sz w:val="20"/>
          <w:szCs w:val="20"/>
          <w:lang w:val="es-ES" w:eastAsia="es-ES"/>
        </w:rPr>
      </w:pPr>
    </w:p>
    <w:p w:rsidR="00CD1B3B" w:rsidRDefault="006A09FA" w:rsidP="00CD1B3B">
      <w:pPr>
        <w:numPr>
          <w:ilvl w:val="0"/>
          <w:numId w:val="31"/>
        </w:numPr>
        <w:ind w:left="0"/>
        <w:jc w:val="both"/>
        <w:rPr>
          <w:rFonts w:ascii="Cambria" w:hAnsi="Cambria"/>
          <w:color w:val="000000"/>
          <w:sz w:val="20"/>
          <w:szCs w:val="20"/>
          <w:lang w:val="es-ES" w:eastAsia="es-ES"/>
        </w:rPr>
      </w:pPr>
      <w:r w:rsidRPr="00CD1B3B">
        <w:rPr>
          <w:rFonts w:ascii="Cambria" w:hAnsi="Cambria"/>
          <w:color w:val="000000"/>
          <w:sz w:val="20"/>
          <w:szCs w:val="20"/>
          <w:lang w:val="es-ES" w:eastAsia="es-ES"/>
        </w:rPr>
        <w:t>En vista de los elementos de hecho y de derecho presentados por las partes y la naturaleza del asunto puesto bajo su conocimiento, la CIDH considera que los alegatos de</w:t>
      </w:r>
      <w:r w:rsidR="00382C83" w:rsidRPr="00CD1B3B">
        <w:rPr>
          <w:rFonts w:ascii="Cambria" w:hAnsi="Cambria"/>
          <w:color w:val="000000"/>
          <w:sz w:val="20"/>
          <w:szCs w:val="20"/>
          <w:lang w:val="es-ES" w:eastAsia="es-ES"/>
        </w:rPr>
        <w:t xml:space="preserve"> </w:t>
      </w:r>
      <w:r w:rsidRPr="00CD1B3B">
        <w:rPr>
          <w:rFonts w:ascii="Cambria" w:hAnsi="Cambria"/>
          <w:color w:val="000000"/>
          <w:sz w:val="20"/>
          <w:szCs w:val="20"/>
          <w:lang w:val="es-ES" w:eastAsia="es-ES"/>
        </w:rPr>
        <w:t>l</w:t>
      </w:r>
      <w:r w:rsidR="00382C83" w:rsidRPr="00CD1B3B">
        <w:rPr>
          <w:rFonts w:ascii="Cambria" w:hAnsi="Cambria"/>
          <w:color w:val="000000"/>
          <w:sz w:val="20"/>
          <w:szCs w:val="20"/>
          <w:lang w:val="es-ES" w:eastAsia="es-ES"/>
        </w:rPr>
        <w:t>os</w:t>
      </w:r>
      <w:r w:rsidRPr="00CD1B3B">
        <w:rPr>
          <w:rFonts w:ascii="Cambria" w:hAnsi="Cambria"/>
          <w:color w:val="000000"/>
          <w:sz w:val="20"/>
          <w:szCs w:val="20"/>
          <w:lang w:val="es-ES" w:eastAsia="es-ES"/>
        </w:rPr>
        <w:t xml:space="preserve"> peticionario</w:t>
      </w:r>
      <w:r w:rsidR="00382C83" w:rsidRPr="00CD1B3B">
        <w:rPr>
          <w:rFonts w:ascii="Cambria" w:hAnsi="Cambria"/>
          <w:color w:val="000000"/>
          <w:sz w:val="20"/>
          <w:szCs w:val="20"/>
          <w:lang w:val="es-ES" w:eastAsia="es-ES"/>
        </w:rPr>
        <w:t>s</w:t>
      </w:r>
      <w:r w:rsidRPr="00CD1B3B">
        <w:rPr>
          <w:rFonts w:ascii="Cambria" w:hAnsi="Cambria"/>
          <w:color w:val="000000"/>
          <w:sz w:val="20"/>
          <w:szCs w:val="20"/>
          <w:lang w:val="es-ES" w:eastAsia="es-ES"/>
        </w:rPr>
        <w:t xml:space="preserve"> relacionados con </w:t>
      </w:r>
      <w:r w:rsidR="00736779" w:rsidRPr="00CD1B3B">
        <w:rPr>
          <w:rFonts w:ascii="Cambria" w:hAnsi="Cambria"/>
          <w:color w:val="000000"/>
          <w:sz w:val="20"/>
          <w:szCs w:val="20"/>
          <w:lang w:val="es-ES" w:eastAsia="es-ES"/>
        </w:rPr>
        <w:t>la presunta detención arbitraria y torturas; y la duración, característica</w:t>
      </w:r>
      <w:r w:rsidR="006D590C" w:rsidRPr="00CD1B3B">
        <w:rPr>
          <w:rFonts w:ascii="Cambria" w:hAnsi="Cambria"/>
          <w:color w:val="000000"/>
          <w:sz w:val="20"/>
          <w:szCs w:val="20"/>
          <w:lang w:val="es-ES" w:eastAsia="es-ES"/>
        </w:rPr>
        <w:t>s</w:t>
      </w:r>
      <w:r w:rsidR="00736779" w:rsidRPr="00CD1B3B">
        <w:rPr>
          <w:rFonts w:ascii="Cambria" w:hAnsi="Cambria"/>
          <w:color w:val="000000"/>
          <w:sz w:val="20"/>
          <w:szCs w:val="20"/>
          <w:lang w:val="es-ES" w:eastAsia="es-ES"/>
        </w:rPr>
        <w:t xml:space="preserve"> y estándares aplicados en </w:t>
      </w:r>
      <w:r w:rsidR="00382C83" w:rsidRPr="00CD1B3B">
        <w:rPr>
          <w:rFonts w:ascii="Cambria" w:hAnsi="Cambria"/>
          <w:color w:val="000000"/>
          <w:sz w:val="20"/>
          <w:szCs w:val="20"/>
          <w:lang w:val="es-ES" w:eastAsia="es-ES"/>
        </w:rPr>
        <w:t xml:space="preserve">el proceso penal seguido contra los agentes del Estado </w:t>
      </w:r>
      <w:r w:rsidR="00E10D48" w:rsidRPr="00CD1B3B">
        <w:rPr>
          <w:rFonts w:ascii="Cambria" w:hAnsi="Cambria"/>
          <w:color w:val="000000"/>
          <w:sz w:val="20"/>
          <w:szCs w:val="20"/>
          <w:lang w:val="es-ES" w:eastAsia="es-ES"/>
        </w:rPr>
        <w:t>por los delitos de privación de libertad ilegítima y tormentos</w:t>
      </w:r>
      <w:r w:rsidR="00382C83" w:rsidRPr="00CD1B3B">
        <w:rPr>
          <w:rFonts w:ascii="Cambria" w:hAnsi="Cambria"/>
          <w:color w:val="000000"/>
          <w:sz w:val="20"/>
          <w:szCs w:val="20"/>
          <w:lang w:val="es-ES" w:eastAsia="es-ES"/>
        </w:rPr>
        <w:t>,</w:t>
      </w:r>
      <w:r w:rsidRPr="00CD1B3B">
        <w:rPr>
          <w:rFonts w:ascii="Cambria" w:hAnsi="Cambria"/>
          <w:color w:val="000000"/>
          <w:sz w:val="20"/>
          <w:szCs w:val="20"/>
          <w:lang w:val="es-ES" w:eastAsia="es-ES"/>
        </w:rPr>
        <w:t xml:space="preserve"> podrían caracterizar posibles </w:t>
      </w:r>
      <w:r w:rsidR="00E10D48" w:rsidRPr="00CD1B3B">
        <w:rPr>
          <w:rFonts w:ascii="Cambria" w:hAnsi="Cambria"/>
          <w:color w:val="000000"/>
          <w:sz w:val="20"/>
          <w:szCs w:val="20"/>
          <w:lang w:val="es-ES" w:eastAsia="es-ES"/>
        </w:rPr>
        <w:t>violaciones a los derechos a la</w:t>
      </w:r>
      <w:r w:rsidRPr="00CD1B3B">
        <w:rPr>
          <w:rFonts w:ascii="Cambria" w:hAnsi="Cambria"/>
          <w:color w:val="000000"/>
          <w:sz w:val="20"/>
          <w:szCs w:val="20"/>
          <w:lang w:val="es-ES" w:eastAsia="es-ES"/>
        </w:rPr>
        <w:t xml:space="preserve"> </w:t>
      </w:r>
      <w:r w:rsidR="00E10D48" w:rsidRPr="00CD1B3B">
        <w:rPr>
          <w:rFonts w:ascii="Cambria" w:hAnsi="Cambria"/>
          <w:color w:val="000000"/>
          <w:sz w:val="20"/>
          <w:szCs w:val="20"/>
          <w:lang w:val="es-ES" w:eastAsia="es-ES"/>
        </w:rPr>
        <w:t xml:space="preserve">protección judicial y las </w:t>
      </w:r>
      <w:r w:rsidRPr="00CD1B3B">
        <w:rPr>
          <w:rFonts w:ascii="Cambria" w:hAnsi="Cambria"/>
          <w:color w:val="000000"/>
          <w:sz w:val="20"/>
          <w:szCs w:val="20"/>
          <w:lang w:val="es-ES" w:eastAsia="es-ES"/>
        </w:rPr>
        <w:t xml:space="preserve">garantías judiciales, consagrados en los artículos </w:t>
      </w:r>
      <w:r w:rsidR="00E10D48" w:rsidRPr="00CD1B3B">
        <w:rPr>
          <w:rFonts w:ascii="Cambria" w:hAnsi="Cambria"/>
          <w:color w:val="000000"/>
          <w:sz w:val="20"/>
          <w:szCs w:val="20"/>
          <w:lang w:val="es-ES" w:eastAsia="es-ES"/>
        </w:rPr>
        <w:t>8</w:t>
      </w:r>
      <w:r w:rsidRPr="00CD1B3B">
        <w:rPr>
          <w:rFonts w:ascii="Cambria" w:hAnsi="Cambria"/>
          <w:color w:val="000000"/>
          <w:sz w:val="20"/>
          <w:szCs w:val="20"/>
          <w:lang w:val="es-ES" w:eastAsia="es-ES"/>
        </w:rPr>
        <w:t xml:space="preserve"> y 25 de la Convención Americana en relación a</w:t>
      </w:r>
      <w:r w:rsidR="00E10D48" w:rsidRPr="00CD1B3B">
        <w:rPr>
          <w:rFonts w:ascii="Cambria" w:hAnsi="Cambria"/>
          <w:color w:val="000000"/>
          <w:sz w:val="20"/>
          <w:szCs w:val="20"/>
          <w:lang w:val="es-ES" w:eastAsia="es-ES"/>
        </w:rPr>
        <w:t xml:space="preserve"> su</w:t>
      </w:r>
      <w:r w:rsidR="00736779" w:rsidRPr="00CD1B3B">
        <w:rPr>
          <w:rFonts w:ascii="Cambria" w:hAnsi="Cambria"/>
          <w:color w:val="000000"/>
          <w:sz w:val="20"/>
          <w:szCs w:val="20"/>
          <w:lang w:val="es-ES" w:eastAsia="es-ES"/>
        </w:rPr>
        <w:t>s</w:t>
      </w:r>
      <w:r w:rsidR="00E10D48" w:rsidRPr="00CD1B3B">
        <w:rPr>
          <w:rFonts w:ascii="Cambria" w:hAnsi="Cambria"/>
          <w:color w:val="000000"/>
          <w:sz w:val="20"/>
          <w:szCs w:val="20"/>
          <w:lang w:val="es-ES" w:eastAsia="es-ES"/>
        </w:rPr>
        <w:t xml:space="preserve"> artículo</w:t>
      </w:r>
      <w:r w:rsidR="00736779" w:rsidRPr="00CD1B3B">
        <w:rPr>
          <w:rFonts w:ascii="Cambria" w:hAnsi="Cambria"/>
          <w:color w:val="000000"/>
          <w:sz w:val="20"/>
          <w:szCs w:val="20"/>
          <w:lang w:val="es-ES" w:eastAsia="es-ES"/>
        </w:rPr>
        <w:t>s</w:t>
      </w:r>
      <w:r w:rsidR="00E10D48" w:rsidRPr="00CD1B3B">
        <w:rPr>
          <w:rFonts w:ascii="Cambria" w:hAnsi="Cambria"/>
          <w:color w:val="000000"/>
          <w:sz w:val="20"/>
          <w:szCs w:val="20"/>
          <w:lang w:val="es-ES" w:eastAsia="es-ES"/>
        </w:rPr>
        <w:t xml:space="preserve"> 1.1</w:t>
      </w:r>
      <w:r w:rsidR="00736779" w:rsidRPr="00CD1B3B">
        <w:rPr>
          <w:rFonts w:ascii="Cambria" w:hAnsi="Cambria"/>
          <w:color w:val="000000"/>
          <w:sz w:val="20"/>
          <w:szCs w:val="20"/>
          <w:lang w:val="es-ES" w:eastAsia="es-ES"/>
        </w:rPr>
        <w:t xml:space="preserve"> y 2.</w:t>
      </w:r>
      <w:r w:rsidR="008561FF" w:rsidRPr="00CD1B3B">
        <w:rPr>
          <w:rFonts w:ascii="Cambria" w:hAnsi="Cambria"/>
          <w:color w:val="000000"/>
          <w:sz w:val="20"/>
          <w:szCs w:val="20"/>
          <w:lang w:val="es-ES" w:eastAsia="es-ES"/>
        </w:rPr>
        <w:t xml:space="preserve"> </w:t>
      </w:r>
      <w:r w:rsidR="007E5CBE" w:rsidRPr="00CD1B3B">
        <w:rPr>
          <w:rFonts w:ascii="Cambria" w:hAnsi="Cambria"/>
          <w:color w:val="000000"/>
          <w:sz w:val="20"/>
          <w:szCs w:val="20"/>
          <w:lang w:val="es-ES" w:eastAsia="es-ES"/>
        </w:rPr>
        <w:t xml:space="preserve"> Asimismo, </w:t>
      </w:r>
      <w:r w:rsidR="007E5CBE" w:rsidRPr="00CD1B3B">
        <w:rPr>
          <w:rFonts w:ascii="Cambria" w:eastAsia="MS Mincho" w:hAnsi="Cambria"/>
          <w:sz w:val="20"/>
          <w:szCs w:val="20"/>
          <w:lang w:val="es-UY"/>
        </w:rPr>
        <w:t xml:space="preserve">la Comisión considera que no es competente en razón del tiempo para analizar las alegadas violaciones a los artículos 5 y 7 de la Convención Americana, por lo que </w:t>
      </w:r>
      <w:r w:rsidR="00E80F3B" w:rsidRPr="00CD1B3B">
        <w:rPr>
          <w:rFonts w:ascii="Cambria" w:eastAsia="MS Mincho" w:hAnsi="Cambria"/>
          <w:sz w:val="20"/>
          <w:szCs w:val="20"/>
          <w:lang w:val="es-UY"/>
        </w:rPr>
        <w:t>dichos</w:t>
      </w:r>
      <w:r w:rsidR="007E5CBE" w:rsidRPr="00CD1B3B">
        <w:rPr>
          <w:rFonts w:ascii="Cambria" w:eastAsia="MS Mincho" w:hAnsi="Cambria"/>
          <w:sz w:val="20"/>
          <w:szCs w:val="20"/>
          <w:lang w:val="es-UY"/>
        </w:rPr>
        <w:t xml:space="preserve"> alegatos</w:t>
      </w:r>
      <w:r w:rsidR="00E80F3B" w:rsidRPr="00CD1B3B">
        <w:rPr>
          <w:rFonts w:ascii="Cambria" w:eastAsia="MS Mincho" w:hAnsi="Cambria"/>
          <w:sz w:val="20"/>
          <w:szCs w:val="20"/>
          <w:lang w:val="es-UY"/>
        </w:rPr>
        <w:t xml:space="preserve"> son inadmisibles</w:t>
      </w:r>
      <w:r w:rsidR="007E5CBE" w:rsidRPr="00CD1B3B">
        <w:rPr>
          <w:rFonts w:ascii="Cambria" w:eastAsia="MS Mincho" w:hAnsi="Cambria"/>
          <w:sz w:val="20"/>
          <w:szCs w:val="20"/>
          <w:lang w:val="es-UY"/>
        </w:rPr>
        <w:t>.</w:t>
      </w:r>
    </w:p>
    <w:p w:rsidR="00CD1B3B" w:rsidRDefault="00CD1B3B" w:rsidP="00CD1B3B">
      <w:pPr>
        <w:ind w:left="720"/>
        <w:jc w:val="both"/>
        <w:rPr>
          <w:rFonts w:ascii="Cambria" w:hAnsi="Cambria"/>
          <w:color w:val="000000"/>
          <w:sz w:val="20"/>
          <w:szCs w:val="20"/>
          <w:lang w:val="es-ES" w:eastAsia="es-ES"/>
        </w:rPr>
      </w:pPr>
    </w:p>
    <w:p w:rsidR="00CD1B3B" w:rsidRDefault="007E5CBE" w:rsidP="00CD1B3B">
      <w:pPr>
        <w:numPr>
          <w:ilvl w:val="0"/>
          <w:numId w:val="31"/>
        </w:numPr>
        <w:ind w:left="0"/>
        <w:jc w:val="both"/>
        <w:rPr>
          <w:rFonts w:ascii="Cambria" w:hAnsi="Cambria"/>
          <w:color w:val="000000"/>
          <w:sz w:val="20"/>
          <w:szCs w:val="20"/>
          <w:lang w:val="es-ES" w:eastAsia="es-ES"/>
        </w:rPr>
      </w:pPr>
      <w:r w:rsidRPr="00CD1B3B">
        <w:rPr>
          <w:rFonts w:ascii="Cambria" w:hAnsi="Cambria"/>
          <w:color w:val="000000"/>
          <w:sz w:val="20"/>
          <w:szCs w:val="20"/>
          <w:lang w:val="es-ES" w:eastAsia="es-ES"/>
        </w:rPr>
        <w:t xml:space="preserve">La Comisión también decide que </w:t>
      </w:r>
      <w:r w:rsidR="008561FF" w:rsidRPr="00CD1B3B">
        <w:rPr>
          <w:rFonts w:ascii="Cambria" w:hAnsi="Cambria"/>
          <w:color w:val="000000"/>
          <w:sz w:val="20"/>
          <w:szCs w:val="20"/>
          <w:lang w:val="es-ES" w:eastAsia="es-ES"/>
        </w:rPr>
        <w:t>los hechos podrían caracterizar posibles violaciones a los d</w:t>
      </w:r>
      <w:r w:rsidR="006F1569" w:rsidRPr="00CD1B3B">
        <w:rPr>
          <w:rFonts w:ascii="Cambria" w:hAnsi="Cambria"/>
          <w:color w:val="000000"/>
          <w:sz w:val="20"/>
          <w:szCs w:val="20"/>
          <w:lang w:val="es-ES" w:eastAsia="es-ES"/>
        </w:rPr>
        <w:t>erechos a la libertad</w:t>
      </w:r>
      <w:r w:rsidR="008561FF" w:rsidRPr="00CD1B3B">
        <w:rPr>
          <w:rFonts w:ascii="Cambria" w:hAnsi="Cambria"/>
          <w:color w:val="000000"/>
          <w:sz w:val="20"/>
          <w:szCs w:val="20"/>
          <w:lang w:val="es-ES" w:eastAsia="es-ES"/>
        </w:rPr>
        <w:t xml:space="preserve"> e integridad de la persona, </w:t>
      </w:r>
      <w:r w:rsidR="006F1569" w:rsidRPr="00CD1B3B">
        <w:rPr>
          <w:rFonts w:ascii="Cambria" w:hAnsi="Cambria"/>
          <w:color w:val="000000"/>
          <w:sz w:val="20"/>
          <w:szCs w:val="20"/>
          <w:lang w:val="es-ES" w:eastAsia="es-ES"/>
        </w:rPr>
        <w:t xml:space="preserve">inviolabilidad de domicilio, </w:t>
      </w:r>
      <w:r w:rsidR="008561FF" w:rsidRPr="00CD1B3B">
        <w:rPr>
          <w:rFonts w:ascii="Cambria" w:hAnsi="Cambria"/>
          <w:color w:val="000000"/>
          <w:sz w:val="20"/>
          <w:szCs w:val="20"/>
          <w:lang w:val="es-ES" w:eastAsia="es-ES"/>
        </w:rPr>
        <w:t>just</w:t>
      </w:r>
      <w:r w:rsidR="006F1569" w:rsidRPr="00CD1B3B">
        <w:rPr>
          <w:rFonts w:ascii="Cambria" w:hAnsi="Cambria"/>
          <w:color w:val="000000"/>
          <w:sz w:val="20"/>
          <w:szCs w:val="20"/>
          <w:lang w:val="es-ES" w:eastAsia="es-ES"/>
        </w:rPr>
        <w:t>icia y</w:t>
      </w:r>
      <w:r w:rsidR="008561FF" w:rsidRPr="00CD1B3B">
        <w:rPr>
          <w:rFonts w:ascii="Cambria" w:hAnsi="Cambria"/>
          <w:color w:val="000000"/>
          <w:sz w:val="20"/>
          <w:szCs w:val="20"/>
          <w:lang w:val="es-ES" w:eastAsia="es-ES"/>
        </w:rPr>
        <w:t xml:space="preserve"> protección contra la detención arbitraria, consagrados en los art</w:t>
      </w:r>
      <w:r w:rsidR="006F1569" w:rsidRPr="00CD1B3B">
        <w:rPr>
          <w:rFonts w:ascii="Cambria" w:hAnsi="Cambria"/>
          <w:color w:val="000000"/>
          <w:sz w:val="20"/>
          <w:szCs w:val="20"/>
          <w:lang w:val="es-ES" w:eastAsia="es-ES"/>
        </w:rPr>
        <w:t>ículos I, IX, XVIII y</w:t>
      </w:r>
      <w:r w:rsidR="00B9646B" w:rsidRPr="00CD1B3B">
        <w:rPr>
          <w:rFonts w:ascii="Cambria" w:hAnsi="Cambria"/>
          <w:color w:val="000000"/>
          <w:sz w:val="20"/>
          <w:szCs w:val="20"/>
          <w:lang w:val="es-ES" w:eastAsia="es-ES"/>
        </w:rPr>
        <w:t xml:space="preserve"> XXV de la Declaración Americana.</w:t>
      </w:r>
    </w:p>
    <w:p w:rsidR="00CD1B3B" w:rsidRDefault="00CD1B3B" w:rsidP="00CD1B3B">
      <w:pPr>
        <w:ind w:left="720"/>
        <w:jc w:val="both"/>
        <w:rPr>
          <w:rFonts w:ascii="Cambria" w:hAnsi="Cambria"/>
          <w:color w:val="000000"/>
          <w:sz w:val="20"/>
          <w:szCs w:val="20"/>
          <w:lang w:val="es-ES" w:eastAsia="es-ES"/>
        </w:rPr>
      </w:pPr>
    </w:p>
    <w:p w:rsidR="002562B4" w:rsidRDefault="00E10D48" w:rsidP="00726A84">
      <w:pPr>
        <w:numPr>
          <w:ilvl w:val="0"/>
          <w:numId w:val="31"/>
        </w:numPr>
        <w:ind w:left="0"/>
        <w:jc w:val="both"/>
        <w:rPr>
          <w:rFonts w:ascii="Cambria" w:hAnsi="Cambria"/>
          <w:color w:val="000000"/>
          <w:sz w:val="20"/>
          <w:szCs w:val="20"/>
          <w:lang w:val="es-ES" w:eastAsia="es-ES"/>
        </w:rPr>
      </w:pPr>
      <w:r w:rsidRPr="00CD1B3B">
        <w:rPr>
          <w:rFonts w:ascii="Cambria" w:hAnsi="Cambria"/>
          <w:color w:val="000000"/>
          <w:sz w:val="20"/>
          <w:szCs w:val="20"/>
          <w:lang w:val="es-ES" w:eastAsia="es-ES"/>
        </w:rPr>
        <w:t>Asimi</w:t>
      </w:r>
      <w:r w:rsidR="006D590C" w:rsidRPr="00CD1B3B">
        <w:rPr>
          <w:rFonts w:ascii="Cambria" w:hAnsi="Cambria"/>
          <w:color w:val="000000"/>
          <w:sz w:val="20"/>
          <w:szCs w:val="20"/>
          <w:lang w:val="es-ES" w:eastAsia="es-ES"/>
        </w:rPr>
        <w:t xml:space="preserve">smo, la Comisión considera que </w:t>
      </w:r>
      <w:r w:rsidRPr="00CD1B3B">
        <w:rPr>
          <w:rFonts w:ascii="Cambria" w:hAnsi="Cambria"/>
          <w:color w:val="000000"/>
          <w:sz w:val="20"/>
          <w:szCs w:val="20"/>
          <w:lang w:val="es-ES" w:eastAsia="es-ES"/>
        </w:rPr>
        <w:t>dichos alegatos podrían caracterizar posible</w:t>
      </w:r>
      <w:r w:rsidR="00AC2FF5" w:rsidRPr="00CD1B3B">
        <w:rPr>
          <w:rFonts w:ascii="Cambria" w:hAnsi="Cambria"/>
          <w:color w:val="000000"/>
          <w:sz w:val="20"/>
          <w:szCs w:val="20"/>
          <w:lang w:val="es-ES" w:eastAsia="es-ES"/>
        </w:rPr>
        <w:t>s</w:t>
      </w:r>
      <w:r w:rsidRPr="00CD1B3B">
        <w:rPr>
          <w:rFonts w:ascii="Cambria" w:hAnsi="Cambria"/>
          <w:color w:val="000000"/>
          <w:sz w:val="20"/>
          <w:szCs w:val="20"/>
          <w:lang w:val="es-ES" w:eastAsia="es-ES"/>
        </w:rPr>
        <w:t xml:space="preserve"> violaciones a los artículos 1,</w:t>
      </w:r>
      <w:r w:rsidR="00B51E91" w:rsidRPr="00CD1B3B">
        <w:rPr>
          <w:rFonts w:ascii="Cambria" w:hAnsi="Cambria"/>
          <w:color w:val="000000"/>
          <w:sz w:val="20"/>
          <w:szCs w:val="20"/>
          <w:lang w:val="es-ES" w:eastAsia="es-ES"/>
        </w:rPr>
        <w:t xml:space="preserve"> </w:t>
      </w:r>
      <w:r w:rsidRPr="00CD1B3B">
        <w:rPr>
          <w:rFonts w:ascii="Cambria" w:hAnsi="Cambria"/>
          <w:color w:val="000000"/>
          <w:sz w:val="20"/>
          <w:szCs w:val="20"/>
          <w:lang w:val="es-ES" w:eastAsia="es-ES"/>
        </w:rPr>
        <w:t>6 y 8 de la Convención</w:t>
      </w:r>
      <w:r w:rsidR="00B51E91" w:rsidRPr="00CD1B3B">
        <w:rPr>
          <w:rFonts w:ascii="Cambria" w:hAnsi="Cambria"/>
          <w:color w:val="000000"/>
          <w:sz w:val="20"/>
          <w:szCs w:val="20"/>
          <w:lang w:val="es-ES" w:eastAsia="es-ES"/>
        </w:rPr>
        <w:t xml:space="preserve"> contra</w:t>
      </w:r>
      <w:r w:rsidRPr="00CD1B3B">
        <w:rPr>
          <w:rFonts w:ascii="Cambria" w:hAnsi="Cambria"/>
          <w:color w:val="000000"/>
          <w:sz w:val="20"/>
          <w:szCs w:val="20"/>
          <w:lang w:val="es-ES" w:eastAsia="es-ES"/>
        </w:rPr>
        <w:t xml:space="preserve"> la Tortura</w:t>
      </w:r>
      <w:r w:rsidR="00022538" w:rsidRPr="00CD1B3B">
        <w:rPr>
          <w:rFonts w:ascii="Cambria" w:hAnsi="Cambria"/>
          <w:color w:val="000000"/>
          <w:sz w:val="20"/>
          <w:szCs w:val="20"/>
          <w:lang w:val="es-ES" w:eastAsia="es-ES"/>
        </w:rPr>
        <w:t>, en cuanto a los aspectos relacionados con el deber de investigar desde la fecha de ratificación de la misma</w:t>
      </w:r>
      <w:r w:rsidRPr="00CD1B3B">
        <w:rPr>
          <w:rFonts w:ascii="Cambria" w:hAnsi="Cambria"/>
          <w:color w:val="000000"/>
          <w:sz w:val="20"/>
          <w:szCs w:val="20"/>
          <w:lang w:val="es-ES" w:eastAsia="es-ES"/>
        </w:rPr>
        <w:t>.</w:t>
      </w:r>
    </w:p>
    <w:p w:rsidR="002562B4" w:rsidRPr="002562B4" w:rsidRDefault="002562B4" w:rsidP="002562B4">
      <w:pPr>
        <w:ind w:left="720"/>
        <w:jc w:val="both"/>
        <w:rPr>
          <w:rFonts w:ascii="Cambria" w:hAnsi="Cambria"/>
          <w:color w:val="000000"/>
          <w:sz w:val="20"/>
          <w:szCs w:val="20"/>
          <w:lang w:val="es-ES" w:eastAsia="es-ES"/>
        </w:rPr>
      </w:pPr>
    </w:p>
    <w:p w:rsidR="002562B4" w:rsidRPr="004B3784" w:rsidRDefault="00726A84" w:rsidP="00726A84">
      <w:pPr>
        <w:numPr>
          <w:ilvl w:val="0"/>
          <w:numId w:val="31"/>
        </w:numPr>
        <w:ind w:left="0"/>
        <w:jc w:val="both"/>
        <w:rPr>
          <w:rFonts w:ascii="Cambria" w:hAnsi="Cambria"/>
          <w:color w:val="000000"/>
          <w:sz w:val="20"/>
          <w:szCs w:val="20"/>
          <w:lang w:val="es-ES" w:eastAsia="es-ES"/>
        </w:rPr>
      </w:pPr>
      <w:r w:rsidRPr="004B3784">
        <w:rPr>
          <w:rFonts w:ascii="Cambria" w:hAnsi="Cambria"/>
          <w:color w:val="000000"/>
          <w:sz w:val="20"/>
          <w:szCs w:val="20"/>
          <w:lang w:val="es-ES" w:eastAsia="es-ES"/>
        </w:rPr>
        <w:t xml:space="preserve">En relación con la indemnización, de la información proporcionada por las partes surge que en 1980 </w:t>
      </w:r>
      <w:r w:rsidR="00606766" w:rsidRPr="004B3784">
        <w:rPr>
          <w:rFonts w:ascii="Cambria" w:hAnsi="Cambria"/>
          <w:color w:val="000000"/>
          <w:sz w:val="20"/>
          <w:szCs w:val="20"/>
          <w:lang w:val="es-ES" w:eastAsia="es-ES"/>
        </w:rPr>
        <w:t>el señor Dadea</w:t>
      </w:r>
      <w:r w:rsidRPr="004B3784">
        <w:rPr>
          <w:rFonts w:ascii="Cambria" w:hAnsi="Cambria"/>
          <w:color w:val="000000"/>
          <w:sz w:val="20"/>
          <w:szCs w:val="20"/>
          <w:lang w:val="es-ES" w:eastAsia="es-ES"/>
        </w:rPr>
        <w:t xml:space="preserve"> interpuso una demanda por daños y perjuicios contra el Ministerio del Interior, el cual el 10 de julio de 1997 fue condenado a pagar $80.000 pesos argentinos más intereses</w:t>
      </w:r>
      <w:r w:rsidR="009023C1" w:rsidRPr="004B3784">
        <w:rPr>
          <w:rFonts w:ascii="Cambria" w:hAnsi="Cambria"/>
          <w:color w:val="000000"/>
          <w:sz w:val="20"/>
          <w:szCs w:val="20"/>
          <w:lang w:val="es-ES" w:eastAsia="es-ES"/>
        </w:rPr>
        <w:t xml:space="preserve"> a favor de la presunta víctima</w:t>
      </w:r>
      <w:r w:rsidRPr="004B3784">
        <w:rPr>
          <w:rFonts w:ascii="Cambria" w:hAnsi="Cambria"/>
          <w:color w:val="000000"/>
          <w:sz w:val="20"/>
          <w:szCs w:val="20"/>
          <w:lang w:val="es-ES" w:eastAsia="es-ES"/>
        </w:rPr>
        <w:t xml:space="preserve">, sentencia que fue confirmada el 19 de febrero de 1998. </w:t>
      </w:r>
      <w:r w:rsidR="00C3647A" w:rsidRPr="004B3784">
        <w:rPr>
          <w:rFonts w:ascii="Cambria" w:hAnsi="Cambria"/>
          <w:color w:val="000000"/>
          <w:sz w:val="20"/>
          <w:szCs w:val="20"/>
          <w:lang w:val="es-ES" w:eastAsia="es-ES"/>
        </w:rPr>
        <w:t>Según el Estado, se</w:t>
      </w:r>
      <w:r w:rsidRPr="004B3784">
        <w:rPr>
          <w:rFonts w:ascii="Cambria" w:hAnsi="Cambria"/>
          <w:color w:val="000000"/>
          <w:sz w:val="20"/>
          <w:szCs w:val="20"/>
          <w:lang w:val="es-ES" w:eastAsia="es-ES"/>
        </w:rPr>
        <w:t xml:space="preserve"> habría </w:t>
      </w:r>
      <w:r w:rsidRPr="004B3784">
        <w:rPr>
          <w:rFonts w:ascii="Cambria" w:hAnsi="Cambria"/>
          <w:color w:val="000000"/>
          <w:sz w:val="20"/>
          <w:szCs w:val="20"/>
          <w:lang w:val="es-ES" w:eastAsia="es-ES"/>
        </w:rPr>
        <w:lastRenderedPageBreak/>
        <w:t xml:space="preserve">depositado </w:t>
      </w:r>
      <w:r w:rsidR="00BA75C4" w:rsidRPr="004B3784">
        <w:rPr>
          <w:rFonts w:ascii="Cambria" w:hAnsi="Cambria"/>
          <w:color w:val="000000"/>
          <w:sz w:val="20"/>
          <w:szCs w:val="20"/>
          <w:lang w:val="es-ES" w:eastAsia="es-ES"/>
        </w:rPr>
        <w:t>a nombre de</w:t>
      </w:r>
      <w:r w:rsidR="00606766" w:rsidRPr="004B3784">
        <w:rPr>
          <w:rFonts w:ascii="Cambria" w:hAnsi="Cambria"/>
          <w:color w:val="000000"/>
          <w:sz w:val="20"/>
          <w:szCs w:val="20"/>
          <w:lang w:val="es-ES" w:eastAsia="es-ES"/>
        </w:rPr>
        <w:t>l señor Dadea</w:t>
      </w:r>
      <w:r w:rsidR="00BA75C4" w:rsidRPr="004B3784">
        <w:rPr>
          <w:rFonts w:ascii="Cambria" w:hAnsi="Cambria"/>
          <w:color w:val="000000"/>
          <w:sz w:val="20"/>
          <w:szCs w:val="20"/>
          <w:lang w:val="es-ES" w:eastAsia="es-ES"/>
        </w:rPr>
        <w:t xml:space="preserve"> </w:t>
      </w:r>
      <w:r w:rsidRPr="004B3784">
        <w:rPr>
          <w:rFonts w:ascii="Cambria" w:hAnsi="Cambria"/>
          <w:color w:val="000000"/>
          <w:sz w:val="20"/>
          <w:szCs w:val="20"/>
          <w:lang w:val="es-ES" w:eastAsia="es-ES"/>
        </w:rPr>
        <w:t xml:space="preserve">US$247.600 dólares estadounidenses en bonos Pro 2 </w:t>
      </w:r>
      <w:r w:rsidR="00BA75C4" w:rsidRPr="004B3784">
        <w:rPr>
          <w:rFonts w:ascii="Cambria" w:hAnsi="Cambria"/>
          <w:color w:val="000000"/>
          <w:sz w:val="20"/>
          <w:szCs w:val="20"/>
          <w:lang w:val="es-ES" w:eastAsia="es-ES"/>
        </w:rPr>
        <w:t>(no se indica la fecha), los cuales la presunta víctima habría canjeado p</w:t>
      </w:r>
      <w:r w:rsidR="00606766" w:rsidRPr="004B3784">
        <w:rPr>
          <w:rFonts w:ascii="Cambria" w:hAnsi="Cambria"/>
          <w:color w:val="000000"/>
          <w:sz w:val="20"/>
          <w:szCs w:val="20"/>
          <w:lang w:val="es-ES" w:eastAsia="es-ES"/>
        </w:rPr>
        <w:t xml:space="preserve">or 181.500 BONTES 2006 (no se indica la fecha). El 19 de diciembre de 2002, en cumplimiento a una medida cautelar solicitada por la presunta víctima </w:t>
      </w:r>
      <w:r w:rsidR="00C3647A" w:rsidRPr="004B3784">
        <w:rPr>
          <w:rFonts w:ascii="Cambria" w:hAnsi="Cambria"/>
          <w:color w:val="000000"/>
          <w:sz w:val="20"/>
          <w:szCs w:val="20"/>
          <w:lang w:val="es-ES" w:eastAsia="es-ES"/>
        </w:rPr>
        <w:t>por razones de salud</w:t>
      </w:r>
      <w:r w:rsidR="00606766" w:rsidRPr="004B3784">
        <w:rPr>
          <w:rFonts w:ascii="Cambria" w:hAnsi="Cambria"/>
          <w:color w:val="000000"/>
          <w:sz w:val="20"/>
          <w:szCs w:val="20"/>
          <w:lang w:val="es-ES" w:eastAsia="es-ES"/>
        </w:rPr>
        <w:t xml:space="preserve">, se </w:t>
      </w:r>
      <w:r w:rsidR="00C3647A" w:rsidRPr="004B3784">
        <w:rPr>
          <w:rFonts w:ascii="Cambria" w:hAnsi="Cambria"/>
          <w:color w:val="000000"/>
          <w:sz w:val="20"/>
          <w:szCs w:val="20"/>
          <w:lang w:val="es-ES" w:eastAsia="es-ES"/>
        </w:rPr>
        <w:t xml:space="preserve">habría </w:t>
      </w:r>
      <w:r w:rsidR="00606766" w:rsidRPr="004B3784">
        <w:rPr>
          <w:rFonts w:ascii="Cambria" w:hAnsi="Cambria"/>
          <w:color w:val="000000"/>
          <w:sz w:val="20"/>
          <w:szCs w:val="20"/>
          <w:lang w:val="es-ES" w:eastAsia="es-ES"/>
        </w:rPr>
        <w:t>orden</w:t>
      </w:r>
      <w:r w:rsidR="00C3647A" w:rsidRPr="004B3784">
        <w:rPr>
          <w:rFonts w:ascii="Cambria" w:hAnsi="Cambria"/>
          <w:color w:val="000000"/>
          <w:sz w:val="20"/>
          <w:szCs w:val="20"/>
          <w:lang w:val="es-ES" w:eastAsia="es-ES"/>
        </w:rPr>
        <w:t>ado</w:t>
      </w:r>
      <w:r w:rsidR="00606766" w:rsidRPr="004B3784">
        <w:rPr>
          <w:rFonts w:ascii="Cambria" w:hAnsi="Cambria"/>
          <w:color w:val="000000"/>
          <w:sz w:val="20"/>
          <w:szCs w:val="20"/>
          <w:lang w:val="es-ES" w:eastAsia="es-ES"/>
        </w:rPr>
        <w:t xml:space="preserve"> el pago </w:t>
      </w:r>
      <w:r w:rsidR="00C3647A" w:rsidRPr="004B3784">
        <w:rPr>
          <w:rFonts w:ascii="Cambria" w:hAnsi="Cambria"/>
          <w:color w:val="000000"/>
          <w:sz w:val="20"/>
          <w:szCs w:val="20"/>
          <w:lang w:val="es-ES" w:eastAsia="es-ES"/>
        </w:rPr>
        <w:t xml:space="preserve">a favor del señor Dadea </w:t>
      </w:r>
      <w:r w:rsidR="00606766" w:rsidRPr="004B3784">
        <w:rPr>
          <w:rFonts w:ascii="Cambria" w:hAnsi="Cambria"/>
          <w:color w:val="000000"/>
          <w:sz w:val="20"/>
          <w:szCs w:val="20"/>
          <w:lang w:val="es-ES" w:eastAsia="es-ES"/>
        </w:rPr>
        <w:t>de $7.909,77 pesos argentinos más actualización</w:t>
      </w:r>
      <w:r w:rsidR="00C3647A" w:rsidRPr="004B3784">
        <w:rPr>
          <w:rFonts w:ascii="Cambria" w:hAnsi="Cambria"/>
          <w:color w:val="000000"/>
          <w:sz w:val="20"/>
          <w:szCs w:val="20"/>
          <w:lang w:val="es-ES" w:eastAsia="es-ES"/>
        </w:rPr>
        <w:t xml:space="preserve">, así como los restantes servicios de los títulos </w:t>
      </w:r>
      <w:r w:rsidR="009023C1" w:rsidRPr="004B3784">
        <w:rPr>
          <w:rFonts w:ascii="Cambria" w:hAnsi="Cambria"/>
          <w:color w:val="000000"/>
          <w:sz w:val="20"/>
          <w:szCs w:val="20"/>
          <w:lang w:val="es-ES" w:eastAsia="es-ES"/>
        </w:rPr>
        <w:t>(el Estado no indica un monto específico al respecto)</w:t>
      </w:r>
      <w:r w:rsidR="00C3647A" w:rsidRPr="004B3784">
        <w:rPr>
          <w:rFonts w:ascii="Cambria" w:hAnsi="Cambria"/>
          <w:color w:val="000000"/>
          <w:sz w:val="20"/>
          <w:szCs w:val="20"/>
          <w:lang w:val="es-ES" w:eastAsia="es-ES"/>
        </w:rPr>
        <w:t xml:space="preserve">. </w:t>
      </w:r>
      <w:r w:rsidR="00D810A9" w:rsidRPr="004B3784">
        <w:rPr>
          <w:rFonts w:ascii="Cambria" w:hAnsi="Cambria"/>
          <w:color w:val="000000"/>
          <w:sz w:val="20"/>
          <w:szCs w:val="20"/>
          <w:lang w:val="es-ES" w:eastAsia="es-ES"/>
        </w:rPr>
        <w:t>Por último, e</w:t>
      </w:r>
      <w:r w:rsidR="00C3647A" w:rsidRPr="004B3784">
        <w:rPr>
          <w:rFonts w:ascii="Cambria" w:hAnsi="Cambria"/>
          <w:color w:val="000000"/>
          <w:sz w:val="20"/>
          <w:szCs w:val="20"/>
          <w:lang w:val="es-ES" w:eastAsia="es-ES"/>
        </w:rPr>
        <w:t xml:space="preserve">l Estado afirma que el 12 de julio de 2006 </w:t>
      </w:r>
      <w:r w:rsidR="00CE56F6" w:rsidRPr="004B3784">
        <w:rPr>
          <w:rFonts w:ascii="Cambria" w:hAnsi="Cambria"/>
          <w:color w:val="000000"/>
          <w:sz w:val="20"/>
          <w:szCs w:val="20"/>
          <w:lang w:val="es-ES" w:eastAsia="es-ES"/>
        </w:rPr>
        <w:t>ordenó</w:t>
      </w:r>
      <w:r w:rsidR="00C84C85" w:rsidRPr="004B3784">
        <w:rPr>
          <w:rFonts w:ascii="Cambria" w:hAnsi="Cambria"/>
          <w:color w:val="000000"/>
          <w:sz w:val="20"/>
          <w:szCs w:val="20"/>
          <w:lang w:val="es-ES" w:eastAsia="es-ES"/>
        </w:rPr>
        <w:t xml:space="preserve"> pagar</w:t>
      </w:r>
      <w:r w:rsidR="00C3647A" w:rsidRPr="004B3784">
        <w:rPr>
          <w:rFonts w:ascii="Cambria" w:hAnsi="Cambria"/>
          <w:color w:val="000000"/>
          <w:sz w:val="20"/>
          <w:szCs w:val="20"/>
          <w:lang w:val="es-ES" w:eastAsia="es-ES"/>
        </w:rPr>
        <w:t xml:space="preserve"> el último cupón de renta y amortización devengado por el BONTE 06</w:t>
      </w:r>
      <w:r w:rsidR="009023C1" w:rsidRPr="004B3784">
        <w:rPr>
          <w:rFonts w:ascii="Cambria" w:hAnsi="Cambria"/>
          <w:color w:val="000000"/>
          <w:sz w:val="20"/>
          <w:szCs w:val="20"/>
          <w:lang w:val="es-ES" w:eastAsia="es-ES"/>
        </w:rPr>
        <w:t>, sin especificar el monto</w:t>
      </w:r>
      <w:r w:rsidR="00C3647A" w:rsidRPr="004B3784">
        <w:rPr>
          <w:rFonts w:ascii="Cambria" w:hAnsi="Cambria"/>
          <w:color w:val="000000"/>
          <w:sz w:val="20"/>
          <w:szCs w:val="20"/>
          <w:lang w:val="es-ES" w:eastAsia="es-ES"/>
        </w:rPr>
        <w:t>.</w:t>
      </w:r>
      <w:r w:rsidR="00606766" w:rsidRPr="004B3784">
        <w:rPr>
          <w:rFonts w:ascii="Cambria" w:hAnsi="Cambria"/>
          <w:color w:val="000000"/>
          <w:sz w:val="20"/>
          <w:szCs w:val="20"/>
          <w:lang w:val="es-ES" w:eastAsia="es-ES"/>
        </w:rPr>
        <w:t xml:space="preserve"> </w:t>
      </w:r>
    </w:p>
    <w:p w:rsidR="002562B4" w:rsidRPr="004B3784" w:rsidRDefault="002562B4" w:rsidP="002562B4">
      <w:pPr>
        <w:ind w:left="720"/>
        <w:jc w:val="both"/>
        <w:rPr>
          <w:rFonts w:ascii="Cambria" w:hAnsi="Cambria"/>
          <w:color w:val="000000"/>
          <w:sz w:val="20"/>
          <w:szCs w:val="20"/>
          <w:lang w:val="es-ES" w:eastAsia="es-ES"/>
        </w:rPr>
      </w:pPr>
    </w:p>
    <w:p w:rsidR="002753F4" w:rsidRPr="004B3784" w:rsidRDefault="00E35462" w:rsidP="002753F4">
      <w:pPr>
        <w:numPr>
          <w:ilvl w:val="0"/>
          <w:numId w:val="31"/>
        </w:numPr>
        <w:ind w:left="0"/>
        <w:jc w:val="both"/>
        <w:rPr>
          <w:rFonts w:ascii="Cambria" w:hAnsi="Cambria"/>
          <w:color w:val="000000"/>
          <w:sz w:val="20"/>
          <w:szCs w:val="20"/>
          <w:lang w:val="es-ES" w:eastAsia="es-ES"/>
        </w:rPr>
      </w:pPr>
      <w:r w:rsidRPr="004B3784">
        <w:rPr>
          <w:rFonts w:ascii="Cambria" w:hAnsi="Cambria"/>
          <w:color w:val="000000"/>
          <w:sz w:val="20"/>
          <w:szCs w:val="20"/>
          <w:lang w:val="es-ES" w:eastAsia="es-ES"/>
        </w:rPr>
        <w:t>Ambas partes indican que la indemnización ordenada en sede judicial fue pagada en forma de bonos. Sin embargo, d</w:t>
      </w:r>
      <w:r w:rsidR="003B67C0" w:rsidRPr="004B3784">
        <w:rPr>
          <w:rFonts w:ascii="Cambria" w:hAnsi="Cambria"/>
          <w:color w:val="000000"/>
          <w:sz w:val="20"/>
          <w:szCs w:val="20"/>
          <w:lang w:val="es-ES" w:eastAsia="es-ES"/>
        </w:rPr>
        <w:t xml:space="preserve">e la información proporcionada por las partes no surge </w:t>
      </w:r>
      <w:r w:rsidRPr="004B3784">
        <w:rPr>
          <w:rFonts w:ascii="Cambria" w:hAnsi="Cambria"/>
          <w:color w:val="000000"/>
          <w:sz w:val="20"/>
          <w:szCs w:val="20"/>
          <w:lang w:val="es-ES" w:eastAsia="es-ES"/>
        </w:rPr>
        <w:t>cuál fue exactamente el monto abonado</w:t>
      </w:r>
      <w:r w:rsidR="003B67C0" w:rsidRPr="004B3784">
        <w:rPr>
          <w:rFonts w:ascii="Cambria" w:hAnsi="Cambria"/>
          <w:color w:val="000000"/>
          <w:sz w:val="20"/>
          <w:szCs w:val="20"/>
          <w:lang w:val="es-ES" w:eastAsia="es-ES"/>
        </w:rPr>
        <w:t>. Los peticionarios indican en un principio que los bonos</w:t>
      </w:r>
      <w:r w:rsidR="002562B4" w:rsidRPr="004B3784">
        <w:rPr>
          <w:rFonts w:ascii="Cambria" w:hAnsi="Cambria"/>
          <w:color w:val="000000"/>
          <w:sz w:val="20"/>
          <w:szCs w:val="20"/>
          <w:lang w:val="es-ES" w:eastAsia="es-ES"/>
        </w:rPr>
        <w:t xml:space="preserve"> sufrieron una pérdida de más del 40% de su valor. Posteriormente señalan que los bonos </w:t>
      </w:r>
      <w:r w:rsidR="00A36C26" w:rsidRPr="004B3784">
        <w:rPr>
          <w:rFonts w:ascii="Cambria" w:hAnsi="Cambria"/>
          <w:color w:val="000000"/>
          <w:sz w:val="20"/>
          <w:szCs w:val="20"/>
          <w:lang w:val="es-ES" w:eastAsia="es-ES"/>
        </w:rPr>
        <w:t>perdieron el 75% de su valor original y que fueron pagados 23 años luego de la condena</w:t>
      </w:r>
      <w:r w:rsidR="002562B4" w:rsidRPr="004B3784">
        <w:rPr>
          <w:rFonts w:ascii="Cambria" w:hAnsi="Cambria"/>
          <w:color w:val="000000"/>
          <w:sz w:val="20"/>
          <w:szCs w:val="20"/>
          <w:lang w:val="es-ES" w:eastAsia="es-ES"/>
        </w:rPr>
        <w:t>.</w:t>
      </w:r>
      <w:r w:rsidR="00A36C26" w:rsidRPr="004B3784">
        <w:rPr>
          <w:rFonts w:ascii="Cambria" w:hAnsi="Cambria"/>
          <w:color w:val="000000"/>
          <w:sz w:val="20"/>
          <w:szCs w:val="20"/>
          <w:lang w:val="es-ES" w:eastAsia="es-ES"/>
        </w:rPr>
        <w:t xml:space="preserve"> Respecto de este último alegato, </w:t>
      </w:r>
      <w:r w:rsidR="00D810A9" w:rsidRPr="004B3784">
        <w:rPr>
          <w:rFonts w:ascii="Cambria" w:hAnsi="Cambria"/>
          <w:color w:val="000000"/>
          <w:sz w:val="20"/>
          <w:szCs w:val="20"/>
          <w:lang w:val="es-ES" w:eastAsia="es-ES"/>
        </w:rPr>
        <w:t>no existe claridad en relación con el cómputo de dicho plazo.</w:t>
      </w:r>
      <w:r w:rsidR="00A36C26" w:rsidRPr="004B3784">
        <w:rPr>
          <w:rFonts w:ascii="Cambria" w:hAnsi="Cambria"/>
          <w:color w:val="000000"/>
          <w:sz w:val="20"/>
          <w:szCs w:val="20"/>
          <w:lang w:val="es-ES" w:eastAsia="es-ES"/>
        </w:rPr>
        <w:t xml:space="preserve"> </w:t>
      </w:r>
      <w:r w:rsidR="00D8548F" w:rsidRPr="004B3784">
        <w:rPr>
          <w:rFonts w:ascii="Cambria" w:hAnsi="Cambria"/>
          <w:color w:val="000000"/>
          <w:sz w:val="20"/>
          <w:szCs w:val="20"/>
          <w:lang w:val="es-ES" w:eastAsia="es-ES"/>
        </w:rPr>
        <w:t xml:space="preserve">El Estado, por su parte, reconoce </w:t>
      </w:r>
      <w:r w:rsidR="00D64E9F" w:rsidRPr="004B3784">
        <w:rPr>
          <w:rFonts w:ascii="Cambria" w:hAnsi="Cambria"/>
          <w:color w:val="000000"/>
          <w:sz w:val="20"/>
          <w:szCs w:val="20"/>
          <w:lang w:val="es-ES" w:eastAsia="es-ES"/>
        </w:rPr>
        <w:t>que el plazo de duración del proceso judicial para la obtención de la reparación no fue razonable.</w:t>
      </w:r>
      <w:r w:rsidR="00D8548F" w:rsidRPr="004B3784">
        <w:rPr>
          <w:rFonts w:ascii="Cambria" w:hAnsi="Cambria"/>
          <w:color w:val="000000"/>
          <w:sz w:val="20"/>
          <w:szCs w:val="20"/>
          <w:lang w:val="es-ES" w:eastAsia="es-ES"/>
        </w:rPr>
        <w:t xml:space="preserve"> </w:t>
      </w:r>
    </w:p>
    <w:p w:rsidR="002753F4" w:rsidRPr="004B3784" w:rsidRDefault="002753F4" w:rsidP="002753F4">
      <w:pPr>
        <w:ind w:left="720"/>
        <w:jc w:val="both"/>
        <w:rPr>
          <w:rFonts w:ascii="Cambria" w:hAnsi="Cambria"/>
          <w:color w:val="000000"/>
          <w:sz w:val="20"/>
          <w:szCs w:val="20"/>
          <w:lang w:val="es-ES" w:eastAsia="es-ES"/>
        </w:rPr>
      </w:pPr>
    </w:p>
    <w:p w:rsidR="00CB2076" w:rsidRPr="004B3784" w:rsidRDefault="00D8548F" w:rsidP="00CB2076">
      <w:pPr>
        <w:numPr>
          <w:ilvl w:val="0"/>
          <w:numId w:val="31"/>
        </w:numPr>
        <w:ind w:left="0"/>
        <w:jc w:val="both"/>
        <w:rPr>
          <w:rFonts w:ascii="Cambria" w:hAnsi="Cambria"/>
          <w:color w:val="000000"/>
          <w:sz w:val="20"/>
          <w:szCs w:val="20"/>
          <w:lang w:val="es-ES" w:eastAsia="es-ES"/>
        </w:rPr>
      </w:pPr>
      <w:r w:rsidRPr="004B3784">
        <w:rPr>
          <w:rFonts w:ascii="Cambria" w:hAnsi="Cambria"/>
          <w:color w:val="000000"/>
          <w:sz w:val="20"/>
          <w:szCs w:val="20"/>
          <w:lang w:val="es-ES" w:eastAsia="es-ES"/>
        </w:rPr>
        <w:t>De ser probados los hechos</w:t>
      </w:r>
      <w:r w:rsidR="002753F4" w:rsidRPr="004B3784">
        <w:rPr>
          <w:rFonts w:ascii="Cambria" w:hAnsi="Cambria"/>
          <w:color w:val="000000"/>
          <w:sz w:val="20"/>
          <w:szCs w:val="20"/>
          <w:lang w:val="es-ES" w:eastAsia="es-ES"/>
        </w:rPr>
        <w:t xml:space="preserve"> alegados por los peticionarios respecto de </w:t>
      </w:r>
      <w:r w:rsidR="002D25B2" w:rsidRPr="004B3784">
        <w:rPr>
          <w:rFonts w:ascii="Cambria" w:hAnsi="Cambria"/>
          <w:color w:val="000000"/>
          <w:sz w:val="20"/>
          <w:szCs w:val="20"/>
          <w:lang w:val="es-ES" w:eastAsia="es-ES"/>
        </w:rPr>
        <w:t xml:space="preserve">una demora injustificada en el proceso desde su inicio hasta haber recibido el pago, así como respecto a </w:t>
      </w:r>
      <w:r w:rsidR="002753F4" w:rsidRPr="004B3784">
        <w:rPr>
          <w:rFonts w:ascii="Cambria" w:hAnsi="Cambria"/>
          <w:color w:val="000000"/>
          <w:sz w:val="20"/>
          <w:szCs w:val="20"/>
          <w:lang w:val="es-ES" w:eastAsia="es-ES"/>
        </w:rPr>
        <w:t xml:space="preserve">una reducción drástica en el monto pagado, podría configurarse una posible violación </w:t>
      </w:r>
      <w:r w:rsidR="009023C1" w:rsidRPr="004B3784">
        <w:rPr>
          <w:rFonts w:ascii="Cambria" w:hAnsi="Cambria"/>
          <w:color w:val="000000"/>
          <w:sz w:val="20"/>
          <w:szCs w:val="20"/>
          <w:lang w:val="es-ES" w:eastAsia="es-ES"/>
        </w:rPr>
        <w:t>a los artículos 8 y 25 de la Convención Americana</w:t>
      </w:r>
      <w:r w:rsidR="002753F4" w:rsidRPr="004B3784">
        <w:rPr>
          <w:rFonts w:ascii="Cambria" w:hAnsi="Cambria"/>
          <w:color w:val="000000"/>
          <w:sz w:val="20"/>
          <w:szCs w:val="20"/>
          <w:lang w:val="es-ES" w:eastAsia="es-ES"/>
        </w:rPr>
        <w:t>.</w:t>
      </w:r>
      <w:r w:rsidR="009023C1" w:rsidRPr="004B3784">
        <w:rPr>
          <w:rStyle w:val="FootnoteReference"/>
          <w:rFonts w:ascii="Cambria" w:hAnsi="Cambria"/>
          <w:color w:val="000000"/>
          <w:sz w:val="20"/>
          <w:szCs w:val="20"/>
          <w:lang w:val="es-ES" w:eastAsia="es-ES"/>
        </w:rPr>
        <w:footnoteReference w:id="2"/>
      </w:r>
      <w:r w:rsidR="002753F4" w:rsidRPr="004B3784">
        <w:rPr>
          <w:rFonts w:ascii="Cambria" w:hAnsi="Cambria"/>
          <w:color w:val="000000"/>
          <w:sz w:val="20"/>
          <w:szCs w:val="20"/>
          <w:lang w:val="es-ES" w:eastAsia="es-ES"/>
        </w:rPr>
        <w:t xml:space="preserve">  </w:t>
      </w:r>
    </w:p>
    <w:p w:rsidR="00CB2076" w:rsidRPr="004B3784" w:rsidRDefault="00CB2076" w:rsidP="00CB2076">
      <w:pPr>
        <w:pStyle w:val="ListParagraph"/>
        <w:ind w:left="1080"/>
        <w:jc w:val="both"/>
        <w:rPr>
          <w:rFonts w:ascii="Cambria" w:hAnsi="Cambria"/>
          <w:color w:val="000000"/>
          <w:sz w:val="20"/>
          <w:szCs w:val="20"/>
          <w:lang w:val="es-ES" w:eastAsia="es-ES"/>
        </w:rPr>
      </w:pPr>
    </w:p>
    <w:p w:rsidR="00CB2076" w:rsidRPr="000F014A" w:rsidRDefault="006A09FA" w:rsidP="000F014A">
      <w:pPr>
        <w:pStyle w:val="ListParagraph"/>
        <w:numPr>
          <w:ilvl w:val="0"/>
          <w:numId w:val="41"/>
        </w:numPr>
        <w:ind w:left="1440"/>
        <w:jc w:val="both"/>
        <w:rPr>
          <w:rFonts w:ascii="Cambria" w:hAnsi="Cambria"/>
          <w:color w:val="000000"/>
          <w:sz w:val="20"/>
          <w:szCs w:val="20"/>
          <w:lang w:val="es-ES" w:eastAsia="es-ES"/>
        </w:rPr>
      </w:pPr>
      <w:r w:rsidRPr="000F014A">
        <w:rPr>
          <w:rFonts w:ascii="Cambria" w:hAnsi="Cambria"/>
          <w:b/>
          <w:color w:val="000000"/>
          <w:sz w:val="20"/>
          <w:szCs w:val="20"/>
          <w:lang w:val="es-ES" w:eastAsia="es-ES"/>
        </w:rPr>
        <w:t>CONCLUSIONES</w:t>
      </w:r>
    </w:p>
    <w:p w:rsidR="00CB2076" w:rsidRPr="00CB2076" w:rsidRDefault="00CB2076" w:rsidP="00CB2076">
      <w:pPr>
        <w:ind w:left="540"/>
        <w:jc w:val="both"/>
        <w:rPr>
          <w:rFonts w:ascii="Cambria" w:hAnsi="Cambria"/>
          <w:color w:val="000000"/>
          <w:sz w:val="20"/>
          <w:szCs w:val="20"/>
          <w:lang w:val="es-ES" w:eastAsia="es-ES"/>
        </w:rPr>
      </w:pPr>
    </w:p>
    <w:p w:rsidR="000F014A" w:rsidRDefault="006A09FA" w:rsidP="000F014A">
      <w:pPr>
        <w:numPr>
          <w:ilvl w:val="0"/>
          <w:numId w:val="31"/>
        </w:numPr>
        <w:ind w:left="0"/>
        <w:jc w:val="both"/>
        <w:rPr>
          <w:rFonts w:ascii="Cambria" w:hAnsi="Cambria"/>
          <w:color w:val="000000"/>
          <w:sz w:val="20"/>
          <w:szCs w:val="20"/>
          <w:lang w:val="es-ES" w:eastAsia="es-ES"/>
        </w:rPr>
      </w:pPr>
      <w:r w:rsidRPr="00CB2076">
        <w:rPr>
          <w:rFonts w:ascii="Cambria" w:hAnsi="Cambria"/>
          <w:color w:val="000000"/>
          <w:sz w:val="20"/>
          <w:szCs w:val="20"/>
          <w:lang w:val="es-ES" w:eastAsia="es-ES"/>
        </w:rPr>
        <w:t>La Comisión concluye que es competente para examinar los reclamos presentados po</w:t>
      </w:r>
      <w:r w:rsidR="00FC4B75" w:rsidRPr="00CB2076">
        <w:rPr>
          <w:rFonts w:ascii="Cambria" w:hAnsi="Cambria"/>
          <w:color w:val="000000"/>
          <w:sz w:val="20"/>
          <w:szCs w:val="20"/>
          <w:lang w:val="es-ES" w:eastAsia="es-ES"/>
        </w:rPr>
        <w:t xml:space="preserve">r los </w:t>
      </w:r>
      <w:r w:rsidRPr="00CB2076">
        <w:rPr>
          <w:rFonts w:ascii="Cambria" w:hAnsi="Cambria"/>
          <w:color w:val="000000"/>
          <w:sz w:val="20"/>
          <w:szCs w:val="20"/>
          <w:lang w:val="es-ES" w:eastAsia="es-ES"/>
        </w:rPr>
        <w:t>peticionario</w:t>
      </w:r>
      <w:r w:rsidR="00FC4B75" w:rsidRPr="00CB2076">
        <w:rPr>
          <w:rFonts w:ascii="Cambria" w:hAnsi="Cambria"/>
          <w:color w:val="000000"/>
          <w:sz w:val="20"/>
          <w:szCs w:val="20"/>
          <w:lang w:val="es-ES" w:eastAsia="es-ES"/>
        </w:rPr>
        <w:t>s</w:t>
      </w:r>
      <w:r w:rsidRPr="00CB2076">
        <w:rPr>
          <w:rFonts w:ascii="Cambria" w:hAnsi="Cambria"/>
          <w:color w:val="000000"/>
          <w:sz w:val="20"/>
          <w:szCs w:val="20"/>
          <w:lang w:val="es-ES" w:eastAsia="es-ES"/>
        </w:rPr>
        <w:t xml:space="preserve"> sobre la presunta viol</w:t>
      </w:r>
      <w:r w:rsidR="006B44CC" w:rsidRPr="00CB2076">
        <w:rPr>
          <w:rFonts w:ascii="Cambria" w:hAnsi="Cambria"/>
          <w:color w:val="000000"/>
          <w:sz w:val="20"/>
          <w:szCs w:val="20"/>
          <w:lang w:val="es-ES" w:eastAsia="es-ES"/>
        </w:rPr>
        <w:t xml:space="preserve">ación de los artículos </w:t>
      </w:r>
      <w:r w:rsidR="00A13607" w:rsidRPr="00CB2076">
        <w:rPr>
          <w:rFonts w:ascii="Cambria" w:hAnsi="Cambria"/>
          <w:color w:val="000000"/>
          <w:sz w:val="20"/>
          <w:szCs w:val="20"/>
          <w:lang w:val="es-ES" w:eastAsia="es-ES"/>
        </w:rPr>
        <w:t>8</w:t>
      </w:r>
      <w:r w:rsidR="00022538" w:rsidRPr="00CB2076">
        <w:rPr>
          <w:rFonts w:ascii="Cambria" w:hAnsi="Cambria"/>
          <w:color w:val="000000"/>
          <w:sz w:val="20"/>
          <w:szCs w:val="20"/>
          <w:lang w:val="es-ES" w:eastAsia="es-ES"/>
        </w:rPr>
        <w:t xml:space="preserve"> y 25, en concordancia con los</w:t>
      </w:r>
      <w:r w:rsidRPr="00CB2076">
        <w:rPr>
          <w:rFonts w:ascii="Cambria" w:hAnsi="Cambria"/>
          <w:color w:val="000000"/>
          <w:sz w:val="20"/>
          <w:szCs w:val="20"/>
          <w:lang w:val="es-ES" w:eastAsia="es-ES"/>
        </w:rPr>
        <w:t xml:space="preserve"> artículo</w:t>
      </w:r>
      <w:r w:rsidR="00022538" w:rsidRPr="00CB2076">
        <w:rPr>
          <w:rFonts w:ascii="Cambria" w:hAnsi="Cambria"/>
          <w:color w:val="000000"/>
          <w:sz w:val="20"/>
          <w:szCs w:val="20"/>
          <w:lang w:val="es-ES" w:eastAsia="es-ES"/>
        </w:rPr>
        <w:t>s</w:t>
      </w:r>
      <w:r w:rsidRPr="00CB2076">
        <w:rPr>
          <w:rFonts w:ascii="Cambria" w:hAnsi="Cambria"/>
          <w:color w:val="000000"/>
          <w:sz w:val="20"/>
          <w:szCs w:val="20"/>
          <w:lang w:val="es-ES" w:eastAsia="es-ES"/>
        </w:rPr>
        <w:t xml:space="preserve"> 1.1</w:t>
      </w:r>
      <w:r w:rsidR="00022538" w:rsidRPr="00CB2076">
        <w:rPr>
          <w:rFonts w:ascii="Cambria" w:hAnsi="Cambria"/>
          <w:color w:val="000000"/>
          <w:sz w:val="20"/>
          <w:szCs w:val="20"/>
          <w:lang w:val="es-ES" w:eastAsia="es-ES"/>
        </w:rPr>
        <w:t xml:space="preserve"> y 2</w:t>
      </w:r>
      <w:r w:rsidRPr="00CB2076">
        <w:rPr>
          <w:rFonts w:ascii="Cambria" w:hAnsi="Cambria"/>
          <w:color w:val="000000"/>
          <w:sz w:val="20"/>
          <w:szCs w:val="20"/>
          <w:lang w:val="es-ES" w:eastAsia="es-ES"/>
        </w:rPr>
        <w:t xml:space="preserve"> de la Convención Americana</w:t>
      </w:r>
      <w:r w:rsidR="00FC4B75" w:rsidRPr="00CB2076">
        <w:rPr>
          <w:rFonts w:ascii="Cambria" w:hAnsi="Cambria"/>
          <w:color w:val="000000"/>
          <w:sz w:val="20"/>
          <w:szCs w:val="20"/>
          <w:lang w:val="es-ES" w:eastAsia="es-ES"/>
        </w:rPr>
        <w:t xml:space="preserve">; </w:t>
      </w:r>
      <w:r w:rsidR="006B44CC" w:rsidRPr="00CB2076">
        <w:rPr>
          <w:rFonts w:ascii="Cambria" w:hAnsi="Cambria"/>
          <w:color w:val="000000"/>
          <w:sz w:val="20"/>
          <w:szCs w:val="20"/>
          <w:lang w:val="es-ES" w:eastAsia="es-ES"/>
        </w:rPr>
        <w:t xml:space="preserve">de los artículos I, </w:t>
      </w:r>
      <w:r w:rsidR="006F1569" w:rsidRPr="00CB2076">
        <w:rPr>
          <w:rFonts w:ascii="Cambria" w:hAnsi="Cambria"/>
          <w:color w:val="000000"/>
          <w:sz w:val="20"/>
          <w:szCs w:val="20"/>
          <w:lang w:val="es-ES" w:eastAsia="es-ES"/>
        </w:rPr>
        <w:t>IX, XVIII y XXV</w:t>
      </w:r>
      <w:r w:rsidR="006B44CC" w:rsidRPr="00CB2076">
        <w:rPr>
          <w:rFonts w:ascii="Cambria" w:hAnsi="Cambria"/>
          <w:color w:val="000000"/>
          <w:sz w:val="20"/>
          <w:szCs w:val="20"/>
          <w:lang w:val="es-ES" w:eastAsia="es-ES"/>
        </w:rPr>
        <w:t xml:space="preserve"> de la Declaración Americana</w:t>
      </w:r>
      <w:r w:rsidR="00FC4B75" w:rsidRPr="00CB2076">
        <w:rPr>
          <w:rFonts w:ascii="Cambria" w:hAnsi="Cambria"/>
          <w:color w:val="000000"/>
          <w:sz w:val="20"/>
          <w:szCs w:val="20"/>
          <w:lang w:val="es-ES" w:eastAsia="es-ES"/>
        </w:rPr>
        <w:t>;</w:t>
      </w:r>
      <w:r w:rsidRPr="00CB2076">
        <w:rPr>
          <w:rFonts w:ascii="Cambria" w:hAnsi="Cambria"/>
          <w:color w:val="000000"/>
          <w:sz w:val="20"/>
          <w:szCs w:val="20"/>
          <w:lang w:val="es-ES" w:eastAsia="es-ES"/>
        </w:rPr>
        <w:t xml:space="preserve"> y </w:t>
      </w:r>
      <w:r w:rsidR="00A13607" w:rsidRPr="00CB2076">
        <w:rPr>
          <w:rFonts w:ascii="Cambria" w:hAnsi="Cambria"/>
          <w:color w:val="000000"/>
          <w:sz w:val="20"/>
          <w:szCs w:val="20"/>
          <w:lang w:val="es-ES" w:eastAsia="es-ES"/>
        </w:rPr>
        <w:t xml:space="preserve">de los artículos 1, 6 y 8 de la Convención contra la Tortura; y </w:t>
      </w:r>
      <w:r w:rsidRPr="00CB2076">
        <w:rPr>
          <w:rFonts w:ascii="Cambria" w:hAnsi="Cambria"/>
          <w:color w:val="000000"/>
          <w:sz w:val="20"/>
          <w:szCs w:val="20"/>
          <w:lang w:val="es-ES" w:eastAsia="es-ES"/>
        </w:rPr>
        <w:t xml:space="preserve">que éstos son admisibles, conforme a los requisitos establecidos en los artículos 46 </w:t>
      </w:r>
      <w:r w:rsidR="00E80F3B" w:rsidRPr="00CB2076">
        <w:rPr>
          <w:rFonts w:ascii="Cambria" w:hAnsi="Cambria"/>
          <w:color w:val="000000"/>
          <w:sz w:val="20"/>
          <w:szCs w:val="20"/>
          <w:lang w:val="es-ES" w:eastAsia="es-ES"/>
        </w:rPr>
        <w:t>y 47 de la Convención Americana</w:t>
      </w:r>
      <w:r w:rsidR="002F0B91" w:rsidRPr="00CB2076">
        <w:rPr>
          <w:rFonts w:ascii="Cambria" w:hAnsi="Cambria"/>
          <w:color w:val="000000"/>
          <w:sz w:val="20"/>
          <w:szCs w:val="20"/>
          <w:lang w:val="es-ES" w:eastAsia="es-ES"/>
        </w:rPr>
        <w:t xml:space="preserve">.  Asimismo concluye </w:t>
      </w:r>
      <w:r w:rsidR="00E80F3B" w:rsidRPr="00CB2076">
        <w:rPr>
          <w:rFonts w:ascii="Cambria" w:hAnsi="Cambria"/>
          <w:color w:val="000000"/>
          <w:sz w:val="20"/>
          <w:szCs w:val="20"/>
          <w:lang w:val="es-ES" w:eastAsia="es-ES"/>
        </w:rPr>
        <w:t xml:space="preserve">que aquellos </w:t>
      </w:r>
      <w:r w:rsidR="002F0B91" w:rsidRPr="00CB2076">
        <w:rPr>
          <w:rFonts w:ascii="Cambria" w:hAnsi="Cambria"/>
          <w:color w:val="000000"/>
          <w:sz w:val="20"/>
          <w:szCs w:val="20"/>
          <w:lang w:val="es-ES" w:eastAsia="es-ES"/>
        </w:rPr>
        <w:t xml:space="preserve">reclamos sobre </w:t>
      </w:r>
      <w:r w:rsidR="00E80F3B" w:rsidRPr="00CB2076">
        <w:rPr>
          <w:rFonts w:ascii="Cambria" w:hAnsi="Cambria"/>
          <w:color w:val="000000"/>
          <w:sz w:val="20"/>
          <w:szCs w:val="20"/>
          <w:lang w:val="es-ES" w:eastAsia="es-ES"/>
        </w:rPr>
        <w:t>los artículos 5 y 7 de la Convención Americana son inadmisibles.</w:t>
      </w:r>
    </w:p>
    <w:p w:rsidR="000F014A" w:rsidRDefault="000F014A" w:rsidP="000F014A">
      <w:pPr>
        <w:ind w:left="720"/>
        <w:jc w:val="both"/>
        <w:rPr>
          <w:rFonts w:ascii="Cambria" w:hAnsi="Cambria"/>
          <w:color w:val="000000"/>
          <w:sz w:val="20"/>
          <w:szCs w:val="20"/>
          <w:lang w:val="es-ES" w:eastAsia="es-ES"/>
        </w:rPr>
      </w:pPr>
    </w:p>
    <w:p w:rsidR="006A09FA" w:rsidRPr="000F014A" w:rsidRDefault="006A09FA" w:rsidP="000F014A">
      <w:pPr>
        <w:numPr>
          <w:ilvl w:val="0"/>
          <w:numId w:val="31"/>
        </w:numPr>
        <w:ind w:left="0"/>
        <w:jc w:val="both"/>
        <w:rPr>
          <w:rFonts w:ascii="Cambria" w:hAnsi="Cambria"/>
          <w:color w:val="000000"/>
          <w:sz w:val="20"/>
          <w:szCs w:val="20"/>
          <w:lang w:val="es-ES" w:eastAsia="es-ES"/>
        </w:rPr>
      </w:pPr>
      <w:r w:rsidRPr="000F014A">
        <w:rPr>
          <w:rFonts w:ascii="Cambria" w:hAnsi="Cambria"/>
          <w:color w:val="000000"/>
          <w:sz w:val="20"/>
          <w:szCs w:val="20"/>
          <w:lang w:val="es-ES" w:eastAsia="es-ES"/>
        </w:rPr>
        <w:t xml:space="preserve">Con fundamento en los argumentos de hecho y de derecho antes expuestos. </w:t>
      </w:r>
    </w:p>
    <w:p w:rsidR="006A09FA" w:rsidRPr="001476A2" w:rsidRDefault="006A09FA" w:rsidP="007B6577">
      <w:pPr>
        <w:jc w:val="both"/>
        <w:rPr>
          <w:rFonts w:ascii="Cambria" w:hAnsi="Cambria"/>
          <w:color w:val="000000"/>
          <w:sz w:val="20"/>
          <w:szCs w:val="20"/>
          <w:lang w:val="es-ES" w:eastAsia="es-ES"/>
        </w:rPr>
      </w:pPr>
    </w:p>
    <w:p w:rsidR="006A09FA" w:rsidRPr="001476A2" w:rsidRDefault="006A09FA" w:rsidP="00C9112A">
      <w:pPr>
        <w:ind w:firstLine="708"/>
        <w:rPr>
          <w:rFonts w:ascii="Cambria" w:hAnsi="Cambria"/>
          <w:b/>
          <w:color w:val="000000"/>
          <w:sz w:val="20"/>
          <w:szCs w:val="20"/>
          <w:lang w:val="es-ES" w:eastAsia="es-ES"/>
        </w:rPr>
      </w:pPr>
      <w:r w:rsidRPr="001476A2">
        <w:rPr>
          <w:rFonts w:ascii="Cambria" w:hAnsi="Cambria"/>
          <w:b/>
          <w:color w:val="000000"/>
          <w:sz w:val="20"/>
          <w:szCs w:val="20"/>
          <w:lang w:val="es-ES" w:eastAsia="es-ES"/>
        </w:rPr>
        <w:t>LA COMISIÓN INTERAMERICANA DE DERECHOS HUMANOS,</w:t>
      </w:r>
      <w:r w:rsidR="00C9112A">
        <w:rPr>
          <w:rFonts w:ascii="Cambria" w:hAnsi="Cambria"/>
          <w:b/>
          <w:color w:val="000000"/>
          <w:sz w:val="20"/>
          <w:szCs w:val="20"/>
          <w:lang w:val="es-ES" w:eastAsia="es-ES"/>
        </w:rPr>
        <w:t xml:space="preserve"> </w:t>
      </w:r>
      <w:r w:rsidRPr="001476A2">
        <w:rPr>
          <w:rFonts w:ascii="Cambria" w:hAnsi="Cambria"/>
          <w:b/>
          <w:color w:val="000000"/>
          <w:sz w:val="20"/>
          <w:szCs w:val="20"/>
          <w:lang w:val="es-ES" w:eastAsia="es-ES"/>
        </w:rPr>
        <w:t xml:space="preserve">DECIDE: </w:t>
      </w:r>
    </w:p>
    <w:p w:rsidR="00A13607" w:rsidRPr="001476A2" w:rsidRDefault="00A13607" w:rsidP="007B6577">
      <w:pPr>
        <w:jc w:val="both"/>
        <w:rPr>
          <w:rFonts w:ascii="Cambria" w:hAnsi="Cambria"/>
          <w:color w:val="000000"/>
          <w:sz w:val="20"/>
          <w:szCs w:val="20"/>
          <w:lang w:val="es-ES" w:eastAsia="es-ES"/>
        </w:rPr>
      </w:pPr>
    </w:p>
    <w:p w:rsidR="006A09FA" w:rsidRPr="001476A2" w:rsidRDefault="006A09FA" w:rsidP="007B6577">
      <w:pPr>
        <w:numPr>
          <w:ilvl w:val="0"/>
          <w:numId w:val="34"/>
        </w:numPr>
        <w:tabs>
          <w:tab w:val="left" w:pos="720"/>
        </w:tabs>
        <w:ind w:left="0" w:firstLine="720"/>
        <w:jc w:val="both"/>
        <w:rPr>
          <w:rFonts w:ascii="Cambria" w:hAnsi="Cambria"/>
          <w:color w:val="000000"/>
          <w:sz w:val="20"/>
          <w:szCs w:val="20"/>
          <w:lang w:val="es-ES" w:eastAsia="es-ES"/>
        </w:rPr>
      </w:pPr>
      <w:r w:rsidRPr="001476A2">
        <w:rPr>
          <w:rFonts w:ascii="Cambria" w:hAnsi="Cambria"/>
          <w:color w:val="000000"/>
          <w:sz w:val="20"/>
          <w:szCs w:val="20"/>
          <w:lang w:val="es-ES" w:eastAsia="es-ES"/>
        </w:rPr>
        <w:t>Declarar admisible la presente petición con rel</w:t>
      </w:r>
      <w:r w:rsidR="00B9646B" w:rsidRPr="001476A2">
        <w:rPr>
          <w:rFonts w:ascii="Cambria" w:hAnsi="Cambria"/>
          <w:color w:val="000000"/>
          <w:sz w:val="20"/>
          <w:szCs w:val="20"/>
          <w:lang w:val="es-ES" w:eastAsia="es-ES"/>
        </w:rPr>
        <w:t>ación a los artículos</w:t>
      </w:r>
      <w:r w:rsidR="00A13607" w:rsidRPr="001476A2">
        <w:rPr>
          <w:rFonts w:ascii="Cambria" w:hAnsi="Cambria"/>
          <w:color w:val="000000"/>
          <w:sz w:val="20"/>
          <w:szCs w:val="20"/>
          <w:lang w:val="es-ES" w:eastAsia="es-ES"/>
        </w:rPr>
        <w:t xml:space="preserve"> 8 </w:t>
      </w:r>
      <w:r w:rsidRPr="001476A2">
        <w:rPr>
          <w:rFonts w:ascii="Cambria" w:hAnsi="Cambria"/>
          <w:color w:val="000000"/>
          <w:sz w:val="20"/>
          <w:szCs w:val="20"/>
          <w:lang w:val="es-ES" w:eastAsia="es-ES"/>
        </w:rPr>
        <w:t xml:space="preserve">y 25 en conexión con </w:t>
      </w:r>
      <w:r w:rsidR="00C26FD6" w:rsidRPr="001476A2">
        <w:rPr>
          <w:rFonts w:ascii="Cambria" w:hAnsi="Cambria"/>
          <w:color w:val="000000"/>
          <w:sz w:val="20"/>
          <w:szCs w:val="20"/>
          <w:lang w:val="es-ES" w:eastAsia="es-ES"/>
        </w:rPr>
        <w:t>los</w:t>
      </w:r>
      <w:r w:rsidRPr="001476A2">
        <w:rPr>
          <w:rFonts w:ascii="Cambria" w:hAnsi="Cambria"/>
          <w:color w:val="000000"/>
          <w:sz w:val="20"/>
          <w:szCs w:val="20"/>
          <w:lang w:val="es-ES" w:eastAsia="es-ES"/>
        </w:rPr>
        <w:t xml:space="preserve"> artículo</w:t>
      </w:r>
      <w:r w:rsidR="00C26FD6" w:rsidRPr="001476A2">
        <w:rPr>
          <w:rFonts w:ascii="Cambria" w:hAnsi="Cambria"/>
          <w:color w:val="000000"/>
          <w:sz w:val="20"/>
          <w:szCs w:val="20"/>
          <w:lang w:val="es-ES" w:eastAsia="es-ES"/>
        </w:rPr>
        <w:t>s</w:t>
      </w:r>
      <w:r w:rsidRPr="001476A2">
        <w:rPr>
          <w:rFonts w:ascii="Cambria" w:hAnsi="Cambria"/>
          <w:color w:val="000000"/>
          <w:sz w:val="20"/>
          <w:szCs w:val="20"/>
          <w:lang w:val="es-ES" w:eastAsia="es-ES"/>
        </w:rPr>
        <w:t xml:space="preserve"> 1.1</w:t>
      </w:r>
      <w:r w:rsidR="00C26FD6" w:rsidRPr="001476A2">
        <w:rPr>
          <w:rFonts w:ascii="Cambria" w:hAnsi="Cambria"/>
          <w:color w:val="000000"/>
          <w:sz w:val="20"/>
          <w:szCs w:val="20"/>
          <w:lang w:val="es-ES" w:eastAsia="es-ES"/>
        </w:rPr>
        <w:t xml:space="preserve"> y 2</w:t>
      </w:r>
      <w:r w:rsidR="00B9646B" w:rsidRPr="001476A2">
        <w:rPr>
          <w:rFonts w:ascii="Cambria" w:hAnsi="Cambria"/>
          <w:color w:val="000000"/>
          <w:sz w:val="20"/>
          <w:szCs w:val="20"/>
          <w:lang w:val="es-ES" w:eastAsia="es-ES"/>
        </w:rPr>
        <w:t xml:space="preserve"> de la Convención Americana y I, </w:t>
      </w:r>
      <w:r w:rsidR="006F1569" w:rsidRPr="001476A2">
        <w:rPr>
          <w:rFonts w:ascii="Cambria" w:hAnsi="Cambria"/>
          <w:color w:val="000000"/>
          <w:sz w:val="20"/>
          <w:szCs w:val="20"/>
          <w:lang w:val="es-ES" w:eastAsia="es-ES"/>
        </w:rPr>
        <w:t>IX, XVIII y XXV</w:t>
      </w:r>
      <w:r w:rsidR="00B9646B" w:rsidRPr="001476A2">
        <w:rPr>
          <w:rFonts w:ascii="Cambria" w:hAnsi="Cambria"/>
          <w:color w:val="000000"/>
          <w:sz w:val="20"/>
          <w:szCs w:val="20"/>
          <w:lang w:val="es-ES" w:eastAsia="es-ES"/>
        </w:rPr>
        <w:t xml:space="preserve"> de la Declaración Americana.</w:t>
      </w:r>
    </w:p>
    <w:p w:rsidR="00A13607" w:rsidRPr="001476A2" w:rsidRDefault="00A13607" w:rsidP="007B6577">
      <w:pPr>
        <w:tabs>
          <w:tab w:val="left" w:pos="720"/>
        </w:tabs>
        <w:ind w:firstLine="720"/>
        <w:jc w:val="both"/>
        <w:rPr>
          <w:rFonts w:ascii="Cambria" w:hAnsi="Cambria"/>
          <w:color w:val="000000"/>
          <w:sz w:val="20"/>
          <w:szCs w:val="20"/>
          <w:lang w:val="es-ES" w:eastAsia="es-ES"/>
        </w:rPr>
      </w:pPr>
    </w:p>
    <w:p w:rsidR="006A09FA" w:rsidRPr="001476A2" w:rsidRDefault="00A13607" w:rsidP="007B6577">
      <w:pPr>
        <w:numPr>
          <w:ilvl w:val="0"/>
          <w:numId w:val="34"/>
        </w:numPr>
        <w:tabs>
          <w:tab w:val="left" w:pos="720"/>
        </w:tabs>
        <w:ind w:left="0" w:firstLine="720"/>
        <w:jc w:val="both"/>
        <w:rPr>
          <w:rFonts w:ascii="Cambria" w:hAnsi="Cambria"/>
          <w:color w:val="000000"/>
          <w:sz w:val="20"/>
          <w:szCs w:val="20"/>
          <w:lang w:val="es-ES" w:eastAsia="es-ES"/>
        </w:rPr>
      </w:pPr>
      <w:r w:rsidRPr="001476A2">
        <w:rPr>
          <w:rFonts w:ascii="Cambria" w:hAnsi="Cambria"/>
          <w:color w:val="000000"/>
          <w:sz w:val="20"/>
          <w:szCs w:val="20"/>
          <w:lang w:val="es-ES" w:eastAsia="es-ES"/>
        </w:rPr>
        <w:t xml:space="preserve">Declarar admisible la presente petición con relación a los artículos 1, 6 y 8 de la </w:t>
      </w:r>
      <w:r w:rsidR="009F2B42" w:rsidRPr="001476A2">
        <w:rPr>
          <w:rFonts w:ascii="Cambria" w:hAnsi="Cambria"/>
          <w:color w:val="000000"/>
          <w:sz w:val="20"/>
          <w:szCs w:val="20"/>
          <w:lang w:val="es-ES" w:eastAsia="es-ES"/>
        </w:rPr>
        <w:t>Convención Interamericana para Prevenir y Sancionar la Tortura.</w:t>
      </w:r>
    </w:p>
    <w:p w:rsidR="00FC59FC" w:rsidRPr="001476A2" w:rsidRDefault="00FC59FC" w:rsidP="007B6577">
      <w:pPr>
        <w:tabs>
          <w:tab w:val="left" w:pos="720"/>
        </w:tabs>
        <w:ind w:left="360" w:firstLine="720"/>
        <w:jc w:val="both"/>
        <w:rPr>
          <w:rFonts w:ascii="Cambria" w:hAnsi="Cambria"/>
          <w:color w:val="000000"/>
          <w:sz w:val="20"/>
          <w:szCs w:val="20"/>
          <w:lang w:val="es-ES" w:eastAsia="es-ES"/>
        </w:rPr>
      </w:pPr>
    </w:p>
    <w:p w:rsidR="00FC59FC" w:rsidRPr="001476A2" w:rsidRDefault="00FC59FC" w:rsidP="007B6577">
      <w:pPr>
        <w:numPr>
          <w:ilvl w:val="0"/>
          <w:numId w:val="34"/>
        </w:numPr>
        <w:tabs>
          <w:tab w:val="left" w:pos="720"/>
        </w:tabs>
        <w:ind w:left="0" w:firstLine="720"/>
        <w:jc w:val="both"/>
        <w:rPr>
          <w:rFonts w:ascii="Cambria" w:hAnsi="Cambria"/>
          <w:color w:val="000000"/>
          <w:sz w:val="20"/>
          <w:szCs w:val="20"/>
          <w:lang w:val="es-ES" w:eastAsia="es-ES"/>
        </w:rPr>
      </w:pPr>
      <w:r w:rsidRPr="001476A2">
        <w:rPr>
          <w:rFonts w:ascii="Cambria" w:hAnsi="Cambria"/>
          <w:color w:val="000000"/>
          <w:sz w:val="20"/>
          <w:szCs w:val="20"/>
          <w:lang w:val="es-ES" w:eastAsia="es-ES"/>
        </w:rPr>
        <w:t>Declarar inadmisible la presente petición con relación a los artículos 5 y 7 de la Convención Americana.</w:t>
      </w:r>
    </w:p>
    <w:p w:rsidR="009F2B42" w:rsidRPr="001476A2" w:rsidRDefault="009F2B42" w:rsidP="007B6577">
      <w:pPr>
        <w:tabs>
          <w:tab w:val="left" w:pos="720"/>
        </w:tabs>
        <w:ind w:firstLine="720"/>
        <w:jc w:val="both"/>
        <w:rPr>
          <w:rFonts w:ascii="Cambria" w:hAnsi="Cambria"/>
          <w:color w:val="000000"/>
          <w:sz w:val="20"/>
          <w:szCs w:val="20"/>
          <w:lang w:val="es-ES" w:eastAsia="es-ES"/>
        </w:rPr>
      </w:pPr>
    </w:p>
    <w:p w:rsidR="006A09FA" w:rsidRPr="001476A2" w:rsidRDefault="006A09FA" w:rsidP="007B6577">
      <w:pPr>
        <w:numPr>
          <w:ilvl w:val="0"/>
          <w:numId w:val="34"/>
        </w:numPr>
        <w:tabs>
          <w:tab w:val="left" w:pos="720"/>
        </w:tabs>
        <w:ind w:left="0" w:firstLine="720"/>
        <w:jc w:val="both"/>
        <w:rPr>
          <w:rFonts w:ascii="Cambria" w:hAnsi="Cambria"/>
          <w:color w:val="000000"/>
          <w:sz w:val="20"/>
          <w:szCs w:val="20"/>
          <w:lang w:val="es-ES" w:eastAsia="es-ES"/>
        </w:rPr>
      </w:pPr>
      <w:r w:rsidRPr="001476A2">
        <w:rPr>
          <w:rFonts w:ascii="Cambria" w:hAnsi="Cambria"/>
          <w:color w:val="000000"/>
          <w:sz w:val="20"/>
          <w:szCs w:val="20"/>
          <w:lang w:val="es-ES" w:eastAsia="es-ES"/>
        </w:rPr>
        <w:t>Notificar esta decisión al Estado y al peticionario.</w:t>
      </w:r>
    </w:p>
    <w:p w:rsidR="006A09FA" w:rsidRPr="001476A2" w:rsidRDefault="006A09FA" w:rsidP="007B6577">
      <w:pPr>
        <w:tabs>
          <w:tab w:val="left" w:pos="720"/>
        </w:tabs>
        <w:ind w:firstLine="720"/>
        <w:jc w:val="both"/>
        <w:rPr>
          <w:rFonts w:ascii="Cambria" w:hAnsi="Cambria"/>
          <w:color w:val="000000"/>
          <w:sz w:val="20"/>
          <w:szCs w:val="20"/>
          <w:lang w:val="es-ES" w:eastAsia="es-ES"/>
        </w:rPr>
      </w:pPr>
    </w:p>
    <w:p w:rsidR="006A09FA" w:rsidRPr="001476A2" w:rsidRDefault="006A09FA" w:rsidP="007B6577">
      <w:pPr>
        <w:numPr>
          <w:ilvl w:val="0"/>
          <w:numId w:val="34"/>
        </w:numPr>
        <w:tabs>
          <w:tab w:val="left" w:pos="720"/>
        </w:tabs>
        <w:ind w:left="0" w:firstLine="720"/>
        <w:jc w:val="both"/>
        <w:rPr>
          <w:rFonts w:ascii="Cambria" w:hAnsi="Cambria"/>
          <w:color w:val="000000"/>
          <w:sz w:val="20"/>
          <w:szCs w:val="20"/>
          <w:lang w:val="es-ES" w:eastAsia="es-ES"/>
        </w:rPr>
      </w:pPr>
      <w:r w:rsidRPr="001476A2">
        <w:rPr>
          <w:rFonts w:ascii="Cambria" w:hAnsi="Cambria"/>
          <w:color w:val="000000"/>
          <w:sz w:val="20"/>
          <w:szCs w:val="20"/>
          <w:lang w:val="es-ES" w:eastAsia="es-ES"/>
        </w:rPr>
        <w:t>Continuar con el análisis del fondo de la cuestión.</w:t>
      </w:r>
    </w:p>
    <w:p w:rsidR="006A09FA" w:rsidRPr="001476A2" w:rsidRDefault="006A09FA" w:rsidP="007B6577">
      <w:pPr>
        <w:tabs>
          <w:tab w:val="left" w:pos="720"/>
        </w:tabs>
        <w:ind w:firstLine="720"/>
        <w:jc w:val="both"/>
        <w:rPr>
          <w:rFonts w:ascii="Cambria" w:hAnsi="Cambria"/>
          <w:color w:val="000000"/>
          <w:sz w:val="20"/>
          <w:szCs w:val="20"/>
          <w:lang w:val="es-ES" w:eastAsia="es-ES"/>
        </w:rPr>
      </w:pPr>
    </w:p>
    <w:p w:rsidR="006A09FA" w:rsidRPr="001476A2" w:rsidRDefault="006A09FA" w:rsidP="007B6577">
      <w:pPr>
        <w:numPr>
          <w:ilvl w:val="0"/>
          <w:numId w:val="34"/>
        </w:numPr>
        <w:tabs>
          <w:tab w:val="left" w:pos="720"/>
        </w:tabs>
        <w:ind w:left="0" w:firstLine="720"/>
        <w:jc w:val="both"/>
        <w:rPr>
          <w:rFonts w:ascii="Cambria" w:hAnsi="Cambria"/>
          <w:color w:val="000000"/>
          <w:sz w:val="20"/>
          <w:szCs w:val="20"/>
          <w:lang w:val="es-ES" w:eastAsia="es-ES"/>
        </w:rPr>
      </w:pPr>
      <w:r w:rsidRPr="001476A2">
        <w:rPr>
          <w:rFonts w:ascii="Cambria" w:hAnsi="Cambria"/>
          <w:color w:val="000000"/>
          <w:sz w:val="20"/>
          <w:szCs w:val="20"/>
          <w:lang w:val="es-ES" w:eastAsia="es-ES"/>
        </w:rPr>
        <w:t>Publicar esta decisión e incluirla en su Informe Anual a la Asamblea General de la OEA.</w:t>
      </w:r>
    </w:p>
    <w:p w:rsidR="00CD46BC" w:rsidRDefault="00CD46BC" w:rsidP="007B6577">
      <w:pPr>
        <w:jc w:val="both"/>
        <w:rPr>
          <w:rFonts w:ascii="Cambria" w:hAnsi="Cambria"/>
          <w:color w:val="000000"/>
          <w:sz w:val="20"/>
          <w:szCs w:val="20"/>
          <w:lang w:val="es-ES" w:eastAsia="es-ES"/>
        </w:rPr>
      </w:pPr>
    </w:p>
    <w:p w:rsidR="00CD46BC" w:rsidRPr="00CD46BC" w:rsidRDefault="00CD46BC" w:rsidP="00CD430A">
      <w:pPr>
        <w:ind w:firstLine="720"/>
        <w:jc w:val="both"/>
        <w:rPr>
          <w:rFonts w:ascii="Cambria" w:hAnsi="Cambria"/>
          <w:color w:val="000000"/>
          <w:sz w:val="20"/>
          <w:szCs w:val="20"/>
          <w:lang w:val="es-CL" w:eastAsia="es-ES"/>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21</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julio</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00223823">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 xml:space="preserve">(Firmado):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w:t>
      </w:r>
      <w:r>
        <w:rPr>
          <w:rFonts w:ascii="Cambria" w:hAnsi="Cambria" w:cs="Arial"/>
          <w:noProof/>
          <w:spacing w:val="-2"/>
          <w:sz w:val="20"/>
          <w:szCs w:val="20"/>
          <w:lang w:val="es-CL"/>
        </w:rPr>
        <w:lastRenderedPageBreak/>
        <w:t xml:space="preserve">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bookmarkStart w:id="0" w:name="_GoBack"/>
      <w:bookmarkEnd w:id="0"/>
    </w:p>
    <w:sectPr w:rsidR="00CD46BC" w:rsidRPr="00CD46BC" w:rsidSect="007E54A2">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D7" w:rsidRDefault="008076D7">
      <w:r>
        <w:separator/>
      </w:r>
    </w:p>
  </w:endnote>
  <w:endnote w:type="continuationSeparator" w:id="0">
    <w:p w:rsidR="008076D7" w:rsidRDefault="0080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9E" w:rsidRPr="00934A2C" w:rsidRDefault="0063179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D430A">
      <w:rPr>
        <w:noProof/>
        <w:sz w:val="16"/>
        <w:szCs w:val="22"/>
      </w:rPr>
      <w:t>9</w:t>
    </w:r>
    <w:r w:rsidRPr="00934A2C">
      <w:rPr>
        <w:sz w:val="16"/>
        <w:szCs w:val="22"/>
      </w:rPr>
      <w:fldChar w:fldCharType="end"/>
    </w:r>
  </w:p>
  <w:p w:rsidR="0063179E" w:rsidRDefault="00631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9E" w:rsidRPr="00934A2C" w:rsidRDefault="0063179E">
    <w:pPr>
      <w:pStyle w:val="Footer"/>
      <w:jc w:val="center"/>
      <w:rPr>
        <w:sz w:val="16"/>
        <w:szCs w:val="22"/>
      </w:rPr>
    </w:pPr>
  </w:p>
  <w:p w:rsidR="0063179E" w:rsidRDefault="00631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D7" w:rsidRDefault="008076D7" w:rsidP="00820831">
      <w:r>
        <w:separator/>
      </w:r>
    </w:p>
  </w:footnote>
  <w:footnote w:type="continuationSeparator" w:id="0">
    <w:p w:rsidR="008076D7" w:rsidRDefault="008076D7">
      <w:r>
        <w:continuationSeparator/>
      </w:r>
    </w:p>
  </w:footnote>
  <w:footnote w:type="continuationNotice" w:id="1">
    <w:p w:rsidR="008076D7" w:rsidRPr="00820831" w:rsidRDefault="008076D7" w:rsidP="00820831"/>
  </w:footnote>
  <w:footnote w:id="2">
    <w:p w:rsidR="009023C1" w:rsidRPr="0052485C" w:rsidRDefault="009023C1" w:rsidP="0052485C">
      <w:pPr>
        <w:pStyle w:val="FootnoteText"/>
        <w:ind w:firstLine="708"/>
        <w:jc w:val="both"/>
        <w:rPr>
          <w:rFonts w:asciiTheme="majorHAnsi" w:hAnsiTheme="majorHAnsi"/>
          <w:b/>
          <w:sz w:val="16"/>
          <w:szCs w:val="16"/>
          <w:lang w:val="es-ES"/>
        </w:rPr>
      </w:pPr>
      <w:r w:rsidRPr="00F831C6">
        <w:rPr>
          <w:rStyle w:val="FootnoteReference"/>
          <w:rFonts w:asciiTheme="majorHAnsi" w:hAnsiTheme="majorHAnsi"/>
          <w:sz w:val="16"/>
          <w:szCs w:val="16"/>
        </w:rPr>
        <w:footnoteRef/>
      </w:r>
      <w:r w:rsidRPr="00F831C6">
        <w:rPr>
          <w:rFonts w:asciiTheme="majorHAnsi" w:hAnsiTheme="majorHAnsi"/>
          <w:b/>
          <w:sz w:val="16"/>
          <w:szCs w:val="16"/>
          <w:lang w:val="es-ES"/>
        </w:rPr>
        <w:t xml:space="preserve"> </w:t>
      </w:r>
      <w:r w:rsidRPr="00F831C6">
        <w:rPr>
          <w:rStyle w:val="Strong"/>
          <w:rFonts w:asciiTheme="majorHAnsi" w:hAnsiTheme="majorHAnsi"/>
          <w:b w:val="0"/>
          <w:sz w:val="16"/>
          <w:szCs w:val="16"/>
          <w:lang w:val="es-ES"/>
        </w:rPr>
        <w:t xml:space="preserve">En el mismo sentido </w:t>
      </w:r>
      <w:r w:rsidRPr="00F831C6">
        <w:rPr>
          <w:rFonts w:asciiTheme="majorHAnsi" w:hAnsiTheme="majorHAnsi"/>
          <w:i/>
          <w:sz w:val="16"/>
          <w:szCs w:val="16"/>
          <w:lang w:val="es-ES"/>
        </w:rPr>
        <w:t xml:space="preserve">cfr. </w:t>
      </w:r>
      <w:r w:rsidRPr="00F831C6">
        <w:rPr>
          <w:rStyle w:val="Strong"/>
          <w:rFonts w:asciiTheme="majorHAnsi" w:hAnsiTheme="majorHAnsi"/>
          <w:b w:val="0"/>
          <w:sz w:val="16"/>
          <w:szCs w:val="16"/>
          <w:lang w:val="es-ES"/>
        </w:rPr>
        <w:t>Corte IDH. Caso Furlan y Familiares Vs. Argentina, Sentencia de 31 de agosto de 2012. Serie C No. 246, párr. 214 y 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9E" w:rsidRDefault="0063179E" w:rsidP="007E54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179E" w:rsidRDefault="00631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9E" w:rsidRDefault="008E7FD8" w:rsidP="007E54A2">
    <w:pPr>
      <w:pStyle w:val="Header"/>
      <w:tabs>
        <w:tab w:val="clear" w:pos="4320"/>
        <w:tab w:val="clear" w:pos="8640"/>
      </w:tabs>
      <w:jc w:val="center"/>
      <w:rPr>
        <w:sz w:val="22"/>
        <w:szCs w:val="22"/>
      </w:rPr>
    </w:pPr>
    <w:r>
      <w:rPr>
        <w:noProof/>
        <w:sz w:val="22"/>
        <w:szCs w:val="22"/>
      </w:rPr>
      <w:drawing>
        <wp:inline distT="0" distB="0" distL="0" distR="0" wp14:anchorId="7FA9CA6A" wp14:editId="2FC73E6B">
          <wp:extent cx="1951990" cy="1028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990" cy="102870"/>
                  </a:xfrm>
                  <a:prstGeom prst="rect">
                    <a:avLst/>
                  </a:prstGeom>
                  <a:noFill/>
                  <a:ln>
                    <a:noFill/>
                  </a:ln>
                </pic:spPr>
              </pic:pic>
            </a:graphicData>
          </a:graphic>
        </wp:inline>
      </w:drawing>
    </w:r>
  </w:p>
  <w:p w:rsidR="0063179E" w:rsidRPr="00EC7D62" w:rsidRDefault="008076D7" w:rsidP="007E54A2">
    <w:pPr>
      <w:pStyle w:val="Header"/>
      <w:tabs>
        <w:tab w:val="clear" w:pos="4320"/>
        <w:tab w:val="clear" w:pos="8640"/>
      </w:tabs>
      <w:jc w:val="center"/>
      <w:rPr>
        <w:sz w:val="22"/>
        <w:szCs w:val="22"/>
      </w:rPr>
    </w:pPr>
    <w:r>
      <w:rPr>
        <w:sz w:val="22"/>
        <w:szCs w:val="22"/>
      </w:rPr>
      <w:pict>
        <v:rect id="_x0000_i1025" style="width:0;height:1.5pt" o:hralign="center" o:hrstd="t" o:hr="t" fillcolor="#a0a0a0" stroked="f">
          <v:imagedata r:id="rId2" o:titl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64C"/>
    <w:multiLevelType w:val="hybridMultilevel"/>
    <w:tmpl w:val="57606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8B4FA7"/>
    <w:multiLevelType w:val="hybridMultilevel"/>
    <w:tmpl w:val="1F9C083E"/>
    <w:lvl w:ilvl="0" w:tplc="197852A6">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76A97"/>
    <w:multiLevelType w:val="multilevel"/>
    <w:tmpl w:val="254060C6"/>
    <w:lvl w:ilvl="0">
      <w:start w:val="1"/>
      <w:numFmt w:val="decimal"/>
      <w:lvlText w:val="%1."/>
      <w:lvlJc w:val="left"/>
      <w:pPr>
        <w:tabs>
          <w:tab w:val="num" w:pos="360"/>
        </w:tabs>
        <w:ind w:left="360" w:hanging="360"/>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
    <w:nsid w:val="08833657"/>
    <w:multiLevelType w:val="hybridMultilevel"/>
    <w:tmpl w:val="A6545E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C553B8B"/>
    <w:multiLevelType w:val="hybridMultilevel"/>
    <w:tmpl w:val="65CA6E4A"/>
    <w:lvl w:ilvl="0" w:tplc="D3DAF4DC">
      <w:start w:val="1"/>
      <w:numFmt w:val="upperRoman"/>
      <w:lvlText w:val="%1."/>
      <w:lvlJc w:val="left"/>
      <w:pPr>
        <w:ind w:left="1428" w:hanging="72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0ED2330E"/>
    <w:multiLevelType w:val="hybridMultilevel"/>
    <w:tmpl w:val="DBE4783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027551B"/>
    <w:multiLevelType w:val="hybridMultilevel"/>
    <w:tmpl w:val="44F49DDA"/>
    <w:lvl w:ilvl="0" w:tplc="FFBA3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26057"/>
    <w:multiLevelType w:val="hybridMultilevel"/>
    <w:tmpl w:val="57C0C4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C944FB"/>
    <w:multiLevelType w:val="hybridMultilevel"/>
    <w:tmpl w:val="AA9A587E"/>
    <w:lvl w:ilvl="0" w:tplc="3D904822">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96261"/>
    <w:multiLevelType w:val="hybridMultilevel"/>
    <w:tmpl w:val="54B623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FD55CB"/>
    <w:multiLevelType w:val="hybridMultilevel"/>
    <w:tmpl w:val="10A046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DE86B3F"/>
    <w:multiLevelType w:val="hybridMultilevel"/>
    <w:tmpl w:val="25FA610E"/>
    <w:lvl w:ilvl="0" w:tplc="000C35F2">
      <w:start w:val="1"/>
      <w:numFmt w:val="decimal"/>
      <w:lvlText w:val="%1."/>
      <w:lvlJc w:val="left"/>
      <w:pPr>
        <w:tabs>
          <w:tab w:val="num" w:pos="540"/>
        </w:tabs>
        <w:ind w:left="-180" w:firstLine="720"/>
      </w:pPr>
      <w:rPr>
        <w:rFonts w:cs="Times New Roman" w:hint="default"/>
        <w:b w:val="0"/>
        <w:color w:val="000000"/>
        <w:sz w:val="20"/>
        <w:szCs w:val="20"/>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nsid w:val="35082C24"/>
    <w:multiLevelType w:val="hybridMultilevel"/>
    <w:tmpl w:val="D958A4AE"/>
    <w:lvl w:ilvl="0" w:tplc="5288A60E">
      <w:start w:val="1"/>
      <w:numFmt w:val="decimal"/>
      <w:lvlText w:val="%1."/>
      <w:lvlJc w:val="left"/>
      <w:pPr>
        <w:ind w:left="1068" w:hanging="360"/>
      </w:pPr>
      <w:rPr>
        <w:rFonts w:cs="Times New Roman"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358A2B89"/>
    <w:multiLevelType w:val="hybridMultilevel"/>
    <w:tmpl w:val="62F837B4"/>
    <w:lvl w:ilvl="0" w:tplc="8B0E2420">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77D21"/>
    <w:multiLevelType w:val="multilevel"/>
    <w:tmpl w:val="CB8669EE"/>
    <w:lvl w:ilvl="0">
      <w:start w:val="1"/>
      <w:numFmt w:val="upperLetter"/>
      <w:lvlText w:val="%1."/>
      <w:lvlJc w:val="left"/>
      <w:pPr>
        <w:tabs>
          <w:tab w:val="num" w:pos="540"/>
        </w:tabs>
        <w:ind w:left="540" w:hanging="360"/>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nsid w:val="42562758"/>
    <w:multiLevelType w:val="hybridMultilevel"/>
    <w:tmpl w:val="8E2EE1A6"/>
    <w:lvl w:ilvl="0" w:tplc="6652C0EA">
      <w:start w:val="1"/>
      <w:numFmt w:val="lowerLetter"/>
      <w:lvlText w:val="%1)"/>
      <w:lvlJc w:val="left"/>
      <w:pPr>
        <w:tabs>
          <w:tab w:val="num" w:pos="1080"/>
        </w:tabs>
        <w:ind w:left="1080" w:hanging="360"/>
      </w:pPr>
      <w:rPr>
        <w:rFonts w:hint="default"/>
      </w:rPr>
    </w:lvl>
    <w:lvl w:ilvl="1" w:tplc="5A56219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3280CE6"/>
    <w:multiLevelType w:val="hybridMultilevel"/>
    <w:tmpl w:val="1D965D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44975CB"/>
    <w:multiLevelType w:val="multilevel"/>
    <w:tmpl w:val="0C0A0027"/>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nsid w:val="45947F1F"/>
    <w:multiLevelType w:val="hybridMultilevel"/>
    <w:tmpl w:val="1D7EC968"/>
    <w:lvl w:ilvl="0" w:tplc="FFBA3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44113"/>
    <w:multiLevelType w:val="hybridMultilevel"/>
    <w:tmpl w:val="5ACCBD08"/>
    <w:lvl w:ilvl="0" w:tplc="C84EFC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FA6C45"/>
    <w:multiLevelType w:val="hybridMultilevel"/>
    <w:tmpl w:val="DDB627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4D296437"/>
    <w:multiLevelType w:val="hybridMultilevel"/>
    <w:tmpl w:val="D50A89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8B6025"/>
    <w:multiLevelType w:val="hybridMultilevel"/>
    <w:tmpl w:val="25FA610E"/>
    <w:lvl w:ilvl="0" w:tplc="000C35F2">
      <w:start w:val="1"/>
      <w:numFmt w:val="decimal"/>
      <w:lvlText w:val="%1."/>
      <w:lvlJc w:val="left"/>
      <w:pPr>
        <w:tabs>
          <w:tab w:val="num" w:pos="540"/>
        </w:tabs>
        <w:ind w:left="-180" w:firstLine="720"/>
      </w:pPr>
      <w:rPr>
        <w:rFonts w:cs="Times New Roman" w:hint="default"/>
        <w:b w:val="0"/>
        <w:color w:val="000000"/>
        <w:sz w:val="20"/>
        <w:szCs w:val="20"/>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nsid w:val="50202F6B"/>
    <w:multiLevelType w:val="hybridMultilevel"/>
    <w:tmpl w:val="BCD60C7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4DE193C"/>
    <w:multiLevelType w:val="hybridMultilevel"/>
    <w:tmpl w:val="E3667BF2"/>
    <w:lvl w:ilvl="0" w:tplc="0958C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0665F9"/>
    <w:multiLevelType w:val="hybridMultilevel"/>
    <w:tmpl w:val="BA54B95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6CC1984"/>
    <w:multiLevelType w:val="hybridMultilevel"/>
    <w:tmpl w:val="1122BD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257F95"/>
    <w:multiLevelType w:val="hybridMultilevel"/>
    <w:tmpl w:val="8D649C2C"/>
    <w:lvl w:ilvl="0" w:tplc="000C35F2">
      <w:start w:val="1"/>
      <w:numFmt w:val="decimal"/>
      <w:lvlText w:val="%1."/>
      <w:lvlJc w:val="left"/>
      <w:pPr>
        <w:tabs>
          <w:tab w:val="num" w:pos="540"/>
        </w:tabs>
        <w:ind w:left="-180" w:firstLine="720"/>
      </w:pPr>
      <w:rPr>
        <w:rFonts w:cs="Times New Roman" w:hint="default"/>
        <w:b w:val="0"/>
        <w:color w:val="000000"/>
        <w:sz w:val="20"/>
        <w:szCs w:val="20"/>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574F3D1E"/>
    <w:multiLevelType w:val="hybridMultilevel"/>
    <w:tmpl w:val="165886A6"/>
    <w:lvl w:ilvl="0" w:tplc="FBA6DA30">
      <w:start w:val="1"/>
      <w:numFmt w:val="upperLetter"/>
      <w:lvlText w:val="%1."/>
      <w:lvlJc w:val="left"/>
      <w:pPr>
        <w:ind w:left="1068" w:hanging="360"/>
      </w:pPr>
      <w:rPr>
        <w:rFonts w:cs="Times New Roman"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nsid w:val="581D176E"/>
    <w:multiLevelType w:val="hybridMultilevel"/>
    <w:tmpl w:val="29A4F9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59902175"/>
    <w:multiLevelType w:val="hybridMultilevel"/>
    <w:tmpl w:val="DC1EED52"/>
    <w:lvl w:ilvl="0" w:tplc="000C35F2">
      <w:start w:val="1"/>
      <w:numFmt w:val="decimal"/>
      <w:lvlText w:val="%1."/>
      <w:lvlJc w:val="left"/>
      <w:pPr>
        <w:tabs>
          <w:tab w:val="num" w:pos="540"/>
        </w:tabs>
        <w:ind w:left="-180" w:firstLine="720"/>
      </w:pPr>
      <w:rPr>
        <w:rFonts w:cs="Times New Roman" w:hint="default"/>
        <w:b w:val="0"/>
        <w:color w:val="000000"/>
        <w:sz w:val="20"/>
        <w:szCs w:val="20"/>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1">
    <w:nsid w:val="5BFE6718"/>
    <w:multiLevelType w:val="hybridMultilevel"/>
    <w:tmpl w:val="2236C4B2"/>
    <w:lvl w:ilvl="0" w:tplc="C84EFCFC">
      <w:start w:val="1"/>
      <w:numFmt w:val="decimal"/>
      <w:lvlText w:val="%1."/>
      <w:lvlJc w:val="left"/>
      <w:pPr>
        <w:tabs>
          <w:tab w:val="num" w:pos="720"/>
        </w:tabs>
        <w:ind w:left="720" w:hanging="360"/>
      </w:pPr>
      <w:rPr>
        <w:rFonts w:hint="default"/>
      </w:rPr>
    </w:lvl>
    <w:lvl w:ilvl="1" w:tplc="C2BE98EC">
      <w:start w:val="1"/>
      <w:numFmt w:val="upperLetter"/>
      <w:lvlText w:val="%2."/>
      <w:lvlJc w:val="left"/>
      <w:pPr>
        <w:ind w:left="1788" w:hanging="708"/>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DBD6DAF"/>
    <w:multiLevelType w:val="hybridMultilevel"/>
    <w:tmpl w:val="25FA610E"/>
    <w:lvl w:ilvl="0" w:tplc="000C35F2">
      <w:start w:val="1"/>
      <w:numFmt w:val="decimal"/>
      <w:lvlText w:val="%1."/>
      <w:lvlJc w:val="left"/>
      <w:pPr>
        <w:tabs>
          <w:tab w:val="num" w:pos="540"/>
        </w:tabs>
        <w:ind w:left="-180" w:firstLine="720"/>
      </w:pPr>
      <w:rPr>
        <w:rFonts w:cs="Times New Roman" w:hint="default"/>
        <w:b w:val="0"/>
        <w:color w:val="000000"/>
        <w:sz w:val="20"/>
        <w:szCs w:val="20"/>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3">
    <w:nsid w:val="5F0C0B87"/>
    <w:multiLevelType w:val="hybridMultilevel"/>
    <w:tmpl w:val="AB4627FA"/>
    <w:lvl w:ilvl="0" w:tplc="A67ECF98">
      <w:start w:val="1"/>
      <w:numFmt w:val="decimal"/>
      <w:lvlText w:val="%1."/>
      <w:lvlJc w:val="left"/>
      <w:pPr>
        <w:tabs>
          <w:tab w:val="num" w:pos="1440"/>
        </w:tabs>
        <w:ind w:left="1440" w:hanging="1080"/>
      </w:pPr>
      <w:rPr>
        <w:rFonts w:hint="default"/>
      </w:rPr>
    </w:lvl>
    <w:lvl w:ilvl="1" w:tplc="61C06548">
      <w:start w:val="1"/>
      <w:numFmt w:val="upperRoman"/>
      <w:lvlText w:val="%2."/>
      <w:lvlJc w:val="left"/>
      <w:pPr>
        <w:tabs>
          <w:tab w:val="num" w:pos="1800"/>
        </w:tabs>
        <w:ind w:left="1800" w:hanging="720"/>
      </w:pPr>
      <w:rPr>
        <w:rFonts w:hint="default"/>
      </w:rPr>
    </w:lvl>
    <w:lvl w:ilvl="2" w:tplc="A760AF4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F11947"/>
    <w:multiLevelType w:val="hybridMultilevel"/>
    <w:tmpl w:val="BD74A9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nsid w:val="663004E1"/>
    <w:multiLevelType w:val="hybridMultilevel"/>
    <w:tmpl w:val="553C5E7E"/>
    <w:lvl w:ilvl="0" w:tplc="4A5C2478">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A30C27"/>
    <w:multiLevelType w:val="hybridMultilevel"/>
    <w:tmpl w:val="896EA53C"/>
    <w:lvl w:ilvl="0" w:tplc="61C06548">
      <w:start w:val="1"/>
      <w:numFmt w:val="upperRoman"/>
      <w:lvlText w:val="%1."/>
      <w:lvlJc w:val="left"/>
      <w:pPr>
        <w:tabs>
          <w:tab w:val="num" w:pos="1440"/>
        </w:tabs>
        <w:ind w:left="1440" w:hanging="720"/>
      </w:pPr>
      <w:rPr>
        <w:rFonts w:hint="default"/>
      </w:rPr>
    </w:lvl>
    <w:lvl w:ilvl="1" w:tplc="435A5654">
      <w:start w:val="1"/>
      <w:numFmt w:val="decimal"/>
      <w:lvlText w:val="%2."/>
      <w:lvlJc w:val="left"/>
      <w:pPr>
        <w:tabs>
          <w:tab w:val="num" w:pos="2160"/>
        </w:tabs>
        <w:ind w:left="2160" w:hanging="720"/>
      </w:pPr>
      <w:rPr>
        <w:rFonts w:hint="default"/>
      </w:rPr>
    </w:lvl>
    <w:lvl w:ilvl="2" w:tplc="61C06548">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9727833"/>
    <w:multiLevelType w:val="hybridMultilevel"/>
    <w:tmpl w:val="7C6A84AA"/>
    <w:lvl w:ilvl="0" w:tplc="8B0E2420">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231BF5"/>
    <w:multiLevelType w:val="hybridMultilevel"/>
    <w:tmpl w:val="B0FC6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771C65"/>
    <w:multiLevelType w:val="hybridMultilevel"/>
    <w:tmpl w:val="4C54C04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FF9503D"/>
    <w:multiLevelType w:val="hybridMultilevel"/>
    <w:tmpl w:val="DAFEDC4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30"/>
  </w:num>
  <w:num w:numId="3">
    <w:abstractNumId w:val="14"/>
  </w:num>
  <w:num w:numId="4">
    <w:abstractNumId w:val="2"/>
  </w:num>
  <w:num w:numId="5">
    <w:abstractNumId w:val="31"/>
  </w:num>
  <w:num w:numId="6">
    <w:abstractNumId w:val="25"/>
  </w:num>
  <w:num w:numId="7">
    <w:abstractNumId w:val="39"/>
  </w:num>
  <w:num w:numId="8">
    <w:abstractNumId w:val="33"/>
  </w:num>
  <w:num w:numId="9">
    <w:abstractNumId w:val="15"/>
  </w:num>
  <w:num w:numId="10">
    <w:abstractNumId w:val="36"/>
  </w:num>
  <w:num w:numId="11">
    <w:abstractNumId w:val="1"/>
  </w:num>
  <w:num w:numId="12">
    <w:abstractNumId w:val="18"/>
  </w:num>
  <w:num w:numId="13">
    <w:abstractNumId w:val="6"/>
  </w:num>
  <w:num w:numId="14">
    <w:abstractNumId w:val="21"/>
  </w:num>
  <w:num w:numId="15">
    <w:abstractNumId w:val="40"/>
  </w:num>
  <w:num w:numId="16">
    <w:abstractNumId w:val="5"/>
  </w:num>
  <w:num w:numId="17">
    <w:abstractNumId w:val="23"/>
  </w:num>
  <w:num w:numId="18">
    <w:abstractNumId w:val="24"/>
  </w:num>
  <w:num w:numId="19">
    <w:abstractNumId w:val="7"/>
  </w:num>
  <w:num w:numId="20">
    <w:abstractNumId w:val="16"/>
  </w:num>
  <w:num w:numId="21">
    <w:abstractNumId w:val="0"/>
  </w:num>
  <w:num w:numId="22">
    <w:abstractNumId w:val="3"/>
  </w:num>
  <w:num w:numId="23">
    <w:abstractNumId w:val="10"/>
  </w:num>
  <w:num w:numId="24">
    <w:abstractNumId w:val="34"/>
  </w:num>
  <w:num w:numId="25">
    <w:abstractNumId w:val="29"/>
  </w:num>
  <w:num w:numId="26">
    <w:abstractNumId w:val="20"/>
  </w:num>
  <w:num w:numId="27">
    <w:abstractNumId w:val="38"/>
  </w:num>
  <w:num w:numId="28">
    <w:abstractNumId w:val="19"/>
  </w:num>
  <w:num w:numId="29">
    <w:abstractNumId w:val="26"/>
  </w:num>
  <w:num w:numId="30">
    <w:abstractNumId w:val="9"/>
  </w:num>
  <w:num w:numId="31">
    <w:abstractNumId w:val="11"/>
  </w:num>
  <w:num w:numId="32">
    <w:abstractNumId w:val="27"/>
  </w:num>
  <w:num w:numId="33">
    <w:abstractNumId w:val="13"/>
  </w:num>
  <w:num w:numId="34">
    <w:abstractNumId w:val="37"/>
  </w:num>
  <w:num w:numId="35">
    <w:abstractNumId w:val="32"/>
  </w:num>
  <w:num w:numId="36">
    <w:abstractNumId w:val="28"/>
  </w:num>
  <w:num w:numId="37">
    <w:abstractNumId w:val="12"/>
  </w:num>
  <w:num w:numId="38">
    <w:abstractNumId w:val="22"/>
  </w:num>
  <w:num w:numId="39">
    <w:abstractNumId w:val="8"/>
  </w:num>
  <w:num w:numId="40">
    <w:abstractNumId w:val="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FF"/>
    <w:rsid w:val="00003E43"/>
    <w:rsid w:val="000046C2"/>
    <w:rsid w:val="00005260"/>
    <w:rsid w:val="00011CE2"/>
    <w:rsid w:val="00013F69"/>
    <w:rsid w:val="00020394"/>
    <w:rsid w:val="00022538"/>
    <w:rsid w:val="00026623"/>
    <w:rsid w:val="0003304B"/>
    <w:rsid w:val="000337EC"/>
    <w:rsid w:val="00036F53"/>
    <w:rsid w:val="00036FA7"/>
    <w:rsid w:val="00044281"/>
    <w:rsid w:val="00052A57"/>
    <w:rsid w:val="00075C19"/>
    <w:rsid w:val="00086531"/>
    <w:rsid w:val="000955E0"/>
    <w:rsid w:val="000967E8"/>
    <w:rsid w:val="00097EBD"/>
    <w:rsid w:val="000A5134"/>
    <w:rsid w:val="000B3E9F"/>
    <w:rsid w:val="000C02A7"/>
    <w:rsid w:val="000C4D88"/>
    <w:rsid w:val="000D31A2"/>
    <w:rsid w:val="000D7106"/>
    <w:rsid w:val="000E354D"/>
    <w:rsid w:val="000E3ECF"/>
    <w:rsid w:val="000E4892"/>
    <w:rsid w:val="000E5A09"/>
    <w:rsid w:val="000F014A"/>
    <w:rsid w:val="000F14CE"/>
    <w:rsid w:val="001009C6"/>
    <w:rsid w:val="00103C88"/>
    <w:rsid w:val="001100C5"/>
    <w:rsid w:val="0011514B"/>
    <w:rsid w:val="00121AF2"/>
    <w:rsid w:val="00122B92"/>
    <w:rsid w:val="00125723"/>
    <w:rsid w:val="00126E3E"/>
    <w:rsid w:val="00127A62"/>
    <w:rsid w:val="0013361A"/>
    <w:rsid w:val="00143A20"/>
    <w:rsid w:val="001457F5"/>
    <w:rsid w:val="001476A2"/>
    <w:rsid w:val="0015521E"/>
    <w:rsid w:val="00161E80"/>
    <w:rsid w:val="00165BFE"/>
    <w:rsid w:val="00177F7C"/>
    <w:rsid w:val="00186CF1"/>
    <w:rsid w:val="00192478"/>
    <w:rsid w:val="00193348"/>
    <w:rsid w:val="001970B8"/>
    <w:rsid w:val="001A5CEC"/>
    <w:rsid w:val="001B29CE"/>
    <w:rsid w:val="001C2FAD"/>
    <w:rsid w:val="001E06B7"/>
    <w:rsid w:val="001E0785"/>
    <w:rsid w:val="001E14E4"/>
    <w:rsid w:val="001E22AD"/>
    <w:rsid w:val="001E5EAB"/>
    <w:rsid w:val="001E6EE9"/>
    <w:rsid w:val="001F075B"/>
    <w:rsid w:val="001F1F20"/>
    <w:rsid w:val="00200316"/>
    <w:rsid w:val="002044E3"/>
    <w:rsid w:val="002055C8"/>
    <w:rsid w:val="00217547"/>
    <w:rsid w:val="00221ECB"/>
    <w:rsid w:val="00223823"/>
    <w:rsid w:val="002266E3"/>
    <w:rsid w:val="002307D9"/>
    <w:rsid w:val="00231C0A"/>
    <w:rsid w:val="00232610"/>
    <w:rsid w:val="0023423D"/>
    <w:rsid w:val="00240C2C"/>
    <w:rsid w:val="00241B57"/>
    <w:rsid w:val="00253077"/>
    <w:rsid w:val="002556B9"/>
    <w:rsid w:val="002558C7"/>
    <w:rsid w:val="002562B4"/>
    <w:rsid w:val="00256E53"/>
    <w:rsid w:val="00257065"/>
    <w:rsid w:val="00257AA1"/>
    <w:rsid w:val="00273A4E"/>
    <w:rsid w:val="00274904"/>
    <w:rsid w:val="002753F4"/>
    <w:rsid w:val="0028035E"/>
    <w:rsid w:val="00281A1A"/>
    <w:rsid w:val="002850F9"/>
    <w:rsid w:val="002854AE"/>
    <w:rsid w:val="0029044C"/>
    <w:rsid w:val="00292276"/>
    <w:rsid w:val="002969BC"/>
    <w:rsid w:val="002A1208"/>
    <w:rsid w:val="002A122C"/>
    <w:rsid w:val="002A37BA"/>
    <w:rsid w:val="002A3E8D"/>
    <w:rsid w:val="002A3F39"/>
    <w:rsid w:val="002A43C5"/>
    <w:rsid w:val="002A5CF5"/>
    <w:rsid w:val="002A6414"/>
    <w:rsid w:val="002A7CD6"/>
    <w:rsid w:val="002B0EC9"/>
    <w:rsid w:val="002B0F8F"/>
    <w:rsid w:val="002B16AE"/>
    <w:rsid w:val="002B76BF"/>
    <w:rsid w:val="002C0A32"/>
    <w:rsid w:val="002C281A"/>
    <w:rsid w:val="002D1D57"/>
    <w:rsid w:val="002D25B2"/>
    <w:rsid w:val="002D34F3"/>
    <w:rsid w:val="002D3FC9"/>
    <w:rsid w:val="002E32DC"/>
    <w:rsid w:val="002E39EA"/>
    <w:rsid w:val="002E5BE9"/>
    <w:rsid w:val="002F0964"/>
    <w:rsid w:val="002F0B91"/>
    <w:rsid w:val="002F4246"/>
    <w:rsid w:val="002F5E6B"/>
    <w:rsid w:val="003144CD"/>
    <w:rsid w:val="00316360"/>
    <w:rsid w:val="00324917"/>
    <w:rsid w:val="00327A0F"/>
    <w:rsid w:val="0033606E"/>
    <w:rsid w:val="00342766"/>
    <w:rsid w:val="003441C4"/>
    <w:rsid w:val="00345ECD"/>
    <w:rsid w:val="00346895"/>
    <w:rsid w:val="00350F43"/>
    <w:rsid w:val="00351E8F"/>
    <w:rsid w:val="00354409"/>
    <w:rsid w:val="00356DF7"/>
    <w:rsid w:val="00357C56"/>
    <w:rsid w:val="00363686"/>
    <w:rsid w:val="00363BBB"/>
    <w:rsid w:val="00364445"/>
    <w:rsid w:val="003648C2"/>
    <w:rsid w:val="00370F35"/>
    <w:rsid w:val="0037371F"/>
    <w:rsid w:val="0037405A"/>
    <w:rsid w:val="00376640"/>
    <w:rsid w:val="00376C1E"/>
    <w:rsid w:val="00382C83"/>
    <w:rsid w:val="00391946"/>
    <w:rsid w:val="003A285B"/>
    <w:rsid w:val="003A5E38"/>
    <w:rsid w:val="003B4046"/>
    <w:rsid w:val="003B67C0"/>
    <w:rsid w:val="003C1AD0"/>
    <w:rsid w:val="003C1E2B"/>
    <w:rsid w:val="003E00EE"/>
    <w:rsid w:val="003E628B"/>
    <w:rsid w:val="003E6D9F"/>
    <w:rsid w:val="003E7380"/>
    <w:rsid w:val="003E7898"/>
    <w:rsid w:val="003E7C67"/>
    <w:rsid w:val="003F0C7C"/>
    <w:rsid w:val="003F272E"/>
    <w:rsid w:val="003F6363"/>
    <w:rsid w:val="00406CA7"/>
    <w:rsid w:val="00407F58"/>
    <w:rsid w:val="0041200E"/>
    <w:rsid w:val="004254AE"/>
    <w:rsid w:val="0042717C"/>
    <w:rsid w:val="0043031B"/>
    <w:rsid w:val="004306B5"/>
    <w:rsid w:val="00432A15"/>
    <w:rsid w:val="004334CA"/>
    <w:rsid w:val="00436828"/>
    <w:rsid w:val="00453C84"/>
    <w:rsid w:val="00456D50"/>
    <w:rsid w:val="00463564"/>
    <w:rsid w:val="004765D7"/>
    <w:rsid w:val="00485140"/>
    <w:rsid w:val="004922EE"/>
    <w:rsid w:val="004A04F4"/>
    <w:rsid w:val="004B12A7"/>
    <w:rsid w:val="004B1A8A"/>
    <w:rsid w:val="004B3784"/>
    <w:rsid w:val="004B3AD7"/>
    <w:rsid w:val="004C7363"/>
    <w:rsid w:val="004D0B54"/>
    <w:rsid w:val="004D1B7D"/>
    <w:rsid w:val="004D6E9B"/>
    <w:rsid w:val="004E3A19"/>
    <w:rsid w:val="004F1925"/>
    <w:rsid w:val="004F2F07"/>
    <w:rsid w:val="004F7DAB"/>
    <w:rsid w:val="00500327"/>
    <w:rsid w:val="005023AA"/>
    <w:rsid w:val="00504976"/>
    <w:rsid w:val="0050797C"/>
    <w:rsid w:val="0052067A"/>
    <w:rsid w:val="0052485C"/>
    <w:rsid w:val="00525E7A"/>
    <w:rsid w:val="005265DC"/>
    <w:rsid w:val="005323D0"/>
    <w:rsid w:val="005334F9"/>
    <w:rsid w:val="00533CCD"/>
    <w:rsid w:val="005403DA"/>
    <w:rsid w:val="005502A1"/>
    <w:rsid w:val="00555DE9"/>
    <w:rsid w:val="00556483"/>
    <w:rsid w:val="00560C04"/>
    <w:rsid w:val="00573369"/>
    <w:rsid w:val="00580027"/>
    <w:rsid w:val="00581968"/>
    <w:rsid w:val="00590EFA"/>
    <w:rsid w:val="00591419"/>
    <w:rsid w:val="00591E25"/>
    <w:rsid w:val="00593352"/>
    <w:rsid w:val="00594F4E"/>
    <w:rsid w:val="005A2810"/>
    <w:rsid w:val="005A2F58"/>
    <w:rsid w:val="005A3786"/>
    <w:rsid w:val="005C5FBB"/>
    <w:rsid w:val="005C7046"/>
    <w:rsid w:val="005D760C"/>
    <w:rsid w:val="005E1225"/>
    <w:rsid w:val="005E6858"/>
    <w:rsid w:val="005E7071"/>
    <w:rsid w:val="005F58B0"/>
    <w:rsid w:val="005F62B3"/>
    <w:rsid w:val="005F694A"/>
    <w:rsid w:val="00605BBC"/>
    <w:rsid w:val="00606766"/>
    <w:rsid w:val="00610630"/>
    <w:rsid w:val="0061589F"/>
    <w:rsid w:val="006165B5"/>
    <w:rsid w:val="00622BE1"/>
    <w:rsid w:val="0062378D"/>
    <w:rsid w:val="00625848"/>
    <w:rsid w:val="00626403"/>
    <w:rsid w:val="0063001C"/>
    <w:rsid w:val="0063179E"/>
    <w:rsid w:val="006409BF"/>
    <w:rsid w:val="00640F5F"/>
    <w:rsid w:val="00644DBE"/>
    <w:rsid w:val="00651FC7"/>
    <w:rsid w:val="00652F78"/>
    <w:rsid w:val="006650F7"/>
    <w:rsid w:val="0067066C"/>
    <w:rsid w:val="00674CB0"/>
    <w:rsid w:val="00681C5A"/>
    <w:rsid w:val="006A0806"/>
    <w:rsid w:val="006A09FA"/>
    <w:rsid w:val="006A22AF"/>
    <w:rsid w:val="006A3A62"/>
    <w:rsid w:val="006A6646"/>
    <w:rsid w:val="006B4375"/>
    <w:rsid w:val="006B44CC"/>
    <w:rsid w:val="006B535E"/>
    <w:rsid w:val="006B53A3"/>
    <w:rsid w:val="006C1096"/>
    <w:rsid w:val="006D42E5"/>
    <w:rsid w:val="006D590C"/>
    <w:rsid w:val="006E1E9B"/>
    <w:rsid w:val="006F1569"/>
    <w:rsid w:val="006F15C3"/>
    <w:rsid w:val="00700C2C"/>
    <w:rsid w:val="00702847"/>
    <w:rsid w:val="00706135"/>
    <w:rsid w:val="00706FD9"/>
    <w:rsid w:val="00711981"/>
    <w:rsid w:val="00721771"/>
    <w:rsid w:val="00726A84"/>
    <w:rsid w:val="00733C9A"/>
    <w:rsid w:val="00735F66"/>
    <w:rsid w:val="00736779"/>
    <w:rsid w:val="00746A39"/>
    <w:rsid w:val="00750ACB"/>
    <w:rsid w:val="0075530B"/>
    <w:rsid w:val="00766996"/>
    <w:rsid w:val="0078060F"/>
    <w:rsid w:val="00780BFD"/>
    <w:rsid w:val="00784A3B"/>
    <w:rsid w:val="0078526A"/>
    <w:rsid w:val="007878E4"/>
    <w:rsid w:val="00791F27"/>
    <w:rsid w:val="00795060"/>
    <w:rsid w:val="00796797"/>
    <w:rsid w:val="007A41A2"/>
    <w:rsid w:val="007B6577"/>
    <w:rsid w:val="007C24D7"/>
    <w:rsid w:val="007C7E95"/>
    <w:rsid w:val="007D427D"/>
    <w:rsid w:val="007E0103"/>
    <w:rsid w:val="007E16A4"/>
    <w:rsid w:val="007E54A2"/>
    <w:rsid w:val="007E5CBE"/>
    <w:rsid w:val="007E66D2"/>
    <w:rsid w:val="007F217D"/>
    <w:rsid w:val="007F27A3"/>
    <w:rsid w:val="007F2E07"/>
    <w:rsid w:val="00800528"/>
    <w:rsid w:val="0080291A"/>
    <w:rsid w:val="008076D7"/>
    <w:rsid w:val="00815C9D"/>
    <w:rsid w:val="00817D81"/>
    <w:rsid w:val="00820831"/>
    <w:rsid w:val="0082267C"/>
    <w:rsid w:val="00830EFC"/>
    <w:rsid w:val="00833727"/>
    <w:rsid w:val="00840698"/>
    <w:rsid w:val="00841055"/>
    <w:rsid w:val="00847B37"/>
    <w:rsid w:val="0085252F"/>
    <w:rsid w:val="008527B4"/>
    <w:rsid w:val="0085436D"/>
    <w:rsid w:val="008561FF"/>
    <w:rsid w:val="008565F9"/>
    <w:rsid w:val="0086372E"/>
    <w:rsid w:val="00864B16"/>
    <w:rsid w:val="00865208"/>
    <w:rsid w:val="00865E7A"/>
    <w:rsid w:val="00873445"/>
    <w:rsid w:val="00873618"/>
    <w:rsid w:val="00874568"/>
    <w:rsid w:val="0089190A"/>
    <w:rsid w:val="00894FA5"/>
    <w:rsid w:val="00896C6C"/>
    <w:rsid w:val="008B089C"/>
    <w:rsid w:val="008B0C68"/>
    <w:rsid w:val="008B49BF"/>
    <w:rsid w:val="008B62E8"/>
    <w:rsid w:val="008C799A"/>
    <w:rsid w:val="008E7FD8"/>
    <w:rsid w:val="008F2A44"/>
    <w:rsid w:val="008F2DBD"/>
    <w:rsid w:val="008F5FE2"/>
    <w:rsid w:val="009023C1"/>
    <w:rsid w:val="00910B1B"/>
    <w:rsid w:val="00911C5F"/>
    <w:rsid w:val="00914EB0"/>
    <w:rsid w:val="00915E0E"/>
    <w:rsid w:val="0091692B"/>
    <w:rsid w:val="0092030A"/>
    <w:rsid w:val="00921327"/>
    <w:rsid w:val="00926FA9"/>
    <w:rsid w:val="00926FD5"/>
    <w:rsid w:val="00927C09"/>
    <w:rsid w:val="009362CD"/>
    <w:rsid w:val="00936313"/>
    <w:rsid w:val="0094381B"/>
    <w:rsid w:val="00945423"/>
    <w:rsid w:val="00950F7B"/>
    <w:rsid w:val="00951179"/>
    <w:rsid w:val="00951F50"/>
    <w:rsid w:val="009527D7"/>
    <w:rsid w:val="00955B4A"/>
    <w:rsid w:val="00966CC0"/>
    <w:rsid w:val="00970CA8"/>
    <w:rsid w:val="00974A2C"/>
    <w:rsid w:val="00982195"/>
    <w:rsid w:val="00983EF6"/>
    <w:rsid w:val="009A1502"/>
    <w:rsid w:val="009A74FA"/>
    <w:rsid w:val="009B3375"/>
    <w:rsid w:val="009B4BAB"/>
    <w:rsid w:val="009B5995"/>
    <w:rsid w:val="009C005C"/>
    <w:rsid w:val="009C5A4B"/>
    <w:rsid w:val="009C7246"/>
    <w:rsid w:val="009D762B"/>
    <w:rsid w:val="009E193F"/>
    <w:rsid w:val="009E2899"/>
    <w:rsid w:val="009E5E46"/>
    <w:rsid w:val="009F2B42"/>
    <w:rsid w:val="009F68F6"/>
    <w:rsid w:val="009F6F6B"/>
    <w:rsid w:val="00A051CE"/>
    <w:rsid w:val="00A07D13"/>
    <w:rsid w:val="00A11D55"/>
    <w:rsid w:val="00A12BC3"/>
    <w:rsid w:val="00A13607"/>
    <w:rsid w:val="00A2117B"/>
    <w:rsid w:val="00A21301"/>
    <w:rsid w:val="00A21512"/>
    <w:rsid w:val="00A24FAA"/>
    <w:rsid w:val="00A254BD"/>
    <w:rsid w:val="00A36C26"/>
    <w:rsid w:val="00A36EF8"/>
    <w:rsid w:val="00A4081C"/>
    <w:rsid w:val="00A42453"/>
    <w:rsid w:val="00A476A2"/>
    <w:rsid w:val="00A47AF5"/>
    <w:rsid w:val="00A53248"/>
    <w:rsid w:val="00A574DB"/>
    <w:rsid w:val="00A60B48"/>
    <w:rsid w:val="00A62B72"/>
    <w:rsid w:val="00A62CB0"/>
    <w:rsid w:val="00A66CC0"/>
    <w:rsid w:val="00A70164"/>
    <w:rsid w:val="00A74F58"/>
    <w:rsid w:val="00A85970"/>
    <w:rsid w:val="00A91425"/>
    <w:rsid w:val="00A97B58"/>
    <w:rsid w:val="00AA030D"/>
    <w:rsid w:val="00AA17A3"/>
    <w:rsid w:val="00AA3873"/>
    <w:rsid w:val="00AA4F2E"/>
    <w:rsid w:val="00AB7FC5"/>
    <w:rsid w:val="00AC2FF5"/>
    <w:rsid w:val="00AC40F9"/>
    <w:rsid w:val="00AD03AF"/>
    <w:rsid w:val="00AD57AD"/>
    <w:rsid w:val="00AD7A1C"/>
    <w:rsid w:val="00AD7A67"/>
    <w:rsid w:val="00AE69C5"/>
    <w:rsid w:val="00AE6E06"/>
    <w:rsid w:val="00AF09F0"/>
    <w:rsid w:val="00AF1111"/>
    <w:rsid w:val="00AF3535"/>
    <w:rsid w:val="00AF4260"/>
    <w:rsid w:val="00AF4BCD"/>
    <w:rsid w:val="00AF5E7E"/>
    <w:rsid w:val="00B064D5"/>
    <w:rsid w:val="00B06A84"/>
    <w:rsid w:val="00B11AB2"/>
    <w:rsid w:val="00B12B0B"/>
    <w:rsid w:val="00B2094F"/>
    <w:rsid w:val="00B34BAA"/>
    <w:rsid w:val="00B3584A"/>
    <w:rsid w:val="00B36BD3"/>
    <w:rsid w:val="00B3740F"/>
    <w:rsid w:val="00B43F45"/>
    <w:rsid w:val="00B51DCB"/>
    <w:rsid w:val="00B51E91"/>
    <w:rsid w:val="00B5308E"/>
    <w:rsid w:val="00B5700C"/>
    <w:rsid w:val="00B57A98"/>
    <w:rsid w:val="00B76BDD"/>
    <w:rsid w:val="00B838FF"/>
    <w:rsid w:val="00B92DAC"/>
    <w:rsid w:val="00B9379E"/>
    <w:rsid w:val="00B9646B"/>
    <w:rsid w:val="00B97EF2"/>
    <w:rsid w:val="00BA1E45"/>
    <w:rsid w:val="00BA3782"/>
    <w:rsid w:val="00BA3AB1"/>
    <w:rsid w:val="00BA5A78"/>
    <w:rsid w:val="00BA5E57"/>
    <w:rsid w:val="00BA75C4"/>
    <w:rsid w:val="00BB1E30"/>
    <w:rsid w:val="00BB2123"/>
    <w:rsid w:val="00BB2DDF"/>
    <w:rsid w:val="00BB6311"/>
    <w:rsid w:val="00BC72CB"/>
    <w:rsid w:val="00BD2895"/>
    <w:rsid w:val="00BF0206"/>
    <w:rsid w:val="00BF71C7"/>
    <w:rsid w:val="00C00184"/>
    <w:rsid w:val="00C04952"/>
    <w:rsid w:val="00C07A05"/>
    <w:rsid w:val="00C13B06"/>
    <w:rsid w:val="00C26FD6"/>
    <w:rsid w:val="00C35D3F"/>
    <w:rsid w:val="00C3647A"/>
    <w:rsid w:val="00C36B02"/>
    <w:rsid w:val="00C45A4B"/>
    <w:rsid w:val="00C5672F"/>
    <w:rsid w:val="00C57462"/>
    <w:rsid w:val="00C66B5D"/>
    <w:rsid w:val="00C73796"/>
    <w:rsid w:val="00C83FBE"/>
    <w:rsid w:val="00C84C85"/>
    <w:rsid w:val="00C9112A"/>
    <w:rsid w:val="00C920C4"/>
    <w:rsid w:val="00C930F6"/>
    <w:rsid w:val="00C95558"/>
    <w:rsid w:val="00CA426B"/>
    <w:rsid w:val="00CA4A4B"/>
    <w:rsid w:val="00CA6B84"/>
    <w:rsid w:val="00CB2076"/>
    <w:rsid w:val="00CB3691"/>
    <w:rsid w:val="00CC2704"/>
    <w:rsid w:val="00CC41C4"/>
    <w:rsid w:val="00CD1B3B"/>
    <w:rsid w:val="00CD202E"/>
    <w:rsid w:val="00CD430A"/>
    <w:rsid w:val="00CD46BC"/>
    <w:rsid w:val="00CD5888"/>
    <w:rsid w:val="00CE26EC"/>
    <w:rsid w:val="00CE56F6"/>
    <w:rsid w:val="00CE7B53"/>
    <w:rsid w:val="00CF0281"/>
    <w:rsid w:val="00CF2246"/>
    <w:rsid w:val="00CF4D5C"/>
    <w:rsid w:val="00CF4DB7"/>
    <w:rsid w:val="00CF53D8"/>
    <w:rsid w:val="00D01CEF"/>
    <w:rsid w:val="00D100FD"/>
    <w:rsid w:val="00D13F09"/>
    <w:rsid w:val="00D216FA"/>
    <w:rsid w:val="00D21D8B"/>
    <w:rsid w:val="00D22407"/>
    <w:rsid w:val="00D2390A"/>
    <w:rsid w:val="00D27B94"/>
    <w:rsid w:val="00D31238"/>
    <w:rsid w:val="00D433A3"/>
    <w:rsid w:val="00D461E6"/>
    <w:rsid w:val="00D50ABE"/>
    <w:rsid w:val="00D550CF"/>
    <w:rsid w:val="00D631CF"/>
    <w:rsid w:val="00D64E9F"/>
    <w:rsid w:val="00D73A3B"/>
    <w:rsid w:val="00D7442E"/>
    <w:rsid w:val="00D75D91"/>
    <w:rsid w:val="00D810A9"/>
    <w:rsid w:val="00D816D7"/>
    <w:rsid w:val="00D81A36"/>
    <w:rsid w:val="00D834C1"/>
    <w:rsid w:val="00D8401D"/>
    <w:rsid w:val="00D8548F"/>
    <w:rsid w:val="00D8678D"/>
    <w:rsid w:val="00D9017D"/>
    <w:rsid w:val="00DA155F"/>
    <w:rsid w:val="00DA3373"/>
    <w:rsid w:val="00DA7F11"/>
    <w:rsid w:val="00DB367B"/>
    <w:rsid w:val="00DC0FFC"/>
    <w:rsid w:val="00DC669C"/>
    <w:rsid w:val="00DC7202"/>
    <w:rsid w:val="00DD17D2"/>
    <w:rsid w:val="00DD7F25"/>
    <w:rsid w:val="00DE2FDD"/>
    <w:rsid w:val="00DE36A7"/>
    <w:rsid w:val="00E06D83"/>
    <w:rsid w:val="00E10D48"/>
    <w:rsid w:val="00E11BE3"/>
    <w:rsid w:val="00E13BF1"/>
    <w:rsid w:val="00E16BAF"/>
    <w:rsid w:val="00E200BF"/>
    <w:rsid w:val="00E208EF"/>
    <w:rsid w:val="00E2655F"/>
    <w:rsid w:val="00E306B7"/>
    <w:rsid w:val="00E35462"/>
    <w:rsid w:val="00E42305"/>
    <w:rsid w:val="00E4430B"/>
    <w:rsid w:val="00E45F2D"/>
    <w:rsid w:val="00E467F6"/>
    <w:rsid w:val="00E46C94"/>
    <w:rsid w:val="00E47B3C"/>
    <w:rsid w:val="00E5599C"/>
    <w:rsid w:val="00E56042"/>
    <w:rsid w:val="00E63AC5"/>
    <w:rsid w:val="00E7086B"/>
    <w:rsid w:val="00E73F6D"/>
    <w:rsid w:val="00E740C1"/>
    <w:rsid w:val="00E80F3B"/>
    <w:rsid w:val="00E846E6"/>
    <w:rsid w:val="00E84DCA"/>
    <w:rsid w:val="00EA66D1"/>
    <w:rsid w:val="00EB35E0"/>
    <w:rsid w:val="00EC6E27"/>
    <w:rsid w:val="00EE352D"/>
    <w:rsid w:val="00EE6E8E"/>
    <w:rsid w:val="00EF30BD"/>
    <w:rsid w:val="00EF4880"/>
    <w:rsid w:val="00EF4ABE"/>
    <w:rsid w:val="00F130AD"/>
    <w:rsid w:val="00F16777"/>
    <w:rsid w:val="00F25A84"/>
    <w:rsid w:val="00F32540"/>
    <w:rsid w:val="00F35996"/>
    <w:rsid w:val="00F42230"/>
    <w:rsid w:val="00F45BFF"/>
    <w:rsid w:val="00F468FE"/>
    <w:rsid w:val="00F526F1"/>
    <w:rsid w:val="00F5396F"/>
    <w:rsid w:val="00F6129C"/>
    <w:rsid w:val="00F70AE1"/>
    <w:rsid w:val="00F70EAB"/>
    <w:rsid w:val="00F74BDB"/>
    <w:rsid w:val="00F770F9"/>
    <w:rsid w:val="00F81BF5"/>
    <w:rsid w:val="00F831C6"/>
    <w:rsid w:val="00F8423B"/>
    <w:rsid w:val="00F8441D"/>
    <w:rsid w:val="00F91E29"/>
    <w:rsid w:val="00F92E5E"/>
    <w:rsid w:val="00F9376E"/>
    <w:rsid w:val="00F96573"/>
    <w:rsid w:val="00FA5D15"/>
    <w:rsid w:val="00FB36AB"/>
    <w:rsid w:val="00FB50E9"/>
    <w:rsid w:val="00FB5AD5"/>
    <w:rsid w:val="00FB5E23"/>
    <w:rsid w:val="00FB6EE0"/>
    <w:rsid w:val="00FC1144"/>
    <w:rsid w:val="00FC4B75"/>
    <w:rsid w:val="00FC5170"/>
    <w:rsid w:val="00FC59FC"/>
    <w:rsid w:val="00FD3B30"/>
    <w:rsid w:val="00FE0B46"/>
    <w:rsid w:val="00FE50F8"/>
    <w:rsid w:val="00FF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831"/>
    <w:rPr>
      <w:sz w:val="24"/>
      <w:szCs w:val="24"/>
    </w:rPr>
  </w:style>
  <w:style w:type="paragraph" w:styleId="Heading1">
    <w:name w:val="heading 1"/>
    <w:basedOn w:val="Normal"/>
    <w:next w:val="Normal"/>
    <w:link w:val="Heading1Char"/>
    <w:qFormat/>
    <w:rsid w:val="002C0A3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B51DC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1E06B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38FF"/>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locked/>
    <w:rsid w:val="00B838FF"/>
    <w:rPr>
      <w:rFonts w:ascii="Cambria" w:hAnsi="Cambria" w:cs="Cambria"/>
      <w:color w:val="000000"/>
      <w:sz w:val="24"/>
      <w:szCs w:val="24"/>
      <w:u w:color="000000"/>
      <w:lang w:val="en-US" w:eastAsia="es-ES" w:bidi="ar-SA"/>
    </w:rPr>
  </w:style>
  <w:style w:type="paragraph" w:styleId="Header">
    <w:name w:val="header"/>
    <w:aliases w:val="encabezado"/>
    <w:basedOn w:val="Normal"/>
    <w:link w:val="HeaderChar"/>
    <w:rsid w:val="00B838FF"/>
    <w:pPr>
      <w:widowControl w:val="0"/>
      <w:tabs>
        <w:tab w:val="center" w:pos="4320"/>
        <w:tab w:val="right" w:pos="8640"/>
      </w:tabs>
      <w:snapToGrid w:val="0"/>
    </w:pPr>
    <w:rPr>
      <w:rFonts w:ascii="Univers" w:eastAsia="Arial Unicode MS" w:hAnsi="Univers" w:cs="Univers"/>
    </w:rPr>
  </w:style>
  <w:style w:type="character" w:customStyle="1" w:styleId="HeaderChar">
    <w:name w:val="Header Char"/>
    <w:aliases w:val="encabezado Char"/>
    <w:link w:val="Header"/>
    <w:locked/>
    <w:rsid w:val="00B838FF"/>
    <w:rPr>
      <w:rFonts w:ascii="Univers" w:eastAsia="Arial Unicode MS" w:hAnsi="Univers" w:cs="Univers"/>
      <w:sz w:val="24"/>
      <w:szCs w:val="24"/>
      <w:lang w:val="en-US" w:eastAsia="en-US" w:bidi="ar-SA"/>
    </w:rPr>
  </w:style>
  <w:style w:type="character" w:styleId="PageNumber">
    <w:name w:val="page number"/>
    <w:rsid w:val="00B838FF"/>
    <w:rPr>
      <w:rFonts w:cs="Times New Roman"/>
    </w:rPr>
  </w:style>
  <w:style w:type="paragraph" w:customStyle="1" w:styleId="ecxmsonormal">
    <w:name w:val="ecxmsonormal"/>
    <w:basedOn w:val="Normal"/>
    <w:rsid w:val="00B838FF"/>
    <w:rPr>
      <w:lang w:val="es-ES" w:eastAsia="es-ES"/>
    </w:rPr>
  </w:style>
  <w:style w:type="paragraph" w:styleId="NormalWeb">
    <w:name w:val="Normal (Web)"/>
    <w:basedOn w:val="Normal"/>
    <w:rsid w:val="00B838FF"/>
    <w:pPr>
      <w:spacing w:before="100" w:beforeAutospacing="1" w:after="100" w:afterAutospacing="1"/>
    </w:pPr>
    <w:rPr>
      <w:lang w:val="es-ES" w:eastAsia="es-ES"/>
    </w:rPr>
  </w:style>
  <w:style w:type="paragraph" w:styleId="ListParagraph">
    <w:name w:val="List Paragraph"/>
    <w:basedOn w:val="Normal"/>
    <w:uiPriority w:val="34"/>
    <w:qFormat/>
    <w:rsid w:val="00706FD9"/>
    <w:pPr>
      <w:ind w:left="720"/>
    </w:pPr>
  </w:style>
  <w:style w:type="paragraph" w:styleId="FootnoteText">
    <w:name w:val="footnote text"/>
    <w:basedOn w:val="Normal"/>
    <w:link w:val="FootnoteTextChar"/>
    <w:rsid w:val="00820831"/>
    <w:rPr>
      <w:sz w:val="20"/>
      <w:szCs w:val="20"/>
    </w:rPr>
  </w:style>
  <w:style w:type="character" w:customStyle="1" w:styleId="FootnoteTextChar">
    <w:name w:val="Footnote Text Char"/>
    <w:basedOn w:val="DefaultParagraphFont"/>
    <w:link w:val="FootnoteText"/>
    <w:rsid w:val="00820831"/>
  </w:style>
  <w:style w:type="character" w:customStyle="1" w:styleId="Heading1Char">
    <w:name w:val="Heading 1 Char"/>
    <w:link w:val="Heading1"/>
    <w:rsid w:val="002C0A32"/>
    <w:rPr>
      <w:rFonts w:ascii="Cambria" w:eastAsia="Times New Roman" w:hAnsi="Cambria" w:cs="Times New Roman"/>
      <w:b/>
      <w:bCs/>
      <w:kern w:val="32"/>
      <w:sz w:val="32"/>
      <w:szCs w:val="32"/>
    </w:rPr>
  </w:style>
  <w:style w:type="character" w:customStyle="1" w:styleId="Heading2Char">
    <w:name w:val="Heading 2 Char"/>
    <w:link w:val="Heading2"/>
    <w:rsid w:val="00B51DCB"/>
    <w:rPr>
      <w:rFonts w:ascii="Cambria" w:eastAsia="Times New Roman" w:hAnsi="Cambria" w:cs="Times New Roman"/>
      <w:b/>
      <w:bCs/>
      <w:i/>
      <w:iCs/>
      <w:sz w:val="28"/>
      <w:szCs w:val="28"/>
    </w:rPr>
  </w:style>
  <w:style w:type="character" w:customStyle="1" w:styleId="Heading3Char">
    <w:name w:val="Heading 3 Char"/>
    <w:link w:val="Heading3"/>
    <w:rsid w:val="001E06B7"/>
    <w:rPr>
      <w:rFonts w:ascii="Cambria" w:eastAsia="Times New Roman" w:hAnsi="Cambria" w:cs="Times New Roman"/>
      <w:b/>
      <w:bCs/>
      <w:sz w:val="26"/>
      <w:szCs w:val="26"/>
    </w:rPr>
  </w:style>
  <w:style w:type="paragraph" w:styleId="BalloonText">
    <w:name w:val="Balloon Text"/>
    <w:basedOn w:val="Normal"/>
    <w:link w:val="BalloonTextChar"/>
    <w:rsid w:val="00A12BC3"/>
    <w:rPr>
      <w:rFonts w:ascii="Tahoma" w:hAnsi="Tahoma" w:cs="Tahoma"/>
      <w:sz w:val="16"/>
      <w:szCs w:val="16"/>
    </w:rPr>
  </w:style>
  <w:style w:type="character" w:customStyle="1" w:styleId="BalloonTextChar">
    <w:name w:val="Balloon Text Char"/>
    <w:link w:val="BalloonText"/>
    <w:rsid w:val="00A12BC3"/>
    <w:rPr>
      <w:rFonts w:ascii="Tahoma" w:hAnsi="Tahoma" w:cs="Tahoma"/>
      <w:sz w:val="16"/>
      <w:szCs w:val="16"/>
    </w:rPr>
  </w:style>
  <w:style w:type="character" w:styleId="FootnoteReference">
    <w:name w:val="footnote reference"/>
    <w:uiPriority w:val="99"/>
    <w:rsid w:val="009527D7"/>
    <w:rPr>
      <w:vertAlign w:val="superscript"/>
    </w:rPr>
  </w:style>
  <w:style w:type="character" w:styleId="Strong">
    <w:name w:val="Strong"/>
    <w:basedOn w:val="DefaultParagraphFont"/>
    <w:uiPriority w:val="22"/>
    <w:qFormat/>
    <w:rsid w:val="00AA03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831"/>
    <w:rPr>
      <w:sz w:val="24"/>
      <w:szCs w:val="24"/>
    </w:rPr>
  </w:style>
  <w:style w:type="paragraph" w:styleId="Heading1">
    <w:name w:val="heading 1"/>
    <w:basedOn w:val="Normal"/>
    <w:next w:val="Normal"/>
    <w:link w:val="Heading1Char"/>
    <w:qFormat/>
    <w:rsid w:val="002C0A3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B51DC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1E06B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38FF"/>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locked/>
    <w:rsid w:val="00B838FF"/>
    <w:rPr>
      <w:rFonts w:ascii="Cambria" w:hAnsi="Cambria" w:cs="Cambria"/>
      <w:color w:val="000000"/>
      <w:sz w:val="24"/>
      <w:szCs w:val="24"/>
      <w:u w:color="000000"/>
      <w:lang w:val="en-US" w:eastAsia="es-ES" w:bidi="ar-SA"/>
    </w:rPr>
  </w:style>
  <w:style w:type="paragraph" w:styleId="Header">
    <w:name w:val="header"/>
    <w:aliases w:val="encabezado"/>
    <w:basedOn w:val="Normal"/>
    <w:link w:val="HeaderChar"/>
    <w:rsid w:val="00B838FF"/>
    <w:pPr>
      <w:widowControl w:val="0"/>
      <w:tabs>
        <w:tab w:val="center" w:pos="4320"/>
        <w:tab w:val="right" w:pos="8640"/>
      </w:tabs>
      <w:snapToGrid w:val="0"/>
    </w:pPr>
    <w:rPr>
      <w:rFonts w:ascii="Univers" w:eastAsia="Arial Unicode MS" w:hAnsi="Univers" w:cs="Univers"/>
    </w:rPr>
  </w:style>
  <w:style w:type="character" w:customStyle="1" w:styleId="HeaderChar">
    <w:name w:val="Header Char"/>
    <w:aliases w:val="encabezado Char"/>
    <w:link w:val="Header"/>
    <w:locked/>
    <w:rsid w:val="00B838FF"/>
    <w:rPr>
      <w:rFonts w:ascii="Univers" w:eastAsia="Arial Unicode MS" w:hAnsi="Univers" w:cs="Univers"/>
      <w:sz w:val="24"/>
      <w:szCs w:val="24"/>
      <w:lang w:val="en-US" w:eastAsia="en-US" w:bidi="ar-SA"/>
    </w:rPr>
  </w:style>
  <w:style w:type="character" w:styleId="PageNumber">
    <w:name w:val="page number"/>
    <w:rsid w:val="00B838FF"/>
    <w:rPr>
      <w:rFonts w:cs="Times New Roman"/>
    </w:rPr>
  </w:style>
  <w:style w:type="paragraph" w:customStyle="1" w:styleId="ecxmsonormal">
    <w:name w:val="ecxmsonormal"/>
    <w:basedOn w:val="Normal"/>
    <w:rsid w:val="00B838FF"/>
    <w:rPr>
      <w:lang w:val="es-ES" w:eastAsia="es-ES"/>
    </w:rPr>
  </w:style>
  <w:style w:type="paragraph" w:styleId="NormalWeb">
    <w:name w:val="Normal (Web)"/>
    <w:basedOn w:val="Normal"/>
    <w:rsid w:val="00B838FF"/>
    <w:pPr>
      <w:spacing w:before="100" w:beforeAutospacing="1" w:after="100" w:afterAutospacing="1"/>
    </w:pPr>
    <w:rPr>
      <w:lang w:val="es-ES" w:eastAsia="es-ES"/>
    </w:rPr>
  </w:style>
  <w:style w:type="paragraph" w:styleId="ListParagraph">
    <w:name w:val="List Paragraph"/>
    <w:basedOn w:val="Normal"/>
    <w:uiPriority w:val="34"/>
    <w:qFormat/>
    <w:rsid w:val="00706FD9"/>
    <w:pPr>
      <w:ind w:left="720"/>
    </w:pPr>
  </w:style>
  <w:style w:type="paragraph" w:styleId="FootnoteText">
    <w:name w:val="footnote text"/>
    <w:basedOn w:val="Normal"/>
    <w:link w:val="FootnoteTextChar"/>
    <w:rsid w:val="00820831"/>
    <w:rPr>
      <w:sz w:val="20"/>
      <w:szCs w:val="20"/>
    </w:rPr>
  </w:style>
  <w:style w:type="character" w:customStyle="1" w:styleId="FootnoteTextChar">
    <w:name w:val="Footnote Text Char"/>
    <w:basedOn w:val="DefaultParagraphFont"/>
    <w:link w:val="FootnoteText"/>
    <w:rsid w:val="00820831"/>
  </w:style>
  <w:style w:type="character" w:customStyle="1" w:styleId="Heading1Char">
    <w:name w:val="Heading 1 Char"/>
    <w:link w:val="Heading1"/>
    <w:rsid w:val="002C0A32"/>
    <w:rPr>
      <w:rFonts w:ascii="Cambria" w:eastAsia="Times New Roman" w:hAnsi="Cambria" w:cs="Times New Roman"/>
      <w:b/>
      <w:bCs/>
      <w:kern w:val="32"/>
      <w:sz w:val="32"/>
      <w:szCs w:val="32"/>
    </w:rPr>
  </w:style>
  <w:style w:type="character" w:customStyle="1" w:styleId="Heading2Char">
    <w:name w:val="Heading 2 Char"/>
    <w:link w:val="Heading2"/>
    <w:rsid w:val="00B51DCB"/>
    <w:rPr>
      <w:rFonts w:ascii="Cambria" w:eastAsia="Times New Roman" w:hAnsi="Cambria" w:cs="Times New Roman"/>
      <w:b/>
      <w:bCs/>
      <w:i/>
      <w:iCs/>
      <w:sz w:val="28"/>
      <w:szCs w:val="28"/>
    </w:rPr>
  </w:style>
  <w:style w:type="character" w:customStyle="1" w:styleId="Heading3Char">
    <w:name w:val="Heading 3 Char"/>
    <w:link w:val="Heading3"/>
    <w:rsid w:val="001E06B7"/>
    <w:rPr>
      <w:rFonts w:ascii="Cambria" w:eastAsia="Times New Roman" w:hAnsi="Cambria" w:cs="Times New Roman"/>
      <w:b/>
      <w:bCs/>
      <w:sz w:val="26"/>
      <w:szCs w:val="26"/>
    </w:rPr>
  </w:style>
  <w:style w:type="paragraph" w:styleId="BalloonText">
    <w:name w:val="Balloon Text"/>
    <w:basedOn w:val="Normal"/>
    <w:link w:val="BalloonTextChar"/>
    <w:rsid w:val="00A12BC3"/>
    <w:rPr>
      <w:rFonts w:ascii="Tahoma" w:hAnsi="Tahoma" w:cs="Tahoma"/>
      <w:sz w:val="16"/>
      <w:szCs w:val="16"/>
    </w:rPr>
  </w:style>
  <w:style w:type="character" w:customStyle="1" w:styleId="BalloonTextChar">
    <w:name w:val="Balloon Text Char"/>
    <w:link w:val="BalloonText"/>
    <w:rsid w:val="00A12BC3"/>
    <w:rPr>
      <w:rFonts w:ascii="Tahoma" w:hAnsi="Tahoma" w:cs="Tahoma"/>
      <w:sz w:val="16"/>
      <w:szCs w:val="16"/>
    </w:rPr>
  </w:style>
  <w:style w:type="character" w:styleId="FootnoteReference">
    <w:name w:val="footnote reference"/>
    <w:uiPriority w:val="99"/>
    <w:rsid w:val="009527D7"/>
    <w:rPr>
      <w:vertAlign w:val="superscript"/>
    </w:rPr>
  </w:style>
  <w:style w:type="character" w:styleId="Strong">
    <w:name w:val="Strong"/>
    <w:basedOn w:val="DefaultParagraphFont"/>
    <w:uiPriority w:val="22"/>
    <w:qFormat/>
    <w:rsid w:val="00AA0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3C4E-FE88-4D58-AFEF-B64D6970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5155</Words>
  <Characters>27482</Characters>
  <Application>Microsoft Office Word</Application>
  <DocSecurity>0</DocSecurity>
  <Lines>443</Lines>
  <Paragraphs>84</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32553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Leon</dc:creator>
  <cp:lastModifiedBy>%OAS%</cp:lastModifiedBy>
  <cp:revision>3</cp:revision>
  <cp:lastPrinted>2015-09-28T20:25:00Z</cp:lastPrinted>
  <dcterms:created xsi:type="dcterms:W3CDTF">2015-10-14T13:03:00Z</dcterms:created>
  <dcterms:modified xsi:type="dcterms:W3CDTF">2015-11-11T13:54:00Z</dcterms:modified>
</cp:coreProperties>
</file>