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08956" w14:textId="77777777" w:rsidR="00D70EA9" w:rsidRPr="008310EB" w:rsidRDefault="00B4501B" w:rsidP="00CC6F23">
      <w:pPr>
        <w:spacing w:after="0" w:line="240" w:lineRule="auto"/>
        <w:jc w:val="center"/>
        <w:rPr>
          <w:rFonts w:ascii="Cambria" w:hAnsi="Cambria" w:cs="Calibri"/>
          <w:b/>
          <w:bCs/>
          <w:sz w:val="20"/>
          <w:szCs w:val="20"/>
          <w:lang w:val="es-ES"/>
        </w:rPr>
      </w:pPr>
      <w:r w:rsidRPr="008310EB">
        <w:rPr>
          <w:rFonts w:ascii="Cambria" w:hAnsi="Cambria"/>
          <w:b/>
          <w:sz w:val="20"/>
          <w:lang w:val="es-ES"/>
        </w:rPr>
        <w:t>FICHA DE SEGUIMIENTO DEL INFORME</w:t>
      </w:r>
      <w:r w:rsidR="000E24C6" w:rsidRPr="008310EB">
        <w:rPr>
          <w:rFonts w:ascii="Cambria" w:hAnsi="Cambria"/>
          <w:b/>
          <w:bCs/>
          <w:sz w:val="20"/>
          <w:szCs w:val="20"/>
          <w:lang w:val="es-ES"/>
        </w:rPr>
        <w:t xml:space="preserve"> </w:t>
      </w:r>
      <w:r w:rsidRPr="008310EB">
        <w:rPr>
          <w:rFonts w:ascii="Cambria" w:hAnsi="Cambria"/>
          <w:b/>
          <w:sz w:val="20"/>
          <w:lang w:val="es-ES"/>
        </w:rPr>
        <w:t>Nº</w:t>
      </w:r>
      <w:r w:rsidR="005E04D6" w:rsidRPr="008310EB">
        <w:rPr>
          <w:rFonts w:ascii="Cambria" w:hAnsi="Cambria"/>
          <w:b/>
          <w:sz w:val="20"/>
          <w:szCs w:val="20"/>
          <w:lang w:val="es-ES"/>
        </w:rPr>
        <w:t xml:space="preserve"> </w:t>
      </w:r>
      <w:r w:rsidR="00B351BE" w:rsidRPr="008310EB">
        <w:rPr>
          <w:rFonts w:ascii="Cambria" w:hAnsi="Cambria" w:cs="Calibri"/>
          <w:b/>
          <w:bCs/>
          <w:sz w:val="20"/>
          <w:szCs w:val="20"/>
          <w:lang w:val="es-ES"/>
        </w:rPr>
        <w:t>62/02</w:t>
      </w:r>
    </w:p>
    <w:p w14:paraId="18018FF2" w14:textId="77777777" w:rsidR="00D70EA9" w:rsidRPr="008310EB" w:rsidRDefault="00B4501B" w:rsidP="00C063BF">
      <w:pPr>
        <w:spacing w:after="0" w:line="240" w:lineRule="auto"/>
        <w:jc w:val="center"/>
        <w:rPr>
          <w:rFonts w:ascii="Cambria" w:hAnsi="Cambria"/>
          <w:b/>
          <w:sz w:val="20"/>
          <w:szCs w:val="20"/>
          <w:lang w:val="es-ES"/>
        </w:rPr>
      </w:pPr>
      <w:r w:rsidRPr="008310EB">
        <w:rPr>
          <w:rFonts w:ascii="Cambria" w:hAnsi="Cambria"/>
          <w:b/>
          <w:sz w:val="20"/>
          <w:szCs w:val="20"/>
          <w:lang w:val="es-ES"/>
        </w:rPr>
        <w:t>CASO</w:t>
      </w:r>
      <w:r w:rsidR="004A352F" w:rsidRPr="008310EB">
        <w:rPr>
          <w:rFonts w:ascii="Cambria" w:hAnsi="Cambria"/>
          <w:b/>
          <w:sz w:val="20"/>
          <w:szCs w:val="20"/>
          <w:lang w:val="es-ES"/>
        </w:rPr>
        <w:t xml:space="preserve"> 12</w:t>
      </w:r>
      <w:r w:rsidR="005E04D6" w:rsidRPr="008310EB">
        <w:rPr>
          <w:rFonts w:ascii="Cambria" w:hAnsi="Cambria"/>
          <w:b/>
          <w:sz w:val="20"/>
          <w:szCs w:val="20"/>
          <w:lang w:val="es-ES"/>
        </w:rPr>
        <w:t>.</w:t>
      </w:r>
      <w:r w:rsidR="00B351BE" w:rsidRPr="008310EB">
        <w:rPr>
          <w:rFonts w:ascii="Cambria" w:hAnsi="Cambria"/>
          <w:b/>
          <w:sz w:val="20"/>
          <w:szCs w:val="20"/>
          <w:lang w:val="es-ES"/>
        </w:rPr>
        <w:t>285</w:t>
      </w:r>
    </w:p>
    <w:p w14:paraId="0EFBF961" w14:textId="77777777" w:rsidR="00D70EA9" w:rsidRPr="008310EB" w:rsidRDefault="00B351BE" w:rsidP="00C063BF">
      <w:pPr>
        <w:spacing w:after="0" w:line="240" w:lineRule="auto"/>
        <w:jc w:val="center"/>
        <w:rPr>
          <w:rFonts w:ascii="Cambria" w:hAnsi="Cambria"/>
          <w:b/>
          <w:sz w:val="20"/>
          <w:szCs w:val="20"/>
          <w:lang w:val="es-ES"/>
        </w:rPr>
      </w:pPr>
      <w:r w:rsidRPr="008310EB">
        <w:rPr>
          <w:rFonts w:ascii="Cambria" w:hAnsi="Cambria"/>
          <w:b/>
          <w:sz w:val="20"/>
          <w:szCs w:val="20"/>
          <w:lang w:val="es-ES"/>
        </w:rPr>
        <w:t>MICHAEL DOMINGUES</w:t>
      </w:r>
    </w:p>
    <w:p w14:paraId="739AB622" w14:textId="77777777" w:rsidR="00D70EA9" w:rsidRPr="008310EB" w:rsidRDefault="00D70EA9" w:rsidP="00C063BF">
      <w:pPr>
        <w:spacing w:after="0" w:line="240" w:lineRule="auto"/>
        <w:jc w:val="center"/>
        <w:rPr>
          <w:rFonts w:ascii="Cambria" w:hAnsi="Cambria"/>
          <w:b/>
          <w:sz w:val="20"/>
          <w:szCs w:val="20"/>
          <w:lang w:val="es-ES"/>
        </w:rPr>
      </w:pPr>
      <w:r w:rsidRPr="008310EB">
        <w:rPr>
          <w:rFonts w:ascii="Cambria" w:hAnsi="Cambria"/>
          <w:b/>
          <w:sz w:val="20"/>
          <w:szCs w:val="20"/>
          <w:lang w:val="es-ES"/>
        </w:rPr>
        <w:t>(</w:t>
      </w:r>
      <w:r w:rsidR="003E3B30" w:rsidRPr="008310EB">
        <w:rPr>
          <w:rFonts w:ascii="Cambria" w:hAnsi="Cambria"/>
          <w:b/>
          <w:sz w:val="20"/>
          <w:szCs w:val="20"/>
          <w:lang w:val="es-ES"/>
        </w:rPr>
        <w:t>Estados Unidos</w:t>
      </w:r>
      <w:r w:rsidRPr="008310EB">
        <w:rPr>
          <w:rFonts w:ascii="Cambria" w:hAnsi="Cambria"/>
          <w:b/>
          <w:sz w:val="20"/>
          <w:szCs w:val="20"/>
          <w:lang w:val="es-ES"/>
        </w:rPr>
        <w:t>)</w:t>
      </w:r>
    </w:p>
    <w:p w14:paraId="114A2386" w14:textId="77777777" w:rsidR="000E24C6" w:rsidRPr="008310EB" w:rsidRDefault="000E24C6" w:rsidP="000E24C6">
      <w:pPr>
        <w:spacing w:after="0" w:line="240" w:lineRule="auto"/>
        <w:ind w:left="1440"/>
        <w:rPr>
          <w:rFonts w:ascii="Cambria" w:hAnsi="Cambria" w:cs="Calibri Light"/>
          <w:sz w:val="20"/>
          <w:szCs w:val="20"/>
          <w:lang w:val="es-ES"/>
        </w:rPr>
      </w:pPr>
    </w:p>
    <w:p w14:paraId="6441982E" w14:textId="77777777" w:rsidR="00D70EA9" w:rsidRPr="008310EB" w:rsidRDefault="00B4501B" w:rsidP="00BD2642">
      <w:pPr>
        <w:numPr>
          <w:ilvl w:val="0"/>
          <w:numId w:val="1"/>
        </w:numPr>
        <w:spacing w:after="0" w:line="240" w:lineRule="auto"/>
        <w:ind w:left="1440"/>
        <w:rPr>
          <w:rFonts w:ascii="Cambria" w:hAnsi="Cambria" w:cs="Calibri Light"/>
          <w:b/>
          <w:sz w:val="20"/>
          <w:szCs w:val="20"/>
          <w:lang w:val="es-ES"/>
        </w:rPr>
      </w:pPr>
      <w:r w:rsidRPr="008310EB">
        <w:rPr>
          <w:rFonts w:ascii="Cambria" w:hAnsi="Cambria" w:cs="Calibri Light"/>
          <w:b/>
          <w:sz w:val="20"/>
          <w:szCs w:val="20"/>
          <w:lang w:val="es-ES"/>
        </w:rPr>
        <w:t>Resumen del caso</w:t>
      </w:r>
    </w:p>
    <w:p w14:paraId="43780802" w14:textId="77777777" w:rsidR="00D70EA9" w:rsidRPr="008310EB" w:rsidRDefault="00D70EA9" w:rsidP="00D70EA9">
      <w:pPr>
        <w:spacing w:after="0" w:line="240" w:lineRule="auto"/>
        <w:ind w:left="1080"/>
        <w:rPr>
          <w:rFonts w:ascii="Cambria" w:hAnsi="Cambria" w:cs="Calibri Light"/>
          <w:sz w:val="20"/>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76"/>
      </w:tblGrid>
      <w:tr w:rsidR="00D70EA9" w:rsidRPr="008310EB" w14:paraId="55875E19" w14:textId="77777777" w:rsidTr="005C0B8F">
        <w:tc>
          <w:tcPr>
            <w:tcW w:w="9576" w:type="dxa"/>
            <w:shd w:val="clear" w:color="auto" w:fill="F2F2F2"/>
          </w:tcPr>
          <w:p w14:paraId="6ED812C2" w14:textId="77777777" w:rsidR="00D70EA9" w:rsidRPr="008310EB" w:rsidRDefault="00B4501B" w:rsidP="00C16D39">
            <w:pPr>
              <w:spacing w:before="120" w:after="0" w:line="240" w:lineRule="auto"/>
              <w:jc w:val="both"/>
              <w:rPr>
                <w:rFonts w:ascii="Cambria" w:hAnsi="Cambria"/>
                <w:sz w:val="20"/>
                <w:szCs w:val="20"/>
                <w:lang w:val="es-ES"/>
              </w:rPr>
            </w:pPr>
            <w:r w:rsidRPr="008310EB">
              <w:rPr>
                <w:rFonts w:ascii="Cambria" w:hAnsi="Cambria"/>
                <w:b/>
                <w:sz w:val="20"/>
                <w:szCs w:val="20"/>
                <w:lang w:val="es-ES"/>
              </w:rPr>
              <w:t>Víctima (s):</w:t>
            </w:r>
            <w:r w:rsidR="00D70EA9" w:rsidRPr="008310EB">
              <w:rPr>
                <w:rFonts w:ascii="Cambria" w:hAnsi="Cambria"/>
                <w:sz w:val="20"/>
                <w:szCs w:val="20"/>
                <w:lang w:val="es-ES"/>
              </w:rPr>
              <w:t xml:space="preserve"> </w:t>
            </w:r>
            <w:r w:rsidR="00B351BE" w:rsidRPr="008310EB">
              <w:rPr>
                <w:rFonts w:ascii="Cambria" w:hAnsi="Cambria"/>
                <w:sz w:val="20"/>
                <w:szCs w:val="20"/>
                <w:lang w:val="es-ES"/>
              </w:rPr>
              <w:t>Michael Domingues</w:t>
            </w:r>
          </w:p>
          <w:p w14:paraId="72549B1A" w14:textId="56459880" w:rsidR="00D70EA9" w:rsidRPr="00D67ACF" w:rsidRDefault="00B4501B" w:rsidP="00C16D39">
            <w:pPr>
              <w:spacing w:after="0" w:line="240" w:lineRule="auto"/>
              <w:jc w:val="both"/>
              <w:rPr>
                <w:rFonts w:ascii="Cambria" w:hAnsi="Cambria"/>
                <w:sz w:val="20"/>
                <w:szCs w:val="20"/>
                <w:lang w:val="en-US"/>
              </w:rPr>
            </w:pPr>
            <w:r w:rsidRPr="00D67ACF">
              <w:rPr>
                <w:rFonts w:ascii="Cambria" w:hAnsi="Cambria"/>
                <w:b/>
                <w:sz w:val="20"/>
                <w:szCs w:val="20"/>
                <w:lang w:val="en-US"/>
              </w:rPr>
              <w:t>Peticionario (s):</w:t>
            </w:r>
            <w:r w:rsidR="00D70EA9" w:rsidRPr="00D67ACF">
              <w:rPr>
                <w:rFonts w:ascii="Cambria" w:hAnsi="Cambria"/>
                <w:sz w:val="20"/>
                <w:szCs w:val="20"/>
                <w:lang w:val="en-US"/>
              </w:rPr>
              <w:t xml:space="preserve"> </w:t>
            </w:r>
            <w:r w:rsidR="002D4944" w:rsidRPr="00D67ACF">
              <w:rPr>
                <w:rFonts w:ascii="Cambria" w:hAnsi="Cambria"/>
                <w:sz w:val="20"/>
                <w:szCs w:val="20"/>
                <w:lang w:val="en-US"/>
              </w:rPr>
              <w:t>Philip J. Kohn y</w:t>
            </w:r>
            <w:r w:rsidR="00BF2C69" w:rsidRPr="00D67ACF">
              <w:rPr>
                <w:rFonts w:ascii="Cambria" w:hAnsi="Cambria"/>
                <w:sz w:val="20"/>
                <w:szCs w:val="20"/>
                <w:lang w:val="en-US"/>
              </w:rPr>
              <w:t xml:space="preserve"> William A. Courson </w:t>
            </w:r>
            <w:r w:rsidR="002D4944" w:rsidRPr="00D67ACF">
              <w:rPr>
                <w:rFonts w:ascii="Cambria" w:hAnsi="Cambria"/>
                <w:sz w:val="20"/>
                <w:szCs w:val="20"/>
                <w:lang w:val="en-US"/>
              </w:rPr>
              <w:t>(Clark County Nevada Office of the Public Defender)</w:t>
            </w:r>
          </w:p>
          <w:p w14:paraId="32CF33C0" w14:textId="77777777" w:rsidR="00D70EA9" w:rsidRPr="008310EB" w:rsidRDefault="00B4501B" w:rsidP="00C16D39">
            <w:pPr>
              <w:spacing w:after="0" w:line="240" w:lineRule="auto"/>
              <w:jc w:val="both"/>
              <w:rPr>
                <w:rFonts w:ascii="Cambria" w:hAnsi="Cambria"/>
                <w:sz w:val="20"/>
                <w:szCs w:val="20"/>
                <w:lang w:val="es-ES"/>
              </w:rPr>
            </w:pPr>
            <w:r w:rsidRPr="008310EB">
              <w:rPr>
                <w:rFonts w:ascii="Cambria" w:hAnsi="Cambria"/>
                <w:b/>
                <w:sz w:val="20"/>
                <w:szCs w:val="20"/>
                <w:lang w:val="es-ES"/>
              </w:rPr>
              <w:t>Estado:</w:t>
            </w:r>
            <w:r w:rsidR="00D70EA9" w:rsidRPr="008310EB">
              <w:rPr>
                <w:rFonts w:ascii="Cambria" w:hAnsi="Cambria"/>
                <w:sz w:val="20"/>
                <w:szCs w:val="20"/>
                <w:lang w:val="es-ES"/>
              </w:rPr>
              <w:t xml:space="preserve"> </w:t>
            </w:r>
            <w:r w:rsidR="004D1D45" w:rsidRPr="008310EB">
              <w:rPr>
                <w:rFonts w:ascii="Cambria" w:hAnsi="Cambria"/>
                <w:sz w:val="20"/>
                <w:szCs w:val="20"/>
                <w:lang w:val="es-ES"/>
              </w:rPr>
              <w:t>Estados Unidos</w:t>
            </w:r>
          </w:p>
          <w:p w14:paraId="5201179A" w14:textId="77777777" w:rsidR="00D70EA9" w:rsidRPr="008310EB" w:rsidRDefault="00B4501B" w:rsidP="00C16D39">
            <w:pPr>
              <w:spacing w:after="0" w:line="240" w:lineRule="auto"/>
              <w:jc w:val="both"/>
              <w:rPr>
                <w:rFonts w:ascii="Cambria" w:hAnsi="Cambria"/>
                <w:sz w:val="20"/>
                <w:szCs w:val="20"/>
                <w:lang w:val="es-ES"/>
              </w:rPr>
            </w:pPr>
            <w:r w:rsidRPr="008310EB">
              <w:rPr>
                <w:rFonts w:ascii="Cambria" w:hAnsi="Cambria"/>
                <w:b/>
                <w:sz w:val="20"/>
                <w:szCs w:val="20"/>
                <w:lang w:val="es-ES"/>
              </w:rPr>
              <w:t>Informe de Fondo Nº:</w:t>
            </w:r>
            <w:r w:rsidR="00D70EA9" w:rsidRPr="008310EB">
              <w:rPr>
                <w:rFonts w:ascii="Cambria" w:hAnsi="Cambria"/>
                <w:b/>
                <w:sz w:val="20"/>
                <w:szCs w:val="20"/>
                <w:lang w:val="es-ES"/>
              </w:rPr>
              <w:t xml:space="preserve"> </w:t>
            </w:r>
            <w:hyperlink r:id="rId8" w:history="1">
              <w:r w:rsidR="00B351BE" w:rsidRPr="008310EB">
                <w:rPr>
                  <w:rStyle w:val="Hyperlink"/>
                  <w:rFonts w:ascii="Cambria" w:hAnsi="Cambria"/>
                  <w:color w:val="auto"/>
                  <w:sz w:val="20"/>
                  <w:szCs w:val="20"/>
                  <w:lang w:val="es-ES"/>
                </w:rPr>
                <w:t>62/02</w:t>
              </w:r>
            </w:hyperlink>
            <w:r w:rsidR="001B3D97" w:rsidRPr="008310EB">
              <w:rPr>
                <w:rFonts w:ascii="Cambria" w:hAnsi="Cambria"/>
                <w:sz w:val="20"/>
                <w:szCs w:val="20"/>
                <w:lang w:val="es-ES"/>
              </w:rPr>
              <w:t xml:space="preserve">, </w:t>
            </w:r>
            <w:r w:rsidR="00B07540" w:rsidRPr="008310EB">
              <w:rPr>
                <w:rFonts w:ascii="Cambria" w:hAnsi="Cambria"/>
                <w:sz w:val="20"/>
                <w:szCs w:val="20"/>
                <w:lang w:val="es-ES"/>
              </w:rPr>
              <w:t>pub</w:t>
            </w:r>
            <w:r w:rsidR="00B351BE" w:rsidRPr="008310EB">
              <w:rPr>
                <w:rFonts w:ascii="Cambria" w:hAnsi="Cambria"/>
                <w:sz w:val="20"/>
                <w:szCs w:val="20"/>
                <w:lang w:val="es-ES"/>
              </w:rPr>
              <w:t>licado el 22 de octubre de 2002</w:t>
            </w:r>
          </w:p>
          <w:p w14:paraId="0EF35A65" w14:textId="77777777" w:rsidR="00D70EA9" w:rsidRPr="008310EB" w:rsidRDefault="00B4501B" w:rsidP="00B07540">
            <w:pPr>
              <w:tabs>
                <w:tab w:val="left" w:pos="6168"/>
              </w:tabs>
              <w:spacing w:after="0" w:line="240" w:lineRule="auto"/>
              <w:jc w:val="both"/>
              <w:rPr>
                <w:rFonts w:ascii="Cambria" w:hAnsi="Cambria"/>
                <w:sz w:val="20"/>
                <w:szCs w:val="20"/>
                <w:lang w:val="es-ES"/>
              </w:rPr>
            </w:pPr>
            <w:r w:rsidRPr="008310EB">
              <w:rPr>
                <w:rFonts w:ascii="Cambria" w:hAnsi="Cambria"/>
                <w:b/>
                <w:sz w:val="20"/>
                <w:szCs w:val="20"/>
                <w:lang w:val="es-ES"/>
              </w:rPr>
              <w:t>Informe de Admisibilidad:</w:t>
            </w:r>
            <w:r w:rsidR="00D70EA9" w:rsidRPr="008310EB">
              <w:rPr>
                <w:rFonts w:ascii="Cambria" w:hAnsi="Cambria"/>
                <w:sz w:val="20"/>
                <w:szCs w:val="20"/>
                <w:lang w:val="es-ES"/>
              </w:rPr>
              <w:t xml:space="preserve"> </w:t>
            </w:r>
            <w:r w:rsidR="00B351BE" w:rsidRPr="008310EB">
              <w:rPr>
                <w:rFonts w:ascii="Cambria" w:hAnsi="Cambria"/>
                <w:sz w:val="20"/>
                <w:szCs w:val="20"/>
                <w:lang w:val="es-ES"/>
              </w:rPr>
              <w:t xml:space="preserve">Analizado con </w:t>
            </w:r>
            <w:r w:rsidR="00EA64C1" w:rsidRPr="008310EB">
              <w:rPr>
                <w:rFonts w:ascii="Cambria" w:hAnsi="Cambria"/>
                <w:sz w:val="20"/>
                <w:szCs w:val="20"/>
                <w:lang w:val="es-ES"/>
              </w:rPr>
              <w:t xml:space="preserve">el </w:t>
            </w:r>
            <w:r w:rsidR="00B351BE" w:rsidRPr="008310EB">
              <w:rPr>
                <w:rFonts w:ascii="Cambria" w:hAnsi="Cambria"/>
                <w:sz w:val="20"/>
                <w:szCs w:val="20"/>
                <w:lang w:val="es-ES"/>
              </w:rPr>
              <w:t xml:space="preserve">Informe de Fondo </w:t>
            </w:r>
            <w:r w:rsidR="00EA64C1" w:rsidRPr="008310EB">
              <w:rPr>
                <w:rFonts w:ascii="Cambria" w:hAnsi="Cambria"/>
                <w:sz w:val="20"/>
                <w:szCs w:val="20"/>
                <w:lang w:val="es-ES"/>
              </w:rPr>
              <w:t xml:space="preserve">Nº </w:t>
            </w:r>
            <w:r w:rsidR="00B351BE" w:rsidRPr="008310EB">
              <w:rPr>
                <w:rFonts w:ascii="Cambria" w:hAnsi="Cambria"/>
                <w:sz w:val="20"/>
                <w:szCs w:val="20"/>
                <w:lang w:val="es-ES"/>
              </w:rPr>
              <w:t>62/02</w:t>
            </w:r>
            <w:r w:rsidR="00B07540" w:rsidRPr="008310EB">
              <w:rPr>
                <w:rFonts w:ascii="Cambria" w:hAnsi="Cambria"/>
                <w:sz w:val="20"/>
                <w:szCs w:val="20"/>
                <w:lang w:val="es-ES"/>
              </w:rPr>
              <w:tab/>
            </w:r>
          </w:p>
          <w:p w14:paraId="28DF9A4D" w14:textId="77777777" w:rsidR="001551A8" w:rsidRPr="008310EB" w:rsidRDefault="00B4501B" w:rsidP="00C16D39">
            <w:pPr>
              <w:spacing w:after="0" w:line="240" w:lineRule="auto"/>
              <w:jc w:val="both"/>
              <w:rPr>
                <w:rStyle w:val="Hyperlink"/>
                <w:rFonts w:ascii="Cambria" w:hAnsi="Cambria"/>
                <w:color w:val="auto"/>
                <w:sz w:val="20"/>
                <w:szCs w:val="20"/>
                <w:lang w:val="es-ES"/>
              </w:rPr>
            </w:pPr>
            <w:r w:rsidRPr="008310EB">
              <w:rPr>
                <w:rFonts w:ascii="Cambria" w:hAnsi="Cambria"/>
                <w:b/>
                <w:sz w:val="20"/>
                <w:szCs w:val="20"/>
                <w:lang w:val="es-ES"/>
              </w:rPr>
              <w:t>Medidas Cautelares</w:t>
            </w:r>
            <w:r w:rsidR="00D70EA9" w:rsidRPr="008310EB">
              <w:rPr>
                <w:rFonts w:ascii="Cambria" w:hAnsi="Cambria"/>
                <w:b/>
                <w:sz w:val="20"/>
                <w:szCs w:val="20"/>
                <w:lang w:val="es-ES"/>
              </w:rPr>
              <w:t xml:space="preserve">: </w:t>
            </w:r>
            <w:r w:rsidR="00B07540" w:rsidRPr="008310EB">
              <w:rPr>
                <w:rFonts w:ascii="Cambria" w:hAnsi="Cambria"/>
                <w:sz w:val="20"/>
                <w:szCs w:val="20"/>
                <w:lang w:val="es-ES"/>
              </w:rPr>
              <w:fldChar w:fldCharType="begin"/>
            </w:r>
            <w:r w:rsidR="002E5054" w:rsidRPr="008310EB">
              <w:rPr>
                <w:rFonts w:ascii="Cambria" w:hAnsi="Cambria"/>
                <w:sz w:val="20"/>
                <w:szCs w:val="20"/>
                <w:lang w:val="es-ES"/>
              </w:rPr>
              <w:instrText>HYPERLINK "http://www.cidh.org/medidas/2000.sp.htm"</w:instrText>
            </w:r>
            <w:r w:rsidR="00B07540" w:rsidRPr="008310EB">
              <w:rPr>
                <w:rFonts w:ascii="Cambria" w:hAnsi="Cambria"/>
                <w:sz w:val="20"/>
                <w:szCs w:val="20"/>
                <w:lang w:val="es-ES"/>
              </w:rPr>
              <w:fldChar w:fldCharType="separate"/>
            </w:r>
            <w:r w:rsidR="00CC5A30" w:rsidRPr="008310EB">
              <w:rPr>
                <w:rStyle w:val="Hyperlink"/>
                <w:rFonts w:ascii="Cambria" w:hAnsi="Cambria"/>
                <w:color w:val="auto"/>
                <w:sz w:val="20"/>
                <w:szCs w:val="20"/>
                <w:lang w:val="es-ES"/>
              </w:rPr>
              <w:t xml:space="preserve">Otorgadas </w:t>
            </w:r>
            <w:r w:rsidR="00B351BE" w:rsidRPr="008310EB">
              <w:rPr>
                <w:rStyle w:val="Hyperlink"/>
                <w:rFonts w:ascii="Cambria" w:hAnsi="Cambria"/>
                <w:color w:val="auto"/>
                <w:sz w:val="20"/>
                <w:szCs w:val="20"/>
                <w:lang w:val="es-ES"/>
              </w:rPr>
              <w:t>el 30 de mayo de 2000</w:t>
            </w:r>
          </w:p>
          <w:p w14:paraId="252F4BFF" w14:textId="61D27693" w:rsidR="00D64F50" w:rsidRPr="008310EB" w:rsidRDefault="00B07540" w:rsidP="001523D5">
            <w:pPr>
              <w:spacing w:after="120" w:line="240" w:lineRule="auto"/>
              <w:jc w:val="both"/>
              <w:rPr>
                <w:rFonts w:ascii="Cambria" w:hAnsi="Cambria"/>
                <w:strike/>
                <w:sz w:val="20"/>
                <w:szCs w:val="20"/>
                <w:lang w:val="es-ES"/>
              </w:rPr>
            </w:pPr>
            <w:r w:rsidRPr="008310EB">
              <w:rPr>
                <w:rFonts w:ascii="Cambria" w:hAnsi="Cambria"/>
                <w:sz w:val="20"/>
                <w:szCs w:val="20"/>
                <w:lang w:val="es-ES"/>
              </w:rPr>
              <w:fldChar w:fldCharType="end"/>
            </w:r>
            <w:r w:rsidR="00C16D39" w:rsidRPr="008310EB">
              <w:rPr>
                <w:rFonts w:ascii="Cambria" w:hAnsi="Cambria"/>
                <w:b/>
                <w:sz w:val="20"/>
                <w:szCs w:val="20"/>
                <w:lang w:val="es-ES"/>
              </w:rPr>
              <w:t>T</w:t>
            </w:r>
            <w:r w:rsidR="00B4501B" w:rsidRPr="008310EB">
              <w:rPr>
                <w:rFonts w:ascii="Cambria" w:hAnsi="Cambria"/>
                <w:b/>
                <w:sz w:val="20"/>
                <w:szCs w:val="20"/>
                <w:lang w:val="es-ES"/>
              </w:rPr>
              <w:t>emas</w:t>
            </w:r>
            <w:r w:rsidR="00536593" w:rsidRPr="008310EB">
              <w:rPr>
                <w:rFonts w:ascii="Cambria" w:hAnsi="Cambria"/>
                <w:b/>
                <w:sz w:val="20"/>
                <w:szCs w:val="20"/>
                <w:lang w:val="es-ES"/>
              </w:rPr>
              <w:t xml:space="preserve">: </w:t>
            </w:r>
            <w:r w:rsidR="002E5054" w:rsidRPr="008310EB">
              <w:rPr>
                <w:rFonts w:ascii="Cambria" w:hAnsi="Cambria"/>
                <w:sz w:val="20"/>
                <w:szCs w:val="20"/>
                <w:lang w:val="es-ES"/>
              </w:rPr>
              <w:t xml:space="preserve">Acceso a la justicia / </w:t>
            </w:r>
            <w:r w:rsidR="00D67ACF">
              <w:rPr>
                <w:rFonts w:ascii="Cambria" w:hAnsi="Cambria"/>
                <w:sz w:val="20"/>
                <w:szCs w:val="20"/>
                <w:lang w:val="es-ES"/>
              </w:rPr>
              <w:t xml:space="preserve">Jóvenes / </w:t>
            </w:r>
            <w:r w:rsidR="00D471A6" w:rsidRPr="008310EB">
              <w:rPr>
                <w:rFonts w:ascii="Cambria" w:hAnsi="Cambria"/>
                <w:sz w:val="20"/>
                <w:szCs w:val="20"/>
                <w:lang w:val="es-ES"/>
              </w:rPr>
              <w:t xml:space="preserve">Justicia juvenil / </w:t>
            </w:r>
            <w:r w:rsidR="00C94AB2" w:rsidRPr="008310EB">
              <w:rPr>
                <w:rFonts w:ascii="Cambria" w:hAnsi="Cambria"/>
                <w:sz w:val="20"/>
                <w:szCs w:val="20"/>
                <w:lang w:val="es-ES"/>
              </w:rPr>
              <w:t xml:space="preserve">Niños, niñas y adolescentes / </w:t>
            </w:r>
            <w:r w:rsidR="001629A7" w:rsidRPr="008310EB">
              <w:rPr>
                <w:rFonts w:ascii="Cambria" w:hAnsi="Cambria"/>
                <w:sz w:val="20"/>
                <w:szCs w:val="20"/>
                <w:lang w:val="es-ES"/>
              </w:rPr>
              <w:t xml:space="preserve">Niños y niñas infractores / </w:t>
            </w:r>
            <w:r w:rsidR="002E5054" w:rsidRPr="008310EB">
              <w:rPr>
                <w:rFonts w:ascii="Cambria" w:hAnsi="Cambria"/>
                <w:sz w:val="20"/>
                <w:szCs w:val="20"/>
                <w:lang w:val="es-ES"/>
              </w:rPr>
              <w:t>Pena de muerte</w:t>
            </w:r>
            <w:r w:rsidR="00D471A6" w:rsidRPr="008310EB">
              <w:rPr>
                <w:rFonts w:ascii="Cambria" w:hAnsi="Cambria"/>
                <w:sz w:val="20"/>
                <w:szCs w:val="20"/>
                <w:lang w:val="es-ES"/>
              </w:rPr>
              <w:t xml:space="preserve"> / </w:t>
            </w:r>
            <w:r w:rsidR="00AA7FF1" w:rsidRPr="008310EB">
              <w:rPr>
                <w:rFonts w:ascii="Cambria" w:hAnsi="Cambria"/>
                <w:sz w:val="20"/>
                <w:szCs w:val="20"/>
                <w:lang w:val="es-ES"/>
              </w:rPr>
              <w:t xml:space="preserve">Personas privadas de libertad / </w:t>
            </w:r>
            <w:r w:rsidR="00D471A6" w:rsidRPr="008310EB">
              <w:rPr>
                <w:rFonts w:ascii="Cambria" w:hAnsi="Cambria"/>
                <w:sz w:val="20"/>
                <w:szCs w:val="20"/>
                <w:lang w:val="es-ES"/>
              </w:rPr>
              <w:t xml:space="preserve">Vida </w:t>
            </w:r>
          </w:p>
          <w:p w14:paraId="22834F2E" w14:textId="49AF526D" w:rsidR="0062147B" w:rsidRPr="008310EB" w:rsidRDefault="00B4501B" w:rsidP="00090042">
            <w:pPr>
              <w:spacing w:after="120" w:line="240" w:lineRule="auto"/>
              <w:jc w:val="both"/>
              <w:rPr>
                <w:rFonts w:ascii="Cambria" w:hAnsi="Cambria"/>
                <w:sz w:val="20"/>
                <w:szCs w:val="20"/>
                <w:lang w:val="es-ES"/>
              </w:rPr>
            </w:pPr>
            <w:r w:rsidRPr="008310EB">
              <w:rPr>
                <w:rFonts w:ascii="Cambria" w:hAnsi="Cambria"/>
                <w:b/>
                <w:sz w:val="20"/>
                <w:szCs w:val="20"/>
                <w:lang w:val="es-ES"/>
              </w:rPr>
              <w:t>Hechos</w:t>
            </w:r>
            <w:r w:rsidR="00D70EA9" w:rsidRPr="008310EB">
              <w:rPr>
                <w:rFonts w:ascii="Cambria" w:hAnsi="Cambria"/>
                <w:b/>
                <w:sz w:val="20"/>
                <w:szCs w:val="20"/>
                <w:lang w:val="es-ES"/>
              </w:rPr>
              <w:t xml:space="preserve">: </w:t>
            </w:r>
            <w:r w:rsidR="0062147B" w:rsidRPr="008310EB">
              <w:rPr>
                <w:rFonts w:ascii="Cambria" w:hAnsi="Cambria"/>
                <w:sz w:val="20"/>
                <w:szCs w:val="20"/>
                <w:lang w:val="es-ES"/>
              </w:rPr>
              <w:t>Este caso se refiere a</w:t>
            </w:r>
            <w:r w:rsidR="0062147B" w:rsidRPr="008310EB">
              <w:rPr>
                <w:rFonts w:ascii="Cambria" w:hAnsi="Cambria"/>
                <w:b/>
                <w:sz w:val="20"/>
                <w:szCs w:val="20"/>
                <w:lang w:val="es-ES"/>
              </w:rPr>
              <w:t xml:space="preserve"> </w:t>
            </w:r>
            <w:r w:rsidR="002E5054" w:rsidRPr="008310EB">
              <w:rPr>
                <w:rFonts w:ascii="Cambria" w:hAnsi="Cambria"/>
                <w:sz w:val="20"/>
                <w:szCs w:val="20"/>
                <w:lang w:val="es-ES"/>
              </w:rPr>
              <w:t>Michael Domingues</w:t>
            </w:r>
            <w:r w:rsidR="0062147B" w:rsidRPr="008310EB">
              <w:rPr>
                <w:rFonts w:ascii="Cambria" w:hAnsi="Cambria"/>
                <w:sz w:val="20"/>
                <w:szCs w:val="20"/>
                <w:lang w:val="es-ES"/>
              </w:rPr>
              <w:t>, quien fue</w:t>
            </w:r>
            <w:r w:rsidR="002E5054" w:rsidRPr="008310EB">
              <w:rPr>
                <w:rFonts w:ascii="Cambria" w:hAnsi="Cambria"/>
                <w:sz w:val="20"/>
                <w:szCs w:val="20"/>
                <w:lang w:val="es-ES"/>
              </w:rPr>
              <w:t xml:space="preserve"> condenado</w:t>
            </w:r>
            <w:r w:rsidR="0062147B" w:rsidRPr="008310EB">
              <w:rPr>
                <w:rFonts w:ascii="Cambria" w:hAnsi="Cambria"/>
                <w:sz w:val="20"/>
                <w:szCs w:val="20"/>
                <w:lang w:val="es-ES"/>
              </w:rPr>
              <w:t xml:space="preserve"> a </w:t>
            </w:r>
            <w:r w:rsidR="006214FD" w:rsidRPr="008310EB">
              <w:rPr>
                <w:rFonts w:ascii="Cambria" w:hAnsi="Cambria"/>
                <w:sz w:val="20"/>
                <w:szCs w:val="20"/>
                <w:lang w:val="es-ES"/>
              </w:rPr>
              <w:t xml:space="preserve">pena de </w:t>
            </w:r>
            <w:r w:rsidR="0062147B" w:rsidRPr="008310EB">
              <w:rPr>
                <w:rFonts w:ascii="Cambria" w:hAnsi="Cambria"/>
                <w:sz w:val="20"/>
                <w:szCs w:val="20"/>
                <w:lang w:val="es-ES"/>
              </w:rPr>
              <w:t>muerte en el estado de Nevada en 1993 por delitos que cometió cuando tenía 16 años</w:t>
            </w:r>
            <w:r w:rsidR="00AA33BE" w:rsidRPr="008310EB">
              <w:rPr>
                <w:rFonts w:ascii="Cambria" w:hAnsi="Cambria"/>
                <w:sz w:val="20"/>
                <w:szCs w:val="20"/>
                <w:lang w:val="es-ES"/>
              </w:rPr>
              <w:t xml:space="preserve"> de edad</w:t>
            </w:r>
            <w:r w:rsidR="0062147B" w:rsidRPr="008310EB">
              <w:rPr>
                <w:rFonts w:ascii="Cambria" w:hAnsi="Cambria"/>
                <w:sz w:val="20"/>
                <w:szCs w:val="20"/>
                <w:lang w:val="es-ES"/>
              </w:rPr>
              <w:t xml:space="preserve">. </w:t>
            </w:r>
          </w:p>
          <w:p w14:paraId="5E01A932" w14:textId="77777777" w:rsidR="00AA33BE" w:rsidRPr="008310EB" w:rsidRDefault="00B4501B" w:rsidP="0090251F">
            <w:pPr>
              <w:spacing w:after="120" w:line="240" w:lineRule="auto"/>
              <w:jc w:val="both"/>
              <w:rPr>
                <w:rFonts w:ascii="Cambria" w:hAnsi="Cambria"/>
                <w:sz w:val="20"/>
                <w:szCs w:val="20"/>
                <w:lang w:val="es-ES"/>
              </w:rPr>
            </w:pPr>
            <w:r w:rsidRPr="008310EB">
              <w:rPr>
                <w:rFonts w:ascii="Cambria" w:hAnsi="Cambria"/>
                <w:b/>
                <w:sz w:val="20"/>
                <w:szCs w:val="20"/>
                <w:lang w:val="es-ES"/>
              </w:rPr>
              <w:t>Derechos violados</w:t>
            </w:r>
            <w:r w:rsidR="00D70EA9" w:rsidRPr="008310EB">
              <w:rPr>
                <w:rFonts w:ascii="Cambria" w:hAnsi="Cambria"/>
                <w:b/>
                <w:sz w:val="20"/>
                <w:szCs w:val="20"/>
                <w:lang w:val="es-ES"/>
              </w:rPr>
              <w:t>:</w:t>
            </w:r>
            <w:r w:rsidR="00F97F45" w:rsidRPr="008310EB">
              <w:rPr>
                <w:rFonts w:ascii="Cambria" w:hAnsi="Cambria"/>
                <w:sz w:val="20"/>
                <w:szCs w:val="20"/>
                <w:lang w:val="es-ES"/>
              </w:rPr>
              <w:t xml:space="preserve"> </w:t>
            </w:r>
            <w:r w:rsidR="00AA33BE" w:rsidRPr="008310EB">
              <w:rPr>
                <w:rFonts w:ascii="Cambria" w:hAnsi="Cambria"/>
                <w:sz w:val="20"/>
                <w:szCs w:val="20"/>
                <w:lang w:val="es-ES"/>
              </w:rPr>
              <w:t xml:space="preserve">La Comisión concluyó que el Estado ha actuado en contravención de una norma internacional de </w:t>
            </w:r>
            <w:r w:rsidR="00AA33BE" w:rsidRPr="008310EB">
              <w:rPr>
                <w:rFonts w:ascii="Cambria" w:hAnsi="Cambria"/>
                <w:i/>
                <w:sz w:val="20"/>
                <w:szCs w:val="20"/>
                <w:lang w:val="es-ES"/>
              </w:rPr>
              <w:t>jus cogens</w:t>
            </w:r>
            <w:r w:rsidR="00AA33BE" w:rsidRPr="008310EB">
              <w:rPr>
                <w:rFonts w:ascii="Cambria" w:hAnsi="Cambria"/>
                <w:sz w:val="20"/>
                <w:szCs w:val="20"/>
                <w:lang w:val="es-ES"/>
              </w:rPr>
              <w:t xml:space="preserve">, como lo refleja el Artículo I de la Declaración Americana, al sentenciar a Michael Domingues a la pena de muerte por delitos que cometió cuando tenía 16 años de </w:t>
            </w:r>
            <w:r w:rsidR="0090251F" w:rsidRPr="008310EB">
              <w:rPr>
                <w:rFonts w:ascii="Cambria" w:hAnsi="Cambria"/>
                <w:sz w:val="20"/>
                <w:szCs w:val="20"/>
                <w:lang w:val="es-ES"/>
              </w:rPr>
              <w:t>edad.</w:t>
            </w:r>
            <w:r w:rsidR="00AA33BE" w:rsidRPr="008310EB">
              <w:rPr>
                <w:rFonts w:ascii="Cambria" w:hAnsi="Cambria"/>
                <w:sz w:val="20"/>
                <w:szCs w:val="20"/>
                <w:lang w:val="es-ES"/>
              </w:rPr>
              <w:t xml:space="preserve"> En consecuencia, si el Estado ejecuta al Sr. Domingues de acuerdo con esta sentencia, será responsable de una violación grave e irreparable del derecho del Sr. Domingues a la vida, consagrado en el Artículo I de la Declaración Americana.</w:t>
            </w:r>
          </w:p>
          <w:p w14:paraId="22814D83" w14:textId="5E09FC8E" w:rsidR="00B211B1" w:rsidRPr="008310EB" w:rsidRDefault="00B211B1" w:rsidP="00A35E91">
            <w:pPr>
              <w:spacing w:after="0" w:line="240" w:lineRule="auto"/>
              <w:jc w:val="both"/>
              <w:rPr>
                <w:rFonts w:ascii="Cambria" w:hAnsi="Cambria"/>
                <w:sz w:val="20"/>
                <w:szCs w:val="20"/>
                <w:lang w:val="es-ES"/>
              </w:rPr>
            </w:pPr>
            <w:r w:rsidRPr="008310EB">
              <w:rPr>
                <w:rFonts w:ascii="Cambria" w:hAnsi="Cambria"/>
                <w:b/>
                <w:sz w:val="20"/>
                <w:szCs w:val="20"/>
                <w:lang w:val="es-ES"/>
              </w:rPr>
              <w:t xml:space="preserve">Estado de cumplimiento del caso: </w:t>
            </w:r>
            <w:r w:rsidRPr="008310EB">
              <w:rPr>
                <w:rFonts w:ascii="Cambria" w:hAnsi="Cambria"/>
                <w:sz w:val="20"/>
                <w:szCs w:val="20"/>
                <w:lang w:val="es-ES"/>
              </w:rPr>
              <w:t>Cumplimiento total</w:t>
            </w:r>
            <w:r w:rsidRPr="008310EB">
              <w:rPr>
                <w:rFonts w:ascii="Cambria" w:hAnsi="Cambria"/>
                <w:b/>
                <w:sz w:val="20"/>
                <w:szCs w:val="20"/>
                <w:lang w:val="es-ES"/>
              </w:rPr>
              <w:t xml:space="preserve"> </w:t>
            </w:r>
            <w:r w:rsidRPr="008310EB">
              <w:rPr>
                <w:rFonts w:ascii="Cambria" w:hAnsi="Cambria"/>
                <w:sz w:val="20"/>
                <w:szCs w:val="20"/>
                <w:lang w:val="es-ES"/>
              </w:rPr>
              <w:t>(</w:t>
            </w:r>
            <w:hyperlink r:id="rId9" w:history="1">
              <w:r w:rsidRPr="008310EB">
                <w:rPr>
                  <w:rStyle w:val="Hyperlink"/>
                  <w:rFonts w:ascii="Cambria" w:hAnsi="Cambria"/>
                  <w:color w:val="auto"/>
                  <w:sz w:val="20"/>
                  <w:szCs w:val="20"/>
                  <w:lang w:val="es-ES"/>
                </w:rPr>
                <w:t>Informe Anual 2005</w:t>
              </w:r>
            </w:hyperlink>
            <w:r w:rsidRPr="008310EB">
              <w:rPr>
                <w:rFonts w:ascii="Cambria" w:hAnsi="Cambria"/>
                <w:sz w:val="20"/>
                <w:szCs w:val="20"/>
                <w:lang w:val="es-ES"/>
              </w:rPr>
              <w:t xml:space="preserve">) </w:t>
            </w:r>
          </w:p>
        </w:tc>
      </w:tr>
    </w:tbl>
    <w:p w14:paraId="4531D82C" w14:textId="77777777" w:rsidR="00D70EA9" w:rsidRPr="008310EB" w:rsidRDefault="00D70EA9" w:rsidP="00D70EA9">
      <w:pPr>
        <w:spacing w:after="0" w:line="240" w:lineRule="auto"/>
        <w:ind w:left="180"/>
        <w:rPr>
          <w:rFonts w:ascii="Cambria" w:hAnsi="Cambria"/>
          <w:sz w:val="20"/>
          <w:szCs w:val="20"/>
          <w:lang w:val="es-ES"/>
        </w:rPr>
      </w:pPr>
    </w:p>
    <w:p w14:paraId="243EE9D3" w14:textId="77777777" w:rsidR="00D70EA9" w:rsidRPr="008310EB" w:rsidRDefault="00B4501B" w:rsidP="00BD2642">
      <w:pPr>
        <w:numPr>
          <w:ilvl w:val="0"/>
          <w:numId w:val="1"/>
        </w:numPr>
        <w:spacing w:after="0" w:line="240" w:lineRule="auto"/>
        <w:ind w:left="1440"/>
        <w:jc w:val="both"/>
        <w:rPr>
          <w:rFonts w:ascii="Cambria" w:hAnsi="Cambria" w:cs="Calibri Light"/>
          <w:b/>
          <w:sz w:val="20"/>
          <w:szCs w:val="20"/>
          <w:lang w:val="es-ES"/>
        </w:rPr>
      </w:pPr>
      <w:r w:rsidRPr="008310EB">
        <w:rPr>
          <w:rFonts w:ascii="Cambria" w:hAnsi="Cambria" w:cs="Calibri Light"/>
          <w:b/>
          <w:sz w:val="20"/>
          <w:szCs w:val="20"/>
          <w:lang w:val="es-ES"/>
        </w:rPr>
        <w:t>Recomendaciones</w:t>
      </w:r>
      <w:r w:rsidR="00D70EA9" w:rsidRPr="008310EB">
        <w:rPr>
          <w:rFonts w:ascii="Cambria" w:hAnsi="Cambria" w:cs="Calibri Light"/>
          <w:b/>
          <w:sz w:val="20"/>
          <w:szCs w:val="20"/>
          <w:lang w:val="es-ES"/>
        </w:rPr>
        <w:t xml:space="preserve"> </w:t>
      </w:r>
    </w:p>
    <w:p w14:paraId="1C9D1554" w14:textId="77777777" w:rsidR="00D70EA9" w:rsidRPr="008310EB" w:rsidRDefault="00D70EA9" w:rsidP="00D70EA9">
      <w:pPr>
        <w:spacing w:after="0" w:line="240" w:lineRule="auto"/>
        <w:ind w:left="1080"/>
        <w:jc w:val="both"/>
        <w:rPr>
          <w:rFonts w:ascii="Cambria" w:hAnsi="Cambria" w:cs="Calibri Light"/>
          <w:sz w:val="20"/>
          <w:szCs w:val="20"/>
          <w:lang w:val="es-E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2250"/>
      </w:tblGrid>
      <w:tr w:rsidR="00D70EA9" w:rsidRPr="008310EB" w14:paraId="73A518F5" w14:textId="77777777" w:rsidTr="008854D5">
        <w:tc>
          <w:tcPr>
            <w:tcW w:w="7290" w:type="dxa"/>
            <w:shd w:val="clear" w:color="auto" w:fill="auto"/>
            <w:vAlign w:val="center"/>
          </w:tcPr>
          <w:p w14:paraId="5147EA8B" w14:textId="77777777" w:rsidR="00D70EA9" w:rsidRPr="008310EB" w:rsidRDefault="00B4501B" w:rsidP="005C0B8F">
            <w:pPr>
              <w:spacing w:after="0" w:line="240" w:lineRule="auto"/>
              <w:jc w:val="center"/>
              <w:rPr>
                <w:rFonts w:ascii="Cambria" w:hAnsi="Cambria" w:cs="Calibri Light"/>
                <w:b/>
                <w:sz w:val="18"/>
                <w:szCs w:val="18"/>
                <w:lang w:val="es-ES"/>
              </w:rPr>
            </w:pPr>
            <w:r w:rsidRPr="008310EB">
              <w:rPr>
                <w:rFonts w:ascii="Cambria" w:hAnsi="Cambria" w:cs="Calibri Light"/>
                <w:b/>
                <w:sz w:val="18"/>
                <w:szCs w:val="18"/>
                <w:lang w:val="es-ES"/>
              </w:rPr>
              <w:t>Recomendaciones</w:t>
            </w:r>
          </w:p>
        </w:tc>
        <w:tc>
          <w:tcPr>
            <w:tcW w:w="2250" w:type="dxa"/>
            <w:shd w:val="clear" w:color="auto" w:fill="auto"/>
            <w:vAlign w:val="center"/>
          </w:tcPr>
          <w:p w14:paraId="4EFDA4B8" w14:textId="7069DDC3" w:rsidR="00D70EA9" w:rsidRPr="008310EB" w:rsidRDefault="00B4501B" w:rsidP="00A30290">
            <w:pPr>
              <w:spacing w:after="0" w:line="240" w:lineRule="auto"/>
              <w:jc w:val="center"/>
              <w:rPr>
                <w:rFonts w:ascii="Cambria" w:hAnsi="Cambria" w:cs="Calibri Light"/>
                <w:b/>
                <w:sz w:val="18"/>
                <w:szCs w:val="18"/>
                <w:lang w:val="es-ES"/>
              </w:rPr>
            </w:pPr>
            <w:r w:rsidRPr="008310EB">
              <w:rPr>
                <w:rFonts w:ascii="Cambria" w:hAnsi="Cambria" w:cs="Calibri Light"/>
                <w:b/>
                <w:sz w:val="18"/>
                <w:szCs w:val="18"/>
                <w:lang w:val="es-ES"/>
              </w:rPr>
              <w:t xml:space="preserve">Estado de cumplimiento </w:t>
            </w:r>
          </w:p>
        </w:tc>
      </w:tr>
      <w:tr w:rsidR="00D70EA9" w:rsidRPr="008310EB" w14:paraId="71C73874" w14:textId="77777777" w:rsidTr="008854D5">
        <w:tc>
          <w:tcPr>
            <w:tcW w:w="7290" w:type="dxa"/>
            <w:shd w:val="clear" w:color="auto" w:fill="auto"/>
          </w:tcPr>
          <w:p w14:paraId="1FBB6159" w14:textId="77777777" w:rsidR="00D70EA9" w:rsidRPr="008310EB" w:rsidRDefault="00885EA5" w:rsidP="005C0B8F">
            <w:pPr>
              <w:spacing w:after="0" w:line="240" w:lineRule="auto"/>
              <w:jc w:val="both"/>
              <w:rPr>
                <w:rFonts w:ascii="Cambria" w:hAnsi="Cambria" w:cs="Calibri"/>
                <w:sz w:val="18"/>
                <w:szCs w:val="18"/>
                <w:lang w:val="es-ES"/>
              </w:rPr>
            </w:pPr>
            <w:r w:rsidRPr="008310EB">
              <w:rPr>
                <w:rFonts w:ascii="Cambria" w:hAnsi="Cambria" w:cs="Calibri"/>
                <w:sz w:val="18"/>
                <w:szCs w:val="18"/>
                <w:lang w:val="es-ES"/>
              </w:rPr>
              <w:t>1.</w:t>
            </w:r>
            <w:r w:rsidR="000D2C99" w:rsidRPr="008310EB">
              <w:rPr>
                <w:rFonts w:ascii="Cambria" w:hAnsi="Cambria"/>
                <w:color w:val="000000"/>
                <w:sz w:val="18"/>
                <w:szCs w:val="18"/>
                <w:lang w:val="es-ES"/>
              </w:rPr>
              <w:t> </w:t>
            </w:r>
            <w:r w:rsidR="002E5054" w:rsidRPr="008310EB">
              <w:rPr>
                <w:rFonts w:ascii="Cambria" w:hAnsi="Cambria"/>
                <w:sz w:val="18"/>
                <w:szCs w:val="18"/>
                <w:lang w:val="es-ES"/>
              </w:rPr>
              <w:t>Otorgue a Michael Domingues una reparación efectiva, que incluya la conmutación de la sentencia.</w:t>
            </w:r>
          </w:p>
        </w:tc>
        <w:tc>
          <w:tcPr>
            <w:tcW w:w="2250" w:type="dxa"/>
            <w:shd w:val="clear" w:color="auto" w:fill="auto"/>
            <w:vAlign w:val="center"/>
          </w:tcPr>
          <w:p w14:paraId="72924E00" w14:textId="6BD87DD1" w:rsidR="00D70EA9" w:rsidRPr="008310EB" w:rsidRDefault="00B07540" w:rsidP="00F20356">
            <w:pPr>
              <w:spacing w:after="0" w:line="240" w:lineRule="auto"/>
              <w:jc w:val="center"/>
              <w:rPr>
                <w:rFonts w:ascii="Cambria" w:hAnsi="Cambria" w:cs="Calibri"/>
                <w:sz w:val="18"/>
                <w:szCs w:val="18"/>
                <w:lang w:val="es-ES"/>
              </w:rPr>
            </w:pPr>
            <w:r w:rsidRPr="008310EB">
              <w:rPr>
                <w:rFonts w:ascii="Cambria" w:hAnsi="Cambria" w:cs="Calibri"/>
                <w:color w:val="000000"/>
                <w:sz w:val="18"/>
                <w:szCs w:val="18"/>
                <w:lang w:val="es-ES"/>
              </w:rPr>
              <w:t>Cumplimiento total</w:t>
            </w:r>
            <w:r w:rsidR="008C015E">
              <w:rPr>
                <w:rStyle w:val="FootnoteReference"/>
                <w:rFonts w:ascii="Cambria" w:hAnsi="Cambria" w:cs="Calibri"/>
                <w:color w:val="000000"/>
                <w:sz w:val="18"/>
                <w:szCs w:val="18"/>
                <w:lang w:val="es-ES"/>
              </w:rPr>
              <w:footnoteReference w:id="1"/>
            </w:r>
          </w:p>
        </w:tc>
      </w:tr>
      <w:tr w:rsidR="002E5054" w:rsidRPr="008310EB" w14:paraId="067DDDC7" w14:textId="77777777" w:rsidTr="008854D5">
        <w:tc>
          <w:tcPr>
            <w:tcW w:w="7290" w:type="dxa"/>
            <w:shd w:val="clear" w:color="auto" w:fill="auto"/>
          </w:tcPr>
          <w:p w14:paraId="02CDAE0F" w14:textId="77777777" w:rsidR="002E5054" w:rsidRPr="008310EB" w:rsidRDefault="002E5054" w:rsidP="005C0B8F">
            <w:pPr>
              <w:spacing w:after="0" w:line="240" w:lineRule="auto"/>
              <w:jc w:val="both"/>
              <w:rPr>
                <w:rFonts w:ascii="Cambria" w:hAnsi="Cambria" w:cs="Calibri"/>
                <w:sz w:val="18"/>
                <w:szCs w:val="18"/>
                <w:lang w:val="es-ES"/>
              </w:rPr>
            </w:pPr>
            <w:r w:rsidRPr="008310EB">
              <w:rPr>
                <w:rFonts w:ascii="Cambria" w:hAnsi="Cambria"/>
                <w:sz w:val="18"/>
                <w:szCs w:val="18"/>
                <w:lang w:val="es-ES"/>
              </w:rPr>
              <w:t>2. Revise sus leyes, procedimientos y prácticas para garantizar que la pena de muerte no se impone a personas que, en momentos de cometer su delito, tengan menos de 18 años de edad.</w:t>
            </w:r>
          </w:p>
        </w:tc>
        <w:tc>
          <w:tcPr>
            <w:tcW w:w="2250" w:type="dxa"/>
            <w:shd w:val="clear" w:color="auto" w:fill="auto"/>
            <w:vAlign w:val="center"/>
          </w:tcPr>
          <w:p w14:paraId="279B28ED" w14:textId="40B4D63D" w:rsidR="002E5054" w:rsidRPr="008310EB" w:rsidRDefault="002E5054" w:rsidP="00F20356">
            <w:pPr>
              <w:spacing w:after="0" w:line="240" w:lineRule="auto"/>
              <w:jc w:val="center"/>
              <w:rPr>
                <w:rFonts w:ascii="Cambria" w:hAnsi="Cambria" w:cs="Calibri"/>
                <w:color w:val="000000"/>
                <w:sz w:val="18"/>
                <w:szCs w:val="18"/>
                <w:lang w:val="es-ES"/>
              </w:rPr>
            </w:pPr>
            <w:r w:rsidRPr="008310EB">
              <w:rPr>
                <w:rFonts w:ascii="Cambria" w:hAnsi="Cambria" w:cs="Calibri"/>
                <w:color w:val="000000"/>
                <w:sz w:val="18"/>
                <w:szCs w:val="18"/>
                <w:lang w:val="es-ES"/>
              </w:rPr>
              <w:t>Cumplimiento total</w:t>
            </w:r>
            <w:r w:rsidR="008C015E">
              <w:rPr>
                <w:rStyle w:val="FootnoteReference"/>
                <w:rFonts w:ascii="Cambria" w:hAnsi="Cambria" w:cs="Calibri"/>
                <w:color w:val="000000"/>
                <w:sz w:val="18"/>
                <w:szCs w:val="18"/>
                <w:lang w:val="es-ES"/>
              </w:rPr>
              <w:footnoteReference w:id="2"/>
            </w:r>
          </w:p>
        </w:tc>
      </w:tr>
    </w:tbl>
    <w:p w14:paraId="25B1BEF6" w14:textId="77777777" w:rsidR="001551A8" w:rsidRPr="008310EB" w:rsidRDefault="001551A8" w:rsidP="001551A8">
      <w:pPr>
        <w:pStyle w:val="ListParagraph"/>
        <w:spacing w:after="0" w:line="240" w:lineRule="auto"/>
        <w:ind w:left="1440"/>
        <w:jc w:val="both"/>
        <w:rPr>
          <w:rFonts w:ascii="Cambria" w:hAnsi="Cambria" w:cs="Calibri Light"/>
          <w:sz w:val="20"/>
          <w:szCs w:val="20"/>
          <w:lang w:val="es-ES"/>
        </w:rPr>
      </w:pPr>
    </w:p>
    <w:p w14:paraId="2EF7A887" w14:textId="77777777" w:rsidR="00D70EA9" w:rsidRPr="008310EB" w:rsidRDefault="00B4501B" w:rsidP="001924E0">
      <w:pPr>
        <w:pStyle w:val="ListParagraph"/>
        <w:numPr>
          <w:ilvl w:val="0"/>
          <w:numId w:val="1"/>
        </w:numPr>
        <w:spacing w:after="0" w:line="240" w:lineRule="auto"/>
        <w:ind w:left="1440"/>
        <w:jc w:val="both"/>
        <w:rPr>
          <w:rFonts w:ascii="Cambria" w:hAnsi="Cambria" w:cs="Calibri Light"/>
          <w:b/>
          <w:sz w:val="20"/>
          <w:szCs w:val="20"/>
          <w:lang w:val="es-ES"/>
        </w:rPr>
      </w:pPr>
      <w:r w:rsidRPr="008310EB">
        <w:rPr>
          <w:rFonts w:ascii="Cambria" w:hAnsi="Cambria"/>
          <w:b/>
          <w:sz w:val="20"/>
          <w:szCs w:val="20"/>
          <w:lang w:val="es-ES"/>
        </w:rPr>
        <w:t>Actividad Procesal</w:t>
      </w:r>
    </w:p>
    <w:p w14:paraId="6E090F9E" w14:textId="77777777" w:rsidR="00885EA5" w:rsidRPr="008310EB" w:rsidRDefault="00885EA5" w:rsidP="00885EA5">
      <w:pPr>
        <w:spacing w:after="0" w:line="240" w:lineRule="auto"/>
        <w:ind w:left="720"/>
        <w:jc w:val="both"/>
        <w:rPr>
          <w:rFonts w:ascii="Cambria" w:hAnsi="Cambria" w:cs="Calibri Light"/>
          <w:sz w:val="20"/>
          <w:szCs w:val="20"/>
          <w:lang w:val="es-ES"/>
        </w:rPr>
      </w:pPr>
    </w:p>
    <w:p w14:paraId="56E1139B" w14:textId="0170A73D" w:rsidR="007E5D8C" w:rsidRPr="008310EB" w:rsidRDefault="00795D91" w:rsidP="00321673">
      <w:pPr>
        <w:numPr>
          <w:ilvl w:val="0"/>
          <w:numId w:val="3"/>
        </w:numPr>
        <w:spacing w:after="0" w:line="240" w:lineRule="auto"/>
        <w:ind w:left="0" w:firstLine="720"/>
        <w:jc w:val="both"/>
        <w:rPr>
          <w:rFonts w:ascii="Cambria" w:hAnsi="Cambria" w:cs="Calibri Light"/>
          <w:sz w:val="20"/>
          <w:szCs w:val="20"/>
          <w:lang w:val="es-ES"/>
        </w:rPr>
      </w:pPr>
      <w:r w:rsidRPr="008310EB">
        <w:rPr>
          <w:rFonts w:ascii="Cambria" w:hAnsi="Cambria"/>
          <w:sz w:val="20"/>
          <w:szCs w:val="20"/>
          <w:lang w:val="es-ES" w:eastAsia="es-ES_tradnl"/>
        </w:rPr>
        <w:t>La CIDH solicitó</w:t>
      </w:r>
      <w:r w:rsidR="007E5D8C" w:rsidRPr="008310EB">
        <w:rPr>
          <w:rFonts w:ascii="Cambria" w:hAnsi="Cambria"/>
          <w:sz w:val="20"/>
          <w:szCs w:val="20"/>
          <w:lang w:val="es-ES" w:eastAsia="es-ES_tradnl"/>
        </w:rPr>
        <w:t xml:space="preserve"> información actualizada sobre el cumplimiento a</w:t>
      </w:r>
      <w:r w:rsidR="00270F88" w:rsidRPr="008310EB">
        <w:rPr>
          <w:rFonts w:ascii="Cambria" w:hAnsi="Cambria"/>
          <w:sz w:val="20"/>
          <w:szCs w:val="20"/>
          <w:lang w:val="es-ES" w:eastAsia="es-ES_tradnl"/>
        </w:rPr>
        <w:t xml:space="preserve"> </w:t>
      </w:r>
      <w:r w:rsidR="007E5D8C" w:rsidRPr="008310EB">
        <w:rPr>
          <w:rFonts w:ascii="Cambria" w:hAnsi="Cambria"/>
          <w:sz w:val="20"/>
          <w:szCs w:val="20"/>
          <w:lang w:val="es-ES" w:eastAsia="es-ES_tradnl"/>
        </w:rPr>
        <w:t>l</w:t>
      </w:r>
      <w:r w:rsidR="00270F88" w:rsidRPr="008310EB">
        <w:rPr>
          <w:rFonts w:ascii="Cambria" w:hAnsi="Cambria"/>
          <w:sz w:val="20"/>
          <w:szCs w:val="20"/>
          <w:lang w:val="es-ES" w:eastAsia="es-ES_tradnl"/>
        </w:rPr>
        <w:t xml:space="preserve">as partes </w:t>
      </w:r>
      <w:r w:rsidR="007E5D8C" w:rsidRPr="008310EB">
        <w:rPr>
          <w:rFonts w:ascii="Cambria" w:hAnsi="Cambria"/>
          <w:sz w:val="20"/>
          <w:szCs w:val="20"/>
          <w:lang w:val="es-ES" w:eastAsia="es-ES_tradnl"/>
        </w:rPr>
        <w:t>en 2003, 200</w:t>
      </w:r>
      <w:r w:rsidR="004A4BDF" w:rsidRPr="008310EB">
        <w:rPr>
          <w:rFonts w:ascii="Cambria" w:hAnsi="Cambria"/>
          <w:sz w:val="20"/>
          <w:szCs w:val="20"/>
          <w:lang w:val="es-ES" w:eastAsia="es-ES_tradnl"/>
        </w:rPr>
        <w:t>4 y 2005.</w:t>
      </w:r>
      <w:r w:rsidR="007E5D8C" w:rsidRPr="008310EB">
        <w:rPr>
          <w:rFonts w:ascii="Cambria" w:hAnsi="Cambria"/>
          <w:sz w:val="20"/>
          <w:szCs w:val="20"/>
          <w:lang w:val="es-ES" w:eastAsia="es-ES_tradnl"/>
        </w:rPr>
        <w:t xml:space="preserve"> </w:t>
      </w:r>
      <w:r w:rsidR="004A4BDF" w:rsidRPr="008310EB">
        <w:rPr>
          <w:rFonts w:ascii="Cambria" w:hAnsi="Cambria"/>
          <w:sz w:val="20"/>
          <w:szCs w:val="20"/>
          <w:lang w:val="es-ES" w:eastAsia="es-ES_tradnl"/>
        </w:rPr>
        <w:t>E</w:t>
      </w:r>
      <w:r w:rsidR="007E5D8C" w:rsidRPr="008310EB">
        <w:rPr>
          <w:rFonts w:ascii="Cambria" w:hAnsi="Cambria"/>
          <w:sz w:val="20"/>
          <w:szCs w:val="20"/>
          <w:lang w:val="es-ES" w:eastAsia="es-ES_tradnl"/>
        </w:rPr>
        <w:t>l Estado proporcionó dicha información</w:t>
      </w:r>
      <w:r w:rsidRPr="008310EB">
        <w:rPr>
          <w:rFonts w:ascii="Cambria" w:hAnsi="Cambria"/>
          <w:sz w:val="20"/>
          <w:szCs w:val="20"/>
          <w:lang w:val="es-ES" w:eastAsia="es-ES_tradnl"/>
        </w:rPr>
        <w:t xml:space="preserve"> </w:t>
      </w:r>
      <w:r w:rsidR="004B3F4C" w:rsidRPr="008310EB">
        <w:rPr>
          <w:rFonts w:ascii="Cambria" w:hAnsi="Cambria"/>
          <w:snapToGrid w:val="0"/>
          <w:sz w:val="20"/>
          <w:szCs w:val="20"/>
          <w:lang w:val="es-ES" w:eastAsia="es-ES_tradnl"/>
        </w:rPr>
        <w:t>los días</w:t>
      </w:r>
      <w:r w:rsidR="007E12B0" w:rsidRPr="008310EB">
        <w:rPr>
          <w:rFonts w:ascii="Cambria" w:hAnsi="Cambria"/>
          <w:snapToGrid w:val="0"/>
          <w:sz w:val="20"/>
          <w:szCs w:val="20"/>
          <w:lang w:val="es-ES" w:eastAsia="es-ES_tradnl"/>
        </w:rPr>
        <w:t xml:space="preserve"> 6 de diciembre de 2003, 19 de diciembre de 2003</w:t>
      </w:r>
      <w:r w:rsidR="008F3678" w:rsidRPr="008310EB">
        <w:rPr>
          <w:rFonts w:ascii="Cambria" w:hAnsi="Cambria"/>
          <w:snapToGrid w:val="0"/>
          <w:sz w:val="20"/>
          <w:szCs w:val="20"/>
          <w:lang w:val="es-ES" w:eastAsia="es-ES_tradnl"/>
        </w:rPr>
        <w:t xml:space="preserve"> y</w:t>
      </w:r>
      <w:r w:rsidR="004E5670" w:rsidRPr="008310EB">
        <w:rPr>
          <w:rFonts w:ascii="Cambria" w:hAnsi="Cambria"/>
          <w:snapToGrid w:val="0"/>
          <w:sz w:val="20"/>
          <w:szCs w:val="20"/>
          <w:lang w:val="es-ES" w:eastAsia="es-ES_tradnl"/>
        </w:rPr>
        <w:t xml:space="preserve"> 28 de diciembre de 2005</w:t>
      </w:r>
      <w:r w:rsidR="00ED4FB8" w:rsidRPr="008310EB">
        <w:rPr>
          <w:rFonts w:ascii="Cambria" w:hAnsi="Cambria"/>
          <w:snapToGrid w:val="0"/>
          <w:sz w:val="20"/>
          <w:szCs w:val="20"/>
          <w:lang w:val="es-ES" w:eastAsia="es-ES_tradnl"/>
        </w:rPr>
        <w:t xml:space="preserve">. </w:t>
      </w:r>
    </w:p>
    <w:p w14:paraId="64B8E660" w14:textId="77777777" w:rsidR="007E5D8C" w:rsidRPr="008310EB" w:rsidRDefault="007E5D8C" w:rsidP="00321673">
      <w:pPr>
        <w:spacing w:after="0" w:line="240" w:lineRule="auto"/>
        <w:ind w:left="720"/>
        <w:jc w:val="both"/>
        <w:rPr>
          <w:rFonts w:ascii="Cambria" w:hAnsi="Cambria" w:cs="Calibri Light"/>
          <w:sz w:val="20"/>
          <w:szCs w:val="20"/>
          <w:lang w:val="es-ES"/>
        </w:rPr>
      </w:pPr>
    </w:p>
    <w:p w14:paraId="01CDFEB2" w14:textId="13BA14B4" w:rsidR="00ED4FB8" w:rsidRPr="008310EB" w:rsidRDefault="004E5670" w:rsidP="00321673">
      <w:pPr>
        <w:numPr>
          <w:ilvl w:val="0"/>
          <w:numId w:val="3"/>
        </w:numPr>
        <w:spacing w:after="0" w:line="240" w:lineRule="auto"/>
        <w:ind w:left="0" w:firstLine="720"/>
        <w:jc w:val="both"/>
        <w:rPr>
          <w:rFonts w:ascii="Cambria" w:hAnsi="Cambria" w:cs="Calibri Light"/>
          <w:sz w:val="20"/>
          <w:szCs w:val="20"/>
          <w:lang w:val="es-ES"/>
        </w:rPr>
      </w:pPr>
      <w:r w:rsidRPr="008310EB">
        <w:rPr>
          <w:rFonts w:ascii="Cambria" w:hAnsi="Cambria"/>
          <w:snapToGrid w:val="0"/>
          <w:sz w:val="20"/>
          <w:szCs w:val="20"/>
          <w:lang w:val="es-ES" w:eastAsia="es-ES_tradnl"/>
        </w:rPr>
        <w:t xml:space="preserve">Por su parte, </w:t>
      </w:r>
      <w:r w:rsidRPr="008310EB">
        <w:rPr>
          <w:rFonts w:ascii="Cambria" w:hAnsi="Cambria"/>
          <w:sz w:val="20"/>
          <w:szCs w:val="20"/>
          <w:lang w:val="es-ES" w:eastAsia="es-ES_tradnl"/>
        </w:rPr>
        <w:t>l</w:t>
      </w:r>
      <w:r w:rsidR="00ED4FB8" w:rsidRPr="008310EB">
        <w:rPr>
          <w:rFonts w:ascii="Cambria" w:hAnsi="Cambria"/>
          <w:sz w:val="20"/>
          <w:szCs w:val="20"/>
          <w:lang w:val="es-ES" w:eastAsia="es-ES_tradnl"/>
        </w:rPr>
        <w:t xml:space="preserve">os peticionarios remitieron información </w:t>
      </w:r>
      <w:r w:rsidR="004B3F4C" w:rsidRPr="008310EB">
        <w:rPr>
          <w:rFonts w:ascii="Cambria" w:hAnsi="Cambria"/>
          <w:sz w:val="20"/>
          <w:szCs w:val="20"/>
          <w:lang w:val="es-ES" w:eastAsia="es-ES_tradnl"/>
        </w:rPr>
        <w:t>los días 17 de diciembre de 2003</w:t>
      </w:r>
      <w:r w:rsidR="008F3678" w:rsidRPr="008310EB">
        <w:rPr>
          <w:rFonts w:ascii="Cambria" w:hAnsi="Cambria"/>
          <w:sz w:val="20"/>
          <w:szCs w:val="20"/>
          <w:lang w:val="es-ES" w:eastAsia="es-ES_tradnl"/>
        </w:rPr>
        <w:t>, 1 de diciembre de 2004 y</w:t>
      </w:r>
      <w:r w:rsidR="00FE0067" w:rsidRPr="008310EB">
        <w:rPr>
          <w:rFonts w:ascii="Cambria" w:hAnsi="Cambria"/>
          <w:sz w:val="20"/>
          <w:szCs w:val="20"/>
          <w:lang w:val="es-ES" w:eastAsia="es-ES_tradnl"/>
        </w:rPr>
        <w:t xml:space="preserve"> </w:t>
      </w:r>
      <w:r w:rsidRPr="008310EB">
        <w:rPr>
          <w:rFonts w:ascii="Cambria" w:hAnsi="Cambria"/>
          <w:sz w:val="20"/>
          <w:szCs w:val="20"/>
          <w:lang w:val="es-ES" w:eastAsia="es-ES_tradnl"/>
        </w:rPr>
        <w:t>20 de diciembre de 2005</w:t>
      </w:r>
      <w:r w:rsidR="00ED4FB8" w:rsidRPr="008310EB">
        <w:rPr>
          <w:rFonts w:ascii="Cambria" w:hAnsi="Cambria"/>
          <w:sz w:val="20"/>
          <w:szCs w:val="20"/>
          <w:lang w:val="es-ES" w:eastAsia="es-ES_tradnl"/>
        </w:rPr>
        <w:t>.</w:t>
      </w:r>
    </w:p>
    <w:p w14:paraId="5884C427" w14:textId="77777777" w:rsidR="00321673" w:rsidRPr="008310EB" w:rsidRDefault="00321673" w:rsidP="00321673">
      <w:pPr>
        <w:pStyle w:val="ListParagraph"/>
        <w:spacing w:after="0" w:line="240" w:lineRule="auto"/>
        <w:rPr>
          <w:rFonts w:ascii="Cambria" w:hAnsi="Cambria" w:cs="Calibri Light"/>
          <w:sz w:val="20"/>
          <w:szCs w:val="20"/>
          <w:lang w:val="es-ES"/>
        </w:rPr>
      </w:pPr>
    </w:p>
    <w:p w14:paraId="11D94DA7" w14:textId="7865E6C1" w:rsidR="00321673" w:rsidRPr="008310EB" w:rsidRDefault="00321673" w:rsidP="00321673">
      <w:pPr>
        <w:numPr>
          <w:ilvl w:val="0"/>
          <w:numId w:val="3"/>
        </w:numPr>
        <w:spacing w:after="0" w:line="240" w:lineRule="auto"/>
        <w:ind w:left="0" w:firstLine="720"/>
        <w:jc w:val="both"/>
        <w:rPr>
          <w:rFonts w:ascii="Cambria" w:hAnsi="Cambria" w:cs="Calibri Light"/>
          <w:sz w:val="20"/>
          <w:szCs w:val="20"/>
          <w:lang w:val="es-ES"/>
        </w:rPr>
      </w:pPr>
      <w:r w:rsidRPr="008310EB">
        <w:rPr>
          <w:rFonts w:ascii="Cambria" w:hAnsi="Cambria" w:cs="Calibri Light"/>
          <w:sz w:val="20"/>
          <w:szCs w:val="20"/>
          <w:lang w:val="es-ES"/>
        </w:rPr>
        <w:t xml:space="preserve">El caso estuvo en la etapa de seguimiento de recomendaciones por 3 años. </w:t>
      </w:r>
    </w:p>
    <w:p w14:paraId="2D3DDDC0" w14:textId="6EA415DB" w:rsidR="00D70EA9" w:rsidRDefault="006057FA" w:rsidP="006057FA">
      <w:pPr>
        <w:tabs>
          <w:tab w:val="left" w:pos="3081"/>
        </w:tabs>
        <w:spacing w:after="0" w:line="240" w:lineRule="auto"/>
        <w:rPr>
          <w:rFonts w:ascii="Cambria" w:hAnsi="Cambria"/>
          <w:color w:val="7030A0"/>
          <w:sz w:val="20"/>
          <w:szCs w:val="20"/>
          <w:lang w:val="es-ES"/>
        </w:rPr>
      </w:pPr>
      <w:r>
        <w:rPr>
          <w:rFonts w:ascii="Cambria" w:hAnsi="Cambria"/>
          <w:color w:val="7030A0"/>
          <w:sz w:val="20"/>
          <w:szCs w:val="20"/>
          <w:lang w:val="es-ES"/>
        </w:rPr>
        <w:tab/>
      </w:r>
    </w:p>
    <w:p w14:paraId="27E76055" w14:textId="72675466" w:rsidR="006057FA" w:rsidRDefault="006057FA" w:rsidP="006057FA">
      <w:pPr>
        <w:tabs>
          <w:tab w:val="left" w:pos="3081"/>
        </w:tabs>
        <w:spacing w:after="0" w:line="240" w:lineRule="auto"/>
        <w:rPr>
          <w:rFonts w:ascii="Cambria" w:hAnsi="Cambria"/>
          <w:color w:val="7030A0"/>
          <w:sz w:val="20"/>
          <w:szCs w:val="20"/>
          <w:lang w:val="es-ES"/>
        </w:rPr>
      </w:pPr>
    </w:p>
    <w:p w14:paraId="011DBDC0" w14:textId="251A6DC4" w:rsidR="006057FA" w:rsidRDefault="006057FA" w:rsidP="006057FA">
      <w:pPr>
        <w:tabs>
          <w:tab w:val="left" w:pos="3081"/>
        </w:tabs>
        <w:spacing w:after="0" w:line="240" w:lineRule="auto"/>
        <w:rPr>
          <w:rFonts w:ascii="Cambria" w:hAnsi="Cambria"/>
          <w:color w:val="7030A0"/>
          <w:sz w:val="20"/>
          <w:szCs w:val="20"/>
          <w:lang w:val="es-ES"/>
        </w:rPr>
      </w:pPr>
    </w:p>
    <w:p w14:paraId="01F1D1BF" w14:textId="77777777" w:rsidR="006057FA" w:rsidRPr="008310EB" w:rsidRDefault="006057FA" w:rsidP="006057FA">
      <w:pPr>
        <w:tabs>
          <w:tab w:val="left" w:pos="3081"/>
        </w:tabs>
        <w:spacing w:after="0" w:line="240" w:lineRule="auto"/>
        <w:rPr>
          <w:rFonts w:ascii="Cambria" w:hAnsi="Cambria"/>
          <w:color w:val="7030A0"/>
          <w:sz w:val="20"/>
          <w:szCs w:val="20"/>
          <w:lang w:val="es-ES"/>
        </w:rPr>
      </w:pPr>
      <w:bookmarkStart w:id="0" w:name="_GoBack"/>
      <w:bookmarkEnd w:id="0"/>
    </w:p>
    <w:p w14:paraId="3970C812" w14:textId="77777777" w:rsidR="00BD2642" w:rsidRPr="008310EB" w:rsidRDefault="00B4501B" w:rsidP="00BD2642">
      <w:pPr>
        <w:numPr>
          <w:ilvl w:val="0"/>
          <w:numId w:val="1"/>
        </w:numPr>
        <w:spacing w:after="0" w:line="240" w:lineRule="auto"/>
        <w:ind w:left="1440"/>
        <w:contextualSpacing/>
        <w:jc w:val="both"/>
        <w:rPr>
          <w:rFonts w:ascii="Cambria" w:hAnsi="Cambria" w:cs="Calibri Light"/>
          <w:b/>
          <w:sz w:val="20"/>
          <w:szCs w:val="20"/>
          <w:lang w:val="es-ES"/>
        </w:rPr>
      </w:pPr>
      <w:r w:rsidRPr="008310EB">
        <w:rPr>
          <w:rFonts w:ascii="Cambria" w:hAnsi="Cambria" w:cs="Calibri Light"/>
          <w:b/>
          <w:sz w:val="20"/>
          <w:szCs w:val="20"/>
          <w:lang w:val="es-ES"/>
        </w:rPr>
        <w:lastRenderedPageBreak/>
        <w:t>Nivel del cumplimiento del caso</w:t>
      </w:r>
    </w:p>
    <w:p w14:paraId="36B832A8" w14:textId="77777777" w:rsidR="008B5BD7" w:rsidRPr="008310EB" w:rsidRDefault="008B5BD7" w:rsidP="008B5BD7">
      <w:pPr>
        <w:spacing w:after="0" w:line="240" w:lineRule="auto"/>
        <w:jc w:val="both"/>
        <w:rPr>
          <w:rFonts w:ascii="Cambria" w:hAnsi="Cambria" w:cs="Calibri Light"/>
          <w:sz w:val="20"/>
          <w:szCs w:val="20"/>
          <w:lang w:val="es-ES"/>
        </w:rPr>
      </w:pPr>
    </w:p>
    <w:p w14:paraId="537C21E2" w14:textId="77777777" w:rsidR="00E41D90" w:rsidRPr="008310EB" w:rsidRDefault="00E24D66" w:rsidP="00E24D66">
      <w:pPr>
        <w:numPr>
          <w:ilvl w:val="0"/>
          <w:numId w:val="3"/>
        </w:numPr>
        <w:spacing w:after="0" w:line="240" w:lineRule="auto"/>
        <w:ind w:left="0" w:firstLine="720"/>
        <w:jc w:val="both"/>
        <w:rPr>
          <w:rFonts w:ascii="Cambria" w:hAnsi="Cambria"/>
          <w:sz w:val="20"/>
          <w:szCs w:val="20"/>
          <w:lang w:val="es-ES"/>
        </w:rPr>
      </w:pPr>
      <w:r w:rsidRPr="008310EB">
        <w:rPr>
          <w:rFonts w:ascii="Cambria" w:hAnsi="Cambria" w:cs="Calibri Light"/>
          <w:sz w:val="20"/>
          <w:szCs w:val="20"/>
          <w:lang w:val="es-ES"/>
        </w:rPr>
        <w:t xml:space="preserve">La Comisión declaró el cumplimiento total del caso y </w:t>
      </w:r>
      <w:r w:rsidR="00EB22C5" w:rsidRPr="008310EB">
        <w:rPr>
          <w:rFonts w:ascii="Cambria" w:hAnsi="Cambria" w:cs="Calibri Light"/>
          <w:sz w:val="20"/>
          <w:szCs w:val="20"/>
          <w:lang w:val="es-ES"/>
        </w:rPr>
        <w:t>el cese de supervisión de cumplimiento de las recomendaciones emitidas en el I</w:t>
      </w:r>
      <w:r w:rsidR="0077117A" w:rsidRPr="008310EB">
        <w:rPr>
          <w:rFonts w:ascii="Cambria" w:hAnsi="Cambria" w:cs="Calibri Light"/>
          <w:sz w:val="20"/>
          <w:szCs w:val="20"/>
          <w:lang w:val="es-ES"/>
        </w:rPr>
        <w:t>nforme de Fondo 62/02</w:t>
      </w:r>
      <w:r w:rsidRPr="008310EB">
        <w:rPr>
          <w:rFonts w:ascii="Cambria" w:hAnsi="Cambria" w:cs="Calibri Light"/>
          <w:sz w:val="20"/>
          <w:szCs w:val="20"/>
          <w:lang w:val="es-ES"/>
        </w:rPr>
        <w:t xml:space="preserve"> en el </w:t>
      </w:r>
      <w:r w:rsidR="000E0C66" w:rsidRPr="008310EB">
        <w:rPr>
          <w:rFonts w:ascii="Cambria" w:hAnsi="Cambria" w:cs="Calibri Light"/>
          <w:sz w:val="20"/>
          <w:szCs w:val="20"/>
          <w:lang w:val="es-ES"/>
        </w:rPr>
        <w:t>Informe Anual 2005</w:t>
      </w:r>
      <w:r w:rsidR="00E41D90" w:rsidRPr="008310EB">
        <w:rPr>
          <w:rStyle w:val="FootnoteReference"/>
          <w:rFonts w:ascii="Cambria" w:hAnsi="Cambria" w:cs="Calibri Light"/>
          <w:sz w:val="20"/>
          <w:szCs w:val="20"/>
          <w:lang w:val="es-ES"/>
        </w:rPr>
        <w:footnoteReference w:id="3"/>
      </w:r>
      <w:r w:rsidR="000E0C66" w:rsidRPr="008310EB">
        <w:rPr>
          <w:rFonts w:ascii="Cambria" w:hAnsi="Cambria" w:cs="Calibri Light"/>
          <w:sz w:val="20"/>
          <w:szCs w:val="20"/>
          <w:lang w:val="es-ES"/>
        </w:rPr>
        <w:t>.</w:t>
      </w:r>
    </w:p>
    <w:p w14:paraId="5C2CC68C" w14:textId="77777777" w:rsidR="002377B1" w:rsidRPr="008310EB" w:rsidRDefault="002377B1" w:rsidP="002377B1">
      <w:pPr>
        <w:spacing w:after="0" w:line="240" w:lineRule="auto"/>
        <w:ind w:left="720"/>
        <w:jc w:val="both"/>
        <w:rPr>
          <w:rFonts w:ascii="Cambria" w:hAnsi="Cambria"/>
          <w:color w:val="7030A0"/>
          <w:sz w:val="20"/>
          <w:szCs w:val="20"/>
          <w:lang w:val="es-ES"/>
        </w:rPr>
      </w:pPr>
    </w:p>
    <w:p w14:paraId="3CC9D4D5" w14:textId="77777777" w:rsidR="00D70EA9" w:rsidRPr="008310EB" w:rsidRDefault="00B4501B" w:rsidP="0092660C">
      <w:pPr>
        <w:numPr>
          <w:ilvl w:val="0"/>
          <w:numId w:val="1"/>
        </w:numPr>
        <w:spacing w:after="0" w:line="240" w:lineRule="auto"/>
        <w:ind w:left="1440"/>
        <w:contextualSpacing/>
        <w:jc w:val="both"/>
        <w:rPr>
          <w:rFonts w:ascii="Cambria" w:hAnsi="Cambria" w:cs="Calibri Light"/>
          <w:b/>
          <w:sz w:val="20"/>
          <w:szCs w:val="20"/>
          <w:lang w:val="es-ES"/>
        </w:rPr>
      </w:pPr>
      <w:r w:rsidRPr="008310EB">
        <w:rPr>
          <w:rFonts w:ascii="Cambria" w:hAnsi="Cambria" w:cs="Calibri Light"/>
          <w:b/>
          <w:sz w:val="20"/>
          <w:szCs w:val="20"/>
          <w:lang w:val="es-ES"/>
        </w:rPr>
        <w:t>Resultados individuales y estructurales del caso</w:t>
      </w:r>
      <w:r w:rsidR="00D70EA9" w:rsidRPr="008310EB">
        <w:rPr>
          <w:rFonts w:ascii="Cambria" w:hAnsi="Cambria" w:cs="Calibri Light"/>
          <w:b/>
          <w:sz w:val="20"/>
          <w:szCs w:val="20"/>
          <w:lang w:val="es-ES"/>
        </w:rPr>
        <w:t xml:space="preserve"> </w:t>
      </w:r>
    </w:p>
    <w:p w14:paraId="25F6BF67" w14:textId="77777777" w:rsidR="00BD2642" w:rsidRPr="008310EB" w:rsidRDefault="00BD2642" w:rsidP="00BD2642">
      <w:pPr>
        <w:spacing w:after="0" w:line="240" w:lineRule="auto"/>
        <w:contextualSpacing/>
        <w:jc w:val="both"/>
        <w:rPr>
          <w:rFonts w:ascii="Cambria" w:hAnsi="Cambria" w:cs="Calibri Light"/>
          <w:b/>
          <w:color w:val="7030A0"/>
          <w:sz w:val="20"/>
          <w:szCs w:val="20"/>
          <w:lang w:val="es-ES"/>
        </w:rPr>
      </w:pPr>
    </w:p>
    <w:p w14:paraId="0619ABF6" w14:textId="77777777" w:rsidR="00BD2642" w:rsidRPr="008310EB" w:rsidRDefault="00E24D66" w:rsidP="00BD2642">
      <w:pPr>
        <w:numPr>
          <w:ilvl w:val="0"/>
          <w:numId w:val="13"/>
        </w:numPr>
        <w:spacing w:after="0" w:line="240" w:lineRule="auto"/>
        <w:jc w:val="both"/>
        <w:rPr>
          <w:rFonts w:ascii="Cambria" w:hAnsi="Cambria" w:cs="Calibri Light"/>
          <w:sz w:val="20"/>
          <w:szCs w:val="20"/>
          <w:lang w:val="es-ES"/>
        </w:rPr>
      </w:pPr>
      <w:r w:rsidRPr="008310EB">
        <w:rPr>
          <w:rFonts w:ascii="Cambria" w:hAnsi="Cambria"/>
          <w:sz w:val="20"/>
          <w:szCs w:val="20"/>
          <w:lang w:val="es-ES"/>
        </w:rPr>
        <w:t>En esta sección se destacan los resultados individuales y estructurales del caso que han sido informados por las partes</w:t>
      </w:r>
      <w:r w:rsidR="00BD2642" w:rsidRPr="008310EB">
        <w:rPr>
          <w:rFonts w:ascii="Cambria" w:hAnsi="Cambria" w:cs="Calibri Light"/>
          <w:sz w:val="20"/>
          <w:szCs w:val="20"/>
          <w:lang w:val="es-ES"/>
        </w:rPr>
        <w:t>.</w:t>
      </w:r>
    </w:p>
    <w:p w14:paraId="21E6B22B" w14:textId="77777777" w:rsidR="00D70EA9" w:rsidRPr="008310EB" w:rsidRDefault="00D70EA9" w:rsidP="00D70EA9">
      <w:pPr>
        <w:spacing w:after="0" w:line="240" w:lineRule="auto"/>
        <w:jc w:val="both"/>
        <w:rPr>
          <w:rFonts w:ascii="Cambria" w:hAnsi="Cambria" w:cs="Calibri Light"/>
          <w:b/>
          <w:sz w:val="20"/>
          <w:szCs w:val="20"/>
          <w:lang w:val="es-ES"/>
        </w:rPr>
      </w:pPr>
    </w:p>
    <w:p w14:paraId="2A4DDF22" w14:textId="77777777" w:rsidR="00BD2642" w:rsidRPr="008310EB" w:rsidRDefault="00B4501B" w:rsidP="00BD2642">
      <w:pPr>
        <w:numPr>
          <w:ilvl w:val="0"/>
          <w:numId w:val="2"/>
        </w:numPr>
        <w:spacing w:after="0" w:line="240" w:lineRule="auto"/>
        <w:ind w:left="1440" w:hanging="720"/>
        <w:contextualSpacing/>
        <w:jc w:val="both"/>
        <w:rPr>
          <w:rFonts w:ascii="Cambria" w:hAnsi="Cambria" w:cs="Calibri Light"/>
          <w:b/>
          <w:sz w:val="20"/>
          <w:szCs w:val="20"/>
          <w:lang w:val="es-ES"/>
        </w:rPr>
      </w:pPr>
      <w:r w:rsidRPr="008310EB">
        <w:rPr>
          <w:rFonts w:ascii="Cambria" w:hAnsi="Cambria" w:cs="Calibri Light"/>
          <w:b/>
          <w:sz w:val="20"/>
          <w:szCs w:val="20"/>
          <w:lang w:val="es-ES"/>
        </w:rPr>
        <w:t>Resultados individuales del caso</w:t>
      </w:r>
    </w:p>
    <w:p w14:paraId="0875E815" w14:textId="77777777" w:rsidR="00D70EA9" w:rsidRPr="008310EB" w:rsidRDefault="00D70EA9" w:rsidP="00D70EA9">
      <w:pPr>
        <w:spacing w:after="0" w:line="240" w:lineRule="auto"/>
        <w:jc w:val="both"/>
        <w:rPr>
          <w:rFonts w:ascii="Cambria" w:hAnsi="Cambria" w:cs="Calibri Light"/>
          <w:sz w:val="20"/>
          <w:szCs w:val="20"/>
          <w:lang w:val="es-ES"/>
        </w:rPr>
      </w:pPr>
    </w:p>
    <w:p w14:paraId="2E55211B" w14:textId="77777777" w:rsidR="00494013" w:rsidRPr="008310EB" w:rsidRDefault="00494013" w:rsidP="00494013">
      <w:pPr>
        <w:spacing w:after="0" w:line="240" w:lineRule="auto"/>
        <w:jc w:val="both"/>
        <w:rPr>
          <w:rFonts w:ascii="Cambria" w:hAnsi="Cambria"/>
          <w:i/>
          <w:sz w:val="20"/>
          <w:szCs w:val="20"/>
          <w:lang w:val="es-ES"/>
        </w:rPr>
      </w:pPr>
      <w:r w:rsidRPr="008310EB">
        <w:rPr>
          <w:rFonts w:ascii="Cambria" w:hAnsi="Cambria"/>
          <w:i/>
          <w:sz w:val="20"/>
          <w:szCs w:val="20"/>
          <w:lang w:val="es-ES"/>
        </w:rPr>
        <w:t>Medida de restitución en el ejercicio del derecho</w:t>
      </w:r>
    </w:p>
    <w:p w14:paraId="12E3DA7C" w14:textId="7BD8CBD3" w:rsidR="00494013" w:rsidRPr="008310EB" w:rsidRDefault="00494013" w:rsidP="00494013">
      <w:pPr>
        <w:pStyle w:val="ListParagraph"/>
        <w:numPr>
          <w:ilvl w:val="0"/>
          <w:numId w:val="17"/>
        </w:numPr>
        <w:spacing w:after="0" w:line="240" w:lineRule="auto"/>
        <w:jc w:val="both"/>
        <w:rPr>
          <w:rFonts w:ascii="Cambria" w:hAnsi="Cambria"/>
          <w:sz w:val="20"/>
          <w:szCs w:val="20"/>
          <w:lang w:val="es-ES"/>
        </w:rPr>
      </w:pPr>
      <w:r w:rsidRPr="008310EB">
        <w:rPr>
          <w:rFonts w:ascii="Cambria" w:hAnsi="Cambria"/>
          <w:sz w:val="20"/>
          <w:szCs w:val="20"/>
          <w:lang w:val="es-ES"/>
        </w:rPr>
        <w:t>Como resultado de</w:t>
      </w:r>
      <w:r w:rsidR="008F3678" w:rsidRPr="008310EB">
        <w:rPr>
          <w:rFonts w:ascii="Cambria" w:hAnsi="Cambria"/>
          <w:sz w:val="20"/>
          <w:szCs w:val="20"/>
          <w:lang w:val="es-ES"/>
        </w:rPr>
        <w:t xml:space="preserve"> la decisión de la Corte Suprema</w:t>
      </w:r>
      <w:r w:rsidRPr="008310EB">
        <w:rPr>
          <w:rFonts w:ascii="Cambria" w:hAnsi="Cambria"/>
          <w:sz w:val="20"/>
          <w:szCs w:val="20"/>
          <w:lang w:val="es-ES"/>
        </w:rPr>
        <w:t xml:space="preserve"> de los Estados Unidos en </w:t>
      </w:r>
      <w:r w:rsidRPr="008310EB">
        <w:rPr>
          <w:rFonts w:ascii="Cambria" w:hAnsi="Cambria"/>
          <w:i/>
          <w:sz w:val="20"/>
          <w:szCs w:val="20"/>
          <w:lang w:val="es-ES"/>
        </w:rPr>
        <w:t>Roper v. Simmons</w:t>
      </w:r>
      <w:r w:rsidRPr="008310EB">
        <w:rPr>
          <w:rFonts w:ascii="Cambria" w:hAnsi="Cambria"/>
          <w:sz w:val="20"/>
          <w:szCs w:val="20"/>
          <w:lang w:val="es-ES"/>
        </w:rPr>
        <w:t xml:space="preserve">, </w:t>
      </w:r>
      <w:r w:rsidR="00C64846" w:rsidRPr="008310EB">
        <w:rPr>
          <w:rFonts w:ascii="Cambria" w:hAnsi="Cambria"/>
          <w:sz w:val="20"/>
          <w:szCs w:val="20"/>
          <w:lang w:val="es-ES"/>
        </w:rPr>
        <w:t>emitida</w:t>
      </w:r>
      <w:r w:rsidRPr="008310EB">
        <w:rPr>
          <w:rFonts w:ascii="Cambria" w:hAnsi="Cambria"/>
          <w:sz w:val="20"/>
          <w:szCs w:val="20"/>
          <w:lang w:val="es-ES"/>
        </w:rPr>
        <w:t xml:space="preserve"> el 2 de marzo de 2005, la sentencia de muerte antes impuesta a Michael Domingues fue conmutada por la de prisión perpetua sin posibilidad de libertad condicional.</w:t>
      </w:r>
    </w:p>
    <w:p w14:paraId="4A417A13" w14:textId="77777777" w:rsidR="00486EDF" w:rsidRPr="008310EB" w:rsidRDefault="00486EDF" w:rsidP="002D5153">
      <w:pPr>
        <w:spacing w:after="0" w:line="240" w:lineRule="auto"/>
        <w:jc w:val="both"/>
        <w:rPr>
          <w:rFonts w:ascii="Cambria" w:hAnsi="Cambria" w:cs="Calibri Light"/>
          <w:sz w:val="20"/>
          <w:szCs w:val="20"/>
          <w:lang w:val="es-ES"/>
        </w:rPr>
      </w:pPr>
    </w:p>
    <w:p w14:paraId="4CF4F921" w14:textId="77777777" w:rsidR="00BD2642" w:rsidRPr="008310EB" w:rsidRDefault="00B4501B" w:rsidP="00BD2642">
      <w:pPr>
        <w:numPr>
          <w:ilvl w:val="0"/>
          <w:numId w:val="2"/>
        </w:numPr>
        <w:spacing w:after="0" w:line="240" w:lineRule="auto"/>
        <w:contextualSpacing/>
        <w:jc w:val="both"/>
        <w:rPr>
          <w:rFonts w:ascii="Cambria" w:hAnsi="Cambria" w:cs="Calibri Light"/>
          <w:b/>
          <w:sz w:val="20"/>
          <w:szCs w:val="20"/>
          <w:lang w:val="es-ES"/>
        </w:rPr>
      </w:pPr>
      <w:r w:rsidRPr="008310EB">
        <w:rPr>
          <w:rFonts w:ascii="Cambria" w:hAnsi="Cambria" w:cs="Calibri Light"/>
          <w:b/>
          <w:sz w:val="20"/>
          <w:szCs w:val="20"/>
          <w:lang w:val="es-ES"/>
        </w:rPr>
        <w:t>Resultados estructurales del caso</w:t>
      </w:r>
    </w:p>
    <w:p w14:paraId="6D0632BD" w14:textId="77777777" w:rsidR="00F733F6" w:rsidRPr="008310EB" w:rsidRDefault="00F733F6" w:rsidP="00423BAA">
      <w:pPr>
        <w:spacing w:after="0" w:line="240" w:lineRule="auto"/>
        <w:contextualSpacing/>
        <w:jc w:val="both"/>
        <w:rPr>
          <w:rFonts w:ascii="Cambria" w:hAnsi="Cambria"/>
          <w:sz w:val="20"/>
          <w:szCs w:val="20"/>
          <w:lang w:val="es-ES"/>
        </w:rPr>
      </w:pPr>
    </w:p>
    <w:p w14:paraId="21D56F01" w14:textId="77777777" w:rsidR="00F733F6" w:rsidRPr="008310EB" w:rsidRDefault="00E24D66" w:rsidP="00F733F6">
      <w:pPr>
        <w:spacing w:after="0" w:line="240" w:lineRule="auto"/>
        <w:contextualSpacing/>
        <w:jc w:val="both"/>
        <w:rPr>
          <w:rFonts w:ascii="Cambria" w:hAnsi="Cambria"/>
          <w:i/>
          <w:sz w:val="20"/>
          <w:szCs w:val="20"/>
          <w:lang w:val="es-ES"/>
        </w:rPr>
      </w:pPr>
      <w:r w:rsidRPr="008310EB">
        <w:rPr>
          <w:rFonts w:ascii="Cambria" w:hAnsi="Cambria"/>
          <w:i/>
          <w:sz w:val="20"/>
          <w:szCs w:val="20"/>
          <w:lang w:val="es-ES"/>
        </w:rPr>
        <w:t>Legislación/</w:t>
      </w:r>
      <w:r w:rsidR="000444A6" w:rsidRPr="008310EB">
        <w:rPr>
          <w:rFonts w:ascii="Cambria" w:hAnsi="Cambria"/>
          <w:i/>
          <w:sz w:val="20"/>
          <w:szCs w:val="20"/>
          <w:lang w:val="es-ES"/>
        </w:rPr>
        <w:t>Normativa</w:t>
      </w:r>
    </w:p>
    <w:p w14:paraId="14103409" w14:textId="771F5920" w:rsidR="000444A6" w:rsidRPr="008310EB" w:rsidRDefault="000444A6" w:rsidP="000444A6">
      <w:pPr>
        <w:pStyle w:val="ListParagraph"/>
        <w:numPr>
          <w:ilvl w:val="0"/>
          <w:numId w:val="10"/>
        </w:numPr>
        <w:spacing w:after="0" w:line="240" w:lineRule="auto"/>
        <w:jc w:val="both"/>
        <w:rPr>
          <w:rFonts w:ascii="Cambria" w:hAnsi="Cambria"/>
          <w:sz w:val="20"/>
          <w:szCs w:val="20"/>
          <w:lang w:val="es-ES"/>
        </w:rPr>
      </w:pPr>
      <w:r w:rsidRPr="008310EB">
        <w:rPr>
          <w:rFonts w:ascii="Cambria" w:hAnsi="Cambria"/>
          <w:sz w:val="20"/>
          <w:szCs w:val="20"/>
          <w:lang w:val="es-ES"/>
        </w:rPr>
        <w:t xml:space="preserve">El 1 de marzo de 2005 la Corte Suprema de los Estados Unidos dictó en </w:t>
      </w:r>
      <w:r w:rsidRPr="008310EB">
        <w:rPr>
          <w:rFonts w:ascii="Cambria" w:hAnsi="Cambria"/>
          <w:i/>
          <w:sz w:val="20"/>
          <w:szCs w:val="20"/>
          <w:lang w:val="es-ES"/>
        </w:rPr>
        <w:t>Roper v. Simmons</w:t>
      </w:r>
      <w:r w:rsidR="007E6317" w:rsidRPr="008310EB">
        <w:rPr>
          <w:rStyle w:val="FootnoteReference"/>
          <w:rFonts w:ascii="Cambria" w:hAnsi="Cambria"/>
          <w:sz w:val="20"/>
          <w:szCs w:val="20"/>
          <w:lang w:val="es-ES"/>
        </w:rPr>
        <w:footnoteReference w:id="4"/>
      </w:r>
      <w:r w:rsidRPr="008310EB">
        <w:rPr>
          <w:rFonts w:ascii="Cambria" w:hAnsi="Cambria"/>
          <w:sz w:val="20"/>
          <w:szCs w:val="20"/>
          <w:lang w:val="es-ES"/>
        </w:rPr>
        <w:t xml:space="preserve"> que imponer la pena de muerte a quienes tuvieran menos de 18 años en el momento de cometer el delito era inconstitucional</w:t>
      </w:r>
      <w:r w:rsidR="008F3678" w:rsidRPr="008310EB">
        <w:rPr>
          <w:rFonts w:ascii="Cambria" w:hAnsi="Cambria"/>
          <w:sz w:val="20"/>
          <w:szCs w:val="20"/>
          <w:lang w:val="es-ES"/>
        </w:rPr>
        <w:t xml:space="preserve">, por violar la Octava y </w:t>
      </w:r>
      <w:r w:rsidR="007A737D" w:rsidRPr="008310EB">
        <w:rPr>
          <w:rFonts w:ascii="Cambria" w:hAnsi="Cambria"/>
          <w:sz w:val="20"/>
          <w:szCs w:val="20"/>
          <w:lang w:val="es-ES"/>
        </w:rPr>
        <w:t>Decimocuarta</w:t>
      </w:r>
      <w:r w:rsidRPr="008310EB">
        <w:rPr>
          <w:rFonts w:ascii="Cambria" w:hAnsi="Cambria"/>
          <w:sz w:val="20"/>
          <w:szCs w:val="20"/>
          <w:lang w:val="es-ES"/>
        </w:rPr>
        <w:t xml:space="preserve"> Enmiendas a la Constitución de los Estados Unidos. </w:t>
      </w:r>
    </w:p>
    <w:p w14:paraId="4CA8F95D" w14:textId="77777777" w:rsidR="000444A6" w:rsidRPr="008310EB" w:rsidRDefault="000444A6" w:rsidP="000444A6">
      <w:pPr>
        <w:pStyle w:val="ListParagraph"/>
        <w:spacing w:after="0" w:line="240" w:lineRule="auto"/>
        <w:jc w:val="both"/>
        <w:rPr>
          <w:rFonts w:ascii="Cambria" w:hAnsi="Cambria"/>
          <w:b/>
          <w:sz w:val="20"/>
          <w:szCs w:val="20"/>
          <w:lang w:val="es-ES"/>
        </w:rPr>
      </w:pPr>
    </w:p>
    <w:sectPr w:rsidR="000444A6" w:rsidRPr="008310EB" w:rsidSect="005C0B8F">
      <w:headerReference w:type="default" r:id="rId10"/>
      <w:footerReference w:type="default" r:id="rId11"/>
      <w:headerReference w:type="first" r:id="rId12"/>
      <w:pgSz w:w="12240" w:h="15840" w:code="1"/>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9BB8" w14:textId="77777777" w:rsidR="00B95F00" w:rsidRDefault="00B95F00" w:rsidP="00D70EA9">
      <w:pPr>
        <w:spacing w:after="0" w:line="240" w:lineRule="auto"/>
      </w:pPr>
      <w:r>
        <w:separator/>
      </w:r>
    </w:p>
  </w:endnote>
  <w:endnote w:type="continuationSeparator" w:id="0">
    <w:p w14:paraId="42A8F724" w14:textId="77777777" w:rsidR="00B95F00" w:rsidRDefault="00B95F00" w:rsidP="00D7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89BB" w14:textId="65C6DDF8" w:rsidR="005C0B8F" w:rsidRPr="0028191C" w:rsidRDefault="009C6AF2" w:rsidP="005C0B8F">
    <w:pPr>
      <w:pStyle w:val="Footer"/>
      <w:spacing w:after="0" w:line="240" w:lineRule="auto"/>
      <w:jc w:val="center"/>
      <w:rPr>
        <w:sz w:val="16"/>
        <w:szCs w:val="16"/>
      </w:rPr>
    </w:pPr>
    <w:r w:rsidRPr="0028191C">
      <w:rPr>
        <w:sz w:val="16"/>
        <w:szCs w:val="16"/>
      </w:rPr>
      <w:fldChar w:fldCharType="begin"/>
    </w:r>
    <w:r w:rsidRPr="0028191C">
      <w:rPr>
        <w:sz w:val="16"/>
        <w:szCs w:val="16"/>
      </w:rPr>
      <w:instrText xml:space="preserve"> PAGE   \* MERGEFORMAT </w:instrText>
    </w:r>
    <w:r w:rsidRPr="0028191C">
      <w:rPr>
        <w:sz w:val="16"/>
        <w:szCs w:val="16"/>
      </w:rPr>
      <w:fldChar w:fldCharType="separate"/>
    </w:r>
    <w:r w:rsidR="006057FA">
      <w:rPr>
        <w:noProof/>
        <w:sz w:val="16"/>
        <w:szCs w:val="16"/>
      </w:rPr>
      <w:t>2</w:t>
    </w:r>
    <w:r w:rsidRPr="0028191C">
      <w:rPr>
        <w:noProof/>
        <w:sz w:val="16"/>
        <w:szCs w:val="16"/>
      </w:rPr>
      <w:fldChar w:fldCharType="end"/>
    </w:r>
  </w:p>
  <w:p w14:paraId="077BB449" w14:textId="77777777" w:rsidR="005C0B8F" w:rsidRDefault="005C0B8F" w:rsidP="005C0B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B0CA8" w14:textId="77777777" w:rsidR="00B95F00" w:rsidRDefault="00B95F00" w:rsidP="00D70EA9">
      <w:pPr>
        <w:spacing w:after="0" w:line="240" w:lineRule="auto"/>
      </w:pPr>
      <w:r>
        <w:separator/>
      </w:r>
    </w:p>
  </w:footnote>
  <w:footnote w:type="continuationSeparator" w:id="0">
    <w:p w14:paraId="748D8F5E" w14:textId="77777777" w:rsidR="00B95F00" w:rsidRDefault="00B95F00" w:rsidP="00D70EA9">
      <w:pPr>
        <w:spacing w:after="0" w:line="240" w:lineRule="auto"/>
      </w:pPr>
      <w:r>
        <w:continuationSeparator/>
      </w:r>
    </w:p>
  </w:footnote>
  <w:footnote w:id="1">
    <w:p w14:paraId="6B5FA493" w14:textId="60FA906E" w:rsidR="008C015E" w:rsidRPr="008C015E" w:rsidRDefault="008C015E" w:rsidP="008C015E">
      <w:pPr>
        <w:pStyle w:val="FootnoteText"/>
        <w:spacing w:after="120"/>
        <w:ind w:firstLine="720"/>
        <w:jc w:val="both"/>
        <w:rPr>
          <w:rFonts w:ascii="Cambria" w:hAnsi="Cambria"/>
          <w:sz w:val="16"/>
          <w:szCs w:val="16"/>
          <w:lang w:val="es-ES"/>
        </w:rPr>
      </w:pPr>
      <w:r w:rsidRPr="00E53D13">
        <w:rPr>
          <w:rStyle w:val="FootnoteReference"/>
          <w:rFonts w:ascii="Cambria" w:hAnsi="Cambria"/>
          <w:sz w:val="16"/>
          <w:szCs w:val="16"/>
        </w:rPr>
        <w:footnoteRef/>
      </w:r>
      <w:r w:rsidRPr="00E53D13">
        <w:rPr>
          <w:rFonts w:ascii="Cambria" w:hAnsi="Cambria"/>
          <w:sz w:val="16"/>
          <w:szCs w:val="16"/>
          <w:lang w:val="es-CO"/>
        </w:rPr>
        <w:t xml:space="preserve"> </w:t>
      </w:r>
      <w:r w:rsidRPr="00184D21">
        <w:rPr>
          <w:rFonts w:ascii="Cambria" w:hAnsi="Cambria"/>
          <w:sz w:val="16"/>
          <w:szCs w:val="16"/>
          <w:lang w:val="es-ES"/>
        </w:rPr>
        <w:t xml:space="preserve">CIDH, Informe Anual 2005, </w:t>
      </w:r>
      <w:hyperlink r:id="rId1" w:history="1">
        <w:r w:rsidRPr="00184D21">
          <w:rPr>
            <w:rStyle w:val="Hyperlink"/>
            <w:rFonts w:ascii="Cambria" w:hAnsi="Cambria"/>
            <w:bCs/>
            <w:color w:val="auto"/>
            <w:sz w:val="16"/>
            <w:szCs w:val="16"/>
            <w:lang w:val="es-ES"/>
          </w:rPr>
          <w:t>Capítulo III, Sección D: Estado de cumplimento de la recomendaciones de la CIDH</w:t>
        </w:r>
      </w:hyperlink>
      <w:r w:rsidRPr="00184D21">
        <w:rPr>
          <w:rFonts w:ascii="Cambria" w:hAnsi="Cambria"/>
          <w:bCs/>
          <w:sz w:val="16"/>
          <w:szCs w:val="16"/>
          <w:lang w:val="es-ES"/>
        </w:rPr>
        <w:t>, párrs. 185-186</w:t>
      </w:r>
      <w:r w:rsidRPr="00184D21">
        <w:rPr>
          <w:rFonts w:ascii="Cambria" w:hAnsi="Cambria"/>
          <w:sz w:val="16"/>
          <w:szCs w:val="16"/>
          <w:lang w:val="es-ES"/>
        </w:rPr>
        <w:t>.</w:t>
      </w:r>
    </w:p>
  </w:footnote>
  <w:footnote w:id="2">
    <w:p w14:paraId="748BC7D6" w14:textId="1ED60717" w:rsidR="008C015E" w:rsidRPr="008C015E" w:rsidRDefault="008C015E" w:rsidP="008C015E">
      <w:pPr>
        <w:pStyle w:val="FootnoteText"/>
        <w:spacing w:after="120"/>
        <w:ind w:firstLine="720"/>
        <w:jc w:val="both"/>
        <w:rPr>
          <w:rFonts w:ascii="Cambria" w:hAnsi="Cambria"/>
          <w:sz w:val="16"/>
          <w:szCs w:val="16"/>
          <w:lang w:val="es-ES"/>
        </w:rPr>
      </w:pPr>
      <w:r w:rsidRPr="00E53D13">
        <w:rPr>
          <w:rStyle w:val="FootnoteReference"/>
          <w:rFonts w:ascii="Cambria" w:hAnsi="Cambria"/>
          <w:sz w:val="16"/>
          <w:szCs w:val="16"/>
        </w:rPr>
        <w:footnoteRef/>
      </w:r>
      <w:r w:rsidRPr="00E53D13">
        <w:rPr>
          <w:rFonts w:ascii="Cambria" w:hAnsi="Cambria"/>
          <w:sz w:val="16"/>
          <w:szCs w:val="16"/>
          <w:lang w:val="es-CO"/>
        </w:rPr>
        <w:t xml:space="preserve"> </w:t>
      </w:r>
      <w:r w:rsidRPr="00184D21">
        <w:rPr>
          <w:rFonts w:ascii="Cambria" w:hAnsi="Cambria"/>
          <w:sz w:val="16"/>
          <w:szCs w:val="16"/>
          <w:lang w:val="es-ES"/>
        </w:rPr>
        <w:t xml:space="preserve">CIDH, Informe Anual 2005, </w:t>
      </w:r>
      <w:hyperlink r:id="rId2" w:history="1">
        <w:r w:rsidRPr="00184D21">
          <w:rPr>
            <w:rStyle w:val="Hyperlink"/>
            <w:rFonts w:ascii="Cambria" w:hAnsi="Cambria"/>
            <w:bCs/>
            <w:color w:val="auto"/>
            <w:sz w:val="16"/>
            <w:szCs w:val="16"/>
            <w:lang w:val="es-ES"/>
          </w:rPr>
          <w:t>Capítulo III, Sección D: Estado de cumplimento de la recomendaciones de la CIDH</w:t>
        </w:r>
      </w:hyperlink>
      <w:r w:rsidRPr="00184D21">
        <w:rPr>
          <w:rFonts w:ascii="Cambria" w:hAnsi="Cambria"/>
          <w:bCs/>
          <w:sz w:val="16"/>
          <w:szCs w:val="16"/>
          <w:lang w:val="es-ES"/>
        </w:rPr>
        <w:t>, párrs. 185-186</w:t>
      </w:r>
      <w:r w:rsidRPr="00184D21">
        <w:rPr>
          <w:rFonts w:ascii="Cambria" w:hAnsi="Cambria"/>
          <w:sz w:val="16"/>
          <w:szCs w:val="16"/>
          <w:lang w:val="es-ES"/>
        </w:rPr>
        <w:t>.</w:t>
      </w:r>
    </w:p>
  </w:footnote>
  <w:footnote w:id="3">
    <w:p w14:paraId="14B180B9" w14:textId="77777777" w:rsidR="00E41D90" w:rsidRPr="00184D21" w:rsidRDefault="00E41D90" w:rsidP="00423BAA">
      <w:pPr>
        <w:pStyle w:val="FootnoteText"/>
        <w:spacing w:after="120"/>
        <w:ind w:firstLine="720"/>
        <w:jc w:val="both"/>
        <w:rPr>
          <w:rFonts w:ascii="Cambria" w:hAnsi="Cambria"/>
          <w:sz w:val="16"/>
          <w:szCs w:val="16"/>
          <w:lang w:val="es-ES"/>
        </w:rPr>
      </w:pPr>
      <w:r w:rsidRPr="00184D21">
        <w:rPr>
          <w:rStyle w:val="FootnoteReference"/>
          <w:rFonts w:ascii="Cambria" w:hAnsi="Cambria"/>
          <w:sz w:val="16"/>
          <w:szCs w:val="16"/>
          <w:lang w:val="es-ES"/>
        </w:rPr>
        <w:footnoteRef/>
      </w:r>
      <w:r w:rsidRPr="00184D21">
        <w:rPr>
          <w:rFonts w:ascii="Cambria" w:hAnsi="Cambria"/>
          <w:sz w:val="16"/>
          <w:szCs w:val="16"/>
          <w:lang w:val="es-ES"/>
        </w:rPr>
        <w:t xml:space="preserve"> </w:t>
      </w:r>
      <w:r w:rsidR="0077117A" w:rsidRPr="00184D21">
        <w:rPr>
          <w:rFonts w:ascii="Cambria" w:hAnsi="Cambria"/>
          <w:sz w:val="16"/>
          <w:szCs w:val="16"/>
          <w:lang w:val="es-ES"/>
        </w:rPr>
        <w:t xml:space="preserve">CIDH, Informe Anual 2005, </w:t>
      </w:r>
      <w:hyperlink r:id="rId3" w:history="1">
        <w:r w:rsidR="0077117A" w:rsidRPr="00184D21">
          <w:rPr>
            <w:rStyle w:val="Hyperlink"/>
            <w:rFonts w:ascii="Cambria" w:hAnsi="Cambria"/>
            <w:bCs/>
            <w:color w:val="auto"/>
            <w:sz w:val="16"/>
            <w:szCs w:val="16"/>
            <w:lang w:val="es-ES"/>
          </w:rPr>
          <w:t>C</w:t>
        </w:r>
        <w:r w:rsidR="002425A4" w:rsidRPr="00184D21">
          <w:rPr>
            <w:rStyle w:val="Hyperlink"/>
            <w:rFonts w:ascii="Cambria" w:hAnsi="Cambria"/>
            <w:bCs/>
            <w:color w:val="auto"/>
            <w:sz w:val="16"/>
            <w:szCs w:val="16"/>
            <w:lang w:val="es-ES"/>
          </w:rPr>
          <w:t xml:space="preserve">apítulo III, Sección </w:t>
        </w:r>
        <w:r w:rsidR="0077117A" w:rsidRPr="00184D21">
          <w:rPr>
            <w:rStyle w:val="Hyperlink"/>
            <w:rFonts w:ascii="Cambria" w:hAnsi="Cambria"/>
            <w:bCs/>
            <w:color w:val="auto"/>
            <w:sz w:val="16"/>
            <w:szCs w:val="16"/>
            <w:lang w:val="es-ES"/>
          </w:rPr>
          <w:t>D: Estado de cumplimento de la recomendaciones de la CIDH</w:t>
        </w:r>
      </w:hyperlink>
      <w:r w:rsidR="0077117A" w:rsidRPr="00184D21">
        <w:rPr>
          <w:rFonts w:ascii="Cambria" w:hAnsi="Cambria"/>
          <w:bCs/>
          <w:sz w:val="16"/>
          <w:szCs w:val="16"/>
          <w:lang w:val="es-ES"/>
        </w:rPr>
        <w:t>, párr</w:t>
      </w:r>
      <w:r w:rsidR="002425A4" w:rsidRPr="00184D21">
        <w:rPr>
          <w:rFonts w:ascii="Cambria" w:hAnsi="Cambria"/>
          <w:bCs/>
          <w:sz w:val="16"/>
          <w:szCs w:val="16"/>
          <w:lang w:val="es-ES"/>
        </w:rPr>
        <w:t>s</w:t>
      </w:r>
      <w:r w:rsidR="0077117A" w:rsidRPr="00184D21">
        <w:rPr>
          <w:rFonts w:ascii="Cambria" w:hAnsi="Cambria"/>
          <w:bCs/>
          <w:sz w:val="16"/>
          <w:szCs w:val="16"/>
          <w:lang w:val="es-ES"/>
        </w:rPr>
        <w:t>. 185-186</w:t>
      </w:r>
      <w:r w:rsidR="0077117A" w:rsidRPr="00184D21">
        <w:rPr>
          <w:rFonts w:ascii="Cambria" w:hAnsi="Cambria"/>
          <w:sz w:val="16"/>
          <w:szCs w:val="16"/>
          <w:lang w:val="es-ES"/>
        </w:rPr>
        <w:t>.</w:t>
      </w:r>
    </w:p>
  </w:footnote>
  <w:footnote w:id="4">
    <w:p w14:paraId="78A3E7BC" w14:textId="77777777" w:rsidR="007E6317" w:rsidRPr="00184D21" w:rsidRDefault="007E6317" w:rsidP="007E6317">
      <w:pPr>
        <w:pStyle w:val="FootnoteText"/>
        <w:spacing w:after="120"/>
        <w:ind w:firstLine="720"/>
        <w:jc w:val="both"/>
        <w:rPr>
          <w:rFonts w:ascii="Cambria" w:hAnsi="Cambria"/>
          <w:sz w:val="16"/>
          <w:szCs w:val="16"/>
          <w:lang w:val="es-ES"/>
        </w:rPr>
      </w:pPr>
      <w:r w:rsidRPr="00184D21">
        <w:rPr>
          <w:rStyle w:val="FootnoteReference"/>
          <w:rFonts w:ascii="Cambria" w:hAnsi="Cambria"/>
          <w:sz w:val="16"/>
          <w:szCs w:val="16"/>
          <w:lang w:val="es-ES"/>
        </w:rPr>
        <w:footnoteRef/>
      </w:r>
      <w:r w:rsidRPr="00184D21">
        <w:rPr>
          <w:rFonts w:ascii="Cambria" w:hAnsi="Cambria"/>
          <w:sz w:val="16"/>
          <w:szCs w:val="16"/>
          <w:lang w:val="es-ES"/>
        </w:rPr>
        <w:t xml:space="preserve"> Corte Suprema de los Estados Unidos, </w:t>
      </w:r>
      <w:hyperlink r:id="rId4" w:history="1">
        <w:r w:rsidRPr="00184D21">
          <w:rPr>
            <w:rStyle w:val="Hyperlink"/>
            <w:rFonts w:ascii="Cambria" w:hAnsi="Cambria"/>
            <w:color w:val="auto"/>
            <w:sz w:val="16"/>
            <w:szCs w:val="16"/>
            <w:lang w:val="es-ES"/>
          </w:rPr>
          <w:t>Roper v. Simmons</w:t>
        </w:r>
      </w:hyperlink>
      <w:r w:rsidRPr="00184D21">
        <w:rPr>
          <w:rFonts w:ascii="Cambria" w:hAnsi="Cambria"/>
          <w:sz w:val="16"/>
          <w:szCs w:val="16"/>
          <w:lang w:val="es-ES"/>
        </w:rPr>
        <w:t xml:space="preserve">, 543 U.S. 551 (2005) (Estados Unidos).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522E3" w14:textId="77777777" w:rsidR="00CE5BC3" w:rsidRDefault="00CE5BC3" w:rsidP="00CE5BC3">
    <w:pPr>
      <w:pStyle w:val="Header"/>
      <w:spacing w:after="0" w:line="240" w:lineRule="auto"/>
    </w:pPr>
  </w:p>
  <w:p w14:paraId="70F8226C" w14:textId="77777777" w:rsidR="00CE5BC3" w:rsidRDefault="00CE5BC3" w:rsidP="00CE5BC3">
    <w:pPr>
      <w:pStyle w:val="Header"/>
      <w:spacing w:after="0" w:line="240" w:lineRule="auto"/>
      <w:jc w:val="center"/>
      <w:rPr>
        <w:noProof/>
        <w:lang w:val="en-US"/>
      </w:rPr>
    </w:pPr>
    <w:r>
      <w:rPr>
        <w:noProof/>
        <w:lang w:val="en-US"/>
      </w:rPr>
      <w:drawing>
        <wp:anchor distT="0" distB="0" distL="114300" distR="114300" simplePos="0" relativeHeight="251670528" behindDoc="1" locked="0" layoutInCell="1" allowOverlap="1" wp14:anchorId="671BE1D0" wp14:editId="33B2C972">
          <wp:simplePos x="0" y="0"/>
          <wp:positionH relativeFrom="column">
            <wp:posOffset>1819910</wp:posOffset>
          </wp:positionH>
          <wp:positionV relativeFrom="paragraph">
            <wp:posOffset>54610</wp:posOffset>
          </wp:positionV>
          <wp:extent cx="2296795" cy="116840"/>
          <wp:effectExtent l="0" t="0" r="8255" b="0"/>
          <wp:wrapTight wrapText="bothSides">
            <wp:wrapPolygon edited="0">
              <wp:start x="0" y="0"/>
              <wp:lineTo x="0" y="17609"/>
              <wp:lineTo x="21498" y="17609"/>
              <wp:lineTo x="21498" y="0"/>
              <wp:lineTo x="0" y="0"/>
            </wp:wrapPolygon>
          </wp:wrapTight>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11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4D7FC5" w14:textId="77777777" w:rsidR="005C0B8F" w:rsidRDefault="006057FA" w:rsidP="00CE5BC3">
    <w:pPr>
      <w:pStyle w:val="Header"/>
    </w:pPr>
    <w:r>
      <w:pict w14:anchorId="6CE6EEEE">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B9B3" w14:textId="77777777" w:rsidR="005C0B8F" w:rsidRPr="005C0B8F" w:rsidRDefault="00CC6F23" w:rsidP="005C0B8F">
    <w:pPr>
      <w:pStyle w:val="Header"/>
    </w:pPr>
    <w:r>
      <w:rPr>
        <w:noProof/>
        <w:lang w:val="en-US"/>
      </w:rPr>
      <w:drawing>
        <wp:anchor distT="0" distB="0" distL="114300" distR="114300" simplePos="0" relativeHeight="251658240" behindDoc="1" locked="0" layoutInCell="1" allowOverlap="1" wp14:anchorId="72691C77" wp14:editId="487FE9B7">
          <wp:simplePos x="0" y="0"/>
          <wp:positionH relativeFrom="column">
            <wp:posOffset>4000500</wp:posOffset>
          </wp:positionH>
          <wp:positionV relativeFrom="paragraph">
            <wp:posOffset>8364</wp:posOffset>
          </wp:positionV>
          <wp:extent cx="1943100" cy="495300"/>
          <wp:effectExtent l="0" t="0" r="0" b="0"/>
          <wp:wrapThrough wrapText="bothSides">
            <wp:wrapPolygon edited="0">
              <wp:start x="1271" y="0"/>
              <wp:lineTo x="0" y="3323"/>
              <wp:lineTo x="0" y="17446"/>
              <wp:lineTo x="1271" y="20769"/>
              <wp:lineTo x="4235" y="20769"/>
              <wp:lineTo x="21388" y="18277"/>
              <wp:lineTo x="21388" y="3323"/>
              <wp:lineTo x="4235" y="0"/>
              <wp:lineTo x="1271" y="0"/>
            </wp:wrapPolygon>
          </wp:wrapThrough>
          <wp:docPr id="5" name="Picture 5"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S_Seal_ESP_Princip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B8F" w:rsidRPr="008A5CB5">
      <w:rPr>
        <w:noProof/>
        <w:lang w:val="en-US"/>
      </w:rPr>
      <w:drawing>
        <wp:inline distT="0" distB="0" distL="0" distR="0" wp14:anchorId="58EE6A6B" wp14:editId="4D756D54">
          <wp:extent cx="2350770" cy="455295"/>
          <wp:effectExtent l="0" t="0" r="0" b="1905"/>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770" cy="455295"/>
                  </a:xfrm>
                  <a:prstGeom prst="rect">
                    <a:avLst/>
                  </a:prstGeom>
                  <a:noFill/>
                  <a:ln>
                    <a:noFill/>
                  </a:ln>
                </pic:spPr>
              </pic:pic>
            </a:graphicData>
          </a:graphic>
        </wp:inline>
      </w:drawing>
    </w:r>
    <w:r w:rsidR="005C0B8F">
      <w:tab/>
    </w:r>
    <w:r w:rsidR="005C0B8F">
      <w:tab/>
    </w:r>
    <w:r w:rsidR="006057FA">
      <w:pict w14:anchorId="2CEFFCE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C3E11"/>
    <w:multiLevelType w:val="hybridMultilevel"/>
    <w:tmpl w:val="938AB30C"/>
    <w:lvl w:ilvl="0" w:tplc="511E6C8C">
      <w:start w:val="1"/>
      <w:numFmt w:val="decimal"/>
      <w:lvlText w:val="%1."/>
      <w:lvlJc w:val="left"/>
      <w:pPr>
        <w:ind w:left="900" w:hanging="360"/>
      </w:pPr>
      <w:rPr>
        <w:rFonts w:asciiTheme="minorHAnsi" w:hAnsiTheme="minorHAnsi" w:hint="default"/>
        <w:sz w:val="20"/>
        <w:szCs w:val="2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55F586B"/>
    <w:multiLevelType w:val="hybridMultilevel"/>
    <w:tmpl w:val="EF58BB18"/>
    <w:lvl w:ilvl="0" w:tplc="31BE9A18">
      <w:start w:val="1"/>
      <w:numFmt w:val="decimal"/>
      <w:lvlText w:val="%1."/>
      <w:lvlJc w:val="left"/>
      <w:pPr>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E60B5"/>
    <w:multiLevelType w:val="hybridMultilevel"/>
    <w:tmpl w:val="1C985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3D75D5"/>
    <w:multiLevelType w:val="hybridMultilevel"/>
    <w:tmpl w:val="7CD8E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87E74"/>
    <w:multiLevelType w:val="hybridMultilevel"/>
    <w:tmpl w:val="D834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61CE0"/>
    <w:multiLevelType w:val="hybridMultilevel"/>
    <w:tmpl w:val="F2180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54333"/>
    <w:multiLevelType w:val="hybridMultilevel"/>
    <w:tmpl w:val="ED6E4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530D6A"/>
    <w:multiLevelType w:val="hybridMultilevel"/>
    <w:tmpl w:val="7D90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0A07D1"/>
    <w:multiLevelType w:val="hybridMultilevel"/>
    <w:tmpl w:val="337C975E"/>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75E59"/>
    <w:multiLevelType w:val="hybridMultilevel"/>
    <w:tmpl w:val="B0401F8E"/>
    <w:lvl w:ilvl="0" w:tplc="015EC7A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B7C6B"/>
    <w:multiLevelType w:val="hybridMultilevel"/>
    <w:tmpl w:val="24DE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A0B6A2B"/>
    <w:multiLevelType w:val="hybridMultilevel"/>
    <w:tmpl w:val="A76087D8"/>
    <w:lvl w:ilvl="0" w:tplc="6BF056EA">
      <w:start w:val="1"/>
      <w:numFmt w:val="decimal"/>
      <w:lvlText w:val="%1."/>
      <w:lvlJc w:val="left"/>
      <w:pPr>
        <w:ind w:left="0" w:firstLine="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B5259C"/>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2A62BA2"/>
    <w:multiLevelType w:val="hybridMultilevel"/>
    <w:tmpl w:val="4FE6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10"/>
  </w:num>
  <w:num w:numId="5">
    <w:abstractNumId w:val="4"/>
  </w:num>
  <w:num w:numId="6">
    <w:abstractNumId w:val="13"/>
  </w:num>
  <w:num w:numId="7">
    <w:abstractNumId w:val="0"/>
  </w:num>
  <w:num w:numId="8">
    <w:abstractNumId w:val="2"/>
  </w:num>
  <w:num w:numId="9">
    <w:abstractNumId w:val="12"/>
  </w:num>
  <w:num w:numId="10">
    <w:abstractNumId w:val="10"/>
  </w:num>
  <w:num w:numId="11">
    <w:abstractNumId w:val="9"/>
  </w:num>
  <w:num w:numId="12">
    <w:abstractNumId w:val="6"/>
  </w:num>
  <w:num w:numId="13">
    <w:abstractNumId w:val="1"/>
    <w:lvlOverride w:ilvl="0">
      <w:lvl w:ilvl="0" w:tplc="31BE9A18">
        <w:start w:val="1"/>
        <w:numFmt w:val="decimal"/>
        <w:lvlText w:val="%1."/>
        <w:lvlJc w:val="left"/>
        <w:pPr>
          <w:ind w:left="0" w:firstLine="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hyphenationZone w:val="425"/>
  <w:characterSpacingControl w:val="doNotCompress"/>
  <w:hdrShapeDefaults>
    <o:shapedefaults v:ext="edit" spidmax="2150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A9"/>
    <w:rsid w:val="0002212E"/>
    <w:rsid w:val="00027554"/>
    <w:rsid w:val="00031C03"/>
    <w:rsid w:val="00034E03"/>
    <w:rsid w:val="00035673"/>
    <w:rsid w:val="00037C37"/>
    <w:rsid w:val="000444A6"/>
    <w:rsid w:val="00067E71"/>
    <w:rsid w:val="00067F70"/>
    <w:rsid w:val="00090042"/>
    <w:rsid w:val="000960E0"/>
    <w:rsid w:val="000A30C8"/>
    <w:rsid w:val="000C1B1C"/>
    <w:rsid w:val="000C2D59"/>
    <w:rsid w:val="000C7237"/>
    <w:rsid w:val="000D23FC"/>
    <w:rsid w:val="000D2C99"/>
    <w:rsid w:val="000E0C66"/>
    <w:rsid w:val="000E1520"/>
    <w:rsid w:val="000E24C6"/>
    <w:rsid w:val="000F05D9"/>
    <w:rsid w:val="001136FD"/>
    <w:rsid w:val="00137AA9"/>
    <w:rsid w:val="00147518"/>
    <w:rsid w:val="001523D5"/>
    <w:rsid w:val="001551A8"/>
    <w:rsid w:val="001629A7"/>
    <w:rsid w:val="00166A0F"/>
    <w:rsid w:val="00176BB8"/>
    <w:rsid w:val="00184D21"/>
    <w:rsid w:val="001850CD"/>
    <w:rsid w:val="001924E0"/>
    <w:rsid w:val="001A058A"/>
    <w:rsid w:val="001B3D97"/>
    <w:rsid w:val="00200CF2"/>
    <w:rsid w:val="00235154"/>
    <w:rsid w:val="002377B1"/>
    <w:rsid w:val="002425A4"/>
    <w:rsid w:val="00270F88"/>
    <w:rsid w:val="002922DE"/>
    <w:rsid w:val="0029500C"/>
    <w:rsid w:val="0029757C"/>
    <w:rsid w:val="002A711F"/>
    <w:rsid w:val="002A7DE0"/>
    <w:rsid w:val="002B2581"/>
    <w:rsid w:val="002C4198"/>
    <w:rsid w:val="002D0DAC"/>
    <w:rsid w:val="002D4944"/>
    <w:rsid w:val="002D5153"/>
    <w:rsid w:val="002E5054"/>
    <w:rsid w:val="002E54C6"/>
    <w:rsid w:val="002F179B"/>
    <w:rsid w:val="00312E9E"/>
    <w:rsid w:val="00315A0D"/>
    <w:rsid w:val="00321673"/>
    <w:rsid w:val="00336CDA"/>
    <w:rsid w:val="003A06A3"/>
    <w:rsid w:val="003B2F71"/>
    <w:rsid w:val="003E3B30"/>
    <w:rsid w:val="00421F0D"/>
    <w:rsid w:val="00423BAA"/>
    <w:rsid w:val="00435ABF"/>
    <w:rsid w:val="00447159"/>
    <w:rsid w:val="00450120"/>
    <w:rsid w:val="00475F1E"/>
    <w:rsid w:val="00486EDF"/>
    <w:rsid w:val="00494013"/>
    <w:rsid w:val="004A352F"/>
    <w:rsid w:val="004A4BDF"/>
    <w:rsid w:val="004B3F4C"/>
    <w:rsid w:val="004C377A"/>
    <w:rsid w:val="004D1D45"/>
    <w:rsid w:val="004D3F10"/>
    <w:rsid w:val="004E5670"/>
    <w:rsid w:val="004F2906"/>
    <w:rsid w:val="00503E93"/>
    <w:rsid w:val="00517253"/>
    <w:rsid w:val="00526A04"/>
    <w:rsid w:val="00536593"/>
    <w:rsid w:val="00550841"/>
    <w:rsid w:val="0056224B"/>
    <w:rsid w:val="005C0B8F"/>
    <w:rsid w:val="005C2923"/>
    <w:rsid w:val="005D4047"/>
    <w:rsid w:val="005E04D6"/>
    <w:rsid w:val="006057FA"/>
    <w:rsid w:val="00611ECD"/>
    <w:rsid w:val="0062147B"/>
    <w:rsid w:val="006214FD"/>
    <w:rsid w:val="00630EEA"/>
    <w:rsid w:val="00642976"/>
    <w:rsid w:val="006A20A9"/>
    <w:rsid w:val="0077117A"/>
    <w:rsid w:val="00795D91"/>
    <w:rsid w:val="007A6375"/>
    <w:rsid w:val="007A737D"/>
    <w:rsid w:val="007E12B0"/>
    <w:rsid w:val="007E5D8C"/>
    <w:rsid w:val="007E6317"/>
    <w:rsid w:val="00804A63"/>
    <w:rsid w:val="008310EB"/>
    <w:rsid w:val="008342E7"/>
    <w:rsid w:val="008854D5"/>
    <w:rsid w:val="00885B74"/>
    <w:rsid w:val="00885EA5"/>
    <w:rsid w:val="00897B00"/>
    <w:rsid w:val="008A0CD6"/>
    <w:rsid w:val="008A63E0"/>
    <w:rsid w:val="008A7495"/>
    <w:rsid w:val="008B3D35"/>
    <w:rsid w:val="008B5880"/>
    <w:rsid w:val="008B5BD7"/>
    <w:rsid w:val="008C015E"/>
    <w:rsid w:val="008D5638"/>
    <w:rsid w:val="008E6D09"/>
    <w:rsid w:val="008F3678"/>
    <w:rsid w:val="008F4BDE"/>
    <w:rsid w:val="0090251F"/>
    <w:rsid w:val="0091365A"/>
    <w:rsid w:val="0092660C"/>
    <w:rsid w:val="00934680"/>
    <w:rsid w:val="009438B7"/>
    <w:rsid w:val="009640FC"/>
    <w:rsid w:val="009831DA"/>
    <w:rsid w:val="009A6722"/>
    <w:rsid w:val="009C6AF2"/>
    <w:rsid w:val="009C74EE"/>
    <w:rsid w:val="009E7502"/>
    <w:rsid w:val="00A10285"/>
    <w:rsid w:val="00A11849"/>
    <w:rsid w:val="00A1347B"/>
    <w:rsid w:val="00A30290"/>
    <w:rsid w:val="00A35E91"/>
    <w:rsid w:val="00A5757C"/>
    <w:rsid w:val="00A728E1"/>
    <w:rsid w:val="00AA33BE"/>
    <w:rsid w:val="00AA681F"/>
    <w:rsid w:val="00AA7FF1"/>
    <w:rsid w:val="00AC126A"/>
    <w:rsid w:val="00AE515A"/>
    <w:rsid w:val="00AE68AF"/>
    <w:rsid w:val="00B07540"/>
    <w:rsid w:val="00B211B1"/>
    <w:rsid w:val="00B351BE"/>
    <w:rsid w:val="00B4099F"/>
    <w:rsid w:val="00B4501B"/>
    <w:rsid w:val="00B459E1"/>
    <w:rsid w:val="00B549E1"/>
    <w:rsid w:val="00B871EA"/>
    <w:rsid w:val="00B91FBB"/>
    <w:rsid w:val="00B95F00"/>
    <w:rsid w:val="00BA17EC"/>
    <w:rsid w:val="00BD2642"/>
    <w:rsid w:val="00BD3BD3"/>
    <w:rsid w:val="00BE01C5"/>
    <w:rsid w:val="00BE4EFC"/>
    <w:rsid w:val="00BF2C69"/>
    <w:rsid w:val="00BF62B4"/>
    <w:rsid w:val="00C063BF"/>
    <w:rsid w:val="00C16D39"/>
    <w:rsid w:val="00C27CCC"/>
    <w:rsid w:val="00C57624"/>
    <w:rsid w:val="00C64846"/>
    <w:rsid w:val="00C9355B"/>
    <w:rsid w:val="00C93CB2"/>
    <w:rsid w:val="00C94AB2"/>
    <w:rsid w:val="00CC5A30"/>
    <w:rsid w:val="00CC6F23"/>
    <w:rsid w:val="00CE5BC3"/>
    <w:rsid w:val="00D15A49"/>
    <w:rsid w:val="00D471A6"/>
    <w:rsid w:val="00D51F18"/>
    <w:rsid w:val="00D64F50"/>
    <w:rsid w:val="00D67ACF"/>
    <w:rsid w:val="00D70EA9"/>
    <w:rsid w:val="00D8442E"/>
    <w:rsid w:val="00D92F83"/>
    <w:rsid w:val="00D92FFD"/>
    <w:rsid w:val="00DA04BC"/>
    <w:rsid w:val="00DA4FAE"/>
    <w:rsid w:val="00DE0BDE"/>
    <w:rsid w:val="00E24D66"/>
    <w:rsid w:val="00E41D90"/>
    <w:rsid w:val="00E4419F"/>
    <w:rsid w:val="00E44916"/>
    <w:rsid w:val="00E53D13"/>
    <w:rsid w:val="00E57E52"/>
    <w:rsid w:val="00E74446"/>
    <w:rsid w:val="00EA64C1"/>
    <w:rsid w:val="00EB22C5"/>
    <w:rsid w:val="00EB2FBA"/>
    <w:rsid w:val="00EB70CE"/>
    <w:rsid w:val="00ED2B02"/>
    <w:rsid w:val="00ED4FB8"/>
    <w:rsid w:val="00EF14E5"/>
    <w:rsid w:val="00F20356"/>
    <w:rsid w:val="00F5584F"/>
    <w:rsid w:val="00F733F6"/>
    <w:rsid w:val="00F85BE5"/>
    <w:rsid w:val="00F97F45"/>
    <w:rsid w:val="00FA51BD"/>
    <w:rsid w:val="00FB6B75"/>
    <w:rsid w:val="00FD29A3"/>
    <w:rsid w:val="00FE0067"/>
    <w:rsid w:val="00FE1C87"/>
    <w:rsid w:val="00FF04EF"/>
    <w:rsid w:val="00FF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7"/>
    <o:shapelayout v:ext="edit">
      <o:idmap v:ext="edit" data="1"/>
    </o:shapelayout>
  </w:shapeDefaults>
  <w:decimalSymbol w:val="."/>
  <w:listSeparator w:val=","/>
  <w14:docId w14:val="30D9E5A3"/>
  <w15:docId w15:val="{16FD885A-87E0-4A17-AEEF-8025210D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A9"/>
    <w:pPr>
      <w:spacing w:after="200" w:line="276" w:lineRule="auto"/>
    </w:pPr>
    <w:rPr>
      <w:rFonts w:ascii="Calibri" w:eastAsia="Calibri" w:hAnsi="Calibri" w:cs="Times New Roman"/>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D70EA9"/>
    <w:pPr>
      <w:spacing w:after="0" w:line="240" w:lineRule="auto"/>
    </w:pPr>
    <w:rPr>
      <w:rFonts w:ascii="Times New Roman" w:hAnsi="Times New Roman"/>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D70EA9"/>
    <w:rPr>
      <w:rFonts w:ascii="Times New Roman" w:eastAsia="Calibri" w:hAnsi="Times New Roman" w:cs="Times New Roman"/>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D70EA9"/>
    <w:rPr>
      <w:vertAlign w:val="superscript"/>
    </w:rPr>
  </w:style>
  <w:style w:type="paragraph" w:customStyle="1" w:styleId="Appelnotedebasde">
    <w:name w:val="Appel note de bas de..."/>
    <w:basedOn w:val="Normal"/>
    <w:link w:val="FootnoteReference"/>
    <w:rsid w:val="00D70EA9"/>
    <w:pPr>
      <w:spacing w:after="160" w:line="240" w:lineRule="exact"/>
    </w:pPr>
    <w:rPr>
      <w:rFonts w:asciiTheme="minorHAnsi" w:eastAsiaTheme="minorHAnsi" w:hAnsiTheme="minorHAnsi" w:cstheme="minorBidi"/>
      <w:vertAlign w:val="superscript"/>
      <w:lang w:val="en-US"/>
    </w:rPr>
  </w:style>
  <w:style w:type="character" w:styleId="Hyperlink">
    <w:name w:val="Hyperlink"/>
    <w:uiPriority w:val="99"/>
    <w:unhideWhenUsed/>
    <w:rsid w:val="00D70EA9"/>
    <w:rPr>
      <w:color w:val="0000FF"/>
      <w:u w:val="single"/>
    </w:rPr>
  </w:style>
  <w:style w:type="paragraph" w:styleId="Header">
    <w:name w:val="header"/>
    <w:basedOn w:val="Normal"/>
    <w:link w:val="HeaderChar"/>
    <w:uiPriority w:val="99"/>
    <w:unhideWhenUsed/>
    <w:rsid w:val="00D70EA9"/>
    <w:pPr>
      <w:tabs>
        <w:tab w:val="center" w:pos="4513"/>
        <w:tab w:val="right" w:pos="9026"/>
      </w:tabs>
    </w:pPr>
  </w:style>
  <w:style w:type="character" w:customStyle="1" w:styleId="HeaderChar">
    <w:name w:val="Header Char"/>
    <w:basedOn w:val="DefaultParagraphFont"/>
    <w:link w:val="Header"/>
    <w:uiPriority w:val="99"/>
    <w:rsid w:val="00D70EA9"/>
    <w:rPr>
      <w:rFonts w:ascii="Calibri" w:eastAsia="Calibri" w:hAnsi="Calibri" w:cs="Times New Roman"/>
      <w:lang w:val="pt-BR"/>
    </w:rPr>
  </w:style>
  <w:style w:type="paragraph" w:styleId="Footer">
    <w:name w:val="footer"/>
    <w:basedOn w:val="Normal"/>
    <w:link w:val="FooterChar"/>
    <w:uiPriority w:val="99"/>
    <w:unhideWhenUsed/>
    <w:rsid w:val="00D70EA9"/>
    <w:pPr>
      <w:tabs>
        <w:tab w:val="center" w:pos="4513"/>
        <w:tab w:val="right" w:pos="9026"/>
      </w:tabs>
    </w:pPr>
  </w:style>
  <w:style w:type="character" w:customStyle="1" w:styleId="FooterChar">
    <w:name w:val="Footer Char"/>
    <w:basedOn w:val="DefaultParagraphFont"/>
    <w:link w:val="Footer"/>
    <w:uiPriority w:val="99"/>
    <w:rsid w:val="00D70EA9"/>
    <w:rPr>
      <w:rFonts w:ascii="Calibri" w:eastAsia="Calibri" w:hAnsi="Calibri" w:cs="Times New Roman"/>
      <w:lang w:val="pt-BR"/>
    </w:rPr>
  </w:style>
  <w:style w:type="character" w:styleId="FollowedHyperlink">
    <w:name w:val="FollowedHyperlink"/>
    <w:basedOn w:val="DefaultParagraphFont"/>
    <w:uiPriority w:val="99"/>
    <w:semiHidden/>
    <w:unhideWhenUsed/>
    <w:rsid w:val="00C16D39"/>
    <w:rPr>
      <w:color w:val="954F72" w:themeColor="followedHyperlink"/>
      <w:u w:val="single"/>
    </w:rPr>
  </w:style>
  <w:style w:type="paragraph" w:styleId="ListParagraph">
    <w:name w:val="List Paragraph"/>
    <w:aliases w:val="Párrafo de lista1,List Paragraph1,Colorful List - Accent 11,List Paragraph11"/>
    <w:basedOn w:val="Normal"/>
    <w:link w:val="ListParagraphChar"/>
    <w:uiPriority w:val="34"/>
    <w:qFormat/>
    <w:rsid w:val="00C16D39"/>
    <w:pPr>
      <w:spacing w:after="160" w:line="259" w:lineRule="auto"/>
      <w:ind w:left="720"/>
      <w:contextualSpacing/>
    </w:pPr>
    <w:rPr>
      <w:rFonts w:asciiTheme="minorHAnsi" w:eastAsiaTheme="minorHAnsi" w:hAnsiTheme="minorHAnsi" w:cstheme="minorBidi"/>
      <w:lang w:val="en-US"/>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336CDA"/>
  </w:style>
  <w:style w:type="character" w:styleId="CommentReference">
    <w:name w:val="annotation reference"/>
    <w:basedOn w:val="DefaultParagraphFont"/>
    <w:uiPriority w:val="99"/>
    <w:semiHidden/>
    <w:unhideWhenUsed/>
    <w:rsid w:val="005C2923"/>
    <w:rPr>
      <w:sz w:val="16"/>
      <w:szCs w:val="16"/>
    </w:rPr>
  </w:style>
  <w:style w:type="paragraph" w:styleId="CommentText">
    <w:name w:val="annotation text"/>
    <w:basedOn w:val="Normal"/>
    <w:link w:val="CommentTextChar"/>
    <w:uiPriority w:val="99"/>
    <w:semiHidden/>
    <w:unhideWhenUsed/>
    <w:rsid w:val="005C2923"/>
    <w:pPr>
      <w:spacing w:line="240" w:lineRule="auto"/>
    </w:pPr>
    <w:rPr>
      <w:sz w:val="20"/>
      <w:szCs w:val="20"/>
    </w:rPr>
  </w:style>
  <w:style w:type="character" w:customStyle="1" w:styleId="CommentTextChar">
    <w:name w:val="Comment Text Char"/>
    <w:basedOn w:val="DefaultParagraphFont"/>
    <w:link w:val="CommentText"/>
    <w:uiPriority w:val="99"/>
    <w:semiHidden/>
    <w:rsid w:val="005C2923"/>
    <w:rPr>
      <w:rFonts w:ascii="Calibri" w:eastAsia="Calibri" w:hAnsi="Calibri" w:cs="Times New Roman"/>
      <w:sz w:val="20"/>
      <w:szCs w:val="20"/>
      <w:lang w:val="pt-BR"/>
    </w:rPr>
  </w:style>
  <w:style w:type="paragraph" w:styleId="CommentSubject">
    <w:name w:val="annotation subject"/>
    <w:basedOn w:val="CommentText"/>
    <w:next w:val="CommentText"/>
    <w:link w:val="CommentSubjectChar"/>
    <w:uiPriority w:val="99"/>
    <w:semiHidden/>
    <w:unhideWhenUsed/>
    <w:rsid w:val="005C2923"/>
    <w:rPr>
      <w:b/>
      <w:bCs/>
    </w:rPr>
  </w:style>
  <w:style w:type="character" w:customStyle="1" w:styleId="CommentSubjectChar">
    <w:name w:val="Comment Subject Char"/>
    <w:basedOn w:val="CommentTextChar"/>
    <w:link w:val="CommentSubject"/>
    <w:uiPriority w:val="99"/>
    <w:semiHidden/>
    <w:rsid w:val="005C2923"/>
    <w:rPr>
      <w:rFonts w:ascii="Calibri" w:eastAsia="Calibri" w:hAnsi="Calibri" w:cs="Times New Roman"/>
      <w:b/>
      <w:bCs/>
      <w:sz w:val="20"/>
      <w:szCs w:val="20"/>
      <w:lang w:val="pt-BR"/>
    </w:rPr>
  </w:style>
  <w:style w:type="paragraph" w:styleId="BalloonText">
    <w:name w:val="Balloon Text"/>
    <w:basedOn w:val="Normal"/>
    <w:link w:val="BalloonTextChar"/>
    <w:uiPriority w:val="99"/>
    <w:semiHidden/>
    <w:unhideWhenUsed/>
    <w:rsid w:val="005C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23"/>
    <w:rPr>
      <w:rFonts w:ascii="Tahoma" w:eastAsia="Calibri" w:hAnsi="Tahoma" w:cs="Tahoma"/>
      <w:sz w:val="16"/>
      <w:szCs w:val="16"/>
      <w:lang w:val="pt-BR"/>
    </w:rPr>
  </w:style>
  <w:style w:type="paragraph" w:styleId="NoSpacing">
    <w:name w:val="No Spacing"/>
    <w:uiPriority w:val="1"/>
    <w:qFormat/>
    <w:rsid w:val="00B07540"/>
    <w:pPr>
      <w:spacing w:after="0" w:line="240" w:lineRule="auto"/>
    </w:pPr>
    <w:rPr>
      <w:rFonts w:ascii="Calibri" w:eastAsia="Calibri" w:hAnsi="Calibri"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2387">
      <w:bodyDiv w:val="1"/>
      <w:marLeft w:val="0"/>
      <w:marRight w:val="0"/>
      <w:marTop w:val="0"/>
      <w:marBottom w:val="0"/>
      <w:divBdr>
        <w:top w:val="none" w:sz="0" w:space="0" w:color="auto"/>
        <w:left w:val="none" w:sz="0" w:space="0" w:color="auto"/>
        <w:bottom w:val="none" w:sz="0" w:space="0" w:color="auto"/>
        <w:right w:val="none" w:sz="0" w:space="0" w:color="auto"/>
      </w:divBdr>
    </w:div>
    <w:div w:id="584803665">
      <w:bodyDiv w:val="1"/>
      <w:marLeft w:val="0"/>
      <w:marRight w:val="0"/>
      <w:marTop w:val="0"/>
      <w:marBottom w:val="0"/>
      <w:divBdr>
        <w:top w:val="none" w:sz="0" w:space="0" w:color="auto"/>
        <w:left w:val="none" w:sz="0" w:space="0" w:color="auto"/>
        <w:bottom w:val="none" w:sz="0" w:space="0" w:color="auto"/>
        <w:right w:val="none" w:sz="0" w:space="0" w:color="auto"/>
      </w:divBdr>
    </w:div>
    <w:div w:id="1088621814">
      <w:bodyDiv w:val="1"/>
      <w:marLeft w:val="0"/>
      <w:marRight w:val="0"/>
      <w:marTop w:val="0"/>
      <w:marBottom w:val="0"/>
      <w:divBdr>
        <w:top w:val="none" w:sz="0" w:space="0" w:color="auto"/>
        <w:left w:val="none" w:sz="0" w:space="0" w:color="auto"/>
        <w:bottom w:val="none" w:sz="0" w:space="0" w:color="auto"/>
        <w:right w:val="none" w:sz="0" w:space="0" w:color="auto"/>
      </w:divBdr>
    </w:div>
    <w:div w:id="1278487196">
      <w:bodyDiv w:val="1"/>
      <w:marLeft w:val="0"/>
      <w:marRight w:val="0"/>
      <w:marTop w:val="0"/>
      <w:marBottom w:val="0"/>
      <w:divBdr>
        <w:top w:val="none" w:sz="0" w:space="0" w:color="auto"/>
        <w:left w:val="none" w:sz="0" w:space="0" w:color="auto"/>
        <w:bottom w:val="none" w:sz="0" w:space="0" w:color="auto"/>
        <w:right w:val="none" w:sz="0" w:space="0" w:color="auto"/>
      </w:divBdr>
    </w:div>
    <w:div w:id="1400664739">
      <w:bodyDiv w:val="1"/>
      <w:marLeft w:val="0"/>
      <w:marRight w:val="0"/>
      <w:marTop w:val="0"/>
      <w:marBottom w:val="0"/>
      <w:divBdr>
        <w:top w:val="none" w:sz="0" w:space="0" w:color="auto"/>
        <w:left w:val="none" w:sz="0" w:space="0" w:color="auto"/>
        <w:bottom w:val="none" w:sz="0" w:space="0" w:color="auto"/>
        <w:right w:val="none" w:sz="0" w:space="0" w:color="auto"/>
      </w:divBdr>
      <w:divsChild>
        <w:div w:id="1555116765">
          <w:marLeft w:val="0"/>
          <w:marRight w:val="0"/>
          <w:marTop w:val="0"/>
          <w:marBottom w:val="0"/>
          <w:divBdr>
            <w:top w:val="none" w:sz="0" w:space="0" w:color="auto"/>
            <w:left w:val="none" w:sz="0" w:space="0" w:color="auto"/>
            <w:bottom w:val="none" w:sz="0" w:space="0" w:color="auto"/>
            <w:right w:val="none" w:sz="0" w:space="0" w:color="auto"/>
          </w:divBdr>
          <w:divsChild>
            <w:div w:id="1966303865">
              <w:marLeft w:val="0"/>
              <w:marRight w:val="0"/>
              <w:marTop w:val="0"/>
              <w:marBottom w:val="0"/>
              <w:divBdr>
                <w:top w:val="none" w:sz="0" w:space="0" w:color="auto"/>
                <w:left w:val="none" w:sz="0" w:space="0" w:color="auto"/>
                <w:bottom w:val="none" w:sz="0" w:space="0" w:color="auto"/>
                <w:right w:val="none" w:sz="0" w:space="0" w:color="auto"/>
              </w:divBdr>
              <w:divsChild>
                <w:div w:id="446656826">
                  <w:marLeft w:val="0"/>
                  <w:marRight w:val="0"/>
                  <w:marTop w:val="0"/>
                  <w:marBottom w:val="0"/>
                  <w:divBdr>
                    <w:top w:val="none" w:sz="0" w:space="0" w:color="auto"/>
                    <w:left w:val="none" w:sz="0" w:space="0" w:color="auto"/>
                    <w:bottom w:val="none" w:sz="0" w:space="0" w:color="auto"/>
                    <w:right w:val="none" w:sz="0" w:space="0" w:color="auto"/>
                  </w:divBdr>
                  <w:divsChild>
                    <w:div w:id="2094664609">
                      <w:marLeft w:val="0"/>
                      <w:marRight w:val="0"/>
                      <w:marTop w:val="0"/>
                      <w:marBottom w:val="0"/>
                      <w:divBdr>
                        <w:top w:val="none" w:sz="0" w:space="0" w:color="auto"/>
                        <w:left w:val="none" w:sz="0" w:space="0" w:color="auto"/>
                        <w:bottom w:val="none" w:sz="0" w:space="0" w:color="auto"/>
                        <w:right w:val="none" w:sz="0" w:space="0" w:color="auto"/>
                      </w:divBdr>
                      <w:divsChild>
                        <w:div w:id="1378509881">
                          <w:marLeft w:val="0"/>
                          <w:marRight w:val="0"/>
                          <w:marTop w:val="0"/>
                          <w:marBottom w:val="0"/>
                          <w:divBdr>
                            <w:top w:val="none" w:sz="0" w:space="0" w:color="auto"/>
                            <w:left w:val="none" w:sz="0" w:space="0" w:color="auto"/>
                            <w:bottom w:val="none" w:sz="0" w:space="0" w:color="auto"/>
                            <w:right w:val="none" w:sz="0" w:space="0" w:color="auto"/>
                          </w:divBdr>
                          <w:divsChild>
                            <w:div w:id="874194932">
                              <w:marLeft w:val="0"/>
                              <w:marRight w:val="0"/>
                              <w:marTop w:val="0"/>
                              <w:marBottom w:val="0"/>
                              <w:divBdr>
                                <w:top w:val="none" w:sz="0" w:space="0" w:color="auto"/>
                                <w:left w:val="none" w:sz="0" w:space="0" w:color="auto"/>
                                <w:bottom w:val="none" w:sz="0" w:space="0" w:color="auto"/>
                                <w:right w:val="none" w:sz="0" w:space="0" w:color="auto"/>
                              </w:divBdr>
                              <w:divsChild>
                                <w:div w:id="48384383">
                                  <w:marLeft w:val="0"/>
                                  <w:marRight w:val="0"/>
                                  <w:marTop w:val="0"/>
                                  <w:marBottom w:val="0"/>
                                  <w:divBdr>
                                    <w:top w:val="none" w:sz="0" w:space="0" w:color="auto"/>
                                    <w:left w:val="none" w:sz="0" w:space="0" w:color="auto"/>
                                    <w:bottom w:val="none" w:sz="0" w:space="0" w:color="auto"/>
                                    <w:right w:val="none" w:sz="0" w:space="0" w:color="auto"/>
                                  </w:divBdr>
                                  <w:divsChild>
                                    <w:div w:id="1692148798">
                                      <w:marLeft w:val="0"/>
                                      <w:marRight w:val="0"/>
                                      <w:marTop w:val="0"/>
                                      <w:marBottom w:val="0"/>
                                      <w:divBdr>
                                        <w:top w:val="none" w:sz="0" w:space="0" w:color="auto"/>
                                        <w:left w:val="none" w:sz="0" w:space="0" w:color="auto"/>
                                        <w:bottom w:val="none" w:sz="0" w:space="0" w:color="auto"/>
                                        <w:right w:val="none" w:sz="0" w:space="0" w:color="auto"/>
                                      </w:divBdr>
                                      <w:divsChild>
                                        <w:div w:id="1778669683">
                                          <w:marLeft w:val="0"/>
                                          <w:marRight w:val="0"/>
                                          <w:marTop w:val="0"/>
                                          <w:marBottom w:val="495"/>
                                          <w:divBdr>
                                            <w:top w:val="none" w:sz="0" w:space="0" w:color="auto"/>
                                            <w:left w:val="none" w:sz="0" w:space="0" w:color="auto"/>
                                            <w:bottom w:val="none" w:sz="0" w:space="0" w:color="auto"/>
                                            <w:right w:val="none" w:sz="0" w:space="0" w:color="auto"/>
                                          </w:divBdr>
                                          <w:divsChild>
                                            <w:div w:id="11067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860912">
      <w:bodyDiv w:val="1"/>
      <w:marLeft w:val="0"/>
      <w:marRight w:val="0"/>
      <w:marTop w:val="0"/>
      <w:marBottom w:val="0"/>
      <w:divBdr>
        <w:top w:val="none" w:sz="0" w:space="0" w:color="auto"/>
        <w:left w:val="none" w:sz="0" w:space="0" w:color="auto"/>
        <w:bottom w:val="none" w:sz="0" w:space="0" w:color="auto"/>
        <w:right w:val="none" w:sz="0" w:space="0" w:color="auto"/>
      </w:divBdr>
      <w:divsChild>
        <w:div w:id="671686547">
          <w:marLeft w:val="0"/>
          <w:marRight w:val="0"/>
          <w:marTop w:val="0"/>
          <w:marBottom w:val="0"/>
          <w:divBdr>
            <w:top w:val="none" w:sz="0" w:space="0" w:color="auto"/>
            <w:left w:val="none" w:sz="0" w:space="0" w:color="auto"/>
            <w:bottom w:val="none" w:sz="0" w:space="0" w:color="auto"/>
            <w:right w:val="none" w:sz="0" w:space="0" w:color="auto"/>
          </w:divBdr>
          <w:divsChild>
            <w:div w:id="46270165">
              <w:marLeft w:val="0"/>
              <w:marRight w:val="0"/>
              <w:marTop w:val="0"/>
              <w:marBottom w:val="0"/>
              <w:divBdr>
                <w:top w:val="none" w:sz="0" w:space="0" w:color="auto"/>
                <w:left w:val="none" w:sz="0" w:space="0" w:color="auto"/>
                <w:bottom w:val="none" w:sz="0" w:space="0" w:color="auto"/>
                <w:right w:val="none" w:sz="0" w:space="0" w:color="auto"/>
              </w:divBdr>
              <w:divsChild>
                <w:div w:id="66149019">
                  <w:marLeft w:val="0"/>
                  <w:marRight w:val="0"/>
                  <w:marTop w:val="0"/>
                  <w:marBottom w:val="0"/>
                  <w:divBdr>
                    <w:top w:val="none" w:sz="0" w:space="0" w:color="auto"/>
                    <w:left w:val="none" w:sz="0" w:space="0" w:color="auto"/>
                    <w:bottom w:val="none" w:sz="0" w:space="0" w:color="auto"/>
                    <w:right w:val="none" w:sz="0" w:space="0" w:color="auto"/>
                  </w:divBdr>
                  <w:divsChild>
                    <w:div w:id="1609501640">
                      <w:marLeft w:val="0"/>
                      <w:marRight w:val="0"/>
                      <w:marTop w:val="0"/>
                      <w:marBottom w:val="0"/>
                      <w:divBdr>
                        <w:top w:val="none" w:sz="0" w:space="0" w:color="auto"/>
                        <w:left w:val="none" w:sz="0" w:space="0" w:color="auto"/>
                        <w:bottom w:val="none" w:sz="0" w:space="0" w:color="auto"/>
                        <w:right w:val="none" w:sz="0" w:space="0" w:color="auto"/>
                      </w:divBdr>
                      <w:divsChild>
                        <w:div w:id="807090743">
                          <w:marLeft w:val="0"/>
                          <w:marRight w:val="0"/>
                          <w:marTop w:val="0"/>
                          <w:marBottom w:val="0"/>
                          <w:divBdr>
                            <w:top w:val="none" w:sz="0" w:space="0" w:color="auto"/>
                            <w:left w:val="none" w:sz="0" w:space="0" w:color="auto"/>
                            <w:bottom w:val="none" w:sz="0" w:space="0" w:color="auto"/>
                            <w:right w:val="none" w:sz="0" w:space="0" w:color="auto"/>
                          </w:divBdr>
                          <w:divsChild>
                            <w:div w:id="2124375038">
                              <w:marLeft w:val="0"/>
                              <w:marRight w:val="0"/>
                              <w:marTop w:val="0"/>
                              <w:marBottom w:val="0"/>
                              <w:divBdr>
                                <w:top w:val="none" w:sz="0" w:space="0" w:color="auto"/>
                                <w:left w:val="none" w:sz="0" w:space="0" w:color="auto"/>
                                <w:bottom w:val="none" w:sz="0" w:space="0" w:color="auto"/>
                                <w:right w:val="none" w:sz="0" w:space="0" w:color="auto"/>
                              </w:divBdr>
                              <w:divsChild>
                                <w:div w:id="1071808304">
                                  <w:marLeft w:val="0"/>
                                  <w:marRight w:val="0"/>
                                  <w:marTop w:val="0"/>
                                  <w:marBottom w:val="0"/>
                                  <w:divBdr>
                                    <w:top w:val="none" w:sz="0" w:space="0" w:color="auto"/>
                                    <w:left w:val="none" w:sz="0" w:space="0" w:color="auto"/>
                                    <w:bottom w:val="none" w:sz="0" w:space="0" w:color="auto"/>
                                    <w:right w:val="none" w:sz="0" w:space="0" w:color="auto"/>
                                  </w:divBdr>
                                  <w:divsChild>
                                    <w:div w:id="1386182012">
                                      <w:marLeft w:val="0"/>
                                      <w:marRight w:val="0"/>
                                      <w:marTop w:val="0"/>
                                      <w:marBottom w:val="0"/>
                                      <w:divBdr>
                                        <w:top w:val="none" w:sz="0" w:space="0" w:color="auto"/>
                                        <w:left w:val="none" w:sz="0" w:space="0" w:color="auto"/>
                                        <w:bottom w:val="none" w:sz="0" w:space="0" w:color="auto"/>
                                        <w:right w:val="none" w:sz="0" w:space="0" w:color="auto"/>
                                      </w:divBdr>
                                      <w:divsChild>
                                        <w:div w:id="457071915">
                                          <w:marLeft w:val="0"/>
                                          <w:marRight w:val="0"/>
                                          <w:marTop w:val="0"/>
                                          <w:marBottom w:val="495"/>
                                          <w:divBdr>
                                            <w:top w:val="none" w:sz="0" w:space="0" w:color="auto"/>
                                            <w:left w:val="none" w:sz="0" w:space="0" w:color="auto"/>
                                            <w:bottom w:val="none" w:sz="0" w:space="0" w:color="auto"/>
                                            <w:right w:val="none" w:sz="0" w:space="0" w:color="auto"/>
                                          </w:divBdr>
                                          <w:divsChild>
                                            <w:div w:id="14772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835089">
      <w:bodyDiv w:val="1"/>
      <w:marLeft w:val="0"/>
      <w:marRight w:val="0"/>
      <w:marTop w:val="0"/>
      <w:marBottom w:val="0"/>
      <w:divBdr>
        <w:top w:val="none" w:sz="0" w:space="0" w:color="auto"/>
        <w:left w:val="none" w:sz="0" w:space="0" w:color="auto"/>
        <w:bottom w:val="none" w:sz="0" w:space="0" w:color="auto"/>
        <w:right w:val="none" w:sz="0" w:space="0" w:color="auto"/>
      </w:divBdr>
      <w:divsChild>
        <w:div w:id="584189034">
          <w:marLeft w:val="0"/>
          <w:marRight w:val="0"/>
          <w:marTop w:val="0"/>
          <w:marBottom w:val="0"/>
          <w:divBdr>
            <w:top w:val="none" w:sz="0" w:space="0" w:color="auto"/>
            <w:left w:val="none" w:sz="0" w:space="0" w:color="auto"/>
            <w:bottom w:val="none" w:sz="0" w:space="0" w:color="auto"/>
            <w:right w:val="none" w:sz="0" w:space="0" w:color="auto"/>
          </w:divBdr>
          <w:divsChild>
            <w:div w:id="1333407485">
              <w:marLeft w:val="0"/>
              <w:marRight w:val="0"/>
              <w:marTop w:val="0"/>
              <w:marBottom w:val="0"/>
              <w:divBdr>
                <w:top w:val="none" w:sz="0" w:space="0" w:color="auto"/>
                <w:left w:val="none" w:sz="0" w:space="0" w:color="auto"/>
                <w:bottom w:val="none" w:sz="0" w:space="0" w:color="auto"/>
                <w:right w:val="none" w:sz="0" w:space="0" w:color="auto"/>
              </w:divBdr>
              <w:divsChild>
                <w:div w:id="2016153700">
                  <w:marLeft w:val="0"/>
                  <w:marRight w:val="0"/>
                  <w:marTop w:val="0"/>
                  <w:marBottom w:val="0"/>
                  <w:divBdr>
                    <w:top w:val="none" w:sz="0" w:space="0" w:color="auto"/>
                    <w:left w:val="none" w:sz="0" w:space="0" w:color="auto"/>
                    <w:bottom w:val="none" w:sz="0" w:space="0" w:color="auto"/>
                    <w:right w:val="none" w:sz="0" w:space="0" w:color="auto"/>
                  </w:divBdr>
                  <w:divsChild>
                    <w:div w:id="1306350090">
                      <w:marLeft w:val="0"/>
                      <w:marRight w:val="0"/>
                      <w:marTop w:val="0"/>
                      <w:marBottom w:val="0"/>
                      <w:divBdr>
                        <w:top w:val="none" w:sz="0" w:space="0" w:color="auto"/>
                        <w:left w:val="none" w:sz="0" w:space="0" w:color="auto"/>
                        <w:bottom w:val="none" w:sz="0" w:space="0" w:color="auto"/>
                        <w:right w:val="none" w:sz="0" w:space="0" w:color="auto"/>
                      </w:divBdr>
                      <w:divsChild>
                        <w:div w:id="287322431">
                          <w:marLeft w:val="0"/>
                          <w:marRight w:val="0"/>
                          <w:marTop w:val="0"/>
                          <w:marBottom w:val="0"/>
                          <w:divBdr>
                            <w:top w:val="none" w:sz="0" w:space="0" w:color="auto"/>
                            <w:left w:val="none" w:sz="0" w:space="0" w:color="auto"/>
                            <w:bottom w:val="none" w:sz="0" w:space="0" w:color="auto"/>
                            <w:right w:val="none" w:sz="0" w:space="0" w:color="auto"/>
                          </w:divBdr>
                          <w:divsChild>
                            <w:div w:id="1353728919">
                              <w:marLeft w:val="0"/>
                              <w:marRight w:val="0"/>
                              <w:marTop w:val="0"/>
                              <w:marBottom w:val="0"/>
                              <w:divBdr>
                                <w:top w:val="none" w:sz="0" w:space="0" w:color="auto"/>
                                <w:left w:val="none" w:sz="0" w:space="0" w:color="auto"/>
                                <w:bottom w:val="none" w:sz="0" w:space="0" w:color="auto"/>
                                <w:right w:val="none" w:sz="0" w:space="0" w:color="auto"/>
                              </w:divBdr>
                              <w:divsChild>
                                <w:div w:id="369913983">
                                  <w:marLeft w:val="0"/>
                                  <w:marRight w:val="0"/>
                                  <w:marTop w:val="0"/>
                                  <w:marBottom w:val="0"/>
                                  <w:divBdr>
                                    <w:top w:val="none" w:sz="0" w:space="0" w:color="auto"/>
                                    <w:left w:val="none" w:sz="0" w:space="0" w:color="auto"/>
                                    <w:bottom w:val="none" w:sz="0" w:space="0" w:color="auto"/>
                                    <w:right w:val="none" w:sz="0" w:space="0" w:color="auto"/>
                                  </w:divBdr>
                                  <w:divsChild>
                                    <w:div w:id="418986005">
                                      <w:marLeft w:val="0"/>
                                      <w:marRight w:val="0"/>
                                      <w:marTop w:val="0"/>
                                      <w:marBottom w:val="0"/>
                                      <w:divBdr>
                                        <w:top w:val="none" w:sz="0" w:space="0" w:color="auto"/>
                                        <w:left w:val="none" w:sz="0" w:space="0" w:color="auto"/>
                                        <w:bottom w:val="none" w:sz="0" w:space="0" w:color="auto"/>
                                        <w:right w:val="none" w:sz="0" w:space="0" w:color="auto"/>
                                      </w:divBdr>
                                      <w:divsChild>
                                        <w:div w:id="1083721710">
                                          <w:marLeft w:val="0"/>
                                          <w:marRight w:val="0"/>
                                          <w:marTop w:val="0"/>
                                          <w:marBottom w:val="495"/>
                                          <w:divBdr>
                                            <w:top w:val="none" w:sz="0" w:space="0" w:color="auto"/>
                                            <w:left w:val="none" w:sz="0" w:space="0" w:color="auto"/>
                                            <w:bottom w:val="none" w:sz="0" w:space="0" w:color="auto"/>
                                            <w:right w:val="none" w:sz="0" w:space="0" w:color="auto"/>
                                          </w:divBdr>
                                          <w:divsChild>
                                            <w:div w:id="172459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85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2sp/EEUU.1228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05sp/cap.3e.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idh.oas.org/annualrep/2005sp/cap.3e.htm" TargetMode="External"/><Relationship Id="rId2" Type="http://schemas.openxmlformats.org/officeDocument/2006/relationships/hyperlink" Target="http://www.cidh.oas.org/annualrep/2005sp/cap.3e.htm" TargetMode="External"/><Relationship Id="rId1" Type="http://schemas.openxmlformats.org/officeDocument/2006/relationships/hyperlink" Target="http://www.cidh.oas.org/annualrep/2005sp/cap.3e.htm" TargetMode="External"/><Relationship Id="rId4" Type="http://schemas.openxmlformats.org/officeDocument/2006/relationships/hyperlink" Target="https://supreme.justia.com/cases/federal/us/543/5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1056-D78E-4196-A5C8-DF3B0187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CIDH Intern 17 (Gourier, Madeleine)</dc:creator>
  <cp:keywords/>
  <dc:description/>
  <cp:lastModifiedBy>CIDH Becario 16 (Paez, Catalina)</cp:lastModifiedBy>
  <cp:revision>28</cp:revision>
  <dcterms:created xsi:type="dcterms:W3CDTF">2019-03-22T20:29:00Z</dcterms:created>
  <dcterms:modified xsi:type="dcterms:W3CDTF">2019-07-30T19:29:00Z</dcterms:modified>
</cp:coreProperties>
</file>