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030E6" w14:textId="77777777" w:rsidR="00BB56C4" w:rsidRPr="00F0148B" w:rsidRDefault="009969F9" w:rsidP="00BB56C4">
      <w:pPr>
        <w:pStyle w:val="Header"/>
        <w:jc w:val="center"/>
        <w:rPr>
          <w:rFonts w:ascii="Cambria" w:hAnsi="Cambria"/>
          <w:sz w:val="20"/>
          <w:szCs w:val="20"/>
          <w:lang w:val="es-ES"/>
        </w:rPr>
      </w:pPr>
      <w:r w:rsidRPr="00F0148B">
        <w:rPr>
          <w:rFonts w:ascii="Cambria" w:hAnsi="Cambria"/>
          <w:b/>
          <w:sz w:val="20"/>
          <w:szCs w:val="20"/>
          <w:lang w:val="es-ES"/>
        </w:rPr>
        <w:t>FICHA DE SEGUIMIENTO DEL INFORME Nº</w:t>
      </w:r>
      <w:r w:rsidR="007F0933" w:rsidRPr="00F0148B">
        <w:rPr>
          <w:rFonts w:ascii="Cambria" w:hAnsi="Cambria"/>
          <w:b/>
          <w:sz w:val="20"/>
          <w:szCs w:val="20"/>
          <w:lang w:val="es-ES"/>
        </w:rPr>
        <w:t xml:space="preserve"> 44</w:t>
      </w:r>
      <w:r w:rsidR="00720F39" w:rsidRPr="00F0148B">
        <w:rPr>
          <w:rFonts w:ascii="Cambria" w:hAnsi="Cambria"/>
          <w:b/>
          <w:sz w:val="20"/>
          <w:szCs w:val="20"/>
          <w:lang w:val="es-ES"/>
        </w:rPr>
        <w:t>/08</w:t>
      </w:r>
    </w:p>
    <w:p w14:paraId="6220BE2C" w14:textId="77777777" w:rsidR="00BB56C4" w:rsidRPr="00F0148B" w:rsidRDefault="002E3D31" w:rsidP="00BB56C4">
      <w:pPr>
        <w:spacing w:after="0" w:line="240" w:lineRule="auto"/>
        <w:jc w:val="center"/>
        <w:rPr>
          <w:rFonts w:ascii="Cambria" w:hAnsi="Cambria"/>
          <w:b/>
          <w:sz w:val="20"/>
          <w:szCs w:val="20"/>
          <w:lang w:val="es-ES"/>
        </w:rPr>
      </w:pPr>
      <w:r w:rsidRPr="00F0148B">
        <w:rPr>
          <w:rFonts w:ascii="Cambria" w:hAnsi="Cambria"/>
          <w:b/>
          <w:sz w:val="20"/>
          <w:szCs w:val="20"/>
          <w:lang w:val="es-ES"/>
        </w:rPr>
        <w:t>CASO</w:t>
      </w:r>
      <w:r w:rsidR="007F0933" w:rsidRPr="00F0148B">
        <w:rPr>
          <w:rFonts w:ascii="Cambria" w:hAnsi="Cambria"/>
          <w:b/>
          <w:sz w:val="20"/>
          <w:szCs w:val="20"/>
          <w:lang w:val="es-ES"/>
        </w:rPr>
        <w:t xml:space="preserve"> 12.448</w:t>
      </w:r>
    </w:p>
    <w:p w14:paraId="1D2C76ED" w14:textId="77777777" w:rsidR="00BB56C4" w:rsidRPr="00F0148B" w:rsidRDefault="007F0933" w:rsidP="00BB56C4">
      <w:pPr>
        <w:spacing w:after="0" w:line="240" w:lineRule="auto"/>
        <w:jc w:val="center"/>
        <w:rPr>
          <w:rFonts w:ascii="Cambria" w:hAnsi="Cambria"/>
          <w:b/>
          <w:sz w:val="20"/>
          <w:szCs w:val="20"/>
          <w:lang w:val="es-ES"/>
        </w:rPr>
      </w:pPr>
      <w:r w:rsidRPr="00F0148B">
        <w:rPr>
          <w:rFonts w:ascii="Cambria" w:hAnsi="Cambria"/>
          <w:b/>
          <w:sz w:val="20"/>
          <w:szCs w:val="20"/>
          <w:lang w:val="es-ES"/>
        </w:rPr>
        <w:t xml:space="preserve">SERGIO EMILIO CADENA </w:t>
      </w:r>
      <w:r w:rsidR="001711D5" w:rsidRPr="00F0148B">
        <w:rPr>
          <w:rFonts w:ascii="Cambria" w:hAnsi="Cambria"/>
          <w:b/>
          <w:sz w:val="20"/>
          <w:szCs w:val="20"/>
          <w:lang w:val="es-ES"/>
        </w:rPr>
        <w:t>ANTOLÍNEZ</w:t>
      </w:r>
    </w:p>
    <w:p w14:paraId="4DDB2CE0" w14:textId="77777777" w:rsidR="00BB56C4" w:rsidRPr="00F0148B" w:rsidRDefault="00BB56C4" w:rsidP="00BB56C4">
      <w:pPr>
        <w:spacing w:after="0" w:line="240" w:lineRule="auto"/>
        <w:jc w:val="center"/>
        <w:rPr>
          <w:rFonts w:ascii="Cambria" w:hAnsi="Cambria"/>
          <w:b/>
          <w:sz w:val="20"/>
          <w:szCs w:val="20"/>
          <w:lang w:val="es-ES"/>
        </w:rPr>
      </w:pPr>
      <w:r w:rsidRPr="00F0148B">
        <w:rPr>
          <w:rFonts w:ascii="Cambria" w:hAnsi="Cambria"/>
          <w:b/>
          <w:sz w:val="20"/>
          <w:szCs w:val="20"/>
          <w:lang w:val="es-ES"/>
        </w:rPr>
        <w:t>(</w:t>
      </w:r>
      <w:r w:rsidR="00720F39" w:rsidRPr="00F0148B">
        <w:rPr>
          <w:rFonts w:ascii="Cambria" w:hAnsi="Cambria"/>
          <w:b/>
          <w:sz w:val="20"/>
          <w:szCs w:val="20"/>
          <w:lang w:val="es-ES"/>
        </w:rPr>
        <w:t>Colombia</w:t>
      </w:r>
      <w:r w:rsidRPr="00F0148B">
        <w:rPr>
          <w:rFonts w:ascii="Cambria" w:hAnsi="Cambria"/>
          <w:b/>
          <w:sz w:val="20"/>
          <w:szCs w:val="20"/>
          <w:lang w:val="es-ES"/>
        </w:rPr>
        <w:t>)</w:t>
      </w:r>
    </w:p>
    <w:p w14:paraId="6C5571DA" w14:textId="77777777" w:rsidR="00BB56C4" w:rsidRPr="00F0148B" w:rsidRDefault="00BB56C4" w:rsidP="00BB56C4">
      <w:pPr>
        <w:spacing w:after="0" w:line="240" w:lineRule="auto"/>
        <w:jc w:val="center"/>
        <w:rPr>
          <w:rFonts w:ascii="Cambria" w:hAnsi="Cambria"/>
          <w:sz w:val="20"/>
          <w:szCs w:val="20"/>
          <w:lang w:val="es-ES"/>
        </w:rPr>
      </w:pPr>
    </w:p>
    <w:p w14:paraId="24FDA84A" w14:textId="77777777" w:rsidR="00BB56C4" w:rsidRPr="00F0148B" w:rsidRDefault="00BB56C4" w:rsidP="009969F9">
      <w:pPr>
        <w:pStyle w:val="NoSpacing"/>
        <w:numPr>
          <w:ilvl w:val="0"/>
          <w:numId w:val="18"/>
        </w:numPr>
        <w:ind w:left="1440" w:hanging="720"/>
        <w:jc w:val="both"/>
        <w:rPr>
          <w:rFonts w:ascii="Cambria" w:hAnsi="Cambria" w:cs="Calibri Light"/>
          <w:b/>
          <w:sz w:val="20"/>
          <w:szCs w:val="20"/>
          <w:lang w:val="es-ES"/>
        </w:rPr>
      </w:pPr>
      <w:r w:rsidRPr="00F0148B">
        <w:rPr>
          <w:rFonts w:ascii="Cambria" w:hAnsi="Cambria" w:cs="Calibri Light"/>
          <w:b/>
          <w:sz w:val="20"/>
          <w:szCs w:val="20"/>
          <w:lang w:val="es-ES"/>
        </w:rPr>
        <w:t xml:space="preserve">Resumen del caso </w:t>
      </w:r>
    </w:p>
    <w:p w14:paraId="322DEE88" w14:textId="77777777" w:rsidR="00BB56C4" w:rsidRPr="00F0148B" w:rsidRDefault="00BB56C4" w:rsidP="00BB56C4">
      <w:pPr>
        <w:spacing w:after="0" w:line="240" w:lineRule="auto"/>
        <w:ind w:left="1080"/>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BB56C4" w:rsidRPr="00F0148B" w14:paraId="592CFE5A" w14:textId="77777777" w:rsidTr="007B799F">
        <w:trPr>
          <w:trHeight w:val="3221"/>
          <w:jc w:val="center"/>
        </w:trPr>
        <w:tc>
          <w:tcPr>
            <w:tcW w:w="9576" w:type="dxa"/>
            <w:shd w:val="clear" w:color="auto" w:fill="F2F2F2"/>
          </w:tcPr>
          <w:p w14:paraId="2724B478" w14:textId="77777777" w:rsidR="00BB56C4" w:rsidRPr="00F0148B" w:rsidRDefault="00BB56C4" w:rsidP="007B799F">
            <w:pPr>
              <w:spacing w:before="120" w:after="0" w:line="240" w:lineRule="auto"/>
              <w:jc w:val="both"/>
              <w:rPr>
                <w:rFonts w:ascii="Cambria" w:hAnsi="Cambria"/>
                <w:b/>
                <w:sz w:val="20"/>
                <w:szCs w:val="20"/>
                <w:lang w:val="es-ES"/>
              </w:rPr>
            </w:pPr>
            <w:r w:rsidRPr="00F0148B">
              <w:rPr>
                <w:rFonts w:ascii="Cambria" w:hAnsi="Cambria"/>
                <w:b/>
                <w:sz w:val="20"/>
                <w:szCs w:val="20"/>
                <w:lang w:val="es-ES"/>
              </w:rPr>
              <w:t xml:space="preserve">Víctima (s): </w:t>
            </w:r>
            <w:r w:rsidR="007F0933" w:rsidRPr="00F0148B">
              <w:rPr>
                <w:rFonts w:ascii="Cambria" w:hAnsi="Cambria"/>
                <w:sz w:val="20"/>
                <w:szCs w:val="20"/>
                <w:lang w:val="es-ES"/>
              </w:rPr>
              <w:t xml:space="preserve">Sergio Emilio Cadena </w:t>
            </w:r>
            <w:r w:rsidR="001711D5" w:rsidRPr="00F0148B">
              <w:rPr>
                <w:rFonts w:ascii="Cambria" w:hAnsi="Cambria"/>
                <w:sz w:val="20"/>
                <w:szCs w:val="20"/>
                <w:lang w:val="es-ES"/>
              </w:rPr>
              <w:t>Antolínez</w:t>
            </w:r>
          </w:p>
          <w:p w14:paraId="462C29FF" w14:textId="77777777" w:rsidR="00BB56C4" w:rsidRPr="00F0148B" w:rsidRDefault="00BB56C4" w:rsidP="007B799F">
            <w:pPr>
              <w:spacing w:after="0" w:line="240" w:lineRule="auto"/>
              <w:jc w:val="both"/>
              <w:rPr>
                <w:rFonts w:ascii="Cambria" w:hAnsi="Cambria"/>
                <w:sz w:val="20"/>
                <w:szCs w:val="20"/>
                <w:lang w:val="es-ES"/>
              </w:rPr>
            </w:pPr>
            <w:r w:rsidRPr="00F0148B">
              <w:rPr>
                <w:rFonts w:ascii="Cambria" w:hAnsi="Cambria"/>
                <w:b/>
                <w:sz w:val="20"/>
                <w:szCs w:val="20"/>
                <w:lang w:val="es-ES"/>
              </w:rPr>
              <w:t xml:space="preserve">Peticionario (s): </w:t>
            </w:r>
            <w:r w:rsidR="009D5642" w:rsidRPr="00F0148B">
              <w:rPr>
                <w:rFonts w:ascii="Cambria" w:hAnsi="Cambria"/>
                <w:sz w:val="20"/>
                <w:szCs w:val="20"/>
                <w:lang w:val="es-ES"/>
              </w:rPr>
              <w:t>Corporación Colectivo de Abogados “José Alvear Restrepo”</w:t>
            </w:r>
          </w:p>
          <w:p w14:paraId="275403A4" w14:textId="77777777" w:rsidR="00BB56C4" w:rsidRPr="00F0148B" w:rsidRDefault="00BB56C4" w:rsidP="007B799F">
            <w:pPr>
              <w:spacing w:after="0" w:line="240" w:lineRule="auto"/>
              <w:jc w:val="both"/>
              <w:rPr>
                <w:rFonts w:ascii="Cambria" w:hAnsi="Cambria"/>
                <w:sz w:val="20"/>
                <w:szCs w:val="20"/>
                <w:lang w:val="es-ES"/>
              </w:rPr>
            </w:pPr>
            <w:r w:rsidRPr="00F0148B">
              <w:rPr>
                <w:rFonts w:ascii="Cambria" w:hAnsi="Cambria"/>
                <w:b/>
                <w:sz w:val="20"/>
                <w:szCs w:val="20"/>
                <w:lang w:val="es-ES"/>
              </w:rPr>
              <w:t xml:space="preserve">Estado: </w:t>
            </w:r>
            <w:r w:rsidR="00720F39" w:rsidRPr="00F0148B">
              <w:rPr>
                <w:rFonts w:ascii="Cambria" w:hAnsi="Cambria"/>
                <w:sz w:val="20"/>
                <w:szCs w:val="20"/>
                <w:lang w:val="es-ES"/>
              </w:rPr>
              <w:t>Colombia</w:t>
            </w:r>
          </w:p>
          <w:p w14:paraId="5D1C628C" w14:textId="77777777" w:rsidR="00BB56C4" w:rsidRPr="00F0148B" w:rsidRDefault="003C1898" w:rsidP="007B799F">
            <w:pPr>
              <w:spacing w:after="0" w:line="240" w:lineRule="auto"/>
              <w:jc w:val="both"/>
              <w:rPr>
                <w:rFonts w:ascii="Cambria" w:hAnsi="Cambria"/>
                <w:sz w:val="20"/>
                <w:szCs w:val="20"/>
                <w:lang w:val="es-ES"/>
              </w:rPr>
            </w:pPr>
            <w:r w:rsidRPr="00F0148B">
              <w:rPr>
                <w:rFonts w:ascii="Cambria" w:hAnsi="Cambria"/>
                <w:b/>
                <w:sz w:val="20"/>
                <w:szCs w:val="20"/>
                <w:lang w:val="es-ES"/>
              </w:rPr>
              <w:t>Informe de Fondo Nº</w:t>
            </w:r>
            <w:r w:rsidR="00BB56C4" w:rsidRPr="00F0148B">
              <w:rPr>
                <w:rFonts w:ascii="Cambria" w:hAnsi="Cambria"/>
                <w:b/>
                <w:sz w:val="20"/>
                <w:szCs w:val="20"/>
                <w:lang w:val="es-ES"/>
              </w:rPr>
              <w:t xml:space="preserve">: </w:t>
            </w:r>
            <w:hyperlink r:id="rId8" w:history="1">
              <w:r w:rsidR="007F0933" w:rsidRPr="00F0148B">
                <w:rPr>
                  <w:rStyle w:val="Hyperlink"/>
                  <w:rFonts w:ascii="Cambria" w:hAnsi="Cambria"/>
                  <w:color w:val="auto"/>
                  <w:sz w:val="20"/>
                  <w:szCs w:val="20"/>
                  <w:lang w:val="es-ES"/>
                </w:rPr>
                <w:t>44</w:t>
              </w:r>
              <w:r w:rsidR="00720F39" w:rsidRPr="00F0148B">
                <w:rPr>
                  <w:rStyle w:val="Hyperlink"/>
                  <w:rFonts w:ascii="Cambria" w:hAnsi="Cambria"/>
                  <w:color w:val="auto"/>
                  <w:sz w:val="20"/>
                  <w:szCs w:val="20"/>
                  <w:lang w:val="es-ES"/>
                </w:rPr>
                <w:t>/08</w:t>
              </w:r>
            </w:hyperlink>
            <w:r w:rsidR="00BB56C4" w:rsidRPr="00F0148B">
              <w:rPr>
                <w:rFonts w:ascii="Cambria" w:hAnsi="Cambria"/>
                <w:sz w:val="20"/>
                <w:szCs w:val="20"/>
                <w:lang w:val="es-ES"/>
              </w:rPr>
              <w:t xml:space="preserve">, publicado en </w:t>
            </w:r>
            <w:r w:rsidR="00720F39" w:rsidRPr="00F0148B">
              <w:rPr>
                <w:rFonts w:ascii="Cambria" w:hAnsi="Cambria"/>
                <w:sz w:val="20"/>
                <w:szCs w:val="20"/>
                <w:lang w:val="es-ES"/>
              </w:rPr>
              <w:t>23</w:t>
            </w:r>
            <w:r w:rsidR="00BB56C4" w:rsidRPr="00F0148B">
              <w:rPr>
                <w:rFonts w:ascii="Cambria" w:hAnsi="Cambria"/>
                <w:sz w:val="20"/>
                <w:szCs w:val="20"/>
                <w:lang w:val="es-ES"/>
              </w:rPr>
              <w:t xml:space="preserve"> de </w:t>
            </w:r>
            <w:r w:rsidR="00720F39" w:rsidRPr="00F0148B">
              <w:rPr>
                <w:rFonts w:ascii="Cambria" w:hAnsi="Cambria"/>
                <w:sz w:val="20"/>
                <w:szCs w:val="20"/>
                <w:lang w:val="es-ES"/>
              </w:rPr>
              <w:t>julio de 2008</w:t>
            </w:r>
          </w:p>
          <w:p w14:paraId="24FD8900" w14:textId="77777777" w:rsidR="00BB56C4" w:rsidRPr="00F0148B" w:rsidRDefault="00720F39" w:rsidP="007B799F">
            <w:pPr>
              <w:spacing w:after="0" w:line="240" w:lineRule="auto"/>
              <w:jc w:val="both"/>
              <w:rPr>
                <w:rFonts w:ascii="Cambria" w:hAnsi="Cambria"/>
                <w:sz w:val="20"/>
                <w:szCs w:val="20"/>
                <w:lang w:val="es-ES"/>
              </w:rPr>
            </w:pPr>
            <w:r w:rsidRPr="00F0148B">
              <w:rPr>
                <w:rFonts w:ascii="Cambria" w:hAnsi="Cambria"/>
                <w:b/>
                <w:sz w:val="20"/>
                <w:szCs w:val="20"/>
                <w:lang w:val="es-ES"/>
              </w:rPr>
              <w:t>Informe de Admisibilidad Nº:</w:t>
            </w:r>
            <w:r w:rsidR="009D5642" w:rsidRPr="00F0148B">
              <w:rPr>
                <w:rFonts w:ascii="Cambria" w:hAnsi="Cambria"/>
                <w:b/>
                <w:sz w:val="20"/>
                <w:szCs w:val="20"/>
                <w:lang w:val="es-ES"/>
              </w:rPr>
              <w:t xml:space="preserve"> </w:t>
            </w:r>
            <w:hyperlink r:id="rId9" w:history="1">
              <w:r w:rsidR="007F0933" w:rsidRPr="00F0148B">
                <w:rPr>
                  <w:rStyle w:val="Hyperlink"/>
                  <w:rFonts w:ascii="Cambria" w:hAnsi="Cambria"/>
                  <w:color w:val="auto"/>
                  <w:sz w:val="20"/>
                  <w:szCs w:val="20"/>
                  <w:lang w:val="es-ES"/>
                </w:rPr>
                <w:t>1/04</w:t>
              </w:r>
            </w:hyperlink>
            <w:r w:rsidR="009D5642" w:rsidRPr="00F0148B">
              <w:rPr>
                <w:rFonts w:ascii="Cambria" w:hAnsi="Cambria"/>
                <w:sz w:val="20"/>
                <w:szCs w:val="20"/>
                <w:lang w:val="es-ES"/>
              </w:rPr>
              <w:t>,</w:t>
            </w:r>
            <w:r w:rsidR="009D5642" w:rsidRPr="00F0148B">
              <w:rPr>
                <w:rFonts w:ascii="Cambria" w:hAnsi="Cambria"/>
                <w:b/>
                <w:sz w:val="20"/>
                <w:szCs w:val="20"/>
                <w:lang w:val="es-ES"/>
              </w:rPr>
              <w:t xml:space="preserve"> </w:t>
            </w:r>
            <w:r w:rsidR="00BA3967" w:rsidRPr="00F0148B">
              <w:rPr>
                <w:rFonts w:ascii="Cambria" w:hAnsi="Cambria"/>
                <w:sz w:val="20"/>
                <w:szCs w:val="20"/>
                <w:lang w:val="es-ES"/>
              </w:rPr>
              <w:t>adoptado</w:t>
            </w:r>
            <w:r w:rsidR="00AE10CA" w:rsidRPr="00F0148B">
              <w:rPr>
                <w:rFonts w:ascii="Cambria" w:hAnsi="Cambria"/>
                <w:sz w:val="20"/>
                <w:szCs w:val="20"/>
                <w:lang w:val="es-ES"/>
              </w:rPr>
              <w:t xml:space="preserve"> el 24</w:t>
            </w:r>
            <w:r w:rsidR="009D5642" w:rsidRPr="00F0148B">
              <w:rPr>
                <w:rFonts w:ascii="Cambria" w:hAnsi="Cambria"/>
                <w:sz w:val="20"/>
                <w:szCs w:val="20"/>
                <w:lang w:val="es-ES"/>
              </w:rPr>
              <w:t xml:space="preserve"> de </w:t>
            </w:r>
            <w:r w:rsidR="00AE10CA" w:rsidRPr="00F0148B">
              <w:rPr>
                <w:rFonts w:ascii="Cambria" w:hAnsi="Cambria"/>
                <w:sz w:val="20"/>
                <w:szCs w:val="20"/>
                <w:lang w:val="es-ES"/>
              </w:rPr>
              <w:t>febrero de 2004</w:t>
            </w:r>
          </w:p>
          <w:p w14:paraId="2D7D8D4F" w14:textId="77777777" w:rsidR="00870135" w:rsidRPr="00F0148B" w:rsidRDefault="00BB56C4" w:rsidP="007B799F">
            <w:pPr>
              <w:spacing w:after="120" w:line="240" w:lineRule="auto"/>
              <w:jc w:val="both"/>
              <w:rPr>
                <w:rFonts w:ascii="Cambria" w:hAnsi="Cambria" w:cstheme="minorHAnsi"/>
                <w:sz w:val="20"/>
                <w:szCs w:val="20"/>
                <w:lang w:val="es-ES"/>
              </w:rPr>
            </w:pPr>
            <w:r w:rsidRPr="00F0148B">
              <w:rPr>
                <w:rFonts w:ascii="Cambria" w:hAnsi="Cambria"/>
                <w:b/>
                <w:sz w:val="20"/>
                <w:szCs w:val="20"/>
                <w:lang w:val="es-ES"/>
              </w:rPr>
              <w:t>Temas:</w:t>
            </w:r>
            <w:r w:rsidR="004C50B2" w:rsidRPr="00F0148B">
              <w:rPr>
                <w:rFonts w:ascii="Cambria" w:hAnsi="Cambria"/>
                <w:b/>
                <w:sz w:val="20"/>
                <w:szCs w:val="20"/>
                <w:lang w:val="es-ES"/>
              </w:rPr>
              <w:t xml:space="preserve"> </w:t>
            </w:r>
            <w:r w:rsidR="004C50B2" w:rsidRPr="00F0148B">
              <w:rPr>
                <w:rFonts w:ascii="Cambria" w:hAnsi="Cambria"/>
                <w:sz w:val="20"/>
                <w:szCs w:val="20"/>
                <w:lang w:val="es-ES"/>
              </w:rPr>
              <w:t>Derechos laborales /</w:t>
            </w:r>
            <w:r w:rsidRPr="00F0148B">
              <w:rPr>
                <w:rFonts w:ascii="Cambria" w:hAnsi="Cambria"/>
                <w:sz w:val="20"/>
                <w:szCs w:val="20"/>
                <w:lang w:val="es-ES"/>
              </w:rPr>
              <w:t xml:space="preserve"> </w:t>
            </w:r>
            <w:r w:rsidRPr="00F0148B">
              <w:rPr>
                <w:rFonts w:ascii="Cambria" w:hAnsi="Cambria" w:cstheme="minorHAnsi"/>
                <w:sz w:val="20"/>
                <w:szCs w:val="20"/>
                <w:lang w:val="es-ES"/>
              </w:rPr>
              <w:t xml:space="preserve">Garantías judiciales y protección judicial </w:t>
            </w:r>
            <w:r w:rsidR="002C4BCC" w:rsidRPr="00F0148B">
              <w:rPr>
                <w:rFonts w:ascii="Cambria" w:hAnsi="Cambria" w:cstheme="minorHAnsi"/>
                <w:sz w:val="20"/>
                <w:szCs w:val="20"/>
                <w:lang w:val="es-ES"/>
              </w:rPr>
              <w:t>/ Obligación de respetar los derechos /</w:t>
            </w:r>
            <w:r w:rsidR="002C4BCC" w:rsidRPr="00F0148B">
              <w:rPr>
                <w:lang w:val="es-ES"/>
              </w:rPr>
              <w:t xml:space="preserve"> </w:t>
            </w:r>
            <w:r w:rsidR="002C4BCC" w:rsidRPr="00F0148B">
              <w:rPr>
                <w:rFonts w:ascii="Cambria" w:hAnsi="Cambria" w:cstheme="minorHAnsi"/>
                <w:sz w:val="20"/>
                <w:szCs w:val="20"/>
                <w:lang w:val="es-ES"/>
              </w:rPr>
              <w:t xml:space="preserve">Pensiones  </w:t>
            </w:r>
          </w:p>
          <w:p w14:paraId="44A2CE0A" w14:textId="77777777" w:rsidR="003254B8" w:rsidRPr="00F0148B" w:rsidRDefault="00BB56C4" w:rsidP="007B799F">
            <w:pPr>
              <w:spacing w:after="120" w:line="240" w:lineRule="auto"/>
              <w:jc w:val="both"/>
              <w:rPr>
                <w:rFonts w:ascii="Cambria" w:hAnsi="Cambria"/>
                <w:sz w:val="20"/>
                <w:szCs w:val="20"/>
                <w:lang w:val="es-ES"/>
              </w:rPr>
            </w:pPr>
            <w:r w:rsidRPr="00F0148B">
              <w:rPr>
                <w:rFonts w:ascii="Cambria" w:hAnsi="Cambria"/>
                <w:b/>
                <w:sz w:val="20"/>
                <w:szCs w:val="20"/>
                <w:lang w:val="es-ES"/>
              </w:rPr>
              <w:t xml:space="preserve">Hechos: </w:t>
            </w:r>
            <w:r w:rsidR="00820DE5" w:rsidRPr="00F0148B">
              <w:rPr>
                <w:rFonts w:ascii="Cambria" w:hAnsi="Cambria"/>
                <w:sz w:val="20"/>
                <w:szCs w:val="20"/>
                <w:lang w:val="es-ES"/>
              </w:rPr>
              <w:t>El caso se refiere a</w:t>
            </w:r>
            <w:r w:rsidR="00D23070" w:rsidRPr="00F0148B">
              <w:rPr>
                <w:rFonts w:ascii="Cambria" w:hAnsi="Cambria"/>
                <w:sz w:val="20"/>
                <w:szCs w:val="20"/>
                <w:lang w:val="es-ES"/>
              </w:rPr>
              <w:t xml:space="preserve">l despedido sin justa causa </w:t>
            </w:r>
            <w:r w:rsidR="005E4A6F" w:rsidRPr="00F0148B">
              <w:rPr>
                <w:rFonts w:ascii="Cambria" w:hAnsi="Cambria"/>
                <w:sz w:val="20"/>
                <w:szCs w:val="20"/>
                <w:lang w:val="es-ES"/>
              </w:rPr>
              <w:t xml:space="preserve">del señor </w:t>
            </w:r>
            <w:r w:rsidR="00861148" w:rsidRPr="00F0148B">
              <w:rPr>
                <w:rFonts w:ascii="Cambria" w:hAnsi="Cambria"/>
                <w:sz w:val="20"/>
                <w:szCs w:val="20"/>
                <w:lang w:val="es-ES"/>
              </w:rPr>
              <w:t xml:space="preserve">Sergio </w:t>
            </w:r>
            <w:r w:rsidR="005E4A6F" w:rsidRPr="00F0148B">
              <w:rPr>
                <w:rFonts w:ascii="Cambria" w:hAnsi="Cambria"/>
                <w:sz w:val="20"/>
                <w:szCs w:val="20"/>
                <w:lang w:val="es-ES"/>
              </w:rPr>
              <w:t xml:space="preserve">Emilio Cadena </w:t>
            </w:r>
            <w:r w:rsidR="001711D5" w:rsidRPr="00F0148B">
              <w:rPr>
                <w:rFonts w:ascii="Cambria" w:hAnsi="Cambria"/>
                <w:sz w:val="20"/>
                <w:szCs w:val="20"/>
                <w:lang w:val="es-ES"/>
              </w:rPr>
              <w:t>Antolínez</w:t>
            </w:r>
            <w:r w:rsidR="00D23070" w:rsidRPr="00F0148B">
              <w:rPr>
                <w:rFonts w:ascii="Cambria" w:hAnsi="Cambria"/>
                <w:sz w:val="20"/>
                <w:szCs w:val="20"/>
                <w:lang w:val="es-ES"/>
              </w:rPr>
              <w:t xml:space="preserve">, quien </w:t>
            </w:r>
            <w:r w:rsidR="000F6E7A" w:rsidRPr="00F0148B">
              <w:rPr>
                <w:rFonts w:ascii="Cambria" w:hAnsi="Cambria"/>
                <w:sz w:val="20"/>
                <w:szCs w:val="20"/>
                <w:lang w:val="es-ES"/>
              </w:rPr>
              <w:t xml:space="preserve">se </w:t>
            </w:r>
            <w:r w:rsidR="00D23070" w:rsidRPr="00F0148B">
              <w:rPr>
                <w:rFonts w:ascii="Cambria" w:hAnsi="Cambria"/>
                <w:sz w:val="20"/>
                <w:szCs w:val="20"/>
                <w:lang w:val="es-ES"/>
              </w:rPr>
              <w:t xml:space="preserve">había desempeñado como empleado del Banco de la República, </w:t>
            </w:r>
            <w:r w:rsidR="005E4A6F" w:rsidRPr="00F0148B">
              <w:rPr>
                <w:rFonts w:ascii="Cambria" w:hAnsi="Cambria"/>
                <w:sz w:val="20"/>
                <w:szCs w:val="20"/>
                <w:lang w:val="es-ES"/>
              </w:rPr>
              <w:t xml:space="preserve">y </w:t>
            </w:r>
            <w:r w:rsidR="003254B8" w:rsidRPr="00F0148B">
              <w:rPr>
                <w:rFonts w:ascii="Cambria" w:hAnsi="Cambria"/>
                <w:sz w:val="20"/>
                <w:szCs w:val="20"/>
                <w:lang w:val="es-ES"/>
              </w:rPr>
              <w:t xml:space="preserve">a la privación del acceso a un recurso judicial efectivo para la determinación de </w:t>
            </w:r>
            <w:r w:rsidR="000F6E7A" w:rsidRPr="00F0148B">
              <w:rPr>
                <w:rFonts w:ascii="Cambria" w:hAnsi="Cambria"/>
                <w:sz w:val="20"/>
                <w:szCs w:val="20"/>
                <w:lang w:val="es-ES"/>
              </w:rPr>
              <w:t>sus</w:t>
            </w:r>
            <w:r w:rsidR="003254B8" w:rsidRPr="00F0148B">
              <w:rPr>
                <w:rFonts w:ascii="Cambria" w:hAnsi="Cambria"/>
                <w:sz w:val="20"/>
                <w:szCs w:val="20"/>
                <w:lang w:val="es-ES"/>
              </w:rPr>
              <w:t xml:space="preserve"> derechos por causa del desacato de la sentencia Nº SU-1185/2001 de la Corte Constitucional, dictada</w:t>
            </w:r>
            <w:r w:rsidR="000F6E7A" w:rsidRPr="00F0148B">
              <w:rPr>
                <w:rFonts w:ascii="Cambria" w:hAnsi="Cambria"/>
                <w:sz w:val="20"/>
                <w:szCs w:val="20"/>
                <w:lang w:val="es-ES"/>
              </w:rPr>
              <w:t>,</w:t>
            </w:r>
            <w:r w:rsidR="003254B8" w:rsidRPr="00F0148B">
              <w:rPr>
                <w:rFonts w:ascii="Cambria" w:hAnsi="Cambria"/>
                <w:sz w:val="20"/>
                <w:szCs w:val="20"/>
                <w:lang w:val="es-ES"/>
              </w:rPr>
              <w:t xml:space="preserve"> el 13 de noviembre de 2001</w:t>
            </w:r>
            <w:r w:rsidR="00861148" w:rsidRPr="00F0148B">
              <w:rPr>
                <w:rFonts w:ascii="Cambria" w:hAnsi="Cambria"/>
                <w:sz w:val="20"/>
                <w:szCs w:val="20"/>
                <w:lang w:val="es-ES"/>
              </w:rPr>
              <w:t>,</w:t>
            </w:r>
            <w:r w:rsidR="003254B8" w:rsidRPr="00F0148B">
              <w:rPr>
                <w:rFonts w:ascii="Cambria" w:hAnsi="Cambria"/>
                <w:sz w:val="20"/>
                <w:szCs w:val="20"/>
                <w:lang w:val="es-ES"/>
              </w:rPr>
              <w:t xml:space="preserve"> por parte de la Sala de Casación Laboral de la Corte Suprema de Justicia (situación conocida como “choque de trenes”).</w:t>
            </w:r>
          </w:p>
          <w:p w14:paraId="53448FAE" w14:textId="77777777" w:rsidR="00BB56C4" w:rsidRPr="00F0148B" w:rsidRDefault="00BB56C4" w:rsidP="007B799F">
            <w:pPr>
              <w:spacing w:after="120" w:line="240" w:lineRule="auto"/>
              <w:jc w:val="both"/>
              <w:rPr>
                <w:rFonts w:ascii="Cambria" w:hAnsi="Cambria"/>
                <w:sz w:val="20"/>
                <w:szCs w:val="20"/>
                <w:lang w:val="es-ES"/>
              </w:rPr>
            </w:pPr>
            <w:r w:rsidRPr="00F0148B">
              <w:rPr>
                <w:rFonts w:ascii="Cambria" w:hAnsi="Cambria"/>
                <w:b/>
                <w:sz w:val="20"/>
                <w:szCs w:val="20"/>
                <w:lang w:val="es-ES"/>
              </w:rPr>
              <w:t xml:space="preserve">Derechos violados: </w:t>
            </w:r>
            <w:r w:rsidRPr="00F0148B">
              <w:rPr>
                <w:rFonts w:ascii="Cambria" w:hAnsi="Cambria"/>
                <w:sz w:val="20"/>
                <w:szCs w:val="20"/>
                <w:lang w:val="es-ES"/>
              </w:rPr>
              <w:t>La Comisión concluyó que el Estado era responsable</w:t>
            </w:r>
            <w:r w:rsidR="00720F39" w:rsidRPr="00F0148B">
              <w:rPr>
                <w:rFonts w:ascii="Cambria" w:hAnsi="Cambria"/>
                <w:sz w:val="20"/>
                <w:szCs w:val="20"/>
                <w:lang w:val="es-ES"/>
              </w:rPr>
              <w:t xml:space="preserve"> por</w:t>
            </w:r>
            <w:r w:rsidR="00D37232" w:rsidRPr="00F0148B">
              <w:rPr>
                <w:rFonts w:ascii="Cambria" w:hAnsi="Cambria"/>
                <w:sz w:val="20"/>
                <w:szCs w:val="20"/>
                <w:lang w:val="es-ES"/>
              </w:rPr>
              <w:t xml:space="preserve"> la violación del derecho a la protección judicial de Sergio Emilio Cadena </w:t>
            </w:r>
            <w:r w:rsidR="001711D5" w:rsidRPr="00F0148B">
              <w:rPr>
                <w:rFonts w:ascii="Cambria" w:hAnsi="Cambria"/>
                <w:sz w:val="20"/>
                <w:szCs w:val="20"/>
                <w:lang w:val="es-ES"/>
              </w:rPr>
              <w:t>Antolínez</w:t>
            </w:r>
            <w:r w:rsidR="00D37232" w:rsidRPr="00F0148B">
              <w:rPr>
                <w:rFonts w:ascii="Cambria" w:hAnsi="Cambria"/>
                <w:sz w:val="20"/>
                <w:szCs w:val="20"/>
                <w:lang w:val="es-ES"/>
              </w:rPr>
              <w:t xml:space="preserve">, consagrado en el artículo 25 de la Convención Americana sobre Derechos Humanos, así como de la obligación genérica de respetar y garantizar los derechos protegidos en el </w:t>
            </w:r>
            <w:r w:rsidR="00870135" w:rsidRPr="00F0148B">
              <w:rPr>
                <w:rFonts w:ascii="Cambria" w:hAnsi="Cambria"/>
                <w:sz w:val="20"/>
                <w:szCs w:val="20"/>
                <w:lang w:val="es-ES"/>
              </w:rPr>
              <w:t>artículo 1(1) de dicho Tratado.</w:t>
            </w:r>
            <w:r w:rsidR="00295260" w:rsidRPr="00F0148B">
              <w:rPr>
                <w:rFonts w:ascii="Cambria" w:hAnsi="Cambria"/>
                <w:sz w:val="20"/>
                <w:szCs w:val="20"/>
                <w:lang w:val="es-ES"/>
              </w:rPr>
              <w:t xml:space="preserve"> Asimismo, la Comisión decidió que el Estado no era responsable por la violación de los artículos 2, 8 y 21 de la Convención Americana.</w:t>
            </w:r>
          </w:p>
          <w:p w14:paraId="1DD8C8D6" w14:textId="77777777" w:rsidR="00AD272A" w:rsidRPr="00F0148B" w:rsidRDefault="00AD272A" w:rsidP="00AD272A">
            <w:pPr>
              <w:spacing w:after="0" w:line="240" w:lineRule="auto"/>
              <w:jc w:val="both"/>
              <w:rPr>
                <w:rFonts w:ascii="Cambria" w:hAnsi="Cambria"/>
                <w:sz w:val="20"/>
                <w:szCs w:val="20"/>
                <w:lang w:val="es-ES"/>
              </w:rPr>
            </w:pPr>
            <w:r w:rsidRPr="00F0148B">
              <w:rPr>
                <w:rFonts w:ascii="Cambria" w:hAnsi="Cambria"/>
                <w:b/>
                <w:sz w:val="20"/>
                <w:szCs w:val="20"/>
                <w:lang w:val="es-ES"/>
              </w:rPr>
              <w:t>Estado de cumplimiento del caso:</w:t>
            </w:r>
            <w:r w:rsidRPr="00F0148B">
              <w:rPr>
                <w:rFonts w:ascii="Cambria" w:hAnsi="Cambria"/>
                <w:sz w:val="20"/>
                <w:szCs w:val="20"/>
                <w:lang w:val="es-ES"/>
              </w:rPr>
              <w:t xml:space="preserve"> Cumplimiento total (</w:t>
            </w:r>
            <w:hyperlink r:id="rId10" w:history="1">
              <w:r w:rsidRPr="00F0148B">
                <w:rPr>
                  <w:rStyle w:val="Hyperlink"/>
                  <w:rFonts w:ascii="Cambria" w:hAnsi="Cambria"/>
                  <w:color w:val="auto"/>
                  <w:sz w:val="20"/>
                  <w:szCs w:val="20"/>
                  <w:lang w:val="es-ES"/>
                </w:rPr>
                <w:t>Informe Anual 2009</w:t>
              </w:r>
            </w:hyperlink>
            <w:r w:rsidRPr="00F0148B">
              <w:rPr>
                <w:rFonts w:ascii="Cambria" w:hAnsi="Cambria"/>
                <w:sz w:val="20"/>
                <w:szCs w:val="20"/>
                <w:lang w:val="es-ES"/>
              </w:rPr>
              <w:t>)</w:t>
            </w:r>
          </w:p>
          <w:p w14:paraId="34C73445" w14:textId="6EF464A8" w:rsidR="00AD272A" w:rsidRPr="00F0148B" w:rsidRDefault="00AD272A" w:rsidP="007B799F">
            <w:pPr>
              <w:spacing w:after="120" w:line="240" w:lineRule="auto"/>
              <w:jc w:val="both"/>
              <w:rPr>
                <w:rFonts w:ascii="Cambria" w:hAnsi="Cambria"/>
                <w:sz w:val="20"/>
                <w:szCs w:val="20"/>
                <w:lang w:val="es-ES"/>
              </w:rPr>
            </w:pPr>
            <w:r w:rsidRPr="00F0148B">
              <w:rPr>
                <w:rFonts w:ascii="Cambria" w:hAnsi="Cambria"/>
                <w:b/>
                <w:sz w:val="20"/>
                <w:szCs w:val="20"/>
                <w:lang w:val="es-ES"/>
              </w:rPr>
              <w:t>Años en seguimiento:</w:t>
            </w:r>
            <w:r w:rsidRPr="00F0148B">
              <w:rPr>
                <w:rFonts w:ascii="Cambria" w:hAnsi="Cambria"/>
                <w:sz w:val="20"/>
                <w:szCs w:val="20"/>
                <w:lang w:val="es-ES"/>
              </w:rPr>
              <w:t xml:space="preserve"> 1 año </w:t>
            </w:r>
          </w:p>
        </w:tc>
      </w:tr>
    </w:tbl>
    <w:p w14:paraId="2E26A0E2" w14:textId="77777777" w:rsidR="00BB56C4" w:rsidRPr="00F0148B" w:rsidRDefault="00BB56C4" w:rsidP="00BB56C4">
      <w:pPr>
        <w:spacing w:after="0" w:line="240" w:lineRule="auto"/>
        <w:ind w:left="180"/>
        <w:rPr>
          <w:rFonts w:ascii="Cambria" w:hAnsi="Cambria"/>
          <w:sz w:val="20"/>
          <w:szCs w:val="20"/>
          <w:lang w:val="es-ES"/>
        </w:rPr>
      </w:pPr>
    </w:p>
    <w:p w14:paraId="1AF6BDF1" w14:textId="77777777" w:rsidR="00BB56C4" w:rsidRPr="00F0148B" w:rsidRDefault="009A2EED" w:rsidP="009969F9">
      <w:pPr>
        <w:numPr>
          <w:ilvl w:val="0"/>
          <w:numId w:val="18"/>
        </w:numPr>
        <w:spacing w:after="0" w:line="240" w:lineRule="auto"/>
        <w:ind w:firstLine="0"/>
        <w:jc w:val="both"/>
        <w:rPr>
          <w:rFonts w:ascii="Cambria" w:hAnsi="Cambria" w:cs="Calibri Light"/>
          <w:b/>
          <w:sz w:val="20"/>
          <w:szCs w:val="20"/>
          <w:lang w:val="es-ES"/>
        </w:rPr>
      </w:pPr>
      <w:r w:rsidRPr="00F0148B">
        <w:rPr>
          <w:rFonts w:ascii="Cambria" w:hAnsi="Cambria" w:cs="Calibri Light"/>
          <w:b/>
          <w:sz w:val="20"/>
          <w:szCs w:val="20"/>
          <w:lang w:val="es-ES"/>
        </w:rPr>
        <w:t>Recom</w:t>
      </w:r>
      <w:r w:rsidR="00BB56C4" w:rsidRPr="00F0148B">
        <w:rPr>
          <w:rFonts w:ascii="Cambria" w:hAnsi="Cambria" w:cs="Calibri Light"/>
          <w:b/>
          <w:sz w:val="20"/>
          <w:szCs w:val="20"/>
          <w:lang w:val="es-ES"/>
        </w:rPr>
        <w:t>enda</w:t>
      </w:r>
      <w:r w:rsidRPr="00F0148B">
        <w:rPr>
          <w:rFonts w:ascii="Cambria" w:hAnsi="Cambria" w:cs="Calibri Light"/>
          <w:b/>
          <w:sz w:val="20"/>
          <w:szCs w:val="20"/>
          <w:lang w:val="es-ES"/>
        </w:rPr>
        <w:t xml:space="preserve">ciones </w:t>
      </w:r>
    </w:p>
    <w:p w14:paraId="06E1971A" w14:textId="77777777" w:rsidR="00BB56C4" w:rsidRPr="00F0148B" w:rsidRDefault="00BB56C4" w:rsidP="00BB56C4">
      <w:pPr>
        <w:spacing w:after="0" w:line="240" w:lineRule="auto"/>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250"/>
      </w:tblGrid>
      <w:tr w:rsidR="00BB56C4" w:rsidRPr="00F0148B" w14:paraId="0758A46A" w14:textId="77777777" w:rsidTr="006C671E">
        <w:tc>
          <w:tcPr>
            <w:tcW w:w="7290" w:type="dxa"/>
            <w:shd w:val="clear" w:color="auto" w:fill="auto"/>
            <w:vAlign w:val="center"/>
          </w:tcPr>
          <w:p w14:paraId="176E7E0A" w14:textId="77777777" w:rsidR="00BB56C4" w:rsidRPr="00F0148B" w:rsidRDefault="009A2EED" w:rsidP="006C671E">
            <w:pPr>
              <w:spacing w:after="0" w:line="240" w:lineRule="auto"/>
              <w:ind w:left="316"/>
              <w:jc w:val="center"/>
              <w:rPr>
                <w:rFonts w:ascii="Cambria" w:hAnsi="Cambria" w:cs="Calibri Light"/>
                <w:b/>
                <w:sz w:val="18"/>
                <w:szCs w:val="18"/>
                <w:lang w:val="es-ES"/>
              </w:rPr>
            </w:pPr>
            <w:r w:rsidRPr="00F0148B">
              <w:rPr>
                <w:rFonts w:ascii="Cambria" w:hAnsi="Cambria" w:cs="Calibri Light"/>
                <w:b/>
                <w:sz w:val="18"/>
                <w:szCs w:val="18"/>
                <w:lang w:val="es-ES"/>
              </w:rPr>
              <w:t>Recomendaciones</w:t>
            </w:r>
          </w:p>
        </w:tc>
        <w:tc>
          <w:tcPr>
            <w:tcW w:w="2250" w:type="dxa"/>
            <w:shd w:val="clear" w:color="auto" w:fill="auto"/>
            <w:vAlign w:val="center"/>
          </w:tcPr>
          <w:p w14:paraId="04E604F3" w14:textId="1C132D2C" w:rsidR="00BB56C4" w:rsidRPr="00F0148B" w:rsidRDefault="009A2EED" w:rsidP="00EC60BF">
            <w:pPr>
              <w:spacing w:after="0" w:line="240" w:lineRule="auto"/>
              <w:jc w:val="center"/>
              <w:rPr>
                <w:rFonts w:ascii="Cambria" w:hAnsi="Cambria" w:cs="Calibri Light"/>
                <w:b/>
                <w:sz w:val="18"/>
                <w:szCs w:val="18"/>
                <w:lang w:val="es-ES"/>
              </w:rPr>
            </w:pPr>
            <w:r w:rsidRPr="00F0148B">
              <w:rPr>
                <w:rFonts w:ascii="Cambria" w:hAnsi="Cambria" w:cs="Calibri Light"/>
                <w:b/>
                <w:sz w:val="18"/>
                <w:szCs w:val="18"/>
                <w:lang w:val="es-ES"/>
              </w:rPr>
              <w:t xml:space="preserve">Estado de cumplimiento </w:t>
            </w:r>
          </w:p>
        </w:tc>
      </w:tr>
      <w:tr w:rsidR="00BB56C4" w:rsidRPr="00F0148B" w14:paraId="1013DF03" w14:textId="77777777" w:rsidTr="00A64837">
        <w:tc>
          <w:tcPr>
            <w:tcW w:w="7290" w:type="dxa"/>
            <w:shd w:val="clear" w:color="auto" w:fill="auto"/>
            <w:vAlign w:val="center"/>
          </w:tcPr>
          <w:p w14:paraId="6EA82A95" w14:textId="77777777" w:rsidR="00BB56C4" w:rsidRPr="00F0148B" w:rsidRDefault="00A64837" w:rsidP="002005E0">
            <w:pPr>
              <w:spacing w:after="0" w:line="240" w:lineRule="auto"/>
              <w:jc w:val="both"/>
              <w:rPr>
                <w:rFonts w:ascii="Cambria" w:hAnsi="Cambria" w:cs="Calibri Light"/>
                <w:sz w:val="18"/>
                <w:szCs w:val="18"/>
                <w:lang w:val="es-ES"/>
              </w:rPr>
            </w:pPr>
            <w:r w:rsidRPr="00F0148B">
              <w:rPr>
                <w:rFonts w:ascii="Cambria" w:hAnsi="Cambria"/>
                <w:sz w:val="18"/>
                <w:szCs w:val="18"/>
                <w:lang w:val="es-ES"/>
              </w:rPr>
              <w:t>1.</w:t>
            </w:r>
            <w:r w:rsidR="00BB56C4" w:rsidRPr="00F0148B">
              <w:rPr>
                <w:rFonts w:ascii="Cambria" w:hAnsi="Cambria"/>
                <w:color w:val="000000"/>
                <w:sz w:val="18"/>
                <w:szCs w:val="18"/>
                <w:lang w:val="es-ES"/>
              </w:rPr>
              <w:t> </w:t>
            </w:r>
            <w:r w:rsidR="007F0933" w:rsidRPr="00F0148B">
              <w:rPr>
                <w:rFonts w:ascii="Cambria" w:hAnsi="Cambria"/>
                <w:color w:val="000000"/>
                <w:sz w:val="18"/>
                <w:szCs w:val="18"/>
                <w:lang w:val="es-ES"/>
              </w:rPr>
              <w:t>Adoptar las medidas necesarias para evitar la vulneración futura del derecho a la protección judicial consagrado en la Convención Americana, de conformidad con el deber de prevención y garantía de los derechos fundamentales reconocidos en la Convención Americana.</w:t>
            </w:r>
          </w:p>
        </w:tc>
        <w:tc>
          <w:tcPr>
            <w:tcW w:w="2250" w:type="dxa"/>
            <w:shd w:val="clear" w:color="auto" w:fill="auto"/>
            <w:vAlign w:val="center"/>
          </w:tcPr>
          <w:p w14:paraId="4476792F" w14:textId="76FC5345" w:rsidR="00BB56C4" w:rsidRPr="00F0148B" w:rsidRDefault="009D5642" w:rsidP="00F513ED">
            <w:pPr>
              <w:spacing w:after="0" w:line="240" w:lineRule="auto"/>
              <w:jc w:val="center"/>
              <w:rPr>
                <w:rFonts w:ascii="Cambria" w:hAnsi="Cambria" w:cs="Calibri Light"/>
                <w:b/>
                <w:sz w:val="18"/>
                <w:szCs w:val="18"/>
                <w:highlight w:val="yellow"/>
                <w:lang w:val="es-ES"/>
              </w:rPr>
            </w:pPr>
            <w:r w:rsidRPr="00F0148B">
              <w:rPr>
                <w:rFonts w:ascii="Cambria" w:hAnsi="Cambria" w:cs="Calibri"/>
                <w:sz w:val="18"/>
                <w:szCs w:val="18"/>
                <w:lang w:val="es-ES"/>
              </w:rPr>
              <w:t xml:space="preserve">Cumplimiento </w:t>
            </w:r>
            <w:r w:rsidR="004F420F" w:rsidRPr="00F0148B">
              <w:rPr>
                <w:rFonts w:ascii="Cambria" w:hAnsi="Cambria" w:cs="Calibri"/>
                <w:sz w:val="18"/>
                <w:szCs w:val="18"/>
                <w:lang w:val="es-ES"/>
              </w:rPr>
              <w:t>t</w:t>
            </w:r>
            <w:r w:rsidRPr="00F0148B">
              <w:rPr>
                <w:rFonts w:ascii="Cambria" w:hAnsi="Cambria" w:cs="Calibri"/>
                <w:sz w:val="18"/>
                <w:szCs w:val="18"/>
                <w:lang w:val="es-ES"/>
              </w:rPr>
              <w:t>otal</w:t>
            </w:r>
            <w:r w:rsidR="00415300">
              <w:rPr>
                <w:rStyle w:val="FootnoteReference"/>
                <w:rFonts w:ascii="Cambria" w:hAnsi="Cambria" w:cs="Calibri"/>
                <w:sz w:val="18"/>
                <w:szCs w:val="18"/>
                <w:lang w:val="es-ES"/>
              </w:rPr>
              <w:footnoteReference w:id="1"/>
            </w:r>
          </w:p>
        </w:tc>
      </w:tr>
      <w:tr w:rsidR="007F0933" w:rsidRPr="00F0148B" w14:paraId="1CF29AF6" w14:textId="77777777" w:rsidTr="00A64837">
        <w:tc>
          <w:tcPr>
            <w:tcW w:w="7290" w:type="dxa"/>
            <w:shd w:val="clear" w:color="auto" w:fill="auto"/>
            <w:vAlign w:val="center"/>
          </w:tcPr>
          <w:p w14:paraId="655F2EE2" w14:textId="77777777" w:rsidR="007F0933" w:rsidRPr="00F0148B" w:rsidRDefault="007F0933" w:rsidP="002005E0">
            <w:pPr>
              <w:spacing w:after="0" w:line="240" w:lineRule="auto"/>
              <w:jc w:val="both"/>
              <w:rPr>
                <w:rFonts w:ascii="Cambria" w:hAnsi="Cambria"/>
                <w:sz w:val="18"/>
                <w:szCs w:val="18"/>
                <w:lang w:val="es-ES"/>
              </w:rPr>
            </w:pPr>
            <w:r w:rsidRPr="00F0148B">
              <w:rPr>
                <w:rFonts w:ascii="Cambria" w:hAnsi="Cambria"/>
                <w:color w:val="000000"/>
                <w:sz w:val="18"/>
                <w:szCs w:val="18"/>
                <w:lang w:val="es-ES"/>
              </w:rPr>
              <w:t xml:space="preserve">2. En cuanto al daño inmaterial ocasionado al señor Cadena </w:t>
            </w:r>
            <w:r w:rsidR="001711D5" w:rsidRPr="00F0148B">
              <w:rPr>
                <w:rFonts w:ascii="Cambria" w:hAnsi="Cambria"/>
                <w:color w:val="000000"/>
                <w:sz w:val="18"/>
                <w:szCs w:val="18"/>
                <w:lang w:val="es-ES"/>
              </w:rPr>
              <w:t>Antolínez</w:t>
            </w:r>
            <w:r w:rsidRPr="00F0148B">
              <w:rPr>
                <w:rFonts w:ascii="Cambria" w:hAnsi="Cambria"/>
                <w:color w:val="000000"/>
                <w:sz w:val="18"/>
                <w:szCs w:val="18"/>
                <w:lang w:val="es-ES"/>
              </w:rPr>
              <w:t>, como resultado de la vulneración del derecho a la protección judicial, la Comisión considera que el presente informe constituye una reparación en sí misma.</w:t>
            </w:r>
          </w:p>
        </w:tc>
        <w:tc>
          <w:tcPr>
            <w:tcW w:w="2250" w:type="dxa"/>
            <w:shd w:val="clear" w:color="auto" w:fill="auto"/>
            <w:vAlign w:val="center"/>
          </w:tcPr>
          <w:p w14:paraId="0F96882B" w14:textId="61B368C8" w:rsidR="007F0933" w:rsidRPr="00F0148B" w:rsidRDefault="004F420F" w:rsidP="00F513ED">
            <w:pPr>
              <w:spacing w:after="0" w:line="240" w:lineRule="auto"/>
              <w:jc w:val="center"/>
              <w:rPr>
                <w:rFonts w:ascii="Cambria" w:hAnsi="Cambria" w:cs="Calibri"/>
                <w:sz w:val="18"/>
                <w:szCs w:val="18"/>
                <w:lang w:val="es-ES"/>
              </w:rPr>
            </w:pPr>
            <w:r w:rsidRPr="00F0148B">
              <w:rPr>
                <w:rFonts w:ascii="Cambria" w:hAnsi="Cambria" w:cs="Calibri"/>
                <w:sz w:val="18"/>
                <w:szCs w:val="18"/>
                <w:lang w:val="es-ES"/>
              </w:rPr>
              <w:t>Cumplimiento t</w:t>
            </w:r>
            <w:r w:rsidR="007F0933" w:rsidRPr="00F0148B">
              <w:rPr>
                <w:rFonts w:ascii="Cambria" w:hAnsi="Cambria" w:cs="Calibri"/>
                <w:sz w:val="18"/>
                <w:szCs w:val="18"/>
                <w:lang w:val="es-ES"/>
              </w:rPr>
              <w:t>otal</w:t>
            </w:r>
            <w:r w:rsidR="00415300">
              <w:rPr>
                <w:rStyle w:val="FootnoteReference"/>
                <w:rFonts w:ascii="Cambria" w:hAnsi="Cambria" w:cs="Calibri"/>
                <w:sz w:val="18"/>
                <w:szCs w:val="18"/>
                <w:lang w:val="es-ES"/>
              </w:rPr>
              <w:footnoteReference w:id="2"/>
            </w:r>
          </w:p>
        </w:tc>
      </w:tr>
    </w:tbl>
    <w:p w14:paraId="222F91D5" w14:textId="77777777" w:rsidR="00BB56C4" w:rsidRPr="00F0148B" w:rsidRDefault="00BB56C4" w:rsidP="00BB56C4">
      <w:pPr>
        <w:spacing w:after="0" w:line="240" w:lineRule="auto"/>
        <w:jc w:val="both"/>
        <w:rPr>
          <w:rFonts w:ascii="Cambria" w:hAnsi="Cambria" w:cs="Calibri Light"/>
          <w:sz w:val="20"/>
          <w:szCs w:val="20"/>
          <w:lang w:val="es-ES"/>
        </w:rPr>
      </w:pPr>
    </w:p>
    <w:p w14:paraId="15FA5047" w14:textId="77777777" w:rsidR="00BB56C4" w:rsidRPr="00F0148B" w:rsidRDefault="00BB56C4" w:rsidP="009969F9">
      <w:pPr>
        <w:pStyle w:val="ListParagraph"/>
        <w:numPr>
          <w:ilvl w:val="0"/>
          <w:numId w:val="18"/>
        </w:numPr>
        <w:spacing w:after="0" w:line="240" w:lineRule="auto"/>
        <w:ind w:firstLine="0"/>
        <w:jc w:val="both"/>
        <w:rPr>
          <w:rFonts w:ascii="Cambria" w:hAnsi="Cambria" w:cs="Calibri Light"/>
          <w:b/>
          <w:sz w:val="20"/>
          <w:szCs w:val="20"/>
          <w:lang w:val="es-ES"/>
        </w:rPr>
      </w:pPr>
      <w:r w:rsidRPr="00F0148B">
        <w:rPr>
          <w:rFonts w:ascii="Cambria" w:hAnsi="Cambria"/>
          <w:b/>
          <w:sz w:val="20"/>
          <w:szCs w:val="20"/>
          <w:lang w:val="es-ES"/>
        </w:rPr>
        <w:t>Actividad Procesal</w:t>
      </w:r>
    </w:p>
    <w:p w14:paraId="3EE67A9A" w14:textId="77777777" w:rsidR="00126AB7" w:rsidRPr="00F0148B" w:rsidRDefault="00126AB7" w:rsidP="00126AB7">
      <w:pPr>
        <w:spacing w:after="0" w:line="240" w:lineRule="auto"/>
        <w:ind w:left="720"/>
        <w:jc w:val="both"/>
        <w:rPr>
          <w:rFonts w:ascii="Cambria" w:hAnsi="Cambria" w:cs="Calibri Light"/>
          <w:sz w:val="20"/>
          <w:szCs w:val="20"/>
          <w:lang w:val="es-ES"/>
        </w:rPr>
      </w:pPr>
    </w:p>
    <w:p w14:paraId="71370D12" w14:textId="77777777" w:rsidR="00EE21AB" w:rsidRPr="00F0148B" w:rsidRDefault="00EE21AB" w:rsidP="00A27FC1">
      <w:pPr>
        <w:pStyle w:val="ListParagraph"/>
        <w:numPr>
          <w:ilvl w:val="0"/>
          <w:numId w:val="34"/>
        </w:numPr>
        <w:spacing w:after="0" w:line="240" w:lineRule="auto"/>
        <w:jc w:val="both"/>
        <w:rPr>
          <w:rFonts w:ascii="Cambria" w:hAnsi="Cambria"/>
          <w:sz w:val="20"/>
          <w:szCs w:val="20"/>
          <w:lang w:val="es-ES"/>
        </w:rPr>
      </w:pPr>
      <w:r w:rsidRPr="00F0148B">
        <w:rPr>
          <w:rFonts w:ascii="Cambria" w:hAnsi="Cambria"/>
          <w:sz w:val="20"/>
          <w:szCs w:val="20"/>
          <w:lang w:val="es-ES" w:eastAsia="es-ES_tradnl"/>
        </w:rPr>
        <w:t>L</w:t>
      </w:r>
      <w:r w:rsidR="00286D8C" w:rsidRPr="00F0148B">
        <w:rPr>
          <w:rFonts w:ascii="Cambria" w:hAnsi="Cambria"/>
          <w:sz w:val="20"/>
          <w:szCs w:val="20"/>
          <w:lang w:val="es-ES" w:eastAsia="es-ES_tradnl"/>
        </w:rPr>
        <w:t>a CIDH</w:t>
      </w:r>
      <w:r w:rsidRPr="00F0148B">
        <w:rPr>
          <w:rFonts w:ascii="Cambria" w:hAnsi="Cambria"/>
          <w:sz w:val="20"/>
          <w:szCs w:val="20"/>
          <w:lang w:val="es-ES" w:eastAsia="es-ES_tradnl"/>
        </w:rPr>
        <w:t xml:space="preserve"> solicitó información actualizada sobre el cumplimiento a las partes en 2009. E</w:t>
      </w:r>
      <w:r w:rsidR="003B7110" w:rsidRPr="00F0148B">
        <w:rPr>
          <w:rFonts w:ascii="Cambria" w:hAnsi="Cambria"/>
          <w:snapToGrid w:val="0"/>
          <w:sz w:val="20"/>
          <w:szCs w:val="20"/>
          <w:lang w:val="es-ES" w:eastAsia="es-ES_tradnl"/>
        </w:rPr>
        <w:t xml:space="preserve">l Estado </w:t>
      </w:r>
      <w:r w:rsidRPr="00F0148B">
        <w:rPr>
          <w:rFonts w:ascii="Cambria" w:hAnsi="Cambria"/>
          <w:snapToGrid w:val="0"/>
          <w:sz w:val="20"/>
          <w:szCs w:val="20"/>
          <w:lang w:val="es-ES" w:eastAsia="es-ES_tradnl"/>
        </w:rPr>
        <w:t xml:space="preserve">proporcionó dicha </w:t>
      </w:r>
      <w:r w:rsidR="003B7110" w:rsidRPr="00F0148B">
        <w:rPr>
          <w:rFonts w:ascii="Cambria" w:hAnsi="Cambria"/>
          <w:snapToGrid w:val="0"/>
          <w:sz w:val="20"/>
          <w:szCs w:val="20"/>
          <w:lang w:val="es-ES" w:eastAsia="es-ES_tradnl"/>
        </w:rPr>
        <w:t xml:space="preserve">información el 4 de diciembre de 2009. </w:t>
      </w:r>
    </w:p>
    <w:p w14:paraId="7E2CC003" w14:textId="77777777" w:rsidR="00EE21AB" w:rsidRPr="00F0148B" w:rsidRDefault="00EE21AB" w:rsidP="00EE21AB">
      <w:pPr>
        <w:pStyle w:val="ListParagraph"/>
        <w:spacing w:after="0" w:line="240" w:lineRule="auto"/>
        <w:jc w:val="both"/>
        <w:rPr>
          <w:rFonts w:ascii="Cambria" w:hAnsi="Cambria"/>
          <w:sz w:val="20"/>
          <w:szCs w:val="20"/>
          <w:lang w:val="es-ES"/>
        </w:rPr>
      </w:pPr>
    </w:p>
    <w:p w14:paraId="2AFA3260" w14:textId="07F5F502" w:rsidR="00A27FC1" w:rsidRPr="00F0148B" w:rsidRDefault="00EE21AB" w:rsidP="00A27FC1">
      <w:pPr>
        <w:pStyle w:val="ListParagraph"/>
        <w:numPr>
          <w:ilvl w:val="0"/>
          <w:numId w:val="34"/>
        </w:numPr>
        <w:spacing w:after="0" w:line="240" w:lineRule="auto"/>
        <w:jc w:val="both"/>
        <w:rPr>
          <w:rFonts w:ascii="Cambria" w:hAnsi="Cambria"/>
          <w:sz w:val="20"/>
          <w:szCs w:val="20"/>
          <w:lang w:val="es-ES"/>
        </w:rPr>
      </w:pPr>
      <w:r w:rsidRPr="00F0148B">
        <w:rPr>
          <w:rFonts w:ascii="Cambria" w:hAnsi="Cambria"/>
          <w:sz w:val="20"/>
          <w:szCs w:val="20"/>
          <w:lang w:val="es-ES" w:eastAsia="es-ES_tradnl"/>
        </w:rPr>
        <w:t>Por su parte, l</w:t>
      </w:r>
      <w:r w:rsidR="003B7110" w:rsidRPr="00F0148B">
        <w:rPr>
          <w:rFonts w:ascii="Cambria" w:hAnsi="Cambria"/>
          <w:sz w:val="20"/>
          <w:szCs w:val="20"/>
          <w:lang w:val="es-ES" w:eastAsia="es-ES_tradnl"/>
        </w:rPr>
        <w:t xml:space="preserve">os peticionarios </w:t>
      </w:r>
      <w:r w:rsidR="00213ACF" w:rsidRPr="00F0148B">
        <w:rPr>
          <w:rFonts w:ascii="Cambria" w:hAnsi="Cambria"/>
          <w:sz w:val="20"/>
          <w:szCs w:val="20"/>
          <w:lang w:val="es-ES" w:eastAsia="es-ES_tradnl"/>
        </w:rPr>
        <w:t xml:space="preserve">no </w:t>
      </w:r>
      <w:r w:rsidR="003B7110" w:rsidRPr="00F0148B">
        <w:rPr>
          <w:rFonts w:ascii="Cambria" w:hAnsi="Cambria"/>
          <w:sz w:val="20"/>
          <w:szCs w:val="20"/>
          <w:lang w:val="es-ES" w:eastAsia="es-ES_tradnl"/>
        </w:rPr>
        <w:t xml:space="preserve">remitieron información </w:t>
      </w:r>
      <w:r w:rsidR="00213ACF" w:rsidRPr="00F0148B">
        <w:rPr>
          <w:rFonts w:ascii="Cambria" w:hAnsi="Cambria"/>
          <w:sz w:val="20"/>
          <w:szCs w:val="20"/>
          <w:lang w:val="es-ES" w:eastAsia="es-ES_tradnl"/>
        </w:rPr>
        <w:t>sobre</w:t>
      </w:r>
      <w:r w:rsidR="0022236E">
        <w:rPr>
          <w:rFonts w:ascii="Cambria" w:hAnsi="Cambria"/>
          <w:sz w:val="20"/>
          <w:szCs w:val="20"/>
          <w:lang w:val="es-ES" w:eastAsia="es-ES_tradnl"/>
        </w:rPr>
        <w:t xml:space="preserve"> acciones adoptadas por el Estado para cumplir con las recomendaciones </w:t>
      </w:r>
      <w:r w:rsidR="00286D8C" w:rsidRPr="00F0148B">
        <w:rPr>
          <w:rFonts w:ascii="Cambria" w:hAnsi="Cambria"/>
          <w:sz w:val="20"/>
          <w:szCs w:val="20"/>
          <w:lang w:val="es-ES" w:eastAsia="es-ES_tradnl"/>
        </w:rPr>
        <w:t>a la Comisión</w:t>
      </w:r>
      <w:r w:rsidR="00A27FC1" w:rsidRPr="00F0148B">
        <w:rPr>
          <w:rFonts w:ascii="Cambria" w:hAnsi="Cambria" w:cs="Calibri Light"/>
          <w:color w:val="000000"/>
          <w:sz w:val="20"/>
          <w:szCs w:val="20"/>
          <w:lang w:val="es-ES"/>
        </w:rPr>
        <w:t xml:space="preserve">. </w:t>
      </w:r>
    </w:p>
    <w:p w14:paraId="39E0B68C" w14:textId="77777777" w:rsidR="00EE21AB" w:rsidRPr="00F0148B" w:rsidRDefault="00EE21AB" w:rsidP="00EE21AB">
      <w:pPr>
        <w:pStyle w:val="ListParagraph"/>
        <w:rPr>
          <w:rFonts w:ascii="Cambria" w:hAnsi="Cambria"/>
          <w:sz w:val="20"/>
          <w:szCs w:val="20"/>
          <w:lang w:val="es-ES"/>
        </w:rPr>
      </w:pPr>
    </w:p>
    <w:p w14:paraId="75B4F325" w14:textId="24D9D0D8" w:rsidR="00EE21AB" w:rsidRPr="00F0148B" w:rsidRDefault="00EE21AB" w:rsidP="00A27FC1">
      <w:pPr>
        <w:pStyle w:val="ListParagraph"/>
        <w:numPr>
          <w:ilvl w:val="0"/>
          <w:numId w:val="34"/>
        </w:numPr>
        <w:spacing w:after="0" w:line="240" w:lineRule="auto"/>
        <w:jc w:val="both"/>
        <w:rPr>
          <w:rFonts w:ascii="Cambria" w:hAnsi="Cambria"/>
          <w:sz w:val="20"/>
          <w:szCs w:val="20"/>
          <w:lang w:val="es-ES"/>
        </w:rPr>
      </w:pPr>
      <w:r w:rsidRPr="00F0148B">
        <w:rPr>
          <w:rFonts w:ascii="Cambria" w:hAnsi="Cambria"/>
          <w:sz w:val="20"/>
          <w:szCs w:val="20"/>
          <w:lang w:val="es-ES"/>
        </w:rPr>
        <w:lastRenderedPageBreak/>
        <w:t xml:space="preserve">El caso estuvo en la etapa de seguimiento de recomendaciones por un año. </w:t>
      </w:r>
    </w:p>
    <w:p w14:paraId="5B6B4AD7" w14:textId="77777777" w:rsidR="00926A24" w:rsidRPr="00F0148B" w:rsidRDefault="00926A24" w:rsidP="00926A24">
      <w:pPr>
        <w:shd w:val="clear" w:color="auto" w:fill="FFFFFF" w:themeFill="background1"/>
        <w:spacing w:after="0" w:line="240" w:lineRule="auto"/>
        <w:jc w:val="both"/>
        <w:rPr>
          <w:rFonts w:ascii="Cambria" w:hAnsi="Cambria" w:cs="Calibri Light"/>
          <w:b/>
          <w:sz w:val="20"/>
          <w:szCs w:val="20"/>
          <w:lang w:val="es-ES"/>
        </w:rPr>
      </w:pPr>
    </w:p>
    <w:p w14:paraId="3E22FC43" w14:textId="77777777" w:rsidR="00BB56C4" w:rsidRPr="00F0148B" w:rsidRDefault="00BB56C4" w:rsidP="00926A24">
      <w:pPr>
        <w:pStyle w:val="ListParagraph"/>
        <w:numPr>
          <w:ilvl w:val="0"/>
          <w:numId w:val="18"/>
        </w:numPr>
        <w:shd w:val="clear" w:color="auto" w:fill="FFFFFF" w:themeFill="background1"/>
        <w:spacing w:after="0" w:line="240" w:lineRule="auto"/>
        <w:ind w:left="1440" w:hanging="720"/>
        <w:jc w:val="both"/>
        <w:rPr>
          <w:rFonts w:ascii="Cambria" w:hAnsi="Cambria" w:cs="Calibri Light"/>
          <w:sz w:val="20"/>
          <w:szCs w:val="20"/>
          <w:lang w:val="es-ES"/>
        </w:rPr>
      </w:pPr>
      <w:r w:rsidRPr="00F0148B">
        <w:rPr>
          <w:rFonts w:ascii="Cambria" w:hAnsi="Cambria" w:cs="Calibri Light"/>
          <w:b/>
          <w:sz w:val="20"/>
          <w:szCs w:val="20"/>
          <w:lang w:val="es-ES"/>
        </w:rPr>
        <w:t>Nivel del cumplimiento del caso</w:t>
      </w:r>
    </w:p>
    <w:p w14:paraId="5F346E3B" w14:textId="77777777" w:rsidR="00BB56C4" w:rsidRPr="00F0148B" w:rsidRDefault="00BB56C4" w:rsidP="00BB56C4">
      <w:pPr>
        <w:pStyle w:val="ListParagraph"/>
        <w:shd w:val="clear" w:color="auto" w:fill="FFFFFF" w:themeFill="background1"/>
        <w:spacing w:after="0" w:line="240" w:lineRule="auto"/>
        <w:jc w:val="both"/>
        <w:rPr>
          <w:rFonts w:ascii="Cambria" w:hAnsi="Cambria" w:cs="Calibri Light"/>
          <w:sz w:val="20"/>
          <w:szCs w:val="20"/>
          <w:lang w:val="es-ES"/>
        </w:rPr>
      </w:pPr>
    </w:p>
    <w:p w14:paraId="7201374D" w14:textId="72DC6E60" w:rsidR="00926A24" w:rsidRPr="00F0148B" w:rsidRDefault="00C83785" w:rsidP="000904D7">
      <w:pPr>
        <w:pStyle w:val="ListParagraph"/>
        <w:numPr>
          <w:ilvl w:val="0"/>
          <w:numId w:val="34"/>
        </w:numPr>
        <w:shd w:val="clear" w:color="auto" w:fill="FFFFFF" w:themeFill="background1"/>
        <w:spacing w:after="0" w:line="240" w:lineRule="auto"/>
        <w:jc w:val="both"/>
        <w:rPr>
          <w:rFonts w:ascii="Cambria" w:hAnsi="Cambria" w:cs="Calibri Light"/>
          <w:sz w:val="20"/>
          <w:szCs w:val="20"/>
          <w:lang w:val="es-ES"/>
        </w:rPr>
      </w:pPr>
      <w:r w:rsidRPr="00F0148B">
        <w:rPr>
          <w:rFonts w:ascii="Cambria" w:hAnsi="Cambria" w:cs="Calibri Light"/>
          <w:sz w:val="20"/>
          <w:szCs w:val="20"/>
          <w:lang w:val="es-ES"/>
        </w:rPr>
        <w:t>La Comisión declar</w:t>
      </w:r>
      <w:r w:rsidR="00CB16D1" w:rsidRPr="00F0148B">
        <w:rPr>
          <w:rFonts w:ascii="Cambria" w:hAnsi="Cambria" w:cs="Calibri Light"/>
          <w:sz w:val="20"/>
          <w:szCs w:val="20"/>
          <w:lang w:val="es-ES"/>
        </w:rPr>
        <w:t xml:space="preserve">ó </w:t>
      </w:r>
      <w:r w:rsidR="000904D7" w:rsidRPr="00F0148B">
        <w:rPr>
          <w:rFonts w:ascii="Cambria" w:hAnsi="Cambria" w:cs="Calibri Light"/>
          <w:sz w:val="20"/>
          <w:szCs w:val="20"/>
          <w:lang w:val="es-ES"/>
        </w:rPr>
        <w:t xml:space="preserve">el cumplimiento total del caso y </w:t>
      </w:r>
      <w:r w:rsidR="00870135" w:rsidRPr="00F0148B">
        <w:rPr>
          <w:rFonts w:ascii="Cambria" w:hAnsi="Cambria" w:cs="Calibri Light"/>
          <w:sz w:val="20"/>
          <w:szCs w:val="20"/>
          <w:lang w:val="es-ES"/>
        </w:rPr>
        <w:t>el c</w:t>
      </w:r>
      <w:r w:rsidR="00146F6A" w:rsidRPr="00F0148B">
        <w:rPr>
          <w:rFonts w:ascii="Cambria" w:hAnsi="Cambria" w:cs="Calibri Light"/>
          <w:sz w:val="20"/>
          <w:szCs w:val="20"/>
          <w:lang w:val="es-ES"/>
        </w:rPr>
        <w:t>e</w:t>
      </w:r>
      <w:r w:rsidR="00870135" w:rsidRPr="00F0148B">
        <w:rPr>
          <w:rFonts w:ascii="Cambria" w:hAnsi="Cambria" w:cs="Calibri Light"/>
          <w:sz w:val="20"/>
          <w:szCs w:val="20"/>
          <w:lang w:val="es-ES"/>
        </w:rPr>
        <w:t>se de supervisión de cumplimiento</w:t>
      </w:r>
      <w:r w:rsidR="00146F6A" w:rsidRPr="00F0148B">
        <w:rPr>
          <w:rFonts w:ascii="Cambria" w:hAnsi="Cambria" w:cs="Calibri Light"/>
          <w:sz w:val="20"/>
          <w:szCs w:val="20"/>
          <w:lang w:val="es-ES"/>
        </w:rPr>
        <w:t xml:space="preserve"> de las recomendaciones emitidas en el Informe d</w:t>
      </w:r>
      <w:r w:rsidR="00870135" w:rsidRPr="00F0148B">
        <w:rPr>
          <w:rFonts w:ascii="Cambria" w:hAnsi="Cambria" w:cs="Calibri Light"/>
          <w:sz w:val="20"/>
          <w:szCs w:val="20"/>
          <w:lang w:val="es-ES"/>
        </w:rPr>
        <w:t xml:space="preserve">e Fondo Nº 44/08 en </w:t>
      </w:r>
      <w:r w:rsidR="00146F6A" w:rsidRPr="00F0148B">
        <w:rPr>
          <w:rFonts w:ascii="Cambria" w:hAnsi="Cambria" w:cs="Calibri Light"/>
          <w:sz w:val="20"/>
          <w:szCs w:val="20"/>
          <w:lang w:val="es-ES"/>
        </w:rPr>
        <w:t xml:space="preserve">el </w:t>
      </w:r>
      <w:r w:rsidR="00870135" w:rsidRPr="00F0148B">
        <w:rPr>
          <w:rFonts w:ascii="Cambria" w:hAnsi="Cambria" w:cs="Calibri Light"/>
          <w:sz w:val="20"/>
          <w:szCs w:val="20"/>
          <w:lang w:val="es-ES"/>
        </w:rPr>
        <w:t>Informe Anual 2009</w:t>
      </w:r>
      <w:r w:rsidR="00870135" w:rsidRPr="00F0148B">
        <w:rPr>
          <w:rStyle w:val="FootnoteReference"/>
          <w:rFonts w:ascii="Cambria" w:hAnsi="Cambria" w:cs="Calibri"/>
          <w:sz w:val="18"/>
          <w:szCs w:val="18"/>
          <w:lang w:val="es-ES"/>
        </w:rPr>
        <w:footnoteReference w:id="3"/>
      </w:r>
      <w:r w:rsidR="00216A83" w:rsidRPr="00F0148B">
        <w:rPr>
          <w:rFonts w:ascii="Cambria" w:hAnsi="Cambria" w:cs="Calibri Light"/>
          <w:sz w:val="20"/>
          <w:szCs w:val="20"/>
          <w:lang w:val="es-ES"/>
        </w:rPr>
        <w:t>.</w:t>
      </w:r>
    </w:p>
    <w:p w14:paraId="33B36688" w14:textId="77777777" w:rsidR="00BB56C4" w:rsidRPr="00F0148B" w:rsidRDefault="00926A24" w:rsidP="00926A24">
      <w:pPr>
        <w:pStyle w:val="ListParagraph"/>
        <w:spacing w:after="0" w:line="240" w:lineRule="auto"/>
        <w:ind w:left="810"/>
        <w:jc w:val="both"/>
        <w:rPr>
          <w:rFonts w:ascii="Cambria" w:hAnsi="Cambria"/>
          <w:sz w:val="20"/>
          <w:szCs w:val="20"/>
          <w:lang w:val="es-ES"/>
        </w:rPr>
      </w:pPr>
      <w:r w:rsidRPr="00F0148B">
        <w:rPr>
          <w:rFonts w:ascii="Cambria" w:hAnsi="Cambria"/>
          <w:sz w:val="20"/>
          <w:szCs w:val="20"/>
          <w:lang w:val="es-ES"/>
        </w:rPr>
        <w:t xml:space="preserve"> </w:t>
      </w:r>
    </w:p>
    <w:p w14:paraId="04713611" w14:textId="77777777" w:rsidR="00BB56C4" w:rsidRPr="00F0148B" w:rsidRDefault="00BB56C4" w:rsidP="009969F9">
      <w:pPr>
        <w:pStyle w:val="ListParagraph"/>
        <w:numPr>
          <w:ilvl w:val="0"/>
          <w:numId w:val="18"/>
        </w:numPr>
        <w:spacing w:after="0" w:line="240" w:lineRule="auto"/>
        <w:ind w:firstLine="0"/>
        <w:jc w:val="both"/>
        <w:rPr>
          <w:rFonts w:ascii="Cambria" w:hAnsi="Cambria" w:cs="Calibri Light"/>
          <w:b/>
          <w:sz w:val="20"/>
          <w:szCs w:val="20"/>
          <w:lang w:val="es-ES"/>
        </w:rPr>
      </w:pPr>
      <w:r w:rsidRPr="00F0148B">
        <w:rPr>
          <w:rFonts w:ascii="Cambria" w:hAnsi="Cambria" w:cs="Calibri Light"/>
          <w:b/>
          <w:sz w:val="20"/>
          <w:szCs w:val="20"/>
          <w:lang w:val="es-ES"/>
        </w:rPr>
        <w:t xml:space="preserve">Resultados individuales y estructurales del caso </w:t>
      </w:r>
    </w:p>
    <w:p w14:paraId="0633E8AB" w14:textId="77777777" w:rsidR="00BB56C4" w:rsidRPr="00F0148B" w:rsidRDefault="00BB56C4" w:rsidP="00BB56C4">
      <w:pPr>
        <w:spacing w:after="0" w:line="240" w:lineRule="auto"/>
        <w:rPr>
          <w:rFonts w:ascii="Cambria" w:hAnsi="Cambria"/>
          <w:b/>
          <w:sz w:val="20"/>
          <w:szCs w:val="20"/>
          <w:lang w:val="es-ES"/>
        </w:rPr>
      </w:pPr>
    </w:p>
    <w:p w14:paraId="1071AE55" w14:textId="77777777" w:rsidR="00BB56C4" w:rsidRPr="00F0148B" w:rsidRDefault="002D2490" w:rsidP="00126AB7">
      <w:pPr>
        <w:pStyle w:val="ListParagraph"/>
        <w:numPr>
          <w:ilvl w:val="0"/>
          <w:numId w:val="34"/>
        </w:numPr>
        <w:spacing w:after="0" w:line="240" w:lineRule="auto"/>
        <w:jc w:val="both"/>
        <w:rPr>
          <w:rFonts w:ascii="Cambria" w:hAnsi="Cambria"/>
          <w:sz w:val="20"/>
          <w:szCs w:val="20"/>
          <w:lang w:val="es-ES"/>
        </w:rPr>
      </w:pPr>
      <w:r w:rsidRPr="00F0148B">
        <w:rPr>
          <w:rFonts w:ascii="Cambria" w:hAnsi="Cambria"/>
          <w:sz w:val="20"/>
          <w:szCs w:val="20"/>
          <w:lang w:val="es-ES"/>
        </w:rPr>
        <w:t>En esta sección se destacan los resultados individuales y estructurales del caso que han sido informados por las parte</w:t>
      </w:r>
      <w:r w:rsidR="005F06F5" w:rsidRPr="00F0148B">
        <w:rPr>
          <w:rFonts w:ascii="Cambria" w:hAnsi="Cambria"/>
          <w:sz w:val="20"/>
          <w:szCs w:val="20"/>
          <w:lang w:val="es-ES"/>
        </w:rPr>
        <w:t>s.</w:t>
      </w:r>
      <w:r w:rsidR="00BB56C4" w:rsidRPr="00F0148B">
        <w:rPr>
          <w:rFonts w:ascii="Cambria" w:hAnsi="Cambria"/>
          <w:sz w:val="20"/>
          <w:szCs w:val="20"/>
          <w:lang w:val="es-ES"/>
        </w:rPr>
        <w:t xml:space="preserve"> </w:t>
      </w:r>
    </w:p>
    <w:p w14:paraId="7439ADEB" w14:textId="77777777" w:rsidR="00BB56C4" w:rsidRPr="00F0148B" w:rsidRDefault="00BB56C4" w:rsidP="00BB56C4">
      <w:pPr>
        <w:pStyle w:val="ListParagraph"/>
        <w:spacing w:after="0" w:line="240" w:lineRule="auto"/>
        <w:jc w:val="both"/>
        <w:rPr>
          <w:rFonts w:ascii="Cambria" w:hAnsi="Cambria"/>
          <w:sz w:val="20"/>
          <w:szCs w:val="20"/>
          <w:lang w:val="es-ES"/>
        </w:rPr>
      </w:pPr>
    </w:p>
    <w:p w14:paraId="63D215AB" w14:textId="77777777" w:rsidR="00BB56C4" w:rsidRPr="00F0148B" w:rsidRDefault="00BB56C4" w:rsidP="009969F9">
      <w:pPr>
        <w:pStyle w:val="ListParagraph"/>
        <w:numPr>
          <w:ilvl w:val="0"/>
          <w:numId w:val="20"/>
        </w:numPr>
        <w:spacing w:after="0" w:line="240" w:lineRule="auto"/>
        <w:ind w:firstLine="0"/>
        <w:jc w:val="both"/>
        <w:rPr>
          <w:rFonts w:ascii="Cambria" w:hAnsi="Cambria" w:cs="Calibri Light"/>
          <w:b/>
          <w:sz w:val="20"/>
          <w:szCs w:val="20"/>
          <w:lang w:val="es-ES"/>
        </w:rPr>
      </w:pPr>
      <w:r w:rsidRPr="00F0148B">
        <w:rPr>
          <w:rFonts w:ascii="Cambria" w:hAnsi="Cambria" w:cs="Calibri Light"/>
          <w:b/>
          <w:sz w:val="20"/>
          <w:szCs w:val="20"/>
          <w:lang w:val="es-ES"/>
        </w:rPr>
        <w:t>Resultados individuales del caso</w:t>
      </w:r>
    </w:p>
    <w:p w14:paraId="0D96205C" w14:textId="77777777" w:rsidR="00BB56C4" w:rsidRPr="00F0148B" w:rsidRDefault="00BB56C4" w:rsidP="00BB56C4">
      <w:pPr>
        <w:spacing w:after="0" w:line="240" w:lineRule="auto"/>
        <w:rPr>
          <w:rFonts w:ascii="Cambria" w:hAnsi="Cambria"/>
          <w:b/>
          <w:sz w:val="20"/>
          <w:szCs w:val="20"/>
          <w:lang w:val="es-ES"/>
        </w:rPr>
      </w:pPr>
    </w:p>
    <w:p w14:paraId="536417BA" w14:textId="77777777" w:rsidR="002B12D9" w:rsidRPr="00F0148B" w:rsidRDefault="00BB56C4" w:rsidP="00BB56C4">
      <w:pPr>
        <w:spacing w:after="0" w:line="240" w:lineRule="auto"/>
        <w:rPr>
          <w:rFonts w:ascii="Cambria" w:hAnsi="Cambria"/>
          <w:i/>
          <w:sz w:val="20"/>
          <w:szCs w:val="20"/>
          <w:lang w:val="es-ES"/>
        </w:rPr>
      </w:pPr>
      <w:r w:rsidRPr="00F0148B">
        <w:rPr>
          <w:rFonts w:ascii="Cambria" w:hAnsi="Cambria"/>
          <w:i/>
          <w:sz w:val="20"/>
          <w:szCs w:val="20"/>
          <w:lang w:val="es-ES"/>
        </w:rPr>
        <w:t>Medida de restitución en el ejercicio del derecho</w:t>
      </w:r>
    </w:p>
    <w:p w14:paraId="41EF1E26" w14:textId="7E7803E1" w:rsidR="00596B9C" w:rsidRPr="00F0148B" w:rsidRDefault="005B7CC1" w:rsidP="00596B9C">
      <w:pPr>
        <w:pStyle w:val="ListParagraph"/>
        <w:numPr>
          <w:ilvl w:val="0"/>
          <w:numId w:val="36"/>
        </w:numPr>
        <w:spacing w:after="0" w:line="240" w:lineRule="auto"/>
        <w:jc w:val="both"/>
        <w:rPr>
          <w:rFonts w:ascii="Cambria" w:hAnsi="Cambria"/>
          <w:sz w:val="20"/>
          <w:szCs w:val="20"/>
          <w:lang w:val="es-ES"/>
        </w:rPr>
      </w:pPr>
      <w:r w:rsidRPr="00F0148B">
        <w:rPr>
          <w:rFonts w:ascii="Cambria" w:hAnsi="Cambria"/>
          <w:sz w:val="20"/>
          <w:szCs w:val="20"/>
          <w:lang w:val="es-ES"/>
        </w:rPr>
        <w:t>De conformidad con la competencia preferente de l</w:t>
      </w:r>
      <w:r w:rsidR="00596B9C" w:rsidRPr="00F0148B">
        <w:rPr>
          <w:rFonts w:ascii="Cambria" w:hAnsi="Cambria"/>
          <w:sz w:val="20"/>
          <w:szCs w:val="20"/>
          <w:lang w:val="es-ES"/>
        </w:rPr>
        <w:t xml:space="preserve">a Corte Constitucional </w:t>
      </w:r>
      <w:r w:rsidR="00F9704A" w:rsidRPr="00F0148B">
        <w:rPr>
          <w:rFonts w:ascii="Cambria" w:hAnsi="Cambria"/>
          <w:sz w:val="20"/>
          <w:szCs w:val="20"/>
          <w:lang w:val="es-ES"/>
        </w:rPr>
        <w:t>de Colombia</w:t>
      </w:r>
      <w:r w:rsidRPr="00F0148B">
        <w:rPr>
          <w:rFonts w:ascii="Cambria" w:hAnsi="Cambria"/>
          <w:sz w:val="20"/>
          <w:szCs w:val="20"/>
          <w:lang w:val="es-ES"/>
        </w:rPr>
        <w:t>, ese Alto Tribunal</w:t>
      </w:r>
      <w:r w:rsidR="00F9704A" w:rsidRPr="00F0148B">
        <w:rPr>
          <w:rFonts w:ascii="Cambria" w:hAnsi="Cambria"/>
          <w:sz w:val="20"/>
          <w:szCs w:val="20"/>
          <w:lang w:val="es-ES"/>
        </w:rPr>
        <w:t xml:space="preserve"> </w:t>
      </w:r>
      <w:r w:rsidR="00921B1E">
        <w:rPr>
          <w:rFonts w:ascii="Cambria" w:hAnsi="Cambria"/>
          <w:sz w:val="20"/>
          <w:szCs w:val="20"/>
          <w:lang w:val="es-ES"/>
        </w:rPr>
        <w:t>ha intervenido</w:t>
      </w:r>
      <w:r w:rsidR="00923135" w:rsidRPr="00F0148B">
        <w:rPr>
          <w:rFonts w:ascii="Cambria" w:hAnsi="Cambria"/>
          <w:sz w:val="20"/>
          <w:szCs w:val="20"/>
          <w:lang w:val="es-ES"/>
        </w:rPr>
        <w:t xml:space="preserve"> </w:t>
      </w:r>
      <w:r w:rsidR="00596B9C" w:rsidRPr="00F0148B">
        <w:rPr>
          <w:rFonts w:ascii="Cambria" w:hAnsi="Cambria"/>
          <w:sz w:val="20"/>
          <w:szCs w:val="20"/>
          <w:lang w:val="es-ES"/>
        </w:rPr>
        <w:t>para hacer cumplir lo ordenado en providencias por la Sala Plena o las Salas de Revisión de Tutela, como en el cas</w:t>
      </w:r>
      <w:r w:rsidR="001711D5" w:rsidRPr="00F0148B">
        <w:rPr>
          <w:rFonts w:ascii="Cambria" w:hAnsi="Cambria"/>
          <w:sz w:val="20"/>
          <w:szCs w:val="20"/>
          <w:lang w:val="es-ES"/>
        </w:rPr>
        <w:t>o de Sergio Emilio Cadena Antolí</w:t>
      </w:r>
      <w:r w:rsidR="00596B9C" w:rsidRPr="00F0148B">
        <w:rPr>
          <w:rFonts w:ascii="Cambria" w:hAnsi="Cambria"/>
          <w:sz w:val="20"/>
          <w:szCs w:val="20"/>
          <w:lang w:val="es-ES"/>
        </w:rPr>
        <w:t xml:space="preserve">nez. </w:t>
      </w:r>
    </w:p>
    <w:p w14:paraId="0D648102" w14:textId="77777777" w:rsidR="00596B9C" w:rsidRPr="00F0148B" w:rsidRDefault="00596B9C" w:rsidP="00596B9C">
      <w:pPr>
        <w:pStyle w:val="ListParagraph"/>
        <w:spacing w:after="0" w:line="240" w:lineRule="auto"/>
        <w:jc w:val="both"/>
        <w:rPr>
          <w:rFonts w:ascii="Cambria" w:hAnsi="Cambria"/>
          <w:sz w:val="20"/>
          <w:szCs w:val="20"/>
          <w:lang w:val="es-ES"/>
        </w:rPr>
      </w:pPr>
    </w:p>
    <w:p w14:paraId="63B5DE19" w14:textId="77777777" w:rsidR="00BB56C4" w:rsidRPr="00F0148B" w:rsidRDefault="00BB56C4" w:rsidP="009969F9">
      <w:pPr>
        <w:pStyle w:val="ListParagraph"/>
        <w:numPr>
          <w:ilvl w:val="0"/>
          <w:numId w:val="20"/>
        </w:numPr>
        <w:spacing w:after="0" w:line="240" w:lineRule="auto"/>
        <w:ind w:firstLine="0"/>
        <w:jc w:val="both"/>
        <w:rPr>
          <w:rFonts w:ascii="Cambria" w:hAnsi="Cambria" w:cs="Calibri Light"/>
          <w:b/>
          <w:sz w:val="20"/>
          <w:szCs w:val="20"/>
          <w:lang w:val="es-ES"/>
        </w:rPr>
      </w:pPr>
      <w:r w:rsidRPr="00F0148B">
        <w:rPr>
          <w:rFonts w:ascii="Cambria" w:hAnsi="Cambria" w:cs="Calibri Light"/>
          <w:b/>
          <w:sz w:val="20"/>
          <w:szCs w:val="20"/>
          <w:lang w:val="es-ES"/>
        </w:rPr>
        <w:t>Resultados estructurales del caso</w:t>
      </w:r>
    </w:p>
    <w:p w14:paraId="53166402" w14:textId="77777777" w:rsidR="00BB56C4" w:rsidRPr="00F0148B" w:rsidRDefault="00BB56C4" w:rsidP="00BB56C4">
      <w:pPr>
        <w:spacing w:after="0" w:line="240" w:lineRule="auto"/>
        <w:rPr>
          <w:rFonts w:ascii="Cambria" w:hAnsi="Cambria"/>
          <w:sz w:val="20"/>
          <w:szCs w:val="20"/>
          <w:lang w:val="es-ES"/>
        </w:rPr>
      </w:pPr>
      <w:bookmarkStart w:id="0" w:name="_GoBack"/>
      <w:bookmarkEnd w:id="0"/>
    </w:p>
    <w:p w14:paraId="1D079564" w14:textId="77777777" w:rsidR="0056079A" w:rsidRPr="00F0148B" w:rsidRDefault="00F9704A" w:rsidP="0056079A">
      <w:pPr>
        <w:spacing w:after="0" w:line="240" w:lineRule="auto"/>
        <w:jc w:val="both"/>
        <w:rPr>
          <w:rFonts w:ascii="Cambria" w:hAnsi="Cambria"/>
          <w:i/>
          <w:sz w:val="20"/>
          <w:szCs w:val="20"/>
          <w:lang w:val="es-ES"/>
        </w:rPr>
      </w:pPr>
      <w:r w:rsidRPr="00F0148B">
        <w:rPr>
          <w:rFonts w:ascii="Cambria" w:hAnsi="Cambria"/>
          <w:i/>
          <w:sz w:val="20"/>
          <w:szCs w:val="20"/>
          <w:lang w:val="es-ES"/>
        </w:rPr>
        <w:t xml:space="preserve">Medidas de no repetición </w:t>
      </w:r>
    </w:p>
    <w:p w14:paraId="46FAF00D" w14:textId="6BF17D6F" w:rsidR="00F9704A" w:rsidRPr="00F0148B" w:rsidRDefault="00F9704A" w:rsidP="00F9704A">
      <w:pPr>
        <w:pStyle w:val="ListParagraph"/>
        <w:numPr>
          <w:ilvl w:val="0"/>
          <w:numId w:val="37"/>
        </w:numPr>
        <w:spacing w:after="0" w:line="240" w:lineRule="auto"/>
        <w:jc w:val="both"/>
        <w:rPr>
          <w:rFonts w:ascii="Cambria" w:hAnsi="Cambria"/>
          <w:sz w:val="20"/>
          <w:szCs w:val="20"/>
          <w:lang w:val="es-ES"/>
        </w:rPr>
      </w:pPr>
      <w:r w:rsidRPr="00F0148B">
        <w:rPr>
          <w:rFonts w:ascii="Cambria" w:hAnsi="Cambria"/>
          <w:sz w:val="20"/>
          <w:szCs w:val="20"/>
          <w:lang w:val="es-ES"/>
        </w:rPr>
        <w:t>La Sala Plena de la Corte Constitucional</w:t>
      </w:r>
      <w:r w:rsidR="008F2D61" w:rsidRPr="00F0148B">
        <w:rPr>
          <w:rFonts w:ascii="Cambria" w:hAnsi="Cambria"/>
          <w:sz w:val="20"/>
          <w:szCs w:val="20"/>
          <w:lang w:val="es-ES"/>
        </w:rPr>
        <w:t>,</w:t>
      </w:r>
      <w:r w:rsidRPr="00F0148B">
        <w:rPr>
          <w:rFonts w:ascii="Cambria" w:hAnsi="Cambria"/>
          <w:sz w:val="20"/>
          <w:szCs w:val="20"/>
          <w:lang w:val="es-ES"/>
        </w:rPr>
        <w:t xml:space="preserve"> en sesión de 3 de diciembre de 2008</w:t>
      </w:r>
      <w:r w:rsidR="008F2D61" w:rsidRPr="00F0148B">
        <w:rPr>
          <w:rFonts w:ascii="Cambria" w:hAnsi="Cambria"/>
          <w:sz w:val="20"/>
          <w:szCs w:val="20"/>
          <w:lang w:val="es-ES"/>
        </w:rPr>
        <w:t>,</w:t>
      </w:r>
      <w:r w:rsidRPr="00F0148B">
        <w:rPr>
          <w:rFonts w:ascii="Cambria" w:hAnsi="Cambria"/>
          <w:sz w:val="20"/>
          <w:szCs w:val="20"/>
          <w:lang w:val="es-ES"/>
        </w:rPr>
        <w:t xml:space="preserve"> aprobó una adición a su Reglamento Interno e incluyó un inciso segundo al artículo 54 A, en virtud del cual una vez sean seleccionadas acciones de tutelas en contra de providencias judiciales adoptadas por la Corte Suprema y el Consejo de Estado, éstas deben ser puestas en conocimiento de la Sala Plena de la Corte Constitucional, para que ésta determine si asume la revisión con base en el informe mensual que se le sea presentado a partir de marzo de 2009.  </w:t>
      </w:r>
    </w:p>
    <w:p w14:paraId="23D7EA95" w14:textId="6A5F786D" w:rsidR="00F9704A" w:rsidRPr="00F0148B" w:rsidRDefault="00F9704A" w:rsidP="00F9704A">
      <w:pPr>
        <w:pStyle w:val="ListParagraph"/>
        <w:numPr>
          <w:ilvl w:val="0"/>
          <w:numId w:val="37"/>
        </w:numPr>
        <w:spacing w:after="0" w:line="240" w:lineRule="auto"/>
        <w:jc w:val="both"/>
        <w:rPr>
          <w:rFonts w:ascii="Cambria" w:hAnsi="Cambria"/>
          <w:sz w:val="20"/>
          <w:szCs w:val="20"/>
          <w:lang w:val="es-ES"/>
        </w:rPr>
      </w:pPr>
      <w:r w:rsidRPr="00F0148B">
        <w:rPr>
          <w:rFonts w:ascii="Cambria" w:hAnsi="Cambria"/>
          <w:sz w:val="20"/>
          <w:szCs w:val="20"/>
          <w:lang w:val="es-ES"/>
        </w:rPr>
        <w:t>Mediante el Auto 124 de 25 de marzo de 2009, la Corte Constitucional adoptó medidas tendientes a solucionar los conflictos de competencia que se presentaban en los despachos judiciales</w:t>
      </w:r>
      <w:r w:rsidR="008F2D61" w:rsidRPr="00F0148B">
        <w:rPr>
          <w:rFonts w:ascii="Cambria" w:hAnsi="Cambria"/>
          <w:sz w:val="20"/>
          <w:szCs w:val="20"/>
          <w:lang w:val="es-ES"/>
        </w:rPr>
        <w:t>.</w:t>
      </w:r>
    </w:p>
    <w:p w14:paraId="2D4F1106" w14:textId="77777777" w:rsidR="0056079A" w:rsidRPr="00F0148B" w:rsidRDefault="0056079A" w:rsidP="00BB56C4">
      <w:pPr>
        <w:spacing w:after="0" w:line="240" w:lineRule="auto"/>
        <w:rPr>
          <w:rFonts w:ascii="Cambria" w:hAnsi="Cambria"/>
          <w:i/>
          <w:sz w:val="20"/>
          <w:szCs w:val="20"/>
          <w:lang w:val="es-ES"/>
        </w:rPr>
      </w:pPr>
    </w:p>
    <w:p w14:paraId="4D4CE42D" w14:textId="77777777" w:rsidR="00DD4DA7" w:rsidRPr="00F0148B" w:rsidRDefault="00126AB7" w:rsidP="00BB56C4">
      <w:pPr>
        <w:spacing w:after="0" w:line="240" w:lineRule="auto"/>
        <w:rPr>
          <w:rFonts w:ascii="Cambria" w:hAnsi="Cambria"/>
          <w:i/>
          <w:sz w:val="20"/>
          <w:szCs w:val="20"/>
          <w:lang w:val="es-ES"/>
        </w:rPr>
      </w:pPr>
      <w:r w:rsidRPr="00F0148B">
        <w:rPr>
          <w:rFonts w:ascii="Cambria" w:hAnsi="Cambria"/>
          <w:i/>
          <w:sz w:val="20"/>
          <w:szCs w:val="20"/>
          <w:lang w:val="es-ES"/>
        </w:rPr>
        <w:t>Fortalecimiento</w:t>
      </w:r>
      <w:r w:rsidR="00DD4DA7" w:rsidRPr="00F0148B">
        <w:rPr>
          <w:rFonts w:ascii="Cambria" w:hAnsi="Cambria"/>
          <w:i/>
          <w:sz w:val="20"/>
          <w:szCs w:val="20"/>
          <w:lang w:val="es-ES"/>
        </w:rPr>
        <w:t xml:space="preserve"> institucional</w:t>
      </w:r>
    </w:p>
    <w:p w14:paraId="19DA79C0" w14:textId="57333698" w:rsidR="006301C7" w:rsidRPr="00F0148B" w:rsidRDefault="00A61F2B" w:rsidP="007D328D">
      <w:pPr>
        <w:pStyle w:val="ListParagraph"/>
        <w:numPr>
          <w:ilvl w:val="0"/>
          <w:numId w:val="33"/>
        </w:numPr>
        <w:spacing w:after="0" w:line="240" w:lineRule="auto"/>
        <w:jc w:val="both"/>
        <w:rPr>
          <w:rFonts w:ascii="Cambria" w:hAnsi="Cambria"/>
          <w:sz w:val="20"/>
          <w:szCs w:val="20"/>
          <w:lang w:val="es-ES"/>
        </w:rPr>
      </w:pPr>
      <w:r w:rsidRPr="00F0148B">
        <w:rPr>
          <w:rFonts w:ascii="Cambria" w:hAnsi="Cambria"/>
          <w:sz w:val="20"/>
          <w:szCs w:val="20"/>
          <w:lang w:val="es-ES"/>
        </w:rPr>
        <w:t>La Dirección de Derechos Humanos y Derecho Internacional Humanitario del</w:t>
      </w:r>
      <w:r w:rsidR="006301C7" w:rsidRPr="00F0148B">
        <w:rPr>
          <w:rFonts w:ascii="Cambria" w:hAnsi="Cambria"/>
          <w:sz w:val="20"/>
          <w:szCs w:val="20"/>
          <w:lang w:val="es-ES"/>
        </w:rPr>
        <w:t xml:space="preserve"> Ministerio de Relaciones Exteriores remitió</w:t>
      </w:r>
      <w:r w:rsidR="00CF16DA" w:rsidRPr="00F0148B">
        <w:rPr>
          <w:rFonts w:ascii="Cambria" w:hAnsi="Cambria"/>
          <w:sz w:val="20"/>
          <w:szCs w:val="20"/>
          <w:lang w:val="es-ES"/>
        </w:rPr>
        <w:t>, con carácter confidencial,</w:t>
      </w:r>
      <w:r w:rsidR="006301C7" w:rsidRPr="00F0148B">
        <w:rPr>
          <w:rFonts w:ascii="Cambria" w:hAnsi="Cambria"/>
          <w:sz w:val="20"/>
          <w:szCs w:val="20"/>
          <w:lang w:val="es-ES"/>
        </w:rPr>
        <w:t xml:space="preserve"> el Informe </w:t>
      </w:r>
      <w:r w:rsidR="00CF16DA" w:rsidRPr="00F0148B">
        <w:rPr>
          <w:rFonts w:ascii="Cambria" w:hAnsi="Cambria"/>
          <w:sz w:val="20"/>
          <w:szCs w:val="20"/>
          <w:lang w:val="es-ES"/>
        </w:rPr>
        <w:t>Nº 57/07</w:t>
      </w:r>
      <w:r w:rsidR="00312EBC" w:rsidRPr="00F0148B">
        <w:rPr>
          <w:rFonts w:ascii="Cambria" w:hAnsi="Cambria"/>
          <w:sz w:val="20"/>
          <w:szCs w:val="20"/>
          <w:lang w:val="es-ES"/>
        </w:rPr>
        <w:t xml:space="preserve">, </w:t>
      </w:r>
      <w:r w:rsidR="006301C7" w:rsidRPr="00F0148B">
        <w:rPr>
          <w:rFonts w:ascii="Cambria" w:hAnsi="Cambria"/>
          <w:sz w:val="20"/>
          <w:szCs w:val="20"/>
          <w:lang w:val="es-ES"/>
        </w:rPr>
        <w:t xml:space="preserve">a </w:t>
      </w:r>
      <w:r w:rsidR="007D328D" w:rsidRPr="00F0148B">
        <w:rPr>
          <w:rFonts w:ascii="Cambria" w:hAnsi="Cambria"/>
          <w:sz w:val="20"/>
          <w:szCs w:val="20"/>
          <w:lang w:val="es-ES"/>
        </w:rPr>
        <w:t xml:space="preserve">todos y cada uno de los magistrados que componen las Altas Cortes de la República, a </w:t>
      </w:r>
      <w:r w:rsidR="00AF6CBF" w:rsidRPr="00F0148B">
        <w:rPr>
          <w:rFonts w:ascii="Cambria" w:hAnsi="Cambria"/>
          <w:sz w:val="20"/>
          <w:szCs w:val="20"/>
          <w:lang w:val="es-ES"/>
        </w:rPr>
        <w:t>saber,</w:t>
      </w:r>
      <w:r w:rsidR="007D328D" w:rsidRPr="00F0148B">
        <w:rPr>
          <w:rFonts w:ascii="Cambria" w:hAnsi="Cambria"/>
          <w:sz w:val="20"/>
          <w:szCs w:val="20"/>
          <w:lang w:val="es-ES"/>
        </w:rPr>
        <w:t xml:space="preserve"> la Corte Suprema de Justicia, la Corte Constitucional, el Consejo de Estado y el Consejo Superior de la Judicatura</w:t>
      </w:r>
      <w:r w:rsidR="00AF6CBF" w:rsidRPr="00F0148B">
        <w:rPr>
          <w:rFonts w:ascii="Cambria" w:hAnsi="Cambria"/>
          <w:sz w:val="20"/>
          <w:szCs w:val="20"/>
          <w:lang w:val="es-ES"/>
        </w:rPr>
        <w:t>. Esta remisión se hizo</w:t>
      </w:r>
      <w:r w:rsidR="006301C7" w:rsidRPr="00F0148B">
        <w:rPr>
          <w:rFonts w:ascii="Cambria" w:hAnsi="Cambria"/>
          <w:sz w:val="20"/>
          <w:szCs w:val="20"/>
          <w:lang w:val="es-ES"/>
        </w:rPr>
        <w:t xml:space="preserve"> con el fin de poner en su conocimiento la decisión de la CIDH</w:t>
      </w:r>
      <w:r w:rsidR="00AF6CBF" w:rsidRPr="00F0148B">
        <w:rPr>
          <w:rFonts w:ascii="Cambria" w:hAnsi="Cambria"/>
          <w:sz w:val="20"/>
          <w:szCs w:val="20"/>
          <w:lang w:val="es-ES"/>
        </w:rPr>
        <w:t xml:space="preserve"> para que, en el futuro, este informe sea tenido en cuenta </w:t>
      </w:r>
      <w:r w:rsidR="006301C7" w:rsidRPr="00F0148B">
        <w:rPr>
          <w:rFonts w:ascii="Cambria" w:hAnsi="Cambria"/>
          <w:sz w:val="20"/>
          <w:szCs w:val="20"/>
          <w:lang w:val="es-ES"/>
        </w:rPr>
        <w:t>dentro de situaciones similares en el futuro.</w:t>
      </w:r>
    </w:p>
    <w:p w14:paraId="6D7D87B3" w14:textId="77777777" w:rsidR="00F9704A" w:rsidRPr="00F0148B" w:rsidRDefault="00F9704A" w:rsidP="00F9704A">
      <w:pPr>
        <w:pStyle w:val="ListParagraph"/>
        <w:numPr>
          <w:ilvl w:val="0"/>
          <w:numId w:val="33"/>
        </w:numPr>
        <w:spacing w:after="0" w:line="240" w:lineRule="auto"/>
        <w:jc w:val="both"/>
        <w:rPr>
          <w:rFonts w:ascii="Cambria" w:hAnsi="Cambria"/>
          <w:sz w:val="20"/>
          <w:szCs w:val="20"/>
          <w:lang w:val="es-ES"/>
        </w:rPr>
      </w:pPr>
      <w:r w:rsidRPr="00F0148B">
        <w:rPr>
          <w:rFonts w:ascii="Cambria" w:hAnsi="Cambria"/>
          <w:sz w:val="20"/>
          <w:szCs w:val="20"/>
          <w:lang w:val="es-ES"/>
        </w:rPr>
        <w:t>Las Salas de Casación Penal y Laboral de la Corte Suprema de Justicia de Colombia resolvieron autónomamente en el año 2008 tramitar y remitir a la Corte Constitucional las providencias proferidas al definir acciones de tutela contra sus providencias, para efectos de la revisión eventual, en cumplimiento de lo dispuesto en el Decreto 2591 de 1991 y en el artículo 86 de la Constitución.</w:t>
      </w:r>
    </w:p>
    <w:p w14:paraId="03CBCCC6" w14:textId="77777777" w:rsidR="00F9704A" w:rsidRPr="00F0148B" w:rsidRDefault="00F9704A" w:rsidP="001E5A45">
      <w:pPr>
        <w:pStyle w:val="ListParagraph"/>
        <w:spacing w:after="0" w:line="240" w:lineRule="auto"/>
        <w:jc w:val="both"/>
        <w:rPr>
          <w:rFonts w:ascii="Cambria" w:hAnsi="Cambria"/>
          <w:sz w:val="20"/>
          <w:szCs w:val="20"/>
          <w:lang w:val="es-ES"/>
        </w:rPr>
      </w:pPr>
    </w:p>
    <w:p w14:paraId="3C7B8D64" w14:textId="77777777" w:rsidR="00B144E0" w:rsidRPr="00F0148B" w:rsidRDefault="00B144E0" w:rsidP="00207922">
      <w:pPr>
        <w:autoSpaceDE w:val="0"/>
        <w:autoSpaceDN w:val="0"/>
        <w:adjustRightInd w:val="0"/>
        <w:spacing w:after="0" w:line="240" w:lineRule="auto"/>
        <w:rPr>
          <w:rFonts w:ascii="Cambria" w:hAnsi="Cambria"/>
          <w:sz w:val="20"/>
          <w:szCs w:val="20"/>
          <w:lang w:val="es-ES"/>
        </w:rPr>
      </w:pPr>
    </w:p>
    <w:sectPr w:rsidR="00B144E0" w:rsidRPr="00F0148B" w:rsidSect="009969F9">
      <w:headerReference w:type="default" r:id="rId11"/>
      <w:footerReference w:type="default" r:id="rId12"/>
      <w:headerReference w:type="first" r:id="rId13"/>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20B9D" w14:textId="77777777" w:rsidR="00B318B5" w:rsidRDefault="00B318B5" w:rsidP="007B15E0">
      <w:pPr>
        <w:spacing w:after="0" w:line="240" w:lineRule="auto"/>
      </w:pPr>
      <w:r>
        <w:separator/>
      </w:r>
    </w:p>
  </w:endnote>
  <w:endnote w:type="continuationSeparator" w:id="0">
    <w:p w14:paraId="613AB052" w14:textId="77777777" w:rsidR="00B318B5" w:rsidRDefault="00B318B5" w:rsidP="007B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964791"/>
      <w:docPartObj>
        <w:docPartGallery w:val="Page Numbers (Bottom of Page)"/>
        <w:docPartUnique/>
      </w:docPartObj>
    </w:sdtPr>
    <w:sdtEndPr>
      <w:rPr>
        <w:noProof/>
        <w:sz w:val="16"/>
        <w:szCs w:val="16"/>
      </w:rPr>
    </w:sdtEndPr>
    <w:sdtContent>
      <w:p w14:paraId="7A9FEAF1" w14:textId="68BC77D9" w:rsidR="005818F5" w:rsidRPr="00594FE3" w:rsidRDefault="005818F5">
        <w:pPr>
          <w:pStyle w:val="Footer"/>
          <w:jc w:val="center"/>
          <w:rPr>
            <w:sz w:val="16"/>
            <w:szCs w:val="16"/>
          </w:rPr>
        </w:pPr>
        <w:r w:rsidRPr="00594FE3">
          <w:rPr>
            <w:sz w:val="16"/>
            <w:szCs w:val="16"/>
          </w:rPr>
          <w:fldChar w:fldCharType="begin"/>
        </w:r>
        <w:r w:rsidRPr="00594FE3">
          <w:rPr>
            <w:sz w:val="16"/>
            <w:szCs w:val="16"/>
          </w:rPr>
          <w:instrText xml:space="preserve"> PAGE   \* MERGEFORMAT </w:instrText>
        </w:r>
        <w:r w:rsidRPr="00594FE3">
          <w:rPr>
            <w:sz w:val="16"/>
            <w:szCs w:val="16"/>
          </w:rPr>
          <w:fldChar w:fldCharType="separate"/>
        </w:r>
        <w:r w:rsidR="00921B1E">
          <w:rPr>
            <w:noProof/>
            <w:sz w:val="16"/>
            <w:szCs w:val="16"/>
          </w:rPr>
          <w:t>2</w:t>
        </w:r>
        <w:r w:rsidRPr="00594FE3">
          <w:rPr>
            <w:noProof/>
            <w:sz w:val="16"/>
            <w:szCs w:val="16"/>
          </w:rPr>
          <w:fldChar w:fldCharType="end"/>
        </w:r>
      </w:p>
    </w:sdtContent>
  </w:sdt>
  <w:p w14:paraId="6405291E" w14:textId="77777777" w:rsidR="005818F5" w:rsidRDefault="00581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59798" w14:textId="77777777" w:rsidR="00B318B5" w:rsidRDefault="00B318B5" w:rsidP="007B15E0">
      <w:pPr>
        <w:spacing w:after="0" w:line="240" w:lineRule="auto"/>
      </w:pPr>
      <w:r>
        <w:separator/>
      </w:r>
    </w:p>
  </w:footnote>
  <w:footnote w:type="continuationSeparator" w:id="0">
    <w:p w14:paraId="2FC5AA0E" w14:textId="77777777" w:rsidR="00B318B5" w:rsidRDefault="00B318B5" w:rsidP="007B15E0">
      <w:pPr>
        <w:spacing w:after="0" w:line="240" w:lineRule="auto"/>
      </w:pPr>
      <w:r>
        <w:continuationSeparator/>
      </w:r>
    </w:p>
  </w:footnote>
  <w:footnote w:id="1">
    <w:p w14:paraId="4913635F" w14:textId="61CA1A1B" w:rsidR="00415300" w:rsidRPr="00415300" w:rsidRDefault="00415300" w:rsidP="00415300">
      <w:pPr>
        <w:pStyle w:val="FootnoteText"/>
        <w:spacing w:after="120"/>
        <w:ind w:firstLine="720"/>
        <w:jc w:val="both"/>
        <w:rPr>
          <w:rFonts w:ascii="Cambria" w:hAnsi="Cambria"/>
          <w:sz w:val="16"/>
          <w:szCs w:val="16"/>
          <w:lang w:val="es-US"/>
        </w:rPr>
      </w:pPr>
      <w:r w:rsidRPr="00BF33E4">
        <w:rPr>
          <w:rStyle w:val="FootnoteReference"/>
          <w:rFonts w:ascii="Cambria" w:hAnsi="Cambria"/>
          <w:sz w:val="16"/>
          <w:szCs w:val="16"/>
        </w:rPr>
        <w:footnoteRef/>
      </w:r>
      <w:r w:rsidRPr="00BF33E4">
        <w:rPr>
          <w:rFonts w:ascii="Cambria" w:hAnsi="Cambria"/>
          <w:sz w:val="16"/>
          <w:szCs w:val="16"/>
          <w:lang w:val="es-CO"/>
        </w:rPr>
        <w:t xml:space="preserve"> </w:t>
      </w:r>
      <w:r w:rsidRPr="00834F4C">
        <w:rPr>
          <w:rFonts w:ascii="Cambria" w:hAnsi="Cambria"/>
          <w:sz w:val="16"/>
          <w:szCs w:val="16"/>
          <w:lang w:val="es-US"/>
        </w:rPr>
        <w:t xml:space="preserve">CIDH, Informe Anual 2009, </w:t>
      </w:r>
      <w:hyperlink r:id="rId1" w:history="1">
        <w:r w:rsidRPr="00834F4C">
          <w:rPr>
            <w:rStyle w:val="Hyperlink"/>
            <w:rFonts w:ascii="Cambria" w:hAnsi="Cambria"/>
            <w:color w:val="auto"/>
            <w:sz w:val="16"/>
            <w:szCs w:val="16"/>
            <w:lang w:val="es-US"/>
          </w:rPr>
          <w:t>Capitulo II, Sección D: Estado del cumplimiento de las recomendaciones de la CIDH</w:t>
        </w:r>
      </w:hyperlink>
      <w:r w:rsidRPr="00834F4C">
        <w:rPr>
          <w:rFonts w:ascii="Cambria" w:hAnsi="Cambria"/>
          <w:sz w:val="16"/>
          <w:szCs w:val="16"/>
          <w:lang w:val="es-US"/>
        </w:rPr>
        <w:t xml:space="preserve">, párr. 280. </w:t>
      </w:r>
    </w:p>
  </w:footnote>
  <w:footnote w:id="2">
    <w:p w14:paraId="3AC7B7B8" w14:textId="36DB9362" w:rsidR="00415300" w:rsidRPr="00415300" w:rsidRDefault="00415300" w:rsidP="00415300">
      <w:pPr>
        <w:pStyle w:val="FootnoteText"/>
        <w:spacing w:after="120"/>
        <w:ind w:firstLine="720"/>
        <w:jc w:val="both"/>
        <w:rPr>
          <w:rFonts w:ascii="Cambria" w:hAnsi="Cambria"/>
          <w:sz w:val="16"/>
          <w:szCs w:val="16"/>
          <w:lang w:val="es-US"/>
        </w:rPr>
      </w:pPr>
      <w:r w:rsidRPr="00BF33E4">
        <w:rPr>
          <w:rStyle w:val="FootnoteReference"/>
          <w:rFonts w:ascii="Cambria" w:hAnsi="Cambria"/>
          <w:sz w:val="16"/>
          <w:szCs w:val="16"/>
        </w:rPr>
        <w:footnoteRef/>
      </w:r>
      <w:r w:rsidRPr="00BF33E4">
        <w:rPr>
          <w:rFonts w:ascii="Cambria" w:hAnsi="Cambria"/>
          <w:sz w:val="16"/>
          <w:szCs w:val="16"/>
          <w:lang w:val="es-CO"/>
        </w:rPr>
        <w:t xml:space="preserve"> </w:t>
      </w:r>
      <w:r w:rsidRPr="00834F4C">
        <w:rPr>
          <w:rFonts w:ascii="Cambria" w:hAnsi="Cambria"/>
          <w:sz w:val="16"/>
          <w:szCs w:val="16"/>
          <w:lang w:val="es-US"/>
        </w:rPr>
        <w:t xml:space="preserve">CIDH, Informe Anual 2009, </w:t>
      </w:r>
      <w:hyperlink r:id="rId2" w:history="1">
        <w:r w:rsidRPr="00834F4C">
          <w:rPr>
            <w:rStyle w:val="Hyperlink"/>
            <w:rFonts w:ascii="Cambria" w:hAnsi="Cambria"/>
            <w:color w:val="auto"/>
            <w:sz w:val="16"/>
            <w:szCs w:val="16"/>
            <w:lang w:val="es-US"/>
          </w:rPr>
          <w:t>Capitulo II, Sección D: Estado del cumplimiento de las recomendaciones de la CIDH</w:t>
        </w:r>
      </w:hyperlink>
      <w:r w:rsidRPr="00834F4C">
        <w:rPr>
          <w:rFonts w:ascii="Cambria" w:hAnsi="Cambria"/>
          <w:sz w:val="16"/>
          <w:szCs w:val="16"/>
          <w:lang w:val="es-US"/>
        </w:rPr>
        <w:t xml:space="preserve">, párr. 280. </w:t>
      </w:r>
    </w:p>
  </w:footnote>
  <w:footnote w:id="3">
    <w:p w14:paraId="0BC480F8" w14:textId="77777777" w:rsidR="00870135" w:rsidRPr="00834F4C" w:rsidRDefault="00870135" w:rsidP="00834F4C">
      <w:pPr>
        <w:pStyle w:val="FootnoteText"/>
        <w:spacing w:after="120"/>
        <w:ind w:firstLine="720"/>
        <w:jc w:val="both"/>
        <w:rPr>
          <w:rFonts w:ascii="Cambria" w:hAnsi="Cambria"/>
          <w:sz w:val="16"/>
          <w:szCs w:val="16"/>
          <w:lang w:val="es-US"/>
        </w:rPr>
      </w:pPr>
      <w:r w:rsidRPr="00834F4C">
        <w:rPr>
          <w:rStyle w:val="FootnoteReference"/>
          <w:rFonts w:ascii="Cambria" w:hAnsi="Cambria"/>
          <w:sz w:val="16"/>
          <w:szCs w:val="16"/>
        </w:rPr>
        <w:footnoteRef/>
      </w:r>
      <w:r w:rsidRPr="00834F4C">
        <w:rPr>
          <w:rFonts w:ascii="Cambria" w:hAnsi="Cambria"/>
          <w:sz w:val="16"/>
          <w:szCs w:val="16"/>
          <w:lang w:val="es-US"/>
        </w:rPr>
        <w:t xml:space="preserve"> CIDH, Informe Anual 2009, </w:t>
      </w:r>
      <w:hyperlink r:id="rId3" w:history="1">
        <w:r w:rsidRPr="00834F4C">
          <w:rPr>
            <w:rStyle w:val="Hyperlink"/>
            <w:rFonts w:ascii="Cambria" w:hAnsi="Cambria"/>
            <w:color w:val="auto"/>
            <w:sz w:val="16"/>
            <w:szCs w:val="16"/>
            <w:lang w:val="es-US"/>
          </w:rPr>
          <w:t>Capitulo II, Sección D: Estado del cumplimiento de las recomendaciones de la CIDH</w:t>
        </w:r>
      </w:hyperlink>
      <w:r w:rsidRPr="00834F4C">
        <w:rPr>
          <w:rFonts w:ascii="Cambria" w:hAnsi="Cambria"/>
          <w:sz w:val="16"/>
          <w:szCs w:val="16"/>
          <w:lang w:val="es-US"/>
        </w:rPr>
        <w:t xml:space="preserve">, párr. 280.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2D938" w14:textId="77777777" w:rsidR="005818F5" w:rsidRDefault="005818F5" w:rsidP="00594FE3">
    <w:pPr>
      <w:pStyle w:val="Header"/>
      <w:jc w:val="center"/>
    </w:pPr>
    <w:r>
      <w:rPr>
        <w:noProof/>
      </w:rPr>
      <w:drawing>
        <wp:anchor distT="0" distB="0" distL="114300" distR="114300" simplePos="0" relativeHeight="251659264" behindDoc="1" locked="0" layoutInCell="1" allowOverlap="1" wp14:anchorId="7D24A10C" wp14:editId="014347FE">
          <wp:simplePos x="0" y="0"/>
          <wp:positionH relativeFrom="column">
            <wp:posOffset>1795780</wp:posOffset>
          </wp:positionH>
          <wp:positionV relativeFrom="paragraph">
            <wp:posOffset>-20955</wp:posOffset>
          </wp:positionV>
          <wp:extent cx="2296795" cy="116840"/>
          <wp:effectExtent l="0" t="0" r="8255" b="0"/>
          <wp:wrapSquare wrapText="bothSides"/>
          <wp:docPr id="6" name="Picture 6"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16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3FE48" w14:textId="77777777" w:rsidR="005818F5" w:rsidRPr="00F17462" w:rsidRDefault="00921B1E" w:rsidP="00594FE3">
    <w:pPr>
      <w:spacing w:after="0" w:line="240" w:lineRule="auto"/>
      <w:jc w:val="center"/>
      <w:rPr>
        <w:rFonts w:ascii="Cambria" w:hAnsi="Cambria"/>
        <w:b/>
      </w:rPr>
    </w:pPr>
    <w:r>
      <w:pict w14:anchorId="0D2D8DDA">
        <v:rect id="_x0000_i1025" style="width:0;height:1.5pt" o:hralign="center" o:hrstd="t" o:hr="t" fillcolor="#a0a0a0" stroked="f"/>
      </w:pict>
    </w:r>
  </w:p>
  <w:p w14:paraId="178EC7D5" w14:textId="77777777" w:rsidR="005818F5" w:rsidRDefault="00581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2CDB2" w14:textId="3A80263A" w:rsidR="0093273A" w:rsidRDefault="0093273A" w:rsidP="0093273A">
    <w:pPr>
      <w:pStyle w:val="Header"/>
    </w:pPr>
    <w:r>
      <w:tab/>
    </w:r>
    <w:r>
      <w:tab/>
    </w:r>
  </w:p>
  <w:p w14:paraId="05730B78" w14:textId="61475BD4" w:rsidR="009969F9" w:rsidRDefault="00425E8C" w:rsidP="009969F9">
    <w:pPr>
      <w:pStyle w:val="Header"/>
    </w:pPr>
    <w:r>
      <w:rPr>
        <w:noProof/>
      </w:rPr>
      <w:drawing>
        <wp:anchor distT="0" distB="0" distL="114300" distR="114300" simplePos="0" relativeHeight="251658240" behindDoc="1" locked="0" layoutInCell="1" allowOverlap="1" wp14:anchorId="3EBD23B7" wp14:editId="76C47B2F">
          <wp:simplePos x="0" y="0"/>
          <wp:positionH relativeFrom="column">
            <wp:posOffset>4000500</wp:posOffset>
          </wp:positionH>
          <wp:positionV relativeFrom="paragraph">
            <wp:posOffset>5367</wp:posOffset>
          </wp:positionV>
          <wp:extent cx="1943100" cy="495300"/>
          <wp:effectExtent l="0" t="0" r="0" b="0"/>
          <wp:wrapThrough wrapText="bothSides">
            <wp:wrapPolygon edited="0">
              <wp:start x="1271" y="0"/>
              <wp:lineTo x="0" y="3323"/>
              <wp:lineTo x="0" y="17446"/>
              <wp:lineTo x="1271" y="20769"/>
              <wp:lineTo x="4235" y="20769"/>
              <wp:lineTo x="21388" y="18277"/>
              <wp:lineTo x="21388" y="3323"/>
              <wp:lineTo x="4235" y="0"/>
              <wp:lineTo x="1271" y="0"/>
            </wp:wrapPolygon>
          </wp:wrapThrough>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_Seal_ESP_Principal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273A" w:rsidRPr="008A5CB5">
      <w:rPr>
        <w:noProof/>
      </w:rPr>
      <w:drawing>
        <wp:inline distT="0" distB="0" distL="0" distR="0" wp14:anchorId="76591A3E" wp14:editId="5350A9B1">
          <wp:extent cx="2352675" cy="454025"/>
          <wp:effectExtent l="0" t="0" r="9525" b="3175"/>
          <wp:docPr id="1"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2675" cy="454025"/>
                  </a:xfrm>
                  <a:prstGeom prst="rect">
                    <a:avLst/>
                  </a:prstGeom>
                  <a:noFill/>
                  <a:ln>
                    <a:noFill/>
                  </a:ln>
                </pic:spPr>
              </pic:pic>
            </a:graphicData>
          </a:graphic>
        </wp:inline>
      </w:drawing>
    </w:r>
    <w:r w:rsidR="00921B1E">
      <w:pict w14:anchorId="1BAC5F5A">
        <v:rect id="_x0000_i1026" style="width:0;height:1.5pt" o:hralign="center" o:hrstd="t" o:hr="t" fillcolor="#a0a0a0" stroked="f"/>
      </w:pict>
    </w:r>
  </w:p>
  <w:p w14:paraId="298BA1DC" w14:textId="77777777" w:rsidR="005818F5" w:rsidRPr="00AD272A" w:rsidRDefault="005818F5" w:rsidP="00594FE3">
    <w:pPr>
      <w:pStyle w:val="Header"/>
      <w:rPr>
        <w:sz w:val="20"/>
        <w:szCs w:val="20"/>
      </w:rPr>
    </w:pPr>
    <w:r>
      <w:rPr>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463"/>
    <w:multiLevelType w:val="hybridMultilevel"/>
    <w:tmpl w:val="EC2A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05708"/>
    <w:multiLevelType w:val="hybridMultilevel"/>
    <w:tmpl w:val="1E0AD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84EDE"/>
    <w:multiLevelType w:val="hybridMultilevel"/>
    <w:tmpl w:val="A12E0462"/>
    <w:lvl w:ilvl="0" w:tplc="CAD003B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552C4"/>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6" w15:restartNumberingAfterBreak="0">
    <w:nsid w:val="14D2671C"/>
    <w:multiLevelType w:val="hybridMultilevel"/>
    <w:tmpl w:val="08E0CE9E"/>
    <w:lvl w:ilvl="0" w:tplc="FFC49C5C">
      <w:start w:val="1"/>
      <w:numFmt w:val="decimal"/>
      <w:lvlText w:val="%1-"/>
      <w:lvlJc w:val="left"/>
      <w:pPr>
        <w:ind w:left="720" w:hanging="360"/>
      </w:pPr>
      <w:rPr>
        <w:rFonts w:ascii="Verdana" w:hAnsi="Verdana" w:cstheme="minorBid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A3A85"/>
    <w:multiLevelType w:val="hybridMultilevel"/>
    <w:tmpl w:val="61205FA2"/>
    <w:lvl w:ilvl="0" w:tplc="5994D6D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06297"/>
    <w:multiLevelType w:val="hybridMultilevel"/>
    <w:tmpl w:val="32CE52FE"/>
    <w:lvl w:ilvl="0" w:tplc="6E52A56A">
      <w:start w:val="1"/>
      <w:numFmt w:val="decimal"/>
      <w:lvlText w:val="%1."/>
      <w:lvlJc w:val="left"/>
      <w:pPr>
        <w:ind w:left="1437" w:hanging="360"/>
      </w:pPr>
      <w:rPr>
        <w:rFonts w:ascii="Cambria" w:eastAsia="Calibri" w:hAnsi="Cambria" w:cs="Calibri Light" w:hint="default"/>
        <w:b w:val="0"/>
        <w:sz w:val="22"/>
        <w:szCs w:val="22"/>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9" w15:restartNumberingAfterBreak="0">
    <w:nsid w:val="1D945DE1"/>
    <w:multiLevelType w:val="hybridMultilevel"/>
    <w:tmpl w:val="4A90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048B5"/>
    <w:multiLevelType w:val="hybridMultilevel"/>
    <w:tmpl w:val="FE2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F4882"/>
    <w:multiLevelType w:val="hybridMultilevel"/>
    <w:tmpl w:val="F19C73CC"/>
    <w:lvl w:ilvl="0" w:tplc="8A8A558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05901"/>
    <w:multiLevelType w:val="hybridMultilevel"/>
    <w:tmpl w:val="6FD6D0B2"/>
    <w:lvl w:ilvl="0" w:tplc="8F38C9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B3D75D5"/>
    <w:multiLevelType w:val="hybridMultilevel"/>
    <w:tmpl w:val="CACA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524BF"/>
    <w:multiLevelType w:val="hybridMultilevel"/>
    <w:tmpl w:val="D690F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551B0"/>
    <w:multiLevelType w:val="hybridMultilevel"/>
    <w:tmpl w:val="D690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F21E97"/>
    <w:multiLevelType w:val="hybridMultilevel"/>
    <w:tmpl w:val="9A7A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82ADF"/>
    <w:multiLevelType w:val="hybridMultilevel"/>
    <w:tmpl w:val="8A08FA04"/>
    <w:lvl w:ilvl="0" w:tplc="F10C0E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22C2F"/>
    <w:multiLevelType w:val="hybridMultilevel"/>
    <w:tmpl w:val="700271CC"/>
    <w:lvl w:ilvl="0" w:tplc="70EC6EF0">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451AFA"/>
    <w:multiLevelType w:val="hybridMultilevel"/>
    <w:tmpl w:val="4C42D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053A3"/>
    <w:multiLevelType w:val="hybridMultilevel"/>
    <w:tmpl w:val="CB2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67AA8"/>
    <w:multiLevelType w:val="hybridMultilevel"/>
    <w:tmpl w:val="BA3E6216"/>
    <w:lvl w:ilvl="0" w:tplc="890AC77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71EC8"/>
    <w:multiLevelType w:val="hybridMultilevel"/>
    <w:tmpl w:val="1EEE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8804BF"/>
    <w:multiLevelType w:val="hybridMultilevel"/>
    <w:tmpl w:val="946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023AD"/>
    <w:multiLevelType w:val="hybridMultilevel"/>
    <w:tmpl w:val="C8FABDD2"/>
    <w:lvl w:ilvl="0" w:tplc="57B096B2">
      <w:start w:val="3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E3759C"/>
    <w:multiLevelType w:val="hybridMultilevel"/>
    <w:tmpl w:val="CEBECEC0"/>
    <w:lvl w:ilvl="0" w:tplc="0F6E6E00">
      <w:start w:val="44"/>
      <w:numFmt w:val="decimal"/>
      <w:lvlText w:val="%1."/>
      <w:lvlJc w:val="left"/>
      <w:pPr>
        <w:tabs>
          <w:tab w:val="num" w:pos="630"/>
        </w:tabs>
        <w:ind w:left="0" w:firstLine="720"/>
      </w:pPr>
      <w:rPr>
        <w:rFonts w:hint="default"/>
        <w:b w:val="0"/>
        <w:i w:val="0"/>
        <w:strike w:val="0"/>
        <w:color w:val="auto"/>
        <w:sz w:val="20"/>
        <w:szCs w:val="20"/>
      </w:rPr>
    </w:lvl>
    <w:lvl w:ilvl="1" w:tplc="04090005">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1B">
      <w:start w:val="1"/>
      <w:numFmt w:val="lowerRoman"/>
      <w:lvlText w:val="%3."/>
      <w:lvlJc w:val="right"/>
      <w:pPr>
        <w:tabs>
          <w:tab w:val="num" w:pos="2160"/>
        </w:tabs>
        <w:ind w:left="2160" w:hanging="180"/>
      </w:pPr>
    </w:lvl>
    <w:lvl w:ilvl="3" w:tplc="FDE86004">
      <w:start w:val="1"/>
      <w:numFmt w:val="decimal"/>
      <w:lvlText w:val="%4."/>
      <w:lvlJc w:val="left"/>
      <w:pPr>
        <w:tabs>
          <w:tab w:val="num" w:pos="2520"/>
        </w:tabs>
        <w:ind w:left="1800" w:firstLine="720"/>
      </w:pPr>
      <w:rPr>
        <w:rFonts w:hint="default"/>
        <w:b w:val="0"/>
        <w:i w:val="0"/>
        <w:strike w:val="0"/>
        <w:color w:val="auto"/>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0B6A2B"/>
    <w:multiLevelType w:val="hybridMultilevel"/>
    <w:tmpl w:val="A76087D8"/>
    <w:lvl w:ilvl="0" w:tplc="6BF056EA">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AE6C34"/>
    <w:multiLevelType w:val="hybridMultilevel"/>
    <w:tmpl w:val="B0649F7C"/>
    <w:lvl w:ilvl="0" w:tplc="7286DC1C">
      <w:start w:val="2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65CB7"/>
    <w:multiLevelType w:val="hybridMultilevel"/>
    <w:tmpl w:val="67B4E5C0"/>
    <w:lvl w:ilvl="0" w:tplc="E68E6754">
      <w:start w:val="19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7414BC"/>
    <w:multiLevelType w:val="hybridMultilevel"/>
    <w:tmpl w:val="667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CE4F33"/>
    <w:multiLevelType w:val="hybridMultilevel"/>
    <w:tmpl w:val="5F10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E00A47"/>
    <w:multiLevelType w:val="hybridMultilevel"/>
    <w:tmpl w:val="9C4C874E"/>
    <w:lvl w:ilvl="0" w:tplc="9ED01596">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3"/>
  </w:num>
  <w:num w:numId="4">
    <w:abstractNumId w:val="35"/>
  </w:num>
  <w:num w:numId="5">
    <w:abstractNumId w:val="2"/>
  </w:num>
  <w:num w:numId="6">
    <w:abstractNumId w:val="26"/>
  </w:num>
  <w:num w:numId="7">
    <w:abstractNumId w:val="27"/>
  </w:num>
  <w:num w:numId="8">
    <w:abstractNumId w:val="29"/>
  </w:num>
  <w:num w:numId="9">
    <w:abstractNumId w:val="30"/>
  </w:num>
  <w:num w:numId="10">
    <w:abstractNumId w:val="19"/>
  </w:num>
  <w:num w:numId="11">
    <w:abstractNumId w:val="15"/>
  </w:num>
  <w:num w:numId="12">
    <w:abstractNumId w:val="5"/>
  </w:num>
  <w:num w:numId="13">
    <w:abstractNumId w:val="16"/>
  </w:num>
  <w:num w:numId="14">
    <w:abstractNumId w:val="22"/>
  </w:num>
  <w:num w:numId="15">
    <w:abstractNumId w:val="20"/>
  </w:num>
  <w:num w:numId="16">
    <w:abstractNumId w:val="7"/>
  </w:num>
  <w:num w:numId="17">
    <w:abstractNumId w:val="8"/>
  </w:num>
  <w:num w:numId="18">
    <w:abstractNumId w:val="34"/>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0"/>
  </w:num>
  <w:num w:numId="23">
    <w:abstractNumId w:val="36"/>
  </w:num>
  <w:num w:numId="24">
    <w:abstractNumId w:val="32"/>
  </w:num>
  <w:num w:numId="25">
    <w:abstractNumId w:val="18"/>
  </w:num>
  <w:num w:numId="26">
    <w:abstractNumId w:val="4"/>
  </w:num>
  <w:num w:numId="27">
    <w:abstractNumId w:val="23"/>
  </w:num>
  <w:num w:numId="28">
    <w:abstractNumId w:val="25"/>
  </w:num>
  <w:num w:numId="29">
    <w:abstractNumId w:val="12"/>
  </w:num>
  <w:num w:numId="30">
    <w:abstractNumId w:val="11"/>
  </w:num>
  <w:num w:numId="31">
    <w:abstractNumId w:val="9"/>
  </w:num>
  <w:num w:numId="32">
    <w:abstractNumId w:val="31"/>
  </w:num>
  <w:num w:numId="33">
    <w:abstractNumId w:val="17"/>
  </w:num>
  <w:num w:numId="34">
    <w:abstractNumId w:val="28"/>
  </w:num>
  <w:num w:numId="35">
    <w:abstractNumId w:val="1"/>
  </w:num>
  <w:num w:numId="36">
    <w:abstractNumId w:val="3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removePersonalInformation/>
  <w:removeDateAndTime/>
  <w:defaultTabStop w:val="720"/>
  <w:hyphenationZone w:val="425"/>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4D"/>
    <w:rsid w:val="00000823"/>
    <w:rsid w:val="000019EF"/>
    <w:rsid w:val="000105E2"/>
    <w:rsid w:val="00010D7D"/>
    <w:rsid w:val="000208BD"/>
    <w:rsid w:val="00027FA3"/>
    <w:rsid w:val="00037C0A"/>
    <w:rsid w:val="0004139E"/>
    <w:rsid w:val="00043872"/>
    <w:rsid w:val="00046E4E"/>
    <w:rsid w:val="000507B2"/>
    <w:rsid w:val="00052627"/>
    <w:rsid w:val="0006017B"/>
    <w:rsid w:val="00067A77"/>
    <w:rsid w:val="00076298"/>
    <w:rsid w:val="000823BF"/>
    <w:rsid w:val="00083B2B"/>
    <w:rsid w:val="000904D7"/>
    <w:rsid w:val="000A6167"/>
    <w:rsid w:val="000A638D"/>
    <w:rsid w:val="000B2B43"/>
    <w:rsid w:val="000B31A2"/>
    <w:rsid w:val="000C0F1A"/>
    <w:rsid w:val="000C2753"/>
    <w:rsid w:val="000C5C85"/>
    <w:rsid w:val="000D165B"/>
    <w:rsid w:val="000D6083"/>
    <w:rsid w:val="000E0AD2"/>
    <w:rsid w:val="000E2952"/>
    <w:rsid w:val="000E5EAF"/>
    <w:rsid w:val="000E7806"/>
    <w:rsid w:val="000F6E7A"/>
    <w:rsid w:val="00100048"/>
    <w:rsid w:val="001007D0"/>
    <w:rsid w:val="0010125B"/>
    <w:rsid w:val="0010319A"/>
    <w:rsid w:val="001031C8"/>
    <w:rsid w:val="00105A2A"/>
    <w:rsid w:val="00106B9F"/>
    <w:rsid w:val="00106CB6"/>
    <w:rsid w:val="001162CB"/>
    <w:rsid w:val="00121DC4"/>
    <w:rsid w:val="00124B0D"/>
    <w:rsid w:val="0012554E"/>
    <w:rsid w:val="00126AB7"/>
    <w:rsid w:val="001449D7"/>
    <w:rsid w:val="00146F6A"/>
    <w:rsid w:val="00147131"/>
    <w:rsid w:val="00147493"/>
    <w:rsid w:val="001504BB"/>
    <w:rsid w:val="0015686A"/>
    <w:rsid w:val="0016626B"/>
    <w:rsid w:val="001711D5"/>
    <w:rsid w:val="001759C1"/>
    <w:rsid w:val="001760BA"/>
    <w:rsid w:val="00176E57"/>
    <w:rsid w:val="0018434D"/>
    <w:rsid w:val="0019188A"/>
    <w:rsid w:val="00193311"/>
    <w:rsid w:val="00195BD5"/>
    <w:rsid w:val="001A1812"/>
    <w:rsid w:val="001B6B90"/>
    <w:rsid w:val="001B704C"/>
    <w:rsid w:val="001C115D"/>
    <w:rsid w:val="001E4A88"/>
    <w:rsid w:val="001E5A45"/>
    <w:rsid w:val="001F3FB0"/>
    <w:rsid w:val="001F657C"/>
    <w:rsid w:val="0020031E"/>
    <w:rsid w:val="002005E0"/>
    <w:rsid w:val="00201F26"/>
    <w:rsid w:val="00203E47"/>
    <w:rsid w:val="00206E92"/>
    <w:rsid w:val="00207922"/>
    <w:rsid w:val="00213ACF"/>
    <w:rsid w:val="002156DC"/>
    <w:rsid w:val="002160C0"/>
    <w:rsid w:val="00216A83"/>
    <w:rsid w:val="0022236E"/>
    <w:rsid w:val="00224EDC"/>
    <w:rsid w:val="00231AC2"/>
    <w:rsid w:val="00234C3B"/>
    <w:rsid w:val="00235297"/>
    <w:rsid w:val="0024645A"/>
    <w:rsid w:val="002465DA"/>
    <w:rsid w:val="0024773B"/>
    <w:rsid w:val="00256CEC"/>
    <w:rsid w:val="002667FA"/>
    <w:rsid w:val="00272E0C"/>
    <w:rsid w:val="00275418"/>
    <w:rsid w:val="002856E7"/>
    <w:rsid w:val="0028678F"/>
    <w:rsid w:val="00286D8C"/>
    <w:rsid w:val="00287012"/>
    <w:rsid w:val="00291089"/>
    <w:rsid w:val="0029224B"/>
    <w:rsid w:val="00295260"/>
    <w:rsid w:val="00296A3D"/>
    <w:rsid w:val="002A2901"/>
    <w:rsid w:val="002A462D"/>
    <w:rsid w:val="002A5153"/>
    <w:rsid w:val="002A67C8"/>
    <w:rsid w:val="002B12D9"/>
    <w:rsid w:val="002B2949"/>
    <w:rsid w:val="002C1DBB"/>
    <w:rsid w:val="002C4BCC"/>
    <w:rsid w:val="002D2200"/>
    <w:rsid w:val="002D2490"/>
    <w:rsid w:val="002D3A69"/>
    <w:rsid w:val="002E04B2"/>
    <w:rsid w:val="002E27BB"/>
    <w:rsid w:val="002E3D31"/>
    <w:rsid w:val="002E6370"/>
    <w:rsid w:val="002F0D2F"/>
    <w:rsid w:val="002F21C5"/>
    <w:rsid w:val="002F70F2"/>
    <w:rsid w:val="00303A21"/>
    <w:rsid w:val="00312310"/>
    <w:rsid w:val="00312EBC"/>
    <w:rsid w:val="003151FE"/>
    <w:rsid w:val="003250A4"/>
    <w:rsid w:val="003254B8"/>
    <w:rsid w:val="003272C4"/>
    <w:rsid w:val="00333622"/>
    <w:rsid w:val="00334B16"/>
    <w:rsid w:val="00336EA4"/>
    <w:rsid w:val="00340C47"/>
    <w:rsid w:val="003455B5"/>
    <w:rsid w:val="00350C0E"/>
    <w:rsid w:val="0035540A"/>
    <w:rsid w:val="003571CE"/>
    <w:rsid w:val="0036198E"/>
    <w:rsid w:val="003624D8"/>
    <w:rsid w:val="0036660E"/>
    <w:rsid w:val="0036721A"/>
    <w:rsid w:val="00367FC8"/>
    <w:rsid w:val="00371B8A"/>
    <w:rsid w:val="00372935"/>
    <w:rsid w:val="00381781"/>
    <w:rsid w:val="003820A6"/>
    <w:rsid w:val="00382204"/>
    <w:rsid w:val="003917D2"/>
    <w:rsid w:val="00391EDC"/>
    <w:rsid w:val="003936F0"/>
    <w:rsid w:val="003952B2"/>
    <w:rsid w:val="00397989"/>
    <w:rsid w:val="003A028B"/>
    <w:rsid w:val="003A4926"/>
    <w:rsid w:val="003A5479"/>
    <w:rsid w:val="003B7110"/>
    <w:rsid w:val="003C1898"/>
    <w:rsid w:val="003D4EAB"/>
    <w:rsid w:val="003D69FA"/>
    <w:rsid w:val="003D6CC4"/>
    <w:rsid w:val="003E24A8"/>
    <w:rsid w:val="003E2929"/>
    <w:rsid w:val="003E50B8"/>
    <w:rsid w:val="003F147F"/>
    <w:rsid w:val="003F37F4"/>
    <w:rsid w:val="003F610D"/>
    <w:rsid w:val="003F662D"/>
    <w:rsid w:val="004008D3"/>
    <w:rsid w:val="0040675A"/>
    <w:rsid w:val="00415300"/>
    <w:rsid w:val="00425E8C"/>
    <w:rsid w:val="004263F4"/>
    <w:rsid w:val="00430A46"/>
    <w:rsid w:val="004325E4"/>
    <w:rsid w:val="00436600"/>
    <w:rsid w:val="00437A45"/>
    <w:rsid w:val="00440C84"/>
    <w:rsid w:val="00445E2E"/>
    <w:rsid w:val="00446166"/>
    <w:rsid w:val="00456CA3"/>
    <w:rsid w:val="0046200E"/>
    <w:rsid w:val="00462967"/>
    <w:rsid w:val="00472178"/>
    <w:rsid w:val="004730A3"/>
    <w:rsid w:val="00473BA4"/>
    <w:rsid w:val="004810AB"/>
    <w:rsid w:val="00482AB4"/>
    <w:rsid w:val="00495DD0"/>
    <w:rsid w:val="004A1C31"/>
    <w:rsid w:val="004A2B1F"/>
    <w:rsid w:val="004A2FFF"/>
    <w:rsid w:val="004A3824"/>
    <w:rsid w:val="004A40CF"/>
    <w:rsid w:val="004A6837"/>
    <w:rsid w:val="004A77BF"/>
    <w:rsid w:val="004B145C"/>
    <w:rsid w:val="004B59C9"/>
    <w:rsid w:val="004B62C5"/>
    <w:rsid w:val="004B68E4"/>
    <w:rsid w:val="004B6B23"/>
    <w:rsid w:val="004C0A9B"/>
    <w:rsid w:val="004C11A7"/>
    <w:rsid w:val="004C2966"/>
    <w:rsid w:val="004C2F2A"/>
    <w:rsid w:val="004C4E4B"/>
    <w:rsid w:val="004C50B2"/>
    <w:rsid w:val="004C5894"/>
    <w:rsid w:val="004D10AA"/>
    <w:rsid w:val="004E4B65"/>
    <w:rsid w:val="004E611E"/>
    <w:rsid w:val="004F3114"/>
    <w:rsid w:val="004F420F"/>
    <w:rsid w:val="004F596A"/>
    <w:rsid w:val="00501FA9"/>
    <w:rsid w:val="0050243B"/>
    <w:rsid w:val="00503E3B"/>
    <w:rsid w:val="0050413C"/>
    <w:rsid w:val="00505EAB"/>
    <w:rsid w:val="005061CE"/>
    <w:rsid w:val="00512C07"/>
    <w:rsid w:val="005138D8"/>
    <w:rsid w:val="005157B7"/>
    <w:rsid w:val="0052132E"/>
    <w:rsid w:val="00521FE0"/>
    <w:rsid w:val="00522ECF"/>
    <w:rsid w:val="005401D5"/>
    <w:rsid w:val="005409CB"/>
    <w:rsid w:val="005421DC"/>
    <w:rsid w:val="0056079A"/>
    <w:rsid w:val="005622BE"/>
    <w:rsid w:val="00562570"/>
    <w:rsid w:val="00566512"/>
    <w:rsid w:val="00572FE6"/>
    <w:rsid w:val="005803F5"/>
    <w:rsid w:val="0058117D"/>
    <w:rsid w:val="005818F5"/>
    <w:rsid w:val="00581FA1"/>
    <w:rsid w:val="00582E14"/>
    <w:rsid w:val="00584DDA"/>
    <w:rsid w:val="00591815"/>
    <w:rsid w:val="005928CC"/>
    <w:rsid w:val="00594FE3"/>
    <w:rsid w:val="00596B9C"/>
    <w:rsid w:val="005A5360"/>
    <w:rsid w:val="005B2B05"/>
    <w:rsid w:val="005B5263"/>
    <w:rsid w:val="005B616A"/>
    <w:rsid w:val="005B7CC1"/>
    <w:rsid w:val="005C6777"/>
    <w:rsid w:val="005D3B59"/>
    <w:rsid w:val="005D685A"/>
    <w:rsid w:val="005E4A6F"/>
    <w:rsid w:val="005E7475"/>
    <w:rsid w:val="005F06F5"/>
    <w:rsid w:val="005F2936"/>
    <w:rsid w:val="005F2ADA"/>
    <w:rsid w:val="005F3DF9"/>
    <w:rsid w:val="005F74CB"/>
    <w:rsid w:val="00601491"/>
    <w:rsid w:val="006029C3"/>
    <w:rsid w:val="006122B6"/>
    <w:rsid w:val="006147F5"/>
    <w:rsid w:val="00625F2C"/>
    <w:rsid w:val="006301C7"/>
    <w:rsid w:val="00630EF3"/>
    <w:rsid w:val="00634AB3"/>
    <w:rsid w:val="00635858"/>
    <w:rsid w:val="00641554"/>
    <w:rsid w:val="00642C61"/>
    <w:rsid w:val="006455C0"/>
    <w:rsid w:val="00667323"/>
    <w:rsid w:val="00667A6C"/>
    <w:rsid w:val="00674765"/>
    <w:rsid w:val="00676015"/>
    <w:rsid w:val="0067651C"/>
    <w:rsid w:val="00680A50"/>
    <w:rsid w:val="00680BC6"/>
    <w:rsid w:val="00687F7B"/>
    <w:rsid w:val="006911D6"/>
    <w:rsid w:val="00693302"/>
    <w:rsid w:val="006944C9"/>
    <w:rsid w:val="0069494F"/>
    <w:rsid w:val="00697C56"/>
    <w:rsid w:val="006A1B27"/>
    <w:rsid w:val="006C5092"/>
    <w:rsid w:val="006C671E"/>
    <w:rsid w:val="006C79DE"/>
    <w:rsid w:val="006D5934"/>
    <w:rsid w:val="006F20E2"/>
    <w:rsid w:val="006F3B19"/>
    <w:rsid w:val="0071068F"/>
    <w:rsid w:val="00720F39"/>
    <w:rsid w:val="00722265"/>
    <w:rsid w:val="00724120"/>
    <w:rsid w:val="00733832"/>
    <w:rsid w:val="00741BD5"/>
    <w:rsid w:val="0074203F"/>
    <w:rsid w:val="007548AC"/>
    <w:rsid w:val="007548C2"/>
    <w:rsid w:val="00760CAE"/>
    <w:rsid w:val="00776D45"/>
    <w:rsid w:val="007807D5"/>
    <w:rsid w:val="00784362"/>
    <w:rsid w:val="00787F4C"/>
    <w:rsid w:val="00795EEB"/>
    <w:rsid w:val="00797031"/>
    <w:rsid w:val="007A0AE0"/>
    <w:rsid w:val="007A1626"/>
    <w:rsid w:val="007A47DB"/>
    <w:rsid w:val="007A5299"/>
    <w:rsid w:val="007A770E"/>
    <w:rsid w:val="007B15E0"/>
    <w:rsid w:val="007B55D6"/>
    <w:rsid w:val="007B799F"/>
    <w:rsid w:val="007C2F3E"/>
    <w:rsid w:val="007C3277"/>
    <w:rsid w:val="007C386D"/>
    <w:rsid w:val="007C585C"/>
    <w:rsid w:val="007D1739"/>
    <w:rsid w:val="007D2FC4"/>
    <w:rsid w:val="007D328D"/>
    <w:rsid w:val="007D430D"/>
    <w:rsid w:val="007D57AB"/>
    <w:rsid w:val="007D64D4"/>
    <w:rsid w:val="007E2255"/>
    <w:rsid w:val="007E2EC7"/>
    <w:rsid w:val="007F0933"/>
    <w:rsid w:val="007F17EE"/>
    <w:rsid w:val="007F1FD1"/>
    <w:rsid w:val="007F670C"/>
    <w:rsid w:val="008047F4"/>
    <w:rsid w:val="00804B35"/>
    <w:rsid w:val="00804D77"/>
    <w:rsid w:val="00806DE7"/>
    <w:rsid w:val="008109AC"/>
    <w:rsid w:val="00815E11"/>
    <w:rsid w:val="00816180"/>
    <w:rsid w:val="008165C2"/>
    <w:rsid w:val="0082033D"/>
    <w:rsid w:val="00820DE5"/>
    <w:rsid w:val="00826847"/>
    <w:rsid w:val="00826DF1"/>
    <w:rsid w:val="00834F4C"/>
    <w:rsid w:val="00835E9E"/>
    <w:rsid w:val="00842302"/>
    <w:rsid w:val="00845F3F"/>
    <w:rsid w:val="00851133"/>
    <w:rsid w:val="00854261"/>
    <w:rsid w:val="008549E5"/>
    <w:rsid w:val="00857090"/>
    <w:rsid w:val="0086023A"/>
    <w:rsid w:val="00861148"/>
    <w:rsid w:val="00862C26"/>
    <w:rsid w:val="00864126"/>
    <w:rsid w:val="008644BF"/>
    <w:rsid w:val="008665E5"/>
    <w:rsid w:val="00870135"/>
    <w:rsid w:val="008731F6"/>
    <w:rsid w:val="0087629A"/>
    <w:rsid w:val="00884ECA"/>
    <w:rsid w:val="008901E8"/>
    <w:rsid w:val="00892918"/>
    <w:rsid w:val="008A3C4E"/>
    <w:rsid w:val="008A688C"/>
    <w:rsid w:val="008C255B"/>
    <w:rsid w:val="008C4A04"/>
    <w:rsid w:val="008C51C1"/>
    <w:rsid w:val="008C6F28"/>
    <w:rsid w:val="008D0BF2"/>
    <w:rsid w:val="008D7730"/>
    <w:rsid w:val="008D78CE"/>
    <w:rsid w:val="008E180A"/>
    <w:rsid w:val="008E27AC"/>
    <w:rsid w:val="008E5D4A"/>
    <w:rsid w:val="008E6708"/>
    <w:rsid w:val="008F159D"/>
    <w:rsid w:val="008F2CC9"/>
    <w:rsid w:val="008F2D61"/>
    <w:rsid w:val="009065FE"/>
    <w:rsid w:val="00921B1E"/>
    <w:rsid w:val="00922B34"/>
    <w:rsid w:val="00923135"/>
    <w:rsid w:val="009237C0"/>
    <w:rsid w:val="00926A24"/>
    <w:rsid w:val="00930EA7"/>
    <w:rsid w:val="00931BFE"/>
    <w:rsid w:val="0093273A"/>
    <w:rsid w:val="00960A4E"/>
    <w:rsid w:val="009714CF"/>
    <w:rsid w:val="00986C78"/>
    <w:rsid w:val="00987E5E"/>
    <w:rsid w:val="00990B8B"/>
    <w:rsid w:val="009969F9"/>
    <w:rsid w:val="009A1813"/>
    <w:rsid w:val="009A1CD5"/>
    <w:rsid w:val="009A2EED"/>
    <w:rsid w:val="009A3E21"/>
    <w:rsid w:val="009A52D6"/>
    <w:rsid w:val="009A7096"/>
    <w:rsid w:val="009A76A1"/>
    <w:rsid w:val="009B26FF"/>
    <w:rsid w:val="009B3229"/>
    <w:rsid w:val="009B4B7E"/>
    <w:rsid w:val="009C0B79"/>
    <w:rsid w:val="009C6916"/>
    <w:rsid w:val="009D3368"/>
    <w:rsid w:val="009D5642"/>
    <w:rsid w:val="009F3C88"/>
    <w:rsid w:val="009F6A4D"/>
    <w:rsid w:val="00A13B14"/>
    <w:rsid w:val="00A26C13"/>
    <w:rsid w:val="00A27FC1"/>
    <w:rsid w:val="00A34B32"/>
    <w:rsid w:val="00A37F5B"/>
    <w:rsid w:val="00A42227"/>
    <w:rsid w:val="00A47974"/>
    <w:rsid w:val="00A5135C"/>
    <w:rsid w:val="00A5393E"/>
    <w:rsid w:val="00A53DAF"/>
    <w:rsid w:val="00A5445D"/>
    <w:rsid w:val="00A5562F"/>
    <w:rsid w:val="00A55ED9"/>
    <w:rsid w:val="00A61F2B"/>
    <w:rsid w:val="00A62A5F"/>
    <w:rsid w:val="00A64837"/>
    <w:rsid w:val="00A66701"/>
    <w:rsid w:val="00A700F0"/>
    <w:rsid w:val="00A71D06"/>
    <w:rsid w:val="00A73955"/>
    <w:rsid w:val="00A91FC4"/>
    <w:rsid w:val="00A925FB"/>
    <w:rsid w:val="00A94C21"/>
    <w:rsid w:val="00A94D10"/>
    <w:rsid w:val="00A95F39"/>
    <w:rsid w:val="00AA0913"/>
    <w:rsid w:val="00AA17F8"/>
    <w:rsid w:val="00AA663F"/>
    <w:rsid w:val="00AB2989"/>
    <w:rsid w:val="00AB6CAA"/>
    <w:rsid w:val="00AB6EBB"/>
    <w:rsid w:val="00AD1ABD"/>
    <w:rsid w:val="00AD272A"/>
    <w:rsid w:val="00AD42A5"/>
    <w:rsid w:val="00AE10CA"/>
    <w:rsid w:val="00AE21D8"/>
    <w:rsid w:val="00AE48FD"/>
    <w:rsid w:val="00AE6FFD"/>
    <w:rsid w:val="00AE7D71"/>
    <w:rsid w:val="00AF141E"/>
    <w:rsid w:val="00AF279F"/>
    <w:rsid w:val="00AF4359"/>
    <w:rsid w:val="00AF6CBF"/>
    <w:rsid w:val="00B033FC"/>
    <w:rsid w:val="00B03E7E"/>
    <w:rsid w:val="00B12168"/>
    <w:rsid w:val="00B144E0"/>
    <w:rsid w:val="00B243FC"/>
    <w:rsid w:val="00B26E4A"/>
    <w:rsid w:val="00B318B5"/>
    <w:rsid w:val="00B36444"/>
    <w:rsid w:val="00B4725D"/>
    <w:rsid w:val="00B53870"/>
    <w:rsid w:val="00B54D15"/>
    <w:rsid w:val="00B579B7"/>
    <w:rsid w:val="00B60EE3"/>
    <w:rsid w:val="00B719E1"/>
    <w:rsid w:val="00B71FE1"/>
    <w:rsid w:val="00B72A88"/>
    <w:rsid w:val="00B80B96"/>
    <w:rsid w:val="00B81C34"/>
    <w:rsid w:val="00B83598"/>
    <w:rsid w:val="00B83B41"/>
    <w:rsid w:val="00B84AF5"/>
    <w:rsid w:val="00B92BD9"/>
    <w:rsid w:val="00B92C84"/>
    <w:rsid w:val="00B92C94"/>
    <w:rsid w:val="00B97925"/>
    <w:rsid w:val="00BA2F04"/>
    <w:rsid w:val="00BA3967"/>
    <w:rsid w:val="00BA4BE2"/>
    <w:rsid w:val="00BA66A7"/>
    <w:rsid w:val="00BB56C4"/>
    <w:rsid w:val="00BE199A"/>
    <w:rsid w:val="00BE3DC4"/>
    <w:rsid w:val="00BF33E4"/>
    <w:rsid w:val="00BF4335"/>
    <w:rsid w:val="00BF4AB2"/>
    <w:rsid w:val="00BF4B42"/>
    <w:rsid w:val="00C12A43"/>
    <w:rsid w:val="00C1461A"/>
    <w:rsid w:val="00C20670"/>
    <w:rsid w:val="00C2616D"/>
    <w:rsid w:val="00C267BD"/>
    <w:rsid w:val="00C26AD3"/>
    <w:rsid w:val="00C30742"/>
    <w:rsid w:val="00C308AF"/>
    <w:rsid w:val="00C33871"/>
    <w:rsid w:val="00C4012C"/>
    <w:rsid w:val="00C41B14"/>
    <w:rsid w:val="00C463A7"/>
    <w:rsid w:val="00C53C46"/>
    <w:rsid w:val="00C53D0B"/>
    <w:rsid w:val="00C615C8"/>
    <w:rsid w:val="00C7206E"/>
    <w:rsid w:val="00C80CF4"/>
    <w:rsid w:val="00C81120"/>
    <w:rsid w:val="00C83785"/>
    <w:rsid w:val="00C86186"/>
    <w:rsid w:val="00C86B20"/>
    <w:rsid w:val="00C900AD"/>
    <w:rsid w:val="00C92A76"/>
    <w:rsid w:val="00C949DC"/>
    <w:rsid w:val="00CA4AEC"/>
    <w:rsid w:val="00CA4DB8"/>
    <w:rsid w:val="00CB16D1"/>
    <w:rsid w:val="00CB20FB"/>
    <w:rsid w:val="00CB49F9"/>
    <w:rsid w:val="00CC430B"/>
    <w:rsid w:val="00CC785D"/>
    <w:rsid w:val="00CE5C6C"/>
    <w:rsid w:val="00CF006C"/>
    <w:rsid w:val="00CF16DA"/>
    <w:rsid w:val="00CF3F6E"/>
    <w:rsid w:val="00CF53A7"/>
    <w:rsid w:val="00D043F4"/>
    <w:rsid w:val="00D12042"/>
    <w:rsid w:val="00D15DFF"/>
    <w:rsid w:val="00D17F89"/>
    <w:rsid w:val="00D23070"/>
    <w:rsid w:val="00D26E78"/>
    <w:rsid w:val="00D34E24"/>
    <w:rsid w:val="00D37232"/>
    <w:rsid w:val="00D4044A"/>
    <w:rsid w:val="00D43714"/>
    <w:rsid w:val="00D450DF"/>
    <w:rsid w:val="00D52122"/>
    <w:rsid w:val="00D53326"/>
    <w:rsid w:val="00D6160A"/>
    <w:rsid w:val="00D63D9B"/>
    <w:rsid w:val="00D659F6"/>
    <w:rsid w:val="00D66116"/>
    <w:rsid w:val="00D66A72"/>
    <w:rsid w:val="00D67D9E"/>
    <w:rsid w:val="00D74F83"/>
    <w:rsid w:val="00D774B5"/>
    <w:rsid w:val="00D81358"/>
    <w:rsid w:val="00D85897"/>
    <w:rsid w:val="00D93ED3"/>
    <w:rsid w:val="00D9422C"/>
    <w:rsid w:val="00D96B19"/>
    <w:rsid w:val="00DA03BE"/>
    <w:rsid w:val="00DA2F5E"/>
    <w:rsid w:val="00DA62E7"/>
    <w:rsid w:val="00DB0B5E"/>
    <w:rsid w:val="00DB32DA"/>
    <w:rsid w:val="00DC158A"/>
    <w:rsid w:val="00DD300D"/>
    <w:rsid w:val="00DD4DA7"/>
    <w:rsid w:val="00DE7161"/>
    <w:rsid w:val="00DF1A74"/>
    <w:rsid w:val="00E00878"/>
    <w:rsid w:val="00E020CD"/>
    <w:rsid w:val="00E148F4"/>
    <w:rsid w:val="00E15564"/>
    <w:rsid w:val="00E17DF8"/>
    <w:rsid w:val="00E4040B"/>
    <w:rsid w:val="00E42F47"/>
    <w:rsid w:val="00E45179"/>
    <w:rsid w:val="00E50854"/>
    <w:rsid w:val="00E52DC5"/>
    <w:rsid w:val="00E53385"/>
    <w:rsid w:val="00E65905"/>
    <w:rsid w:val="00E66D9E"/>
    <w:rsid w:val="00E6768C"/>
    <w:rsid w:val="00E72C34"/>
    <w:rsid w:val="00E734F6"/>
    <w:rsid w:val="00E75A18"/>
    <w:rsid w:val="00E82269"/>
    <w:rsid w:val="00E84061"/>
    <w:rsid w:val="00E84FD4"/>
    <w:rsid w:val="00E87E69"/>
    <w:rsid w:val="00E91610"/>
    <w:rsid w:val="00E93362"/>
    <w:rsid w:val="00EB41A5"/>
    <w:rsid w:val="00EB41B7"/>
    <w:rsid w:val="00EB4AD8"/>
    <w:rsid w:val="00EB54F1"/>
    <w:rsid w:val="00EC3771"/>
    <w:rsid w:val="00EC3E5A"/>
    <w:rsid w:val="00EC41AF"/>
    <w:rsid w:val="00EC4841"/>
    <w:rsid w:val="00EC5776"/>
    <w:rsid w:val="00EC60BF"/>
    <w:rsid w:val="00ED62D4"/>
    <w:rsid w:val="00EE21AB"/>
    <w:rsid w:val="00EE23F9"/>
    <w:rsid w:val="00EE4AEF"/>
    <w:rsid w:val="00EE5B84"/>
    <w:rsid w:val="00EF2DAE"/>
    <w:rsid w:val="00EF3561"/>
    <w:rsid w:val="00EF3FA6"/>
    <w:rsid w:val="00F0148B"/>
    <w:rsid w:val="00F050B7"/>
    <w:rsid w:val="00F116A1"/>
    <w:rsid w:val="00F12373"/>
    <w:rsid w:val="00F13E7F"/>
    <w:rsid w:val="00F147EF"/>
    <w:rsid w:val="00F1793E"/>
    <w:rsid w:val="00F2573C"/>
    <w:rsid w:val="00F257E6"/>
    <w:rsid w:val="00F26A78"/>
    <w:rsid w:val="00F30856"/>
    <w:rsid w:val="00F34314"/>
    <w:rsid w:val="00F346C3"/>
    <w:rsid w:val="00F50E9E"/>
    <w:rsid w:val="00F513ED"/>
    <w:rsid w:val="00F546B4"/>
    <w:rsid w:val="00F57722"/>
    <w:rsid w:val="00F63941"/>
    <w:rsid w:val="00F63E95"/>
    <w:rsid w:val="00F64B77"/>
    <w:rsid w:val="00F7089E"/>
    <w:rsid w:val="00F71E59"/>
    <w:rsid w:val="00F808D4"/>
    <w:rsid w:val="00F87A53"/>
    <w:rsid w:val="00F91D0F"/>
    <w:rsid w:val="00F94168"/>
    <w:rsid w:val="00F94826"/>
    <w:rsid w:val="00F9704A"/>
    <w:rsid w:val="00FA222D"/>
    <w:rsid w:val="00FA2231"/>
    <w:rsid w:val="00FA26F0"/>
    <w:rsid w:val="00FA321C"/>
    <w:rsid w:val="00FA471F"/>
    <w:rsid w:val="00FB0E4F"/>
    <w:rsid w:val="00FB2A45"/>
    <w:rsid w:val="00FC447B"/>
    <w:rsid w:val="00FC78AE"/>
    <w:rsid w:val="00FE29D4"/>
    <w:rsid w:val="00FE30AB"/>
    <w:rsid w:val="00FE4B5B"/>
    <w:rsid w:val="00FE5F33"/>
    <w:rsid w:val="00FF71E2"/>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7"/>
    <o:shapelayout v:ext="edit">
      <o:idmap v:ext="edit" data="1"/>
    </o:shapelayout>
  </w:shapeDefaults>
  <w:decimalSymbol w:val="."/>
  <w:listSeparator w:val=","/>
  <w14:docId w14:val="7559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7B15E0"/>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7B15E0"/>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7B15E0"/>
    <w:rPr>
      <w:vertAlign w:val="superscript"/>
    </w:rPr>
  </w:style>
  <w:style w:type="paragraph" w:customStyle="1" w:styleId="Appelnotedebasde">
    <w:name w:val="Appel note de bas de..."/>
    <w:basedOn w:val="Normal"/>
    <w:link w:val="FootnoteReference"/>
    <w:rsid w:val="007B15E0"/>
    <w:pPr>
      <w:spacing w:line="240" w:lineRule="exact"/>
    </w:pPr>
    <w:rPr>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7B15E0"/>
    <w:pPr>
      <w:spacing w:after="200" w:line="276" w:lineRule="auto"/>
      <w:ind w:left="720"/>
      <w:contextualSpacing/>
    </w:pPr>
    <w:rPr>
      <w:rFonts w:ascii="Calibri" w:eastAsia="Calibri" w:hAnsi="Calibri" w:cs="Times New Roman"/>
    </w:rPr>
  </w:style>
  <w:style w:type="paragraph" w:styleId="BodyTextIndent2">
    <w:name w:val="Body Text Indent 2"/>
    <w:basedOn w:val="Normal"/>
    <w:link w:val="BodyTextIndent2Char"/>
    <w:uiPriority w:val="99"/>
    <w:semiHidden/>
    <w:unhideWhenUsed/>
    <w:rsid w:val="007B1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B15E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5E0"/>
    <w:rPr>
      <w:color w:val="0563C1" w:themeColor="hyperlink"/>
      <w:u w:val="single"/>
    </w:rPr>
  </w:style>
  <w:style w:type="character" w:styleId="FollowedHyperlink">
    <w:name w:val="FollowedHyperlink"/>
    <w:basedOn w:val="DefaultParagraphFont"/>
    <w:uiPriority w:val="99"/>
    <w:semiHidden/>
    <w:unhideWhenUsed/>
    <w:rsid w:val="000E5EAF"/>
    <w:rPr>
      <w:color w:val="954F72" w:themeColor="followedHyperlink"/>
      <w:u w:val="single"/>
    </w:rPr>
  </w:style>
  <w:style w:type="paragraph" w:styleId="Header">
    <w:name w:val="header"/>
    <w:basedOn w:val="Normal"/>
    <w:link w:val="HeaderChar"/>
    <w:uiPriority w:val="99"/>
    <w:unhideWhenUsed/>
    <w:rsid w:val="00D63D9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63D9B"/>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144E0"/>
    <w:rPr>
      <w:rFonts w:ascii="Calibri" w:eastAsia="Calibri" w:hAnsi="Calibri" w:cs="Times New Roman"/>
    </w:rPr>
  </w:style>
  <w:style w:type="paragraph" w:customStyle="1" w:styleId="Default">
    <w:name w:val="Default"/>
    <w:rsid w:val="00B144E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A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BF"/>
    <w:rPr>
      <w:rFonts w:ascii="Segoe UI" w:hAnsi="Segoe UI" w:cs="Segoe UI"/>
      <w:sz w:val="18"/>
      <w:szCs w:val="18"/>
    </w:rPr>
  </w:style>
  <w:style w:type="character" w:styleId="CommentReference">
    <w:name w:val="annotation reference"/>
    <w:basedOn w:val="DefaultParagraphFont"/>
    <w:uiPriority w:val="99"/>
    <w:semiHidden/>
    <w:unhideWhenUsed/>
    <w:rsid w:val="002D3A69"/>
    <w:rPr>
      <w:sz w:val="16"/>
      <w:szCs w:val="16"/>
    </w:rPr>
  </w:style>
  <w:style w:type="paragraph" w:styleId="CommentText">
    <w:name w:val="annotation text"/>
    <w:basedOn w:val="Normal"/>
    <w:link w:val="CommentTextChar"/>
    <w:uiPriority w:val="99"/>
    <w:semiHidden/>
    <w:unhideWhenUsed/>
    <w:rsid w:val="002D3A69"/>
    <w:pPr>
      <w:spacing w:line="240" w:lineRule="auto"/>
    </w:pPr>
    <w:rPr>
      <w:sz w:val="20"/>
      <w:szCs w:val="20"/>
    </w:rPr>
  </w:style>
  <w:style w:type="character" w:customStyle="1" w:styleId="CommentTextChar">
    <w:name w:val="Comment Text Char"/>
    <w:basedOn w:val="DefaultParagraphFont"/>
    <w:link w:val="CommentText"/>
    <w:uiPriority w:val="99"/>
    <w:semiHidden/>
    <w:rsid w:val="002D3A69"/>
    <w:rPr>
      <w:sz w:val="20"/>
      <w:szCs w:val="20"/>
    </w:rPr>
  </w:style>
  <w:style w:type="paragraph" w:styleId="CommentSubject">
    <w:name w:val="annotation subject"/>
    <w:basedOn w:val="CommentText"/>
    <w:next w:val="CommentText"/>
    <w:link w:val="CommentSubjectChar"/>
    <w:uiPriority w:val="99"/>
    <w:semiHidden/>
    <w:unhideWhenUsed/>
    <w:rsid w:val="002D3A69"/>
    <w:rPr>
      <w:b/>
      <w:bCs/>
    </w:rPr>
  </w:style>
  <w:style w:type="character" w:customStyle="1" w:styleId="CommentSubjectChar">
    <w:name w:val="Comment Subject Char"/>
    <w:basedOn w:val="CommentTextChar"/>
    <w:link w:val="CommentSubject"/>
    <w:uiPriority w:val="99"/>
    <w:semiHidden/>
    <w:rsid w:val="002D3A69"/>
    <w:rPr>
      <w:b/>
      <w:bCs/>
      <w:sz w:val="20"/>
      <w:szCs w:val="20"/>
    </w:rPr>
  </w:style>
  <w:style w:type="paragraph" w:styleId="Footer">
    <w:name w:val="footer"/>
    <w:basedOn w:val="Normal"/>
    <w:link w:val="FooterChar"/>
    <w:uiPriority w:val="99"/>
    <w:unhideWhenUsed/>
    <w:rsid w:val="0059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E3"/>
  </w:style>
  <w:style w:type="paragraph" w:styleId="NoSpacing">
    <w:name w:val="No Spacing"/>
    <w:uiPriority w:val="1"/>
    <w:qFormat/>
    <w:rsid w:val="005622BE"/>
    <w:pPr>
      <w:spacing w:after="0" w:line="240" w:lineRule="auto"/>
    </w:pPr>
    <w:rPr>
      <w:rFonts w:ascii="Calibri" w:eastAsia="Calibri" w:hAnsi="Calibri" w:cs="Times New Roman"/>
      <w:lang w:val="pt-BR"/>
    </w:rPr>
  </w:style>
  <w:style w:type="paragraph" w:styleId="BodyTextIndent">
    <w:name w:val="Body Text Indent"/>
    <w:basedOn w:val="Normal"/>
    <w:link w:val="BodyTextIndentChar"/>
    <w:uiPriority w:val="99"/>
    <w:semiHidden/>
    <w:unhideWhenUsed/>
    <w:rsid w:val="00371B8A"/>
    <w:pPr>
      <w:spacing w:after="120"/>
      <w:ind w:left="360"/>
    </w:pPr>
  </w:style>
  <w:style w:type="character" w:customStyle="1" w:styleId="BodyTextIndentChar">
    <w:name w:val="Body Text Indent Char"/>
    <w:basedOn w:val="DefaultParagraphFont"/>
    <w:link w:val="BodyTextIndent"/>
    <w:uiPriority w:val="99"/>
    <w:semiHidden/>
    <w:rsid w:val="00371B8A"/>
  </w:style>
  <w:style w:type="paragraph" w:styleId="EndnoteText">
    <w:name w:val="endnote text"/>
    <w:basedOn w:val="Normal"/>
    <w:link w:val="EndnoteTextChar"/>
    <w:semiHidden/>
    <w:rsid w:val="00371B8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EndnoteTextChar">
    <w:name w:val="Endnote Text Char"/>
    <w:basedOn w:val="DefaultParagraphFont"/>
    <w:link w:val="EndnoteText"/>
    <w:semiHidden/>
    <w:rsid w:val="00371B8A"/>
    <w:rPr>
      <w:rFonts w:ascii="Times New Roman" w:eastAsia="Times New Roman" w:hAnsi="Times New Roman" w:cs="Times New Roman"/>
      <w:sz w:val="24"/>
      <w:szCs w:val="24"/>
      <w:lang w:val="pt-BR" w:eastAsia="pt-BR"/>
    </w:rPr>
  </w:style>
  <w:style w:type="paragraph" w:styleId="BodyText2">
    <w:name w:val="Body Text 2"/>
    <w:basedOn w:val="Normal"/>
    <w:link w:val="BodyText2Char"/>
    <w:uiPriority w:val="99"/>
    <w:semiHidden/>
    <w:unhideWhenUsed/>
    <w:rsid w:val="00371B8A"/>
    <w:pPr>
      <w:spacing w:after="120" w:line="480" w:lineRule="auto"/>
    </w:pPr>
  </w:style>
  <w:style w:type="character" w:customStyle="1" w:styleId="BodyText2Char">
    <w:name w:val="Body Text 2 Char"/>
    <w:basedOn w:val="DefaultParagraphFont"/>
    <w:link w:val="BodyText2"/>
    <w:uiPriority w:val="99"/>
    <w:semiHidden/>
    <w:rsid w:val="0037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31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8sp/Colombia12.448.sp.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dh.oas.org/annualrep/2009sp/cap.3d.09.sp.htm" TargetMode="External"/><Relationship Id="rId4" Type="http://schemas.openxmlformats.org/officeDocument/2006/relationships/settings" Target="settings.xml"/><Relationship Id="rId9" Type="http://schemas.openxmlformats.org/officeDocument/2006/relationships/hyperlink" Target="http://www.cidh.oas.org/annualrep/2004sp/Colombia.4391.02.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idh.oas.org/annualrep/2009sp/cap.3d.09.sp.htm" TargetMode="External"/><Relationship Id="rId2" Type="http://schemas.openxmlformats.org/officeDocument/2006/relationships/hyperlink" Target="http://www.cidh.oas.org/annualrep/2009sp/cap.3d.09.sp.htm" TargetMode="External"/><Relationship Id="rId1" Type="http://schemas.openxmlformats.org/officeDocument/2006/relationships/hyperlink" Target="http://www.cidh.oas.org/annualrep/2009sp/cap.3d.09.sp.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6283B-10D0-41E9-A6A5-03D109E8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2019-03-20T16:55:00Z</dcterms:created>
  <dcterms:modified xsi:type="dcterms:W3CDTF">2019-07-30T16:28:00Z</dcterms:modified>
</cp:coreProperties>
</file>