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208FD" w14:textId="77777777" w:rsidR="00BB56C4" w:rsidRPr="00102AFB" w:rsidRDefault="009969F9" w:rsidP="00BB56C4">
      <w:pPr>
        <w:pStyle w:val="Header"/>
        <w:jc w:val="center"/>
        <w:rPr>
          <w:rFonts w:ascii="Cambria" w:hAnsi="Cambria"/>
          <w:sz w:val="20"/>
          <w:szCs w:val="20"/>
          <w:lang w:val="es-ES"/>
        </w:rPr>
      </w:pPr>
      <w:r w:rsidRPr="00102AFB">
        <w:rPr>
          <w:rFonts w:ascii="Cambria" w:hAnsi="Cambria"/>
          <w:b/>
          <w:sz w:val="20"/>
          <w:szCs w:val="20"/>
          <w:lang w:val="es-ES"/>
        </w:rPr>
        <w:t>FICHA DE SEGUIMIENTO DEL INFORME Nº</w:t>
      </w:r>
      <w:r w:rsidR="00720F39" w:rsidRPr="00102AFB">
        <w:rPr>
          <w:rFonts w:ascii="Cambria" w:hAnsi="Cambria"/>
          <w:b/>
          <w:sz w:val="20"/>
          <w:szCs w:val="20"/>
          <w:lang w:val="es-ES"/>
        </w:rPr>
        <w:t xml:space="preserve"> 43/08</w:t>
      </w:r>
    </w:p>
    <w:p w14:paraId="705FA84D" w14:textId="77777777" w:rsidR="00BB56C4" w:rsidRPr="00102AFB" w:rsidRDefault="002E3D31" w:rsidP="00BB56C4">
      <w:pPr>
        <w:spacing w:after="0" w:line="240" w:lineRule="auto"/>
        <w:jc w:val="center"/>
        <w:rPr>
          <w:rFonts w:ascii="Cambria" w:hAnsi="Cambria"/>
          <w:b/>
          <w:sz w:val="20"/>
          <w:szCs w:val="20"/>
          <w:lang w:val="es-ES"/>
        </w:rPr>
      </w:pPr>
      <w:r w:rsidRPr="00102AFB">
        <w:rPr>
          <w:rFonts w:ascii="Cambria" w:hAnsi="Cambria"/>
          <w:b/>
          <w:sz w:val="20"/>
          <w:szCs w:val="20"/>
          <w:lang w:val="es-ES"/>
        </w:rPr>
        <w:t>CASO</w:t>
      </w:r>
      <w:r w:rsidR="00720F39" w:rsidRPr="00102AFB">
        <w:rPr>
          <w:rFonts w:ascii="Cambria" w:hAnsi="Cambria"/>
          <w:b/>
          <w:sz w:val="20"/>
          <w:szCs w:val="20"/>
          <w:lang w:val="es-ES"/>
        </w:rPr>
        <w:t xml:space="preserve"> 12.009</w:t>
      </w:r>
    </w:p>
    <w:p w14:paraId="20C87C60" w14:textId="77777777" w:rsidR="00BB56C4" w:rsidRPr="00102AFB" w:rsidRDefault="00720F39" w:rsidP="00BB56C4">
      <w:pPr>
        <w:spacing w:after="0" w:line="240" w:lineRule="auto"/>
        <w:jc w:val="center"/>
        <w:rPr>
          <w:rFonts w:ascii="Cambria" w:hAnsi="Cambria"/>
          <w:b/>
          <w:sz w:val="20"/>
          <w:szCs w:val="20"/>
          <w:lang w:val="es-ES"/>
        </w:rPr>
      </w:pPr>
      <w:r w:rsidRPr="00102AFB">
        <w:rPr>
          <w:rFonts w:ascii="Cambria" w:hAnsi="Cambria"/>
          <w:b/>
          <w:sz w:val="20"/>
          <w:szCs w:val="20"/>
          <w:lang w:val="es-ES"/>
        </w:rPr>
        <w:t>LEYDI DAYÁN SÁNCHEZ</w:t>
      </w:r>
    </w:p>
    <w:p w14:paraId="46581FA7" w14:textId="77777777" w:rsidR="00BB56C4" w:rsidRPr="00102AFB" w:rsidRDefault="00BB56C4" w:rsidP="00BB56C4">
      <w:pPr>
        <w:spacing w:after="0" w:line="240" w:lineRule="auto"/>
        <w:jc w:val="center"/>
        <w:rPr>
          <w:rFonts w:ascii="Cambria" w:hAnsi="Cambria"/>
          <w:b/>
          <w:sz w:val="20"/>
          <w:szCs w:val="20"/>
          <w:lang w:val="es-ES"/>
        </w:rPr>
      </w:pPr>
      <w:r w:rsidRPr="00102AFB">
        <w:rPr>
          <w:rFonts w:ascii="Cambria" w:hAnsi="Cambria"/>
          <w:b/>
          <w:sz w:val="20"/>
          <w:szCs w:val="20"/>
          <w:lang w:val="es-ES"/>
        </w:rPr>
        <w:t>(</w:t>
      </w:r>
      <w:r w:rsidR="00720F39" w:rsidRPr="00102AFB">
        <w:rPr>
          <w:rFonts w:ascii="Cambria" w:hAnsi="Cambria"/>
          <w:b/>
          <w:sz w:val="20"/>
          <w:szCs w:val="20"/>
          <w:lang w:val="es-ES"/>
        </w:rPr>
        <w:t>Colombia</w:t>
      </w:r>
      <w:r w:rsidRPr="00102AFB">
        <w:rPr>
          <w:rFonts w:ascii="Cambria" w:hAnsi="Cambria"/>
          <w:b/>
          <w:sz w:val="20"/>
          <w:szCs w:val="20"/>
          <w:lang w:val="es-ES"/>
        </w:rPr>
        <w:t>)</w:t>
      </w:r>
    </w:p>
    <w:p w14:paraId="3DC32D06" w14:textId="77777777" w:rsidR="00BB56C4" w:rsidRPr="00102AFB" w:rsidRDefault="00BB56C4" w:rsidP="00BB56C4">
      <w:pPr>
        <w:spacing w:after="0" w:line="240" w:lineRule="auto"/>
        <w:jc w:val="center"/>
        <w:rPr>
          <w:rFonts w:ascii="Cambria" w:hAnsi="Cambria"/>
          <w:sz w:val="20"/>
          <w:szCs w:val="20"/>
          <w:lang w:val="es-ES"/>
        </w:rPr>
      </w:pPr>
    </w:p>
    <w:p w14:paraId="03A3137A" w14:textId="77777777" w:rsidR="00BB56C4" w:rsidRPr="00102AFB" w:rsidRDefault="00BB56C4" w:rsidP="009969F9">
      <w:pPr>
        <w:pStyle w:val="NoSpacing"/>
        <w:numPr>
          <w:ilvl w:val="0"/>
          <w:numId w:val="18"/>
        </w:numPr>
        <w:ind w:left="1440" w:hanging="720"/>
        <w:jc w:val="both"/>
        <w:rPr>
          <w:rFonts w:ascii="Cambria" w:hAnsi="Cambria" w:cs="Calibri Light"/>
          <w:b/>
          <w:sz w:val="20"/>
          <w:szCs w:val="20"/>
          <w:lang w:val="es-ES"/>
        </w:rPr>
      </w:pPr>
      <w:r w:rsidRPr="00102AFB">
        <w:rPr>
          <w:rFonts w:ascii="Cambria" w:hAnsi="Cambria" w:cs="Calibri Light"/>
          <w:b/>
          <w:sz w:val="20"/>
          <w:szCs w:val="20"/>
          <w:lang w:val="es-ES"/>
        </w:rPr>
        <w:t xml:space="preserve">Resumen del caso </w:t>
      </w:r>
    </w:p>
    <w:p w14:paraId="222EF00F" w14:textId="77777777" w:rsidR="00BB56C4" w:rsidRPr="00102AFB" w:rsidRDefault="00BB56C4" w:rsidP="00BB56C4">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BB56C4" w:rsidRPr="00102AFB" w14:paraId="3A9212BE" w14:textId="77777777" w:rsidTr="0019180F">
        <w:trPr>
          <w:trHeight w:val="4382"/>
          <w:jc w:val="center"/>
        </w:trPr>
        <w:tc>
          <w:tcPr>
            <w:tcW w:w="9576" w:type="dxa"/>
            <w:shd w:val="clear" w:color="auto" w:fill="F2F2F2"/>
          </w:tcPr>
          <w:p w14:paraId="7DBC46E3" w14:textId="77777777" w:rsidR="00BB56C4" w:rsidRPr="00102AFB" w:rsidRDefault="00BB56C4" w:rsidP="00D96B19">
            <w:pPr>
              <w:spacing w:before="120" w:after="0" w:line="240" w:lineRule="auto"/>
              <w:jc w:val="both"/>
              <w:rPr>
                <w:rFonts w:ascii="Cambria" w:hAnsi="Cambria"/>
                <w:b/>
                <w:sz w:val="20"/>
                <w:szCs w:val="20"/>
                <w:lang w:val="es-ES"/>
              </w:rPr>
            </w:pPr>
            <w:r w:rsidRPr="00102AFB">
              <w:rPr>
                <w:rFonts w:ascii="Cambria" w:hAnsi="Cambria"/>
                <w:b/>
                <w:sz w:val="20"/>
                <w:szCs w:val="20"/>
                <w:lang w:val="es-ES"/>
              </w:rPr>
              <w:t xml:space="preserve">Víctima (s): </w:t>
            </w:r>
            <w:proofErr w:type="spellStart"/>
            <w:r w:rsidR="00720F39" w:rsidRPr="00102AFB">
              <w:rPr>
                <w:rFonts w:ascii="Cambria" w:hAnsi="Cambria"/>
                <w:sz w:val="20"/>
                <w:szCs w:val="20"/>
                <w:lang w:val="es-ES"/>
              </w:rPr>
              <w:t>Leydi</w:t>
            </w:r>
            <w:proofErr w:type="spellEnd"/>
            <w:r w:rsidR="00720F39" w:rsidRPr="00102AFB">
              <w:rPr>
                <w:rFonts w:ascii="Cambria" w:hAnsi="Cambria"/>
                <w:sz w:val="20"/>
                <w:szCs w:val="20"/>
                <w:lang w:val="es-ES"/>
              </w:rPr>
              <w:t xml:space="preserve"> </w:t>
            </w:r>
            <w:proofErr w:type="spellStart"/>
            <w:r w:rsidR="00720F39" w:rsidRPr="00102AFB">
              <w:rPr>
                <w:rFonts w:ascii="Cambria" w:hAnsi="Cambria"/>
                <w:sz w:val="20"/>
                <w:szCs w:val="20"/>
                <w:lang w:val="es-ES"/>
              </w:rPr>
              <w:t>Dayán</w:t>
            </w:r>
            <w:proofErr w:type="spellEnd"/>
            <w:r w:rsidR="00720F39" w:rsidRPr="00102AFB">
              <w:rPr>
                <w:rFonts w:ascii="Cambria" w:hAnsi="Cambria"/>
                <w:sz w:val="20"/>
                <w:szCs w:val="20"/>
                <w:lang w:val="es-ES"/>
              </w:rPr>
              <w:t xml:space="preserve"> Sánchez</w:t>
            </w:r>
          </w:p>
          <w:p w14:paraId="3AF871B2" w14:textId="77777777" w:rsidR="00BB56C4" w:rsidRPr="00102AFB" w:rsidRDefault="00BB56C4" w:rsidP="002005E0">
            <w:pPr>
              <w:spacing w:after="0" w:line="240" w:lineRule="auto"/>
              <w:ind w:left="-23"/>
              <w:jc w:val="both"/>
              <w:rPr>
                <w:rFonts w:ascii="Cambria" w:hAnsi="Cambria"/>
                <w:sz w:val="20"/>
                <w:szCs w:val="20"/>
                <w:lang w:val="es-ES"/>
              </w:rPr>
            </w:pPr>
            <w:r w:rsidRPr="00102AFB">
              <w:rPr>
                <w:rFonts w:ascii="Cambria" w:hAnsi="Cambria"/>
                <w:b/>
                <w:sz w:val="20"/>
                <w:szCs w:val="20"/>
                <w:lang w:val="es-ES"/>
              </w:rPr>
              <w:t xml:space="preserve">Peticionario (s): </w:t>
            </w:r>
            <w:r w:rsidR="009D5642" w:rsidRPr="00102AFB">
              <w:rPr>
                <w:rFonts w:ascii="Cambria" w:hAnsi="Cambria"/>
                <w:sz w:val="20"/>
                <w:szCs w:val="20"/>
                <w:lang w:val="es-ES"/>
              </w:rPr>
              <w:t>Corporación Colectivo de Abogados “José Alvear Restrepo”</w:t>
            </w:r>
          </w:p>
          <w:p w14:paraId="682E7D9F" w14:textId="77777777" w:rsidR="00BB56C4" w:rsidRPr="00102AFB" w:rsidRDefault="00BB56C4" w:rsidP="002005E0">
            <w:pPr>
              <w:spacing w:after="0" w:line="240" w:lineRule="auto"/>
              <w:ind w:left="-23"/>
              <w:jc w:val="both"/>
              <w:rPr>
                <w:rFonts w:ascii="Cambria" w:hAnsi="Cambria"/>
                <w:sz w:val="20"/>
                <w:szCs w:val="20"/>
                <w:lang w:val="es-ES"/>
              </w:rPr>
            </w:pPr>
            <w:r w:rsidRPr="00102AFB">
              <w:rPr>
                <w:rFonts w:ascii="Cambria" w:hAnsi="Cambria"/>
                <w:b/>
                <w:sz w:val="20"/>
                <w:szCs w:val="20"/>
                <w:lang w:val="es-ES"/>
              </w:rPr>
              <w:t xml:space="preserve">Estado: </w:t>
            </w:r>
            <w:r w:rsidR="00720F39" w:rsidRPr="00102AFB">
              <w:rPr>
                <w:rFonts w:ascii="Cambria" w:hAnsi="Cambria"/>
                <w:sz w:val="20"/>
                <w:szCs w:val="20"/>
                <w:lang w:val="es-ES"/>
              </w:rPr>
              <w:t>Colombia</w:t>
            </w:r>
          </w:p>
          <w:p w14:paraId="5A96334C" w14:textId="77777777" w:rsidR="00BB56C4" w:rsidRPr="00102AFB" w:rsidRDefault="003C1898" w:rsidP="002005E0">
            <w:pPr>
              <w:spacing w:after="0" w:line="240" w:lineRule="auto"/>
              <w:ind w:left="-23"/>
              <w:jc w:val="both"/>
              <w:rPr>
                <w:rFonts w:ascii="Cambria" w:hAnsi="Cambria"/>
                <w:sz w:val="20"/>
                <w:szCs w:val="20"/>
                <w:lang w:val="es-ES"/>
              </w:rPr>
            </w:pPr>
            <w:r w:rsidRPr="00102AFB">
              <w:rPr>
                <w:rFonts w:ascii="Cambria" w:hAnsi="Cambria"/>
                <w:b/>
                <w:sz w:val="20"/>
                <w:szCs w:val="20"/>
                <w:lang w:val="es-ES"/>
              </w:rPr>
              <w:t>Informe de Fondo Nº</w:t>
            </w:r>
            <w:r w:rsidR="00BB56C4" w:rsidRPr="00102AFB">
              <w:rPr>
                <w:rFonts w:ascii="Cambria" w:hAnsi="Cambria"/>
                <w:b/>
                <w:sz w:val="20"/>
                <w:szCs w:val="20"/>
                <w:lang w:val="es-ES"/>
              </w:rPr>
              <w:t xml:space="preserve">: </w:t>
            </w:r>
            <w:hyperlink r:id="rId8" w:history="1">
              <w:r w:rsidR="00720F39" w:rsidRPr="00102AFB">
                <w:rPr>
                  <w:rStyle w:val="Hyperlink"/>
                  <w:rFonts w:ascii="Cambria" w:hAnsi="Cambria"/>
                  <w:color w:val="auto"/>
                  <w:sz w:val="20"/>
                  <w:szCs w:val="20"/>
                  <w:lang w:val="es-ES"/>
                </w:rPr>
                <w:t>43/08</w:t>
              </w:r>
            </w:hyperlink>
            <w:r w:rsidR="00BB56C4" w:rsidRPr="00102AFB">
              <w:rPr>
                <w:rFonts w:ascii="Cambria" w:hAnsi="Cambria"/>
                <w:sz w:val="20"/>
                <w:szCs w:val="20"/>
                <w:lang w:val="es-ES"/>
              </w:rPr>
              <w:t>, publicado e</w:t>
            </w:r>
            <w:r w:rsidR="00243BCA" w:rsidRPr="00102AFB">
              <w:rPr>
                <w:rFonts w:ascii="Cambria" w:hAnsi="Cambria"/>
                <w:sz w:val="20"/>
                <w:szCs w:val="20"/>
                <w:lang w:val="es-ES"/>
              </w:rPr>
              <w:t>l</w:t>
            </w:r>
            <w:r w:rsidR="00BB56C4" w:rsidRPr="00102AFB">
              <w:rPr>
                <w:rFonts w:ascii="Cambria" w:hAnsi="Cambria"/>
                <w:sz w:val="20"/>
                <w:szCs w:val="20"/>
                <w:lang w:val="es-ES"/>
              </w:rPr>
              <w:t xml:space="preserve"> </w:t>
            </w:r>
            <w:r w:rsidR="00720F39" w:rsidRPr="00102AFB">
              <w:rPr>
                <w:rFonts w:ascii="Cambria" w:hAnsi="Cambria"/>
                <w:sz w:val="20"/>
                <w:szCs w:val="20"/>
                <w:lang w:val="es-ES"/>
              </w:rPr>
              <w:t>23</w:t>
            </w:r>
            <w:r w:rsidR="00BB56C4" w:rsidRPr="00102AFB">
              <w:rPr>
                <w:rFonts w:ascii="Cambria" w:hAnsi="Cambria"/>
                <w:sz w:val="20"/>
                <w:szCs w:val="20"/>
                <w:lang w:val="es-ES"/>
              </w:rPr>
              <w:t xml:space="preserve"> de </w:t>
            </w:r>
            <w:r w:rsidR="00720F39" w:rsidRPr="00102AFB">
              <w:rPr>
                <w:rFonts w:ascii="Cambria" w:hAnsi="Cambria"/>
                <w:sz w:val="20"/>
                <w:szCs w:val="20"/>
                <w:lang w:val="es-ES"/>
              </w:rPr>
              <w:t>julio de 2008</w:t>
            </w:r>
          </w:p>
          <w:p w14:paraId="4F3AD216" w14:textId="77777777" w:rsidR="00BB56C4" w:rsidRPr="00102AFB" w:rsidRDefault="00720F39" w:rsidP="002005E0">
            <w:pPr>
              <w:spacing w:after="0" w:line="240" w:lineRule="auto"/>
              <w:ind w:left="-23"/>
              <w:jc w:val="both"/>
              <w:rPr>
                <w:rFonts w:ascii="Cambria" w:hAnsi="Cambria"/>
                <w:sz w:val="20"/>
                <w:szCs w:val="20"/>
                <w:lang w:val="es-ES"/>
              </w:rPr>
            </w:pPr>
            <w:r w:rsidRPr="00102AFB">
              <w:rPr>
                <w:rFonts w:ascii="Cambria" w:hAnsi="Cambria"/>
                <w:b/>
                <w:sz w:val="20"/>
                <w:szCs w:val="20"/>
                <w:lang w:val="es-ES"/>
              </w:rPr>
              <w:t>Informe de Admisibilidad Nº:</w:t>
            </w:r>
            <w:r w:rsidR="009D5642" w:rsidRPr="00102AFB">
              <w:rPr>
                <w:rFonts w:ascii="Cambria" w:hAnsi="Cambria"/>
                <w:b/>
                <w:sz w:val="20"/>
                <w:szCs w:val="20"/>
                <w:lang w:val="es-ES"/>
              </w:rPr>
              <w:t xml:space="preserve"> </w:t>
            </w:r>
            <w:hyperlink r:id="rId9" w:history="1">
              <w:r w:rsidR="009D5642" w:rsidRPr="00102AFB">
                <w:rPr>
                  <w:rStyle w:val="Hyperlink"/>
                  <w:rFonts w:ascii="Cambria" w:hAnsi="Cambria"/>
                  <w:color w:val="auto"/>
                  <w:sz w:val="20"/>
                  <w:szCs w:val="20"/>
                  <w:lang w:val="es-ES"/>
                </w:rPr>
                <w:t>43/02</w:t>
              </w:r>
            </w:hyperlink>
            <w:r w:rsidR="009D5642" w:rsidRPr="00102AFB">
              <w:rPr>
                <w:rFonts w:ascii="Cambria" w:hAnsi="Cambria"/>
                <w:sz w:val="20"/>
                <w:szCs w:val="20"/>
                <w:lang w:val="es-ES"/>
              </w:rPr>
              <w:t>,</w:t>
            </w:r>
            <w:r w:rsidR="009D5642" w:rsidRPr="00102AFB">
              <w:rPr>
                <w:rFonts w:ascii="Cambria" w:hAnsi="Cambria"/>
                <w:b/>
                <w:sz w:val="20"/>
                <w:szCs w:val="20"/>
                <w:lang w:val="es-ES"/>
              </w:rPr>
              <w:t xml:space="preserve"> </w:t>
            </w:r>
            <w:r w:rsidR="00BA3967" w:rsidRPr="00102AFB">
              <w:rPr>
                <w:rFonts w:ascii="Cambria" w:hAnsi="Cambria"/>
                <w:sz w:val="20"/>
                <w:szCs w:val="20"/>
                <w:lang w:val="es-ES"/>
              </w:rPr>
              <w:t>adoptado</w:t>
            </w:r>
            <w:r w:rsidR="009D5642" w:rsidRPr="00102AFB">
              <w:rPr>
                <w:rFonts w:ascii="Cambria" w:hAnsi="Cambria"/>
                <w:sz w:val="20"/>
                <w:szCs w:val="20"/>
                <w:lang w:val="es-ES"/>
              </w:rPr>
              <w:t xml:space="preserve"> el 9 de octubre de 2002</w:t>
            </w:r>
          </w:p>
          <w:p w14:paraId="1E9A69EA" w14:textId="79167263" w:rsidR="00BB56C4" w:rsidRPr="00102AFB" w:rsidRDefault="00BB56C4" w:rsidP="002005E0">
            <w:pPr>
              <w:spacing w:after="120" w:line="240" w:lineRule="auto"/>
              <w:ind w:left="-29"/>
              <w:jc w:val="both"/>
              <w:rPr>
                <w:rFonts w:ascii="Cambria" w:hAnsi="Cambria"/>
                <w:sz w:val="20"/>
                <w:szCs w:val="20"/>
                <w:lang w:val="es-ES"/>
              </w:rPr>
            </w:pPr>
            <w:r w:rsidRPr="00102AFB">
              <w:rPr>
                <w:rFonts w:ascii="Cambria" w:hAnsi="Cambria"/>
                <w:b/>
                <w:sz w:val="20"/>
                <w:szCs w:val="20"/>
                <w:lang w:val="es-ES"/>
              </w:rPr>
              <w:t>Temas:</w:t>
            </w:r>
            <w:r w:rsidRPr="00102AFB">
              <w:rPr>
                <w:rFonts w:ascii="Cambria" w:hAnsi="Cambria"/>
                <w:sz w:val="20"/>
                <w:szCs w:val="20"/>
                <w:lang w:val="es-ES"/>
              </w:rPr>
              <w:t xml:space="preserve"> </w:t>
            </w:r>
            <w:r w:rsidR="005023E5" w:rsidRPr="00102AFB">
              <w:rPr>
                <w:rFonts w:ascii="Cambria" w:hAnsi="Cambria"/>
                <w:sz w:val="20"/>
                <w:szCs w:val="20"/>
                <w:lang w:val="es-ES"/>
              </w:rPr>
              <w:t xml:space="preserve">Debido proceso legal / </w:t>
            </w:r>
            <w:r w:rsidRPr="00102AFB">
              <w:rPr>
                <w:rFonts w:ascii="Cambria" w:hAnsi="Cambria" w:cstheme="minorHAnsi"/>
                <w:sz w:val="20"/>
                <w:szCs w:val="20"/>
                <w:lang w:val="es-ES"/>
              </w:rPr>
              <w:t xml:space="preserve">Garantías judiciales y protección judicial / </w:t>
            </w:r>
            <w:r w:rsidR="002F5A8F" w:rsidRPr="00102AFB">
              <w:rPr>
                <w:rFonts w:ascii="Cambria" w:hAnsi="Cambria" w:cstheme="minorHAnsi"/>
                <w:sz w:val="20"/>
                <w:szCs w:val="20"/>
                <w:lang w:val="es-ES"/>
              </w:rPr>
              <w:t>Jurisdicción militar en casos de violaciones a los derechos humanos cometidas por miembros de la fuerza pública</w:t>
            </w:r>
            <w:r w:rsidR="00C83D6D" w:rsidRPr="00102AFB">
              <w:rPr>
                <w:rFonts w:ascii="Cambria" w:hAnsi="Cambria" w:cstheme="minorHAnsi"/>
                <w:sz w:val="20"/>
                <w:szCs w:val="20"/>
                <w:lang w:val="es-ES"/>
              </w:rPr>
              <w:t xml:space="preserve"> </w:t>
            </w:r>
            <w:r w:rsidR="00226B97" w:rsidRPr="00102AFB">
              <w:rPr>
                <w:rFonts w:ascii="Cambria" w:hAnsi="Cambria" w:cstheme="minorHAnsi"/>
                <w:sz w:val="20"/>
                <w:szCs w:val="20"/>
                <w:lang w:val="es-ES"/>
              </w:rPr>
              <w:t xml:space="preserve">/ </w:t>
            </w:r>
            <w:r w:rsidR="005023E5" w:rsidRPr="00102AFB">
              <w:rPr>
                <w:rFonts w:ascii="Cambria" w:hAnsi="Cambria" w:cstheme="minorHAnsi"/>
                <w:sz w:val="20"/>
                <w:szCs w:val="20"/>
                <w:lang w:val="es-ES"/>
              </w:rPr>
              <w:t>Niñas / Niños, niñas y a</w:t>
            </w:r>
            <w:r w:rsidR="0050243B" w:rsidRPr="00102AFB">
              <w:rPr>
                <w:rFonts w:ascii="Cambria" w:hAnsi="Cambria" w:cstheme="minorHAnsi"/>
                <w:sz w:val="20"/>
                <w:szCs w:val="20"/>
                <w:lang w:val="es-ES"/>
              </w:rPr>
              <w:t xml:space="preserve">dolescentes </w:t>
            </w:r>
            <w:r w:rsidRPr="00102AFB">
              <w:rPr>
                <w:rFonts w:ascii="Cambria" w:hAnsi="Cambria" w:cstheme="minorHAnsi"/>
                <w:sz w:val="20"/>
                <w:szCs w:val="20"/>
                <w:lang w:val="es-ES"/>
              </w:rPr>
              <w:t xml:space="preserve">/ </w:t>
            </w:r>
            <w:r w:rsidR="00A132FA" w:rsidRPr="00102AFB">
              <w:rPr>
                <w:rFonts w:ascii="Cambria" w:hAnsi="Cambria" w:cstheme="minorHAnsi"/>
                <w:sz w:val="20"/>
                <w:szCs w:val="20"/>
                <w:lang w:val="es-ES"/>
              </w:rPr>
              <w:t xml:space="preserve">Obligación de respetar los derechos / </w:t>
            </w:r>
            <w:r w:rsidR="0050243B" w:rsidRPr="00102AFB">
              <w:rPr>
                <w:rFonts w:ascii="Cambria" w:hAnsi="Cambria" w:cstheme="minorHAnsi"/>
                <w:sz w:val="20"/>
                <w:szCs w:val="20"/>
                <w:lang w:val="es-ES"/>
              </w:rPr>
              <w:t xml:space="preserve">Uso de la fuerza / </w:t>
            </w:r>
            <w:r w:rsidRPr="00102AFB">
              <w:rPr>
                <w:rFonts w:ascii="Cambria" w:hAnsi="Cambria" w:cstheme="minorHAnsi"/>
                <w:sz w:val="20"/>
                <w:szCs w:val="20"/>
                <w:lang w:val="es-ES"/>
              </w:rPr>
              <w:t>Vida</w:t>
            </w:r>
            <w:r w:rsidR="00A132FA" w:rsidRPr="00102AFB">
              <w:rPr>
                <w:rFonts w:ascii="Cambria" w:hAnsi="Cambria"/>
                <w:sz w:val="20"/>
                <w:szCs w:val="20"/>
                <w:lang w:val="es-ES"/>
              </w:rPr>
              <w:t xml:space="preserve"> / </w:t>
            </w:r>
            <w:r w:rsidR="00A132FA" w:rsidRPr="00102AFB">
              <w:rPr>
                <w:rFonts w:ascii="Cambria" w:hAnsi="Cambria" w:cstheme="minorHAnsi"/>
                <w:sz w:val="20"/>
                <w:szCs w:val="20"/>
                <w:lang w:val="es-ES"/>
              </w:rPr>
              <w:t>Violencia policial</w:t>
            </w:r>
          </w:p>
          <w:p w14:paraId="24DDFA45" w14:textId="00EAD0D9" w:rsidR="0016626B" w:rsidRPr="00102AFB" w:rsidRDefault="00BB56C4" w:rsidP="0019180F">
            <w:pPr>
              <w:spacing w:after="120" w:line="240" w:lineRule="auto"/>
              <w:ind w:left="-29"/>
              <w:jc w:val="both"/>
              <w:rPr>
                <w:rFonts w:ascii="Cambria" w:hAnsi="Cambria"/>
                <w:sz w:val="20"/>
                <w:szCs w:val="20"/>
                <w:lang w:val="es-ES"/>
              </w:rPr>
            </w:pPr>
            <w:r w:rsidRPr="00102AFB">
              <w:rPr>
                <w:rFonts w:ascii="Cambria" w:hAnsi="Cambria"/>
                <w:b/>
                <w:sz w:val="20"/>
                <w:szCs w:val="20"/>
                <w:lang w:val="es-ES"/>
              </w:rPr>
              <w:t xml:space="preserve">Hechos: </w:t>
            </w:r>
            <w:r w:rsidR="00820DE5" w:rsidRPr="00102AFB">
              <w:rPr>
                <w:rFonts w:ascii="Cambria" w:hAnsi="Cambria"/>
                <w:sz w:val="20"/>
                <w:szCs w:val="20"/>
                <w:lang w:val="es-ES"/>
              </w:rPr>
              <w:t>E</w:t>
            </w:r>
            <w:r w:rsidR="00C34541" w:rsidRPr="00102AFB">
              <w:rPr>
                <w:rFonts w:ascii="Cambria" w:hAnsi="Cambria"/>
                <w:sz w:val="20"/>
                <w:szCs w:val="20"/>
                <w:lang w:val="es-ES"/>
              </w:rPr>
              <w:t xml:space="preserve">ste </w:t>
            </w:r>
            <w:r w:rsidR="00820DE5" w:rsidRPr="00102AFB">
              <w:rPr>
                <w:rFonts w:ascii="Cambria" w:hAnsi="Cambria"/>
                <w:sz w:val="20"/>
                <w:szCs w:val="20"/>
                <w:lang w:val="es-ES"/>
              </w:rPr>
              <w:t xml:space="preserve">caso se refiere a </w:t>
            </w:r>
            <w:proofErr w:type="spellStart"/>
            <w:r w:rsidR="00820DE5" w:rsidRPr="00102AFB">
              <w:rPr>
                <w:rFonts w:ascii="Cambria" w:hAnsi="Cambria"/>
                <w:sz w:val="20"/>
                <w:szCs w:val="20"/>
                <w:lang w:val="es-ES"/>
              </w:rPr>
              <w:t>Leydi</w:t>
            </w:r>
            <w:proofErr w:type="spellEnd"/>
            <w:r w:rsidR="00820DE5" w:rsidRPr="00102AFB">
              <w:rPr>
                <w:rFonts w:ascii="Cambria" w:hAnsi="Cambria"/>
                <w:sz w:val="20"/>
                <w:szCs w:val="20"/>
                <w:lang w:val="es-ES"/>
              </w:rPr>
              <w:t xml:space="preserve"> </w:t>
            </w:r>
            <w:proofErr w:type="spellStart"/>
            <w:r w:rsidR="00820DE5" w:rsidRPr="00102AFB">
              <w:rPr>
                <w:rFonts w:ascii="Cambria" w:hAnsi="Cambria"/>
                <w:sz w:val="20"/>
                <w:szCs w:val="20"/>
                <w:lang w:val="es-ES"/>
              </w:rPr>
              <w:t>Dayán</w:t>
            </w:r>
            <w:proofErr w:type="spellEnd"/>
            <w:r w:rsidR="00820DE5" w:rsidRPr="00102AFB">
              <w:rPr>
                <w:rFonts w:ascii="Cambria" w:hAnsi="Cambria"/>
                <w:sz w:val="20"/>
                <w:szCs w:val="20"/>
                <w:lang w:val="es-ES"/>
              </w:rPr>
              <w:t xml:space="preserve"> Sánchez, de 14 años de edad, </w:t>
            </w:r>
            <w:r w:rsidR="004921EE" w:rsidRPr="00102AFB">
              <w:rPr>
                <w:rFonts w:ascii="Cambria" w:hAnsi="Cambria"/>
                <w:sz w:val="20"/>
                <w:szCs w:val="20"/>
                <w:lang w:val="es-ES"/>
              </w:rPr>
              <w:t xml:space="preserve">contra quien la Policía Nacional disparó </w:t>
            </w:r>
            <w:r w:rsidR="00820DE5" w:rsidRPr="00102AFB">
              <w:rPr>
                <w:rFonts w:ascii="Cambria" w:hAnsi="Cambria"/>
                <w:sz w:val="20"/>
                <w:szCs w:val="20"/>
                <w:lang w:val="es-ES"/>
              </w:rPr>
              <w:t>el 21 de marzo de 1998 en el Barrio El Triu</w:t>
            </w:r>
            <w:r w:rsidR="0016626B" w:rsidRPr="00102AFB">
              <w:rPr>
                <w:rFonts w:ascii="Cambria" w:hAnsi="Cambria"/>
                <w:sz w:val="20"/>
                <w:szCs w:val="20"/>
                <w:lang w:val="es-ES"/>
              </w:rPr>
              <w:t xml:space="preserve">nfo, Ciudad de Kennedy, Bogotá y </w:t>
            </w:r>
            <w:r w:rsidR="004921EE" w:rsidRPr="00102AFB">
              <w:rPr>
                <w:rFonts w:ascii="Cambria" w:hAnsi="Cambria"/>
                <w:sz w:val="20"/>
                <w:szCs w:val="20"/>
                <w:lang w:val="es-ES"/>
              </w:rPr>
              <w:t xml:space="preserve">quien falleció al día siguiente. </w:t>
            </w:r>
            <w:r w:rsidR="00CB382A" w:rsidRPr="00102AFB">
              <w:rPr>
                <w:rFonts w:ascii="Cambria" w:hAnsi="Cambria"/>
                <w:sz w:val="20"/>
                <w:szCs w:val="20"/>
                <w:lang w:val="es-ES"/>
              </w:rPr>
              <w:t xml:space="preserve">Los hechos fueron sometidos a la competencia de la justicia penal militar </w:t>
            </w:r>
            <w:r w:rsidR="00945635" w:rsidRPr="00102AFB">
              <w:rPr>
                <w:rFonts w:ascii="Cambria" w:hAnsi="Cambria"/>
                <w:sz w:val="20"/>
                <w:szCs w:val="20"/>
                <w:lang w:val="es-ES"/>
              </w:rPr>
              <w:t>en</w:t>
            </w:r>
            <w:r w:rsidR="00CB382A" w:rsidRPr="00102AFB">
              <w:rPr>
                <w:rFonts w:ascii="Cambria" w:hAnsi="Cambria"/>
                <w:sz w:val="20"/>
                <w:szCs w:val="20"/>
                <w:lang w:val="es-ES"/>
              </w:rPr>
              <w:t xml:space="preserve"> la cual, en primera y segunda instancia, el oficial Juan Bernardo Tulcán Vallejos fue absuelto del cargo de homicidio culposo. </w:t>
            </w:r>
            <w:r w:rsidR="004921EE" w:rsidRPr="00102AFB">
              <w:rPr>
                <w:rFonts w:ascii="Cambria" w:hAnsi="Cambria"/>
                <w:sz w:val="20"/>
                <w:szCs w:val="20"/>
                <w:lang w:val="es-ES"/>
              </w:rPr>
              <w:t xml:space="preserve">El Estado no </w:t>
            </w:r>
            <w:r w:rsidR="00741FA3" w:rsidRPr="00102AFB">
              <w:rPr>
                <w:rFonts w:ascii="Cambria" w:hAnsi="Cambria"/>
                <w:sz w:val="20"/>
                <w:szCs w:val="20"/>
                <w:lang w:val="es-ES"/>
              </w:rPr>
              <w:t xml:space="preserve">llevó a cabo otras investigaciones de tipo penal con el fin de esclarecer la responsabilidad por la muerte de la niña. </w:t>
            </w:r>
          </w:p>
          <w:p w14:paraId="34725052" w14:textId="77777777" w:rsidR="00BB56C4" w:rsidRPr="00102AFB" w:rsidRDefault="00BB56C4" w:rsidP="0019180F">
            <w:pPr>
              <w:spacing w:after="120" w:line="240" w:lineRule="auto"/>
              <w:jc w:val="both"/>
              <w:rPr>
                <w:rFonts w:ascii="Cambria" w:hAnsi="Cambria"/>
                <w:sz w:val="20"/>
                <w:szCs w:val="20"/>
                <w:lang w:val="es-ES"/>
              </w:rPr>
            </w:pPr>
            <w:r w:rsidRPr="00102AFB">
              <w:rPr>
                <w:rFonts w:ascii="Cambria" w:hAnsi="Cambria"/>
                <w:b/>
                <w:sz w:val="20"/>
                <w:szCs w:val="20"/>
                <w:lang w:val="es-ES"/>
              </w:rPr>
              <w:t xml:space="preserve">Derechos violados: </w:t>
            </w:r>
            <w:r w:rsidRPr="00102AFB">
              <w:rPr>
                <w:rFonts w:ascii="Cambria" w:hAnsi="Cambria"/>
                <w:sz w:val="20"/>
                <w:szCs w:val="20"/>
                <w:lang w:val="es-ES"/>
              </w:rPr>
              <w:t>La Comisión concluyó que el Estado era responsable</w:t>
            </w:r>
            <w:r w:rsidR="00720F39" w:rsidRPr="00102AFB">
              <w:rPr>
                <w:rFonts w:ascii="Cambria" w:hAnsi="Cambria"/>
                <w:sz w:val="20"/>
                <w:szCs w:val="20"/>
                <w:lang w:val="es-ES"/>
              </w:rPr>
              <w:t xml:space="preserve"> por la violación de los derechos a la vida, a las garantías judiciales, a los derechos del niño y a la protección judicial correspondientes a los artículos 4, 8, 19 y 25 de la Convención Americana en relación con su artículo 1(1), en perjuicio de la niña </w:t>
            </w:r>
            <w:proofErr w:type="spellStart"/>
            <w:r w:rsidR="00720F39" w:rsidRPr="00102AFB">
              <w:rPr>
                <w:rFonts w:ascii="Cambria" w:hAnsi="Cambria"/>
                <w:sz w:val="20"/>
                <w:szCs w:val="20"/>
                <w:lang w:val="es-ES"/>
              </w:rPr>
              <w:t>Leydi</w:t>
            </w:r>
            <w:proofErr w:type="spellEnd"/>
            <w:r w:rsidR="00720F39" w:rsidRPr="00102AFB">
              <w:rPr>
                <w:rFonts w:ascii="Cambria" w:hAnsi="Cambria"/>
                <w:sz w:val="20"/>
                <w:szCs w:val="20"/>
                <w:lang w:val="es-ES"/>
              </w:rPr>
              <w:t xml:space="preserve"> </w:t>
            </w:r>
            <w:proofErr w:type="spellStart"/>
            <w:r w:rsidR="00720F39" w:rsidRPr="00102AFB">
              <w:rPr>
                <w:rFonts w:ascii="Cambria" w:hAnsi="Cambria"/>
                <w:sz w:val="20"/>
                <w:szCs w:val="20"/>
                <w:lang w:val="es-ES"/>
              </w:rPr>
              <w:t>Dayan</w:t>
            </w:r>
            <w:proofErr w:type="spellEnd"/>
            <w:r w:rsidR="00720F39" w:rsidRPr="00102AFB">
              <w:rPr>
                <w:rFonts w:ascii="Cambria" w:hAnsi="Cambria"/>
                <w:sz w:val="20"/>
                <w:szCs w:val="20"/>
                <w:lang w:val="es-ES"/>
              </w:rPr>
              <w:t xml:space="preserve"> Sánchez Tamayo y que el Estado había incurrido en la violación de los derechos a las garantías judiciales y a la protección judicial correspondientes a los artículos 8 y 25 de la Convención Americana en relación con el artículo 1(1) de dicho instrumento internacional en perjuicio de los familiares de </w:t>
            </w:r>
            <w:proofErr w:type="spellStart"/>
            <w:r w:rsidR="00720F39" w:rsidRPr="00102AFB">
              <w:rPr>
                <w:rFonts w:ascii="Cambria" w:hAnsi="Cambria"/>
                <w:sz w:val="20"/>
                <w:szCs w:val="20"/>
                <w:lang w:val="es-ES"/>
              </w:rPr>
              <w:t>Leydi</w:t>
            </w:r>
            <w:proofErr w:type="spellEnd"/>
            <w:r w:rsidR="00720F39" w:rsidRPr="00102AFB">
              <w:rPr>
                <w:rFonts w:ascii="Cambria" w:hAnsi="Cambria"/>
                <w:sz w:val="20"/>
                <w:szCs w:val="20"/>
                <w:lang w:val="es-ES"/>
              </w:rPr>
              <w:t xml:space="preserve"> </w:t>
            </w:r>
            <w:proofErr w:type="spellStart"/>
            <w:r w:rsidR="00720F39" w:rsidRPr="00102AFB">
              <w:rPr>
                <w:rFonts w:ascii="Cambria" w:hAnsi="Cambria"/>
                <w:sz w:val="20"/>
                <w:szCs w:val="20"/>
                <w:lang w:val="es-ES"/>
              </w:rPr>
              <w:t>Dayán</w:t>
            </w:r>
            <w:proofErr w:type="spellEnd"/>
            <w:r w:rsidR="00720F39" w:rsidRPr="00102AFB">
              <w:rPr>
                <w:rFonts w:ascii="Cambria" w:hAnsi="Cambria"/>
                <w:sz w:val="20"/>
                <w:szCs w:val="20"/>
                <w:lang w:val="es-ES"/>
              </w:rPr>
              <w:t xml:space="preserve"> Sánchez Tamayo. </w:t>
            </w:r>
          </w:p>
          <w:p w14:paraId="3B7AB986" w14:textId="77777777" w:rsidR="00CA68CD" w:rsidRPr="00102AFB" w:rsidRDefault="00CA68CD" w:rsidP="009D5A26">
            <w:pPr>
              <w:spacing w:after="0" w:line="240" w:lineRule="auto"/>
              <w:jc w:val="both"/>
              <w:rPr>
                <w:rFonts w:ascii="Cambria" w:hAnsi="Cambria"/>
                <w:sz w:val="20"/>
                <w:szCs w:val="20"/>
                <w:lang w:val="es-ES"/>
              </w:rPr>
            </w:pPr>
            <w:r w:rsidRPr="00102AFB">
              <w:rPr>
                <w:rFonts w:ascii="Cambria" w:hAnsi="Cambria"/>
                <w:b/>
                <w:sz w:val="20"/>
                <w:szCs w:val="20"/>
                <w:lang w:val="es-ES"/>
              </w:rPr>
              <w:t>Estado de cumplimiento del caso:</w:t>
            </w:r>
            <w:r w:rsidRPr="00102AFB">
              <w:rPr>
                <w:rFonts w:ascii="Cambria" w:hAnsi="Cambria"/>
                <w:sz w:val="20"/>
                <w:szCs w:val="20"/>
                <w:lang w:val="es-ES"/>
              </w:rPr>
              <w:t xml:space="preserve"> Cumplimiento total (</w:t>
            </w:r>
            <w:hyperlink r:id="rId10" w:history="1">
              <w:r w:rsidRPr="00102AFB">
                <w:rPr>
                  <w:rStyle w:val="Hyperlink"/>
                  <w:rFonts w:ascii="Cambria" w:hAnsi="Cambria"/>
                  <w:color w:val="auto"/>
                  <w:sz w:val="20"/>
                  <w:szCs w:val="20"/>
                  <w:lang w:val="es-ES"/>
                </w:rPr>
                <w:t>Informe Anual 2016</w:t>
              </w:r>
            </w:hyperlink>
            <w:r w:rsidRPr="00102AFB">
              <w:rPr>
                <w:rFonts w:ascii="Cambria" w:hAnsi="Cambria"/>
                <w:sz w:val="20"/>
                <w:szCs w:val="20"/>
                <w:lang w:val="es-ES"/>
              </w:rPr>
              <w:t>)</w:t>
            </w:r>
          </w:p>
          <w:p w14:paraId="72D6EEBF" w14:textId="2CD54FF8" w:rsidR="00CA68CD" w:rsidRPr="00102AFB" w:rsidRDefault="00CA68CD" w:rsidP="0019180F">
            <w:pPr>
              <w:spacing w:after="120" w:line="240" w:lineRule="auto"/>
              <w:jc w:val="both"/>
              <w:rPr>
                <w:rFonts w:ascii="Cambria" w:hAnsi="Cambria"/>
                <w:sz w:val="20"/>
                <w:szCs w:val="20"/>
                <w:lang w:val="es-ES"/>
              </w:rPr>
            </w:pPr>
            <w:r w:rsidRPr="00102AFB">
              <w:rPr>
                <w:rFonts w:ascii="Cambria" w:hAnsi="Cambria"/>
                <w:b/>
                <w:sz w:val="20"/>
                <w:szCs w:val="20"/>
                <w:lang w:val="es-ES"/>
              </w:rPr>
              <w:t>Años en seguimiento:</w:t>
            </w:r>
            <w:r w:rsidRPr="00102AFB">
              <w:rPr>
                <w:rFonts w:ascii="Cambria" w:hAnsi="Cambria"/>
                <w:sz w:val="20"/>
                <w:szCs w:val="20"/>
                <w:lang w:val="es-ES"/>
              </w:rPr>
              <w:t xml:space="preserve"> </w:t>
            </w:r>
            <w:r w:rsidR="0025581A" w:rsidRPr="00102AFB">
              <w:rPr>
                <w:rFonts w:ascii="Cambria" w:hAnsi="Cambria"/>
                <w:sz w:val="20"/>
                <w:szCs w:val="20"/>
                <w:lang w:val="es-ES"/>
              </w:rPr>
              <w:t xml:space="preserve">8 años </w:t>
            </w:r>
          </w:p>
        </w:tc>
      </w:tr>
    </w:tbl>
    <w:p w14:paraId="10E5D885" w14:textId="77777777" w:rsidR="00BB56C4" w:rsidRPr="00102AFB" w:rsidRDefault="00BB56C4" w:rsidP="00BB56C4">
      <w:pPr>
        <w:spacing w:after="0" w:line="240" w:lineRule="auto"/>
        <w:ind w:left="180"/>
        <w:rPr>
          <w:rFonts w:ascii="Cambria" w:hAnsi="Cambria"/>
          <w:sz w:val="20"/>
          <w:szCs w:val="20"/>
          <w:lang w:val="es-ES"/>
        </w:rPr>
      </w:pPr>
    </w:p>
    <w:p w14:paraId="5CB02375" w14:textId="77777777" w:rsidR="00BB56C4" w:rsidRPr="00102AFB" w:rsidRDefault="009A2EED" w:rsidP="009969F9">
      <w:pPr>
        <w:numPr>
          <w:ilvl w:val="0"/>
          <w:numId w:val="18"/>
        </w:numPr>
        <w:spacing w:after="0" w:line="240" w:lineRule="auto"/>
        <w:ind w:firstLine="0"/>
        <w:jc w:val="both"/>
        <w:rPr>
          <w:rFonts w:ascii="Cambria" w:hAnsi="Cambria" w:cs="Calibri Light"/>
          <w:b/>
          <w:sz w:val="20"/>
          <w:szCs w:val="20"/>
          <w:lang w:val="es-ES"/>
        </w:rPr>
      </w:pPr>
      <w:r w:rsidRPr="00102AFB">
        <w:rPr>
          <w:rFonts w:ascii="Cambria" w:hAnsi="Cambria" w:cs="Calibri Light"/>
          <w:b/>
          <w:sz w:val="20"/>
          <w:szCs w:val="20"/>
          <w:lang w:val="es-ES"/>
        </w:rPr>
        <w:t>Recom</w:t>
      </w:r>
      <w:r w:rsidR="00BB56C4" w:rsidRPr="00102AFB">
        <w:rPr>
          <w:rFonts w:ascii="Cambria" w:hAnsi="Cambria" w:cs="Calibri Light"/>
          <w:b/>
          <w:sz w:val="20"/>
          <w:szCs w:val="20"/>
          <w:lang w:val="es-ES"/>
        </w:rPr>
        <w:t>enda</w:t>
      </w:r>
      <w:r w:rsidRPr="00102AFB">
        <w:rPr>
          <w:rFonts w:ascii="Cambria" w:hAnsi="Cambria" w:cs="Calibri Light"/>
          <w:b/>
          <w:sz w:val="20"/>
          <w:szCs w:val="20"/>
          <w:lang w:val="es-ES"/>
        </w:rPr>
        <w:t xml:space="preserve">ciones </w:t>
      </w:r>
    </w:p>
    <w:p w14:paraId="6C4D21BC" w14:textId="77777777" w:rsidR="00BB56C4" w:rsidRPr="00102AFB" w:rsidRDefault="00BB56C4" w:rsidP="00BB56C4">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BB56C4" w:rsidRPr="00102AFB" w14:paraId="246C50C6" w14:textId="77777777" w:rsidTr="00C34541">
        <w:tc>
          <w:tcPr>
            <w:tcW w:w="7290" w:type="dxa"/>
            <w:shd w:val="clear" w:color="auto" w:fill="auto"/>
            <w:vAlign w:val="center"/>
          </w:tcPr>
          <w:p w14:paraId="66140827" w14:textId="77777777" w:rsidR="00BB56C4" w:rsidRPr="00102AFB" w:rsidRDefault="009A2EED" w:rsidP="00C34541">
            <w:pPr>
              <w:spacing w:after="0" w:line="240" w:lineRule="auto"/>
              <w:ind w:left="316"/>
              <w:jc w:val="center"/>
              <w:rPr>
                <w:rFonts w:ascii="Cambria" w:hAnsi="Cambria" w:cs="Calibri Light"/>
                <w:b/>
                <w:sz w:val="18"/>
                <w:szCs w:val="18"/>
                <w:lang w:val="es-ES"/>
              </w:rPr>
            </w:pPr>
            <w:r w:rsidRPr="00102AFB">
              <w:rPr>
                <w:rFonts w:ascii="Cambria" w:hAnsi="Cambria" w:cs="Calibri Light"/>
                <w:b/>
                <w:sz w:val="18"/>
                <w:szCs w:val="18"/>
                <w:lang w:val="es-ES"/>
              </w:rPr>
              <w:t>Recomendaciones</w:t>
            </w:r>
          </w:p>
        </w:tc>
        <w:tc>
          <w:tcPr>
            <w:tcW w:w="2250" w:type="dxa"/>
            <w:shd w:val="clear" w:color="auto" w:fill="auto"/>
            <w:vAlign w:val="center"/>
          </w:tcPr>
          <w:p w14:paraId="2989BEE0" w14:textId="2270F50A" w:rsidR="00BB56C4" w:rsidRPr="00102AFB" w:rsidRDefault="009A2EED" w:rsidP="0029290D">
            <w:pPr>
              <w:spacing w:after="0" w:line="240" w:lineRule="auto"/>
              <w:jc w:val="center"/>
              <w:rPr>
                <w:rFonts w:ascii="Cambria" w:hAnsi="Cambria" w:cs="Calibri Light"/>
                <w:b/>
                <w:sz w:val="18"/>
                <w:szCs w:val="18"/>
                <w:lang w:val="es-ES"/>
              </w:rPr>
            </w:pPr>
            <w:r w:rsidRPr="00102AFB">
              <w:rPr>
                <w:rFonts w:ascii="Cambria" w:hAnsi="Cambria" w:cs="Calibri Light"/>
                <w:b/>
                <w:sz w:val="18"/>
                <w:szCs w:val="18"/>
                <w:lang w:val="es-ES"/>
              </w:rPr>
              <w:t xml:space="preserve">Estado de cumplimiento </w:t>
            </w:r>
          </w:p>
        </w:tc>
      </w:tr>
      <w:tr w:rsidR="00BB56C4" w:rsidRPr="00102AFB" w14:paraId="14FFC1E1" w14:textId="77777777" w:rsidTr="00C34541">
        <w:tc>
          <w:tcPr>
            <w:tcW w:w="7290" w:type="dxa"/>
            <w:shd w:val="clear" w:color="auto" w:fill="auto"/>
            <w:vAlign w:val="center"/>
          </w:tcPr>
          <w:p w14:paraId="6A6374A6" w14:textId="77777777" w:rsidR="00BB56C4" w:rsidRPr="00102AFB" w:rsidRDefault="00C34541" w:rsidP="002005E0">
            <w:pPr>
              <w:spacing w:after="0" w:line="240" w:lineRule="auto"/>
              <w:jc w:val="both"/>
              <w:rPr>
                <w:rFonts w:ascii="Cambria" w:hAnsi="Cambria" w:cs="Calibri Light"/>
                <w:sz w:val="18"/>
                <w:szCs w:val="18"/>
                <w:lang w:val="es-ES"/>
              </w:rPr>
            </w:pPr>
            <w:r w:rsidRPr="00102AFB">
              <w:rPr>
                <w:rFonts w:ascii="Cambria" w:hAnsi="Cambria"/>
                <w:sz w:val="18"/>
                <w:szCs w:val="18"/>
                <w:lang w:val="es-ES"/>
              </w:rPr>
              <w:t>1.</w:t>
            </w:r>
            <w:r w:rsidR="00BB56C4" w:rsidRPr="00102AFB">
              <w:rPr>
                <w:rFonts w:ascii="Cambria" w:hAnsi="Cambria"/>
                <w:color w:val="000000"/>
                <w:sz w:val="18"/>
                <w:szCs w:val="18"/>
                <w:lang w:val="es-ES"/>
              </w:rPr>
              <w:t> </w:t>
            </w:r>
            <w:r w:rsidR="009D5642" w:rsidRPr="00102AFB">
              <w:rPr>
                <w:rFonts w:ascii="Cambria" w:hAnsi="Cambria"/>
                <w:color w:val="000000"/>
                <w:sz w:val="18"/>
                <w:szCs w:val="18"/>
                <w:lang w:val="es-ES"/>
              </w:rPr>
              <w:t xml:space="preserve">Realizar una investigación imparcial y efectiva ante la jurisdicción ordinaria con el fin de juzgar y sancionar a los responsables por la muerte de </w:t>
            </w:r>
            <w:proofErr w:type="spellStart"/>
            <w:r w:rsidR="009D5642" w:rsidRPr="00102AFB">
              <w:rPr>
                <w:rFonts w:ascii="Cambria" w:hAnsi="Cambria"/>
                <w:color w:val="000000"/>
                <w:sz w:val="18"/>
                <w:szCs w:val="18"/>
                <w:lang w:val="es-ES"/>
              </w:rPr>
              <w:t>Leydi</w:t>
            </w:r>
            <w:proofErr w:type="spellEnd"/>
            <w:r w:rsidR="009D5642" w:rsidRPr="00102AFB">
              <w:rPr>
                <w:rFonts w:ascii="Cambria" w:hAnsi="Cambria"/>
                <w:color w:val="000000"/>
                <w:sz w:val="18"/>
                <w:szCs w:val="18"/>
                <w:lang w:val="es-ES"/>
              </w:rPr>
              <w:t xml:space="preserve"> </w:t>
            </w:r>
            <w:proofErr w:type="spellStart"/>
            <w:r w:rsidR="009D5642" w:rsidRPr="00102AFB">
              <w:rPr>
                <w:rFonts w:ascii="Cambria" w:hAnsi="Cambria"/>
                <w:color w:val="000000"/>
                <w:sz w:val="18"/>
                <w:szCs w:val="18"/>
                <w:lang w:val="es-ES"/>
              </w:rPr>
              <w:t>Dayán</w:t>
            </w:r>
            <w:proofErr w:type="spellEnd"/>
            <w:r w:rsidR="009D5642" w:rsidRPr="00102AFB">
              <w:rPr>
                <w:rFonts w:ascii="Cambria" w:hAnsi="Cambria"/>
                <w:color w:val="000000"/>
                <w:sz w:val="18"/>
                <w:szCs w:val="18"/>
                <w:lang w:val="es-ES"/>
              </w:rPr>
              <w:t xml:space="preserve"> Sánchez Tamayo.</w:t>
            </w:r>
          </w:p>
        </w:tc>
        <w:tc>
          <w:tcPr>
            <w:tcW w:w="2250" w:type="dxa"/>
            <w:shd w:val="clear" w:color="auto" w:fill="auto"/>
            <w:vAlign w:val="center"/>
          </w:tcPr>
          <w:p w14:paraId="047EF167" w14:textId="10F79826" w:rsidR="00BB56C4" w:rsidRPr="00102AFB" w:rsidRDefault="009D5642" w:rsidP="001D088F">
            <w:pPr>
              <w:spacing w:after="0" w:line="240" w:lineRule="auto"/>
              <w:jc w:val="center"/>
              <w:rPr>
                <w:rFonts w:ascii="Cambria" w:hAnsi="Cambria" w:cs="Calibri Light"/>
                <w:b/>
                <w:sz w:val="18"/>
                <w:szCs w:val="18"/>
                <w:highlight w:val="yellow"/>
                <w:lang w:val="es-ES"/>
              </w:rPr>
            </w:pPr>
            <w:r w:rsidRPr="00102AFB">
              <w:rPr>
                <w:rFonts w:ascii="Cambria" w:hAnsi="Cambria" w:cs="Calibri"/>
                <w:sz w:val="18"/>
                <w:szCs w:val="18"/>
                <w:lang w:val="es-ES"/>
              </w:rPr>
              <w:t xml:space="preserve">Cumplimiento </w:t>
            </w:r>
            <w:r w:rsidR="001D088F">
              <w:rPr>
                <w:rFonts w:ascii="Cambria" w:hAnsi="Cambria" w:cs="Calibri"/>
                <w:sz w:val="18"/>
                <w:szCs w:val="18"/>
                <w:lang w:val="es-ES"/>
              </w:rPr>
              <w:t>t</w:t>
            </w:r>
            <w:r w:rsidRPr="00102AFB">
              <w:rPr>
                <w:rFonts w:ascii="Cambria" w:hAnsi="Cambria" w:cs="Calibri"/>
                <w:sz w:val="18"/>
                <w:szCs w:val="18"/>
                <w:lang w:val="es-ES"/>
              </w:rPr>
              <w:t>otal</w:t>
            </w:r>
            <w:r w:rsidR="004C6D50">
              <w:rPr>
                <w:rStyle w:val="FootnoteReference"/>
                <w:rFonts w:ascii="Cambria" w:hAnsi="Cambria" w:cs="Calibri"/>
                <w:sz w:val="18"/>
                <w:szCs w:val="18"/>
                <w:lang w:val="es-ES"/>
              </w:rPr>
              <w:footnoteReference w:id="1"/>
            </w:r>
          </w:p>
        </w:tc>
      </w:tr>
      <w:tr w:rsidR="006B30C3" w:rsidRPr="00102AFB" w14:paraId="71A6E413" w14:textId="77777777" w:rsidTr="006B30C3">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4F33E564" w14:textId="2621FF6A" w:rsidR="006B30C3" w:rsidRPr="00102AFB" w:rsidRDefault="006B30C3" w:rsidP="006B30C3">
            <w:pPr>
              <w:spacing w:after="0" w:line="240" w:lineRule="auto"/>
              <w:jc w:val="both"/>
              <w:rPr>
                <w:rFonts w:ascii="Cambria" w:hAnsi="Cambria"/>
                <w:sz w:val="18"/>
                <w:szCs w:val="18"/>
                <w:lang w:val="es-ES"/>
              </w:rPr>
            </w:pPr>
            <w:r w:rsidRPr="00102AFB">
              <w:rPr>
                <w:rFonts w:ascii="Cambria" w:hAnsi="Cambria"/>
                <w:sz w:val="18"/>
                <w:szCs w:val="18"/>
                <w:lang w:val="es-ES"/>
              </w:rPr>
              <w:t>2. Reparar a los familiares de la víctima en forma integral por las violaciones a la Convención Americana establecidas en el presente informe.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4F40D17" w14:textId="48C5BFC6" w:rsidR="006B30C3" w:rsidRPr="00102AFB" w:rsidRDefault="001D088F" w:rsidP="006522D0">
            <w:pPr>
              <w:spacing w:after="0" w:line="240" w:lineRule="auto"/>
              <w:jc w:val="center"/>
              <w:rPr>
                <w:rFonts w:ascii="Cambria" w:hAnsi="Cambria" w:cs="Calibri"/>
                <w:sz w:val="18"/>
                <w:szCs w:val="18"/>
                <w:lang w:val="es-ES"/>
              </w:rPr>
            </w:pPr>
            <w:r w:rsidRPr="00102AFB">
              <w:rPr>
                <w:rFonts w:ascii="Cambria" w:hAnsi="Cambria" w:cs="Calibri"/>
                <w:sz w:val="18"/>
                <w:szCs w:val="18"/>
                <w:lang w:val="es-ES"/>
              </w:rPr>
              <w:t xml:space="preserve">Cumplimiento </w:t>
            </w:r>
            <w:r>
              <w:rPr>
                <w:rFonts w:ascii="Cambria" w:hAnsi="Cambria" w:cs="Calibri"/>
                <w:sz w:val="18"/>
                <w:szCs w:val="18"/>
                <w:lang w:val="es-ES"/>
              </w:rPr>
              <w:t>t</w:t>
            </w:r>
            <w:r w:rsidRPr="00102AFB">
              <w:rPr>
                <w:rFonts w:ascii="Cambria" w:hAnsi="Cambria" w:cs="Calibri"/>
                <w:sz w:val="18"/>
                <w:szCs w:val="18"/>
                <w:lang w:val="es-ES"/>
              </w:rPr>
              <w:t>otal</w:t>
            </w:r>
            <w:r w:rsidR="004C6D50">
              <w:rPr>
                <w:rStyle w:val="FootnoteReference"/>
                <w:rFonts w:ascii="Cambria" w:hAnsi="Cambria" w:cs="Calibri"/>
                <w:sz w:val="18"/>
                <w:szCs w:val="18"/>
                <w:lang w:val="es-ES"/>
              </w:rPr>
              <w:footnoteReference w:id="2"/>
            </w:r>
          </w:p>
        </w:tc>
      </w:tr>
      <w:tr w:rsidR="006B30C3" w:rsidRPr="00102AFB" w14:paraId="35897255" w14:textId="77777777" w:rsidTr="006B30C3">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2773E263" w14:textId="4F18F7E7" w:rsidR="006B30C3" w:rsidRPr="00102AFB" w:rsidRDefault="006B30C3" w:rsidP="00E65685">
            <w:pPr>
              <w:spacing w:after="0" w:line="240" w:lineRule="auto"/>
              <w:jc w:val="both"/>
              <w:rPr>
                <w:rFonts w:ascii="Cambria" w:hAnsi="Cambria"/>
                <w:sz w:val="18"/>
                <w:szCs w:val="18"/>
                <w:lang w:val="es-ES"/>
              </w:rPr>
            </w:pPr>
            <w:r w:rsidRPr="00102AFB">
              <w:rPr>
                <w:rFonts w:ascii="Cambria" w:hAnsi="Cambria"/>
                <w:sz w:val="18"/>
                <w:szCs w:val="18"/>
                <w:lang w:val="es-ES"/>
              </w:rPr>
              <w:t xml:space="preserve">3. </w:t>
            </w:r>
            <w:r w:rsidR="00E65685" w:rsidRPr="00102AFB">
              <w:rPr>
                <w:rFonts w:ascii="Cambria" w:hAnsi="Cambria"/>
                <w:sz w:val="18"/>
                <w:szCs w:val="18"/>
                <w:lang w:val="es-ES"/>
              </w:rPr>
              <w:t>Efectu</w:t>
            </w:r>
            <w:r w:rsidR="00776142" w:rsidRPr="00102AFB">
              <w:rPr>
                <w:rFonts w:ascii="Cambria" w:hAnsi="Cambria"/>
                <w:sz w:val="18"/>
                <w:szCs w:val="18"/>
                <w:lang w:val="es-ES"/>
              </w:rPr>
              <w:t>a</w:t>
            </w:r>
            <w:r w:rsidR="00E65685" w:rsidRPr="00102AFB">
              <w:rPr>
                <w:rFonts w:ascii="Cambria" w:hAnsi="Cambria"/>
                <w:sz w:val="18"/>
                <w:szCs w:val="18"/>
                <w:lang w:val="es-ES"/>
              </w:rPr>
              <w:t>r</w:t>
            </w:r>
            <w:r w:rsidRPr="00102AFB">
              <w:rPr>
                <w:rFonts w:ascii="Cambria" w:hAnsi="Cambria"/>
                <w:sz w:val="18"/>
                <w:szCs w:val="18"/>
                <w:lang w:val="es-ES"/>
              </w:rPr>
              <w:t xml:space="preserve"> un reconocimiento público de responsabilidad estatal de las violaciones a la Convención Americana establecidas en el presente informe.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3C0C670" w14:textId="6EB5F19B" w:rsidR="006B30C3" w:rsidRPr="00102AFB" w:rsidRDefault="001D088F" w:rsidP="006522D0">
            <w:pPr>
              <w:spacing w:after="0" w:line="240" w:lineRule="auto"/>
              <w:jc w:val="center"/>
              <w:rPr>
                <w:rFonts w:ascii="Cambria" w:hAnsi="Cambria" w:cs="Calibri"/>
                <w:sz w:val="18"/>
                <w:szCs w:val="18"/>
                <w:lang w:val="es-ES"/>
              </w:rPr>
            </w:pPr>
            <w:r w:rsidRPr="00102AFB">
              <w:rPr>
                <w:rFonts w:ascii="Cambria" w:hAnsi="Cambria" w:cs="Calibri"/>
                <w:sz w:val="18"/>
                <w:szCs w:val="18"/>
                <w:lang w:val="es-ES"/>
              </w:rPr>
              <w:t xml:space="preserve">Cumplimiento </w:t>
            </w:r>
            <w:r>
              <w:rPr>
                <w:rFonts w:ascii="Cambria" w:hAnsi="Cambria" w:cs="Calibri"/>
                <w:sz w:val="18"/>
                <w:szCs w:val="18"/>
                <w:lang w:val="es-ES"/>
              </w:rPr>
              <w:t>t</w:t>
            </w:r>
            <w:r w:rsidRPr="00102AFB">
              <w:rPr>
                <w:rFonts w:ascii="Cambria" w:hAnsi="Cambria" w:cs="Calibri"/>
                <w:sz w:val="18"/>
                <w:szCs w:val="18"/>
                <w:lang w:val="es-ES"/>
              </w:rPr>
              <w:t>otal</w:t>
            </w:r>
            <w:r w:rsidR="004C6D50">
              <w:rPr>
                <w:rStyle w:val="FootnoteReference"/>
                <w:rFonts w:ascii="Cambria" w:hAnsi="Cambria" w:cs="Calibri"/>
                <w:sz w:val="18"/>
                <w:szCs w:val="18"/>
                <w:lang w:val="es-ES"/>
              </w:rPr>
              <w:footnoteReference w:id="3"/>
            </w:r>
          </w:p>
        </w:tc>
      </w:tr>
      <w:tr w:rsidR="006B30C3" w:rsidRPr="00102AFB" w14:paraId="2D4DAB77" w14:textId="77777777" w:rsidTr="006B30C3">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77E72834" w14:textId="7EFE9443" w:rsidR="006B30C3" w:rsidRPr="00102AFB" w:rsidRDefault="00E65685" w:rsidP="00E65685">
            <w:pPr>
              <w:spacing w:after="0" w:line="240" w:lineRule="auto"/>
              <w:jc w:val="both"/>
              <w:rPr>
                <w:rFonts w:ascii="Cambria" w:hAnsi="Cambria"/>
                <w:sz w:val="18"/>
                <w:szCs w:val="18"/>
                <w:lang w:val="es-ES"/>
              </w:rPr>
            </w:pPr>
            <w:r w:rsidRPr="00102AFB">
              <w:rPr>
                <w:rFonts w:ascii="Cambria" w:hAnsi="Cambria"/>
                <w:sz w:val="18"/>
                <w:szCs w:val="18"/>
                <w:lang w:val="es-ES"/>
              </w:rPr>
              <w:t xml:space="preserve">4. Adoptar medidas de capacitación, vigilancia y aplicación de la ley para garantizar que los agentes del Estado autorizados para emplear armas de fuego, hagan uso de aquéllas en estricto cumplimiento de los principios de necesidad, excepcionalidad y proporcionalidad, </w:t>
            </w:r>
            <w:r w:rsidRPr="00102AFB">
              <w:rPr>
                <w:rFonts w:ascii="Cambria" w:hAnsi="Cambria"/>
                <w:sz w:val="18"/>
                <w:szCs w:val="18"/>
                <w:lang w:val="es-ES"/>
              </w:rPr>
              <w:lastRenderedPageBreak/>
              <w:t>particularmente en situaciones que involucren la presencia de niños y niñas, los cuales requieren de especiales medidas de protección</w:t>
            </w:r>
            <w:r w:rsidR="006B30C3" w:rsidRPr="00102AFB">
              <w:rPr>
                <w:rFonts w:ascii="Cambria" w:hAnsi="Cambria"/>
                <w:sz w:val="18"/>
                <w:szCs w:val="18"/>
                <w:lang w:val="es-ES"/>
              </w:rPr>
              <w: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9FE569D" w14:textId="1FC12514" w:rsidR="006B30C3" w:rsidRPr="00102AFB" w:rsidRDefault="001D088F" w:rsidP="006522D0">
            <w:pPr>
              <w:spacing w:after="0" w:line="240" w:lineRule="auto"/>
              <w:jc w:val="center"/>
              <w:rPr>
                <w:rFonts w:ascii="Cambria" w:hAnsi="Cambria" w:cs="Calibri"/>
                <w:sz w:val="18"/>
                <w:szCs w:val="18"/>
                <w:lang w:val="es-ES"/>
              </w:rPr>
            </w:pPr>
            <w:r w:rsidRPr="00102AFB">
              <w:rPr>
                <w:rFonts w:ascii="Cambria" w:hAnsi="Cambria" w:cs="Calibri"/>
                <w:sz w:val="18"/>
                <w:szCs w:val="18"/>
                <w:lang w:val="es-ES"/>
              </w:rPr>
              <w:lastRenderedPageBreak/>
              <w:t xml:space="preserve">Cumplimiento </w:t>
            </w:r>
            <w:r>
              <w:rPr>
                <w:rFonts w:ascii="Cambria" w:hAnsi="Cambria" w:cs="Calibri"/>
                <w:sz w:val="18"/>
                <w:szCs w:val="18"/>
                <w:lang w:val="es-ES"/>
              </w:rPr>
              <w:t>t</w:t>
            </w:r>
            <w:r w:rsidRPr="00102AFB">
              <w:rPr>
                <w:rFonts w:ascii="Cambria" w:hAnsi="Cambria" w:cs="Calibri"/>
                <w:sz w:val="18"/>
                <w:szCs w:val="18"/>
                <w:lang w:val="es-ES"/>
              </w:rPr>
              <w:t>otal</w:t>
            </w:r>
            <w:r w:rsidR="004C6D50">
              <w:rPr>
                <w:rStyle w:val="FootnoteReference"/>
                <w:rFonts w:ascii="Cambria" w:hAnsi="Cambria" w:cs="Calibri"/>
                <w:sz w:val="18"/>
                <w:szCs w:val="18"/>
                <w:lang w:val="es-ES"/>
              </w:rPr>
              <w:footnoteReference w:id="4"/>
            </w:r>
          </w:p>
        </w:tc>
      </w:tr>
      <w:tr w:rsidR="006B30C3" w:rsidRPr="00102AFB" w14:paraId="1890202F" w14:textId="77777777" w:rsidTr="006B30C3">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031913FC" w14:textId="72DB1161" w:rsidR="006B30C3" w:rsidRPr="00102AFB" w:rsidRDefault="00E65685" w:rsidP="00776142">
            <w:pPr>
              <w:spacing w:after="0" w:line="240" w:lineRule="auto"/>
              <w:jc w:val="both"/>
              <w:rPr>
                <w:rFonts w:ascii="Cambria" w:hAnsi="Cambria"/>
                <w:sz w:val="18"/>
                <w:szCs w:val="18"/>
                <w:lang w:val="es-ES"/>
              </w:rPr>
            </w:pPr>
            <w:r w:rsidRPr="00102AFB">
              <w:rPr>
                <w:rFonts w:ascii="Cambria" w:hAnsi="Cambria"/>
                <w:sz w:val="18"/>
                <w:szCs w:val="18"/>
                <w:lang w:val="es-ES"/>
              </w:rPr>
              <w:t xml:space="preserve">5. </w:t>
            </w:r>
            <w:r w:rsidR="00776142" w:rsidRPr="00102AFB">
              <w:rPr>
                <w:rFonts w:ascii="Cambria" w:hAnsi="Cambria"/>
                <w:sz w:val="18"/>
                <w:szCs w:val="18"/>
                <w:lang w:val="es-ES"/>
              </w:rPr>
              <w:t xml:space="preserve">Adoptar </w:t>
            </w:r>
            <w:r w:rsidRPr="00102AFB">
              <w:rPr>
                <w:rFonts w:ascii="Cambria" w:hAnsi="Cambria"/>
                <w:sz w:val="18"/>
                <w:szCs w:val="18"/>
                <w:lang w:val="es-ES"/>
              </w:rPr>
              <w:t>las medidas necesarias para evitar que en el futuro se produzcan hechos similares, conforme al deber de prevención y garantía de los derechos fundamentales reconocidos en la Convención Americana, así como dar pleno cumplimiento a la doctrina desarrollada por la Comisión y la Corte Interamericanas sobre el empleo exclusivo de la justicia penal militar respecto de los delitos de función</w:t>
            </w:r>
            <w:r w:rsidR="006B30C3" w:rsidRPr="00102AFB">
              <w:rPr>
                <w:rFonts w:ascii="Cambria" w:hAnsi="Cambria"/>
                <w:sz w:val="18"/>
                <w:szCs w:val="18"/>
                <w:lang w:val="es-ES"/>
              </w:rPr>
              <w: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4205CAC" w14:textId="6FCBBD18" w:rsidR="006B30C3" w:rsidRPr="00102AFB" w:rsidRDefault="001D088F" w:rsidP="006522D0">
            <w:pPr>
              <w:spacing w:after="0" w:line="240" w:lineRule="auto"/>
              <w:jc w:val="center"/>
              <w:rPr>
                <w:rFonts w:ascii="Cambria" w:hAnsi="Cambria" w:cs="Calibri"/>
                <w:sz w:val="18"/>
                <w:szCs w:val="18"/>
                <w:lang w:val="es-ES"/>
              </w:rPr>
            </w:pPr>
            <w:r w:rsidRPr="00102AFB">
              <w:rPr>
                <w:rFonts w:ascii="Cambria" w:hAnsi="Cambria" w:cs="Calibri"/>
                <w:sz w:val="18"/>
                <w:szCs w:val="18"/>
                <w:lang w:val="es-ES"/>
              </w:rPr>
              <w:t xml:space="preserve">Cumplimiento </w:t>
            </w:r>
            <w:r>
              <w:rPr>
                <w:rFonts w:ascii="Cambria" w:hAnsi="Cambria" w:cs="Calibri"/>
                <w:sz w:val="18"/>
                <w:szCs w:val="18"/>
                <w:lang w:val="es-ES"/>
              </w:rPr>
              <w:t>t</w:t>
            </w:r>
            <w:r w:rsidRPr="00102AFB">
              <w:rPr>
                <w:rFonts w:ascii="Cambria" w:hAnsi="Cambria" w:cs="Calibri"/>
                <w:sz w:val="18"/>
                <w:szCs w:val="18"/>
                <w:lang w:val="es-ES"/>
              </w:rPr>
              <w:t>otal</w:t>
            </w:r>
            <w:r w:rsidR="004C6D50">
              <w:rPr>
                <w:rStyle w:val="FootnoteReference"/>
                <w:rFonts w:ascii="Cambria" w:hAnsi="Cambria" w:cs="Calibri"/>
                <w:sz w:val="18"/>
                <w:szCs w:val="18"/>
                <w:lang w:val="es-ES"/>
              </w:rPr>
              <w:footnoteReference w:id="5"/>
            </w:r>
          </w:p>
        </w:tc>
      </w:tr>
    </w:tbl>
    <w:p w14:paraId="2EC13DFA" w14:textId="77777777" w:rsidR="004C6D50" w:rsidRPr="004C6D50" w:rsidRDefault="004C6D50" w:rsidP="004C6D50">
      <w:pPr>
        <w:pStyle w:val="ListParagraph"/>
        <w:spacing w:after="0" w:line="240" w:lineRule="auto"/>
        <w:jc w:val="both"/>
        <w:rPr>
          <w:rFonts w:ascii="Cambria" w:hAnsi="Cambria" w:cs="Calibri Light"/>
          <w:b/>
          <w:sz w:val="20"/>
          <w:szCs w:val="20"/>
          <w:lang w:val="es-ES"/>
        </w:rPr>
      </w:pPr>
    </w:p>
    <w:p w14:paraId="2E4FFE6F" w14:textId="74A666C3" w:rsidR="00BB56C4" w:rsidRPr="00102AFB" w:rsidRDefault="00BB56C4" w:rsidP="009969F9">
      <w:pPr>
        <w:pStyle w:val="ListParagraph"/>
        <w:numPr>
          <w:ilvl w:val="0"/>
          <w:numId w:val="18"/>
        </w:numPr>
        <w:spacing w:after="0" w:line="240" w:lineRule="auto"/>
        <w:ind w:firstLine="0"/>
        <w:jc w:val="both"/>
        <w:rPr>
          <w:rFonts w:ascii="Cambria" w:hAnsi="Cambria" w:cs="Calibri Light"/>
          <w:b/>
          <w:sz w:val="20"/>
          <w:szCs w:val="20"/>
          <w:lang w:val="es-ES"/>
        </w:rPr>
      </w:pPr>
      <w:r w:rsidRPr="00102AFB">
        <w:rPr>
          <w:rFonts w:ascii="Cambria" w:hAnsi="Cambria"/>
          <w:b/>
          <w:sz w:val="20"/>
          <w:szCs w:val="20"/>
          <w:lang w:val="es-ES"/>
        </w:rPr>
        <w:t>Actividad Procesal</w:t>
      </w:r>
    </w:p>
    <w:p w14:paraId="4DE0C3BC" w14:textId="77777777" w:rsidR="00126AB7" w:rsidRPr="00102AFB" w:rsidRDefault="00126AB7" w:rsidP="00126AB7">
      <w:pPr>
        <w:spacing w:after="0" w:line="240" w:lineRule="auto"/>
        <w:ind w:left="720"/>
        <w:jc w:val="both"/>
        <w:rPr>
          <w:rFonts w:ascii="Cambria" w:hAnsi="Cambria" w:cs="Calibri Light"/>
          <w:sz w:val="20"/>
          <w:szCs w:val="20"/>
          <w:lang w:val="es-ES"/>
        </w:rPr>
      </w:pPr>
    </w:p>
    <w:p w14:paraId="21288B04" w14:textId="1464295F" w:rsidR="00E61E2A" w:rsidRPr="00102AFB" w:rsidRDefault="00930D7C" w:rsidP="00002B8F">
      <w:pPr>
        <w:pStyle w:val="Default"/>
        <w:numPr>
          <w:ilvl w:val="0"/>
          <w:numId w:val="34"/>
        </w:numPr>
        <w:jc w:val="both"/>
        <w:rPr>
          <w:rFonts w:cs="Calibri Light"/>
          <w:sz w:val="20"/>
          <w:szCs w:val="20"/>
          <w:lang w:val="es-ES"/>
        </w:rPr>
      </w:pPr>
      <w:r w:rsidRPr="00102AFB">
        <w:rPr>
          <w:snapToGrid w:val="0"/>
          <w:sz w:val="20"/>
          <w:szCs w:val="20"/>
          <w:lang w:val="es-ES" w:eastAsia="es-ES_tradnl"/>
        </w:rPr>
        <w:t>L</w:t>
      </w:r>
      <w:r w:rsidR="0069047D" w:rsidRPr="00102AFB">
        <w:rPr>
          <w:snapToGrid w:val="0"/>
          <w:sz w:val="20"/>
          <w:szCs w:val="20"/>
          <w:lang w:val="es-ES" w:eastAsia="es-ES_tradnl"/>
        </w:rPr>
        <w:t>a CIDH solicitó información actualizada</w:t>
      </w:r>
      <w:r w:rsidRPr="00102AFB">
        <w:rPr>
          <w:snapToGrid w:val="0"/>
          <w:sz w:val="20"/>
          <w:szCs w:val="20"/>
          <w:lang w:val="es-ES" w:eastAsia="es-ES_tradnl"/>
        </w:rPr>
        <w:t xml:space="preserve"> sobre el cumplimiento a las partes</w:t>
      </w:r>
      <w:r w:rsidR="0069047D" w:rsidRPr="00102AFB">
        <w:rPr>
          <w:snapToGrid w:val="0"/>
          <w:sz w:val="20"/>
          <w:szCs w:val="20"/>
          <w:lang w:val="es-ES" w:eastAsia="es-ES_tradnl"/>
        </w:rPr>
        <w:t xml:space="preserve"> </w:t>
      </w:r>
      <w:r w:rsidR="004877B9">
        <w:rPr>
          <w:snapToGrid w:val="0"/>
          <w:sz w:val="20"/>
          <w:szCs w:val="20"/>
          <w:lang w:val="es-ES" w:eastAsia="es-ES_tradnl"/>
        </w:rPr>
        <w:t xml:space="preserve">en </w:t>
      </w:r>
      <w:r w:rsidR="00BC72C9">
        <w:rPr>
          <w:snapToGrid w:val="0"/>
          <w:sz w:val="20"/>
          <w:szCs w:val="20"/>
          <w:lang w:val="es-ES" w:eastAsia="es-ES_tradnl"/>
        </w:rPr>
        <w:t xml:space="preserve">2008, </w:t>
      </w:r>
      <w:r w:rsidR="004877B9">
        <w:rPr>
          <w:snapToGrid w:val="0"/>
          <w:sz w:val="20"/>
          <w:szCs w:val="20"/>
          <w:lang w:val="es-ES" w:eastAsia="es-ES_tradnl"/>
        </w:rPr>
        <w:t xml:space="preserve">2009, 2010, el </w:t>
      </w:r>
      <w:r w:rsidR="00C868EB" w:rsidRPr="00102AFB">
        <w:rPr>
          <w:snapToGrid w:val="0"/>
          <w:sz w:val="20"/>
          <w:szCs w:val="20"/>
          <w:lang w:val="es-ES" w:eastAsia="es-ES_tradnl"/>
        </w:rPr>
        <w:t>27 de octubre de 2011</w:t>
      </w:r>
      <w:r w:rsidR="0016664D" w:rsidRPr="00102AFB">
        <w:rPr>
          <w:snapToGrid w:val="0"/>
          <w:sz w:val="20"/>
          <w:szCs w:val="20"/>
          <w:lang w:val="es-ES" w:eastAsia="es-ES_tradnl"/>
        </w:rPr>
        <w:t xml:space="preserve">, </w:t>
      </w:r>
      <w:r w:rsidR="004877B9">
        <w:rPr>
          <w:snapToGrid w:val="0"/>
          <w:sz w:val="20"/>
          <w:szCs w:val="20"/>
          <w:lang w:val="es-ES" w:eastAsia="es-ES_tradnl"/>
        </w:rPr>
        <w:t xml:space="preserve">el </w:t>
      </w:r>
      <w:r w:rsidR="0016664D" w:rsidRPr="00102AFB">
        <w:rPr>
          <w:snapToGrid w:val="0"/>
          <w:sz w:val="20"/>
          <w:szCs w:val="20"/>
          <w:lang w:val="es-ES" w:eastAsia="es-ES_tradnl"/>
        </w:rPr>
        <w:t xml:space="preserve">15 de noviembre de 2012, </w:t>
      </w:r>
      <w:r w:rsidR="004877B9">
        <w:rPr>
          <w:snapToGrid w:val="0"/>
          <w:sz w:val="20"/>
          <w:szCs w:val="20"/>
          <w:lang w:val="es-ES" w:eastAsia="es-ES_tradnl"/>
        </w:rPr>
        <w:t xml:space="preserve">el </w:t>
      </w:r>
      <w:r w:rsidR="0016664D" w:rsidRPr="00102AFB">
        <w:rPr>
          <w:snapToGrid w:val="0"/>
          <w:sz w:val="20"/>
          <w:szCs w:val="20"/>
          <w:lang w:val="es-ES" w:eastAsia="es-ES_tradnl"/>
        </w:rPr>
        <w:t xml:space="preserve">4 de octubre de 2013, </w:t>
      </w:r>
      <w:r w:rsidR="004877B9">
        <w:rPr>
          <w:snapToGrid w:val="0"/>
          <w:sz w:val="20"/>
          <w:szCs w:val="20"/>
          <w:lang w:val="es-ES" w:eastAsia="es-ES_tradnl"/>
        </w:rPr>
        <w:t xml:space="preserve">el </w:t>
      </w:r>
      <w:r w:rsidR="0016664D" w:rsidRPr="00102AFB">
        <w:rPr>
          <w:snapToGrid w:val="0"/>
          <w:sz w:val="20"/>
          <w:szCs w:val="20"/>
          <w:lang w:val="es-ES" w:eastAsia="es-ES_tradnl"/>
        </w:rPr>
        <w:t>25 de noviembre de 2014</w:t>
      </w:r>
      <w:r w:rsidR="000D10AB">
        <w:rPr>
          <w:snapToGrid w:val="0"/>
          <w:sz w:val="20"/>
          <w:szCs w:val="20"/>
          <w:lang w:val="es-ES" w:eastAsia="es-ES_tradnl"/>
        </w:rPr>
        <w:t>,</w:t>
      </w:r>
      <w:r w:rsidR="0016664D" w:rsidRPr="00102AFB">
        <w:rPr>
          <w:snapToGrid w:val="0"/>
          <w:sz w:val="20"/>
          <w:szCs w:val="20"/>
          <w:lang w:val="es-ES" w:eastAsia="es-ES_tradnl"/>
        </w:rPr>
        <w:t xml:space="preserve"> </w:t>
      </w:r>
      <w:r w:rsidR="004877B9">
        <w:rPr>
          <w:snapToGrid w:val="0"/>
          <w:sz w:val="20"/>
          <w:szCs w:val="20"/>
          <w:lang w:val="es-ES" w:eastAsia="es-ES_tradnl"/>
        </w:rPr>
        <w:t xml:space="preserve">el </w:t>
      </w:r>
      <w:r w:rsidR="0016664D" w:rsidRPr="00102AFB">
        <w:rPr>
          <w:snapToGrid w:val="0"/>
          <w:sz w:val="20"/>
          <w:szCs w:val="20"/>
          <w:lang w:val="es-ES" w:eastAsia="es-ES_tradnl"/>
        </w:rPr>
        <w:t>3 de septiembre de 2015</w:t>
      </w:r>
      <w:r w:rsidR="000D10AB">
        <w:rPr>
          <w:snapToGrid w:val="0"/>
          <w:sz w:val="20"/>
          <w:szCs w:val="20"/>
          <w:lang w:val="es-ES" w:eastAsia="es-ES_tradnl"/>
        </w:rPr>
        <w:t xml:space="preserve"> y en 2016</w:t>
      </w:r>
      <w:r w:rsidR="0069047D" w:rsidRPr="00102AFB">
        <w:rPr>
          <w:snapToGrid w:val="0"/>
          <w:sz w:val="20"/>
          <w:szCs w:val="20"/>
          <w:lang w:val="es-ES" w:eastAsia="es-ES_tradnl"/>
        </w:rPr>
        <w:t xml:space="preserve">. El Estado </w:t>
      </w:r>
      <w:r w:rsidR="00E61E2A" w:rsidRPr="00102AFB">
        <w:rPr>
          <w:snapToGrid w:val="0"/>
          <w:sz w:val="20"/>
          <w:szCs w:val="20"/>
          <w:lang w:val="es-ES" w:eastAsia="es-ES_tradnl"/>
        </w:rPr>
        <w:t xml:space="preserve">proporcionó dicha </w:t>
      </w:r>
      <w:r w:rsidR="0069047D" w:rsidRPr="00102AFB">
        <w:rPr>
          <w:snapToGrid w:val="0"/>
          <w:sz w:val="20"/>
          <w:szCs w:val="20"/>
          <w:lang w:val="es-ES" w:eastAsia="es-ES_tradnl"/>
        </w:rPr>
        <w:t xml:space="preserve">información </w:t>
      </w:r>
      <w:r w:rsidR="0085582C" w:rsidRPr="00102AFB">
        <w:rPr>
          <w:snapToGrid w:val="0"/>
          <w:sz w:val="20"/>
          <w:szCs w:val="20"/>
          <w:lang w:val="es-ES" w:eastAsia="es-ES_tradnl"/>
        </w:rPr>
        <w:t>los días</w:t>
      </w:r>
      <w:r w:rsidR="00965E84" w:rsidRPr="00102AFB">
        <w:rPr>
          <w:snapToGrid w:val="0"/>
          <w:sz w:val="20"/>
          <w:szCs w:val="20"/>
          <w:lang w:val="es-ES" w:eastAsia="es-ES_tradnl"/>
        </w:rPr>
        <w:t xml:space="preserve"> 11 de diciembre de 2009, 17 de diciembre de 2010</w:t>
      </w:r>
      <w:r w:rsidR="0085582C" w:rsidRPr="00102AFB">
        <w:rPr>
          <w:snapToGrid w:val="0"/>
          <w:sz w:val="20"/>
          <w:szCs w:val="20"/>
          <w:lang w:val="es-ES" w:eastAsia="es-ES_tradnl"/>
        </w:rPr>
        <w:t xml:space="preserve">, </w:t>
      </w:r>
      <w:r w:rsidR="0016664D" w:rsidRPr="00102AFB">
        <w:rPr>
          <w:snapToGrid w:val="0"/>
          <w:sz w:val="20"/>
          <w:szCs w:val="20"/>
          <w:lang w:val="es-ES" w:eastAsia="es-ES_tradnl"/>
        </w:rPr>
        <w:t>25 de noviembre de 2011</w:t>
      </w:r>
      <w:r w:rsidR="0085582C" w:rsidRPr="00102AFB">
        <w:rPr>
          <w:snapToGrid w:val="0"/>
          <w:sz w:val="20"/>
          <w:szCs w:val="20"/>
          <w:lang w:val="es-ES" w:eastAsia="es-ES_tradnl"/>
        </w:rPr>
        <w:t xml:space="preserve">, </w:t>
      </w:r>
      <w:r w:rsidR="0016664D" w:rsidRPr="00102AFB">
        <w:rPr>
          <w:snapToGrid w:val="0"/>
          <w:sz w:val="20"/>
          <w:szCs w:val="20"/>
          <w:lang w:val="es-ES" w:eastAsia="es-ES_tradnl"/>
        </w:rPr>
        <w:t>2 de enero de 2013</w:t>
      </w:r>
      <w:r w:rsidR="0085582C" w:rsidRPr="00102AFB">
        <w:rPr>
          <w:snapToGrid w:val="0"/>
          <w:sz w:val="20"/>
          <w:szCs w:val="20"/>
          <w:lang w:val="es-ES" w:eastAsia="es-ES_tradnl"/>
        </w:rPr>
        <w:t xml:space="preserve">, </w:t>
      </w:r>
      <w:r w:rsidR="0016664D" w:rsidRPr="00102AFB">
        <w:rPr>
          <w:snapToGrid w:val="0"/>
          <w:sz w:val="20"/>
          <w:szCs w:val="20"/>
          <w:lang w:val="es-ES" w:eastAsia="es-ES_tradnl"/>
        </w:rPr>
        <w:t>3 de diciembre de 2013</w:t>
      </w:r>
      <w:r w:rsidR="0085582C" w:rsidRPr="00102AFB">
        <w:rPr>
          <w:snapToGrid w:val="0"/>
          <w:sz w:val="20"/>
          <w:szCs w:val="20"/>
          <w:lang w:val="es-ES" w:eastAsia="es-ES_tradnl"/>
        </w:rPr>
        <w:t xml:space="preserve">, </w:t>
      </w:r>
      <w:r w:rsidR="002661D9" w:rsidRPr="00102AFB">
        <w:rPr>
          <w:snapToGrid w:val="0"/>
          <w:sz w:val="20"/>
          <w:szCs w:val="20"/>
          <w:lang w:val="es-ES" w:eastAsia="es-ES_tradnl"/>
        </w:rPr>
        <w:t>16 de marzo de 2015, 16 de noviembre de 2015</w:t>
      </w:r>
      <w:r w:rsidR="0085582C" w:rsidRPr="00102AFB">
        <w:rPr>
          <w:snapToGrid w:val="0"/>
          <w:sz w:val="20"/>
          <w:szCs w:val="20"/>
          <w:lang w:val="es-ES" w:eastAsia="es-ES_tradnl"/>
        </w:rPr>
        <w:t xml:space="preserve"> y </w:t>
      </w:r>
      <w:r w:rsidR="006628D7" w:rsidRPr="00102AFB">
        <w:rPr>
          <w:snapToGrid w:val="0"/>
          <w:sz w:val="20"/>
          <w:szCs w:val="20"/>
          <w:lang w:val="es-ES" w:eastAsia="es-ES_tradnl"/>
        </w:rPr>
        <w:t>14 de julio de 2016</w:t>
      </w:r>
      <w:r w:rsidR="0069047D" w:rsidRPr="00102AFB">
        <w:rPr>
          <w:snapToGrid w:val="0"/>
          <w:sz w:val="20"/>
          <w:szCs w:val="20"/>
          <w:lang w:val="es-ES" w:eastAsia="es-ES_tradnl"/>
        </w:rPr>
        <w:t xml:space="preserve">. </w:t>
      </w:r>
    </w:p>
    <w:p w14:paraId="16BB2460" w14:textId="77777777" w:rsidR="00E61E2A" w:rsidRPr="00102AFB" w:rsidRDefault="00E61E2A" w:rsidP="00E61E2A">
      <w:pPr>
        <w:pStyle w:val="Default"/>
        <w:ind w:left="720"/>
        <w:jc w:val="both"/>
        <w:rPr>
          <w:rFonts w:cs="Calibri Light"/>
          <w:sz w:val="20"/>
          <w:szCs w:val="20"/>
          <w:lang w:val="es-ES"/>
        </w:rPr>
      </w:pPr>
    </w:p>
    <w:p w14:paraId="3BA93CDC" w14:textId="77777777" w:rsidR="00E61E2A" w:rsidRPr="00102AFB" w:rsidRDefault="00E61E2A" w:rsidP="00002B8F">
      <w:pPr>
        <w:pStyle w:val="Default"/>
        <w:numPr>
          <w:ilvl w:val="0"/>
          <w:numId w:val="34"/>
        </w:numPr>
        <w:jc w:val="both"/>
        <w:rPr>
          <w:rFonts w:cs="Calibri Light"/>
          <w:sz w:val="20"/>
          <w:szCs w:val="20"/>
          <w:lang w:val="es-ES"/>
        </w:rPr>
      </w:pPr>
      <w:r w:rsidRPr="00102AFB">
        <w:rPr>
          <w:sz w:val="20"/>
          <w:szCs w:val="20"/>
          <w:lang w:val="es-ES" w:eastAsia="es-ES_tradnl"/>
        </w:rPr>
        <w:t>Por su parte, l</w:t>
      </w:r>
      <w:r w:rsidR="0069047D" w:rsidRPr="00102AFB">
        <w:rPr>
          <w:sz w:val="20"/>
          <w:szCs w:val="20"/>
          <w:lang w:val="es-ES" w:eastAsia="es-ES_tradnl"/>
        </w:rPr>
        <w:t>os peticionarios remitieron información</w:t>
      </w:r>
      <w:r w:rsidR="00981D4F" w:rsidRPr="00102AFB">
        <w:rPr>
          <w:sz w:val="20"/>
          <w:szCs w:val="20"/>
          <w:lang w:val="es-ES" w:eastAsia="es-ES_tradnl"/>
        </w:rPr>
        <w:t xml:space="preserve"> </w:t>
      </w:r>
      <w:r w:rsidR="0004731F" w:rsidRPr="00102AFB">
        <w:rPr>
          <w:sz w:val="20"/>
          <w:szCs w:val="20"/>
          <w:lang w:val="es-ES" w:eastAsia="es-ES_tradnl"/>
        </w:rPr>
        <w:t>el 15 de diciembre de 2008</w:t>
      </w:r>
      <w:r w:rsidR="006628D7" w:rsidRPr="00102AFB">
        <w:rPr>
          <w:sz w:val="20"/>
          <w:szCs w:val="20"/>
          <w:lang w:val="es-ES" w:eastAsia="es-ES_tradnl"/>
        </w:rPr>
        <w:t xml:space="preserve"> y el 29 de marzo de 2016</w:t>
      </w:r>
      <w:r w:rsidR="0069047D" w:rsidRPr="00102AFB">
        <w:rPr>
          <w:sz w:val="20"/>
          <w:szCs w:val="20"/>
          <w:lang w:val="es-ES" w:eastAsia="es-ES_tradnl"/>
        </w:rPr>
        <w:t>.</w:t>
      </w:r>
      <w:r w:rsidR="006628D7" w:rsidRPr="00102AFB">
        <w:rPr>
          <w:sz w:val="20"/>
          <w:szCs w:val="20"/>
          <w:lang w:val="es-ES" w:eastAsia="es-ES_tradnl"/>
        </w:rPr>
        <w:t xml:space="preserve"> </w:t>
      </w:r>
    </w:p>
    <w:p w14:paraId="448F1BF7" w14:textId="77777777" w:rsidR="00E61E2A" w:rsidRPr="00102AFB" w:rsidRDefault="00E61E2A" w:rsidP="00E61E2A">
      <w:pPr>
        <w:pStyle w:val="Default"/>
        <w:ind w:left="720"/>
        <w:jc w:val="both"/>
        <w:rPr>
          <w:rFonts w:cs="Calibri Light"/>
          <w:sz w:val="20"/>
          <w:szCs w:val="20"/>
          <w:lang w:val="es-ES"/>
        </w:rPr>
      </w:pPr>
    </w:p>
    <w:p w14:paraId="1B385C21" w14:textId="2ED88C67" w:rsidR="00E61E2A" w:rsidRPr="00102AFB" w:rsidRDefault="00E61E2A" w:rsidP="00002B8F">
      <w:pPr>
        <w:pStyle w:val="Default"/>
        <w:numPr>
          <w:ilvl w:val="0"/>
          <w:numId w:val="34"/>
        </w:numPr>
        <w:jc w:val="both"/>
        <w:rPr>
          <w:rFonts w:cs="Calibri Light"/>
          <w:sz w:val="20"/>
          <w:szCs w:val="20"/>
          <w:lang w:val="es-ES"/>
        </w:rPr>
      </w:pPr>
      <w:r w:rsidRPr="00102AFB">
        <w:rPr>
          <w:rFonts w:cs="Calibri Light"/>
          <w:sz w:val="20"/>
          <w:szCs w:val="20"/>
          <w:lang w:val="es-ES"/>
        </w:rPr>
        <w:t xml:space="preserve">El caso estuvo en la etapa de seguimiento de recomendaciones por 8 años. </w:t>
      </w:r>
    </w:p>
    <w:p w14:paraId="25C2B18E" w14:textId="7C970DFD" w:rsidR="00926A24" w:rsidRPr="00102AFB" w:rsidRDefault="00926A24" w:rsidP="00926A24">
      <w:pPr>
        <w:shd w:val="clear" w:color="auto" w:fill="FFFFFF" w:themeFill="background1"/>
        <w:spacing w:after="0" w:line="240" w:lineRule="auto"/>
        <w:jc w:val="both"/>
        <w:rPr>
          <w:rFonts w:ascii="Cambria" w:hAnsi="Cambria" w:cs="Calibri Light"/>
          <w:sz w:val="20"/>
          <w:szCs w:val="20"/>
          <w:lang w:val="es-ES"/>
        </w:rPr>
      </w:pPr>
    </w:p>
    <w:p w14:paraId="39226AAE" w14:textId="77777777" w:rsidR="00BB56C4" w:rsidRPr="00102AFB" w:rsidRDefault="00BB56C4" w:rsidP="00926A24">
      <w:pPr>
        <w:pStyle w:val="ListParagraph"/>
        <w:numPr>
          <w:ilvl w:val="0"/>
          <w:numId w:val="18"/>
        </w:numPr>
        <w:shd w:val="clear" w:color="auto" w:fill="FFFFFF" w:themeFill="background1"/>
        <w:spacing w:after="0" w:line="240" w:lineRule="auto"/>
        <w:ind w:left="1440" w:hanging="720"/>
        <w:jc w:val="both"/>
        <w:rPr>
          <w:rFonts w:ascii="Cambria" w:hAnsi="Cambria" w:cs="Calibri Light"/>
          <w:sz w:val="20"/>
          <w:szCs w:val="20"/>
          <w:lang w:val="es-ES"/>
        </w:rPr>
      </w:pPr>
      <w:r w:rsidRPr="00102AFB">
        <w:rPr>
          <w:rFonts w:ascii="Cambria" w:hAnsi="Cambria" w:cs="Calibri Light"/>
          <w:b/>
          <w:sz w:val="20"/>
          <w:szCs w:val="20"/>
          <w:lang w:val="es-ES"/>
        </w:rPr>
        <w:t>Nivel del cumplimiento del caso</w:t>
      </w:r>
    </w:p>
    <w:p w14:paraId="786363BC" w14:textId="77777777" w:rsidR="00BB56C4" w:rsidRPr="00102AFB" w:rsidRDefault="00BB56C4" w:rsidP="00BB56C4">
      <w:pPr>
        <w:pStyle w:val="ListParagraph"/>
        <w:shd w:val="clear" w:color="auto" w:fill="FFFFFF" w:themeFill="background1"/>
        <w:spacing w:after="0" w:line="240" w:lineRule="auto"/>
        <w:jc w:val="both"/>
        <w:rPr>
          <w:rFonts w:ascii="Cambria" w:hAnsi="Cambria" w:cs="Calibri Light"/>
          <w:sz w:val="20"/>
          <w:szCs w:val="20"/>
          <w:lang w:val="es-ES"/>
        </w:rPr>
      </w:pPr>
    </w:p>
    <w:p w14:paraId="0C89CEFD" w14:textId="443D69A7" w:rsidR="00DF6DAE" w:rsidRPr="00102AFB" w:rsidRDefault="00DF6DAE" w:rsidP="00DF6DAE">
      <w:pPr>
        <w:pStyle w:val="ListParagraph"/>
        <w:numPr>
          <w:ilvl w:val="0"/>
          <w:numId w:val="34"/>
        </w:numPr>
        <w:shd w:val="clear" w:color="auto" w:fill="FFFFFF" w:themeFill="background1"/>
        <w:spacing w:after="0" w:line="240" w:lineRule="auto"/>
        <w:jc w:val="both"/>
        <w:rPr>
          <w:rFonts w:ascii="Cambria" w:hAnsi="Cambria" w:cs="Calibri Light"/>
          <w:sz w:val="20"/>
          <w:szCs w:val="20"/>
          <w:lang w:val="es-ES"/>
        </w:rPr>
      </w:pPr>
      <w:r w:rsidRPr="00102AFB">
        <w:rPr>
          <w:rFonts w:ascii="Cambria" w:hAnsi="Cambria" w:cs="Calibri Light"/>
          <w:sz w:val="20"/>
          <w:szCs w:val="20"/>
          <w:lang w:val="es-ES"/>
        </w:rPr>
        <w:t xml:space="preserve">La Comisión declaró el cumplimiento total de las recomendaciones 2, 3, 4  y 5 en el </w:t>
      </w:r>
      <w:r w:rsidR="002372F7" w:rsidRPr="00102AFB">
        <w:rPr>
          <w:rFonts w:ascii="Cambria" w:hAnsi="Cambria" w:cs="Calibri Light"/>
          <w:sz w:val="20"/>
          <w:szCs w:val="20"/>
          <w:lang w:val="es-ES"/>
        </w:rPr>
        <w:t xml:space="preserve">Informe de Fondo Nº </w:t>
      </w:r>
      <w:r w:rsidR="002372F7" w:rsidRPr="00102AFB">
        <w:rPr>
          <w:rFonts w:ascii="Cambria" w:hAnsi="Cambria" w:cs="Calibri Light"/>
          <w:color w:val="000000"/>
          <w:sz w:val="20"/>
          <w:szCs w:val="20"/>
          <w:lang w:val="es-ES"/>
        </w:rPr>
        <w:t>43/08</w:t>
      </w:r>
      <w:r w:rsidR="005B109E" w:rsidRPr="00102AFB">
        <w:rPr>
          <w:rStyle w:val="FootnoteReference"/>
          <w:rFonts w:cs="Calibri Light"/>
          <w:sz w:val="20"/>
          <w:szCs w:val="20"/>
          <w:lang w:val="es-ES"/>
        </w:rPr>
        <w:footnoteReference w:id="6"/>
      </w:r>
      <w:r w:rsidRPr="00102AFB">
        <w:rPr>
          <w:rFonts w:ascii="Cambria" w:hAnsi="Cambria" w:cs="Calibri Light"/>
          <w:color w:val="000000"/>
          <w:sz w:val="20"/>
          <w:szCs w:val="20"/>
          <w:lang w:val="es-ES"/>
        </w:rPr>
        <w:t>, y el cumplimiento total de la recomendación 1 en el Informe Anual 2016</w:t>
      </w:r>
      <w:r w:rsidRPr="00102AFB">
        <w:rPr>
          <w:rStyle w:val="FootnoteReference"/>
          <w:rFonts w:ascii="Cambria" w:hAnsi="Cambria" w:cs="Calibri Light"/>
          <w:color w:val="000000"/>
          <w:sz w:val="20"/>
          <w:szCs w:val="20"/>
          <w:lang w:val="es-ES"/>
        </w:rPr>
        <w:footnoteReference w:id="7"/>
      </w:r>
      <w:r w:rsidRPr="00102AFB">
        <w:rPr>
          <w:rFonts w:ascii="Cambria" w:hAnsi="Cambria" w:cs="Calibri Light"/>
          <w:color w:val="000000"/>
          <w:sz w:val="20"/>
          <w:szCs w:val="20"/>
          <w:lang w:val="es-ES"/>
        </w:rPr>
        <w:t xml:space="preserve">. </w:t>
      </w:r>
      <w:r w:rsidR="005B109E" w:rsidRPr="00102AFB">
        <w:rPr>
          <w:rFonts w:ascii="Cambria" w:hAnsi="Cambria" w:cs="Calibri Light"/>
          <w:color w:val="000000"/>
          <w:sz w:val="20"/>
          <w:szCs w:val="20"/>
          <w:lang w:val="es-ES"/>
        </w:rPr>
        <w:t xml:space="preserve"> </w:t>
      </w:r>
    </w:p>
    <w:p w14:paraId="483218D4" w14:textId="77777777" w:rsidR="00DF6DAE" w:rsidRPr="00102AFB" w:rsidRDefault="00DF6DAE" w:rsidP="00DF6DAE">
      <w:pPr>
        <w:pStyle w:val="ListParagraph"/>
        <w:shd w:val="clear" w:color="auto" w:fill="FFFFFF" w:themeFill="background1"/>
        <w:spacing w:after="0" w:line="240" w:lineRule="auto"/>
        <w:jc w:val="both"/>
        <w:rPr>
          <w:rFonts w:ascii="Cambria" w:hAnsi="Cambria" w:cs="Calibri Light"/>
          <w:sz w:val="20"/>
          <w:szCs w:val="20"/>
          <w:lang w:val="es-ES"/>
        </w:rPr>
      </w:pPr>
    </w:p>
    <w:p w14:paraId="551443E7" w14:textId="70F6145D" w:rsidR="00DF6DAE" w:rsidRPr="00102AFB" w:rsidRDefault="00DF6DAE" w:rsidP="00DF6DAE">
      <w:pPr>
        <w:pStyle w:val="ListParagraph"/>
        <w:numPr>
          <w:ilvl w:val="0"/>
          <w:numId w:val="34"/>
        </w:numPr>
        <w:shd w:val="clear" w:color="auto" w:fill="FFFFFF" w:themeFill="background1"/>
        <w:spacing w:after="0" w:line="240" w:lineRule="auto"/>
        <w:jc w:val="both"/>
        <w:rPr>
          <w:rFonts w:ascii="Cambria" w:hAnsi="Cambria" w:cs="Calibri Light"/>
          <w:sz w:val="20"/>
          <w:szCs w:val="20"/>
          <w:lang w:val="es-ES"/>
        </w:rPr>
      </w:pPr>
      <w:r w:rsidRPr="00102AFB">
        <w:rPr>
          <w:rFonts w:ascii="Cambria" w:hAnsi="Cambria" w:cs="Calibri Light"/>
          <w:color w:val="000000"/>
          <w:sz w:val="20"/>
          <w:szCs w:val="20"/>
          <w:lang w:val="es-ES"/>
        </w:rPr>
        <w:t>Por lo anterior, la Comisión declaró el cumplimiento total del caso y el cese de supervisión de cumplimiento de las recomendaciones emitidas en el Informe de Fondo Nº 43/08 en el Informe Anual 2016</w:t>
      </w:r>
      <w:r w:rsidRPr="00102AFB">
        <w:rPr>
          <w:rStyle w:val="FootnoteReference"/>
          <w:rFonts w:ascii="Cambria" w:hAnsi="Cambria" w:cs="Calibri Light"/>
          <w:color w:val="000000"/>
          <w:sz w:val="20"/>
          <w:szCs w:val="20"/>
          <w:lang w:val="es-ES"/>
        </w:rPr>
        <w:footnoteReference w:id="8"/>
      </w:r>
      <w:r w:rsidRPr="00102AFB">
        <w:rPr>
          <w:rFonts w:ascii="Cambria" w:hAnsi="Cambria" w:cs="Calibri Light"/>
          <w:color w:val="000000"/>
          <w:sz w:val="20"/>
          <w:szCs w:val="20"/>
          <w:lang w:val="es-ES"/>
        </w:rPr>
        <w:t xml:space="preserve">. </w:t>
      </w:r>
    </w:p>
    <w:p w14:paraId="550DE1AA" w14:textId="77777777" w:rsidR="00A9421B" w:rsidRPr="00102AFB" w:rsidRDefault="00A9421B" w:rsidP="00281393">
      <w:pPr>
        <w:pStyle w:val="ListParagraph"/>
        <w:spacing w:after="0" w:line="240" w:lineRule="auto"/>
        <w:ind w:left="810"/>
        <w:jc w:val="both"/>
        <w:rPr>
          <w:rFonts w:ascii="Cambria" w:hAnsi="Cambria"/>
          <w:sz w:val="20"/>
          <w:szCs w:val="20"/>
          <w:lang w:val="es-ES"/>
        </w:rPr>
      </w:pPr>
    </w:p>
    <w:p w14:paraId="1097201C" w14:textId="18750F9F" w:rsidR="00BB56C4" w:rsidRPr="00102AFB" w:rsidRDefault="00BB56C4" w:rsidP="009969F9">
      <w:pPr>
        <w:pStyle w:val="ListParagraph"/>
        <w:numPr>
          <w:ilvl w:val="0"/>
          <w:numId w:val="18"/>
        </w:numPr>
        <w:spacing w:after="0" w:line="240" w:lineRule="auto"/>
        <w:ind w:firstLine="0"/>
        <w:jc w:val="both"/>
        <w:rPr>
          <w:rFonts w:ascii="Cambria" w:hAnsi="Cambria" w:cs="Calibri Light"/>
          <w:b/>
          <w:sz w:val="20"/>
          <w:szCs w:val="20"/>
          <w:lang w:val="es-ES"/>
        </w:rPr>
      </w:pPr>
      <w:r w:rsidRPr="00102AFB">
        <w:rPr>
          <w:rFonts w:ascii="Cambria" w:hAnsi="Cambria" w:cs="Calibri Light"/>
          <w:b/>
          <w:sz w:val="20"/>
          <w:szCs w:val="20"/>
          <w:lang w:val="es-ES"/>
        </w:rPr>
        <w:t xml:space="preserve">Resultados individuales </w:t>
      </w:r>
      <w:r w:rsidR="00460578" w:rsidRPr="00102AFB">
        <w:rPr>
          <w:rFonts w:ascii="Cambria" w:hAnsi="Cambria" w:cs="Calibri Light"/>
          <w:b/>
          <w:sz w:val="20"/>
          <w:szCs w:val="20"/>
          <w:lang w:val="es-ES"/>
        </w:rPr>
        <w:t xml:space="preserve">y estructurales </w:t>
      </w:r>
      <w:r w:rsidRPr="00102AFB">
        <w:rPr>
          <w:rFonts w:ascii="Cambria" w:hAnsi="Cambria" w:cs="Calibri Light"/>
          <w:b/>
          <w:sz w:val="20"/>
          <w:szCs w:val="20"/>
          <w:lang w:val="es-ES"/>
        </w:rPr>
        <w:t xml:space="preserve">del caso </w:t>
      </w:r>
    </w:p>
    <w:p w14:paraId="10B7947D" w14:textId="77777777" w:rsidR="00BB56C4" w:rsidRPr="00102AFB" w:rsidRDefault="00BB56C4" w:rsidP="00BB56C4">
      <w:pPr>
        <w:spacing w:after="0" w:line="240" w:lineRule="auto"/>
        <w:rPr>
          <w:rFonts w:ascii="Cambria" w:hAnsi="Cambria"/>
          <w:sz w:val="20"/>
          <w:szCs w:val="20"/>
          <w:lang w:val="es-ES"/>
        </w:rPr>
      </w:pPr>
    </w:p>
    <w:p w14:paraId="6DC8295E" w14:textId="01C7650A" w:rsidR="00BB56C4" w:rsidRPr="00102AFB" w:rsidRDefault="002D2490" w:rsidP="00126AB7">
      <w:pPr>
        <w:pStyle w:val="ListParagraph"/>
        <w:numPr>
          <w:ilvl w:val="0"/>
          <w:numId w:val="34"/>
        </w:numPr>
        <w:spacing w:after="0" w:line="240" w:lineRule="auto"/>
        <w:jc w:val="both"/>
        <w:rPr>
          <w:rFonts w:ascii="Cambria" w:hAnsi="Cambria"/>
          <w:sz w:val="20"/>
          <w:szCs w:val="20"/>
          <w:lang w:val="es-ES"/>
        </w:rPr>
      </w:pPr>
      <w:r w:rsidRPr="00102AFB">
        <w:rPr>
          <w:rFonts w:ascii="Cambria" w:hAnsi="Cambria"/>
          <w:sz w:val="20"/>
          <w:szCs w:val="20"/>
          <w:lang w:val="es-ES"/>
        </w:rPr>
        <w:t>En esta sección se destacan los resultados individuales del caso que han sido informados por las parte</w:t>
      </w:r>
      <w:r w:rsidR="005F06F5" w:rsidRPr="00102AFB">
        <w:rPr>
          <w:rFonts w:ascii="Cambria" w:hAnsi="Cambria"/>
          <w:sz w:val="20"/>
          <w:szCs w:val="20"/>
          <w:lang w:val="es-ES"/>
        </w:rPr>
        <w:t>s.</w:t>
      </w:r>
      <w:r w:rsidR="00BB56C4" w:rsidRPr="00102AFB">
        <w:rPr>
          <w:rFonts w:ascii="Cambria" w:hAnsi="Cambria"/>
          <w:sz w:val="20"/>
          <w:szCs w:val="20"/>
          <w:lang w:val="es-ES"/>
        </w:rPr>
        <w:t xml:space="preserve"> </w:t>
      </w:r>
    </w:p>
    <w:p w14:paraId="597BF27E" w14:textId="10D1B9B2" w:rsidR="00460578" w:rsidRPr="00102AFB" w:rsidRDefault="00460578" w:rsidP="00460578">
      <w:pPr>
        <w:spacing w:after="0" w:line="240" w:lineRule="auto"/>
        <w:jc w:val="both"/>
        <w:rPr>
          <w:rFonts w:ascii="Cambria" w:hAnsi="Cambria"/>
          <w:b/>
          <w:sz w:val="20"/>
          <w:szCs w:val="20"/>
          <w:lang w:val="es-ES"/>
        </w:rPr>
      </w:pPr>
    </w:p>
    <w:p w14:paraId="58CDA9BE" w14:textId="555AEBCF" w:rsidR="00460578" w:rsidRPr="00102AFB" w:rsidRDefault="00460578" w:rsidP="00460578">
      <w:pPr>
        <w:pStyle w:val="ListParagraph"/>
        <w:numPr>
          <w:ilvl w:val="0"/>
          <w:numId w:val="45"/>
        </w:numPr>
        <w:spacing w:after="0" w:line="240" w:lineRule="auto"/>
        <w:jc w:val="both"/>
        <w:rPr>
          <w:rFonts w:ascii="Cambria" w:hAnsi="Cambria"/>
          <w:b/>
          <w:sz w:val="20"/>
          <w:szCs w:val="20"/>
          <w:lang w:val="es-ES"/>
        </w:rPr>
      </w:pPr>
      <w:r w:rsidRPr="00102AFB">
        <w:rPr>
          <w:rFonts w:ascii="Cambria" w:hAnsi="Cambria"/>
          <w:b/>
          <w:sz w:val="20"/>
          <w:szCs w:val="20"/>
          <w:lang w:val="es-ES"/>
        </w:rPr>
        <w:t>Resultados individuales del caso</w:t>
      </w:r>
    </w:p>
    <w:p w14:paraId="32E7F090" w14:textId="36FBFD6D" w:rsidR="00BB56C4" w:rsidRPr="00102AFB" w:rsidRDefault="00460578" w:rsidP="008E65AE">
      <w:pPr>
        <w:spacing w:after="0" w:line="240" w:lineRule="auto"/>
        <w:rPr>
          <w:rFonts w:ascii="Cambria" w:hAnsi="Cambria"/>
          <w:i/>
          <w:sz w:val="20"/>
          <w:szCs w:val="20"/>
          <w:lang w:val="es-ES"/>
        </w:rPr>
      </w:pPr>
      <w:r w:rsidRPr="00102AFB">
        <w:rPr>
          <w:rFonts w:ascii="Cambria" w:hAnsi="Cambria"/>
          <w:sz w:val="20"/>
          <w:szCs w:val="20"/>
          <w:lang w:val="es-ES"/>
        </w:rPr>
        <w:br/>
      </w:r>
      <w:r w:rsidRPr="00102AFB">
        <w:rPr>
          <w:rFonts w:ascii="Cambria" w:hAnsi="Cambria"/>
          <w:i/>
          <w:sz w:val="20"/>
          <w:szCs w:val="20"/>
          <w:lang w:val="es-ES"/>
        </w:rPr>
        <w:t>Medidas de compensación pecuniaria</w:t>
      </w:r>
    </w:p>
    <w:p w14:paraId="584C172A" w14:textId="2C9C6D3C" w:rsidR="00E16F26" w:rsidRPr="00102AFB" w:rsidRDefault="00A94331" w:rsidP="00A94331">
      <w:pPr>
        <w:pStyle w:val="ListParagraph"/>
        <w:numPr>
          <w:ilvl w:val="0"/>
          <w:numId w:val="44"/>
        </w:numPr>
        <w:spacing w:after="0" w:line="240" w:lineRule="auto"/>
        <w:jc w:val="both"/>
        <w:rPr>
          <w:rFonts w:ascii="Cambria" w:hAnsi="Cambria"/>
          <w:sz w:val="20"/>
          <w:szCs w:val="20"/>
          <w:lang w:val="es-ES"/>
        </w:rPr>
      </w:pPr>
      <w:r w:rsidRPr="00102AFB">
        <w:rPr>
          <w:rFonts w:ascii="Cambria" w:hAnsi="Cambria"/>
          <w:sz w:val="20"/>
          <w:szCs w:val="20"/>
          <w:lang w:val="es-ES"/>
        </w:rPr>
        <w:t xml:space="preserve">Indemnización pagada a las víctimas mediante una conciliación pecuniaria acordada entre los representantes de las víctimas y la Policía Nacional, la cual fue aprobada por </w:t>
      </w:r>
      <w:r w:rsidR="00BB3376" w:rsidRPr="00102AFB">
        <w:rPr>
          <w:rFonts w:ascii="Cambria" w:hAnsi="Cambria"/>
          <w:sz w:val="20"/>
          <w:szCs w:val="20"/>
          <w:lang w:val="es-ES"/>
        </w:rPr>
        <w:t>el Consejo de Estado mediante auto del 22 de febrero de 2007.</w:t>
      </w:r>
    </w:p>
    <w:p w14:paraId="098FA66F" w14:textId="04609592" w:rsidR="00460578" w:rsidRPr="00102AFB" w:rsidRDefault="00460578" w:rsidP="00460578">
      <w:pPr>
        <w:spacing w:after="0" w:line="240" w:lineRule="auto"/>
        <w:jc w:val="both"/>
        <w:rPr>
          <w:rFonts w:ascii="Cambria" w:hAnsi="Cambria"/>
          <w:sz w:val="20"/>
          <w:szCs w:val="20"/>
          <w:lang w:val="es-ES"/>
        </w:rPr>
      </w:pPr>
    </w:p>
    <w:p w14:paraId="0856A688" w14:textId="3020F38D" w:rsidR="00460578" w:rsidRPr="00102AFB" w:rsidRDefault="00460578" w:rsidP="00460578">
      <w:pPr>
        <w:spacing w:after="0" w:line="240" w:lineRule="auto"/>
        <w:jc w:val="both"/>
        <w:rPr>
          <w:rFonts w:ascii="Cambria" w:hAnsi="Cambria"/>
          <w:i/>
          <w:sz w:val="20"/>
          <w:szCs w:val="20"/>
          <w:lang w:val="es-ES"/>
        </w:rPr>
      </w:pPr>
      <w:r w:rsidRPr="00102AFB">
        <w:rPr>
          <w:rFonts w:ascii="Cambria" w:hAnsi="Cambria"/>
          <w:i/>
          <w:sz w:val="20"/>
          <w:szCs w:val="20"/>
          <w:lang w:val="es-ES"/>
        </w:rPr>
        <w:t>Medidas de satisfacción</w:t>
      </w:r>
    </w:p>
    <w:p w14:paraId="1CA2AD18" w14:textId="77777777" w:rsidR="00753F6B" w:rsidRPr="00102AFB" w:rsidRDefault="00B744CF" w:rsidP="004C64D5">
      <w:pPr>
        <w:pStyle w:val="ListParagraph"/>
        <w:numPr>
          <w:ilvl w:val="0"/>
          <w:numId w:val="44"/>
        </w:numPr>
        <w:spacing w:after="0" w:line="240" w:lineRule="auto"/>
        <w:jc w:val="both"/>
        <w:rPr>
          <w:rFonts w:ascii="Cambria" w:hAnsi="Cambria"/>
          <w:sz w:val="20"/>
          <w:szCs w:val="20"/>
          <w:lang w:val="es-ES"/>
        </w:rPr>
      </w:pPr>
      <w:r w:rsidRPr="00102AFB">
        <w:rPr>
          <w:rFonts w:ascii="Cambria" w:hAnsi="Cambria"/>
          <w:sz w:val="20"/>
          <w:szCs w:val="20"/>
          <w:lang w:val="es-ES"/>
        </w:rPr>
        <w:t xml:space="preserve">Actos de recuperación de </w:t>
      </w:r>
      <w:r w:rsidR="00AF25F2" w:rsidRPr="00102AFB">
        <w:rPr>
          <w:rFonts w:ascii="Cambria" w:hAnsi="Cambria"/>
          <w:sz w:val="20"/>
          <w:szCs w:val="20"/>
          <w:lang w:val="es-ES"/>
        </w:rPr>
        <w:t xml:space="preserve">la </w:t>
      </w:r>
      <w:r w:rsidRPr="00102AFB">
        <w:rPr>
          <w:rFonts w:ascii="Cambria" w:hAnsi="Cambria"/>
          <w:sz w:val="20"/>
          <w:szCs w:val="20"/>
          <w:lang w:val="es-ES"/>
        </w:rPr>
        <w:t xml:space="preserve">memoria histórica </w:t>
      </w:r>
      <w:r w:rsidR="00AD6DBA" w:rsidRPr="00102AFB">
        <w:rPr>
          <w:rFonts w:ascii="Cambria" w:hAnsi="Cambria"/>
          <w:sz w:val="20"/>
          <w:szCs w:val="20"/>
          <w:lang w:val="es-ES"/>
        </w:rPr>
        <w:t xml:space="preserve">de </w:t>
      </w:r>
      <w:proofErr w:type="spellStart"/>
      <w:r w:rsidR="00AD6DBA" w:rsidRPr="00102AFB">
        <w:rPr>
          <w:rFonts w:ascii="Cambria" w:hAnsi="Cambria"/>
          <w:sz w:val="20"/>
          <w:szCs w:val="20"/>
          <w:lang w:val="es-ES"/>
        </w:rPr>
        <w:t>Leydi</w:t>
      </w:r>
      <w:proofErr w:type="spellEnd"/>
      <w:r w:rsidR="00AD6DBA" w:rsidRPr="00102AFB">
        <w:rPr>
          <w:rFonts w:ascii="Cambria" w:hAnsi="Cambria"/>
          <w:sz w:val="20"/>
          <w:szCs w:val="20"/>
          <w:lang w:val="es-ES"/>
        </w:rPr>
        <w:t xml:space="preserve"> </w:t>
      </w:r>
      <w:proofErr w:type="spellStart"/>
      <w:r w:rsidR="00AD6DBA" w:rsidRPr="00102AFB">
        <w:rPr>
          <w:rFonts w:ascii="Cambria" w:hAnsi="Cambria"/>
          <w:sz w:val="20"/>
          <w:szCs w:val="20"/>
          <w:lang w:val="es-ES"/>
        </w:rPr>
        <w:t>Dayán</w:t>
      </w:r>
      <w:proofErr w:type="spellEnd"/>
      <w:r w:rsidR="00AD6DBA" w:rsidRPr="00102AFB">
        <w:rPr>
          <w:rFonts w:ascii="Cambria" w:hAnsi="Cambria"/>
          <w:sz w:val="20"/>
          <w:szCs w:val="20"/>
          <w:lang w:val="es-ES"/>
        </w:rPr>
        <w:t xml:space="preserve"> Sánchez </w:t>
      </w:r>
      <w:r w:rsidRPr="00102AFB">
        <w:rPr>
          <w:rFonts w:ascii="Cambria" w:hAnsi="Cambria"/>
          <w:sz w:val="20"/>
          <w:szCs w:val="20"/>
          <w:lang w:val="es-ES"/>
        </w:rPr>
        <w:t>realizados</w:t>
      </w:r>
      <w:r w:rsidR="00AF25F2" w:rsidRPr="00102AFB">
        <w:rPr>
          <w:rFonts w:ascii="Cambria" w:hAnsi="Cambria"/>
          <w:sz w:val="20"/>
          <w:szCs w:val="20"/>
          <w:lang w:val="es-ES"/>
        </w:rPr>
        <w:t xml:space="preserve"> el 8 de septiembre de 2006 y</w:t>
      </w:r>
      <w:r w:rsidRPr="00102AFB">
        <w:rPr>
          <w:rFonts w:ascii="Cambria" w:hAnsi="Cambria"/>
          <w:sz w:val="20"/>
          <w:szCs w:val="20"/>
          <w:lang w:val="es-ES"/>
        </w:rPr>
        <w:t xml:space="preserve"> el 20 de noviembre de 2006</w:t>
      </w:r>
      <w:r w:rsidR="00AF25F2" w:rsidRPr="00102AFB">
        <w:rPr>
          <w:rFonts w:ascii="Cambria" w:hAnsi="Cambria"/>
          <w:sz w:val="20"/>
          <w:szCs w:val="20"/>
          <w:lang w:val="es-ES"/>
        </w:rPr>
        <w:t>. El segundo de estos actos se llevó a cabo de forma concertada con los representantes de las víctimas,</w:t>
      </w:r>
      <w:r w:rsidRPr="00102AFB">
        <w:rPr>
          <w:rFonts w:ascii="Cambria" w:hAnsi="Cambria"/>
          <w:sz w:val="20"/>
          <w:szCs w:val="20"/>
          <w:lang w:val="es-ES"/>
        </w:rPr>
        <w:t xml:space="preserve"> en la escuela en donde </w:t>
      </w:r>
      <w:proofErr w:type="spellStart"/>
      <w:r w:rsidR="00AF25F2" w:rsidRPr="00102AFB">
        <w:rPr>
          <w:rFonts w:ascii="Cambria" w:hAnsi="Cambria"/>
          <w:sz w:val="20"/>
          <w:szCs w:val="20"/>
          <w:lang w:val="es-ES"/>
        </w:rPr>
        <w:t>Leydi</w:t>
      </w:r>
      <w:proofErr w:type="spellEnd"/>
      <w:r w:rsidR="00AF25F2" w:rsidRPr="00102AFB">
        <w:rPr>
          <w:rFonts w:ascii="Cambria" w:hAnsi="Cambria"/>
          <w:sz w:val="20"/>
          <w:szCs w:val="20"/>
          <w:lang w:val="es-ES"/>
        </w:rPr>
        <w:t xml:space="preserve"> </w:t>
      </w:r>
      <w:proofErr w:type="spellStart"/>
      <w:r w:rsidR="00AF25F2" w:rsidRPr="00102AFB">
        <w:rPr>
          <w:rFonts w:ascii="Cambria" w:hAnsi="Cambria"/>
          <w:sz w:val="20"/>
          <w:szCs w:val="20"/>
          <w:lang w:val="es-ES"/>
        </w:rPr>
        <w:t>Dayán</w:t>
      </w:r>
      <w:proofErr w:type="spellEnd"/>
      <w:r w:rsidR="00AF25F2" w:rsidRPr="00102AFB">
        <w:rPr>
          <w:rFonts w:ascii="Cambria" w:hAnsi="Cambria"/>
          <w:sz w:val="20"/>
          <w:szCs w:val="20"/>
          <w:lang w:val="es-ES"/>
        </w:rPr>
        <w:t xml:space="preserve"> Sánchez adelantaba sus estudios</w:t>
      </w:r>
      <w:r w:rsidRPr="00102AFB">
        <w:rPr>
          <w:rFonts w:ascii="Cambria" w:hAnsi="Cambria"/>
          <w:sz w:val="20"/>
          <w:szCs w:val="20"/>
          <w:lang w:val="es-ES"/>
        </w:rPr>
        <w:t>.</w:t>
      </w:r>
      <w:r w:rsidR="00007D3D" w:rsidRPr="00102AFB">
        <w:rPr>
          <w:rFonts w:ascii="Cambria" w:hAnsi="Cambria"/>
          <w:sz w:val="20"/>
          <w:szCs w:val="20"/>
          <w:lang w:val="es-ES"/>
        </w:rPr>
        <w:t xml:space="preserve"> Estos actos contaron con la participación del Director General de la Policía Nacional</w:t>
      </w:r>
      <w:r w:rsidR="00987022" w:rsidRPr="00102AFB">
        <w:rPr>
          <w:rFonts w:ascii="Cambria" w:hAnsi="Cambria"/>
          <w:sz w:val="20"/>
          <w:szCs w:val="20"/>
          <w:lang w:val="es-ES"/>
        </w:rPr>
        <w:t>,</w:t>
      </w:r>
      <w:r w:rsidR="00007D3D" w:rsidRPr="00102AFB">
        <w:rPr>
          <w:rFonts w:ascii="Cambria" w:hAnsi="Cambria"/>
          <w:sz w:val="20"/>
          <w:szCs w:val="20"/>
          <w:lang w:val="es-ES"/>
        </w:rPr>
        <w:t xml:space="preserve"> quien reconoció responsabilidad en nombre del Estado y pidió perdón a los familiares</w:t>
      </w:r>
      <w:r w:rsidR="00007D3D" w:rsidRPr="00102AFB">
        <w:rPr>
          <w:rStyle w:val="FootnoteReference"/>
          <w:rFonts w:ascii="Cambria" w:hAnsi="Cambria"/>
          <w:sz w:val="20"/>
          <w:szCs w:val="20"/>
          <w:lang w:val="es-ES"/>
        </w:rPr>
        <w:footnoteReference w:id="9"/>
      </w:r>
      <w:r w:rsidR="00007D3D" w:rsidRPr="00102AFB">
        <w:rPr>
          <w:rFonts w:ascii="Cambria" w:hAnsi="Cambria"/>
          <w:sz w:val="20"/>
          <w:szCs w:val="20"/>
          <w:lang w:val="es-ES"/>
        </w:rPr>
        <w:t>.</w:t>
      </w:r>
      <w:r w:rsidR="00987022" w:rsidRPr="00102AFB">
        <w:rPr>
          <w:rFonts w:ascii="Cambria" w:hAnsi="Cambria"/>
          <w:sz w:val="20"/>
          <w:szCs w:val="20"/>
          <w:lang w:val="es-ES"/>
        </w:rPr>
        <w:t xml:space="preserve"> </w:t>
      </w:r>
    </w:p>
    <w:p w14:paraId="634EB3B3" w14:textId="73FBF51F" w:rsidR="004C64D5" w:rsidRPr="00102AFB" w:rsidRDefault="00753F6B" w:rsidP="004C64D5">
      <w:pPr>
        <w:pStyle w:val="ListParagraph"/>
        <w:numPr>
          <w:ilvl w:val="0"/>
          <w:numId w:val="44"/>
        </w:numPr>
        <w:spacing w:after="0" w:line="240" w:lineRule="auto"/>
        <w:jc w:val="both"/>
        <w:rPr>
          <w:rFonts w:ascii="Cambria" w:hAnsi="Cambria"/>
          <w:sz w:val="20"/>
          <w:szCs w:val="20"/>
          <w:lang w:val="es-ES"/>
        </w:rPr>
      </w:pPr>
      <w:r w:rsidRPr="00102AFB">
        <w:rPr>
          <w:rFonts w:ascii="Cambria" w:hAnsi="Cambria"/>
          <w:sz w:val="20"/>
          <w:szCs w:val="20"/>
          <w:lang w:val="es-ES"/>
        </w:rPr>
        <w:lastRenderedPageBreak/>
        <w:t xml:space="preserve">Placa develada en memoria de </w:t>
      </w:r>
      <w:proofErr w:type="spellStart"/>
      <w:r w:rsidRPr="00102AFB">
        <w:rPr>
          <w:rFonts w:ascii="Cambria" w:hAnsi="Cambria"/>
          <w:sz w:val="20"/>
          <w:szCs w:val="20"/>
          <w:lang w:val="es-ES"/>
        </w:rPr>
        <w:t>Leydi</w:t>
      </w:r>
      <w:proofErr w:type="spellEnd"/>
      <w:r w:rsidRPr="00102AFB">
        <w:rPr>
          <w:rFonts w:ascii="Cambria" w:hAnsi="Cambria"/>
          <w:sz w:val="20"/>
          <w:szCs w:val="20"/>
          <w:lang w:val="es-ES"/>
        </w:rPr>
        <w:t xml:space="preserve"> </w:t>
      </w:r>
      <w:proofErr w:type="spellStart"/>
      <w:r w:rsidRPr="00102AFB">
        <w:rPr>
          <w:rFonts w:ascii="Cambria" w:hAnsi="Cambria"/>
          <w:sz w:val="20"/>
          <w:szCs w:val="20"/>
          <w:lang w:val="es-ES"/>
        </w:rPr>
        <w:t>Dayán</w:t>
      </w:r>
      <w:proofErr w:type="spellEnd"/>
      <w:r w:rsidRPr="00102AFB">
        <w:rPr>
          <w:rFonts w:ascii="Cambria" w:hAnsi="Cambria"/>
          <w:sz w:val="20"/>
          <w:szCs w:val="20"/>
          <w:lang w:val="es-ES"/>
        </w:rPr>
        <w:t xml:space="preserve"> Sánchez durante el acto de </w:t>
      </w:r>
      <w:r w:rsidR="002A7AF3">
        <w:rPr>
          <w:rFonts w:ascii="Cambria" w:hAnsi="Cambria"/>
          <w:sz w:val="20"/>
          <w:szCs w:val="20"/>
          <w:lang w:val="es-ES"/>
        </w:rPr>
        <w:t>reconocimiento realizado</w:t>
      </w:r>
      <w:r w:rsidRPr="00102AFB">
        <w:rPr>
          <w:rFonts w:ascii="Cambria" w:hAnsi="Cambria"/>
          <w:sz w:val="20"/>
          <w:szCs w:val="20"/>
          <w:lang w:val="es-ES"/>
        </w:rPr>
        <w:t xml:space="preserve"> el 20 de noviembre de 2006 en la escuela en donde </w:t>
      </w:r>
      <w:proofErr w:type="spellStart"/>
      <w:r w:rsidRPr="00102AFB">
        <w:rPr>
          <w:rFonts w:ascii="Cambria" w:hAnsi="Cambria"/>
          <w:sz w:val="20"/>
          <w:szCs w:val="20"/>
          <w:lang w:val="es-ES"/>
        </w:rPr>
        <w:t>Leydi</w:t>
      </w:r>
      <w:proofErr w:type="spellEnd"/>
      <w:r w:rsidRPr="00102AFB">
        <w:rPr>
          <w:rFonts w:ascii="Cambria" w:hAnsi="Cambria"/>
          <w:sz w:val="20"/>
          <w:szCs w:val="20"/>
          <w:lang w:val="es-ES"/>
        </w:rPr>
        <w:t xml:space="preserve"> </w:t>
      </w:r>
      <w:proofErr w:type="spellStart"/>
      <w:r w:rsidRPr="00102AFB">
        <w:rPr>
          <w:rFonts w:ascii="Cambria" w:hAnsi="Cambria"/>
          <w:sz w:val="20"/>
          <w:szCs w:val="20"/>
          <w:lang w:val="es-ES"/>
        </w:rPr>
        <w:t>Dayán</w:t>
      </w:r>
      <w:proofErr w:type="spellEnd"/>
      <w:r w:rsidRPr="00102AFB">
        <w:rPr>
          <w:rFonts w:ascii="Cambria" w:hAnsi="Cambria"/>
          <w:sz w:val="20"/>
          <w:szCs w:val="20"/>
          <w:lang w:val="es-ES"/>
        </w:rPr>
        <w:t xml:space="preserve"> Sánchez </w:t>
      </w:r>
      <w:r w:rsidR="00357DCB">
        <w:rPr>
          <w:rFonts w:ascii="Cambria" w:hAnsi="Cambria"/>
          <w:sz w:val="20"/>
          <w:szCs w:val="20"/>
          <w:lang w:val="es-ES"/>
        </w:rPr>
        <w:t>estudiaba</w:t>
      </w:r>
      <w:r w:rsidRPr="00102AFB">
        <w:rPr>
          <w:rFonts w:ascii="Cambria" w:hAnsi="Cambria"/>
          <w:sz w:val="20"/>
          <w:szCs w:val="20"/>
          <w:lang w:val="es-ES"/>
        </w:rPr>
        <w:t xml:space="preserve">. </w:t>
      </w:r>
    </w:p>
    <w:p w14:paraId="6F670CC7" w14:textId="77777777" w:rsidR="00A94331" w:rsidRPr="00102AFB" w:rsidRDefault="00A94331" w:rsidP="008E65AE">
      <w:pPr>
        <w:spacing w:after="0" w:line="240" w:lineRule="auto"/>
        <w:jc w:val="both"/>
        <w:rPr>
          <w:rFonts w:ascii="Cambria" w:hAnsi="Cambria"/>
          <w:i/>
          <w:sz w:val="20"/>
          <w:szCs w:val="20"/>
          <w:lang w:val="es-ES"/>
        </w:rPr>
      </w:pPr>
    </w:p>
    <w:p w14:paraId="07049012" w14:textId="77777777" w:rsidR="002502B6" w:rsidRPr="00102AFB" w:rsidRDefault="00F57B79" w:rsidP="008E65AE">
      <w:pPr>
        <w:spacing w:after="0" w:line="240" w:lineRule="auto"/>
        <w:jc w:val="both"/>
        <w:rPr>
          <w:rFonts w:ascii="Cambria" w:hAnsi="Cambria"/>
          <w:i/>
          <w:sz w:val="20"/>
          <w:szCs w:val="20"/>
          <w:lang w:val="es-ES"/>
        </w:rPr>
      </w:pPr>
      <w:r w:rsidRPr="00102AFB">
        <w:rPr>
          <w:rFonts w:ascii="Cambria" w:hAnsi="Cambria"/>
          <w:i/>
          <w:sz w:val="20"/>
          <w:szCs w:val="20"/>
          <w:lang w:val="es-ES"/>
        </w:rPr>
        <w:t>Medidas en materia de verdad y justicia</w:t>
      </w:r>
    </w:p>
    <w:p w14:paraId="079AC10E" w14:textId="27E7E22C" w:rsidR="00C36217" w:rsidRPr="00102AFB" w:rsidRDefault="00B447EE" w:rsidP="00B447EE">
      <w:pPr>
        <w:pStyle w:val="ListParagraph"/>
        <w:numPr>
          <w:ilvl w:val="0"/>
          <w:numId w:val="40"/>
        </w:numPr>
        <w:spacing w:after="0" w:line="240" w:lineRule="auto"/>
        <w:jc w:val="both"/>
        <w:rPr>
          <w:rFonts w:ascii="Cambria" w:hAnsi="Cambria" w:cs="Calibri Light"/>
          <w:sz w:val="20"/>
          <w:szCs w:val="20"/>
          <w:lang w:val="es-ES"/>
        </w:rPr>
      </w:pPr>
      <w:r w:rsidRPr="00102AFB">
        <w:rPr>
          <w:rFonts w:ascii="Cambria" w:hAnsi="Cambria" w:cs="Calibri Light"/>
          <w:sz w:val="20"/>
          <w:szCs w:val="20"/>
          <w:lang w:val="es-ES"/>
        </w:rPr>
        <w:t>Sentencia</w:t>
      </w:r>
      <w:r w:rsidR="003D6EB7">
        <w:rPr>
          <w:rFonts w:ascii="Cambria" w:hAnsi="Cambria" w:cs="Calibri Light"/>
          <w:sz w:val="20"/>
          <w:szCs w:val="20"/>
          <w:lang w:val="es-ES"/>
        </w:rPr>
        <w:t xml:space="preserve"> No. </w:t>
      </w:r>
      <w:r w:rsidR="00A30445">
        <w:rPr>
          <w:rFonts w:ascii="Cambria" w:hAnsi="Cambria" w:cs="Calibri Light"/>
          <w:sz w:val="20"/>
          <w:szCs w:val="20"/>
          <w:lang w:val="es-ES"/>
        </w:rPr>
        <w:t>26077</w:t>
      </w:r>
      <w:r w:rsidRPr="00102AFB">
        <w:rPr>
          <w:rFonts w:ascii="Cambria" w:hAnsi="Cambria" w:cs="Calibri Light"/>
          <w:sz w:val="20"/>
          <w:szCs w:val="20"/>
          <w:lang w:val="es-ES"/>
        </w:rPr>
        <w:t xml:space="preserve"> del </w:t>
      </w:r>
      <w:r w:rsidR="003D6EB7">
        <w:rPr>
          <w:rFonts w:ascii="Cambria" w:hAnsi="Cambria" w:cs="Calibri Light"/>
          <w:sz w:val="20"/>
          <w:szCs w:val="20"/>
          <w:lang w:val="es-ES"/>
        </w:rPr>
        <w:t>1</w:t>
      </w:r>
      <w:r w:rsidRPr="00102AFB">
        <w:rPr>
          <w:rFonts w:ascii="Cambria" w:hAnsi="Cambria" w:cs="Calibri Light"/>
          <w:sz w:val="20"/>
          <w:szCs w:val="20"/>
          <w:lang w:val="es-ES"/>
        </w:rPr>
        <w:t xml:space="preserve"> de noviembre de 2007 proferida por</w:t>
      </w:r>
      <w:r w:rsidR="00E865BE" w:rsidRPr="00102AFB">
        <w:rPr>
          <w:rFonts w:ascii="Cambria" w:hAnsi="Cambria" w:cs="Calibri Light"/>
          <w:sz w:val="20"/>
          <w:szCs w:val="20"/>
          <w:lang w:val="es-ES"/>
        </w:rPr>
        <w:t xml:space="preserve"> la Sala de Casación Penal de la Corte Suprema de Justicia </w:t>
      </w:r>
      <w:r w:rsidRPr="00102AFB">
        <w:rPr>
          <w:rFonts w:ascii="Cambria" w:hAnsi="Cambria" w:cs="Calibri Light"/>
          <w:sz w:val="20"/>
          <w:szCs w:val="20"/>
          <w:lang w:val="es-ES"/>
        </w:rPr>
        <w:t xml:space="preserve">que decidió </w:t>
      </w:r>
      <w:r w:rsidR="005B2D25" w:rsidRPr="00102AFB">
        <w:rPr>
          <w:rFonts w:ascii="Cambria" w:hAnsi="Cambria" w:cs="Calibri Light"/>
          <w:sz w:val="20"/>
          <w:szCs w:val="20"/>
          <w:lang w:val="es-ES"/>
        </w:rPr>
        <w:t>de fondo la demanda de revisión presentada por el Ministerio Público</w:t>
      </w:r>
      <w:r w:rsidR="005A255E" w:rsidRPr="00102AFB">
        <w:rPr>
          <w:rFonts w:ascii="Cambria" w:hAnsi="Cambria" w:cs="Calibri Light"/>
          <w:sz w:val="20"/>
          <w:szCs w:val="20"/>
          <w:lang w:val="es-ES"/>
        </w:rPr>
        <w:t xml:space="preserve">. </w:t>
      </w:r>
      <w:r w:rsidRPr="00102AFB">
        <w:rPr>
          <w:rFonts w:ascii="Cambria" w:hAnsi="Cambria" w:cs="Calibri Light"/>
          <w:sz w:val="20"/>
          <w:szCs w:val="20"/>
          <w:lang w:val="es-ES"/>
        </w:rPr>
        <w:t xml:space="preserve">En esta sentencia, </w:t>
      </w:r>
      <w:r w:rsidR="005E0D02" w:rsidRPr="00102AFB">
        <w:rPr>
          <w:rFonts w:ascii="Cambria" w:hAnsi="Cambria" w:cs="Calibri Light"/>
          <w:spacing w:val="-3"/>
          <w:sz w:val="20"/>
          <w:szCs w:val="20"/>
          <w:lang w:val="es-ES"/>
        </w:rPr>
        <w:t xml:space="preserve">la Corte Suprema de Justicia </w:t>
      </w:r>
      <w:r w:rsidRPr="00102AFB">
        <w:rPr>
          <w:rFonts w:ascii="Cambria" w:hAnsi="Cambria" w:cs="Calibri Light"/>
          <w:spacing w:val="-3"/>
          <w:sz w:val="20"/>
          <w:szCs w:val="20"/>
          <w:lang w:val="es-ES"/>
        </w:rPr>
        <w:t>revisó</w:t>
      </w:r>
      <w:r w:rsidR="005E0D02" w:rsidRPr="00102AFB">
        <w:rPr>
          <w:rFonts w:ascii="Cambria" w:hAnsi="Cambria" w:cs="Calibri Light"/>
          <w:spacing w:val="-3"/>
          <w:sz w:val="20"/>
          <w:szCs w:val="20"/>
          <w:lang w:val="es-ES"/>
        </w:rPr>
        <w:t xml:space="preserve"> las sentencias de primera y segunda instancia proferidas, respectivamente, por el </w:t>
      </w:r>
      <w:r w:rsidR="005E0D02" w:rsidRPr="00102AFB">
        <w:rPr>
          <w:rFonts w:ascii="Cambria" w:hAnsi="Cambria" w:cs="Calibri Light"/>
          <w:sz w:val="20"/>
          <w:szCs w:val="20"/>
          <w:lang w:val="es-ES"/>
        </w:rPr>
        <w:t xml:space="preserve">Comandante del Departamento de Policía </w:t>
      </w:r>
      <w:proofErr w:type="spellStart"/>
      <w:r w:rsidR="005E0D02" w:rsidRPr="00102AFB">
        <w:rPr>
          <w:rFonts w:ascii="Cambria" w:hAnsi="Cambria" w:cs="Calibri Light"/>
          <w:sz w:val="20"/>
          <w:szCs w:val="20"/>
          <w:lang w:val="es-ES"/>
        </w:rPr>
        <w:t>Bacatá</w:t>
      </w:r>
      <w:proofErr w:type="spellEnd"/>
      <w:r w:rsidR="005E0D02" w:rsidRPr="00102AFB">
        <w:rPr>
          <w:rFonts w:ascii="Cambria" w:hAnsi="Cambria" w:cs="Calibri Light"/>
          <w:sz w:val="20"/>
          <w:szCs w:val="20"/>
          <w:lang w:val="es-ES"/>
        </w:rPr>
        <w:t>, el 6 de julio de 2000, y por el Tribunal Superior Militar, el 15 de mayo de 2001</w:t>
      </w:r>
      <w:r w:rsidR="000D26C0">
        <w:rPr>
          <w:rFonts w:ascii="Cambria" w:hAnsi="Cambria" w:cs="Calibri Light"/>
          <w:sz w:val="20"/>
          <w:szCs w:val="20"/>
          <w:lang w:val="es-ES"/>
        </w:rPr>
        <w:t>, que</w:t>
      </w:r>
      <w:r w:rsidR="005E0D02" w:rsidRPr="00102AFB">
        <w:rPr>
          <w:rFonts w:ascii="Cambria" w:hAnsi="Cambria" w:cs="Calibri Light"/>
          <w:sz w:val="20"/>
          <w:szCs w:val="20"/>
          <w:lang w:val="es-ES"/>
        </w:rPr>
        <w:t xml:space="preserve"> había</w:t>
      </w:r>
      <w:r w:rsidR="000D26C0">
        <w:rPr>
          <w:rFonts w:ascii="Cambria" w:hAnsi="Cambria" w:cs="Calibri Light"/>
          <w:sz w:val="20"/>
          <w:szCs w:val="20"/>
          <w:lang w:val="es-ES"/>
        </w:rPr>
        <w:t>n</w:t>
      </w:r>
      <w:r w:rsidR="005E0D02" w:rsidRPr="00102AFB">
        <w:rPr>
          <w:rFonts w:ascii="Cambria" w:hAnsi="Cambria" w:cs="Calibri Light"/>
          <w:sz w:val="20"/>
          <w:szCs w:val="20"/>
          <w:lang w:val="es-ES"/>
        </w:rPr>
        <w:t xml:space="preserve"> absuelto al patrullero Juan Bernardo Tulcán Vallejos del cargo de homicidio culposo, cometido con</w:t>
      </w:r>
      <w:r w:rsidR="006B4104" w:rsidRPr="00102AFB">
        <w:rPr>
          <w:rFonts w:ascii="Cambria" w:hAnsi="Cambria" w:cs="Calibri Light"/>
          <w:sz w:val="20"/>
          <w:szCs w:val="20"/>
          <w:lang w:val="es-ES"/>
        </w:rPr>
        <w:t>tra</w:t>
      </w:r>
      <w:r w:rsidR="005E0D02" w:rsidRPr="00102AFB">
        <w:rPr>
          <w:rFonts w:ascii="Cambria" w:hAnsi="Cambria" w:cs="Calibri Light"/>
          <w:sz w:val="20"/>
          <w:szCs w:val="20"/>
          <w:lang w:val="es-ES"/>
        </w:rPr>
        <w:t xml:space="preserve"> la niña </w:t>
      </w:r>
      <w:proofErr w:type="spellStart"/>
      <w:r w:rsidR="005E0D02" w:rsidRPr="00102AFB">
        <w:rPr>
          <w:rFonts w:ascii="Cambria" w:hAnsi="Cambria" w:cs="Calibri Light"/>
          <w:sz w:val="20"/>
          <w:szCs w:val="20"/>
          <w:lang w:val="es-ES"/>
        </w:rPr>
        <w:t>Leydi</w:t>
      </w:r>
      <w:proofErr w:type="spellEnd"/>
      <w:r w:rsidR="005E0D02" w:rsidRPr="00102AFB">
        <w:rPr>
          <w:rFonts w:ascii="Cambria" w:hAnsi="Cambria" w:cs="Calibri Light"/>
          <w:sz w:val="20"/>
          <w:szCs w:val="20"/>
          <w:lang w:val="es-ES"/>
        </w:rPr>
        <w:t xml:space="preserve"> </w:t>
      </w:r>
      <w:proofErr w:type="spellStart"/>
      <w:r w:rsidR="005E0D02" w:rsidRPr="00102AFB">
        <w:rPr>
          <w:rFonts w:ascii="Cambria" w:hAnsi="Cambria" w:cs="Calibri Light"/>
          <w:sz w:val="20"/>
          <w:szCs w:val="20"/>
          <w:lang w:val="es-ES"/>
        </w:rPr>
        <w:t>Dayán</w:t>
      </w:r>
      <w:proofErr w:type="spellEnd"/>
      <w:r w:rsidR="005E0D02" w:rsidRPr="00102AFB">
        <w:rPr>
          <w:rFonts w:ascii="Cambria" w:hAnsi="Cambria" w:cs="Calibri Light"/>
          <w:sz w:val="20"/>
          <w:szCs w:val="20"/>
          <w:lang w:val="es-ES"/>
        </w:rPr>
        <w:t xml:space="preserve"> Sánchez Tamayo. </w:t>
      </w:r>
      <w:r w:rsidR="00C27883" w:rsidRPr="00102AFB">
        <w:rPr>
          <w:rFonts w:ascii="Cambria" w:hAnsi="Cambria" w:cs="Calibri Light"/>
          <w:sz w:val="20"/>
          <w:szCs w:val="20"/>
          <w:lang w:val="es-ES"/>
        </w:rPr>
        <w:t>Además, la Corte Suprema</w:t>
      </w:r>
      <w:r w:rsidR="00944CE8" w:rsidRPr="00102AFB">
        <w:rPr>
          <w:rFonts w:ascii="Cambria" w:hAnsi="Cambria" w:cs="Calibri Light"/>
          <w:sz w:val="20"/>
          <w:szCs w:val="20"/>
          <w:lang w:val="es-ES"/>
        </w:rPr>
        <w:t xml:space="preserve"> </w:t>
      </w:r>
      <w:r w:rsidR="00C27883" w:rsidRPr="00102AFB">
        <w:rPr>
          <w:rFonts w:ascii="Cambria" w:hAnsi="Cambria" w:cs="Calibri Light"/>
          <w:spacing w:val="-3"/>
          <w:sz w:val="20"/>
          <w:szCs w:val="20"/>
          <w:lang w:val="es-ES"/>
        </w:rPr>
        <w:t>dejó</w:t>
      </w:r>
      <w:r w:rsidR="008C7DCC" w:rsidRPr="00102AFB">
        <w:rPr>
          <w:rFonts w:ascii="Cambria" w:hAnsi="Cambria" w:cs="Calibri Light"/>
          <w:spacing w:val="-3"/>
          <w:sz w:val="20"/>
          <w:szCs w:val="20"/>
          <w:lang w:val="es-ES"/>
        </w:rPr>
        <w:t xml:space="preserve"> sin efecto la actuación </w:t>
      </w:r>
      <w:r w:rsidR="00AB384C" w:rsidRPr="00102AFB">
        <w:rPr>
          <w:rFonts w:ascii="Cambria" w:hAnsi="Cambria" w:cs="Calibri Light"/>
          <w:spacing w:val="-3"/>
          <w:sz w:val="20"/>
          <w:szCs w:val="20"/>
          <w:lang w:val="es-ES"/>
        </w:rPr>
        <w:t>adelantada</w:t>
      </w:r>
      <w:r w:rsidR="008C7DCC" w:rsidRPr="00102AFB">
        <w:rPr>
          <w:rFonts w:ascii="Cambria" w:hAnsi="Cambria" w:cs="Calibri Light"/>
          <w:spacing w:val="-3"/>
          <w:sz w:val="20"/>
          <w:szCs w:val="20"/>
          <w:lang w:val="es-ES"/>
        </w:rPr>
        <w:t xml:space="preserve"> a partir</w:t>
      </w:r>
      <w:r w:rsidR="008C7DCC" w:rsidRPr="00102AFB">
        <w:rPr>
          <w:rFonts w:ascii="Cambria" w:hAnsi="Cambria" w:cs="Calibri Light"/>
          <w:sz w:val="20"/>
          <w:szCs w:val="20"/>
          <w:lang w:val="es-ES"/>
        </w:rPr>
        <w:t xml:space="preserve"> de la resolución del 23 de julio de 1999, </w:t>
      </w:r>
      <w:r w:rsidR="00AB384C" w:rsidRPr="00102AFB">
        <w:rPr>
          <w:rFonts w:ascii="Cambria" w:hAnsi="Cambria" w:cs="Calibri Light"/>
          <w:sz w:val="20"/>
          <w:szCs w:val="20"/>
          <w:lang w:val="es-ES"/>
        </w:rPr>
        <w:t>mediante la cual</w:t>
      </w:r>
      <w:r w:rsidR="008C7DCC" w:rsidRPr="00102AFB">
        <w:rPr>
          <w:rFonts w:ascii="Cambria" w:hAnsi="Cambria" w:cs="Calibri Light"/>
          <w:sz w:val="20"/>
          <w:szCs w:val="20"/>
          <w:lang w:val="es-ES"/>
        </w:rPr>
        <w:t xml:space="preserve"> el Comando de Policía </w:t>
      </w:r>
      <w:proofErr w:type="spellStart"/>
      <w:r w:rsidR="008C7DCC" w:rsidRPr="00102AFB">
        <w:rPr>
          <w:rFonts w:ascii="Cambria" w:hAnsi="Cambria" w:cs="Calibri Light"/>
          <w:sz w:val="20"/>
          <w:szCs w:val="20"/>
          <w:lang w:val="es-ES"/>
        </w:rPr>
        <w:t>Bacatá</w:t>
      </w:r>
      <w:proofErr w:type="spellEnd"/>
      <w:r w:rsidR="008C7DCC" w:rsidRPr="00102AFB">
        <w:rPr>
          <w:rFonts w:ascii="Cambria" w:hAnsi="Cambria" w:cs="Calibri Light"/>
          <w:sz w:val="20"/>
          <w:szCs w:val="20"/>
          <w:lang w:val="es-ES"/>
        </w:rPr>
        <w:t xml:space="preserve"> cerró la investigación en contra del </w:t>
      </w:r>
      <w:r w:rsidR="00AB384C" w:rsidRPr="00102AFB">
        <w:rPr>
          <w:rFonts w:ascii="Cambria" w:hAnsi="Cambria" w:cs="Calibri Light"/>
          <w:sz w:val="20"/>
          <w:szCs w:val="20"/>
          <w:lang w:val="es-ES"/>
        </w:rPr>
        <w:t>patrullero</w:t>
      </w:r>
      <w:r w:rsidR="00C27883" w:rsidRPr="00102AFB">
        <w:rPr>
          <w:rFonts w:ascii="Cambria" w:hAnsi="Cambria" w:cs="Calibri Light"/>
          <w:sz w:val="20"/>
          <w:szCs w:val="20"/>
          <w:lang w:val="es-ES"/>
        </w:rPr>
        <w:t xml:space="preserve">. Por último, </w:t>
      </w:r>
      <w:r w:rsidRPr="00102AFB">
        <w:rPr>
          <w:rFonts w:ascii="Cambria" w:hAnsi="Cambria" w:cs="Calibri Light"/>
          <w:sz w:val="20"/>
          <w:szCs w:val="20"/>
          <w:lang w:val="es-ES"/>
        </w:rPr>
        <w:t xml:space="preserve">esta decisión judicial </w:t>
      </w:r>
      <w:r w:rsidR="00C27883" w:rsidRPr="00102AFB">
        <w:rPr>
          <w:rFonts w:ascii="Cambria" w:hAnsi="Cambria" w:cs="Calibri Light"/>
          <w:sz w:val="20"/>
          <w:szCs w:val="20"/>
          <w:lang w:val="es-ES"/>
        </w:rPr>
        <w:t xml:space="preserve">ordenó </w:t>
      </w:r>
      <w:r w:rsidR="008C7DCC" w:rsidRPr="00102AFB">
        <w:rPr>
          <w:rFonts w:ascii="Cambria" w:hAnsi="Cambria" w:cs="Calibri Light"/>
          <w:sz w:val="20"/>
          <w:szCs w:val="20"/>
          <w:lang w:val="es-ES"/>
        </w:rPr>
        <w:t>rem</w:t>
      </w:r>
      <w:r w:rsidR="00AB384C" w:rsidRPr="00102AFB">
        <w:rPr>
          <w:rFonts w:ascii="Cambria" w:hAnsi="Cambria" w:cs="Calibri Light"/>
          <w:sz w:val="20"/>
          <w:szCs w:val="20"/>
          <w:lang w:val="es-ES"/>
        </w:rPr>
        <w:t>itir el caso</w:t>
      </w:r>
      <w:r w:rsidR="008C7DCC" w:rsidRPr="00102AFB">
        <w:rPr>
          <w:rFonts w:ascii="Cambria" w:hAnsi="Cambria" w:cs="Calibri Light"/>
          <w:sz w:val="20"/>
          <w:szCs w:val="20"/>
          <w:lang w:val="es-ES"/>
        </w:rPr>
        <w:t xml:space="preserve"> a la Fiscalía General de la Naci</w:t>
      </w:r>
      <w:r w:rsidR="00AB384C" w:rsidRPr="00102AFB">
        <w:rPr>
          <w:rFonts w:ascii="Cambria" w:hAnsi="Cambria" w:cs="Calibri Light"/>
          <w:sz w:val="20"/>
          <w:szCs w:val="20"/>
          <w:lang w:val="es-ES"/>
        </w:rPr>
        <w:t>ón</w:t>
      </w:r>
      <w:r w:rsidR="008C7DCC" w:rsidRPr="00102AFB">
        <w:rPr>
          <w:rFonts w:ascii="Cambria" w:hAnsi="Cambria" w:cs="Calibri Light"/>
          <w:sz w:val="20"/>
          <w:szCs w:val="20"/>
          <w:lang w:val="es-ES"/>
        </w:rPr>
        <w:t xml:space="preserve"> con el fin de que, al interior de la jurisdicción ordinaria, </w:t>
      </w:r>
      <w:r w:rsidR="003743FA" w:rsidRPr="00102AFB">
        <w:rPr>
          <w:rFonts w:ascii="Cambria" w:hAnsi="Cambria" w:cs="Calibri Light"/>
          <w:sz w:val="20"/>
          <w:szCs w:val="20"/>
          <w:lang w:val="es-ES"/>
        </w:rPr>
        <w:t xml:space="preserve">esa entidad </w:t>
      </w:r>
      <w:r w:rsidR="00AB384C" w:rsidRPr="00102AFB">
        <w:rPr>
          <w:rFonts w:ascii="Cambria" w:hAnsi="Cambria" w:cs="Calibri Light"/>
          <w:sz w:val="20"/>
          <w:szCs w:val="20"/>
          <w:lang w:val="es-ES"/>
        </w:rPr>
        <w:t>adelantara</w:t>
      </w:r>
      <w:r w:rsidR="008C7DCC" w:rsidRPr="00102AFB">
        <w:rPr>
          <w:rFonts w:ascii="Cambria" w:hAnsi="Cambria" w:cs="Calibri Light"/>
          <w:sz w:val="20"/>
          <w:szCs w:val="20"/>
          <w:lang w:val="es-ES"/>
        </w:rPr>
        <w:t xml:space="preserve"> esta investigaci</w:t>
      </w:r>
      <w:r w:rsidR="003743FA" w:rsidRPr="00102AFB">
        <w:rPr>
          <w:rFonts w:ascii="Cambria" w:hAnsi="Cambria" w:cs="Calibri Light"/>
          <w:sz w:val="20"/>
          <w:szCs w:val="20"/>
          <w:lang w:val="es-ES"/>
        </w:rPr>
        <w:t>ón</w:t>
      </w:r>
      <w:r w:rsidR="008C7DCC" w:rsidRPr="00102AFB">
        <w:rPr>
          <w:rFonts w:ascii="Cambria" w:hAnsi="Cambria" w:cs="Calibri Light"/>
          <w:sz w:val="20"/>
          <w:szCs w:val="20"/>
          <w:lang w:val="es-ES"/>
        </w:rPr>
        <w:t xml:space="preserve">. </w:t>
      </w:r>
      <w:r w:rsidR="00C36217" w:rsidRPr="00102AFB">
        <w:rPr>
          <w:rFonts w:ascii="Cambria" w:hAnsi="Cambria" w:cs="Calibri Light"/>
          <w:sz w:val="20"/>
          <w:szCs w:val="20"/>
          <w:lang w:val="es-ES"/>
        </w:rPr>
        <w:t>Esta decisión permitió el adelantamiento de la investigación penal por parte de la Fiscalía</w:t>
      </w:r>
      <w:r w:rsidRPr="00102AFB">
        <w:rPr>
          <w:rFonts w:ascii="Cambria" w:hAnsi="Cambria" w:cs="Calibri Light"/>
          <w:sz w:val="20"/>
          <w:szCs w:val="20"/>
          <w:lang w:val="es-ES"/>
        </w:rPr>
        <w:t>,</w:t>
      </w:r>
      <w:r w:rsidR="00C36217" w:rsidRPr="00102AFB">
        <w:rPr>
          <w:rFonts w:ascii="Cambria" w:hAnsi="Cambria" w:cs="Calibri Light"/>
          <w:sz w:val="20"/>
          <w:szCs w:val="20"/>
          <w:lang w:val="es-ES"/>
        </w:rPr>
        <w:t xml:space="preserve"> con la participación de las víctimas. </w:t>
      </w:r>
    </w:p>
    <w:p w14:paraId="56ECE43E" w14:textId="7AAEA251" w:rsidR="00C36217" w:rsidRPr="00102AFB" w:rsidRDefault="00B447EE" w:rsidP="00CD43E3">
      <w:pPr>
        <w:pStyle w:val="Default"/>
        <w:numPr>
          <w:ilvl w:val="0"/>
          <w:numId w:val="40"/>
        </w:numPr>
        <w:jc w:val="both"/>
        <w:rPr>
          <w:sz w:val="20"/>
          <w:szCs w:val="20"/>
          <w:lang w:val="es-ES"/>
        </w:rPr>
      </w:pPr>
      <w:r w:rsidRPr="00102AFB">
        <w:rPr>
          <w:sz w:val="20"/>
          <w:szCs w:val="20"/>
          <w:lang w:val="es-ES"/>
        </w:rPr>
        <w:t>Sentencia condenatoria del 29 de octubre de 2012 proferida por</w:t>
      </w:r>
      <w:r w:rsidR="00C36217" w:rsidRPr="00102AFB">
        <w:rPr>
          <w:sz w:val="20"/>
          <w:szCs w:val="20"/>
          <w:lang w:val="es-ES"/>
        </w:rPr>
        <w:t xml:space="preserve"> el Juzgado Cincuenta y Cinco</w:t>
      </w:r>
      <w:r w:rsidR="008E65AE" w:rsidRPr="00102AFB">
        <w:rPr>
          <w:sz w:val="20"/>
          <w:szCs w:val="20"/>
          <w:lang w:val="es-ES"/>
        </w:rPr>
        <w:t xml:space="preserve"> </w:t>
      </w:r>
      <w:r w:rsidR="00C36217" w:rsidRPr="00102AFB">
        <w:rPr>
          <w:sz w:val="20"/>
          <w:szCs w:val="20"/>
          <w:lang w:val="es-ES"/>
        </w:rPr>
        <w:t>(</w:t>
      </w:r>
      <w:r w:rsidR="00DD4DA7" w:rsidRPr="00102AFB">
        <w:rPr>
          <w:sz w:val="20"/>
          <w:szCs w:val="20"/>
          <w:lang w:val="es-ES"/>
        </w:rPr>
        <w:t>55</w:t>
      </w:r>
      <w:r w:rsidR="00C36217" w:rsidRPr="00102AFB">
        <w:rPr>
          <w:sz w:val="20"/>
          <w:szCs w:val="20"/>
          <w:lang w:val="es-ES"/>
        </w:rPr>
        <w:t>)</w:t>
      </w:r>
      <w:r w:rsidR="00DD4DA7" w:rsidRPr="00102AFB">
        <w:rPr>
          <w:sz w:val="20"/>
          <w:szCs w:val="20"/>
          <w:lang w:val="es-ES"/>
        </w:rPr>
        <w:t xml:space="preserve"> Penal del Circuito de Descongestión de Bogotá </w:t>
      </w:r>
      <w:r w:rsidRPr="00102AFB">
        <w:rPr>
          <w:sz w:val="20"/>
          <w:szCs w:val="20"/>
          <w:lang w:val="es-ES"/>
        </w:rPr>
        <w:t xml:space="preserve">en contra del señor Juan Bernardo Tulcán Vallejo </w:t>
      </w:r>
      <w:r w:rsidR="005F3D10" w:rsidRPr="00102AFB">
        <w:rPr>
          <w:sz w:val="20"/>
          <w:szCs w:val="20"/>
          <w:lang w:val="es-ES"/>
        </w:rPr>
        <w:t xml:space="preserve">por el delito de homicidio </w:t>
      </w:r>
      <w:r w:rsidR="00391E76" w:rsidRPr="00102AFB">
        <w:rPr>
          <w:sz w:val="20"/>
          <w:szCs w:val="20"/>
          <w:lang w:val="es-ES"/>
        </w:rPr>
        <w:t>agravado</w:t>
      </w:r>
      <w:r w:rsidRPr="00102AFB">
        <w:rPr>
          <w:sz w:val="20"/>
          <w:szCs w:val="20"/>
          <w:lang w:val="es-ES"/>
        </w:rPr>
        <w:t>. Esta decisión le impuso al señor Tulcán</w:t>
      </w:r>
      <w:r w:rsidR="005F3D10" w:rsidRPr="00102AFB">
        <w:rPr>
          <w:sz w:val="20"/>
          <w:szCs w:val="20"/>
          <w:lang w:val="es-ES"/>
        </w:rPr>
        <w:t xml:space="preserve"> </w:t>
      </w:r>
      <w:r w:rsidR="00C36217" w:rsidRPr="00102AFB">
        <w:rPr>
          <w:sz w:val="20"/>
          <w:szCs w:val="20"/>
          <w:lang w:val="es-ES"/>
        </w:rPr>
        <w:t xml:space="preserve">una pena de </w:t>
      </w:r>
      <w:r w:rsidR="004A49A2" w:rsidRPr="00102AFB">
        <w:rPr>
          <w:sz w:val="20"/>
          <w:szCs w:val="20"/>
          <w:lang w:val="es-ES"/>
        </w:rPr>
        <w:t>345 meses</w:t>
      </w:r>
      <w:r w:rsidR="00C36217" w:rsidRPr="00102AFB">
        <w:rPr>
          <w:sz w:val="20"/>
          <w:szCs w:val="20"/>
          <w:lang w:val="es-ES"/>
        </w:rPr>
        <w:t xml:space="preserve"> de prisión</w:t>
      </w:r>
      <w:r w:rsidR="00391E76" w:rsidRPr="00102AFB">
        <w:rPr>
          <w:sz w:val="20"/>
          <w:szCs w:val="20"/>
          <w:lang w:val="es-ES"/>
        </w:rPr>
        <w:t xml:space="preserve"> y la sanción accesoria de inhabilitación para el ejercicio de derechos y funciones públicas por 20 años</w:t>
      </w:r>
      <w:r w:rsidR="00A925FB" w:rsidRPr="00102AFB">
        <w:rPr>
          <w:sz w:val="20"/>
          <w:szCs w:val="20"/>
          <w:lang w:val="es-ES"/>
        </w:rPr>
        <w:t xml:space="preserve">. </w:t>
      </w:r>
      <w:r w:rsidRPr="00102AFB">
        <w:rPr>
          <w:sz w:val="20"/>
          <w:szCs w:val="20"/>
          <w:lang w:val="es-ES"/>
        </w:rPr>
        <w:t>La</w:t>
      </w:r>
      <w:r w:rsidR="00C36217" w:rsidRPr="00102AFB">
        <w:rPr>
          <w:sz w:val="20"/>
          <w:szCs w:val="20"/>
          <w:lang w:val="es-ES"/>
        </w:rPr>
        <w:t xml:space="preserve"> sentencia fue </w:t>
      </w:r>
      <w:r w:rsidRPr="00102AFB">
        <w:rPr>
          <w:sz w:val="20"/>
          <w:szCs w:val="20"/>
          <w:lang w:val="es-ES"/>
        </w:rPr>
        <w:t xml:space="preserve">parcialmente </w:t>
      </w:r>
      <w:r w:rsidR="00C36217" w:rsidRPr="00102AFB">
        <w:rPr>
          <w:sz w:val="20"/>
          <w:szCs w:val="20"/>
          <w:lang w:val="es-ES"/>
        </w:rPr>
        <w:t xml:space="preserve">confirmada </w:t>
      </w:r>
      <w:r w:rsidRPr="00102AFB">
        <w:rPr>
          <w:sz w:val="20"/>
          <w:szCs w:val="20"/>
          <w:lang w:val="es-ES"/>
        </w:rPr>
        <w:t>por la Sala Penal del Tribunal Superior de Bogotá mediante</w:t>
      </w:r>
      <w:r w:rsidR="00C36217" w:rsidRPr="00102AFB">
        <w:rPr>
          <w:sz w:val="20"/>
          <w:szCs w:val="20"/>
          <w:lang w:val="es-ES"/>
        </w:rPr>
        <w:t xml:space="preserve"> decisión </w:t>
      </w:r>
      <w:r w:rsidRPr="00102AFB">
        <w:rPr>
          <w:sz w:val="20"/>
          <w:szCs w:val="20"/>
          <w:lang w:val="es-ES"/>
        </w:rPr>
        <w:t>d</w:t>
      </w:r>
      <w:r w:rsidR="00C36217" w:rsidRPr="00102AFB">
        <w:rPr>
          <w:sz w:val="20"/>
          <w:szCs w:val="20"/>
          <w:lang w:val="es-ES"/>
        </w:rPr>
        <w:t xml:space="preserve">el 20 de agosto de </w:t>
      </w:r>
      <w:r w:rsidR="004A49A2" w:rsidRPr="00102AFB">
        <w:rPr>
          <w:sz w:val="20"/>
          <w:szCs w:val="20"/>
          <w:lang w:val="es-ES"/>
        </w:rPr>
        <w:t>2013, en la cual reiteró la condena</w:t>
      </w:r>
      <w:r w:rsidRPr="00102AFB">
        <w:rPr>
          <w:sz w:val="20"/>
          <w:szCs w:val="20"/>
          <w:lang w:val="es-ES"/>
        </w:rPr>
        <w:t xml:space="preserve"> del señor Tulcán</w:t>
      </w:r>
      <w:r w:rsidR="004A49A2" w:rsidRPr="00102AFB">
        <w:rPr>
          <w:sz w:val="20"/>
          <w:szCs w:val="20"/>
          <w:lang w:val="es-ES"/>
        </w:rPr>
        <w:t xml:space="preserve"> por el delito de homicidio simple, con</w:t>
      </w:r>
      <w:r w:rsidR="002C11A0" w:rsidRPr="00102AFB">
        <w:rPr>
          <w:sz w:val="20"/>
          <w:szCs w:val="20"/>
          <w:lang w:val="es-ES"/>
        </w:rPr>
        <w:t xml:space="preserve"> pena principal de 160 meses de prisión y sanción accesoria de inhabilitación para el ejercicio de derechos y funciones públicas por 10 años.</w:t>
      </w:r>
    </w:p>
    <w:p w14:paraId="58FCF42A" w14:textId="37C7945E" w:rsidR="004C0422" w:rsidRPr="00102AFB" w:rsidRDefault="00CE7CCB" w:rsidP="004C0422">
      <w:pPr>
        <w:pStyle w:val="Default"/>
        <w:numPr>
          <w:ilvl w:val="0"/>
          <w:numId w:val="40"/>
        </w:numPr>
        <w:jc w:val="both"/>
        <w:rPr>
          <w:sz w:val="20"/>
          <w:szCs w:val="20"/>
          <w:lang w:val="es-ES"/>
        </w:rPr>
      </w:pPr>
      <w:r w:rsidRPr="00102AFB">
        <w:rPr>
          <w:sz w:val="20"/>
          <w:szCs w:val="20"/>
          <w:lang w:val="es-ES"/>
        </w:rPr>
        <w:t>Decisión del 24 de febrero de 2013 de</w:t>
      </w:r>
      <w:r w:rsidR="005F3D10" w:rsidRPr="00102AFB">
        <w:rPr>
          <w:sz w:val="20"/>
          <w:szCs w:val="20"/>
          <w:lang w:val="es-ES"/>
        </w:rPr>
        <w:t xml:space="preserve"> l</w:t>
      </w:r>
      <w:r w:rsidR="00C36217" w:rsidRPr="00102AFB">
        <w:rPr>
          <w:sz w:val="20"/>
          <w:szCs w:val="20"/>
          <w:lang w:val="es-ES"/>
        </w:rPr>
        <w:t>a Sala de Casación Penal de la Corte Suprema de Justicia</w:t>
      </w:r>
      <w:r w:rsidR="00CD43E3" w:rsidRPr="00102AFB">
        <w:rPr>
          <w:sz w:val="20"/>
          <w:szCs w:val="20"/>
          <w:lang w:val="es-ES"/>
        </w:rPr>
        <w:t xml:space="preserve"> </w:t>
      </w:r>
      <w:r w:rsidRPr="00102AFB">
        <w:rPr>
          <w:sz w:val="20"/>
          <w:szCs w:val="20"/>
          <w:lang w:val="es-ES"/>
        </w:rPr>
        <w:t>que ordenó</w:t>
      </w:r>
      <w:r w:rsidR="00CD43E3" w:rsidRPr="00102AFB">
        <w:rPr>
          <w:sz w:val="20"/>
          <w:szCs w:val="20"/>
          <w:lang w:val="es-ES"/>
        </w:rPr>
        <w:t xml:space="preserve"> inadmitir la demanda de casación </w:t>
      </w:r>
      <w:r w:rsidRPr="00102AFB">
        <w:rPr>
          <w:sz w:val="20"/>
          <w:szCs w:val="20"/>
          <w:lang w:val="es-ES"/>
        </w:rPr>
        <w:t>que</w:t>
      </w:r>
      <w:r w:rsidR="00CD43E3" w:rsidRPr="00102AFB">
        <w:rPr>
          <w:sz w:val="20"/>
          <w:szCs w:val="20"/>
          <w:lang w:val="es-ES"/>
        </w:rPr>
        <w:t xml:space="preserve"> la defensora del procesado Juan Bernardo Tulcán Valle</w:t>
      </w:r>
      <w:r w:rsidR="00C36217" w:rsidRPr="00102AFB">
        <w:rPr>
          <w:sz w:val="20"/>
          <w:szCs w:val="20"/>
          <w:lang w:val="es-ES"/>
        </w:rPr>
        <w:t xml:space="preserve">jos </w:t>
      </w:r>
      <w:r w:rsidRPr="00102AFB">
        <w:rPr>
          <w:sz w:val="20"/>
          <w:szCs w:val="20"/>
          <w:lang w:val="es-ES"/>
        </w:rPr>
        <w:t xml:space="preserve">presentó </w:t>
      </w:r>
      <w:r w:rsidR="00C36217" w:rsidRPr="00102AFB">
        <w:rPr>
          <w:sz w:val="20"/>
          <w:szCs w:val="20"/>
          <w:lang w:val="es-ES"/>
        </w:rPr>
        <w:t>en contra de la sentencia condenatoria.</w:t>
      </w:r>
      <w:r w:rsidR="00F41D11" w:rsidRPr="00102AFB">
        <w:rPr>
          <w:sz w:val="20"/>
          <w:szCs w:val="20"/>
          <w:lang w:val="es-ES"/>
        </w:rPr>
        <w:t xml:space="preserve"> Esta decisión</w:t>
      </w:r>
      <w:r w:rsidRPr="00102AFB">
        <w:rPr>
          <w:sz w:val="20"/>
          <w:szCs w:val="20"/>
          <w:lang w:val="es-ES"/>
        </w:rPr>
        <w:t xml:space="preserve"> del 24 de febrero de 2013</w:t>
      </w:r>
      <w:r w:rsidR="00F41D11" w:rsidRPr="00102AFB">
        <w:rPr>
          <w:sz w:val="20"/>
          <w:szCs w:val="20"/>
          <w:lang w:val="es-ES"/>
        </w:rPr>
        <w:t xml:space="preserve"> consideró que</w:t>
      </w:r>
      <w:r w:rsidRPr="00102AFB">
        <w:rPr>
          <w:sz w:val="20"/>
          <w:szCs w:val="20"/>
          <w:lang w:val="es-ES"/>
        </w:rPr>
        <w:t xml:space="preserve"> no se configuraron</w:t>
      </w:r>
      <w:r w:rsidR="00F41D11" w:rsidRPr="00102AFB">
        <w:rPr>
          <w:sz w:val="20"/>
          <w:szCs w:val="20"/>
          <w:lang w:val="es-ES"/>
        </w:rPr>
        <w:t xml:space="preserve"> los cargos de casación de</w:t>
      </w:r>
      <w:r w:rsidR="00281393" w:rsidRPr="00102AFB">
        <w:rPr>
          <w:sz w:val="20"/>
          <w:szCs w:val="20"/>
          <w:lang w:val="es-ES"/>
        </w:rPr>
        <w:t xml:space="preserve"> (i)</w:t>
      </w:r>
      <w:r w:rsidR="00F41D11" w:rsidRPr="00102AFB">
        <w:rPr>
          <w:sz w:val="20"/>
          <w:szCs w:val="20"/>
          <w:lang w:val="es-ES"/>
        </w:rPr>
        <w:t xml:space="preserve"> falso raciocinio, </w:t>
      </w:r>
      <w:r w:rsidR="00281393" w:rsidRPr="00102AFB">
        <w:rPr>
          <w:sz w:val="20"/>
          <w:szCs w:val="20"/>
          <w:lang w:val="es-ES"/>
        </w:rPr>
        <w:t>(ii)</w:t>
      </w:r>
      <w:r w:rsidR="00F41D11" w:rsidRPr="00102AFB">
        <w:rPr>
          <w:sz w:val="20"/>
          <w:szCs w:val="20"/>
          <w:lang w:val="es-ES"/>
        </w:rPr>
        <w:t xml:space="preserve"> nulidad por violación del principio del juez natural y </w:t>
      </w:r>
      <w:r w:rsidR="00281393" w:rsidRPr="00102AFB">
        <w:rPr>
          <w:sz w:val="20"/>
          <w:szCs w:val="20"/>
          <w:lang w:val="es-ES"/>
        </w:rPr>
        <w:t>(iii)</w:t>
      </w:r>
      <w:r w:rsidR="00F41D11" w:rsidRPr="00102AFB">
        <w:rPr>
          <w:sz w:val="20"/>
          <w:szCs w:val="20"/>
          <w:lang w:val="es-ES"/>
        </w:rPr>
        <w:t xml:space="preserve"> nulidad por indebida variación de la calificación jurídica. </w:t>
      </w:r>
      <w:r w:rsidR="00C36217" w:rsidRPr="00102AFB">
        <w:rPr>
          <w:sz w:val="20"/>
          <w:szCs w:val="20"/>
          <w:lang w:val="es-ES"/>
        </w:rPr>
        <w:t xml:space="preserve"> </w:t>
      </w:r>
    </w:p>
    <w:p w14:paraId="76CC0D03" w14:textId="3853858F" w:rsidR="004C0422" w:rsidRPr="00102AFB" w:rsidRDefault="004C0422" w:rsidP="004C64D5">
      <w:pPr>
        <w:pStyle w:val="Default"/>
        <w:jc w:val="both"/>
        <w:rPr>
          <w:b/>
          <w:sz w:val="20"/>
          <w:szCs w:val="20"/>
          <w:lang w:val="es-ES"/>
        </w:rPr>
      </w:pPr>
    </w:p>
    <w:p w14:paraId="77379CE8" w14:textId="57050F95" w:rsidR="004C64D5" w:rsidRPr="00102AFB" w:rsidRDefault="004C64D5" w:rsidP="004C64D5">
      <w:pPr>
        <w:pStyle w:val="Default"/>
        <w:numPr>
          <w:ilvl w:val="0"/>
          <w:numId w:val="45"/>
        </w:numPr>
        <w:jc w:val="both"/>
        <w:rPr>
          <w:b/>
          <w:sz w:val="20"/>
          <w:szCs w:val="20"/>
          <w:lang w:val="es-ES"/>
        </w:rPr>
      </w:pPr>
      <w:r w:rsidRPr="00102AFB">
        <w:rPr>
          <w:b/>
          <w:sz w:val="20"/>
          <w:szCs w:val="20"/>
          <w:lang w:val="es-ES"/>
        </w:rPr>
        <w:t>Resultados estructurales del caso</w:t>
      </w:r>
    </w:p>
    <w:p w14:paraId="7833AADB" w14:textId="5983D1B2" w:rsidR="00AF04A4" w:rsidRPr="00102AFB" w:rsidRDefault="00AF04A4" w:rsidP="00AF04A4">
      <w:pPr>
        <w:pStyle w:val="Default"/>
        <w:jc w:val="both"/>
        <w:rPr>
          <w:b/>
          <w:sz w:val="20"/>
          <w:szCs w:val="20"/>
          <w:lang w:val="es-ES"/>
        </w:rPr>
      </w:pPr>
    </w:p>
    <w:p w14:paraId="31108FFA" w14:textId="491F00E1" w:rsidR="00AF04A4" w:rsidRPr="00102AFB" w:rsidRDefault="00502D00" w:rsidP="00AF04A4">
      <w:pPr>
        <w:pStyle w:val="Default"/>
        <w:jc w:val="both"/>
        <w:rPr>
          <w:i/>
          <w:sz w:val="20"/>
          <w:szCs w:val="20"/>
          <w:lang w:val="es-ES"/>
        </w:rPr>
      </w:pPr>
      <w:r w:rsidRPr="00102AFB">
        <w:rPr>
          <w:i/>
          <w:sz w:val="20"/>
          <w:szCs w:val="20"/>
          <w:lang w:val="es-ES"/>
        </w:rPr>
        <w:t>Fortalecimiento estructural</w:t>
      </w:r>
    </w:p>
    <w:p w14:paraId="4BB3EFD1" w14:textId="412ADFD0" w:rsidR="00502D00" w:rsidRPr="00102AFB" w:rsidRDefault="007F5862" w:rsidP="00AF04A4">
      <w:pPr>
        <w:pStyle w:val="ListParagraph"/>
        <w:numPr>
          <w:ilvl w:val="0"/>
          <w:numId w:val="46"/>
        </w:numPr>
        <w:spacing w:after="0" w:line="240" w:lineRule="auto"/>
        <w:jc w:val="both"/>
        <w:rPr>
          <w:rFonts w:ascii="Cambria" w:hAnsi="Cambria"/>
          <w:sz w:val="20"/>
          <w:szCs w:val="20"/>
          <w:lang w:val="es-ES"/>
        </w:rPr>
      </w:pPr>
      <w:r w:rsidRPr="00102AFB">
        <w:rPr>
          <w:rFonts w:ascii="Cambria" w:hAnsi="Cambria"/>
          <w:sz w:val="20"/>
          <w:szCs w:val="20"/>
          <w:lang w:val="es-ES"/>
        </w:rPr>
        <w:t xml:space="preserve">Capacitaciones </w:t>
      </w:r>
      <w:r w:rsidR="002F3923" w:rsidRPr="00102AFB">
        <w:rPr>
          <w:rFonts w:ascii="Cambria" w:hAnsi="Cambria"/>
          <w:sz w:val="20"/>
          <w:szCs w:val="20"/>
          <w:lang w:val="es-ES"/>
        </w:rPr>
        <w:t xml:space="preserve">realizadas </w:t>
      </w:r>
      <w:r w:rsidR="00322F7D" w:rsidRPr="00102AFB">
        <w:rPr>
          <w:rFonts w:ascii="Cambria" w:hAnsi="Cambria"/>
          <w:sz w:val="20"/>
          <w:szCs w:val="20"/>
          <w:lang w:val="es-ES"/>
        </w:rPr>
        <w:t xml:space="preserve">a la Policía Nacional </w:t>
      </w:r>
      <w:r w:rsidRPr="00102AFB">
        <w:rPr>
          <w:rFonts w:ascii="Cambria" w:hAnsi="Cambria"/>
          <w:sz w:val="20"/>
          <w:szCs w:val="20"/>
          <w:lang w:val="es-ES"/>
        </w:rPr>
        <w:t>en materia de uso proporcional de la fuerza y sobre el empleo de armas de fuego conforme a los principios de necesidad, excepcionalidad y proporcionalidad</w:t>
      </w:r>
      <w:r w:rsidR="00322F7D" w:rsidRPr="00102AFB">
        <w:rPr>
          <w:rFonts w:ascii="Cambria" w:hAnsi="Cambria"/>
          <w:sz w:val="20"/>
          <w:szCs w:val="20"/>
          <w:lang w:val="es-ES"/>
        </w:rPr>
        <w:t>,</w:t>
      </w:r>
      <w:r w:rsidRPr="00102AFB">
        <w:rPr>
          <w:rFonts w:ascii="Cambria" w:hAnsi="Cambria"/>
          <w:sz w:val="20"/>
          <w:szCs w:val="20"/>
          <w:lang w:val="es-ES"/>
        </w:rPr>
        <w:t xml:space="preserve"> e incorporación del Informe 5/06 como parte del plan de estudios. </w:t>
      </w:r>
    </w:p>
    <w:sectPr w:rsidR="00502D00" w:rsidRPr="00102AFB" w:rsidSect="009969F9">
      <w:headerReference w:type="default" r:id="rId11"/>
      <w:footerReference w:type="default" r:id="rId12"/>
      <w:headerReference w:type="first" r:id="rId13"/>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3FC7F" w14:textId="77777777" w:rsidR="000C0D2B" w:rsidRDefault="000C0D2B" w:rsidP="007B15E0">
      <w:pPr>
        <w:spacing w:after="0" w:line="240" w:lineRule="auto"/>
      </w:pPr>
      <w:r>
        <w:separator/>
      </w:r>
    </w:p>
  </w:endnote>
  <w:endnote w:type="continuationSeparator" w:id="0">
    <w:p w14:paraId="4167AFA9" w14:textId="77777777" w:rsidR="000C0D2B" w:rsidRDefault="000C0D2B"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64791"/>
      <w:docPartObj>
        <w:docPartGallery w:val="Page Numbers (Bottom of Page)"/>
        <w:docPartUnique/>
      </w:docPartObj>
    </w:sdtPr>
    <w:sdtEndPr>
      <w:rPr>
        <w:noProof/>
        <w:sz w:val="16"/>
        <w:szCs w:val="16"/>
      </w:rPr>
    </w:sdtEndPr>
    <w:sdtContent>
      <w:p w14:paraId="7D1F335D" w14:textId="3AE4EDF6" w:rsidR="005818F5" w:rsidRPr="00594FE3" w:rsidRDefault="005818F5">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4671DB">
          <w:rPr>
            <w:noProof/>
            <w:sz w:val="16"/>
            <w:szCs w:val="16"/>
          </w:rPr>
          <w:t>3</w:t>
        </w:r>
        <w:r w:rsidRPr="00594FE3">
          <w:rPr>
            <w:noProof/>
            <w:sz w:val="16"/>
            <w:szCs w:val="16"/>
          </w:rPr>
          <w:fldChar w:fldCharType="end"/>
        </w:r>
      </w:p>
    </w:sdtContent>
  </w:sdt>
  <w:p w14:paraId="31027454" w14:textId="77777777" w:rsidR="005818F5" w:rsidRDefault="00581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B2C6" w14:textId="77777777" w:rsidR="000C0D2B" w:rsidRDefault="000C0D2B" w:rsidP="007B15E0">
      <w:pPr>
        <w:spacing w:after="0" w:line="240" w:lineRule="auto"/>
      </w:pPr>
      <w:r>
        <w:separator/>
      </w:r>
    </w:p>
  </w:footnote>
  <w:footnote w:type="continuationSeparator" w:id="0">
    <w:p w14:paraId="4AFAB6DB" w14:textId="77777777" w:rsidR="000C0D2B" w:rsidRDefault="000C0D2B" w:rsidP="007B15E0">
      <w:pPr>
        <w:spacing w:after="0" w:line="240" w:lineRule="auto"/>
      </w:pPr>
      <w:r>
        <w:continuationSeparator/>
      </w:r>
    </w:p>
  </w:footnote>
  <w:footnote w:id="1">
    <w:p w14:paraId="0594A1C8" w14:textId="63043226" w:rsidR="004C6D50" w:rsidRPr="00692130" w:rsidRDefault="004C6D50" w:rsidP="00692130">
      <w:pPr>
        <w:pStyle w:val="FootnoteText"/>
        <w:spacing w:after="120"/>
        <w:ind w:firstLine="720"/>
        <w:jc w:val="both"/>
        <w:rPr>
          <w:rFonts w:ascii="Cambria" w:hAnsi="Cambria"/>
          <w:sz w:val="16"/>
          <w:szCs w:val="16"/>
          <w:lang w:val="es-ES"/>
        </w:rPr>
      </w:pPr>
      <w:r w:rsidRPr="004C6D50">
        <w:rPr>
          <w:rStyle w:val="FootnoteReference"/>
          <w:rFonts w:ascii="Cambria" w:hAnsi="Cambria"/>
          <w:sz w:val="16"/>
          <w:szCs w:val="16"/>
        </w:rPr>
        <w:footnoteRef/>
      </w:r>
      <w:r>
        <w:rPr>
          <w:rFonts w:ascii="Cambria" w:hAnsi="Cambria"/>
          <w:sz w:val="16"/>
          <w:szCs w:val="16"/>
          <w:lang w:val="es-CO"/>
        </w:rPr>
        <w:t xml:space="preserve"> </w:t>
      </w:r>
      <w:r w:rsidRPr="004C6D50">
        <w:rPr>
          <w:rFonts w:ascii="Cambria" w:hAnsi="Cambria"/>
          <w:sz w:val="16"/>
          <w:szCs w:val="16"/>
          <w:lang w:val="es-CO"/>
        </w:rPr>
        <w:t xml:space="preserve"> </w:t>
      </w:r>
      <w:r w:rsidR="00692130" w:rsidRPr="0024182A">
        <w:rPr>
          <w:rFonts w:ascii="Cambria" w:hAnsi="Cambria"/>
          <w:sz w:val="16"/>
          <w:szCs w:val="16"/>
          <w:lang w:val="es-US"/>
        </w:rPr>
        <w:t xml:space="preserve">CIDH, Informe Anual 2016, </w:t>
      </w:r>
      <w:hyperlink r:id="rId1" w:history="1">
        <w:r w:rsidR="00C47152">
          <w:rPr>
            <w:rStyle w:val="Hyperlink"/>
            <w:rFonts w:ascii="Cambria" w:hAnsi="Cambria"/>
            <w:color w:val="auto"/>
            <w:sz w:val="16"/>
            <w:szCs w:val="16"/>
            <w:lang w:val="es-US"/>
          </w:rPr>
          <w:t>Capí</w:t>
        </w:r>
        <w:r w:rsidR="00692130" w:rsidRPr="0024182A">
          <w:rPr>
            <w:rStyle w:val="Hyperlink"/>
            <w:rFonts w:ascii="Cambria" w:hAnsi="Cambria"/>
            <w:color w:val="auto"/>
            <w:sz w:val="16"/>
            <w:szCs w:val="16"/>
            <w:lang w:val="es-US"/>
          </w:rPr>
          <w:t>tulo II, Sección D: Estado del cumplimiento de las recomendaciones de la CIDH</w:t>
        </w:r>
      </w:hyperlink>
      <w:r w:rsidR="00692130" w:rsidRPr="0024182A">
        <w:rPr>
          <w:rFonts w:ascii="Cambria" w:hAnsi="Cambria"/>
          <w:sz w:val="16"/>
          <w:szCs w:val="16"/>
          <w:lang w:val="es-US"/>
        </w:rPr>
        <w:t>, párr. 614.</w:t>
      </w:r>
    </w:p>
  </w:footnote>
  <w:footnote w:id="2">
    <w:p w14:paraId="655AEB77" w14:textId="4C289E1C" w:rsidR="004C6D50" w:rsidRPr="004C6D50" w:rsidRDefault="004C6D50" w:rsidP="00692130">
      <w:pPr>
        <w:pStyle w:val="FootnoteText"/>
        <w:spacing w:after="120"/>
        <w:ind w:firstLine="720"/>
        <w:rPr>
          <w:lang w:val="es-CO"/>
        </w:rPr>
      </w:pPr>
      <w:r w:rsidRPr="004C6D50">
        <w:rPr>
          <w:rStyle w:val="FootnoteReference"/>
          <w:rFonts w:ascii="Cambria" w:hAnsi="Cambria"/>
          <w:sz w:val="16"/>
          <w:szCs w:val="16"/>
        </w:rPr>
        <w:footnoteRef/>
      </w:r>
      <w:r w:rsidRPr="004C6D50">
        <w:rPr>
          <w:lang w:val="es-CO"/>
        </w:rPr>
        <w:t xml:space="preserve"> </w:t>
      </w:r>
      <w:r w:rsidRPr="0024182A">
        <w:rPr>
          <w:rFonts w:ascii="Cambria" w:eastAsia="MS Mincho" w:hAnsi="Cambria" w:cs="Calibri Light"/>
          <w:sz w:val="16"/>
          <w:szCs w:val="16"/>
          <w:lang w:val="es-ES"/>
        </w:rPr>
        <w:t>CIDH, Caso 12.009</w:t>
      </w:r>
      <w:hyperlink r:id="rId2" w:history="1">
        <w:r w:rsidRPr="00A4169A">
          <w:rPr>
            <w:rStyle w:val="Hyperlink"/>
            <w:rFonts w:ascii="Cambria" w:eastAsia="MS Mincho" w:hAnsi="Cambria" w:cs="Calibri Light"/>
            <w:color w:val="auto"/>
            <w:sz w:val="16"/>
            <w:szCs w:val="16"/>
            <w:u w:val="none"/>
            <w:lang w:val="es-ES"/>
          </w:rPr>
          <w:t xml:space="preserve">, </w:t>
        </w:r>
        <w:r w:rsidRPr="0024182A">
          <w:rPr>
            <w:rStyle w:val="Hyperlink"/>
            <w:rFonts w:ascii="Cambria" w:hAnsi="Cambria" w:cs="Calibri Light"/>
            <w:color w:val="auto"/>
            <w:sz w:val="16"/>
            <w:szCs w:val="16"/>
            <w:lang w:val="es-ES"/>
          </w:rPr>
          <w:t xml:space="preserve">Informe de Fondo Nº 43/08, </w:t>
        </w:r>
        <w:proofErr w:type="spellStart"/>
        <w:r w:rsidRPr="0024182A">
          <w:rPr>
            <w:rStyle w:val="Hyperlink"/>
            <w:rFonts w:ascii="Cambria" w:hAnsi="Cambria"/>
            <w:color w:val="auto"/>
            <w:sz w:val="16"/>
            <w:szCs w:val="16"/>
            <w:lang w:val="es-ES"/>
          </w:rPr>
          <w:t>Leydi</w:t>
        </w:r>
        <w:proofErr w:type="spellEnd"/>
        <w:r w:rsidRPr="0024182A">
          <w:rPr>
            <w:rStyle w:val="Hyperlink"/>
            <w:rFonts w:ascii="Cambria" w:hAnsi="Cambria"/>
            <w:color w:val="auto"/>
            <w:sz w:val="16"/>
            <w:szCs w:val="16"/>
            <w:lang w:val="es-ES"/>
          </w:rPr>
          <w:t xml:space="preserve"> </w:t>
        </w:r>
        <w:proofErr w:type="spellStart"/>
        <w:r w:rsidRPr="0024182A">
          <w:rPr>
            <w:rStyle w:val="Hyperlink"/>
            <w:rFonts w:ascii="Cambria" w:hAnsi="Cambria"/>
            <w:color w:val="auto"/>
            <w:sz w:val="16"/>
            <w:szCs w:val="16"/>
            <w:lang w:val="es-ES"/>
          </w:rPr>
          <w:t>Dayán</w:t>
        </w:r>
        <w:proofErr w:type="spellEnd"/>
        <w:r w:rsidRPr="0024182A">
          <w:rPr>
            <w:rStyle w:val="Hyperlink"/>
            <w:rFonts w:ascii="Cambria" w:hAnsi="Cambria"/>
            <w:color w:val="auto"/>
            <w:sz w:val="16"/>
            <w:szCs w:val="16"/>
            <w:lang w:val="es-ES"/>
          </w:rPr>
          <w:t xml:space="preserve"> Sánchez Tamayo (Colombia)</w:t>
        </w:r>
      </w:hyperlink>
      <w:r w:rsidRPr="0024182A">
        <w:rPr>
          <w:rFonts w:ascii="Cambria" w:hAnsi="Cambria"/>
          <w:sz w:val="16"/>
          <w:szCs w:val="16"/>
          <w:lang w:val="es-ES"/>
        </w:rPr>
        <w:t xml:space="preserve">, </w:t>
      </w:r>
      <w:proofErr w:type="spellStart"/>
      <w:r>
        <w:rPr>
          <w:rFonts w:ascii="Cambria" w:hAnsi="Cambria"/>
          <w:sz w:val="16"/>
          <w:szCs w:val="16"/>
          <w:lang w:val="es-ES"/>
        </w:rPr>
        <w:t>párrs</w:t>
      </w:r>
      <w:proofErr w:type="spellEnd"/>
      <w:r>
        <w:rPr>
          <w:rFonts w:ascii="Cambria" w:hAnsi="Cambria"/>
          <w:sz w:val="16"/>
          <w:szCs w:val="16"/>
          <w:lang w:val="es-ES"/>
        </w:rPr>
        <w:t>. 95-97.</w:t>
      </w:r>
    </w:p>
  </w:footnote>
  <w:footnote w:id="3">
    <w:p w14:paraId="5502B23B" w14:textId="77777777" w:rsidR="004C6D50" w:rsidRPr="004C6D50" w:rsidRDefault="004C6D50" w:rsidP="00692130">
      <w:pPr>
        <w:pStyle w:val="FootnoteText"/>
        <w:spacing w:after="120"/>
        <w:ind w:firstLine="720"/>
        <w:rPr>
          <w:lang w:val="es-CO"/>
        </w:rPr>
      </w:pPr>
      <w:r w:rsidRPr="004C6D50">
        <w:rPr>
          <w:rStyle w:val="FootnoteReference"/>
          <w:rFonts w:ascii="Cambria" w:hAnsi="Cambria"/>
          <w:sz w:val="16"/>
          <w:szCs w:val="16"/>
        </w:rPr>
        <w:footnoteRef/>
      </w:r>
      <w:r w:rsidRPr="004C6D50">
        <w:rPr>
          <w:lang w:val="es-CO"/>
        </w:rPr>
        <w:t xml:space="preserve"> </w:t>
      </w:r>
      <w:r w:rsidRPr="0024182A">
        <w:rPr>
          <w:rFonts w:ascii="Cambria" w:eastAsia="MS Mincho" w:hAnsi="Cambria" w:cs="Calibri Light"/>
          <w:sz w:val="16"/>
          <w:szCs w:val="16"/>
          <w:lang w:val="es-ES"/>
        </w:rPr>
        <w:t>CIDH, Caso 12.009</w:t>
      </w:r>
      <w:hyperlink r:id="rId3" w:history="1">
        <w:r w:rsidRPr="00A4169A">
          <w:rPr>
            <w:rStyle w:val="Hyperlink"/>
            <w:rFonts w:ascii="Cambria" w:eastAsia="MS Mincho" w:hAnsi="Cambria" w:cs="Calibri Light"/>
            <w:color w:val="auto"/>
            <w:sz w:val="16"/>
            <w:szCs w:val="16"/>
            <w:u w:val="none"/>
            <w:lang w:val="es-ES"/>
          </w:rPr>
          <w:t xml:space="preserve">, </w:t>
        </w:r>
        <w:r w:rsidRPr="0024182A">
          <w:rPr>
            <w:rStyle w:val="Hyperlink"/>
            <w:rFonts w:ascii="Cambria" w:hAnsi="Cambria" w:cs="Calibri Light"/>
            <w:color w:val="auto"/>
            <w:sz w:val="16"/>
            <w:szCs w:val="16"/>
            <w:lang w:val="es-ES"/>
          </w:rPr>
          <w:t xml:space="preserve">Informe de Fondo Nº 43/08, </w:t>
        </w:r>
        <w:proofErr w:type="spellStart"/>
        <w:r w:rsidRPr="0024182A">
          <w:rPr>
            <w:rStyle w:val="Hyperlink"/>
            <w:rFonts w:ascii="Cambria" w:hAnsi="Cambria"/>
            <w:color w:val="auto"/>
            <w:sz w:val="16"/>
            <w:szCs w:val="16"/>
            <w:lang w:val="es-ES"/>
          </w:rPr>
          <w:t>Leydi</w:t>
        </w:r>
        <w:proofErr w:type="spellEnd"/>
        <w:r w:rsidRPr="0024182A">
          <w:rPr>
            <w:rStyle w:val="Hyperlink"/>
            <w:rFonts w:ascii="Cambria" w:hAnsi="Cambria"/>
            <w:color w:val="auto"/>
            <w:sz w:val="16"/>
            <w:szCs w:val="16"/>
            <w:lang w:val="es-ES"/>
          </w:rPr>
          <w:t xml:space="preserve"> </w:t>
        </w:r>
        <w:proofErr w:type="spellStart"/>
        <w:r w:rsidRPr="0024182A">
          <w:rPr>
            <w:rStyle w:val="Hyperlink"/>
            <w:rFonts w:ascii="Cambria" w:hAnsi="Cambria"/>
            <w:color w:val="auto"/>
            <w:sz w:val="16"/>
            <w:szCs w:val="16"/>
            <w:lang w:val="es-ES"/>
          </w:rPr>
          <w:t>Dayán</w:t>
        </w:r>
        <w:proofErr w:type="spellEnd"/>
        <w:r w:rsidRPr="0024182A">
          <w:rPr>
            <w:rStyle w:val="Hyperlink"/>
            <w:rFonts w:ascii="Cambria" w:hAnsi="Cambria"/>
            <w:color w:val="auto"/>
            <w:sz w:val="16"/>
            <w:szCs w:val="16"/>
            <w:lang w:val="es-ES"/>
          </w:rPr>
          <w:t xml:space="preserve"> Sánchez Tamayo (Colombia)</w:t>
        </w:r>
      </w:hyperlink>
      <w:r w:rsidRPr="0024182A">
        <w:rPr>
          <w:rFonts w:ascii="Cambria" w:hAnsi="Cambria"/>
          <w:sz w:val="16"/>
          <w:szCs w:val="16"/>
          <w:lang w:val="es-ES"/>
        </w:rPr>
        <w:t xml:space="preserve">, </w:t>
      </w:r>
      <w:proofErr w:type="spellStart"/>
      <w:r>
        <w:rPr>
          <w:rFonts w:ascii="Cambria" w:hAnsi="Cambria"/>
          <w:sz w:val="16"/>
          <w:szCs w:val="16"/>
          <w:lang w:val="es-ES"/>
        </w:rPr>
        <w:t>párrs</w:t>
      </w:r>
      <w:proofErr w:type="spellEnd"/>
      <w:r>
        <w:rPr>
          <w:rFonts w:ascii="Cambria" w:hAnsi="Cambria"/>
          <w:sz w:val="16"/>
          <w:szCs w:val="16"/>
          <w:lang w:val="es-ES"/>
        </w:rPr>
        <w:t>. 95-97.</w:t>
      </w:r>
    </w:p>
  </w:footnote>
  <w:footnote w:id="4">
    <w:p w14:paraId="4FB82457" w14:textId="77777777" w:rsidR="004C6D50" w:rsidRPr="004C6D50" w:rsidRDefault="004C6D50" w:rsidP="00692130">
      <w:pPr>
        <w:pStyle w:val="FootnoteText"/>
        <w:spacing w:after="120"/>
        <w:ind w:firstLine="720"/>
        <w:rPr>
          <w:lang w:val="es-CO"/>
        </w:rPr>
      </w:pPr>
      <w:r w:rsidRPr="004C6D50">
        <w:rPr>
          <w:rStyle w:val="FootnoteReference"/>
          <w:rFonts w:ascii="Cambria" w:hAnsi="Cambria"/>
          <w:sz w:val="16"/>
          <w:szCs w:val="16"/>
        </w:rPr>
        <w:footnoteRef/>
      </w:r>
      <w:r w:rsidRPr="004C6D50">
        <w:rPr>
          <w:lang w:val="es-CO"/>
        </w:rPr>
        <w:t xml:space="preserve"> </w:t>
      </w:r>
      <w:r w:rsidRPr="0024182A">
        <w:rPr>
          <w:rFonts w:ascii="Cambria" w:eastAsia="MS Mincho" w:hAnsi="Cambria" w:cs="Calibri Light"/>
          <w:sz w:val="16"/>
          <w:szCs w:val="16"/>
          <w:lang w:val="es-ES"/>
        </w:rPr>
        <w:t>CIDH, Caso 12.009</w:t>
      </w:r>
      <w:hyperlink r:id="rId4" w:history="1">
        <w:r w:rsidRPr="00A4169A">
          <w:rPr>
            <w:rStyle w:val="Hyperlink"/>
            <w:rFonts w:ascii="Cambria" w:eastAsia="MS Mincho" w:hAnsi="Cambria" w:cs="Calibri Light"/>
            <w:color w:val="auto"/>
            <w:sz w:val="16"/>
            <w:szCs w:val="16"/>
            <w:u w:val="none"/>
            <w:lang w:val="es-ES"/>
          </w:rPr>
          <w:t xml:space="preserve">, </w:t>
        </w:r>
        <w:r w:rsidRPr="0024182A">
          <w:rPr>
            <w:rStyle w:val="Hyperlink"/>
            <w:rFonts w:ascii="Cambria" w:hAnsi="Cambria" w:cs="Calibri Light"/>
            <w:color w:val="auto"/>
            <w:sz w:val="16"/>
            <w:szCs w:val="16"/>
            <w:lang w:val="es-ES"/>
          </w:rPr>
          <w:t xml:space="preserve">Informe de Fondo Nº 43/08, </w:t>
        </w:r>
        <w:proofErr w:type="spellStart"/>
        <w:r w:rsidRPr="0024182A">
          <w:rPr>
            <w:rStyle w:val="Hyperlink"/>
            <w:rFonts w:ascii="Cambria" w:hAnsi="Cambria"/>
            <w:color w:val="auto"/>
            <w:sz w:val="16"/>
            <w:szCs w:val="16"/>
            <w:lang w:val="es-ES"/>
          </w:rPr>
          <w:t>Leydi</w:t>
        </w:r>
        <w:proofErr w:type="spellEnd"/>
        <w:r w:rsidRPr="0024182A">
          <w:rPr>
            <w:rStyle w:val="Hyperlink"/>
            <w:rFonts w:ascii="Cambria" w:hAnsi="Cambria"/>
            <w:color w:val="auto"/>
            <w:sz w:val="16"/>
            <w:szCs w:val="16"/>
            <w:lang w:val="es-ES"/>
          </w:rPr>
          <w:t xml:space="preserve"> </w:t>
        </w:r>
        <w:proofErr w:type="spellStart"/>
        <w:r w:rsidRPr="0024182A">
          <w:rPr>
            <w:rStyle w:val="Hyperlink"/>
            <w:rFonts w:ascii="Cambria" w:hAnsi="Cambria"/>
            <w:color w:val="auto"/>
            <w:sz w:val="16"/>
            <w:szCs w:val="16"/>
            <w:lang w:val="es-ES"/>
          </w:rPr>
          <w:t>Dayán</w:t>
        </w:r>
        <w:proofErr w:type="spellEnd"/>
        <w:r w:rsidRPr="0024182A">
          <w:rPr>
            <w:rStyle w:val="Hyperlink"/>
            <w:rFonts w:ascii="Cambria" w:hAnsi="Cambria"/>
            <w:color w:val="auto"/>
            <w:sz w:val="16"/>
            <w:szCs w:val="16"/>
            <w:lang w:val="es-ES"/>
          </w:rPr>
          <w:t xml:space="preserve"> Sánchez Tamayo (Colombia)</w:t>
        </w:r>
      </w:hyperlink>
      <w:r w:rsidRPr="0024182A">
        <w:rPr>
          <w:rFonts w:ascii="Cambria" w:hAnsi="Cambria"/>
          <w:sz w:val="16"/>
          <w:szCs w:val="16"/>
          <w:lang w:val="es-ES"/>
        </w:rPr>
        <w:t xml:space="preserve">, </w:t>
      </w:r>
      <w:proofErr w:type="spellStart"/>
      <w:r>
        <w:rPr>
          <w:rFonts w:ascii="Cambria" w:hAnsi="Cambria"/>
          <w:sz w:val="16"/>
          <w:szCs w:val="16"/>
          <w:lang w:val="es-ES"/>
        </w:rPr>
        <w:t>párrs</w:t>
      </w:r>
      <w:proofErr w:type="spellEnd"/>
      <w:r>
        <w:rPr>
          <w:rFonts w:ascii="Cambria" w:hAnsi="Cambria"/>
          <w:sz w:val="16"/>
          <w:szCs w:val="16"/>
          <w:lang w:val="es-ES"/>
        </w:rPr>
        <w:t>. 95-97.</w:t>
      </w:r>
    </w:p>
  </w:footnote>
  <w:footnote w:id="5">
    <w:p w14:paraId="76222825" w14:textId="77777777" w:rsidR="004C6D50" w:rsidRPr="004C6D50" w:rsidRDefault="004C6D50" w:rsidP="00692130">
      <w:pPr>
        <w:pStyle w:val="FootnoteText"/>
        <w:spacing w:after="120"/>
        <w:ind w:firstLine="720"/>
        <w:rPr>
          <w:lang w:val="es-CO"/>
        </w:rPr>
      </w:pPr>
      <w:r w:rsidRPr="004C6D50">
        <w:rPr>
          <w:rStyle w:val="FootnoteReference"/>
          <w:rFonts w:ascii="Cambria" w:hAnsi="Cambria"/>
          <w:sz w:val="16"/>
          <w:szCs w:val="16"/>
        </w:rPr>
        <w:footnoteRef/>
      </w:r>
      <w:r w:rsidRPr="004C6D50">
        <w:rPr>
          <w:lang w:val="es-CO"/>
        </w:rPr>
        <w:t xml:space="preserve"> </w:t>
      </w:r>
      <w:r w:rsidRPr="0024182A">
        <w:rPr>
          <w:rFonts w:ascii="Cambria" w:eastAsia="MS Mincho" w:hAnsi="Cambria" w:cs="Calibri Light"/>
          <w:sz w:val="16"/>
          <w:szCs w:val="16"/>
          <w:lang w:val="es-ES"/>
        </w:rPr>
        <w:t>CIDH, Caso 12.009</w:t>
      </w:r>
      <w:hyperlink r:id="rId5" w:history="1">
        <w:r w:rsidRPr="00A4169A">
          <w:rPr>
            <w:rStyle w:val="Hyperlink"/>
            <w:rFonts w:ascii="Cambria" w:eastAsia="MS Mincho" w:hAnsi="Cambria" w:cs="Calibri Light"/>
            <w:color w:val="auto"/>
            <w:sz w:val="16"/>
            <w:szCs w:val="16"/>
            <w:u w:val="none"/>
            <w:lang w:val="es-ES"/>
          </w:rPr>
          <w:t xml:space="preserve">, </w:t>
        </w:r>
        <w:r w:rsidRPr="0024182A">
          <w:rPr>
            <w:rStyle w:val="Hyperlink"/>
            <w:rFonts w:ascii="Cambria" w:hAnsi="Cambria" w:cs="Calibri Light"/>
            <w:color w:val="auto"/>
            <w:sz w:val="16"/>
            <w:szCs w:val="16"/>
            <w:lang w:val="es-ES"/>
          </w:rPr>
          <w:t xml:space="preserve">Informe de Fondo Nº 43/08, </w:t>
        </w:r>
        <w:proofErr w:type="spellStart"/>
        <w:r w:rsidRPr="0024182A">
          <w:rPr>
            <w:rStyle w:val="Hyperlink"/>
            <w:rFonts w:ascii="Cambria" w:hAnsi="Cambria"/>
            <w:color w:val="auto"/>
            <w:sz w:val="16"/>
            <w:szCs w:val="16"/>
            <w:lang w:val="es-ES"/>
          </w:rPr>
          <w:t>Leydi</w:t>
        </w:r>
        <w:proofErr w:type="spellEnd"/>
        <w:r w:rsidRPr="0024182A">
          <w:rPr>
            <w:rStyle w:val="Hyperlink"/>
            <w:rFonts w:ascii="Cambria" w:hAnsi="Cambria"/>
            <w:color w:val="auto"/>
            <w:sz w:val="16"/>
            <w:szCs w:val="16"/>
            <w:lang w:val="es-ES"/>
          </w:rPr>
          <w:t xml:space="preserve"> </w:t>
        </w:r>
        <w:proofErr w:type="spellStart"/>
        <w:r w:rsidRPr="0024182A">
          <w:rPr>
            <w:rStyle w:val="Hyperlink"/>
            <w:rFonts w:ascii="Cambria" w:hAnsi="Cambria"/>
            <w:color w:val="auto"/>
            <w:sz w:val="16"/>
            <w:szCs w:val="16"/>
            <w:lang w:val="es-ES"/>
          </w:rPr>
          <w:t>Dayán</w:t>
        </w:r>
        <w:proofErr w:type="spellEnd"/>
        <w:r w:rsidRPr="0024182A">
          <w:rPr>
            <w:rStyle w:val="Hyperlink"/>
            <w:rFonts w:ascii="Cambria" w:hAnsi="Cambria"/>
            <w:color w:val="auto"/>
            <w:sz w:val="16"/>
            <w:szCs w:val="16"/>
            <w:lang w:val="es-ES"/>
          </w:rPr>
          <w:t xml:space="preserve"> Sánchez Tamayo (Colombia)</w:t>
        </w:r>
      </w:hyperlink>
      <w:r w:rsidRPr="0024182A">
        <w:rPr>
          <w:rFonts w:ascii="Cambria" w:hAnsi="Cambria"/>
          <w:sz w:val="16"/>
          <w:szCs w:val="16"/>
          <w:lang w:val="es-ES"/>
        </w:rPr>
        <w:t xml:space="preserve">, </w:t>
      </w:r>
      <w:proofErr w:type="spellStart"/>
      <w:r>
        <w:rPr>
          <w:rFonts w:ascii="Cambria" w:hAnsi="Cambria"/>
          <w:sz w:val="16"/>
          <w:szCs w:val="16"/>
          <w:lang w:val="es-ES"/>
        </w:rPr>
        <w:t>párrs</w:t>
      </w:r>
      <w:proofErr w:type="spellEnd"/>
      <w:r>
        <w:rPr>
          <w:rFonts w:ascii="Cambria" w:hAnsi="Cambria"/>
          <w:sz w:val="16"/>
          <w:szCs w:val="16"/>
          <w:lang w:val="es-ES"/>
        </w:rPr>
        <w:t>. 95-97.</w:t>
      </w:r>
    </w:p>
  </w:footnote>
  <w:footnote w:id="6">
    <w:p w14:paraId="1E78EF31" w14:textId="77777777" w:rsidR="005B109E" w:rsidRPr="0024182A" w:rsidRDefault="005B109E" w:rsidP="00692130">
      <w:pPr>
        <w:pStyle w:val="FootnoteText"/>
        <w:spacing w:after="120"/>
        <w:ind w:firstLine="720"/>
        <w:jc w:val="both"/>
        <w:rPr>
          <w:rFonts w:ascii="Cambria" w:hAnsi="Cambria"/>
          <w:sz w:val="16"/>
          <w:szCs w:val="16"/>
          <w:lang w:val="es-ES"/>
        </w:rPr>
      </w:pPr>
      <w:r w:rsidRPr="0024182A">
        <w:rPr>
          <w:rStyle w:val="FootnoteReference"/>
          <w:rFonts w:ascii="Cambria" w:hAnsi="Cambria"/>
          <w:sz w:val="16"/>
          <w:szCs w:val="16"/>
          <w:lang w:val="es-ES"/>
        </w:rPr>
        <w:footnoteRef/>
      </w:r>
      <w:r w:rsidRPr="0024182A">
        <w:rPr>
          <w:rFonts w:ascii="Cambria" w:hAnsi="Cambria"/>
          <w:sz w:val="16"/>
          <w:szCs w:val="16"/>
          <w:lang w:val="es-ES"/>
        </w:rPr>
        <w:t xml:space="preserve"> </w:t>
      </w:r>
      <w:r w:rsidRPr="0024182A">
        <w:rPr>
          <w:rFonts w:ascii="Cambria" w:eastAsia="MS Mincho" w:hAnsi="Cambria" w:cs="Calibri Light"/>
          <w:sz w:val="16"/>
          <w:szCs w:val="16"/>
          <w:lang w:val="es-ES"/>
        </w:rPr>
        <w:t>CIDH, Caso 12.009</w:t>
      </w:r>
      <w:hyperlink r:id="rId6" w:history="1">
        <w:r w:rsidRPr="00A4169A">
          <w:rPr>
            <w:rStyle w:val="Hyperlink"/>
            <w:rFonts w:ascii="Cambria" w:eastAsia="MS Mincho" w:hAnsi="Cambria" w:cs="Calibri Light"/>
            <w:color w:val="auto"/>
            <w:sz w:val="16"/>
            <w:szCs w:val="16"/>
            <w:u w:val="none"/>
            <w:lang w:val="es-ES"/>
          </w:rPr>
          <w:t xml:space="preserve">, </w:t>
        </w:r>
        <w:r w:rsidRPr="0024182A">
          <w:rPr>
            <w:rStyle w:val="Hyperlink"/>
            <w:rFonts w:ascii="Cambria" w:hAnsi="Cambria" w:cs="Calibri Light"/>
            <w:color w:val="auto"/>
            <w:sz w:val="16"/>
            <w:szCs w:val="16"/>
            <w:lang w:val="es-ES"/>
          </w:rPr>
          <w:t xml:space="preserve">Informe de Fondo Nº 43/08, </w:t>
        </w:r>
        <w:proofErr w:type="spellStart"/>
        <w:r w:rsidRPr="0024182A">
          <w:rPr>
            <w:rStyle w:val="Hyperlink"/>
            <w:rFonts w:ascii="Cambria" w:hAnsi="Cambria"/>
            <w:color w:val="auto"/>
            <w:sz w:val="16"/>
            <w:szCs w:val="16"/>
            <w:lang w:val="es-ES"/>
          </w:rPr>
          <w:t>Leydi</w:t>
        </w:r>
        <w:proofErr w:type="spellEnd"/>
        <w:r w:rsidRPr="0024182A">
          <w:rPr>
            <w:rStyle w:val="Hyperlink"/>
            <w:rFonts w:ascii="Cambria" w:hAnsi="Cambria"/>
            <w:color w:val="auto"/>
            <w:sz w:val="16"/>
            <w:szCs w:val="16"/>
            <w:lang w:val="es-ES"/>
          </w:rPr>
          <w:t xml:space="preserve"> </w:t>
        </w:r>
        <w:proofErr w:type="spellStart"/>
        <w:r w:rsidRPr="0024182A">
          <w:rPr>
            <w:rStyle w:val="Hyperlink"/>
            <w:rFonts w:ascii="Cambria" w:hAnsi="Cambria"/>
            <w:color w:val="auto"/>
            <w:sz w:val="16"/>
            <w:szCs w:val="16"/>
            <w:lang w:val="es-ES"/>
          </w:rPr>
          <w:t>Dayán</w:t>
        </w:r>
        <w:proofErr w:type="spellEnd"/>
        <w:r w:rsidRPr="0024182A">
          <w:rPr>
            <w:rStyle w:val="Hyperlink"/>
            <w:rFonts w:ascii="Cambria" w:hAnsi="Cambria"/>
            <w:color w:val="auto"/>
            <w:sz w:val="16"/>
            <w:szCs w:val="16"/>
            <w:lang w:val="es-ES"/>
          </w:rPr>
          <w:t xml:space="preserve"> Sánchez Tamayo (Colombia)</w:t>
        </w:r>
      </w:hyperlink>
      <w:r w:rsidRPr="0024182A">
        <w:rPr>
          <w:rFonts w:ascii="Cambria" w:hAnsi="Cambria"/>
          <w:sz w:val="16"/>
          <w:szCs w:val="16"/>
          <w:lang w:val="es-ES"/>
        </w:rPr>
        <w:t xml:space="preserve">, </w:t>
      </w:r>
      <w:proofErr w:type="spellStart"/>
      <w:r w:rsidRPr="0024182A">
        <w:rPr>
          <w:rFonts w:ascii="Cambria" w:hAnsi="Cambria"/>
          <w:sz w:val="16"/>
          <w:szCs w:val="16"/>
          <w:lang w:val="es-ES"/>
        </w:rPr>
        <w:t>párrs</w:t>
      </w:r>
      <w:proofErr w:type="spellEnd"/>
      <w:r w:rsidRPr="0024182A">
        <w:rPr>
          <w:rFonts w:ascii="Cambria" w:hAnsi="Cambria"/>
          <w:sz w:val="16"/>
          <w:szCs w:val="16"/>
          <w:lang w:val="es-ES"/>
        </w:rPr>
        <w:t xml:space="preserve">. 92-97. </w:t>
      </w:r>
    </w:p>
  </w:footnote>
  <w:footnote w:id="7">
    <w:p w14:paraId="030B02D0" w14:textId="2D688836" w:rsidR="00DF6DAE" w:rsidRPr="0024182A" w:rsidRDefault="00DF6DAE" w:rsidP="00DF6DAE">
      <w:pPr>
        <w:pStyle w:val="FootnoteText"/>
        <w:spacing w:after="120"/>
        <w:ind w:firstLine="720"/>
        <w:jc w:val="both"/>
        <w:rPr>
          <w:rFonts w:ascii="Cambria" w:hAnsi="Cambria"/>
          <w:sz w:val="16"/>
          <w:szCs w:val="16"/>
          <w:lang w:val="es-ES"/>
        </w:rPr>
      </w:pPr>
      <w:r w:rsidRPr="0024182A">
        <w:rPr>
          <w:rStyle w:val="FootnoteReference"/>
          <w:rFonts w:ascii="Cambria" w:hAnsi="Cambria"/>
          <w:sz w:val="16"/>
          <w:szCs w:val="16"/>
        </w:rPr>
        <w:footnoteRef/>
      </w:r>
      <w:r w:rsidRPr="0024182A">
        <w:rPr>
          <w:rFonts w:ascii="Cambria" w:hAnsi="Cambria"/>
          <w:sz w:val="16"/>
          <w:szCs w:val="16"/>
          <w:lang w:val="es-ES"/>
        </w:rPr>
        <w:t xml:space="preserve"> </w:t>
      </w:r>
      <w:r w:rsidRPr="0024182A">
        <w:rPr>
          <w:rFonts w:ascii="Cambria" w:hAnsi="Cambria"/>
          <w:sz w:val="16"/>
          <w:szCs w:val="16"/>
          <w:lang w:val="es-US"/>
        </w:rPr>
        <w:t xml:space="preserve">CIDH, Informe Anual 2016, </w:t>
      </w:r>
      <w:hyperlink r:id="rId7" w:history="1">
        <w:r w:rsidR="004671DB">
          <w:rPr>
            <w:rStyle w:val="Hyperlink"/>
            <w:rFonts w:ascii="Cambria" w:hAnsi="Cambria"/>
            <w:color w:val="auto"/>
            <w:sz w:val="16"/>
            <w:szCs w:val="16"/>
            <w:lang w:val="es-US"/>
          </w:rPr>
          <w:t>Capí</w:t>
        </w:r>
        <w:r w:rsidRPr="0024182A">
          <w:rPr>
            <w:rStyle w:val="Hyperlink"/>
            <w:rFonts w:ascii="Cambria" w:hAnsi="Cambria"/>
            <w:color w:val="auto"/>
            <w:sz w:val="16"/>
            <w:szCs w:val="16"/>
            <w:lang w:val="es-US"/>
          </w:rPr>
          <w:t>tulo II, Sección D: Estado del cumplimiento de las recomendaciones de la CIDH</w:t>
        </w:r>
      </w:hyperlink>
      <w:r w:rsidRPr="0024182A">
        <w:rPr>
          <w:rFonts w:ascii="Cambria" w:hAnsi="Cambria"/>
          <w:sz w:val="16"/>
          <w:szCs w:val="16"/>
          <w:lang w:val="es-US"/>
        </w:rPr>
        <w:t>, párr. 614.</w:t>
      </w:r>
    </w:p>
  </w:footnote>
  <w:footnote w:id="8">
    <w:p w14:paraId="2B78296D" w14:textId="616A7C29" w:rsidR="00DF6DAE" w:rsidRPr="0024182A" w:rsidRDefault="00DF6DAE" w:rsidP="00DF6DAE">
      <w:pPr>
        <w:pStyle w:val="FootnoteText"/>
        <w:spacing w:after="120"/>
        <w:ind w:firstLine="720"/>
        <w:jc w:val="both"/>
        <w:rPr>
          <w:rFonts w:ascii="Cambria" w:hAnsi="Cambria"/>
          <w:sz w:val="16"/>
          <w:szCs w:val="16"/>
          <w:lang w:val="es-ES"/>
        </w:rPr>
      </w:pPr>
      <w:r w:rsidRPr="0024182A">
        <w:rPr>
          <w:rStyle w:val="FootnoteReference"/>
          <w:rFonts w:ascii="Cambria" w:hAnsi="Cambria"/>
          <w:sz w:val="16"/>
          <w:szCs w:val="16"/>
        </w:rPr>
        <w:footnoteRef/>
      </w:r>
      <w:r w:rsidRPr="0024182A">
        <w:rPr>
          <w:rFonts w:ascii="Cambria" w:hAnsi="Cambria"/>
          <w:sz w:val="16"/>
          <w:szCs w:val="16"/>
          <w:lang w:val="es-ES"/>
        </w:rPr>
        <w:t xml:space="preserve"> </w:t>
      </w:r>
      <w:r w:rsidRPr="0024182A">
        <w:rPr>
          <w:rFonts w:ascii="Cambria" w:hAnsi="Cambria"/>
          <w:sz w:val="16"/>
          <w:szCs w:val="16"/>
          <w:lang w:val="es-US"/>
        </w:rPr>
        <w:t xml:space="preserve">CIDH, Informe Anual 2016, </w:t>
      </w:r>
      <w:r w:rsidR="004671DB">
        <w:fldChar w:fldCharType="begin"/>
      </w:r>
      <w:r w:rsidR="004671DB" w:rsidRPr="00C47152">
        <w:rPr>
          <w:lang w:val="es-CO"/>
        </w:rPr>
        <w:instrText xml:space="preserve"> HYPERLINK "http://www.oas.org</w:instrText>
      </w:r>
      <w:r w:rsidR="004671DB" w:rsidRPr="00C47152">
        <w:rPr>
          <w:lang w:val="es-CO"/>
        </w:rPr>
        <w:instrText xml:space="preserve">/es/cidh/docs/anual/2016/docs/InformeAnual2016cap2Dseguimiento-es.pdf" </w:instrText>
      </w:r>
      <w:r w:rsidR="004671DB">
        <w:fldChar w:fldCharType="separate"/>
      </w:r>
      <w:r w:rsidR="004671DB">
        <w:rPr>
          <w:rStyle w:val="Hyperlink"/>
          <w:rFonts w:ascii="Cambria" w:hAnsi="Cambria"/>
          <w:color w:val="auto"/>
          <w:sz w:val="16"/>
          <w:szCs w:val="16"/>
          <w:lang w:val="es-US"/>
        </w:rPr>
        <w:t>Capí</w:t>
      </w:r>
      <w:bookmarkStart w:id="0" w:name="_GoBack"/>
      <w:bookmarkEnd w:id="0"/>
      <w:r w:rsidRPr="0024182A">
        <w:rPr>
          <w:rStyle w:val="Hyperlink"/>
          <w:rFonts w:ascii="Cambria" w:hAnsi="Cambria"/>
          <w:color w:val="auto"/>
          <w:sz w:val="16"/>
          <w:szCs w:val="16"/>
          <w:lang w:val="es-US"/>
        </w:rPr>
        <w:t>tulo II, Sección D: Estado del cumplimiento de las recomendaciones de la CIDH</w:t>
      </w:r>
      <w:r w:rsidR="004671DB">
        <w:rPr>
          <w:rStyle w:val="Hyperlink"/>
          <w:rFonts w:ascii="Cambria" w:hAnsi="Cambria"/>
          <w:color w:val="auto"/>
          <w:sz w:val="16"/>
          <w:szCs w:val="16"/>
          <w:lang w:val="es-US"/>
        </w:rPr>
        <w:fldChar w:fldCharType="end"/>
      </w:r>
      <w:r w:rsidRPr="0024182A">
        <w:rPr>
          <w:rFonts w:ascii="Cambria" w:hAnsi="Cambria"/>
          <w:sz w:val="16"/>
          <w:szCs w:val="16"/>
          <w:lang w:val="es-US"/>
        </w:rPr>
        <w:t>, párr. 614.</w:t>
      </w:r>
    </w:p>
  </w:footnote>
  <w:footnote w:id="9">
    <w:p w14:paraId="653E8C21" w14:textId="5D50D044" w:rsidR="00007D3D" w:rsidRPr="00007D3D" w:rsidRDefault="00007D3D" w:rsidP="00DF6DAE">
      <w:pPr>
        <w:pStyle w:val="FootnoteText"/>
        <w:spacing w:after="120"/>
        <w:ind w:firstLine="720"/>
        <w:jc w:val="both"/>
        <w:rPr>
          <w:rFonts w:ascii="Cambria" w:hAnsi="Cambria"/>
          <w:sz w:val="16"/>
          <w:szCs w:val="16"/>
          <w:lang w:val="es-CO"/>
        </w:rPr>
      </w:pPr>
      <w:r w:rsidRPr="0024182A">
        <w:rPr>
          <w:rStyle w:val="FootnoteReference"/>
          <w:rFonts w:ascii="Cambria" w:hAnsi="Cambria"/>
          <w:sz w:val="16"/>
          <w:szCs w:val="16"/>
        </w:rPr>
        <w:footnoteRef/>
      </w:r>
      <w:r w:rsidRPr="0024182A">
        <w:rPr>
          <w:rFonts w:ascii="Cambria" w:hAnsi="Cambria"/>
          <w:sz w:val="16"/>
          <w:szCs w:val="16"/>
          <w:lang w:val="es-CO"/>
        </w:rPr>
        <w:t xml:space="preserve"> </w:t>
      </w:r>
      <w:r w:rsidRPr="0024182A">
        <w:rPr>
          <w:rFonts w:ascii="Cambria" w:hAnsi="Cambria"/>
          <w:sz w:val="16"/>
          <w:szCs w:val="16"/>
          <w:lang w:val="es-ES_tradnl"/>
        </w:rPr>
        <w:t xml:space="preserve">En dicho reconocimiento de responsabilidad el Director General de la Policía Nacional Mayor General Jorge Daniel Castro </w:t>
      </w:r>
      <w:proofErr w:type="spellStart"/>
      <w:r w:rsidRPr="0024182A">
        <w:rPr>
          <w:rFonts w:ascii="Cambria" w:hAnsi="Cambria"/>
          <w:sz w:val="16"/>
          <w:szCs w:val="16"/>
          <w:lang w:val="es-ES_tradnl"/>
        </w:rPr>
        <w:t>Castro</w:t>
      </w:r>
      <w:proofErr w:type="spellEnd"/>
      <w:r w:rsidRPr="0024182A">
        <w:rPr>
          <w:rFonts w:ascii="Cambria" w:hAnsi="Cambria"/>
          <w:sz w:val="16"/>
          <w:szCs w:val="16"/>
          <w:lang w:val="es-ES_tradnl"/>
        </w:rPr>
        <w:t xml:space="preserve"> expresó: “El Estado por intermedio de este humilde servidor, lamenta la muerte de la niña </w:t>
      </w:r>
      <w:proofErr w:type="spellStart"/>
      <w:r w:rsidRPr="0024182A">
        <w:rPr>
          <w:rFonts w:ascii="Cambria" w:hAnsi="Cambria"/>
          <w:sz w:val="16"/>
          <w:szCs w:val="16"/>
          <w:lang w:val="es-ES_tradnl"/>
        </w:rPr>
        <w:t>Leydi</w:t>
      </w:r>
      <w:proofErr w:type="spellEnd"/>
      <w:r w:rsidRPr="0024182A">
        <w:rPr>
          <w:rFonts w:ascii="Cambria" w:hAnsi="Cambria"/>
          <w:sz w:val="16"/>
          <w:szCs w:val="16"/>
          <w:lang w:val="es-ES_tradnl"/>
        </w:rPr>
        <w:t xml:space="preserve"> </w:t>
      </w:r>
      <w:proofErr w:type="spellStart"/>
      <w:r w:rsidRPr="0024182A">
        <w:rPr>
          <w:rFonts w:ascii="Cambria" w:hAnsi="Cambria"/>
          <w:sz w:val="16"/>
          <w:szCs w:val="16"/>
          <w:lang w:val="es-ES_tradnl"/>
        </w:rPr>
        <w:t>Dayan</w:t>
      </w:r>
      <w:proofErr w:type="spellEnd"/>
      <w:r w:rsidRPr="0024182A">
        <w:rPr>
          <w:rFonts w:ascii="Cambria" w:hAnsi="Cambria"/>
          <w:sz w:val="16"/>
          <w:szCs w:val="16"/>
          <w:lang w:val="es-ES_tradnl"/>
        </w:rPr>
        <w:t xml:space="preserve"> Sánchez Tamayo, reconoce ante ustedes los familiares de la menor, la comunidad nacional e internacional, la responsabilidad que le cabe por los hechos mencionados y pide perdón, pide perdón a sus padres, a sus hermanos por haberles causado el profundo dolor de perder a una hija, una hermana, cuando iniciaba su v</w:t>
      </w:r>
      <w:r w:rsidR="002A7AF3">
        <w:rPr>
          <w:rFonts w:ascii="Cambria" w:hAnsi="Cambria"/>
          <w:sz w:val="16"/>
          <w:szCs w:val="16"/>
          <w:lang w:val="es-ES_tradnl"/>
        </w:rPr>
        <w:t>ida, su adolescencia.</w:t>
      </w:r>
      <w:r w:rsidRPr="0024182A">
        <w:rPr>
          <w:rFonts w:ascii="Cambria" w:hAnsi="Cambria"/>
          <w:sz w:val="16"/>
          <w:szCs w:val="16"/>
          <w:lang w:val="es-ES_tradnl"/>
        </w:rPr>
        <w:t xml:space="preserve"> El Estado espera, la Policía también, </w:t>
      </w:r>
      <w:proofErr w:type="gramStart"/>
      <w:r w:rsidRPr="0024182A">
        <w:rPr>
          <w:rFonts w:ascii="Cambria" w:hAnsi="Cambria"/>
          <w:sz w:val="16"/>
          <w:szCs w:val="16"/>
          <w:lang w:val="es-ES_tradnl"/>
        </w:rPr>
        <w:t>que</w:t>
      </w:r>
      <w:proofErr w:type="gramEnd"/>
      <w:r w:rsidRPr="0024182A">
        <w:rPr>
          <w:rFonts w:ascii="Cambria" w:hAnsi="Cambria"/>
          <w:sz w:val="16"/>
          <w:szCs w:val="16"/>
          <w:lang w:val="es-ES_tradnl"/>
        </w:rPr>
        <w:t xml:space="preserve"> con este acto, que nos sale del corazón, en algo podamos mitigar el dolor de sus pares, sus hermanos y de sus amiguitos sus compañeros. Sabemos y somos conscientes que estos hechos son irreparables, pero esperamos que este acto de perdón y contrición sea tenido en cuenta por todos ustedes. La Policía de Colombia reitera una vez más, el compromiso de respetar la vida y los derechos humanos de todas las personas y que su actuación sea siempre ajustada bajo los parámetros legales y reglamentarios y espera que nunca más, nunca más, en Colombia se vuelva a come</w:t>
      </w:r>
      <w:r w:rsidR="002A7AF3">
        <w:rPr>
          <w:rFonts w:ascii="Cambria" w:hAnsi="Cambria"/>
          <w:sz w:val="16"/>
          <w:szCs w:val="16"/>
          <w:lang w:val="es-ES_tradnl"/>
        </w:rPr>
        <w:t>ter un hecho de esta magnitud”.</w:t>
      </w:r>
      <w:r w:rsidRPr="0024182A">
        <w:rPr>
          <w:rFonts w:ascii="Cambria" w:hAnsi="Cambria"/>
          <w:sz w:val="16"/>
          <w:szCs w:val="16"/>
          <w:lang w:val="es-ES_tradnl"/>
        </w:rPr>
        <w:t xml:space="preserve"> Nota DDH.GOI 20779/1106 del Ministerio de Relaciones Exteriores del 25 de abril de 2008, págs. 2 y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ED919" w14:textId="77777777" w:rsidR="005818F5" w:rsidRDefault="005818F5" w:rsidP="00594FE3">
    <w:pPr>
      <w:pStyle w:val="Header"/>
      <w:jc w:val="center"/>
    </w:pPr>
    <w:r>
      <w:rPr>
        <w:noProof/>
      </w:rPr>
      <w:drawing>
        <wp:anchor distT="0" distB="0" distL="114300" distR="114300" simplePos="0" relativeHeight="251659264" behindDoc="1" locked="0" layoutInCell="1" allowOverlap="1" wp14:anchorId="3A39E878" wp14:editId="5A980A40">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B5711" w14:textId="77777777" w:rsidR="005818F5" w:rsidRPr="00F17462" w:rsidRDefault="004671DB" w:rsidP="00594FE3">
    <w:pPr>
      <w:spacing w:after="0" w:line="240" w:lineRule="auto"/>
      <w:jc w:val="center"/>
      <w:rPr>
        <w:rFonts w:ascii="Cambria" w:hAnsi="Cambria"/>
        <w:b/>
      </w:rPr>
    </w:pPr>
    <w:r>
      <w:pict w14:anchorId="15CE1E1B">
        <v:rect id="_x0000_i1025" style="width:0;height:1.5pt" o:hralign="center" o:hrstd="t" o:hr="t" fillcolor="#a0a0a0" stroked="f"/>
      </w:pict>
    </w:r>
  </w:p>
  <w:p w14:paraId="01580FDB" w14:textId="77777777" w:rsidR="005818F5" w:rsidRDefault="00581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8357" w14:textId="2BF41FCC" w:rsidR="00226B97" w:rsidRDefault="00226B97" w:rsidP="00226B97">
    <w:pPr>
      <w:pStyle w:val="Header"/>
    </w:pPr>
    <w:r>
      <w:tab/>
    </w:r>
    <w:r>
      <w:tab/>
    </w:r>
  </w:p>
  <w:p w14:paraId="28C44C4A" w14:textId="4F749061" w:rsidR="00226B97" w:rsidRDefault="00FD4B9B" w:rsidP="00226B97">
    <w:pPr>
      <w:pStyle w:val="Header"/>
    </w:pPr>
    <w:r>
      <w:rPr>
        <w:noProof/>
      </w:rPr>
      <w:drawing>
        <wp:anchor distT="0" distB="0" distL="114300" distR="114300" simplePos="0" relativeHeight="251658240" behindDoc="1" locked="0" layoutInCell="1" allowOverlap="1" wp14:anchorId="1F65B805" wp14:editId="0E2C4737">
          <wp:simplePos x="0" y="0"/>
          <wp:positionH relativeFrom="column">
            <wp:posOffset>4000500</wp:posOffset>
          </wp:positionH>
          <wp:positionV relativeFrom="paragraph">
            <wp:posOffset>5367</wp:posOffset>
          </wp:positionV>
          <wp:extent cx="1943100" cy="495300"/>
          <wp:effectExtent l="0" t="0" r="0" b="0"/>
          <wp:wrapThrough wrapText="bothSides">
            <wp:wrapPolygon edited="0">
              <wp:start x="1271" y="0"/>
              <wp:lineTo x="0" y="3323"/>
              <wp:lineTo x="0" y="17446"/>
              <wp:lineTo x="1271" y="20769"/>
              <wp:lineTo x="4235" y="20769"/>
              <wp:lineTo x="21388" y="18277"/>
              <wp:lineTo x="21388" y="3323"/>
              <wp:lineTo x="4235" y="0"/>
              <wp:lineTo x="1271" y="0"/>
            </wp:wrapPolygon>
          </wp:wrapThrough>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_Seal_ESP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B97" w:rsidRPr="008A5CB5">
      <w:rPr>
        <w:noProof/>
      </w:rPr>
      <w:drawing>
        <wp:inline distT="0" distB="0" distL="0" distR="0" wp14:anchorId="76E4A0DA" wp14:editId="3BFBD0B8">
          <wp:extent cx="2352675" cy="454025"/>
          <wp:effectExtent l="0" t="0" r="9525" b="3175"/>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454025"/>
                  </a:xfrm>
                  <a:prstGeom prst="rect">
                    <a:avLst/>
                  </a:prstGeom>
                  <a:noFill/>
                  <a:ln>
                    <a:noFill/>
                  </a:ln>
                </pic:spPr>
              </pic:pic>
            </a:graphicData>
          </a:graphic>
        </wp:inline>
      </w:drawing>
    </w:r>
    <w:r w:rsidR="004671DB">
      <w:pict w14:anchorId="4682F0B2">
        <v:rect id="_x0000_i1026" style="width:0;height:1.5pt" o:hralign="center" o:hrstd="t" o:hr="t" fillcolor="#a0a0a0" stroked="f"/>
      </w:pict>
    </w:r>
  </w:p>
  <w:p w14:paraId="0DAF88C1" w14:textId="77777777" w:rsidR="005818F5" w:rsidRPr="005622BE" w:rsidRDefault="005818F5" w:rsidP="00594FE3">
    <w:pPr>
      <w:pStyle w:val="Header"/>
    </w:pP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F37AD"/>
    <w:multiLevelType w:val="hybridMultilevel"/>
    <w:tmpl w:val="5FD6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65803"/>
    <w:multiLevelType w:val="hybridMultilevel"/>
    <w:tmpl w:val="5E14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51BF6"/>
    <w:multiLevelType w:val="hybridMultilevel"/>
    <w:tmpl w:val="A5EC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1" w15:restartNumberingAfterBreak="0">
    <w:nsid w:val="1907538E"/>
    <w:multiLevelType w:val="hybridMultilevel"/>
    <w:tmpl w:val="A8FC50FE"/>
    <w:lvl w:ilvl="0" w:tplc="ABB23A28">
      <w:start w:val="1"/>
      <w:numFmt w:val="decimal"/>
      <w:lvlText w:val="%1."/>
      <w:lvlJc w:val="left"/>
      <w:pPr>
        <w:ind w:left="720" w:hanging="360"/>
      </w:pPr>
      <w:rPr>
        <w:rFonts w:ascii="Cambria" w:hAnsi="Cambria" w:hint="default"/>
        <w:b w:val="0"/>
        <w:sz w:val="20"/>
        <w:szCs w:val="20"/>
        <w:lang w:val="es-C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C3E11"/>
    <w:multiLevelType w:val="hybridMultilevel"/>
    <w:tmpl w:val="A2DECEF8"/>
    <w:lvl w:ilvl="0" w:tplc="9DF42598">
      <w:start w:val="1"/>
      <w:numFmt w:val="decimal"/>
      <w:lvlText w:val="%1."/>
      <w:lvlJc w:val="left"/>
      <w:pPr>
        <w:ind w:left="900" w:hanging="360"/>
      </w:pPr>
      <w:rPr>
        <w:rFonts w:asciiTheme="minorHAnsi" w:hAnsiTheme="minorHAnsi" w:hint="default"/>
        <w:sz w:val="20"/>
        <w:szCs w:val="2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90628"/>
    <w:multiLevelType w:val="hybridMultilevel"/>
    <w:tmpl w:val="D9902C88"/>
    <w:lvl w:ilvl="0" w:tplc="655E331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21E97"/>
    <w:multiLevelType w:val="hybridMultilevel"/>
    <w:tmpl w:val="9A7A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F31554"/>
    <w:multiLevelType w:val="hybridMultilevel"/>
    <w:tmpl w:val="72C0A8E4"/>
    <w:lvl w:ilvl="0" w:tplc="E3D4DDC6">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6F472F"/>
    <w:multiLevelType w:val="hybridMultilevel"/>
    <w:tmpl w:val="2446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063E27"/>
    <w:multiLevelType w:val="hybridMultilevel"/>
    <w:tmpl w:val="79E4B05E"/>
    <w:lvl w:ilvl="0" w:tplc="2AD44D2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B6A2B"/>
    <w:multiLevelType w:val="hybridMultilevel"/>
    <w:tmpl w:val="A76087D8"/>
    <w:lvl w:ilvl="0" w:tplc="6BF056EA">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B70D8B"/>
    <w:multiLevelType w:val="hybridMultilevel"/>
    <w:tmpl w:val="BAECA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00A47"/>
    <w:multiLevelType w:val="hybridMultilevel"/>
    <w:tmpl w:val="9C4C874E"/>
    <w:lvl w:ilvl="0" w:tplc="9ED01596">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9395F17"/>
    <w:multiLevelType w:val="hybridMultilevel"/>
    <w:tmpl w:val="8820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62698C"/>
    <w:multiLevelType w:val="hybridMultilevel"/>
    <w:tmpl w:val="B5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4"/>
  </w:num>
  <w:num w:numId="4">
    <w:abstractNumId w:val="44"/>
  </w:num>
  <w:num w:numId="5">
    <w:abstractNumId w:val="3"/>
  </w:num>
  <w:num w:numId="6">
    <w:abstractNumId w:val="31"/>
  </w:num>
  <w:num w:numId="7">
    <w:abstractNumId w:val="33"/>
  </w:num>
  <w:num w:numId="8">
    <w:abstractNumId w:val="36"/>
  </w:num>
  <w:num w:numId="9">
    <w:abstractNumId w:val="37"/>
  </w:num>
  <w:num w:numId="10">
    <w:abstractNumId w:val="24"/>
  </w:num>
  <w:num w:numId="11">
    <w:abstractNumId w:val="20"/>
  </w:num>
  <w:num w:numId="12">
    <w:abstractNumId w:val="7"/>
  </w:num>
  <w:num w:numId="13">
    <w:abstractNumId w:val="21"/>
  </w:num>
  <w:num w:numId="14">
    <w:abstractNumId w:val="27"/>
  </w:num>
  <w:num w:numId="15">
    <w:abstractNumId w:val="25"/>
  </w:num>
  <w:num w:numId="16">
    <w:abstractNumId w:val="9"/>
  </w:num>
  <w:num w:numId="17">
    <w:abstractNumId w:val="10"/>
  </w:num>
  <w:num w:numId="18">
    <w:abstractNumId w:val="41"/>
  </w:num>
  <w:num w:numId="19">
    <w:abstractNumId w:val="1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45"/>
  </w:num>
  <w:num w:numId="24">
    <w:abstractNumId w:val="40"/>
  </w:num>
  <w:num w:numId="25">
    <w:abstractNumId w:val="23"/>
  </w:num>
  <w:num w:numId="26">
    <w:abstractNumId w:val="5"/>
  </w:num>
  <w:num w:numId="27">
    <w:abstractNumId w:val="28"/>
  </w:num>
  <w:num w:numId="28">
    <w:abstractNumId w:val="30"/>
  </w:num>
  <w:num w:numId="29">
    <w:abstractNumId w:val="16"/>
  </w:num>
  <w:num w:numId="30">
    <w:abstractNumId w:val="14"/>
  </w:num>
  <w:num w:numId="31">
    <w:abstractNumId w:val="12"/>
  </w:num>
  <w:num w:numId="32">
    <w:abstractNumId w:val="39"/>
  </w:num>
  <w:num w:numId="33">
    <w:abstractNumId w:val="22"/>
  </w:num>
  <w:num w:numId="34">
    <w:abstractNumId w:val="35"/>
  </w:num>
  <w:num w:numId="35">
    <w:abstractNumId w:val="43"/>
  </w:num>
  <w:num w:numId="36">
    <w:abstractNumId w:val="32"/>
  </w:num>
  <w:num w:numId="37">
    <w:abstractNumId w:val="19"/>
  </w:num>
  <w:num w:numId="38">
    <w:abstractNumId w:val="29"/>
  </w:num>
  <w:num w:numId="39">
    <w:abstractNumId w:val="34"/>
  </w:num>
  <w:num w:numId="40">
    <w:abstractNumId w:val="42"/>
  </w:num>
  <w:num w:numId="41">
    <w:abstractNumId w:val="2"/>
  </w:num>
  <w:num w:numId="42">
    <w:abstractNumId w:val="15"/>
  </w:num>
  <w:num w:numId="43">
    <w:abstractNumId w:val="11"/>
  </w:num>
  <w:num w:numId="44">
    <w:abstractNumId w:val="6"/>
  </w:num>
  <w:num w:numId="45">
    <w:abstractNumId w:val="3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proofState w:spelling="clean" w:grammar="clean"/>
  <w:defaultTabStop w:val="720"/>
  <w:hyphenationZone w:val="425"/>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4D"/>
    <w:rsid w:val="00000823"/>
    <w:rsid w:val="000019EF"/>
    <w:rsid w:val="00002B8F"/>
    <w:rsid w:val="00007D3D"/>
    <w:rsid w:val="000105E2"/>
    <w:rsid w:val="00010D7D"/>
    <w:rsid w:val="000208BD"/>
    <w:rsid w:val="00027FA3"/>
    <w:rsid w:val="00037C0A"/>
    <w:rsid w:val="0004139E"/>
    <w:rsid w:val="00043872"/>
    <w:rsid w:val="00046E4E"/>
    <w:rsid w:val="0004731F"/>
    <w:rsid w:val="000507B2"/>
    <w:rsid w:val="00052627"/>
    <w:rsid w:val="0006017B"/>
    <w:rsid w:val="00067A77"/>
    <w:rsid w:val="00076298"/>
    <w:rsid w:val="000823BF"/>
    <w:rsid w:val="00083B2B"/>
    <w:rsid w:val="00092663"/>
    <w:rsid w:val="00093073"/>
    <w:rsid w:val="000A6167"/>
    <w:rsid w:val="000A638D"/>
    <w:rsid w:val="000B2B43"/>
    <w:rsid w:val="000B31A2"/>
    <w:rsid w:val="000C0D2B"/>
    <w:rsid w:val="000C0F1A"/>
    <w:rsid w:val="000C2753"/>
    <w:rsid w:val="000C5C85"/>
    <w:rsid w:val="000D10AB"/>
    <w:rsid w:val="000D165B"/>
    <w:rsid w:val="000D26C0"/>
    <w:rsid w:val="000D6083"/>
    <w:rsid w:val="000E0AD2"/>
    <w:rsid w:val="000E2952"/>
    <w:rsid w:val="000E5EAF"/>
    <w:rsid w:val="000E7806"/>
    <w:rsid w:val="001007D0"/>
    <w:rsid w:val="0010125B"/>
    <w:rsid w:val="00102AFB"/>
    <w:rsid w:val="0010319A"/>
    <w:rsid w:val="001031C8"/>
    <w:rsid w:val="00105A2A"/>
    <w:rsid w:val="00106B9F"/>
    <w:rsid w:val="00106CB6"/>
    <w:rsid w:val="001162CB"/>
    <w:rsid w:val="00121DC4"/>
    <w:rsid w:val="00124B0D"/>
    <w:rsid w:val="0012554E"/>
    <w:rsid w:val="00126AB7"/>
    <w:rsid w:val="001326F6"/>
    <w:rsid w:val="001449D7"/>
    <w:rsid w:val="00147131"/>
    <w:rsid w:val="00147493"/>
    <w:rsid w:val="00147DF0"/>
    <w:rsid w:val="001504BB"/>
    <w:rsid w:val="0015686A"/>
    <w:rsid w:val="0016626B"/>
    <w:rsid w:val="0016664D"/>
    <w:rsid w:val="001759C1"/>
    <w:rsid w:val="001760BA"/>
    <w:rsid w:val="00176E57"/>
    <w:rsid w:val="0018434D"/>
    <w:rsid w:val="0019180F"/>
    <w:rsid w:val="0019188A"/>
    <w:rsid w:val="00193311"/>
    <w:rsid w:val="00195BD5"/>
    <w:rsid w:val="001A1812"/>
    <w:rsid w:val="001B6B90"/>
    <w:rsid w:val="001B704C"/>
    <w:rsid w:val="001C115D"/>
    <w:rsid w:val="001D088F"/>
    <w:rsid w:val="001E4A88"/>
    <w:rsid w:val="001F3FB0"/>
    <w:rsid w:val="001F657C"/>
    <w:rsid w:val="0020031E"/>
    <w:rsid w:val="002005E0"/>
    <w:rsid w:val="00201F26"/>
    <w:rsid w:val="00203E47"/>
    <w:rsid w:val="00207922"/>
    <w:rsid w:val="002156DC"/>
    <w:rsid w:val="002160C0"/>
    <w:rsid w:val="00224EDC"/>
    <w:rsid w:val="00226B97"/>
    <w:rsid w:val="00231A83"/>
    <w:rsid w:val="00231AC2"/>
    <w:rsid w:val="002340AE"/>
    <w:rsid w:val="00234C3B"/>
    <w:rsid w:val="00235297"/>
    <w:rsid w:val="002372F7"/>
    <w:rsid w:val="0024182A"/>
    <w:rsid w:val="00243BCA"/>
    <w:rsid w:val="0024645A"/>
    <w:rsid w:val="002465DA"/>
    <w:rsid w:val="0024773B"/>
    <w:rsid w:val="002502B6"/>
    <w:rsid w:val="0025581A"/>
    <w:rsid w:val="00256CEC"/>
    <w:rsid w:val="002661D9"/>
    <w:rsid w:val="002667FA"/>
    <w:rsid w:val="00272E0C"/>
    <w:rsid w:val="00275418"/>
    <w:rsid w:val="00281393"/>
    <w:rsid w:val="002856E7"/>
    <w:rsid w:val="0028678F"/>
    <w:rsid w:val="00287012"/>
    <w:rsid w:val="00291089"/>
    <w:rsid w:val="0029224B"/>
    <w:rsid w:val="0029290D"/>
    <w:rsid w:val="00296A3D"/>
    <w:rsid w:val="002A2901"/>
    <w:rsid w:val="002A462D"/>
    <w:rsid w:val="002A5153"/>
    <w:rsid w:val="002A67C8"/>
    <w:rsid w:val="002A70FB"/>
    <w:rsid w:val="002A7AF3"/>
    <w:rsid w:val="002B12D9"/>
    <w:rsid w:val="002B2949"/>
    <w:rsid w:val="002C11A0"/>
    <w:rsid w:val="002C1DBB"/>
    <w:rsid w:val="002D2200"/>
    <w:rsid w:val="002D2490"/>
    <w:rsid w:val="002D3A69"/>
    <w:rsid w:val="002E04B2"/>
    <w:rsid w:val="002E24A5"/>
    <w:rsid w:val="002E27BB"/>
    <w:rsid w:val="002E3D31"/>
    <w:rsid w:val="002E6370"/>
    <w:rsid w:val="002F0D2F"/>
    <w:rsid w:val="002F21C5"/>
    <w:rsid w:val="002F3923"/>
    <w:rsid w:val="002F4636"/>
    <w:rsid w:val="002F5A8F"/>
    <w:rsid w:val="002F70F2"/>
    <w:rsid w:val="00303A21"/>
    <w:rsid w:val="00304C6D"/>
    <w:rsid w:val="00312310"/>
    <w:rsid w:val="003151FE"/>
    <w:rsid w:val="00322F7D"/>
    <w:rsid w:val="003250A4"/>
    <w:rsid w:val="003272C4"/>
    <w:rsid w:val="00334B16"/>
    <w:rsid w:val="003455B5"/>
    <w:rsid w:val="00350C0E"/>
    <w:rsid w:val="0035540A"/>
    <w:rsid w:val="003571CE"/>
    <w:rsid w:val="00357DCB"/>
    <w:rsid w:val="0036198E"/>
    <w:rsid w:val="003624D8"/>
    <w:rsid w:val="00365EED"/>
    <w:rsid w:val="0036660E"/>
    <w:rsid w:val="0036721A"/>
    <w:rsid w:val="00367FC8"/>
    <w:rsid w:val="00371B8A"/>
    <w:rsid w:val="00372935"/>
    <w:rsid w:val="003743FA"/>
    <w:rsid w:val="003820A6"/>
    <w:rsid w:val="00382204"/>
    <w:rsid w:val="0038578F"/>
    <w:rsid w:val="003917D2"/>
    <w:rsid w:val="00391E76"/>
    <w:rsid w:val="00391EDC"/>
    <w:rsid w:val="003936F0"/>
    <w:rsid w:val="003952B2"/>
    <w:rsid w:val="00397989"/>
    <w:rsid w:val="003A028B"/>
    <w:rsid w:val="003A4926"/>
    <w:rsid w:val="003A5479"/>
    <w:rsid w:val="003B579D"/>
    <w:rsid w:val="003C1898"/>
    <w:rsid w:val="003D4EAB"/>
    <w:rsid w:val="003D69FA"/>
    <w:rsid w:val="003D6CC4"/>
    <w:rsid w:val="003D6EB7"/>
    <w:rsid w:val="003E24A8"/>
    <w:rsid w:val="003E2929"/>
    <w:rsid w:val="003E50B8"/>
    <w:rsid w:val="003F147F"/>
    <w:rsid w:val="003F37F4"/>
    <w:rsid w:val="003F610D"/>
    <w:rsid w:val="003F662D"/>
    <w:rsid w:val="004008D3"/>
    <w:rsid w:val="00400BF2"/>
    <w:rsid w:val="00401AC9"/>
    <w:rsid w:val="0040675A"/>
    <w:rsid w:val="004263F4"/>
    <w:rsid w:val="00427339"/>
    <w:rsid w:val="00430A46"/>
    <w:rsid w:val="004325E4"/>
    <w:rsid w:val="00436600"/>
    <w:rsid w:val="00437A45"/>
    <w:rsid w:val="00437CFA"/>
    <w:rsid w:val="00440738"/>
    <w:rsid w:val="00440C84"/>
    <w:rsid w:val="00443C3C"/>
    <w:rsid w:val="00445E2E"/>
    <w:rsid w:val="00446166"/>
    <w:rsid w:val="00456CA3"/>
    <w:rsid w:val="004604F0"/>
    <w:rsid w:val="00460578"/>
    <w:rsid w:val="0046200E"/>
    <w:rsid w:val="00462967"/>
    <w:rsid w:val="004671DB"/>
    <w:rsid w:val="00467209"/>
    <w:rsid w:val="00472178"/>
    <w:rsid w:val="004730A3"/>
    <w:rsid w:val="00473BA4"/>
    <w:rsid w:val="004810AB"/>
    <w:rsid w:val="00482AB4"/>
    <w:rsid w:val="004877B9"/>
    <w:rsid w:val="004921EE"/>
    <w:rsid w:val="00495DD0"/>
    <w:rsid w:val="004A1C31"/>
    <w:rsid w:val="004A2B1F"/>
    <w:rsid w:val="004A2FFF"/>
    <w:rsid w:val="004A3824"/>
    <w:rsid w:val="004A40CF"/>
    <w:rsid w:val="004A49A2"/>
    <w:rsid w:val="004A6837"/>
    <w:rsid w:val="004A77BF"/>
    <w:rsid w:val="004B145C"/>
    <w:rsid w:val="004B59C9"/>
    <w:rsid w:val="004B62C5"/>
    <w:rsid w:val="004B68E4"/>
    <w:rsid w:val="004B6B23"/>
    <w:rsid w:val="004C0422"/>
    <w:rsid w:val="004C0A9B"/>
    <w:rsid w:val="004C11A7"/>
    <w:rsid w:val="004C16F7"/>
    <w:rsid w:val="004C2966"/>
    <w:rsid w:val="004C2F2A"/>
    <w:rsid w:val="004C4E4B"/>
    <w:rsid w:val="004C5894"/>
    <w:rsid w:val="004C64D5"/>
    <w:rsid w:val="004C6D50"/>
    <w:rsid w:val="004D10AA"/>
    <w:rsid w:val="004E4B65"/>
    <w:rsid w:val="004E611E"/>
    <w:rsid w:val="004F3114"/>
    <w:rsid w:val="004F596A"/>
    <w:rsid w:val="00501FA9"/>
    <w:rsid w:val="005023E5"/>
    <w:rsid w:val="0050243B"/>
    <w:rsid w:val="00502D00"/>
    <w:rsid w:val="00503E3B"/>
    <w:rsid w:val="0050413C"/>
    <w:rsid w:val="00505EAB"/>
    <w:rsid w:val="005061CE"/>
    <w:rsid w:val="00512C07"/>
    <w:rsid w:val="005138D8"/>
    <w:rsid w:val="005157B7"/>
    <w:rsid w:val="0052132E"/>
    <w:rsid w:val="00521FE0"/>
    <w:rsid w:val="00522ECF"/>
    <w:rsid w:val="005401D5"/>
    <w:rsid w:val="005409CB"/>
    <w:rsid w:val="005421DC"/>
    <w:rsid w:val="00545BA7"/>
    <w:rsid w:val="005622BE"/>
    <w:rsid w:val="00562570"/>
    <w:rsid w:val="00566512"/>
    <w:rsid w:val="00572AAA"/>
    <w:rsid w:val="00572FE6"/>
    <w:rsid w:val="0057501C"/>
    <w:rsid w:val="005803F5"/>
    <w:rsid w:val="0058117D"/>
    <w:rsid w:val="005818F5"/>
    <w:rsid w:val="00581FA1"/>
    <w:rsid w:val="00582E14"/>
    <w:rsid w:val="00584DDA"/>
    <w:rsid w:val="00591815"/>
    <w:rsid w:val="005928CC"/>
    <w:rsid w:val="00594FE3"/>
    <w:rsid w:val="005A255E"/>
    <w:rsid w:val="005A5360"/>
    <w:rsid w:val="005B109E"/>
    <w:rsid w:val="005B2B05"/>
    <w:rsid w:val="005B2D25"/>
    <w:rsid w:val="005B5263"/>
    <w:rsid w:val="005B616A"/>
    <w:rsid w:val="005C6777"/>
    <w:rsid w:val="005D3B59"/>
    <w:rsid w:val="005D685A"/>
    <w:rsid w:val="005E0D02"/>
    <w:rsid w:val="005E7475"/>
    <w:rsid w:val="005F06F5"/>
    <w:rsid w:val="005F2936"/>
    <w:rsid w:val="005F3D10"/>
    <w:rsid w:val="005F3DF9"/>
    <w:rsid w:val="005F74CB"/>
    <w:rsid w:val="00601491"/>
    <w:rsid w:val="006029C3"/>
    <w:rsid w:val="006122B6"/>
    <w:rsid w:val="006147F5"/>
    <w:rsid w:val="00625F2C"/>
    <w:rsid w:val="00630EF3"/>
    <w:rsid w:val="00634AB3"/>
    <w:rsid w:val="00635858"/>
    <w:rsid w:val="00640AD0"/>
    <w:rsid w:val="00641554"/>
    <w:rsid w:val="00642C61"/>
    <w:rsid w:val="006455C0"/>
    <w:rsid w:val="00646B1F"/>
    <w:rsid w:val="006628D7"/>
    <w:rsid w:val="00667323"/>
    <w:rsid w:val="00667A6C"/>
    <w:rsid w:val="00674765"/>
    <w:rsid w:val="00676015"/>
    <w:rsid w:val="0067651C"/>
    <w:rsid w:val="00680A50"/>
    <w:rsid w:val="00680BC6"/>
    <w:rsid w:val="00687F7B"/>
    <w:rsid w:val="0069047D"/>
    <w:rsid w:val="006911D6"/>
    <w:rsid w:val="00692130"/>
    <w:rsid w:val="00693302"/>
    <w:rsid w:val="006944C9"/>
    <w:rsid w:val="0069494F"/>
    <w:rsid w:val="00697C56"/>
    <w:rsid w:val="006A1B27"/>
    <w:rsid w:val="006B0CE6"/>
    <w:rsid w:val="006B30C3"/>
    <w:rsid w:val="006B3C68"/>
    <w:rsid w:val="006B4104"/>
    <w:rsid w:val="006C5092"/>
    <w:rsid w:val="006C79DE"/>
    <w:rsid w:val="006D15A7"/>
    <w:rsid w:val="006D5934"/>
    <w:rsid w:val="006E19EC"/>
    <w:rsid w:val="006F20E2"/>
    <w:rsid w:val="006F3309"/>
    <w:rsid w:val="006F3B19"/>
    <w:rsid w:val="0071068F"/>
    <w:rsid w:val="00720F39"/>
    <w:rsid w:val="00722265"/>
    <w:rsid w:val="00733832"/>
    <w:rsid w:val="00741BD5"/>
    <w:rsid w:val="00741FA3"/>
    <w:rsid w:val="0074203F"/>
    <w:rsid w:val="00751C7C"/>
    <w:rsid w:val="00753F6B"/>
    <w:rsid w:val="007548AC"/>
    <w:rsid w:val="007548C2"/>
    <w:rsid w:val="00760CAE"/>
    <w:rsid w:val="00776142"/>
    <w:rsid w:val="00776D45"/>
    <w:rsid w:val="007807D5"/>
    <w:rsid w:val="00780A41"/>
    <w:rsid w:val="00784362"/>
    <w:rsid w:val="00787F4C"/>
    <w:rsid w:val="00795EEB"/>
    <w:rsid w:val="00797031"/>
    <w:rsid w:val="007A0AE0"/>
    <w:rsid w:val="007A1626"/>
    <w:rsid w:val="007A47DB"/>
    <w:rsid w:val="007A5299"/>
    <w:rsid w:val="007A770E"/>
    <w:rsid w:val="007B15E0"/>
    <w:rsid w:val="007B55D6"/>
    <w:rsid w:val="007C2F3E"/>
    <w:rsid w:val="007C3277"/>
    <w:rsid w:val="007C386D"/>
    <w:rsid w:val="007C585C"/>
    <w:rsid w:val="007D1739"/>
    <w:rsid w:val="007D2FC4"/>
    <w:rsid w:val="007D430D"/>
    <w:rsid w:val="007D57AB"/>
    <w:rsid w:val="007D64D4"/>
    <w:rsid w:val="007E2255"/>
    <w:rsid w:val="007E2EC7"/>
    <w:rsid w:val="007F17EE"/>
    <w:rsid w:val="007F5862"/>
    <w:rsid w:val="007F670C"/>
    <w:rsid w:val="008047F4"/>
    <w:rsid w:val="00804D77"/>
    <w:rsid w:val="00806DE7"/>
    <w:rsid w:val="008109AC"/>
    <w:rsid w:val="00815E11"/>
    <w:rsid w:val="00816180"/>
    <w:rsid w:val="008165C2"/>
    <w:rsid w:val="0082033D"/>
    <w:rsid w:val="00820DE5"/>
    <w:rsid w:val="00826DF1"/>
    <w:rsid w:val="00835E9E"/>
    <w:rsid w:val="00837486"/>
    <w:rsid w:val="00842302"/>
    <w:rsid w:val="00845F3F"/>
    <w:rsid w:val="00851133"/>
    <w:rsid w:val="00854261"/>
    <w:rsid w:val="008549E5"/>
    <w:rsid w:val="0085582C"/>
    <w:rsid w:val="00857090"/>
    <w:rsid w:val="0086023A"/>
    <w:rsid w:val="00862C26"/>
    <w:rsid w:val="00864126"/>
    <w:rsid w:val="008644BF"/>
    <w:rsid w:val="00865FDE"/>
    <w:rsid w:val="008665E5"/>
    <w:rsid w:val="008731F6"/>
    <w:rsid w:val="0087629A"/>
    <w:rsid w:val="00884ECA"/>
    <w:rsid w:val="008A3C4E"/>
    <w:rsid w:val="008A688C"/>
    <w:rsid w:val="008B429F"/>
    <w:rsid w:val="008C255B"/>
    <w:rsid w:val="008C4A04"/>
    <w:rsid w:val="008C51C1"/>
    <w:rsid w:val="008C6F28"/>
    <w:rsid w:val="008C7DCC"/>
    <w:rsid w:val="008D0BF2"/>
    <w:rsid w:val="008D7730"/>
    <w:rsid w:val="008D78CE"/>
    <w:rsid w:val="008E180A"/>
    <w:rsid w:val="008E27AC"/>
    <w:rsid w:val="008E5D4A"/>
    <w:rsid w:val="008E65AE"/>
    <w:rsid w:val="008E6708"/>
    <w:rsid w:val="008F159D"/>
    <w:rsid w:val="008F2CC9"/>
    <w:rsid w:val="009065FE"/>
    <w:rsid w:val="00906B8C"/>
    <w:rsid w:val="00922B34"/>
    <w:rsid w:val="009237C0"/>
    <w:rsid w:val="00926A24"/>
    <w:rsid w:val="00930D7C"/>
    <w:rsid w:val="00930EA7"/>
    <w:rsid w:val="00931BFE"/>
    <w:rsid w:val="00944CE8"/>
    <w:rsid w:val="00945635"/>
    <w:rsid w:val="00945BF7"/>
    <w:rsid w:val="00960A4E"/>
    <w:rsid w:val="00963C77"/>
    <w:rsid w:val="00965E84"/>
    <w:rsid w:val="009714CF"/>
    <w:rsid w:val="00981D4F"/>
    <w:rsid w:val="00986C78"/>
    <w:rsid w:val="00987022"/>
    <w:rsid w:val="00987E5E"/>
    <w:rsid w:val="00990B8B"/>
    <w:rsid w:val="009969F9"/>
    <w:rsid w:val="009A1813"/>
    <w:rsid w:val="009A1CD5"/>
    <w:rsid w:val="009A2EED"/>
    <w:rsid w:val="009A3E21"/>
    <w:rsid w:val="009A52D6"/>
    <w:rsid w:val="009A7096"/>
    <w:rsid w:val="009A76A1"/>
    <w:rsid w:val="009B26FF"/>
    <w:rsid w:val="009B3229"/>
    <w:rsid w:val="009B4B7E"/>
    <w:rsid w:val="009C0B79"/>
    <w:rsid w:val="009C6916"/>
    <w:rsid w:val="009D3368"/>
    <w:rsid w:val="009D5642"/>
    <w:rsid w:val="009D5A26"/>
    <w:rsid w:val="009D76B0"/>
    <w:rsid w:val="009F3C88"/>
    <w:rsid w:val="009F6A4D"/>
    <w:rsid w:val="00A132FA"/>
    <w:rsid w:val="00A13B14"/>
    <w:rsid w:val="00A26C13"/>
    <w:rsid w:val="00A30445"/>
    <w:rsid w:val="00A34B32"/>
    <w:rsid w:val="00A37F5B"/>
    <w:rsid w:val="00A4169A"/>
    <w:rsid w:val="00A42227"/>
    <w:rsid w:val="00A47974"/>
    <w:rsid w:val="00A5135C"/>
    <w:rsid w:val="00A5393E"/>
    <w:rsid w:val="00A53DAF"/>
    <w:rsid w:val="00A5445D"/>
    <w:rsid w:val="00A5562F"/>
    <w:rsid w:val="00A55ED9"/>
    <w:rsid w:val="00A66701"/>
    <w:rsid w:val="00A700F0"/>
    <w:rsid w:val="00A71D06"/>
    <w:rsid w:val="00A73955"/>
    <w:rsid w:val="00A91FC4"/>
    <w:rsid w:val="00A925FB"/>
    <w:rsid w:val="00A9421B"/>
    <w:rsid w:val="00A94331"/>
    <w:rsid w:val="00A94C21"/>
    <w:rsid w:val="00A94D10"/>
    <w:rsid w:val="00A95F39"/>
    <w:rsid w:val="00AA0913"/>
    <w:rsid w:val="00AA17F8"/>
    <w:rsid w:val="00AA31AB"/>
    <w:rsid w:val="00AB2989"/>
    <w:rsid w:val="00AB384C"/>
    <w:rsid w:val="00AB4D38"/>
    <w:rsid w:val="00AB6CAA"/>
    <w:rsid w:val="00AB6EBB"/>
    <w:rsid w:val="00AC3870"/>
    <w:rsid w:val="00AD42A5"/>
    <w:rsid w:val="00AD526F"/>
    <w:rsid w:val="00AD6DBA"/>
    <w:rsid w:val="00AE21D8"/>
    <w:rsid w:val="00AE2891"/>
    <w:rsid w:val="00AE48FD"/>
    <w:rsid w:val="00AE7D71"/>
    <w:rsid w:val="00AF04A4"/>
    <w:rsid w:val="00AF141E"/>
    <w:rsid w:val="00AF25F2"/>
    <w:rsid w:val="00AF279F"/>
    <w:rsid w:val="00AF4359"/>
    <w:rsid w:val="00B033FC"/>
    <w:rsid w:val="00B03E7E"/>
    <w:rsid w:val="00B12168"/>
    <w:rsid w:val="00B144E0"/>
    <w:rsid w:val="00B243FC"/>
    <w:rsid w:val="00B26E4A"/>
    <w:rsid w:val="00B36444"/>
    <w:rsid w:val="00B447EE"/>
    <w:rsid w:val="00B4725D"/>
    <w:rsid w:val="00B53870"/>
    <w:rsid w:val="00B54D15"/>
    <w:rsid w:val="00B56571"/>
    <w:rsid w:val="00B579B7"/>
    <w:rsid w:val="00B60EE3"/>
    <w:rsid w:val="00B6532C"/>
    <w:rsid w:val="00B719E1"/>
    <w:rsid w:val="00B71FE1"/>
    <w:rsid w:val="00B72A88"/>
    <w:rsid w:val="00B744CF"/>
    <w:rsid w:val="00B80B96"/>
    <w:rsid w:val="00B81C34"/>
    <w:rsid w:val="00B83B41"/>
    <w:rsid w:val="00B84AF5"/>
    <w:rsid w:val="00B86F6F"/>
    <w:rsid w:val="00B92BD9"/>
    <w:rsid w:val="00B92C84"/>
    <w:rsid w:val="00B92C94"/>
    <w:rsid w:val="00B97925"/>
    <w:rsid w:val="00BA2F04"/>
    <w:rsid w:val="00BA3967"/>
    <w:rsid w:val="00BA4BE2"/>
    <w:rsid w:val="00BA66A7"/>
    <w:rsid w:val="00BB3376"/>
    <w:rsid w:val="00BB56C4"/>
    <w:rsid w:val="00BB7302"/>
    <w:rsid w:val="00BC72C9"/>
    <w:rsid w:val="00BE199A"/>
    <w:rsid w:val="00BE3DC4"/>
    <w:rsid w:val="00BF4335"/>
    <w:rsid w:val="00BF4AB2"/>
    <w:rsid w:val="00BF4B42"/>
    <w:rsid w:val="00C040C8"/>
    <w:rsid w:val="00C12A43"/>
    <w:rsid w:val="00C1461A"/>
    <w:rsid w:val="00C20670"/>
    <w:rsid w:val="00C21F82"/>
    <w:rsid w:val="00C2616D"/>
    <w:rsid w:val="00C267BD"/>
    <w:rsid w:val="00C26AD3"/>
    <w:rsid w:val="00C27883"/>
    <w:rsid w:val="00C30742"/>
    <w:rsid w:val="00C308AF"/>
    <w:rsid w:val="00C33871"/>
    <w:rsid w:val="00C34541"/>
    <w:rsid w:val="00C36217"/>
    <w:rsid w:val="00C4012C"/>
    <w:rsid w:val="00C41B14"/>
    <w:rsid w:val="00C463A7"/>
    <w:rsid w:val="00C47152"/>
    <w:rsid w:val="00C53C46"/>
    <w:rsid w:val="00C53D0B"/>
    <w:rsid w:val="00C615C8"/>
    <w:rsid w:val="00C7206E"/>
    <w:rsid w:val="00C80CF4"/>
    <w:rsid w:val="00C81120"/>
    <w:rsid w:val="00C83D6D"/>
    <w:rsid w:val="00C86186"/>
    <w:rsid w:val="00C868EB"/>
    <w:rsid w:val="00C86B20"/>
    <w:rsid w:val="00C900AD"/>
    <w:rsid w:val="00C92A76"/>
    <w:rsid w:val="00C949DC"/>
    <w:rsid w:val="00CA4AEC"/>
    <w:rsid w:val="00CA4DB8"/>
    <w:rsid w:val="00CA68CD"/>
    <w:rsid w:val="00CB20FB"/>
    <w:rsid w:val="00CB382A"/>
    <w:rsid w:val="00CB49F9"/>
    <w:rsid w:val="00CC430B"/>
    <w:rsid w:val="00CC785D"/>
    <w:rsid w:val="00CD016A"/>
    <w:rsid w:val="00CD43E3"/>
    <w:rsid w:val="00CE5C6C"/>
    <w:rsid w:val="00CE7CCB"/>
    <w:rsid w:val="00CF006C"/>
    <w:rsid w:val="00CF3F6E"/>
    <w:rsid w:val="00CF53A7"/>
    <w:rsid w:val="00D043F4"/>
    <w:rsid w:val="00D12042"/>
    <w:rsid w:val="00D15DFF"/>
    <w:rsid w:val="00D17F89"/>
    <w:rsid w:val="00D20788"/>
    <w:rsid w:val="00D26E78"/>
    <w:rsid w:val="00D34E24"/>
    <w:rsid w:val="00D4044A"/>
    <w:rsid w:val="00D43714"/>
    <w:rsid w:val="00D450DF"/>
    <w:rsid w:val="00D52122"/>
    <w:rsid w:val="00D53326"/>
    <w:rsid w:val="00D6160A"/>
    <w:rsid w:val="00D63D9B"/>
    <w:rsid w:val="00D659F6"/>
    <w:rsid w:val="00D66116"/>
    <w:rsid w:val="00D66A72"/>
    <w:rsid w:val="00D67D9E"/>
    <w:rsid w:val="00D74F83"/>
    <w:rsid w:val="00D774B5"/>
    <w:rsid w:val="00D81358"/>
    <w:rsid w:val="00D85897"/>
    <w:rsid w:val="00D93ED3"/>
    <w:rsid w:val="00D9422C"/>
    <w:rsid w:val="00D96B19"/>
    <w:rsid w:val="00DA03BE"/>
    <w:rsid w:val="00DA2F5E"/>
    <w:rsid w:val="00DA5E4C"/>
    <w:rsid w:val="00DA62E7"/>
    <w:rsid w:val="00DB0B5E"/>
    <w:rsid w:val="00DB32DA"/>
    <w:rsid w:val="00DC158A"/>
    <w:rsid w:val="00DD300D"/>
    <w:rsid w:val="00DD4DA7"/>
    <w:rsid w:val="00DE7161"/>
    <w:rsid w:val="00DF138A"/>
    <w:rsid w:val="00DF6DAE"/>
    <w:rsid w:val="00E00878"/>
    <w:rsid w:val="00E020CD"/>
    <w:rsid w:val="00E148F4"/>
    <w:rsid w:val="00E15564"/>
    <w:rsid w:val="00E16F26"/>
    <w:rsid w:val="00E17DF8"/>
    <w:rsid w:val="00E4040B"/>
    <w:rsid w:val="00E42F47"/>
    <w:rsid w:val="00E45179"/>
    <w:rsid w:val="00E50854"/>
    <w:rsid w:val="00E50A9D"/>
    <w:rsid w:val="00E52DC5"/>
    <w:rsid w:val="00E53385"/>
    <w:rsid w:val="00E61E2A"/>
    <w:rsid w:val="00E65685"/>
    <w:rsid w:val="00E65905"/>
    <w:rsid w:val="00E66D9E"/>
    <w:rsid w:val="00E6768C"/>
    <w:rsid w:val="00E72C34"/>
    <w:rsid w:val="00E734F6"/>
    <w:rsid w:val="00E75A18"/>
    <w:rsid w:val="00E82269"/>
    <w:rsid w:val="00E84061"/>
    <w:rsid w:val="00E84FD4"/>
    <w:rsid w:val="00E865BE"/>
    <w:rsid w:val="00E87E69"/>
    <w:rsid w:val="00E91610"/>
    <w:rsid w:val="00E93362"/>
    <w:rsid w:val="00EA233F"/>
    <w:rsid w:val="00EB41A5"/>
    <w:rsid w:val="00EB41B7"/>
    <w:rsid w:val="00EB4AD8"/>
    <w:rsid w:val="00EB54F1"/>
    <w:rsid w:val="00EC3771"/>
    <w:rsid w:val="00EC3E5A"/>
    <w:rsid w:val="00EC41AF"/>
    <w:rsid w:val="00EC4841"/>
    <w:rsid w:val="00EC5776"/>
    <w:rsid w:val="00ED4992"/>
    <w:rsid w:val="00ED5AEF"/>
    <w:rsid w:val="00ED62D4"/>
    <w:rsid w:val="00EE23F9"/>
    <w:rsid w:val="00EE4AEF"/>
    <w:rsid w:val="00EE5B84"/>
    <w:rsid w:val="00EF2A95"/>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41D11"/>
    <w:rsid w:val="00F50E9E"/>
    <w:rsid w:val="00F546B4"/>
    <w:rsid w:val="00F57722"/>
    <w:rsid w:val="00F57B79"/>
    <w:rsid w:val="00F63941"/>
    <w:rsid w:val="00F63E95"/>
    <w:rsid w:val="00F7089E"/>
    <w:rsid w:val="00F71E59"/>
    <w:rsid w:val="00F808D4"/>
    <w:rsid w:val="00F87A53"/>
    <w:rsid w:val="00F91D0F"/>
    <w:rsid w:val="00F93179"/>
    <w:rsid w:val="00F94168"/>
    <w:rsid w:val="00FA222D"/>
    <w:rsid w:val="00FA2231"/>
    <w:rsid w:val="00FA26F0"/>
    <w:rsid w:val="00FA321C"/>
    <w:rsid w:val="00FA471F"/>
    <w:rsid w:val="00FB0E4F"/>
    <w:rsid w:val="00FB2A45"/>
    <w:rsid w:val="00FC447B"/>
    <w:rsid w:val="00FC78AE"/>
    <w:rsid w:val="00FD1496"/>
    <w:rsid w:val="00FD4B9B"/>
    <w:rsid w:val="00FE29D4"/>
    <w:rsid w:val="00FE3544"/>
    <w:rsid w:val="00FE4B5B"/>
    <w:rsid w:val="00FE5F33"/>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71A3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7B15E0"/>
    <w:rPr>
      <w:vertAlign w:val="superscript"/>
    </w:rPr>
  </w:style>
  <w:style w:type="paragraph" w:customStyle="1" w:styleId="Appelnotedebasde">
    <w:name w:val="Appel note de bas de..."/>
    <w:basedOn w:val="Normal"/>
    <w:link w:val="FootnoteReference"/>
    <w:uiPriority w:val="99"/>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 w:type="character" w:customStyle="1" w:styleId="baj1">
    <w:name w:val="b_aj1"/>
    <w:basedOn w:val="DefaultParagraphFont"/>
    <w:rsid w:val="00093073"/>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8sp/Colombia12.009.sp.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as.org/es/cidh/docs/anual/2016/docs/InformeAnual2016cap2Dseguimiento-es.pdf" TargetMode="External"/><Relationship Id="rId4" Type="http://schemas.openxmlformats.org/officeDocument/2006/relationships/settings" Target="settings.xml"/><Relationship Id="rId9" Type="http://schemas.openxmlformats.org/officeDocument/2006/relationships/hyperlink" Target="http://www.cidh.oas.org/annualrep/2002sp/Colombia.12009.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8sp/Colombia12.009.sp.htm" TargetMode="External"/><Relationship Id="rId7" Type="http://schemas.openxmlformats.org/officeDocument/2006/relationships/hyperlink" Target="http://www.oas.org/es/cidh/docs/anual/2016/docs/InformeAnual2016cap2Dseguimiento-es.pdf" TargetMode="External"/><Relationship Id="rId2" Type="http://schemas.openxmlformats.org/officeDocument/2006/relationships/hyperlink" Target="http://www.cidh.oas.org/annualrep/2008sp/Colombia12.009.sp.htm" TargetMode="External"/><Relationship Id="rId1" Type="http://schemas.openxmlformats.org/officeDocument/2006/relationships/hyperlink" Target="http://www.oas.org/es/cidh/docs/anual/2016/docs/InformeAnual2016cap2Dseguimiento-es.pdf" TargetMode="External"/><Relationship Id="rId6" Type="http://schemas.openxmlformats.org/officeDocument/2006/relationships/hyperlink" Target="http://www.cidh.oas.org/annualrep/2008sp/Colombia12.009.sp.htm" TargetMode="External"/><Relationship Id="rId5" Type="http://schemas.openxmlformats.org/officeDocument/2006/relationships/hyperlink" Target="http://www.cidh.oas.org/annualrep/2008sp/Colombia12.009.sp.htm" TargetMode="External"/><Relationship Id="rId4" Type="http://schemas.openxmlformats.org/officeDocument/2006/relationships/hyperlink" Target="http://www.cidh.oas.org/annualrep/2008sp/Colombia12.009.sp.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D4C8-8EBD-4698-89C9-1DA5ED6D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2019-03-22T19:51:00Z</dcterms:created>
  <dcterms:modified xsi:type="dcterms:W3CDTF">2019-07-30T19:39:00Z</dcterms:modified>
</cp:coreProperties>
</file>